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80" w:lineRule="auto"/>
        <w:ind w:right="102"/>
        <w:jc w:val="left"/>
        <w:rPr>
          <w:rFonts w:ascii="宋体" w:hAnsi="宋体"/>
          <w:color w:val="auto"/>
          <w:szCs w:val="21"/>
        </w:rPr>
      </w:pPr>
    </w:p>
    <w:p>
      <w:pPr>
        <w:spacing w:line="360" w:lineRule="auto"/>
        <w:ind w:left="359" w:leftChars="171"/>
        <w:jc w:val="center"/>
        <w:rPr>
          <w:rFonts w:ascii="宋体" w:hAnsi="宋体" w:cs="宋体"/>
          <w:color w:val="auto"/>
          <w:sz w:val="52"/>
          <w:szCs w:val="52"/>
        </w:rPr>
      </w:pPr>
    </w:p>
    <w:p>
      <w:pPr>
        <w:spacing w:line="360" w:lineRule="auto"/>
        <w:ind w:left="359" w:leftChars="171"/>
        <w:jc w:val="center"/>
        <w:rPr>
          <w:rFonts w:ascii="宋体" w:hAnsi="宋体" w:cs="宋体"/>
          <w:color w:val="auto"/>
          <w:sz w:val="52"/>
          <w:szCs w:val="52"/>
        </w:rPr>
      </w:pPr>
      <w:r>
        <w:rPr>
          <w:rFonts w:hint="eastAsia" w:ascii="宋体" w:hAnsi="宋体" w:cs="宋体"/>
          <w:color w:val="auto"/>
          <w:sz w:val="52"/>
          <w:szCs w:val="52"/>
        </w:rPr>
        <w:t>增江街南山路建设工程施工总承包</w:t>
      </w:r>
    </w:p>
    <w:p>
      <w:pPr>
        <w:pStyle w:val="7"/>
        <w:rPr>
          <w:rFonts w:ascii="宋体" w:hAnsi="宋体" w:cs="宋体"/>
          <w:color w:val="auto"/>
          <w:sz w:val="52"/>
          <w:szCs w:val="52"/>
        </w:rPr>
      </w:pPr>
    </w:p>
    <w:p>
      <w:pPr>
        <w:rPr>
          <w:color w:val="auto"/>
        </w:rPr>
      </w:pPr>
    </w:p>
    <w:p>
      <w:pPr>
        <w:rPr>
          <w:color w:val="auto"/>
        </w:rPr>
      </w:pPr>
    </w:p>
    <w:p>
      <w:pPr>
        <w:spacing w:line="360" w:lineRule="auto"/>
        <w:jc w:val="center"/>
        <w:rPr>
          <w:color w:val="auto"/>
          <w:sz w:val="36"/>
          <w:u w:val="single"/>
        </w:rPr>
      </w:pPr>
    </w:p>
    <w:p>
      <w:pPr>
        <w:pStyle w:val="2"/>
        <w:rPr>
          <w:color w:val="auto"/>
        </w:rPr>
      </w:pPr>
    </w:p>
    <w:p>
      <w:pPr>
        <w:spacing w:line="360" w:lineRule="auto"/>
        <w:jc w:val="center"/>
        <w:rPr>
          <w:rFonts w:eastAsia="楷体_GB2312"/>
          <w:b/>
          <w:bCs/>
          <w:color w:val="auto"/>
          <w:spacing w:val="26"/>
          <w:sz w:val="110"/>
          <w:szCs w:val="110"/>
        </w:rPr>
      </w:pPr>
      <w:r>
        <w:rPr>
          <w:rFonts w:hint="eastAsia" w:eastAsia="楷体_GB2312"/>
          <w:b/>
          <w:bCs/>
          <w:color w:val="auto"/>
          <w:spacing w:val="26"/>
          <w:sz w:val="110"/>
          <w:szCs w:val="110"/>
        </w:rPr>
        <w:t>招标文件</w:t>
      </w:r>
    </w:p>
    <w:p>
      <w:pPr>
        <w:spacing w:line="360" w:lineRule="auto"/>
        <w:jc w:val="center"/>
        <w:rPr>
          <w:color w:val="auto"/>
          <w:sz w:val="32"/>
        </w:rPr>
      </w:pPr>
    </w:p>
    <w:p>
      <w:pPr>
        <w:spacing w:line="360" w:lineRule="auto"/>
        <w:ind w:firstLine="2560" w:firstLineChars="800"/>
        <w:rPr>
          <w:color w:val="auto"/>
          <w:sz w:val="32"/>
        </w:rPr>
      </w:pPr>
    </w:p>
    <w:p>
      <w:pPr>
        <w:pStyle w:val="7"/>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6"/>
        <w:rPr>
          <w:color w:val="auto"/>
        </w:rPr>
      </w:pPr>
    </w:p>
    <w:p>
      <w:pPr>
        <w:spacing w:line="360" w:lineRule="auto"/>
        <w:ind w:firstLine="900" w:firstLineChars="300"/>
        <w:rPr>
          <w:rFonts w:ascii="宋体" w:hAnsi="宋体" w:cs="宋体"/>
          <w:color w:val="auto"/>
          <w:sz w:val="30"/>
          <w:szCs w:val="30"/>
        </w:rPr>
      </w:pPr>
      <w:r>
        <w:rPr>
          <w:rFonts w:hint="eastAsia"/>
          <w:color w:val="auto"/>
          <w:sz w:val="30"/>
          <w:szCs w:val="30"/>
        </w:rPr>
        <w:t>招</w:t>
      </w:r>
      <w:r>
        <w:rPr>
          <w:color w:val="auto"/>
          <w:sz w:val="30"/>
          <w:szCs w:val="30"/>
        </w:rPr>
        <w:t xml:space="preserve">  </w:t>
      </w:r>
      <w:r>
        <w:rPr>
          <w:rFonts w:hint="eastAsia"/>
          <w:color w:val="auto"/>
          <w:sz w:val="30"/>
          <w:szCs w:val="30"/>
        </w:rPr>
        <w:t>标</w:t>
      </w:r>
      <w:r>
        <w:rPr>
          <w:color w:val="auto"/>
          <w:sz w:val="30"/>
          <w:szCs w:val="30"/>
        </w:rPr>
        <w:t xml:space="preserve"> </w:t>
      </w:r>
      <w:r>
        <w:rPr>
          <w:rFonts w:hint="eastAsia"/>
          <w:color w:val="auto"/>
          <w:sz w:val="30"/>
          <w:szCs w:val="30"/>
        </w:rPr>
        <w:t>单</w:t>
      </w:r>
      <w:r>
        <w:rPr>
          <w:color w:val="auto"/>
          <w:sz w:val="30"/>
          <w:szCs w:val="30"/>
        </w:rPr>
        <w:t xml:space="preserve"> </w:t>
      </w:r>
      <w:r>
        <w:rPr>
          <w:rFonts w:hint="eastAsia"/>
          <w:color w:val="auto"/>
          <w:sz w:val="30"/>
          <w:szCs w:val="30"/>
        </w:rPr>
        <w:t>位</w:t>
      </w:r>
      <w:r>
        <w:rPr>
          <w:rFonts w:hint="eastAsia" w:ascii="宋体" w:hAnsi="宋体" w:cs="宋体"/>
          <w:color w:val="auto"/>
          <w:sz w:val="30"/>
          <w:szCs w:val="30"/>
        </w:rPr>
        <w:t>：广州市增城区人民政府增江街道办事处</w:t>
      </w:r>
    </w:p>
    <w:p>
      <w:pPr>
        <w:spacing w:line="360" w:lineRule="auto"/>
        <w:ind w:firstLine="945"/>
        <w:rPr>
          <w:color w:val="auto"/>
          <w:sz w:val="30"/>
          <w:szCs w:val="30"/>
          <w:u w:val="single"/>
        </w:rPr>
      </w:pPr>
      <w:r>
        <w:rPr>
          <w:rFonts w:hint="eastAsia"/>
          <w:color w:val="auto"/>
          <w:sz w:val="30"/>
          <w:szCs w:val="30"/>
        </w:rPr>
        <w:t>招标代理单位：</w:t>
      </w:r>
      <w:r>
        <w:rPr>
          <w:rFonts w:hint="eastAsia" w:ascii="宋体" w:hAnsi="宋体" w:cs="宋体"/>
          <w:color w:val="auto"/>
          <w:sz w:val="30"/>
          <w:szCs w:val="30"/>
        </w:rPr>
        <w:t>广州佳皓咨询服务有限公司</w:t>
      </w:r>
    </w:p>
    <w:p>
      <w:pPr>
        <w:spacing w:line="360" w:lineRule="auto"/>
        <w:ind w:firstLine="945"/>
        <w:rPr>
          <w:color w:val="auto"/>
          <w:sz w:val="32"/>
        </w:rPr>
      </w:pPr>
      <w:r>
        <w:rPr>
          <w:rFonts w:hint="eastAsia"/>
          <w:color w:val="auto"/>
          <w:sz w:val="32"/>
        </w:rPr>
        <w:t>日</w:t>
      </w:r>
      <w:r>
        <w:rPr>
          <w:color w:val="auto"/>
          <w:sz w:val="32"/>
        </w:rPr>
        <w:t xml:space="preserve">       </w:t>
      </w:r>
      <w:r>
        <w:rPr>
          <w:rFonts w:hint="eastAsia"/>
          <w:color w:val="auto"/>
          <w:sz w:val="32"/>
        </w:rPr>
        <w:t>期：</w:t>
      </w:r>
      <w:r>
        <w:rPr>
          <w:rFonts w:hint="eastAsia"/>
          <w:color w:val="auto"/>
          <w:sz w:val="32"/>
          <w:u w:val="single"/>
        </w:rPr>
        <w:t>2024</w:t>
      </w:r>
      <w:r>
        <w:rPr>
          <w:rFonts w:hint="eastAsia"/>
          <w:color w:val="auto"/>
          <w:sz w:val="32"/>
        </w:rPr>
        <w:t>年</w:t>
      </w:r>
      <w:r>
        <w:rPr>
          <w:rFonts w:hint="eastAsia"/>
          <w:color w:val="auto"/>
          <w:sz w:val="32"/>
          <w:u w:val="single"/>
        </w:rPr>
        <w:t xml:space="preserve"> 6</w:t>
      </w:r>
      <w:r>
        <w:rPr>
          <w:rFonts w:hint="eastAsia"/>
          <w:color w:val="auto"/>
          <w:sz w:val="32"/>
        </w:rPr>
        <w:t>月</w:t>
      </w:r>
    </w:p>
    <w:p>
      <w:pPr>
        <w:jc w:val="center"/>
        <w:rPr>
          <w:rFonts w:ascii="宋体" w:hAnsi="宋体"/>
          <w:b/>
          <w:caps/>
          <w:color w:val="auto"/>
          <w:kern w:val="0"/>
        </w:rPr>
      </w:pPr>
      <w:r>
        <w:rPr>
          <w:rStyle w:val="43"/>
          <w:b/>
          <w:bCs/>
          <w:color w:val="auto"/>
        </w:rPr>
        <w:br w:type="page"/>
      </w:r>
      <w:r>
        <w:rPr>
          <w:rStyle w:val="43"/>
          <w:rFonts w:hint="eastAsia"/>
          <w:b/>
          <w:bCs/>
          <w:color w:val="auto"/>
          <w:sz w:val="28"/>
          <w:szCs w:val="28"/>
        </w:rPr>
        <w:t>目录</w:t>
      </w:r>
    </w:p>
    <w:p>
      <w:pPr>
        <w:pStyle w:val="27"/>
        <w:tabs>
          <w:tab w:val="right" w:leader="dot" w:pos="9070"/>
          <w:tab w:val="clear" w:pos="9060"/>
        </w:tabs>
        <w:rPr>
          <w:color w:val="auto"/>
        </w:rPr>
      </w:pPr>
      <w:r>
        <w:rPr>
          <w:color w:val="auto"/>
        </w:rPr>
        <w:fldChar w:fldCharType="begin"/>
      </w:r>
      <w:r>
        <w:rPr>
          <w:color w:val="auto"/>
        </w:rPr>
        <w:instrText xml:space="preserve"> TOC \o "1-3" \h \z \u </w:instrText>
      </w:r>
      <w:r>
        <w:rPr>
          <w:color w:val="auto"/>
        </w:rPr>
        <w:fldChar w:fldCharType="separate"/>
      </w:r>
      <w:r>
        <w:rPr>
          <w:color w:val="auto"/>
        </w:rPr>
        <w:fldChar w:fldCharType="begin"/>
      </w:r>
      <w:r>
        <w:rPr>
          <w:color w:val="auto"/>
        </w:rPr>
        <w:instrText xml:space="preserve"> HYPERLINK \l "_Toc9026" </w:instrText>
      </w:r>
      <w:r>
        <w:rPr>
          <w:color w:val="auto"/>
        </w:rPr>
        <w:fldChar w:fldCharType="separate"/>
      </w:r>
      <w:r>
        <w:rPr>
          <w:rFonts w:hint="eastAsia"/>
          <w:color w:val="auto"/>
        </w:rPr>
        <w:t>第一章</w:t>
      </w:r>
      <w:r>
        <w:rPr>
          <w:color w:val="auto"/>
        </w:rPr>
        <w:t xml:space="preserve">  </w:t>
      </w:r>
      <w:r>
        <w:rPr>
          <w:rFonts w:hint="eastAsia"/>
          <w:color w:val="auto"/>
        </w:rPr>
        <w:t>投标须知</w:t>
      </w:r>
      <w:r>
        <w:rPr>
          <w:color w:val="auto"/>
        </w:rPr>
        <w:tab/>
      </w:r>
      <w:r>
        <w:rPr>
          <w:color w:val="auto"/>
        </w:rPr>
        <w:fldChar w:fldCharType="begin"/>
      </w:r>
      <w:r>
        <w:rPr>
          <w:color w:val="auto"/>
        </w:rPr>
        <w:instrText xml:space="preserve"> PAGEREF _Toc9026 \h </w:instrText>
      </w:r>
      <w:r>
        <w:rPr>
          <w:color w:val="auto"/>
        </w:rPr>
        <w:fldChar w:fldCharType="separate"/>
      </w:r>
      <w:r>
        <w:rPr>
          <w:color w:val="auto"/>
        </w:rPr>
        <w:t>3</w:t>
      </w:r>
      <w:r>
        <w:rPr>
          <w:color w:val="auto"/>
        </w:rPr>
        <w:fldChar w:fldCharType="end"/>
      </w:r>
      <w:r>
        <w:rPr>
          <w:color w:val="auto"/>
        </w:rPr>
        <w:fldChar w:fldCharType="end"/>
      </w:r>
    </w:p>
    <w:p>
      <w:pPr>
        <w:pStyle w:val="30"/>
        <w:tabs>
          <w:tab w:val="right" w:leader="dot" w:pos="9070"/>
          <w:tab w:val="clear" w:pos="9060"/>
        </w:tabs>
        <w:rPr>
          <w:color w:val="auto"/>
        </w:rPr>
      </w:pPr>
      <w:r>
        <w:rPr>
          <w:color w:val="auto"/>
        </w:rPr>
        <w:fldChar w:fldCharType="begin"/>
      </w:r>
      <w:r>
        <w:rPr>
          <w:color w:val="auto"/>
        </w:rPr>
        <w:instrText xml:space="preserve"> HYPERLINK \l "_Toc7397" </w:instrText>
      </w:r>
      <w:r>
        <w:rPr>
          <w:color w:val="auto"/>
        </w:rPr>
        <w:fldChar w:fldCharType="separate"/>
      </w:r>
      <w:r>
        <w:rPr>
          <w:rFonts w:hint="eastAsia"/>
          <w:color w:val="auto"/>
        </w:rPr>
        <w:t>一、投标须知前附表</w:t>
      </w:r>
      <w:r>
        <w:rPr>
          <w:color w:val="auto"/>
        </w:rPr>
        <w:tab/>
      </w:r>
      <w:r>
        <w:rPr>
          <w:color w:val="auto"/>
        </w:rPr>
        <w:fldChar w:fldCharType="begin"/>
      </w:r>
      <w:r>
        <w:rPr>
          <w:color w:val="auto"/>
        </w:rPr>
        <w:instrText xml:space="preserve"> PAGEREF _Toc7397 \h </w:instrText>
      </w:r>
      <w:r>
        <w:rPr>
          <w:color w:val="auto"/>
        </w:rPr>
        <w:fldChar w:fldCharType="separate"/>
      </w:r>
      <w:r>
        <w:rPr>
          <w:color w:val="auto"/>
        </w:rPr>
        <w:t>3</w:t>
      </w:r>
      <w:r>
        <w:rPr>
          <w:color w:val="auto"/>
        </w:rPr>
        <w:fldChar w:fldCharType="end"/>
      </w:r>
      <w:r>
        <w:rPr>
          <w:color w:val="auto"/>
        </w:rPr>
        <w:fldChar w:fldCharType="end"/>
      </w:r>
    </w:p>
    <w:p>
      <w:pPr>
        <w:pStyle w:val="30"/>
        <w:tabs>
          <w:tab w:val="right" w:leader="dot" w:pos="9070"/>
          <w:tab w:val="clear" w:pos="9060"/>
        </w:tabs>
        <w:rPr>
          <w:color w:val="auto"/>
        </w:rPr>
      </w:pPr>
      <w:r>
        <w:rPr>
          <w:color w:val="auto"/>
        </w:rPr>
        <w:fldChar w:fldCharType="begin"/>
      </w:r>
      <w:r>
        <w:rPr>
          <w:color w:val="auto"/>
        </w:rPr>
        <w:instrText xml:space="preserve"> HYPERLINK \l "_Toc25589" </w:instrText>
      </w:r>
      <w:r>
        <w:rPr>
          <w:color w:val="auto"/>
        </w:rPr>
        <w:fldChar w:fldCharType="separate"/>
      </w:r>
      <w:r>
        <w:rPr>
          <w:rFonts w:hint="eastAsia"/>
          <w:color w:val="auto"/>
        </w:rPr>
        <w:t>二、投标须知修改表</w:t>
      </w:r>
      <w:r>
        <w:rPr>
          <w:color w:val="auto"/>
        </w:rPr>
        <w:tab/>
      </w:r>
      <w:r>
        <w:rPr>
          <w:color w:val="auto"/>
        </w:rPr>
        <w:fldChar w:fldCharType="begin"/>
      </w:r>
      <w:r>
        <w:rPr>
          <w:color w:val="auto"/>
        </w:rPr>
        <w:instrText xml:space="preserve"> PAGEREF _Toc25589 \h </w:instrText>
      </w:r>
      <w:r>
        <w:rPr>
          <w:color w:val="auto"/>
        </w:rPr>
        <w:fldChar w:fldCharType="separate"/>
      </w:r>
      <w:r>
        <w:rPr>
          <w:color w:val="auto"/>
        </w:rPr>
        <w:t>6</w:t>
      </w:r>
      <w:r>
        <w:rPr>
          <w:color w:val="auto"/>
        </w:rPr>
        <w:fldChar w:fldCharType="end"/>
      </w:r>
      <w:r>
        <w:rPr>
          <w:color w:val="auto"/>
        </w:rPr>
        <w:fldChar w:fldCharType="end"/>
      </w:r>
    </w:p>
    <w:p>
      <w:pPr>
        <w:pStyle w:val="30"/>
        <w:tabs>
          <w:tab w:val="right" w:leader="dot" w:pos="9070"/>
          <w:tab w:val="clear" w:pos="9060"/>
        </w:tabs>
        <w:rPr>
          <w:color w:val="auto"/>
        </w:rPr>
      </w:pPr>
      <w:r>
        <w:rPr>
          <w:color w:val="auto"/>
        </w:rPr>
        <w:fldChar w:fldCharType="begin"/>
      </w:r>
      <w:r>
        <w:rPr>
          <w:color w:val="auto"/>
        </w:rPr>
        <w:instrText xml:space="preserve"> HYPERLINK \l "_Toc7823" </w:instrText>
      </w:r>
      <w:r>
        <w:rPr>
          <w:color w:val="auto"/>
        </w:rPr>
        <w:fldChar w:fldCharType="separate"/>
      </w:r>
      <w:r>
        <w:rPr>
          <w:rFonts w:hint="eastAsia"/>
          <w:color w:val="auto"/>
        </w:rPr>
        <w:t>三、投标须知通用条款</w:t>
      </w:r>
      <w:r>
        <w:rPr>
          <w:color w:val="auto"/>
        </w:rPr>
        <w:tab/>
      </w:r>
      <w:r>
        <w:rPr>
          <w:color w:val="auto"/>
        </w:rPr>
        <w:fldChar w:fldCharType="begin"/>
      </w:r>
      <w:r>
        <w:rPr>
          <w:color w:val="auto"/>
        </w:rPr>
        <w:instrText xml:space="preserve"> PAGEREF _Toc7823 \h </w:instrText>
      </w:r>
      <w:r>
        <w:rPr>
          <w:color w:val="auto"/>
        </w:rPr>
        <w:fldChar w:fldCharType="separate"/>
      </w:r>
      <w:r>
        <w:rPr>
          <w:color w:val="auto"/>
        </w:rPr>
        <w:t>20</w:t>
      </w:r>
      <w:r>
        <w:rPr>
          <w:color w:val="auto"/>
        </w:rPr>
        <w:fldChar w:fldCharType="end"/>
      </w:r>
      <w:r>
        <w:rPr>
          <w:color w:val="auto"/>
        </w:rPr>
        <w:fldChar w:fldCharType="end"/>
      </w:r>
    </w:p>
    <w:p>
      <w:pPr>
        <w:pStyle w:val="19"/>
        <w:tabs>
          <w:tab w:val="right" w:leader="dot" w:pos="9070"/>
        </w:tabs>
        <w:ind w:left="840"/>
        <w:rPr>
          <w:color w:val="auto"/>
        </w:rPr>
      </w:pPr>
      <w:r>
        <w:rPr>
          <w:color w:val="auto"/>
        </w:rPr>
        <w:fldChar w:fldCharType="begin"/>
      </w:r>
      <w:r>
        <w:rPr>
          <w:color w:val="auto"/>
        </w:rPr>
        <w:instrText xml:space="preserve"> HYPERLINK \l "_Toc31825" </w:instrText>
      </w:r>
      <w:r>
        <w:rPr>
          <w:color w:val="auto"/>
        </w:rPr>
        <w:fldChar w:fldCharType="separate"/>
      </w:r>
      <w:r>
        <w:rPr>
          <w:rFonts w:hint="eastAsia"/>
          <w:color w:val="auto"/>
        </w:rPr>
        <w:t>（一）总则</w:t>
      </w:r>
      <w:r>
        <w:rPr>
          <w:color w:val="auto"/>
        </w:rPr>
        <w:tab/>
      </w:r>
      <w:r>
        <w:rPr>
          <w:color w:val="auto"/>
        </w:rPr>
        <w:fldChar w:fldCharType="begin"/>
      </w:r>
      <w:r>
        <w:rPr>
          <w:color w:val="auto"/>
        </w:rPr>
        <w:instrText xml:space="preserve"> PAGEREF _Toc31825 \h </w:instrText>
      </w:r>
      <w:r>
        <w:rPr>
          <w:color w:val="auto"/>
        </w:rPr>
        <w:fldChar w:fldCharType="separate"/>
      </w:r>
      <w:r>
        <w:rPr>
          <w:color w:val="auto"/>
        </w:rPr>
        <w:t>20</w:t>
      </w:r>
      <w:r>
        <w:rPr>
          <w:color w:val="auto"/>
        </w:rPr>
        <w:fldChar w:fldCharType="end"/>
      </w:r>
      <w:r>
        <w:rPr>
          <w:color w:val="auto"/>
        </w:rPr>
        <w:fldChar w:fldCharType="end"/>
      </w:r>
    </w:p>
    <w:p>
      <w:pPr>
        <w:pStyle w:val="19"/>
        <w:tabs>
          <w:tab w:val="right" w:leader="dot" w:pos="9070"/>
        </w:tabs>
        <w:ind w:left="840"/>
        <w:rPr>
          <w:color w:val="auto"/>
        </w:rPr>
      </w:pPr>
      <w:r>
        <w:rPr>
          <w:color w:val="auto"/>
        </w:rPr>
        <w:fldChar w:fldCharType="begin"/>
      </w:r>
      <w:r>
        <w:rPr>
          <w:color w:val="auto"/>
        </w:rPr>
        <w:instrText xml:space="preserve"> HYPERLINK \l "_Toc17290" </w:instrText>
      </w:r>
      <w:r>
        <w:rPr>
          <w:color w:val="auto"/>
        </w:rPr>
        <w:fldChar w:fldCharType="separate"/>
      </w:r>
      <w:r>
        <w:rPr>
          <w:rFonts w:hint="eastAsia"/>
          <w:color w:val="auto"/>
        </w:rPr>
        <w:t>（二）招标文件</w:t>
      </w:r>
      <w:r>
        <w:rPr>
          <w:color w:val="auto"/>
        </w:rPr>
        <w:tab/>
      </w:r>
      <w:r>
        <w:rPr>
          <w:color w:val="auto"/>
        </w:rPr>
        <w:fldChar w:fldCharType="begin"/>
      </w:r>
      <w:r>
        <w:rPr>
          <w:color w:val="auto"/>
        </w:rPr>
        <w:instrText xml:space="preserve"> PAGEREF _Toc17290 \h </w:instrText>
      </w:r>
      <w:r>
        <w:rPr>
          <w:color w:val="auto"/>
        </w:rPr>
        <w:fldChar w:fldCharType="separate"/>
      </w:r>
      <w:r>
        <w:rPr>
          <w:color w:val="auto"/>
        </w:rPr>
        <w:t>21</w:t>
      </w:r>
      <w:r>
        <w:rPr>
          <w:color w:val="auto"/>
        </w:rPr>
        <w:fldChar w:fldCharType="end"/>
      </w:r>
      <w:r>
        <w:rPr>
          <w:color w:val="auto"/>
        </w:rPr>
        <w:fldChar w:fldCharType="end"/>
      </w:r>
    </w:p>
    <w:p>
      <w:pPr>
        <w:pStyle w:val="19"/>
        <w:tabs>
          <w:tab w:val="right" w:leader="dot" w:pos="9070"/>
        </w:tabs>
        <w:ind w:left="840"/>
        <w:rPr>
          <w:color w:val="auto"/>
        </w:rPr>
      </w:pPr>
      <w:r>
        <w:rPr>
          <w:color w:val="auto"/>
        </w:rPr>
        <w:fldChar w:fldCharType="begin"/>
      </w:r>
      <w:r>
        <w:rPr>
          <w:color w:val="auto"/>
        </w:rPr>
        <w:instrText xml:space="preserve"> HYPERLINK \l "_Toc28885" </w:instrText>
      </w:r>
      <w:r>
        <w:rPr>
          <w:color w:val="auto"/>
        </w:rPr>
        <w:fldChar w:fldCharType="separate"/>
      </w:r>
      <w:r>
        <w:rPr>
          <w:rFonts w:hint="eastAsia"/>
          <w:color w:val="auto"/>
        </w:rPr>
        <w:t>（三）投标文件的编制</w:t>
      </w:r>
      <w:r>
        <w:rPr>
          <w:color w:val="auto"/>
        </w:rPr>
        <w:tab/>
      </w:r>
      <w:r>
        <w:rPr>
          <w:color w:val="auto"/>
        </w:rPr>
        <w:fldChar w:fldCharType="begin"/>
      </w:r>
      <w:r>
        <w:rPr>
          <w:color w:val="auto"/>
        </w:rPr>
        <w:instrText xml:space="preserve"> PAGEREF _Toc28885 \h </w:instrText>
      </w:r>
      <w:r>
        <w:rPr>
          <w:color w:val="auto"/>
        </w:rPr>
        <w:fldChar w:fldCharType="separate"/>
      </w:r>
      <w:r>
        <w:rPr>
          <w:color w:val="auto"/>
        </w:rPr>
        <w:t>23</w:t>
      </w:r>
      <w:r>
        <w:rPr>
          <w:color w:val="auto"/>
        </w:rPr>
        <w:fldChar w:fldCharType="end"/>
      </w:r>
      <w:r>
        <w:rPr>
          <w:color w:val="auto"/>
        </w:rPr>
        <w:fldChar w:fldCharType="end"/>
      </w:r>
    </w:p>
    <w:p>
      <w:pPr>
        <w:pStyle w:val="19"/>
        <w:tabs>
          <w:tab w:val="right" w:leader="dot" w:pos="9070"/>
        </w:tabs>
        <w:ind w:left="840"/>
        <w:rPr>
          <w:color w:val="auto"/>
        </w:rPr>
      </w:pPr>
      <w:r>
        <w:rPr>
          <w:color w:val="auto"/>
        </w:rPr>
        <w:fldChar w:fldCharType="begin"/>
      </w:r>
      <w:r>
        <w:rPr>
          <w:color w:val="auto"/>
        </w:rPr>
        <w:instrText xml:space="preserve"> HYPERLINK \l "_Toc12996" </w:instrText>
      </w:r>
      <w:r>
        <w:rPr>
          <w:color w:val="auto"/>
        </w:rPr>
        <w:fldChar w:fldCharType="separate"/>
      </w:r>
      <w:r>
        <w:rPr>
          <w:rFonts w:hint="eastAsia"/>
          <w:color w:val="auto"/>
        </w:rPr>
        <w:t>（四）投标文件的提交</w:t>
      </w:r>
      <w:r>
        <w:rPr>
          <w:color w:val="auto"/>
        </w:rPr>
        <w:tab/>
      </w:r>
      <w:r>
        <w:rPr>
          <w:color w:val="auto"/>
        </w:rPr>
        <w:fldChar w:fldCharType="begin"/>
      </w:r>
      <w:r>
        <w:rPr>
          <w:color w:val="auto"/>
        </w:rPr>
        <w:instrText xml:space="preserve"> PAGEREF _Toc12996 \h </w:instrText>
      </w:r>
      <w:r>
        <w:rPr>
          <w:color w:val="auto"/>
        </w:rPr>
        <w:fldChar w:fldCharType="separate"/>
      </w:r>
      <w:r>
        <w:rPr>
          <w:color w:val="auto"/>
        </w:rPr>
        <w:t>29</w:t>
      </w:r>
      <w:r>
        <w:rPr>
          <w:color w:val="auto"/>
        </w:rPr>
        <w:fldChar w:fldCharType="end"/>
      </w:r>
      <w:r>
        <w:rPr>
          <w:color w:val="auto"/>
        </w:rPr>
        <w:fldChar w:fldCharType="end"/>
      </w:r>
    </w:p>
    <w:p>
      <w:pPr>
        <w:pStyle w:val="19"/>
        <w:tabs>
          <w:tab w:val="right" w:leader="dot" w:pos="9070"/>
        </w:tabs>
        <w:ind w:left="840"/>
        <w:rPr>
          <w:color w:val="auto"/>
        </w:rPr>
      </w:pPr>
      <w:r>
        <w:rPr>
          <w:color w:val="auto"/>
        </w:rPr>
        <w:fldChar w:fldCharType="begin"/>
      </w:r>
      <w:r>
        <w:rPr>
          <w:color w:val="auto"/>
        </w:rPr>
        <w:instrText xml:space="preserve"> HYPERLINK \l "_Toc22387" </w:instrText>
      </w:r>
      <w:r>
        <w:rPr>
          <w:color w:val="auto"/>
        </w:rPr>
        <w:fldChar w:fldCharType="separate"/>
      </w:r>
      <w:r>
        <w:rPr>
          <w:rFonts w:hint="eastAsia"/>
          <w:color w:val="auto"/>
        </w:rPr>
        <w:t>（五）开标、评标、定标及合同签定</w:t>
      </w:r>
      <w:r>
        <w:rPr>
          <w:color w:val="auto"/>
        </w:rPr>
        <w:tab/>
      </w:r>
      <w:r>
        <w:rPr>
          <w:color w:val="auto"/>
        </w:rPr>
        <w:fldChar w:fldCharType="begin"/>
      </w:r>
      <w:r>
        <w:rPr>
          <w:color w:val="auto"/>
        </w:rPr>
        <w:instrText xml:space="preserve"> PAGEREF _Toc22387 \h </w:instrText>
      </w:r>
      <w:r>
        <w:rPr>
          <w:color w:val="auto"/>
        </w:rPr>
        <w:fldChar w:fldCharType="separate"/>
      </w:r>
      <w:r>
        <w:rPr>
          <w:color w:val="auto"/>
        </w:rPr>
        <w:t>30</w:t>
      </w:r>
      <w:r>
        <w:rPr>
          <w:color w:val="auto"/>
        </w:rPr>
        <w:fldChar w:fldCharType="end"/>
      </w:r>
      <w:r>
        <w:rPr>
          <w:color w:val="auto"/>
        </w:rPr>
        <w:fldChar w:fldCharType="end"/>
      </w:r>
    </w:p>
    <w:p>
      <w:pPr>
        <w:pStyle w:val="27"/>
        <w:tabs>
          <w:tab w:val="right" w:leader="dot" w:pos="9070"/>
          <w:tab w:val="clear" w:pos="9060"/>
        </w:tabs>
        <w:rPr>
          <w:color w:val="auto"/>
        </w:rPr>
      </w:pPr>
      <w:r>
        <w:rPr>
          <w:color w:val="auto"/>
        </w:rPr>
        <w:fldChar w:fldCharType="begin"/>
      </w:r>
      <w:r>
        <w:rPr>
          <w:color w:val="auto"/>
        </w:rPr>
        <w:instrText xml:space="preserve"> HYPERLINK \l "_Toc4640" </w:instrText>
      </w:r>
      <w:r>
        <w:rPr>
          <w:color w:val="auto"/>
        </w:rPr>
        <w:fldChar w:fldCharType="separate"/>
      </w:r>
      <w:r>
        <w:rPr>
          <w:rFonts w:hint="eastAsia"/>
          <w:color w:val="auto"/>
        </w:rPr>
        <w:t>第二章</w:t>
      </w:r>
      <w:r>
        <w:rPr>
          <w:color w:val="auto"/>
        </w:rPr>
        <w:t xml:space="preserve">  </w:t>
      </w:r>
      <w:r>
        <w:rPr>
          <w:rFonts w:hint="eastAsia"/>
          <w:color w:val="auto"/>
        </w:rPr>
        <w:t>开标、评标及定标办法</w:t>
      </w:r>
      <w:r>
        <w:rPr>
          <w:color w:val="auto"/>
        </w:rPr>
        <w:tab/>
      </w:r>
      <w:r>
        <w:rPr>
          <w:color w:val="auto"/>
        </w:rPr>
        <w:fldChar w:fldCharType="begin"/>
      </w:r>
      <w:r>
        <w:rPr>
          <w:color w:val="auto"/>
        </w:rPr>
        <w:instrText xml:space="preserve"> PAGEREF _Toc4640 \h </w:instrText>
      </w:r>
      <w:r>
        <w:rPr>
          <w:color w:val="auto"/>
        </w:rPr>
        <w:fldChar w:fldCharType="separate"/>
      </w:r>
      <w:r>
        <w:rPr>
          <w:color w:val="auto"/>
        </w:rPr>
        <w:t>33</w:t>
      </w:r>
      <w:r>
        <w:rPr>
          <w:color w:val="auto"/>
        </w:rPr>
        <w:fldChar w:fldCharType="end"/>
      </w:r>
      <w:r>
        <w:rPr>
          <w:color w:val="auto"/>
        </w:rPr>
        <w:fldChar w:fldCharType="end"/>
      </w:r>
    </w:p>
    <w:p>
      <w:pPr>
        <w:pStyle w:val="30"/>
        <w:tabs>
          <w:tab w:val="right" w:leader="dot" w:pos="9070"/>
          <w:tab w:val="clear" w:pos="9060"/>
        </w:tabs>
        <w:rPr>
          <w:color w:val="auto"/>
        </w:rPr>
      </w:pPr>
      <w:r>
        <w:rPr>
          <w:color w:val="auto"/>
        </w:rPr>
        <w:fldChar w:fldCharType="begin"/>
      </w:r>
      <w:r>
        <w:rPr>
          <w:color w:val="auto"/>
        </w:rPr>
        <w:instrText xml:space="preserve"> HYPERLINK \l "_Toc28504" </w:instrText>
      </w:r>
      <w:r>
        <w:rPr>
          <w:color w:val="auto"/>
        </w:rPr>
        <w:fldChar w:fldCharType="separate"/>
      </w:r>
      <w:r>
        <w:rPr>
          <w:rFonts w:hint="eastAsia"/>
          <w:color w:val="auto"/>
          <w:szCs w:val="28"/>
        </w:rPr>
        <w:t>一、</w:t>
      </w:r>
      <w:r>
        <w:rPr>
          <w:rFonts w:hint="eastAsia"/>
          <w:color w:val="auto"/>
        </w:rPr>
        <w:t>开标、评标及定标办法修改表</w:t>
      </w:r>
      <w:r>
        <w:rPr>
          <w:color w:val="auto"/>
        </w:rPr>
        <w:tab/>
      </w:r>
      <w:r>
        <w:rPr>
          <w:color w:val="auto"/>
        </w:rPr>
        <w:fldChar w:fldCharType="begin"/>
      </w:r>
      <w:r>
        <w:rPr>
          <w:color w:val="auto"/>
        </w:rPr>
        <w:instrText xml:space="preserve"> PAGEREF _Toc28504 \h </w:instrText>
      </w:r>
      <w:r>
        <w:rPr>
          <w:color w:val="auto"/>
        </w:rPr>
        <w:fldChar w:fldCharType="separate"/>
      </w:r>
      <w:r>
        <w:rPr>
          <w:color w:val="auto"/>
        </w:rPr>
        <w:t>33</w:t>
      </w:r>
      <w:r>
        <w:rPr>
          <w:color w:val="auto"/>
        </w:rPr>
        <w:fldChar w:fldCharType="end"/>
      </w:r>
      <w:r>
        <w:rPr>
          <w:color w:val="auto"/>
        </w:rPr>
        <w:fldChar w:fldCharType="end"/>
      </w:r>
    </w:p>
    <w:p>
      <w:pPr>
        <w:pStyle w:val="30"/>
        <w:tabs>
          <w:tab w:val="right" w:leader="dot" w:pos="9070"/>
          <w:tab w:val="clear" w:pos="9060"/>
        </w:tabs>
        <w:rPr>
          <w:color w:val="auto"/>
        </w:rPr>
      </w:pPr>
      <w:r>
        <w:rPr>
          <w:color w:val="auto"/>
        </w:rPr>
        <w:fldChar w:fldCharType="begin"/>
      </w:r>
      <w:r>
        <w:rPr>
          <w:color w:val="auto"/>
        </w:rPr>
        <w:instrText xml:space="preserve"> HYPERLINK \l "_Toc22949" </w:instrText>
      </w:r>
      <w:r>
        <w:rPr>
          <w:color w:val="auto"/>
        </w:rPr>
        <w:fldChar w:fldCharType="separate"/>
      </w:r>
      <w:r>
        <w:rPr>
          <w:rFonts w:hint="eastAsia"/>
          <w:color w:val="auto"/>
        </w:rPr>
        <w:t>二、开标、评标及定标办法</w:t>
      </w:r>
      <w:r>
        <w:rPr>
          <w:rFonts w:hint="eastAsia"/>
          <w:color w:val="auto"/>
          <w:szCs w:val="30"/>
        </w:rPr>
        <w:t>通用条款</w:t>
      </w:r>
      <w:r>
        <w:rPr>
          <w:color w:val="auto"/>
        </w:rPr>
        <w:tab/>
      </w:r>
      <w:r>
        <w:rPr>
          <w:color w:val="auto"/>
        </w:rPr>
        <w:fldChar w:fldCharType="begin"/>
      </w:r>
      <w:r>
        <w:rPr>
          <w:color w:val="auto"/>
        </w:rPr>
        <w:instrText xml:space="preserve"> PAGEREF _Toc22949 \h </w:instrText>
      </w:r>
      <w:r>
        <w:rPr>
          <w:color w:val="auto"/>
        </w:rPr>
        <w:fldChar w:fldCharType="separate"/>
      </w:r>
      <w:r>
        <w:rPr>
          <w:color w:val="auto"/>
        </w:rPr>
        <w:t>41</w:t>
      </w:r>
      <w:r>
        <w:rPr>
          <w:color w:val="auto"/>
        </w:rPr>
        <w:fldChar w:fldCharType="end"/>
      </w:r>
      <w:r>
        <w:rPr>
          <w:color w:val="auto"/>
        </w:rPr>
        <w:fldChar w:fldCharType="end"/>
      </w:r>
    </w:p>
    <w:p>
      <w:pPr>
        <w:pStyle w:val="19"/>
        <w:tabs>
          <w:tab w:val="right" w:leader="dot" w:pos="9070"/>
        </w:tabs>
        <w:ind w:left="840"/>
        <w:rPr>
          <w:color w:val="auto"/>
        </w:rPr>
      </w:pPr>
      <w:r>
        <w:rPr>
          <w:color w:val="auto"/>
        </w:rPr>
        <w:fldChar w:fldCharType="begin"/>
      </w:r>
      <w:r>
        <w:rPr>
          <w:color w:val="auto"/>
        </w:rPr>
        <w:instrText xml:space="preserve"> HYPERLINK \l "_Toc22481" </w:instrText>
      </w:r>
      <w:r>
        <w:rPr>
          <w:color w:val="auto"/>
        </w:rPr>
        <w:fldChar w:fldCharType="separate"/>
      </w:r>
      <w:r>
        <w:rPr>
          <w:rFonts w:hint="eastAsia"/>
          <w:color w:val="auto"/>
        </w:rPr>
        <w:t>（一）总则</w:t>
      </w:r>
      <w:r>
        <w:rPr>
          <w:color w:val="auto"/>
        </w:rPr>
        <w:tab/>
      </w:r>
      <w:r>
        <w:rPr>
          <w:color w:val="auto"/>
        </w:rPr>
        <w:fldChar w:fldCharType="begin"/>
      </w:r>
      <w:r>
        <w:rPr>
          <w:color w:val="auto"/>
        </w:rPr>
        <w:instrText xml:space="preserve"> PAGEREF _Toc22481 \h </w:instrText>
      </w:r>
      <w:r>
        <w:rPr>
          <w:color w:val="auto"/>
        </w:rPr>
        <w:fldChar w:fldCharType="separate"/>
      </w:r>
      <w:r>
        <w:rPr>
          <w:color w:val="auto"/>
        </w:rPr>
        <w:t>41</w:t>
      </w:r>
      <w:r>
        <w:rPr>
          <w:color w:val="auto"/>
        </w:rPr>
        <w:fldChar w:fldCharType="end"/>
      </w:r>
      <w:r>
        <w:rPr>
          <w:color w:val="auto"/>
        </w:rPr>
        <w:fldChar w:fldCharType="end"/>
      </w:r>
    </w:p>
    <w:p>
      <w:pPr>
        <w:pStyle w:val="19"/>
        <w:tabs>
          <w:tab w:val="right" w:leader="dot" w:pos="9070"/>
        </w:tabs>
        <w:ind w:left="840"/>
        <w:rPr>
          <w:color w:val="auto"/>
        </w:rPr>
      </w:pPr>
      <w:r>
        <w:rPr>
          <w:color w:val="auto"/>
        </w:rPr>
        <w:fldChar w:fldCharType="begin"/>
      </w:r>
      <w:r>
        <w:rPr>
          <w:color w:val="auto"/>
        </w:rPr>
        <w:instrText xml:space="preserve"> HYPERLINK \l "_Toc7488" </w:instrText>
      </w:r>
      <w:r>
        <w:rPr>
          <w:color w:val="auto"/>
        </w:rPr>
        <w:fldChar w:fldCharType="separate"/>
      </w:r>
      <w:r>
        <w:rPr>
          <w:rFonts w:hint="eastAsia"/>
          <w:color w:val="auto"/>
        </w:rPr>
        <w:t>（二）开标评标办法程序和细则</w:t>
      </w:r>
      <w:r>
        <w:rPr>
          <w:color w:val="auto"/>
        </w:rPr>
        <w:tab/>
      </w:r>
      <w:r>
        <w:rPr>
          <w:color w:val="auto"/>
        </w:rPr>
        <w:fldChar w:fldCharType="begin"/>
      </w:r>
      <w:r>
        <w:rPr>
          <w:color w:val="auto"/>
        </w:rPr>
        <w:instrText xml:space="preserve"> PAGEREF _Toc7488 \h </w:instrText>
      </w:r>
      <w:r>
        <w:rPr>
          <w:color w:val="auto"/>
        </w:rPr>
        <w:fldChar w:fldCharType="separate"/>
      </w:r>
      <w:r>
        <w:rPr>
          <w:color w:val="auto"/>
        </w:rPr>
        <w:t>43</w:t>
      </w:r>
      <w:r>
        <w:rPr>
          <w:color w:val="auto"/>
        </w:rPr>
        <w:fldChar w:fldCharType="end"/>
      </w:r>
      <w:r>
        <w:rPr>
          <w:color w:val="auto"/>
        </w:rPr>
        <w:fldChar w:fldCharType="end"/>
      </w:r>
    </w:p>
    <w:p>
      <w:pPr>
        <w:pStyle w:val="19"/>
        <w:tabs>
          <w:tab w:val="right" w:leader="dot" w:pos="9070"/>
        </w:tabs>
        <w:ind w:left="840"/>
        <w:rPr>
          <w:color w:val="auto"/>
        </w:rPr>
      </w:pPr>
      <w:r>
        <w:rPr>
          <w:color w:val="auto"/>
        </w:rPr>
        <w:fldChar w:fldCharType="begin"/>
      </w:r>
      <w:r>
        <w:rPr>
          <w:color w:val="auto"/>
        </w:rPr>
        <w:instrText xml:space="preserve"> HYPERLINK \l "_Toc26504" </w:instrText>
      </w:r>
      <w:r>
        <w:rPr>
          <w:color w:val="auto"/>
        </w:rPr>
        <w:fldChar w:fldCharType="separate"/>
      </w:r>
      <w:r>
        <w:rPr>
          <w:rFonts w:hint="eastAsia"/>
          <w:color w:val="auto"/>
        </w:rPr>
        <w:t>可选办法七（适合综合评分法四，技术标与经济标同时开启）</w:t>
      </w:r>
      <w:r>
        <w:rPr>
          <w:color w:val="auto"/>
        </w:rPr>
        <w:tab/>
      </w:r>
      <w:r>
        <w:rPr>
          <w:color w:val="auto"/>
        </w:rPr>
        <w:fldChar w:fldCharType="begin"/>
      </w:r>
      <w:r>
        <w:rPr>
          <w:color w:val="auto"/>
        </w:rPr>
        <w:instrText xml:space="preserve"> PAGEREF _Toc26504 \h </w:instrText>
      </w:r>
      <w:r>
        <w:rPr>
          <w:color w:val="auto"/>
        </w:rPr>
        <w:fldChar w:fldCharType="separate"/>
      </w:r>
      <w:r>
        <w:rPr>
          <w:color w:val="auto"/>
        </w:rPr>
        <w:t>44</w:t>
      </w:r>
      <w:r>
        <w:rPr>
          <w:color w:val="auto"/>
        </w:rPr>
        <w:fldChar w:fldCharType="end"/>
      </w:r>
      <w:r>
        <w:rPr>
          <w:color w:val="auto"/>
        </w:rPr>
        <w:fldChar w:fldCharType="end"/>
      </w:r>
    </w:p>
    <w:p>
      <w:pPr>
        <w:pStyle w:val="27"/>
        <w:tabs>
          <w:tab w:val="right" w:leader="dot" w:pos="9070"/>
          <w:tab w:val="clear" w:pos="9060"/>
        </w:tabs>
        <w:rPr>
          <w:color w:val="auto"/>
        </w:rPr>
      </w:pPr>
      <w:r>
        <w:rPr>
          <w:color w:val="auto"/>
        </w:rPr>
        <w:fldChar w:fldCharType="begin"/>
      </w:r>
      <w:r>
        <w:rPr>
          <w:color w:val="auto"/>
        </w:rPr>
        <w:instrText xml:space="preserve"> HYPERLINK \l "_Toc27044" </w:instrText>
      </w:r>
      <w:r>
        <w:rPr>
          <w:color w:val="auto"/>
        </w:rPr>
        <w:fldChar w:fldCharType="separate"/>
      </w:r>
      <w:r>
        <w:rPr>
          <w:rFonts w:hint="eastAsia"/>
          <w:color w:val="auto"/>
        </w:rPr>
        <w:t>第三章</w:t>
      </w:r>
      <w:r>
        <w:rPr>
          <w:color w:val="auto"/>
        </w:rPr>
        <w:t xml:space="preserve">  </w:t>
      </w:r>
      <w:r>
        <w:rPr>
          <w:rFonts w:hint="eastAsia"/>
          <w:color w:val="auto"/>
        </w:rPr>
        <w:t>合同条款</w:t>
      </w:r>
      <w:r>
        <w:rPr>
          <w:color w:val="auto"/>
        </w:rPr>
        <w:tab/>
      </w:r>
      <w:r>
        <w:rPr>
          <w:color w:val="auto"/>
        </w:rPr>
        <w:fldChar w:fldCharType="begin"/>
      </w:r>
      <w:r>
        <w:rPr>
          <w:color w:val="auto"/>
        </w:rPr>
        <w:instrText xml:space="preserve"> PAGEREF _Toc27044 \h </w:instrText>
      </w:r>
      <w:r>
        <w:rPr>
          <w:color w:val="auto"/>
        </w:rPr>
        <w:fldChar w:fldCharType="separate"/>
      </w:r>
      <w:r>
        <w:rPr>
          <w:color w:val="auto"/>
        </w:rPr>
        <w:t>59</w:t>
      </w:r>
      <w:r>
        <w:rPr>
          <w:color w:val="auto"/>
        </w:rPr>
        <w:fldChar w:fldCharType="end"/>
      </w:r>
      <w:r>
        <w:rPr>
          <w:color w:val="auto"/>
        </w:rPr>
        <w:fldChar w:fldCharType="end"/>
      </w:r>
    </w:p>
    <w:p>
      <w:pPr>
        <w:pStyle w:val="27"/>
        <w:tabs>
          <w:tab w:val="right" w:leader="dot" w:pos="9070"/>
          <w:tab w:val="clear" w:pos="9060"/>
        </w:tabs>
        <w:rPr>
          <w:color w:val="auto"/>
        </w:rPr>
      </w:pPr>
      <w:r>
        <w:rPr>
          <w:color w:val="auto"/>
        </w:rPr>
        <w:fldChar w:fldCharType="begin"/>
      </w:r>
      <w:r>
        <w:rPr>
          <w:color w:val="auto"/>
        </w:rPr>
        <w:instrText xml:space="preserve"> HYPERLINK \l "_Toc28265" </w:instrText>
      </w:r>
      <w:r>
        <w:rPr>
          <w:color w:val="auto"/>
        </w:rPr>
        <w:fldChar w:fldCharType="separate"/>
      </w:r>
      <w:r>
        <w:rPr>
          <w:rFonts w:hint="eastAsia"/>
          <w:color w:val="auto"/>
        </w:rPr>
        <w:t>第四章</w:t>
      </w:r>
      <w:r>
        <w:rPr>
          <w:color w:val="auto"/>
        </w:rPr>
        <w:t xml:space="preserve">  </w:t>
      </w:r>
      <w:r>
        <w:rPr>
          <w:rFonts w:hint="eastAsia"/>
          <w:color w:val="auto"/>
        </w:rPr>
        <w:t>投标文件格式</w:t>
      </w:r>
      <w:r>
        <w:rPr>
          <w:color w:val="auto"/>
        </w:rPr>
        <w:tab/>
      </w:r>
      <w:r>
        <w:rPr>
          <w:color w:val="auto"/>
        </w:rPr>
        <w:fldChar w:fldCharType="begin"/>
      </w:r>
      <w:r>
        <w:rPr>
          <w:color w:val="auto"/>
        </w:rPr>
        <w:instrText xml:space="preserve"> PAGEREF _Toc28265 \h </w:instrText>
      </w:r>
      <w:r>
        <w:rPr>
          <w:color w:val="auto"/>
        </w:rPr>
        <w:fldChar w:fldCharType="separate"/>
      </w:r>
      <w:r>
        <w:rPr>
          <w:color w:val="auto"/>
        </w:rPr>
        <w:t>60</w:t>
      </w:r>
      <w:r>
        <w:rPr>
          <w:color w:val="auto"/>
        </w:rPr>
        <w:fldChar w:fldCharType="end"/>
      </w:r>
      <w:r>
        <w:rPr>
          <w:color w:val="auto"/>
        </w:rPr>
        <w:fldChar w:fldCharType="end"/>
      </w:r>
    </w:p>
    <w:p>
      <w:pPr>
        <w:pStyle w:val="27"/>
        <w:tabs>
          <w:tab w:val="right" w:leader="dot" w:pos="9070"/>
          <w:tab w:val="clear" w:pos="9060"/>
        </w:tabs>
        <w:rPr>
          <w:color w:val="auto"/>
        </w:rPr>
      </w:pPr>
      <w:r>
        <w:rPr>
          <w:color w:val="auto"/>
        </w:rPr>
        <w:fldChar w:fldCharType="begin"/>
      </w:r>
      <w:r>
        <w:rPr>
          <w:color w:val="auto"/>
        </w:rPr>
        <w:instrText xml:space="preserve"> HYPERLINK \l "_Toc4366" </w:instrText>
      </w:r>
      <w:r>
        <w:rPr>
          <w:color w:val="auto"/>
        </w:rPr>
        <w:fldChar w:fldCharType="separate"/>
      </w:r>
      <w:r>
        <w:rPr>
          <w:rFonts w:hint="eastAsia"/>
          <w:color w:val="auto"/>
        </w:rPr>
        <w:t>第五章</w:t>
      </w:r>
      <w:r>
        <w:rPr>
          <w:color w:val="auto"/>
        </w:rPr>
        <w:t xml:space="preserve">  </w:t>
      </w:r>
      <w:r>
        <w:rPr>
          <w:rFonts w:hint="eastAsia"/>
          <w:color w:val="auto"/>
        </w:rPr>
        <w:t>技术条件（工程建设标准）</w:t>
      </w:r>
      <w:r>
        <w:rPr>
          <w:color w:val="auto"/>
        </w:rPr>
        <w:tab/>
      </w:r>
      <w:r>
        <w:rPr>
          <w:color w:val="auto"/>
        </w:rPr>
        <w:fldChar w:fldCharType="begin"/>
      </w:r>
      <w:r>
        <w:rPr>
          <w:color w:val="auto"/>
        </w:rPr>
        <w:instrText xml:space="preserve"> PAGEREF _Toc4366 \h </w:instrText>
      </w:r>
      <w:r>
        <w:rPr>
          <w:color w:val="auto"/>
        </w:rPr>
        <w:fldChar w:fldCharType="separate"/>
      </w:r>
      <w:r>
        <w:rPr>
          <w:color w:val="auto"/>
        </w:rPr>
        <w:t>70</w:t>
      </w:r>
      <w:r>
        <w:rPr>
          <w:color w:val="auto"/>
        </w:rPr>
        <w:fldChar w:fldCharType="end"/>
      </w:r>
      <w:r>
        <w:rPr>
          <w:color w:val="auto"/>
        </w:rPr>
        <w:fldChar w:fldCharType="end"/>
      </w:r>
    </w:p>
    <w:p>
      <w:pPr>
        <w:pStyle w:val="27"/>
        <w:tabs>
          <w:tab w:val="right" w:leader="dot" w:pos="9070"/>
          <w:tab w:val="clear" w:pos="9060"/>
        </w:tabs>
        <w:rPr>
          <w:color w:val="auto"/>
        </w:rPr>
      </w:pPr>
      <w:r>
        <w:rPr>
          <w:color w:val="auto"/>
        </w:rPr>
        <w:fldChar w:fldCharType="begin"/>
      </w:r>
      <w:r>
        <w:rPr>
          <w:color w:val="auto"/>
        </w:rPr>
        <w:instrText xml:space="preserve"> HYPERLINK \l "_Toc18778" </w:instrText>
      </w:r>
      <w:r>
        <w:rPr>
          <w:color w:val="auto"/>
        </w:rPr>
        <w:fldChar w:fldCharType="separate"/>
      </w:r>
      <w:r>
        <w:rPr>
          <w:rFonts w:hint="eastAsia"/>
          <w:color w:val="auto"/>
        </w:rPr>
        <w:t>第六章</w:t>
      </w:r>
      <w:r>
        <w:rPr>
          <w:color w:val="auto"/>
        </w:rPr>
        <w:t xml:space="preserve">  </w:t>
      </w:r>
      <w:r>
        <w:rPr>
          <w:rFonts w:hint="eastAsia"/>
          <w:color w:val="auto"/>
        </w:rPr>
        <w:t>图纸及勘察资料</w:t>
      </w:r>
      <w:r>
        <w:rPr>
          <w:color w:val="auto"/>
        </w:rPr>
        <w:tab/>
      </w:r>
      <w:r>
        <w:rPr>
          <w:color w:val="auto"/>
        </w:rPr>
        <w:fldChar w:fldCharType="begin"/>
      </w:r>
      <w:r>
        <w:rPr>
          <w:color w:val="auto"/>
        </w:rPr>
        <w:instrText xml:space="preserve"> PAGEREF _Toc18778 \h </w:instrText>
      </w:r>
      <w:r>
        <w:rPr>
          <w:color w:val="auto"/>
        </w:rPr>
        <w:fldChar w:fldCharType="separate"/>
      </w:r>
      <w:r>
        <w:rPr>
          <w:color w:val="auto"/>
        </w:rPr>
        <w:t>72</w:t>
      </w:r>
      <w:r>
        <w:rPr>
          <w:color w:val="auto"/>
        </w:rPr>
        <w:fldChar w:fldCharType="end"/>
      </w:r>
      <w:r>
        <w:rPr>
          <w:color w:val="auto"/>
        </w:rPr>
        <w:fldChar w:fldCharType="end"/>
      </w:r>
    </w:p>
    <w:p>
      <w:pPr>
        <w:pStyle w:val="27"/>
        <w:tabs>
          <w:tab w:val="right" w:leader="dot" w:pos="9070"/>
          <w:tab w:val="clear" w:pos="9060"/>
        </w:tabs>
        <w:rPr>
          <w:color w:val="auto"/>
        </w:rPr>
      </w:pPr>
      <w:r>
        <w:rPr>
          <w:color w:val="auto"/>
        </w:rPr>
        <w:fldChar w:fldCharType="begin"/>
      </w:r>
      <w:r>
        <w:rPr>
          <w:color w:val="auto"/>
        </w:rPr>
        <w:instrText xml:space="preserve"> HYPERLINK \l "_Toc17146" </w:instrText>
      </w:r>
      <w:r>
        <w:rPr>
          <w:color w:val="auto"/>
        </w:rPr>
        <w:fldChar w:fldCharType="separate"/>
      </w:r>
      <w:r>
        <w:rPr>
          <w:rFonts w:hint="eastAsia"/>
          <w:color w:val="auto"/>
        </w:rPr>
        <w:t>第七章</w:t>
      </w:r>
      <w:r>
        <w:rPr>
          <w:color w:val="auto"/>
        </w:rPr>
        <w:t xml:space="preserve">  </w:t>
      </w:r>
      <w:r>
        <w:rPr>
          <w:rFonts w:hint="eastAsia"/>
          <w:color w:val="auto"/>
        </w:rPr>
        <w:t>工程量清单</w:t>
      </w:r>
      <w:r>
        <w:rPr>
          <w:color w:val="auto"/>
        </w:rPr>
        <w:tab/>
      </w:r>
      <w:r>
        <w:rPr>
          <w:color w:val="auto"/>
        </w:rPr>
        <w:fldChar w:fldCharType="begin"/>
      </w:r>
      <w:r>
        <w:rPr>
          <w:color w:val="auto"/>
        </w:rPr>
        <w:instrText xml:space="preserve"> PAGEREF _Toc17146 \h </w:instrText>
      </w:r>
      <w:r>
        <w:rPr>
          <w:color w:val="auto"/>
        </w:rPr>
        <w:fldChar w:fldCharType="separate"/>
      </w:r>
      <w:r>
        <w:rPr>
          <w:color w:val="auto"/>
        </w:rPr>
        <w:t>73</w:t>
      </w:r>
      <w:r>
        <w:rPr>
          <w:color w:val="auto"/>
        </w:rPr>
        <w:fldChar w:fldCharType="end"/>
      </w:r>
      <w:r>
        <w:rPr>
          <w:color w:val="auto"/>
        </w:rPr>
        <w:fldChar w:fldCharType="end"/>
      </w:r>
    </w:p>
    <w:p>
      <w:pPr>
        <w:pStyle w:val="27"/>
        <w:tabs>
          <w:tab w:val="right" w:leader="dot" w:pos="9070"/>
          <w:tab w:val="clear" w:pos="9060"/>
        </w:tabs>
        <w:rPr>
          <w:color w:val="auto"/>
        </w:rPr>
      </w:pPr>
      <w:r>
        <w:rPr>
          <w:color w:val="auto"/>
        </w:rPr>
        <w:fldChar w:fldCharType="begin"/>
      </w:r>
      <w:r>
        <w:rPr>
          <w:color w:val="auto"/>
        </w:rPr>
        <w:instrText xml:space="preserve"> HYPERLINK \l "_Toc17021" </w:instrText>
      </w:r>
      <w:r>
        <w:rPr>
          <w:color w:val="auto"/>
        </w:rPr>
        <w:fldChar w:fldCharType="separate"/>
      </w:r>
      <w:r>
        <w:rPr>
          <w:rFonts w:hint="eastAsia"/>
          <w:color w:val="auto"/>
        </w:rPr>
        <w:t>第八章</w:t>
      </w:r>
      <w:r>
        <w:rPr>
          <w:color w:val="auto"/>
        </w:rPr>
        <w:t xml:space="preserve">  </w:t>
      </w:r>
      <w:r>
        <w:rPr>
          <w:rFonts w:hint="eastAsia"/>
          <w:color w:val="auto"/>
        </w:rPr>
        <w:t>最高投标限价</w:t>
      </w:r>
      <w:r>
        <w:rPr>
          <w:color w:val="auto"/>
        </w:rPr>
        <w:tab/>
      </w:r>
      <w:r>
        <w:rPr>
          <w:color w:val="auto"/>
        </w:rPr>
        <w:fldChar w:fldCharType="begin"/>
      </w:r>
      <w:r>
        <w:rPr>
          <w:color w:val="auto"/>
        </w:rPr>
        <w:instrText xml:space="preserve"> PAGEREF _Toc17021 \h </w:instrText>
      </w:r>
      <w:r>
        <w:rPr>
          <w:color w:val="auto"/>
        </w:rPr>
        <w:fldChar w:fldCharType="separate"/>
      </w:r>
      <w:r>
        <w:rPr>
          <w:color w:val="auto"/>
        </w:rPr>
        <w:t>74</w:t>
      </w:r>
      <w:r>
        <w:rPr>
          <w:color w:val="auto"/>
        </w:rPr>
        <w:fldChar w:fldCharType="end"/>
      </w:r>
      <w:r>
        <w:rPr>
          <w:color w:val="auto"/>
        </w:rPr>
        <w:fldChar w:fldCharType="end"/>
      </w:r>
    </w:p>
    <w:p>
      <w:pPr>
        <w:pStyle w:val="3"/>
        <w:rPr>
          <w:color w:val="auto"/>
        </w:rPr>
      </w:pPr>
      <w:r>
        <w:rPr>
          <w:color w:val="auto"/>
        </w:rPr>
        <w:fldChar w:fldCharType="end"/>
      </w:r>
      <w:bookmarkStart w:id="0" w:name="_Toc2272545"/>
    </w:p>
    <w:p>
      <w:pPr>
        <w:pStyle w:val="5"/>
        <w:rPr>
          <w:color w:val="auto"/>
        </w:rPr>
      </w:pPr>
    </w:p>
    <w:p>
      <w:pPr>
        <w:pStyle w:val="5"/>
        <w:rPr>
          <w:color w:val="auto"/>
        </w:rPr>
      </w:pPr>
    </w:p>
    <w:p>
      <w:pPr>
        <w:rPr>
          <w:color w:val="auto"/>
        </w:rPr>
      </w:pPr>
      <w:r>
        <w:rPr>
          <w:rFonts w:hint="eastAsia"/>
          <w:color w:val="auto"/>
        </w:rPr>
        <w:br w:type="page"/>
      </w:r>
    </w:p>
    <w:p>
      <w:pPr>
        <w:pStyle w:val="3"/>
        <w:rPr>
          <w:color w:val="auto"/>
        </w:rPr>
      </w:pPr>
      <w:bookmarkStart w:id="1" w:name="_Toc9026"/>
      <w:r>
        <w:rPr>
          <w:rFonts w:hint="eastAsia"/>
          <w:color w:val="auto"/>
        </w:rPr>
        <w:t>第一章</w:t>
      </w:r>
      <w:r>
        <w:rPr>
          <w:color w:val="auto"/>
        </w:rPr>
        <w:t xml:space="preserve">  </w:t>
      </w:r>
      <w:r>
        <w:rPr>
          <w:rFonts w:hint="eastAsia"/>
          <w:color w:val="auto"/>
        </w:rPr>
        <w:t>投标须知</w:t>
      </w:r>
      <w:bookmarkEnd w:id="0"/>
      <w:bookmarkEnd w:id="1"/>
    </w:p>
    <w:p>
      <w:pPr>
        <w:pStyle w:val="7"/>
        <w:rPr>
          <w:color w:val="auto"/>
        </w:rPr>
      </w:pPr>
      <w:bookmarkStart w:id="2" w:name="_Toc7397"/>
      <w:bookmarkStart w:id="3" w:name="_Toc2272546"/>
      <w:r>
        <w:rPr>
          <w:rFonts w:hint="eastAsia"/>
          <w:color w:val="auto"/>
        </w:rPr>
        <w:t>一、投标须知前附表</w:t>
      </w:r>
      <w:bookmarkEnd w:id="2"/>
      <w:bookmarkEnd w:id="3"/>
    </w:p>
    <w:p>
      <w:pPr>
        <w:pStyle w:val="2"/>
        <w:spacing w:line="360" w:lineRule="auto"/>
        <w:ind w:firstLine="0"/>
        <w:rPr>
          <w:rFonts w:ascii="宋体" w:hAnsi="宋体"/>
          <w:b/>
          <w:color w:val="auto"/>
          <w:sz w:val="24"/>
          <w:szCs w:val="24"/>
        </w:rPr>
      </w:pPr>
      <w:r>
        <w:rPr>
          <w:rFonts w:hint="eastAsia" w:ascii="宋体" w:hAnsi="宋体"/>
          <w:b/>
          <w:color w:val="auto"/>
          <w:sz w:val="24"/>
          <w:szCs w:val="24"/>
        </w:rPr>
        <w:t>声明：本投标须知前附表使用GZZB2018-3招标文件范本，与范本不同之处均以下划线标明，所有标明下划线部分属于本表的组成部分，同其他部分具有同样的效力。对范本《投标须知通用条款》和《开标、评标和定标办法通用条款》可选择部分的选择使用，均已在本表中注明，通用条款可选择部分中未被本投标须知前附表选择的部分无效。</w:t>
      </w:r>
    </w:p>
    <w:tbl>
      <w:tblPr>
        <w:tblStyle w:val="36"/>
        <w:tblW w:w="9502"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981"/>
        <w:gridCol w:w="1810"/>
        <w:gridCol w:w="60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atLeast"/>
          <w:tblHeader/>
        </w:trPr>
        <w:tc>
          <w:tcPr>
            <w:tcW w:w="702" w:type="dxa"/>
            <w:tcBorders>
              <w:top w:val="doub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项目</w:t>
            </w:r>
          </w:p>
        </w:tc>
        <w:tc>
          <w:tcPr>
            <w:tcW w:w="981" w:type="dxa"/>
            <w:tcBorders>
              <w:top w:val="doub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条款号</w:t>
            </w:r>
          </w:p>
        </w:tc>
        <w:tc>
          <w:tcPr>
            <w:tcW w:w="1810" w:type="dxa"/>
            <w:tcBorders>
              <w:top w:val="double" w:color="auto" w:sz="4" w:space="0"/>
              <w:left w:val="single" w:color="auto" w:sz="4" w:space="0"/>
              <w:bottom w:val="single" w:color="auto" w:sz="4" w:space="0"/>
              <w:right w:val="single" w:color="auto" w:sz="4" w:space="0"/>
            </w:tcBorders>
            <w:vAlign w:val="center"/>
          </w:tcPr>
          <w:p>
            <w:pPr>
              <w:ind w:firstLine="458"/>
              <w:rPr>
                <w:rFonts w:ascii="宋体" w:hAnsi="宋体"/>
                <w:color w:val="auto"/>
                <w:szCs w:val="21"/>
              </w:rPr>
            </w:pPr>
            <w:r>
              <w:rPr>
                <w:rFonts w:hint="eastAsia" w:ascii="宋体" w:hAnsi="宋体"/>
                <w:color w:val="auto"/>
                <w:szCs w:val="21"/>
              </w:rPr>
              <w:t>内容</w:t>
            </w:r>
          </w:p>
        </w:tc>
        <w:tc>
          <w:tcPr>
            <w:tcW w:w="6009" w:type="dxa"/>
            <w:tcBorders>
              <w:top w:val="double" w:color="auto" w:sz="4" w:space="0"/>
              <w:left w:val="single" w:color="auto" w:sz="4" w:space="0"/>
              <w:bottom w:val="single" w:color="auto" w:sz="4" w:space="0"/>
              <w:right w:val="double" w:color="auto" w:sz="4" w:space="0"/>
            </w:tcBorders>
            <w:vAlign w:val="center"/>
          </w:tcPr>
          <w:p>
            <w:pPr>
              <w:pStyle w:val="21"/>
              <w:ind w:firstLine="458"/>
              <w:jc w:val="center"/>
              <w:rPr>
                <w:rFonts w:ascii="宋体" w:hAnsi="宋体"/>
                <w:color w:val="auto"/>
                <w:szCs w:val="21"/>
              </w:rPr>
            </w:pPr>
            <w:r>
              <w:rPr>
                <w:rFonts w:hint="eastAsia" w:ascii="宋体" w:hAnsi="宋体"/>
                <w:color w:val="auto"/>
                <w:szCs w:val="21"/>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30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1</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定义</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u w:val="single"/>
              </w:rPr>
            </w:pPr>
            <w:r>
              <w:rPr>
                <w:rFonts w:hint="eastAsia" w:ascii="宋体" w:hAnsi="宋体"/>
                <w:color w:val="auto"/>
                <w:szCs w:val="21"/>
                <w:u w:val="single"/>
              </w:rPr>
              <w:t>招标人（即发包人）：广州市增城区人民政府增江街道办事处</w:t>
            </w:r>
          </w:p>
          <w:p>
            <w:pPr>
              <w:rPr>
                <w:rFonts w:ascii="宋体" w:hAnsi="宋体"/>
                <w:color w:val="auto"/>
                <w:szCs w:val="21"/>
                <w:u w:val="single"/>
              </w:rPr>
            </w:pPr>
            <w:r>
              <w:rPr>
                <w:rFonts w:hint="eastAsia" w:ascii="宋体" w:hAnsi="宋体"/>
                <w:color w:val="auto"/>
                <w:szCs w:val="21"/>
                <w:u w:val="single"/>
              </w:rPr>
              <w:t>招标代理：广州佳皓咨询服务有限公司</w:t>
            </w:r>
          </w:p>
          <w:p>
            <w:pPr>
              <w:rPr>
                <w:rFonts w:ascii="宋体" w:hAnsi="宋体"/>
                <w:color w:val="auto"/>
                <w:szCs w:val="21"/>
                <w:u w:val="single"/>
              </w:rPr>
            </w:pPr>
            <w:r>
              <w:rPr>
                <w:rFonts w:hint="eastAsia" w:ascii="宋体" w:hAnsi="宋体"/>
                <w:color w:val="auto"/>
                <w:szCs w:val="21"/>
                <w:u w:val="single"/>
              </w:rPr>
              <w:t xml:space="preserve">设计单位： 中天设计咨询有限公司 </w:t>
            </w:r>
          </w:p>
          <w:p>
            <w:pPr>
              <w:rPr>
                <w:rFonts w:ascii="宋体" w:hAnsi="宋体"/>
                <w:color w:val="auto"/>
                <w:szCs w:val="21"/>
                <w:u w:val="single"/>
              </w:rPr>
            </w:pPr>
            <w:r>
              <w:rPr>
                <w:rFonts w:hint="eastAsia" w:ascii="宋体" w:hAnsi="宋体"/>
                <w:color w:val="auto"/>
                <w:szCs w:val="21"/>
              </w:rPr>
              <w:t>监理单位：</w:t>
            </w:r>
            <w:r>
              <w:rPr>
                <w:rFonts w:ascii="宋体" w:hAnsi="宋体"/>
                <w:color w:val="auto"/>
                <w:szCs w:val="21"/>
                <w:u w:val="single"/>
              </w:rPr>
              <w:t xml:space="preserve">          </w:t>
            </w:r>
            <w:r>
              <w:rPr>
                <w:rFonts w:hint="eastAsia" w:ascii="宋体" w:hAnsi="宋体"/>
                <w:color w:val="auto"/>
                <w:szCs w:val="21"/>
                <w:u w:val="single"/>
              </w:rPr>
              <w:t>/</w:t>
            </w:r>
            <w:r>
              <w:rPr>
                <w:rFonts w:ascii="宋体" w:hAnsi="宋体"/>
                <w:color w:val="auto"/>
                <w:szCs w:val="21"/>
                <w:u w:val="single"/>
              </w:rPr>
              <w:t xml:space="preserve">           </w:t>
            </w:r>
          </w:p>
          <w:p>
            <w:pPr>
              <w:rPr>
                <w:rFonts w:ascii="宋体" w:hAnsi="宋体"/>
                <w:color w:val="auto"/>
                <w:szCs w:val="21"/>
              </w:rPr>
            </w:pPr>
            <w:r>
              <w:rPr>
                <w:rFonts w:hint="eastAsia" w:ascii="宋体" w:hAnsi="宋体"/>
                <w:color w:val="auto"/>
                <w:szCs w:val="21"/>
              </w:rPr>
              <w:t>检测机构：</w:t>
            </w:r>
            <w:r>
              <w:rPr>
                <w:rFonts w:ascii="宋体" w:hAnsi="宋体"/>
                <w:color w:val="auto"/>
                <w:szCs w:val="21"/>
                <w:u w:val="single"/>
              </w:rPr>
              <w:t xml:space="preserve">          </w:t>
            </w:r>
            <w:r>
              <w:rPr>
                <w:rFonts w:hint="eastAsia" w:ascii="宋体" w:hAnsi="宋体"/>
                <w:color w:val="auto"/>
                <w:szCs w:val="21"/>
                <w:u w:val="single"/>
              </w:rPr>
              <w:t>/</w:t>
            </w:r>
            <w:r>
              <w:rPr>
                <w:rFonts w:ascii="宋体" w:hAnsi="宋体"/>
                <w:color w:val="auto"/>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2</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工程名称</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u w:val="single"/>
              </w:rPr>
            </w:pPr>
            <w:r>
              <w:rPr>
                <w:rFonts w:hint="eastAsia" w:ascii="宋体" w:hAnsi="宋体"/>
                <w:color w:val="auto"/>
                <w:szCs w:val="21"/>
                <w:u w:val="single"/>
              </w:rPr>
              <w:t>增江街南山路建设工程施工总承包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3</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建设地点</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u w:val="single"/>
              </w:rPr>
            </w:pPr>
            <w:r>
              <w:rPr>
                <w:rFonts w:hint="eastAsia" w:ascii="宋体" w:hAnsi="宋体"/>
                <w:color w:val="auto"/>
                <w:szCs w:val="21"/>
                <w:u w:val="single"/>
              </w:rPr>
              <w:t>广州市增城区增江街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4</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建设规模</w:t>
            </w:r>
          </w:p>
        </w:tc>
        <w:tc>
          <w:tcPr>
            <w:tcW w:w="6009"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olor w:val="auto"/>
                <w:szCs w:val="21"/>
                <w:u w:val="single"/>
              </w:rPr>
            </w:pPr>
            <w:r>
              <w:rPr>
                <w:rFonts w:hint="eastAsia" w:ascii="宋体" w:hAnsi="宋体" w:cs="宋体"/>
                <w:color w:val="auto"/>
                <w:sz w:val="24"/>
                <w:szCs w:val="24"/>
                <w:u w:val="single"/>
              </w:rPr>
              <w:t>本项目全长约 594 米，分为两个路段，其中，南山路北段改建路段长约 366 米；南山路南段新建路段长约 228 米。项目建设内容包括道路、给排水、交通、照明、电力管沟、通讯、绿化等工程</w:t>
            </w:r>
            <w:r>
              <w:rPr>
                <w:rFonts w:hint="eastAsia" w:ascii="宋体" w:hAnsi="宋体"/>
                <w:color w:val="auto"/>
                <w:szCs w:val="21"/>
                <w:u w:val="single"/>
              </w:rPr>
              <w:t>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5</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承包方式</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u w:val="single"/>
              </w:rPr>
            </w:pPr>
            <w:r>
              <w:rPr>
                <w:rFonts w:hint="eastAsia" w:ascii="宋体" w:hAnsi="宋体" w:cs="宋体"/>
                <w:color w:val="auto"/>
                <w:szCs w:val="21"/>
                <w:u w:val="single"/>
              </w:rPr>
              <w:t>包工、包料、包工期、包质量、包安全、包文明施工。综合单价包干、项目措施费包干。</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6</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质量标准</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u w:val="single"/>
              </w:rPr>
            </w:pPr>
            <w:r>
              <w:rPr>
                <w:rFonts w:hint="eastAsia" w:ascii="宋体" w:hAnsi="宋体" w:cs="宋体"/>
                <w:color w:val="auto"/>
                <w:szCs w:val="21"/>
                <w:u w:val="single"/>
              </w:rPr>
              <w:t>执行国家、地方或行业现行的工程建设质量验收标准及规范，须达到合格标准。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7</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招标范围</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u w:val="single"/>
              </w:rPr>
            </w:pPr>
            <w:r>
              <w:rPr>
                <w:rFonts w:hint="eastAsia" w:ascii="宋体" w:hAnsi="宋体" w:cs="宋体"/>
                <w:color w:val="auto"/>
                <w:szCs w:val="21"/>
                <w:u w:val="single"/>
              </w:rPr>
              <w:t>按招标人提供的招标文件、工程量清单、招标答疑文件、全套施工图设计、设计说明及补充说明（具体以招标人所发施工图纸为准）。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8</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工期要求</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rPr>
            </w:pPr>
            <w:r>
              <w:rPr>
                <w:rFonts w:hint="eastAsia" w:ascii="宋体" w:hAnsi="宋体"/>
                <w:color w:val="auto"/>
                <w:szCs w:val="21"/>
                <w:u w:val="single"/>
              </w:rPr>
              <w:t>2024年  月   日计划开工，施工总期：365日历天。</w:t>
            </w:r>
            <w:r>
              <w:rPr>
                <w:rFonts w:ascii="宋体" w:hAnsi="宋体"/>
                <w:color w:val="auto"/>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9</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3.1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资金来源</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u w:val="single"/>
              </w:rPr>
            </w:pPr>
            <w:r>
              <w:rPr>
                <w:rFonts w:hint="eastAsia" w:ascii="宋体" w:hAnsi="宋体"/>
                <w:color w:val="auto"/>
                <w:szCs w:val="21"/>
                <w:u w:val="single"/>
              </w:rPr>
              <w:t>区财政资金安排解决。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10</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4.1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投标人资质等级及项目负责人等级要求</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rPr>
            </w:pPr>
            <w:r>
              <w:rPr>
                <w:rFonts w:hint="eastAsia" w:ascii="宋体" w:hAnsi="宋体"/>
                <w:color w:val="auto"/>
                <w:szCs w:val="21"/>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11</w:t>
            </w:r>
          </w:p>
        </w:tc>
        <w:tc>
          <w:tcPr>
            <w:tcW w:w="981" w:type="dxa"/>
            <w:tcBorders>
              <w:top w:val="single" w:color="auto" w:sz="4" w:space="0"/>
              <w:left w:val="single" w:color="auto" w:sz="4" w:space="0"/>
              <w:bottom w:val="single" w:color="auto" w:sz="4" w:space="0"/>
              <w:right w:val="single" w:color="auto" w:sz="4" w:space="0"/>
            </w:tcBorders>
            <w:vAlign w:val="center"/>
          </w:tcPr>
          <w:p>
            <w:pPr>
              <w:ind w:firstLine="458"/>
              <w:rPr>
                <w:rFonts w:ascii="宋体" w:hAnsi="宋体"/>
                <w:color w:val="auto"/>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资格审查方式</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rPr>
            </w:pPr>
            <w:r>
              <w:rPr>
                <w:rFonts w:hint="eastAsia" w:ascii="宋体" w:hAnsi="宋体"/>
                <w:color w:val="auto"/>
                <w:szCs w:val="21"/>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12</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13.1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报价以及单价和总价计算方式</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rPr>
            </w:pPr>
            <w:bookmarkStart w:id="4" w:name="EBdfd7e3fe86a241738f1c1d356c309534"/>
            <w:r>
              <w:rPr>
                <w:rFonts w:hint="eastAsia" w:ascii="宋体" w:hAnsi="宋体" w:cs="宋体"/>
                <w:color w:val="auto"/>
                <w:szCs w:val="21"/>
                <w:u w:val="single"/>
              </w:rPr>
              <w:t>工程量清单计价，按国家、省有关计价规范执行。</w:t>
            </w:r>
            <w:bookmarkEnd w:id="4"/>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13</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15.1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投标有效期</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u w:val="single"/>
              </w:rPr>
            </w:pPr>
            <w:bookmarkStart w:id="5" w:name="EB638049d390fa45cfa3556d92c0ccd421"/>
            <w:r>
              <w:rPr>
                <w:rFonts w:hint="eastAsia" w:ascii="宋体" w:hAnsi="宋体" w:cs="宋体"/>
                <w:color w:val="auto"/>
                <w:szCs w:val="21"/>
                <w:u w:val="single"/>
              </w:rPr>
              <w:t>90日历天（从递交投标文件截止之日计起）。如投标有效期内发生异议或投诉的，则投标有效期自动延长至异议或投诉处理结束后90日历天。</w:t>
            </w:r>
            <w:bookmarkEnd w:id="5"/>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14</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16.1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投标保证金</w:t>
            </w:r>
          </w:p>
        </w:tc>
        <w:tc>
          <w:tcPr>
            <w:tcW w:w="6009" w:type="dxa"/>
            <w:tcBorders>
              <w:top w:val="single" w:color="auto" w:sz="4" w:space="0"/>
              <w:left w:val="single" w:color="auto" w:sz="4" w:space="0"/>
              <w:bottom w:val="single" w:color="auto" w:sz="4" w:space="0"/>
              <w:right w:val="double" w:color="auto" w:sz="4" w:space="0"/>
            </w:tcBorders>
            <w:vAlign w:val="center"/>
          </w:tcPr>
          <w:p>
            <w:pPr>
              <w:rPr>
                <w:color w:val="auto"/>
              </w:rPr>
            </w:pPr>
            <w:r>
              <w:rPr>
                <w:rFonts w:hint="eastAsia" w:ascii="宋体" w:hAnsi="宋体"/>
                <w:color w:val="auto"/>
                <w:szCs w:val="21"/>
                <w:u w:val="single"/>
              </w:rPr>
              <w:t>方式一：本项目不收投标保证金。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15</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5</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踏勘现场</w:t>
            </w:r>
          </w:p>
        </w:tc>
        <w:tc>
          <w:tcPr>
            <w:tcW w:w="6009"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s="宋体"/>
                <w:color w:val="auto"/>
                <w:szCs w:val="21"/>
                <w:u w:val="single"/>
              </w:rPr>
            </w:pPr>
            <w:r>
              <w:rPr>
                <w:rFonts w:hint="eastAsia" w:ascii="宋体" w:hAnsi="宋体" w:cs="宋体"/>
                <w:color w:val="auto"/>
                <w:szCs w:val="21"/>
                <w:u w:val="single"/>
              </w:rPr>
              <w:t>时间：自发布招标公告之日起具备现场踏勘条件；</w:t>
            </w:r>
          </w:p>
          <w:p>
            <w:pPr>
              <w:rPr>
                <w:rFonts w:ascii="宋体" w:hAnsi="宋体"/>
                <w:color w:val="auto"/>
                <w:szCs w:val="21"/>
              </w:rPr>
            </w:pPr>
            <w:r>
              <w:rPr>
                <w:rFonts w:hint="eastAsia" w:ascii="宋体" w:hAnsi="宋体" w:cs="宋体"/>
                <w:color w:val="auto"/>
                <w:szCs w:val="21"/>
                <w:u w:val="single"/>
              </w:rPr>
              <w:t>方式：招标人不集中组织，由投标人自行踏勘；</w:t>
            </w:r>
            <w:r>
              <w:rPr>
                <w:rFonts w:ascii="宋体" w:hAnsi="宋体"/>
                <w:color w:val="auto"/>
                <w:szCs w:val="21"/>
              </w:rPr>
              <w:t xml:space="preserve"> </w:t>
            </w:r>
          </w:p>
          <w:p>
            <w:pPr>
              <w:rPr>
                <w:rFonts w:ascii="宋体" w:hAnsi="宋体"/>
                <w:color w:val="auto"/>
                <w:szCs w:val="21"/>
              </w:rPr>
            </w:pPr>
            <w:r>
              <w:rPr>
                <w:rFonts w:hint="eastAsia" w:ascii="宋体" w:hAnsi="宋体" w:cs="宋体"/>
                <w:color w:val="auto"/>
                <w:szCs w:val="21"/>
                <w:u w:val="single"/>
              </w:rPr>
              <w:t>现场详细地点：详见招标公告</w:t>
            </w:r>
            <w:r>
              <w:rPr>
                <w:rFonts w:ascii="宋体" w:hAnsi="宋体"/>
                <w:color w:val="auto"/>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16</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8</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投标答疑</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rPr>
            </w:pPr>
            <w:r>
              <w:rPr>
                <w:rFonts w:hint="eastAsia" w:ascii="宋体" w:hAnsi="宋体"/>
                <w:color w:val="auto"/>
                <w:szCs w:val="21"/>
              </w:rPr>
              <w:t>疑问提交时间：</w:t>
            </w:r>
            <w:r>
              <w:rPr>
                <w:rFonts w:ascii="宋体" w:hAnsi="宋体"/>
                <w:color w:val="auto"/>
                <w:szCs w:val="21"/>
                <w:u w:val="single"/>
              </w:rPr>
              <w:t xml:space="preserve">    </w:t>
            </w:r>
            <w:r>
              <w:rPr>
                <w:rFonts w:hint="eastAsia" w:ascii="宋体" w:hAnsi="宋体"/>
                <w:color w:val="auto"/>
                <w:szCs w:val="21"/>
              </w:rPr>
              <w:t>年</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olor w:val="auto"/>
                <w:szCs w:val="21"/>
              </w:rPr>
              <w:t>月</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olor w:val="auto"/>
                <w:szCs w:val="21"/>
              </w:rPr>
              <w:t>日</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olor w:val="auto"/>
                <w:szCs w:val="21"/>
              </w:rPr>
              <w:t>时前；</w:t>
            </w:r>
          </w:p>
          <w:p>
            <w:pPr>
              <w:rPr>
                <w:rFonts w:ascii="宋体" w:hAnsi="宋体" w:cs="宋体"/>
                <w:color w:val="auto"/>
                <w:szCs w:val="21"/>
              </w:rPr>
            </w:pPr>
            <w:r>
              <w:rPr>
                <w:rFonts w:hint="eastAsia" w:ascii="宋体" w:hAnsi="宋体"/>
                <w:color w:val="auto"/>
                <w:szCs w:val="21"/>
              </w:rPr>
              <w:t>形式：投标人的疑问通过</w:t>
            </w:r>
            <w:r>
              <w:rPr>
                <w:rFonts w:hint="eastAsia" w:ascii="宋体" w:hAnsi="宋体" w:cs="宋体"/>
                <w:color w:val="auto"/>
                <w:szCs w:val="21"/>
                <w:u w:val="single"/>
              </w:rPr>
              <w:t>广州交易集团有限公司（广州公共资源交易中心）</w:t>
            </w:r>
            <w:r>
              <w:rPr>
                <w:rFonts w:hint="eastAsia" w:ascii="宋体" w:hAnsi="宋体" w:cs="宋体"/>
                <w:color w:val="auto"/>
                <w:szCs w:val="21"/>
              </w:rPr>
              <w:t>交易平台提交。</w:t>
            </w:r>
          </w:p>
          <w:p>
            <w:pPr>
              <w:rPr>
                <w:rFonts w:ascii="宋体" w:hAnsi="宋体"/>
                <w:color w:val="auto"/>
                <w:szCs w:val="21"/>
              </w:rPr>
            </w:pPr>
            <w:r>
              <w:rPr>
                <w:rFonts w:hint="eastAsia" w:ascii="宋体" w:hAnsi="宋体" w:cs="宋体"/>
                <w:color w:val="auto"/>
                <w:szCs w:val="21"/>
              </w:rPr>
              <w:t>具体要求：按照交易平台关于全流程电子化项目的相关</w:t>
            </w:r>
            <w:r>
              <w:rPr>
                <w:rFonts w:hint="eastAsia" w:ascii="宋体" w:hAnsi="宋体"/>
                <w:color w:val="auto"/>
                <w:szCs w:val="21"/>
              </w:rPr>
              <w:t>指南进行操作，详见：</w:t>
            </w:r>
            <w:r>
              <w:rPr>
                <w:rFonts w:hint="eastAsia" w:ascii="宋体" w:hAnsi="宋体" w:cs="宋体"/>
                <w:color w:val="auto"/>
                <w:szCs w:val="21"/>
                <w:u w:val="single"/>
              </w:rPr>
              <w:t>广州交易集团有限公司（广州公共资源交易中心）网站</w:t>
            </w:r>
            <w:r>
              <w:rPr>
                <w:rFonts w:hint="eastAsia" w:ascii="宋体" w:hAnsi="宋体"/>
                <w:color w:val="auto"/>
                <w:szCs w:val="21"/>
              </w:rPr>
              <w:t>。提问一律不得署名。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1</w:t>
            </w:r>
            <w:r>
              <w:rPr>
                <w:rFonts w:hint="eastAsia" w:ascii="宋体" w:hAnsi="宋体"/>
                <w:color w:val="auto"/>
                <w:szCs w:val="21"/>
              </w:rPr>
              <w:t>7</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20</w:t>
            </w:r>
            <w:r>
              <w:rPr>
                <w:rFonts w:ascii="宋体" w:hAnsi="宋体"/>
                <w:color w:val="auto"/>
                <w:szCs w:val="21"/>
              </w:rPr>
              <w:t>.1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投标截止时间</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strike/>
                <w:color w:val="auto"/>
                <w:szCs w:val="21"/>
              </w:rPr>
            </w:pPr>
            <w:r>
              <w:rPr>
                <w:rFonts w:ascii="宋体" w:hAnsi="宋体"/>
                <w:color w:val="auto"/>
                <w:szCs w:val="21"/>
                <w:u w:val="single"/>
              </w:rPr>
              <w:t xml:space="preserve">       </w:t>
            </w:r>
            <w:r>
              <w:rPr>
                <w:rFonts w:hint="eastAsia" w:ascii="宋体" w:hAnsi="宋体"/>
                <w:color w:val="auto"/>
                <w:szCs w:val="21"/>
              </w:rPr>
              <w:t>年</w:t>
            </w:r>
            <w:r>
              <w:rPr>
                <w:rFonts w:ascii="宋体" w:hAnsi="宋体"/>
                <w:color w:val="auto"/>
                <w:szCs w:val="21"/>
                <w:u w:val="single"/>
              </w:rPr>
              <w:t xml:space="preserve">   </w:t>
            </w:r>
            <w:r>
              <w:rPr>
                <w:rFonts w:hint="eastAsia" w:ascii="宋体" w:hAnsi="宋体"/>
                <w:color w:val="auto"/>
                <w:szCs w:val="21"/>
              </w:rPr>
              <w:t>月</w:t>
            </w:r>
            <w:r>
              <w:rPr>
                <w:rFonts w:ascii="宋体" w:hAnsi="宋体"/>
                <w:color w:val="auto"/>
                <w:szCs w:val="21"/>
                <w:u w:val="single"/>
              </w:rPr>
              <w:t xml:space="preserve">    </w:t>
            </w:r>
            <w:r>
              <w:rPr>
                <w:rFonts w:hint="eastAsia" w:ascii="宋体" w:hAnsi="宋体"/>
                <w:color w:val="auto"/>
                <w:szCs w:val="21"/>
              </w:rPr>
              <w:t>日</w:t>
            </w:r>
            <w:r>
              <w:rPr>
                <w:rFonts w:ascii="宋体" w:hAnsi="宋体"/>
                <w:color w:val="auto"/>
                <w:szCs w:val="21"/>
                <w:u w:val="single"/>
              </w:rPr>
              <w:t xml:space="preserve">   </w:t>
            </w:r>
            <w:r>
              <w:rPr>
                <w:rFonts w:hint="eastAsia" w:ascii="宋体" w:hAnsi="宋体"/>
                <w:color w:val="auto"/>
                <w:szCs w:val="21"/>
              </w:rPr>
              <w:t>时（北京时间）。</w:t>
            </w:r>
            <w:r>
              <w:rPr>
                <w:rFonts w:hint="eastAsia" w:ascii="宋体" w:hAnsi="宋体" w:cs="宋体"/>
                <w:b/>
                <w:bCs/>
                <w:color w:val="auto"/>
                <w:szCs w:val="21"/>
                <w:u w:val="single"/>
              </w:rPr>
              <w:t>注：中标单位中标后须按招标人要求提供完整的纸质版投标文件一式四份。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18</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20.1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开标开始时间和地点</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rPr>
            </w:pPr>
            <w:r>
              <w:rPr>
                <w:rFonts w:hint="eastAsia" w:ascii="宋体" w:hAnsi="宋体"/>
                <w:color w:val="auto"/>
                <w:szCs w:val="21"/>
              </w:rPr>
              <w:t>（技术标和经济标同时开标）</w:t>
            </w:r>
          </w:p>
          <w:p>
            <w:pPr>
              <w:widowControl/>
              <w:jc w:val="left"/>
              <w:rPr>
                <w:rFonts w:ascii="仿宋" w:hAnsi="仿宋" w:eastAsia="仿宋" w:cs="宋体"/>
                <w:bCs/>
                <w:color w:val="auto"/>
                <w:kern w:val="0"/>
                <w:sz w:val="22"/>
              </w:rPr>
            </w:pPr>
            <w:r>
              <w:rPr>
                <w:rFonts w:hint="eastAsia" w:ascii="宋体" w:hAnsi="宋体"/>
                <w:color w:val="auto"/>
                <w:szCs w:val="21"/>
              </w:rPr>
              <w:t>1、开标开始时间：</w:t>
            </w:r>
            <w:r>
              <w:rPr>
                <w:rFonts w:ascii="宋体" w:hAnsi="宋体"/>
                <w:color w:val="auto"/>
                <w:szCs w:val="21"/>
                <w:u w:val="single"/>
              </w:rPr>
              <w:t xml:space="preserve">     </w:t>
            </w:r>
            <w:r>
              <w:rPr>
                <w:rFonts w:hint="eastAsia" w:ascii="宋体" w:hAnsi="宋体"/>
                <w:color w:val="auto"/>
                <w:szCs w:val="21"/>
              </w:rPr>
              <w:t>年</w:t>
            </w:r>
            <w:r>
              <w:rPr>
                <w:rFonts w:ascii="宋体" w:hAnsi="宋体"/>
                <w:color w:val="auto"/>
                <w:szCs w:val="21"/>
                <w:u w:val="single"/>
              </w:rPr>
              <w:t xml:space="preserve">   </w:t>
            </w:r>
            <w:r>
              <w:rPr>
                <w:rFonts w:hint="eastAsia" w:ascii="宋体" w:hAnsi="宋体"/>
                <w:color w:val="auto"/>
                <w:szCs w:val="21"/>
              </w:rPr>
              <w:t>月</w:t>
            </w:r>
            <w:r>
              <w:rPr>
                <w:rFonts w:ascii="宋体" w:hAnsi="宋体"/>
                <w:color w:val="auto"/>
                <w:szCs w:val="21"/>
                <w:u w:val="single"/>
              </w:rPr>
              <w:t xml:space="preserve">   </w:t>
            </w:r>
            <w:r>
              <w:rPr>
                <w:rFonts w:hint="eastAsia" w:ascii="宋体" w:hAnsi="宋体"/>
                <w:color w:val="auto"/>
                <w:szCs w:val="21"/>
              </w:rPr>
              <w:t>日</w:t>
            </w:r>
            <w:r>
              <w:rPr>
                <w:rFonts w:ascii="宋体" w:hAnsi="宋体"/>
                <w:color w:val="auto"/>
                <w:szCs w:val="21"/>
                <w:u w:val="single"/>
              </w:rPr>
              <w:t xml:space="preserve">   </w:t>
            </w:r>
            <w:r>
              <w:rPr>
                <w:rFonts w:hint="eastAsia" w:ascii="宋体" w:hAnsi="宋体"/>
                <w:color w:val="auto"/>
                <w:szCs w:val="21"/>
              </w:rPr>
              <w:t>时</w:t>
            </w:r>
            <w:r>
              <w:rPr>
                <w:rFonts w:ascii="宋体" w:hAnsi="宋体"/>
                <w:color w:val="auto"/>
                <w:szCs w:val="21"/>
                <w:u w:val="single"/>
              </w:rPr>
              <w:t xml:space="preserve">   </w:t>
            </w:r>
            <w:r>
              <w:rPr>
                <w:rFonts w:hint="eastAsia" w:ascii="宋体" w:hAnsi="宋体"/>
                <w:color w:val="auto"/>
                <w:szCs w:val="21"/>
              </w:rPr>
              <w:t>分（与</w:t>
            </w:r>
            <w:r>
              <w:rPr>
                <w:rFonts w:ascii="宋体" w:hAnsi="宋体"/>
                <w:color w:val="auto"/>
                <w:szCs w:val="21"/>
              </w:rPr>
              <w:t>投标截止时间</w:t>
            </w:r>
            <w:r>
              <w:rPr>
                <w:rFonts w:hint="eastAsia" w:ascii="宋体" w:hAnsi="宋体"/>
                <w:color w:val="auto"/>
                <w:szCs w:val="21"/>
              </w:rPr>
              <w:t>为</w:t>
            </w:r>
            <w:r>
              <w:rPr>
                <w:rFonts w:ascii="宋体" w:hAnsi="宋体"/>
                <w:color w:val="auto"/>
                <w:szCs w:val="21"/>
              </w:rPr>
              <w:t>同一时间</w:t>
            </w:r>
            <w:r>
              <w:rPr>
                <w:rFonts w:hint="eastAsia" w:ascii="宋体" w:hAnsi="宋体"/>
                <w:color w:val="auto"/>
                <w:szCs w:val="21"/>
              </w:rPr>
              <w:t>），地点：</w:t>
            </w:r>
            <w:r>
              <w:rPr>
                <w:rFonts w:hint="eastAsia" w:ascii="宋体" w:hAnsi="宋体" w:cs="宋体"/>
                <w:color w:val="auto"/>
                <w:szCs w:val="21"/>
                <w:u w:val="single"/>
              </w:rPr>
              <w:t>增城交易部开标  室</w:t>
            </w:r>
            <w:r>
              <w:rPr>
                <w:rFonts w:hint="eastAsia" w:ascii="宋体" w:hAnsi="宋体" w:cs="宋体"/>
                <w:color w:val="auto"/>
                <w:szCs w:val="21"/>
              </w:rPr>
              <w:t xml:space="preserve"> 。</w:t>
            </w:r>
            <w:r>
              <w:rPr>
                <w:rFonts w:hint="eastAsia" w:ascii="仿宋" w:hAnsi="仿宋" w:eastAsia="仿宋" w:cs="宋体"/>
                <w:b/>
                <w:bCs/>
                <w:color w:val="auto"/>
                <w:kern w:val="0"/>
                <w:sz w:val="22"/>
              </w:rPr>
              <w:t>投标人也可选择参加在线开标，具体按照交易平台相关指南进行操作。详见：</w:t>
            </w:r>
            <w:r>
              <w:rPr>
                <w:rFonts w:hint="eastAsia" w:ascii="仿宋" w:hAnsi="仿宋" w:eastAsia="仿宋" w:cs="宋体"/>
                <w:b/>
                <w:bCs/>
                <w:color w:val="auto"/>
                <w:kern w:val="0"/>
                <w:sz w:val="22"/>
                <w:u w:val="single"/>
              </w:rPr>
              <w:t xml:space="preserve">        </w:t>
            </w:r>
            <w:r>
              <w:rPr>
                <w:rFonts w:hint="eastAsia" w:ascii="仿宋" w:hAnsi="仿宋" w:eastAsia="仿宋" w:cs="宋体"/>
                <w:b/>
                <w:bCs/>
                <w:color w:val="auto"/>
                <w:kern w:val="0"/>
                <w:sz w:val="22"/>
              </w:rPr>
              <w:t>。</w:t>
            </w:r>
          </w:p>
          <w:p>
            <w:pPr>
              <w:rPr>
                <w:rFonts w:ascii="宋体" w:hAnsi="宋体" w:cs="宋体"/>
                <w:color w:val="auto"/>
                <w:szCs w:val="21"/>
                <w:u w:val="single"/>
              </w:rPr>
            </w:pPr>
            <w:r>
              <w:rPr>
                <w:rFonts w:hint="eastAsia" w:ascii="宋体" w:hAnsi="宋体"/>
                <w:color w:val="auto"/>
                <w:szCs w:val="21"/>
              </w:rPr>
              <w:t>2、递交投标文件备用光盘时间：</w:t>
            </w:r>
            <w:r>
              <w:rPr>
                <w:rFonts w:ascii="宋体" w:hAnsi="宋体"/>
                <w:color w:val="auto"/>
                <w:szCs w:val="21"/>
                <w:u w:val="single"/>
              </w:rPr>
              <w:t xml:space="preserve">     </w:t>
            </w:r>
            <w:r>
              <w:rPr>
                <w:rFonts w:hint="eastAsia" w:ascii="宋体" w:hAnsi="宋体"/>
                <w:color w:val="auto"/>
                <w:szCs w:val="21"/>
              </w:rPr>
              <w:t>年</w:t>
            </w:r>
            <w:r>
              <w:rPr>
                <w:rFonts w:ascii="宋体" w:hAnsi="宋体"/>
                <w:color w:val="auto"/>
                <w:szCs w:val="21"/>
                <w:u w:val="single"/>
              </w:rPr>
              <w:t xml:space="preserve">   </w:t>
            </w:r>
            <w:r>
              <w:rPr>
                <w:rFonts w:hint="eastAsia" w:ascii="宋体" w:hAnsi="宋体"/>
                <w:color w:val="auto"/>
                <w:szCs w:val="21"/>
              </w:rPr>
              <w:t>月</w:t>
            </w:r>
            <w:r>
              <w:rPr>
                <w:rFonts w:ascii="宋体" w:hAnsi="宋体"/>
                <w:color w:val="auto"/>
                <w:szCs w:val="21"/>
                <w:u w:val="single"/>
              </w:rPr>
              <w:t xml:space="preserve">   </w:t>
            </w:r>
            <w:r>
              <w:rPr>
                <w:rFonts w:hint="eastAsia" w:ascii="宋体" w:hAnsi="宋体"/>
                <w:color w:val="auto"/>
                <w:szCs w:val="21"/>
              </w:rPr>
              <w:t>日</w:t>
            </w:r>
            <w:r>
              <w:rPr>
                <w:rFonts w:ascii="宋体" w:hAnsi="宋体"/>
                <w:color w:val="auto"/>
                <w:szCs w:val="21"/>
                <w:u w:val="single"/>
              </w:rPr>
              <w:t xml:space="preserve">   </w:t>
            </w:r>
            <w:r>
              <w:rPr>
                <w:rFonts w:hint="eastAsia" w:ascii="宋体" w:hAnsi="宋体"/>
                <w:color w:val="auto"/>
                <w:szCs w:val="21"/>
              </w:rPr>
              <w:t>时</w:t>
            </w:r>
            <w:r>
              <w:rPr>
                <w:rFonts w:ascii="宋体" w:hAnsi="宋体"/>
                <w:color w:val="auto"/>
                <w:szCs w:val="21"/>
                <w:u w:val="single"/>
              </w:rPr>
              <w:t xml:space="preserve">   </w:t>
            </w:r>
            <w:r>
              <w:rPr>
                <w:rFonts w:hint="eastAsia" w:ascii="宋体" w:hAnsi="宋体"/>
                <w:color w:val="auto"/>
                <w:szCs w:val="21"/>
              </w:rPr>
              <w:t>分至</w:t>
            </w:r>
            <w:r>
              <w:rPr>
                <w:rFonts w:ascii="宋体" w:hAnsi="宋体"/>
                <w:color w:val="auto"/>
                <w:szCs w:val="21"/>
                <w:u w:val="single"/>
              </w:rPr>
              <w:t xml:space="preserve">     </w:t>
            </w:r>
            <w:r>
              <w:rPr>
                <w:rFonts w:hint="eastAsia" w:ascii="宋体" w:hAnsi="宋体"/>
                <w:color w:val="auto"/>
                <w:szCs w:val="21"/>
              </w:rPr>
              <w:t>年</w:t>
            </w:r>
            <w:r>
              <w:rPr>
                <w:rFonts w:ascii="宋体" w:hAnsi="宋体"/>
                <w:color w:val="auto"/>
                <w:szCs w:val="21"/>
                <w:u w:val="single"/>
              </w:rPr>
              <w:t xml:space="preserve">   </w:t>
            </w:r>
            <w:r>
              <w:rPr>
                <w:rFonts w:hint="eastAsia" w:ascii="宋体" w:hAnsi="宋体"/>
                <w:color w:val="auto"/>
                <w:szCs w:val="21"/>
              </w:rPr>
              <w:t>月</w:t>
            </w:r>
            <w:r>
              <w:rPr>
                <w:rFonts w:ascii="宋体" w:hAnsi="宋体"/>
                <w:color w:val="auto"/>
                <w:szCs w:val="21"/>
                <w:u w:val="single"/>
              </w:rPr>
              <w:t xml:space="preserve">   </w:t>
            </w:r>
            <w:r>
              <w:rPr>
                <w:rFonts w:hint="eastAsia" w:ascii="宋体" w:hAnsi="宋体"/>
                <w:color w:val="auto"/>
                <w:szCs w:val="21"/>
              </w:rPr>
              <w:t>日</w:t>
            </w:r>
            <w:r>
              <w:rPr>
                <w:rFonts w:ascii="宋体" w:hAnsi="宋体"/>
                <w:color w:val="auto"/>
                <w:szCs w:val="21"/>
                <w:u w:val="single"/>
              </w:rPr>
              <w:t xml:space="preserve">   </w:t>
            </w:r>
            <w:r>
              <w:rPr>
                <w:rFonts w:hint="eastAsia" w:ascii="宋体" w:hAnsi="宋体"/>
                <w:color w:val="auto"/>
                <w:szCs w:val="21"/>
              </w:rPr>
              <w:t>时</w:t>
            </w:r>
            <w:r>
              <w:rPr>
                <w:rFonts w:ascii="宋体" w:hAnsi="宋体"/>
                <w:color w:val="auto"/>
                <w:szCs w:val="21"/>
                <w:u w:val="single"/>
              </w:rPr>
              <w:t xml:space="preserve">   </w:t>
            </w:r>
            <w:r>
              <w:rPr>
                <w:rFonts w:hint="eastAsia" w:ascii="宋体" w:hAnsi="宋体"/>
                <w:color w:val="auto"/>
                <w:szCs w:val="21"/>
              </w:rPr>
              <w:t>分；递交地点：</w:t>
            </w:r>
            <w:r>
              <w:rPr>
                <w:rFonts w:hint="eastAsia" w:ascii="宋体" w:hAnsi="宋体" w:cs="宋体"/>
                <w:color w:val="auto"/>
                <w:szCs w:val="21"/>
                <w:u w:val="single"/>
              </w:rPr>
              <w:t>增城交易部开标</w:t>
            </w:r>
          </w:p>
          <w:p>
            <w:pPr>
              <w:rPr>
                <w:rFonts w:ascii="宋体" w:hAnsi="宋体"/>
                <w:color w:val="auto"/>
              </w:rPr>
            </w:pPr>
            <w:r>
              <w:rPr>
                <w:rFonts w:hint="eastAsia" w:ascii="宋体" w:hAnsi="宋体" w:cs="宋体"/>
                <w:color w:val="auto"/>
                <w:szCs w:val="21"/>
                <w:u w:val="single"/>
              </w:rPr>
              <w:t xml:space="preserve">   室</w:t>
            </w:r>
            <w:r>
              <w:rPr>
                <w:rFonts w:hint="eastAsia" w:ascii="宋体" w:hAnsi="宋体"/>
                <w:color w:val="auto"/>
              </w:rPr>
              <w:t>。(建议安排在投标文件截止时间前15分钟至投标文件截止时间）</w:t>
            </w:r>
          </w:p>
          <w:p>
            <w:pPr>
              <w:rPr>
                <w:rFonts w:ascii="宋体" w:hAnsi="宋体"/>
                <w:color w:val="auto"/>
                <w:szCs w:val="21"/>
              </w:rPr>
            </w:pPr>
            <w:r>
              <w:rPr>
                <w:rFonts w:hint="eastAsia" w:ascii="宋体" w:hAnsi="宋体"/>
                <w:color w:val="auto"/>
              </w:rPr>
              <w:t>上述时间及地点是否有改变，请密切留意补充公告和招标答疑纪要的相关信息。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77"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19</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26</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开标评标办法</w:t>
            </w:r>
          </w:p>
        </w:tc>
        <w:tc>
          <w:tcPr>
            <w:tcW w:w="6009" w:type="dxa"/>
            <w:tcBorders>
              <w:top w:val="single" w:color="auto" w:sz="4" w:space="0"/>
              <w:left w:val="single" w:color="auto" w:sz="4" w:space="0"/>
              <w:bottom w:val="single" w:color="auto" w:sz="4" w:space="0"/>
              <w:right w:val="double" w:color="auto" w:sz="4" w:space="0"/>
            </w:tcBorders>
            <w:vAlign w:val="center"/>
          </w:tcPr>
          <w:p>
            <w:pPr>
              <w:pStyle w:val="5"/>
              <w:ind w:firstLine="0"/>
              <w:rPr>
                <w:rFonts w:ascii="宋体" w:hAnsi="宋体" w:cs="宋体"/>
                <w:color w:val="auto"/>
                <w:szCs w:val="21"/>
                <w:u w:val="single"/>
              </w:rPr>
            </w:pPr>
            <w:r>
              <w:rPr>
                <w:rFonts w:hint="eastAsia" w:ascii="宋体" w:hAnsi="宋体"/>
                <w:color w:val="auto"/>
                <w:szCs w:val="21"/>
              </w:rPr>
              <w:t>方式一：选取方法</w:t>
            </w:r>
            <w:r>
              <w:rPr>
                <w:rFonts w:hint="eastAsia" w:ascii="宋体" w:hAnsi="宋体" w:cs="宋体"/>
                <w:color w:val="auto"/>
                <w:szCs w:val="21"/>
                <w:u w:val="single"/>
              </w:rPr>
              <w:t>办法七（适合综合评分法四，技术标与经济标同时开启）</w:t>
            </w:r>
          </w:p>
          <w:p>
            <w:pPr>
              <w:pStyle w:val="5"/>
              <w:ind w:firstLine="0"/>
              <w:rPr>
                <w:rFonts w:ascii="宋体" w:hAnsi="宋体" w:cs="宋体"/>
                <w:b/>
                <w:bCs/>
                <w:color w:val="auto"/>
                <w:szCs w:val="21"/>
                <w:u w:val="single"/>
              </w:rPr>
            </w:pPr>
            <w:r>
              <w:rPr>
                <w:rFonts w:hint="eastAsia" w:ascii="宋体" w:hAnsi="宋体" w:cs="宋体"/>
                <w:b/>
                <w:bCs/>
                <w:color w:val="auto"/>
                <w:szCs w:val="21"/>
                <w:u w:val="single"/>
              </w:rPr>
              <w:t>投标人总得分=技术得分（满分100分）×技术得分权重（20%）＋经济得分（满分100分）×经济得分权重（80%）。</w:t>
            </w:r>
          </w:p>
          <w:p>
            <w:pPr>
              <w:pStyle w:val="5"/>
              <w:ind w:firstLine="0"/>
              <w:rPr>
                <w:rFonts w:ascii="宋体" w:hAnsi="宋体"/>
                <w:color w:val="auto"/>
                <w:szCs w:val="21"/>
              </w:rPr>
            </w:pPr>
            <w:r>
              <w:rPr>
                <w:rFonts w:hint="eastAsia" w:ascii="宋体" w:hAnsi="宋体" w:cs="宋体"/>
                <w:color w:val="auto"/>
                <w:szCs w:val="21"/>
              </w:rPr>
              <w:t>总</w:t>
            </w:r>
            <w:r>
              <w:rPr>
                <w:rFonts w:hint="eastAsia" w:ascii="宋体" w:hAnsi="宋体" w:cs="宋体"/>
                <w:bCs/>
                <w:color w:val="auto"/>
                <w:szCs w:val="21"/>
              </w:rPr>
              <w:t>得分四舍五入保留两位小数。</w:t>
            </w:r>
            <w:r>
              <w:rPr>
                <w:rFonts w:hint="eastAsia" w:ascii="宋体" w:hAnsi="宋体" w:cs="宋体"/>
                <w:color w:val="auto"/>
                <w:u w:val="single"/>
              </w:rPr>
              <w:t>总得分相同的投标文件，以技术分高的排前；总得分、技术分均相同的投标文件，以投标总报价低的排前；如仍存在相同情况，由评标委员会采用记名投票方式，确定投标人的排序。随机方式确定排序的具体操作步骤为：由评标会对出现该情况的投标人进行编号，然后通过记名投票方式，以得票多的排前确定排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2</w:t>
            </w:r>
            <w:r>
              <w:rPr>
                <w:rFonts w:hint="eastAsia" w:ascii="宋体" w:hAnsi="宋体"/>
                <w:color w:val="auto"/>
                <w:szCs w:val="21"/>
              </w:rPr>
              <w:t>0</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29.1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履约担保</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rPr>
            </w:pPr>
            <w:r>
              <w:rPr>
                <w:rFonts w:hint="eastAsia" w:ascii="宋体" w:hAnsi="宋体"/>
                <w:color w:val="auto"/>
              </w:rPr>
              <w:t>方式一：中标人提供的履约保证金为中标价款的10%。</w:t>
            </w:r>
          </w:p>
          <w:p>
            <w:pPr>
              <w:pStyle w:val="5"/>
              <w:spacing w:after="0"/>
              <w:ind w:firstLine="0"/>
              <w:rPr>
                <w:rFonts w:ascii="宋体" w:hAnsi="宋体"/>
                <w:color w:val="auto"/>
              </w:rPr>
            </w:pPr>
            <w:r>
              <w:rPr>
                <w:rFonts w:hint="eastAsia" w:ascii="宋体" w:hAnsi="宋体" w:cs="宋体"/>
                <w:color w:val="auto"/>
                <w:szCs w:val="21"/>
              </w:rPr>
              <w:t>中标人的履约担保可采用以现金、银行保函、保证保险、专业担保公司担保等的形式提供。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2</w:t>
            </w:r>
            <w:r>
              <w:rPr>
                <w:rFonts w:hint="eastAsia" w:ascii="宋体" w:hAnsi="宋体"/>
                <w:color w:val="auto"/>
                <w:szCs w:val="21"/>
              </w:rPr>
              <w:t>1</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最高投标限价</w:t>
            </w:r>
          </w:p>
        </w:tc>
        <w:tc>
          <w:tcPr>
            <w:tcW w:w="6009"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olor w:val="auto"/>
                <w:szCs w:val="21"/>
              </w:rPr>
            </w:pPr>
            <w:r>
              <w:rPr>
                <w:rFonts w:hint="eastAsia" w:ascii="宋体" w:hAnsi="宋体"/>
                <w:color w:val="auto"/>
                <w:szCs w:val="21"/>
              </w:rPr>
              <w:t>本项目最高投标限价人民币</w:t>
            </w:r>
            <w:r>
              <w:rPr>
                <w:rFonts w:hint="eastAsia" w:ascii="宋体" w:hAnsi="宋体"/>
                <w:color w:val="auto"/>
                <w:szCs w:val="21"/>
                <w:u w:val="single"/>
              </w:rPr>
              <w:t>22840180.08</w:t>
            </w:r>
            <w:r>
              <w:rPr>
                <w:rFonts w:hint="eastAsia" w:ascii="宋体" w:hAnsi="宋体"/>
                <w:color w:val="auto"/>
                <w:szCs w:val="21"/>
              </w:rPr>
              <w:t>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2</w:t>
            </w:r>
            <w:r>
              <w:rPr>
                <w:rFonts w:hint="eastAsia" w:ascii="宋体" w:hAnsi="宋体"/>
                <w:color w:val="auto"/>
                <w:szCs w:val="21"/>
              </w:rPr>
              <w:t>2</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非竞争费用</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rPr>
            </w:pPr>
            <w:r>
              <w:rPr>
                <w:rFonts w:hint="eastAsia" w:ascii="宋体" w:hAnsi="宋体"/>
                <w:color w:val="auto"/>
                <w:szCs w:val="21"/>
              </w:rPr>
              <w:t>本项目绿色施工安全防护措施费为</w:t>
            </w:r>
            <w:r>
              <w:rPr>
                <w:rFonts w:hint="eastAsia" w:ascii="宋体" w:hAnsi="宋体"/>
                <w:color w:val="auto"/>
                <w:szCs w:val="21"/>
                <w:u w:val="single"/>
              </w:rPr>
              <w:t>705441.90</w:t>
            </w:r>
            <w:r>
              <w:rPr>
                <w:rFonts w:hint="eastAsia" w:ascii="宋体" w:hAnsi="宋体"/>
                <w:color w:val="auto"/>
                <w:szCs w:val="21"/>
              </w:rPr>
              <w:t>元，暂列金额为</w:t>
            </w:r>
          </w:p>
          <w:p>
            <w:pPr>
              <w:rPr>
                <w:rFonts w:ascii="宋体" w:hAnsi="宋体"/>
                <w:color w:val="auto"/>
                <w:szCs w:val="21"/>
              </w:rPr>
            </w:pPr>
            <w:r>
              <w:rPr>
                <w:rFonts w:hint="eastAsia" w:ascii="宋体" w:hAnsi="宋体"/>
                <w:color w:val="auto"/>
                <w:szCs w:val="21"/>
                <w:u w:val="single"/>
              </w:rPr>
              <w:t>　/　</w:t>
            </w:r>
            <w:r>
              <w:rPr>
                <w:rFonts w:hint="eastAsia" w:ascii="宋体" w:hAnsi="宋体"/>
                <w:color w:val="auto"/>
                <w:szCs w:val="21"/>
              </w:rPr>
              <w:t>元，暂估价为</w:t>
            </w:r>
            <w:r>
              <w:rPr>
                <w:rFonts w:hint="eastAsia" w:ascii="宋体" w:hAnsi="宋体"/>
                <w:color w:val="auto"/>
                <w:szCs w:val="21"/>
                <w:u w:val="single"/>
              </w:rPr>
              <w:t>　/　</w:t>
            </w:r>
            <w:r>
              <w:rPr>
                <w:rFonts w:hint="eastAsia" w:ascii="宋体" w:hAnsi="宋体"/>
                <w:color w:val="auto"/>
                <w:szCs w:val="21"/>
              </w:rPr>
              <w:t>元。（未按招标文件规定的金额填写的，由评标委员会按照招标文件规定的金额进行修正）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23</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pStyle w:val="5"/>
              <w:ind w:firstLine="0"/>
              <w:rPr>
                <w:rFonts w:ascii="宋体" w:hAnsi="宋体"/>
                <w:color w:val="auto"/>
                <w:szCs w:val="21"/>
              </w:rPr>
            </w:pPr>
            <w:r>
              <w:rPr>
                <w:rFonts w:hint="eastAsia" w:ascii="宋体" w:hAnsi="宋体"/>
                <w:color w:val="auto"/>
                <w:szCs w:val="21"/>
              </w:rPr>
              <w:t>保修期</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rPr>
            </w:pPr>
            <w:r>
              <w:rPr>
                <w:rFonts w:hint="eastAsia" w:ascii="宋体" w:hAnsi="宋体"/>
                <w:color w:val="auto"/>
                <w:szCs w:val="21"/>
              </w:rPr>
              <w:t>按照《建设工程质量管理条例》规定。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2</w:t>
            </w:r>
            <w:r>
              <w:rPr>
                <w:rFonts w:hint="eastAsia" w:ascii="宋体" w:hAnsi="宋体"/>
                <w:color w:val="auto"/>
                <w:szCs w:val="21"/>
              </w:rPr>
              <w:t>4</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计算评标参考价的等分点值</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rPr>
            </w:pPr>
            <w:r>
              <w:rPr>
                <w:rFonts w:hint="eastAsia" w:ascii="宋体" w:hAnsi="宋体"/>
                <w:color w:val="auto"/>
                <w:szCs w:val="21"/>
                <w:u w:val="single"/>
              </w:rPr>
              <w:t>本条不适用。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25</w:t>
            </w:r>
          </w:p>
        </w:tc>
        <w:tc>
          <w:tcPr>
            <w:tcW w:w="981" w:type="dxa"/>
            <w:tcBorders>
              <w:top w:val="single" w:color="auto" w:sz="4" w:space="0"/>
              <w:left w:val="single" w:color="auto" w:sz="4" w:space="0"/>
              <w:bottom w:val="single" w:color="auto" w:sz="4" w:space="0"/>
              <w:right w:val="single" w:color="auto" w:sz="4" w:space="0"/>
            </w:tcBorders>
            <w:vAlign w:val="center"/>
          </w:tcPr>
          <w:p>
            <w:pPr>
              <w:ind w:firstLine="458"/>
              <w:rPr>
                <w:rFonts w:ascii="宋体" w:hAnsi="宋体"/>
                <w:color w:val="auto"/>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进入第二阶段评审的家数</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rPr>
            </w:pPr>
            <w:r>
              <w:rPr>
                <w:rFonts w:hint="eastAsia" w:ascii="宋体" w:hAnsi="宋体"/>
                <w:color w:val="auto"/>
                <w:szCs w:val="21"/>
                <w:u w:val="single"/>
              </w:rPr>
              <w:t>本条不适用。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26</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工程成本警戒价</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rPr>
            </w:pPr>
            <w:r>
              <w:rPr>
                <w:rFonts w:hint="eastAsia" w:ascii="宋体" w:hAnsi="宋体"/>
                <w:b/>
                <w:bCs/>
                <w:color w:val="auto"/>
                <w:szCs w:val="21"/>
              </w:rPr>
              <w:t>工程成本警戒价为</w:t>
            </w:r>
            <w:r>
              <w:rPr>
                <w:rFonts w:hint="eastAsia" w:ascii="宋体" w:hAnsi="宋体"/>
                <w:b/>
                <w:bCs/>
                <w:color w:val="auto"/>
                <w:szCs w:val="21"/>
                <w:u w:val="single"/>
              </w:rPr>
              <w:t xml:space="preserve">21698171.08 </w:t>
            </w:r>
            <w:r>
              <w:rPr>
                <w:rFonts w:hint="eastAsia" w:ascii="宋体" w:hAnsi="宋体"/>
                <w:b/>
                <w:bCs/>
                <w:color w:val="auto"/>
                <w:szCs w:val="21"/>
              </w:rPr>
              <w:t>元</w:t>
            </w:r>
            <w:r>
              <w:rPr>
                <w:rFonts w:hint="eastAsia" w:ascii="宋体" w:hAnsi="宋体" w:cs="宋体"/>
                <w:b/>
                <w:bCs/>
                <w:color w:val="auto"/>
                <w:szCs w:val="21"/>
                <w:u w:val="single"/>
              </w:rPr>
              <w:t>(最高投标限价的95%设置为工程成本警戒价)</w:t>
            </w:r>
            <w:r>
              <w:rPr>
                <w:rFonts w:hint="eastAsia" w:ascii="宋体" w:hAnsi="宋体"/>
                <w:b/>
                <w:bCs/>
                <w:color w:val="auto"/>
                <w:szCs w:val="21"/>
              </w:rPr>
              <w:t>。</w:t>
            </w:r>
            <w:r>
              <w:rPr>
                <w:rFonts w:hint="eastAsia" w:ascii="宋体" w:hAnsi="宋体"/>
                <w:color w:val="auto"/>
                <w:szCs w:val="21"/>
              </w:rPr>
              <w:t>对低于该警戒价的投标报价，投标人必须提供详细的施工组织设计、单价、措施性费用、单价分析表、主要材料价格表、投标人成本分析供评标委员会评审，由评标委员会判定其是否低于企业自身成本。在评标过程中，评标委员会发现投标人的报价明显低于其他投标报价或者低于成本警戒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rPr>
                <w:rFonts w:ascii="宋体" w:hAnsi="宋体"/>
                <w:color w:val="auto"/>
                <w:szCs w:val="21"/>
                <w:u w:val="single"/>
              </w:rPr>
            </w:pPr>
            <w:r>
              <w:rPr>
                <w:rFonts w:hint="eastAsia" w:ascii="宋体" w:hAnsi="宋体"/>
                <w:color w:val="auto"/>
                <w:szCs w:val="21"/>
              </w:rPr>
              <w:t>注：为充分体现招标人意愿及落实项目招标人负责制，警戒价由招标人决定。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38"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27</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第一阶段各分值的权重</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rPr>
            </w:pPr>
            <w:r>
              <w:rPr>
                <w:rFonts w:hint="eastAsia" w:ascii="宋体" w:hAnsi="宋体"/>
                <w:color w:val="auto"/>
                <w:szCs w:val="21"/>
                <w:u w:val="single"/>
              </w:rPr>
              <w:t>本条不适用。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28</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评标委员会人数</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rPr>
            </w:pPr>
            <w:r>
              <w:rPr>
                <w:rFonts w:hint="eastAsia" w:ascii="宋体" w:hAnsi="宋体"/>
                <w:color w:val="auto"/>
                <w:szCs w:val="21"/>
              </w:rPr>
              <w:t>评标委员会由招标人依法组建。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29</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企业综合诚信评价分数</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rPr>
            </w:pPr>
            <w:r>
              <w:rPr>
                <w:rFonts w:hint="eastAsia" w:ascii="宋体" w:hAnsi="宋体"/>
                <w:color w:val="auto"/>
                <w:szCs w:val="21"/>
                <w:u w:val="single"/>
              </w:rPr>
              <w:t>本条不适用。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30</w:t>
            </w:r>
          </w:p>
        </w:tc>
        <w:tc>
          <w:tcPr>
            <w:tcW w:w="981" w:type="dxa"/>
            <w:tcBorders>
              <w:top w:val="single" w:color="auto" w:sz="4" w:space="0"/>
              <w:left w:val="single" w:color="auto" w:sz="4" w:space="0"/>
              <w:bottom w:val="single" w:color="auto" w:sz="4" w:space="0"/>
              <w:right w:val="single" w:color="auto" w:sz="4" w:space="0"/>
            </w:tcBorders>
            <w:vAlign w:val="center"/>
          </w:tcPr>
          <w:p>
            <w:pPr>
              <w:ind w:firstLine="458"/>
              <w:rPr>
                <w:rFonts w:ascii="宋体" w:hAnsi="宋体"/>
                <w:color w:val="auto"/>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ind w:firstLine="458"/>
              <w:rPr>
                <w:rFonts w:ascii="宋体" w:hAnsi="宋体"/>
                <w:color w:val="auto"/>
                <w:szCs w:val="21"/>
              </w:rPr>
            </w:pPr>
            <w:r>
              <w:rPr>
                <w:rFonts w:hint="eastAsia" w:ascii="宋体" w:hAnsi="宋体"/>
                <w:color w:val="auto"/>
                <w:szCs w:val="21"/>
              </w:rPr>
              <w:t>第二阶段投标人名次的排序方法（适用于办法一、办法二）</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rPr>
            </w:pPr>
            <w:r>
              <w:rPr>
                <w:rFonts w:hint="eastAsia" w:ascii="宋体" w:hAnsi="宋体"/>
                <w:color w:val="auto"/>
                <w:szCs w:val="21"/>
                <w:u w:val="single"/>
              </w:rPr>
              <w:t>本条不适用。</w:t>
            </w:r>
            <w:r>
              <w:rPr>
                <w:rFonts w:hint="eastAsia" w:ascii="宋体" w:hAnsi="宋体"/>
                <w:color w:val="auto"/>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31</w:t>
            </w:r>
          </w:p>
        </w:tc>
        <w:tc>
          <w:tcPr>
            <w:tcW w:w="981" w:type="dxa"/>
            <w:tcBorders>
              <w:top w:val="single" w:color="auto" w:sz="4" w:space="0"/>
              <w:left w:val="single" w:color="auto" w:sz="4" w:space="0"/>
              <w:bottom w:val="single" w:color="auto" w:sz="4" w:space="0"/>
              <w:right w:val="single" w:color="auto" w:sz="4" w:space="0"/>
            </w:tcBorders>
            <w:vAlign w:val="center"/>
          </w:tcPr>
          <w:p>
            <w:pPr>
              <w:ind w:firstLine="458"/>
              <w:rPr>
                <w:rFonts w:ascii="宋体" w:hAnsi="宋体"/>
                <w:color w:val="auto"/>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经济分相同情况下的排序方法（适用于办法三、办法四）</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rPr>
            </w:pPr>
            <w:r>
              <w:rPr>
                <w:rFonts w:hint="eastAsia" w:ascii="宋体" w:hAnsi="宋体"/>
                <w:color w:val="auto"/>
                <w:szCs w:val="21"/>
                <w:u w:val="single"/>
              </w:rPr>
              <w:t>本条不适用。</w:t>
            </w:r>
            <w:bookmarkStart w:id="60" w:name="_GoBack"/>
            <w:bookmarkEnd w:id="60"/>
            <w:r>
              <w:rPr>
                <w:rFonts w:hint="eastAsia" w:ascii="宋体" w:hAnsi="宋体"/>
                <w:color w:val="auto"/>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32</w:t>
            </w:r>
          </w:p>
        </w:tc>
        <w:tc>
          <w:tcPr>
            <w:tcW w:w="981" w:type="dxa"/>
            <w:tcBorders>
              <w:top w:val="single" w:color="auto" w:sz="4" w:space="0"/>
              <w:left w:val="single" w:color="auto" w:sz="4" w:space="0"/>
              <w:bottom w:val="single" w:color="auto" w:sz="4" w:space="0"/>
              <w:right w:val="single" w:color="auto" w:sz="4" w:space="0"/>
            </w:tcBorders>
            <w:vAlign w:val="center"/>
          </w:tcPr>
          <w:p>
            <w:pPr>
              <w:ind w:firstLine="458"/>
              <w:rPr>
                <w:rFonts w:ascii="宋体" w:hAnsi="宋体"/>
                <w:color w:val="auto"/>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第二阶段投标人名次的排序方法（适用于办法五、办法六）</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rPr>
            </w:pPr>
            <w:r>
              <w:rPr>
                <w:rFonts w:hint="eastAsia" w:ascii="宋体" w:hAnsi="宋体"/>
                <w:color w:val="auto"/>
                <w:szCs w:val="21"/>
                <w:u w:val="single"/>
              </w:rPr>
              <w:t>本条不适用。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33</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13.4</w:t>
            </w:r>
            <w:r>
              <w:rPr>
                <w:rFonts w:hint="eastAsia" w:ascii="宋体" w:hAnsi="宋体"/>
                <w:color w:val="auto"/>
                <w:szCs w:val="21"/>
              </w:rPr>
              <w:t>、</w:t>
            </w:r>
            <w:r>
              <w:rPr>
                <w:rFonts w:ascii="宋体" w:hAnsi="宋体"/>
                <w:color w:val="auto"/>
                <w:szCs w:val="21"/>
              </w:rPr>
              <w:t>13.5.2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合同价款的调整办法</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u w:val="single"/>
              </w:rPr>
            </w:pPr>
            <w:r>
              <w:rPr>
                <w:rFonts w:hint="eastAsia" w:ascii="宋体" w:hAnsi="宋体" w:cs="宋体"/>
                <w:bCs/>
                <w:color w:val="auto"/>
                <w:szCs w:val="21"/>
                <w:u w:val="single"/>
              </w:rPr>
              <w:t>按招标文件及合同条款相关约定调整。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3</w:t>
            </w:r>
            <w:r>
              <w:rPr>
                <w:rFonts w:hint="eastAsia" w:ascii="宋体" w:hAnsi="宋体"/>
                <w:color w:val="auto"/>
                <w:szCs w:val="21"/>
              </w:rPr>
              <w:t>4</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建设工程质量检测单位</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kern w:val="0"/>
                <w:szCs w:val="21"/>
                <w:lang w:val="zh-CN"/>
              </w:rPr>
            </w:pPr>
            <w:r>
              <w:rPr>
                <w:rFonts w:hint="eastAsia" w:ascii="宋体" w:hAnsi="宋体" w:cs="宋体"/>
                <w:bCs/>
                <w:color w:val="auto"/>
                <w:szCs w:val="21"/>
                <w:u w:val="single"/>
              </w:rPr>
              <w:t>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测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35</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0"/>
                <w:szCs w:val="21"/>
                <w:lang w:val="zh-CN"/>
              </w:rPr>
            </w:pPr>
            <w:r>
              <w:rPr>
                <w:rFonts w:hint="eastAsia" w:ascii="宋体" w:hAnsi="宋体"/>
                <w:color w:val="auto"/>
                <w:kern w:val="0"/>
                <w:szCs w:val="21"/>
                <w:lang w:val="zh-CN"/>
              </w:rPr>
              <w:t>分包</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kern w:val="0"/>
                <w:szCs w:val="21"/>
                <w:lang w:val="zh-CN"/>
              </w:rPr>
            </w:pPr>
            <w:r>
              <w:rPr>
                <w:rFonts w:hint="eastAsia" w:ascii="宋体" w:hAnsi="宋体"/>
                <w:color w:val="auto"/>
                <w:kern w:val="0"/>
                <w:szCs w:val="21"/>
                <w:lang w:val="zh-CN"/>
              </w:rPr>
              <w:sym w:font="Wingdings 2" w:char="00A3"/>
            </w:r>
            <w:r>
              <w:rPr>
                <w:rFonts w:hint="eastAsia" w:ascii="宋体" w:hAnsi="宋体"/>
                <w:color w:val="auto"/>
                <w:kern w:val="0"/>
                <w:szCs w:val="21"/>
                <w:lang w:val="zh-CN"/>
              </w:rPr>
              <w:t>不允许；</w:t>
            </w:r>
          </w:p>
          <w:p>
            <w:pPr>
              <w:rPr>
                <w:rFonts w:ascii="宋体" w:hAnsi="宋体" w:cs="宋体"/>
                <w:color w:val="auto"/>
                <w:kern w:val="0"/>
                <w:szCs w:val="21"/>
                <w:lang w:val="zh-CN"/>
              </w:rPr>
            </w:pPr>
            <w:r>
              <w:rPr>
                <w:rFonts w:hint="eastAsia" w:ascii="宋体" w:hAnsi="宋体" w:cs="宋体"/>
                <w:color w:val="auto"/>
                <w:kern w:val="0"/>
                <w:szCs w:val="21"/>
                <w:lang w:val="zh-CN"/>
              </w:rPr>
              <w:t>■</w:t>
            </w:r>
            <w:r>
              <w:rPr>
                <w:rFonts w:hint="eastAsia" w:ascii="宋体" w:hAnsi="宋体"/>
                <w:color w:val="auto"/>
                <w:kern w:val="0"/>
                <w:szCs w:val="21"/>
                <w:lang w:val="zh-CN"/>
              </w:rPr>
              <w:t>允许：分包内容要要求：</w:t>
            </w:r>
            <w:r>
              <w:rPr>
                <w:rFonts w:hint="eastAsia" w:ascii="宋体" w:hAnsi="宋体" w:cs="宋体"/>
                <w:color w:val="auto"/>
                <w:kern w:val="0"/>
                <w:szCs w:val="21"/>
                <w:u w:val="single"/>
                <w:lang w:val="zh-CN"/>
              </w:rPr>
              <w:t>中标人按照合同约定或者经招标人同意，可以将中标项目的部分非主体、非关键性工作分包给他人完成。</w:t>
            </w:r>
          </w:p>
          <w:p>
            <w:pPr>
              <w:rPr>
                <w:rFonts w:ascii="宋体" w:hAnsi="宋体" w:cs="宋体"/>
                <w:color w:val="auto"/>
                <w:kern w:val="0"/>
                <w:szCs w:val="21"/>
                <w:lang w:val="zh-CN"/>
              </w:rPr>
            </w:pPr>
            <w:r>
              <w:rPr>
                <w:rFonts w:hint="eastAsia" w:ascii="宋体" w:hAnsi="宋体"/>
                <w:color w:val="auto"/>
                <w:kern w:val="0"/>
                <w:szCs w:val="21"/>
                <w:lang w:val="zh-CN"/>
              </w:rPr>
              <w:t xml:space="preserve">      </w:t>
            </w:r>
            <w:r>
              <w:rPr>
                <w:rFonts w:hint="eastAsia" w:ascii="宋体" w:hAnsi="宋体" w:cs="宋体"/>
                <w:color w:val="auto"/>
                <w:kern w:val="0"/>
                <w:szCs w:val="21"/>
                <w:lang w:val="zh-CN"/>
              </w:rPr>
              <w:t>分包金额要求：</w:t>
            </w:r>
            <w:r>
              <w:rPr>
                <w:rFonts w:hint="eastAsia" w:ascii="宋体" w:hAnsi="宋体" w:cs="宋体"/>
                <w:color w:val="auto"/>
                <w:kern w:val="0"/>
                <w:szCs w:val="21"/>
                <w:u w:val="single"/>
                <w:lang w:val="zh-CN"/>
              </w:rPr>
              <w:t>根据实际情况确定。</w:t>
            </w:r>
          </w:p>
          <w:p>
            <w:pPr>
              <w:rPr>
                <w:rFonts w:ascii="宋体" w:hAnsi="宋体" w:cs="宋体"/>
                <w:color w:val="auto"/>
                <w:kern w:val="0"/>
                <w:szCs w:val="21"/>
                <w:u w:val="single"/>
                <w:lang w:val="zh-CN"/>
              </w:rPr>
            </w:pPr>
            <w:r>
              <w:rPr>
                <w:rFonts w:hint="eastAsia" w:ascii="宋体" w:hAnsi="宋体" w:cs="宋体"/>
                <w:color w:val="auto"/>
                <w:kern w:val="0"/>
                <w:szCs w:val="21"/>
                <w:lang w:val="zh-CN"/>
              </w:rPr>
              <w:t xml:space="preserve">      对分包人的资质要求：</w:t>
            </w:r>
            <w:r>
              <w:rPr>
                <w:rFonts w:hint="eastAsia" w:ascii="宋体" w:hAnsi="宋体" w:cs="宋体"/>
                <w:color w:val="auto"/>
                <w:kern w:val="0"/>
                <w:szCs w:val="21"/>
                <w:u w:val="single"/>
                <w:lang w:val="zh-CN"/>
              </w:rPr>
              <w:t>按国家资质管理规定执行。</w:t>
            </w:r>
          </w:p>
          <w:p>
            <w:pPr>
              <w:rPr>
                <w:rFonts w:ascii="宋体" w:hAnsi="宋体"/>
                <w:color w:val="auto"/>
                <w:kern w:val="0"/>
                <w:szCs w:val="21"/>
                <w:lang w:val="zh-CN"/>
              </w:rPr>
            </w:pPr>
            <w:r>
              <w:rPr>
                <w:rFonts w:hint="eastAsia" w:ascii="宋体" w:hAnsi="宋体"/>
                <w:color w:val="auto"/>
                <w:kern w:val="0"/>
                <w:szCs w:val="21"/>
                <w:lang w:val="zh-CN"/>
              </w:rPr>
              <w:t xml:space="preserve">      对分包人的其他要求：</w:t>
            </w:r>
            <w:r>
              <w:rPr>
                <w:rFonts w:hint="eastAsia" w:ascii="宋体" w:hAnsi="宋体"/>
                <w:color w:val="auto"/>
                <w:kern w:val="0"/>
                <w:szCs w:val="21"/>
                <w:u w:val="single"/>
              </w:rPr>
              <w:t xml:space="preserve">  </w:t>
            </w:r>
            <w:r>
              <w:rPr>
                <w:rFonts w:hint="eastAsia" w:ascii="宋体" w:hAnsi="宋体" w:cs="宋体"/>
                <w:color w:val="auto"/>
                <w:kern w:val="0"/>
                <w:szCs w:val="21"/>
                <w:u w:val="single"/>
                <w:lang w:val="zh-CN"/>
              </w:rPr>
              <w:t>/</w:t>
            </w:r>
            <w:r>
              <w:rPr>
                <w:rFonts w:hint="eastAsia" w:ascii="宋体" w:hAnsi="宋体" w:cs="宋体"/>
                <w:color w:val="auto"/>
                <w:kern w:val="0"/>
                <w:szCs w:val="21"/>
                <w:u w:val="single"/>
              </w:rPr>
              <w:t xml:space="preserve">  </w:t>
            </w:r>
            <w:r>
              <w:rPr>
                <w:rFonts w:hint="eastAsia" w:ascii="宋体" w:hAnsi="宋体" w:cs="宋体"/>
                <w:color w:val="auto"/>
                <w:kern w:val="0"/>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36</w:t>
            </w:r>
          </w:p>
        </w:tc>
        <w:tc>
          <w:tcPr>
            <w:tcW w:w="9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18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电子招标投标解密失败及突发情况的补救</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cs="Courier New"/>
                <w:color w:val="auto"/>
                <w:szCs w:val="21"/>
              </w:rPr>
            </w:pPr>
            <w:r>
              <w:rPr>
                <w:rFonts w:hint="eastAsia" w:ascii="宋体" w:hAnsi="宋体" w:cs="Courier New"/>
                <w:color w:val="auto"/>
                <w:szCs w:val="21"/>
              </w:rPr>
              <w:t>1、按照交易平台关于全流程电子化项目的相关指南进行操作。详见：</w:t>
            </w:r>
            <w:r>
              <w:rPr>
                <w:rFonts w:hint="eastAsia" w:ascii="宋体" w:hAnsi="宋体" w:cs="宋体"/>
                <w:color w:val="auto"/>
                <w:kern w:val="0"/>
                <w:szCs w:val="21"/>
                <w:u w:val="single"/>
                <w:lang w:val="zh-CN"/>
              </w:rPr>
              <w:t>广州交易集团有限公司（广州公共资源交易中心）网站</w:t>
            </w:r>
            <w:r>
              <w:rPr>
                <w:rFonts w:hint="eastAsia" w:ascii="宋体" w:hAnsi="宋体" w:cs="Courier New"/>
                <w:color w:val="auto"/>
                <w:szCs w:val="21"/>
              </w:rPr>
              <w:t xml:space="preserve">。  </w:t>
            </w:r>
          </w:p>
          <w:p>
            <w:pPr>
              <w:rPr>
                <w:rFonts w:ascii="宋体" w:hAnsi="宋体" w:cs="Courier New"/>
                <w:color w:val="auto"/>
                <w:szCs w:val="21"/>
              </w:rPr>
            </w:pPr>
            <w:r>
              <w:rPr>
                <w:rFonts w:hint="eastAsia" w:ascii="宋体" w:hAnsi="宋体" w:cs="Courier New"/>
                <w:color w:val="auto"/>
                <w:szCs w:val="21"/>
              </w:rPr>
              <w:t>2、提交投标文件光盘备用</w:t>
            </w:r>
          </w:p>
          <w:p>
            <w:pPr>
              <w:rPr>
                <w:rFonts w:ascii="宋体" w:hAnsi="宋体" w:cs="Courier New"/>
                <w:color w:val="auto"/>
                <w:szCs w:val="21"/>
              </w:rPr>
            </w:pPr>
            <w:r>
              <w:rPr>
                <w:rFonts w:hint="eastAsia" w:ascii="宋体" w:hAnsi="宋体" w:cs="Courier New"/>
                <w:color w:val="auto"/>
                <w:szCs w:val="21"/>
              </w:rPr>
              <w:t>投标人可制作非加密的电子投标文件（PDF格式）刻入光盘（1份），在投标须知前附表第18项规定的时间、地点提交备用。刻录好的投标文件光盘密封在密封袋中，并在封口处加盖投标人单位公章。密封袋上应写明项目名称和招标人名称。递交的光盘不得加密。光盘无法读取或导入的，则视为未提交备用投标文件光盘。如果投标人没有按规定通过交易平台网上递交电子投标文件的，不再读取提交的光盘。投标人也可不提交备用光盘。</w:t>
            </w:r>
          </w:p>
          <w:p>
            <w:pPr>
              <w:rPr>
                <w:rFonts w:ascii="宋体" w:hAnsi="宋体" w:cs="Courier New"/>
                <w:color w:val="auto"/>
                <w:szCs w:val="21"/>
              </w:rPr>
            </w:pPr>
            <w:r>
              <w:rPr>
                <w:rFonts w:hint="eastAsia" w:ascii="宋体" w:hAnsi="宋体" w:cs="Courier New"/>
                <w:color w:val="auto"/>
                <w:szCs w:val="21"/>
              </w:rPr>
              <w:t xml:space="preserve"> 3、补救方案</w:t>
            </w:r>
          </w:p>
          <w:p>
            <w:pPr>
              <w:rPr>
                <w:rFonts w:ascii="宋体" w:hAnsi="宋体" w:cs="Courier New"/>
                <w:color w:val="auto"/>
                <w:szCs w:val="21"/>
              </w:rPr>
            </w:pPr>
            <w:r>
              <w:rPr>
                <w:rFonts w:hint="eastAsia" w:ascii="宋体" w:hAnsi="宋体" w:cs="Courier New"/>
                <w:color w:val="auto"/>
                <w:szCs w:val="21"/>
              </w:rPr>
              <w:t>（1）投标文件解密失败的补救方案：</w:t>
            </w:r>
          </w:p>
          <w:p>
            <w:pPr>
              <w:rPr>
                <w:rFonts w:ascii="宋体" w:hAnsi="宋体" w:cs="Courier New"/>
                <w:color w:val="auto"/>
                <w:szCs w:val="21"/>
              </w:rPr>
            </w:pPr>
            <w:r>
              <w:rPr>
                <w:rFonts w:hint="eastAsia" w:ascii="宋体" w:hAnsi="宋体" w:cs="Courier New"/>
                <w:color w:val="auto"/>
                <w:szCs w:val="21"/>
              </w:rPr>
              <w:t>在规定时间内，因投标人之外原因(指网络瘫痪、服务器损坏、交易系统故障短期无法恢复)导致的电子投标文件解密失败，在开标现场读取光盘内容，继续开标程序。评标委员会对其投标文件的评审以光盘内容为准。因投标人之外原因解密失败且未递交电子光盘的，视为撤回投标文件。</w:t>
            </w:r>
          </w:p>
          <w:p>
            <w:pPr>
              <w:rPr>
                <w:rFonts w:ascii="宋体" w:hAnsi="宋体" w:cs="Courier New"/>
                <w:color w:val="auto"/>
                <w:szCs w:val="21"/>
              </w:rPr>
            </w:pPr>
            <w:r>
              <w:rPr>
                <w:rFonts w:hint="eastAsia" w:ascii="宋体" w:hAnsi="宋体" w:cs="Courier New"/>
                <w:color w:val="auto"/>
                <w:szCs w:val="21"/>
              </w:rPr>
              <w:t>（2）评标时突发情况的补救方案</w:t>
            </w:r>
          </w:p>
          <w:p>
            <w:pPr>
              <w:rPr>
                <w:rFonts w:ascii="宋体" w:hAnsi="宋体" w:cs="Courier New"/>
                <w:color w:val="auto"/>
                <w:szCs w:val="21"/>
              </w:rPr>
            </w:pPr>
            <w:r>
              <w:rPr>
                <w:rFonts w:hint="eastAsia" w:ascii="宋体" w:hAnsi="宋体" w:cs="Courier New"/>
                <w:color w:val="auto"/>
                <w:szCs w:val="21"/>
              </w:rPr>
              <w:t>若遇不可抗力发生（指网络瘫痪、服务器损坏、交易系统故障短期无法恢复等因素），由评标委员会开启投标人递交的全部投标文件光盘，并按光盘内容进行评审。</w:t>
            </w:r>
          </w:p>
          <w:p>
            <w:pPr>
              <w:rPr>
                <w:rFonts w:ascii="宋体" w:hAnsi="宋体" w:cs="Courier New"/>
                <w:color w:val="auto"/>
                <w:szCs w:val="21"/>
              </w:rPr>
            </w:pPr>
            <w:r>
              <w:rPr>
                <w:rFonts w:hint="eastAsia" w:ascii="宋体" w:hAnsi="宋体" w:cs="Courier New"/>
                <w:color w:val="auto"/>
                <w:szCs w:val="21"/>
              </w:rPr>
              <w:t>（3）除发生上述情况外，开标评标均以投标人通过交易平台网上递交的电子投标文件为准。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37</w:t>
            </w:r>
          </w:p>
        </w:tc>
        <w:tc>
          <w:tcPr>
            <w:tcW w:w="9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18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cs="宋体"/>
                <w:b/>
                <w:color w:val="auto"/>
                <w:u w:val="single"/>
              </w:rPr>
              <w:t>其它</w:t>
            </w:r>
          </w:p>
        </w:tc>
        <w:tc>
          <w:tcPr>
            <w:tcW w:w="6009" w:type="dxa"/>
            <w:tcBorders>
              <w:top w:val="single" w:color="auto" w:sz="4" w:space="0"/>
              <w:left w:val="single" w:color="auto" w:sz="4" w:space="0"/>
              <w:bottom w:val="single" w:color="auto" w:sz="4" w:space="0"/>
              <w:right w:val="double" w:color="auto" w:sz="4" w:space="0"/>
            </w:tcBorders>
            <w:vAlign w:val="center"/>
          </w:tcPr>
          <w:p>
            <w:pPr>
              <w:rPr>
                <w:rFonts w:ascii="宋体" w:hAnsi="宋体" w:cs="Courier New"/>
                <w:color w:val="auto"/>
                <w:szCs w:val="21"/>
              </w:rPr>
            </w:pPr>
            <w:r>
              <w:rPr>
                <w:rFonts w:ascii="宋体" w:hAnsi="宋体" w:cs="宋体"/>
                <w:b/>
                <w:color w:val="auto"/>
                <w:u w:val="single"/>
              </w:rPr>
              <w:t>各级住建主管部门审批的资质证书过期的，如能提供有关顺延资质资格有效期有关文件且符合文件规定的，则视为仍然有效。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702" w:type="dxa"/>
            <w:tcBorders>
              <w:top w:val="single" w:color="auto" w:sz="4" w:space="0"/>
              <w:left w:val="double" w:color="auto" w:sz="4" w:space="0"/>
              <w:bottom w:val="doub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38</w:t>
            </w:r>
          </w:p>
        </w:tc>
        <w:tc>
          <w:tcPr>
            <w:tcW w:w="981" w:type="dxa"/>
            <w:tcBorders>
              <w:top w:val="single" w:color="auto" w:sz="4" w:space="0"/>
              <w:left w:val="single" w:color="auto" w:sz="4" w:space="0"/>
              <w:bottom w:val="double" w:color="auto" w:sz="4" w:space="0"/>
              <w:right w:val="single" w:color="auto" w:sz="4" w:space="0"/>
            </w:tcBorders>
            <w:vAlign w:val="center"/>
          </w:tcPr>
          <w:p>
            <w:pPr>
              <w:jc w:val="center"/>
              <w:rPr>
                <w:rFonts w:ascii="宋体" w:hAnsi="宋体"/>
                <w:color w:val="auto"/>
              </w:rPr>
            </w:pPr>
          </w:p>
        </w:tc>
        <w:tc>
          <w:tcPr>
            <w:tcW w:w="1810" w:type="dxa"/>
            <w:tcBorders>
              <w:top w:val="single" w:color="auto" w:sz="4" w:space="0"/>
              <w:left w:val="single" w:color="auto" w:sz="4" w:space="0"/>
              <w:bottom w:val="double" w:color="auto" w:sz="4" w:space="0"/>
              <w:right w:val="single" w:color="auto" w:sz="4" w:space="0"/>
            </w:tcBorders>
            <w:vAlign w:val="center"/>
          </w:tcPr>
          <w:p>
            <w:pPr>
              <w:jc w:val="center"/>
              <w:rPr>
                <w:rFonts w:ascii="宋体" w:hAnsi="宋体"/>
                <w:color w:val="auto"/>
              </w:rPr>
            </w:pPr>
            <w:r>
              <w:rPr>
                <w:rFonts w:hint="eastAsia" w:ascii="宋体" w:hAnsi="宋体" w:cs="宋体"/>
                <w:b/>
                <w:color w:val="auto"/>
                <w:u w:val="single"/>
              </w:rPr>
              <w:t>其他费用</w:t>
            </w:r>
          </w:p>
        </w:tc>
        <w:tc>
          <w:tcPr>
            <w:tcW w:w="6009" w:type="dxa"/>
            <w:tcBorders>
              <w:top w:val="single" w:color="auto" w:sz="4" w:space="0"/>
              <w:left w:val="single" w:color="auto" w:sz="4" w:space="0"/>
              <w:bottom w:val="double" w:color="auto" w:sz="4" w:space="0"/>
              <w:right w:val="double" w:color="auto" w:sz="4" w:space="0"/>
            </w:tcBorders>
            <w:vAlign w:val="center"/>
          </w:tcPr>
          <w:p>
            <w:pPr>
              <w:rPr>
                <w:rFonts w:ascii="宋体" w:hAnsi="宋体" w:cs="Courier New"/>
                <w:color w:val="auto"/>
                <w:szCs w:val="21"/>
              </w:rPr>
            </w:pPr>
            <w:r>
              <w:rPr>
                <w:rFonts w:hint="eastAsia" w:ascii="宋体" w:hAnsi="宋体" w:cs="宋体"/>
                <w:b/>
                <w:color w:val="auto"/>
                <w:szCs w:val="21"/>
                <w:u w:val="single"/>
              </w:rPr>
              <w:t>交易服务费：根据广州市政府相关文件的规定，向广州交易集团有限公司（广州公共资源交易中心）交纳交易服务费。</w:t>
            </w:r>
          </w:p>
        </w:tc>
      </w:tr>
    </w:tbl>
    <w:p>
      <w:pPr>
        <w:spacing w:line="480" w:lineRule="auto"/>
        <w:rPr>
          <w:rFonts w:ascii="宋体"/>
          <w:strike/>
          <w:color w:val="auto"/>
          <w:sz w:val="24"/>
        </w:rPr>
      </w:pPr>
      <w:r>
        <w:rPr>
          <w:rFonts w:hint="eastAsia" w:ascii="宋体" w:hAnsi="宋体"/>
          <w:strike/>
          <w:color w:val="auto"/>
          <w:sz w:val="24"/>
        </w:rPr>
        <w:t>注：企业</w:t>
      </w:r>
      <w:r>
        <w:rPr>
          <w:rFonts w:hint="eastAsia" w:ascii="宋体" w:hAnsi="宋体" w:cs="宋体"/>
          <w:strike/>
          <w:color w:val="auto"/>
          <w:kern w:val="0"/>
          <w:sz w:val="24"/>
        </w:rPr>
        <w:t>综合诚信评价得分即</w:t>
      </w:r>
      <w:r>
        <w:rPr>
          <w:rFonts w:hint="eastAsia" w:ascii="宋体" w:hAnsi="宋体"/>
          <w:strike/>
          <w:color w:val="auto"/>
          <w:sz w:val="24"/>
        </w:rPr>
        <w:t>企业</w:t>
      </w:r>
      <w:r>
        <w:rPr>
          <w:rFonts w:hint="eastAsia" w:ascii="宋体" w:hAnsi="宋体" w:cs="宋体"/>
          <w:strike/>
          <w:color w:val="auto"/>
          <w:kern w:val="0"/>
          <w:sz w:val="24"/>
        </w:rPr>
        <w:t>综合诚信评价</w:t>
      </w:r>
      <w:r>
        <w:rPr>
          <w:rFonts w:ascii="宋体" w:hAnsi="宋体" w:cs="宋体"/>
          <w:strike/>
          <w:color w:val="auto"/>
          <w:kern w:val="0"/>
          <w:sz w:val="24"/>
        </w:rPr>
        <w:t>60</w:t>
      </w:r>
      <w:r>
        <w:rPr>
          <w:rFonts w:hint="eastAsia" w:ascii="宋体" w:hAnsi="宋体" w:cs="宋体"/>
          <w:strike/>
          <w:color w:val="auto"/>
          <w:kern w:val="0"/>
          <w:sz w:val="24"/>
        </w:rPr>
        <w:t>日诚信分，以下同。</w:t>
      </w:r>
    </w:p>
    <w:p>
      <w:pPr>
        <w:pStyle w:val="7"/>
        <w:rPr>
          <w:color w:val="auto"/>
        </w:rPr>
      </w:pPr>
      <w:bookmarkStart w:id="6" w:name="_Toc25589"/>
      <w:bookmarkStart w:id="7" w:name="_Toc2272547"/>
      <w:r>
        <w:rPr>
          <w:rFonts w:hint="eastAsia"/>
          <w:color w:val="auto"/>
        </w:rPr>
        <w:t>二、投标须知修改表</w:t>
      </w:r>
      <w:bookmarkEnd w:id="6"/>
      <w:bookmarkEnd w:id="7"/>
    </w:p>
    <w:p>
      <w:pPr>
        <w:pStyle w:val="5"/>
        <w:spacing w:line="360" w:lineRule="auto"/>
        <w:rPr>
          <w:b/>
          <w:color w:val="auto"/>
          <w:szCs w:val="21"/>
        </w:rPr>
      </w:pPr>
      <w:r>
        <w:rPr>
          <w:rFonts w:hint="eastAsia"/>
          <w:b/>
          <w:color w:val="auto"/>
          <w:szCs w:val="21"/>
        </w:rPr>
        <w:t>声明：本投标须知使用GZZB2018-3招标文件范本的投标须知通用条款，与该通用条款不同之处，均在本表中列明，并以现文为准，原文不再有效。本招标文件中不再转录投标须知通用条款，请投标人自行到广州市住房和城乡建设局网站（网址：http://zfcj.gz.gov.cn/）下载查阅。</w:t>
      </w:r>
    </w:p>
    <w:p>
      <w:pPr>
        <w:spacing w:line="480" w:lineRule="auto"/>
        <w:ind w:firstLine="472" w:firstLineChars="224"/>
        <w:rPr>
          <w:b/>
          <w:color w:val="auto"/>
          <w:szCs w:val="21"/>
        </w:rPr>
      </w:pPr>
      <w:r>
        <w:rPr>
          <w:rFonts w:hint="eastAsia"/>
          <w:b/>
          <w:color w:val="auto"/>
          <w:szCs w:val="21"/>
        </w:rPr>
        <w:t>条款号：</w:t>
      </w:r>
      <w:r>
        <w:rPr>
          <w:rFonts w:hint="eastAsia" w:ascii="宋体" w:hAnsi="宋体" w:cs="宋体"/>
          <w:b/>
          <w:color w:val="auto"/>
          <w:szCs w:val="21"/>
        </w:rPr>
        <w:t>2.5</w:t>
      </w:r>
      <w:r>
        <w:rPr>
          <w:b/>
          <w:color w:val="auto"/>
          <w:szCs w:val="21"/>
        </w:rPr>
        <w:t xml:space="preserve">             </w:t>
      </w:r>
      <w:r>
        <w:rPr>
          <w:rFonts w:hint="eastAsia"/>
          <w:b/>
          <w:color w:val="auto"/>
          <w:szCs w:val="21"/>
        </w:rPr>
        <w:t>修改类型：增加</w:t>
      </w:r>
    </w:p>
    <w:p>
      <w:pPr>
        <w:pBdr>
          <w:bottom w:val="single" w:color="auto" w:sz="6" w:space="1"/>
        </w:pBdr>
        <w:spacing w:line="360" w:lineRule="auto"/>
        <w:ind w:firstLine="525" w:firstLineChars="250"/>
        <w:rPr>
          <w:rFonts w:ascii="宋体" w:hAnsi="宋体" w:cs="宋体"/>
          <w:bCs/>
          <w:color w:val="auto"/>
          <w:szCs w:val="21"/>
          <w:u w:val="single"/>
        </w:rPr>
      </w:pPr>
      <w:r>
        <w:rPr>
          <w:rFonts w:hint="eastAsia"/>
          <w:bCs/>
          <w:color w:val="auto"/>
          <w:szCs w:val="21"/>
        </w:rPr>
        <w:t>现文：</w:t>
      </w:r>
      <w:r>
        <w:rPr>
          <w:rFonts w:hint="eastAsia" w:ascii="宋体" w:hAnsi="宋体" w:cs="宋体"/>
          <w:bCs/>
          <w:color w:val="auto"/>
          <w:szCs w:val="21"/>
          <w:u w:val="single"/>
        </w:rPr>
        <w:t>2.5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测工作。</w:t>
      </w:r>
    </w:p>
    <w:p>
      <w:pPr>
        <w:spacing w:line="480" w:lineRule="auto"/>
        <w:ind w:firstLine="422" w:firstLineChars="200"/>
        <w:rPr>
          <w:b/>
          <w:color w:val="auto"/>
          <w:szCs w:val="21"/>
        </w:rPr>
      </w:pPr>
      <w:r>
        <w:rPr>
          <w:rFonts w:hint="eastAsia"/>
          <w:b/>
          <w:color w:val="auto"/>
          <w:szCs w:val="21"/>
        </w:rPr>
        <w:t>条款号：</w:t>
      </w:r>
      <w:r>
        <w:rPr>
          <w:rFonts w:hint="eastAsia" w:ascii="宋体" w:hAnsi="宋体" w:cs="宋体"/>
          <w:b/>
          <w:color w:val="auto"/>
          <w:szCs w:val="21"/>
        </w:rPr>
        <w:t>5.1</w:t>
      </w:r>
      <w:r>
        <w:rPr>
          <w:b/>
          <w:color w:val="auto"/>
          <w:szCs w:val="21"/>
        </w:rPr>
        <w:t xml:space="preserve">             </w:t>
      </w:r>
      <w:r>
        <w:rPr>
          <w:rFonts w:hint="eastAsia"/>
          <w:b/>
          <w:color w:val="auto"/>
          <w:szCs w:val="21"/>
        </w:rPr>
        <w:t>修改类型：修改</w:t>
      </w:r>
    </w:p>
    <w:p>
      <w:pPr>
        <w:spacing w:line="360" w:lineRule="auto"/>
        <w:ind w:firstLine="422" w:firstLineChars="200"/>
        <w:rPr>
          <w:rFonts w:ascii="宋体"/>
          <w:bCs/>
          <w:color w:val="auto"/>
          <w:sz w:val="24"/>
          <w:u w:val="single"/>
        </w:rPr>
      </w:pPr>
      <w:r>
        <w:rPr>
          <w:rFonts w:hint="eastAsia"/>
          <w:b/>
          <w:color w:val="auto"/>
          <w:szCs w:val="21"/>
        </w:rPr>
        <w:t>原文：</w:t>
      </w:r>
      <w:r>
        <w:rPr>
          <w:rFonts w:hint="eastAsia" w:ascii="宋体" w:hAnsi="宋体" w:cs="宋体"/>
          <w:color w:val="auto"/>
          <w:szCs w:val="21"/>
        </w:rPr>
        <w:t>5.1 投标人应按本投标须知前附表第15项所述时间和要求对工程现场及周围环境进行踏勘，投标人应充分重视和仔细地进行这种考察，以便投标人获取那些须投标人自己负责的有关编制投标文件和签署合同所涉及现场所有的资料。一旦中标，这种考察即被认为其结果已在中标文件中得到充分反映。考察现场的费用由投标人自己承担。</w:t>
      </w:r>
    </w:p>
    <w:p>
      <w:pPr>
        <w:pBdr>
          <w:bottom w:val="single" w:color="auto" w:sz="6" w:space="1"/>
        </w:pBdr>
        <w:spacing w:line="360" w:lineRule="auto"/>
        <w:ind w:firstLine="527" w:firstLineChars="250"/>
        <w:rPr>
          <w:color w:val="auto"/>
        </w:rPr>
      </w:pPr>
      <w:r>
        <w:rPr>
          <w:rFonts w:hint="eastAsia"/>
          <w:b/>
          <w:color w:val="auto"/>
          <w:szCs w:val="21"/>
        </w:rPr>
        <w:t>现文：</w:t>
      </w:r>
      <w:r>
        <w:rPr>
          <w:rFonts w:hint="eastAsia" w:ascii="宋体" w:hAnsi="宋体" w:cs="宋体"/>
          <w:color w:val="auto"/>
          <w:szCs w:val="21"/>
        </w:rPr>
        <w:t>5.1投标人应按本投标须知前附表第15项所述时间和要求对工程现场及周围环境进行踏勘，投标人应充分重视和仔细地进行这种考察，以便投标人获取那些须投标人自己负责的有关编制投标文件和签署合同所涉及现场所有的资料，</w:t>
      </w:r>
      <w:r>
        <w:rPr>
          <w:rFonts w:hint="eastAsia" w:ascii="宋体" w:hAnsi="宋体"/>
          <w:color w:val="auto"/>
          <w:szCs w:val="21"/>
          <w:u w:val="single"/>
        </w:rPr>
        <w:t>投标人不进行踏勘的，视为已熟知现场条件，自行承担相关风险</w:t>
      </w:r>
      <w:r>
        <w:rPr>
          <w:rFonts w:hint="eastAsia" w:ascii="宋体" w:hAnsi="宋体" w:cs="宋体"/>
          <w:color w:val="auto"/>
          <w:szCs w:val="21"/>
        </w:rPr>
        <w:t>。一旦中标，这种考察即被认为其结果已在中标文件中得到充分反映。</w:t>
      </w:r>
      <w:r>
        <w:rPr>
          <w:rFonts w:hint="eastAsia" w:ascii="宋体" w:hAnsi="宋体" w:cs="宋体"/>
          <w:color w:val="auto"/>
          <w:szCs w:val="21"/>
          <w:u w:val="single"/>
        </w:rPr>
        <w:t>招标人不受理因投标人缺乏对现场条件的了解或掌握而提出的任何索赔。</w:t>
      </w:r>
      <w:r>
        <w:rPr>
          <w:rFonts w:hint="eastAsia" w:ascii="宋体" w:hAnsi="宋体" w:cs="宋体"/>
          <w:color w:val="auto"/>
          <w:szCs w:val="21"/>
        </w:rPr>
        <w:t>考察现场的费用由投标人自己承担。</w:t>
      </w:r>
    </w:p>
    <w:p>
      <w:pPr>
        <w:spacing w:line="480" w:lineRule="auto"/>
        <w:ind w:firstLine="422" w:firstLineChars="200"/>
        <w:rPr>
          <w:b/>
          <w:color w:val="auto"/>
          <w:szCs w:val="21"/>
        </w:rPr>
      </w:pPr>
      <w:r>
        <w:rPr>
          <w:rFonts w:hint="eastAsia"/>
          <w:b/>
          <w:color w:val="auto"/>
          <w:szCs w:val="21"/>
        </w:rPr>
        <w:t>条款号：</w:t>
      </w:r>
      <w:r>
        <w:rPr>
          <w:rFonts w:hint="eastAsia" w:ascii="宋体" w:hAnsi="宋体" w:cs="宋体"/>
          <w:color w:val="auto"/>
          <w:szCs w:val="21"/>
        </w:rPr>
        <w:t>7.1</w:t>
      </w:r>
      <w:r>
        <w:rPr>
          <w:b/>
          <w:color w:val="auto"/>
          <w:szCs w:val="21"/>
        </w:rPr>
        <w:t xml:space="preserve">             </w:t>
      </w:r>
      <w:r>
        <w:rPr>
          <w:rFonts w:hint="eastAsia"/>
          <w:b/>
          <w:color w:val="auto"/>
          <w:szCs w:val="21"/>
        </w:rPr>
        <w:t>修改类型：修改</w:t>
      </w:r>
    </w:p>
    <w:p>
      <w:pPr>
        <w:spacing w:line="360" w:lineRule="auto"/>
        <w:ind w:firstLine="422" w:firstLineChars="200"/>
        <w:rPr>
          <w:rFonts w:ascii="宋体" w:hAnsi="宋体" w:cs="宋体"/>
          <w:color w:val="auto"/>
          <w:szCs w:val="21"/>
        </w:rPr>
      </w:pPr>
      <w:r>
        <w:rPr>
          <w:rFonts w:hint="eastAsia"/>
          <w:b/>
          <w:color w:val="auto"/>
          <w:szCs w:val="21"/>
        </w:rPr>
        <w:t>原文：</w:t>
      </w:r>
      <w:r>
        <w:rPr>
          <w:rFonts w:hint="eastAsia" w:ascii="宋体" w:hAnsi="宋体" w:cs="宋体"/>
          <w:color w:val="auto"/>
          <w:szCs w:val="21"/>
        </w:rPr>
        <w:t>7.1本招标文件包括下列文件，以及所有按本须知第8条发出的招标答疑会会议纪要和按本须知第9条发出的澄清或修改：</w:t>
      </w:r>
    </w:p>
    <w:p>
      <w:pPr>
        <w:spacing w:line="360" w:lineRule="auto"/>
        <w:ind w:firstLine="420" w:firstLineChars="200"/>
        <w:rPr>
          <w:rFonts w:ascii="宋体" w:hAnsi="宋体" w:cs="宋体"/>
          <w:color w:val="auto"/>
          <w:szCs w:val="21"/>
        </w:rPr>
      </w:pPr>
      <w:r>
        <w:rPr>
          <w:rFonts w:hint="eastAsia" w:ascii="宋体" w:hAnsi="宋体" w:cs="宋体"/>
          <w:color w:val="auto"/>
          <w:szCs w:val="21"/>
        </w:rPr>
        <w:t>第一章  投标须知</w:t>
      </w:r>
    </w:p>
    <w:p>
      <w:pPr>
        <w:spacing w:line="360" w:lineRule="auto"/>
        <w:ind w:firstLine="420" w:firstLineChars="200"/>
        <w:rPr>
          <w:rFonts w:ascii="宋体" w:hAnsi="宋体" w:cs="宋体"/>
          <w:color w:val="auto"/>
          <w:szCs w:val="21"/>
        </w:rPr>
      </w:pPr>
      <w:r>
        <w:rPr>
          <w:rFonts w:hint="eastAsia" w:ascii="宋体" w:hAnsi="宋体" w:cs="宋体"/>
          <w:color w:val="auto"/>
          <w:szCs w:val="21"/>
        </w:rPr>
        <w:t>第二章  开标、评标及定标办法</w:t>
      </w:r>
    </w:p>
    <w:p>
      <w:pPr>
        <w:spacing w:line="360" w:lineRule="auto"/>
        <w:ind w:firstLine="420" w:firstLineChars="200"/>
        <w:rPr>
          <w:rFonts w:ascii="宋体" w:hAnsi="宋体" w:cs="宋体"/>
          <w:color w:val="auto"/>
          <w:szCs w:val="21"/>
        </w:rPr>
      </w:pPr>
      <w:r>
        <w:rPr>
          <w:rFonts w:hint="eastAsia" w:ascii="宋体" w:hAnsi="宋体" w:cs="宋体"/>
          <w:color w:val="auto"/>
          <w:szCs w:val="21"/>
        </w:rPr>
        <w:t>第三章  合同条款</w:t>
      </w:r>
    </w:p>
    <w:p>
      <w:pPr>
        <w:spacing w:line="360" w:lineRule="auto"/>
        <w:ind w:firstLine="420" w:firstLineChars="200"/>
        <w:rPr>
          <w:rFonts w:ascii="宋体" w:hAnsi="宋体" w:cs="宋体"/>
          <w:color w:val="auto"/>
          <w:szCs w:val="21"/>
        </w:rPr>
      </w:pPr>
      <w:r>
        <w:rPr>
          <w:rFonts w:hint="eastAsia" w:ascii="宋体" w:hAnsi="宋体" w:cs="宋体"/>
          <w:color w:val="auto"/>
          <w:szCs w:val="21"/>
        </w:rPr>
        <w:t>第四章  投标文件格式</w:t>
      </w:r>
    </w:p>
    <w:p>
      <w:pPr>
        <w:spacing w:line="360" w:lineRule="auto"/>
        <w:ind w:firstLine="420" w:firstLineChars="200"/>
        <w:rPr>
          <w:rFonts w:ascii="宋体" w:hAnsi="宋体" w:cs="宋体"/>
          <w:color w:val="auto"/>
          <w:szCs w:val="21"/>
        </w:rPr>
      </w:pPr>
      <w:r>
        <w:rPr>
          <w:rFonts w:hint="eastAsia" w:ascii="宋体" w:hAnsi="宋体" w:cs="宋体"/>
          <w:color w:val="auto"/>
          <w:szCs w:val="21"/>
        </w:rPr>
        <w:t>第五章  技术条件（工程建设标准）（另册）</w:t>
      </w:r>
    </w:p>
    <w:p>
      <w:pPr>
        <w:spacing w:line="360" w:lineRule="auto"/>
        <w:ind w:firstLine="420" w:firstLineChars="200"/>
        <w:rPr>
          <w:rFonts w:ascii="宋体" w:hAnsi="宋体" w:cs="宋体"/>
          <w:color w:val="auto"/>
          <w:szCs w:val="21"/>
        </w:rPr>
      </w:pPr>
      <w:r>
        <w:rPr>
          <w:rFonts w:hint="eastAsia" w:ascii="宋体" w:hAnsi="宋体" w:cs="宋体"/>
          <w:color w:val="auto"/>
          <w:szCs w:val="21"/>
        </w:rPr>
        <w:t>第六章  图纸及勘察资料（另册）</w:t>
      </w:r>
    </w:p>
    <w:p>
      <w:pPr>
        <w:spacing w:line="360" w:lineRule="auto"/>
        <w:ind w:firstLine="420" w:firstLineChars="200"/>
        <w:rPr>
          <w:rFonts w:ascii="宋体" w:hAnsi="宋体" w:cs="宋体"/>
          <w:color w:val="auto"/>
          <w:szCs w:val="21"/>
        </w:rPr>
      </w:pPr>
      <w:r>
        <w:rPr>
          <w:rFonts w:hint="eastAsia" w:ascii="宋体" w:hAnsi="宋体" w:cs="宋体"/>
          <w:color w:val="auto"/>
          <w:szCs w:val="21"/>
        </w:rPr>
        <w:t>第七章  招标工程量清单（另册）</w:t>
      </w:r>
    </w:p>
    <w:p>
      <w:pPr>
        <w:spacing w:line="360" w:lineRule="auto"/>
        <w:ind w:firstLine="420" w:firstLineChars="200"/>
        <w:rPr>
          <w:rFonts w:ascii="宋体" w:hAnsi="宋体" w:cs="宋体"/>
          <w:color w:val="auto"/>
          <w:szCs w:val="21"/>
        </w:rPr>
      </w:pPr>
      <w:r>
        <w:rPr>
          <w:rFonts w:hint="eastAsia" w:ascii="宋体" w:hAnsi="宋体" w:cs="宋体"/>
          <w:color w:val="auto"/>
          <w:szCs w:val="21"/>
        </w:rPr>
        <w:t>第八章  最高投标限价</w:t>
      </w:r>
    </w:p>
    <w:p>
      <w:pPr>
        <w:spacing w:line="360" w:lineRule="auto"/>
        <w:ind w:firstLine="422" w:firstLineChars="200"/>
        <w:rPr>
          <w:rFonts w:ascii="宋体" w:hAnsi="宋体" w:cs="宋体"/>
          <w:color w:val="auto"/>
          <w:szCs w:val="21"/>
        </w:rPr>
      </w:pPr>
      <w:r>
        <w:rPr>
          <w:rFonts w:hint="eastAsia"/>
          <w:b/>
          <w:color w:val="auto"/>
          <w:szCs w:val="21"/>
        </w:rPr>
        <w:t>现文：</w:t>
      </w:r>
      <w:r>
        <w:rPr>
          <w:rFonts w:hint="eastAsia" w:ascii="宋体" w:hAnsi="宋体" w:cs="宋体"/>
          <w:bCs/>
          <w:color w:val="auto"/>
          <w:szCs w:val="21"/>
        </w:rPr>
        <w:t>7.1</w:t>
      </w:r>
      <w:r>
        <w:rPr>
          <w:rFonts w:hint="eastAsia" w:ascii="宋体" w:hAnsi="宋体" w:cs="宋体"/>
          <w:color w:val="auto"/>
          <w:szCs w:val="21"/>
        </w:rPr>
        <w:t>本招标文件包括下列文件，以及所有按本须知第8条发出的招标答疑会会议纪要和按本须知第9条发出的澄清或修改：</w:t>
      </w:r>
    </w:p>
    <w:p>
      <w:pPr>
        <w:pStyle w:val="5"/>
        <w:spacing w:after="0" w:line="360" w:lineRule="auto"/>
        <w:ind w:left="-2" w:firstLineChars="200"/>
        <w:rPr>
          <w:rFonts w:ascii="宋体" w:hAnsi="宋体" w:cs="宋体"/>
          <w:color w:val="auto"/>
          <w:szCs w:val="21"/>
        </w:rPr>
      </w:pPr>
      <w:r>
        <w:rPr>
          <w:rFonts w:hint="eastAsia" w:ascii="宋体" w:hAnsi="宋体" w:cs="宋体"/>
          <w:bCs/>
          <w:color w:val="auto"/>
          <w:szCs w:val="21"/>
        </w:rPr>
        <w:t xml:space="preserve">第一章  </w:t>
      </w:r>
      <w:r>
        <w:rPr>
          <w:rFonts w:hint="eastAsia" w:ascii="宋体" w:hAnsi="宋体" w:cs="宋体"/>
          <w:color w:val="auto"/>
          <w:szCs w:val="21"/>
        </w:rPr>
        <w:t>投标须知</w:t>
      </w:r>
    </w:p>
    <w:p>
      <w:pPr>
        <w:pStyle w:val="5"/>
        <w:spacing w:after="0" w:line="360" w:lineRule="auto"/>
        <w:ind w:left="-2" w:firstLineChars="200"/>
        <w:rPr>
          <w:rFonts w:ascii="宋体" w:hAnsi="宋体" w:cs="宋体"/>
          <w:color w:val="auto"/>
          <w:szCs w:val="21"/>
        </w:rPr>
      </w:pPr>
      <w:r>
        <w:rPr>
          <w:rFonts w:hint="eastAsia" w:ascii="宋体" w:hAnsi="宋体" w:cs="宋体"/>
          <w:bCs/>
          <w:color w:val="auto"/>
          <w:szCs w:val="21"/>
        </w:rPr>
        <w:t xml:space="preserve">第二章  </w:t>
      </w:r>
      <w:r>
        <w:rPr>
          <w:rFonts w:hint="eastAsia" w:ascii="宋体" w:hAnsi="宋体" w:cs="宋体"/>
          <w:color w:val="auto"/>
          <w:szCs w:val="21"/>
        </w:rPr>
        <w:t>开标、评标及定标办法</w:t>
      </w:r>
    </w:p>
    <w:p>
      <w:pPr>
        <w:pStyle w:val="5"/>
        <w:spacing w:after="0" w:line="360" w:lineRule="auto"/>
        <w:ind w:left="-2" w:firstLineChars="200"/>
        <w:rPr>
          <w:rFonts w:ascii="宋体" w:hAnsi="宋体" w:cs="宋体"/>
          <w:color w:val="auto"/>
          <w:szCs w:val="21"/>
        </w:rPr>
      </w:pPr>
      <w:r>
        <w:rPr>
          <w:rFonts w:hint="eastAsia" w:ascii="宋体" w:hAnsi="宋体" w:cs="宋体"/>
          <w:color w:val="auto"/>
          <w:szCs w:val="21"/>
        </w:rPr>
        <w:t>第三章  合同条款</w:t>
      </w:r>
    </w:p>
    <w:p>
      <w:pPr>
        <w:pStyle w:val="5"/>
        <w:spacing w:after="0" w:line="360" w:lineRule="auto"/>
        <w:ind w:firstLineChars="200"/>
        <w:rPr>
          <w:rFonts w:ascii="宋体" w:hAnsi="宋体" w:cs="宋体"/>
          <w:color w:val="auto"/>
          <w:szCs w:val="21"/>
        </w:rPr>
      </w:pPr>
      <w:r>
        <w:rPr>
          <w:rFonts w:hint="eastAsia" w:ascii="宋体" w:hAnsi="宋体" w:cs="宋体"/>
          <w:bCs/>
          <w:color w:val="auto"/>
          <w:szCs w:val="21"/>
        </w:rPr>
        <w:t xml:space="preserve">第四章  </w:t>
      </w:r>
      <w:r>
        <w:rPr>
          <w:rFonts w:hint="eastAsia" w:ascii="宋体" w:hAnsi="宋体" w:cs="宋体"/>
          <w:color w:val="auto"/>
          <w:szCs w:val="21"/>
        </w:rPr>
        <w:t>投标文件格式</w:t>
      </w:r>
    </w:p>
    <w:p>
      <w:pPr>
        <w:pStyle w:val="5"/>
        <w:spacing w:after="0" w:line="360" w:lineRule="auto"/>
        <w:ind w:left="-2" w:firstLineChars="200"/>
        <w:rPr>
          <w:rFonts w:ascii="宋体" w:hAnsi="宋体" w:cs="宋体"/>
          <w:color w:val="auto"/>
          <w:szCs w:val="21"/>
          <w:u w:val="single"/>
        </w:rPr>
      </w:pPr>
      <w:r>
        <w:rPr>
          <w:rFonts w:hint="eastAsia" w:ascii="宋体" w:hAnsi="宋体" w:cs="宋体"/>
          <w:bCs/>
          <w:color w:val="auto"/>
          <w:szCs w:val="21"/>
          <w:u w:val="single"/>
        </w:rPr>
        <w:t xml:space="preserve">第五章  </w:t>
      </w:r>
      <w:r>
        <w:rPr>
          <w:rFonts w:hint="eastAsia" w:ascii="宋体" w:hAnsi="宋体" w:cs="宋体"/>
          <w:color w:val="auto"/>
          <w:szCs w:val="21"/>
          <w:u w:val="single"/>
        </w:rPr>
        <w:t>技术条件（工程建设标准）</w:t>
      </w:r>
    </w:p>
    <w:p>
      <w:pPr>
        <w:pStyle w:val="5"/>
        <w:spacing w:after="0" w:line="360" w:lineRule="auto"/>
        <w:ind w:left="-2" w:firstLineChars="200"/>
        <w:rPr>
          <w:rFonts w:ascii="宋体" w:hAnsi="宋体" w:cs="宋体"/>
          <w:color w:val="auto"/>
          <w:szCs w:val="21"/>
        </w:rPr>
      </w:pPr>
      <w:r>
        <w:rPr>
          <w:rFonts w:hint="eastAsia" w:ascii="宋体" w:hAnsi="宋体" w:cs="宋体"/>
          <w:bCs/>
          <w:color w:val="auto"/>
          <w:szCs w:val="21"/>
        </w:rPr>
        <w:t xml:space="preserve">第六章  </w:t>
      </w:r>
      <w:r>
        <w:rPr>
          <w:rFonts w:hint="eastAsia" w:ascii="宋体" w:hAnsi="宋体" w:cs="宋体"/>
          <w:color w:val="auto"/>
          <w:szCs w:val="21"/>
        </w:rPr>
        <w:t>图纸及勘察资料（另册）</w:t>
      </w:r>
    </w:p>
    <w:p>
      <w:pPr>
        <w:pStyle w:val="5"/>
        <w:spacing w:after="0" w:line="360" w:lineRule="auto"/>
        <w:ind w:left="-2" w:firstLineChars="200"/>
        <w:rPr>
          <w:rFonts w:ascii="宋体" w:hAnsi="宋体" w:cs="宋体"/>
          <w:color w:val="auto"/>
          <w:szCs w:val="21"/>
        </w:rPr>
      </w:pPr>
      <w:r>
        <w:rPr>
          <w:rFonts w:hint="eastAsia" w:ascii="宋体" w:hAnsi="宋体" w:cs="宋体"/>
          <w:bCs/>
          <w:color w:val="auto"/>
          <w:szCs w:val="21"/>
        </w:rPr>
        <w:t>第七章  招标</w:t>
      </w:r>
      <w:r>
        <w:rPr>
          <w:rFonts w:hint="eastAsia" w:ascii="宋体" w:hAnsi="宋体" w:cs="宋体"/>
          <w:color w:val="auto"/>
          <w:szCs w:val="21"/>
        </w:rPr>
        <w:t xml:space="preserve">工程量清单（另册） </w:t>
      </w:r>
    </w:p>
    <w:p>
      <w:pPr>
        <w:pBdr>
          <w:bottom w:val="single" w:color="auto" w:sz="6" w:space="1"/>
        </w:pBdr>
        <w:spacing w:line="360" w:lineRule="auto"/>
        <w:ind w:firstLine="420" w:firstLineChars="200"/>
        <w:rPr>
          <w:rFonts w:ascii="宋体" w:hAnsi="宋体" w:cs="宋体"/>
          <w:color w:val="auto"/>
          <w:szCs w:val="21"/>
        </w:rPr>
      </w:pPr>
      <w:r>
        <w:rPr>
          <w:rFonts w:hint="eastAsia" w:ascii="宋体" w:hAnsi="宋体" w:cs="宋体"/>
          <w:color w:val="auto"/>
          <w:szCs w:val="21"/>
        </w:rPr>
        <w:t>第八章  最高投标限价</w:t>
      </w:r>
    </w:p>
    <w:p>
      <w:pPr>
        <w:pBdr>
          <w:bottom w:val="single" w:color="auto" w:sz="6" w:space="1"/>
        </w:pBdr>
        <w:spacing w:line="360" w:lineRule="auto"/>
        <w:ind w:firstLine="442" w:firstLineChars="200"/>
        <w:rPr>
          <w:color w:val="auto"/>
        </w:rPr>
      </w:pPr>
      <w:r>
        <w:rPr>
          <w:rFonts w:hint="eastAsia" w:ascii="仿宋" w:hAnsi="仿宋" w:eastAsia="仿宋" w:cs="宋体"/>
          <w:b/>
          <w:bCs/>
          <w:color w:val="auto"/>
          <w:kern w:val="0"/>
          <w:sz w:val="22"/>
        </w:rPr>
        <w:t>注</w:t>
      </w:r>
      <w:r>
        <w:rPr>
          <w:rFonts w:ascii="仿宋" w:hAnsi="仿宋" w:eastAsia="仿宋" w:cs="宋体"/>
          <w:b/>
          <w:bCs/>
          <w:color w:val="auto"/>
          <w:kern w:val="0"/>
          <w:sz w:val="22"/>
        </w:rPr>
        <w:t>：招标人应在</w:t>
      </w:r>
      <w:r>
        <w:rPr>
          <w:rFonts w:hint="eastAsia" w:ascii="仿宋" w:hAnsi="仿宋" w:eastAsia="仿宋" w:cs="宋体"/>
          <w:b/>
          <w:bCs/>
          <w:color w:val="auto"/>
          <w:kern w:val="0"/>
          <w:sz w:val="22"/>
        </w:rPr>
        <w:t>技术条件（工程建设标准）中</w:t>
      </w:r>
      <w:r>
        <w:rPr>
          <w:rFonts w:ascii="仿宋" w:hAnsi="仿宋" w:eastAsia="仿宋" w:cs="宋体"/>
          <w:b/>
          <w:bCs/>
          <w:color w:val="auto"/>
          <w:kern w:val="0"/>
          <w:sz w:val="22"/>
        </w:rPr>
        <w:t>明确</w:t>
      </w:r>
      <w:r>
        <w:rPr>
          <w:rFonts w:hint="eastAsia" w:ascii="仿宋" w:hAnsi="仿宋" w:eastAsia="仿宋" w:cs="宋体"/>
          <w:b/>
          <w:bCs/>
          <w:color w:val="auto"/>
          <w:kern w:val="0"/>
          <w:sz w:val="22"/>
        </w:rPr>
        <w:t>施工现场建筑垃圾源头减量的具体要求和建筑垃圾综合利用产品的使用要求。</w:t>
      </w:r>
    </w:p>
    <w:p>
      <w:pPr>
        <w:spacing w:line="480" w:lineRule="auto"/>
        <w:ind w:firstLine="422" w:firstLineChars="200"/>
        <w:rPr>
          <w:b/>
          <w:color w:val="auto"/>
          <w:szCs w:val="21"/>
        </w:rPr>
      </w:pPr>
      <w:r>
        <w:rPr>
          <w:rFonts w:hint="eastAsia"/>
          <w:b/>
          <w:color w:val="auto"/>
          <w:szCs w:val="21"/>
        </w:rPr>
        <w:t>条款号：</w:t>
      </w:r>
      <w:r>
        <w:rPr>
          <w:rFonts w:hint="eastAsia" w:ascii="宋体" w:hAnsi="宋体" w:cs="宋体"/>
          <w:color w:val="auto"/>
          <w:szCs w:val="21"/>
        </w:rPr>
        <w:t>8.1</w:t>
      </w:r>
      <w:r>
        <w:rPr>
          <w:b/>
          <w:color w:val="auto"/>
          <w:szCs w:val="21"/>
        </w:rPr>
        <w:t xml:space="preserve">             </w:t>
      </w:r>
      <w:r>
        <w:rPr>
          <w:rFonts w:hint="eastAsia"/>
          <w:b/>
          <w:color w:val="auto"/>
          <w:szCs w:val="21"/>
        </w:rPr>
        <w:t>修改类型：修改</w:t>
      </w:r>
    </w:p>
    <w:p>
      <w:pPr>
        <w:spacing w:line="480" w:lineRule="auto"/>
        <w:ind w:firstLine="472" w:firstLineChars="224"/>
        <w:rPr>
          <w:b/>
          <w:color w:val="auto"/>
          <w:szCs w:val="21"/>
        </w:rPr>
      </w:pPr>
      <w:r>
        <w:rPr>
          <w:rFonts w:hint="eastAsia"/>
          <w:b/>
          <w:color w:val="auto"/>
          <w:szCs w:val="21"/>
        </w:rPr>
        <w:t>原文：</w:t>
      </w:r>
      <w:r>
        <w:rPr>
          <w:rFonts w:hint="eastAsia" w:ascii="宋体" w:hAnsi="宋体" w:cs="宋体"/>
          <w:color w:val="auto"/>
          <w:szCs w:val="21"/>
        </w:rPr>
        <w:t>8.1 投标人若对招标文件（包括招标图纸）中有疑问，可以书面形式通过        交易平台提交给招标人或招标代理人，提交形式见本须知前附表第16项。</w:t>
      </w:r>
    </w:p>
    <w:p>
      <w:pPr>
        <w:pBdr>
          <w:bottom w:val="single" w:color="auto" w:sz="6" w:space="1"/>
        </w:pBdr>
        <w:spacing w:line="360" w:lineRule="auto"/>
        <w:ind w:firstLine="527" w:firstLineChars="250"/>
        <w:rPr>
          <w:rFonts w:ascii="宋体" w:hAnsi="宋体" w:cs="宋体"/>
          <w:color w:val="auto"/>
          <w:szCs w:val="21"/>
          <w:u w:val="single"/>
        </w:rPr>
      </w:pPr>
      <w:r>
        <w:rPr>
          <w:rFonts w:hint="eastAsia"/>
          <w:b/>
          <w:color w:val="auto"/>
          <w:szCs w:val="21"/>
        </w:rPr>
        <w:t>现文：</w:t>
      </w:r>
      <w:r>
        <w:rPr>
          <w:rFonts w:hint="eastAsia" w:ascii="宋体" w:hAnsi="宋体" w:cs="宋体"/>
          <w:color w:val="auto"/>
          <w:szCs w:val="21"/>
        </w:rPr>
        <w:t>8.1</w:t>
      </w:r>
      <w:r>
        <w:rPr>
          <w:rFonts w:hint="eastAsia" w:ascii="宋体" w:hAnsi="宋体" w:cs="宋体"/>
          <w:color w:val="auto"/>
          <w:szCs w:val="21"/>
          <w:u w:val="single"/>
        </w:rPr>
        <w:t>招标答疑采用网上答疑方式进行。投标人若对招标文件（包括招标图纸、清单、招标控制价、合同条款）有疑问的，可在规定的时间内通过广州交易集团有限公司（广州公共资源交易中心）网站进入提问区域将问题提交给招标人或招标代理人，提交问题时一律不得署名。网上答疑的操作指南为：投标人登录交易中心数字交易平台，进入“我是投标人（供应商）”-&gt;“我的投标”-&gt;“招标答疑提问”查询项目并提问，具体操作方法详见</w:t>
      </w:r>
      <w:r>
        <w:rPr>
          <w:rFonts w:hint="eastAsia" w:ascii="宋体" w:hAnsi="宋体" w:cs="宋体"/>
          <w:color w:val="auto"/>
          <w:szCs w:val="21"/>
        </w:rPr>
        <w:t>交易平台关于全流程电子化项目的相关</w:t>
      </w:r>
      <w:r>
        <w:rPr>
          <w:rFonts w:hint="eastAsia" w:ascii="宋体" w:hAnsi="宋体"/>
          <w:color w:val="auto"/>
          <w:szCs w:val="21"/>
        </w:rPr>
        <w:t>指南</w:t>
      </w:r>
      <w:r>
        <w:rPr>
          <w:rFonts w:hint="eastAsia" w:ascii="宋体" w:hAnsi="宋体" w:cs="宋体"/>
          <w:color w:val="auto"/>
          <w:szCs w:val="21"/>
          <w:u w:val="single"/>
        </w:rPr>
        <w:t>。</w:t>
      </w:r>
    </w:p>
    <w:p>
      <w:pPr>
        <w:spacing w:line="480" w:lineRule="auto"/>
        <w:ind w:firstLine="422" w:firstLineChars="200"/>
        <w:rPr>
          <w:b/>
          <w:color w:val="auto"/>
          <w:szCs w:val="21"/>
        </w:rPr>
      </w:pPr>
      <w:r>
        <w:rPr>
          <w:rFonts w:hint="eastAsia"/>
          <w:b/>
          <w:color w:val="auto"/>
          <w:szCs w:val="21"/>
        </w:rPr>
        <w:t>条款号：</w:t>
      </w:r>
      <w:r>
        <w:rPr>
          <w:rFonts w:hint="eastAsia" w:ascii="宋体" w:hAnsi="宋体" w:cs="宋体"/>
          <w:color w:val="auto"/>
          <w:szCs w:val="21"/>
        </w:rPr>
        <w:t>8.2</w:t>
      </w:r>
      <w:r>
        <w:rPr>
          <w:b/>
          <w:color w:val="auto"/>
          <w:szCs w:val="21"/>
        </w:rPr>
        <w:t xml:space="preserve">             </w:t>
      </w:r>
      <w:r>
        <w:rPr>
          <w:rFonts w:hint="eastAsia"/>
          <w:b/>
          <w:color w:val="auto"/>
          <w:szCs w:val="21"/>
        </w:rPr>
        <w:t>修改类型：修改</w:t>
      </w:r>
    </w:p>
    <w:p>
      <w:pPr>
        <w:pStyle w:val="5"/>
        <w:spacing w:after="0" w:line="360" w:lineRule="auto"/>
        <w:ind w:firstLine="422" w:firstLineChars="200"/>
        <w:rPr>
          <w:rFonts w:ascii="宋体" w:hAnsi="宋体" w:cs="宋体"/>
          <w:color w:val="auto"/>
          <w:szCs w:val="21"/>
        </w:rPr>
      </w:pPr>
      <w:r>
        <w:rPr>
          <w:rFonts w:hint="eastAsia"/>
          <w:b/>
          <w:color w:val="auto"/>
          <w:szCs w:val="21"/>
        </w:rPr>
        <w:t>原文：</w:t>
      </w:r>
      <w:r>
        <w:rPr>
          <w:rFonts w:hint="eastAsia" w:ascii="宋体" w:hAnsi="宋体" w:cs="宋体"/>
          <w:color w:val="auto"/>
          <w:szCs w:val="21"/>
        </w:rPr>
        <w:t>8.2招标答疑会会议纪要将在提交投标文件截止时间15日前在</w:t>
      </w:r>
      <w:r>
        <w:rPr>
          <w:rFonts w:hint="eastAsia" w:ascii="宋体" w:hAnsi="宋体" w:cs="宋体"/>
          <w:color w:val="auto"/>
          <w:szCs w:val="21"/>
          <w:u w:val="single"/>
        </w:rPr>
        <w:t xml:space="preserve">       </w:t>
      </w:r>
      <w:r>
        <w:rPr>
          <w:rFonts w:hint="eastAsia" w:ascii="宋体" w:hAnsi="宋体" w:cs="宋体"/>
          <w:color w:val="auto"/>
          <w:szCs w:val="21"/>
        </w:rPr>
        <w:t>交易平台 “项目答疑纪要”专区公开发布。答疑纪要一经在</w:t>
      </w:r>
      <w:r>
        <w:rPr>
          <w:rFonts w:hint="eastAsia" w:ascii="宋体" w:hAnsi="宋体" w:cs="宋体"/>
          <w:color w:val="auto"/>
          <w:szCs w:val="21"/>
          <w:u w:val="single"/>
        </w:rPr>
        <w:t xml:space="preserve">        </w:t>
      </w:r>
      <w:r>
        <w:rPr>
          <w:rFonts w:hint="eastAsia" w:ascii="宋体" w:hAnsi="宋体" w:cs="宋体"/>
          <w:color w:val="auto"/>
          <w:szCs w:val="21"/>
        </w:rPr>
        <w:t>交易平台发布，视作已发放给所有投标人。</w:t>
      </w:r>
    </w:p>
    <w:p>
      <w:pPr>
        <w:pBdr>
          <w:bottom w:val="single" w:color="auto" w:sz="6" w:space="1"/>
        </w:pBdr>
        <w:spacing w:line="360" w:lineRule="auto"/>
        <w:ind w:firstLine="527" w:firstLineChars="250"/>
        <w:rPr>
          <w:color w:val="auto"/>
        </w:rPr>
      </w:pPr>
      <w:r>
        <w:rPr>
          <w:rFonts w:hint="eastAsia"/>
          <w:b/>
          <w:color w:val="auto"/>
          <w:szCs w:val="21"/>
        </w:rPr>
        <w:t>现文：</w:t>
      </w:r>
      <w:r>
        <w:rPr>
          <w:rFonts w:hint="eastAsia" w:ascii="宋体" w:hAnsi="宋体" w:cs="宋体"/>
          <w:color w:val="auto"/>
          <w:szCs w:val="21"/>
        </w:rPr>
        <w:t>8.2招标答疑会会议纪要将在提交投标文件截止时间15日前</w:t>
      </w:r>
      <w:r>
        <w:rPr>
          <w:rFonts w:hint="eastAsia" w:ascii="宋体" w:hAnsi="宋体" w:cs="宋体"/>
          <w:color w:val="auto"/>
          <w:szCs w:val="21"/>
          <w:u w:val="single"/>
        </w:rPr>
        <w:t>在广州交易集团有限公司（广州公共资源交易中心）网站“项目答疑纪要”专区公开发布。答疑纪要一经在广州交易集团有限公司（广州公共资源交易中心）网站发布，视作已发放给所有投标人。</w:t>
      </w:r>
    </w:p>
    <w:p>
      <w:pPr>
        <w:spacing w:line="480" w:lineRule="auto"/>
        <w:ind w:firstLine="422" w:firstLineChars="200"/>
        <w:rPr>
          <w:b/>
          <w:color w:val="auto"/>
          <w:szCs w:val="21"/>
        </w:rPr>
      </w:pPr>
      <w:r>
        <w:rPr>
          <w:rFonts w:hint="eastAsia"/>
          <w:b/>
          <w:color w:val="auto"/>
          <w:szCs w:val="21"/>
        </w:rPr>
        <w:t>条款号：</w:t>
      </w:r>
      <w:r>
        <w:rPr>
          <w:rFonts w:hint="eastAsia" w:ascii="宋体" w:hAnsi="宋体" w:cs="宋体"/>
          <w:color w:val="auto"/>
          <w:szCs w:val="21"/>
        </w:rPr>
        <w:t>8.4</w:t>
      </w:r>
      <w:r>
        <w:rPr>
          <w:b/>
          <w:color w:val="auto"/>
          <w:szCs w:val="21"/>
        </w:rPr>
        <w:t xml:space="preserve">             </w:t>
      </w:r>
      <w:r>
        <w:rPr>
          <w:rFonts w:hint="eastAsia"/>
          <w:b/>
          <w:color w:val="auto"/>
          <w:szCs w:val="21"/>
        </w:rPr>
        <w:t>修改类型：修改</w:t>
      </w:r>
    </w:p>
    <w:p>
      <w:pPr>
        <w:spacing w:line="480" w:lineRule="auto"/>
        <w:ind w:firstLine="472" w:firstLineChars="224"/>
        <w:rPr>
          <w:b/>
          <w:color w:val="auto"/>
          <w:szCs w:val="21"/>
        </w:rPr>
      </w:pPr>
      <w:r>
        <w:rPr>
          <w:rFonts w:hint="eastAsia"/>
          <w:b/>
          <w:color w:val="auto"/>
          <w:szCs w:val="21"/>
        </w:rPr>
        <w:t>原文：</w:t>
      </w:r>
      <w:r>
        <w:rPr>
          <w:rFonts w:hint="eastAsia" w:ascii="宋体" w:hAnsi="宋体" w:cs="宋体"/>
          <w:color w:val="auto"/>
          <w:szCs w:val="21"/>
        </w:rPr>
        <w:t>8.4若招标答疑会会议纪要与招标文件有矛盾，以答疑会议纪要最后发出的书面形式的文件为准。</w:t>
      </w:r>
    </w:p>
    <w:p>
      <w:pPr>
        <w:pBdr>
          <w:bottom w:val="single" w:color="auto" w:sz="6" w:space="1"/>
        </w:pBdr>
        <w:spacing w:line="360" w:lineRule="auto"/>
        <w:ind w:firstLine="527" w:firstLineChars="250"/>
        <w:rPr>
          <w:color w:val="auto"/>
        </w:rPr>
      </w:pPr>
      <w:r>
        <w:rPr>
          <w:rFonts w:hint="eastAsia"/>
          <w:b/>
          <w:color w:val="auto"/>
          <w:szCs w:val="21"/>
        </w:rPr>
        <w:t>现文：</w:t>
      </w:r>
      <w:r>
        <w:rPr>
          <w:rFonts w:hint="eastAsia" w:ascii="宋体" w:hAnsi="宋体" w:cs="宋体"/>
          <w:color w:val="auto"/>
          <w:szCs w:val="21"/>
        </w:rPr>
        <w:t>8.4若</w:t>
      </w:r>
      <w:r>
        <w:rPr>
          <w:rFonts w:hint="eastAsia" w:ascii="宋体" w:hAnsi="宋体" w:cs="宋体"/>
          <w:color w:val="auto"/>
          <w:szCs w:val="21"/>
          <w:u w:val="single"/>
        </w:rPr>
        <w:t>招标答疑纪要</w:t>
      </w:r>
      <w:r>
        <w:rPr>
          <w:rFonts w:hint="eastAsia" w:ascii="宋体" w:hAnsi="宋体" w:cs="宋体"/>
          <w:color w:val="auto"/>
          <w:szCs w:val="21"/>
        </w:rPr>
        <w:t>与招标文件有矛盾时，以</w:t>
      </w:r>
      <w:r>
        <w:rPr>
          <w:rFonts w:hint="eastAsia" w:ascii="宋体" w:hAnsi="宋体" w:cs="宋体"/>
          <w:color w:val="auto"/>
          <w:szCs w:val="21"/>
          <w:u w:val="single"/>
        </w:rPr>
        <w:t>广州交易集团有限公司（广州公共资源交易中心）交易平台</w:t>
      </w:r>
      <w:r>
        <w:rPr>
          <w:rFonts w:hint="eastAsia" w:ascii="宋体" w:hAnsi="宋体" w:cs="宋体"/>
          <w:color w:val="auto"/>
          <w:szCs w:val="21"/>
        </w:rPr>
        <w:t>最后发布的答疑纪要为准。</w:t>
      </w:r>
    </w:p>
    <w:p>
      <w:pPr>
        <w:spacing w:line="480" w:lineRule="auto"/>
        <w:ind w:firstLine="422" w:firstLineChars="200"/>
        <w:rPr>
          <w:b/>
          <w:color w:val="auto"/>
          <w:szCs w:val="21"/>
        </w:rPr>
      </w:pPr>
      <w:r>
        <w:rPr>
          <w:rFonts w:hint="eastAsia"/>
          <w:b/>
          <w:color w:val="auto"/>
          <w:szCs w:val="21"/>
        </w:rPr>
        <w:t>条款号：</w:t>
      </w:r>
      <w:r>
        <w:rPr>
          <w:rFonts w:hint="eastAsia" w:ascii="宋体" w:hAnsi="宋体" w:cs="宋体"/>
          <w:color w:val="auto"/>
          <w:szCs w:val="21"/>
        </w:rPr>
        <w:t>9.2</w:t>
      </w:r>
      <w:r>
        <w:rPr>
          <w:b/>
          <w:color w:val="auto"/>
          <w:szCs w:val="21"/>
        </w:rPr>
        <w:t xml:space="preserve">             </w:t>
      </w:r>
      <w:r>
        <w:rPr>
          <w:rFonts w:hint="eastAsia"/>
          <w:b/>
          <w:color w:val="auto"/>
          <w:szCs w:val="21"/>
        </w:rPr>
        <w:t>修改类型：修改</w:t>
      </w:r>
    </w:p>
    <w:p>
      <w:pPr>
        <w:pBdr>
          <w:bottom w:val="single" w:color="auto" w:sz="6" w:space="1"/>
        </w:pBdr>
        <w:spacing w:line="360" w:lineRule="auto"/>
        <w:ind w:firstLine="422" w:firstLineChars="200"/>
        <w:rPr>
          <w:rFonts w:ascii="宋体"/>
          <w:color w:val="auto"/>
          <w:sz w:val="24"/>
        </w:rPr>
      </w:pPr>
      <w:r>
        <w:rPr>
          <w:rFonts w:hint="eastAsia"/>
          <w:b/>
          <w:color w:val="auto"/>
          <w:szCs w:val="21"/>
        </w:rPr>
        <w:t>原文：</w:t>
      </w:r>
      <w:r>
        <w:rPr>
          <w:rFonts w:hint="eastAsia" w:ascii="宋体" w:hAnsi="宋体" w:cs="宋体"/>
          <w:color w:val="auto"/>
          <w:szCs w:val="21"/>
        </w:rPr>
        <w:t>9.2招标文件的澄清或修改将在</w:t>
      </w:r>
      <w:r>
        <w:rPr>
          <w:rFonts w:hint="eastAsia" w:ascii="宋体" w:hAnsi="宋体" w:cs="宋体"/>
          <w:color w:val="auto"/>
          <w:szCs w:val="21"/>
          <w:u w:val="single"/>
        </w:rPr>
        <w:t xml:space="preserve">       </w:t>
      </w:r>
      <w:r>
        <w:rPr>
          <w:rFonts w:hint="eastAsia" w:ascii="宋体" w:hAnsi="宋体" w:cs="宋体"/>
          <w:color w:val="auto"/>
          <w:szCs w:val="21"/>
        </w:rPr>
        <w:t>交易平台“项目答疑纪要”专区公开发布。答疑纪要一经在</w:t>
      </w:r>
      <w:r>
        <w:rPr>
          <w:rFonts w:hint="eastAsia" w:ascii="宋体" w:hAnsi="宋体" w:cs="宋体"/>
          <w:color w:val="auto"/>
          <w:szCs w:val="21"/>
          <w:u w:val="single"/>
        </w:rPr>
        <w:t xml:space="preserve">        </w:t>
      </w:r>
      <w:r>
        <w:rPr>
          <w:rFonts w:hint="eastAsia" w:ascii="宋体" w:hAnsi="宋体" w:cs="宋体"/>
          <w:color w:val="auto"/>
          <w:szCs w:val="21"/>
        </w:rPr>
        <w:t>交易平台发布，视作已发放给所有投标人，以</w:t>
      </w:r>
      <w:r>
        <w:rPr>
          <w:rFonts w:hint="eastAsia" w:ascii="宋体" w:hAnsi="宋体" w:cs="宋体"/>
          <w:color w:val="auto"/>
          <w:szCs w:val="21"/>
          <w:u w:val="single"/>
        </w:rPr>
        <w:t xml:space="preserve">       </w:t>
      </w:r>
      <w:r>
        <w:rPr>
          <w:rFonts w:hint="eastAsia" w:ascii="宋体" w:hAnsi="宋体" w:cs="宋体"/>
          <w:color w:val="auto"/>
          <w:szCs w:val="21"/>
        </w:rPr>
        <w:t>交易平台上网发布时间作为送达时间。</w:t>
      </w:r>
    </w:p>
    <w:p>
      <w:pPr>
        <w:pBdr>
          <w:bottom w:val="single" w:color="auto" w:sz="6" w:space="1"/>
        </w:pBdr>
        <w:spacing w:line="360" w:lineRule="auto"/>
        <w:ind w:firstLine="527" w:firstLineChars="250"/>
        <w:rPr>
          <w:color w:val="auto"/>
        </w:rPr>
      </w:pPr>
      <w:r>
        <w:rPr>
          <w:rFonts w:hint="eastAsia"/>
          <w:b/>
          <w:color w:val="auto"/>
          <w:szCs w:val="21"/>
        </w:rPr>
        <w:t>现文：</w:t>
      </w:r>
      <w:r>
        <w:rPr>
          <w:rFonts w:hint="eastAsia" w:ascii="宋体" w:hAnsi="宋体" w:cs="宋体"/>
          <w:color w:val="auto"/>
          <w:szCs w:val="21"/>
        </w:rPr>
        <w:t>9.2招标文件的澄清或修改将在</w:t>
      </w:r>
      <w:r>
        <w:rPr>
          <w:rFonts w:hint="eastAsia" w:ascii="宋体" w:hAnsi="宋体" w:cs="宋体"/>
          <w:color w:val="auto"/>
          <w:szCs w:val="21"/>
          <w:u w:val="single"/>
        </w:rPr>
        <w:t>广州交易集团有限公司（广州公共资源交易中心）网站</w:t>
      </w:r>
      <w:r>
        <w:rPr>
          <w:rFonts w:hint="eastAsia" w:ascii="宋体" w:hAnsi="宋体" w:cs="宋体"/>
          <w:color w:val="auto"/>
          <w:szCs w:val="21"/>
        </w:rPr>
        <w:t>“项目答疑纪要”专区公开发布。答疑纪要一经在</w:t>
      </w:r>
      <w:r>
        <w:rPr>
          <w:rFonts w:hint="eastAsia" w:ascii="宋体" w:hAnsi="宋体" w:cs="宋体"/>
          <w:color w:val="auto"/>
          <w:szCs w:val="21"/>
          <w:u w:val="single"/>
        </w:rPr>
        <w:t>广州交易集团有限公司（广州公共资源交易中心）网站</w:t>
      </w:r>
      <w:r>
        <w:rPr>
          <w:rFonts w:hint="eastAsia" w:ascii="宋体" w:hAnsi="宋体" w:cs="宋体"/>
          <w:color w:val="auto"/>
          <w:szCs w:val="21"/>
        </w:rPr>
        <w:t>发布，视作已发放给所有投标人，以</w:t>
      </w:r>
      <w:r>
        <w:rPr>
          <w:rFonts w:hint="eastAsia" w:ascii="宋体" w:hAnsi="宋体" w:cs="宋体"/>
          <w:color w:val="auto"/>
          <w:szCs w:val="21"/>
          <w:u w:val="single"/>
        </w:rPr>
        <w:t>广州交易集团有限公司（广州公共资源交易中心）网站</w:t>
      </w:r>
      <w:r>
        <w:rPr>
          <w:rFonts w:hint="eastAsia" w:ascii="宋体" w:hAnsi="宋体" w:cs="宋体"/>
          <w:color w:val="auto"/>
          <w:szCs w:val="21"/>
        </w:rPr>
        <w:t>发布时间作为送达时间。</w:t>
      </w:r>
    </w:p>
    <w:p>
      <w:pPr>
        <w:spacing w:line="480" w:lineRule="auto"/>
        <w:ind w:firstLine="422" w:firstLineChars="200"/>
        <w:rPr>
          <w:b/>
          <w:color w:val="auto"/>
          <w:szCs w:val="21"/>
        </w:rPr>
      </w:pPr>
      <w:r>
        <w:rPr>
          <w:rFonts w:hint="eastAsia"/>
          <w:b/>
          <w:color w:val="auto"/>
          <w:szCs w:val="21"/>
        </w:rPr>
        <w:t>条款号：</w:t>
      </w:r>
      <w:r>
        <w:rPr>
          <w:rFonts w:hint="eastAsia" w:ascii="宋体" w:hAnsi="宋体" w:cs="宋体"/>
          <w:color w:val="auto"/>
          <w:szCs w:val="21"/>
        </w:rPr>
        <w:t>9.4</w:t>
      </w:r>
      <w:r>
        <w:rPr>
          <w:b/>
          <w:color w:val="auto"/>
          <w:szCs w:val="21"/>
        </w:rPr>
        <w:t xml:space="preserve">             </w:t>
      </w:r>
      <w:r>
        <w:rPr>
          <w:rFonts w:hint="eastAsia"/>
          <w:b/>
          <w:color w:val="auto"/>
          <w:szCs w:val="21"/>
        </w:rPr>
        <w:t>修改类型：修改</w:t>
      </w:r>
    </w:p>
    <w:p>
      <w:pPr>
        <w:pBdr>
          <w:bottom w:val="single" w:color="auto" w:sz="6" w:space="1"/>
        </w:pBdr>
        <w:spacing w:line="360" w:lineRule="auto"/>
        <w:ind w:firstLine="422" w:firstLineChars="200"/>
        <w:rPr>
          <w:rFonts w:ascii="宋体" w:hAnsi="宋体" w:cs="宋体"/>
          <w:color w:val="auto"/>
          <w:szCs w:val="21"/>
        </w:rPr>
      </w:pPr>
      <w:r>
        <w:rPr>
          <w:rFonts w:hint="eastAsia"/>
          <w:b/>
          <w:color w:val="auto"/>
          <w:szCs w:val="21"/>
        </w:rPr>
        <w:t>原文：</w:t>
      </w:r>
      <w:r>
        <w:rPr>
          <w:rFonts w:hint="eastAsia" w:ascii="宋体" w:hAnsi="宋体" w:cs="宋体"/>
          <w:color w:val="auto"/>
          <w:szCs w:val="21"/>
        </w:rPr>
        <w:t>9.4招标文件的澄清或修改均以书面形式明确的内容为准。当招标文件的澄清、修改、补充等在同一内容的表述不一致时，以最后发出的书面形式的文件为准。</w:t>
      </w:r>
    </w:p>
    <w:p>
      <w:pPr>
        <w:pBdr>
          <w:bottom w:val="single" w:color="auto" w:sz="6" w:space="1"/>
        </w:pBdr>
        <w:spacing w:line="360" w:lineRule="auto"/>
        <w:ind w:firstLine="422" w:firstLineChars="200"/>
        <w:rPr>
          <w:color w:val="auto"/>
        </w:rPr>
      </w:pPr>
      <w:r>
        <w:rPr>
          <w:rFonts w:hint="eastAsia"/>
          <w:b/>
          <w:color w:val="auto"/>
          <w:szCs w:val="21"/>
        </w:rPr>
        <w:t>现文：</w:t>
      </w:r>
      <w:r>
        <w:rPr>
          <w:rFonts w:hint="eastAsia" w:ascii="宋体" w:hAnsi="宋体" w:cs="宋体"/>
          <w:color w:val="auto"/>
          <w:szCs w:val="21"/>
        </w:rPr>
        <w:t>9.4招标文件的澄清或修改</w:t>
      </w:r>
      <w:r>
        <w:rPr>
          <w:rFonts w:hint="eastAsia" w:ascii="宋体" w:hAnsi="宋体" w:cs="宋体"/>
          <w:color w:val="auto"/>
          <w:szCs w:val="21"/>
          <w:u w:val="single"/>
        </w:rPr>
        <w:t>在广州交易集团有限公司（广州公共资源交易中心）网站“项目答疑纪要”专区公开发布</w:t>
      </w:r>
      <w:r>
        <w:rPr>
          <w:rFonts w:hint="eastAsia" w:ascii="宋体" w:hAnsi="宋体" w:cs="宋体"/>
          <w:color w:val="auto"/>
          <w:szCs w:val="21"/>
        </w:rPr>
        <w:t>。当招标文件的澄清、修改、补充等在同一内容的表述不一致时，以</w:t>
      </w:r>
      <w:r>
        <w:rPr>
          <w:rFonts w:hint="eastAsia" w:ascii="宋体" w:hAnsi="宋体" w:cs="宋体"/>
          <w:color w:val="auto"/>
          <w:szCs w:val="21"/>
          <w:u w:val="single"/>
        </w:rPr>
        <w:t>广州交易集团有限公司（广州公共资源交易中心）交易平台</w:t>
      </w:r>
      <w:r>
        <w:rPr>
          <w:rFonts w:hint="eastAsia" w:ascii="宋体" w:hAnsi="宋体" w:cs="宋体"/>
          <w:color w:val="auto"/>
          <w:szCs w:val="21"/>
        </w:rPr>
        <w:t>最后发布的内容为准。</w:t>
      </w:r>
    </w:p>
    <w:p>
      <w:pPr>
        <w:spacing w:line="480" w:lineRule="auto"/>
        <w:ind w:firstLine="422" w:firstLineChars="200"/>
        <w:rPr>
          <w:b/>
          <w:color w:val="auto"/>
          <w:szCs w:val="21"/>
        </w:rPr>
      </w:pPr>
      <w:r>
        <w:rPr>
          <w:rFonts w:hint="eastAsia"/>
          <w:b/>
          <w:color w:val="auto"/>
          <w:szCs w:val="21"/>
        </w:rPr>
        <w:t>条款号：</w:t>
      </w:r>
      <w:r>
        <w:rPr>
          <w:rFonts w:hint="eastAsia" w:ascii="宋体" w:hAnsi="宋体" w:cs="宋体"/>
          <w:bCs/>
          <w:color w:val="auto"/>
          <w:szCs w:val="21"/>
        </w:rPr>
        <w:t>11.2</w:t>
      </w:r>
      <w:r>
        <w:rPr>
          <w:b/>
          <w:color w:val="auto"/>
          <w:szCs w:val="21"/>
        </w:rPr>
        <w:t xml:space="preserve">             </w:t>
      </w:r>
      <w:r>
        <w:rPr>
          <w:rFonts w:hint="eastAsia"/>
          <w:b/>
          <w:color w:val="auto"/>
          <w:szCs w:val="21"/>
        </w:rPr>
        <w:t>修改类型：修改</w:t>
      </w:r>
    </w:p>
    <w:p>
      <w:pPr>
        <w:spacing w:line="360" w:lineRule="auto"/>
        <w:ind w:firstLine="422" w:firstLineChars="200"/>
        <w:rPr>
          <w:rFonts w:ascii="宋体" w:hAnsi="宋体" w:cs="宋体"/>
          <w:color w:val="auto"/>
          <w:szCs w:val="21"/>
        </w:rPr>
      </w:pPr>
      <w:r>
        <w:rPr>
          <w:rFonts w:hint="eastAsia"/>
          <w:b/>
          <w:color w:val="auto"/>
          <w:szCs w:val="21"/>
        </w:rPr>
        <w:t>原文：</w:t>
      </w:r>
      <w:r>
        <w:rPr>
          <w:rFonts w:hint="eastAsia" w:ascii="宋体" w:hAnsi="宋体" w:cs="宋体"/>
          <w:color w:val="auto"/>
          <w:szCs w:val="21"/>
        </w:rPr>
        <w:t>11.2投标文件技术标部分主要包括下列内容:</w:t>
      </w:r>
    </w:p>
    <w:p>
      <w:pPr>
        <w:spacing w:line="360" w:lineRule="auto"/>
        <w:ind w:firstLine="420" w:firstLineChars="200"/>
        <w:rPr>
          <w:rFonts w:ascii="宋体" w:hAnsi="宋体" w:cs="宋体"/>
          <w:color w:val="auto"/>
          <w:szCs w:val="21"/>
        </w:rPr>
      </w:pPr>
      <w:r>
        <w:rPr>
          <w:rFonts w:hint="eastAsia" w:ascii="宋体" w:hAnsi="宋体" w:cs="宋体"/>
          <w:color w:val="auto"/>
          <w:szCs w:val="21"/>
        </w:rPr>
        <w:t>11.2.1 技术投标文件(按招标文件的要求填写)；</w:t>
      </w:r>
    </w:p>
    <w:p>
      <w:pPr>
        <w:spacing w:line="360" w:lineRule="auto"/>
        <w:ind w:firstLine="420" w:firstLineChars="200"/>
        <w:rPr>
          <w:rFonts w:ascii="宋体" w:hAnsi="宋体" w:cs="宋体"/>
          <w:color w:val="auto"/>
          <w:szCs w:val="21"/>
        </w:rPr>
      </w:pPr>
      <w:r>
        <w:rPr>
          <w:rFonts w:hint="eastAsia" w:ascii="宋体" w:hAnsi="宋体" w:cs="宋体"/>
          <w:color w:val="auto"/>
          <w:szCs w:val="21"/>
        </w:rPr>
        <w:t>11.2.2 资格审查文件：</w:t>
      </w:r>
    </w:p>
    <w:p>
      <w:pPr>
        <w:spacing w:line="360" w:lineRule="auto"/>
        <w:ind w:firstLine="420" w:firstLineChars="200"/>
        <w:rPr>
          <w:rFonts w:ascii="宋体" w:hAnsi="宋体" w:cs="宋体"/>
          <w:color w:val="auto"/>
          <w:szCs w:val="21"/>
        </w:rPr>
      </w:pPr>
      <w:r>
        <w:rPr>
          <w:rFonts w:hint="eastAsia" w:ascii="宋体" w:hAnsi="宋体" w:cs="宋体"/>
          <w:color w:val="auto"/>
          <w:szCs w:val="21"/>
        </w:rPr>
        <w:t xml:space="preserve">（1）投标人声明； </w:t>
      </w:r>
    </w:p>
    <w:p>
      <w:pPr>
        <w:spacing w:line="360" w:lineRule="auto"/>
        <w:ind w:firstLine="420" w:firstLineChars="200"/>
        <w:rPr>
          <w:rFonts w:ascii="宋体" w:hAnsi="宋体" w:cs="宋体"/>
          <w:color w:val="auto"/>
          <w:szCs w:val="21"/>
        </w:rPr>
      </w:pPr>
      <w:r>
        <w:rPr>
          <w:rFonts w:hint="eastAsia" w:ascii="宋体" w:hAnsi="宋体" w:cs="宋体"/>
          <w:color w:val="auto"/>
          <w:szCs w:val="21"/>
        </w:rPr>
        <w:t>（2）法定代表人证明书、法定代表人签字或盖章的本投标文件授权委托证明书；</w:t>
      </w:r>
    </w:p>
    <w:p>
      <w:pPr>
        <w:spacing w:line="360" w:lineRule="auto"/>
        <w:ind w:firstLine="420" w:firstLineChars="200"/>
        <w:rPr>
          <w:rFonts w:ascii="宋体" w:hAnsi="宋体" w:cs="宋体"/>
          <w:color w:val="auto"/>
          <w:szCs w:val="21"/>
        </w:rPr>
      </w:pPr>
      <w:r>
        <w:rPr>
          <w:rFonts w:hint="eastAsia" w:ascii="宋体" w:hAnsi="宋体" w:cs="宋体"/>
          <w:color w:val="auto"/>
          <w:szCs w:val="21"/>
        </w:rPr>
        <w:t>（3）企业营业执照（取自平台内上传件）；</w:t>
      </w:r>
    </w:p>
    <w:p>
      <w:pPr>
        <w:spacing w:line="360" w:lineRule="auto"/>
        <w:ind w:firstLine="420" w:firstLineChars="200"/>
        <w:rPr>
          <w:rFonts w:ascii="宋体" w:hAnsi="宋体" w:cs="宋体"/>
          <w:color w:val="auto"/>
          <w:szCs w:val="21"/>
        </w:rPr>
      </w:pPr>
      <w:r>
        <w:rPr>
          <w:rFonts w:hint="eastAsia" w:ascii="宋体" w:hAnsi="宋体" w:cs="宋体"/>
          <w:color w:val="auto"/>
          <w:szCs w:val="21"/>
        </w:rPr>
        <w:t>（4）企业资质证书（取自平台内上传件）；</w:t>
      </w:r>
    </w:p>
    <w:p>
      <w:pPr>
        <w:spacing w:line="360" w:lineRule="auto"/>
        <w:ind w:firstLine="420" w:firstLineChars="200"/>
        <w:rPr>
          <w:rFonts w:ascii="宋体" w:hAnsi="宋体" w:cs="宋体"/>
          <w:color w:val="auto"/>
          <w:szCs w:val="21"/>
        </w:rPr>
      </w:pPr>
      <w:r>
        <w:rPr>
          <w:rFonts w:hint="eastAsia" w:ascii="宋体" w:hAnsi="宋体" w:cs="宋体"/>
          <w:color w:val="auto"/>
          <w:szCs w:val="21"/>
        </w:rPr>
        <w:t>（5）建筑施工企业安全生产许可证（取自平台内上传件）；</w:t>
      </w:r>
    </w:p>
    <w:p>
      <w:pPr>
        <w:spacing w:line="360" w:lineRule="auto"/>
        <w:ind w:firstLine="420" w:firstLineChars="200"/>
        <w:rPr>
          <w:rFonts w:ascii="宋体" w:hAnsi="宋体" w:cs="宋体"/>
          <w:color w:val="auto"/>
          <w:szCs w:val="21"/>
        </w:rPr>
      </w:pPr>
      <w:r>
        <w:rPr>
          <w:rFonts w:hint="eastAsia" w:ascii="宋体" w:hAnsi="宋体" w:cs="宋体"/>
          <w:color w:val="auto"/>
          <w:szCs w:val="21"/>
        </w:rPr>
        <w:t>（6）项目负责人（按网上投标登记时选择拟投标的项目负责人）</w:t>
      </w:r>
    </w:p>
    <w:p>
      <w:pPr>
        <w:spacing w:line="360" w:lineRule="auto"/>
        <w:ind w:firstLine="420" w:firstLineChars="200"/>
        <w:rPr>
          <w:rFonts w:ascii="宋体" w:hAnsi="宋体" w:cs="宋体"/>
          <w:color w:val="auto"/>
          <w:szCs w:val="21"/>
        </w:rPr>
      </w:pPr>
      <w:r>
        <w:rPr>
          <w:rFonts w:hint="eastAsia" w:ascii="宋体" w:hAnsi="宋体" w:cs="宋体"/>
          <w:color w:val="auto"/>
          <w:szCs w:val="21"/>
        </w:rPr>
        <w:t>（7）专职安全员（按网上投标登记时选择拟投标的专职安全员）</w:t>
      </w:r>
    </w:p>
    <w:p>
      <w:pPr>
        <w:spacing w:line="360" w:lineRule="auto"/>
        <w:ind w:firstLine="420" w:firstLineChars="200"/>
        <w:rPr>
          <w:rFonts w:ascii="宋体" w:hAnsi="宋体" w:cs="宋体"/>
          <w:color w:val="auto"/>
          <w:szCs w:val="21"/>
        </w:rPr>
      </w:pPr>
      <w:r>
        <w:rPr>
          <w:rFonts w:hint="eastAsia" w:ascii="宋体" w:hAnsi="宋体" w:cs="宋体"/>
          <w:color w:val="auto"/>
          <w:szCs w:val="21"/>
        </w:rPr>
        <w:t>（8）拟委托技术负责人的相关证书、资料（具体要求由招标人明确）</w:t>
      </w:r>
    </w:p>
    <w:p>
      <w:pPr>
        <w:spacing w:line="360" w:lineRule="auto"/>
        <w:ind w:firstLine="420" w:firstLineChars="200"/>
        <w:rPr>
          <w:rFonts w:ascii="宋体" w:hAnsi="宋体" w:cs="宋体"/>
          <w:color w:val="auto"/>
          <w:szCs w:val="21"/>
        </w:rPr>
      </w:pPr>
      <w:r>
        <w:rPr>
          <w:rFonts w:hint="eastAsia" w:ascii="宋体" w:hAnsi="宋体" w:cs="宋体"/>
          <w:color w:val="auto"/>
          <w:szCs w:val="21"/>
        </w:rPr>
        <w:t xml:space="preserve">（9）拟委派项目负责人的建造师注册证书（取自平台内上传件）； </w:t>
      </w:r>
    </w:p>
    <w:p>
      <w:pPr>
        <w:spacing w:line="360" w:lineRule="auto"/>
        <w:ind w:firstLine="420" w:firstLineChars="200"/>
        <w:rPr>
          <w:rFonts w:ascii="宋体" w:hAnsi="宋体" w:cs="宋体"/>
          <w:color w:val="auto"/>
          <w:szCs w:val="21"/>
        </w:rPr>
      </w:pPr>
      <w:r>
        <w:rPr>
          <w:rFonts w:hint="eastAsia" w:ascii="宋体" w:hAnsi="宋体" w:cs="宋体"/>
          <w:color w:val="auto"/>
          <w:szCs w:val="21"/>
        </w:rPr>
        <w:t>（10）项目负责人安全生产考核合格证明或在有效期内的安全考核合格证书（B类）或建筑施工企业项目负责人安全生产考核合格证书（取自平台内上传件）；</w:t>
      </w:r>
    </w:p>
    <w:p>
      <w:pPr>
        <w:spacing w:line="360" w:lineRule="auto"/>
        <w:ind w:firstLine="420" w:firstLineChars="200"/>
        <w:rPr>
          <w:rFonts w:ascii="宋体" w:hAnsi="宋体" w:cs="宋体"/>
          <w:color w:val="auto"/>
          <w:szCs w:val="21"/>
        </w:rPr>
      </w:pPr>
      <w:r>
        <w:rPr>
          <w:rFonts w:hint="eastAsia" w:ascii="宋体" w:hAnsi="宋体" w:cs="宋体"/>
          <w:color w:val="auto"/>
          <w:szCs w:val="21"/>
        </w:rPr>
        <w:t>（11）专职安全员须具有在有效期内的安全考核合格证书（C类）或建筑施工企业专职安全生产管理人员安全生产考核合格证书（取自平台内上传件）；</w:t>
      </w:r>
    </w:p>
    <w:p>
      <w:pPr>
        <w:spacing w:line="360" w:lineRule="auto"/>
        <w:ind w:firstLine="420" w:firstLineChars="200"/>
        <w:rPr>
          <w:rFonts w:ascii="宋体" w:hAnsi="宋体" w:cs="宋体"/>
          <w:color w:val="auto"/>
          <w:szCs w:val="21"/>
        </w:rPr>
      </w:pPr>
      <w:r>
        <w:rPr>
          <w:rFonts w:hint="eastAsia" w:ascii="宋体" w:hAnsi="宋体" w:cs="宋体"/>
          <w:color w:val="auto"/>
          <w:szCs w:val="21"/>
        </w:rPr>
        <w:t>（12）用于资格审查的业绩（设置业绩要求时选择此项，投标人须提供类似工程业绩的项目名称及项目编号，具体格式由招标人自定）；</w:t>
      </w:r>
    </w:p>
    <w:p>
      <w:pPr>
        <w:spacing w:line="360" w:lineRule="auto"/>
        <w:ind w:firstLine="420" w:firstLineChars="200"/>
        <w:rPr>
          <w:rFonts w:ascii="宋体" w:hAnsi="宋体" w:cs="宋体"/>
          <w:color w:val="auto"/>
          <w:szCs w:val="21"/>
        </w:rPr>
      </w:pPr>
      <w:r>
        <w:rPr>
          <w:rFonts w:hint="eastAsia" w:ascii="宋体" w:hAnsi="宋体" w:cs="宋体"/>
          <w:color w:val="auto"/>
          <w:szCs w:val="21"/>
        </w:rPr>
        <w:t>（13）资格审查前，投标人须在广州市住房和城乡建设局建立企业信用档案，拟担任本工程项目负责人、专职安全员须是本企业信用档案中的在册人员。</w:t>
      </w:r>
    </w:p>
    <w:p>
      <w:pPr>
        <w:spacing w:line="360" w:lineRule="auto"/>
        <w:ind w:firstLine="420" w:firstLineChars="200"/>
        <w:rPr>
          <w:rFonts w:ascii="宋体" w:hAnsi="宋体" w:cs="宋体"/>
          <w:color w:val="auto"/>
          <w:szCs w:val="21"/>
        </w:rPr>
      </w:pPr>
      <w:r>
        <w:rPr>
          <w:rFonts w:hint="eastAsia" w:ascii="宋体" w:hAnsi="宋体" w:cs="宋体"/>
          <w:color w:val="auto"/>
          <w:szCs w:val="21"/>
        </w:rPr>
        <w:t xml:space="preserve">（14）列明主办单位的联合体工作协议（采用联合体投标时需递交，投标人拟任本工程项目负责人应为联合体主办方信用档案中的在册人员，联合体工作协议应明确约定各方拟承担的工作和责任）； </w:t>
      </w:r>
    </w:p>
    <w:p>
      <w:pPr>
        <w:spacing w:line="360" w:lineRule="auto"/>
        <w:ind w:firstLine="420" w:firstLineChars="200"/>
        <w:rPr>
          <w:rFonts w:ascii="宋体" w:hAnsi="宋体" w:cs="宋体"/>
          <w:color w:val="auto"/>
          <w:szCs w:val="21"/>
        </w:rPr>
      </w:pPr>
      <w:r>
        <w:rPr>
          <w:rFonts w:hint="eastAsia" w:ascii="宋体" w:hAnsi="宋体" w:cs="宋体"/>
          <w:color w:val="auto"/>
          <w:szCs w:val="21"/>
        </w:rPr>
        <w:t>（15）投标人具有在广州地区可使用适合本工程的机械设备的证明文件（提供沥青摊铺机自有发票或权属证明及设备现场全貌彩照（彩照须能反映其规格型号））。（含有市政道路面层沥青摊铺且沥青摊铺占预计发包价50%或以上的大、中修市政公用工程需提供该项内容的证明文件）。</w:t>
      </w:r>
    </w:p>
    <w:p>
      <w:pPr>
        <w:spacing w:line="360" w:lineRule="auto"/>
        <w:ind w:firstLine="420" w:firstLineChars="200"/>
        <w:rPr>
          <w:rFonts w:ascii="宋体" w:hAnsi="宋体" w:cs="宋体"/>
          <w:color w:val="auto"/>
          <w:szCs w:val="21"/>
        </w:rPr>
      </w:pPr>
      <w:r>
        <w:rPr>
          <w:rFonts w:hint="eastAsia" w:ascii="宋体" w:hAnsi="宋体" w:cs="宋体"/>
          <w:color w:val="auto"/>
          <w:szCs w:val="21"/>
        </w:rPr>
        <w:t>11.2.3项目管理机构配备。</w:t>
      </w:r>
    </w:p>
    <w:p>
      <w:pPr>
        <w:spacing w:line="360" w:lineRule="auto"/>
        <w:ind w:firstLine="420" w:firstLineChars="200"/>
        <w:rPr>
          <w:rFonts w:ascii="宋体" w:hAnsi="宋体" w:cs="宋体"/>
          <w:color w:val="auto"/>
          <w:szCs w:val="21"/>
        </w:rPr>
      </w:pPr>
      <w:r>
        <w:rPr>
          <w:rFonts w:hint="eastAsia" w:ascii="宋体" w:hAnsi="宋体" w:cs="宋体"/>
          <w:color w:val="auto"/>
          <w:szCs w:val="21"/>
        </w:rPr>
        <w:t>（1）投标人应列出该项目工程的施工组织机构构成和画出机构框架图及其负责人；</w:t>
      </w:r>
    </w:p>
    <w:p>
      <w:pPr>
        <w:spacing w:line="360" w:lineRule="auto"/>
        <w:ind w:firstLine="420" w:firstLineChars="200"/>
        <w:rPr>
          <w:rFonts w:ascii="宋体" w:hAnsi="宋体" w:cs="宋体"/>
          <w:color w:val="auto"/>
          <w:szCs w:val="21"/>
        </w:rPr>
      </w:pPr>
      <w:r>
        <w:rPr>
          <w:rFonts w:hint="eastAsia" w:ascii="宋体" w:hAnsi="宋体" w:cs="宋体"/>
          <w:color w:val="auto"/>
          <w:szCs w:val="21"/>
        </w:rPr>
        <w:t>（2）投标人应详细列出该施工组织机构中主要成员的名单、简历资料、职务职称和在本项目中拟担任的职务等资料，并附上有关证明材料扫描件；</w:t>
      </w:r>
    </w:p>
    <w:p>
      <w:pPr>
        <w:spacing w:line="360" w:lineRule="auto"/>
        <w:ind w:firstLine="420" w:firstLineChars="200"/>
        <w:rPr>
          <w:rFonts w:ascii="宋体" w:hAnsi="宋体" w:cs="宋体"/>
          <w:color w:val="auto"/>
          <w:szCs w:val="21"/>
        </w:rPr>
      </w:pPr>
      <w:r>
        <w:rPr>
          <w:rFonts w:hint="eastAsia" w:ascii="宋体" w:hAnsi="宋体" w:cs="宋体"/>
          <w:color w:val="auto"/>
          <w:szCs w:val="21"/>
        </w:rPr>
        <w:t>（3）其他辅助说明资料。</w:t>
      </w:r>
    </w:p>
    <w:p>
      <w:pPr>
        <w:spacing w:line="360" w:lineRule="auto"/>
        <w:ind w:firstLine="420" w:firstLineChars="200"/>
        <w:rPr>
          <w:rFonts w:ascii="宋体" w:hAnsi="宋体" w:cs="宋体"/>
          <w:color w:val="auto"/>
          <w:szCs w:val="21"/>
        </w:rPr>
      </w:pPr>
      <w:r>
        <w:rPr>
          <w:rFonts w:hint="eastAsia" w:ascii="宋体" w:hAnsi="宋体" w:cs="宋体"/>
          <w:color w:val="auto"/>
          <w:szCs w:val="21"/>
        </w:rPr>
        <w:t>11.2.4投标人在广州市可使用适合本工程的机械设备（附：机械设备为自有或租赁的说明；及承诺机械设备如属于租赁的，其租赁是不属于重复租赁）。</w:t>
      </w:r>
    </w:p>
    <w:p>
      <w:pPr>
        <w:spacing w:line="360" w:lineRule="auto"/>
        <w:ind w:firstLine="420" w:firstLineChars="200"/>
        <w:rPr>
          <w:rFonts w:ascii="宋体" w:hAnsi="宋体" w:cs="宋体"/>
          <w:color w:val="auto"/>
          <w:szCs w:val="21"/>
        </w:rPr>
      </w:pPr>
      <w:r>
        <w:rPr>
          <w:rFonts w:hint="eastAsia" w:ascii="宋体" w:hAnsi="宋体" w:cs="宋体"/>
          <w:color w:val="auto"/>
          <w:szCs w:val="21"/>
        </w:rPr>
        <w:t>11.2.5施工组织设计或施工方案。</w:t>
      </w:r>
      <w:r>
        <w:rPr>
          <w:rFonts w:hint="eastAsia" w:ascii="仿宋" w:hAnsi="仿宋" w:eastAsia="仿宋" w:cs="宋体"/>
          <w:bCs/>
          <w:color w:val="auto"/>
          <w:kern w:val="0"/>
          <w:sz w:val="22"/>
        </w:rPr>
        <w:t>（</w:t>
      </w:r>
      <w:r>
        <w:rPr>
          <w:rFonts w:hint="eastAsia" w:ascii="仿宋" w:hAnsi="仿宋" w:eastAsia="仿宋" w:cs="宋体"/>
          <w:b/>
          <w:bCs/>
          <w:color w:val="auto"/>
          <w:kern w:val="0"/>
          <w:sz w:val="22"/>
        </w:rPr>
        <w:t>投标人在编制</w:t>
      </w:r>
      <w:r>
        <w:rPr>
          <w:rFonts w:ascii="仿宋" w:hAnsi="仿宋" w:eastAsia="仿宋" w:cs="宋体"/>
          <w:b/>
          <w:bCs/>
          <w:color w:val="auto"/>
          <w:kern w:val="0"/>
          <w:sz w:val="22"/>
        </w:rPr>
        <w:t>施工组织设计或施工方案</w:t>
      </w:r>
      <w:r>
        <w:rPr>
          <w:rFonts w:hint="eastAsia" w:ascii="仿宋" w:hAnsi="仿宋" w:eastAsia="仿宋" w:cs="宋体"/>
          <w:b/>
          <w:bCs/>
          <w:color w:val="auto"/>
          <w:kern w:val="0"/>
          <w:sz w:val="22"/>
        </w:rPr>
        <w:t>时应按照招标人提出的施工现场建筑垃圾源头减量的具体要求以及建筑垃圾综合利用产品的使用要求提供相应措施。</w:t>
      </w:r>
      <w:r>
        <w:rPr>
          <w:rFonts w:hint="eastAsia" w:ascii="仿宋" w:hAnsi="仿宋" w:eastAsia="仿宋" w:cs="宋体"/>
          <w:bCs/>
          <w:color w:val="auto"/>
          <w:kern w:val="0"/>
          <w:sz w:val="22"/>
        </w:rPr>
        <w:t>）</w:t>
      </w:r>
    </w:p>
    <w:p>
      <w:pPr>
        <w:spacing w:line="360" w:lineRule="auto"/>
        <w:ind w:firstLine="420" w:firstLineChars="200"/>
        <w:rPr>
          <w:rFonts w:ascii="宋体" w:hAnsi="宋体" w:cs="宋体"/>
          <w:color w:val="auto"/>
          <w:szCs w:val="21"/>
        </w:rPr>
      </w:pPr>
      <w:r>
        <w:rPr>
          <w:rFonts w:hint="eastAsia" w:ascii="宋体" w:hAnsi="宋体" w:cs="宋体"/>
          <w:color w:val="auto"/>
          <w:szCs w:val="21"/>
        </w:rPr>
        <w:t>11.2.6按照招标文件要求填写的《参与编制技术标投标文件人员名单》。</w:t>
      </w:r>
    </w:p>
    <w:p>
      <w:pPr>
        <w:spacing w:line="360" w:lineRule="auto"/>
        <w:ind w:firstLine="422" w:firstLineChars="200"/>
        <w:rPr>
          <w:rFonts w:ascii="宋体" w:hAnsi="宋体" w:cs="宋体"/>
          <w:bCs/>
          <w:color w:val="auto"/>
          <w:szCs w:val="21"/>
        </w:rPr>
      </w:pPr>
      <w:r>
        <w:rPr>
          <w:rFonts w:hint="eastAsia"/>
          <w:b/>
          <w:color w:val="auto"/>
          <w:szCs w:val="21"/>
        </w:rPr>
        <w:t>现文：</w:t>
      </w:r>
      <w:r>
        <w:rPr>
          <w:rFonts w:hint="eastAsia" w:ascii="宋体" w:hAnsi="宋体" w:cs="宋体"/>
          <w:bCs/>
          <w:color w:val="auto"/>
          <w:szCs w:val="21"/>
        </w:rPr>
        <w:t>11.2投标文件技术标部分主要包括下列内容:</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 xml:space="preserve">11.2.1 </w:t>
      </w:r>
      <w:r>
        <w:rPr>
          <w:rFonts w:hint="eastAsia" w:ascii="宋体" w:hAnsi="宋体" w:cs="宋体"/>
          <w:bCs/>
          <w:color w:val="auto"/>
          <w:szCs w:val="21"/>
          <w:u w:val="single"/>
        </w:rPr>
        <w:t>技术标投标书</w:t>
      </w:r>
      <w:r>
        <w:rPr>
          <w:rFonts w:hint="eastAsia" w:ascii="宋体" w:hAnsi="宋体" w:cs="宋体"/>
          <w:bCs/>
          <w:color w:val="auto"/>
          <w:szCs w:val="21"/>
        </w:rPr>
        <w:t>(按招标文件</w:t>
      </w:r>
      <w:r>
        <w:rPr>
          <w:rFonts w:hint="eastAsia" w:ascii="宋体" w:hAnsi="宋体" w:cs="宋体"/>
          <w:bCs/>
          <w:color w:val="auto"/>
          <w:szCs w:val="21"/>
          <w:u w:val="single"/>
        </w:rPr>
        <w:t>第四章附件一</w:t>
      </w:r>
      <w:r>
        <w:rPr>
          <w:rFonts w:hint="eastAsia" w:ascii="宋体" w:hAnsi="宋体" w:cs="宋体"/>
          <w:bCs/>
          <w:color w:val="auto"/>
          <w:szCs w:val="21"/>
        </w:rPr>
        <w:t>的要求填写)；</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11.2.2 资格审查文件：</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（1）投标人声明</w:t>
      </w:r>
      <w:r>
        <w:rPr>
          <w:rFonts w:hint="eastAsia" w:ascii="宋体" w:hAnsi="宋体" w:cs="宋体"/>
          <w:bCs/>
          <w:color w:val="auto"/>
          <w:szCs w:val="21"/>
          <w:u w:val="single"/>
        </w:rPr>
        <w:t>（须按本工程招标公告附件一格式）</w:t>
      </w:r>
      <w:r>
        <w:rPr>
          <w:rFonts w:hint="eastAsia" w:ascii="宋体" w:hAnsi="宋体" w:cs="宋体"/>
          <w:bCs/>
          <w:color w:val="auto"/>
          <w:szCs w:val="21"/>
        </w:rPr>
        <w:t xml:space="preserve">； </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（2）法定代表人证明书、法定代表人签字或盖章的本投标文件授权委托证明书；</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（3）企业营业执照（提供证书扫描件）；</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（4）企业资质证书（提供证书扫描件）；</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（5）建筑施工企业安全生产许可证（提供证书扫描件）；</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（6）项目负责人（按网上投标登记时选择拟投标的项目负责人）；</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（7）专职安全员（按网上投标登记时选择拟投标的专职安全员）；</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（8）拟委托技术负责人的</w:t>
      </w:r>
      <w:r>
        <w:rPr>
          <w:rFonts w:hint="eastAsia" w:ascii="宋体" w:hAnsi="宋体" w:cs="宋体"/>
          <w:bCs/>
          <w:color w:val="auto"/>
          <w:szCs w:val="21"/>
          <w:u w:val="single"/>
        </w:rPr>
        <w:t>职称证书；</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（9）拟委派项目负责人的</w:t>
      </w:r>
      <w:r>
        <w:rPr>
          <w:rFonts w:hint="eastAsia" w:ascii="宋体" w:hAnsi="宋体" w:cs="宋体"/>
          <w:bCs/>
          <w:color w:val="auto"/>
          <w:szCs w:val="21"/>
          <w:u w:val="single"/>
        </w:rPr>
        <w:t>建造师注册证书</w:t>
      </w:r>
      <w:r>
        <w:rPr>
          <w:rFonts w:hint="eastAsia" w:ascii="宋体" w:hAnsi="宋体" w:cs="宋体"/>
          <w:bCs/>
          <w:color w:val="auto"/>
          <w:szCs w:val="21"/>
        </w:rPr>
        <w:t xml:space="preserve">（提供证书扫描件）； </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（10）项目负责人安全生产考核合格证（B类）或建筑施工企业项目负责人安全生产考核合格证扫描件；</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（11）专职安全员须具有在有效期内的安全生产考核合格证（C类）或建筑施工企业专职安全生产管理人员安全生产考核合格证书（C3）（提供证书扫描件）；</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12）投标登记前，投标人须在广州交易集团有限公司（广州公共资源交易中心）办理企业信息登记及拟担任本工程项目负责人、专职安全员须是本企业信息登记信息中的在册人员。企业信息取自投标截止时间投标人在广州交易集团有限公司（广州公共资源交易中心）企业库内登记的信息，投标人无需提交相关资料，若招标人延长递交投标文件截止时间的，企业信息的评审时点也相应延长。（企业信息登记办理详见《施工类企业信息登记办事指引》，网址：http://ggzy.gz.gov.cn/qyxxd1/508420.jhtml）</w:t>
      </w:r>
    </w:p>
    <w:p>
      <w:pPr>
        <w:pBdr>
          <w:bottom w:val="single" w:color="auto" w:sz="6" w:space="1"/>
        </w:pBdr>
        <w:spacing w:line="360" w:lineRule="auto"/>
        <w:ind w:firstLine="420" w:firstLineChars="200"/>
        <w:rPr>
          <w:rFonts w:ascii="宋体" w:hAnsi="宋体" w:cs="宋体"/>
          <w:bCs/>
          <w:color w:val="auto"/>
          <w:szCs w:val="21"/>
          <w:u w:val="single"/>
        </w:rPr>
      </w:pPr>
      <w:r>
        <w:rPr>
          <w:rFonts w:hint="eastAsia" w:ascii="宋体" w:hAnsi="宋体" w:cs="宋体"/>
          <w:bCs/>
          <w:color w:val="auto"/>
          <w:szCs w:val="21"/>
          <w:u w:val="single"/>
        </w:rPr>
        <w:t>11.2.3《施工</w:t>
      </w:r>
      <w:r>
        <w:rPr>
          <w:rFonts w:hint="eastAsia" w:ascii="宋体" w:hAnsi="宋体" w:cs="宋体"/>
          <w:bCs/>
          <w:color w:val="auto"/>
          <w:szCs w:val="21"/>
          <w:u w:val="single"/>
          <w:lang w:val="zh-CN"/>
        </w:rPr>
        <w:t>项目管理团队人员信息表</w:t>
      </w:r>
      <w:r>
        <w:rPr>
          <w:rFonts w:hint="eastAsia" w:ascii="宋体" w:hAnsi="宋体" w:cs="宋体"/>
          <w:bCs/>
          <w:color w:val="auto"/>
          <w:szCs w:val="21"/>
          <w:u w:val="single"/>
        </w:rPr>
        <w:t>》（格式见第四章）</w:t>
      </w:r>
      <w:r>
        <w:rPr>
          <w:rFonts w:hint="eastAsia" w:ascii="宋体" w:hAnsi="宋体" w:cs="宋体"/>
          <w:bCs/>
          <w:color w:val="auto"/>
          <w:szCs w:val="21"/>
          <w:u w:val="single"/>
          <w:lang w:val="zh-CN"/>
        </w:rPr>
        <w:t>。</w:t>
      </w:r>
    </w:p>
    <w:p>
      <w:pPr>
        <w:pBdr>
          <w:bottom w:val="single" w:color="auto" w:sz="6" w:space="1"/>
        </w:pBdr>
        <w:spacing w:line="360" w:lineRule="auto"/>
        <w:ind w:firstLine="420" w:firstLineChars="200"/>
        <w:rPr>
          <w:rFonts w:ascii="宋体" w:hAnsi="宋体" w:cs="宋体"/>
          <w:bCs/>
          <w:color w:val="auto"/>
          <w:szCs w:val="21"/>
          <w:u w:val="single"/>
        </w:rPr>
      </w:pPr>
      <w:r>
        <w:rPr>
          <w:rFonts w:hint="eastAsia" w:ascii="宋体" w:hAnsi="宋体" w:cs="宋体"/>
          <w:bCs/>
          <w:color w:val="auto"/>
          <w:szCs w:val="21"/>
          <w:u w:val="single"/>
          <w:lang w:val="zh-CN"/>
        </w:rPr>
        <w:t>11.2.4企业技术标得分证明材料（按《技术标详细审查评分表》要求提交，格式见第四章，无规定格式要求的，格式自拟）</w:t>
      </w:r>
      <w:r>
        <w:rPr>
          <w:rFonts w:hint="eastAsia" w:ascii="宋体" w:hAnsi="宋体" w:cs="宋体"/>
          <w:bCs/>
          <w:color w:val="auto"/>
          <w:szCs w:val="21"/>
          <w:u w:val="single"/>
        </w:rPr>
        <w:t>。</w:t>
      </w:r>
    </w:p>
    <w:p>
      <w:pPr>
        <w:pBdr>
          <w:bottom w:val="single" w:color="auto" w:sz="6" w:space="1"/>
        </w:pBdr>
        <w:spacing w:line="360" w:lineRule="auto"/>
        <w:ind w:firstLine="420" w:firstLineChars="200"/>
        <w:rPr>
          <w:rFonts w:ascii="宋体" w:hAnsi="宋体" w:cs="宋体"/>
          <w:bCs/>
          <w:color w:val="auto"/>
          <w:szCs w:val="21"/>
          <w:u w:val="single"/>
        </w:rPr>
      </w:pPr>
      <w:r>
        <w:rPr>
          <w:rFonts w:hint="eastAsia" w:ascii="宋体" w:hAnsi="宋体" w:cs="宋体"/>
          <w:bCs/>
          <w:color w:val="auto"/>
          <w:szCs w:val="21"/>
          <w:u w:val="single"/>
        </w:rPr>
        <w:t>11.2.5按照招标文件要求填写的《参与编制技术标投标文件人员名单》（格式见第四章）。</w:t>
      </w:r>
    </w:p>
    <w:p>
      <w:pPr>
        <w:pBdr>
          <w:bottom w:val="single" w:color="auto" w:sz="6" w:space="1"/>
        </w:pBdr>
        <w:spacing w:line="360" w:lineRule="auto"/>
        <w:ind w:firstLine="420" w:firstLineChars="200"/>
        <w:rPr>
          <w:rFonts w:ascii="宋体" w:hAnsi="宋体" w:cs="宋体"/>
          <w:bCs/>
          <w:color w:val="auto"/>
          <w:szCs w:val="21"/>
          <w:u w:val="single"/>
          <w:lang w:val="zh-CN"/>
        </w:rPr>
      </w:pPr>
      <w:r>
        <w:rPr>
          <w:rFonts w:hint="eastAsia" w:ascii="宋体" w:hAnsi="宋体" w:cs="宋体"/>
          <w:bCs/>
          <w:color w:val="auto"/>
          <w:szCs w:val="21"/>
          <w:u w:val="single"/>
          <w:lang w:val="zh-CN"/>
        </w:rPr>
        <w:t>11.2.</w:t>
      </w:r>
      <w:r>
        <w:rPr>
          <w:rFonts w:hint="eastAsia" w:ascii="宋体" w:hAnsi="宋体" w:cs="宋体"/>
          <w:bCs/>
          <w:color w:val="auto"/>
          <w:szCs w:val="21"/>
          <w:u w:val="single"/>
        </w:rPr>
        <w:t>6</w:t>
      </w:r>
      <w:r>
        <w:rPr>
          <w:rFonts w:hint="eastAsia" w:ascii="宋体" w:hAnsi="宋体" w:cs="宋体"/>
          <w:bCs/>
          <w:color w:val="auto"/>
          <w:szCs w:val="21"/>
          <w:u w:val="single"/>
          <w:lang w:val="zh-CN"/>
        </w:rPr>
        <w:t>响应招标文件所附施工组织设计要点承诺书、关于主动参与建筑业结对帮扶的承诺函（格式见第四章）。</w:t>
      </w:r>
    </w:p>
    <w:p>
      <w:pPr>
        <w:pBdr>
          <w:bottom w:val="single" w:color="auto" w:sz="6" w:space="1"/>
        </w:pBdr>
        <w:spacing w:line="360" w:lineRule="auto"/>
        <w:ind w:firstLine="420" w:firstLineChars="200"/>
        <w:rPr>
          <w:rFonts w:ascii="宋体" w:hAnsi="宋体" w:cs="宋体"/>
          <w:bCs/>
          <w:color w:val="auto"/>
          <w:szCs w:val="21"/>
          <w:u w:val="single"/>
          <w:lang w:val="zh-CN"/>
        </w:rPr>
      </w:pPr>
      <w:r>
        <w:rPr>
          <w:rFonts w:hint="eastAsia" w:ascii="宋体" w:hAnsi="宋体" w:cs="宋体"/>
          <w:bCs/>
          <w:color w:val="auto"/>
          <w:szCs w:val="21"/>
          <w:u w:val="single"/>
          <w:lang w:val="zh-CN"/>
        </w:rPr>
        <w:t>11.2.</w:t>
      </w:r>
      <w:r>
        <w:rPr>
          <w:rFonts w:hint="eastAsia" w:ascii="宋体" w:hAnsi="宋体" w:cs="宋体"/>
          <w:bCs/>
          <w:color w:val="auto"/>
          <w:szCs w:val="21"/>
          <w:u w:val="single"/>
        </w:rPr>
        <w:t>7</w:t>
      </w:r>
      <w:r>
        <w:rPr>
          <w:rFonts w:hint="eastAsia" w:ascii="宋体" w:hAnsi="宋体" w:cs="宋体"/>
          <w:bCs/>
          <w:color w:val="auto"/>
          <w:szCs w:val="21"/>
          <w:u w:val="single"/>
          <w:lang w:val="zh-CN"/>
        </w:rPr>
        <w:t>危险性较大的分部分项工程清单及超过一定规模的危险性较大的分部分项工程清单（格式见第四章）。</w:t>
      </w:r>
    </w:p>
    <w:p>
      <w:pPr>
        <w:pBdr>
          <w:bottom w:val="single" w:color="auto" w:sz="6" w:space="1"/>
        </w:pBdr>
        <w:spacing w:line="360" w:lineRule="auto"/>
        <w:ind w:firstLine="420" w:firstLineChars="200"/>
        <w:rPr>
          <w:rFonts w:ascii="宋体" w:hAnsi="宋体" w:cs="宋体"/>
          <w:bCs/>
          <w:color w:val="auto"/>
          <w:szCs w:val="21"/>
          <w:u w:val="single"/>
        </w:rPr>
      </w:pPr>
      <w:r>
        <w:rPr>
          <w:rFonts w:hint="eastAsia" w:ascii="宋体" w:hAnsi="宋体" w:cs="宋体"/>
          <w:bCs/>
          <w:color w:val="auto"/>
          <w:szCs w:val="21"/>
          <w:u w:val="single"/>
        </w:rPr>
        <w:t>11.2.8投标人认为应提供的其他资料。</w:t>
      </w:r>
    </w:p>
    <w:p>
      <w:pPr>
        <w:spacing w:line="480" w:lineRule="auto"/>
        <w:ind w:firstLine="422" w:firstLineChars="200"/>
        <w:rPr>
          <w:b/>
          <w:color w:val="auto"/>
          <w:szCs w:val="21"/>
        </w:rPr>
      </w:pPr>
      <w:r>
        <w:rPr>
          <w:rFonts w:hint="eastAsia"/>
          <w:b/>
          <w:color w:val="auto"/>
          <w:szCs w:val="21"/>
        </w:rPr>
        <w:t>条款号：</w:t>
      </w:r>
      <w:r>
        <w:rPr>
          <w:rFonts w:hint="eastAsia" w:ascii="宋体" w:hAnsi="宋体" w:cs="宋体"/>
          <w:color w:val="auto"/>
          <w:szCs w:val="21"/>
        </w:rPr>
        <w:t>11.3.1</w:t>
      </w:r>
      <w:r>
        <w:rPr>
          <w:b/>
          <w:color w:val="auto"/>
          <w:szCs w:val="21"/>
        </w:rPr>
        <w:t xml:space="preserve">             </w:t>
      </w:r>
      <w:r>
        <w:rPr>
          <w:rFonts w:hint="eastAsia"/>
          <w:b/>
          <w:color w:val="auto"/>
          <w:szCs w:val="21"/>
        </w:rPr>
        <w:t>修改类型：修改</w:t>
      </w:r>
    </w:p>
    <w:p>
      <w:pPr>
        <w:spacing w:line="480" w:lineRule="auto"/>
        <w:ind w:firstLine="472" w:firstLineChars="224"/>
        <w:rPr>
          <w:rFonts w:ascii="宋体" w:hAnsi="宋体" w:cs="宋体"/>
          <w:bCs/>
          <w:color w:val="auto"/>
          <w:szCs w:val="21"/>
        </w:rPr>
      </w:pPr>
      <w:r>
        <w:rPr>
          <w:rFonts w:hint="eastAsia"/>
          <w:b/>
          <w:color w:val="auto"/>
          <w:szCs w:val="21"/>
        </w:rPr>
        <w:t>原文：</w:t>
      </w:r>
      <w:r>
        <w:rPr>
          <w:rFonts w:hint="eastAsia" w:ascii="宋体" w:hAnsi="宋体" w:cs="宋体"/>
          <w:bCs/>
          <w:color w:val="auto"/>
          <w:szCs w:val="21"/>
        </w:rPr>
        <w:t>11.3.1 经济投标文件(按招标文件的要求填写)。</w:t>
      </w:r>
    </w:p>
    <w:p>
      <w:pPr>
        <w:pBdr>
          <w:bottom w:val="single" w:color="auto" w:sz="6" w:space="1"/>
        </w:pBdr>
        <w:spacing w:line="360" w:lineRule="auto"/>
        <w:ind w:firstLine="527" w:firstLineChars="250"/>
        <w:rPr>
          <w:color w:val="auto"/>
        </w:rPr>
      </w:pPr>
      <w:r>
        <w:rPr>
          <w:rFonts w:hint="eastAsia"/>
          <w:b/>
          <w:color w:val="auto"/>
          <w:szCs w:val="21"/>
        </w:rPr>
        <w:t>现文：</w:t>
      </w:r>
      <w:r>
        <w:rPr>
          <w:rFonts w:hint="eastAsia" w:ascii="宋体" w:hAnsi="宋体" w:cs="宋体"/>
          <w:color w:val="auto"/>
          <w:szCs w:val="21"/>
        </w:rPr>
        <w:t xml:space="preserve">11.3.1 </w:t>
      </w:r>
      <w:r>
        <w:rPr>
          <w:rFonts w:hint="eastAsia" w:ascii="宋体" w:hAnsi="宋体" w:cs="宋体"/>
          <w:color w:val="auto"/>
          <w:szCs w:val="21"/>
          <w:u w:val="single"/>
        </w:rPr>
        <w:t>经济标投标书</w:t>
      </w:r>
      <w:r>
        <w:rPr>
          <w:rFonts w:hint="eastAsia" w:ascii="宋体" w:hAnsi="宋体" w:cs="宋体"/>
          <w:color w:val="auto"/>
          <w:szCs w:val="21"/>
        </w:rPr>
        <w:t>(按招标文件</w:t>
      </w:r>
      <w:r>
        <w:rPr>
          <w:rFonts w:hint="eastAsia" w:ascii="宋体" w:hAnsi="宋体" w:cs="宋体"/>
          <w:bCs/>
          <w:color w:val="auto"/>
          <w:szCs w:val="21"/>
          <w:u w:val="single"/>
        </w:rPr>
        <w:t>第四章附件一</w:t>
      </w:r>
      <w:r>
        <w:rPr>
          <w:rFonts w:hint="eastAsia" w:ascii="宋体" w:hAnsi="宋体" w:cs="宋体"/>
          <w:color w:val="auto"/>
          <w:szCs w:val="21"/>
        </w:rPr>
        <w:t>的要求填写)。</w:t>
      </w:r>
    </w:p>
    <w:p>
      <w:pPr>
        <w:spacing w:line="480" w:lineRule="auto"/>
        <w:ind w:firstLine="422" w:firstLineChars="200"/>
        <w:rPr>
          <w:b/>
          <w:color w:val="auto"/>
          <w:szCs w:val="21"/>
        </w:rPr>
      </w:pPr>
      <w:r>
        <w:rPr>
          <w:rFonts w:hint="eastAsia"/>
          <w:b/>
          <w:color w:val="auto"/>
          <w:szCs w:val="21"/>
        </w:rPr>
        <w:t>条款号：</w:t>
      </w:r>
      <w:r>
        <w:rPr>
          <w:rFonts w:hint="eastAsia" w:ascii="宋体" w:hAnsi="宋体" w:cs="宋体"/>
          <w:b/>
          <w:color w:val="auto"/>
        </w:rPr>
        <w:t>11.3.2</w:t>
      </w:r>
      <w:r>
        <w:rPr>
          <w:b/>
          <w:color w:val="auto"/>
          <w:szCs w:val="21"/>
        </w:rPr>
        <w:t xml:space="preserve">             </w:t>
      </w:r>
      <w:r>
        <w:rPr>
          <w:rFonts w:hint="eastAsia"/>
          <w:b/>
          <w:color w:val="auto"/>
          <w:szCs w:val="21"/>
        </w:rPr>
        <w:t>修改类型：修改</w:t>
      </w:r>
    </w:p>
    <w:p>
      <w:pPr>
        <w:spacing w:line="360" w:lineRule="auto"/>
        <w:ind w:firstLine="422" w:firstLineChars="200"/>
        <w:rPr>
          <w:rFonts w:ascii="宋体" w:hAnsi="宋体" w:cs="宋体"/>
          <w:bCs/>
          <w:color w:val="auto"/>
          <w:szCs w:val="21"/>
        </w:rPr>
      </w:pPr>
      <w:r>
        <w:rPr>
          <w:rFonts w:hint="eastAsia"/>
          <w:b/>
          <w:color w:val="auto"/>
          <w:szCs w:val="21"/>
        </w:rPr>
        <w:t>原文：</w:t>
      </w:r>
      <w:r>
        <w:rPr>
          <w:rFonts w:hint="eastAsia" w:ascii="宋体" w:hAnsi="宋体" w:cs="宋体"/>
          <w:bCs/>
          <w:color w:val="auto"/>
          <w:szCs w:val="21"/>
        </w:rPr>
        <w:t xml:space="preserve">11.3.2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其中包括如下： </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（1）投标总价封面、扉页；</w:t>
      </w:r>
    </w:p>
    <w:p>
      <w:pPr>
        <w:spacing w:line="360" w:lineRule="auto"/>
        <w:ind w:firstLine="420" w:firstLineChars="200"/>
        <w:rPr>
          <w:rFonts w:ascii="宋体" w:hAnsi="宋体" w:cs="宋体"/>
          <w:color w:val="auto"/>
          <w:szCs w:val="21"/>
        </w:rPr>
      </w:pPr>
      <w:r>
        <w:rPr>
          <w:rFonts w:hint="eastAsia" w:ascii="宋体" w:hAnsi="宋体" w:cs="宋体"/>
          <w:color w:val="auto"/>
          <w:szCs w:val="21"/>
        </w:rPr>
        <w:t>（2）总说明</w:t>
      </w:r>
    </w:p>
    <w:p>
      <w:pPr>
        <w:spacing w:line="360" w:lineRule="auto"/>
        <w:ind w:firstLine="420" w:firstLineChars="200"/>
        <w:rPr>
          <w:rFonts w:ascii="宋体" w:hAnsi="宋体" w:cs="宋体"/>
          <w:color w:val="auto"/>
          <w:szCs w:val="21"/>
        </w:rPr>
      </w:pPr>
      <w:r>
        <w:rPr>
          <w:rFonts w:hint="eastAsia" w:ascii="宋体" w:hAnsi="宋体" w:cs="宋体"/>
          <w:color w:val="auto"/>
          <w:szCs w:val="21"/>
        </w:rPr>
        <w:t>（3）工程项目投标报价汇总表；</w:t>
      </w:r>
    </w:p>
    <w:p>
      <w:pPr>
        <w:spacing w:line="360" w:lineRule="auto"/>
        <w:ind w:firstLine="420" w:firstLineChars="200"/>
        <w:rPr>
          <w:rFonts w:ascii="宋体" w:hAnsi="宋体" w:cs="宋体"/>
          <w:color w:val="auto"/>
          <w:szCs w:val="21"/>
        </w:rPr>
      </w:pPr>
      <w:r>
        <w:rPr>
          <w:rFonts w:hint="eastAsia" w:ascii="宋体" w:hAnsi="宋体" w:cs="宋体"/>
          <w:color w:val="auto"/>
          <w:szCs w:val="21"/>
        </w:rPr>
        <w:t>（4）单项工程投标报价汇总表；</w:t>
      </w:r>
    </w:p>
    <w:p>
      <w:pPr>
        <w:spacing w:line="360" w:lineRule="auto"/>
        <w:ind w:firstLine="420" w:firstLineChars="200"/>
        <w:rPr>
          <w:rFonts w:ascii="宋体" w:hAnsi="宋体" w:cs="宋体"/>
          <w:color w:val="auto"/>
          <w:szCs w:val="21"/>
        </w:rPr>
      </w:pPr>
      <w:r>
        <w:rPr>
          <w:rFonts w:hint="eastAsia" w:ascii="宋体" w:hAnsi="宋体" w:cs="宋体"/>
          <w:color w:val="auto"/>
          <w:szCs w:val="21"/>
        </w:rPr>
        <w:t>（5）单位工程投标报价汇总表；</w:t>
      </w:r>
    </w:p>
    <w:p>
      <w:pPr>
        <w:spacing w:line="360" w:lineRule="auto"/>
        <w:ind w:firstLine="420" w:firstLineChars="200"/>
        <w:rPr>
          <w:rFonts w:ascii="宋体" w:hAnsi="宋体" w:cs="宋体"/>
          <w:color w:val="auto"/>
          <w:szCs w:val="21"/>
        </w:rPr>
      </w:pPr>
      <w:r>
        <w:rPr>
          <w:rFonts w:hint="eastAsia" w:ascii="宋体" w:hAnsi="宋体" w:cs="宋体"/>
          <w:color w:val="auto"/>
          <w:szCs w:val="21"/>
        </w:rPr>
        <w:t>（6）分部分项工程清单与计价表；</w:t>
      </w:r>
    </w:p>
    <w:p>
      <w:pPr>
        <w:spacing w:line="360" w:lineRule="auto"/>
        <w:ind w:firstLine="420" w:firstLineChars="200"/>
        <w:rPr>
          <w:rFonts w:ascii="宋体" w:hAnsi="宋体" w:cs="宋体"/>
          <w:color w:val="auto"/>
          <w:szCs w:val="21"/>
        </w:rPr>
      </w:pPr>
      <w:r>
        <w:rPr>
          <w:rFonts w:hint="eastAsia" w:ascii="宋体" w:hAnsi="宋体" w:cs="宋体"/>
          <w:color w:val="auto"/>
          <w:szCs w:val="21"/>
        </w:rPr>
        <w:t>（7）单价措施项目清单与计价表；</w:t>
      </w:r>
    </w:p>
    <w:p>
      <w:pPr>
        <w:spacing w:line="360" w:lineRule="auto"/>
        <w:ind w:firstLine="420" w:firstLineChars="200"/>
        <w:rPr>
          <w:rFonts w:ascii="宋体" w:hAnsi="宋体" w:cs="宋体"/>
          <w:color w:val="auto"/>
          <w:szCs w:val="21"/>
        </w:rPr>
      </w:pPr>
      <w:r>
        <w:rPr>
          <w:rFonts w:hint="eastAsia" w:ascii="宋体" w:hAnsi="宋体" w:cs="宋体"/>
          <w:color w:val="auto"/>
          <w:szCs w:val="21"/>
        </w:rPr>
        <w:t>（8）总价措施项目清单与计价表；</w:t>
      </w:r>
    </w:p>
    <w:p>
      <w:pPr>
        <w:spacing w:line="360" w:lineRule="auto"/>
        <w:ind w:firstLine="420" w:firstLineChars="200"/>
        <w:rPr>
          <w:rFonts w:ascii="宋体" w:hAnsi="宋体" w:cs="宋体"/>
          <w:color w:val="auto"/>
          <w:szCs w:val="21"/>
        </w:rPr>
      </w:pPr>
      <w:r>
        <w:rPr>
          <w:rFonts w:hint="eastAsia" w:ascii="宋体" w:hAnsi="宋体" w:cs="宋体"/>
          <w:color w:val="auto"/>
          <w:szCs w:val="21"/>
        </w:rPr>
        <w:t>（9）综合单价分析表；</w:t>
      </w:r>
    </w:p>
    <w:p>
      <w:pPr>
        <w:spacing w:line="360" w:lineRule="auto"/>
        <w:ind w:firstLine="420" w:firstLineChars="200"/>
        <w:rPr>
          <w:rFonts w:ascii="宋体" w:hAnsi="宋体" w:cs="宋体"/>
          <w:color w:val="auto"/>
          <w:szCs w:val="21"/>
        </w:rPr>
      </w:pPr>
      <w:r>
        <w:rPr>
          <w:rFonts w:hint="eastAsia" w:ascii="宋体" w:hAnsi="宋体" w:cs="宋体"/>
          <w:color w:val="auto"/>
          <w:szCs w:val="21"/>
        </w:rPr>
        <w:t>（10）其他项目清单与计价汇总表；</w:t>
      </w:r>
    </w:p>
    <w:p>
      <w:pPr>
        <w:spacing w:line="360" w:lineRule="auto"/>
        <w:ind w:firstLine="420" w:firstLineChars="200"/>
        <w:rPr>
          <w:rFonts w:ascii="宋体" w:hAnsi="宋体" w:cs="宋体"/>
          <w:color w:val="auto"/>
          <w:szCs w:val="21"/>
        </w:rPr>
      </w:pPr>
      <w:r>
        <w:rPr>
          <w:rFonts w:hint="eastAsia" w:ascii="宋体" w:hAnsi="宋体" w:cs="宋体"/>
          <w:color w:val="auto"/>
          <w:szCs w:val="21"/>
        </w:rPr>
        <w:t>（11）暂列金额明细表；</w:t>
      </w:r>
    </w:p>
    <w:p>
      <w:pPr>
        <w:spacing w:line="360" w:lineRule="auto"/>
        <w:ind w:firstLine="420" w:firstLineChars="200"/>
        <w:rPr>
          <w:rFonts w:ascii="宋体" w:hAnsi="宋体" w:cs="宋体"/>
          <w:color w:val="auto"/>
          <w:szCs w:val="21"/>
        </w:rPr>
      </w:pPr>
      <w:r>
        <w:rPr>
          <w:rFonts w:hint="eastAsia" w:ascii="宋体" w:hAnsi="宋体" w:cs="宋体"/>
          <w:color w:val="auto"/>
          <w:szCs w:val="21"/>
        </w:rPr>
        <w:t>（12）材料（工程设备）暂估价明细表；</w:t>
      </w:r>
    </w:p>
    <w:p>
      <w:pPr>
        <w:spacing w:line="360" w:lineRule="auto"/>
        <w:ind w:firstLine="420" w:firstLineChars="200"/>
        <w:rPr>
          <w:rFonts w:ascii="宋体" w:hAnsi="宋体" w:cs="宋体"/>
          <w:color w:val="auto"/>
          <w:szCs w:val="21"/>
        </w:rPr>
      </w:pPr>
      <w:r>
        <w:rPr>
          <w:rFonts w:hint="eastAsia" w:ascii="宋体" w:hAnsi="宋体" w:cs="宋体"/>
          <w:color w:val="auto"/>
          <w:szCs w:val="21"/>
        </w:rPr>
        <w:t>（13）专业工程暂估价明细表；</w:t>
      </w:r>
    </w:p>
    <w:p>
      <w:pPr>
        <w:spacing w:line="360" w:lineRule="auto"/>
        <w:ind w:firstLine="420" w:firstLineChars="200"/>
        <w:rPr>
          <w:rFonts w:ascii="宋体" w:hAnsi="宋体" w:cs="宋体"/>
          <w:color w:val="auto"/>
          <w:szCs w:val="21"/>
        </w:rPr>
      </w:pPr>
      <w:r>
        <w:rPr>
          <w:rFonts w:hint="eastAsia" w:ascii="宋体" w:hAnsi="宋体" w:cs="宋体"/>
          <w:color w:val="auto"/>
          <w:szCs w:val="21"/>
        </w:rPr>
        <w:t>（14）计日工表；</w:t>
      </w:r>
    </w:p>
    <w:p>
      <w:pPr>
        <w:spacing w:line="360" w:lineRule="auto"/>
        <w:ind w:firstLine="420" w:firstLineChars="200"/>
        <w:rPr>
          <w:rFonts w:ascii="宋体" w:hAnsi="宋体" w:cs="宋体"/>
          <w:color w:val="auto"/>
          <w:szCs w:val="21"/>
        </w:rPr>
      </w:pPr>
      <w:r>
        <w:rPr>
          <w:rFonts w:hint="eastAsia" w:ascii="宋体" w:hAnsi="宋体" w:cs="宋体"/>
          <w:color w:val="auto"/>
          <w:szCs w:val="21"/>
        </w:rPr>
        <w:t>（15）总承包服务计价表；</w:t>
      </w:r>
    </w:p>
    <w:p>
      <w:pPr>
        <w:spacing w:line="360" w:lineRule="auto"/>
        <w:ind w:firstLine="420" w:firstLineChars="200"/>
        <w:rPr>
          <w:rFonts w:ascii="宋体" w:hAnsi="宋体" w:cs="宋体"/>
          <w:color w:val="auto"/>
          <w:szCs w:val="21"/>
        </w:rPr>
      </w:pPr>
      <w:r>
        <w:rPr>
          <w:rFonts w:hint="eastAsia" w:ascii="宋体" w:hAnsi="宋体" w:cs="宋体"/>
          <w:color w:val="auto"/>
          <w:szCs w:val="21"/>
        </w:rPr>
        <w:t>（16）规费和税金项目计价表；</w:t>
      </w:r>
    </w:p>
    <w:p>
      <w:pPr>
        <w:spacing w:line="360" w:lineRule="auto"/>
        <w:ind w:firstLine="420" w:firstLineChars="200"/>
        <w:rPr>
          <w:rFonts w:ascii="宋体" w:hAnsi="宋体" w:cs="宋体"/>
          <w:color w:val="auto"/>
          <w:szCs w:val="21"/>
        </w:rPr>
      </w:pPr>
      <w:r>
        <w:rPr>
          <w:rFonts w:hint="eastAsia" w:ascii="宋体" w:hAnsi="宋体" w:cs="宋体"/>
          <w:color w:val="auto"/>
          <w:szCs w:val="21"/>
        </w:rPr>
        <w:t xml:space="preserve"> （17）人工、主要材料和设备一览表</w:t>
      </w:r>
    </w:p>
    <w:p>
      <w:pPr>
        <w:spacing w:line="360" w:lineRule="auto"/>
        <w:ind w:firstLine="422" w:firstLineChars="200"/>
        <w:rPr>
          <w:rFonts w:ascii="宋体" w:hAnsi="宋体" w:cs="宋体"/>
          <w:color w:val="auto"/>
          <w:szCs w:val="21"/>
        </w:rPr>
      </w:pPr>
      <w:r>
        <w:rPr>
          <w:rFonts w:hint="eastAsia"/>
          <w:b/>
          <w:color w:val="auto"/>
          <w:szCs w:val="21"/>
        </w:rPr>
        <w:t>现文：</w:t>
      </w:r>
      <w:r>
        <w:rPr>
          <w:rFonts w:hint="eastAsia" w:ascii="宋体" w:hAnsi="宋体" w:cs="宋体"/>
          <w:bCs/>
          <w:color w:val="auto"/>
          <w:szCs w:val="21"/>
        </w:rPr>
        <w:t>11.3.2</w:t>
      </w:r>
      <w:r>
        <w:rPr>
          <w:rFonts w:hint="eastAsia" w:ascii="宋体" w:hAnsi="宋体" w:cs="宋体"/>
          <w:color w:val="auto"/>
          <w:szCs w:val="21"/>
        </w:rPr>
        <w:t xml:space="preserve">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其中包括如下： </w:t>
      </w:r>
    </w:p>
    <w:p>
      <w:pPr>
        <w:spacing w:line="360" w:lineRule="auto"/>
        <w:ind w:firstLine="420" w:firstLineChars="200"/>
        <w:rPr>
          <w:rFonts w:ascii="宋体" w:hAnsi="宋体" w:cs="宋体"/>
          <w:color w:val="auto"/>
          <w:szCs w:val="21"/>
        </w:rPr>
      </w:pPr>
      <w:r>
        <w:rPr>
          <w:rFonts w:hint="eastAsia" w:ascii="宋体" w:hAnsi="宋体" w:cs="宋体"/>
          <w:color w:val="auto"/>
          <w:szCs w:val="21"/>
        </w:rPr>
        <w:t>（1）投标总价封面、扉页；</w:t>
      </w:r>
    </w:p>
    <w:p>
      <w:pPr>
        <w:spacing w:line="360" w:lineRule="auto"/>
        <w:ind w:firstLine="420" w:firstLineChars="200"/>
        <w:rPr>
          <w:rFonts w:ascii="宋体" w:hAnsi="宋体" w:cs="宋体"/>
          <w:color w:val="auto"/>
          <w:szCs w:val="21"/>
        </w:rPr>
      </w:pPr>
      <w:r>
        <w:rPr>
          <w:rFonts w:hint="eastAsia" w:ascii="宋体" w:hAnsi="宋体" w:cs="宋体"/>
          <w:color w:val="auto"/>
          <w:szCs w:val="21"/>
        </w:rPr>
        <w:t>（2）总说明</w:t>
      </w:r>
    </w:p>
    <w:p>
      <w:pPr>
        <w:pBdr>
          <w:bottom w:val="single" w:color="auto" w:sz="6" w:space="1"/>
        </w:pBdr>
        <w:spacing w:line="360" w:lineRule="auto"/>
        <w:ind w:firstLine="470" w:firstLineChars="224"/>
        <w:rPr>
          <w:color w:val="auto"/>
        </w:rPr>
      </w:pPr>
      <w:r>
        <w:rPr>
          <w:rFonts w:hint="eastAsia" w:ascii="宋体" w:hAnsi="宋体" w:cs="宋体"/>
          <w:color w:val="auto"/>
          <w:szCs w:val="21"/>
          <w:u w:val="single"/>
        </w:rPr>
        <w:t>（3）</w:t>
      </w:r>
      <w:r>
        <w:rPr>
          <w:color w:val="auto"/>
          <w:u w:val="single"/>
        </w:rPr>
        <w:t>工程量</w:t>
      </w:r>
      <w:r>
        <w:rPr>
          <w:rFonts w:hint="eastAsia" w:ascii="宋体" w:hAnsi="宋体"/>
          <w:color w:val="auto"/>
          <w:szCs w:val="21"/>
          <w:u w:val="single"/>
        </w:rPr>
        <w:t>清单报价表及综合单价分析表（相关表格的内容及格式要求以招标人发出的最新版电子招标文件中的相应内容及格式为准）</w:t>
      </w:r>
      <w:r>
        <w:rPr>
          <w:rFonts w:hint="eastAsia" w:ascii="宋体" w:hAnsi="宋体" w:cs="宋体"/>
          <w:color w:val="auto"/>
          <w:szCs w:val="21"/>
          <w:u w:val="single"/>
        </w:rPr>
        <w:t>。</w:t>
      </w:r>
    </w:p>
    <w:p>
      <w:pPr>
        <w:spacing w:line="480" w:lineRule="auto"/>
        <w:ind w:firstLine="472" w:firstLineChars="224"/>
        <w:rPr>
          <w:b/>
          <w:color w:val="auto"/>
          <w:szCs w:val="21"/>
        </w:rPr>
      </w:pPr>
      <w:r>
        <w:rPr>
          <w:rFonts w:hint="eastAsia"/>
          <w:b/>
          <w:color w:val="auto"/>
          <w:szCs w:val="21"/>
        </w:rPr>
        <w:t>条款号：</w:t>
      </w:r>
      <w:r>
        <w:rPr>
          <w:rFonts w:ascii="宋体" w:hAnsi="宋体" w:cs="宋体"/>
          <w:b/>
          <w:color w:val="auto"/>
          <w:szCs w:val="21"/>
        </w:rPr>
        <w:t>11.3.5</w:t>
      </w:r>
      <w:r>
        <w:rPr>
          <w:b/>
          <w:color w:val="auto"/>
          <w:szCs w:val="21"/>
        </w:rPr>
        <w:t xml:space="preserve">             </w:t>
      </w:r>
      <w:r>
        <w:rPr>
          <w:rFonts w:hint="eastAsia"/>
          <w:b/>
          <w:color w:val="auto"/>
          <w:szCs w:val="21"/>
        </w:rPr>
        <w:t>修改类型：增加</w:t>
      </w:r>
    </w:p>
    <w:p>
      <w:pPr>
        <w:pBdr>
          <w:bottom w:val="single" w:color="auto" w:sz="6" w:space="1"/>
        </w:pBdr>
        <w:spacing w:line="480" w:lineRule="auto"/>
        <w:ind w:firstLine="472" w:firstLineChars="224"/>
        <w:rPr>
          <w:b/>
          <w:color w:val="auto"/>
          <w:szCs w:val="21"/>
        </w:rPr>
      </w:pPr>
      <w:r>
        <w:rPr>
          <w:rFonts w:hint="eastAsia"/>
          <w:b/>
          <w:color w:val="auto"/>
          <w:szCs w:val="21"/>
        </w:rPr>
        <w:t>现文：</w:t>
      </w:r>
      <w:r>
        <w:rPr>
          <w:rFonts w:ascii="宋体" w:hAnsi="宋体" w:cs="宋体"/>
          <w:color w:val="auto"/>
          <w:szCs w:val="21"/>
        </w:rPr>
        <w:t>11.3.5</w:t>
      </w:r>
      <w:r>
        <w:rPr>
          <w:rFonts w:hint="eastAsia" w:ascii="宋体" w:hAnsi="宋体" w:cs="宋体"/>
          <w:color w:val="auto"/>
          <w:szCs w:val="21"/>
          <w:u w:val="single"/>
        </w:rPr>
        <w:t>《对投标文件编制的承诺》及《投标文件编制情况》（格式见第四章）。</w:t>
      </w:r>
    </w:p>
    <w:p>
      <w:pPr>
        <w:spacing w:line="480" w:lineRule="auto"/>
        <w:ind w:firstLine="422" w:firstLineChars="200"/>
        <w:rPr>
          <w:b/>
          <w:color w:val="auto"/>
          <w:szCs w:val="21"/>
        </w:rPr>
      </w:pPr>
      <w:r>
        <w:rPr>
          <w:rFonts w:hint="eastAsia"/>
          <w:b/>
          <w:color w:val="auto"/>
          <w:szCs w:val="21"/>
        </w:rPr>
        <w:t>条款号：</w:t>
      </w:r>
      <w:r>
        <w:rPr>
          <w:rFonts w:hint="eastAsia" w:ascii="宋体" w:hAnsi="宋体" w:cs="宋体"/>
          <w:color w:val="auto"/>
          <w:kern w:val="0"/>
          <w:szCs w:val="21"/>
        </w:rPr>
        <w:t>12.2、12.3</w:t>
      </w:r>
      <w:r>
        <w:rPr>
          <w:b/>
          <w:color w:val="auto"/>
          <w:szCs w:val="21"/>
        </w:rPr>
        <w:t xml:space="preserve">             </w:t>
      </w:r>
      <w:r>
        <w:rPr>
          <w:rFonts w:hint="eastAsia"/>
          <w:b/>
          <w:color w:val="auto"/>
          <w:szCs w:val="21"/>
        </w:rPr>
        <w:t>修改类型：修改</w:t>
      </w:r>
    </w:p>
    <w:p>
      <w:pPr>
        <w:spacing w:line="360" w:lineRule="auto"/>
        <w:ind w:firstLine="422" w:firstLineChars="200"/>
        <w:rPr>
          <w:rFonts w:ascii="宋体" w:hAnsi="宋体" w:cs="宋体"/>
          <w:color w:val="auto"/>
          <w:szCs w:val="21"/>
        </w:rPr>
      </w:pPr>
      <w:r>
        <w:rPr>
          <w:rFonts w:hint="eastAsia"/>
          <w:b/>
          <w:color w:val="auto"/>
          <w:szCs w:val="21"/>
        </w:rPr>
        <w:t>原文：</w:t>
      </w:r>
      <w:r>
        <w:rPr>
          <w:rFonts w:hint="eastAsia" w:ascii="宋体" w:hAnsi="宋体" w:cs="宋体"/>
          <w:color w:val="auto"/>
          <w:szCs w:val="21"/>
          <w:u w:val="single"/>
        </w:rPr>
        <w:t>1</w:t>
      </w:r>
      <w:r>
        <w:rPr>
          <w:rFonts w:hint="eastAsia" w:ascii="宋体" w:hAnsi="宋体" w:cs="宋体"/>
          <w:color w:val="auto"/>
          <w:szCs w:val="21"/>
        </w:rPr>
        <w:t>2.2 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宋体" w:hAnsi="宋体" w:cs="宋体"/>
          <w:color w:val="auto"/>
          <w:szCs w:val="21"/>
          <w:u w:val="single"/>
        </w:rPr>
        <w:t xml:space="preserve">            </w:t>
      </w:r>
      <w:r>
        <w:rPr>
          <w:rFonts w:hint="eastAsia" w:ascii="宋体" w:hAnsi="宋体" w:cs="宋体"/>
          <w:color w:val="auto"/>
          <w:szCs w:val="21"/>
        </w:rPr>
        <w:t>。</w:t>
      </w:r>
    </w:p>
    <w:p>
      <w:pPr>
        <w:spacing w:line="360" w:lineRule="auto"/>
        <w:ind w:firstLine="420" w:firstLineChars="200"/>
        <w:rPr>
          <w:b/>
          <w:color w:val="auto"/>
          <w:szCs w:val="21"/>
        </w:rPr>
      </w:pPr>
      <w:r>
        <w:rPr>
          <w:rFonts w:hint="eastAsia" w:ascii="宋体" w:hAnsi="宋体" w:cs="宋体"/>
          <w:color w:val="auto"/>
          <w:szCs w:val="21"/>
        </w:rPr>
        <w:t>12.3 投标文件应按照交易平台关于全流程电子化项目的相关指南进行编制，详见：</w:t>
      </w:r>
      <w:r>
        <w:rPr>
          <w:rFonts w:hint="eastAsia" w:ascii="宋体" w:hAnsi="宋体" w:cs="宋体"/>
          <w:color w:val="auto"/>
          <w:szCs w:val="21"/>
          <w:u w:val="single"/>
        </w:rPr>
        <w:t xml:space="preserve">            </w:t>
      </w:r>
      <w:r>
        <w:rPr>
          <w:rFonts w:hint="eastAsia"/>
          <w:b/>
          <w:color w:val="auto"/>
          <w:szCs w:val="21"/>
        </w:rPr>
        <w:t xml:space="preserve">。    </w:t>
      </w:r>
    </w:p>
    <w:p>
      <w:pPr>
        <w:pStyle w:val="5"/>
        <w:spacing w:after="0" w:line="360" w:lineRule="auto"/>
        <w:ind w:firstLine="422" w:firstLineChars="200"/>
        <w:jc w:val="left"/>
        <w:rPr>
          <w:rFonts w:ascii="宋体" w:hAnsi="宋体" w:cs="宋体"/>
          <w:color w:val="auto"/>
          <w:szCs w:val="21"/>
        </w:rPr>
      </w:pPr>
      <w:r>
        <w:rPr>
          <w:rFonts w:hint="eastAsia"/>
          <w:b/>
          <w:color w:val="auto"/>
          <w:szCs w:val="21"/>
        </w:rPr>
        <w:t>现文：</w:t>
      </w:r>
      <w:r>
        <w:rPr>
          <w:rFonts w:hint="eastAsia" w:ascii="宋体" w:hAnsi="宋体" w:cs="宋体"/>
          <w:color w:val="auto"/>
          <w:szCs w:val="21"/>
          <w:u w:val="single"/>
        </w:rPr>
        <w:t>1</w:t>
      </w:r>
      <w:r>
        <w:rPr>
          <w:rFonts w:hint="eastAsia" w:ascii="宋体" w:hAnsi="宋体" w:cs="宋体"/>
          <w:color w:val="auto"/>
          <w:szCs w:val="21"/>
        </w:rPr>
        <w:t>2.2 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全流程电子化项目的相关指南进行操作。</w:t>
      </w:r>
      <w:r>
        <w:rPr>
          <w:rFonts w:hint="eastAsia" w:ascii="宋体" w:hAnsi="宋体" w:cs="宋体"/>
          <w:color w:val="auto"/>
          <w:szCs w:val="21"/>
          <w:u w:val="single"/>
        </w:rPr>
        <w:t>详见：广州交易集团有限公司（广州公共资源交易中心）网站。</w:t>
      </w:r>
    </w:p>
    <w:p>
      <w:pPr>
        <w:pBdr>
          <w:bottom w:val="single" w:color="auto" w:sz="6" w:space="1"/>
        </w:pBdr>
        <w:spacing w:line="360" w:lineRule="auto"/>
        <w:ind w:firstLine="525" w:firstLineChars="250"/>
        <w:rPr>
          <w:color w:val="auto"/>
        </w:rPr>
      </w:pPr>
      <w:r>
        <w:rPr>
          <w:rFonts w:hint="eastAsia" w:ascii="宋体" w:hAnsi="宋体" w:cs="宋体"/>
          <w:color w:val="auto"/>
          <w:szCs w:val="21"/>
        </w:rPr>
        <w:t xml:space="preserve">12.3 </w:t>
      </w:r>
      <w:r>
        <w:rPr>
          <w:rFonts w:hint="eastAsia" w:ascii="宋体" w:hAnsi="宋体" w:cs="宋体"/>
          <w:bCs/>
          <w:color w:val="auto"/>
          <w:szCs w:val="21"/>
        </w:rPr>
        <w:t>投标文件应按</w:t>
      </w:r>
      <w:r>
        <w:rPr>
          <w:rFonts w:hint="eastAsia" w:ascii="宋体" w:hAnsi="宋体" w:cs="宋体"/>
          <w:color w:val="auto"/>
          <w:szCs w:val="21"/>
        </w:rPr>
        <w:t>照交易平台关于全流程电子化项目的相关指南进行编制，详见：</w:t>
      </w:r>
      <w:r>
        <w:rPr>
          <w:rFonts w:hint="eastAsia" w:ascii="宋体" w:hAnsi="宋体" w:cs="宋体"/>
          <w:color w:val="auto"/>
          <w:szCs w:val="21"/>
          <w:u w:val="single"/>
        </w:rPr>
        <w:t>广州交易集团有限公司（广州公共资源交易中心）网站</w:t>
      </w:r>
      <w:r>
        <w:rPr>
          <w:rFonts w:hint="eastAsia" w:ascii="宋体" w:hAnsi="宋体" w:cs="宋体"/>
          <w:color w:val="auto"/>
          <w:szCs w:val="21"/>
        </w:rPr>
        <w:t>。</w:t>
      </w:r>
    </w:p>
    <w:p>
      <w:pPr>
        <w:spacing w:line="480" w:lineRule="auto"/>
        <w:ind w:firstLine="422" w:firstLineChars="200"/>
        <w:rPr>
          <w:b/>
          <w:color w:val="auto"/>
          <w:szCs w:val="21"/>
        </w:rPr>
      </w:pPr>
      <w:r>
        <w:rPr>
          <w:rFonts w:hint="eastAsia"/>
          <w:b/>
          <w:color w:val="auto"/>
          <w:szCs w:val="21"/>
        </w:rPr>
        <w:t>条款号：</w:t>
      </w:r>
      <w:r>
        <w:rPr>
          <w:rFonts w:hint="eastAsia" w:ascii="宋体" w:hAnsi="宋体" w:cs="宋体"/>
          <w:color w:val="auto"/>
          <w:szCs w:val="21"/>
        </w:rPr>
        <w:t>13.1</w:t>
      </w:r>
      <w:r>
        <w:rPr>
          <w:b/>
          <w:color w:val="auto"/>
          <w:szCs w:val="21"/>
        </w:rPr>
        <w:t xml:space="preserve">             </w:t>
      </w:r>
      <w:r>
        <w:rPr>
          <w:rFonts w:hint="eastAsia"/>
          <w:b/>
          <w:color w:val="auto"/>
          <w:szCs w:val="21"/>
        </w:rPr>
        <w:t>修改类型：修改</w:t>
      </w:r>
    </w:p>
    <w:p>
      <w:pPr>
        <w:pStyle w:val="5"/>
        <w:spacing w:after="0" w:line="360" w:lineRule="auto"/>
        <w:ind w:firstLine="422" w:firstLineChars="200"/>
        <w:rPr>
          <w:rFonts w:ascii="宋体"/>
          <w:color w:val="auto"/>
          <w:sz w:val="24"/>
        </w:rPr>
      </w:pPr>
      <w:r>
        <w:rPr>
          <w:rFonts w:hint="eastAsia"/>
          <w:b/>
          <w:color w:val="auto"/>
          <w:szCs w:val="21"/>
        </w:rPr>
        <w:t>原文：</w:t>
      </w:r>
      <w:r>
        <w:rPr>
          <w:rFonts w:hint="eastAsia" w:ascii="宋体" w:hAnsi="宋体" w:cs="宋体"/>
          <w:color w:val="auto"/>
          <w:szCs w:val="21"/>
        </w:rPr>
        <w:t>13.1 本工程的投标报价采用投标须知前附表第12项所规定的方式。投标报价（含单价及总价）精确到“分”。</w:t>
      </w:r>
    </w:p>
    <w:p>
      <w:pPr>
        <w:pBdr>
          <w:bottom w:val="single" w:color="auto" w:sz="6" w:space="1"/>
        </w:pBdr>
        <w:spacing w:line="360" w:lineRule="auto"/>
        <w:ind w:firstLine="422" w:firstLineChars="200"/>
        <w:rPr>
          <w:color w:val="auto"/>
        </w:rPr>
      </w:pPr>
      <w:r>
        <w:rPr>
          <w:rFonts w:hint="eastAsia"/>
          <w:b/>
          <w:color w:val="auto"/>
          <w:szCs w:val="21"/>
        </w:rPr>
        <w:t>现文：</w:t>
      </w:r>
      <w:r>
        <w:rPr>
          <w:rFonts w:hint="eastAsia" w:ascii="宋体" w:hAnsi="宋体" w:cs="宋体"/>
          <w:color w:val="auto"/>
          <w:szCs w:val="21"/>
        </w:rPr>
        <w:t>13.1本工程的投标报价采用投标须知前附表第12项所规定的方式。投标报价（含单价及总价）精确到“分”。</w:t>
      </w:r>
      <w:r>
        <w:rPr>
          <w:rFonts w:hint="eastAsia" w:ascii="宋体" w:hAnsi="宋体" w:cs="宋体"/>
          <w:color w:val="auto"/>
          <w:szCs w:val="21"/>
          <w:u w:val="single"/>
        </w:rPr>
        <w:t>投标文件中的大写金额和小写金额不一致的，以大写金额为准。</w:t>
      </w:r>
    </w:p>
    <w:p>
      <w:pPr>
        <w:spacing w:line="480" w:lineRule="auto"/>
        <w:ind w:firstLine="422" w:firstLineChars="200"/>
        <w:rPr>
          <w:b/>
          <w:color w:val="auto"/>
          <w:szCs w:val="21"/>
        </w:rPr>
      </w:pPr>
      <w:r>
        <w:rPr>
          <w:rFonts w:hint="eastAsia"/>
          <w:b/>
          <w:color w:val="auto"/>
          <w:szCs w:val="21"/>
        </w:rPr>
        <w:t>条款号：</w:t>
      </w:r>
      <w:r>
        <w:rPr>
          <w:rFonts w:hint="eastAsia" w:ascii="宋体" w:hAnsi="宋体" w:cs="宋体"/>
          <w:b/>
          <w:color w:val="auto"/>
          <w:szCs w:val="21"/>
        </w:rPr>
        <w:t xml:space="preserve">13.4 </w:t>
      </w:r>
      <w:r>
        <w:rPr>
          <w:b/>
          <w:color w:val="auto"/>
          <w:szCs w:val="21"/>
        </w:rPr>
        <w:t xml:space="preserve">             </w:t>
      </w:r>
      <w:r>
        <w:rPr>
          <w:rFonts w:hint="eastAsia"/>
          <w:b/>
          <w:color w:val="auto"/>
          <w:szCs w:val="21"/>
        </w:rPr>
        <w:t>修改类型：修改</w:t>
      </w:r>
    </w:p>
    <w:p>
      <w:pPr>
        <w:spacing w:line="480" w:lineRule="auto"/>
        <w:ind w:firstLine="472" w:firstLineChars="224"/>
        <w:rPr>
          <w:rFonts w:ascii="宋体" w:hAnsi="宋体" w:cs="宋体"/>
          <w:color w:val="auto"/>
          <w:szCs w:val="21"/>
        </w:rPr>
      </w:pPr>
      <w:r>
        <w:rPr>
          <w:rFonts w:hint="eastAsia"/>
          <w:b/>
          <w:color w:val="auto"/>
          <w:szCs w:val="21"/>
        </w:rPr>
        <w:t>原文：</w:t>
      </w:r>
      <w:r>
        <w:rPr>
          <w:rFonts w:hint="eastAsia" w:ascii="宋体" w:hAnsi="宋体" w:cs="宋体"/>
          <w:color w:val="auto"/>
          <w:szCs w:val="21"/>
        </w:rPr>
        <w:t>13.4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pPr>
        <w:pBdr>
          <w:bottom w:val="single" w:color="auto" w:sz="6" w:space="1"/>
        </w:pBdr>
        <w:spacing w:line="360" w:lineRule="auto"/>
        <w:ind w:firstLine="527" w:firstLineChars="250"/>
        <w:rPr>
          <w:color w:val="auto"/>
        </w:rPr>
      </w:pPr>
      <w:r>
        <w:rPr>
          <w:rFonts w:hint="eastAsia"/>
          <w:b/>
          <w:color w:val="auto"/>
          <w:szCs w:val="21"/>
        </w:rPr>
        <w:t>现文：</w:t>
      </w:r>
      <w:r>
        <w:rPr>
          <w:rFonts w:hint="eastAsia" w:ascii="宋体" w:hAnsi="宋体" w:cs="宋体"/>
          <w:color w:val="auto"/>
          <w:szCs w:val="21"/>
        </w:rPr>
        <w:t>13.4</w:t>
      </w:r>
      <w:r>
        <w:rPr>
          <w:rFonts w:hint="eastAsia" w:ascii="宋体" w:hAnsi="宋体" w:cs="宋体"/>
          <w:color w:val="auto"/>
          <w:szCs w:val="21"/>
          <w:u w:val="single"/>
        </w:rPr>
        <w:t>投标人一旦中标，投标人对招标人提供的工程量清单中列出的工程项目所报出的综合单价和措施项目费（措施项目费必须单列，没有单独列出的，视为已经包含在投标报价中），在工程结算时不得变更，即在施工过程中即使工程量清单项目的工程量发生变更，中标投标文件列出的综合单价和措施项目费也不发生改变。若在合同履行期间，因主要材料（设备）、机械台班价格波动涨跌幅度超过合同基准期（指递交投标文件截止日期前28天）价格的5%和人工涨跌变化影响合同价款时，应根据合同约定，按《建设工程工程量清单计价规范》（GB5500-2013）调整合同价款。人工、主要材料（设备）按广州市增城区住房和</w:t>
      </w:r>
      <w:r>
        <w:rPr>
          <w:rFonts w:hint="eastAsia" w:ascii="宋体" w:hAnsi="宋体" w:cs="宋体"/>
          <w:bCs/>
          <w:color w:val="auto"/>
          <w:szCs w:val="21"/>
          <w:u w:val="single"/>
        </w:rPr>
        <w:t>城乡</w:t>
      </w:r>
      <w:r>
        <w:rPr>
          <w:rFonts w:hint="eastAsia" w:ascii="宋体" w:hAnsi="宋体" w:cs="宋体"/>
          <w:color w:val="auto"/>
          <w:szCs w:val="21"/>
          <w:u w:val="single"/>
        </w:rPr>
        <w:t>建设局施工同期《建设工程地方材料综合价格》、广州市造价管理站施工同期《广州地区建设工程材料综合价格》调整。</w:t>
      </w:r>
    </w:p>
    <w:p>
      <w:pPr>
        <w:spacing w:line="480" w:lineRule="auto"/>
        <w:ind w:firstLine="422" w:firstLineChars="200"/>
        <w:rPr>
          <w:b/>
          <w:color w:val="auto"/>
          <w:szCs w:val="21"/>
        </w:rPr>
      </w:pPr>
      <w:r>
        <w:rPr>
          <w:rFonts w:hint="eastAsia"/>
          <w:b/>
          <w:color w:val="auto"/>
          <w:szCs w:val="21"/>
        </w:rPr>
        <w:t>条款号：</w:t>
      </w:r>
      <w:r>
        <w:rPr>
          <w:rFonts w:hint="eastAsia" w:ascii="宋体" w:hAnsi="宋体" w:cs="宋体"/>
          <w:color w:val="auto"/>
          <w:szCs w:val="21"/>
        </w:rPr>
        <w:t>13.5.1</w:t>
      </w:r>
      <w:r>
        <w:rPr>
          <w:b/>
          <w:color w:val="auto"/>
          <w:szCs w:val="21"/>
        </w:rPr>
        <w:t xml:space="preserve">             </w:t>
      </w:r>
      <w:r>
        <w:rPr>
          <w:rFonts w:hint="eastAsia"/>
          <w:b/>
          <w:color w:val="auto"/>
          <w:szCs w:val="21"/>
        </w:rPr>
        <w:t>修改类型：修改</w:t>
      </w:r>
    </w:p>
    <w:p>
      <w:pPr>
        <w:spacing w:line="480" w:lineRule="auto"/>
        <w:ind w:firstLine="472" w:firstLineChars="224"/>
        <w:rPr>
          <w:b/>
          <w:color w:val="auto"/>
          <w:szCs w:val="21"/>
        </w:rPr>
      </w:pPr>
      <w:r>
        <w:rPr>
          <w:rFonts w:hint="eastAsia"/>
          <w:b/>
          <w:color w:val="auto"/>
          <w:szCs w:val="21"/>
        </w:rPr>
        <w:t>原文：</w:t>
      </w:r>
      <w:r>
        <w:rPr>
          <w:rFonts w:hint="eastAsia" w:ascii="宋体" w:hAnsi="宋体" w:cs="宋体"/>
          <w:bCs/>
          <w:color w:val="auto"/>
          <w:szCs w:val="21"/>
        </w:rPr>
        <w:t>13.5.1中标的投标文件工程量清单中已有相同项目的适用综合单价，则沿用</w:t>
      </w:r>
      <w:r>
        <w:rPr>
          <w:rFonts w:hint="eastAsia" w:ascii="宋体" w:hAnsi="宋体"/>
          <w:color w:val="auto"/>
          <w:sz w:val="24"/>
        </w:rPr>
        <w:t>；</w:t>
      </w:r>
    </w:p>
    <w:p>
      <w:pPr>
        <w:pBdr>
          <w:bottom w:val="single" w:color="auto" w:sz="6" w:space="1"/>
        </w:pBdr>
        <w:spacing w:line="360" w:lineRule="auto"/>
        <w:ind w:firstLine="417" w:firstLineChars="198"/>
        <w:rPr>
          <w:color w:val="auto"/>
        </w:rPr>
      </w:pPr>
      <w:r>
        <w:rPr>
          <w:rFonts w:hint="eastAsia"/>
          <w:b/>
          <w:color w:val="auto"/>
          <w:szCs w:val="21"/>
        </w:rPr>
        <w:t>现文：</w:t>
      </w:r>
      <w:r>
        <w:rPr>
          <w:rFonts w:hint="eastAsia" w:ascii="宋体" w:hAnsi="宋体" w:cs="宋体"/>
          <w:color w:val="auto"/>
          <w:szCs w:val="21"/>
          <w:u w:val="single"/>
        </w:rPr>
        <w:t>13.5.1中标的投标文件工程量清单中已有相同项目的,该项目的综合单价若低于招标控制价相应项目综合单价,则沿用;若高于招标控制价相应项目综合单价,则按招标控制价相应项目的综合单价。</w:t>
      </w:r>
    </w:p>
    <w:p>
      <w:pPr>
        <w:spacing w:line="480" w:lineRule="auto"/>
        <w:ind w:firstLine="422" w:firstLineChars="200"/>
        <w:rPr>
          <w:b/>
          <w:color w:val="auto"/>
          <w:szCs w:val="21"/>
        </w:rPr>
      </w:pPr>
      <w:r>
        <w:rPr>
          <w:rFonts w:hint="eastAsia"/>
          <w:b/>
          <w:color w:val="auto"/>
          <w:szCs w:val="21"/>
        </w:rPr>
        <w:t>条款号：</w:t>
      </w:r>
      <w:r>
        <w:rPr>
          <w:rFonts w:hint="eastAsia" w:ascii="宋体" w:hAnsi="宋体" w:cs="宋体"/>
          <w:color w:val="auto"/>
          <w:szCs w:val="21"/>
        </w:rPr>
        <w:t>13.5.2</w:t>
      </w:r>
      <w:r>
        <w:rPr>
          <w:b/>
          <w:color w:val="auto"/>
          <w:szCs w:val="21"/>
        </w:rPr>
        <w:t xml:space="preserve">             </w:t>
      </w:r>
      <w:r>
        <w:rPr>
          <w:rFonts w:hint="eastAsia"/>
          <w:b/>
          <w:color w:val="auto"/>
          <w:szCs w:val="21"/>
        </w:rPr>
        <w:t>修改类型：修改</w:t>
      </w:r>
    </w:p>
    <w:p>
      <w:pPr>
        <w:pStyle w:val="5"/>
        <w:spacing w:after="0" w:line="360" w:lineRule="auto"/>
        <w:ind w:firstLine="422" w:firstLineChars="200"/>
        <w:rPr>
          <w:b/>
          <w:color w:val="auto"/>
          <w:szCs w:val="21"/>
        </w:rPr>
      </w:pPr>
      <w:r>
        <w:rPr>
          <w:rFonts w:hint="eastAsia"/>
          <w:b/>
          <w:color w:val="auto"/>
          <w:szCs w:val="21"/>
        </w:rPr>
        <w:t>原文：</w:t>
      </w:r>
      <w:r>
        <w:rPr>
          <w:rFonts w:hint="eastAsia" w:ascii="宋体" w:hAnsi="宋体" w:cs="宋体"/>
          <w:bCs/>
          <w:color w:val="auto"/>
          <w:szCs w:val="21"/>
        </w:rPr>
        <w:t>13.5.2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由招标人在招标文件中依法确定计价方式。</w:t>
      </w:r>
    </w:p>
    <w:p>
      <w:pPr>
        <w:pBdr>
          <w:bottom w:val="single" w:color="auto" w:sz="6" w:space="1"/>
        </w:pBdr>
        <w:spacing w:line="440" w:lineRule="exact"/>
        <w:ind w:firstLine="422" w:firstLineChars="200"/>
        <w:rPr>
          <w:color w:val="auto"/>
        </w:rPr>
      </w:pPr>
      <w:r>
        <w:rPr>
          <w:rFonts w:hint="eastAsia"/>
          <w:b/>
          <w:color w:val="auto"/>
          <w:szCs w:val="21"/>
        </w:rPr>
        <w:t>现文：</w:t>
      </w:r>
      <w:r>
        <w:rPr>
          <w:rFonts w:hint="eastAsia" w:ascii="宋体" w:hAnsi="宋体" w:cs="宋体"/>
          <w:color w:val="auto"/>
          <w:szCs w:val="21"/>
        </w:rPr>
        <w:t>13.5.2</w:t>
      </w:r>
      <w:r>
        <w:rPr>
          <w:rFonts w:hint="eastAsia" w:ascii="宋体" w:hAnsi="宋体" w:cs="宋体"/>
          <w:bCs/>
          <w:color w:val="auto"/>
          <w:szCs w:val="21"/>
        </w:rPr>
        <w:t>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w:t>
      </w:r>
      <w:r>
        <w:rPr>
          <w:rFonts w:hint="eastAsia" w:ascii="宋体" w:hAnsi="宋体" w:cs="宋体"/>
          <w:bCs/>
          <w:color w:val="auto"/>
          <w:szCs w:val="21"/>
          <w:u w:val="single"/>
        </w:rPr>
        <w:t>按广州市增城区住房和城乡建设局同期《建设工程地方材料指导价格》计算；若增城区住房和城乡建设局同期《建设工程地方材料指导价格》没有的材料单价按广州市造价管理站同期《广州地区建设工程材料综合价格》计算；若上述两地区的建设工程材料指导价均没有的材料单价，凭监理单位及甲方确认的与市场价相符的有效发票的材料单价计算，并按中标浮动率下浮后作结算。</w:t>
      </w:r>
    </w:p>
    <w:p>
      <w:pPr>
        <w:spacing w:line="480" w:lineRule="auto"/>
        <w:ind w:firstLine="472" w:firstLineChars="224"/>
        <w:rPr>
          <w:rFonts w:ascii="宋体" w:hAnsi="宋体" w:cs="宋体"/>
          <w:b/>
          <w:color w:val="auto"/>
          <w:szCs w:val="21"/>
        </w:rPr>
      </w:pPr>
      <w:r>
        <w:rPr>
          <w:rFonts w:hint="eastAsia" w:ascii="宋体" w:hAnsi="宋体" w:cs="宋体"/>
          <w:b/>
          <w:color w:val="auto"/>
          <w:szCs w:val="21"/>
        </w:rPr>
        <w:t>条款号：15.2              修改类型：修改</w:t>
      </w:r>
    </w:p>
    <w:p>
      <w:pPr>
        <w:spacing w:line="360" w:lineRule="auto"/>
        <w:ind w:firstLine="422" w:firstLineChars="200"/>
        <w:rPr>
          <w:rFonts w:ascii="宋体" w:hAnsi="宋体" w:cs="宋体"/>
          <w:color w:val="auto"/>
          <w:szCs w:val="21"/>
        </w:rPr>
      </w:pPr>
      <w:r>
        <w:rPr>
          <w:rFonts w:hint="eastAsia" w:ascii="宋体" w:hAnsi="宋体" w:cs="宋体"/>
          <w:b/>
          <w:color w:val="auto"/>
          <w:szCs w:val="21"/>
        </w:rPr>
        <w:t>原文：</w:t>
      </w:r>
      <w:r>
        <w:rPr>
          <w:rFonts w:hint="eastAsia" w:ascii="宋体" w:hAnsi="宋体" w:cs="宋体"/>
          <w:color w:val="auto"/>
          <w:szCs w:val="21"/>
        </w:rPr>
        <w:t>15.2 在特殊情况下，招标人在原定投标有效期内，可以根据需要以书面形式向投标人提出延长投标有效期的要求，对此要求投标人须以书面形式予以答复。投标人可以拒绝招标人这种要求，而不影响退还其投标保证金。同意延长投标有效期的投标人既不能要求也不允许修改其投标文件，但需要相应的延长投标保证金的有效期，在延长的投标有效期内，本须知第16条关于投标保证金的退还与不予退还的规定仍然适用。</w:t>
      </w:r>
    </w:p>
    <w:p>
      <w:pPr>
        <w:pBdr>
          <w:bottom w:val="single" w:color="auto" w:sz="6" w:space="1"/>
        </w:pBdr>
        <w:spacing w:line="360" w:lineRule="auto"/>
        <w:ind w:firstLine="527" w:firstLineChars="250"/>
        <w:rPr>
          <w:rFonts w:ascii="宋体" w:hAnsi="宋体" w:cs="宋体"/>
          <w:color w:val="auto"/>
          <w:szCs w:val="21"/>
        </w:rPr>
      </w:pPr>
      <w:r>
        <w:rPr>
          <w:rFonts w:hint="eastAsia" w:ascii="宋体" w:hAnsi="宋体" w:cs="宋体"/>
          <w:b/>
          <w:color w:val="auto"/>
          <w:szCs w:val="21"/>
        </w:rPr>
        <w:t>现文：</w:t>
      </w:r>
      <w:r>
        <w:rPr>
          <w:rFonts w:hint="eastAsia" w:ascii="宋体" w:hAnsi="宋体" w:cs="宋体"/>
          <w:color w:val="auto"/>
          <w:szCs w:val="21"/>
        </w:rPr>
        <w:t>15.2 在特殊情况下，招标人在原定投标有效期内，可以根据需要以书面形式向投标人提出延长投标有效期的要求，对此要求投标人须以书面形式予以答复，投标人可以拒绝招标人这种要求。同意延长投标有效期的投标人既不能要求也不允许修改其投标文件。</w:t>
      </w:r>
    </w:p>
    <w:p>
      <w:pPr>
        <w:spacing w:line="480" w:lineRule="auto"/>
        <w:ind w:firstLine="472" w:firstLineChars="224"/>
        <w:rPr>
          <w:rFonts w:ascii="宋体" w:hAnsi="宋体" w:cs="宋体"/>
          <w:b/>
          <w:color w:val="auto"/>
          <w:szCs w:val="21"/>
        </w:rPr>
      </w:pPr>
      <w:r>
        <w:rPr>
          <w:rFonts w:hint="eastAsia" w:ascii="宋体" w:hAnsi="宋体" w:cs="宋体"/>
          <w:b/>
          <w:color w:val="auto"/>
          <w:szCs w:val="21"/>
        </w:rPr>
        <w:t>条款号：16                  修改类型：删除</w:t>
      </w:r>
    </w:p>
    <w:p>
      <w:pPr>
        <w:spacing w:line="360" w:lineRule="auto"/>
        <w:ind w:firstLine="422" w:firstLineChars="200"/>
        <w:rPr>
          <w:rFonts w:ascii="宋体" w:hAnsi="宋体" w:cs="宋体"/>
          <w:bCs/>
          <w:color w:val="auto"/>
          <w:szCs w:val="21"/>
        </w:rPr>
      </w:pPr>
      <w:r>
        <w:rPr>
          <w:rFonts w:hint="eastAsia" w:ascii="宋体" w:hAnsi="宋体" w:cs="宋体"/>
          <w:b/>
          <w:color w:val="auto"/>
          <w:szCs w:val="21"/>
        </w:rPr>
        <w:t>原文：</w:t>
      </w:r>
      <w:r>
        <w:rPr>
          <w:rFonts w:hint="eastAsia" w:ascii="宋体" w:hAnsi="宋体" w:cs="宋体"/>
          <w:bCs/>
          <w:color w:val="auto"/>
          <w:szCs w:val="21"/>
        </w:rPr>
        <w:t>16．投标</w:t>
      </w:r>
      <w:r>
        <w:rPr>
          <w:rFonts w:hint="eastAsia" w:ascii="宋体" w:hAnsi="宋体" w:cs="宋体"/>
          <w:color w:val="auto"/>
          <w:szCs w:val="21"/>
        </w:rPr>
        <w:t>保证金</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16.1投标人应按投标须知前附表第14项所述金额和时间递交投标保证金。招标人应当允许投标人自主选择现金、银行</w:t>
      </w:r>
      <w:r>
        <w:rPr>
          <w:rFonts w:hint="eastAsia" w:ascii="宋体" w:hAnsi="宋体" w:cs="宋体"/>
          <w:color w:val="auto"/>
          <w:szCs w:val="21"/>
        </w:rPr>
        <w:t>保函</w:t>
      </w:r>
      <w:r>
        <w:rPr>
          <w:rFonts w:hint="eastAsia" w:ascii="宋体" w:hAnsi="宋体" w:cs="宋体"/>
          <w:bCs/>
          <w:color w:val="auto"/>
          <w:szCs w:val="21"/>
        </w:rPr>
        <w:t>、保证保险、专业工程担保公司担保等方式缴纳投标保证金。</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16.1.1 采用现金或者支票形式提交的，投标保证金须从投标人的银行基本账户转出。</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16.1.2 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如投标人存在16.4条款所列情形的，应将纸质原件提交给招标人。</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16.1.3 采用电子形式的保函、担保或保证保险提交投标保证金的，应在招标文件中明确电子递交途径。</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16.2开标时投标人没有按要求提供投标保证金的，其投标文件将被否决；未按招标文件要求提交符合免予提供投标保证金相关证明材料，且未提交投标保证金的投标人，视为未按要求提供投标保证金。</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16.3投标保证金应依据法律法规的相关规定退还。</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16.4如有下列情况</w:t>
      </w:r>
      <w:r>
        <w:rPr>
          <w:rFonts w:hint="eastAsia" w:ascii="宋体" w:hAnsi="宋体" w:cs="宋体"/>
          <w:color w:val="auto"/>
          <w:szCs w:val="21"/>
        </w:rPr>
        <w:t>之一</w:t>
      </w:r>
      <w:r>
        <w:rPr>
          <w:rFonts w:hint="eastAsia" w:ascii="宋体" w:hAnsi="宋体" w:cs="宋体"/>
          <w:bCs/>
          <w:color w:val="auto"/>
          <w:szCs w:val="21"/>
        </w:rPr>
        <w:t>的，招标人可以不予退还投标保证金（是否退还投标保证金由招标人在招标文件中规定）：</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16.4.1因投标人原因造成投标文件未解密的；</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16.4.2投标人在投标有效期内撤销投标文件；</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16.4.3中标人</w:t>
      </w:r>
      <w:r>
        <w:rPr>
          <w:rFonts w:hint="eastAsia" w:ascii="宋体" w:hAnsi="宋体" w:cs="宋体"/>
          <w:color w:val="auto"/>
          <w:szCs w:val="21"/>
        </w:rPr>
        <w:t>未能</w:t>
      </w:r>
      <w:r>
        <w:rPr>
          <w:rFonts w:hint="eastAsia" w:ascii="宋体" w:hAnsi="宋体" w:cs="宋体"/>
          <w:bCs/>
          <w:color w:val="auto"/>
          <w:szCs w:val="21"/>
        </w:rPr>
        <w:t>在规定期限内按要求提交履约担保；</w:t>
      </w:r>
    </w:p>
    <w:p>
      <w:pPr>
        <w:pBdr>
          <w:bottom w:val="single" w:color="auto" w:sz="6" w:space="1"/>
        </w:pBdr>
        <w:spacing w:line="360" w:lineRule="auto"/>
        <w:ind w:firstLine="525" w:firstLineChars="250"/>
        <w:rPr>
          <w:rFonts w:ascii="宋体" w:hAnsi="宋体" w:cs="宋体"/>
          <w:bCs/>
          <w:color w:val="auto"/>
          <w:szCs w:val="21"/>
        </w:rPr>
      </w:pPr>
      <w:r>
        <w:rPr>
          <w:rFonts w:hint="eastAsia" w:ascii="宋体" w:hAnsi="宋体" w:cs="宋体"/>
          <w:bCs/>
          <w:color w:val="auto"/>
          <w:szCs w:val="21"/>
        </w:rPr>
        <w:t>16.4.4中标人未能在规定期限内签署合同协议。</w:t>
      </w:r>
    </w:p>
    <w:p>
      <w:pPr>
        <w:pBdr>
          <w:bottom w:val="single" w:color="auto" w:sz="6" w:space="1"/>
        </w:pBdr>
        <w:spacing w:line="360" w:lineRule="auto"/>
        <w:ind w:firstLine="525" w:firstLineChars="250"/>
        <w:rPr>
          <w:rFonts w:ascii="宋体" w:hAnsi="宋体" w:cs="宋体"/>
          <w:bCs/>
          <w:color w:val="auto"/>
          <w:szCs w:val="21"/>
        </w:rPr>
      </w:pPr>
      <w:r>
        <w:rPr>
          <w:rFonts w:hint="eastAsia" w:ascii="宋体" w:hAnsi="宋体" w:cs="宋体"/>
          <w:bCs/>
          <w:color w:val="auto"/>
          <w:szCs w:val="21"/>
        </w:rPr>
        <w:t>16.5投标人如存在下列情况之一的，将被拒绝在半年内参与招标人后续工程投标（注：拒绝投标时限由招标人视严重程度确定，最低三个月起，自招标人发出通知之日起计）：</w:t>
      </w:r>
    </w:p>
    <w:p>
      <w:pPr>
        <w:pBdr>
          <w:bottom w:val="single" w:color="auto" w:sz="6" w:space="1"/>
        </w:pBdr>
        <w:spacing w:line="360" w:lineRule="auto"/>
        <w:ind w:firstLine="525" w:firstLineChars="250"/>
        <w:rPr>
          <w:rFonts w:ascii="宋体" w:hAnsi="宋体" w:cs="宋体"/>
          <w:bCs/>
          <w:color w:val="auto"/>
          <w:szCs w:val="21"/>
        </w:rPr>
      </w:pPr>
      <w:r>
        <w:rPr>
          <w:rFonts w:hint="eastAsia" w:ascii="宋体" w:hAnsi="宋体" w:cs="宋体"/>
          <w:bCs/>
          <w:color w:val="auto"/>
          <w:szCs w:val="21"/>
        </w:rPr>
        <w:t>16.5.1投标人存在16.4条款所列情形且投标人提交的保函、担保或保证保险无法兑付的；</w:t>
      </w:r>
    </w:p>
    <w:p>
      <w:pPr>
        <w:pBdr>
          <w:bottom w:val="single" w:color="auto" w:sz="6" w:space="1"/>
        </w:pBdr>
        <w:spacing w:line="360" w:lineRule="auto"/>
        <w:ind w:firstLine="525" w:firstLineChars="250"/>
        <w:rPr>
          <w:rFonts w:ascii="宋体" w:hAnsi="宋体" w:cs="宋体"/>
          <w:bCs/>
          <w:color w:val="auto"/>
          <w:szCs w:val="21"/>
        </w:rPr>
      </w:pPr>
      <w:r>
        <w:rPr>
          <w:rFonts w:hint="eastAsia" w:ascii="宋体" w:hAnsi="宋体" w:cs="宋体"/>
          <w:bCs/>
          <w:color w:val="auto"/>
          <w:szCs w:val="21"/>
        </w:rPr>
        <w:t>16.5.2采用非电子形式提交投标保证金的投标人存在16.4条款所列情形，且未按招标人要求补交银行保函、专业工程担保公司担保或保证保险原件的；</w:t>
      </w:r>
    </w:p>
    <w:p>
      <w:pPr>
        <w:pBdr>
          <w:bottom w:val="single" w:color="auto" w:sz="6" w:space="1"/>
        </w:pBdr>
        <w:spacing w:line="360" w:lineRule="auto"/>
        <w:ind w:firstLine="525" w:firstLineChars="250"/>
        <w:rPr>
          <w:rFonts w:ascii="宋体" w:hAnsi="宋体" w:cs="宋体"/>
          <w:bCs/>
          <w:color w:val="auto"/>
          <w:szCs w:val="21"/>
        </w:rPr>
      </w:pPr>
      <w:r>
        <w:rPr>
          <w:rFonts w:hint="eastAsia" w:ascii="宋体" w:hAnsi="宋体" w:cs="宋体"/>
          <w:bCs/>
          <w:color w:val="auto"/>
          <w:szCs w:val="21"/>
        </w:rPr>
        <w:t>16.5.3按招标文件要求免于提供投标保证金的投标人存在16.4条款所列情形，且未按招标人要求补交投标保证金的；</w:t>
      </w:r>
    </w:p>
    <w:p>
      <w:pPr>
        <w:pBdr>
          <w:bottom w:val="single" w:color="auto" w:sz="6" w:space="1"/>
        </w:pBdr>
        <w:spacing w:line="360" w:lineRule="auto"/>
        <w:ind w:firstLine="525" w:firstLineChars="250"/>
        <w:rPr>
          <w:rFonts w:ascii="宋体" w:hAnsi="宋体" w:cs="宋体"/>
          <w:bCs/>
          <w:color w:val="auto"/>
          <w:szCs w:val="21"/>
        </w:rPr>
      </w:pPr>
      <w:r>
        <w:rPr>
          <w:rFonts w:hint="eastAsia" w:ascii="宋体" w:hAnsi="宋体" w:cs="宋体"/>
          <w:bCs/>
          <w:color w:val="auto"/>
          <w:szCs w:val="21"/>
        </w:rPr>
        <w:t>16.5.3按招标文件要求免于提供投标保证金的投标人存在16.4条款所列情形的。</w:t>
      </w:r>
    </w:p>
    <w:p>
      <w:pPr>
        <w:pBdr>
          <w:bottom w:val="single" w:color="auto" w:sz="6" w:space="1"/>
        </w:pBdr>
        <w:spacing w:line="360" w:lineRule="auto"/>
        <w:ind w:firstLine="525" w:firstLineChars="250"/>
        <w:rPr>
          <w:rFonts w:ascii="宋体" w:hAnsi="宋体" w:cs="宋体"/>
          <w:bCs/>
          <w:color w:val="auto"/>
          <w:szCs w:val="21"/>
        </w:rPr>
      </w:pPr>
      <w:r>
        <w:rPr>
          <w:rFonts w:hint="eastAsia" w:ascii="宋体" w:hAnsi="宋体" w:cs="宋体"/>
          <w:bCs/>
          <w:color w:val="auto"/>
          <w:szCs w:val="21"/>
        </w:rPr>
        <w:t>注：16.5.3款由招标人二选一，需在招标文件中明确。</w:t>
      </w:r>
    </w:p>
    <w:p>
      <w:pPr>
        <w:spacing w:line="480" w:lineRule="auto"/>
        <w:ind w:firstLine="422" w:firstLineChars="200"/>
        <w:rPr>
          <w:b/>
          <w:color w:val="auto"/>
          <w:szCs w:val="21"/>
        </w:rPr>
      </w:pPr>
      <w:r>
        <w:rPr>
          <w:rFonts w:hint="eastAsia"/>
          <w:b/>
          <w:color w:val="auto"/>
          <w:szCs w:val="21"/>
        </w:rPr>
        <w:t>条款号：</w:t>
      </w:r>
      <w:r>
        <w:rPr>
          <w:rFonts w:hint="eastAsia" w:ascii="宋体" w:hAnsi="宋体" w:cs="宋体"/>
          <w:color w:val="auto"/>
          <w:szCs w:val="21"/>
        </w:rPr>
        <w:t>17.1</w:t>
      </w:r>
      <w:r>
        <w:rPr>
          <w:b/>
          <w:color w:val="auto"/>
          <w:szCs w:val="21"/>
        </w:rPr>
        <w:t xml:space="preserve">             </w:t>
      </w:r>
      <w:r>
        <w:rPr>
          <w:rFonts w:hint="eastAsia"/>
          <w:b/>
          <w:color w:val="auto"/>
          <w:szCs w:val="21"/>
        </w:rPr>
        <w:t>修改类型：修改</w:t>
      </w:r>
    </w:p>
    <w:p>
      <w:pPr>
        <w:spacing w:line="480" w:lineRule="auto"/>
        <w:ind w:firstLine="472" w:firstLineChars="224"/>
        <w:rPr>
          <w:b/>
          <w:color w:val="auto"/>
          <w:szCs w:val="21"/>
        </w:rPr>
      </w:pPr>
      <w:r>
        <w:rPr>
          <w:rFonts w:hint="eastAsia"/>
          <w:b/>
          <w:color w:val="auto"/>
          <w:szCs w:val="21"/>
        </w:rPr>
        <w:t>原文：</w:t>
      </w:r>
      <w:r>
        <w:rPr>
          <w:rFonts w:hint="eastAsia" w:ascii="宋体" w:hAnsi="宋体" w:cs="宋体"/>
          <w:bCs/>
          <w:color w:val="auto"/>
          <w:szCs w:val="21"/>
        </w:rPr>
        <w:t>17.1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宋体" w:hAnsi="宋体"/>
          <w:color w:val="auto"/>
          <w:sz w:val="24"/>
          <w:u w:val="single"/>
        </w:rPr>
        <w:t xml:space="preserve">            </w:t>
      </w:r>
      <w:r>
        <w:rPr>
          <w:rFonts w:hint="eastAsia" w:ascii="宋体" w:hAnsi="宋体"/>
          <w:color w:val="auto"/>
          <w:sz w:val="24"/>
        </w:rPr>
        <w:t>。</w:t>
      </w:r>
    </w:p>
    <w:p>
      <w:pPr>
        <w:pBdr>
          <w:bottom w:val="single" w:color="auto" w:sz="6" w:space="1"/>
        </w:pBdr>
        <w:spacing w:line="360" w:lineRule="auto"/>
        <w:ind w:firstLine="417" w:firstLineChars="198"/>
        <w:rPr>
          <w:color w:val="auto"/>
        </w:rPr>
      </w:pPr>
      <w:r>
        <w:rPr>
          <w:rFonts w:hint="eastAsia"/>
          <w:b/>
          <w:color w:val="auto"/>
          <w:szCs w:val="21"/>
        </w:rPr>
        <w:t>现文：</w:t>
      </w:r>
      <w:r>
        <w:rPr>
          <w:rFonts w:hint="eastAsia" w:ascii="宋体" w:hAnsi="宋体" w:cs="宋体"/>
          <w:bCs/>
          <w:color w:val="auto"/>
          <w:szCs w:val="21"/>
        </w:rPr>
        <w:t>17.1投标人应采用单位数字证书，按招标文件要求在相应位置加盖电子印章。投标文件中需个人签字或盖章的，应加盖个人电子印章或在线下完成后扫描上传。按照交易平台关于全流程电子化项目的相关指南进行操作。</w:t>
      </w:r>
      <w:r>
        <w:rPr>
          <w:rFonts w:hint="eastAsia" w:ascii="宋体" w:hAnsi="宋体" w:cs="宋体"/>
          <w:color w:val="auto"/>
          <w:szCs w:val="21"/>
        </w:rPr>
        <w:t>详见：</w:t>
      </w:r>
      <w:r>
        <w:rPr>
          <w:rFonts w:hint="eastAsia" w:ascii="宋体" w:hAnsi="宋体" w:cs="宋体"/>
          <w:color w:val="auto"/>
          <w:szCs w:val="21"/>
          <w:u w:val="single"/>
        </w:rPr>
        <w:t>广州交易集团有限公司（广州公共资源交易中心）网站</w:t>
      </w:r>
      <w:r>
        <w:rPr>
          <w:rFonts w:hint="eastAsia" w:ascii="宋体" w:hAnsi="宋体" w:cs="宋体"/>
          <w:color w:val="auto"/>
          <w:szCs w:val="21"/>
        </w:rPr>
        <w:t>。</w:t>
      </w:r>
    </w:p>
    <w:p>
      <w:pPr>
        <w:spacing w:line="480" w:lineRule="auto"/>
        <w:ind w:firstLine="422" w:firstLineChars="200"/>
        <w:rPr>
          <w:b/>
          <w:color w:val="auto"/>
          <w:szCs w:val="21"/>
        </w:rPr>
      </w:pPr>
      <w:r>
        <w:rPr>
          <w:rFonts w:hint="eastAsia"/>
          <w:b/>
          <w:color w:val="auto"/>
          <w:szCs w:val="21"/>
        </w:rPr>
        <w:t>条款号：</w:t>
      </w:r>
      <w:r>
        <w:rPr>
          <w:rFonts w:hint="eastAsia" w:ascii="宋体" w:hAnsi="宋体" w:cs="宋体"/>
          <w:color w:val="auto"/>
          <w:szCs w:val="21"/>
        </w:rPr>
        <w:t>18、19</w:t>
      </w:r>
      <w:r>
        <w:rPr>
          <w:b/>
          <w:color w:val="auto"/>
          <w:szCs w:val="21"/>
        </w:rPr>
        <w:t xml:space="preserve">             </w:t>
      </w:r>
      <w:r>
        <w:rPr>
          <w:rFonts w:hint="eastAsia"/>
          <w:b/>
          <w:color w:val="auto"/>
          <w:szCs w:val="21"/>
        </w:rPr>
        <w:t>修改类型：修改</w:t>
      </w:r>
    </w:p>
    <w:p>
      <w:pPr>
        <w:pStyle w:val="5"/>
        <w:spacing w:after="0" w:line="360" w:lineRule="auto"/>
        <w:ind w:firstLine="422" w:firstLineChars="200"/>
        <w:rPr>
          <w:rFonts w:ascii="宋体"/>
          <w:b/>
          <w:bCs/>
          <w:color w:val="auto"/>
          <w:sz w:val="24"/>
        </w:rPr>
      </w:pPr>
      <w:r>
        <w:rPr>
          <w:rFonts w:hint="eastAsia"/>
          <w:b/>
          <w:color w:val="auto"/>
          <w:szCs w:val="21"/>
        </w:rPr>
        <w:t>原文：</w:t>
      </w:r>
      <w:r>
        <w:rPr>
          <w:rFonts w:hint="eastAsia" w:ascii="宋体" w:hAnsi="宋体" w:cs="宋体"/>
          <w:b/>
          <w:color w:val="auto"/>
          <w:szCs w:val="21"/>
        </w:rPr>
        <w:t>18．投标文件的密封和标记</w:t>
      </w:r>
    </w:p>
    <w:p>
      <w:pPr>
        <w:spacing w:line="360" w:lineRule="auto"/>
        <w:ind w:firstLine="420" w:firstLineChars="200"/>
        <w:rPr>
          <w:rFonts w:ascii="宋体"/>
          <w:bCs/>
          <w:color w:val="auto"/>
          <w:sz w:val="24"/>
        </w:rPr>
      </w:pPr>
      <w:r>
        <w:rPr>
          <w:rFonts w:hint="eastAsia" w:ascii="宋体" w:hAnsi="宋体" w:cs="宋体"/>
          <w:bCs/>
          <w:color w:val="auto"/>
          <w:szCs w:val="21"/>
        </w:rPr>
        <w:t>18.1递交的电子投标文件（不含备用光盘）必须进行加密。按照交易平台关于全流程电子化项目的相关指南进行操作。详见：</w:t>
      </w:r>
      <w:r>
        <w:rPr>
          <w:color w:val="auto"/>
          <w:sz w:val="24"/>
          <w:szCs w:val="24"/>
          <w:u w:val="single"/>
        </w:rPr>
        <w:t xml:space="preserve">       </w:t>
      </w:r>
      <w:r>
        <w:rPr>
          <w:rFonts w:hint="eastAsia"/>
          <w:color w:val="auto"/>
          <w:sz w:val="24"/>
          <w:szCs w:val="24"/>
          <w:u w:val="single"/>
        </w:rPr>
        <w:t xml:space="preserve">   </w:t>
      </w:r>
      <w:r>
        <w:rPr>
          <w:color w:val="auto"/>
          <w:sz w:val="24"/>
          <w:szCs w:val="24"/>
          <w:u w:val="single"/>
        </w:rPr>
        <w:t xml:space="preserve"> </w:t>
      </w:r>
      <w:r>
        <w:rPr>
          <w:rFonts w:hint="eastAsia"/>
          <w:color w:val="auto"/>
          <w:sz w:val="24"/>
          <w:szCs w:val="24"/>
        </w:rPr>
        <w:t xml:space="preserve"> 。</w:t>
      </w:r>
    </w:p>
    <w:p>
      <w:pPr>
        <w:spacing w:line="360" w:lineRule="auto"/>
        <w:ind w:firstLine="420" w:firstLineChars="200"/>
        <w:rPr>
          <w:rFonts w:ascii="宋体"/>
          <w:bCs/>
          <w:color w:val="auto"/>
          <w:sz w:val="24"/>
        </w:rPr>
      </w:pPr>
      <w:r>
        <w:rPr>
          <w:rFonts w:hint="eastAsia" w:ascii="宋体" w:hAnsi="宋体" w:cs="宋体"/>
          <w:bCs/>
          <w:color w:val="auto"/>
          <w:szCs w:val="21"/>
        </w:rPr>
        <w:t>18.2 未按要求加密的投标文件，</w:t>
      </w:r>
      <w:r>
        <w:rPr>
          <w:color w:val="auto"/>
          <w:sz w:val="24"/>
          <w:szCs w:val="24"/>
          <w:u w:val="single"/>
        </w:rPr>
        <w:t xml:space="preserve">        </w:t>
      </w:r>
      <w:r>
        <w:rPr>
          <w:rFonts w:hint="eastAsia" w:ascii="宋体" w:hAnsi="宋体" w:cs="宋体"/>
          <w:bCs/>
          <w:color w:val="auto"/>
          <w:szCs w:val="21"/>
        </w:rPr>
        <w:t>交易平台将予以拒收。</w:t>
      </w:r>
    </w:p>
    <w:p>
      <w:pPr>
        <w:pStyle w:val="5"/>
        <w:spacing w:after="0" w:line="360" w:lineRule="auto"/>
        <w:ind w:firstLine="422" w:firstLineChars="200"/>
        <w:rPr>
          <w:rFonts w:ascii="宋体" w:hAnsi="宋体" w:cs="宋体"/>
          <w:b/>
          <w:color w:val="auto"/>
          <w:szCs w:val="21"/>
        </w:rPr>
      </w:pPr>
      <w:r>
        <w:rPr>
          <w:rFonts w:hint="eastAsia" w:ascii="宋体" w:hAnsi="宋体" w:cs="宋体"/>
          <w:b/>
          <w:color w:val="auto"/>
          <w:szCs w:val="21"/>
        </w:rPr>
        <w:t>19．投标文件的递交和接收</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19.1投标人通过</w:t>
      </w:r>
      <w:r>
        <w:rPr>
          <w:color w:val="auto"/>
          <w:sz w:val="24"/>
          <w:szCs w:val="24"/>
          <w:u w:val="single"/>
        </w:rPr>
        <w:t xml:space="preserve">        </w:t>
      </w:r>
      <w:r>
        <w:rPr>
          <w:rFonts w:hint="eastAsia" w:ascii="宋体" w:hAnsi="宋体" w:cs="宋体"/>
          <w:bCs/>
          <w:color w:val="auto"/>
          <w:szCs w:val="21"/>
        </w:rPr>
        <w:t>交易平台递交电子投标文件。</w:t>
      </w:r>
    </w:p>
    <w:p>
      <w:pPr>
        <w:spacing w:line="360" w:lineRule="auto"/>
        <w:ind w:firstLine="420" w:firstLineChars="200"/>
        <w:rPr>
          <w:rFonts w:ascii="宋体"/>
          <w:bCs/>
          <w:color w:val="auto"/>
          <w:sz w:val="24"/>
        </w:rPr>
      </w:pPr>
      <w:r>
        <w:rPr>
          <w:rFonts w:hint="eastAsia" w:ascii="宋体" w:hAnsi="宋体" w:cs="宋体"/>
          <w:bCs/>
          <w:color w:val="auto"/>
          <w:szCs w:val="21"/>
        </w:rPr>
        <w:t>19.2投标人完成电子投标文件上传后，</w:t>
      </w:r>
      <w:r>
        <w:rPr>
          <w:color w:val="auto"/>
          <w:sz w:val="24"/>
          <w:szCs w:val="24"/>
          <w:u w:val="single"/>
        </w:rPr>
        <w:t xml:space="preserve">        </w:t>
      </w:r>
      <w:r>
        <w:rPr>
          <w:rFonts w:hint="eastAsia" w:ascii="宋体" w:hAnsi="宋体" w:cs="宋体"/>
          <w:bCs/>
          <w:color w:val="auto"/>
          <w:szCs w:val="21"/>
        </w:rPr>
        <w:t>交易平台即时向投标人发出递交回执通知。递交时间以递交回执通知载明的传输完成时间为准</w:t>
      </w:r>
      <w:r>
        <w:rPr>
          <w:rFonts w:hint="eastAsia" w:ascii="宋体" w:hAnsi="宋体"/>
          <w:color w:val="auto"/>
          <w:sz w:val="24"/>
        </w:rPr>
        <w:t>。</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19.3逾期送达的电子投标文件</w:t>
      </w:r>
      <w:r>
        <w:rPr>
          <w:rFonts w:hint="eastAsia" w:ascii="宋体" w:hAnsi="宋体"/>
          <w:bCs/>
          <w:color w:val="auto"/>
          <w:sz w:val="24"/>
        </w:rPr>
        <w:t>，</w:t>
      </w:r>
      <w:r>
        <w:rPr>
          <w:color w:val="auto"/>
          <w:sz w:val="24"/>
          <w:szCs w:val="24"/>
          <w:u w:val="single"/>
        </w:rPr>
        <w:t xml:space="preserve">        </w:t>
      </w:r>
      <w:r>
        <w:rPr>
          <w:rFonts w:hint="eastAsia" w:ascii="宋体" w:hAnsi="宋体" w:cs="宋体"/>
          <w:bCs/>
          <w:color w:val="auto"/>
          <w:szCs w:val="21"/>
        </w:rPr>
        <w:t>交易平台将予以拒收。</w:t>
      </w:r>
    </w:p>
    <w:p>
      <w:pPr>
        <w:spacing w:line="360" w:lineRule="auto"/>
        <w:ind w:firstLine="420" w:firstLineChars="200"/>
        <w:rPr>
          <w:rFonts w:ascii="宋体"/>
          <w:color w:val="auto"/>
          <w:sz w:val="24"/>
        </w:rPr>
      </w:pPr>
      <w:r>
        <w:rPr>
          <w:rFonts w:hint="eastAsia" w:ascii="宋体" w:hAnsi="宋体" w:cs="宋体"/>
          <w:bCs/>
          <w:color w:val="auto"/>
          <w:szCs w:val="21"/>
        </w:rPr>
        <w:t>19.4 投标截止前，招标人拒绝接收符合条件的投标文件，投标人可向招标投标监督机构投诉</w:t>
      </w:r>
      <w:r>
        <w:rPr>
          <w:rFonts w:hint="eastAsia"/>
          <w:color w:val="auto"/>
          <w:sz w:val="24"/>
          <w:szCs w:val="24"/>
        </w:rPr>
        <w:t>。</w:t>
      </w:r>
    </w:p>
    <w:p>
      <w:pPr>
        <w:spacing w:line="360" w:lineRule="auto"/>
        <w:ind w:firstLine="420" w:firstLineChars="200"/>
        <w:rPr>
          <w:rFonts w:ascii="宋体" w:hAnsi="宋体"/>
          <w:color w:val="auto"/>
          <w:sz w:val="24"/>
        </w:rPr>
      </w:pPr>
      <w:r>
        <w:rPr>
          <w:rFonts w:hint="eastAsia" w:ascii="宋体" w:hAnsi="宋体" w:cs="宋体"/>
          <w:bCs/>
          <w:color w:val="auto"/>
          <w:szCs w:val="21"/>
        </w:rPr>
        <w:t>19.5如技术标和经济标先后分别开启，</w:t>
      </w:r>
      <w:r>
        <w:rPr>
          <w:color w:val="auto"/>
          <w:sz w:val="24"/>
          <w:szCs w:val="24"/>
          <w:u w:val="single"/>
        </w:rPr>
        <w:t xml:space="preserve">        </w:t>
      </w:r>
      <w:r>
        <w:rPr>
          <w:rFonts w:hint="eastAsia" w:ascii="宋体" w:hAnsi="宋体" w:cs="宋体"/>
          <w:bCs/>
          <w:color w:val="auto"/>
          <w:szCs w:val="21"/>
        </w:rPr>
        <w:t>交易平台将按招标文件规定的时间分别开启技术标和经济标。</w:t>
      </w:r>
    </w:p>
    <w:p>
      <w:pPr>
        <w:pStyle w:val="5"/>
        <w:spacing w:after="0" w:line="360" w:lineRule="auto"/>
        <w:ind w:firstLine="422" w:firstLineChars="200"/>
        <w:rPr>
          <w:rFonts w:ascii="宋体" w:hAnsi="宋体" w:cs="宋体"/>
          <w:b/>
          <w:bCs/>
          <w:color w:val="auto"/>
          <w:szCs w:val="21"/>
        </w:rPr>
      </w:pPr>
      <w:r>
        <w:rPr>
          <w:rFonts w:hint="eastAsia"/>
          <w:b/>
          <w:color w:val="auto"/>
          <w:szCs w:val="21"/>
        </w:rPr>
        <w:t>现文：</w:t>
      </w:r>
      <w:r>
        <w:rPr>
          <w:rFonts w:hint="eastAsia" w:ascii="宋体" w:hAnsi="宋体" w:cs="宋体"/>
          <w:b/>
          <w:bCs/>
          <w:color w:val="auto"/>
          <w:szCs w:val="21"/>
        </w:rPr>
        <w:t>18．</w:t>
      </w:r>
      <w:r>
        <w:rPr>
          <w:rFonts w:hint="eastAsia" w:ascii="宋体" w:hAnsi="宋体" w:cs="宋体"/>
          <w:b/>
          <w:color w:val="auto"/>
          <w:szCs w:val="21"/>
        </w:rPr>
        <w:t>投标文件的密封和标记</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18.1递交的电子投标文件（不含备用光盘）必须进行加密。按照交易平台关于</w:t>
      </w:r>
      <w:r>
        <w:rPr>
          <w:rFonts w:hint="eastAsia" w:ascii="宋体" w:hAnsi="宋体" w:cs="宋体"/>
          <w:color w:val="auto"/>
          <w:szCs w:val="21"/>
        </w:rPr>
        <w:t>全流程电子化项目的相关指南进行操作。详见：</w:t>
      </w:r>
      <w:r>
        <w:rPr>
          <w:rFonts w:hint="eastAsia" w:ascii="宋体" w:hAnsi="宋体" w:cs="宋体"/>
          <w:color w:val="auto"/>
          <w:szCs w:val="21"/>
          <w:u w:val="single"/>
        </w:rPr>
        <w:t>广州交易集团有限公司（广州公共资源交易中心）网站</w:t>
      </w:r>
      <w:r>
        <w:rPr>
          <w:rFonts w:hint="eastAsia" w:ascii="宋体" w:hAnsi="宋体" w:cs="宋体"/>
          <w:color w:val="auto"/>
          <w:szCs w:val="21"/>
        </w:rPr>
        <w:t xml:space="preserve">  。</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18.2 未按要求加密的投标文件，</w:t>
      </w:r>
      <w:r>
        <w:rPr>
          <w:rFonts w:hint="eastAsia" w:ascii="宋体" w:hAnsi="宋体" w:cs="宋体"/>
          <w:color w:val="auto"/>
          <w:szCs w:val="21"/>
          <w:u w:val="single"/>
        </w:rPr>
        <w:t>广州交易集团有限公司（广州公共资源交易中心）</w:t>
      </w:r>
      <w:r>
        <w:rPr>
          <w:rFonts w:hint="eastAsia" w:ascii="宋体" w:hAnsi="宋体" w:cs="宋体"/>
          <w:color w:val="auto"/>
          <w:szCs w:val="21"/>
        </w:rPr>
        <w:t>交易平台</w:t>
      </w:r>
      <w:r>
        <w:rPr>
          <w:rFonts w:hint="eastAsia" w:ascii="宋体" w:hAnsi="宋体" w:cs="宋体"/>
          <w:bCs/>
          <w:color w:val="auto"/>
          <w:szCs w:val="21"/>
        </w:rPr>
        <w:t>将予以拒收。</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19．投标文件的递交和接收</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19.1投标人通过</w:t>
      </w:r>
      <w:r>
        <w:rPr>
          <w:rFonts w:hint="eastAsia" w:ascii="宋体" w:hAnsi="宋体" w:cs="宋体"/>
          <w:color w:val="auto"/>
          <w:szCs w:val="21"/>
          <w:u w:val="single"/>
        </w:rPr>
        <w:t>广州交易集团有限公司（广州公共资源交易中心）</w:t>
      </w:r>
      <w:r>
        <w:rPr>
          <w:rFonts w:hint="eastAsia" w:ascii="宋体" w:hAnsi="宋体" w:cs="宋体"/>
          <w:color w:val="auto"/>
          <w:szCs w:val="21"/>
        </w:rPr>
        <w:t>交易平台递交电子投标文件。</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19.2投标人完成电子</w:t>
      </w:r>
      <w:r>
        <w:rPr>
          <w:rFonts w:hint="eastAsia" w:ascii="宋体" w:hAnsi="宋体" w:cs="宋体"/>
          <w:color w:val="auto"/>
          <w:szCs w:val="21"/>
        </w:rPr>
        <w:t>投标文件</w:t>
      </w:r>
      <w:r>
        <w:rPr>
          <w:rFonts w:hint="eastAsia" w:ascii="宋体" w:hAnsi="宋体" w:cs="宋体"/>
          <w:bCs/>
          <w:color w:val="auto"/>
          <w:szCs w:val="21"/>
        </w:rPr>
        <w:t>上传后，</w:t>
      </w:r>
      <w:r>
        <w:rPr>
          <w:rFonts w:hint="eastAsia" w:ascii="宋体" w:hAnsi="宋体" w:cs="宋体"/>
          <w:color w:val="auto"/>
          <w:szCs w:val="21"/>
          <w:u w:val="single"/>
        </w:rPr>
        <w:t>广州交易集团有限公司（广州公共资源交易中心）</w:t>
      </w:r>
      <w:r>
        <w:rPr>
          <w:rFonts w:hint="eastAsia" w:ascii="宋体" w:hAnsi="宋体" w:cs="宋体"/>
          <w:color w:val="auto"/>
          <w:szCs w:val="21"/>
        </w:rPr>
        <w:t>交易平台即时向投标人发出递交回执通知。递交时间以递交回执通知载明的传输完成时间为准。</w:t>
      </w:r>
    </w:p>
    <w:p>
      <w:pPr>
        <w:spacing w:line="360" w:lineRule="auto"/>
        <w:ind w:firstLine="420" w:firstLineChars="200"/>
        <w:rPr>
          <w:rFonts w:ascii="宋体" w:hAnsi="宋体" w:cs="宋体"/>
          <w:color w:val="auto"/>
          <w:szCs w:val="21"/>
        </w:rPr>
      </w:pPr>
      <w:r>
        <w:rPr>
          <w:rFonts w:hint="eastAsia" w:ascii="宋体" w:hAnsi="宋体" w:cs="宋体"/>
          <w:bCs/>
          <w:color w:val="auto"/>
          <w:szCs w:val="21"/>
        </w:rPr>
        <w:t>19.3逾期送达的电子投标文件，</w:t>
      </w:r>
      <w:r>
        <w:rPr>
          <w:rFonts w:hint="eastAsia" w:ascii="宋体" w:hAnsi="宋体" w:cs="宋体"/>
          <w:color w:val="auto"/>
          <w:szCs w:val="21"/>
          <w:u w:val="single"/>
        </w:rPr>
        <w:t xml:space="preserve">广州交易集团有限公司（广州公共资源交易中心） </w:t>
      </w:r>
      <w:r>
        <w:rPr>
          <w:rFonts w:hint="eastAsia" w:ascii="宋体" w:hAnsi="宋体" w:cs="宋体"/>
          <w:color w:val="auto"/>
          <w:szCs w:val="21"/>
        </w:rPr>
        <w:t>交易平台将予以拒收。</w:t>
      </w:r>
    </w:p>
    <w:p>
      <w:pPr>
        <w:pBdr>
          <w:bottom w:val="single" w:color="auto" w:sz="6" w:space="1"/>
        </w:pBdr>
        <w:spacing w:line="360" w:lineRule="auto"/>
        <w:ind w:firstLine="415" w:firstLineChars="198"/>
        <w:rPr>
          <w:color w:val="auto"/>
        </w:rPr>
      </w:pPr>
      <w:r>
        <w:rPr>
          <w:rFonts w:hint="eastAsia" w:ascii="宋体" w:hAnsi="宋体" w:cs="宋体"/>
          <w:color w:val="auto"/>
          <w:szCs w:val="21"/>
        </w:rPr>
        <w:t>19.4 投标截止前，招标人拒绝接收符合条件的投标文件，投标人可向招标投标监督机构投诉。</w:t>
      </w:r>
    </w:p>
    <w:p>
      <w:pPr>
        <w:spacing w:line="480" w:lineRule="auto"/>
        <w:ind w:firstLine="422" w:firstLineChars="200"/>
        <w:rPr>
          <w:b/>
          <w:color w:val="auto"/>
          <w:szCs w:val="21"/>
        </w:rPr>
      </w:pPr>
      <w:r>
        <w:rPr>
          <w:rFonts w:hint="eastAsia"/>
          <w:b/>
          <w:color w:val="auto"/>
          <w:szCs w:val="21"/>
        </w:rPr>
        <w:t>条款号：</w:t>
      </w:r>
      <w:r>
        <w:rPr>
          <w:rFonts w:hint="eastAsia" w:ascii="宋体" w:hAnsi="宋体" w:cs="宋体"/>
          <w:color w:val="auto"/>
          <w:szCs w:val="21"/>
        </w:rPr>
        <w:t>21.1</w:t>
      </w:r>
      <w:r>
        <w:rPr>
          <w:b/>
          <w:color w:val="auto"/>
          <w:szCs w:val="21"/>
        </w:rPr>
        <w:t xml:space="preserve">             </w:t>
      </w:r>
      <w:r>
        <w:rPr>
          <w:rFonts w:hint="eastAsia"/>
          <w:b/>
          <w:color w:val="auto"/>
          <w:szCs w:val="21"/>
        </w:rPr>
        <w:t>修改类型：修改</w:t>
      </w:r>
    </w:p>
    <w:p>
      <w:pPr>
        <w:spacing w:line="480" w:lineRule="auto"/>
        <w:ind w:firstLine="472" w:firstLineChars="224"/>
        <w:rPr>
          <w:b/>
          <w:color w:val="auto"/>
          <w:szCs w:val="21"/>
        </w:rPr>
      </w:pPr>
      <w:r>
        <w:rPr>
          <w:rFonts w:hint="eastAsia"/>
          <w:b/>
          <w:color w:val="auto"/>
          <w:szCs w:val="21"/>
        </w:rPr>
        <w:t>原文：</w:t>
      </w:r>
      <w:r>
        <w:rPr>
          <w:rFonts w:hint="eastAsia" w:ascii="宋体" w:hAnsi="宋体" w:cs="宋体"/>
          <w:color w:val="auto"/>
          <w:szCs w:val="21"/>
        </w:rPr>
        <w:t>21.1 本须知前附表第17项规定的投标截止时间后送达的电子投标文件，</w:t>
      </w:r>
      <w:r>
        <w:rPr>
          <w:rFonts w:hint="eastAsia" w:ascii="宋体" w:hAnsi="宋体" w:cs="宋体"/>
          <w:color w:val="auto"/>
          <w:szCs w:val="21"/>
          <w:u w:val="single"/>
        </w:rPr>
        <w:t xml:space="preserve">       </w:t>
      </w:r>
      <w:r>
        <w:rPr>
          <w:rFonts w:hint="eastAsia" w:ascii="宋体" w:hAnsi="宋体" w:cs="宋体"/>
          <w:color w:val="auto"/>
          <w:szCs w:val="21"/>
        </w:rPr>
        <w:t>交易平台将予以拒收。</w:t>
      </w:r>
    </w:p>
    <w:p>
      <w:pPr>
        <w:pBdr>
          <w:bottom w:val="single" w:color="auto" w:sz="6" w:space="1"/>
        </w:pBdr>
        <w:spacing w:line="360" w:lineRule="auto"/>
        <w:ind w:firstLine="417" w:firstLineChars="198"/>
        <w:rPr>
          <w:color w:val="auto"/>
        </w:rPr>
      </w:pPr>
      <w:r>
        <w:rPr>
          <w:rFonts w:hint="eastAsia"/>
          <w:b/>
          <w:color w:val="auto"/>
          <w:szCs w:val="21"/>
        </w:rPr>
        <w:t>现文：</w:t>
      </w:r>
      <w:r>
        <w:rPr>
          <w:rFonts w:hint="eastAsia" w:ascii="宋体" w:hAnsi="宋体" w:cs="宋体"/>
          <w:color w:val="auto"/>
          <w:szCs w:val="21"/>
        </w:rPr>
        <w:t>21.1 本须知前附表第17项规定的投标截止时间</w:t>
      </w:r>
      <w:r>
        <w:rPr>
          <w:rFonts w:hint="eastAsia" w:ascii="宋体" w:hAnsi="宋体" w:cs="宋体"/>
          <w:bCs/>
          <w:color w:val="auto"/>
          <w:szCs w:val="21"/>
        </w:rPr>
        <w:t>后送达的电子投标文件，</w:t>
      </w:r>
      <w:r>
        <w:rPr>
          <w:rFonts w:hint="eastAsia" w:ascii="宋体" w:hAnsi="宋体" w:cs="宋体"/>
          <w:color w:val="auto"/>
          <w:szCs w:val="21"/>
          <w:u w:val="single"/>
        </w:rPr>
        <w:t>广州交易集团有限公司（广州公共资源交易中心）</w:t>
      </w:r>
      <w:r>
        <w:rPr>
          <w:rFonts w:hint="eastAsia" w:ascii="宋体" w:hAnsi="宋体" w:cs="宋体"/>
          <w:color w:val="auto"/>
          <w:szCs w:val="21"/>
        </w:rPr>
        <w:t>交易平台将予以拒收。</w:t>
      </w:r>
    </w:p>
    <w:p>
      <w:pPr>
        <w:spacing w:line="480" w:lineRule="auto"/>
        <w:ind w:firstLine="422" w:firstLineChars="200"/>
        <w:rPr>
          <w:b/>
          <w:color w:val="auto"/>
          <w:szCs w:val="21"/>
        </w:rPr>
      </w:pPr>
      <w:r>
        <w:rPr>
          <w:rFonts w:hint="eastAsia"/>
          <w:b/>
          <w:color w:val="auto"/>
          <w:szCs w:val="21"/>
        </w:rPr>
        <w:t>条款号：</w:t>
      </w:r>
      <w:r>
        <w:rPr>
          <w:rFonts w:hint="eastAsia" w:ascii="宋体" w:hAnsi="宋体" w:cs="宋体"/>
          <w:color w:val="auto"/>
          <w:szCs w:val="21"/>
        </w:rPr>
        <w:t>27.1</w:t>
      </w:r>
      <w:r>
        <w:rPr>
          <w:b/>
          <w:color w:val="auto"/>
          <w:szCs w:val="21"/>
        </w:rPr>
        <w:t xml:space="preserve">             </w:t>
      </w:r>
      <w:r>
        <w:rPr>
          <w:rFonts w:hint="eastAsia"/>
          <w:b/>
          <w:color w:val="auto"/>
          <w:szCs w:val="21"/>
        </w:rPr>
        <w:t>修改类型：修改</w:t>
      </w:r>
    </w:p>
    <w:p>
      <w:pPr>
        <w:spacing w:line="360" w:lineRule="auto"/>
        <w:ind w:firstLine="422" w:firstLineChars="200"/>
        <w:rPr>
          <w:rFonts w:ascii="宋体"/>
          <w:color w:val="auto"/>
          <w:sz w:val="24"/>
        </w:rPr>
      </w:pPr>
      <w:r>
        <w:rPr>
          <w:rFonts w:hint="eastAsia"/>
          <w:b/>
          <w:color w:val="auto"/>
          <w:szCs w:val="21"/>
        </w:rPr>
        <w:t>原文：</w:t>
      </w:r>
      <w:r>
        <w:rPr>
          <w:rFonts w:hint="eastAsia" w:ascii="宋体" w:hAnsi="宋体" w:cs="宋体"/>
          <w:color w:val="auto"/>
          <w:szCs w:val="21"/>
        </w:rPr>
        <w:t>27.1招标人将在</w:t>
      </w:r>
      <w:r>
        <w:rPr>
          <w:color w:val="auto"/>
          <w:sz w:val="24"/>
          <w:szCs w:val="24"/>
          <w:u w:val="single"/>
        </w:rPr>
        <w:t xml:space="preserve">        </w:t>
      </w:r>
      <w:r>
        <w:rPr>
          <w:rFonts w:hint="eastAsia" w:ascii="宋体" w:hAnsi="宋体" w:cs="宋体"/>
          <w:color w:val="auto"/>
          <w:szCs w:val="21"/>
        </w:rPr>
        <w:t>交易平台、广东省招标投标监管网和中国招标投标公共服务平台公示中标候选人，公示期为三天。</w:t>
      </w:r>
    </w:p>
    <w:p>
      <w:pPr>
        <w:pBdr>
          <w:bottom w:val="single" w:color="auto" w:sz="6" w:space="1"/>
        </w:pBdr>
        <w:spacing w:line="360" w:lineRule="auto"/>
        <w:ind w:firstLine="422" w:firstLineChars="200"/>
        <w:rPr>
          <w:rFonts w:ascii="宋体" w:hAnsi="宋体" w:cs="宋体"/>
          <w:color w:val="auto"/>
          <w:szCs w:val="21"/>
          <w:u w:val="single"/>
        </w:rPr>
      </w:pPr>
      <w:r>
        <w:rPr>
          <w:rFonts w:hint="eastAsia"/>
          <w:b/>
          <w:color w:val="auto"/>
          <w:szCs w:val="21"/>
        </w:rPr>
        <w:t>现文：</w:t>
      </w:r>
      <w:r>
        <w:rPr>
          <w:rFonts w:hint="eastAsia" w:ascii="宋体" w:hAnsi="宋体" w:cs="宋体"/>
          <w:color w:val="auto"/>
          <w:szCs w:val="21"/>
        </w:rPr>
        <w:t>27.1招标人将在</w:t>
      </w:r>
      <w:r>
        <w:rPr>
          <w:rFonts w:hint="eastAsia" w:ascii="宋体" w:hAnsi="宋体" w:cs="宋体"/>
          <w:color w:val="auto"/>
          <w:kern w:val="0"/>
          <w:szCs w:val="21"/>
          <w:u w:val="single"/>
        </w:rPr>
        <w:t>广州交易集团有限公司（广州公共资源交易中心）交易平台、广东省招标投标监管网、广州市增城区人民政府门户网站（http://www.zc.gov.cn/）的“首页&gt;公开&gt;公共资源配置领域&gt;工程建设项目招投标”栏目等法定媒体网站发布</w:t>
      </w:r>
      <w:r>
        <w:rPr>
          <w:rFonts w:hint="eastAsia" w:ascii="宋体" w:hAnsi="宋体" w:cs="宋体"/>
          <w:color w:val="auto"/>
          <w:szCs w:val="21"/>
        </w:rPr>
        <w:t>公示中标候选人，公示期为三天。</w:t>
      </w:r>
      <w:r>
        <w:rPr>
          <w:rFonts w:hint="eastAsia" w:ascii="宋体" w:hAnsi="宋体"/>
          <w:b/>
          <w:bCs/>
          <w:color w:val="auto"/>
          <w:szCs w:val="21"/>
          <w:u w:val="single"/>
        </w:rPr>
        <w:t>注：投标人或其他利害关系人对评标结果有异议的，应当在中标候选人公示期间提出，人可以通过线下书面或线上的形式提出异议。选择线上异议方式的，应通过广交易建设工程电子交易系统进行，招标人也应通过广交易建设工程电子交易系统答复线上提交的异议。作出答复前，应当暂停招标投标活动。具体操作详见“广州交易集团有限公司《广州公共资源交易中心)门户网站首页-&gt;服务指南-&gt;系统帮助-操作手册-&gt;发起及受理异议操作指引”。</w:t>
      </w:r>
    </w:p>
    <w:p>
      <w:pPr>
        <w:spacing w:line="480" w:lineRule="auto"/>
        <w:ind w:firstLine="422" w:firstLineChars="200"/>
        <w:rPr>
          <w:b/>
          <w:color w:val="auto"/>
          <w:szCs w:val="21"/>
        </w:rPr>
      </w:pPr>
      <w:r>
        <w:rPr>
          <w:rFonts w:hint="eastAsia"/>
          <w:b/>
          <w:color w:val="auto"/>
          <w:szCs w:val="21"/>
        </w:rPr>
        <w:t>条款号：</w:t>
      </w:r>
      <w:r>
        <w:rPr>
          <w:rFonts w:hint="eastAsia" w:ascii="宋体" w:hAnsi="宋体" w:cs="宋体"/>
          <w:color w:val="auto"/>
          <w:szCs w:val="21"/>
        </w:rPr>
        <w:t>27.4</w:t>
      </w:r>
      <w:r>
        <w:rPr>
          <w:b/>
          <w:color w:val="auto"/>
          <w:szCs w:val="21"/>
        </w:rPr>
        <w:t xml:space="preserve">            </w:t>
      </w:r>
      <w:r>
        <w:rPr>
          <w:rFonts w:hint="eastAsia"/>
          <w:b/>
          <w:color w:val="auto"/>
          <w:szCs w:val="21"/>
        </w:rPr>
        <w:t>修改类型：修改</w:t>
      </w:r>
    </w:p>
    <w:p>
      <w:pPr>
        <w:spacing w:line="480" w:lineRule="auto"/>
        <w:ind w:firstLine="472" w:firstLineChars="224"/>
        <w:rPr>
          <w:b/>
          <w:color w:val="auto"/>
          <w:szCs w:val="21"/>
        </w:rPr>
      </w:pPr>
      <w:r>
        <w:rPr>
          <w:rFonts w:hint="eastAsia"/>
          <w:b/>
          <w:color w:val="auto"/>
          <w:szCs w:val="21"/>
        </w:rPr>
        <w:t>原文：</w:t>
      </w:r>
      <w:r>
        <w:rPr>
          <w:rFonts w:hint="eastAsia" w:ascii="宋体" w:hAnsi="宋体" w:cs="宋体"/>
          <w:color w:val="auto"/>
          <w:szCs w:val="21"/>
        </w:rPr>
        <w:t>27.4在产生中标候选人后，招标人将中标候选人的投标文件商务部分文件的所有内容（包括报价清单、人员、业绩、奖项等资料）在</w:t>
      </w:r>
      <w:r>
        <w:rPr>
          <w:color w:val="auto"/>
          <w:sz w:val="24"/>
          <w:szCs w:val="24"/>
          <w:u w:val="single"/>
        </w:rPr>
        <w:t xml:space="preserve">        </w:t>
      </w:r>
      <w:r>
        <w:rPr>
          <w:rFonts w:hint="eastAsia" w:ascii="宋体" w:hAnsi="宋体" w:cs="宋体"/>
          <w:color w:val="auto"/>
          <w:szCs w:val="21"/>
        </w:rPr>
        <w:t>交易平台和广东省招标投标监管网公开。</w:t>
      </w:r>
    </w:p>
    <w:p>
      <w:pPr>
        <w:pBdr>
          <w:bottom w:val="single" w:color="auto" w:sz="6" w:space="1"/>
        </w:pBdr>
        <w:spacing w:line="360" w:lineRule="auto"/>
        <w:ind w:firstLine="422" w:firstLineChars="200"/>
        <w:rPr>
          <w:color w:val="auto"/>
        </w:rPr>
      </w:pPr>
      <w:r>
        <w:rPr>
          <w:rFonts w:hint="eastAsia"/>
          <w:b/>
          <w:color w:val="auto"/>
          <w:szCs w:val="21"/>
        </w:rPr>
        <w:t>现文：</w:t>
      </w:r>
      <w:r>
        <w:rPr>
          <w:rFonts w:hint="eastAsia" w:ascii="宋体" w:hAnsi="宋体" w:cs="宋体"/>
          <w:color w:val="auto"/>
          <w:szCs w:val="21"/>
        </w:rPr>
        <w:t>27.4在产生中标候选人后，招标人将中标候选人的投标文件商务部分文件的所有内容（包括人员、业绩、奖项等资料）在</w:t>
      </w:r>
      <w:r>
        <w:rPr>
          <w:rFonts w:hint="eastAsia" w:ascii="宋体" w:hAnsi="宋体" w:cs="宋体"/>
          <w:color w:val="auto"/>
          <w:kern w:val="0"/>
          <w:szCs w:val="21"/>
          <w:u w:val="single"/>
        </w:rPr>
        <w:t>广州交易集团有限公司（广州公共资源交易中心）</w:t>
      </w:r>
      <w:r>
        <w:rPr>
          <w:rFonts w:hint="eastAsia" w:ascii="宋体" w:hAnsi="宋体" w:cs="宋体"/>
          <w:color w:val="auto"/>
          <w:szCs w:val="21"/>
        </w:rPr>
        <w:t>交易平台。</w:t>
      </w:r>
    </w:p>
    <w:p>
      <w:pPr>
        <w:spacing w:line="480" w:lineRule="auto"/>
        <w:ind w:firstLine="422" w:firstLineChars="200"/>
        <w:rPr>
          <w:b/>
          <w:color w:val="auto"/>
          <w:szCs w:val="21"/>
        </w:rPr>
      </w:pPr>
      <w:r>
        <w:rPr>
          <w:rFonts w:hint="eastAsia"/>
          <w:b/>
          <w:color w:val="auto"/>
          <w:szCs w:val="21"/>
        </w:rPr>
        <w:t>条款号：</w:t>
      </w:r>
      <w:r>
        <w:rPr>
          <w:rFonts w:hint="eastAsia" w:ascii="宋体" w:hAnsi="宋体" w:cs="宋体"/>
          <w:color w:val="auto"/>
          <w:szCs w:val="21"/>
        </w:rPr>
        <w:t>29.1</w:t>
      </w:r>
      <w:r>
        <w:rPr>
          <w:b/>
          <w:color w:val="auto"/>
          <w:szCs w:val="21"/>
        </w:rPr>
        <w:t xml:space="preserve">             </w:t>
      </w:r>
      <w:r>
        <w:rPr>
          <w:rFonts w:hint="eastAsia"/>
          <w:b/>
          <w:color w:val="auto"/>
          <w:szCs w:val="21"/>
        </w:rPr>
        <w:t>修改类型：修改</w:t>
      </w:r>
    </w:p>
    <w:p>
      <w:pPr>
        <w:snapToGrid w:val="0"/>
        <w:spacing w:line="360" w:lineRule="auto"/>
        <w:ind w:firstLine="422" w:firstLineChars="200"/>
        <w:rPr>
          <w:rFonts w:ascii="宋体"/>
          <w:color w:val="auto"/>
          <w:sz w:val="24"/>
        </w:rPr>
      </w:pPr>
      <w:r>
        <w:rPr>
          <w:rFonts w:hint="eastAsia"/>
          <w:b/>
          <w:color w:val="auto"/>
          <w:szCs w:val="21"/>
        </w:rPr>
        <w:t>原文：</w:t>
      </w:r>
      <w:r>
        <w:rPr>
          <w:rFonts w:hint="eastAsia" w:ascii="宋体" w:hAnsi="宋体" w:cs="宋体"/>
          <w:color w:val="auto"/>
          <w:szCs w:val="21"/>
        </w:rPr>
        <w:t>29.1 在收到中标通知书后的15日内，中标人应按本须知前附表第20项的规定向招标人提交履约担保。</w:t>
      </w:r>
    </w:p>
    <w:p>
      <w:pPr>
        <w:pBdr>
          <w:bottom w:val="single" w:color="auto" w:sz="6" w:space="1"/>
        </w:pBdr>
        <w:spacing w:line="360" w:lineRule="auto"/>
        <w:ind w:firstLine="422" w:firstLineChars="200"/>
        <w:rPr>
          <w:rFonts w:ascii="宋体" w:hAnsi="宋体" w:cs="宋体"/>
          <w:color w:val="auto"/>
          <w:szCs w:val="21"/>
        </w:rPr>
      </w:pPr>
      <w:r>
        <w:rPr>
          <w:rFonts w:hint="eastAsia"/>
          <w:b/>
          <w:color w:val="auto"/>
          <w:szCs w:val="21"/>
        </w:rPr>
        <w:t>现文：</w:t>
      </w:r>
      <w:r>
        <w:rPr>
          <w:rFonts w:hint="eastAsia" w:ascii="宋体" w:hAnsi="宋体" w:cs="宋体"/>
          <w:color w:val="auto"/>
          <w:szCs w:val="21"/>
          <w:u w:val="single"/>
        </w:rPr>
        <w:t>29.1 在申请支付预付款前，中标人应按本须知前附表第20项的规定向招标人提交履约担保。</w:t>
      </w:r>
    </w:p>
    <w:p>
      <w:pPr>
        <w:spacing w:line="480" w:lineRule="auto"/>
        <w:ind w:firstLine="422" w:firstLineChars="200"/>
        <w:rPr>
          <w:b/>
          <w:color w:val="auto"/>
          <w:szCs w:val="21"/>
        </w:rPr>
      </w:pPr>
      <w:r>
        <w:rPr>
          <w:rFonts w:hint="eastAsia"/>
          <w:b/>
          <w:color w:val="auto"/>
          <w:szCs w:val="21"/>
        </w:rPr>
        <w:t>条款号：</w:t>
      </w:r>
      <w:r>
        <w:rPr>
          <w:rFonts w:hint="eastAsia" w:ascii="宋体" w:hAnsi="宋体" w:cs="宋体"/>
          <w:color w:val="auto"/>
          <w:szCs w:val="21"/>
        </w:rPr>
        <w:t>29.2</w:t>
      </w:r>
      <w:r>
        <w:rPr>
          <w:rFonts w:hint="eastAsia" w:ascii="宋体" w:hAnsi="宋体" w:cs="宋体"/>
          <w:b/>
          <w:color w:val="auto"/>
          <w:szCs w:val="21"/>
        </w:rPr>
        <w:t xml:space="preserve"> </w:t>
      </w:r>
      <w:r>
        <w:rPr>
          <w:b/>
          <w:color w:val="auto"/>
          <w:szCs w:val="21"/>
        </w:rPr>
        <w:t xml:space="preserve">             </w:t>
      </w:r>
      <w:r>
        <w:rPr>
          <w:rFonts w:hint="eastAsia"/>
          <w:b/>
          <w:color w:val="auto"/>
          <w:szCs w:val="21"/>
        </w:rPr>
        <w:t>修改类型：修改</w:t>
      </w:r>
    </w:p>
    <w:p>
      <w:pPr>
        <w:snapToGrid w:val="0"/>
        <w:spacing w:line="360" w:lineRule="auto"/>
        <w:ind w:firstLine="422" w:firstLineChars="200"/>
        <w:rPr>
          <w:rFonts w:ascii="宋体" w:hAnsi="宋体" w:cs="宋体"/>
          <w:color w:val="auto"/>
          <w:szCs w:val="21"/>
        </w:rPr>
      </w:pPr>
      <w:r>
        <w:rPr>
          <w:rFonts w:hint="eastAsia"/>
          <w:b/>
          <w:color w:val="auto"/>
          <w:szCs w:val="21"/>
        </w:rPr>
        <w:t>原文：</w:t>
      </w:r>
      <w:r>
        <w:rPr>
          <w:rFonts w:hint="eastAsia" w:ascii="宋体" w:hAnsi="宋体" w:cs="宋体"/>
          <w:color w:val="auto"/>
          <w:szCs w:val="21"/>
        </w:rPr>
        <w:t>29.2中标通知书发出之日起15日后，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pBdr>
          <w:bottom w:val="single" w:color="auto" w:sz="6" w:space="1"/>
        </w:pBdr>
        <w:spacing w:line="360" w:lineRule="auto"/>
        <w:ind w:firstLine="422" w:firstLineChars="200"/>
        <w:rPr>
          <w:color w:val="auto"/>
        </w:rPr>
      </w:pPr>
      <w:r>
        <w:rPr>
          <w:rFonts w:hint="eastAsia"/>
          <w:b/>
          <w:color w:val="auto"/>
          <w:szCs w:val="21"/>
        </w:rPr>
        <w:t>现文：</w:t>
      </w:r>
      <w:r>
        <w:rPr>
          <w:rFonts w:hint="eastAsia" w:ascii="宋体" w:hAnsi="宋体" w:cs="宋体"/>
          <w:color w:val="auto"/>
          <w:szCs w:val="21"/>
        </w:rPr>
        <w:t>29.2</w:t>
      </w:r>
      <w:r>
        <w:rPr>
          <w:rFonts w:hint="eastAsia" w:ascii="宋体" w:hAnsi="宋体" w:cs="宋体"/>
          <w:color w:val="auto"/>
          <w:szCs w:val="21"/>
          <w:u w:val="single"/>
        </w:rPr>
        <w:t>在申请支付预付款前，中标人未按上款的规定提交履约担保，招标人将不予支付预付款</w:t>
      </w:r>
      <w:r>
        <w:rPr>
          <w:rFonts w:hint="eastAsia" w:ascii="宋体" w:hAnsi="宋体" w:cs="宋体"/>
          <w:color w:val="auto"/>
          <w:szCs w:val="21"/>
        </w:rPr>
        <w:t>。</w:t>
      </w:r>
    </w:p>
    <w:p>
      <w:pPr>
        <w:spacing w:line="480" w:lineRule="auto"/>
        <w:ind w:firstLine="422" w:firstLineChars="200"/>
        <w:rPr>
          <w:b/>
          <w:color w:val="auto"/>
          <w:szCs w:val="21"/>
        </w:rPr>
      </w:pPr>
      <w:r>
        <w:rPr>
          <w:rFonts w:hint="eastAsia"/>
          <w:b/>
          <w:color w:val="auto"/>
          <w:szCs w:val="21"/>
        </w:rPr>
        <w:t>条款号：</w:t>
      </w:r>
      <w:r>
        <w:rPr>
          <w:rFonts w:hint="eastAsia" w:ascii="宋体" w:hAnsi="宋体" w:cs="宋体"/>
          <w:color w:val="auto"/>
          <w:szCs w:val="21"/>
        </w:rPr>
        <w:t>30.1</w:t>
      </w:r>
      <w:r>
        <w:rPr>
          <w:b/>
          <w:color w:val="auto"/>
          <w:szCs w:val="21"/>
        </w:rPr>
        <w:t xml:space="preserve">             </w:t>
      </w:r>
      <w:r>
        <w:rPr>
          <w:rFonts w:hint="eastAsia"/>
          <w:b/>
          <w:color w:val="auto"/>
          <w:szCs w:val="21"/>
        </w:rPr>
        <w:t>修改类型：修改</w:t>
      </w:r>
    </w:p>
    <w:p>
      <w:pPr>
        <w:spacing w:line="360" w:lineRule="auto"/>
        <w:ind w:firstLine="422" w:firstLineChars="200"/>
        <w:rPr>
          <w:rFonts w:ascii="宋体"/>
          <w:color w:val="auto"/>
          <w:sz w:val="24"/>
        </w:rPr>
      </w:pPr>
      <w:r>
        <w:rPr>
          <w:rFonts w:hint="eastAsia"/>
          <w:b/>
          <w:color w:val="auto"/>
          <w:szCs w:val="21"/>
        </w:rPr>
        <w:t>原文：</w:t>
      </w:r>
      <w:r>
        <w:rPr>
          <w:rFonts w:hint="eastAsia" w:ascii="宋体" w:hAnsi="宋体" w:cs="宋体"/>
          <w:color w:val="auto"/>
          <w:szCs w:val="21"/>
        </w:rPr>
        <w:t>30.1在合同双方全权代表在合同协议书上签字，并分别加盖双方单位的公章后，合同正式生效。</w:t>
      </w:r>
    </w:p>
    <w:p>
      <w:pPr>
        <w:pBdr>
          <w:bottom w:val="single" w:color="auto" w:sz="6" w:space="1"/>
        </w:pBdr>
        <w:spacing w:line="360" w:lineRule="auto"/>
        <w:ind w:firstLine="422" w:firstLineChars="200"/>
        <w:rPr>
          <w:color w:val="auto"/>
        </w:rPr>
      </w:pPr>
      <w:r>
        <w:rPr>
          <w:rFonts w:hint="eastAsia"/>
          <w:b/>
          <w:color w:val="auto"/>
          <w:szCs w:val="21"/>
        </w:rPr>
        <w:t>现文：</w:t>
      </w:r>
      <w:r>
        <w:rPr>
          <w:rFonts w:hint="eastAsia" w:ascii="宋体" w:hAnsi="宋体" w:cs="宋体"/>
          <w:color w:val="auto"/>
          <w:szCs w:val="21"/>
        </w:rPr>
        <w:t>30.1</w:t>
      </w:r>
      <w:r>
        <w:rPr>
          <w:b/>
          <w:color w:val="auto"/>
          <w:szCs w:val="21"/>
        </w:rPr>
        <w:t xml:space="preserve"> </w:t>
      </w:r>
      <w:r>
        <w:rPr>
          <w:rFonts w:hint="eastAsia" w:ascii="宋体" w:hAnsi="宋体" w:cs="宋体"/>
          <w:color w:val="auto"/>
          <w:szCs w:val="21"/>
          <w:u w:val="single"/>
        </w:rPr>
        <w:t>合同自发包人、承包人双方法定代表人或委托代理人签字并加盖公章之日起生效。</w:t>
      </w:r>
    </w:p>
    <w:p>
      <w:pPr>
        <w:snapToGrid w:val="0"/>
        <w:spacing w:line="360" w:lineRule="auto"/>
        <w:ind w:firstLine="422" w:firstLineChars="200"/>
        <w:jc w:val="left"/>
        <w:rPr>
          <w:rFonts w:ascii="宋体" w:hAnsi="宋体" w:cs="宋体"/>
          <w:b/>
          <w:color w:val="auto"/>
          <w:szCs w:val="21"/>
        </w:rPr>
      </w:pPr>
      <w:r>
        <w:rPr>
          <w:rFonts w:hint="eastAsia" w:ascii="宋体" w:hAnsi="宋体" w:cs="宋体"/>
          <w:b/>
          <w:color w:val="auto"/>
          <w:szCs w:val="21"/>
        </w:rPr>
        <w:t>条款号：31.1           修改类型：增加</w:t>
      </w:r>
    </w:p>
    <w:p>
      <w:pPr>
        <w:pBdr>
          <w:bottom w:val="single" w:color="auto" w:sz="6" w:space="1"/>
        </w:pBdr>
        <w:spacing w:line="360" w:lineRule="auto"/>
        <w:ind w:firstLine="422" w:firstLineChars="200"/>
        <w:rPr>
          <w:rFonts w:ascii="宋体" w:hAnsi="宋体" w:cs="宋体"/>
          <w:color w:val="auto"/>
          <w:szCs w:val="21"/>
          <w:u w:val="single"/>
        </w:rPr>
      </w:pPr>
      <w:r>
        <w:rPr>
          <w:rFonts w:hint="eastAsia" w:ascii="宋体" w:hAnsi="宋体" w:cs="宋体"/>
          <w:b/>
          <w:color w:val="auto"/>
          <w:szCs w:val="21"/>
        </w:rPr>
        <w:t>现文：</w:t>
      </w:r>
      <w:r>
        <w:rPr>
          <w:rFonts w:hint="eastAsia" w:ascii="宋体" w:hAnsi="宋体" w:cs="宋体"/>
          <w:color w:val="auto"/>
          <w:szCs w:val="21"/>
          <w:u w:val="single"/>
        </w:rPr>
        <w:t>31.1根据广州市政府相关文件的规定，向广州交易集团有限公司（广州公共资源交易中心）交纳交易服务费。</w:t>
      </w:r>
    </w:p>
    <w:p>
      <w:pPr>
        <w:spacing w:line="480" w:lineRule="auto"/>
        <w:ind w:firstLine="422" w:firstLineChars="200"/>
        <w:rPr>
          <w:b/>
          <w:color w:val="auto"/>
          <w:szCs w:val="21"/>
        </w:rPr>
      </w:pPr>
      <w:r>
        <w:rPr>
          <w:rFonts w:hint="eastAsia"/>
          <w:b/>
          <w:color w:val="auto"/>
          <w:szCs w:val="21"/>
        </w:rPr>
        <w:t>条款号：</w:t>
      </w:r>
      <w:r>
        <w:rPr>
          <w:rFonts w:hint="eastAsia" w:ascii="宋体" w:hAnsi="宋体" w:cs="宋体"/>
          <w:color w:val="auto"/>
          <w:szCs w:val="21"/>
        </w:rPr>
        <w:t xml:space="preserve">32.3 </w:t>
      </w:r>
      <w:r>
        <w:rPr>
          <w:b/>
          <w:color w:val="auto"/>
          <w:szCs w:val="21"/>
        </w:rPr>
        <w:t xml:space="preserve">            </w:t>
      </w:r>
      <w:r>
        <w:rPr>
          <w:rFonts w:hint="eastAsia"/>
          <w:b/>
          <w:color w:val="auto"/>
          <w:szCs w:val="21"/>
        </w:rPr>
        <w:t>修改类型：修改</w:t>
      </w:r>
    </w:p>
    <w:p>
      <w:pPr>
        <w:spacing w:line="360" w:lineRule="auto"/>
        <w:ind w:firstLine="422" w:firstLineChars="200"/>
        <w:rPr>
          <w:rFonts w:ascii="宋体" w:hAnsi="宋体" w:cs="宋体"/>
          <w:color w:val="auto"/>
          <w:szCs w:val="21"/>
        </w:rPr>
      </w:pPr>
      <w:r>
        <w:rPr>
          <w:rFonts w:hint="eastAsia"/>
          <w:b/>
          <w:color w:val="auto"/>
          <w:szCs w:val="21"/>
        </w:rPr>
        <w:t>原文：</w:t>
      </w:r>
      <w:r>
        <w:rPr>
          <w:rFonts w:hint="eastAsia" w:ascii="宋体" w:hAnsi="宋体" w:cs="宋体"/>
          <w:color w:val="auto"/>
          <w:kern w:val="0"/>
          <w:szCs w:val="21"/>
        </w:rPr>
        <w:t>32.3 投标人如在本项目中存在串通投标、弄虚作假、行贿情形的，中标无效，行政监督部门将对其违法行为进行政处罚并通报。该投标人将被招标人列入黑名单并限制其参与招标人后续项目的投标。</w:t>
      </w:r>
    </w:p>
    <w:p>
      <w:pPr>
        <w:pBdr>
          <w:bottom w:val="single" w:color="auto" w:sz="6" w:space="1"/>
        </w:pBdr>
        <w:spacing w:line="360" w:lineRule="auto"/>
        <w:ind w:firstLine="422" w:firstLineChars="200"/>
        <w:rPr>
          <w:rFonts w:ascii="宋体" w:hAnsi="宋体" w:cs="宋体"/>
          <w:color w:val="auto"/>
          <w:kern w:val="0"/>
          <w:szCs w:val="21"/>
        </w:rPr>
      </w:pPr>
      <w:r>
        <w:rPr>
          <w:rFonts w:hint="eastAsia"/>
          <w:b/>
          <w:color w:val="auto"/>
          <w:szCs w:val="21"/>
        </w:rPr>
        <w:t>现文：</w:t>
      </w:r>
      <w:r>
        <w:rPr>
          <w:rFonts w:hint="eastAsia" w:ascii="宋体" w:hAnsi="宋体" w:cs="宋体"/>
          <w:color w:val="auto"/>
          <w:kern w:val="0"/>
          <w:szCs w:val="21"/>
        </w:rPr>
        <w:t>32.3投标人如在本项目中存在串通投标、弄虚作假骗取中标、行贿情形的，中标无效，行政监督部门将对其违法行为进行政处罚。该投标人将被招标人列入黑名单并限制其参与招标人后续项目的投标。</w:t>
      </w:r>
    </w:p>
    <w:p>
      <w:pPr>
        <w:spacing w:line="480" w:lineRule="auto"/>
        <w:ind w:firstLine="422" w:firstLineChars="200"/>
        <w:rPr>
          <w:b/>
          <w:color w:val="auto"/>
          <w:szCs w:val="21"/>
        </w:rPr>
      </w:pPr>
      <w:r>
        <w:rPr>
          <w:rFonts w:hint="eastAsia"/>
          <w:b/>
          <w:color w:val="auto"/>
          <w:szCs w:val="21"/>
        </w:rPr>
        <w:t>条款号：</w:t>
      </w:r>
      <w:r>
        <w:rPr>
          <w:rFonts w:hint="eastAsia" w:ascii="宋体" w:hAnsi="宋体" w:cs="宋体"/>
          <w:color w:val="auto"/>
          <w:szCs w:val="21"/>
        </w:rPr>
        <w:t xml:space="preserve">33 </w:t>
      </w:r>
      <w:r>
        <w:rPr>
          <w:b/>
          <w:color w:val="auto"/>
          <w:szCs w:val="21"/>
        </w:rPr>
        <w:t xml:space="preserve">            </w:t>
      </w:r>
      <w:r>
        <w:rPr>
          <w:rFonts w:hint="eastAsia"/>
          <w:b/>
          <w:color w:val="auto"/>
          <w:szCs w:val="21"/>
        </w:rPr>
        <w:t>修改类型：删除</w:t>
      </w:r>
    </w:p>
    <w:p>
      <w:pPr>
        <w:spacing w:line="360" w:lineRule="auto"/>
        <w:ind w:firstLine="422" w:firstLineChars="200"/>
        <w:rPr>
          <w:rFonts w:ascii="宋体" w:hAnsi="宋体" w:cs="宋体"/>
          <w:color w:val="auto"/>
          <w:kern w:val="0"/>
          <w:szCs w:val="21"/>
        </w:rPr>
      </w:pPr>
      <w:r>
        <w:rPr>
          <w:rFonts w:hint="eastAsia"/>
          <w:b/>
          <w:color w:val="auto"/>
          <w:szCs w:val="21"/>
        </w:rPr>
        <w:t>原文：</w:t>
      </w:r>
      <w:r>
        <w:rPr>
          <w:rFonts w:hint="eastAsia" w:ascii="宋体" w:hAnsi="宋体" w:cs="宋体"/>
          <w:color w:val="auto"/>
          <w:kern w:val="0"/>
          <w:szCs w:val="21"/>
        </w:rPr>
        <w:t>33. 投标人信誉的要求</w:t>
      </w:r>
    </w:p>
    <w:p>
      <w:pPr>
        <w:spacing w:line="360" w:lineRule="auto"/>
        <w:ind w:firstLine="420" w:firstLineChars="200"/>
        <w:rPr>
          <w:rFonts w:ascii="宋体" w:hAnsi="宋体" w:cs="宋体"/>
          <w:color w:val="auto"/>
          <w:szCs w:val="21"/>
        </w:rPr>
      </w:pPr>
      <w:r>
        <w:rPr>
          <w:rFonts w:hint="eastAsia" w:ascii="宋体" w:hAnsi="宋体" w:cs="宋体"/>
          <w:color w:val="auto"/>
          <w:szCs w:val="21"/>
        </w:rPr>
        <w:t>存在下列情形之一的，招标人可以限制其投标（需在招标文件中明确评定方法）</w:t>
      </w:r>
    </w:p>
    <w:p>
      <w:pPr>
        <w:spacing w:line="360" w:lineRule="auto"/>
        <w:ind w:firstLine="420" w:firstLineChars="200"/>
        <w:rPr>
          <w:rFonts w:ascii="宋体" w:hAnsi="宋体" w:cs="宋体"/>
          <w:color w:val="auto"/>
          <w:szCs w:val="21"/>
        </w:rPr>
      </w:pPr>
      <w:r>
        <w:rPr>
          <w:rFonts w:hint="eastAsia" w:ascii="宋体" w:hAnsi="宋体" w:cs="宋体"/>
          <w:color w:val="auto"/>
          <w:szCs w:val="21"/>
        </w:rPr>
        <w:t>（1）被住房城乡建设行政主管部门在全国建筑市场监管一体化工作平台列入建筑市场主体“黑名单”；</w:t>
      </w:r>
    </w:p>
    <w:p>
      <w:pPr>
        <w:pBdr>
          <w:bottom w:val="single" w:color="auto" w:sz="6" w:space="1"/>
        </w:pBdr>
        <w:spacing w:line="360" w:lineRule="auto"/>
        <w:ind w:firstLine="420" w:firstLineChars="200"/>
        <w:rPr>
          <w:rFonts w:ascii="宋体" w:hAnsi="宋体" w:cs="宋体"/>
          <w:color w:val="auto"/>
          <w:kern w:val="0"/>
          <w:szCs w:val="21"/>
        </w:rPr>
      </w:pPr>
      <w:r>
        <w:rPr>
          <w:rFonts w:hint="eastAsia" w:ascii="宋体" w:hAnsi="宋体" w:cs="宋体"/>
          <w:color w:val="auto"/>
          <w:szCs w:val="21"/>
        </w:rPr>
        <w:t>（2）被发改委、人力资源社会保障、质检总局等有关部门、单位在“信用中国”网站中列入联合惩戒失信黑名单。</w:t>
      </w:r>
    </w:p>
    <w:p>
      <w:pPr>
        <w:spacing w:line="360" w:lineRule="auto"/>
        <w:ind w:firstLine="211" w:firstLineChars="100"/>
        <w:rPr>
          <w:b/>
          <w:color w:val="auto"/>
          <w:szCs w:val="21"/>
        </w:rPr>
      </w:pPr>
      <w:r>
        <w:rPr>
          <w:rFonts w:hint="eastAsia"/>
          <w:b/>
          <w:color w:val="auto"/>
          <w:szCs w:val="21"/>
        </w:rPr>
        <w:t>注：以上修改，仅限于本范本中有可供选择条款的情形。</w:t>
      </w:r>
    </w:p>
    <w:p>
      <w:pPr>
        <w:spacing w:line="360" w:lineRule="auto"/>
        <w:rPr>
          <w:color w:val="auto"/>
        </w:rPr>
      </w:pPr>
      <w:r>
        <w:rPr>
          <w:rFonts w:hint="eastAsia"/>
          <w:b/>
          <w:color w:val="auto"/>
          <w:szCs w:val="21"/>
        </w:rPr>
        <w:t>（以下无正文）</w:t>
      </w:r>
    </w:p>
    <w:p>
      <w:pPr>
        <w:pStyle w:val="7"/>
        <w:rPr>
          <w:color w:val="auto"/>
        </w:rPr>
      </w:pPr>
      <w:r>
        <w:rPr>
          <w:color w:val="auto"/>
        </w:rPr>
        <w:br w:type="page"/>
      </w:r>
      <w:bookmarkStart w:id="8" w:name="_Toc2272548"/>
      <w:bookmarkStart w:id="9" w:name="_Toc7823"/>
      <w:r>
        <w:rPr>
          <w:rFonts w:hint="eastAsia"/>
          <w:color w:val="auto"/>
        </w:rPr>
        <w:t>三、投标须知通用条款</w:t>
      </w:r>
      <w:bookmarkEnd w:id="8"/>
      <w:bookmarkEnd w:id="9"/>
    </w:p>
    <w:p>
      <w:pPr>
        <w:pStyle w:val="8"/>
        <w:spacing w:before="156" w:beforeLines="50" w:beforeAutospacing="0" w:after="156" w:afterLines="50" w:afterAutospacing="0"/>
        <w:rPr>
          <w:color w:val="auto"/>
        </w:rPr>
      </w:pPr>
      <w:bookmarkStart w:id="10" w:name="_Toc31825"/>
      <w:bookmarkStart w:id="11" w:name="_Toc2272549"/>
      <w:r>
        <w:rPr>
          <w:rFonts w:hint="eastAsia"/>
          <w:color w:val="auto"/>
        </w:rPr>
        <w:t>（一）总则</w:t>
      </w:r>
      <w:bookmarkEnd w:id="10"/>
      <w:bookmarkEnd w:id="11"/>
    </w:p>
    <w:p>
      <w:pPr>
        <w:pStyle w:val="5"/>
        <w:spacing w:after="0" w:line="360" w:lineRule="auto"/>
        <w:ind w:firstLine="482" w:firstLineChars="200"/>
        <w:rPr>
          <w:rFonts w:ascii="宋体"/>
          <w:b/>
          <w:bCs/>
          <w:color w:val="auto"/>
          <w:sz w:val="24"/>
        </w:rPr>
      </w:pPr>
      <w:r>
        <w:rPr>
          <w:rFonts w:ascii="宋体" w:hAnsi="宋体"/>
          <w:b/>
          <w:bCs/>
          <w:color w:val="auto"/>
          <w:sz w:val="24"/>
        </w:rPr>
        <w:t>1</w:t>
      </w:r>
      <w:r>
        <w:rPr>
          <w:rFonts w:hint="eastAsia" w:ascii="宋体" w:hAnsi="宋体"/>
          <w:b/>
          <w:bCs/>
          <w:color w:val="auto"/>
          <w:sz w:val="24"/>
        </w:rPr>
        <w:t>、定义</w:t>
      </w:r>
    </w:p>
    <w:p>
      <w:pPr>
        <w:pStyle w:val="5"/>
        <w:spacing w:after="0" w:line="360" w:lineRule="auto"/>
        <w:ind w:firstLine="480" w:firstLineChars="200"/>
        <w:rPr>
          <w:rFonts w:ascii="宋体"/>
          <w:b/>
          <w:bCs/>
          <w:color w:val="auto"/>
          <w:sz w:val="24"/>
        </w:rPr>
      </w:pPr>
      <w:r>
        <w:rPr>
          <w:rFonts w:hint="eastAsia" w:ascii="宋体" w:hAnsi="宋体"/>
          <w:color w:val="auto"/>
          <w:sz w:val="24"/>
        </w:rPr>
        <w:t>本招标文件使用的下列词语具有如下规定的意义：</w:t>
      </w:r>
    </w:p>
    <w:p>
      <w:pPr>
        <w:pStyle w:val="5"/>
        <w:spacing w:after="0" w:line="360" w:lineRule="auto"/>
        <w:ind w:firstLine="480" w:firstLineChars="200"/>
        <w:rPr>
          <w:rFonts w:ascii="宋体"/>
          <w:b/>
          <w:bCs/>
          <w:color w:val="auto"/>
          <w:sz w:val="24"/>
          <w:u w:val="single"/>
        </w:rPr>
      </w:pPr>
      <w:r>
        <w:rPr>
          <w:rFonts w:hint="eastAsia" w:ascii="宋体" w:hAnsi="宋体"/>
          <w:color w:val="auto"/>
          <w:sz w:val="24"/>
        </w:rPr>
        <w:t>（</w:t>
      </w:r>
      <w:r>
        <w:rPr>
          <w:rFonts w:ascii="宋体" w:hAnsi="宋体"/>
          <w:color w:val="auto"/>
          <w:sz w:val="24"/>
        </w:rPr>
        <w:t>1</w:t>
      </w:r>
      <w:r>
        <w:rPr>
          <w:rFonts w:hint="eastAsia" w:ascii="宋体" w:hAnsi="宋体"/>
          <w:color w:val="auto"/>
          <w:sz w:val="24"/>
        </w:rPr>
        <w:t>）“招标人”（即发包人）、“项目建设管理单位</w:t>
      </w:r>
      <w:r>
        <w:rPr>
          <w:rFonts w:hint="eastAsia" w:ascii="宋体"/>
          <w:color w:val="auto"/>
          <w:sz w:val="24"/>
        </w:rPr>
        <w:t>”</w:t>
      </w:r>
      <w:r>
        <w:rPr>
          <w:rFonts w:hint="eastAsia" w:ascii="宋体" w:hAnsi="宋体"/>
          <w:color w:val="auto"/>
          <w:sz w:val="24"/>
        </w:rPr>
        <w:t>（或称“项目代建单位”）、“招标代理”、“设计单位”、“监理单位”均已在投标须知前附表中列明。</w:t>
      </w:r>
    </w:p>
    <w:p>
      <w:pPr>
        <w:pStyle w:val="5"/>
        <w:spacing w:after="0" w:line="360" w:lineRule="auto"/>
        <w:ind w:firstLine="480" w:firstLineChars="200"/>
        <w:rPr>
          <w:rFonts w:ascii="宋体"/>
          <w:color w:val="auto"/>
          <w:sz w:val="24"/>
          <w:u w:val="single"/>
        </w:rPr>
      </w:pPr>
      <w:r>
        <w:rPr>
          <w:rFonts w:hint="eastAsia" w:ascii="宋体" w:hAnsi="宋体"/>
          <w:color w:val="auto"/>
          <w:sz w:val="24"/>
        </w:rPr>
        <w:t>（</w:t>
      </w:r>
      <w:r>
        <w:rPr>
          <w:rFonts w:ascii="宋体" w:hAnsi="宋体"/>
          <w:color w:val="auto"/>
          <w:sz w:val="24"/>
        </w:rPr>
        <w:t>2</w:t>
      </w:r>
      <w:r>
        <w:rPr>
          <w:rFonts w:hint="eastAsia" w:ascii="宋体" w:hAnsi="宋体"/>
          <w:color w:val="auto"/>
          <w:sz w:val="24"/>
        </w:rPr>
        <w:t>）“投标人”指向招标人提交投标文件的当事人。</w:t>
      </w:r>
      <w:r>
        <w:rPr>
          <w:rFonts w:ascii="宋体" w:hAnsi="宋体"/>
          <w:color w:val="auto"/>
          <w:sz w:val="24"/>
        </w:rPr>
        <w:t xml:space="preserve">   </w:t>
      </w:r>
    </w:p>
    <w:p>
      <w:pPr>
        <w:pStyle w:val="5"/>
        <w:spacing w:after="0" w:line="360" w:lineRule="auto"/>
        <w:ind w:firstLine="480" w:firstLineChars="200"/>
        <w:rPr>
          <w:rFonts w:ascii="宋体"/>
          <w:color w:val="auto"/>
          <w:sz w:val="24"/>
        </w:rPr>
      </w:pPr>
      <w:r>
        <w:rPr>
          <w:rFonts w:hint="eastAsia" w:ascii="宋体" w:hAnsi="宋体"/>
          <w:color w:val="auto"/>
          <w:sz w:val="24"/>
        </w:rPr>
        <w:t>（</w:t>
      </w:r>
      <w:r>
        <w:rPr>
          <w:rFonts w:ascii="宋体" w:hAnsi="宋体"/>
          <w:color w:val="auto"/>
          <w:sz w:val="24"/>
        </w:rPr>
        <w:t>3</w:t>
      </w:r>
      <w:r>
        <w:rPr>
          <w:rFonts w:hint="eastAsia" w:ascii="宋体" w:hAnsi="宋体"/>
          <w:color w:val="auto"/>
          <w:sz w:val="24"/>
        </w:rPr>
        <w:t>）“承包人”指其投标被招标人接受并与其签订承包合同的当事人。</w:t>
      </w:r>
    </w:p>
    <w:p>
      <w:pPr>
        <w:pStyle w:val="5"/>
        <w:spacing w:after="0" w:line="360" w:lineRule="auto"/>
        <w:ind w:firstLine="480" w:firstLineChars="200"/>
        <w:rPr>
          <w:rFonts w:ascii="宋体"/>
          <w:color w:val="auto"/>
          <w:sz w:val="24"/>
          <w:u w:val="single"/>
        </w:rPr>
      </w:pPr>
      <w:r>
        <w:rPr>
          <w:rFonts w:hint="eastAsia" w:ascii="宋体" w:hAnsi="宋体"/>
          <w:color w:val="auto"/>
          <w:sz w:val="24"/>
        </w:rPr>
        <w:t>（</w:t>
      </w:r>
      <w:r>
        <w:rPr>
          <w:rFonts w:ascii="宋体" w:hAnsi="宋体"/>
          <w:color w:val="auto"/>
          <w:sz w:val="24"/>
        </w:rPr>
        <w:t>4</w:t>
      </w:r>
      <w:r>
        <w:rPr>
          <w:rFonts w:hint="eastAsia" w:ascii="宋体" w:hAnsi="宋体"/>
          <w:color w:val="auto"/>
          <w:sz w:val="24"/>
        </w:rPr>
        <w:t>）“招标文件”指由招标代理发出的本文件（包括全部章节、附件）及招标答疑会会议纪要和</w:t>
      </w:r>
      <w:r>
        <w:rPr>
          <w:rFonts w:hint="eastAsia" w:ascii="宋体" w:hAnsi="宋体"/>
          <w:bCs/>
          <w:color w:val="auto"/>
          <w:sz w:val="24"/>
        </w:rPr>
        <w:t>招标文件的澄清与修改</w:t>
      </w:r>
      <w:r>
        <w:rPr>
          <w:rFonts w:hint="eastAsia" w:ascii="宋体" w:hAnsi="宋体"/>
          <w:color w:val="auto"/>
          <w:sz w:val="24"/>
        </w:rPr>
        <w:t>文件。</w:t>
      </w:r>
    </w:p>
    <w:p>
      <w:pPr>
        <w:pStyle w:val="5"/>
        <w:spacing w:after="0" w:line="360" w:lineRule="auto"/>
        <w:ind w:firstLine="480" w:firstLineChars="200"/>
        <w:rPr>
          <w:rFonts w:ascii="宋体"/>
          <w:color w:val="auto"/>
          <w:sz w:val="24"/>
        </w:rPr>
      </w:pPr>
      <w:r>
        <w:rPr>
          <w:rFonts w:hint="eastAsia" w:ascii="宋体" w:hAnsi="宋体"/>
          <w:color w:val="auto"/>
          <w:sz w:val="24"/>
        </w:rPr>
        <w:t>（</w:t>
      </w:r>
      <w:r>
        <w:rPr>
          <w:rFonts w:ascii="宋体" w:hAnsi="宋体"/>
          <w:color w:val="auto"/>
          <w:sz w:val="24"/>
        </w:rPr>
        <w:t>5</w:t>
      </w:r>
      <w:r>
        <w:rPr>
          <w:rFonts w:hint="eastAsia" w:ascii="宋体" w:hAnsi="宋体"/>
          <w:color w:val="auto"/>
          <w:sz w:val="24"/>
        </w:rPr>
        <w:t>）“投标文件”指投标人根据本项目招标文件向招标人提交的全部文件。</w:t>
      </w:r>
    </w:p>
    <w:p>
      <w:pPr>
        <w:pStyle w:val="5"/>
        <w:spacing w:after="0" w:line="360" w:lineRule="auto"/>
        <w:ind w:firstLine="480" w:firstLineChars="200"/>
        <w:rPr>
          <w:rFonts w:ascii="宋体"/>
          <w:color w:val="auto"/>
          <w:sz w:val="24"/>
        </w:rPr>
      </w:pPr>
      <w:r>
        <w:rPr>
          <w:rFonts w:hint="eastAsia" w:ascii="宋体" w:hAnsi="宋体"/>
          <w:color w:val="auto"/>
          <w:sz w:val="24"/>
        </w:rPr>
        <w:t>（</w:t>
      </w:r>
      <w:r>
        <w:rPr>
          <w:rFonts w:ascii="宋体" w:hAnsi="宋体"/>
          <w:color w:val="auto"/>
          <w:sz w:val="24"/>
        </w:rPr>
        <w:t>6</w:t>
      </w:r>
      <w:r>
        <w:rPr>
          <w:rFonts w:hint="eastAsia" w:ascii="宋体" w:hAnsi="宋体"/>
          <w:color w:val="auto"/>
          <w:sz w:val="24"/>
        </w:rPr>
        <w:t>）“书面形式”指打字或印刷的文件和数据电文（包括电报、电传、传真、电子数据交换和电子邮件）。</w:t>
      </w:r>
    </w:p>
    <w:p>
      <w:pPr>
        <w:spacing w:line="360" w:lineRule="auto"/>
        <w:ind w:firstLine="482" w:firstLineChars="200"/>
        <w:rPr>
          <w:rFonts w:ascii="宋体"/>
          <w:b/>
          <w:color w:val="auto"/>
          <w:sz w:val="24"/>
        </w:rPr>
      </w:pPr>
      <w:r>
        <w:rPr>
          <w:rFonts w:ascii="宋体" w:hAnsi="宋体"/>
          <w:b/>
          <w:color w:val="auto"/>
          <w:sz w:val="24"/>
        </w:rPr>
        <w:t>2</w:t>
      </w:r>
      <w:r>
        <w:rPr>
          <w:rFonts w:hint="eastAsia" w:ascii="宋体" w:hAnsi="宋体"/>
          <w:b/>
          <w:color w:val="auto"/>
          <w:sz w:val="24"/>
        </w:rPr>
        <w:t>、招标说明</w:t>
      </w:r>
    </w:p>
    <w:p>
      <w:pPr>
        <w:spacing w:line="360" w:lineRule="auto"/>
        <w:ind w:firstLine="480" w:firstLineChars="200"/>
        <w:rPr>
          <w:rFonts w:ascii="宋体"/>
          <w:bCs/>
          <w:color w:val="auto"/>
          <w:sz w:val="24"/>
        </w:rPr>
      </w:pPr>
      <w:r>
        <w:rPr>
          <w:rFonts w:ascii="宋体" w:hAnsi="宋体"/>
          <w:bCs/>
          <w:color w:val="auto"/>
          <w:sz w:val="24"/>
        </w:rPr>
        <w:t>2.1</w:t>
      </w:r>
      <w:r>
        <w:rPr>
          <w:rFonts w:hint="eastAsia" w:ascii="宋体" w:hAnsi="宋体"/>
          <w:bCs/>
          <w:color w:val="auto"/>
          <w:sz w:val="24"/>
        </w:rPr>
        <w:t>本招标工程项目按照《中华人民共和国招标投标法》等有关法律、行政法规、规章和规范性文件，通过招标方式选定承包人。</w:t>
      </w:r>
    </w:p>
    <w:p>
      <w:pPr>
        <w:spacing w:line="360" w:lineRule="auto"/>
        <w:ind w:firstLine="480" w:firstLineChars="200"/>
        <w:rPr>
          <w:rFonts w:ascii="宋体"/>
          <w:bCs/>
          <w:color w:val="auto"/>
          <w:sz w:val="24"/>
        </w:rPr>
      </w:pPr>
      <w:r>
        <w:rPr>
          <w:rFonts w:ascii="宋体" w:hAnsi="宋体"/>
          <w:bCs/>
          <w:color w:val="auto"/>
          <w:sz w:val="24"/>
        </w:rPr>
        <w:t>2.2</w:t>
      </w:r>
      <w:r>
        <w:rPr>
          <w:rFonts w:hint="eastAsia" w:ascii="宋体" w:hAnsi="宋体"/>
          <w:bCs/>
          <w:color w:val="auto"/>
          <w:sz w:val="24"/>
        </w:rPr>
        <w:t>工程名称、建设地点、建设规模、承包方式、质量标准、招标范围、工期要求等均在投标须知前附表中列明。</w:t>
      </w:r>
    </w:p>
    <w:p>
      <w:pPr>
        <w:spacing w:line="360" w:lineRule="auto"/>
        <w:ind w:firstLine="480" w:firstLineChars="200"/>
        <w:rPr>
          <w:rFonts w:ascii="宋体"/>
          <w:bCs/>
          <w:color w:val="auto"/>
          <w:sz w:val="24"/>
        </w:rPr>
      </w:pPr>
      <w:r>
        <w:rPr>
          <w:rFonts w:ascii="宋体" w:hAnsi="宋体"/>
          <w:bCs/>
          <w:color w:val="auto"/>
          <w:sz w:val="24"/>
        </w:rPr>
        <w:t>2.3</w:t>
      </w:r>
      <w:r>
        <w:rPr>
          <w:rFonts w:hint="eastAsia" w:ascii="宋体" w:hAnsi="宋体"/>
          <w:bCs/>
          <w:color w:val="auto"/>
          <w:sz w:val="24"/>
        </w:rPr>
        <w:t>设计说明：详见招标图纸。</w:t>
      </w:r>
    </w:p>
    <w:p>
      <w:pPr>
        <w:spacing w:line="360" w:lineRule="auto"/>
        <w:ind w:firstLine="480" w:firstLineChars="200"/>
        <w:rPr>
          <w:rFonts w:ascii="宋体" w:hAnsi="宋体"/>
          <w:bCs/>
          <w:color w:val="auto"/>
          <w:sz w:val="24"/>
        </w:rPr>
      </w:pPr>
      <w:r>
        <w:rPr>
          <w:rFonts w:ascii="宋体" w:hAnsi="宋体"/>
          <w:bCs/>
          <w:color w:val="auto"/>
          <w:sz w:val="24"/>
        </w:rPr>
        <w:t>2.4</w:t>
      </w:r>
      <w:r>
        <w:rPr>
          <w:rFonts w:hint="eastAsia" w:ascii="宋体" w:hAnsi="宋体"/>
          <w:bCs/>
          <w:color w:val="auto"/>
          <w:sz w:val="24"/>
        </w:rPr>
        <w:t>工程施工特点：详见招标图纸。</w:t>
      </w:r>
    </w:p>
    <w:p>
      <w:pPr>
        <w:spacing w:line="360" w:lineRule="auto"/>
        <w:ind w:firstLine="480" w:firstLineChars="200"/>
        <w:rPr>
          <w:rFonts w:ascii="宋体" w:hAnsi="宋体"/>
          <w:bCs/>
          <w:color w:val="auto"/>
          <w:sz w:val="24"/>
        </w:rPr>
      </w:pPr>
      <w:r>
        <w:rPr>
          <w:rFonts w:hint="eastAsia" w:ascii="宋体" w:hAnsi="宋体"/>
          <w:bCs/>
          <w:color w:val="auto"/>
          <w:sz w:val="24"/>
          <w:u w:val="single"/>
        </w:rPr>
        <w:t>2.5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测工作。</w:t>
      </w:r>
    </w:p>
    <w:p>
      <w:pPr>
        <w:tabs>
          <w:tab w:val="left" w:pos="105"/>
        </w:tabs>
        <w:spacing w:line="360" w:lineRule="auto"/>
        <w:ind w:firstLine="482" w:firstLineChars="200"/>
        <w:rPr>
          <w:rFonts w:ascii="宋体"/>
          <w:b/>
          <w:color w:val="auto"/>
          <w:sz w:val="24"/>
        </w:rPr>
      </w:pPr>
      <w:r>
        <w:rPr>
          <w:rFonts w:ascii="宋体" w:hAnsi="宋体"/>
          <w:b/>
          <w:color w:val="auto"/>
          <w:sz w:val="24"/>
        </w:rPr>
        <w:t>3</w:t>
      </w:r>
      <w:r>
        <w:rPr>
          <w:rFonts w:hint="eastAsia" w:ascii="宋体" w:hAnsi="宋体"/>
          <w:b/>
          <w:color w:val="auto"/>
          <w:sz w:val="24"/>
        </w:rPr>
        <w:t>．资金来源</w:t>
      </w:r>
    </w:p>
    <w:p>
      <w:pPr>
        <w:spacing w:line="360" w:lineRule="auto"/>
        <w:ind w:firstLine="480" w:firstLineChars="200"/>
        <w:rPr>
          <w:rFonts w:ascii="宋体"/>
          <w:bCs/>
          <w:color w:val="auto"/>
          <w:sz w:val="24"/>
        </w:rPr>
      </w:pPr>
      <w:r>
        <w:rPr>
          <w:rFonts w:ascii="宋体" w:hAnsi="宋体"/>
          <w:bCs/>
          <w:color w:val="auto"/>
          <w:sz w:val="24"/>
        </w:rPr>
        <w:t>3.1</w:t>
      </w:r>
      <w:r>
        <w:rPr>
          <w:rFonts w:hint="eastAsia" w:ascii="宋体" w:hAnsi="宋体"/>
          <w:bCs/>
          <w:color w:val="auto"/>
          <w:sz w:val="24"/>
        </w:rPr>
        <w:t>本招标工程项目资金来源见投标须知前附表第</w:t>
      </w:r>
      <w:r>
        <w:rPr>
          <w:rFonts w:ascii="宋体" w:hAnsi="宋体"/>
          <w:bCs/>
          <w:color w:val="auto"/>
          <w:sz w:val="24"/>
        </w:rPr>
        <w:t>9</w:t>
      </w:r>
      <w:r>
        <w:rPr>
          <w:rFonts w:hint="eastAsia" w:ascii="宋体" w:hAnsi="宋体"/>
          <w:bCs/>
          <w:color w:val="auto"/>
          <w:sz w:val="24"/>
        </w:rPr>
        <w:t>项</w:t>
      </w:r>
    </w:p>
    <w:p>
      <w:pPr>
        <w:tabs>
          <w:tab w:val="left" w:pos="105"/>
        </w:tabs>
        <w:spacing w:line="360" w:lineRule="auto"/>
        <w:ind w:firstLine="482" w:firstLineChars="200"/>
        <w:rPr>
          <w:rFonts w:ascii="宋体"/>
          <w:b/>
          <w:color w:val="auto"/>
          <w:sz w:val="24"/>
        </w:rPr>
      </w:pPr>
      <w:r>
        <w:rPr>
          <w:rFonts w:ascii="宋体" w:hAnsi="宋体"/>
          <w:b/>
          <w:color w:val="auto"/>
          <w:sz w:val="24"/>
        </w:rPr>
        <w:t>4</w:t>
      </w:r>
      <w:r>
        <w:rPr>
          <w:rFonts w:hint="eastAsia" w:ascii="宋体" w:hAnsi="宋体"/>
          <w:b/>
          <w:color w:val="auto"/>
          <w:sz w:val="24"/>
        </w:rPr>
        <w:t>．合格投标人的条件</w:t>
      </w:r>
    </w:p>
    <w:p>
      <w:pPr>
        <w:spacing w:line="360" w:lineRule="auto"/>
        <w:ind w:firstLine="480" w:firstLineChars="200"/>
        <w:rPr>
          <w:rFonts w:ascii="宋体"/>
          <w:bCs/>
          <w:color w:val="auto"/>
          <w:sz w:val="24"/>
        </w:rPr>
      </w:pPr>
      <w:r>
        <w:rPr>
          <w:rFonts w:ascii="宋体" w:hAnsi="宋体"/>
          <w:bCs/>
          <w:color w:val="auto"/>
          <w:sz w:val="24"/>
        </w:rPr>
        <w:t>4.1</w:t>
      </w:r>
      <w:r>
        <w:rPr>
          <w:rFonts w:hint="eastAsia" w:ascii="宋体" w:hAnsi="宋体"/>
          <w:bCs/>
          <w:color w:val="auto"/>
          <w:sz w:val="24"/>
        </w:rPr>
        <w:t>详见本项目招标公告</w:t>
      </w:r>
    </w:p>
    <w:p>
      <w:pPr>
        <w:tabs>
          <w:tab w:val="left" w:pos="105"/>
        </w:tabs>
        <w:spacing w:line="360" w:lineRule="auto"/>
        <w:ind w:firstLine="482" w:firstLineChars="200"/>
        <w:rPr>
          <w:rFonts w:ascii="宋体"/>
          <w:b/>
          <w:color w:val="auto"/>
          <w:sz w:val="24"/>
        </w:rPr>
      </w:pPr>
      <w:r>
        <w:rPr>
          <w:rFonts w:ascii="宋体" w:hAnsi="宋体"/>
          <w:b/>
          <w:color w:val="auto"/>
          <w:sz w:val="24"/>
        </w:rPr>
        <w:t>5</w:t>
      </w:r>
      <w:r>
        <w:rPr>
          <w:rFonts w:hint="eastAsia" w:ascii="宋体" w:hAnsi="宋体"/>
          <w:b/>
          <w:color w:val="auto"/>
          <w:sz w:val="24"/>
        </w:rPr>
        <w:t>．踏勘现场</w:t>
      </w:r>
    </w:p>
    <w:p>
      <w:pPr>
        <w:spacing w:line="360" w:lineRule="auto"/>
        <w:ind w:firstLine="480" w:firstLineChars="200"/>
        <w:rPr>
          <w:rFonts w:ascii="宋体"/>
          <w:bCs/>
          <w:color w:val="auto"/>
          <w:sz w:val="24"/>
          <w:szCs w:val="24"/>
          <w:u w:val="single"/>
        </w:rPr>
      </w:pPr>
      <w:r>
        <w:rPr>
          <w:rFonts w:hint="eastAsia" w:ascii="宋体" w:hAnsi="宋体" w:cs="宋体"/>
          <w:color w:val="auto"/>
          <w:sz w:val="24"/>
          <w:szCs w:val="24"/>
        </w:rPr>
        <w:t>5.1投标人应按本投标须知前附表第15项所述时间和要求对工程现场及周围环境进行踏勘，投标人应充分重视和仔细地进行这种考察，以便投标人获取那些须投标人自己负责的有关编制投标文件和签署合同所涉及现场所有的资料，</w:t>
      </w:r>
      <w:r>
        <w:rPr>
          <w:rFonts w:hint="eastAsia" w:ascii="宋体" w:hAnsi="宋体"/>
          <w:color w:val="auto"/>
          <w:sz w:val="24"/>
          <w:szCs w:val="24"/>
          <w:u w:val="single"/>
        </w:rPr>
        <w:t>投标人不进行踏勘的，视为已熟知现场条件，自行承担相关风险</w:t>
      </w:r>
      <w:r>
        <w:rPr>
          <w:rFonts w:hint="eastAsia" w:ascii="宋体" w:hAnsi="宋体" w:cs="宋体"/>
          <w:color w:val="auto"/>
          <w:sz w:val="24"/>
          <w:szCs w:val="24"/>
        </w:rPr>
        <w:t>。一旦中标，这种考察即被认为其结果已在中标文件中得到充分反映。</w:t>
      </w:r>
      <w:r>
        <w:rPr>
          <w:rFonts w:hint="eastAsia" w:ascii="宋体" w:hAnsi="宋体" w:cs="宋体"/>
          <w:color w:val="auto"/>
          <w:sz w:val="24"/>
          <w:szCs w:val="24"/>
          <w:u w:val="single"/>
        </w:rPr>
        <w:t>招标人不受理因投标人缺乏对现场条件的了解或掌握而提出的任何索赔。</w:t>
      </w:r>
      <w:r>
        <w:rPr>
          <w:rFonts w:hint="eastAsia" w:ascii="宋体" w:hAnsi="宋体" w:cs="宋体"/>
          <w:color w:val="auto"/>
          <w:sz w:val="24"/>
          <w:szCs w:val="24"/>
        </w:rPr>
        <w:t>考察现场的费用由投标人自己承担。</w:t>
      </w:r>
    </w:p>
    <w:p>
      <w:pPr>
        <w:tabs>
          <w:tab w:val="left" w:pos="105"/>
        </w:tabs>
        <w:spacing w:line="360" w:lineRule="auto"/>
        <w:ind w:firstLine="480" w:firstLineChars="200"/>
        <w:rPr>
          <w:rFonts w:ascii="宋体"/>
          <w:bCs/>
          <w:color w:val="auto"/>
          <w:sz w:val="24"/>
        </w:rPr>
      </w:pPr>
      <w:r>
        <w:rPr>
          <w:rFonts w:ascii="宋体" w:hAnsi="宋体"/>
          <w:bCs/>
          <w:color w:val="auto"/>
          <w:sz w:val="24"/>
        </w:rPr>
        <w:t xml:space="preserve">5.2 </w:t>
      </w:r>
      <w:r>
        <w:rPr>
          <w:rFonts w:hint="eastAsia" w:ascii="宋体" w:hAnsi="宋体"/>
          <w:bCs/>
          <w:color w:val="auto"/>
          <w:sz w:val="24"/>
        </w:rPr>
        <w:t>招标人向投标人提供的有关现场的数据和资料，是招标人现有的能被投标人利用的资料，招标人对投标人做出的任何推论、理解和结论均不负责任。</w:t>
      </w:r>
    </w:p>
    <w:p>
      <w:pPr>
        <w:spacing w:line="360" w:lineRule="auto"/>
        <w:ind w:firstLine="480" w:firstLineChars="200"/>
        <w:rPr>
          <w:rFonts w:ascii="宋体"/>
          <w:bCs/>
          <w:color w:val="auto"/>
          <w:sz w:val="24"/>
        </w:rPr>
      </w:pPr>
      <w:r>
        <w:rPr>
          <w:rFonts w:ascii="宋体" w:hAnsi="宋体"/>
          <w:bCs/>
          <w:color w:val="auto"/>
          <w:sz w:val="24"/>
        </w:rPr>
        <w:t xml:space="preserve">5.3 </w:t>
      </w:r>
      <w:r>
        <w:rPr>
          <w:rFonts w:hint="eastAsia" w:ascii="宋体" w:hAnsi="宋体"/>
          <w:bCs/>
          <w:color w:val="auto"/>
          <w:sz w:val="24"/>
        </w:rPr>
        <w:t>经招标人允许，投标人可为踏勘目的进入招标人的项目现场。</w:t>
      </w:r>
      <w:r>
        <w:rPr>
          <w:rFonts w:hint="eastAsia" w:ascii="宋体" w:hAnsi="宋体"/>
          <w:color w:val="auto"/>
          <w:sz w:val="24"/>
        </w:rPr>
        <w:t>在考察过程中，投标人及其代表必须承担那些进入现场后，由于他们的行为所造成的人身伤害（不管是否致命）、财产损失或损坏，以及其他任何原因造成的损失、损坏或费用，</w:t>
      </w:r>
      <w:r>
        <w:rPr>
          <w:rFonts w:hint="eastAsia" w:ascii="宋体" w:hAnsi="宋体"/>
          <w:bCs/>
          <w:color w:val="auto"/>
          <w:sz w:val="24"/>
        </w:rPr>
        <w:t>投标人不得因此使招标人承担有关的责任和蒙受损失。</w:t>
      </w:r>
    </w:p>
    <w:p>
      <w:pPr>
        <w:tabs>
          <w:tab w:val="left" w:pos="105"/>
        </w:tabs>
        <w:spacing w:line="360" w:lineRule="auto"/>
        <w:ind w:firstLine="482" w:firstLineChars="200"/>
        <w:rPr>
          <w:rFonts w:ascii="宋体"/>
          <w:b/>
          <w:color w:val="auto"/>
          <w:sz w:val="24"/>
        </w:rPr>
      </w:pPr>
      <w:r>
        <w:rPr>
          <w:rFonts w:ascii="宋体" w:hAnsi="宋体"/>
          <w:b/>
          <w:color w:val="auto"/>
          <w:sz w:val="24"/>
        </w:rPr>
        <w:t>6</w:t>
      </w:r>
      <w:r>
        <w:rPr>
          <w:rFonts w:hint="eastAsia" w:ascii="宋体" w:hAnsi="宋体"/>
          <w:b/>
          <w:color w:val="auto"/>
          <w:sz w:val="24"/>
        </w:rPr>
        <w:t>．投标费用</w:t>
      </w:r>
    </w:p>
    <w:p>
      <w:pPr>
        <w:tabs>
          <w:tab w:val="left" w:pos="105"/>
        </w:tabs>
        <w:spacing w:line="360" w:lineRule="auto"/>
        <w:ind w:firstLine="480" w:firstLineChars="200"/>
        <w:rPr>
          <w:rFonts w:ascii="宋体"/>
          <w:bCs/>
          <w:color w:val="auto"/>
          <w:sz w:val="24"/>
        </w:rPr>
      </w:pPr>
      <w:r>
        <w:rPr>
          <w:rFonts w:ascii="宋体" w:hAnsi="宋体"/>
          <w:bCs/>
          <w:color w:val="auto"/>
          <w:sz w:val="24"/>
        </w:rPr>
        <w:t>6.1</w:t>
      </w:r>
      <w:r>
        <w:rPr>
          <w:rFonts w:hint="eastAsia" w:ascii="宋体" w:hAnsi="宋体"/>
          <w:color w:val="auto"/>
          <w:sz w:val="24"/>
        </w:rPr>
        <w:t>不论投标结果如何，投标人应承担</w:t>
      </w:r>
      <w:r>
        <w:rPr>
          <w:rFonts w:hint="eastAsia" w:ascii="宋体" w:hAnsi="宋体"/>
          <w:bCs/>
          <w:color w:val="auto"/>
          <w:sz w:val="24"/>
        </w:rPr>
        <w:t>自身</w:t>
      </w:r>
      <w:r>
        <w:rPr>
          <w:rFonts w:hint="eastAsia" w:ascii="宋体" w:hAnsi="宋体"/>
          <w:color w:val="auto"/>
          <w:sz w:val="24"/>
        </w:rPr>
        <w:t>因投标文件编制、递交及其他</w:t>
      </w:r>
      <w:r>
        <w:rPr>
          <w:rFonts w:hint="eastAsia" w:ascii="宋体" w:hAnsi="宋体"/>
          <w:bCs/>
          <w:color w:val="auto"/>
          <w:sz w:val="24"/>
        </w:rPr>
        <w:t>参加本招标活动</w:t>
      </w:r>
      <w:r>
        <w:rPr>
          <w:rFonts w:hint="eastAsia" w:ascii="宋体" w:hAnsi="宋体"/>
          <w:color w:val="auto"/>
          <w:sz w:val="24"/>
        </w:rPr>
        <w:t>所涉及的一切费用，招标人对上述费用不负任何责任。</w:t>
      </w:r>
    </w:p>
    <w:p>
      <w:pPr>
        <w:pStyle w:val="8"/>
        <w:spacing w:before="156" w:beforeLines="50" w:beforeAutospacing="0" w:after="156" w:afterLines="50" w:afterAutospacing="0"/>
        <w:rPr>
          <w:color w:val="auto"/>
        </w:rPr>
      </w:pPr>
      <w:bookmarkStart w:id="12" w:name="_Toc2272550"/>
      <w:bookmarkStart w:id="13" w:name="_Toc17290"/>
      <w:r>
        <w:rPr>
          <w:rFonts w:hint="eastAsia"/>
          <w:color w:val="auto"/>
        </w:rPr>
        <w:t>（二）招标文件</w:t>
      </w:r>
      <w:bookmarkEnd w:id="12"/>
      <w:bookmarkEnd w:id="13"/>
    </w:p>
    <w:p>
      <w:pPr>
        <w:tabs>
          <w:tab w:val="left" w:pos="105"/>
        </w:tabs>
        <w:spacing w:line="360" w:lineRule="auto"/>
        <w:ind w:firstLine="482" w:firstLineChars="200"/>
        <w:rPr>
          <w:rFonts w:ascii="宋体"/>
          <w:b/>
          <w:color w:val="auto"/>
          <w:sz w:val="24"/>
        </w:rPr>
      </w:pPr>
      <w:r>
        <w:rPr>
          <w:rFonts w:ascii="宋体" w:hAnsi="宋体"/>
          <w:b/>
          <w:color w:val="auto"/>
          <w:sz w:val="24"/>
        </w:rPr>
        <w:t>7.</w:t>
      </w:r>
      <w:r>
        <w:rPr>
          <w:rFonts w:hint="eastAsia" w:ascii="宋体" w:hAnsi="宋体"/>
          <w:b/>
          <w:color w:val="auto"/>
          <w:sz w:val="24"/>
        </w:rPr>
        <w:t>招标文件的组成</w:t>
      </w:r>
    </w:p>
    <w:p>
      <w:pPr>
        <w:spacing w:line="360" w:lineRule="auto"/>
        <w:ind w:firstLine="480" w:firstLineChars="200"/>
        <w:rPr>
          <w:rFonts w:ascii="宋体" w:hAnsi="宋体" w:cs="宋体"/>
          <w:color w:val="auto"/>
          <w:sz w:val="24"/>
          <w:szCs w:val="24"/>
        </w:rPr>
      </w:pPr>
      <w:r>
        <w:rPr>
          <w:rFonts w:hint="eastAsia" w:ascii="宋体" w:hAnsi="宋体" w:cs="宋体"/>
          <w:bCs/>
          <w:color w:val="auto"/>
          <w:sz w:val="24"/>
          <w:szCs w:val="24"/>
        </w:rPr>
        <w:t>7.1</w:t>
      </w:r>
      <w:r>
        <w:rPr>
          <w:rFonts w:hint="eastAsia" w:ascii="宋体" w:hAnsi="宋体" w:cs="宋体"/>
          <w:color w:val="auto"/>
          <w:sz w:val="24"/>
          <w:szCs w:val="24"/>
        </w:rPr>
        <w:t>本招标文件包括下列文件，以及所有按本须知第8条发出的招标答疑会会议纪要和按本须知第9条发出的澄清或修改：</w:t>
      </w:r>
    </w:p>
    <w:p>
      <w:pPr>
        <w:pStyle w:val="5"/>
        <w:spacing w:after="0" w:line="360" w:lineRule="auto"/>
        <w:ind w:left="-2" w:firstLine="480" w:firstLineChars="200"/>
        <w:rPr>
          <w:rFonts w:ascii="宋体" w:hAnsi="宋体" w:cs="宋体"/>
          <w:color w:val="auto"/>
          <w:sz w:val="24"/>
          <w:szCs w:val="24"/>
        </w:rPr>
      </w:pPr>
      <w:r>
        <w:rPr>
          <w:rFonts w:hint="eastAsia" w:ascii="宋体" w:hAnsi="宋体" w:cs="宋体"/>
          <w:bCs/>
          <w:color w:val="auto"/>
          <w:sz w:val="24"/>
          <w:szCs w:val="24"/>
        </w:rPr>
        <w:t xml:space="preserve">第一章  </w:t>
      </w:r>
      <w:r>
        <w:rPr>
          <w:rFonts w:hint="eastAsia" w:ascii="宋体" w:hAnsi="宋体" w:cs="宋体"/>
          <w:color w:val="auto"/>
          <w:sz w:val="24"/>
          <w:szCs w:val="24"/>
        </w:rPr>
        <w:t>投标须知</w:t>
      </w:r>
    </w:p>
    <w:p>
      <w:pPr>
        <w:pStyle w:val="5"/>
        <w:spacing w:after="0" w:line="360" w:lineRule="auto"/>
        <w:ind w:left="-2" w:firstLine="480" w:firstLineChars="200"/>
        <w:rPr>
          <w:rFonts w:ascii="宋体" w:hAnsi="宋体" w:cs="宋体"/>
          <w:color w:val="auto"/>
          <w:sz w:val="24"/>
          <w:szCs w:val="24"/>
        </w:rPr>
      </w:pPr>
      <w:r>
        <w:rPr>
          <w:rFonts w:hint="eastAsia" w:ascii="宋体" w:hAnsi="宋体" w:cs="宋体"/>
          <w:bCs/>
          <w:color w:val="auto"/>
          <w:sz w:val="24"/>
          <w:szCs w:val="24"/>
        </w:rPr>
        <w:t xml:space="preserve">第二章  </w:t>
      </w:r>
      <w:r>
        <w:rPr>
          <w:rFonts w:hint="eastAsia" w:ascii="宋体" w:hAnsi="宋体" w:cs="宋体"/>
          <w:color w:val="auto"/>
          <w:sz w:val="24"/>
          <w:szCs w:val="24"/>
        </w:rPr>
        <w:t>开标、评标及定标办法</w:t>
      </w:r>
    </w:p>
    <w:p>
      <w:pPr>
        <w:pStyle w:val="5"/>
        <w:spacing w:after="0" w:line="360" w:lineRule="auto"/>
        <w:ind w:left="-2" w:firstLine="480" w:firstLineChars="200"/>
        <w:rPr>
          <w:rFonts w:ascii="宋体" w:hAnsi="宋体" w:cs="宋体"/>
          <w:color w:val="auto"/>
          <w:sz w:val="24"/>
          <w:szCs w:val="24"/>
        </w:rPr>
      </w:pPr>
      <w:r>
        <w:rPr>
          <w:rFonts w:hint="eastAsia" w:ascii="宋体" w:hAnsi="宋体" w:cs="宋体"/>
          <w:color w:val="auto"/>
          <w:sz w:val="24"/>
          <w:szCs w:val="24"/>
        </w:rPr>
        <w:t>第三章  合同条款</w:t>
      </w:r>
    </w:p>
    <w:p>
      <w:pPr>
        <w:pStyle w:val="5"/>
        <w:spacing w:after="0" w:line="360" w:lineRule="auto"/>
        <w:ind w:firstLine="480" w:firstLineChars="200"/>
        <w:rPr>
          <w:rFonts w:ascii="宋体" w:hAnsi="宋体" w:cs="宋体"/>
          <w:color w:val="auto"/>
          <w:sz w:val="24"/>
          <w:szCs w:val="24"/>
        </w:rPr>
      </w:pPr>
      <w:r>
        <w:rPr>
          <w:rFonts w:hint="eastAsia" w:ascii="宋体" w:hAnsi="宋体" w:cs="宋体"/>
          <w:bCs/>
          <w:color w:val="auto"/>
          <w:sz w:val="24"/>
          <w:szCs w:val="24"/>
        </w:rPr>
        <w:t xml:space="preserve">第四章  </w:t>
      </w:r>
      <w:r>
        <w:rPr>
          <w:rFonts w:hint="eastAsia" w:ascii="宋体" w:hAnsi="宋体" w:cs="宋体"/>
          <w:color w:val="auto"/>
          <w:sz w:val="24"/>
          <w:szCs w:val="24"/>
        </w:rPr>
        <w:t>投标文件格式</w:t>
      </w:r>
    </w:p>
    <w:p>
      <w:pPr>
        <w:pStyle w:val="5"/>
        <w:spacing w:after="0" w:line="360" w:lineRule="auto"/>
        <w:ind w:left="-2" w:firstLine="480" w:firstLineChars="200"/>
        <w:rPr>
          <w:rFonts w:ascii="宋体" w:hAnsi="宋体" w:cs="宋体"/>
          <w:color w:val="auto"/>
          <w:sz w:val="24"/>
          <w:szCs w:val="24"/>
          <w:u w:val="single"/>
        </w:rPr>
      </w:pPr>
      <w:r>
        <w:rPr>
          <w:rFonts w:hint="eastAsia" w:ascii="宋体" w:hAnsi="宋体" w:cs="宋体"/>
          <w:bCs/>
          <w:color w:val="auto"/>
          <w:sz w:val="24"/>
          <w:szCs w:val="24"/>
          <w:u w:val="single"/>
        </w:rPr>
        <w:t xml:space="preserve">第五章  </w:t>
      </w:r>
      <w:r>
        <w:rPr>
          <w:rFonts w:hint="eastAsia" w:ascii="宋体" w:hAnsi="宋体" w:cs="宋体"/>
          <w:color w:val="auto"/>
          <w:sz w:val="24"/>
          <w:szCs w:val="24"/>
          <w:u w:val="single"/>
        </w:rPr>
        <w:t>技术条件（工程建设标准）</w:t>
      </w:r>
    </w:p>
    <w:p>
      <w:pPr>
        <w:pStyle w:val="5"/>
        <w:spacing w:after="0" w:line="360" w:lineRule="auto"/>
        <w:ind w:left="-2" w:firstLine="480" w:firstLineChars="200"/>
        <w:rPr>
          <w:rFonts w:ascii="宋体" w:hAnsi="宋体" w:cs="宋体"/>
          <w:color w:val="auto"/>
          <w:sz w:val="24"/>
          <w:szCs w:val="24"/>
        </w:rPr>
      </w:pPr>
      <w:r>
        <w:rPr>
          <w:rFonts w:hint="eastAsia" w:ascii="宋体" w:hAnsi="宋体" w:cs="宋体"/>
          <w:bCs/>
          <w:color w:val="auto"/>
          <w:sz w:val="24"/>
          <w:szCs w:val="24"/>
        </w:rPr>
        <w:t xml:space="preserve">第六章  </w:t>
      </w:r>
      <w:r>
        <w:rPr>
          <w:rFonts w:hint="eastAsia" w:ascii="宋体" w:hAnsi="宋体" w:cs="宋体"/>
          <w:color w:val="auto"/>
          <w:sz w:val="24"/>
          <w:szCs w:val="24"/>
        </w:rPr>
        <w:t>图纸及勘察资料（另册）</w:t>
      </w:r>
    </w:p>
    <w:p>
      <w:pPr>
        <w:pStyle w:val="5"/>
        <w:spacing w:after="0" w:line="360" w:lineRule="auto"/>
        <w:ind w:left="-2" w:firstLine="480" w:firstLineChars="200"/>
        <w:rPr>
          <w:rFonts w:ascii="宋体" w:hAnsi="宋体" w:cs="宋体"/>
          <w:color w:val="auto"/>
          <w:sz w:val="24"/>
          <w:szCs w:val="24"/>
        </w:rPr>
      </w:pPr>
      <w:r>
        <w:rPr>
          <w:rFonts w:hint="eastAsia" w:ascii="宋体" w:hAnsi="宋体" w:cs="宋体"/>
          <w:bCs/>
          <w:color w:val="auto"/>
          <w:sz w:val="24"/>
          <w:szCs w:val="24"/>
        </w:rPr>
        <w:t>第七章  招标</w:t>
      </w:r>
      <w:r>
        <w:rPr>
          <w:rFonts w:hint="eastAsia" w:ascii="宋体" w:hAnsi="宋体" w:cs="宋体"/>
          <w:color w:val="auto"/>
          <w:sz w:val="24"/>
          <w:szCs w:val="24"/>
        </w:rPr>
        <w:t xml:space="preserve">工程量清单（另册） </w:t>
      </w:r>
    </w:p>
    <w:p>
      <w:pPr>
        <w:pStyle w:val="5"/>
        <w:spacing w:after="0" w:line="360" w:lineRule="auto"/>
        <w:ind w:firstLine="480" w:firstLineChars="200"/>
        <w:rPr>
          <w:rFonts w:ascii="宋体" w:hAnsi="宋体" w:cs="宋体"/>
          <w:color w:val="auto"/>
          <w:sz w:val="24"/>
          <w:szCs w:val="24"/>
        </w:rPr>
      </w:pPr>
      <w:r>
        <w:rPr>
          <w:rFonts w:hint="eastAsia" w:ascii="宋体" w:hAnsi="宋体" w:cs="宋体"/>
          <w:color w:val="auto"/>
          <w:sz w:val="24"/>
          <w:szCs w:val="24"/>
        </w:rPr>
        <w:t>第八章  最高投标限价</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注：招标人应在技术条件（工程建设标准）中明确施工现场建筑垃圾源头减量的具体要求和建筑垃圾综合利用产品的使用要求。</w:t>
      </w:r>
    </w:p>
    <w:p>
      <w:pPr>
        <w:pStyle w:val="5"/>
        <w:spacing w:after="0" w:line="360" w:lineRule="auto"/>
        <w:ind w:firstLine="480" w:firstLineChars="200"/>
        <w:rPr>
          <w:rFonts w:ascii="宋体"/>
          <w:color w:val="auto"/>
          <w:sz w:val="24"/>
        </w:rPr>
      </w:pPr>
      <w:r>
        <w:rPr>
          <w:rFonts w:ascii="宋体" w:hAnsi="宋体"/>
          <w:color w:val="auto"/>
          <w:sz w:val="24"/>
        </w:rPr>
        <w:t xml:space="preserve">7.2 </w:t>
      </w:r>
      <w:r>
        <w:rPr>
          <w:rFonts w:hint="eastAsia" w:ascii="宋体" w:hAnsi="宋体"/>
          <w:color w:val="auto"/>
          <w:sz w:val="24"/>
        </w:rPr>
        <w:t>投标人获取招标文件后，应仔细检查招标文件的所有内容，认真审阅招标文件中所有的事项、格式、条款和规范要求等，若投标人的投标文件没有按招标文件要求提交全部资料，或投标文件实质上没有响应招标文件的要求，招标人将按评标办法的规定予以拒绝，并且不允许投标人通过修改或撤消其不符合要求的差异或保留使之成为具有响应性的投标文件。</w:t>
      </w:r>
    </w:p>
    <w:p>
      <w:pPr>
        <w:pStyle w:val="5"/>
        <w:spacing w:after="0" w:line="360" w:lineRule="auto"/>
        <w:ind w:firstLine="480" w:firstLineChars="200"/>
        <w:rPr>
          <w:rFonts w:ascii="宋体"/>
          <w:color w:val="auto"/>
          <w:sz w:val="24"/>
        </w:rPr>
      </w:pPr>
      <w:r>
        <w:rPr>
          <w:rFonts w:ascii="宋体" w:hAnsi="宋体"/>
          <w:color w:val="auto"/>
          <w:sz w:val="24"/>
        </w:rPr>
        <w:t xml:space="preserve">7.3 </w:t>
      </w:r>
      <w:r>
        <w:rPr>
          <w:rFonts w:hint="eastAsia" w:ascii="宋体" w:hAnsi="宋体"/>
          <w:color w:val="auto"/>
          <w:sz w:val="24"/>
        </w:rPr>
        <w:t>投标人一旦中标，招标文件的内容对招标人和中标人双方均有约束力。</w:t>
      </w:r>
    </w:p>
    <w:p>
      <w:pPr>
        <w:pStyle w:val="5"/>
        <w:spacing w:after="0" w:line="360" w:lineRule="auto"/>
        <w:ind w:firstLine="482" w:firstLineChars="200"/>
        <w:rPr>
          <w:rFonts w:ascii="宋体"/>
          <w:b/>
          <w:bCs/>
          <w:color w:val="auto"/>
          <w:sz w:val="24"/>
        </w:rPr>
      </w:pPr>
      <w:r>
        <w:rPr>
          <w:rFonts w:ascii="宋体" w:hAnsi="宋体"/>
          <w:b/>
          <w:bCs/>
          <w:color w:val="auto"/>
          <w:sz w:val="24"/>
        </w:rPr>
        <w:t>8</w:t>
      </w:r>
      <w:r>
        <w:rPr>
          <w:rFonts w:hint="eastAsia" w:ascii="宋体" w:hAnsi="宋体"/>
          <w:b/>
          <w:bCs/>
          <w:color w:val="auto"/>
          <w:sz w:val="24"/>
        </w:rPr>
        <w:t>．招标答疑</w:t>
      </w:r>
    </w:p>
    <w:p>
      <w:pPr>
        <w:pStyle w:val="5"/>
        <w:spacing w:after="0" w:line="360" w:lineRule="auto"/>
        <w:ind w:firstLine="480" w:firstLineChars="200"/>
        <w:rPr>
          <w:rFonts w:ascii="宋体"/>
          <w:color w:val="auto"/>
          <w:sz w:val="24"/>
          <w:u w:val="single"/>
        </w:rPr>
      </w:pPr>
      <w:r>
        <w:rPr>
          <w:rFonts w:hint="eastAsia" w:ascii="宋体"/>
          <w:color w:val="auto"/>
          <w:sz w:val="24"/>
          <w:u w:val="single"/>
        </w:rPr>
        <w:t>8.1招标答疑采用网上答疑方式进行。投标人若对招标文件（包括招标图纸、清单、招标控制价、合同条款）有疑问的，可在规定的时间内通过广州交易集团有限公司（广州公共资源交易中心）网站进入提问区域将问题提交给招标人或招标代理人，提交问题时一律不得署名。网上答疑的操作指南为：投标人登录交易中心数字交易平台，进入“我是投标人（供应商）”-&gt;“我的投标”-&gt;“招标答疑提问”查询项目并提问，具体操作方法交易平台关于全流程电子化项目的相关指南。</w:t>
      </w:r>
    </w:p>
    <w:p>
      <w:pPr>
        <w:pStyle w:val="5"/>
        <w:spacing w:after="0" w:line="360" w:lineRule="auto"/>
        <w:ind w:firstLine="480" w:firstLineChars="200"/>
        <w:rPr>
          <w:rFonts w:ascii="宋体"/>
          <w:color w:val="auto"/>
          <w:sz w:val="24"/>
          <w:u w:val="single"/>
        </w:rPr>
      </w:pPr>
      <w:r>
        <w:rPr>
          <w:rFonts w:hint="eastAsia" w:ascii="宋体"/>
          <w:color w:val="auto"/>
          <w:sz w:val="24"/>
          <w:u w:val="single"/>
        </w:rPr>
        <w:t>8.2招标答疑会会议纪要将在提交投标文件截止时间15日前在广州交易集团有限公司（广州公共资源交易中心）网站“项目答疑纪要”专区公开发布。答疑纪要一经在广州交易集团有限公司（广州公共资源交易中心）网站发布，视作已发放给所有投标人。</w:t>
      </w:r>
    </w:p>
    <w:p>
      <w:pPr>
        <w:pStyle w:val="5"/>
        <w:spacing w:after="0" w:line="360" w:lineRule="auto"/>
        <w:ind w:firstLine="480" w:firstLineChars="200"/>
        <w:rPr>
          <w:rFonts w:ascii="宋体"/>
          <w:color w:val="auto"/>
          <w:sz w:val="24"/>
        </w:rPr>
      </w:pPr>
      <w:r>
        <w:rPr>
          <w:rFonts w:ascii="宋体" w:hAnsi="宋体"/>
          <w:color w:val="auto"/>
          <w:sz w:val="24"/>
        </w:rPr>
        <w:t>8.3</w:t>
      </w:r>
      <w:r>
        <w:rPr>
          <w:rFonts w:hint="eastAsia" w:ascii="宋体" w:hAnsi="宋体"/>
          <w:color w:val="auto"/>
          <w:sz w:val="24"/>
        </w:rPr>
        <w:t>答疑会会议纪要为招标文件的一部分。</w:t>
      </w:r>
    </w:p>
    <w:p>
      <w:pPr>
        <w:pStyle w:val="5"/>
        <w:spacing w:after="0" w:line="360" w:lineRule="auto"/>
        <w:ind w:firstLine="480" w:firstLineChars="200"/>
        <w:rPr>
          <w:rFonts w:ascii="宋体" w:hAnsi="宋体" w:cs="宋体"/>
          <w:color w:val="auto"/>
          <w:szCs w:val="21"/>
        </w:rPr>
      </w:pPr>
      <w:r>
        <w:rPr>
          <w:rFonts w:hint="eastAsia" w:ascii="宋体"/>
          <w:color w:val="auto"/>
          <w:sz w:val="24"/>
          <w:u w:val="single"/>
        </w:rPr>
        <w:t>8.4若招标答疑纪要与招标文件有矛盾时，以广州交易集团有限公司（广州公共资源交易中心）交易平台最后发布的答疑纪要为准。</w:t>
      </w:r>
    </w:p>
    <w:p>
      <w:pPr>
        <w:pStyle w:val="5"/>
        <w:spacing w:after="0" w:line="360" w:lineRule="auto"/>
        <w:ind w:firstLine="482" w:firstLineChars="200"/>
        <w:rPr>
          <w:rFonts w:ascii="宋体"/>
          <w:b/>
          <w:bCs/>
          <w:color w:val="auto"/>
          <w:sz w:val="24"/>
        </w:rPr>
      </w:pPr>
      <w:r>
        <w:rPr>
          <w:rFonts w:ascii="宋体" w:hAnsi="宋体"/>
          <w:b/>
          <w:bCs/>
          <w:color w:val="auto"/>
          <w:sz w:val="24"/>
        </w:rPr>
        <w:t>9.</w:t>
      </w:r>
      <w:r>
        <w:rPr>
          <w:rFonts w:hint="eastAsia" w:ascii="宋体" w:hAnsi="宋体"/>
          <w:b/>
          <w:bCs/>
          <w:color w:val="auto"/>
          <w:sz w:val="24"/>
        </w:rPr>
        <w:t>招标文件的澄清与修改</w:t>
      </w:r>
    </w:p>
    <w:p>
      <w:pPr>
        <w:pStyle w:val="5"/>
        <w:spacing w:after="0" w:line="360" w:lineRule="auto"/>
        <w:ind w:firstLine="480" w:firstLineChars="200"/>
        <w:rPr>
          <w:rFonts w:ascii="宋体"/>
          <w:color w:val="auto"/>
          <w:sz w:val="24"/>
        </w:rPr>
      </w:pPr>
      <w:r>
        <w:rPr>
          <w:rFonts w:ascii="宋体" w:hAnsi="宋体"/>
          <w:color w:val="auto"/>
          <w:sz w:val="24"/>
        </w:rPr>
        <w:t>9.1</w:t>
      </w:r>
      <w:r>
        <w:rPr>
          <w:rFonts w:hint="eastAsia" w:ascii="宋体" w:hAnsi="宋体"/>
          <w:color w:val="auto"/>
          <w:sz w:val="24"/>
        </w:rPr>
        <w:t>招标文件发出后</w:t>
      </w:r>
      <w:r>
        <w:rPr>
          <w:rFonts w:ascii="宋体"/>
          <w:color w:val="auto"/>
          <w:sz w:val="24"/>
        </w:rPr>
        <w:t>,</w:t>
      </w:r>
      <w:r>
        <w:rPr>
          <w:rFonts w:hint="eastAsia" w:ascii="宋体" w:hAnsi="宋体"/>
          <w:color w:val="auto"/>
          <w:sz w:val="24"/>
        </w:rPr>
        <w:t>在提交投标文件截止时间15日前，招标人可对招标文件进行必要的澄清或修改。</w:t>
      </w:r>
    </w:p>
    <w:p>
      <w:pPr>
        <w:pStyle w:val="5"/>
        <w:spacing w:after="0" w:line="360" w:lineRule="auto"/>
        <w:ind w:firstLine="480" w:firstLineChars="200"/>
        <w:rPr>
          <w:rFonts w:ascii="宋体"/>
          <w:color w:val="auto"/>
          <w:sz w:val="24"/>
          <w:u w:val="single"/>
        </w:rPr>
      </w:pPr>
      <w:r>
        <w:rPr>
          <w:rFonts w:hint="eastAsia" w:ascii="宋体"/>
          <w:color w:val="auto"/>
          <w:sz w:val="24"/>
          <w:u w:val="single"/>
        </w:rPr>
        <w:t>9.2招标文件的澄清或修改将在广州交易集团有限公司（广州公共资源交易中心）网站“项目答疑纪要”专区公开发布。答疑纪要一经在广州交易集团有限公司（广州公共资源交易中心）网站发布，视作已发放给所有投标人，以广州交易集团有限公司（广州公共资源交易中心）网站发布时间作为送达时间。</w:t>
      </w:r>
    </w:p>
    <w:p>
      <w:pPr>
        <w:pStyle w:val="5"/>
        <w:spacing w:after="0" w:line="360" w:lineRule="auto"/>
        <w:ind w:firstLine="480" w:firstLineChars="200"/>
        <w:rPr>
          <w:rFonts w:ascii="宋体"/>
          <w:color w:val="auto"/>
          <w:sz w:val="24"/>
        </w:rPr>
      </w:pPr>
      <w:r>
        <w:rPr>
          <w:rFonts w:ascii="宋体" w:hAnsi="宋体"/>
          <w:color w:val="auto"/>
          <w:sz w:val="24"/>
        </w:rPr>
        <w:t>9.3</w:t>
      </w:r>
      <w:r>
        <w:rPr>
          <w:rFonts w:hint="eastAsia" w:ascii="宋体" w:hAnsi="宋体"/>
          <w:color w:val="auto"/>
          <w:sz w:val="24"/>
        </w:rPr>
        <w:t>招标文件的修改内容为招标文件的组成部分。</w:t>
      </w:r>
    </w:p>
    <w:p>
      <w:pPr>
        <w:pStyle w:val="5"/>
        <w:spacing w:after="0" w:line="360" w:lineRule="auto"/>
        <w:ind w:firstLine="480" w:firstLineChars="200"/>
        <w:rPr>
          <w:rFonts w:ascii="宋体"/>
          <w:color w:val="auto"/>
          <w:sz w:val="24"/>
          <w:u w:val="single"/>
        </w:rPr>
      </w:pPr>
      <w:r>
        <w:rPr>
          <w:rFonts w:hint="eastAsia" w:ascii="宋体"/>
          <w:color w:val="auto"/>
          <w:sz w:val="24"/>
          <w:u w:val="single"/>
        </w:rPr>
        <w:t>9.4招标文件的澄清或修改在广州交易集团有限公司（广州公共资源交易中心）网站“项目答疑纪要”专区公开发布。当招标文件的澄清、修改、补充等在同一内容的表述不一致时，以广州交易集团有限公司（广州公共资源交易中心）交易平台最后发布的内容为准。</w:t>
      </w:r>
    </w:p>
    <w:p>
      <w:pPr>
        <w:pStyle w:val="5"/>
        <w:spacing w:after="0" w:line="360" w:lineRule="auto"/>
        <w:ind w:firstLine="480" w:firstLineChars="200"/>
        <w:rPr>
          <w:rFonts w:ascii="宋体"/>
          <w:color w:val="auto"/>
          <w:sz w:val="24"/>
        </w:rPr>
      </w:pPr>
      <w:r>
        <w:rPr>
          <w:rFonts w:ascii="宋体" w:hAnsi="宋体"/>
          <w:color w:val="auto"/>
          <w:sz w:val="24"/>
        </w:rPr>
        <w:t>9.5</w:t>
      </w:r>
      <w:r>
        <w:rPr>
          <w:rFonts w:hint="eastAsia" w:ascii="宋体" w:hAnsi="宋体"/>
          <w:color w:val="auto"/>
          <w:sz w:val="24"/>
        </w:rPr>
        <w:t>为使投标人在编制投标文件时有充分的时间对招标文件的澄清或修改等内容考虑进去，招标人将酌情延长提交投标文件的截止时间，具体时间将在招标文件的澄清或修改中予以明确。若澄清或修改中没有明确延长时间，即表示投标时间不延长。</w:t>
      </w:r>
    </w:p>
    <w:p>
      <w:pPr>
        <w:pStyle w:val="8"/>
        <w:spacing w:before="156" w:beforeLines="50" w:beforeAutospacing="0" w:after="156" w:afterLines="50" w:afterAutospacing="0"/>
        <w:rPr>
          <w:color w:val="auto"/>
        </w:rPr>
      </w:pPr>
      <w:bookmarkStart w:id="14" w:name="_Toc28885"/>
      <w:bookmarkStart w:id="15" w:name="_Toc2272551"/>
      <w:r>
        <w:rPr>
          <w:rFonts w:hint="eastAsia"/>
          <w:color w:val="auto"/>
        </w:rPr>
        <w:t>（三）投标文件的编制</w:t>
      </w:r>
      <w:bookmarkEnd w:id="14"/>
      <w:bookmarkEnd w:id="15"/>
    </w:p>
    <w:p>
      <w:pPr>
        <w:pStyle w:val="5"/>
        <w:spacing w:after="0" w:line="360" w:lineRule="auto"/>
        <w:ind w:firstLine="482" w:firstLineChars="200"/>
        <w:rPr>
          <w:rFonts w:ascii="宋体"/>
          <w:b/>
          <w:bCs/>
          <w:color w:val="auto"/>
          <w:sz w:val="24"/>
        </w:rPr>
      </w:pPr>
      <w:r>
        <w:rPr>
          <w:rFonts w:ascii="宋体" w:hAnsi="宋体"/>
          <w:b/>
          <w:bCs/>
          <w:color w:val="auto"/>
          <w:sz w:val="24"/>
        </w:rPr>
        <w:t>10</w:t>
      </w:r>
      <w:r>
        <w:rPr>
          <w:rFonts w:hint="eastAsia" w:ascii="宋体" w:hAnsi="宋体"/>
          <w:b/>
          <w:bCs/>
          <w:color w:val="auto"/>
          <w:sz w:val="24"/>
        </w:rPr>
        <w:t>．投标文件的语言及度量衡单位</w:t>
      </w:r>
    </w:p>
    <w:p>
      <w:pPr>
        <w:pStyle w:val="5"/>
        <w:spacing w:after="0" w:line="360" w:lineRule="auto"/>
        <w:ind w:firstLine="480" w:firstLineChars="200"/>
        <w:rPr>
          <w:rFonts w:ascii="宋体"/>
          <w:color w:val="auto"/>
          <w:sz w:val="24"/>
        </w:rPr>
      </w:pPr>
      <w:r>
        <w:rPr>
          <w:rFonts w:ascii="宋体" w:hAnsi="宋体"/>
          <w:color w:val="auto"/>
          <w:sz w:val="24"/>
        </w:rPr>
        <w:t xml:space="preserve">10.1 </w:t>
      </w:r>
      <w:r>
        <w:rPr>
          <w:rFonts w:hint="eastAsia" w:ascii="宋体" w:hAnsi="宋体"/>
          <w:color w:val="auto"/>
          <w:sz w:val="24"/>
        </w:rPr>
        <w:t>投标文件和与投标有关的所有文件均应使用中文。</w:t>
      </w:r>
    </w:p>
    <w:p>
      <w:pPr>
        <w:pStyle w:val="5"/>
        <w:spacing w:after="0" w:line="360" w:lineRule="auto"/>
        <w:ind w:firstLine="480" w:firstLineChars="200"/>
        <w:rPr>
          <w:rFonts w:ascii="宋体"/>
          <w:color w:val="auto"/>
          <w:sz w:val="24"/>
        </w:rPr>
      </w:pPr>
      <w:r>
        <w:rPr>
          <w:rFonts w:ascii="宋体" w:hAnsi="宋体"/>
          <w:color w:val="auto"/>
          <w:sz w:val="24"/>
        </w:rPr>
        <w:t xml:space="preserve">10.2 </w:t>
      </w:r>
      <w:r>
        <w:rPr>
          <w:rFonts w:hint="eastAsia" w:ascii="宋体" w:hAnsi="宋体"/>
          <w:color w:val="auto"/>
          <w:sz w:val="24"/>
        </w:rPr>
        <w:t>除工程规范另有规定外，投标文件使用的度量衡单位，均采用中华人民共和国法定计量单位。</w:t>
      </w:r>
    </w:p>
    <w:p>
      <w:pPr>
        <w:pStyle w:val="5"/>
        <w:spacing w:after="0" w:line="360" w:lineRule="auto"/>
        <w:ind w:firstLine="482" w:firstLineChars="200"/>
        <w:rPr>
          <w:rFonts w:ascii="宋体"/>
          <w:b/>
          <w:bCs/>
          <w:color w:val="auto"/>
          <w:sz w:val="24"/>
        </w:rPr>
      </w:pPr>
      <w:r>
        <w:rPr>
          <w:rFonts w:ascii="宋体" w:hAnsi="宋体"/>
          <w:b/>
          <w:bCs/>
          <w:color w:val="auto"/>
          <w:sz w:val="24"/>
        </w:rPr>
        <w:t>11</w:t>
      </w:r>
      <w:r>
        <w:rPr>
          <w:rFonts w:hint="eastAsia" w:ascii="宋体" w:hAnsi="宋体"/>
          <w:b/>
          <w:bCs/>
          <w:color w:val="auto"/>
          <w:sz w:val="24"/>
        </w:rPr>
        <w:t>．投标文件的组成</w:t>
      </w:r>
    </w:p>
    <w:p>
      <w:pPr>
        <w:pStyle w:val="5"/>
        <w:spacing w:after="0" w:line="360" w:lineRule="auto"/>
        <w:ind w:firstLine="480" w:firstLineChars="200"/>
        <w:rPr>
          <w:rFonts w:ascii="宋体"/>
          <w:b/>
          <w:color w:val="auto"/>
          <w:sz w:val="24"/>
        </w:rPr>
      </w:pPr>
      <w:r>
        <w:rPr>
          <w:rFonts w:ascii="宋体" w:hAnsi="宋体"/>
          <w:color w:val="auto"/>
          <w:sz w:val="24"/>
        </w:rPr>
        <w:t xml:space="preserve">11.1 </w:t>
      </w:r>
      <w:r>
        <w:rPr>
          <w:rFonts w:hint="eastAsia" w:ascii="宋体" w:hAnsi="宋体"/>
          <w:color w:val="auto"/>
          <w:sz w:val="24"/>
        </w:rPr>
        <w:t>投标文件由技术部分（含资格审查文件）和经济部分二部分投标文件组成</w:t>
      </w:r>
      <w:r>
        <w:rPr>
          <w:rFonts w:hint="eastAsia" w:ascii="宋体" w:hAnsi="宋体"/>
          <w:b/>
          <w:color w:val="auto"/>
          <w:sz w:val="24"/>
        </w:rPr>
        <w:t>。</w:t>
      </w:r>
    </w:p>
    <w:p>
      <w:pPr>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u w:val="single"/>
        </w:rPr>
        <w:t>11.2投标文件技术标部分主要包括下列内容:</w:t>
      </w:r>
    </w:p>
    <w:p>
      <w:pPr>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u w:val="single"/>
        </w:rPr>
        <w:t>11.2.1 技术标投标书(按招标文件第四章附件一的要求填写)；</w:t>
      </w:r>
    </w:p>
    <w:p>
      <w:pPr>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u w:val="single"/>
        </w:rPr>
        <w:t>11.2.2 资格审查文件：</w:t>
      </w:r>
    </w:p>
    <w:p>
      <w:pPr>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u w:val="single"/>
        </w:rPr>
        <w:t xml:space="preserve">（1）投标人声明（须按本工程招标公告附件一格式）； </w:t>
      </w:r>
    </w:p>
    <w:p>
      <w:pPr>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u w:val="single"/>
        </w:rPr>
        <w:t>（2）法定代表人证明书、法定代表人签字或盖章的本投标文件授权委托证明书；</w:t>
      </w:r>
    </w:p>
    <w:p>
      <w:pPr>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u w:val="single"/>
        </w:rPr>
        <w:t>（3）企业营业执照（提供证书扫描件）；</w:t>
      </w:r>
    </w:p>
    <w:p>
      <w:pPr>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u w:val="single"/>
        </w:rPr>
        <w:t>（4）企业资质证书（提供证书扫描件）；</w:t>
      </w:r>
    </w:p>
    <w:p>
      <w:pPr>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u w:val="single"/>
        </w:rPr>
        <w:t>（5）建筑施工企业安全生产许可证（提供证书扫描件）；</w:t>
      </w:r>
    </w:p>
    <w:p>
      <w:pPr>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u w:val="single"/>
        </w:rPr>
        <w:t>（6）项目负责人（按网上投标登记时选择拟投标的项目负责人）；</w:t>
      </w:r>
    </w:p>
    <w:p>
      <w:pPr>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u w:val="single"/>
        </w:rPr>
        <w:t>（7）专职安全员（按网上投标登记时选择拟投标的专职安全员）；</w:t>
      </w:r>
    </w:p>
    <w:p>
      <w:pPr>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u w:val="single"/>
        </w:rPr>
        <w:t>（8）拟委托技术负责人的职称证书；</w:t>
      </w:r>
    </w:p>
    <w:p>
      <w:pPr>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u w:val="single"/>
        </w:rPr>
        <w:t xml:space="preserve">（9）拟委派项目负责人的建造师注册证书（提供证书扫描件）； </w:t>
      </w:r>
    </w:p>
    <w:p>
      <w:pPr>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u w:val="single"/>
        </w:rPr>
        <w:t>（10）项目负责人安全生产考核合格证（B类）或建筑施工企业项目负责人安全生产考核合格证扫描件；</w:t>
      </w:r>
    </w:p>
    <w:p>
      <w:pPr>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u w:val="single"/>
        </w:rPr>
        <w:t>（11）专职安全员须具有在有效期内的安全生产考核合格证（C类）或建筑施工企业专职安全生产管理人员安全生产考核合格证书（C3）（提供证书扫描件）；</w:t>
      </w:r>
    </w:p>
    <w:p>
      <w:pPr>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u w:val="single"/>
        </w:rPr>
        <w:t>（12）投标登记前，投标人须在广州交易集团有限公司（广州公共资源交易中心）办理企业信息登记及拟担任本工程项目负责人、专职安全员须是本企业信息登记信息中的在册人员。企业信息取自投标截止时间投标人在广州交易集团有限公司（广州公共资源交易中心）企业库内登记的信息，投标人无需提交相关资料，若招标人延长递交投标文件截止时间的，企业信息的评审时点也相应延长。（企业信息登记办理详见《施工类企业信息登记办事指引》，网址：http://ggzy.gz.gov.cn/qyxxd1/508420.jhtml）</w:t>
      </w:r>
    </w:p>
    <w:p>
      <w:pPr>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u w:val="single"/>
        </w:rPr>
        <w:t>11.2.3《施工</w:t>
      </w:r>
      <w:r>
        <w:rPr>
          <w:rFonts w:hint="eastAsia" w:ascii="宋体" w:hAnsi="宋体" w:cs="宋体"/>
          <w:color w:val="auto"/>
          <w:sz w:val="24"/>
          <w:szCs w:val="24"/>
          <w:u w:val="single"/>
          <w:lang w:val="zh-CN"/>
        </w:rPr>
        <w:t>项目管理团队人员信息表</w:t>
      </w:r>
      <w:r>
        <w:rPr>
          <w:rFonts w:hint="eastAsia" w:ascii="宋体" w:hAnsi="宋体" w:cs="宋体"/>
          <w:color w:val="auto"/>
          <w:sz w:val="24"/>
          <w:szCs w:val="24"/>
          <w:u w:val="single"/>
        </w:rPr>
        <w:t>》（格式见第四章）</w:t>
      </w:r>
      <w:r>
        <w:rPr>
          <w:rFonts w:hint="eastAsia" w:ascii="宋体" w:hAnsi="宋体" w:cs="宋体"/>
          <w:color w:val="auto"/>
          <w:sz w:val="24"/>
          <w:szCs w:val="24"/>
          <w:u w:val="single"/>
          <w:lang w:val="zh-CN"/>
        </w:rPr>
        <w:t>。</w:t>
      </w:r>
    </w:p>
    <w:p>
      <w:pPr>
        <w:spacing w:line="360" w:lineRule="auto"/>
        <w:ind w:firstLine="480" w:firstLineChars="200"/>
        <w:rPr>
          <w:rFonts w:ascii="宋体" w:hAnsi="宋体" w:cs="宋体"/>
          <w:color w:val="auto"/>
          <w:sz w:val="24"/>
          <w:szCs w:val="24"/>
          <w:u w:val="single"/>
          <w:lang w:val="zh-CN"/>
        </w:rPr>
      </w:pPr>
      <w:r>
        <w:rPr>
          <w:rFonts w:hint="eastAsia" w:ascii="宋体" w:hAnsi="宋体" w:cs="宋体"/>
          <w:color w:val="auto"/>
          <w:sz w:val="24"/>
          <w:szCs w:val="24"/>
          <w:u w:val="single"/>
          <w:lang w:val="zh-CN"/>
        </w:rPr>
        <w:t>11.2.4企业技术标得分证明材料（按《技术标详细审查评分表》要求提交，格式见第四章，无规定格式要求的，格式自拟）。</w:t>
      </w:r>
    </w:p>
    <w:p>
      <w:pPr>
        <w:spacing w:line="360" w:lineRule="auto"/>
        <w:ind w:firstLine="480" w:firstLineChars="200"/>
        <w:rPr>
          <w:rFonts w:ascii="宋体" w:hAnsi="宋体" w:cs="宋体"/>
          <w:color w:val="auto"/>
          <w:sz w:val="24"/>
          <w:szCs w:val="24"/>
          <w:u w:val="single"/>
          <w:lang w:val="zh-CN"/>
        </w:rPr>
      </w:pPr>
      <w:r>
        <w:rPr>
          <w:rFonts w:hint="eastAsia" w:ascii="宋体" w:hAnsi="宋体" w:cs="宋体"/>
          <w:color w:val="auto"/>
          <w:sz w:val="24"/>
          <w:szCs w:val="24"/>
          <w:u w:val="single"/>
          <w:lang w:val="zh-CN"/>
        </w:rPr>
        <w:t>11.2.</w:t>
      </w:r>
      <w:r>
        <w:rPr>
          <w:rFonts w:hint="eastAsia" w:ascii="宋体" w:hAnsi="宋体" w:cs="宋体"/>
          <w:color w:val="auto"/>
          <w:sz w:val="24"/>
          <w:szCs w:val="24"/>
          <w:u w:val="single"/>
        </w:rPr>
        <w:t>5</w:t>
      </w:r>
      <w:r>
        <w:rPr>
          <w:rFonts w:hint="eastAsia" w:ascii="宋体" w:hAnsi="宋体" w:cs="宋体"/>
          <w:color w:val="auto"/>
          <w:sz w:val="24"/>
          <w:szCs w:val="24"/>
          <w:u w:val="single"/>
          <w:lang w:val="zh-CN"/>
        </w:rPr>
        <w:t>按照招标文件要求填写的《参与编制技术标投标文件人员名单》（格式见第四章）。</w:t>
      </w:r>
    </w:p>
    <w:p>
      <w:pPr>
        <w:spacing w:line="360" w:lineRule="auto"/>
        <w:ind w:firstLine="480" w:firstLineChars="200"/>
        <w:rPr>
          <w:rFonts w:ascii="宋体" w:hAnsi="宋体" w:cs="宋体"/>
          <w:color w:val="auto"/>
          <w:sz w:val="24"/>
          <w:szCs w:val="24"/>
          <w:u w:val="single"/>
          <w:lang w:val="zh-CN"/>
        </w:rPr>
      </w:pPr>
      <w:r>
        <w:rPr>
          <w:rFonts w:hint="eastAsia" w:ascii="宋体" w:hAnsi="宋体" w:cs="宋体"/>
          <w:color w:val="auto"/>
          <w:sz w:val="24"/>
          <w:szCs w:val="24"/>
          <w:u w:val="single"/>
          <w:lang w:val="zh-CN"/>
        </w:rPr>
        <w:t>11.2.</w:t>
      </w:r>
      <w:r>
        <w:rPr>
          <w:rFonts w:hint="eastAsia" w:ascii="宋体" w:hAnsi="宋体" w:cs="宋体"/>
          <w:color w:val="auto"/>
          <w:sz w:val="24"/>
          <w:szCs w:val="24"/>
          <w:u w:val="single"/>
        </w:rPr>
        <w:t>6</w:t>
      </w:r>
      <w:r>
        <w:rPr>
          <w:rFonts w:hint="eastAsia" w:ascii="宋体" w:hAnsi="宋体" w:cs="宋体"/>
          <w:color w:val="auto"/>
          <w:sz w:val="24"/>
          <w:szCs w:val="24"/>
          <w:u w:val="single"/>
          <w:lang w:val="zh-CN"/>
        </w:rPr>
        <w:t>响应招标文件所附施工组织设计要点承诺书、关于主动参与建筑业结对帮扶的承诺函（格式见第四章）。</w:t>
      </w:r>
    </w:p>
    <w:p>
      <w:pPr>
        <w:spacing w:line="360" w:lineRule="auto"/>
        <w:ind w:firstLine="480" w:firstLineChars="200"/>
        <w:rPr>
          <w:rFonts w:ascii="宋体" w:hAnsi="宋体" w:cs="宋体"/>
          <w:color w:val="auto"/>
          <w:sz w:val="24"/>
          <w:szCs w:val="24"/>
          <w:u w:val="single"/>
          <w:lang w:val="zh-CN"/>
        </w:rPr>
      </w:pPr>
      <w:r>
        <w:rPr>
          <w:rFonts w:hint="eastAsia" w:ascii="宋体" w:hAnsi="宋体" w:cs="宋体"/>
          <w:color w:val="auto"/>
          <w:sz w:val="24"/>
          <w:szCs w:val="24"/>
          <w:u w:val="single"/>
          <w:lang w:val="zh-CN"/>
        </w:rPr>
        <w:t>11.2.</w:t>
      </w:r>
      <w:r>
        <w:rPr>
          <w:rFonts w:hint="eastAsia" w:ascii="宋体" w:hAnsi="宋体" w:cs="宋体"/>
          <w:color w:val="auto"/>
          <w:sz w:val="24"/>
          <w:szCs w:val="24"/>
          <w:u w:val="single"/>
        </w:rPr>
        <w:t>7</w:t>
      </w:r>
      <w:r>
        <w:rPr>
          <w:rFonts w:hint="eastAsia" w:ascii="宋体" w:hAnsi="宋体" w:cs="宋体"/>
          <w:color w:val="auto"/>
          <w:sz w:val="24"/>
          <w:szCs w:val="24"/>
          <w:u w:val="single"/>
          <w:lang w:val="zh-CN"/>
        </w:rPr>
        <w:t>危险性较大的分部分项工程清单及超过一定规模的危险性较大的分部分项工程清单（格式见第四章）。</w:t>
      </w:r>
    </w:p>
    <w:p>
      <w:pPr>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u w:val="single"/>
        </w:rPr>
        <w:t>11.2.8投标人认为应提供的其他资料。</w:t>
      </w:r>
    </w:p>
    <w:p>
      <w:pPr>
        <w:spacing w:line="360" w:lineRule="auto"/>
        <w:ind w:firstLine="480" w:firstLineChars="200"/>
        <w:rPr>
          <w:rFonts w:ascii="宋体"/>
          <w:bCs/>
          <w:color w:val="auto"/>
          <w:sz w:val="24"/>
        </w:rPr>
      </w:pPr>
      <w:r>
        <w:rPr>
          <w:rFonts w:ascii="宋体" w:hAnsi="宋体"/>
          <w:bCs/>
          <w:color w:val="auto"/>
          <w:sz w:val="24"/>
        </w:rPr>
        <w:t xml:space="preserve">11.3 </w:t>
      </w:r>
      <w:r>
        <w:rPr>
          <w:rFonts w:hint="eastAsia" w:ascii="宋体" w:hAnsi="宋体"/>
          <w:bCs/>
          <w:color w:val="auto"/>
          <w:sz w:val="24"/>
        </w:rPr>
        <w:t>经济部分投标文件主要包括下列内容：</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11.3.1 </w:t>
      </w:r>
      <w:r>
        <w:rPr>
          <w:rFonts w:hint="eastAsia" w:ascii="宋体" w:hAnsi="宋体" w:cs="宋体"/>
          <w:color w:val="auto"/>
          <w:sz w:val="24"/>
          <w:szCs w:val="24"/>
          <w:u w:val="single"/>
        </w:rPr>
        <w:t>经济标投标书</w:t>
      </w:r>
      <w:r>
        <w:rPr>
          <w:rFonts w:hint="eastAsia" w:ascii="宋体" w:hAnsi="宋体" w:cs="宋体"/>
          <w:color w:val="auto"/>
          <w:sz w:val="24"/>
          <w:szCs w:val="24"/>
        </w:rPr>
        <w:t>(按招标文件</w:t>
      </w:r>
      <w:r>
        <w:rPr>
          <w:rFonts w:hint="eastAsia" w:ascii="宋体" w:hAnsi="宋体" w:cs="宋体"/>
          <w:bCs/>
          <w:color w:val="auto"/>
          <w:sz w:val="24"/>
          <w:szCs w:val="24"/>
          <w:u w:val="single"/>
        </w:rPr>
        <w:t>第四章附件一</w:t>
      </w:r>
      <w:r>
        <w:rPr>
          <w:rFonts w:hint="eastAsia" w:ascii="宋体" w:hAnsi="宋体" w:cs="宋体"/>
          <w:color w:val="auto"/>
          <w:sz w:val="24"/>
          <w:szCs w:val="24"/>
        </w:rPr>
        <w:t>的要求填写)。</w:t>
      </w:r>
    </w:p>
    <w:p>
      <w:pPr>
        <w:tabs>
          <w:tab w:val="left" w:pos="1125"/>
        </w:tabs>
        <w:spacing w:line="360" w:lineRule="auto"/>
        <w:ind w:firstLine="480" w:firstLineChars="200"/>
        <w:rPr>
          <w:rFonts w:ascii="宋体" w:hAnsi="宋体"/>
          <w:color w:val="auto"/>
          <w:sz w:val="24"/>
        </w:rPr>
      </w:pPr>
      <w:r>
        <w:rPr>
          <w:rFonts w:ascii="宋体" w:hAnsi="宋体"/>
          <w:color w:val="auto"/>
          <w:sz w:val="24"/>
        </w:rPr>
        <w:t>11.3.2</w:t>
      </w:r>
      <w:r>
        <w:rPr>
          <w:rFonts w:hint="eastAsia" w:ascii="宋体" w:hAnsi="宋体"/>
          <w:color w:val="auto"/>
          <w:sz w:val="24"/>
        </w:rPr>
        <w:t xml:space="preserve">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其中包括如下： </w:t>
      </w:r>
    </w:p>
    <w:p>
      <w:pPr>
        <w:tabs>
          <w:tab w:val="left" w:pos="1125"/>
        </w:tabs>
        <w:spacing w:line="360" w:lineRule="auto"/>
        <w:ind w:firstLine="480" w:firstLineChars="200"/>
        <w:rPr>
          <w:rFonts w:ascii="宋体" w:hAnsi="宋体"/>
          <w:color w:val="auto"/>
          <w:sz w:val="24"/>
        </w:rPr>
      </w:pPr>
      <w:r>
        <w:rPr>
          <w:rFonts w:hint="eastAsia" w:ascii="宋体" w:hAnsi="宋体"/>
          <w:color w:val="auto"/>
          <w:sz w:val="24"/>
        </w:rPr>
        <w:t>（1）投标总价封面、扉页；</w:t>
      </w:r>
    </w:p>
    <w:p>
      <w:pPr>
        <w:tabs>
          <w:tab w:val="left" w:pos="1125"/>
        </w:tabs>
        <w:spacing w:line="360" w:lineRule="auto"/>
        <w:ind w:firstLine="480" w:firstLineChars="200"/>
        <w:rPr>
          <w:rFonts w:ascii="宋体" w:hAnsi="宋体"/>
          <w:color w:val="auto"/>
          <w:sz w:val="24"/>
        </w:rPr>
      </w:pPr>
      <w:r>
        <w:rPr>
          <w:rFonts w:hint="eastAsia" w:ascii="宋体" w:hAnsi="宋体"/>
          <w:color w:val="auto"/>
          <w:sz w:val="24"/>
        </w:rPr>
        <w:t>（2）总说明</w:t>
      </w:r>
    </w:p>
    <w:p>
      <w:pPr>
        <w:tabs>
          <w:tab w:val="left" w:pos="1125"/>
        </w:tabs>
        <w:spacing w:line="360" w:lineRule="auto"/>
        <w:ind w:firstLine="480" w:firstLineChars="200"/>
        <w:rPr>
          <w:rFonts w:ascii="宋体" w:hAnsi="宋体"/>
          <w:color w:val="auto"/>
          <w:sz w:val="24"/>
        </w:rPr>
      </w:pPr>
      <w:r>
        <w:rPr>
          <w:rFonts w:hint="eastAsia" w:ascii="宋体" w:hAnsi="宋体"/>
          <w:color w:val="auto"/>
          <w:sz w:val="24"/>
        </w:rPr>
        <w:t>（3）工程量清单报价表及综合单价分析表（相关表格的内容及格式要求以招标人发出的最新版电子招标文件中的相应内容及格式为准）.</w:t>
      </w:r>
    </w:p>
    <w:p>
      <w:pPr>
        <w:tabs>
          <w:tab w:val="left" w:pos="1125"/>
        </w:tabs>
        <w:spacing w:line="360" w:lineRule="auto"/>
        <w:ind w:firstLine="480" w:firstLineChars="200"/>
        <w:rPr>
          <w:rFonts w:ascii="宋体" w:hAnsi="宋体"/>
          <w:color w:val="auto"/>
          <w:sz w:val="24"/>
        </w:rPr>
      </w:pPr>
      <w:r>
        <w:rPr>
          <w:rFonts w:ascii="宋体" w:hAnsi="宋体"/>
          <w:color w:val="auto"/>
          <w:sz w:val="24"/>
        </w:rPr>
        <w:t>11.3.</w:t>
      </w:r>
      <w:r>
        <w:rPr>
          <w:rFonts w:hint="eastAsia" w:ascii="宋体" w:hAnsi="宋体"/>
          <w:color w:val="auto"/>
          <w:sz w:val="24"/>
        </w:rPr>
        <w:t>3按照</w:t>
      </w:r>
      <w:r>
        <w:rPr>
          <w:rFonts w:hint="eastAsia" w:ascii="宋体" w:hAnsi="宋体"/>
          <w:bCs/>
          <w:color w:val="auto"/>
          <w:sz w:val="24"/>
        </w:rPr>
        <w:t>招标文件要求</w:t>
      </w:r>
      <w:r>
        <w:rPr>
          <w:rFonts w:hint="eastAsia" w:ascii="宋体" w:hAnsi="宋体"/>
          <w:color w:val="auto"/>
          <w:sz w:val="24"/>
        </w:rPr>
        <w:t>填写的《参与编制经济标投标文件人员名单》。</w:t>
      </w:r>
    </w:p>
    <w:p>
      <w:pPr>
        <w:tabs>
          <w:tab w:val="left" w:pos="1125"/>
        </w:tabs>
        <w:spacing w:line="360" w:lineRule="auto"/>
        <w:ind w:firstLine="480" w:firstLineChars="200"/>
        <w:rPr>
          <w:rFonts w:ascii="宋体" w:hAnsi="宋体"/>
          <w:color w:val="auto"/>
          <w:sz w:val="24"/>
        </w:rPr>
      </w:pPr>
      <w:r>
        <w:rPr>
          <w:rFonts w:hint="eastAsia" w:ascii="宋体" w:hAnsi="宋体"/>
          <w:color w:val="auto"/>
          <w:sz w:val="24"/>
        </w:rPr>
        <w:t>11.3.4若投标人的投标报价低于工程成本警戒价的，投标人还须提供详细的施工组织设计、单价、措施性费用、单价分析表、主要材料价格表、投标人成本分析供评标委员会评审。</w:t>
      </w:r>
    </w:p>
    <w:p>
      <w:pPr>
        <w:pStyle w:val="35"/>
        <w:ind w:left="0" w:leftChars="0" w:firstLine="480"/>
        <w:rPr>
          <w:color w:val="auto"/>
          <w:u w:val="single"/>
        </w:rPr>
      </w:pPr>
      <w:r>
        <w:rPr>
          <w:rFonts w:hint="eastAsia" w:ascii="宋体" w:hAnsi="宋体"/>
          <w:color w:val="auto"/>
          <w:sz w:val="24"/>
          <w:szCs w:val="22"/>
          <w:u w:val="single"/>
        </w:rPr>
        <w:t>11.3.5</w:t>
      </w:r>
      <w:r>
        <w:rPr>
          <w:rFonts w:hint="eastAsia" w:ascii="宋体" w:hAnsi="宋体" w:cs="宋体"/>
          <w:color w:val="auto"/>
          <w:sz w:val="24"/>
          <w:u w:val="single"/>
        </w:rPr>
        <w:t>《对投标文件编制的承诺》及《投标文件编制情况》（格式见第四章）</w:t>
      </w:r>
      <w:r>
        <w:rPr>
          <w:rFonts w:hint="eastAsia" w:ascii="宋体" w:hAnsi="宋体" w:cs="宋体"/>
          <w:color w:val="auto"/>
          <w:szCs w:val="21"/>
          <w:u w:val="single"/>
        </w:rPr>
        <w:t>。</w:t>
      </w:r>
    </w:p>
    <w:p>
      <w:pPr>
        <w:pStyle w:val="5"/>
        <w:spacing w:after="0" w:line="360" w:lineRule="auto"/>
        <w:ind w:firstLine="482" w:firstLineChars="200"/>
        <w:rPr>
          <w:rFonts w:ascii="宋体"/>
          <w:b/>
          <w:bCs/>
          <w:color w:val="auto"/>
          <w:sz w:val="24"/>
        </w:rPr>
      </w:pPr>
      <w:r>
        <w:rPr>
          <w:rFonts w:ascii="宋体" w:hAnsi="宋体"/>
          <w:b/>
          <w:bCs/>
          <w:color w:val="auto"/>
          <w:sz w:val="24"/>
        </w:rPr>
        <w:t>12</w:t>
      </w:r>
      <w:r>
        <w:rPr>
          <w:rFonts w:hint="eastAsia" w:ascii="宋体" w:hAnsi="宋体"/>
          <w:b/>
          <w:bCs/>
          <w:color w:val="auto"/>
          <w:sz w:val="24"/>
        </w:rPr>
        <w:t>．投标文件格式</w:t>
      </w:r>
    </w:p>
    <w:p>
      <w:pPr>
        <w:pStyle w:val="5"/>
        <w:spacing w:after="0" w:line="360" w:lineRule="auto"/>
        <w:ind w:firstLine="480" w:firstLineChars="200"/>
        <w:rPr>
          <w:rFonts w:ascii="宋体" w:hAnsi="宋体"/>
          <w:color w:val="auto"/>
          <w:sz w:val="24"/>
        </w:rPr>
      </w:pPr>
      <w:r>
        <w:rPr>
          <w:rFonts w:ascii="宋体" w:hAnsi="宋体"/>
          <w:color w:val="auto"/>
          <w:sz w:val="24"/>
        </w:rPr>
        <w:t xml:space="preserve">12.1 </w:t>
      </w:r>
      <w:r>
        <w:rPr>
          <w:rFonts w:hint="eastAsia" w:ascii="宋体" w:hAnsi="宋体"/>
          <w:color w:val="auto"/>
          <w:sz w:val="24"/>
        </w:rPr>
        <w:t>投标文件包括本须知第</w:t>
      </w:r>
      <w:r>
        <w:rPr>
          <w:rFonts w:ascii="宋体" w:hAnsi="宋体"/>
          <w:color w:val="auto"/>
          <w:sz w:val="24"/>
        </w:rPr>
        <w:t>11</w:t>
      </w:r>
      <w:r>
        <w:rPr>
          <w:rFonts w:hint="eastAsia" w:ascii="宋体" w:hAnsi="宋体"/>
          <w:color w:val="auto"/>
          <w:sz w:val="24"/>
        </w:rPr>
        <w:t>条中规定的内容，投标人提交的投标文件应当使用招标文件所提供的投标文件全部格式（表格可以按同样格式扩展）。</w:t>
      </w:r>
    </w:p>
    <w:p>
      <w:pPr>
        <w:pStyle w:val="5"/>
        <w:spacing w:after="0"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u w:val="single"/>
        </w:rPr>
        <w:t>12.2 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全流程电子化项目的相关指南进行操作。详见：广州交易集团有限公司（广州公共资源交易中心）网站。</w:t>
      </w:r>
    </w:p>
    <w:p>
      <w:pPr>
        <w:pStyle w:val="5"/>
        <w:spacing w:after="0" w:line="360" w:lineRule="auto"/>
        <w:ind w:firstLine="480" w:firstLineChars="200"/>
        <w:rPr>
          <w:rFonts w:ascii="宋体" w:hAnsi="宋体"/>
          <w:color w:val="auto"/>
          <w:sz w:val="24"/>
        </w:rPr>
      </w:pPr>
      <w:r>
        <w:rPr>
          <w:rFonts w:hint="eastAsia" w:ascii="宋体" w:hAnsi="宋体" w:cs="宋体"/>
          <w:color w:val="auto"/>
          <w:sz w:val="24"/>
          <w:szCs w:val="24"/>
        </w:rPr>
        <w:t xml:space="preserve">12.3 </w:t>
      </w:r>
      <w:r>
        <w:rPr>
          <w:rFonts w:hint="eastAsia" w:ascii="宋体" w:hAnsi="宋体" w:cs="宋体"/>
          <w:bCs/>
          <w:color w:val="auto"/>
          <w:sz w:val="24"/>
          <w:szCs w:val="24"/>
        </w:rPr>
        <w:t>投标文件应按</w:t>
      </w:r>
      <w:r>
        <w:rPr>
          <w:rFonts w:hint="eastAsia" w:ascii="宋体" w:hAnsi="宋体" w:cs="宋体"/>
          <w:color w:val="auto"/>
          <w:sz w:val="24"/>
          <w:szCs w:val="24"/>
        </w:rPr>
        <w:t>照交易平台关于全流程电子化项目的相关指南进行编制，详见：</w:t>
      </w:r>
      <w:r>
        <w:rPr>
          <w:rFonts w:hint="eastAsia" w:ascii="宋体" w:hAnsi="宋体" w:cs="宋体"/>
          <w:color w:val="auto"/>
          <w:sz w:val="24"/>
          <w:szCs w:val="24"/>
          <w:u w:val="single"/>
        </w:rPr>
        <w:t>广州交易集团有限公司（广州公共资源交易中心）网站</w:t>
      </w:r>
      <w:r>
        <w:rPr>
          <w:rFonts w:hint="eastAsia" w:ascii="宋体" w:hAnsi="宋体" w:cs="宋体"/>
          <w:color w:val="auto"/>
          <w:sz w:val="24"/>
          <w:szCs w:val="24"/>
        </w:rPr>
        <w:t xml:space="preserve">。 </w:t>
      </w:r>
      <w:r>
        <w:rPr>
          <w:rFonts w:hint="eastAsia" w:ascii="宋体" w:hAnsi="宋体"/>
          <w:color w:val="auto"/>
          <w:sz w:val="24"/>
        </w:rPr>
        <w:t xml:space="preserve">             </w:t>
      </w:r>
    </w:p>
    <w:p>
      <w:pPr>
        <w:pStyle w:val="5"/>
        <w:spacing w:after="0" w:line="360" w:lineRule="auto"/>
        <w:ind w:firstLine="480" w:firstLineChars="200"/>
        <w:rPr>
          <w:rFonts w:ascii="宋体" w:hAnsi="宋体"/>
          <w:color w:val="auto"/>
          <w:sz w:val="24"/>
        </w:rPr>
      </w:pPr>
      <w:r>
        <w:rPr>
          <w:rFonts w:hint="eastAsia" w:ascii="宋体" w:hAnsi="宋体"/>
          <w:bCs/>
          <w:color w:val="auto"/>
          <w:sz w:val="24"/>
          <w:szCs w:val="24"/>
        </w:rPr>
        <w:t>如不按上述要求编制引起系统无法检索、读取相关信息的，其后果由投标人承担。</w:t>
      </w:r>
    </w:p>
    <w:p>
      <w:pPr>
        <w:pStyle w:val="5"/>
        <w:spacing w:after="0" w:line="360" w:lineRule="auto"/>
        <w:ind w:firstLine="482" w:firstLineChars="200"/>
        <w:rPr>
          <w:rFonts w:ascii="宋体"/>
          <w:b/>
          <w:bCs/>
          <w:color w:val="auto"/>
          <w:sz w:val="24"/>
        </w:rPr>
      </w:pPr>
      <w:r>
        <w:rPr>
          <w:rFonts w:ascii="宋体" w:hAnsi="宋体"/>
          <w:b/>
          <w:bCs/>
          <w:color w:val="auto"/>
          <w:sz w:val="24"/>
        </w:rPr>
        <w:t>13</w:t>
      </w:r>
      <w:r>
        <w:rPr>
          <w:rFonts w:hint="eastAsia" w:ascii="宋体" w:hAnsi="宋体"/>
          <w:b/>
          <w:bCs/>
          <w:color w:val="auto"/>
          <w:sz w:val="24"/>
        </w:rPr>
        <w:t>．投标报价及造价承包和变更结算方式</w:t>
      </w:r>
    </w:p>
    <w:p>
      <w:pPr>
        <w:pStyle w:val="5"/>
        <w:spacing w:after="0" w:line="360" w:lineRule="auto"/>
        <w:ind w:firstLine="480" w:firstLineChars="200"/>
        <w:rPr>
          <w:rFonts w:ascii="宋体" w:hAnsi="宋体"/>
          <w:color w:val="auto"/>
          <w:sz w:val="24"/>
          <w:u w:val="single"/>
        </w:rPr>
      </w:pPr>
      <w:r>
        <w:rPr>
          <w:rFonts w:hint="eastAsia" w:ascii="宋体" w:hAnsi="宋体"/>
          <w:color w:val="auto"/>
          <w:sz w:val="24"/>
        </w:rPr>
        <w:t>13.1本工程的投标报价采用投标须知前附表第12项所规定的方式。投标报价（含单价及总价）精确到“分”。</w:t>
      </w:r>
      <w:r>
        <w:rPr>
          <w:rFonts w:hint="eastAsia" w:ascii="宋体" w:hAnsi="宋体"/>
          <w:color w:val="auto"/>
          <w:sz w:val="24"/>
          <w:u w:val="single"/>
        </w:rPr>
        <w:t>投标文件中的大写金额和小写金额不一致的，以大写金额为准。</w:t>
      </w:r>
    </w:p>
    <w:p>
      <w:pPr>
        <w:pStyle w:val="5"/>
        <w:spacing w:after="0" w:line="360" w:lineRule="auto"/>
        <w:ind w:firstLine="480" w:firstLineChars="200"/>
        <w:rPr>
          <w:rFonts w:ascii="宋体"/>
          <w:color w:val="auto"/>
          <w:sz w:val="24"/>
        </w:rPr>
      </w:pPr>
      <w:r>
        <w:rPr>
          <w:rFonts w:ascii="宋体" w:hAnsi="宋体"/>
          <w:color w:val="auto"/>
          <w:sz w:val="24"/>
        </w:rPr>
        <w:t>13.2</w:t>
      </w:r>
      <w:r>
        <w:rPr>
          <w:rFonts w:hint="eastAsia" w:ascii="宋体" w:hAnsi="宋体"/>
          <w:color w:val="auto"/>
          <w:sz w:val="24"/>
        </w:rPr>
        <w:t>招标人按照招标图纸制定招标工程量清单，该清单载于本招标文件第七章中，投标人按照招标人提供的招标工程量清单中列出的工程项目和工程量填报单价和合价，每一项目只允许有一个报价，任何有选择的报价将不予接受。投标人未填报单价或合价的工程项目，视为此项费用已包含在已标价工程量清单中其他项目的单价和合价之中，在实施后，此项目不得重新组价予以调整，招标人将不予支付。</w:t>
      </w:r>
    </w:p>
    <w:p>
      <w:pPr>
        <w:pStyle w:val="5"/>
        <w:spacing w:after="0" w:line="360" w:lineRule="auto"/>
        <w:ind w:firstLine="480" w:firstLineChars="200"/>
        <w:rPr>
          <w:rFonts w:ascii="宋体"/>
          <w:color w:val="auto"/>
          <w:sz w:val="24"/>
        </w:rPr>
      </w:pPr>
      <w:r>
        <w:rPr>
          <w:rFonts w:ascii="宋体" w:hAnsi="宋体"/>
          <w:color w:val="auto"/>
          <w:sz w:val="24"/>
        </w:rPr>
        <w:t>13.3</w:t>
      </w:r>
      <w:r>
        <w:rPr>
          <w:rFonts w:hint="eastAsia" w:ascii="宋体" w:hAnsi="宋体"/>
          <w:color w:val="auto"/>
          <w:sz w:val="24"/>
        </w:rPr>
        <w:t>投标人的投标报价，应是按照投标须知前附表第</w:t>
      </w:r>
      <w:r>
        <w:rPr>
          <w:rFonts w:ascii="宋体" w:hAnsi="宋体"/>
          <w:color w:val="auto"/>
          <w:sz w:val="24"/>
        </w:rPr>
        <w:t>8</w:t>
      </w:r>
      <w:r>
        <w:rPr>
          <w:rFonts w:hint="eastAsia" w:ascii="宋体" w:hAnsi="宋体"/>
          <w:color w:val="auto"/>
          <w:sz w:val="24"/>
        </w:rPr>
        <w:t>项的工期要求，在投标须知前附表第</w:t>
      </w:r>
      <w:r>
        <w:rPr>
          <w:rFonts w:ascii="宋体" w:hAnsi="宋体"/>
          <w:color w:val="auto"/>
          <w:sz w:val="24"/>
        </w:rPr>
        <w:t>3</w:t>
      </w:r>
      <w:r>
        <w:rPr>
          <w:rFonts w:hint="eastAsia" w:ascii="宋体" w:hAnsi="宋体"/>
          <w:color w:val="auto"/>
          <w:sz w:val="24"/>
        </w:rPr>
        <w:t>项的建设地点，完成投标须知前附表第</w:t>
      </w:r>
      <w:r>
        <w:rPr>
          <w:rFonts w:ascii="宋体" w:hAnsi="宋体"/>
          <w:color w:val="auto"/>
          <w:sz w:val="24"/>
        </w:rPr>
        <w:t>7</w:t>
      </w:r>
      <w:r>
        <w:rPr>
          <w:rFonts w:hint="eastAsia" w:ascii="宋体" w:hAnsi="宋体"/>
          <w:color w:val="auto"/>
          <w:sz w:val="24"/>
        </w:rPr>
        <w:t>项的招标范围内已由招标人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w:t>
      </w:r>
      <w:r>
        <w:rPr>
          <w:rFonts w:hint="eastAsia" w:ascii="宋体" w:hAnsi="宋体"/>
          <w:color w:val="auto"/>
          <w:sz w:val="24"/>
          <w:szCs w:val="24"/>
        </w:rPr>
        <w:t>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p>
    <w:p>
      <w:pPr>
        <w:pStyle w:val="5"/>
        <w:spacing w:after="0" w:line="360" w:lineRule="auto"/>
        <w:ind w:firstLine="480" w:firstLineChars="200"/>
        <w:rPr>
          <w:rFonts w:ascii="宋体" w:hAnsi="宋体"/>
          <w:color w:val="auto"/>
          <w:sz w:val="24"/>
          <w:u w:val="single"/>
        </w:rPr>
      </w:pPr>
      <w:r>
        <w:rPr>
          <w:rFonts w:hint="eastAsia" w:ascii="宋体" w:hAnsi="宋体"/>
          <w:color w:val="auto"/>
          <w:sz w:val="24"/>
          <w:u w:val="single"/>
        </w:rPr>
        <w:t>13.4投标人一旦中标，投标人对招标人提供的工程量清单中列出的工程项目所报出的综合单价和措施项目费（措施项目费必须单列，没有单独列出的，视为已经包含在投标报价中），在工程结算时不得变更，即在施工过程中即使工程量清单项目的工程量发生变更，中标投标文件列出的综合单价和措施项目费也不发生改变。若在合同履行期间，因主要材料（设备）、机械台班价格波动涨跌幅度超过合同基准期（指递交投标文件截止日期前28天）价格的5%和人工涨跌变化影响合同价款时，应根据合同约定，按《建设工程工程量清单计价规范》（GB5500-2013）调整合同价款。人工、主要材料（设备）按广州市增城区住房和城乡建设局施工同期《建设工程地方材料综合价格》、广州市造价管理站施工同期《广州地区建设工程材料综合价格》调整。</w:t>
      </w:r>
    </w:p>
    <w:p>
      <w:pPr>
        <w:pStyle w:val="5"/>
        <w:spacing w:after="0" w:line="360" w:lineRule="auto"/>
        <w:ind w:firstLine="480" w:firstLineChars="200"/>
        <w:rPr>
          <w:rFonts w:ascii="宋体"/>
          <w:color w:val="auto"/>
          <w:sz w:val="24"/>
        </w:rPr>
      </w:pPr>
      <w:r>
        <w:rPr>
          <w:rFonts w:ascii="宋体" w:hAnsi="宋体"/>
          <w:color w:val="auto"/>
          <w:sz w:val="24"/>
        </w:rPr>
        <w:t>13.5</w:t>
      </w:r>
      <w:r>
        <w:rPr>
          <w:rFonts w:hint="eastAsia" w:ascii="宋体" w:hAnsi="宋体"/>
          <w:color w:val="auto"/>
          <w:sz w:val="24"/>
        </w:rPr>
        <w:t>工程项目实施期间和结算时，招标文件工程量清单中漏列而由监理单位和招标人现场签证确认的工程项目、原设计没有而由招标人批准设计变更产生的工程项目，视为新增项目，按以下顺序确定价格：</w:t>
      </w:r>
    </w:p>
    <w:p>
      <w:pPr>
        <w:pStyle w:val="5"/>
        <w:spacing w:after="0" w:line="360" w:lineRule="auto"/>
        <w:ind w:firstLine="480" w:firstLineChars="200"/>
        <w:rPr>
          <w:rFonts w:ascii="宋体" w:hAnsi="宋体"/>
          <w:color w:val="auto"/>
          <w:sz w:val="24"/>
          <w:u w:val="single"/>
        </w:rPr>
      </w:pPr>
      <w:r>
        <w:rPr>
          <w:rFonts w:hint="eastAsia" w:ascii="宋体" w:hAnsi="宋体"/>
          <w:color w:val="auto"/>
          <w:sz w:val="24"/>
          <w:u w:val="single"/>
        </w:rPr>
        <w:t>13.5.1中标的投标文件工程量清单中已有相同项目的,该项目的综合单价若低于招标控制价相应项目综合单价,则沿用;若高于招标控制价相应项目综合单价,则按招标控制价相应项目的综合单价。</w:t>
      </w:r>
    </w:p>
    <w:p>
      <w:pPr>
        <w:pStyle w:val="5"/>
        <w:spacing w:after="0" w:line="360" w:lineRule="auto"/>
        <w:ind w:firstLine="480" w:firstLineChars="200"/>
        <w:rPr>
          <w:rFonts w:ascii="宋体"/>
          <w:color w:val="auto"/>
          <w:sz w:val="24"/>
          <w:u w:val="single"/>
        </w:rPr>
      </w:pPr>
      <w:r>
        <w:rPr>
          <w:rFonts w:hint="eastAsia" w:ascii="宋体" w:hAnsi="宋体"/>
          <w:color w:val="auto"/>
          <w:sz w:val="24"/>
          <w:u w:val="single"/>
        </w:rPr>
        <w:t>13.5.2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增城区住房和城乡建设局同期《建设工程地方材料指导价格》计算；若增城区住房和城乡建设局同期《建设工程地方材料指导价格》没有的材料单价按广州市造价管理站同期《广州地区建设工程材料综合价格》计算；若上述两地区的建设工程材料指导价均没有的材料单价，凭监理单位及甲方确认的与市场价相符的有效发票的材料单价计算，并按中标浮动率下浮后作结算。</w:t>
      </w:r>
    </w:p>
    <w:p>
      <w:pPr>
        <w:pStyle w:val="5"/>
        <w:spacing w:after="0" w:line="360" w:lineRule="auto"/>
        <w:ind w:firstLine="480" w:firstLineChars="200"/>
        <w:rPr>
          <w:rFonts w:ascii="宋体"/>
          <w:color w:val="auto"/>
          <w:sz w:val="24"/>
        </w:rPr>
      </w:pPr>
      <w:r>
        <w:rPr>
          <w:rFonts w:ascii="宋体" w:hAnsi="宋体"/>
          <w:color w:val="auto"/>
          <w:sz w:val="24"/>
        </w:rPr>
        <w:t xml:space="preserve">13.5.3 </w:t>
      </w:r>
      <w:r>
        <w:rPr>
          <w:rFonts w:hint="eastAsia" w:ascii="宋体" w:hAnsi="宋体"/>
          <w:color w:val="auto"/>
          <w:sz w:val="24"/>
        </w:rPr>
        <w:t>中标的投标文件工程量清单中没有相同项目或类似项目的，如可套取相关定额，则以相关定额为基数下浮计算单价</w:t>
      </w:r>
      <w:r>
        <w:rPr>
          <w:rFonts w:ascii="宋体"/>
          <w:color w:val="auto"/>
          <w:sz w:val="24"/>
        </w:rPr>
        <w:t>,</w:t>
      </w:r>
      <w:r>
        <w:rPr>
          <w:rFonts w:hint="eastAsia" w:ascii="宋体" w:hAnsi="宋体"/>
          <w:color w:val="auto"/>
          <w:sz w:val="24"/>
        </w:rPr>
        <w:t>下浮率为中标价</w:t>
      </w:r>
      <w:r>
        <w:rPr>
          <w:rFonts w:hint="eastAsia" w:ascii="宋体" w:hAnsi="宋体"/>
          <w:color w:val="auto"/>
          <w:sz w:val="24"/>
          <w:szCs w:val="24"/>
        </w:rPr>
        <w:t>相对于最高投标限价的下</w:t>
      </w:r>
      <w:r>
        <w:rPr>
          <w:rFonts w:hint="eastAsia" w:ascii="宋体" w:hAnsi="宋体"/>
          <w:color w:val="auto"/>
          <w:sz w:val="24"/>
        </w:rPr>
        <w:t>浮率（下浮率</w:t>
      </w:r>
      <w:r>
        <w:rPr>
          <w:rFonts w:ascii="宋体" w:hAnsi="宋体"/>
          <w:color w:val="auto"/>
          <w:sz w:val="24"/>
        </w:rPr>
        <w:t>=(</w:t>
      </w:r>
      <w:r>
        <w:rPr>
          <w:rFonts w:hint="eastAsia" w:ascii="宋体" w:hAnsi="宋体"/>
          <w:color w:val="auto"/>
          <w:sz w:val="24"/>
          <w:szCs w:val="24"/>
        </w:rPr>
        <w:t>最高投标限价</w:t>
      </w:r>
      <w:r>
        <w:rPr>
          <w:rFonts w:ascii="宋体"/>
          <w:color w:val="auto"/>
          <w:sz w:val="24"/>
        </w:rPr>
        <w:t>-</w:t>
      </w:r>
      <w:r>
        <w:rPr>
          <w:rFonts w:hint="eastAsia" w:ascii="宋体" w:hAnsi="宋体"/>
          <w:color w:val="auto"/>
          <w:sz w:val="24"/>
        </w:rPr>
        <w:t>中标价</w:t>
      </w:r>
      <w:r>
        <w:rPr>
          <w:rFonts w:ascii="宋体" w:hAnsi="宋体"/>
          <w:color w:val="auto"/>
          <w:sz w:val="24"/>
        </w:rPr>
        <w:t>)/</w:t>
      </w:r>
      <w:r>
        <w:rPr>
          <w:rFonts w:ascii="宋体" w:hAnsi="宋体"/>
          <w:color w:val="auto"/>
          <w:sz w:val="24"/>
          <w:szCs w:val="24"/>
        </w:rPr>
        <w:t xml:space="preserve"> </w:t>
      </w:r>
      <w:r>
        <w:rPr>
          <w:rFonts w:hint="eastAsia" w:ascii="宋体" w:hAnsi="宋体"/>
          <w:color w:val="auto"/>
          <w:sz w:val="24"/>
          <w:szCs w:val="24"/>
        </w:rPr>
        <w:t>最高投标限价</w:t>
      </w:r>
      <w:r>
        <w:rPr>
          <w:rFonts w:hint="eastAsia" w:ascii="宋体" w:hAnsi="宋体"/>
          <w:color w:val="auto"/>
          <w:sz w:val="24"/>
        </w:rPr>
        <w:t>）。</w:t>
      </w:r>
    </w:p>
    <w:p>
      <w:pPr>
        <w:pStyle w:val="5"/>
        <w:spacing w:after="0" w:line="360" w:lineRule="auto"/>
        <w:ind w:firstLine="480" w:firstLineChars="200"/>
        <w:rPr>
          <w:rFonts w:ascii="宋体"/>
          <w:color w:val="auto"/>
          <w:sz w:val="24"/>
        </w:rPr>
      </w:pPr>
      <w:r>
        <w:rPr>
          <w:rFonts w:ascii="宋体" w:hAnsi="宋体"/>
          <w:color w:val="auto"/>
          <w:sz w:val="24"/>
        </w:rPr>
        <w:t xml:space="preserve">13.5.4 </w:t>
      </w:r>
      <w:r>
        <w:rPr>
          <w:rFonts w:hint="eastAsia" w:ascii="宋体" w:hAnsi="宋体"/>
          <w:color w:val="auto"/>
          <w:sz w:val="24"/>
        </w:rPr>
        <w:t>如相关定额没有相应子目的，其计价方式由招标人在本招标文件第三章中另行规定。未规定的，中标后双方协商约定。</w:t>
      </w:r>
    </w:p>
    <w:p>
      <w:pPr>
        <w:pStyle w:val="5"/>
        <w:spacing w:after="0" w:line="360" w:lineRule="auto"/>
        <w:ind w:firstLine="480" w:firstLineChars="200"/>
        <w:rPr>
          <w:rFonts w:ascii="宋体"/>
          <w:color w:val="auto"/>
          <w:sz w:val="24"/>
        </w:rPr>
      </w:pPr>
      <w:r>
        <w:rPr>
          <w:rFonts w:ascii="宋体" w:hAnsi="宋体"/>
          <w:color w:val="auto"/>
          <w:sz w:val="24"/>
        </w:rPr>
        <w:t>13.6</w:t>
      </w:r>
      <w:r>
        <w:rPr>
          <w:rFonts w:hint="eastAsia" w:ascii="宋体" w:hAnsi="宋体"/>
          <w:color w:val="auto"/>
          <w:sz w:val="24"/>
        </w:rPr>
        <w:t>暂列金额、暂估价</w:t>
      </w:r>
    </w:p>
    <w:p>
      <w:pPr>
        <w:pStyle w:val="5"/>
        <w:spacing w:after="0" w:line="360" w:lineRule="auto"/>
        <w:ind w:firstLine="480" w:firstLineChars="200"/>
        <w:rPr>
          <w:rFonts w:ascii="宋体"/>
          <w:color w:val="auto"/>
          <w:sz w:val="24"/>
        </w:rPr>
      </w:pPr>
      <w:r>
        <w:rPr>
          <w:rFonts w:ascii="宋体" w:hAnsi="宋体"/>
          <w:color w:val="auto"/>
          <w:sz w:val="24"/>
        </w:rPr>
        <w:t>13.6.1</w:t>
      </w:r>
      <w:r>
        <w:rPr>
          <w:rFonts w:hint="eastAsia" w:ascii="宋体" w:hAnsi="宋体"/>
          <w:color w:val="auto"/>
          <w:sz w:val="24"/>
        </w:rPr>
        <w:t>暂列金额指招标人在工程量清单中暂定并包括在合同价款中的一笔款项。用于施工合同签订时尚未确定或者不可预见的所需材料、设备、服务的采购，施工中可能发生的工程量变更、合同约定调整因素出现时的工程价款调整以及发生的索赔、现场签证等费用。</w:t>
      </w:r>
    </w:p>
    <w:p>
      <w:pPr>
        <w:pStyle w:val="5"/>
        <w:spacing w:after="0" w:line="360" w:lineRule="auto"/>
        <w:ind w:firstLine="480" w:firstLineChars="200"/>
        <w:rPr>
          <w:rFonts w:ascii="宋体"/>
          <w:color w:val="auto"/>
          <w:sz w:val="24"/>
        </w:rPr>
      </w:pPr>
      <w:r>
        <w:rPr>
          <w:rFonts w:hint="eastAsia" w:ascii="宋体" w:hAnsi="宋体"/>
          <w:color w:val="auto"/>
          <w:sz w:val="24"/>
        </w:rPr>
        <w:t>暂估价是指招标人在工程量清单中提供的用于支付必然发生但暂时不能确定价格的材料的单价以及专业工程的金额。</w:t>
      </w:r>
    </w:p>
    <w:p>
      <w:pPr>
        <w:pStyle w:val="5"/>
        <w:spacing w:after="0" w:line="360" w:lineRule="auto"/>
        <w:ind w:firstLine="480" w:firstLineChars="200"/>
        <w:rPr>
          <w:rFonts w:ascii="宋体"/>
          <w:color w:val="auto"/>
          <w:sz w:val="24"/>
        </w:rPr>
      </w:pPr>
      <w:r>
        <w:rPr>
          <w:rFonts w:ascii="宋体" w:hAnsi="宋体"/>
          <w:color w:val="auto"/>
          <w:sz w:val="24"/>
        </w:rPr>
        <w:t>13.6.2</w:t>
      </w:r>
      <w:r>
        <w:rPr>
          <w:rFonts w:hint="eastAsia" w:ascii="宋体" w:hAnsi="宋体"/>
          <w:color w:val="auto"/>
          <w:sz w:val="24"/>
        </w:rPr>
        <w:t>在工程实施中，暂列金额、暂估价所包含的工作范围和图纸、标准深化固定后，按照工程专业、设备、材料类别等分类汇总的金额，达到法定招标范围标准的，应由招标人同中标人联合招标，确定承包人和承包价格。</w:t>
      </w:r>
    </w:p>
    <w:p>
      <w:pPr>
        <w:pStyle w:val="5"/>
        <w:spacing w:after="0" w:line="360" w:lineRule="auto"/>
        <w:ind w:firstLine="480" w:firstLineChars="200"/>
        <w:rPr>
          <w:rFonts w:ascii="宋体"/>
          <w:color w:val="auto"/>
          <w:sz w:val="24"/>
        </w:rPr>
      </w:pPr>
      <w:r>
        <w:rPr>
          <w:rFonts w:ascii="宋体" w:hAnsi="宋体"/>
          <w:color w:val="auto"/>
          <w:sz w:val="24"/>
        </w:rPr>
        <w:t>13.6.3</w:t>
      </w:r>
      <w:r>
        <w:rPr>
          <w:rFonts w:hint="eastAsia" w:ascii="宋体" w:hAnsi="宋体"/>
          <w:color w:val="auto"/>
          <w:sz w:val="24"/>
        </w:rPr>
        <w:t>在工程实施中，暂列金额、暂估价所包含的工作范围和图纸、标准深化固定后，按照工程专业、设备、材料类别等分类汇总的金额，未达到法定招标范围标准但适用政府采购规定的，应按照政府采购规定确定承包人和承包价格。</w:t>
      </w:r>
    </w:p>
    <w:p>
      <w:pPr>
        <w:pStyle w:val="5"/>
        <w:spacing w:after="0" w:line="360" w:lineRule="auto"/>
        <w:ind w:firstLine="480" w:firstLineChars="200"/>
        <w:rPr>
          <w:rFonts w:ascii="宋体"/>
          <w:color w:val="auto"/>
          <w:sz w:val="24"/>
        </w:rPr>
      </w:pPr>
      <w:r>
        <w:rPr>
          <w:rFonts w:ascii="宋体" w:hAnsi="宋体"/>
          <w:color w:val="auto"/>
          <w:sz w:val="24"/>
        </w:rPr>
        <w:t>13.6.4</w:t>
      </w:r>
      <w:r>
        <w:rPr>
          <w:rFonts w:hint="eastAsia" w:ascii="宋体" w:hAnsi="宋体"/>
          <w:color w:val="auto"/>
          <w:sz w:val="24"/>
        </w:rPr>
        <w:t>在工程实施中，暂列金额、暂估价所包含的工作范围和图纸、标准深化固定后，按照工程专业、设备、材料类别等分类汇总的金额，未达到法定招标范围标准也不适用政府采购规定，承包人有法定的承包资格的，由承包人承包，承包人无法定的承包资格但有法定的分包权的，由承包人分包，招标人同承包人结算的价格按本投标须知</w:t>
      </w:r>
      <w:r>
        <w:rPr>
          <w:rFonts w:ascii="宋体" w:hAnsi="宋体"/>
          <w:color w:val="auto"/>
          <w:sz w:val="24"/>
        </w:rPr>
        <w:t>13.5</w:t>
      </w:r>
      <w:r>
        <w:rPr>
          <w:rFonts w:hint="eastAsia" w:ascii="宋体" w:hAnsi="宋体"/>
          <w:color w:val="auto"/>
          <w:sz w:val="24"/>
        </w:rPr>
        <w:t>款规定确定。</w:t>
      </w:r>
    </w:p>
    <w:p>
      <w:pPr>
        <w:pStyle w:val="5"/>
        <w:spacing w:after="0" w:line="360" w:lineRule="auto"/>
        <w:ind w:firstLine="480" w:firstLineChars="200"/>
        <w:rPr>
          <w:rFonts w:ascii="宋体"/>
          <w:color w:val="auto"/>
          <w:sz w:val="24"/>
        </w:rPr>
      </w:pPr>
      <w:r>
        <w:rPr>
          <w:rFonts w:ascii="宋体" w:hAnsi="宋体"/>
          <w:color w:val="auto"/>
          <w:sz w:val="24"/>
        </w:rPr>
        <w:t>13.6.5</w:t>
      </w:r>
      <w:r>
        <w:rPr>
          <w:rFonts w:hint="eastAsia" w:ascii="宋体" w:hAnsi="宋体"/>
          <w:color w:val="auto"/>
          <w:sz w:val="24"/>
        </w:rPr>
        <w:t>在工程实施中，暂列金额、暂估价所包含的工作范围和图纸、标准深化固定后，按照工程专业、设备、材料类别等分类汇总的金额，未达到法定招标范围标准也不适用政府采购规定，承包人既无法定的承包资格又无法定的分包权的，由招标人另行发包。</w:t>
      </w:r>
    </w:p>
    <w:p>
      <w:pPr>
        <w:pStyle w:val="5"/>
        <w:spacing w:after="0" w:line="360" w:lineRule="auto"/>
        <w:ind w:firstLine="480" w:firstLineChars="200"/>
        <w:rPr>
          <w:rFonts w:ascii="宋体"/>
          <w:color w:val="auto"/>
          <w:sz w:val="24"/>
        </w:rPr>
      </w:pPr>
      <w:r>
        <w:rPr>
          <w:rFonts w:ascii="宋体" w:hAnsi="宋体"/>
          <w:color w:val="auto"/>
          <w:sz w:val="24"/>
        </w:rPr>
        <w:t xml:space="preserve">13.6.6 </w:t>
      </w:r>
      <w:r>
        <w:rPr>
          <w:rFonts w:hint="eastAsia" w:ascii="宋体" w:hAnsi="宋体"/>
          <w:color w:val="auto"/>
          <w:sz w:val="24"/>
        </w:rPr>
        <w:t>在工程实施中，暂列金额、暂估价所包含的工作范围由其他承包人承包的，纳入本项目承包人的管理和协调范围，由其他承包人向本项目承包人承担质量、安全、文明施工、工期责任，本项目承包人向招标人承担责任。投标人应当充分考虑此项管理和协调所发生的费用，并将其纳入招标人提供的工程量清单中的适当项目报价中。招标人将视为此项管理和协调所发生的费用已包含在其它有价款的竞争性报价内，在实施后，招标人将不予支付。</w:t>
      </w:r>
    </w:p>
    <w:p>
      <w:pPr>
        <w:pStyle w:val="5"/>
        <w:spacing w:after="0" w:line="360" w:lineRule="auto"/>
        <w:ind w:firstLine="480" w:firstLineChars="200"/>
        <w:rPr>
          <w:rFonts w:ascii="宋体"/>
          <w:color w:val="auto"/>
          <w:sz w:val="24"/>
        </w:rPr>
      </w:pPr>
      <w:r>
        <w:rPr>
          <w:rFonts w:ascii="宋体" w:hAnsi="宋体"/>
          <w:color w:val="auto"/>
          <w:sz w:val="24"/>
        </w:rPr>
        <w:t>13.7</w:t>
      </w:r>
      <w:r>
        <w:rPr>
          <w:rFonts w:hint="eastAsia" w:ascii="宋体" w:hAnsi="宋体"/>
          <w:color w:val="auto"/>
          <w:sz w:val="24"/>
        </w:rPr>
        <w:t>投标人可先到工地踏勘以充分了解工地位置、情况、道路、储存空间、装卸限制及任何其他足以影响承包价的情况，任何因忽视或误解工地情况而导致的索赔或工期延长申请将不被批准。</w:t>
      </w:r>
    </w:p>
    <w:p>
      <w:pPr>
        <w:pStyle w:val="5"/>
        <w:spacing w:after="0" w:line="360" w:lineRule="auto"/>
        <w:ind w:firstLine="480" w:firstLineChars="200"/>
        <w:rPr>
          <w:rFonts w:ascii="宋体"/>
          <w:color w:val="auto"/>
          <w:sz w:val="24"/>
        </w:rPr>
      </w:pPr>
      <w:r>
        <w:rPr>
          <w:rFonts w:ascii="宋体" w:hAnsi="宋体"/>
          <w:color w:val="auto"/>
          <w:sz w:val="24"/>
        </w:rPr>
        <w:t>13.8</w:t>
      </w:r>
      <w:r>
        <w:rPr>
          <w:rFonts w:hint="eastAsia" w:ascii="宋体" w:hAnsi="宋体"/>
          <w:color w:val="auto"/>
          <w:sz w:val="24"/>
        </w:rPr>
        <w:t>属于承包人自行采购的主要材料、设备，招标人应当在招标文件中提出材料、设备的技术标准或者质量要求，或者提出不少于</w:t>
      </w:r>
      <w:r>
        <w:rPr>
          <w:rFonts w:ascii="宋体" w:hAnsi="宋体"/>
          <w:color w:val="auto"/>
          <w:sz w:val="24"/>
        </w:rPr>
        <w:t>3</w:t>
      </w:r>
      <w:r>
        <w:rPr>
          <w:rFonts w:hint="eastAsia" w:ascii="宋体" w:hAnsi="宋体"/>
          <w:color w:val="auto"/>
          <w:sz w:val="24"/>
        </w:rPr>
        <w:t>个同等档次品牌或分包商供投标人报价时选择</w:t>
      </w:r>
      <w:r>
        <w:rPr>
          <w:rFonts w:ascii="宋体"/>
          <w:color w:val="auto"/>
          <w:sz w:val="24"/>
        </w:rPr>
        <w:t>,</w:t>
      </w:r>
      <w:r>
        <w:rPr>
          <w:rFonts w:hint="eastAsia" w:ascii="宋体" w:hAnsi="宋体"/>
          <w:color w:val="auto"/>
          <w:sz w:val="24"/>
        </w:rPr>
        <w:t>凡招标人在招标文件中提出参考品牌的，必须在参考品牌后面加上“或相当于”字样。投标人在投标文件中应明确所选用主要材料、设备的品牌、厂家以及质量等级，并且应当符合招标文件的要求。</w:t>
      </w:r>
    </w:p>
    <w:p>
      <w:pPr>
        <w:pStyle w:val="5"/>
        <w:spacing w:after="0" w:line="360" w:lineRule="auto"/>
        <w:ind w:firstLine="480" w:firstLineChars="200"/>
        <w:rPr>
          <w:rFonts w:ascii="宋体"/>
          <w:color w:val="auto"/>
          <w:sz w:val="24"/>
          <w:szCs w:val="24"/>
        </w:rPr>
      </w:pPr>
      <w:r>
        <w:rPr>
          <w:rFonts w:ascii="宋体" w:hAnsi="宋体"/>
          <w:color w:val="auto"/>
          <w:sz w:val="24"/>
        </w:rPr>
        <w:t>13.9</w:t>
      </w:r>
      <w:r>
        <w:rPr>
          <w:rFonts w:hint="eastAsia" w:ascii="宋体"/>
          <w:color w:val="auto"/>
          <w:sz w:val="24"/>
          <w:szCs w:val="24"/>
        </w:rPr>
        <w:t>招标人与中标人应本着实事求是、风险共担的原则，充分考虑施工合同履行期间人工、建筑材料、机械设备价格因素的影响。对于各类钢筋、混凝土等主要材料以及人工、机械设备等，应结合合同工期、各价格因素对工程总造价的影响等，合理约定调价机制。调价机制应由招标人在招标文件及合同中明确，内容包括调价范围（含材料、机械的具体名称、工种等）、价格变动时限、幅度以及相应的合同价款调整方法。</w:t>
      </w:r>
    </w:p>
    <w:p>
      <w:pPr>
        <w:pStyle w:val="5"/>
        <w:spacing w:after="0" w:line="360" w:lineRule="auto"/>
        <w:ind w:firstLine="482" w:firstLineChars="200"/>
        <w:rPr>
          <w:rFonts w:ascii="宋体"/>
          <w:b/>
          <w:bCs/>
          <w:color w:val="auto"/>
          <w:sz w:val="24"/>
        </w:rPr>
      </w:pPr>
      <w:r>
        <w:rPr>
          <w:rFonts w:ascii="宋体" w:hAnsi="宋体"/>
          <w:b/>
          <w:bCs/>
          <w:color w:val="auto"/>
          <w:sz w:val="24"/>
        </w:rPr>
        <w:t>14</w:t>
      </w:r>
      <w:r>
        <w:rPr>
          <w:rFonts w:hint="eastAsia" w:ascii="宋体" w:hAnsi="宋体"/>
          <w:b/>
          <w:bCs/>
          <w:color w:val="auto"/>
          <w:sz w:val="24"/>
        </w:rPr>
        <w:t>．投标货币</w:t>
      </w:r>
    </w:p>
    <w:p>
      <w:pPr>
        <w:pStyle w:val="5"/>
        <w:spacing w:after="0" w:line="360" w:lineRule="auto"/>
        <w:ind w:firstLine="480" w:firstLineChars="200"/>
        <w:rPr>
          <w:rFonts w:ascii="宋体"/>
          <w:color w:val="auto"/>
          <w:sz w:val="24"/>
        </w:rPr>
      </w:pPr>
      <w:r>
        <w:rPr>
          <w:rFonts w:ascii="宋体" w:hAnsi="宋体"/>
          <w:color w:val="auto"/>
          <w:sz w:val="24"/>
        </w:rPr>
        <w:t xml:space="preserve">14.1 </w:t>
      </w:r>
      <w:r>
        <w:rPr>
          <w:rFonts w:hint="eastAsia" w:ascii="宋体" w:hAnsi="宋体"/>
          <w:color w:val="auto"/>
          <w:sz w:val="24"/>
        </w:rPr>
        <w:t>本工程投标报价采用的币种为人民币。</w:t>
      </w:r>
    </w:p>
    <w:p>
      <w:pPr>
        <w:pStyle w:val="5"/>
        <w:spacing w:after="0" w:line="360" w:lineRule="auto"/>
        <w:ind w:firstLine="482" w:firstLineChars="200"/>
        <w:rPr>
          <w:rFonts w:ascii="宋体"/>
          <w:color w:val="auto"/>
          <w:sz w:val="24"/>
        </w:rPr>
      </w:pPr>
      <w:r>
        <w:rPr>
          <w:rFonts w:ascii="宋体" w:hAnsi="宋体"/>
          <w:b/>
          <w:bCs/>
          <w:color w:val="auto"/>
          <w:sz w:val="24"/>
        </w:rPr>
        <w:t>15</w:t>
      </w:r>
      <w:r>
        <w:rPr>
          <w:rFonts w:hint="eastAsia" w:ascii="宋体" w:hAnsi="宋体"/>
          <w:b/>
          <w:bCs/>
          <w:color w:val="auto"/>
          <w:sz w:val="24"/>
        </w:rPr>
        <w:t>．投标有效期</w:t>
      </w:r>
    </w:p>
    <w:p>
      <w:pPr>
        <w:pStyle w:val="5"/>
        <w:spacing w:after="0" w:line="360" w:lineRule="auto"/>
        <w:ind w:firstLine="480" w:firstLineChars="200"/>
        <w:rPr>
          <w:rFonts w:ascii="宋体"/>
          <w:color w:val="auto"/>
          <w:sz w:val="24"/>
        </w:rPr>
      </w:pPr>
      <w:r>
        <w:rPr>
          <w:rFonts w:ascii="宋体" w:hAnsi="宋体"/>
          <w:color w:val="auto"/>
          <w:sz w:val="24"/>
        </w:rPr>
        <w:t xml:space="preserve">15.1 </w:t>
      </w:r>
      <w:r>
        <w:rPr>
          <w:rFonts w:hint="eastAsia" w:ascii="宋体" w:hAnsi="宋体"/>
          <w:color w:val="auto"/>
          <w:sz w:val="24"/>
        </w:rPr>
        <w:t>投标有效期见投标须知前附表第</w:t>
      </w:r>
      <w:r>
        <w:rPr>
          <w:rFonts w:ascii="宋体" w:hAnsi="宋体"/>
          <w:color w:val="auto"/>
          <w:sz w:val="24"/>
        </w:rPr>
        <w:t>13</w:t>
      </w:r>
      <w:r>
        <w:rPr>
          <w:rFonts w:hint="eastAsia" w:ascii="宋体" w:hAnsi="宋体"/>
          <w:color w:val="auto"/>
          <w:sz w:val="24"/>
        </w:rPr>
        <w:t>项所规定的期限，在此期限内，凡符合本招标文件要求的投标文件均保持有效。</w:t>
      </w:r>
    </w:p>
    <w:p>
      <w:pPr>
        <w:pStyle w:val="5"/>
        <w:spacing w:after="0" w:line="360" w:lineRule="auto"/>
        <w:ind w:firstLine="480" w:firstLineChars="200"/>
        <w:rPr>
          <w:rFonts w:ascii="宋体"/>
          <w:color w:val="auto"/>
          <w:sz w:val="24"/>
        </w:rPr>
      </w:pPr>
      <w:r>
        <w:rPr>
          <w:rFonts w:ascii="宋体" w:hAnsi="宋体"/>
          <w:color w:val="auto"/>
          <w:sz w:val="24"/>
        </w:rPr>
        <w:t xml:space="preserve">15.2 </w:t>
      </w:r>
      <w:r>
        <w:rPr>
          <w:rFonts w:hint="eastAsia" w:ascii="宋体" w:hAnsi="宋体"/>
          <w:color w:val="auto"/>
          <w:sz w:val="24"/>
        </w:rPr>
        <w:t>在特殊情况下，招标人在原定投标有效期内，可以根据需要以书面形式向投标人提出延长投标有效期的要求，对此要求投标人须以书面形式予以答复。投标人可以拒绝招标人这种要求，</w:t>
      </w:r>
      <w:r>
        <w:rPr>
          <w:rFonts w:hint="eastAsia" w:ascii="宋体" w:hAnsi="宋体"/>
          <w:strike/>
          <w:color w:val="auto"/>
          <w:sz w:val="24"/>
        </w:rPr>
        <w:t>而不影响退还其投标保证金。</w:t>
      </w:r>
      <w:r>
        <w:rPr>
          <w:rFonts w:hint="eastAsia" w:ascii="宋体" w:hAnsi="宋体"/>
          <w:color w:val="auto"/>
          <w:sz w:val="24"/>
        </w:rPr>
        <w:t>同意延长投标有效期的投标人既不能要求也不允许修改其投标文件。</w:t>
      </w:r>
      <w:r>
        <w:rPr>
          <w:rFonts w:hint="eastAsia" w:ascii="宋体" w:hAnsi="宋体"/>
          <w:strike/>
          <w:color w:val="auto"/>
          <w:sz w:val="24"/>
        </w:rPr>
        <w:t>但需要相应的延长投标保证金的有效期，在延长的投标有效期内，本须知第</w:t>
      </w:r>
      <w:r>
        <w:rPr>
          <w:rFonts w:ascii="宋体" w:hAnsi="宋体"/>
          <w:strike/>
          <w:color w:val="auto"/>
          <w:sz w:val="24"/>
        </w:rPr>
        <w:t>16</w:t>
      </w:r>
      <w:r>
        <w:rPr>
          <w:rFonts w:hint="eastAsia" w:ascii="宋体" w:hAnsi="宋体"/>
          <w:strike/>
          <w:color w:val="auto"/>
          <w:sz w:val="24"/>
        </w:rPr>
        <w:t>条关于投标保证金的退还与不予退还的规定仍然适用。</w:t>
      </w:r>
    </w:p>
    <w:p>
      <w:pPr>
        <w:pStyle w:val="5"/>
        <w:spacing w:after="0" w:line="360" w:lineRule="auto"/>
        <w:ind w:firstLine="482" w:firstLineChars="200"/>
        <w:rPr>
          <w:rFonts w:ascii="宋体"/>
          <w:b/>
          <w:bCs/>
          <w:strike/>
          <w:color w:val="auto"/>
          <w:sz w:val="24"/>
        </w:rPr>
      </w:pPr>
      <w:r>
        <w:rPr>
          <w:rFonts w:ascii="宋体" w:hAnsi="宋体"/>
          <w:b/>
          <w:bCs/>
          <w:strike/>
          <w:color w:val="auto"/>
          <w:sz w:val="24"/>
        </w:rPr>
        <w:t>16</w:t>
      </w:r>
      <w:r>
        <w:rPr>
          <w:rFonts w:hint="eastAsia" w:ascii="宋体" w:hAnsi="宋体"/>
          <w:b/>
          <w:bCs/>
          <w:strike/>
          <w:color w:val="auto"/>
          <w:sz w:val="24"/>
        </w:rPr>
        <w:t>．投标保证金</w:t>
      </w:r>
    </w:p>
    <w:p>
      <w:pPr>
        <w:spacing w:line="360" w:lineRule="auto"/>
        <w:ind w:firstLine="480" w:firstLineChars="200"/>
        <w:rPr>
          <w:rFonts w:ascii="宋体" w:hAnsi="宋体"/>
          <w:strike/>
          <w:color w:val="auto"/>
          <w:sz w:val="24"/>
        </w:rPr>
      </w:pPr>
      <w:r>
        <w:rPr>
          <w:rFonts w:ascii="宋体" w:hAnsi="宋体"/>
          <w:strike/>
          <w:color w:val="auto"/>
          <w:sz w:val="24"/>
        </w:rPr>
        <w:t>16.1</w:t>
      </w:r>
      <w:r>
        <w:rPr>
          <w:rFonts w:hint="eastAsia" w:ascii="宋体" w:hAnsi="宋体"/>
          <w:strike/>
          <w:color w:val="auto"/>
          <w:sz w:val="24"/>
        </w:rPr>
        <w:t>投标人应按投标须知前附表第</w:t>
      </w:r>
      <w:r>
        <w:rPr>
          <w:rFonts w:ascii="宋体" w:hAnsi="宋体"/>
          <w:strike/>
          <w:color w:val="auto"/>
          <w:sz w:val="24"/>
        </w:rPr>
        <w:t>14</w:t>
      </w:r>
      <w:r>
        <w:rPr>
          <w:rFonts w:hint="eastAsia" w:ascii="宋体" w:hAnsi="宋体"/>
          <w:strike/>
          <w:color w:val="auto"/>
          <w:sz w:val="24"/>
        </w:rPr>
        <w:t>项所述金额和时间递交</w:t>
      </w:r>
      <w:r>
        <w:rPr>
          <w:rFonts w:hint="eastAsia" w:ascii="宋体" w:hAnsi="宋体"/>
          <w:bCs/>
          <w:strike/>
          <w:color w:val="auto"/>
          <w:sz w:val="24"/>
        </w:rPr>
        <w:t>投标保证金</w:t>
      </w:r>
      <w:r>
        <w:rPr>
          <w:rFonts w:hint="eastAsia" w:ascii="宋体" w:hAnsi="宋体"/>
          <w:strike/>
          <w:color w:val="auto"/>
          <w:sz w:val="24"/>
        </w:rPr>
        <w:t>。招标人应当允许投标人自主选择现金、银行保函、保证保险、专业工程担保公司担保等方式缴纳投标保证金。</w:t>
      </w:r>
    </w:p>
    <w:p>
      <w:pPr>
        <w:spacing w:line="360" w:lineRule="auto"/>
        <w:ind w:firstLine="480" w:firstLineChars="200"/>
        <w:rPr>
          <w:rFonts w:ascii="宋体" w:hAnsi="宋体"/>
          <w:strike/>
          <w:color w:val="auto"/>
          <w:sz w:val="24"/>
        </w:rPr>
      </w:pPr>
      <w:r>
        <w:rPr>
          <w:rFonts w:hint="eastAsia" w:ascii="宋体" w:hAnsi="宋体"/>
          <w:strike/>
          <w:color w:val="auto"/>
          <w:sz w:val="24"/>
        </w:rPr>
        <w:t>16.1.1 采用现金或者支票形式提交的，投标保证金须从投标人的银行基本账户转出。</w:t>
      </w:r>
    </w:p>
    <w:p>
      <w:pPr>
        <w:spacing w:line="360" w:lineRule="auto"/>
        <w:ind w:firstLine="480" w:firstLineChars="200"/>
        <w:rPr>
          <w:rFonts w:ascii="宋体" w:hAnsi="宋体"/>
          <w:strike/>
          <w:color w:val="auto"/>
          <w:sz w:val="24"/>
        </w:rPr>
      </w:pPr>
      <w:r>
        <w:rPr>
          <w:rFonts w:hint="eastAsia" w:ascii="宋体" w:hAnsi="宋体"/>
          <w:strike/>
          <w:color w:val="auto"/>
          <w:sz w:val="24"/>
        </w:rPr>
        <w:t>16.1.2 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如投标人存在16.4条款所列情形的，应将纸质原件提交给招标人。</w:t>
      </w:r>
    </w:p>
    <w:p>
      <w:pPr>
        <w:spacing w:line="360" w:lineRule="auto"/>
        <w:ind w:firstLine="480" w:firstLineChars="200"/>
        <w:rPr>
          <w:rFonts w:ascii="宋体" w:hAnsi="宋体"/>
          <w:strike/>
          <w:color w:val="auto"/>
          <w:sz w:val="24"/>
        </w:rPr>
      </w:pPr>
      <w:r>
        <w:rPr>
          <w:rFonts w:hint="eastAsia" w:ascii="宋体" w:hAnsi="宋体"/>
          <w:strike/>
          <w:color w:val="auto"/>
          <w:sz w:val="24"/>
        </w:rPr>
        <w:t>16.1.3 采用电子形式的保函、担保或保证保险提交投标保证金的，应在招标文件中明确电子递交途径。</w:t>
      </w:r>
    </w:p>
    <w:p>
      <w:pPr>
        <w:spacing w:line="360" w:lineRule="auto"/>
        <w:ind w:firstLine="480" w:firstLineChars="200"/>
        <w:rPr>
          <w:rFonts w:ascii="宋体" w:hAnsi="宋体"/>
          <w:strike/>
          <w:color w:val="auto"/>
          <w:sz w:val="24"/>
        </w:rPr>
      </w:pPr>
      <w:r>
        <w:rPr>
          <w:rFonts w:hint="eastAsia" w:ascii="宋体" w:hAnsi="宋体"/>
          <w:strike/>
          <w:color w:val="auto"/>
          <w:sz w:val="24"/>
        </w:rPr>
        <w:t>16.2开标时投标人没有按要求提供投标保证金的，其投标文件将被否决；未按招标文件要求提交符合免予提供投标保证金相关证明材料，且未提交投标保证金的投标人，视为未按要求提供投标保证金。</w:t>
      </w:r>
    </w:p>
    <w:p>
      <w:pPr>
        <w:spacing w:line="360" w:lineRule="auto"/>
        <w:ind w:firstLine="480" w:firstLineChars="200"/>
        <w:rPr>
          <w:rFonts w:ascii="宋体" w:hAnsi="宋体"/>
          <w:strike/>
          <w:color w:val="auto"/>
          <w:sz w:val="24"/>
        </w:rPr>
      </w:pPr>
      <w:r>
        <w:rPr>
          <w:rFonts w:hint="eastAsia" w:ascii="宋体" w:hAnsi="宋体"/>
          <w:strike/>
          <w:color w:val="auto"/>
          <w:sz w:val="24"/>
        </w:rPr>
        <w:t>16.3投标保证金应依据法律法规的相关规定退还。</w:t>
      </w:r>
    </w:p>
    <w:p>
      <w:pPr>
        <w:spacing w:line="360" w:lineRule="auto"/>
        <w:ind w:firstLine="480" w:firstLineChars="200"/>
        <w:rPr>
          <w:rFonts w:ascii="宋体" w:hAnsi="宋体"/>
          <w:strike/>
          <w:color w:val="auto"/>
          <w:sz w:val="24"/>
        </w:rPr>
      </w:pPr>
      <w:r>
        <w:rPr>
          <w:rFonts w:hint="eastAsia" w:ascii="宋体" w:hAnsi="宋体"/>
          <w:strike/>
          <w:color w:val="auto"/>
          <w:sz w:val="24"/>
        </w:rPr>
        <w:t>16.4如有下列情况之一的，招标人可以不予退还投标保证金（是否退还投标保证金由招标人在招标文件中规定）：</w:t>
      </w:r>
    </w:p>
    <w:p>
      <w:pPr>
        <w:spacing w:line="360" w:lineRule="auto"/>
        <w:ind w:firstLine="480" w:firstLineChars="200"/>
        <w:rPr>
          <w:rFonts w:ascii="宋体" w:hAnsi="宋体"/>
          <w:strike/>
          <w:color w:val="auto"/>
          <w:sz w:val="24"/>
        </w:rPr>
      </w:pPr>
      <w:r>
        <w:rPr>
          <w:rFonts w:hint="eastAsia" w:ascii="宋体" w:hAnsi="宋体"/>
          <w:strike/>
          <w:color w:val="auto"/>
          <w:sz w:val="24"/>
        </w:rPr>
        <w:t>16.4.1因投标人原因造成投标文件未解密的；</w:t>
      </w:r>
    </w:p>
    <w:p>
      <w:pPr>
        <w:spacing w:line="360" w:lineRule="auto"/>
        <w:ind w:firstLine="480" w:firstLineChars="200"/>
        <w:rPr>
          <w:rFonts w:ascii="宋体" w:hAnsi="宋体"/>
          <w:strike/>
          <w:color w:val="auto"/>
          <w:sz w:val="24"/>
        </w:rPr>
      </w:pPr>
      <w:r>
        <w:rPr>
          <w:rFonts w:hint="eastAsia" w:ascii="宋体" w:hAnsi="宋体"/>
          <w:strike/>
          <w:color w:val="auto"/>
          <w:sz w:val="24"/>
        </w:rPr>
        <w:t>16.4.2投标人在投标有效期内撤销投标文件；</w:t>
      </w:r>
    </w:p>
    <w:p>
      <w:pPr>
        <w:spacing w:line="360" w:lineRule="auto"/>
        <w:ind w:firstLine="480" w:firstLineChars="200"/>
        <w:rPr>
          <w:rFonts w:ascii="宋体" w:hAnsi="宋体"/>
          <w:strike/>
          <w:color w:val="auto"/>
          <w:sz w:val="24"/>
        </w:rPr>
      </w:pPr>
      <w:r>
        <w:rPr>
          <w:rFonts w:hint="eastAsia" w:ascii="宋体" w:hAnsi="宋体"/>
          <w:strike/>
          <w:color w:val="auto"/>
          <w:sz w:val="24"/>
        </w:rPr>
        <w:t>16.4.3中标人未能在规定期限内按要求提交履约担保；</w:t>
      </w:r>
    </w:p>
    <w:p>
      <w:pPr>
        <w:spacing w:line="360" w:lineRule="auto"/>
        <w:ind w:firstLine="480" w:firstLineChars="200"/>
        <w:rPr>
          <w:rFonts w:ascii="宋体" w:hAnsi="宋体"/>
          <w:strike/>
          <w:color w:val="auto"/>
          <w:sz w:val="24"/>
        </w:rPr>
      </w:pPr>
      <w:r>
        <w:rPr>
          <w:rFonts w:hint="eastAsia" w:ascii="宋体" w:hAnsi="宋体"/>
          <w:strike/>
          <w:color w:val="auto"/>
          <w:sz w:val="24"/>
        </w:rPr>
        <w:t>16.4.4中标人未能在规定期限内签署合同协议。</w:t>
      </w:r>
    </w:p>
    <w:p>
      <w:pPr>
        <w:spacing w:line="360" w:lineRule="auto"/>
        <w:ind w:firstLine="480" w:firstLineChars="200"/>
        <w:rPr>
          <w:rFonts w:ascii="宋体" w:hAnsi="宋体"/>
          <w:strike/>
          <w:color w:val="auto"/>
          <w:sz w:val="24"/>
        </w:rPr>
      </w:pPr>
      <w:r>
        <w:rPr>
          <w:rFonts w:hint="eastAsia" w:ascii="宋体" w:hAnsi="宋体"/>
          <w:strike/>
          <w:color w:val="auto"/>
          <w:sz w:val="24"/>
        </w:rPr>
        <w:t>16.5投标人如存在下列情况之一的，将被拒绝在半年内参与招标人后续工程投标</w:t>
      </w:r>
      <w:r>
        <w:rPr>
          <w:rFonts w:hint="eastAsia" w:ascii="宋体" w:hAnsi="宋体" w:cs="宋体"/>
          <w:strike/>
          <w:color w:val="auto"/>
          <w:sz w:val="24"/>
        </w:rPr>
        <w:t>（</w:t>
      </w:r>
      <w:r>
        <w:rPr>
          <w:rFonts w:hint="eastAsia" w:ascii="宋体" w:hAnsi="宋体" w:cs="宋体"/>
          <w:strike/>
          <w:color w:val="auto"/>
          <w:sz w:val="24"/>
          <w:u w:val="single"/>
        </w:rPr>
        <w:t>注：拒绝投标时限由招标人视严重程度确定，最低三个月起，自招标人发出通知之日起计</w:t>
      </w:r>
      <w:r>
        <w:rPr>
          <w:rFonts w:hint="eastAsia" w:ascii="宋体" w:hAnsi="宋体" w:cs="宋体"/>
          <w:strike/>
          <w:color w:val="auto"/>
          <w:sz w:val="24"/>
        </w:rPr>
        <w:t>）</w:t>
      </w:r>
      <w:r>
        <w:rPr>
          <w:rFonts w:hint="eastAsia" w:ascii="宋体" w:hAnsi="宋体"/>
          <w:strike/>
          <w:color w:val="auto"/>
          <w:sz w:val="24"/>
        </w:rPr>
        <w:t>：</w:t>
      </w:r>
    </w:p>
    <w:p>
      <w:pPr>
        <w:spacing w:line="360" w:lineRule="auto"/>
        <w:ind w:firstLine="480" w:firstLineChars="200"/>
        <w:rPr>
          <w:rFonts w:ascii="宋体" w:hAnsi="宋体"/>
          <w:strike/>
          <w:color w:val="auto"/>
          <w:sz w:val="24"/>
        </w:rPr>
      </w:pPr>
      <w:r>
        <w:rPr>
          <w:rFonts w:hint="eastAsia" w:ascii="宋体" w:hAnsi="宋体"/>
          <w:strike/>
          <w:color w:val="auto"/>
          <w:sz w:val="24"/>
        </w:rPr>
        <w:t>16.5.1投标人存在16.4条款所列情形且投标人提交的保函、担保或保证保险无法兑付的；</w:t>
      </w:r>
    </w:p>
    <w:p>
      <w:pPr>
        <w:spacing w:line="360" w:lineRule="auto"/>
        <w:ind w:firstLine="480" w:firstLineChars="200"/>
        <w:rPr>
          <w:rFonts w:ascii="宋体" w:hAnsi="宋体"/>
          <w:strike/>
          <w:color w:val="auto"/>
          <w:sz w:val="24"/>
        </w:rPr>
      </w:pPr>
      <w:r>
        <w:rPr>
          <w:rFonts w:hint="eastAsia" w:ascii="宋体" w:hAnsi="宋体"/>
          <w:strike/>
          <w:color w:val="auto"/>
          <w:sz w:val="24"/>
        </w:rPr>
        <w:t>16.5.2采用非电子形式提交投标保证金的投标人存在16.4条款所列情形，且未按招标人要求补交银行保函、专业工程担保公司担保或保证保险原件的；</w:t>
      </w:r>
    </w:p>
    <w:p>
      <w:pPr>
        <w:spacing w:line="360" w:lineRule="auto"/>
        <w:ind w:firstLine="480" w:firstLineChars="200"/>
        <w:rPr>
          <w:rFonts w:ascii="宋体" w:hAnsi="宋体"/>
          <w:strike/>
          <w:color w:val="auto"/>
          <w:sz w:val="24"/>
        </w:rPr>
      </w:pPr>
      <w:r>
        <w:rPr>
          <w:rFonts w:hint="eastAsia" w:ascii="宋体" w:hAnsi="宋体"/>
          <w:strike/>
          <w:color w:val="auto"/>
          <w:sz w:val="24"/>
        </w:rPr>
        <w:t>16.5.3按招标文件要求免于提供投标保证金的投标人存在16.4条款所列情形，且未按招标人要求补交投标保证金的；</w:t>
      </w:r>
    </w:p>
    <w:p>
      <w:pPr>
        <w:spacing w:line="360" w:lineRule="auto"/>
        <w:ind w:firstLine="480" w:firstLineChars="200"/>
        <w:rPr>
          <w:rFonts w:ascii="宋体" w:hAnsi="宋体"/>
          <w:strike/>
          <w:color w:val="auto"/>
          <w:sz w:val="24"/>
        </w:rPr>
      </w:pPr>
      <w:r>
        <w:rPr>
          <w:rFonts w:hint="eastAsia" w:ascii="宋体" w:hAnsi="宋体"/>
          <w:strike/>
          <w:color w:val="auto"/>
          <w:sz w:val="24"/>
        </w:rPr>
        <w:t>16.5.3按招标文件要求免于提供投标保证金的投标人存在16.4条款所列情形的。</w:t>
      </w:r>
    </w:p>
    <w:p>
      <w:pPr>
        <w:spacing w:line="360" w:lineRule="auto"/>
        <w:ind w:firstLine="480" w:firstLineChars="200"/>
        <w:rPr>
          <w:rFonts w:ascii="宋体"/>
          <w:strike/>
          <w:color w:val="auto"/>
          <w:sz w:val="24"/>
        </w:rPr>
      </w:pPr>
      <w:r>
        <w:rPr>
          <w:rFonts w:hint="eastAsia" w:ascii="宋体" w:hAnsi="宋体"/>
          <w:strike/>
          <w:color w:val="auto"/>
          <w:sz w:val="24"/>
        </w:rPr>
        <w:t>注：16.5.3款由招标人二选一，需在招标文件中明确。</w:t>
      </w:r>
    </w:p>
    <w:p>
      <w:pPr>
        <w:pStyle w:val="5"/>
        <w:spacing w:after="0" w:line="360" w:lineRule="auto"/>
        <w:ind w:firstLine="482" w:firstLineChars="200"/>
        <w:rPr>
          <w:rFonts w:ascii="宋体"/>
          <w:b/>
          <w:bCs/>
          <w:color w:val="auto"/>
          <w:sz w:val="24"/>
        </w:rPr>
      </w:pPr>
      <w:r>
        <w:rPr>
          <w:rFonts w:ascii="宋体" w:hAnsi="宋体"/>
          <w:b/>
          <w:bCs/>
          <w:color w:val="auto"/>
          <w:sz w:val="24"/>
        </w:rPr>
        <w:t>17</w:t>
      </w:r>
      <w:r>
        <w:rPr>
          <w:rFonts w:hint="eastAsia" w:ascii="宋体" w:hAnsi="宋体"/>
          <w:b/>
          <w:bCs/>
          <w:color w:val="auto"/>
          <w:sz w:val="24"/>
        </w:rPr>
        <w:t>．投标文件的签署</w:t>
      </w:r>
    </w:p>
    <w:p>
      <w:pPr>
        <w:spacing w:line="360" w:lineRule="auto"/>
        <w:ind w:firstLine="480" w:firstLineChars="200"/>
        <w:rPr>
          <w:rFonts w:ascii="宋体" w:hAnsi="宋体"/>
          <w:color w:val="auto"/>
          <w:sz w:val="24"/>
        </w:rPr>
      </w:pPr>
      <w:r>
        <w:rPr>
          <w:rFonts w:hint="eastAsia" w:ascii="宋体" w:hAnsi="宋体"/>
          <w:color w:val="auto"/>
          <w:sz w:val="24"/>
        </w:rPr>
        <w:t>17.1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宋体" w:hAnsi="宋体"/>
          <w:color w:val="auto"/>
          <w:sz w:val="24"/>
          <w:u w:val="single"/>
        </w:rPr>
        <w:t>广州交易集团有限公司（广州公共资源交易中心）网站</w:t>
      </w:r>
      <w:r>
        <w:rPr>
          <w:rFonts w:hint="eastAsia" w:ascii="宋体" w:hAnsi="宋体"/>
          <w:color w:val="auto"/>
          <w:sz w:val="24"/>
        </w:rPr>
        <w:t>。</w:t>
      </w:r>
    </w:p>
    <w:p>
      <w:pPr>
        <w:pStyle w:val="8"/>
        <w:spacing w:before="156" w:beforeLines="50" w:beforeAutospacing="0" w:after="156" w:afterLines="50" w:afterAutospacing="0"/>
        <w:rPr>
          <w:color w:val="auto"/>
        </w:rPr>
      </w:pPr>
      <w:bookmarkStart w:id="16" w:name="_Toc12996"/>
      <w:bookmarkStart w:id="17" w:name="_Toc2272552"/>
      <w:r>
        <w:rPr>
          <w:rFonts w:hint="eastAsia"/>
          <w:color w:val="auto"/>
        </w:rPr>
        <w:t>（四）投标文件的提交</w:t>
      </w:r>
      <w:bookmarkEnd w:id="16"/>
      <w:bookmarkEnd w:id="17"/>
    </w:p>
    <w:p>
      <w:pPr>
        <w:ind w:firstLine="482"/>
        <w:rPr>
          <w:rFonts w:ascii="宋体" w:hAnsi="宋体"/>
          <w:b/>
          <w:bCs/>
          <w:color w:val="auto"/>
          <w:sz w:val="24"/>
        </w:rPr>
      </w:pPr>
      <w:r>
        <w:rPr>
          <w:rFonts w:hint="eastAsia" w:ascii="宋体" w:hAnsi="宋体"/>
          <w:b/>
          <w:bCs/>
          <w:color w:val="auto"/>
          <w:sz w:val="24"/>
        </w:rPr>
        <w:t>18．投标文件的密封和标记</w:t>
      </w:r>
    </w:p>
    <w:p>
      <w:pPr>
        <w:spacing w:line="360" w:lineRule="auto"/>
        <w:ind w:firstLine="480" w:firstLineChars="200"/>
        <w:rPr>
          <w:rFonts w:ascii="宋体" w:hAnsi="宋体" w:cs="宋体"/>
          <w:bCs/>
          <w:color w:val="auto"/>
          <w:szCs w:val="21"/>
        </w:rPr>
      </w:pPr>
      <w:r>
        <w:rPr>
          <w:rFonts w:hint="eastAsia" w:ascii="宋体" w:hAnsi="宋体"/>
          <w:color w:val="auto"/>
          <w:sz w:val="24"/>
        </w:rPr>
        <w:t>18.1递交的电子投标文件（不含备用光盘）必须进行加密。按照交易平台关于全流程电子化项目的相关指南进行操作。详见：</w:t>
      </w:r>
      <w:r>
        <w:rPr>
          <w:rFonts w:hint="eastAsia" w:ascii="宋体" w:hAnsi="宋体"/>
          <w:color w:val="auto"/>
          <w:sz w:val="24"/>
          <w:u w:val="single"/>
        </w:rPr>
        <w:t>广州交易集团有限公司（广州公共资源交易中心）网站</w:t>
      </w:r>
      <w:r>
        <w:rPr>
          <w:rFonts w:hint="eastAsia" w:ascii="宋体" w:hAnsi="宋体" w:cs="宋体"/>
          <w:color w:val="auto"/>
          <w:szCs w:val="21"/>
        </w:rPr>
        <w:t>。</w:t>
      </w:r>
    </w:p>
    <w:p>
      <w:pPr>
        <w:spacing w:line="360" w:lineRule="auto"/>
        <w:ind w:firstLine="480" w:firstLineChars="200"/>
        <w:rPr>
          <w:rFonts w:ascii="宋体" w:hAnsi="宋体" w:cs="宋体"/>
          <w:bCs/>
          <w:color w:val="auto"/>
          <w:szCs w:val="21"/>
        </w:rPr>
      </w:pPr>
      <w:r>
        <w:rPr>
          <w:rFonts w:hint="eastAsia" w:ascii="宋体" w:hAnsi="宋体"/>
          <w:color w:val="auto"/>
          <w:sz w:val="24"/>
        </w:rPr>
        <w:t>18.2 未按要求加密的投标文件，</w:t>
      </w:r>
      <w:r>
        <w:rPr>
          <w:rFonts w:hint="eastAsia" w:ascii="宋体" w:hAnsi="宋体"/>
          <w:color w:val="auto"/>
          <w:sz w:val="24"/>
          <w:u w:val="single"/>
        </w:rPr>
        <w:t>广州交易集团有限公司（广州公共资源交易中心）</w:t>
      </w:r>
      <w:r>
        <w:rPr>
          <w:rFonts w:hint="eastAsia" w:ascii="宋体" w:hAnsi="宋体"/>
          <w:color w:val="auto"/>
          <w:sz w:val="24"/>
        </w:rPr>
        <w:t>交易平台将予以拒收。</w:t>
      </w:r>
    </w:p>
    <w:p>
      <w:pPr>
        <w:ind w:firstLine="482"/>
        <w:rPr>
          <w:rFonts w:ascii="宋体" w:hAnsi="宋体"/>
          <w:b/>
          <w:bCs/>
          <w:color w:val="auto"/>
          <w:sz w:val="24"/>
        </w:rPr>
      </w:pPr>
      <w:r>
        <w:rPr>
          <w:rFonts w:hint="eastAsia" w:ascii="宋体" w:hAnsi="宋体"/>
          <w:b/>
          <w:bCs/>
          <w:color w:val="auto"/>
          <w:sz w:val="24"/>
        </w:rPr>
        <w:t>19．投标文件的递交和接收</w:t>
      </w:r>
    </w:p>
    <w:p>
      <w:pPr>
        <w:spacing w:line="360" w:lineRule="auto"/>
        <w:ind w:firstLine="480" w:firstLineChars="200"/>
        <w:rPr>
          <w:rFonts w:ascii="宋体" w:hAnsi="宋体"/>
          <w:color w:val="auto"/>
          <w:sz w:val="24"/>
        </w:rPr>
      </w:pPr>
      <w:r>
        <w:rPr>
          <w:rFonts w:hint="eastAsia" w:ascii="宋体" w:hAnsi="宋体"/>
          <w:color w:val="auto"/>
          <w:sz w:val="24"/>
        </w:rPr>
        <w:t>19.1投标人通过</w:t>
      </w:r>
      <w:r>
        <w:rPr>
          <w:rFonts w:hint="eastAsia" w:ascii="宋体" w:hAnsi="宋体"/>
          <w:color w:val="auto"/>
          <w:sz w:val="24"/>
          <w:u w:val="single"/>
        </w:rPr>
        <w:t>广州交易集团有限公司（广州公共资源交易中心）</w:t>
      </w:r>
      <w:r>
        <w:rPr>
          <w:rFonts w:hint="eastAsia" w:ascii="宋体" w:hAnsi="宋体"/>
          <w:color w:val="auto"/>
          <w:sz w:val="24"/>
        </w:rPr>
        <w:t>交易平台递交电子投标文件。</w:t>
      </w:r>
    </w:p>
    <w:p>
      <w:pPr>
        <w:spacing w:line="360" w:lineRule="auto"/>
        <w:ind w:firstLine="480" w:firstLineChars="200"/>
        <w:rPr>
          <w:rFonts w:ascii="宋体" w:hAnsi="宋体"/>
          <w:color w:val="auto"/>
          <w:sz w:val="24"/>
        </w:rPr>
      </w:pPr>
      <w:r>
        <w:rPr>
          <w:rFonts w:hint="eastAsia" w:ascii="宋体" w:hAnsi="宋体"/>
          <w:color w:val="auto"/>
          <w:sz w:val="24"/>
        </w:rPr>
        <w:t>19.2投标人完成电子投标文件上传后</w:t>
      </w:r>
      <w:r>
        <w:rPr>
          <w:rFonts w:hint="eastAsia" w:ascii="宋体" w:hAnsi="宋体" w:cs="宋体"/>
          <w:bCs/>
          <w:color w:val="auto"/>
          <w:szCs w:val="21"/>
        </w:rPr>
        <w:t>，</w:t>
      </w:r>
      <w:r>
        <w:rPr>
          <w:rFonts w:hint="eastAsia" w:ascii="宋体" w:hAnsi="宋体"/>
          <w:color w:val="auto"/>
          <w:sz w:val="24"/>
          <w:u w:val="single"/>
        </w:rPr>
        <w:t>广州交易集团有限公司（广州公共资源交易中心）</w:t>
      </w:r>
      <w:r>
        <w:rPr>
          <w:rFonts w:hint="eastAsia" w:ascii="宋体" w:hAnsi="宋体"/>
          <w:color w:val="auto"/>
          <w:sz w:val="24"/>
        </w:rPr>
        <w:t>交易平台即时向投标人发出递交回执通知。递交时间以递交回执通知载明的传输完成时间为准。</w:t>
      </w:r>
    </w:p>
    <w:p>
      <w:pPr>
        <w:spacing w:line="360" w:lineRule="auto"/>
        <w:ind w:firstLine="480" w:firstLineChars="200"/>
        <w:rPr>
          <w:rFonts w:ascii="宋体" w:hAnsi="宋体"/>
          <w:color w:val="auto"/>
          <w:sz w:val="24"/>
        </w:rPr>
      </w:pPr>
      <w:r>
        <w:rPr>
          <w:rFonts w:hint="eastAsia" w:ascii="宋体" w:hAnsi="宋体"/>
          <w:color w:val="auto"/>
          <w:sz w:val="24"/>
        </w:rPr>
        <w:t>19.3逾期送达的电子投标文件</w:t>
      </w:r>
      <w:r>
        <w:rPr>
          <w:rFonts w:hint="eastAsia" w:ascii="宋体" w:hAnsi="宋体" w:cs="宋体"/>
          <w:bCs/>
          <w:color w:val="auto"/>
          <w:szCs w:val="21"/>
        </w:rPr>
        <w:t>，</w:t>
      </w:r>
      <w:r>
        <w:rPr>
          <w:rFonts w:hint="eastAsia" w:ascii="宋体" w:hAnsi="宋体"/>
          <w:color w:val="auto"/>
          <w:sz w:val="24"/>
          <w:u w:val="single"/>
        </w:rPr>
        <w:t xml:space="preserve">广州交易集团有限公司（广州公共资源交易中心） </w:t>
      </w:r>
      <w:r>
        <w:rPr>
          <w:rFonts w:hint="eastAsia" w:ascii="宋体" w:hAnsi="宋体"/>
          <w:color w:val="auto"/>
          <w:sz w:val="24"/>
        </w:rPr>
        <w:t>交易平台将予以拒收。</w:t>
      </w:r>
    </w:p>
    <w:p>
      <w:pPr>
        <w:spacing w:line="360" w:lineRule="auto"/>
        <w:ind w:firstLine="480" w:firstLineChars="200"/>
        <w:rPr>
          <w:rFonts w:ascii="宋体" w:hAnsi="宋体"/>
          <w:color w:val="auto"/>
          <w:sz w:val="24"/>
        </w:rPr>
      </w:pPr>
      <w:r>
        <w:rPr>
          <w:rFonts w:hint="eastAsia" w:ascii="宋体" w:hAnsi="宋体"/>
          <w:color w:val="auto"/>
          <w:sz w:val="24"/>
        </w:rPr>
        <w:t>19.4 投标截止前，招标人拒绝接收符合条件的投标文件，投标人可向招标投标监督机构投诉。</w:t>
      </w:r>
    </w:p>
    <w:p>
      <w:pPr>
        <w:spacing w:line="360" w:lineRule="auto"/>
        <w:ind w:firstLine="482" w:firstLineChars="200"/>
        <w:rPr>
          <w:rFonts w:ascii="宋体"/>
          <w:b/>
          <w:bCs/>
          <w:color w:val="auto"/>
          <w:sz w:val="24"/>
        </w:rPr>
      </w:pPr>
      <w:r>
        <w:rPr>
          <w:rFonts w:ascii="宋体" w:hAnsi="宋体"/>
          <w:b/>
          <w:bCs/>
          <w:color w:val="auto"/>
          <w:sz w:val="24"/>
        </w:rPr>
        <w:t>20</w:t>
      </w:r>
      <w:r>
        <w:rPr>
          <w:rFonts w:hint="eastAsia" w:ascii="宋体" w:hAnsi="宋体"/>
          <w:b/>
          <w:bCs/>
          <w:color w:val="auto"/>
          <w:sz w:val="24"/>
        </w:rPr>
        <w:t>．投标文件提交的截止时间</w:t>
      </w:r>
    </w:p>
    <w:p>
      <w:pPr>
        <w:spacing w:line="360" w:lineRule="auto"/>
        <w:ind w:firstLine="480" w:firstLineChars="200"/>
        <w:rPr>
          <w:rFonts w:ascii="宋体"/>
          <w:b/>
          <w:bCs/>
          <w:color w:val="auto"/>
          <w:sz w:val="24"/>
        </w:rPr>
      </w:pPr>
      <w:r>
        <w:rPr>
          <w:rFonts w:ascii="宋体" w:hAnsi="宋体"/>
          <w:color w:val="auto"/>
          <w:sz w:val="24"/>
        </w:rPr>
        <w:t>20.1</w:t>
      </w:r>
      <w:r>
        <w:rPr>
          <w:rFonts w:hint="eastAsia" w:ascii="宋体" w:hAnsi="宋体"/>
          <w:color w:val="auto"/>
          <w:sz w:val="24"/>
        </w:rPr>
        <w:t>投标人应在投标须知前附表第17项所述的时间前提交投标文件。</w:t>
      </w:r>
    </w:p>
    <w:p>
      <w:pPr>
        <w:spacing w:line="360" w:lineRule="auto"/>
        <w:ind w:firstLine="480" w:firstLineChars="200"/>
        <w:rPr>
          <w:rFonts w:ascii="宋体"/>
          <w:color w:val="auto"/>
          <w:sz w:val="24"/>
        </w:rPr>
      </w:pPr>
      <w:r>
        <w:rPr>
          <w:rFonts w:ascii="宋体" w:hAnsi="宋体"/>
          <w:color w:val="auto"/>
          <w:sz w:val="24"/>
        </w:rPr>
        <w:t>20.2</w:t>
      </w:r>
      <w:r>
        <w:rPr>
          <w:rFonts w:hint="eastAsia" w:ascii="宋体" w:hAnsi="宋体"/>
          <w:color w:val="auto"/>
          <w:sz w:val="24"/>
        </w:rPr>
        <w:t>招标人可按本须知第</w:t>
      </w:r>
      <w:r>
        <w:rPr>
          <w:rFonts w:ascii="宋体" w:hAnsi="宋体"/>
          <w:color w:val="auto"/>
          <w:sz w:val="24"/>
        </w:rPr>
        <w:t>9</w:t>
      </w:r>
      <w:r>
        <w:rPr>
          <w:rFonts w:hint="eastAsia" w:ascii="宋体" w:hAnsi="宋体"/>
          <w:color w:val="auto"/>
          <w:sz w:val="24"/>
        </w:rPr>
        <w:t>条规定以招标文件修改的方式，酌情延长提交投标文件的截止时间。在此情况下，投标人的所有权利和义务以及投标人受制约的截止时间，均以延长后新的投标截止时间为准。</w:t>
      </w:r>
    </w:p>
    <w:p>
      <w:pPr>
        <w:spacing w:line="360" w:lineRule="auto"/>
        <w:ind w:firstLine="480" w:firstLineChars="200"/>
        <w:rPr>
          <w:rFonts w:ascii="宋体"/>
          <w:color w:val="auto"/>
          <w:sz w:val="24"/>
        </w:rPr>
      </w:pPr>
      <w:r>
        <w:rPr>
          <w:rFonts w:ascii="宋体" w:hAnsi="宋体"/>
          <w:color w:val="auto"/>
          <w:sz w:val="24"/>
        </w:rPr>
        <w:t xml:space="preserve">20.3 </w:t>
      </w:r>
      <w:r>
        <w:rPr>
          <w:rFonts w:hint="eastAsia" w:ascii="宋体" w:hAnsi="宋体"/>
          <w:color w:val="auto"/>
          <w:sz w:val="24"/>
        </w:rPr>
        <w:t>到投标截止时间止，招标人收到的投标文件少于3家的，招标人将重新组织招标</w:t>
      </w:r>
      <w:r>
        <w:rPr>
          <w:rFonts w:hint="eastAsia" w:ascii="宋体" w:hAnsi="宋体"/>
          <w:color w:val="auto"/>
          <w:sz w:val="24"/>
          <w:szCs w:val="24"/>
        </w:rPr>
        <w:t>（当</w:t>
      </w:r>
      <w:r>
        <w:rPr>
          <w:rFonts w:ascii="宋体" w:hAnsi="宋体"/>
          <w:color w:val="auto"/>
          <w:sz w:val="24"/>
          <w:szCs w:val="24"/>
        </w:rPr>
        <w:t>N</w:t>
      </w:r>
      <w:r>
        <w:rPr>
          <w:rFonts w:hint="eastAsia" w:ascii="宋体" w:hAnsi="宋体"/>
          <w:color w:val="auto"/>
          <w:sz w:val="24"/>
          <w:szCs w:val="24"/>
        </w:rPr>
        <w:t>个标段同时招标且不允许兼中时，若有效投标人不足</w:t>
      </w:r>
      <w:r>
        <w:rPr>
          <w:rFonts w:ascii="宋体" w:hAnsi="宋体"/>
          <w:color w:val="auto"/>
          <w:sz w:val="24"/>
          <w:szCs w:val="24"/>
        </w:rPr>
        <w:t>N+</w:t>
      </w:r>
      <w:r>
        <w:rPr>
          <w:rFonts w:hint="eastAsia" w:ascii="宋体" w:hAnsi="宋体"/>
          <w:color w:val="auto"/>
          <w:sz w:val="24"/>
          <w:szCs w:val="24"/>
        </w:rPr>
        <w:t>2家，则重新组织招标）</w:t>
      </w:r>
      <w:r>
        <w:rPr>
          <w:rFonts w:hint="eastAsia" w:ascii="宋体" w:hAnsi="宋体"/>
          <w:color w:val="auto"/>
          <w:sz w:val="24"/>
        </w:rPr>
        <w:t>。</w:t>
      </w:r>
    </w:p>
    <w:p>
      <w:pPr>
        <w:spacing w:line="360" w:lineRule="auto"/>
        <w:ind w:firstLine="482" w:firstLineChars="200"/>
        <w:rPr>
          <w:rFonts w:ascii="宋体"/>
          <w:b/>
          <w:bCs/>
          <w:color w:val="auto"/>
          <w:sz w:val="24"/>
        </w:rPr>
      </w:pPr>
      <w:r>
        <w:rPr>
          <w:rFonts w:ascii="宋体" w:hAnsi="宋体"/>
          <w:b/>
          <w:bCs/>
          <w:color w:val="auto"/>
          <w:sz w:val="24"/>
        </w:rPr>
        <w:t>21</w:t>
      </w:r>
      <w:r>
        <w:rPr>
          <w:rFonts w:hint="eastAsia" w:ascii="宋体" w:hAnsi="宋体"/>
          <w:b/>
          <w:bCs/>
          <w:color w:val="auto"/>
          <w:sz w:val="24"/>
        </w:rPr>
        <w:t>．迟交的投标文件</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21.1 本须知前附表第17项规定的投标截止时间后送达的电子投标文件，</w:t>
      </w:r>
      <w:r>
        <w:rPr>
          <w:rFonts w:hint="eastAsia" w:ascii="宋体" w:hAnsi="宋体"/>
          <w:color w:val="auto"/>
          <w:sz w:val="24"/>
          <w:szCs w:val="24"/>
          <w:u w:val="single"/>
        </w:rPr>
        <w:t>广州交易集团有限公司（广州公共资源交易中心）</w:t>
      </w:r>
      <w:r>
        <w:rPr>
          <w:rFonts w:hint="eastAsia" w:ascii="宋体" w:hAnsi="宋体"/>
          <w:color w:val="auto"/>
          <w:sz w:val="24"/>
          <w:szCs w:val="24"/>
        </w:rPr>
        <w:t>交易平台将予以拒收。</w:t>
      </w:r>
    </w:p>
    <w:p>
      <w:pPr>
        <w:spacing w:line="360" w:lineRule="auto"/>
        <w:ind w:firstLine="482" w:firstLineChars="200"/>
        <w:rPr>
          <w:rFonts w:ascii="宋体"/>
          <w:b/>
          <w:bCs/>
          <w:color w:val="auto"/>
          <w:sz w:val="24"/>
        </w:rPr>
      </w:pPr>
      <w:r>
        <w:rPr>
          <w:rFonts w:ascii="宋体" w:hAnsi="宋体"/>
          <w:b/>
          <w:bCs/>
          <w:color w:val="auto"/>
          <w:sz w:val="24"/>
        </w:rPr>
        <w:t>22</w:t>
      </w:r>
      <w:r>
        <w:rPr>
          <w:rFonts w:hint="eastAsia" w:ascii="宋体" w:hAnsi="宋体"/>
          <w:b/>
          <w:bCs/>
          <w:color w:val="auto"/>
          <w:sz w:val="24"/>
        </w:rPr>
        <w:t>．投标文件的修改与撤回</w:t>
      </w:r>
    </w:p>
    <w:p>
      <w:pPr>
        <w:spacing w:line="360" w:lineRule="auto"/>
        <w:ind w:firstLine="480" w:firstLineChars="200"/>
        <w:rPr>
          <w:rFonts w:ascii="宋体"/>
          <w:color w:val="auto"/>
          <w:sz w:val="24"/>
        </w:rPr>
      </w:pPr>
      <w:r>
        <w:rPr>
          <w:rFonts w:ascii="宋体" w:hAnsi="宋体"/>
          <w:color w:val="auto"/>
          <w:sz w:val="24"/>
        </w:rPr>
        <w:t>22.1</w:t>
      </w:r>
      <w:r>
        <w:rPr>
          <w:rFonts w:hint="eastAsia" w:ascii="宋体" w:hAnsi="宋体"/>
          <w:color w:val="auto"/>
          <w:sz w:val="24"/>
        </w:rPr>
        <w:t>在规定的投标截止时间前，投标人可以修改或撤回已递交的投标文件，但应以书面形式通知招标人。</w:t>
      </w:r>
    </w:p>
    <w:p>
      <w:pPr>
        <w:spacing w:line="360" w:lineRule="auto"/>
        <w:ind w:firstLine="480" w:firstLineChars="200"/>
        <w:rPr>
          <w:color w:val="auto"/>
          <w:sz w:val="24"/>
          <w:szCs w:val="24"/>
        </w:rPr>
      </w:pPr>
      <w:r>
        <w:rPr>
          <w:rFonts w:ascii="宋体" w:hAnsi="宋体"/>
          <w:color w:val="auto"/>
          <w:sz w:val="24"/>
          <w:szCs w:val="24"/>
        </w:rPr>
        <w:t>22.2</w:t>
      </w:r>
      <w:r>
        <w:rPr>
          <w:color w:val="auto"/>
          <w:sz w:val="24"/>
          <w:szCs w:val="24"/>
        </w:rPr>
        <w:t>投标人修改或撤回已递交</w:t>
      </w:r>
      <w:r>
        <w:rPr>
          <w:rFonts w:hint="eastAsia"/>
          <w:color w:val="auto"/>
          <w:sz w:val="24"/>
          <w:szCs w:val="24"/>
        </w:rPr>
        <w:t>的</w:t>
      </w:r>
      <w:r>
        <w:rPr>
          <w:color w:val="auto"/>
          <w:sz w:val="24"/>
          <w:szCs w:val="24"/>
        </w:rPr>
        <w:t>投标文件</w:t>
      </w:r>
      <w:r>
        <w:rPr>
          <w:rFonts w:hint="eastAsia"/>
          <w:color w:val="auto"/>
          <w:sz w:val="24"/>
          <w:szCs w:val="24"/>
        </w:rPr>
        <w:t>，需在</w:t>
      </w:r>
      <w:r>
        <w:rPr>
          <w:rFonts w:hint="eastAsia" w:ascii="宋体" w:hAnsi="宋体"/>
          <w:color w:val="auto"/>
          <w:sz w:val="24"/>
        </w:rPr>
        <w:t>交易平台发出修改或撤回</w:t>
      </w:r>
      <w:r>
        <w:rPr>
          <w:color w:val="auto"/>
          <w:sz w:val="24"/>
          <w:szCs w:val="24"/>
        </w:rPr>
        <w:t>通知，</w:t>
      </w:r>
      <w:r>
        <w:rPr>
          <w:rFonts w:hint="eastAsia"/>
          <w:color w:val="auto"/>
          <w:sz w:val="24"/>
          <w:szCs w:val="24"/>
        </w:rPr>
        <w:t>并按</w:t>
      </w:r>
      <w:r>
        <w:rPr>
          <w:color w:val="auto"/>
          <w:sz w:val="24"/>
          <w:szCs w:val="24"/>
        </w:rPr>
        <w:t>要求加盖电子印章。</w:t>
      </w:r>
      <w:r>
        <w:rPr>
          <w:bCs/>
          <w:iCs/>
          <w:color w:val="auto"/>
          <w:sz w:val="24"/>
          <w:szCs w:val="24"/>
        </w:rPr>
        <w:t>电子招标投标交易平台收到通知后，</w:t>
      </w:r>
      <w:r>
        <w:rPr>
          <w:color w:val="auto"/>
          <w:sz w:val="24"/>
          <w:szCs w:val="24"/>
        </w:rPr>
        <w:t>即时向投标人发出确认回执通知。</w:t>
      </w:r>
    </w:p>
    <w:p>
      <w:pPr>
        <w:spacing w:line="360" w:lineRule="auto"/>
        <w:ind w:firstLine="480" w:firstLineChars="200"/>
        <w:rPr>
          <w:color w:val="auto"/>
          <w:sz w:val="24"/>
          <w:szCs w:val="24"/>
        </w:rPr>
      </w:pPr>
      <w:r>
        <w:rPr>
          <w:rFonts w:hint="eastAsia" w:ascii="宋体" w:hAnsi="宋体"/>
          <w:color w:val="auto"/>
          <w:sz w:val="24"/>
          <w:szCs w:val="24"/>
        </w:rPr>
        <w:t>22.3</w:t>
      </w:r>
      <w:r>
        <w:rPr>
          <w:rFonts w:hint="eastAsia"/>
          <w:color w:val="auto"/>
          <w:sz w:val="24"/>
          <w:szCs w:val="24"/>
        </w:rPr>
        <w:t>修改后再次递交的，按19点的规定执行。</w:t>
      </w:r>
    </w:p>
    <w:p>
      <w:pPr>
        <w:spacing w:line="360" w:lineRule="auto"/>
        <w:ind w:firstLine="480" w:firstLineChars="200"/>
        <w:rPr>
          <w:rFonts w:ascii="宋体" w:hAnsi="宋体"/>
          <w:color w:val="auto"/>
          <w:sz w:val="24"/>
        </w:rPr>
      </w:pPr>
      <w:r>
        <w:rPr>
          <w:rFonts w:ascii="宋体" w:hAnsi="宋体"/>
          <w:color w:val="auto"/>
          <w:sz w:val="24"/>
        </w:rPr>
        <w:t>22.</w:t>
      </w:r>
      <w:r>
        <w:rPr>
          <w:rFonts w:hint="eastAsia" w:ascii="宋体" w:hAnsi="宋体"/>
          <w:color w:val="auto"/>
          <w:sz w:val="24"/>
        </w:rPr>
        <w:t>4</w:t>
      </w:r>
      <w:r>
        <w:rPr>
          <w:rFonts w:ascii="宋体" w:hAnsi="宋体"/>
          <w:color w:val="auto"/>
          <w:sz w:val="24"/>
        </w:rPr>
        <w:t xml:space="preserve"> </w:t>
      </w:r>
      <w:r>
        <w:rPr>
          <w:rFonts w:hint="eastAsia" w:ascii="宋体" w:hAnsi="宋体"/>
          <w:color w:val="auto"/>
          <w:sz w:val="24"/>
        </w:rPr>
        <w:t>在投标截止时间之后，投标人不得补充、修改和更换投标文件。</w:t>
      </w:r>
    </w:p>
    <w:p>
      <w:pPr>
        <w:pStyle w:val="8"/>
        <w:spacing w:before="156" w:beforeLines="50" w:beforeAutospacing="0" w:after="156" w:afterLines="50" w:afterAutospacing="0"/>
        <w:rPr>
          <w:color w:val="auto"/>
        </w:rPr>
      </w:pPr>
      <w:bookmarkStart w:id="18" w:name="_Toc2272553"/>
      <w:bookmarkStart w:id="19" w:name="_Toc22387"/>
      <w:r>
        <w:rPr>
          <w:rFonts w:hint="eastAsia"/>
          <w:color w:val="auto"/>
        </w:rPr>
        <w:t>（五）开标、评标、定标及合同签定</w:t>
      </w:r>
      <w:bookmarkEnd w:id="18"/>
      <w:bookmarkEnd w:id="19"/>
    </w:p>
    <w:p>
      <w:pPr>
        <w:spacing w:line="360" w:lineRule="auto"/>
        <w:ind w:firstLine="482" w:firstLineChars="200"/>
        <w:rPr>
          <w:rFonts w:ascii="宋体"/>
          <w:b/>
          <w:bCs/>
          <w:color w:val="auto"/>
          <w:sz w:val="24"/>
        </w:rPr>
      </w:pPr>
      <w:r>
        <w:rPr>
          <w:rFonts w:ascii="宋体" w:hAnsi="宋体"/>
          <w:b/>
          <w:bCs/>
          <w:color w:val="auto"/>
          <w:sz w:val="24"/>
        </w:rPr>
        <w:t>23</w:t>
      </w:r>
      <w:r>
        <w:rPr>
          <w:rFonts w:hint="eastAsia" w:ascii="宋体" w:hAnsi="宋体"/>
          <w:b/>
          <w:bCs/>
          <w:color w:val="auto"/>
          <w:sz w:val="24"/>
        </w:rPr>
        <w:t>、开标。</w:t>
      </w:r>
    </w:p>
    <w:p>
      <w:pPr>
        <w:spacing w:line="360" w:lineRule="auto"/>
        <w:ind w:firstLine="480" w:firstLineChars="200"/>
        <w:rPr>
          <w:rFonts w:ascii="宋体"/>
          <w:color w:val="auto"/>
          <w:sz w:val="24"/>
        </w:rPr>
      </w:pPr>
      <w:r>
        <w:rPr>
          <w:rFonts w:hint="eastAsia" w:ascii="宋体" w:hAnsi="宋体"/>
          <w:color w:val="auto"/>
          <w:sz w:val="24"/>
        </w:rPr>
        <w:t>详见第二章开标、评标及定标办法</w:t>
      </w:r>
    </w:p>
    <w:p>
      <w:pPr>
        <w:spacing w:line="360" w:lineRule="auto"/>
        <w:ind w:firstLine="482" w:firstLineChars="200"/>
        <w:rPr>
          <w:rFonts w:ascii="宋体"/>
          <w:b/>
          <w:bCs/>
          <w:color w:val="auto"/>
          <w:sz w:val="24"/>
        </w:rPr>
      </w:pPr>
      <w:r>
        <w:rPr>
          <w:rFonts w:ascii="宋体" w:hAnsi="宋体"/>
          <w:b/>
          <w:bCs/>
          <w:color w:val="auto"/>
          <w:sz w:val="24"/>
        </w:rPr>
        <w:t>24</w:t>
      </w:r>
      <w:r>
        <w:rPr>
          <w:rFonts w:hint="eastAsia" w:ascii="宋体" w:hAnsi="宋体"/>
          <w:b/>
          <w:bCs/>
          <w:color w:val="auto"/>
          <w:sz w:val="24"/>
        </w:rPr>
        <w:t>．评标过程的保密</w:t>
      </w:r>
    </w:p>
    <w:p>
      <w:pPr>
        <w:spacing w:line="360" w:lineRule="auto"/>
        <w:ind w:firstLine="480" w:firstLineChars="200"/>
        <w:rPr>
          <w:rFonts w:ascii="宋体"/>
          <w:color w:val="auto"/>
          <w:sz w:val="24"/>
        </w:rPr>
      </w:pPr>
      <w:r>
        <w:rPr>
          <w:rFonts w:ascii="宋体" w:hAnsi="宋体"/>
          <w:color w:val="auto"/>
          <w:sz w:val="24"/>
        </w:rPr>
        <w:t xml:space="preserve">24.1 </w:t>
      </w:r>
      <w:r>
        <w:rPr>
          <w:rFonts w:hint="eastAsia" w:ascii="宋体" w:hAnsi="宋体"/>
          <w:color w:val="auto"/>
          <w:sz w:val="24"/>
        </w:rPr>
        <w:t>开标后，直至中标公示为止，凡属于对投标文件的审查、澄清、评价和比较有关的资料以及中标候选人的推荐情况，与评标有关的其他任何情况均严格保密。</w:t>
      </w:r>
    </w:p>
    <w:p>
      <w:pPr>
        <w:spacing w:line="360" w:lineRule="auto"/>
        <w:ind w:firstLine="480" w:firstLineChars="200"/>
        <w:rPr>
          <w:rFonts w:ascii="宋体"/>
          <w:color w:val="auto"/>
          <w:sz w:val="24"/>
        </w:rPr>
      </w:pPr>
      <w:r>
        <w:rPr>
          <w:rFonts w:ascii="宋体" w:hAnsi="宋体"/>
          <w:color w:val="auto"/>
          <w:sz w:val="24"/>
        </w:rPr>
        <w:t xml:space="preserve">24.2 </w:t>
      </w:r>
      <w:r>
        <w:rPr>
          <w:rFonts w:hint="eastAsia" w:ascii="宋体" w:hAnsi="宋体"/>
          <w:color w:val="auto"/>
          <w:sz w:val="24"/>
        </w:rPr>
        <w:t>在投标文件的评审和比较、中标候选人推荐以及授予合同的过程中，投标人向招标人和评标委员会施加不公正影响的任何行为，都将会导致其投标被拒绝。</w:t>
      </w:r>
    </w:p>
    <w:p>
      <w:pPr>
        <w:spacing w:line="360" w:lineRule="auto"/>
        <w:ind w:firstLine="482" w:firstLineChars="200"/>
        <w:rPr>
          <w:rFonts w:ascii="宋体"/>
          <w:b/>
          <w:bCs/>
          <w:color w:val="auto"/>
          <w:sz w:val="24"/>
        </w:rPr>
      </w:pPr>
      <w:r>
        <w:rPr>
          <w:rFonts w:ascii="宋体" w:hAnsi="宋体"/>
          <w:b/>
          <w:bCs/>
          <w:color w:val="auto"/>
          <w:sz w:val="24"/>
        </w:rPr>
        <w:t>25</w:t>
      </w:r>
      <w:r>
        <w:rPr>
          <w:rFonts w:hint="eastAsia" w:ascii="宋体" w:hAnsi="宋体"/>
          <w:b/>
          <w:bCs/>
          <w:color w:val="auto"/>
          <w:sz w:val="24"/>
        </w:rPr>
        <w:t>．投标文件的澄清，计算错误的修正</w:t>
      </w:r>
    </w:p>
    <w:p>
      <w:pPr>
        <w:spacing w:line="360" w:lineRule="auto"/>
        <w:ind w:firstLine="480" w:firstLineChars="200"/>
        <w:rPr>
          <w:rFonts w:ascii="宋体"/>
          <w:color w:val="auto"/>
          <w:sz w:val="24"/>
        </w:rPr>
      </w:pPr>
      <w:r>
        <w:rPr>
          <w:rFonts w:hint="eastAsia" w:ascii="宋体" w:hAnsi="宋体"/>
          <w:color w:val="auto"/>
          <w:sz w:val="24"/>
        </w:rPr>
        <w:t>详见招标文件第二章开标、评标及定标办法</w:t>
      </w:r>
    </w:p>
    <w:p>
      <w:pPr>
        <w:spacing w:line="360" w:lineRule="auto"/>
        <w:ind w:firstLine="482" w:firstLineChars="200"/>
        <w:rPr>
          <w:rFonts w:ascii="宋体"/>
          <w:b/>
          <w:bCs/>
          <w:color w:val="auto"/>
          <w:sz w:val="24"/>
        </w:rPr>
      </w:pPr>
      <w:r>
        <w:rPr>
          <w:rFonts w:ascii="宋体" w:hAnsi="宋体"/>
          <w:b/>
          <w:bCs/>
          <w:color w:val="auto"/>
          <w:sz w:val="24"/>
        </w:rPr>
        <w:t>26</w:t>
      </w:r>
      <w:r>
        <w:rPr>
          <w:rFonts w:hint="eastAsia" w:ascii="宋体" w:hAnsi="宋体"/>
          <w:b/>
          <w:bCs/>
          <w:color w:val="auto"/>
          <w:sz w:val="24"/>
        </w:rPr>
        <w:t>．投标文件的评审、比较和否决</w:t>
      </w:r>
    </w:p>
    <w:p>
      <w:pPr>
        <w:spacing w:line="360" w:lineRule="auto"/>
        <w:ind w:firstLine="480" w:firstLineChars="200"/>
        <w:rPr>
          <w:rFonts w:ascii="宋体"/>
          <w:bCs/>
          <w:color w:val="auto"/>
          <w:sz w:val="24"/>
          <w:szCs w:val="24"/>
        </w:rPr>
      </w:pPr>
      <w:r>
        <w:rPr>
          <w:rFonts w:hint="eastAsia" w:ascii="宋体" w:hAnsi="宋体"/>
          <w:color w:val="auto"/>
          <w:sz w:val="24"/>
        </w:rPr>
        <w:t>详见招标文件第二章开标、评标及定标办法。</w:t>
      </w:r>
    </w:p>
    <w:p>
      <w:pPr>
        <w:spacing w:line="360" w:lineRule="auto"/>
        <w:ind w:firstLine="482" w:firstLineChars="200"/>
        <w:rPr>
          <w:rFonts w:ascii="宋体"/>
          <w:b/>
          <w:bCs/>
          <w:color w:val="auto"/>
          <w:sz w:val="24"/>
        </w:rPr>
      </w:pPr>
      <w:r>
        <w:rPr>
          <w:rFonts w:ascii="宋体" w:hAnsi="宋体"/>
          <w:b/>
          <w:bCs/>
          <w:color w:val="auto"/>
          <w:sz w:val="24"/>
        </w:rPr>
        <w:t>27</w:t>
      </w:r>
      <w:r>
        <w:rPr>
          <w:rFonts w:hint="eastAsia" w:ascii="宋体" w:hAnsi="宋体"/>
          <w:b/>
          <w:bCs/>
          <w:color w:val="auto"/>
          <w:sz w:val="24"/>
        </w:rPr>
        <w:t>．中标通知书</w:t>
      </w:r>
    </w:p>
    <w:p>
      <w:pPr>
        <w:spacing w:line="360" w:lineRule="auto"/>
        <w:ind w:firstLine="480" w:firstLineChars="200"/>
        <w:rPr>
          <w:rFonts w:ascii="宋体" w:hAnsi="宋体"/>
          <w:b/>
          <w:bCs/>
          <w:color w:val="auto"/>
          <w:sz w:val="24"/>
          <w:u w:val="single"/>
        </w:rPr>
      </w:pPr>
      <w:r>
        <w:rPr>
          <w:rFonts w:hint="eastAsia" w:ascii="宋体" w:hAnsi="宋体"/>
          <w:color w:val="auto"/>
          <w:sz w:val="24"/>
          <w:u w:val="single"/>
        </w:rPr>
        <w:t>27.1招标人将在广州交易集团有限公司（广州公共资源交易中心）交易平台、广东省招标投标监管网、广州市增城区人民政府门户网站（http://www.zc.gov.cn/）的“首页&gt;公开&gt;公共资源配置领域&gt;工程建设项目招投标”栏目等法定媒体网站发布公示中标候选人，公示期为三天。</w:t>
      </w:r>
      <w:r>
        <w:rPr>
          <w:rFonts w:hint="eastAsia" w:ascii="宋体" w:hAnsi="宋体"/>
          <w:b/>
          <w:bCs/>
          <w:color w:val="auto"/>
          <w:szCs w:val="21"/>
          <w:u w:val="single"/>
        </w:rPr>
        <w:t>注：投标人或其他利害关系人对评标结果有异议的，应当在中标候选人公示期间提出，人可以通过线下书面或线上的形式提出异议。选择线上异议方式的，应通过广交易建设工程电子交易系统进行，招标人也应通过广交易建设工程电子交易系统答复线上提交的异议。作出答复前，应当暂停招标投标活动。具体操作详见“广州交易集团有限公司《广州公共资源交易中心)门户网站首页-&gt;服务指南-&gt;系统帮助-操作手册-&gt;发起及受理异议操作指引”。</w:t>
      </w:r>
    </w:p>
    <w:p>
      <w:pPr>
        <w:spacing w:line="360" w:lineRule="auto"/>
        <w:ind w:firstLine="480" w:firstLineChars="200"/>
        <w:rPr>
          <w:rFonts w:ascii="仿宋_GB2312" w:hAnsi="宋体" w:eastAsia="仿宋_GB2312"/>
          <w:color w:val="auto"/>
          <w:sz w:val="24"/>
        </w:rPr>
      </w:pPr>
      <w:r>
        <w:rPr>
          <w:rFonts w:ascii="宋体" w:hAnsi="宋体"/>
          <w:color w:val="auto"/>
          <w:sz w:val="24"/>
        </w:rPr>
        <w:t>27.2</w:t>
      </w:r>
      <w:r>
        <w:rPr>
          <w:rFonts w:hint="eastAsia" w:ascii="宋体" w:hAnsi="宋体"/>
          <w:color w:val="auto"/>
          <w:sz w:val="24"/>
        </w:rPr>
        <w:t>招标人应当自确定中标人后，向招标投标监管机构提交招标投标情况的书面报告；经招投标监管机构备案后，方可发出中标通知书。</w:t>
      </w:r>
    </w:p>
    <w:p>
      <w:pPr>
        <w:spacing w:line="360" w:lineRule="auto"/>
        <w:ind w:firstLine="480" w:firstLineChars="200"/>
        <w:rPr>
          <w:rFonts w:ascii="宋体" w:hAnsi="宋体"/>
          <w:color w:val="auto"/>
          <w:sz w:val="24"/>
        </w:rPr>
      </w:pPr>
      <w:r>
        <w:rPr>
          <w:rFonts w:ascii="宋体" w:hAnsi="宋体"/>
          <w:color w:val="auto"/>
          <w:sz w:val="24"/>
        </w:rPr>
        <w:t>27.3</w:t>
      </w:r>
      <w:r>
        <w:rPr>
          <w:rFonts w:hint="eastAsia" w:ascii="宋体" w:hAnsi="宋体"/>
          <w:color w:val="auto"/>
          <w:sz w:val="24"/>
        </w:rPr>
        <w:t>中标人必须在收到中标通知书后</w:t>
      </w:r>
      <w:r>
        <w:rPr>
          <w:rFonts w:ascii="宋体" w:hAnsi="宋体"/>
          <w:color w:val="auto"/>
          <w:sz w:val="24"/>
        </w:rPr>
        <w:t>24</w:t>
      </w:r>
      <w:r>
        <w:rPr>
          <w:rFonts w:hint="eastAsia" w:ascii="宋体" w:hAnsi="宋体"/>
          <w:color w:val="auto"/>
          <w:sz w:val="24"/>
        </w:rPr>
        <w:t>小时之内以书面形式回复招标人，确认收到。</w:t>
      </w:r>
    </w:p>
    <w:p>
      <w:pPr>
        <w:spacing w:line="360" w:lineRule="auto"/>
        <w:ind w:firstLine="480" w:firstLineChars="200"/>
        <w:rPr>
          <w:rFonts w:ascii="宋体" w:hAnsi="宋体"/>
          <w:color w:val="auto"/>
          <w:sz w:val="24"/>
          <w:u w:val="single"/>
        </w:rPr>
      </w:pPr>
      <w:r>
        <w:rPr>
          <w:rFonts w:hint="eastAsia" w:ascii="宋体" w:hAnsi="宋体"/>
          <w:color w:val="auto"/>
          <w:sz w:val="24"/>
          <w:u w:val="single"/>
        </w:rPr>
        <w:t>27.4在产生中标候选人后，招标人将中标候选人的投标文件商务部分文件的所有内容（包括人员、业绩、奖项等资料）在广州交易集团有限公司（广州公共资源交易中心）交易平台。</w:t>
      </w:r>
    </w:p>
    <w:p>
      <w:pPr>
        <w:spacing w:line="360" w:lineRule="auto"/>
        <w:ind w:firstLine="482" w:firstLineChars="200"/>
        <w:rPr>
          <w:rFonts w:ascii="宋体"/>
          <w:b/>
          <w:bCs/>
          <w:color w:val="auto"/>
          <w:sz w:val="24"/>
        </w:rPr>
      </w:pPr>
      <w:r>
        <w:rPr>
          <w:rFonts w:ascii="宋体" w:hAnsi="宋体"/>
          <w:b/>
          <w:bCs/>
          <w:color w:val="auto"/>
          <w:sz w:val="24"/>
        </w:rPr>
        <w:t>28</w:t>
      </w:r>
      <w:r>
        <w:rPr>
          <w:rFonts w:hint="eastAsia" w:ascii="宋体" w:hAnsi="宋体"/>
          <w:b/>
          <w:bCs/>
          <w:color w:val="auto"/>
          <w:sz w:val="24"/>
        </w:rPr>
        <w:t>．合同协议书的签订</w:t>
      </w:r>
    </w:p>
    <w:p>
      <w:pPr>
        <w:spacing w:line="360" w:lineRule="auto"/>
        <w:ind w:firstLine="480" w:firstLineChars="200"/>
        <w:rPr>
          <w:rFonts w:ascii="宋体"/>
          <w:color w:val="auto"/>
          <w:sz w:val="24"/>
        </w:rPr>
      </w:pPr>
      <w:r>
        <w:rPr>
          <w:rFonts w:ascii="宋体" w:hAnsi="宋体"/>
          <w:color w:val="auto"/>
          <w:sz w:val="24"/>
        </w:rPr>
        <w:t xml:space="preserve">28.1 </w:t>
      </w:r>
      <w:r>
        <w:rPr>
          <w:rFonts w:hint="eastAsia" w:ascii="宋体" w:hAnsi="宋体"/>
          <w:color w:val="auto"/>
          <w:sz w:val="24"/>
        </w:rPr>
        <w:t>招标人与中标人将于中标通知书发出之日起</w:t>
      </w:r>
      <w:r>
        <w:rPr>
          <w:rFonts w:ascii="宋体" w:hAnsi="宋体"/>
          <w:color w:val="auto"/>
          <w:sz w:val="24"/>
        </w:rPr>
        <w:t>30</w:t>
      </w:r>
      <w:r>
        <w:rPr>
          <w:rFonts w:hint="eastAsia" w:ascii="宋体" w:hAnsi="宋体"/>
          <w:color w:val="auto"/>
          <w:sz w:val="24"/>
        </w:rPr>
        <w:t>日内，按照招标文件和中标人的投标文件商定和签订合同，招标人和中标人不得再行订立背离合同实质性内容的其他协议。</w:t>
      </w:r>
    </w:p>
    <w:p>
      <w:pPr>
        <w:spacing w:line="360" w:lineRule="auto"/>
        <w:ind w:firstLine="480" w:firstLineChars="200"/>
        <w:rPr>
          <w:rFonts w:ascii="宋体"/>
          <w:color w:val="auto"/>
          <w:sz w:val="24"/>
        </w:rPr>
      </w:pPr>
      <w:r>
        <w:rPr>
          <w:rFonts w:ascii="宋体" w:hAnsi="宋体"/>
          <w:color w:val="auto"/>
          <w:sz w:val="24"/>
        </w:rPr>
        <w:t>28.2</w:t>
      </w:r>
      <w:r>
        <w:rPr>
          <w:rFonts w:hint="eastAsia" w:ascii="宋体" w:hAnsi="宋体"/>
          <w:color w:val="auto"/>
          <w:sz w:val="24"/>
        </w:rPr>
        <w:t>中标通知书发出之日起</w:t>
      </w:r>
      <w:r>
        <w:rPr>
          <w:rFonts w:ascii="宋体" w:hAnsi="宋体"/>
          <w:color w:val="auto"/>
          <w:sz w:val="24"/>
        </w:rPr>
        <w:t>30</w:t>
      </w:r>
      <w:r>
        <w:rPr>
          <w:rFonts w:hint="eastAsia" w:ascii="宋体" w:hAnsi="宋体"/>
          <w:color w:val="auto"/>
          <w:sz w:val="24"/>
        </w:rPr>
        <w:t>日后，中标人未按上款的规定与招标人订立合同，招标人将解除中标通知书</w:t>
      </w:r>
      <w:r>
        <w:rPr>
          <w:rFonts w:hint="eastAsia" w:ascii="宋体" w:hAnsi="宋体"/>
          <w:strike/>
          <w:color w:val="auto"/>
          <w:sz w:val="24"/>
        </w:rPr>
        <w:t>，原中标人的投标保证金不予退还</w:t>
      </w:r>
      <w:r>
        <w:rPr>
          <w:rFonts w:hint="eastAsia" w:ascii="宋体" w:hAnsi="宋体"/>
          <w:color w:val="auto"/>
          <w:sz w:val="24"/>
        </w:rPr>
        <w:t>，且依法承担相应法律责任。</w:t>
      </w:r>
      <w:r>
        <w:rPr>
          <w:rFonts w:hint="eastAsia" w:ascii="宋体" w:hAnsi="宋体"/>
          <w:strike/>
          <w:color w:val="auto"/>
          <w:sz w:val="24"/>
        </w:rPr>
        <w:t>原中标人给招标人造成的损失超过投标保证金数额的，还应当对超过部分予以赔偿。</w:t>
      </w:r>
      <w:r>
        <w:rPr>
          <w:rFonts w:hint="eastAsia" w:ascii="宋体" w:hAnsi="宋体"/>
          <w:color w:val="auto"/>
          <w:sz w:val="24"/>
        </w:rPr>
        <w:t>原中标人有异议的，可以向人民法院起诉。</w:t>
      </w:r>
    </w:p>
    <w:p>
      <w:pPr>
        <w:spacing w:line="360" w:lineRule="auto"/>
        <w:ind w:firstLine="480" w:firstLineChars="200"/>
        <w:rPr>
          <w:rFonts w:ascii="宋体"/>
          <w:color w:val="auto"/>
          <w:sz w:val="24"/>
        </w:rPr>
      </w:pPr>
      <w:r>
        <w:rPr>
          <w:rFonts w:ascii="宋体" w:hAnsi="宋体"/>
          <w:color w:val="auto"/>
          <w:sz w:val="24"/>
        </w:rPr>
        <w:t>28.3</w:t>
      </w:r>
      <w:r>
        <w:rPr>
          <w:rFonts w:hint="eastAsia" w:ascii="宋体" w:hAnsi="宋体"/>
          <w:color w:val="auto"/>
          <w:sz w:val="24"/>
        </w:rPr>
        <w:t>非经招标人同意，中标人在投标过程中使用的银行名称及帐号至完成竣工结算不得变更，否则招标人有权停止工程款项的拔付及至解除合同，由此造成的一切责任由中标人承担。</w:t>
      </w:r>
    </w:p>
    <w:p>
      <w:pPr>
        <w:spacing w:line="360" w:lineRule="auto"/>
        <w:ind w:firstLine="480" w:firstLineChars="200"/>
        <w:rPr>
          <w:rFonts w:ascii="宋体" w:hAnsi="宋体"/>
          <w:color w:val="auto"/>
          <w:sz w:val="24"/>
        </w:rPr>
      </w:pPr>
      <w:r>
        <w:rPr>
          <w:rFonts w:ascii="宋体" w:hAnsi="宋体"/>
          <w:color w:val="auto"/>
          <w:sz w:val="24"/>
        </w:rPr>
        <w:t>28.4</w:t>
      </w:r>
      <w:r>
        <w:rPr>
          <w:rFonts w:hint="eastAsia" w:ascii="宋体" w:hAnsi="宋体"/>
          <w:color w:val="auto"/>
          <w:sz w:val="24"/>
        </w:rPr>
        <w:t>招标人支付工程款时，中标人应按规定开具发票。</w:t>
      </w:r>
    </w:p>
    <w:p>
      <w:pPr>
        <w:spacing w:line="360" w:lineRule="auto"/>
        <w:ind w:firstLine="482" w:firstLineChars="200"/>
        <w:rPr>
          <w:rFonts w:ascii="宋体"/>
          <w:b/>
          <w:bCs/>
          <w:color w:val="auto"/>
          <w:sz w:val="24"/>
        </w:rPr>
      </w:pPr>
      <w:r>
        <w:rPr>
          <w:rFonts w:ascii="宋体" w:hAnsi="宋体"/>
          <w:b/>
          <w:bCs/>
          <w:color w:val="auto"/>
          <w:sz w:val="24"/>
        </w:rPr>
        <w:t>29</w:t>
      </w:r>
      <w:r>
        <w:rPr>
          <w:rFonts w:hint="eastAsia" w:ascii="宋体" w:hAnsi="宋体"/>
          <w:b/>
          <w:bCs/>
          <w:color w:val="auto"/>
          <w:sz w:val="24"/>
        </w:rPr>
        <w:t>．履约担保</w:t>
      </w:r>
    </w:p>
    <w:p>
      <w:pPr>
        <w:snapToGrid w:val="0"/>
        <w:spacing w:line="360" w:lineRule="auto"/>
        <w:ind w:firstLine="480" w:firstLineChars="200"/>
        <w:rPr>
          <w:rFonts w:ascii="宋体" w:hAnsi="宋体"/>
          <w:color w:val="auto"/>
          <w:sz w:val="24"/>
          <w:u w:val="single"/>
        </w:rPr>
      </w:pPr>
      <w:r>
        <w:rPr>
          <w:rFonts w:hint="eastAsia" w:ascii="宋体" w:hAnsi="宋体"/>
          <w:color w:val="auto"/>
          <w:sz w:val="24"/>
          <w:u w:val="single"/>
        </w:rPr>
        <w:t>29.1 在申请支付预付款前，中标人应按本须知前附表第20项的规定向招标人提交履约担保。</w:t>
      </w:r>
    </w:p>
    <w:p>
      <w:pPr>
        <w:snapToGrid w:val="0"/>
        <w:spacing w:line="360" w:lineRule="auto"/>
        <w:ind w:firstLine="480" w:firstLineChars="200"/>
        <w:rPr>
          <w:rFonts w:ascii="宋体" w:hAnsi="宋体"/>
          <w:color w:val="auto"/>
          <w:sz w:val="24"/>
          <w:u w:val="single"/>
        </w:rPr>
      </w:pPr>
      <w:r>
        <w:rPr>
          <w:rFonts w:hint="eastAsia" w:ascii="宋体" w:hAnsi="宋体"/>
          <w:color w:val="auto"/>
          <w:sz w:val="24"/>
          <w:u w:val="single"/>
        </w:rPr>
        <w:t>29.2在申请支付预付款前，中标人未按上款的规定提交履约担保，招标人将不予支付预付款。</w:t>
      </w:r>
    </w:p>
    <w:p>
      <w:pPr>
        <w:spacing w:line="360" w:lineRule="auto"/>
        <w:ind w:firstLine="482" w:firstLineChars="200"/>
        <w:rPr>
          <w:rFonts w:ascii="宋体"/>
          <w:b/>
          <w:bCs/>
          <w:color w:val="auto"/>
          <w:sz w:val="24"/>
        </w:rPr>
      </w:pPr>
      <w:r>
        <w:rPr>
          <w:rFonts w:ascii="宋体" w:hAnsi="宋体"/>
          <w:b/>
          <w:bCs/>
          <w:color w:val="auto"/>
          <w:sz w:val="24"/>
        </w:rPr>
        <w:t>30</w:t>
      </w:r>
      <w:r>
        <w:rPr>
          <w:rFonts w:hint="eastAsia" w:ascii="宋体" w:hAnsi="宋体"/>
          <w:b/>
          <w:bCs/>
          <w:color w:val="auto"/>
          <w:sz w:val="24"/>
        </w:rPr>
        <w:t>．合同生效</w:t>
      </w:r>
    </w:p>
    <w:p>
      <w:pPr>
        <w:spacing w:line="360" w:lineRule="auto"/>
        <w:ind w:firstLine="480" w:firstLineChars="200"/>
        <w:rPr>
          <w:rFonts w:ascii="宋体"/>
          <w:color w:val="auto"/>
          <w:sz w:val="24"/>
          <w:u w:val="single"/>
        </w:rPr>
      </w:pPr>
      <w:r>
        <w:rPr>
          <w:rFonts w:ascii="宋体" w:hAnsi="宋体"/>
          <w:color w:val="auto"/>
          <w:sz w:val="24"/>
          <w:u w:val="single"/>
        </w:rPr>
        <w:t>30.1</w:t>
      </w:r>
      <w:r>
        <w:rPr>
          <w:rFonts w:hint="eastAsia" w:ascii="宋体" w:hAnsi="宋体"/>
          <w:color w:val="auto"/>
          <w:sz w:val="24"/>
          <w:u w:val="single"/>
        </w:rPr>
        <w:t>合同自发包人、承包人双方法定代表人或委托代理人签字并加盖公章之日起生效。</w:t>
      </w:r>
    </w:p>
    <w:p>
      <w:pPr>
        <w:spacing w:line="360" w:lineRule="auto"/>
        <w:ind w:firstLine="482" w:firstLineChars="200"/>
        <w:rPr>
          <w:rFonts w:ascii="宋体"/>
          <w:b/>
          <w:bCs/>
          <w:color w:val="auto"/>
          <w:sz w:val="24"/>
        </w:rPr>
      </w:pPr>
      <w:r>
        <w:rPr>
          <w:rFonts w:ascii="宋体" w:hAnsi="宋体"/>
          <w:b/>
          <w:bCs/>
          <w:color w:val="auto"/>
          <w:sz w:val="24"/>
        </w:rPr>
        <w:t>31</w:t>
      </w:r>
      <w:r>
        <w:rPr>
          <w:rFonts w:hint="eastAsia" w:ascii="宋体" w:hAnsi="宋体"/>
          <w:b/>
          <w:bCs/>
          <w:color w:val="auto"/>
          <w:sz w:val="24"/>
        </w:rPr>
        <w:t>．其它费用</w:t>
      </w:r>
    </w:p>
    <w:p>
      <w:pPr>
        <w:pStyle w:val="5"/>
        <w:spacing w:after="0" w:line="360" w:lineRule="auto"/>
        <w:ind w:firstLine="480" w:firstLineChars="200"/>
        <w:rPr>
          <w:rFonts w:ascii="宋体" w:hAnsi="宋体" w:cs="宋体"/>
          <w:bCs/>
          <w:color w:val="auto"/>
          <w:sz w:val="24"/>
          <w:u w:val="single"/>
        </w:rPr>
      </w:pPr>
      <w:r>
        <w:rPr>
          <w:rFonts w:hint="eastAsia" w:ascii="宋体" w:hAnsi="宋体" w:cs="宋体"/>
          <w:bCs/>
          <w:color w:val="auto"/>
          <w:sz w:val="24"/>
          <w:u w:val="single"/>
        </w:rPr>
        <w:t>31.1根据广州市政府相关文件的规定，向广州交易集团有限公司（广州公共资源交易中心）交纳交易服务费。</w:t>
      </w:r>
    </w:p>
    <w:p>
      <w:pPr>
        <w:pStyle w:val="5"/>
        <w:spacing w:after="0" w:line="360" w:lineRule="auto"/>
        <w:ind w:firstLine="482" w:firstLineChars="200"/>
        <w:rPr>
          <w:rFonts w:ascii="宋体"/>
          <w:b/>
          <w:bCs/>
          <w:color w:val="auto"/>
          <w:sz w:val="24"/>
        </w:rPr>
      </w:pPr>
      <w:r>
        <w:rPr>
          <w:rFonts w:ascii="宋体" w:hAnsi="宋体"/>
          <w:b/>
          <w:bCs/>
          <w:color w:val="auto"/>
          <w:sz w:val="24"/>
        </w:rPr>
        <w:t>32</w:t>
      </w:r>
      <w:r>
        <w:rPr>
          <w:rFonts w:hint="eastAsia" w:ascii="宋体" w:hAnsi="宋体"/>
          <w:b/>
          <w:bCs/>
          <w:color w:val="auto"/>
          <w:sz w:val="24"/>
        </w:rPr>
        <w:t>．腐败与欺诈行为</w:t>
      </w:r>
    </w:p>
    <w:p>
      <w:pPr>
        <w:pStyle w:val="5"/>
        <w:spacing w:after="0" w:line="360" w:lineRule="auto"/>
        <w:ind w:firstLine="480" w:firstLineChars="200"/>
        <w:rPr>
          <w:rFonts w:ascii="宋体"/>
          <w:color w:val="auto"/>
          <w:sz w:val="24"/>
        </w:rPr>
      </w:pPr>
      <w:r>
        <w:rPr>
          <w:rFonts w:hint="eastAsia" w:ascii="宋体" w:hAnsi="宋体"/>
          <w:color w:val="auto"/>
          <w:sz w:val="24"/>
        </w:rPr>
        <w:t>在招标和合同实施期间，招标人要求投标人和承包人遵守最高的道德标准。</w:t>
      </w:r>
    </w:p>
    <w:p>
      <w:pPr>
        <w:pStyle w:val="5"/>
        <w:spacing w:after="0" w:line="360" w:lineRule="auto"/>
        <w:ind w:firstLine="480" w:firstLineChars="200"/>
        <w:rPr>
          <w:rFonts w:ascii="宋体"/>
          <w:color w:val="auto"/>
          <w:sz w:val="24"/>
        </w:rPr>
      </w:pPr>
      <w:r>
        <w:rPr>
          <w:rFonts w:ascii="宋体" w:hAnsi="宋体"/>
          <w:color w:val="auto"/>
          <w:sz w:val="24"/>
        </w:rPr>
        <w:t>32</w:t>
      </w:r>
      <w:r>
        <w:rPr>
          <w:rFonts w:hint="eastAsia" w:ascii="宋体" w:hAnsi="宋体"/>
          <w:color w:val="auto"/>
          <w:sz w:val="24"/>
        </w:rPr>
        <w:t>．</w:t>
      </w:r>
      <w:r>
        <w:rPr>
          <w:rFonts w:ascii="宋体" w:hAnsi="宋体"/>
          <w:color w:val="auto"/>
          <w:sz w:val="24"/>
        </w:rPr>
        <w:t>1</w:t>
      </w:r>
      <w:r>
        <w:rPr>
          <w:rFonts w:hint="eastAsia" w:ascii="宋体" w:hAnsi="宋体"/>
          <w:color w:val="auto"/>
          <w:sz w:val="24"/>
        </w:rPr>
        <w:t>对本条款的规定，特定义如下词汇：</w:t>
      </w:r>
    </w:p>
    <w:p>
      <w:pPr>
        <w:pStyle w:val="5"/>
        <w:spacing w:after="0" w:line="360" w:lineRule="auto"/>
        <w:ind w:firstLine="480" w:firstLineChars="200"/>
        <w:rPr>
          <w:rFonts w:ascii="宋体"/>
          <w:color w:val="auto"/>
          <w:sz w:val="24"/>
        </w:rPr>
      </w:pPr>
      <w:r>
        <w:rPr>
          <w:rFonts w:ascii="宋体" w:hAnsi="宋体"/>
          <w:color w:val="auto"/>
          <w:sz w:val="24"/>
        </w:rPr>
        <w:t>1</w:t>
      </w:r>
      <w:r>
        <w:rPr>
          <w:rFonts w:hint="eastAsia" w:ascii="宋体" w:hAnsi="宋体"/>
          <w:color w:val="auto"/>
          <w:sz w:val="24"/>
        </w:rPr>
        <w:t>）、“腐败行为”是指在招标或合同执行期间，通过提供、给予、接受或索要任何有价值的东西，从而影响招标人有关人员工作的行为；</w:t>
      </w:r>
    </w:p>
    <w:p>
      <w:pPr>
        <w:pStyle w:val="5"/>
        <w:spacing w:after="0" w:line="360" w:lineRule="auto"/>
        <w:ind w:firstLine="480" w:firstLineChars="200"/>
        <w:rPr>
          <w:rFonts w:ascii="宋体"/>
          <w:color w:val="auto"/>
          <w:sz w:val="24"/>
        </w:rPr>
      </w:pPr>
      <w:r>
        <w:rPr>
          <w:rFonts w:ascii="宋体" w:hAnsi="宋体"/>
          <w:color w:val="auto"/>
          <w:sz w:val="24"/>
        </w:rPr>
        <w:t>2</w:t>
      </w:r>
      <w:r>
        <w:rPr>
          <w:rFonts w:hint="eastAsia" w:ascii="宋体" w:hAnsi="宋体"/>
          <w:color w:val="auto"/>
          <w:sz w:val="24"/>
        </w:rPr>
        <w:t>）、“欺诈行为”是指通过提供伪证影响招标或合同执行，从而损害招标人利益的行为；也包括投标人之间串通（在提交投标文件之前或之后），人为地使招标过程失去竞争性，从而使招标人无法从公开的自由竞争中获得利益的行为。</w:t>
      </w:r>
    </w:p>
    <w:p>
      <w:pPr>
        <w:pStyle w:val="5"/>
        <w:spacing w:after="0" w:line="360" w:lineRule="auto"/>
        <w:ind w:firstLine="480" w:firstLineChars="200"/>
        <w:rPr>
          <w:rFonts w:ascii="宋体" w:hAnsi="宋体"/>
          <w:color w:val="auto"/>
          <w:sz w:val="24"/>
        </w:rPr>
      </w:pPr>
      <w:r>
        <w:rPr>
          <w:rFonts w:ascii="宋体" w:hAnsi="宋体"/>
          <w:color w:val="auto"/>
          <w:sz w:val="24"/>
        </w:rPr>
        <w:t>32</w:t>
      </w:r>
      <w:r>
        <w:rPr>
          <w:rFonts w:hint="eastAsia" w:ascii="宋体" w:hAnsi="宋体"/>
          <w:color w:val="auto"/>
          <w:sz w:val="24"/>
        </w:rPr>
        <w:t>．</w:t>
      </w:r>
      <w:r>
        <w:rPr>
          <w:rFonts w:ascii="宋体" w:hAnsi="宋体"/>
          <w:color w:val="auto"/>
          <w:sz w:val="24"/>
        </w:rPr>
        <w:t>2</w:t>
      </w:r>
      <w:r>
        <w:rPr>
          <w:rFonts w:hint="eastAsia" w:ascii="宋体" w:hAnsi="宋体"/>
          <w:color w:val="auto"/>
          <w:sz w:val="24"/>
        </w:rPr>
        <w:t>如果投标人被认定在本招标的竞争中有腐败或欺诈行为，则会被取消投标资格。</w:t>
      </w:r>
    </w:p>
    <w:p>
      <w:pPr>
        <w:pStyle w:val="5"/>
        <w:spacing w:after="0" w:line="360" w:lineRule="auto"/>
        <w:ind w:firstLine="480" w:firstLineChars="200"/>
        <w:rPr>
          <w:rFonts w:ascii="宋体"/>
          <w:color w:val="auto"/>
          <w:sz w:val="24"/>
        </w:rPr>
      </w:pPr>
      <w:r>
        <w:rPr>
          <w:rFonts w:hint="eastAsia" w:ascii="宋体"/>
          <w:color w:val="auto"/>
          <w:sz w:val="24"/>
          <w:u w:val="single"/>
        </w:rPr>
        <w:t>32.3投标人如在本项目中存在串通投标、弄虚作假骗取中标、行贿情形的，中标无效，行政监督部门将对其违法行为进行政处罚。该投标人将被招标人列入黑名单并限制其参与招标人后续项目的投标。</w:t>
      </w:r>
    </w:p>
    <w:p>
      <w:pPr>
        <w:rPr>
          <w:color w:val="auto"/>
        </w:rPr>
      </w:pPr>
      <w:bookmarkStart w:id="20" w:name="_Toc2272554"/>
    </w:p>
    <w:p>
      <w:pPr>
        <w:pStyle w:val="3"/>
        <w:rPr>
          <w:color w:val="auto"/>
        </w:rPr>
      </w:pPr>
      <w:bookmarkStart w:id="21" w:name="_Toc4640"/>
      <w:r>
        <w:rPr>
          <w:rFonts w:hint="eastAsia"/>
          <w:color w:val="auto"/>
        </w:rPr>
        <w:t>第二章</w:t>
      </w:r>
      <w:r>
        <w:rPr>
          <w:color w:val="auto"/>
        </w:rPr>
        <w:t xml:space="preserve">  </w:t>
      </w:r>
      <w:r>
        <w:rPr>
          <w:rFonts w:hint="eastAsia"/>
          <w:color w:val="auto"/>
        </w:rPr>
        <w:t>开标、评标及定标办法</w:t>
      </w:r>
      <w:bookmarkEnd w:id="20"/>
      <w:bookmarkEnd w:id="21"/>
    </w:p>
    <w:p>
      <w:pPr>
        <w:pStyle w:val="7"/>
        <w:rPr>
          <w:color w:val="auto"/>
        </w:rPr>
      </w:pPr>
      <w:bookmarkStart w:id="22" w:name="_Toc2272555"/>
      <w:bookmarkStart w:id="23" w:name="_Toc28504"/>
      <w:r>
        <w:rPr>
          <w:rFonts w:hint="eastAsia"/>
          <w:color w:val="auto"/>
          <w:sz w:val="28"/>
          <w:szCs w:val="28"/>
        </w:rPr>
        <w:t>一、</w:t>
      </w:r>
      <w:r>
        <w:rPr>
          <w:rFonts w:hint="eastAsia"/>
          <w:color w:val="auto"/>
        </w:rPr>
        <w:t>开标、评标及定标办法修改表</w:t>
      </w:r>
      <w:bookmarkEnd w:id="22"/>
      <w:bookmarkEnd w:id="23"/>
    </w:p>
    <w:p>
      <w:pPr>
        <w:pStyle w:val="5"/>
        <w:spacing w:after="0" w:line="360" w:lineRule="auto"/>
        <w:rPr>
          <w:b/>
          <w:color w:val="auto"/>
          <w:szCs w:val="21"/>
        </w:rPr>
      </w:pPr>
      <w:r>
        <w:rPr>
          <w:rFonts w:hint="eastAsia"/>
          <w:b/>
          <w:color w:val="auto"/>
          <w:szCs w:val="21"/>
        </w:rPr>
        <w:t>声明：本开标、评标及定标办法使用GZZB2018-3招标文件范本的开标、评标及定标办法通用条款，与该通用条款不同之处，均在本表中列明，并以现文为准，原文不再有效。本招标文件中不再转录开标、评标及定标办法通用条款，请投标人自行到广州市住房和城乡建设局网站（网址：</w:t>
      </w:r>
      <w:r>
        <w:rPr>
          <w:b/>
          <w:color w:val="auto"/>
          <w:szCs w:val="21"/>
        </w:rPr>
        <w:t>http://zfcj.gz.gov.cn/</w:t>
      </w:r>
      <w:r>
        <w:rPr>
          <w:rFonts w:hint="eastAsia"/>
          <w:b/>
          <w:color w:val="auto"/>
          <w:szCs w:val="21"/>
        </w:rPr>
        <w:t>）下载GZZB2018-3范本查阅。</w:t>
      </w:r>
    </w:p>
    <w:p>
      <w:pPr>
        <w:spacing w:line="480" w:lineRule="auto"/>
        <w:ind w:firstLine="472" w:firstLineChars="224"/>
        <w:rPr>
          <w:b/>
          <w:color w:val="auto"/>
          <w:szCs w:val="21"/>
        </w:rPr>
      </w:pPr>
      <w:r>
        <w:rPr>
          <w:rFonts w:hint="eastAsia"/>
          <w:b/>
          <w:color w:val="auto"/>
          <w:szCs w:val="21"/>
        </w:rPr>
        <w:t>条款号：</w:t>
      </w:r>
      <w:r>
        <w:rPr>
          <w:rFonts w:hint="eastAsia" w:ascii="宋体" w:hAnsi="宋体" w:cs="宋体"/>
          <w:color w:val="auto"/>
          <w:szCs w:val="21"/>
        </w:rPr>
        <w:t>36.1</w:t>
      </w:r>
      <w:r>
        <w:rPr>
          <w:b/>
          <w:color w:val="auto"/>
          <w:szCs w:val="21"/>
        </w:rPr>
        <w:t xml:space="preserve">             </w:t>
      </w:r>
      <w:r>
        <w:rPr>
          <w:rFonts w:hint="eastAsia"/>
          <w:b/>
          <w:color w:val="auto"/>
          <w:szCs w:val="21"/>
        </w:rPr>
        <w:t>修改类型：修改</w:t>
      </w:r>
    </w:p>
    <w:p>
      <w:pPr>
        <w:spacing w:line="480" w:lineRule="auto"/>
        <w:ind w:firstLine="472" w:firstLineChars="224"/>
        <w:rPr>
          <w:b/>
          <w:color w:val="auto"/>
          <w:szCs w:val="21"/>
        </w:rPr>
      </w:pPr>
      <w:r>
        <w:rPr>
          <w:rFonts w:hint="eastAsia"/>
          <w:b/>
          <w:color w:val="auto"/>
          <w:szCs w:val="21"/>
        </w:rPr>
        <w:t>原文：</w:t>
      </w:r>
      <w:r>
        <w:rPr>
          <w:rFonts w:hint="eastAsia" w:ascii="宋体" w:hAnsi="宋体" w:cs="宋体"/>
          <w:color w:val="auto"/>
          <w:szCs w:val="21"/>
        </w:rPr>
        <w:t>36.1 招标人按投标须知前附表第18项所规定的时间和地点公开开标，并邀请所有投标人参加。截标后，开标开始时间因故推迟的，相关评标信息仍以原定的开标开始时间的信息为准。</w:t>
      </w:r>
    </w:p>
    <w:p>
      <w:pPr>
        <w:pBdr>
          <w:bottom w:val="single" w:color="auto" w:sz="6" w:space="1"/>
        </w:pBdr>
        <w:spacing w:line="360" w:lineRule="auto"/>
        <w:ind w:firstLine="527" w:firstLineChars="250"/>
        <w:rPr>
          <w:color w:val="auto"/>
        </w:rPr>
      </w:pPr>
      <w:r>
        <w:rPr>
          <w:rFonts w:hint="eastAsia"/>
          <w:b/>
          <w:color w:val="auto"/>
          <w:szCs w:val="21"/>
        </w:rPr>
        <w:t>现文：</w:t>
      </w:r>
      <w:r>
        <w:rPr>
          <w:rFonts w:hint="eastAsia" w:ascii="宋体" w:hAnsi="宋体" w:cs="宋体"/>
          <w:color w:val="auto"/>
          <w:szCs w:val="21"/>
        </w:rPr>
        <w:t>36.1 招标人按投标须知前附表第18项所规定的时间和地点公开开标，并邀请所有投标人参加。截标后，开标开始时间因故推迟的，相关评标信息仍以原定的开标开始时间的信息为准。</w:t>
      </w:r>
      <w:r>
        <w:rPr>
          <w:rFonts w:hint="eastAsia" w:ascii="宋体" w:hAnsi="宋体" w:cs="宋体"/>
          <w:color w:val="auto"/>
          <w:szCs w:val="21"/>
          <w:u w:val="single"/>
        </w:rPr>
        <w:t>若投标人不参加开标会的，其投标文件在开标现场的投标人或招标人代表、招标代理机构代表及交易中心代表见证下公开开启、解密、公布，并视同该投标人认可开标结果。</w:t>
      </w:r>
    </w:p>
    <w:p>
      <w:pPr>
        <w:spacing w:line="480" w:lineRule="auto"/>
        <w:ind w:firstLine="472" w:firstLineChars="224"/>
        <w:rPr>
          <w:b/>
          <w:color w:val="auto"/>
          <w:szCs w:val="21"/>
        </w:rPr>
      </w:pPr>
      <w:r>
        <w:rPr>
          <w:rFonts w:hint="eastAsia"/>
          <w:b/>
          <w:color w:val="auto"/>
          <w:szCs w:val="21"/>
        </w:rPr>
        <w:t>条款号：</w:t>
      </w:r>
      <w:r>
        <w:rPr>
          <w:rFonts w:hint="eastAsia" w:ascii="宋体" w:hAnsi="宋体" w:cs="宋体"/>
          <w:color w:val="auto"/>
          <w:szCs w:val="21"/>
        </w:rPr>
        <w:t>36.3</w:t>
      </w:r>
      <w:r>
        <w:rPr>
          <w:b/>
          <w:color w:val="auto"/>
          <w:szCs w:val="21"/>
        </w:rPr>
        <w:t xml:space="preserve">             </w:t>
      </w:r>
      <w:r>
        <w:rPr>
          <w:rFonts w:hint="eastAsia"/>
          <w:b/>
          <w:color w:val="auto"/>
          <w:szCs w:val="21"/>
        </w:rPr>
        <w:t>修改类型：删除</w:t>
      </w:r>
    </w:p>
    <w:p>
      <w:pPr>
        <w:spacing w:line="360" w:lineRule="auto"/>
        <w:ind w:firstLine="422" w:firstLineChars="200"/>
        <w:rPr>
          <w:rFonts w:ascii="宋体" w:hAnsi="宋体" w:cs="宋体"/>
          <w:color w:val="auto"/>
          <w:szCs w:val="21"/>
        </w:rPr>
      </w:pPr>
      <w:r>
        <w:rPr>
          <w:rFonts w:hint="eastAsia"/>
          <w:b/>
          <w:color w:val="auto"/>
          <w:szCs w:val="21"/>
        </w:rPr>
        <w:t>原文：</w:t>
      </w:r>
      <w:r>
        <w:rPr>
          <w:rFonts w:hint="eastAsia" w:ascii="宋体" w:hAnsi="宋体" w:cs="宋体"/>
          <w:color w:val="auto"/>
          <w:szCs w:val="21"/>
        </w:rPr>
        <w:t>36.3根据投标须知前附表第19项，如需抽取某一种评标办法供评标时使用的，应在开标前抽取。首先对招标文件中约定的若干种评标方法进行编号，再随机抽取某一编号，该编号所对</w:t>
      </w:r>
    </w:p>
    <w:p>
      <w:pPr>
        <w:pBdr>
          <w:bottom w:val="single" w:color="auto" w:sz="6" w:space="1"/>
        </w:pBdr>
        <w:spacing w:line="360" w:lineRule="auto"/>
        <w:rPr>
          <w:b/>
          <w:color w:val="auto"/>
          <w:szCs w:val="21"/>
        </w:rPr>
      </w:pPr>
      <w:r>
        <w:rPr>
          <w:rFonts w:hint="eastAsia" w:ascii="宋体" w:hAnsi="宋体" w:cs="宋体"/>
          <w:color w:val="auto"/>
          <w:szCs w:val="21"/>
        </w:rPr>
        <w:t>应的评标办法供评标时使用。</w:t>
      </w:r>
    </w:p>
    <w:p>
      <w:pPr>
        <w:spacing w:line="480" w:lineRule="auto"/>
        <w:ind w:firstLine="472" w:firstLineChars="224"/>
        <w:rPr>
          <w:b/>
          <w:color w:val="auto"/>
          <w:szCs w:val="21"/>
        </w:rPr>
      </w:pPr>
      <w:r>
        <w:rPr>
          <w:rFonts w:hint="eastAsia"/>
          <w:b/>
          <w:color w:val="auto"/>
          <w:szCs w:val="21"/>
        </w:rPr>
        <w:t>条款号：</w:t>
      </w:r>
      <w:r>
        <w:rPr>
          <w:rFonts w:hint="eastAsia" w:ascii="宋体" w:hAnsi="宋体" w:cs="宋体"/>
          <w:color w:val="auto"/>
          <w:szCs w:val="21"/>
        </w:rPr>
        <w:t>36.5.1</w:t>
      </w:r>
      <w:r>
        <w:rPr>
          <w:b/>
          <w:color w:val="auto"/>
          <w:szCs w:val="21"/>
        </w:rPr>
        <w:t xml:space="preserve">             </w:t>
      </w:r>
      <w:r>
        <w:rPr>
          <w:rFonts w:hint="eastAsia"/>
          <w:b/>
          <w:color w:val="auto"/>
          <w:szCs w:val="21"/>
        </w:rPr>
        <w:t>修改类型：修改</w:t>
      </w:r>
    </w:p>
    <w:p>
      <w:pPr>
        <w:spacing w:line="360" w:lineRule="auto"/>
        <w:ind w:firstLine="422" w:firstLineChars="200"/>
        <w:rPr>
          <w:rFonts w:ascii="宋体" w:hAnsi="宋体"/>
          <w:color w:val="auto"/>
          <w:sz w:val="24"/>
        </w:rPr>
      </w:pPr>
      <w:r>
        <w:rPr>
          <w:rFonts w:hint="eastAsia"/>
          <w:b/>
          <w:color w:val="auto"/>
          <w:szCs w:val="21"/>
        </w:rPr>
        <w:t>原文：</w:t>
      </w:r>
      <w:r>
        <w:rPr>
          <w:rFonts w:hint="eastAsia" w:ascii="宋体" w:hAnsi="宋体" w:cs="宋体"/>
          <w:color w:val="auto"/>
          <w:szCs w:val="21"/>
        </w:rPr>
        <w:t>36.5.1在投标截止时间后半小时内，投标人通过</w:t>
      </w:r>
      <w:r>
        <w:rPr>
          <w:rFonts w:hint="eastAsia" w:ascii="宋体" w:hAnsi="宋体" w:cs="宋体"/>
          <w:color w:val="auto"/>
          <w:szCs w:val="21"/>
          <w:u w:val="single"/>
        </w:rPr>
        <w:t xml:space="preserve">        </w:t>
      </w:r>
      <w:r>
        <w:rPr>
          <w:rFonts w:hint="eastAsia" w:ascii="宋体" w:hAnsi="宋体" w:cs="宋体"/>
          <w:color w:val="auto"/>
          <w:szCs w:val="21"/>
        </w:rPr>
        <w:t>交易平台对已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pPr>
        <w:pBdr>
          <w:bottom w:val="single" w:color="auto" w:sz="6" w:space="1"/>
        </w:pBdr>
        <w:spacing w:line="360" w:lineRule="auto"/>
        <w:ind w:firstLine="422" w:firstLineChars="200"/>
        <w:rPr>
          <w:rFonts w:ascii="宋体" w:hAnsi="宋体" w:cs="宋体"/>
          <w:color w:val="auto"/>
          <w:szCs w:val="21"/>
        </w:rPr>
      </w:pPr>
      <w:r>
        <w:rPr>
          <w:rFonts w:hint="eastAsia"/>
          <w:b/>
          <w:color w:val="auto"/>
          <w:szCs w:val="21"/>
        </w:rPr>
        <w:t>现文：</w:t>
      </w:r>
      <w:r>
        <w:rPr>
          <w:rFonts w:hint="eastAsia" w:ascii="宋体" w:hAnsi="宋体" w:cs="宋体"/>
          <w:color w:val="auto"/>
          <w:szCs w:val="21"/>
        </w:rPr>
        <w:t>36.5.1在投标截止时间后一小时内，投标人通过交易平台对已递交的电子投标文件进行解密。投标人完成解密后，再由</w:t>
      </w:r>
      <w:r>
        <w:rPr>
          <w:rFonts w:hint="eastAsia" w:ascii="宋体" w:hAnsi="宋体" w:cs="宋体"/>
          <w:color w:val="auto"/>
          <w:szCs w:val="21"/>
          <w:u w:val="single"/>
        </w:rPr>
        <w:t>招标人或招标代理机构</w:t>
      </w:r>
      <w:r>
        <w:rPr>
          <w:rFonts w:hint="eastAsia" w:ascii="宋体" w:hAnsi="宋体" w:cs="宋体"/>
          <w:color w:val="auto"/>
          <w:szCs w:val="21"/>
        </w:rPr>
        <w:t>进行解密。解密完成后，公布招标项目名称、投标人名称、投标报价、工期及其他内容；</w:t>
      </w:r>
    </w:p>
    <w:p>
      <w:pPr>
        <w:spacing w:line="480" w:lineRule="auto"/>
        <w:ind w:firstLine="472" w:firstLineChars="224"/>
        <w:rPr>
          <w:b/>
          <w:color w:val="auto"/>
          <w:szCs w:val="21"/>
        </w:rPr>
      </w:pPr>
      <w:r>
        <w:rPr>
          <w:rFonts w:hint="eastAsia"/>
          <w:b/>
          <w:color w:val="auto"/>
          <w:szCs w:val="21"/>
        </w:rPr>
        <w:t>条款号：</w:t>
      </w:r>
      <w:r>
        <w:rPr>
          <w:rFonts w:hint="eastAsia" w:ascii="宋体" w:hAnsi="宋体" w:cs="宋体"/>
          <w:color w:val="auto"/>
          <w:szCs w:val="21"/>
        </w:rPr>
        <w:t>38.1</w:t>
      </w:r>
      <w:r>
        <w:rPr>
          <w:b/>
          <w:color w:val="auto"/>
          <w:szCs w:val="21"/>
        </w:rPr>
        <w:t xml:space="preserve">             </w:t>
      </w:r>
      <w:r>
        <w:rPr>
          <w:rFonts w:hint="eastAsia"/>
          <w:b/>
          <w:color w:val="auto"/>
          <w:szCs w:val="21"/>
        </w:rPr>
        <w:t>修改类型：修改</w:t>
      </w:r>
    </w:p>
    <w:p>
      <w:pPr>
        <w:spacing w:line="480" w:lineRule="auto"/>
        <w:ind w:firstLine="472" w:firstLineChars="224"/>
        <w:rPr>
          <w:b/>
          <w:color w:val="auto"/>
          <w:szCs w:val="21"/>
        </w:rPr>
      </w:pPr>
      <w:r>
        <w:rPr>
          <w:rFonts w:hint="eastAsia"/>
          <w:b/>
          <w:color w:val="auto"/>
          <w:szCs w:val="21"/>
        </w:rPr>
        <w:t>原文：</w:t>
      </w:r>
      <w:r>
        <w:rPr>
          <w:rFonts w:hint="eastAsia" w:ascii="宋体" w:hAnsi="宋体" w:cs="宋体"/>
          <w:color w:val="auto"/>
          <w:szCs w:val="21"/>
        </w:rPr>
        <w:t>38.1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pPr>
        <w:pBdr>
          <w:bottom w:val="single" w:color="auto" w:sz="6" w:space="1"/>
        </w:pBdr>
        <w:spacing w:line="360" w:lineRule="auto"/>
        <w:ind w:firstLine="527" w:firstLineChars="250"/>
        <w:rPr>
          <w:color w:val="auto"/>
        </w:rPr>
      </w:pPr>
      <w:r>
        <w:rPr>
          <w:rFonts w:hint="eastAsia"/>
          <w:b/>
          <w:color w:val="auto"/>
          <w:szCs w:val="21"/>
        </w:rPr>
        <w:t>现文：</w:t>
      </w:r>
      <w:r>
        <w:rPr>
          <w:rFonts w:hint="eastAsia" w:ascii="宋体" w:hAnsi="宋体" w:cs="宋体"/>
          <w:color w:val="auto"/>
          <w:szCs w:val="21"/>
        </w:rPr>
        <w:t>38.1为有助于投标文件的审查、评价和比较，评标期间，经</w:t>
      </w:r>
      <w:r>
        <w:rPr>
          <w:rFonts w:hint="eastAsia" w:ascii="宋体" w:hAnsi="宋体" w:cs="宋体"/>
          <w:color w:val="auto"/>
          <w:szCs w:val="21"/>
          <w:u w:val="single"/>
        </w:rPr>
        <w:t>综合评标委员会</w:t>
      </w:r>
      <w:r>
        <w:rPr>
          <w:rFonts w:hint="eastAsia" w:ascii="宋体" w:hAnsi="宋体" w:cs="宋体"/>
          <w:color w:val="auto"/>
          <w:szCs w:val="21"/>
        </w:rPr>
        <w:t>中两人以上（含两人）的成员以书面形式提出动议，</w:t>
      </w:r>
      <w:r>
        <w:rPr>
          <w:rFonts w:hint="eastAsia" w:ascii="宋体" w:hAnsi="宋体" w:cs="宋体"/>
          <w:color w:val="auto"/>
          <w:szCs w:val="21"/>
          <w:u w:val="single"/>
        </w:rPr>
        <w:t>综合评标委员会</w:t>
      </w:r>
      <w:r>
        <w:rPr>
          <w:rFonts w:hint="eastAsia" w:ascii="宋体" w:hAnsi="宋体" w:cs="宋体"/>
          <w:color w:val="auto"/>
          <w:szCs w:val="21"/>
        </w:rPr>
        <w:t>应当书面发出澄清通知，要求投标人</w:t>
      </w:r>
      <w:r>
        <w:rPr>
          <w:rFonts w:hint="eastAsia" w:ascii="宋体" w:hAnsi="宋体" w:cs="宋体"/>
          <w:color w:val="auto"/>
          <w:szCs w:val="21"/>
          <w:u w:val="single"/>
        </w:rPr>
        <w:t>对投标文件含义不明确、对同类问题表述不一致、有明显文字和计算错误的内容以及细微偏差的内容</w:t>
      </w:r>
      <w:r>
        <w:rPr>
          <w:rFonts w:hint="eastAsia" w:ascii="宋体" w:hAnsi="宋体" w:cs="宋体"/>
          <w:color w:val="auto"/>
          <w:szCs w:val="21"/>
        </w:rPr>
        <w:t>作出澄清。</w:t>
      </w:r>
    </w:p>
    <w:p>
      <w:pPr>
        <w:spacing w:line="480" w:lineRule="auto"/>
        <w:ind w:firstLine="472" w:firstLineChars="224"/>
        <w:rPr>
          <w:b/>
          <w:color w:val="auto"/>
          <w:szCs w:val="21"/>
        </w:rPr>
      </w:pPr>
      <w:r>
        <w:rPr>
          <w:rFonts w:hint="eastAsia"/>
          <w:b/>
          <w:color w:val="auto"/>
          <w:szCs w:val="21"/>
        </w:rPr>
        <w:t>条款号：</w:t>
      </w:r>
      <w:r>
        <w:rPr>
          <w:rFonts w:hint="eastAsia" w:ascii="宋体" w:hAnsi="宋体" w:cs="宋体"/>
          <w:color w:val="auto"/>
          <w:szCs w:val="21"/>
        </w:rPr>
        <w:t xml:space="preserve">39.3 </w:t>
      </w:r>
      <w:r>
        <w:rPr>
          <w:b/>
          <w:color w:val="auto"/>
          <w:szCs w:val="21"/>
        </w:rPr>
        <w:t xml:space="preserve">            </w:t>
      </w:r>
      <w:r>
        <w:rPr>
          <w:rFonts w:hint="eastAsia"/>
          <w:b/>
          <w:color w:val="auto"/>
          <w:szCs w:val="21"/>
        </w:rPr>
        <w:t>修改类型：修改</w:t>
      </w:r>
    </w:p>
    <w:p>
      <w:pPr>
        <w:pBdr>
          <w:bottom w:val="single" w:color="auto" w:sz="6" w:space="1"/>
        </w:pBdr>
        <w:spacing w:line="360" w:lineRule="auto"/>
        <w:ind w:firstLine="527" w:firstLineChars="250"/>
        <w:rPr>
          <w:rFonts w:ascii="宋体" w:hAnsi="宋体"/>
          <w:color w:val="auto"/>
          <w:sz w:val="24"/>
          <w:szCs w:val="24"/>
        </w:rPr>
      </w:pPr>
      <w:r>
        <w:rPr>
          <w:rFonts w:hint="eastAsia"/>
          <w:b/>
          <w:color w:val="auto"/>
          <w:szCs w:val="21"/>
        </w:rPr>
        <w:t>原文：</w:t>
      </w:r>
      <w:r>
        <w:rPr>
          <w:rFonts w:hint="eastAsia" w:ascii="宋体" w:hAnsi="宋体" w:cs="宋体"/>
          <w:color w:val="auto"/>
          <w:szCs w:val="21"/>
        </w:rPr>
        <w:t>39.3排名第一的中标候选人放弃中标、或因不可抗力提出不能履行合同，或者招标文件规定应当提交履约担保而在规定的期限内未能提交的，招标人可以确定排名第二的中标候选人为中标人。</w:t>
      </w:r>
    </w:p>
    <w:p>
      <w:pPr>
        <w:pBdr>
          <w:bottom w:val="single" w:color="auto" w:sz="6" w:space="1"/>
        </w:pBdr>
        <w:spacing w:line="360" w:lineRule="auto"/>
        <w:ind w:firstLine="527" w:firstLineChars="250"/>
        <w:rPr>
          <w:color w:val="auto"/>
        </w:rPr>
      </w:pPr>
      <w:r>
        <w:rPr>
          <w:rFonts w:hint="eastAsia"/>
          <w:b/>
          <w:color w:val="auto"/>
          <w:szCs w:val="21"/>
        </w:rPr>
        <w:t>现文：</w:t>
      </w:r>
      <w:r>
        <w:rPr>
          <w:color w:val="auto"/>
          <w:szCs w:val="21"/>
          <w:u w:val="single"/>
        </w:rPr>
        <w:t>39.3</w:t>
      </w:r>
      <w:r>
        <w:rPr>
          <w:rFonts w:hint="eastAsia"/>
          <w:bCs/>
          <w:color w:val="auto"/>
          <w:szCs w:val="21"/>
          <w:u w:val="single"/>
        </w:rPr>
        <w:t>排名第一的中标候选人放弃中标、或因不可抗力提出不能履行合同，或者招标文件规定应当提交履约担保而在规定的期限内未能提交的，</w:t>
      </w:r>
      <w:r>
        <w:rPr>
          <w:rFonts w:hint="eastAsia"/>
          <w:b/>
          <w:bCs/>
          <w:color w:val="auto"/>
          <w:szCs w:val="21"/>
          <w:u w:val="single"/>
        </w:rPr>
        <w:t>或经核查发现委派的项目负责人已在其他在建项目中任职的，</w:t>
      </w:r>
      <w:r>
        <w:rPr>
          <w:rFonts w:hint="eastAsia"/>
          <w:bCs/>
          <w:color w:val="auto"/>
          <w:szCs w:val="21"/>
          <w:u w:val="single"/>
        </w:rPr>
        <w:t>招标人可以确定排名第二的中标候选人为中标人。</w:t>
      </w:r>
    </w:p>
    <w:p>
      <w:pPr>
        <w:pStyle w:val="5"/>
        <w:spacing w:after="0" w:line="460" w:lineRule="exact"/>
        <w:ind w:firstLine="422" w:firstLineChars="200"/>
        <w:rPr>
          <w:rFonts w:ascii="宋体" w:hAnsi="宋体" w:cs="宋体"/>
          <w:color w:val="auto"/>
          <w:szCs w:val="21"/>
        </w:rPr>
      </w:pPr>
      <w:r>
        <w:rPr>
          <w:rFonts w:hint="eastAsia" w:ascii="宋体" w:hAnsi="宋体" w:cs="宋体"/>
          <w:b/>
          <w:color w:val="auto"/>
          <w:szCs w:val="21"/>
        </w:rPr>
        <w:t>条款号：（二）开标评标办法程序和细则   注       修改类型：删除</w:t>
      </w:r>
    </w:p>
    <w:p>
      <w:pPr>
        <w:pBdr>
          <w:bottom w:val="single" w:color="auto" w:sz="6" w:space="1"/>
        </w:pBdr>
        <w:spacing w:line="460" w:lineRule="exact"/>
        <w:ind w:firstLine="413" w:firstLineChars="196"/>
        <w:rPr>
          <w:rFonts w:ascii="宋体" w:hAnsi="宋体" w:cs="宋体"/>
          <w:color w:val="auto"/>
          <w:szCs w:val="21"/>
          <w:u w:val="single"/>
        </w:rPr>
      </w:pPr>
      <w:r>
        <w:rPr>
          <w:rFonts w:hint="eastAsia" w:ascii="宋体" w:hAnsi="宋体" w:cs="宋体"/>
          <w:b/>
          <w:color w:val="auto"/>
          <w:szCs w:val="21"/>
        </w:rPr>
        <w:t>原文：</w:t>
      </w:r>
      <w:r>
        <w:rPr>
          <w:rFonts w:hint="eastAsia" w:ascii="宋体" w:hAnsi="宋体" w:cs="宋体"/>
          <w:bCs/>
          <w:color w:val="auto"/>
          <w:szCs w:val="21"/>
        </w:rPr>
        <w:t>注：以下八种评标办法所述企业综合诚信评价分数即投标截止当日广州市住房和城乡建设局网站上公布的企业综合诚信评价60日诚信分。</w:t>
      </w:r>
    </w:p>
    <w:p>
      <w:pPr>
        <w:spacing w:line="480" w:lineRule="auto"/>
        <w:ind w:firstLine="472" w:firstLineChars="224"/>
        <w:rPr>
          <w:rFonts w:ascii="宋体" w:hAnsi="宋体" w:cs="宋体"/>
          <w:b/>
          <w:color w:val="auto"/>
          <w:szCs w:val="21"/>
        </w:rPr>
      </w:pPr>
      <w:r>
        <w:rPr>
          <w:rFonts w:hint="eastAsia" w:ascii="宋体" w:hAnsi="宋体" w:cs="宋体"/>
          <w:b/>
          <w:color w:val="auto"/>
          <w:szCs w:val="21"/>
        </w:rPr>
        <w:t>条款号： （二）开标评标办法程序和细则        修改类型：删除</w:t>
      </w:r>
    </w:p>
    <w:p>
      <w:pPr>
        <w:pBdr>
          <w:bottom w:val="single" w:color="auto" w:sz="6" w:space="1"/>
        </w:pBdr>
        <w:spacing w:line="360" w:lineRule="auto"/>
        <w:ind w:firstLine="527" w:firstLineChars="250"/>
        <w:rPr>
          <w:rStyle w:val="43"/>
          <w:rFonts w:ascii="宋体" w:hAnsi="宋体" w:cs="宋体"/>
          <w:color w:val="auto"/>
        </w:rPr>
      </w:pPr>
      <w:r>
        <w:rPr>
          <w:rFonts w:hint="eastAsia" w:ascii="宋体" w:hAnsi="宋体" w:cs="宋体"/>
          <w:b/>
          <w:color w:val="auto"/>
          <w:szCs w:val="21"/>
        </w:rPr>
        <w:t>原文：</w:t>
      </w:r>
      <w:r>
        <w:rPr>
          <w:rStyle w:val="43"/>
          <w:rFonts w:hint="eastAsia" w:ascii="宋体" w:hAnsi="宋体" w:cs="宋体"/>
          <w:color w:val="auto"/>
        </w:rPr>
        <w:t>可选</w:t>
      </w:r>
      <w:r>
        <w:rPr>
          <w:rFonts w:hint="eastAsia" w:ascii="宋体" w:hAnsi="宋体" w:cs="宋体"/>
          <w:color w:val="auto"/>
          <w:szCs w:val="21"/>
        </w:rPr>
        <w:t>办法</w:t>
      </w:r>
      <w:r>
        <w:rPr>
          <w:rStyle w:val="43"/>
          <w:rFonts w:hint="eastAsia" w:ascii="宋体" w:hAnsi="宋体" w:cs="宋体"/>
          <w:color w:val="auto"/>
        </w:rPr>
        <w:t>一（适合</w:t>
      </w:r>
      <w:r>
        <w:rPr>
          <w:rStyle w:val="43"/>
          <w:rFonts w:hint="eastAsia" w:ascii="宋体" w:hAnsi="宋体" w:cs="宋体"/>
          <w:color w:val="auto"/>
          <w:kern w:val="0"/>
        </w:rPr>
        <w:t>综合评分法一</w:t>
      </w:r>
      <w:r>
        <w:rPr>
          <w:rStyle w:val="43"/>
          <w:rFonts w:hint="eastAsia" w:ascii="宋体" w:hAnsi="宋体" w:cs="宋体"/>
          <w:color w:val="auto"/>
        </w:rPr>
        <w:t>，技术标与经济标先后分别开启）</w:t>
      </w:r>
    </w:p>
    <w:p>
      <w:pPr>
        <w:pBdr>
          <w:bottom w:val="single" w:color="auto" w:sz="6" w:space="1"/>
        </w:pBdr>
        <w:spacing w:line="360" w:lineRule="auto"/>
        <w:ind w:firstLine="1155" w:firstLineChars="550"/>
        <w:rPr>
          <w:rStyle w:val="43"/>
          <w:rFonts w:ascii="宋体" w:hAnsi="宋体" w:cs="宋体"/>
          <w:color w:val="auto"/>
        </w:rPr>
      </w:pPr>
      <w:r>
        <w:rPr>
          <w:rStyle w:val="43"/>
          <w:rFonts w:hint="eastAsia" w:ascii="宋体" w:hAnsi="宋体" w:cs="宋体"/>
          <w:color w:val="auto"/>
        </w:rPr>
        <w:t>可选</w:t>
      </w:r>
      <w:r>
        <w:rPr>
          <w:rFonts w:hint="eastAsia" w:ascii="宋体" w:hAnsi="宋体" w:cs="宋体"/>
          <w:color w:val="auto"/>
          <w:szCs w:val="21"/>
        </w:rPr>
        <w:t>办法</w:t>
      </w:r>
      <w:r>
        <w:rPr>
          <w:rStyle w:val="43"/>
          <w:rFonts w:hint="eastAsia" w:ascii="宋体" w:hAnsi="宋体" w:cs="宋体"/>
          <w:color w:val="auto"/>
        </w:rPr>
        <w:t>二（适合综合评分法一，技术标与经济标同时开启）</w:t>
      </w:r>
    </w:p>
    <w:p>
      <w:pPr>
        <w:pBdr>
          <w:bottom w:val="single" w:color="auto" w:sz="6" w:space="1"/>
        </w:pBdr>
        <w:spacing w:line="360" w:lineRule="auto"/>
        <w:ind w:firstLine="1155" w:firstLineChars="550"/>
        <w:rPr>
          <w:rStyle w:val="43"/>
          <w:rFonts w:ascii="宋体" w:hAnsi="宋体" w:cs="宋体"/>
          <w:color w:val="auto"/>
        </w:rPr>
      </w:pPr>
      <w:r>
        <w:rPr>
          <w:rStyle w:val="43"/>
          <w:rFonts w:hint="eastAsia" w:ascii="宋体" w:hAnsi="宋体" w:cs="宋体"/>
          <w:color w:val="auto"/>
        </w:rPr>
        <w:t>可选办法三（适合综合评分法二，技术标与经济标先后分别开启）</w:t>
      </w:r>
    </w:p>
    <w:p>
      <w:pPr>
        <w:pBdr>
          <w:bottom w:val="single" w:color="auto" w:sz="6" w:space="1"/>
        </w:pBdr>
        <w:spacing w:line="360" w:lineRule="auto"/>
        <w:ind w:firstLine="1155" w:firstLineChars="550"/>
        <w:rPr>
          <w:rStyle w:val="43"/>
          <w:rFonts w:ascii="宋体" w:hAnsi="宋体" w:cs="宋体"/>
          <w:color w:val="auto"/>
        </w:rPr>
      </w:pPr>
      <w:r>
        <w:rPr>
          <w:rStyle w:val="43"/>
          <w:rFonts w:hint="eastAsia" w:ascii="宋体" w:hAnsi="宋体" w:cs="宋体"/>
          <w:color w:val="auto"/>
        </w:rPr>
        <w:t>可选办法四（适合综合评分法二，技术标与经济标同时开启）</w:t>
      </w:r>
    </w:p>
    <w:p>
      <w:pPr>
        <w:pBdr>
          <w:bottom w:val="single" w:color="auto" w:sz="6" w:space="1"/>
        </w:pBdr>
        <w:spacing w:line="360" w:lineRule="auto"/>
        <w:ind w:firstLine="1155" w:firstLineChars="550"/>
        <w:rPr>
          <w:rStyle w:val="43"/>
          <w:rFonts w:ascii="宋体" w:hAnsi="宋体" w:cs="宋体"/>
          <w:color w:val="auto"/>
        </w:rPr>
      </w:pPr>
      <w:r>
        <w:rPr>
          <w:rStyle w:val="43"/>
          <w:rFonts w:hint="eastAsia" w:ascii="宋体" w:hAnsi="宋体" w:cs="宋体"/>
          <w:color w:val="auto"/>
        </w:rPr>
        <w:t>可选办法五（适合综合评分法三，技术标与经济标先后分别开启）</w:t>
      </w:r>
    </w:p>
    <w:p>
      <w:pPr>
        <w:pBdr>
          <w:bottom w:val="single" w:color="auto" w:sz="6" w:space="1"/>
        </w:pBdr>
        <w:spacing w:line="360" w:lineRule="auto"/>
        <w:ind w:firstLine="1155" w:firstLineChars="550"/>
        <w:rPr>
          <w:rStyle w:val="43"/>
          <w:rFonts w:ascii="宋体" w:hAnsi="宋体" w:cs="宋体"/>
          <w:color w:val="auto"/>
        </w:rPr>
      </w:pPr>
      <w:r>
        <w:rPr>
          <w:rStyle w:val="43"/>
          <w:rFonts w:hint="eastAsia" w:ascii="宋体" w:hAnsi="宋体" w:cs="宋体"/>
          <w:color w:val="auto"/>
        </w:rPr>
        <w:t>可选办法六（适合综合评分法三，技术标与经济标同时开启）</w:t>
      </w:r>
    </w:p>
    <w:p>
      <w:pPr>
        <w:pBdr>
          <w:bottom w:val="single" w:color="auto" w:sz="6" w:space="1"/>
        </w:pBdr>
        <w:spacing w:line="360" w:lineRule="auto"/>
        <w:ind w:firstLine="1155" w:firstLineChars="550"/>
        <w:rPr>
          <w:rFonts w:ascii="宋体" w:hAnsi="宋体" w:cs="宋体"/>
          <w:b/>
          <w:color w:val="auto"/>
          <w:szCs w:val="21"/>
        </w:rPr>
      </w:pPr>
      <w:r>
        <w:rPr>
          <w:rStyle w:val="43"/>
          <w:rFonts w:hint="eastAsia" w:ascii="宋体" w:hAnsi="宋体" w:cs="宋体"/>
          <w:color w:val="auto"/>
        </w:rPr>
        <w:t>可选办法八（适合经评审的最低投标价法，技术标与经济标同时开启）</w:t>
      </w:r>
    </w:p>
    <w:p>
      <w:pPr>
        <w:spacing w:line="480" w:lineRule="auto"/>
        <w:ind w:firstLine="472" w:firstLineChars="224"/>
        <w:rPr>
          <w:b/>
          <w:color w:val="auto"/>
          <w:szCs w:val="21"/>
        </w:rPr>
      </w:pPr>
      <w:r>
        <w:rPr>
          <w:rFonts w:hint="eastAsia"/>
          <w:b/>
          <w:color w:val="auto"/>
          <w:szCs w:val="21"/>
        </w:rPr>
        <w:t>条款号：</w:t>
      </w:r>
      <w:r>
        <w:rPr>
          <w:rFonts w:hint="eastAsia" w:ascii="宋体" w:hAnsi="宋体" w:cs="宋体"/>
          <w:color w:val="auto"/>
          <w:szCs w:val="21"/>
        </w:rPr>
        <w:t>41.1</w:t>
      </w:r>
      <w:r>
        <w:rPr>
          <w:b/>
          <w:color w:val="auto"/>
          <w:szCs w:val="21"/>
        </w:rPr>
        <w:t xml:space="preserve">             </w:t>
      </w:r>
      <w:r>
        <w:rPr>
          <w:rFonts w:hint="eastAsia"/>
          <w:b/>
          <w:color w:val="auto"/>
          <w:szCs w:val="21"/>
        </w:rPr>
        <w:t>修改类型：修改</w:t>
      </w:r>
    </w:p>
    <w:p>
      <w:pPr>
        <w:spacing w:line="480" w:lineRule="auto"/>
        <w:ind w:firstLine="472" w:firstLineChars="224"/>
        <w:rPr>
          <w:b/>
          <w:color w:val="auto"/>
          <w:szCs w:val="21"/>
        </w:rPr>
      </w:pPr>
      <w:r>
        <w:rPr>
          <w:rFonts w:hint="eastAsia"/>
          <w:b/>
          <w:color w:val="auto"/>
          <w:szCs w:val="21"/>
        </w:rPr>
        <w:t>原文：</w:t>
      </w:r>
      <w:r>
        <w:rPr>
          <w:rFonts w:hint="eastAsia" w:ascii="宋体" w:hAnsi="宋体" w:cs="宋体"/>
          <w:color w:val="auto"/>
          <w:szCs w:val="21"/>
        </w:rPr>
        <w:t>41.1开标由招标人主持；</w:t>
      </w:r>
    </w:p>
    <w:p>
      <w:pPr>
        <w:pBdr>
          <w:bottom w:val="single" w:color="auto" w:sz="6" w:space="1"/>
        </w:pBdr>
        <w:spacing w:line="360" w:lineRule="auto"/>
        <w:ind w:firstLine="527" w:firstLineChars="250"/>
        <w:rPr>
          <w:color w:val="auto"/>
        </w:rPr>
      </w:pPr>
      <w:r>
        <w:rPr>
          <w:rFonts w:hint="eastAsia"/>
          <w:b/>
          <w:color w:val="auto"/>
          <w:szCs w:val="21"/>
        </w:rPr>
        <w:t>现文：</w:t>
      </w:r>
      <w:r>
        <w:rPr>
          <w:rFonts w:hint="eastAsia" w:ascii="宋体" w:hAnsi="宋体" w:cs="宋体"/>
          <w:color w:val="auto"/>
          <w:szCs w:val="21"/>
        </w:rPr>
        <w:t>41.1开标由招标人</w:t>
      </w:r>
      <w:r>
        <w:rPr>
          <w:rFonts w:hint="eastAsia" w:ascii="宋体" w:hAnsi="宋体" w:cs="宋体"/>
          <w:color w:val="auto"/>
          <w:szCs w:val="21"/>
          <w:u w:val="single"/>
        </w:rPr>
        <w:t>或招标代理</w:t>
      </w:r>
      <w:r>
        <w:rPr>
          <w:rFonts w:hint="eastAsia" w:ascii="宋体" w:hAnsi="宋体" w:cs="宋体"/>
          <w:color w:val="auto"/>
          <w:szCs w:val="21"/>
        </w:rPr>
        <w:t>主持</w:t>
      </w:r>
    </w:p>
    <w:p>
      <w:pPr>
        <w:spacing w:line="480" w:lineRule="auto"/>
        <w:ind w:firstLine="472" w:firstLineChars="224"/>
        <w:rPr>
          <w:b/>
          <w:color w:val="auto"/>
          <w:szCs w:val="21"/>
        </w:rPr>
      </w:pPr>
      <w:r>
        <w:rPr>
          <w:rFonts w:hint="eastAsia"/>
          <w:b/>
          <w:color w:val="auto"/>
          <w:szCs w:val="21"/>
        </w:rPr>
        <w:t>条款号：</w:t>
      </w:r>
      <w:r>
        <w:rPr>
          <w:rFonts w:hint="eastAsia" w:ascii="宋体" w:hAnsi="宋体" w:cs="宋体"/>
          <w:color w:val="auto"/>
          <w:szCs w:val="21"/>
        </w:rPr>
        <w:t>41.2.1</w:t>
      </w:r>
      <w:r>
        <w:rPr>
          <w:b/>
          <w:color w:val="auto"/>
          <w:szCs w:val="21"/>
        </w:rPr>
        <w:t xml:space="preserve">             </w:t>
      </w:r>
      <w:r>
        <w:rPr>
          <w:rFonts w:hint="eastAsia"/>
          <w:b/>
          <w:color w:val="auto"/>
          <w:szCs w:val="21"/>
        </w:rPr>
        <w:t>修改类型：修改</w:t>
      </w:r>
    </w:p>
    <w:p>
      <w:pPr>
        <w:spacing w:line="480" w:lineRule="auto"/>
        <w:ind w:firstLine="472" w:firstLineChars="224"/>
        <w:rPr>
          <w:b/>
          <w:color w:val="auto"/>
          <w:szCs w:val="21"/>
        </w:rPr>
      </w:pPr>
      <w:r>
        <w:rPr>
          <w:rFonts w:hint="eastAsia"/>
          <w:b/>
          <w:color w:val="auto"/>
          <w:szCs w:val="21"/>
        </w:rPr>
        <w:t>原文：</w:t>
      </w:r>
      <w:r>
        <w:rPr>
          <w:rFonts w:hint="eastAsia" w:ascii="宋体" w:hAnsi="宋体" w:cs="宋体"/>
          <w:color w:val="auto"/>
          <w:szCs w:val="21"/>
        </w:rPr>
        <w:t>41.2.1投标截止期前，各投标人递交投标文件（包括技术标投标文件、经济标投标文件）至</w:t>
      </w:r>
      <w:r>
        <w:rPr>
          <w:color w:val="auto"/>
          <w:sz w:val="24"/>
          <w:szCs w:val="24"/>
          <w:u w:val="single"/>
        </w:rPr>
        <w:t xml:space="preserve">        </w:t>
      </w:r>
      <w:r>
        <w:rPr>
          <w:rFonts w:hint="eastAsia" w:ascii="宋体" w:hAnsi="宋体" w:cs="宋体"/>
          <w:color w:val="auto"/>
          <w:szCs w:val="21"/>
        </w:rPr>
        <w:t>交易平台。有关投标文件提交的事项详见第一章投标须知。</w:t>
      </w:r>
    </w:p>
    <w:p>
      <w:pPr>
        <w:pBdr>
          <w:bottom w:val="single" w:color="auto" w:sz="6" w:space="1"/>
        </w:pBdr>
        <w:spacing w:line="360" w:lineRule="auto"/>
        <w:ind w:firstLine="527" w:firstLineChars="250"/>
        <w:rPr>
          <w:color w:val="auto"/>
        </w:rPr>
      </w:pPr>
      <w:r>
        <w:rPr>
          <w:rFonts w:hint="eastAsia"/>
          <w:b/>
          <w:color w:val="auto"/>
          <w:szCs w:val="21"/>
        </w:rPr>
        <w:t>现文：</w:t>
      </w:r>
      <w:r>
        <w:rPr>
          <w:rFonts w:hint="eastAsia" w:ascii="宋体" w:hAnsi="宋体" w:cs="宋体"/>
          <w:color w:val="auto"/>
          <w:szCs w:val="21"/>
        </w:rPr>
        <w:t>41.2.1投标截止期前，各投标人递交投标文件（包括技术标投标文件、经济标投标文件）至</w:t>
      </w:r>
      <w:r>
        <w:rPr>
          <w:rFonts w:hint="eastAsia" w:ascii="宋体" w:hAnsi="宋体" w:cs="宋体"/>
          <w:color w:val="auto"/>
          <w:szCs w:val="21"/>
          <w:u w:val="single"/>
        </w:rPr>
        <w:t>广州交易集团有限公司（广州公共资源交易中心）</w:t>
      </w:r>
      <w:r>
        <w:rPr>
          <w:rFonts w:hint="eastAsia" w:ascii="宋体" w:hAnsi="宋体" w:cs="宋体"/>
          <w:color w:val="auto"/>
          <w:szCs w:val="21"/>
        </w:rPr>
        <w:t>交易平台。有关投标文件提交的事项详见第一章投标须知。</w:t>
      </w:r>
    </w:p>
    <w:p>
      <w:pPr>
        <w:spacing w:line="480" w:lineRule="auto"/>
        <w:ind w:firstLine="472" w:firstLineChars="224"/>
        <w:rPr>
          <w:b/>
          <w:color w:val="auto"/>
          <w:szCs w:val="21"/>
        </w:rPr>
      </w:pPr>
      <w:r>
        <w:rPr>
          <w:rFonts w:hint="eastAsia"/>
          <w:b/>
          <w:color w:val="auto"/>
          <w:szCs w:val="21"/>
        </w:rPr>
        <w:t>条款号：</w:t>
      </w:r>
      <w:r>
        <w:rPr>
          <w:rFonts w:hint="eastAsia" w:ascii="宋体"/>
          <w:b/>
          <w:bCs/>
          <w:color w:val="auto"/>
          <w:szCs w:val="21"/>
        </w:rPr>
        <w:t>41.2.2</w:t>
      </w:r>
      <w:r>
        <w:rPr>
          <w:b/>
          <w:color w:val="auto"/>
          <w:szCs w:val="21"/>
        </w:rPr>
        <w:t xml:space="preserve">            </w:t>
      </w:r>
      <w:r>
        <w:rPr>
          <w:rFonts w:hint="eastAsia"/>
          <w:b/>
          <w:color w:val="auto"/>
          <w:szCs w:val="21"/>
        </w:rPr>
        <w:t>修改类型：删除</w:t>
      </w:r>
    </w:p>
    <w:p>
      <w:pPr>
        <w:pBdr>
          <w:bottom w:val="single" w:color="auto" w:sz="6" w:space="1"/>
        </w:pBdr>
        <w:spacing w:line="480" w:lineRule="auto"/>
        <w:ind w:firstLine="422" w:firstLineChars="200"/>
        <w:rPr>
          <w:b/>
          <w:color w:val="auto"/>
          <w:szCs w:val="21"/>
        </w:rPr>
      </w:pPr>
      <w:r>
        <w:rPr>
          <w:rFonts w:hint="eastAsia"/>
          <w:b/>
          <w:color w:val="auto"/>
          <w:szCs w:val="21"/>
        </w:rPr>
        <w:t>原文：</w:t>
      </w:r>
      <w:r>
        <w:rPr>
          <w:rFonts w:hint="eastAsia" w:ascii="宋体"/>
          <w:color w:val="auto"/>
          <w:szCs w:val="21"/>
        </w:rPr>
        <w:t>4</w:t>
      </w:r>
      <w:r>
        <w:rPr>
          <w:rFonts w:hint="eastAsia" w:ascii="宋体" w:hAnsi="宋体" w:cs="宋体"/>
          <w:color w:val="auto"/>
          <w:szCs w:val="21"/>
        </w:rPr>
        <w:t>1.2.2开标前，首先由招标人随机抽取确定该工程计算评标参考价的等分点值X。</w:t>
      </w:r>
    </w:p>
    <w:p>
      <w:pPr>
        <w:spacing w:line="480" w:lineRule="auto"/>
        <w:ind w:firstLine="472" w:firstLineChars="224"/>
        <w:rPr>
          <w:rFonts w:ascii="宋体" w:hAnsi="宋体" w:cs="宋体"/>
          <w:b/>
          <w:color w:val="auto"/>
          <w:szCs w:val="21"/>
        </w:rPr>
      </w:pPr>
      <w:r>
        <w:rPr>
          <w:rFonts w:hint="eastAsia" w:ascii="宋体" w:hAnsi="宋体" w:cs="宋体"/>
          <w:b/>
          <w:color w:val="auto"/>
          <w:szCs w:val="21"/>
        </w:rPr>
        <w:t>条款号：</w:t>
      </w:r>
      <w:r>
        <w:rPr>
          <w:rFonts w:hint="eastAsia" w:ascii="宋体"/>
          <w:b/>
          <w:bCs/>
          <w:color w:val="auto"/>
          <w:szCs w:val="21"/>
        </w:rPr>
        <w:t>41.2.3</w:t>
      </w:r>
      <w:r>
        <w:rPr>
          <w:rFonts w:hint="eastAsia" w:ascii="宋体" w:hAnsi="宋体" w:cs="宋体"/>
          <w:b/>
          <w:color w:val="auto"/>
          <w:szCs w:val="21"/>
        </w:rPr>
        <w:t xml:space="preserve">             修改类型：修改</w:t>
      </w:r>
    </w:p>
    <w:p>
      <w:pPr>
        <w:spacing w:line="360" w:lineRule="auto"/>
        <w:ind w:firstLine="422" w:firstLineChars="200"/>
        <w:rPr>
          <w:rFonts w:ascii="宋体" w:hAnsi="宋体" w:cs="宋体"/>
          <w:color w:val="auto"/>
          <w:szCs w:val="21"/>
        </w:rPr>
      </w:pPr>
      <w:r>
        <w:rPr>
          <w:rFonts w:hint="eastAsia" w:ascii="宋体" w:hAnsi="宋体" w:cs="宋体"/>
          <w:b/>
          <w:color w:val="auto"/>
          <w:szCs w:val="21"/>
        </w:rPr>
        <w:t>原文：</w:t>
      </w:r>
      <w:r>
        <w:rPr>
          <w:rFonts w:hint="eastAsia" w:ascii="宋体" w:hAnsi="宋体" w:cs="宋体"/>
          <w:color w:val="auto"/>
          <w:szCs w:val="21"/>
        </w:rPr>
        <w:t>41.2.3开标时，投标人代表有权出席开标会，也可以自主决定不参加开标会，若投标人代表对开标过程提出异议，该投标人代表须同时出示本人身份证原件。</w:t>
      </w:r>
    </w:p>
    <w:p>
      <w:pPr>
        <w:pBdr>
          <w:bottom w:val="single" w:color="auto" w:sz="6" w:space="1"/>
        </w:pBdr>
        <w:spacing w:line="360" w:lineRule="auto"/>
        <w:ind w:firstLine="527" w:firstLineChars="250"/>
        <w:rPr>
          <w:rFonts w:ascii="宋体" w:hAnsi="宋体" w:cs="宋体"/>
          <w:color w:val="auto"/>
          <w:szCs w:val="21"/>
          <w:u w:val="single"/>
        </w:rPr>
      </w:pPr>
      <w:r>
        <w:rPr>
          <w:rFonts w:hint="eastAsia" w:ascii="宋体" w:hAnsi="宋体" w:cs="宋体"/>
          <w:b/>
          <w:color w:val="auto"/>
          <w:szCs w:val="21"/>
        </w:rPr>
        <w:t>现文：</w:t>
      </w:r>
      <w:r>
        <w:rPr>
          <w:rFonts w:hint="eastAsia" w:ascii="宋体" w:hAnsi="宋体" w:cs="宋体"/>
          <w:color w:val="auto"/>
          <w:szCs w:val="21"/>
          <w:u w:val="single"/>
        </w:rPr>
        <w:t>41.2.3开标时，投标人代表有权参加现场开标或在线开标，也可以自主决定不参加开标，若投标人代表对开标过程有异议的，参加现场开标的应当在开标现场提出，同时出示本人身份证原件，招标人应当当场作出答复，并制作记录；参加在线开标的，投标人应通过交易平台在线提出，招标人应通过交易平台答复，答复后方可结束开标。1.具体操作详见“广州交易集团有限公司（广州公共资源交易中心）门户网站首页-&gt;服务指南-&gt;系统帮助-&gt;操作手册-&gt;发起及受理异议操作指引”。</w:t>
      </w:r>
    </w:p>
    <w:p>
      <w:pPr>
        <w:numPr>
          <w:ilvl w:val="255"/>
          <w:numId w:val="0"/>
        </w:numPr>
        <w:pBdr>
          <w:bottom w:val="single" w:color="auto" w:sz="6" w:space="1"/>
        </w:pBdr>
        <w:spacing w:line="360" w:lineRule="auto"/>
        <w:ind w:firstLine="525" w:firstLineChars="250"/>
        <w:rPr>
          <w:rFonts w:ascii="宋体" w:hAnsi="宋体" w:cs="宋体"/>
          <w:color w:val="auto"/>
          <w:szCs w:val="21"/>
          <w:u w:val="single"/>
        </w:rPr>
      </w:pPr>
      <w:r>
        <w:rPr>
          <w:rFonts w:hint="eastAsia" w:ascii="宋体" w:hAnsi="宋体" w:cs="宋体"/>
          <w:color w:val="auto"/>
          <w:szCs w:val="21"/>
        </w:rPr>
        <w:t>2.</w:t>
      </w:r>
      <w:r>
        <w:rPr>
          <w:rFonts w:hint="eastAsia" w:ascii="宋体" w:hAnsi="宋体" w:cs="宋体"/>
          <w:color w:val="auto"/>
          <w:szCs w:val="21"/>
          <w:u w:val="single"/>
        </w:rPr>
        <w:t>投标人可登录交易平台网站向招标人提出异议申请，招标人在线处理完异议后，提出异议的投标人可以在线查询处理结果。异议处理结果仅对提出异议的投标人开放查询。投标人登录广交易平台进入“我是投标人”-选择“新建设工程交易平台”-“异议管理”-点击“新增异议”-选择要发起异议的项目。</w:t>
      </w:r>
    </w:p>
    <w:p>
      <w:pPr>
        <w:spacing w:line="480" w:lineRule="auto"/>
        <w:ind w:firstLine="472" w:firstLineChars="224"/>
        <w:rPr>
          <w:rFonts w:ascii="宋体" w:hAnsi="宋体" w:cs="宋体"/>
          <w:b/>
          <w:color w:val="auto"/>
          <w:szCs w:val="21"/>
        </w:rPr>
      </w:pPr>
      <w:r>
        <w:rPr>
          <w:rFonts w:hint="eastAsia" w:ascii="宋体" w:hAnsi="宋体" w:cs="宋体"/>
          <w:b/>
          <w:color w:val="auto"/>
          <w:szCs w:val="21"/>
        </w:rPr>
        <w:t>条款号：</w:t>
      </w:r>
      <w:r>
        <w:rPr>
          <w:rFonts w:hint="eastAsia" w:ascii="宋体" w:hAnsi="宋体" w:cs="宋体"/>
          <w:color w:val="auto"/>
          <w:szCs w:val="21"/>
        </w:rPr>
        <w:t>41.2.4.1</w:t>
      </w:r>
      <w:r>
        <w:rPr>
          <w:rFonts w:hint="eastAsia" w:ascii="宋体" w:hAnsi="宋体" w:cs="宋体"/>
          <w:b/>
          <w:color w:val="auto"/>
          <w:szCs w:val="21"/>
        </w:rPr>
        <w:t xml:space="preserve">            修改类型：修改</w:t>
      </w:r>
    </w:p>
    <w:p>
      <w:pPr>
        <w:numPr>
          <w:ilvl w:val="255"/>
          <w:numId w:val="0"/>
        </w:numPr>
        <w:spacing w:line="360" w:lineRule="auto"/>
        <w:ind w:firstLine="422" w:firstLineChars="200"/>
        <w:rPr>
          <w:rFonts w:ascii="宋体" w:hAnsi="宋体" w:cs="宋体"/>
          <w:color w:val="auto"/>
          <w:szCs w:val="21"/>
        </w:rPr>
      </w:pPr>
      <w:r>
        <w:rPr>
          <w:rFonts w:hint="eastAsia" w:ascii="宋体" w:hAnsi="宋体" w:cs="宋体"/>
          <w:b/>
          <w:color w:val="auto"/>
          <w:szCs w:val="21"/>
        </w:rPr>
        <w:t>原文：</w:t>
      </w:r>
      <w:r>
        <w:rPr>
          <w:rFonts w:hint="eastAsia" w:ascii="宋体" w:hAnsi="宋体" w:cs="宋体"/>
          <w:color w:val="auto"/>
          <w:szCs w:val="21"/>
        </w:rPr>
        <w:t>41.2.4.1开标时，公布：a、投标人名称；b、投标文件密封情况；c、投标报价；d、投标保证金；e、项目经理（负责人）名称；f、法定代表人证明及授权委托等主要内容及开标记录表中的其他必要内容。投标报价以数字和文字两种方式表述的，应公布文字表述的投标报价。</w:t>
      </w:r>
    </w:p>
    <w:p>
      <w:pPr>
        <w:numPr>
          <w:ilvl w:val="255"/>
          <w:numId w:val="0"/>
        </w:numPr>
        <w:pBdr>
          <w:bottom w:val="single" w:color="auto" w:sz="6" w:space="1"/>
        </w:pBdr>
        <w:spacing w:line="360" w:lineRule="auto"/>
        <w:ind w:firstLine="527" w:firstLineChars="250"/>
        <w:rPr>
          <w:rFonts w:ascii="宋体" w:hAnsi="宋体" w:cs="宋体"/>
          <w:color w:val="auto"/>
          <w:szCs w:val="21"/>
          <w:u w:val="single"/>
        </w:rPr>
      </w:pPr>
      <w:r>
        <w:rPr>
          <w:rFonts w:hint="eastAsia" w:ascii="宋体" w:hAnsi="宋体" w:cs="宋体"/>
          <w:b/>
          <w:bCs/>
          <w:color w:val="auto"/>
          <w:szCs w:val="21"/>
        </w:rPr>
        <w:t>现文</w:t>
      </w:r>
      <w:r>
        <w:rPr>
          <w:rFonts w:hint="eastAsia" w:ascii="宋体" w:hAnsi="宋体" w:cs="宋体"/>
          <w:b/>
          <w:color w:val="auto"/>
          <w:szCs w:val="21"/>
        </w:rPr>
        <w:t>：</w:t>
      </w:r>
      <w:r>
        <w:rPr>
          <w:rFonts w:hint="eastAsia" w:ascii="宋体" w:hAnsi="宋体" w:cs="宋体"/>
          <w:color w:val="auto"/>
          <w:szCs w:val="21"/>
          <w:u w:val="single"/>
        </w:rPr>
        <w:t>41.2.4.1开标时，公布：a、投标人名称；b、投标文件密封情况；c、投标报价；d、项目经理（负责人）名称e、法定代表人证明及授权委托等主要内容及开标记录表中的其他必要内容。投标报价以数字和文字两种方式表述的，应公布文字表述的投标报价。</w:t>
      </w:r>
    </w:p>
    <w:p>
      <w:pPr>
        <w:spacing w:line="480" w:lineRule="auto"/>
        <w:ind w:firstLine="472" w:firstLineChars="224"/>
        <w:rPr>
          <w:rFonts w:ascii="宋体" w:hAnsi="宋体" w:cs="宋体"/>
          <w:b/>
          <w:color w:val="auto"/>
          <w:szCs w:val="21"/>
        </w:rPr>
      </w:pPr>
      <w:r>
        <w:rPr>
          <w:rFonts w:hint="eastAsia" w:ascii="宋体" w:hAnsi="宋体" w:cs="宋体"/>
          <w:b/>
          <w:color w:val="auto"/>
          <w:szCs w:val="21"/>
        </w:rPr>
        <w:t>条款号：41.3              修改类型：修改</w:t>
      </w:r>
    </w:p>
    <w:p>
      <w:pPr>
        <w:pBdr>
          <w:bottom w:val="single" w:color="auto" w:sz="6" w:space="1"/>
        </w:pBdr>
        <w:spacing w:line="360" w:lineRule="auto"/>
        <w:ind w:firstLine="527" w:firstLineChars="250"/>
        <w:rPr>
          <w:rFonts w:ascii="宋体" w:hAnsi="宋体" w:cs="宋体"/>
          <w:color w:val="auto"/>
          <w:szCs w:val="21"/>
        </w:rPr>
      </w:pPr>
      <w:r>
        <w:rPr>
          <w:rFonts w:hint="eastAsia" w:ascii="宋体" w:hAnsi="宋体" w:cs="宋体"/>
          <w:b/>
          <w:color w:val="auto"/>
          <w:szCs w:val="21"/>
        </w:rPr>
        <w:t>原文：</w:t>
      </w:r>
      <w:r>
        <w:rPr>
          <w:rFonts w:hint="eastAsia" w:ascii="宋体" w:hAnsi="宋体" w:cs="宋体"/>
          <w:color w:val="auto"/>
          <w:szCs w:val="21"/>
        </w:rPr>
        <w:t>41.3招标人对开标过程进行记录，并存档备查，投标人在技术标开标记录上签字。</w:t>
      </w:r>
    </w:p>
    <w:p>
      <w:pPr>
        <w:pBdr>
          <w:bottom w:val="single" w:color="auto" w:sz="6" w:space="1"/>
        </w:pBdr>
        <w:spacing w:line="360" w:lineRule="auto"/>
        <w:ind w:firstLine="527" w:firstLineChars="250"/>
        <w:rPr>
          <w:rFonts w:ascii="宋体" w:hAnsi="宋体" w:cs="宋体"/>
          <w:b/>
          <w:color w:val="auto"/>
          <w:szCs w:val="21"/>
        </w:rPr>
      </w:pPr>
      <w:r>
        <w:rPr>
          <w:rFonts w:hint="eastAsia" w:ascii="宋体" w:hAnsi="宋体" w:cs="宋体"/>
          <w:b/>
          <w:color w:val="auto"/>
          <w:szCs w:val="21"/>
        </w:rPr>
        <w:t>现文：</w:t>
      </w:r>
      <w:r>
        <w:rPr>
          <w:rFonts w:hint="eastAsia" w:ascii="宋体" w:hAnsi="宋体" w:cs="宋体"/>
          <w:color w:val="auto"/>
          <w:szCs w:val="21"/>
        </w:rPr>
        <w:t>41.3招标人</w:t>
      </w:r>
      <w:r>
        <w:rPr>
          <w:rFonts w:hint="eastAsia" w:ascii="宋体" w:hAnsi="宋体" w:cs="宋体"/>
          <w:color w:val="auto"/>
          <w:szCs w:val="21"/>
          <w:u w:val="single"/>
        </w:rPr>
        <w:t>或招标代理机构</w:t>
      </w:r>
      <w:r>
        <w:rPr>
          <w:rFonts w:hint="eastAsia" w:ascii="宋体" w:hAnsi="宋体" w:cs="宋体"/>
          <w:color w:val="auto"/>
          <w:szCs w:val="21"/>
        </w:rPr>
        <w:t>对开标过程进行记录，并存档备查，投标人在</w:t>
      </w:r>
      <w:r>
        <w:rPr>
          <w:rFonts w:hint="eastAsia" w:ascii="宋体" w:hAnsi="宋体" w:cs="宋体"/>
          <w:color w:val="auto"/>
          <w:szCs w:val="21"/>
          <w:u w:val="single"/>
        </w:rPr>
        <w:t>开标记录上</w:t>
      </w:r>
      <w:r>
        <w:rPr>
          <w:rFonts w:hint="eastAsia" w:ascii="宋体" w:hAnsi="宋体" w:cs="宋体"/>
          <w:color w:val="auto"/>
          <w:szCs w:val="21"/>
        </w:rPr>
        <w:t>签字。</w:t>
      </w:r>
    </w:p>
    <w:p>
      <w:pPr>
        <w:spacing w:line="480" w:lineRule="auto"/>
        <w:ind w:firstLine="472" w:firstLineChars="224"/>
        <w:rPr>
          <w:b/>
          <w:color w:val="auto"/>
          <w:szCs w:val="21"/>
        </w:rPr>
      </w:pPr>
      <w:r>
        <w:rPr>
          <w:rFonts w:hint="eastAsia"/>
          <w:b/>
          <w:color w:val="auto"/>
          <w:szCs w:val="21"/>
        </w:rPr>
        <w:t>条款号：</w:t>
      </w:r>
      <w:r>
        <w:rPr>
          <w:rFonts w:hint="eastAsia" w:ascii="宋体" w:hAnsi="宋体" w:cs="宋体"/>
          <w:color w:val="auto"/>
          <w:szCs w:val="21"/>
        </w:rPr>
        <w:t>42.2</w:t>
      </w:r>
      <w:r>
        <w:rPr>
          <w:b/>
          <w:color w:val="auto"/>
          <w:szCs w:val="21"/>
        </w:rPr>
        <w:t xml:space="preserve">              </w:t>
      </w:r>
      <w:r>
        <w:rPr>
          <w:rFonts w:hint="eastAsia"/>
          <w:b/>
          <w:color w:val="auto"/>
          <w:szCs w:val="21"/>
        </w:rPr>
        <w:t>修改类型：修改</w:t>
      </w:r>
    </w:p>
    <w:p>
      <w:pPr>
        <w:spacing w:line="480" w:lineRule="auto"/>
        <w:ind w:firstLine="472" w:firstLineChars="224"/>
        <w:rPr>
          <w:rFonts w:ascii="宋体" w:hAnsi="宋体" w:cs="宋体"/>
          <w:color w:val="auto"/>
          <w:szCs w:val="21"/>
        </w:rPr>
      </w:pPr>
      <w:r>
        <w:rPr>
          <w:rFonts w:hint="eastAsia"/>
          <w:b/>
          <w:color w:val="auto"/>
          <w:szCs w:val="21"/>
        </w:rPr>
        <w:t>原文：</w:t>
      </w:r>
      <w:r>
        <w:rPr>
          <w:rFonts w:hint="eastAsia" w:ascii="宋体" w:hAnsi="宋体" w:cs="宋体"/>
          <w:color w:val="auto"/>
          <w:szCs w:val="21"/>
        </w:rPr>
        <w:t>42.1评标委员会的组成：方式</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pacing w:line="480" w:lineRule="auto"/>
        <w:ind w:firstLine="470" w:firstLineChars="224"/>
        <w:rPr>
          <w:rFonts w:ascii="宋体" w:hAnsi="宋体" w:cs="宋体"/>
          <w:color w:val="auto"/>
          <w:szCs w:val="21"/>
        </w:rPr>
      </w:pPr>
      <w:r>
        <w:rPr>
          <w:rFonts w:hint="eastAsia" w:ascii="宋体" w:hAnsi="宋体" w:cs="宋体"/>
          <w:color w:val="auto"/>
          <w:szCs w:val="21"/>
        </w:rPr>
        <w:t>方式一：评标委员会为综合评标委员会，负责评标工作。</w:t>
      </w:r>
    </w:p>
    <w:p>
      <w:pPr>
        <w:spacing w:line="480" w:lineRule="auto"/>
        <w:ind w:firstLine="470" w:firstLineChars="224"/>
        <w:rPr>
          <w:rFonts w:ascii="宋体" w:hAnsi="宋体" w:cs="宋体"/>
          <w:color w:val="auto"/>
          <w:szCs w:val="21"/>
        </w:rPr>
      </w:pPr>
      <w:r>
        <w:rPr>
          <w:rFonts w:hint="eastAsia" w:ascii="宋体" w:hAnsi="宋体" w:cs="宋体"/>
          <w:color w:val="auto"/>
          <w:szCs w:val="21"/>
        </w:rPr>
        <w:t>方式二：评标委员会由技术评审组和经济评审组组成。其中：资格审查、技术评审由技术评标组负责，经济评审由经济评审组负责。</w:t>
      </w:r>
    </w:p>
    <w:p>
      <w:pPr>
        <w:spacing w:line="360" w:lineRule="auto"/>
        <w:ind w:firstLine="422" w:firstLineChars="200"/>
        <w:rPr>
          <w:rFonts w:ascii="宋体" w:hAnsi="宋体" w:cs="宋体"/>
          <w:color w:val="auto"/>
          <w:szCs w:val="21"/>
        </w:rPr>
      </w:pPr>
      <w:r>
        <w:rPr>
          <w:rFonts w:hint="eastAsia"/>
          <w:b/>
          <w:color w:val="auto"/>
          <w:szCs w:val="21"/>
        </w:rPr>
        <w:t>现文：</w:t>
      </w:r>
      <w:r>
        <w:rPr>
          <w:rFonts w:hint="eastAsia" w:ascii="宋体" w:hAnsi="宋体" w:cs="宋体"/>
          <w:color w:val="auto"/>
          <w:szCs w:val="21"/>
        </w:rPr>
        <w:t>42.2评标委员会的组成：方式</w:t>
      </w:r>
      <w:r>
        <w:rPr>
          <w:rFonts w:hint="eastAsia" w:ascii="宋体" w:hAnsi="宋体" w:cs="宋体"/>
          <w:color w:val="auto"/>
          <w:szCs w:val="21"/>
          <w:u w:val="single"/>
        </w:rPr>
        <w:t xml:space="preserve"> 一 </w:t>
      </w:r>
      <w:r>
        <w:rPr>
          <w:rFonts w:hint="eastAsia" w:ascii="宋体" w:hAnsi="宋体" w:cs="宋体"/>
          <w:color w:val="auto"/>
          <w:szCs w:val="21"/>
        </w:rPr>
        <w:t>。</w:t>
      </w:r>
    </w:p>
    <w:p>
      <w:pPr>
        <w:pBdr>
          <w:bottom w:val="single" w:color="auto" w:sz="6" w:space="1"/>
        </w:pBdr>
        <w:spacing w:line="480" w:lineRule="auto"/>
        <w:ind w:firstLine="470" w:firstLineChars="224"/>
        <w:rPr>
          <w:color w:val="auto"/>
        </w:rPr>
      </w:pPr>
      <w:r>
        <w:rPr>
          <w:rFonts w:hint="eastAsia" w:ascii="宋体" w:hAnsi="宋体" w:cs="宋体"/>
          <w:color w:val="auto"/>
          <w:szCs w:val="21"/>
        </w:rPr>
        <w:t>方式一：评标委员会为综合评标委员会，负责评标工作。</w:t>
      </w:r>
    </w:p>
    <w:p>
      <w:pPr>
        <w:spacing w:line="480" w:lineRule="auto"/>
        <w:ind w:firstLine="472" w:firstLineChars="224"/>
        <w:rPr>
          <w:b/>
          <w:color w:val="auto"/>
          <w:szCs w:val="21"/>
        </w:rPr>
      </w:pPr>
      <w:r>
        <w:rPr>
          <w:rFonts w:hint="eastAsia"/>
          <w:b/>
          <w:color w:val="auto"/>
          <w:szCs w:val="21"/>
        </w:rPr>
        <w:t>条款号：</w:t>
      </w:r>
      <w:r>
        <w:rPr>
          <w:rFonts w:hint="eastAsia" w:ascii="宋体" w:hAnsi="宋体" w:cs="宋体"/>
          <w:color w:val="auto"/>
          <w:szCs w:val="21"/>
        </w:rPr>
        <w:t>43.1</w:t>
      </w:r>
      <w:r>
        <w:rPr>
          <w:b/>
          <w:color w:val="auto"/>
          <w:szCs w:val="21"/>
        </w:rPr>
        <w:t xml:space="preserve">              </w:t>
      </w:r>
      <w:r>
        <w:rPr>
          <w:rFonts w:hint="eastAsia"/>
          <w:b/>
          <w:color w:val="auto"/>
          <w:szCs w:val="21"/>
        </w:rPr>
        <w:t>修改类型：修改</w:t>
      </w:r>
    </w:p>
    <w:p>
      <w:pPr>
        <w:pBdr>
          <w:bottom w:val="single" w:color="auto" w:sz="6" w:space="1"/>
        </w:pBdr>
        <w:spacing w:line="360" w:lineRule="auto"/>
        <w:ind w:firstLine="527" w:firstLineChars="250"/>
        <w:rPr>
          <w:rFonts w:ascii="宋体" w:hAnsi="宋体" w:cs="宋体"/>
          <w:color w:val="auto"/>
          <w:szCs w:val="21"/>
        </w:rPr>
      </w:pPr>
      <w:r>
        <w:rPr>
          <w:rFonts w:hint="eastAsia"/>
          <w:b/>
          <w:color w:val="auto"/>
          <w:szCs w:val="21"/>
        </w:rPr>
        <w:t>原文：</w:t>
      </w:r>
      <w:r>
        <w:rPr>
          <w:rFonts w:hint="eastAsia" w:ascii="宋体" w:hAnsi="宋体" w:cs="宋体"/>
          <w:color w:val="auto"/>
          <w:szCs w:val="21"/>
        </w:rPr>
        <w:t>43.1资格审查文件中全部符合附表一《资格审查表》中情形的，为资格审查合格；否则为资格审查不合格。如评标委员会成员的评审意见不一致时，以评标委员会过半数成员的意见作为评标委员会对该情形的认定结论。</w:t>
      </w:r>
    </w:p>
    <w:p>
      <w:pPr>
        <w:pBdr>
          <w:bottom w:val="single" w:color="auto" w:sz="6" w:space="1"/>
        </w:pBdr>
        <w:spacing w:line="360" w:lineRule="auto"/>
        <w:ind w:firstLine="527" w:firstLineChars="250"/>
        <w:rPr>
          <w:rFonts w:ascii="宋体" w:hAnsi="宋体" w:cs="宋体"/>
          <w:color w:val="auto"/>
          <w:szCs w:val="21"/>
          <w:u w:val="single"/>
        </w:rPr>
      </w:pPr>
      <w:r>
        <w:rPr>
          <w:rFonts w:hint="eastAsia"/>
          <w:b/>
          <w:color w:val="auto"/>
          <w:szCs w:val="21"/>
        </w:rPr>
        <w:t>现文：</w:t>
      </w:r>
      <w:r>
        <w:rPr>
          <w:rFonts w:hint="eastAsia" w:ascii="宋体" w:hAnsi="宋体" w:cs="宋体"/>
          <w:color w:val="auto"/>
          <w:szCs w:val="21"/>
          <w:u w:val="single"/>
        </w:rPr>
        <w:t>43.1资格审查文件中全部符合附表一《资格审查表》中情形的，为资格审查合格；否则为资格审查不合格。如评标委员会成员的评审意见不一致时，以评标委员会过半数成员的意见作为评标委员会对该情形的认定结论。评委发现资格审查文件中含义不明确、对同类问题表述不一致、有明显文字和计算错误的，应当要求投标人作必要的澄清、说明后再判定投标人是否通过资格审查，不得直接认定其不通过资格审查。</w:t>
      </w:r>
    </w:p>
    <w:p>
      <w:pPr>
        <w:spacing w:line="480" w:lineRule="auto"/>
        <w:ind w:firstLine="472" w:firstLineChars="224"/>
        <w:rPr>
          <w:b/>
          <w:color w:val="auto"/>
          <w:szCs w:val="21"/>
        </w:rPr>
      </w:pPr>
      <w:r>
        <w:rPr>
          <w:rFonts w:hint="eastAsia"/>
          <w:b/>
          <w:color w:val="auto"/>
          <w:szCs w:val="21"/>
        </w:rPr>
        <w:t>条款号：</w:t>
      </w:r>
      <w:r>
        <w:rPr>
          <w:rFonts w:hint="eastAsia" w:ascii="宋体" w:hAnsi="宋体" w:cs="宋体"/>
          <w:color w:val="auto"/>
          <w:szCs w:val="21"/>
        </w:rPr>
        <w:t xml:space="preserve">44.1  </w:t>
      </w:r>
      <w:r>
        <w:rPr>
          <w:b/>
          <w:color w:val="auto"/>
          <w:szCs w:val="21"/>
        </w:rPr>
        <w:t xml:space="preserve">           </w:t>
      </w:r>
      <w:r>
        <w:rPr>
          <w:rFonts w:hint="eastAsia"/>
          <w:b/>
          <w:color w:val="auto"/>
          <w:szCs w:val="21"/>
        </w:rPr>
        <w:t>修改类型：修改</w:t>
      </w:r>
    </w:p>
    <w:p>
      <w:pPr>
        <w:spacing w:line="480" w:lineRule="auto"/>
        <w:ind w:firstLine="472" w:firstLineChars="224"/>
        <w:jc w:val="left"/>
        <w:rPr>
          <w:rFonts w:ascii="宋体" w:hAnsi="宋体" w:cs="宋体"/>
          <w:color w:val="auto"/>
          <w:szCs w:val="21"/>
        </w:rPr>
      </w:pPr>
      <w:r>
        <w:rPr>
          <w:rFonts w:hint="eastAsia"/>
          <w:b/>
          <w:color w:val="auto"/>
          <w:szCs w:val="21"/>
        </w:rPr>
        <w:t>原文：</w:t>
      </w:r>
      <w:r>
        <w:rPr>
          <w:rFonts w:hint="eastAsia" w:ascii="宋体" w:hAnsi="宋体" w:cs="宋体"/>
          <w:color w:val="auto"/>
          <w:szCs w:val="21"/>
        </w:rPr>
        <w:t>44.1技术标的有效性审查：投标文件中没有任一种列于本办法附表二《技术标有效性审查表》中情形的，为有效投标文件。否则其投标文件将被否决。被否决的投标人不参与下一阶段评审，不参与评标参考价的计算。如评标委员会的评审意见不一致时，以评标委员会过半数成员的意见作为评标委员会对该情形的认定结论。若通过技术标有效性审查的投标人不足3名（当N个标段同时招标且不允许兼中时，若通过技术标有效性审查投标人不足N+2名），则本项目招标失败。</w:t>
      </w:r>
    </w:p>
    <w:p>
      <w:pPr>
        <w:pBdr>
          <w:bottom w:val="single" w:color="auto" w:sz="6" w:space="1"/>
        </w:pBdr>
        <w:spacing w:line="360" w:lineRule="auto"/>
        <w:ind w:firstLine="527" w:firstLineChars="250"/>
        <w:rPr>
          <w:color w:val="auto"/>
        </w:rPr>
      </w:pPr>
      <w:r>
        <w:rPr>
          <w:rFonts w:hint="eastAsia"/>
          <w:b/>
          <w:color w:val="auto"/>
          <w:szCs w:val="21"/>
        </w:rPr>
        <w:t>现文：</w:t>
      </w:r>
      <w:r>
        <w:rPr>
          <w:rFonts w:hint="eastAsia" w:ascii="宋体" w:hAnsi="宋体" w:cs="宋体"/>
          <w:color w:val="auto"/>
          <w:szCs w:val="21"/>
          <w:u w:val="single"/>
        </w:rPr>
        <w:t>44.1技术标的有效性审查：投标文件中没有任一种列于本办法附表二《技术标有效性审查表》中情形的，为有效投标文件。否则其投标文件将被否决。被否决的投标人不参与下一阶段评审，不参与评标参考价的计算。如评标委员会成员的评审意见不一致时，以评标委员会过半数成员的意见作为评标委员会对该情形的认定结论。若通过技术标有效性审查的投标人不足三家，则重新招标。（当N个标段同时招标且不允许兼中时，若通过技术标有效性审查投标人不足N+2家，则重新招标）。评委发现投标文件中含义不明确、对同类问题表述不一致、有明显文字和计算错误的，应当要求投标人作必要的澄清、说明后再判定投标人是否通过有效性审查，不得直接否决投标</w:t>
      </w:r>
      <w:r>
        <w:rPr>
          <w:rFonts w:hint="eastAsia"/>
          <w:color w:val="auto"/>
        </w:rPr>
        <w:t>。</w:t>
      </w:r>
    </w:p>
    <w:p>
      <w:pPr>
        <w:spacing w:line="480" w:lineRule="auto"/>
        <w:ind w:firstLine="472" w:firstLineChars="224"/>
        <w:rPr>
          <w:b/>
          <w:color w:val="auto"/>
          <w:szCs w:val="21"/>
        </w:rPr>
      </w:pPr>
      <w:r>
        <w:rPr>
          <w:rFonts w:hint="eastAsia"/>
          <w:b/>
          <w:color w:val="auto"/>
          <w:szCs w:val="21"/>
        </w:rPr>
        <w:t>条款号：</w:t>
      </w:r>
      <w:r>
        <w:rPr>
          <w:rFonts w:hint="eastAsia" w:ascii="宋体" w:hAnsi="宋体" w:cs="宋体"/>
          <w:color w:val="auto"/>
          <w:szCs w:val="21"/>
        </w:rPr>
        <w:t xml:space="preserve">45.1  </w:t>
      </w:r>
      <w:r>
        <w:rPr>
          <w:b/>
          <w:color w:val="auto"/>
          <w:szCs w:val="21"/>
        </w:rPr>
        <w:t xml:space="preserve">           </w:t>
      </w:r>
      <w:r>
        <w:rPr>
          <w:rFonts w:hint="eastAsia"/>
          <w:b/>
          <w:color w:val="auto"/>
          <w:szCs w:val="21"/>
        </w:rPr>
        <w:t>修改类型：修改</w:t>
      </w:r>
    </w:p>
    <w:p>
      <w:pPr>
        <w:spacing w:line="480" w:lineRule="auto"/>
        <w:ind w:firstLine="472" w:firstLineChars="224"/>
        <w:rPr>
          <w:rFonts w:ascii="宋体" w:hAnsi="宋体" w:cs="宋体"/>
          <w:color w:val="auto"/>
          <w:szCs w:val="21"/>
        </w:rPr>
      </w:pPr>
      <w:r>
        <w:rPr>
          <w:rFonts w:hint="eastAsia"/>
          <w:b/>
          <w:color w:val="auto"/>
          <w:szCs w:val="21"/>
        </w:rPr>
        <w:t>原文：</w:t>
      </w:r>
      <w:r>
        <w:rPr>
          <w:rFonts w:hint="eastAsia" w:ascii="宋体" w:hAnsi="宋体" w:cs="宋体"/>
          <w:color w:val="auto"/>
          <w:szCs w:val="21"/>
        </w:rPr>
        <w:t>45.1若通过技术标有效性审查的投标人中所有投标报价均大于等于最高投标限价*D%（D的取值范围为[94,100],由招标人自主确定）的（具体金额为：</w:t>
      </w:r>
      <w:r>
        <w:rPr>
          <w:rFonts w:hint="eastAsia" w:ascii="宋体" w:hAnsi="宋体" w:cs="宋体"/>
          <w:color w:val="auto"/>
          <w:szCs w:val="21"/>
          <w:u w:val="single"/>
        </w:rPr>
        <w:t xml:space="preserve">         </w:t>
      </w:r>
      <w:r>
        <w:rPr>
          <w:rFonts w:hint="eastAsia" w:ascii="宋体" w:hAnsi="宋体" w:cs="宋体"/>
          <w:color w:val="auto"/>
          <w:szCs w:val="21"/>
        </w:rPr>
        <w:t>元），则本项目招标失败，由招标人依法重新招标。</w:t>
      </w:r>
    </w:p>
    <w:p>
      <w:pPr>
        <w:pBdr>
          <w:bottom w:val="single" w:color="auto" w:sz="6" w:space="1"/>
        </w:pBdr>
        <w:spacing w:line="360" w:lineRule="auto"/>
        <w:ind w:firstLine="527" w:firstLineChars="250"/>
        <w:rPr>
          <w:color w:val="auto"/>
        </w:rPr>
      </w:pPr>
      <w:r>
        <w:rPr>
          <w:rFonts w:hint="eastAsia"/>
          <w:b/>
          <w:color w:val="auto"/>
          <w:szCs w:val="21"/>
        </w:rPr>
        <w:t>现文：</w:t>
      </w:r>
      <w:r>
        <w:rPr>
          <w:rFonts w:hint="eastAsia"/>
          <w:color w:val="auto"/>
        </w:rPr>
        <w:t>45.1</w:t>
      </w:r>
      <w:r>
        <w:rPr>
          <w:rFonts w:hint="eastAsia"/>
          <w:color w:val="auto"/>
          <w:u w:val="single"/>
        </w:rPr>
        <w:t>若通过技术标有效性审查的投标人中所有投标报价均大于等于最高投标限价，则本项目招标失败，由招标人依法重新招标。</w:t>
      </w:r>
    </w:p>
    <w:p>
      <w:pPr>
        <w:spacing w:line="480" w:lineRule="auto"/>
        <w:ind w:firstLine="472" w:firstLineChars="224"/>
        <w:rPr>
          <w:b/>
          <w:color w:val="auto"/>
          <w:szCs w:val="21"/>
        </w:rPr>
      </w:pPr>
      <w:r>
        <w:rPr>
          <w:rFonts w:hint="eastAsia"/>
          <w:b/>
          <w:color w:val="auto"/>
          <w:szCs w:val="21"/>
        </w:rPr>
        <w:t>条款号：</w:t>
      </w:r>
      <w:r>
        <w:rPr>
          <w:rFonts w:hint="eastAsia" w:ascii="宋体" w:hAnsi="宋体" w:cs="宋体"/>
          <w:color w:val="auto"/>
          <w:szCs w:val="21"/>
        </w:rPr>
        <w:t xml:space="preserve">45.2  </w:t>
      </w:r>
      <w:r>
        <w:rPr>
          <w:b/>
          <w:color w:val="auto"/>
          <w:szCs w:val="21"/>
        </w:rPr>
        <w:t xml:space="preserve">           </w:t>
      </w:r>
      <w:r>
        <w:rPr>
          <w:rFonts w:hint="eastAsia"/>
          <w:b/>
          <w:color w:val="auto"/>
          <w:szCs w:val="21"/>
        </w:rPr>
        <w:t>修改类型：修改</w:t>
      </w:r>
    </w:p>
    <w:p>
      <w:pPr>
        <w:pStyle w:val="5"/>
        <w:tabs>
          <w:tab w:val="left" w:pos="7380"/>
        </w:tabs>
        <w:snapToGrid w:val="0"/>
        <w:spacing w:after="0" w:line="360" w:lineRule="auto"/>
        <w:ind w:firstLine="422" w:firstLineChars="200"/>
        <w:rPr>
          <w:rFonts w:ascii="宋体" w:hAnsi="宋体"/>
          <w:color w:val="auto"/>
          <w:sz w:val="24"/>
          <w:szCs w:val="24"/>
        </w:rPr>
      </w:pPr>
      <w:r>
        <w:rPr>
          <w:rFonts w:hint="eastAsia"/>
          <w:b/>
          <w:color w:val="auto"/>
          <w:szCs w:val="21"/>
        </w:rPr>
        <w:t>原文：</w:t>
      </w:r>
      <w:r>
        <w:rPr>
          <w:rFonts w:hint="eastAsia" w:ascii="宋体" w:hAnsi="宋体"/>
          <w:color w:val="auto"/>
          <w:sz w:val="24"/>
          <w:szCs w:val="24"/>
        </w:rPr>
        <w:t xml:space="preserve"> </w:t>
      </w:r>
      <w:r>
        <w:rPr>
          <w:rFonts w:hint="eastAsia" w:ascii="宋体" w:hAnsi="宋体" w:cs="宋体"/>
          <w:color w:val="auto"/>
          <w:szCs w:val="21"/>
        </w:rPr>
        <w:t>45.2按方法    计算评标参考价：</w:t>
      </w:r>
    </w:p>
    <w:p>
      <w:pPr>
        <w:widowControl/>
        <w:spacing w:line="360" w:lineRule="auto"/>
        <w:ind w:firstLine="422" w:firstLineChars="200"/>
        <w:rPr>
          <w:rFonts w:ascii="宋体" w:hAnsi="宋体" w:cs="宋体"/>
          <w:b/>
          <w:bCs/>
          <w:color w:val="auto"/>
          <w:kern w:val="0"/>
          <w:szCs w:val="21"/>
        </w:rPr>
      </w:pPr>
      <w:r>
        <w:rPr>
          <w:rFonts w:hint="eastAsia" w:ascii="宋体" w:hAnsi="宋体" w:cs="宋体"/>
          <w:b/>
          <w:bCs/>
          <w:color w:val="auto"/>
          <w:kern w:val="0"/>
          <w:szCs w:val="21"/>
        </w:rPr>
        <w:t>方法一：加权平均法</w:t>
      </w:r>
    </w:p>
    <w:p>
      <w:pPr>
        <w:spacing w:line="360" w:lineRule="auto"/>
        <w:ind w:firstLine="420" w:firstLineChars="200"/>
        <w:rPr>
          <w:rFonts w:ascii="宋体" w:hAnsi="宋体" w:cs="宋体"/>
          <w:color w:val="auto"/>
          <w:szCs w:val="21"/>
        </w:rPr>
      </w:pPr>
      <w:r>
        <w:rPr>
          <w:rFonts w:hint="eastAsia" w:ascii="宋体" w:hAnsi="宋体" w:cs="宋体"/>
          <w:color w:val="auto"/>
          <w:szCs w:val="21"/>
        </w:rPr>
        <w:t>技术标或技术标加诚信得分（具体由招标人自定）前N名（N≥5，具体由招标人自定）的经济报价加权平均，计算评标参考价。公式如下：</w:t>
      </w:r>
    </w:p>
    <w:p>
      <w:pPr>
        <w:spacing w:line="360" w:lineRule="auto"/>
        <w:ind w:firstLine="420" w:firstLineChars="200"/>
        <w:rPr>
          <w:rFonts w:ascii="宋体" w:hAnsi="宋体" w:cs="宋体"/>
          <w:color w:val="auto"/>
          <w:szCs w:val="21"/>
        </w:rPr>
      </w:pPr>
      <w:r>
        <w:rPr>
          <w:rFonts w:hint="eastAsia" w:ascii="宋体" w:hAnsi="宋体" w:cs="宋体"/>
          <w:color w:val="auto"/>
          <w:szCs w:val="21"/>
        </w:rPr>
        <w:t>评标参考价=Σ（投标人的投标报价*报价权重）。</w:t>
      </w:r>
    </w:p>
    <w:p>
      <w:pPr>
        <w:spacing w:line="360" w:lineRule="auto"/>
        <w:ind w:firstLine="420" w:firstLineChars="200"/>
        <w:rPr>
          <w:rFonts w:ascii="宋体" w:hAnsi="宋体" w:cs="宋体"/>
          <w:color w:val="auto"/>
          <w:szCs w:val="21"/>
        </w:rPr>
      </w:pPr>
      <w:r>
        <w:rPr>
          <w:rFonts w:hint="eastAsia" w:ascii="宋体" w:hAnsi="宋体" w:cs="宋体"/>
          <w:color w:val="auto"/>
          <w:szCs w:val="21"/>
        </w:rPr>
        <w:t>其中：报价权重的计算方法为：将N名投标人按技术分由高至低进行排序，第一名投标人的权重为（</w:t>
      </w:r>
      <w:r>
        <w:rPr>
          <w:rFonts w:hint="eastAsia" w:ascii="宋体" w:hAnsi="宋体" w:cs="宋体"/>
          <w:color w:val="auto"/>
          <w:szCs w:val="21"/>
        </w:rPr>
        <w:fldChar w:fldCharType="begin"/>
      </w:r>
      <w:r>
        <w:rPr>
          <w:rFonts w:hint="eastAsia" w:ascii="宋体" w:hAnsi="宋体" w:cs="宋体"/>
          <w:color w:val="auto"/>
          <w:szCs w:val="21"/>
        </w:rPr>
        <w:instrText xml:space="preserve"> QUOTE </w:instrText>
      </w:r>
      <w:r>
        <w:rPr>
          <w:rFonts w:hint="eastAsia" w:ascii="宋体" w:hAnsi="宋体" w:cs="宋体"/>
          <w:color w:val="auto"/>
          <w:szCs w:val="21"/>
        </w:rPr>
        <w:pict>
          <v:shape id="_x0000_i1025" o:spt="75" type="#_x0000_t75" style="height:35.25pt;width:30pt;" filled="f" o:preferrelative="t" stroked="f" coordsize="21600,21600">
            <v:path/>
            <v:fill on="f" focussize="0,0"/>
            <v:stroke on="f"/>
            <v:imagedata r:id="rId20" chromakey="#FFFFFF" o:title=""/>
            <o:lock v:ext="edit" aspectratio="t"/>
            <w10:wrap type="none"/>
            <w10:anchorlock/>
          </v:shape>
        </w:pict>
      </w:r>
      <w:r>
        <w:rPr>
          <w:rFonts w:hint="eastAsia" w:ascii="宋体" w:hAnsi="宋体" w:cs="宋体"/>
          <w:color w:val="auto"/>
          <w:szCs w:val="21"/>
        </w:rPr>
        <w:fldChar w:fldCharType="separate"/>
      </w:r>
      <w:r>
        <w:rPr>
          <w:rFonts w:hint="eastAsia" w:ascii="宋体" w:hAnsi="宋体" w:cs="宋体"/>
          <w:color w:val="auto"/>
          <w:szCs w:val="21"/>
        </w:rPr>
        <w:pict>
          <v:shape id="_x0000_i1026" o:spt="75" type="#_x0000_t75" style="height:35.25pt;width:30pt;" filled="f" o:preferrelative="t" stroked="f" coordsize="21600,21600">
            <v:path/>
            <v:fill on="f" focussize="0,0"/>
            <v:stroke on="f"/>
            <v:imagedata r:id="rId20" chromakey="#FFFFFF" o:title=""/>
            <o:lock v:ext="edit" aspectratio="t"/>
            <w10:wrap type="none"/>
            <w10:anchorlock/>
          </v:shape>
        </w:pict>
      </w:r>
      <w:r>
        <w:rPr>
          <w:rFonts w:hint="eastAsia" w:ascii="宋体" w:hAnsi="宋体" w:cs="宋体"/>
          <w:color w:val="auto"/>
          <w:szCs w:val="21"/>
        </w:rPr>
        <w:fldChar w:fldCharType="end"/>
      </w:r>
      <w:r>
        <w:rPr>
          <w:rFonts w:hint="eastAsia" w:ascii="宋体" w:hAnsi="宋体" w:cs="宋体"/>
          <w:color w:val="auto"/>
          <w:szCs w:val="21"/>
        </w:rPr>
        <w:t>），第二名投标人的权重为（</w:t>
      </w:r>
      <w:r>
        <w:rPr>
          <w:rFonts w:hint="eastAsia" w:ascii="宋体" w:hAnsi="宋体" w:cs="宋体"/>
          <w:color w:val="auto"/>
          <w:szCs w:val="21"/>
        </w:rPr>
        <w:fldChar w:fldCharType="begin"/>
      </w:r>
      <w:r>
        <w:rPr>
          <w:rFonts w:hint="eastAsia" w:ascii="宋体" w:hAnsi="宋体" w:cs="宋体"/>
          <w:color w:val="auto"/>
          <w:szCs w:val="21"/>
        </w:rPr>
        <w:instrText xml:space="preserve"> QUOTE </w:instrText>
      </w:r>
      <w:r>
        <w:rPr>
          <w:rFonts w:hint="eastAsia" w:ascii="宋体" w:hAnsi="宋体" w:cs="宋体"/>
          <w:color w:val="auto"/>
          <w:szCs w:val="21"/>
        </w:rPr>
        <w:pict>
          <v:shape id="_x0000_i1027" o:spt="75" type="#_x0000_t75" style="height:31.5pt;width:25.5pt;" filled="f" o:preferrelative="t" stroked="f" coordsize="21600,21600">
            <v:path/>
            <v:fill on="f" focussize="0,0"/>
            <v:stroke on="f"/>
            <v:imagedata r:id="rId21" chromakey="#FFFFFF" o:title=""/>
            <o:lock v:ext="edit" aspectratio="t"/>
            <w10:wrap type="none"/>
            <w10:anchorlock/>
          </v:shape>
        </w:pict>
      </w:r>
      <w:r>
        <w:rPr>
          <w:rFonts w:hint="eastAsia" w:ascii="宋体" w:hAnsi="宋体" w:cs="宋体"/>
          <w:color w:val="auto"/>
          <w:szCs w:val="21"/>
        </w:rPr>
        <w:fldChar w:fldCharType="separate"/>
      </w:r>
      <w:r>
        <w:rPr>
          <w:rFonts w:hint="eastAsia" w:ascii="宋体" w:hAnsi="宋体" w:cs="宋体"/>
          <w:color w:val="auto"/>
          <w:szCs w:val="21"/>
        </w:rPr>
        <w:pict>
          <v:shape id="_x0000_i1028" o:spt="75" type="#_x0000_t75" style="height:31.5pt;width:25.5pt;" filled="f" o:preferrelative="t" stroked="f" coordsize="21600,21600">
            <v:path/>
            <v:fill on="f" focussize="0,0"/>
            <v:stroke on="f"/>
            <v:imagedata r:id="rId21" chromakey="#FFFFFF" o:title=""/>
            <o:lock v:ext="edit" aspectratio="t"/>
            <w10:wrap type="none"/>
            <w10:anchorlock/>
          </v:shape>
        </w:pict>
      </w:r>
      <w:r>
        <w:rPr>
          <w:rFonts w:hint="eastAsia" w:ascii="宋体" w:hAnsi="宋体" w:cs="宋体"/>
          <w:color w:val="auto"/>
          <w:szCs w:val="21"/>
        </w:rPr>
        <w:fldChar w:fldCharType="end"/>
      </w:r>
      <w:r>
        <w:rPr>
          <w:rFonts w:hint="eastAsia" w:ascii="宋体" w:hAnsi="宋体" w:cs="宋体"/>
          <w:color w:val="auto"/>
          <w:szCs w:val="21"/>
        </w:rPr>
        <w:t>），以此类推，最后一名投标人的权重为（</w:t>
      </w:r>
      <w:r>
        <w:rPr>
          <w:rFonts w:hint="eastAsia" w:ascii="宋体" w:hAnsi="宋体" w:cs="宋体"/>
          <w:color w:val="auto"/>
          <w:szCs w:val="21"/>
        </w:rPr>
        <w:fldChar w:fldCharType="begin"/>
      </w:r>
      <w:r>
        <w:rPr>
          <w:rFonts w:hint="eastAsia" w:ascii="宋体" w:hAnsi="宋体" w:cs="宋体"/>
          <w:color w:val="auto"/>
          <w:szCs w:val="21"/>
        </w:rPr>
        <w:instrText xml:space="preserve"> QUOTE </w:instrText>
      </w:r>
      <w:r>
        <w:rPr>
          <w:rFonts w:hint="eastAsia" w:ascii="宋体" w:hAnsi="宋体" w:cs="宋体"/>
          <w:color w:val="auto"/>
          <w:szCs w:val="21"/>
        </w:rPr>
        <w:pict>
          <v:shape id="_x0000_i1029" o:spt="75" type="#_x0000_t75" style="height:31.5pt;width:25.5pt;" filled="f" o:preferrelative="t" stroked="f" coordsize="21600,21600">
            <v:path/>
            <v:fill on="f" focussize="0,0"/>
            <v:stroke on="f"/>
            <v:imagedata r:id="rId22" chromakey="#FFFFFF" o:title=""/>
            <o:lock v:ext="edit" aspectratio="t"/>
            <w10:wrap type="none"/>
            <w10:anchorlock/>
          </v:shape>
        </w:pict>
      </w:r>
      <w:r>
        <w:rPr>
          <w:rFonts w:hint="eastAsia" w:ascii="宋体" w:hAnsi="宋体" w:cs="宋体"/>
          <w:color w:val="auto"/>
          <w:szCs w:val="21"/>
        </w:rPr>
        <w:fldChar w:fldCharType="separate"/>
      </w:r>
      <w:r>
        <w:rPr>
          <w:rFonts w:hint="eastAsia" w:ascii="宋体" w:hAnsi="宋体" w:cs="宋体"/>
          <w:color w:val="auto"/>
          <w:szCs w:val="21"/>
        </w:rPr>
        <w:pict>
          <v:shape id="_x0000_i1030" o:spt="75" type="#_x0000_t75" style="height:31.5pt;width:25.5pt;" filled="f" o:preferrelative="t" stroked="f" coordsize="21600,21600">
            <v:path/>
            <v:fill on="f" focussize="0,0"/>
            <v:stroke on="f"/>
            <v:imagedata r:id="rId22" chromakey="#FFFFFF" o:title=""/>
            <o:lock v:ext="edit" aspectratio="t"/>
            <w10:wrap type="none"/>
            <w10:anchorlock/>
          </v:shape>
        </w:pict>
      </w:r>
      <w:r>
        <w:rPr>
          <w:rFonts w:hint="eastAsia" w:ascii="宋体" w:hAnsi="宋体" w:cs="宋体"/>
          <w:color w:val="auto"/>
          <w:szCs w:val="21"/>
        </w:rPr>
        <w:fldChar w:fldCharType="end"/>
      </w:r>
      <w:r>
        <w:rPr>
          <w:rFonts w:hint="eastAsia" w:ascii="宋体" w:hAnsi="宋体" w:cs="宋体"/>
          <w:color w:val="auto"/>
          <w:szCs w:val="21"/>
        </w:rPr>
        <w:t>）。</w:t>
      </w:r>
    </w:p>
    <w:p>
      <w:pPr>
        <w:widowControl/>
        <w:spacing w:line="360" w:lineRule="auto"/>
        <w:ind w:firstLine="422" w:firstLineChars="200"/>
        <w:rPr>
          <w:rFonts w:ascii="宋体" w:hAnsi="宋体" w:cs="宋体"/>
          <w:b/>
          <w:bCs/>
          <w:color w:val="auto"/>
          <w:kern w:val="0"/>
          <w:szCs w:val="21"/>
        </w:rPr>
      </w:pPr>
      <w:r>
        <w:rPr>
          <w:rFonts w:hint="eastAsia" w:ascii="宋体" w:hAnsi="宋体" w:cs="宋体"/>
          <w:b/>
          <w:bCs/>
          <w:color w:val="auto"/>
          <w:kern w:val="0"/>
          <w:szCs w:val="21"/>
        </w:rPr>
        <w:t>方法二：区间抽取法</w:t>
      </w:r>
    </w:p>
    <w:p>
      <w:pPr>
        <w:spacing w:line="360" w:lineRule="auto"/>
        <w:ind w:firstLine="420" w:firstLineChars="200"/>
        <w:rPr>
          <w:rFonts w:ascii="宋体" w:hAnsi="宋体" w:cs="宋体"/>
          <w:color w:val="auto"/>
          <w:szCs w:val="21"/>
        </w:rPr>
      </w:pPr>
      <w:r>
        <w:rPr>
          <w:rFonts w:hint="eastAsia" w:ascii="宋体" w:hAnsi="宋体" w:cs="宋体"/>
          <w:color w:val="auto"/>
          <w:szCs w:val="21"/>
        </w:rPr>
        <w:t>设立入围合格分数线（技术标或技术标加诚信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pPr>
        <w:spacing w:line="360" w:lineRule="auto"/>
        <w:ind w:firstLine="420" w:firstLineChars="200"/>
        <w:rPr>
          <w:rFonts w:ascii="宋体" w:hAnsi="宋体" w:cs="宋体"/>
          <w:color w:val="auto"/>
          <w:szCs w:val="21"/>
        </w:rPr>
      </w:pPr>
      <w:r>
        <w:rPr>
          <w:rFonts w:hint="eastAsia" w:ascii="宋体" w:hAnsi="宋体" w:cs="宋体"/>
          <w:color w:val="auto"/>
          <w:szCs w:val="21"/>
        </w:rPr>
        <w:t>评标参考价=（Q高-Q低）/100*Ｘ+Q低</w:t>
      </w:r>
    </w:p>
    <w:p>
      <w:pPr>
        <w:spacing w:line="360" w:lineRule="auto"/>
        <w:ind w:firstLine="420" w:firstLineChars="200"/>
        <w:rPr>
          <w:rFonts w:ascii="宋体" w:hAnsi="宋体" w:cs="宋体"/>
          <w:color w:val="auto"/>
          <w:szCs w:val="21"/>
        </w:rPr>
      </w:pPr>
      <w:r>
        <w:rPr>
          <w:rFonts w:hint="eastAsia" w:ascii="宋体" w:hAnsi="宋体" w:cs="宋体"/>
          <w:color w:val="auto"/>
          <w:szCs w:val="21"/>
        </w:rPr>
        <w:t>Q低：为达到或超过技术标及格分数线的投标人最低报价与工程成本警示价两者中的较高值；</w:t>
      </w:r>
    </w:p>
    <w:p>
      <w:pPr>
        <w:widowControl/>
        <w:jc w:val="left"/>
        <w:rPr>
          <w:rFonts w:ascii="宋体" w:hAnsi="宋体" w:cs="宋体"/>
          <w:color w:val="auto"/>
          <w:szCs w:val="21"/>
        </w:rPr>
      </w:pPr>
      <w:r>
        <w:rPr>
          <w:rFonts w:hint="eastAsia" w:ascii="宋体" w:hAnsi="宋体" w:cs="宋体"/>
          <w:color w:val="auto"/>
          <w:szCs w:val="21"/>
        </w:rPr>
        <w:t>　　Q高：为最高投标限价</w:t>
      </w:r>
    </w:p>
    <w:p>
      <w:pPr>
        <w:spacing w:line="360" w:lineRule="auto"/>
        <w:ind w:firstLine="420" w:firstLineChars="200"/>
        <w:rPr>
          <w:rFonts w:ascii="宋体" w:hAnsi="宋体" w:cs="宋体"/>
          <w:color w:val="auto"/>
          <w:szCs w:val="21"/>
        </w:rPr>
      </w:pPr>
      <w:r>
        <w:rPr>
          <w:rFonts w:hint="eastAsia" w:ascii="宋体" w:hAnsi="宋体" w:cs="宋体"/>
          <w:color w:val="auto"/>
          <w:szCs w:val="21"/>
        </w:rPr>
        <w:t>X:为等分点值，在开标前从[0,100]整数中随机抽取</w:t>
      </w:r>
    </w:p>
    <w:p>
      <w:pPr>
        <w:widowControl/>
        <w:spacing w:line="360" w:lineRule="auto"/>
        <w:ind w:firstLine="422" w:firstLineChars="200"/>
        <w:rPr>
          <w:rFonts w:ascii="宋体" w:hAnsi="宋体" w:cs="宋体"/>
          <w:color w:val="auto"/>
          <w:szCs w:val="21"/>
        </w:rPr>
      </w:pPr>
      <w:r>
        <w:rPr>
          <w:rFonts w:hint="eastAsia"/>
          <w:b/>
          <w:color w:val="auto"/>
          <w:szCs w:val="21"/>
        </w:rPr>
        <w:t>现文：</w:t>
      </w:r>
      <w:r>
        <w:rPr>
          <w:rFonts w:hint="eastAsia" w:ascii="宋体" w:hAnsi="宋体" w:cs="宋体"/>
          <w:color w:val="auto"/>
          <w:szCs w:val="21"/>
        </w:rPr>
        <w:t>45.2按方法</w:t>
      </w:r>
      <w:r>
        <w:rPr>
          <w:rFonts w:hint="eastAsia" w:ascii="宋体" w:hAnsi="宋体" w:cs="宋体"/>
          <w:color w:val="auto"/>
          <w:szCs w:val="21"/>
          <w:u w:val="single"/>
        </w:rPr>
        <w:t>一</w:t>
      </w:r>
      <w:r>
        <w:rPr>
          <w:rFonts w:hint="eastAsia" w:ascii="宋体" w:hAnsi="宋体" w:cs="宋体"/>
          <w:color w:val="auto"/>
          <w:szCs w:val="21"/>
        </w:rPr>
        <w:t>计算评标参考价：</w:t>
      </w:r>
    </w:p>
    <w:p>
      <w:pPr>
        <w:widowControl/>
        <w:spacing w:line="360" w:lineRule="auto"/>
        <w:ind w:firstLine="422" w:firstLineChars="200"/>
        <w:rPr>
          <w:rFonts w:ascii="宋体" w:hAnsi="宋体" w:cs="宋体"/>
          <w:b/>
          <w:bCs/>
          <w:color w:val="auto"/>
          <w:kern w:val="0"/>
          <w:szCs w:val="21"/>
        </w:rPr>
      </w:pPr>
      <w:r>
        <w:rPr>
          <w:rFonts w:hint="eastAsia" w:ascii="宋体" w:hAnsi="宋体" w:cs="宋体"/>
          <w:b/>
          <w:bCs/>
          <w:color w:val="auto"/>
          <w:kern w:val="0"/>
          <w:szCs w:val="21"/>
        </w:rPr>
        <w:t>方法一：加权平均法</w:t>
      </w:r>
    </w:p>
    <w:p>
      <w:pPr>
        <w:spacing w:line="360" w:lineRule="auto"/>
        <w:ind w:firstLine="420" w:firstLineChars="200"/>
        <w:rPr>
          <w:rFonts w:ascii="宋体" w:hAnsi="宋体" w:cs="宋体"/>
          <w:color w:val="auto"/>
          <w:szCs w:val="21"/>
        </w:rPr>
      </w:pPr>
      <w:r>
        <w:rPr>
          <w:rFonts w:hint="eastAsia" w:ascii="宋体" w:hAnsi="宋体" w:cs="仿宋"/>
          <w:color w:val="auto"/>
          <w:szCs w:val="21"/>
          <w:u w:val="single"/>
        </w:rPr>
        <w:t>通过技术标有效性审查且经济报价在[工程成本警戒价, 招标控制价]区间的投标人的技术标得分</w:t>
      </w:r>
      <w:r>
        <w:rPr>
          <w:rFonts w:hint="eastAsia" w:ascii="宋体" w:hAnsi="宋体" w:cs="仿宋"/>
          <w:color w:val="auto"/>
          <w:szCs w:val="21"/>
        </w:rPr>
        <w:t>前</w:t>
      </w:r>
      <w:r>
        <w:rPr>
          <w:rFonts w:ascii="宋体" w:hAnsi="宋体" w:cs="仿宋"/>
          <w:color w:val="auto"/>
          <w:szCs w:val="21"/>
        </w:rPr>
        <w:t>N</w:t>
      </w:r>
      <w:r>
        <w:rPr>
          <w:rFonts w:hint="eastAsia" w:ascii="宋体" w:hAnsi="宋体" w:cs="仿宋"/>
          <w:color w:val="auto"/>
          <w:szCs w:val="21"/>
        </w:rPr>
        <w:t>名（N＝5；当N不足5名时，取满足前述条件的投标人个数）</w:t>
      </w:r>
      <w:r>
        <w:rPr>
          <w:rFonts w:hint="eastAsia" w:ascii="宋体" w:hAnsi="宋体" w:cs="宋体"/>
          <w:color w:val="auto"/>
          <w:szCs w:val="21"/>
        </w:rPr>
        <w:t>的经济报价加权平均，计算评标参考价。公式如下：</w:t>
      </w:r>
    </w:p>
    <w:p>
      <w:pPr>
        <w:spacing w:line="360" w:lineRule="auto"/>
        <w:ind w:firstLine="420" w:firstLineChars="200"/>
        <w:rPr>
          <w:rFonts w:ascii="宋体" w:hAnsi="宋体" w:cs="宋体"/>
          <w:color w:val="auto"/>
          <w:szCs w:val="21"/>
        </w:rPr>
      </w:pPr>
      <w:r>
        <w:rPr>
          <w:rFonts w:hint="eastAsia" w:ascii="宋体" w:hAnsi="宋体" w:cs="宋体"/>
          <w:color w:val="auto"/>
          <w:szCs w:val="21"/>
        </w:rPr>
        <w:t>评标参考价=Σ（投标人的投标报价*报价权重）。</w:t>
      </w:r>
    </w:p>
    <w:p>
      <w:pPr>
        <w:spacing w:line="360" w:lineRule="auto"/>
        <w:ind w:firstLine="420" w:firstLineChars="200"/>
        <w:rPr>
          <w:rFonts w:ascii="宋体" w:hAnsi="宋体" w:cs="宋体"/>
          <w:color w:val="auto"/>
          <w:szCs w:val="21"/>
        </w:rPr>
      </w:pPr>
      <w:r>
        <w:rPr>
          <w:rFonts w:hint="eastAsia" w:ascii="宋体" w:hAnsi="宋体" w:cs="宋体"/>
          <w:color w:val="auto"/>
          <w:szCs w:val="21"/>
        </w:rPr>
        <w:t>其中：报价权重的计算方法为：将N名投标人按技术分由高至低进行排序，第一名投标人的权重为（</w:t>
      </w:r>
      <w:r>
        <w:rPr>
          <w:rFonts w:hint="eastAsia" w:ascii="宋体" w:hAnsi="宋体" w:cs="宋体"/>
          <w:color w:val="auto"/>
          <w:szCs w:val="21"/>
        </w:rPr>
        <w:fldChar w:fldCharType="begin"/>
      </w:r>
      <w:r>
        <w:rPr>
          <w:rFonts w:hint="eastAsia" w:ascii="宋体" w:hAnsi="宋体" w:cs="宋体"/>
          <w:color w:val="auto"/>
          <w:szCs w:val="21"/>
        </w:rPr>
        <w:instrText xml:space="preserve"> QUOTE </w:instrText>
      </w:r>
      <w:r>
        <w:rPr>
          <w:rFonts w:hint="eastAsia" w:ascii="宋体" w:hAnsi="宋体" w:cs="宋体"/>
          <w:color w:val="auto"/>
          <w:szCs w:val="21"/>
        </w:rPr>
        <w:pict>
          <v:shape id="_x0000_i1031" o:spt="75" type="#_x0000_t75" style="height:35.25pt;width:30pt;" filled="f" o:preferrelative="t" stroked="f" coordsize="21600,21600">
            <v:path/>
            <v:fill on="f" focussize="0,0"/>
            <v:stroke on="f"/>
            <v:imagedata r:id="rId20" chromakey="#FFFFFF" o:title=""/>
            <o:lock v:ext="edit" aspectratio="t"/>
            <w10:wrap type="none"/>
            <w10:anchorlock/>
          </v:shape>
        </w:pict>
      </w:r>
      <w:r>
        <w:rPr>
          <w:rFonts w:ascii="宋体" w:hAnsi="宋体" w:cs="宋体"/>
          <w:color w:val="auto"/>
          <w:szCs w:val="21"/>
        </w:rPr>
        <w:instrText xml:space="preserve"> \* MERGEFORMAT </w:instrText>
      </w:r>
      <w:r>
        <w:rPr>
          <w:rFonts w:hint="eastAsia" w:ascii="宋体" w:hAnsi="宋体" w:cs="宋体"/>
          <w:color w:val="auto"/>
          <w:szCs w:val="21"/>
        </w:rPr>
        <w:fldChar w:fldCharType="separate"/>
      </w:r>
      <w:r>
        <w:rPr>
          <w:rFonts w:hint="eastAsia" w:ascii="宋体" w:hAnsi="宋体" w:cs="宋体"/>
          <w:color w:val="auto"/>
          <w:szCs w:val="21"/>
        </w:rPr>
        <w:pict>
          <v:shape id="_x0000_i1032" o:spt="75" type="#_x0000_t75" style="height:35.25pt;width:30pt;" filled="f" o:preferrelative="t" stroked="f" coordsize="21600,21600">
            <v:path/>
            <v:fill on="f" focussize="0,0"/>
            <v:stroke on="f"/>
            <v:imagedata r:id="rId20" chromakey="#FFFFFF" o:title=""/>
            <o:lock v:ext="edit" aspectratio="t"/>
            <w10:wrap type="none"/>
            <w10:anchorlock/>
          </v:shape>
        </w:pict>
      </w:r>
      <w:r>
        <w:rPr>
          <w:rFonts w:hint="eastAsia" w:ascii="宋体" w:hAnsi="宋体" w:cs="宋体"/>
          <w:color w:val="auto"/>
          <w:szCs w:val="21"/>
        </w:rPr>
        <w:fldChar w:fldCharType="end"/>
      </w:r>
      <w:r>
        <w:rPr>
          <w:rFonts w:hint="eastAsia" w:ascii="宋体" w:hAnsi="宋体" w:cs="宋体"/>
          <w:color w:val="auto"/>
          <w:szCs w:val="21"/>
        </w:rPr>
        <w:t>），第二名投标人的权重为（</w:t>
      </w:r>
      <w:r>
        <w:rPr>
          <w:rFonts w:hint="eastAsia" w:ascii="宋体" w:hAnsi="宋体" w:cs="宋体"/>
          <w:color w:val="auto"/>
          <w:szCs w:val="21"/>
        </w:rPr>
        <w:fldChar w:fldCharType="begin"/>
      </w:r>
      <w:r>
        <w:rPr>
          <w:rFonts w:hint="eastAsia" w:ascii="宋体" w:hAnsi="宋体" w:cs="宋体"/>
          <w:color w:val="auto"/>
          <w:szCs w:val="21"/>
        </w:rPr>
        <w:instrText xml:space="preserve"> QUOTE </w:instrText>
      </w:r>
      <w:r>
        <w:rPr>
          <w:rFonts w:hint="eastAsia" w:ascii="宋体" w:hAnsi="宋体" w:cs="宋体"/>
          <w:color w:val="auto"/>
          <w:position w:val="-23"/>
          <w:szCs w:val="21"/>
        </w:rPr>
        <w:pict>
          <v:shape id="_x0000_i1033" o:spt="75" type="#_x0000_t75" style="height:31.5pt;width:25.5pt;" filled="f" o:preferrelative="t" stroked="f" coordsize="21600,21600">
            <v:path/>
            <v:fill on="f" focussize="0,0"/>
            <v:stroke on="f"/>
            <v:imagedata r:id="rId21" chromakey="#FFFFFF" o:title=""/>
            <o:lock v:ext="edit" aspectratio="t"/>
            <w10:wrap type="none"/>
            <w10:anchorlock/>
          </v:shape>
        </w:pict>
      </w:r>
      <w:r>
        <w:rPr>
          <w:rFonts w:ascii="宋体" w:hAnsi="宋体" w:cs="宋体"/>
          <w:color w:val="auto"/>
          <w:position w:val="-23"/>
          <w:szCs w:val="21"/>
        </w:rPr>
        <w:instrText xml:space="preserve"> \* MERGEFORMAT </w:instrText>
      </w:r>
      <w:r>
        <w:rPr>
          <w:rFonts w:hint="eastAsia" w:ascii="宋体" w:hAnsi="宋体" w:cs="宋体"/>
          <w:color w:val="auto"/>
          <w:szCs w:val="21"/>
        </w:rPr>
        <w:fldChar w:fldCharType="separate"/>
      </w:r>
      <w:r>
        <w:rPr>
          <w:rFonts w:hint="eastAsia" w:ascii="宋体" w:hAnsi="宋体" w:cs="宋体"/>
          <w:color w:val="auto"/>
          <w:position w:val="-23"/>
          <w:szCs w:val="21"/>
        </w:rPr>
        <w:pict>
          <v:shape id="_x0000_i1034" o:spt="75" type="#_x0000_t75" style="height:31.5pt;width:25.5pt;" filled="f" o:preferrelative="t" stroked="f" coordsize="21600,21600">
            <v:path/>
            <v:fill on="f" focussize="0,0"/>
            <v:stroke on="f"/>
            <v:imagedata r:id="rId21" chromakey="#FFFFFF" o:title=""/>
            <o:lock v:ext="edit" aspectratio="t"/>
            <w10:wrap type="none"/>
            <w10:anchorlock/>
          </v:shape>
        </w:pict>
      </w:r>
      <w:r>
        <w:rPr>
          <w:rFonts w:hint="eastAsia" w:ascii="宋体" w:hAnsi="宋体" w:cs="宋体"/>
          <w:color w:val="auto"/>
          <w:szCs w:val="21"/>
        </w:rPr>
        <w:fldChar w:fldCharType="end"/>
      </w:r>
      <w:r>
        <w:rPr>
          <w:rFonts w:hint="eastAsia" w:ascii="宋体" w:hAnsi="宋体" w:cs="宋体"/>
          <w:color w:val="auto"/>
          <w:szCs w:val="21"/>
        </w:rPr>
        <w:t>），以此类推，最后一名投标人的权重为（</w:t>
      </w:r>
      <w:r>
        <w:rPr>
          <w:rFonts w:hint="eastAsia" w:ascii="宋体" w:hAnsi="宋体" w:cs="宋体"/>
          <w:color w:val="auto"/>
          <w:szCs w:val="21"/>
        </w:rPr>
        <w:fldChar w:fldCharType="begin"/>
      </w:r>
      <w:r>
        <w:rPr>
          <w:rFonts w:hint="eastAsia" w:ascii="宋体" w:hAnsi="宋体" w:cs="宋体"/>
          <w:color w:val="auto"/>
          <w:szCs w:val="21"/>
        </w:rPr>
        <w:instrText xml:space="preserve"> QUOTE </w:instrText>
      </w:r>
      <w:r>
        <w:rPr>
          <w:rFonts w:hint="eastAsia" w:ascii="宋体" w:hAnsi="宋体" w:cs="宋体"/>
          <w:color w:val="auto"/>
          <w:position w:val="-23"/>
          <w:szCs w:val="21"/>
        </w:rPr>
        <w:pict>
          <v:shape id="_x0000_i1035" o:spt="75" type="#_x0000_t75" style="height:31.5pt;width:25.5pt;" filled="f" o:preferrelative="t" stroked="f" coordsize="21600,21600">
            <v:path/>
            <v:fill on="f" focussize="0,0"/>
            <v:stroke on="f"/>
            <v:imagedata r:id="rId22" chromakey="#FFFFFF" o:title=""/>
            <o:lock v:ext="edit" aspectratio="t"/>
            <w10:wrap type="none"/>
            <w10:anchorlock/>
          </v:shape>
        </w:pict>
      </w:r>
      <w:r>
        <w:rPr>
          <w:rFonts w:ascii="宋体" w:hAnsi="宋体" w:cs="宋体"/>
          <w:color w:val="auto"/>
          <w:position w:val="-23"/>
          <w:szCs w:val="21"/>
        </w:rPr>
        <w:instrText xml:space="preserve"> \* MERGEFORMAT </w:instrText>
      </w:r>
      <w:r>
        <w:rPr>
          <w:rFonts w:hint="eastAsia" w:ascii="宋体" w:hAnsi="宋体" w:cs="宋体"/>
          <w:color w:val="auto"/>
          <w:szCs w:val="21"/>
        </w:rPr>
        <w:fldChar w:fldCharType="separate"/>
      </w:r>
      <w:r>
        <w:rPr>
          <w:rFonts w:hint="eastAsia" w:ascii="宋体" w:hAnsi="宋体" w:cs="宋体"/>
          <w:color w:val="auto"/>
          <w:position w:val="-23"/>
          <w:szCs w:val="21"/>
        </w:rPr>
        <w:pict>
          <v:shape id="_x0000_i1036" o:spt="75" type="#_x0000_t75" style="height:31.5pt;width:25.5pt;" filled="f" o:preferrelative="t" stroked="f" coordsize="21600,21600">
            <v:path/>
            <v:fill on="f" focussize="0,0"/>
            <v:stroke on="f"/>
            <v:imagedata r:id="rId22" chromakey="#FFFFFF" o:title=""/>
            <o:lock v:ext="edit" aspectratio="t"/>
            <w10:wrap type="none"/>
            <w10:anchorlock/>
          </v:shape>
        </w:pict>
      </w:r>
      <w:r>
        <w:rPr>
          <w:rFonts w:hint="eastAsia" w:ascii="宋体" w:hAnsi="宋体" w:cs="宋体"/>
          <w:color w:val="auto"/>
          <w:szCs w:val="21"/>
        </w:rPr>
        <w:fldChar w:fldCharType="end"/>
      </w:r>
      <w:r>
        <w:rPr>
          <w:rFonts w:hint="eastAsia" w:ascii="宋体" w:hAnsi="宋体" w:cs="宋体"/>
          <w:color w:val="auto"/>
          <w:szCs w:val="21"/>
        </w:rPr>
        <w:t>）。</w:t>
      </w:r>
    </w:p>
    <w:p>
      <w:pPr>
        <w:pBdr>
          <w:bottom w:val="single" w:color="auto" w:sz="6" w:space="1"/>
        </w:pBdr>
        <w:spacing w:line="360" w:lineRule="auto"/>
        <w:ind w:firstLine="525" w:firstLineChars="250"/>
        <w:rPr>
          <w:rFonts w:ascii="宋体" w:hAnsi="宋体" w:cs="宋体"/>
          <w:bCs/>
          <w:color w:val="auto"/>
          <w:szCs w:val="21"/>
          <w:u w:val="single"/>
        </w:rPr>
      </w:pPr>
      <w:r>
        <w:rPr>
          <w:rFonts w:hint="eastAsia" w:ascii="宋体" w:hAnsi="宋体" w:cs="宋体"/>
          <w:bCs/>
          <w:color w:val="auto"/>
          <w:szCs w:val="21"/>
          <w:u w:val="single"/>
        </w:rPr>
        <w:t>技术标得分相同的的投标人，以投标总报价较低的排前；</w:t>
      </w:r>
      <w:r>
        <w:rPr>
          <w:rFonts w:hint="eastAsia" w:ascii="宋体" w:hAnsi="宋体" w:cs="宋体"/>
          <w:color w:val="auto"/>
          <w:szCs w:val="21"/>
          <w:u w:val="single"/>
        </w:rPr>
        <w:t>如仍存在相同情况，</w:t>
      </w:r>
      <w:r>
        <w:rPr>
          <w:rFonts w:hint="eastAsia" w:ascii="宋体" w:hAnsi="宋体" w:cs="宋体"/>
          <w:bCs/>
          <w:color w:val="auto"/>
          <w:szCs w:val="21"/>
          <w:u w:val="single"/>
        </w:rPr>
        <w:t>由评标委员会采用记名投票方式，确定投标人的排序。</w:t>
      </w:r>
    </w:p>
    <w:p>
      <w:pPr>
        <w:pBdr>
          <w:bottom w:val="single" w:color="auto" w:sz="6" w:space="1"/>
        </w:pBdr>
        <w:spacing w:line="360" w:lineRule="auto"/>
        <w:ind w:firstLine="525" w:firstLineChars="250"/>
        <w:rPr>
          <w:color w:val="auto"/>
        </w:rPr>
      </w:pPr>
      <w:r>
        <w:rPr>
          <w:rFonts w:hint="eastAsia" w:ascii="宋体" w:hAnsi="宋体" w:cs="宋体"/>
          <w:bCs/>
          <w:color w:val="auto"/>
          <w:szCs w:val="21"/>
          <w:u w:val="single"/>
        </w:rPr>
        <w:t>注：投票方式确定排序的具体操作步骤为：由评标会对出现该情况的投标人进行编号，然后通过投票方式依次确定投标人的排序。</w:t>
      </w:r>
    </w:p>
    <w:p>
      <w:pPr>
        <w:spacing w:line="480" w:lineRule="auto"/>
        <w:ind w:firstLine="472" w:firstLineChars="224"/>
        <w:rPr>
          <w:b/>
          <w:color w:val="auto"/>
          <w:szCs w:val="21"/>
        </w:rPr>
      </w:pPr>
      <w:r>
        <w:rPr>
          <w:rFonts w:hint="eastAsia"/>
          <w:b/>
          <w:color w:val="auto"/>
          <w:szCs w:val="21"/>
        </w:rPr>
        <w:t>条款号：</w:t>
      </w:r>
      <w:r>
        <w:rPr>
          <w:rFonts w:hint="eastAsia" w:ascii="宋体" w:hAnsi="宋体" w:cs="宋体"/>
          <w:color w:val="auto"/>
          <w:szCs w:val="21"/>
        </w:rPr>
        <w:t>45.3</w:t>
      </w:r>
      <w:r>
        <w:rPr>
          <w:b/>
          <w:color w:val="auto"/>
          <w:szCs w:val="21"/>
        </w:rPr>
        <w:t xml:space="preserve">             </w:t>
      </w:r>
      <w:r>
        <w:rPr>
          <w:rFonts w:hint="eastAsia"/>
          <w:b/>
          <w:color w:val="auto"/>
          <w:szCs w:val="21"/>
        </w:rPr>
        <w:t>修改类型：修改</w:t>
      </w:r>
    </w:p>
    <w:p>
      <w:pPr>
        <w:pBdr>
          <w:bottom w:val="single" w:color="auto" w:sz="6" w:space="1"/>
        </w:pBdr>
        <w:spacing w:line="360" w:lineRule="auto"/>
        <w:ind w:firstLine="527" w:firstLineChars="250"/>
        <w:rPr>
          <w:b/>
          <w:color w:val="auto"/>
          <w:szCs w:val="21"/>
        </w:rPr>
      </w:pPr>
      <w:r>
        <w:rPr>
          <w:rFonts w:hint="eastAsia"/>
          <w:b/>
          <w:color w:val="auto"/>
          <w:szCs w:val="21"/>
        </w:rPr>
        <w:t>原文：</w:t>
      </w:r>
      <w:r>
        <w:rPr>
          <w:rFonts w:hint="eastAsia" w:ascii="宋体" w:hAnsi="宋体" w:cs="宋体"/>
          <w:color w:val="auto"/>
          <w:szCs w:val="21"/>
        </w:rPr>
        <w:t>45.3当标价等于评标参考价时得100分，标价每高于评标参考价1%，扣1.5分，每低于评标参考价1%，扣1分，扣至0分为止，得出经济分，精确到小数点后两位。</w:t>
      </w:r>
    </w:p>
    <w:p>
      <w:pPr>
        <w:pBdr>
          <w:bottom w:val="single" w:color="auto" w:sz="6" w:space="1"/>
        </w:pBdr>
        <w:spacing w:line="360" w:lineRule="auto"/>
        <w:ind w:firstLine="527" w:firstLineChars="250"/>
        <w:rPr>
          <w:color w:val="auto"/>
        </w:rPr>
      </w:pPr>
      <w:r>
        <w:rPr>
          <w:rFonts w:hint="eastAsia"/>
          <w:b/>
          <w:color w:val="auto"/>
          <w:szCs w:val="21"/>
        </w:rPr>
        <w:t>现文：</w:t>
      </w:r>
      <w:r>
        <w:rPr>
          <w:rFonts w:hint="eastAsia" w:ascii="宋体" w:hAnsi="宋体" w:cs="宋体"/>
          <w:color w:val="auto"/>
          <w:kern w:val="0"/>
          <w:szCs w:val="21"/>
        </w:rPr>
        <w:t>45.3</w:t>
      </w:r>
      <w:r>
        <w:rPr>
          <w:rFonts w:hint="eastAsia" w:ascii="宋体" w:hAnsi="宋体" w:cs="宋体"/>
          <w:color w:val="auto"/>
          <w:szCs w:val="21"/>
        </w:rPr>
        <w:t>当标价等于评标参考价时得100分，标价每高于评标参考价1%，扣</w:t>
      </w:r>
      <w:r>
        <w:rPr>
          <w:rFonts w:ascii="宋体" w:hAnsi="宋体" w:cs="宋体"/>
          <w:color w:val="auto"/>
          <w:szCs w:val="21"/>
          <w:u w:val="single"/>
        </w:rPr>
        <w:t>1</w:t>
      </w:r>
      <w:r>
        <w:rPr>
          <w:rFonts w:hint="eastAsia" w:ascii="宋体" w:hAnsi="宋体" w:cs="宋体"/>
          <w:color w:val="auto"/>
          <w:szCs w:val="21"/>
        </w:rPr>
        <w:t>分，每低于评标参考价1%，扣</w:t>
      </w:r>
      <w:r>
        <w:rPr>
          <w:rFonts w:ascii="宋体" w:hAnsi="宋体" w:cs="宋体"/>
          <w:color w:val="auto"/>
          <w:szCs w:val="21"/>
          <w:u w:val="single"/>
        </w:rPr>
        <w:t>0.5</w:t>
      </w:r>
      <w:r>
        <w:rPr>
          <w:rFonts w:hint="eastAsia" w:ascii="宋体" w:hAnsi="宋体" w:cs="宋体"/>
          <w:color w:val="auto"/>
          <w:szCs w:val="21"/>
        </w:rPr>
        <w:t>分，扣至0分为止，得出经济分，精确到小数点后两位。</w:t>
      </w:r>
    </w:p>
    <w:p>
      <w:pPr>
        <w:spacing w:line="480" w:lineRule="auto"/>
        <w:ind w:firstLine="472" w:firstLineChars="224"/>
        <w:rPr>
          <w:b/>
          <w:color w:val="auto"/>
          <w:szCs w:val="21"/>
        </w:rPr>
      </w:pPr>
      <w:r>
        <w:rPr>
          <w:rFonts w:hint="eastAsia"/>
          <w:b/>
          <w:color w:val="auto"/>
          <w:szCs w:val="21"/>
        </w:rPr>
        <w:t>条款号：</w:t>
      </w:r>
      <w:r>
        <w:rPr>
          <w:rFonts w:hint="eastAsia" w:ascii="宋体" w:hAnsi="宋体" w:cs="宋体"/>
          <w:color w:val="auto"/>
          <w:szCs w:val="21"/>
        </w:rPr>
        <w:t>45.4</w:t>
      </w:r>
      <w:r>
        <w:rPr>
          <w:b/>
          <w:color w:val="auto"/>
          <w:szCs w:val="21"/>
        </w:rPr>
        <w:t xml:space="preserve">             </w:t>
      </w:r>
      <w:r>
        <w:rPr>
          <w:rFonts w:hint="eastAsia"/>
          <w:b/>
          <w:color w:val="auto"/>
          <w:szCs w:val="21"/>
        </w:rPr>
        <w:t>修改类型：修改</w:t>
      </w:r>
    </w:p>
    <w:p>
      <w:pPr>
        <w:pBdr>
          <w:bottom w:val="single" w:color="auto" w:sz="6" w:space="1"/>
        </w:pBdr>
        <w:spacing w:line="360" w:lineRule="auto"/>
        <w:ind w:firstLine="527" w:firstLineChars="250"/>
        <w:rPr>
          <w:b/>
          <w:color w:val="auto"/>
          <w:szCs w:val="21"/>
        </w:rPr>
      </w:pPr>
      <w:r>
        <w:rPr>
          <w:rFonts w:hint="eastAsia"/>
          <w:b/>
          <w:color w:val="auto"/>
          <w:szCs w:val="21"/>
        </w:rPr>
        <w:t>原文：</w:t>
      </w:r>
      <w:r>
        <w:rPr>
          <w:rFonts w:hint="eastAsia" w:ascii="宋体" w:hAnsi="宋体" w:cs="宋体"/>
          <w:color w:val="auto"/>
          <w:szCs w:val="21"/>
        </w:rPr>
        <w:t>45.4计算通过技术标有效性审查的投标人总得分。投标人总得分=（技术得分×技术得分权重＋经济得分×经济得分权重）×（1-综合诚信评价分数权重）＋综合诚信评价排名得分×综合诚信评价分数权重）。技术、经济得分权重按投标须知前附表的规定执行。总得分四舍五入保留两位小数。</w:t>
      </w:r>
    </w:p>
    <w:p>
      <w:pPr>
        <w:pBdr>
          <w:bottom w:val="single" w:color="auto" w:sz="6" w:space="1"/>
        </w:pBdr>
        <w:spacing w:line="360" w:lineRule="auto"/>
        <w:ind w:firstLine="527" w:firstLineChars="250"/>
        <w:rPr>
          <w:color w:val="auto"/>
        </w:rPr>
      </w:pPr>
      <w:r>
        <w:rPr>
          <w:rFonts w:hint="eastAsia"/>
          <w:b/>
          <w:color w:val="auto"/>
          <w:szCs w:val="21"/>
        </w:rPr>
        <w:t>现文：</w:t>
      </w:r>
      <w:r>
        <w:rPr>
          <w:rFonts w:hint="eastAsia" w:ascii="宋体" w:hAnsi="宋体" w:cs="宋体"/>
          <w:color w:val="auto"/>
          <w:szCs w:val="21"/>
          <w:u w:val="single"/>
        </w:rPr>
        <w:t>4</w:t>
      </w:r>
      <w:r>
        <w:rPr>
          <w:rFonts w:hint="eastAsia" w:ascii="宋体" w:hAnsi="宋体" w:cs="宋体"/>
          <w:color w:val="auto"/>
          <w:u w:val="single"/>
        </w:rPr>
        <w:t>5.4计算通过技术标有效性审查的投标人总得分。投标人总得分=技术得分（满分100分）×技术得分权重（20%）＋经济得分（满分100分）×经济得分权重（80%）。技术、经济得分权重按投标须知前附表</w:t>
      </w:r>
      <w:r>
        <w:rPr>
          <w:rFonts w:hint="eastAsia" w:ascii="宋体" w:hAnsi="宋体" w:cs="宋体"/>
          <w:color w:val="auto"/>
          <w:szCs w:val="21"/>
        </w:rPr>
        <w:t>的规定执行。总</w:t>
      </w:r>
      <w:r>
        <w:rPr>
          <w:rFonts w:hint="eastAsia" w:ascii="宋体" w:hAnsi="宋体" w:cs="宋体"/>
          <w:bCs/>
          <w:color w:val="auto"/>
          <w:szCs w:val="21"/>
        </w:rPr>
        <w:t>得分四舍五入保留两位小数。</w:t>
      </w:r>
      <w:r>
        <w:rPr>
          <w:rFonts w:hint="eastAsia" w:ascii="宋体" w:hAnsi="宋体" w:cs="宋体"/>
          <w:color w:val="auto"/>
          <w:u w:val="single"/>
        </w:rPr>
        <w:t>总得分相同的投标文件，以技术分高的排前；总得分、技术分均相同的投标文件，以投标总报价低的排前；如仍存在相同情况，由评标委员会采用记名投票方式，确定投标人的排序。随机方式确定排序的具体操作步骤为：由评标会对出现该情况的投标人进行编号，然后通过记名投票方式，以得票多的排前确定排序。</w:t>
      </w:r>
    </w:p>
    <w:p>
      <w:pPr>
        <w:spacing w:line="480" w:lineRule="auto"/>
        <w:ind w:firstLine="472" w:firstLineChars="224"/>
        <w:rPr>
          <w:rFonts w:ascii="宋体" w:hAnsi="宋体" w:cs="宋体"/>
          <w:b/>
          <w:color w:val="auto"/>
          <w:szCs w:val="21"/>
        </w:rPr>
      </w:pPr>
      <w:r>
        <w:rPr>
          <w:rFonts w:hint="eastAsia" w:ascii="宋体" w:hAnsi="宋体" w:cs="宋体"/>
          <w:b/>
          <w:color w:val="auto"/>
          <w:szCs w:val="21"/>
        </w:rPr>
        <w:t>条款号：46.1</w:t>
      </w:r>
      <w:r>
        <w:rPr>
          <w:rFonts w:hint="eastAsia" w:ascii="宋体" w:hAnsi="宋体" w:cs="宋体"/>
          <w:color w:val="auto"/>
          <w:szCs w:val="21"/>
        </w:rPr>
        <w:t xml:space="preserve"> </w:t>
      </w:r>
      <w:r>
        <w:rPr>
          <w:rFonts w:hint="eastAsia" w:ascii="宋体" w:hAnsi="宋体" w:cs="宋体"/>
          <w:b/>
          <w:color w:val="auto"/>
          <w:szCs w:val="21"/>
        </w:rPr>
        <w:t xml:space="preserve">            修改类型：修改</w:t>
      </w:r>
    </w:p>
    <w:p>
      <w:pPr>
        <w:pBdr>
          <w:bottom w:val="single" w:color="auto" w:sz="6" w:space="1"/>
        </w:pBdr>
        <w:spacing w:line="360" w:lineRule="auto"/>
        <w:ind w:firstLine="527" w:firstLineChars="250"/>
        <w:rPr>
          <w:rFonts w:ascii="宋体" w:hAnsi="宋体" w:cs="宋体"/>
          <w:b/>
          <w:color w:val="auto"/>
          <w:szCs w:val="21"/>
        </w:rPr>
      </w:pPr>
      <w:r>
        <w:rPr>
          <w:rFonts w:hint="eastAsia" w:ascii="宋体" w:hAnsi="宋体" w:cs="宋体"/>
          <w:b/>
          <w:color w:val="auto"/>
          <w:szCs w:val="21"/>
        </w:rPr>
        <w:t>原文：</w:t>
      </w:r>
      <w:r>
        <w:rPr>
          <w:rFonts w:ascii="宋体" w:hAnsi="宋体" w:cs="宋体"/>
          <w:color w:val="auto"/>
          <w:szCs w:val="21"/>
        </w:rPr>
        <w:t>4</w:t>
      </w:r>
      <w:r>
        <w:rPr>
          <w:rFonts w:hint="eastAsia" w:ascii="宋体" w:hAnsi="宋体" w:cs="宋体"/>
          <w:color w:val="auto"/>
          <w:szCs w:val="21"/>
        </w:rPr>
        <w:t>6.1经济标的有效性审查：按照投标人总得分排序，依次对投标文件进行经济标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w:t>
      </w:r>
    </w:p>
    <w:p>
      <w:pPr>
        <w:pBdr>
          <w:bottom w:val="single" w:color="auto" w:sz="6" w:space="1"/>
        </w:pBdr>
        <w:spacing w:line="360" w:lineRule="auto"/>
        <w:ind w:firstLine="527" w:firstLineChars="250"/>
        <w:rPr>
          <w:rFonts w:ascii="宋体" w:hAnsi="宋体" w:cs="宋体"/>
          <w:color w:val="auto"/>
          <w:szCs w:val="21"/>
          <w:u w:val="single"/>
        </w:rPr>
      </w:pPr>
      <w:r>
        <w:rPr>
          <w:rFonts w:hint="eastAsia" w:ascii="宋体" w:hAnsi="宋体" w:cs="宋体"/>
          <w:b/>
          <w:color w:val="auto"/>
          <w:szCs w:val="21"/>
        </w:rPr>
        <w:t>现文</w:t>
      </w:r>
      <w:r>
        <w:rPr>
          <w:rFonts w:hint="eastAsia" w:ascii="宋体" w:hAnsi="宋体" w:cs="宋体"/>
          <w:color w:val="auto"/>
          <w:szCs w:val="21"/>
          <w:u w:val="single"/>
        </w:rPr>
        <w:t>：46.1经济标的有效性审查：按照投标人总得分排序，依次对投标文件进行经济标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评委发现投标文件中含义不明确、对同类问题表述不一致、有明显文字和计算错误、投标报价可能低于成本影响履约的，应当要求投标人作必要的澄清、说明后再判定投标人是否通过有效性审查，不得直接否决投标。</w:t>
      </w:r>
    </w:p>
    <w:p>
      <w:pPr>
        <w:spacing w:line="480" w:lineRule="auto"/>
        <w:ind w:firstLine="472" w:firstLineChars="224"/>
        <w:rPr>
          <w:rFonts w:ascii="宋体" w:hAnsi="宋体" w:cs="宋体"/>
          <w:b/>
          <w:color w:val="auto"/>
          <w:szCs w:val="21"/>
        </w:rPr>
      </w:pPr>
      <w:r>
        <w:rPr>
          <w:rFonts w:hint="eastAsia" w:ascii="宋体" w:hAnsi="宋体" w:cs="宋体"/>
          <w:b/>
          <w:color w:val="auto"/>
          <w:szCs w:val="21"/>
        </w:rPr>
        <w:t>条款号：46.2.8            修改类型：修改</w:t>
      </w:r>
    </w:p>
    <w:p>
      <w:pPr>
        <w:pBdr>
          <w:bottom w:val="single" w:color="auto" w:sz="6" w:space="1"/>
        </w:pBdr>
        <w:spacing w:line="360" w:lineRule="auto"/>
        <w:ind w:firstLine="527" w:firstLineChars="250"/>
        <w:rPr>
          <w:rFonts w:ascii="宋体" w:hAnsi="宋体" w:cs="宋体"/>
          <w:b/>
          <w:color w:val="auto"/>
          <w:szCs w:val="21"/>
        </w:rPr>
      </w:pPr>
      <w:r>
        <w:rPr>
          <w:rFonts w:hint="eastAsia" w:ascii="宋体" w:hAnsi="宋体" w:cs="宋体"/>
          <w:b/>
          <w:color w:val="auto"/>
          <w:szCs w:val="21"/>
        </w:rPr>
        <w:t>原文：</w:t>
      </w:r>
      <w:r>
        <w:rPr>
          <w:rFonts w:hint="eastAsia" w:ascii="宋体" w:hAnsi="宋体" w:cs="宋体"/>
          <w:color w:val="auto"/>
          <w:szCs w:val="21"/>
        </w:rPr>
        <w:t>46.2.8按上述修正错误的原则及方法调整或修正投标文件的投标报价，调整后的投标报价对投标人起约束作用。如果投标人不接受修正后的报价，则取消其投标资格，并且其投标保证金也将不予退还。</w:t>
      </w:r>
    </w:p>
    <w:p>
      <w:pPr>
        <w:pBdr>
          <w:bottom w:val="single" w:color="auto" w:sz="6" w:space="1"/>
        </w:pBdr>
        <w:spacing w:line="360" w:lineRule="auto"/>
        <w:ind w:firstLine="527" w:firstLineChars="250"/>
        <w:rPr>
          <w:rFonts w:ascii="宋体" w:hAnsi="宋体" w:cs="宋体"/>
          <w:color w:val="auto"/>
          <w:szCs w:val="21"/>
          <w:u w:val="single"/>
        </w:rPr>
      </w:pPr>
      <w:r>
        <w:rPr>
          <w:rFonts w:hint="eastAsia" w:ascii="宋体" w:hAnsi="宋体" w:cs="宋体"/>
          <w:b/>
          <w:color w:val="auto"/>
          <w:szCs w:val="21"/>
        </w:rPr>
        <w:t>现文</w:t>
      </w:r>
      <w:r>
        <w:rPr>
          <w:rFonts w:hint="eastAsia" w:ascii="宋体" w:hAnsi="宋体" w:cs="宋体"/>
          <w:color w:val="auto"/>
          <w:szCs w:val="21"/>
          <w:u w:val="single"/>
        </w:rPr>
        <w:t>：46.2.8按上述修正错误的原则及方法调整或修正投标文件的投标报价，调整后的投标报价对投标人起约束作用。如果投标人不接受修正后的报价，则取消其投标资格。</w:t>
      </w:r>
    </w:p>
    <w:p>
      <w:pPr>
        <w:spacing w:line="480" w:lineRule="auto"/>
        <w:ind w:firstLine="472" w:firstLineChars="224"/>
        <w:rPr>
          <w:rFonts w:ascii="宋体" w:hAnsi="宋体" w:cs="宋体"/>
          <w:b/>
          <w:color w:val="auto"/>
          <w:szCs w:val="21"/>
        </w:rPr>
      </w:pPr>
      <w:r>
        <w:rPr>
          <w:rFonts w:hint="eastAsia" w:ascii="宋体" w:hAnsi="宋体" w:cs="宋体"/>
          <w:b/>
          <w:color w:val="auto"/>
          <w:szCs w:val="21"/>
        </w:rPr>
        <w:t>条款号：48</w:t>
      </w:r>
      <w:r>
        <w:rPr>
          <w:rFonts w:hint="eastAsia" w:ascii="宋体" w:hAnsi="宋体" w:cs="宋体"/>
          <w:color w:val="auto"/>
          <w:szCs w:val="21"/>
        </w:rPr>
        <w:t xml:space="preserve"> </w:t>
      </w:r>
      <w:r>
        <w:rPr>
          <w:rFonts w:hint="eastAsia" w:ascii="宋体" w:hAnsi="宋体" w:cs="宋体"/>
          <w:b/>
          <w:color w:val="auto"/>
          <w:szCs w:val="21"/>
        </w:rPr>
        <w:t xml:space="preserve">            修改类型：修改</w:t>
      </w:r>
    </w:p>
    <w:p>
      <w:pPr>
        <w:pBdr>
          <w:bottom w:val="single" w:color="auto" w:sz="6" w:space="1"/>
        </w:pBdr>
        <w:spacing w:line="360" w:lineRule="auto"/>
        <w:ind w:firstLine="527" w:firstLineChars="250"/>
        <w:rPr>
          <w:rFonts w:ascii="宋体" w:hAnsi="宋体" w:cs="宋体"/>
          <w:b/>
          <w:color w:val="auto"/>
          <w:szCs w:val="21"/>
        </w:rPr>
      </w:pPr>
      <w:r>
        <w:rPr>
          <w:rFonts w:hint="eastAsia" w:ascii="宋体" w:hAnsi="宋体" w:cs="宋体"/>
          <w:b/>
          <w:color w:val="auto"/>
          <w:szCs w:val="21"/>
        </w:rPr>
        <w:t>原文：</w:t>
      </w:r>
      <w:r>
        <w:rPr>
          <w:rFonts w:ascii="宋体" w:hAnsi="宋体" w:cs="宋体"/>
          <w:color w:val="auto"/>
          <w:szCs w:val="21"/>
        </w:rPr>
        <w:t>4</w:t>
      </w:r>
      <w:r>
        <w:rPr>
          <w:rFonts w:hint="eastAsia" w:ascii="宋体" w:hAnsi="宋体" w:cs="宋体"/>
          <w:color w:val="auto"/>
          <w:szCs w:val="21"/>
        </w:rPr>
        <w:t>8.评标委员会应在通过投标文件经济标有效性审查的投标人中，按步骤45.4确定的投标人第二阶段排序，推荐前3名依次为第一中标候选人至第三中标候选人,并编制评标报告。</w:t>
      </w:r>
    </w:p>
    <w:p>
      <w:pPr>
        <w:pBdr>
          <w:bottom w:val="single" w:color="auto" w:sz="6" w:space="1"/>
        </w:pBdr>
        <w:spacing w:line="360" w:lineRule="auto"/>
        <w:ind w:firstLine="527" w:firstLineChars="250"/>
        <w:rPr>
          <w:rFonts w:ascii="宋体" w:hAnsi="宋体" w:cs="宋体"/>
          <w:b/>
          <w:color w:val="auto"/>
          <w:szCs w:val="21"/>
        </w:rPr>
      </w:pPr>
      <w:r>
        <w:rPr>
          <w:rFonts w:hint="eastAsia" w:ascii="宋体" w:hAnsi="宋体" w:cs="宋体"/>
          <w:b/>
          <w:color w:val="auto"/>
          <w:szCs w:val="21"/>
        </w:rPr>
        <w:t>现文：</w:t>
      </w:r>
      <w:r>
        <w:rPr>
          <w:rFonts w:ascii="宋体" w:hAnsi="宋体" w:cs="宋体"/>
          <w:color w:val="auto"/>
          <w:szCs w:val="21"/>
        </w:rPr>
        <w:t>4</w:t>
      </w:r>
      <w:r>
        <w:rPr>
          <w:rFonts w:hint="eastAsia" w:ascii="宋体" w:hAnsi="宋体" w:cs="宋体"/>
          <w:color w:val="auto"/>
          <w:szCs w:val="21"/>
        </w:rPr>
        <w:t>8.评标委员会应在通过投标文件经济标有效性审查的投标人中，</w:t>
      </w:r>
      <w:r>
        <w:rPr>
          <w:rFonts w:hint="eastAsia" w:ascii="宋体" w:hAnsi="宋体" w:cs="宋体"/>
          <w:color w:val="auto"/>
          <w:szCs w:val="21"/>
          <w:u w:val="single"/>
        </w:rPr>
        <w:t>按步骤45.4确定的投标人排序</w:t>
      </w:r>
      <w:r>
        <w:rPr>
          <w:rFonts w:hint="eastAsia" w:ascii="宋体" w:hAnsi="宋体" w:cs="宋体"/>
          <w:color w:val="auto"/>
          <w:szCs w:val="21"/>
        </w:rPr>
        <w:t>，推荐前3名依次为第一中标候选人至第三中标候选人,并编制评标报告。</w:t>
      </w:r>
    </w:p>
    <w:p>
      <w:pPr>
        <w:spacing w:line="360" w:lineRule="auto"/>
        <w:ind w:firstLine="472" w:firstLineChars="224"/>
        <w:rPr>
          <w:b/>
          <w:color w:val="auto"/>
          <w:szCs w:val="21"/>
        </w:rPr>
      </w:pPr>
      <w:r>
        <w:rPr>
          <w:rFonts w:hint="eastAsia"/>
          <w:b/>
          <w:color w:val="auto"/>
          <w:szCs w:val="21"/>
        </w:rPr>
        <w:t>条款号：</w:t>
      </w:r>
      <w:r>
        <w:rPr>
          <w:rFonts w:hint="eastAsia" w:ascii="宋体" w:hAnsi="宋体" w:cs="宋体"/>
          <w:b/>
          <w:color w:val="auto"/>
          <w:szCs w:val="21"/>
        </w:rPr>
        <w:t>附表一：《资格审查表》   附表二：《技术标有效性审查表》  附表三：《经济标有效性审查表》  附表四：《技术标详细审查评分表》  附表五《经济标评分表》</w:t>
      </w:r>
      <w:r>
        <w:rPr>
          <w:b/>
          <w:color w:val="auto"/>
          <w:szCs w:val="21"/>
        </w:rPr>
        <w:t xml:space="preserve">  </w:t>
      </w:r>
      <w:r>
        <w:rPr>
          <w:rFonts w:hint="eastAsia"/>
          <w:b/>
          <w:color w:val="auto"/>
          <w:szCs w:val="21"/>
        </w:rPr>
        <w:t>修改类型：修改</w:t>
      </w:r>
    </w:p>
    <w:p>
      <w:pPr>
        <w:spacing w:line="360" w:lineRule="auto"/>
        <w:ind w:firstLine="472" w:firstLineChars="224"/>
        <w:rPr>
          <w:b/>
          <w:color w:val="auto"/>
          <w:szCs w:val="21"/>
        </w:rPr>
      </w:pPr>
      <w:r>
        <w:rPr>
          <w:rFonts w:hint="eastAsia"/>
          <w:b/>
          <w:color w:val="auto"/>
          <w:szCs w:val="21"/>
        </w:rPr>
        <w:t>原文：</w:t>
      </w:r>
      <w:r>
        <w:rPr>
          <w:rFonts w:hint="eastAsia" w:ascii="宋体" w:hAnsi="宋体" w:cs="宋体"/>
          <w:color w:val="auto"/>
          <w:szCs w:val="21"/>
        </w:rPr>
        <w:t>详见原范本附表一：《资格审查表》    附表二：《技术标有效性审查表》   附表三：《经济标有效性审查表》   附表四：《技术标详细审查评分表》  附表五《经济标评分表》。</w:t>
      </w:r>
    </w:p>
    <w:p>
      <w:pPr>
        <w:pBdr>
          <w:bottom w:val="single" w:color="auto" w:sz="6" w:space="1"/>
        </w:pBdr>
        <w:spacing w:line="360" w:lineRule="auto"/>
        <w:ind w:firstLine="527" w:firstLineChars="250"/>
        <w:rPr>
          <w:color w:val="auto"/>
        </w:rPr>
      </w:pPr>
      <w:r>
        <w:rPr>
          <w:rFonts w:hint="eastAsia"/>
          <w:b/>
          <w:color w:val="auto"/>
          <w:szCs w:val="21"/>
        </w:rPr>
        <w:t>现文：</w:t>
      </w:r>
      <w:r>
        <w:rPr>
          <w:rFonts w:hint="eastAsia" w:ascii="宋体" w:hAnsi="宋体" w:cs="宋体"/>
          <w:color w:val="auto"/>
          <w:szCs w:val="21"/>
        </w:rPr>
        <w:t>详见本招标文件</w:t>
      </w:r>
      <w:r>
        <w:rPr>
          <w:rFonts w:hint="eastAsia" w:ascii="宋体" w:hAnsi="宋体" w:cs="宋体"/>
          <w:color w:val="auto"/>
          <w:szCs w:val="21"/>
          <w:u w:val="single"/>
        </w:rPr>
        <w:t>附表一：《资格审查表》    附表二：《技术标有效性审查表》   附表三：《经济标有效性审查表》   附表四：《技术标详细审查评分表》  附表五《经济标评分表》。</w:t>
      </w:r>
    </w:p>
    <w:p>
      <w:pPr>
        <w:spacing w:line="360" w:lineRule="auto"/>
        <w:ind w:firstLine="211" w:firstLineChars="100"/>
        <w:rPr>
          <w:b/>
          <w:color w:val="auto"/>
          <w:szCs w:val="21"/>
        </w:rPr>
      </w:pPr>
      <w:r>
        <w:rPr>
          <w:rFonts w:hint="eastAsia"/>
          <w:b/>
          <w:color w:val="auto"/>
          <w:szCs w:val="21"/>
        </w:rPr>
        <w:t>注：以上修改，仅限于本范本中有可供选择条款的情形。</w:t>
      </w:r>
    </w:p>
    <w:p>
      <w:pPr>
        <w:spacing w:line="360" w:lineRule="auto"/>
        <w:rPr>
          <w:color w:val="auto"/>
        </w:rPr>
      </w:pPr>
      <w:r>
        <w:rPr>
          <w:rFonts w:hint="eastAsia"/>
          <w:b/>
          <w:color w:val="auto"/>
          <w:szCs w:val="21"/>
        </w:rPr>
        <w:t>（以下无正文）</w:t>
      </w:r>
    </w:p>
    <w:p>
      <w:pPr>
        <w:pStyle w:val="2"/>
        <w:spacing w:line="360" w:lineRule="auto"/>
        <w:rPr>
          <w:color w:val="auto"/>
        </w:rPr>
      </w:pPr>
      <w:r>
        <w:rPr>
          <w:color w:val="auto"/>
        </w:rPr>
        <w:br w:type="page"/>
      </w:r>
    </w:p>
    <w:p>
      <w:pPr>
        <w:pStyle w:val="7"/>
        <w:ind w:firstLine="525"/>
        <w:rPr>
          <w:color w:val="auto"/>
        </w:rPr>
      </w:pPr>
      <w:bookmarkStart w:id="24" w:name="_Toc2272556"/>
      <w:bookmarkStart w:id="25" w:name="_Toc22949"/>
      <w:r>
        <w:rPr>
          <w:rFonts w:hint="eastAsia"/>
          <w:color w:val="auto"/>
        </w:rPr>
        <w:t>二、开标、评标及定标办法</w:t>
      </w:r>
      <w:r>
        <w:rPr>
          <w:rFonts w:hint="eastAsia"/>
          <w:color w:val="auto"/>
          <w:szCs w:val="30"/>
        </w:rPr>
        <w:t>通用条款</w:t>
      </w:r>
      <w:bookmarkEnd w:id="24"/>
      <w:bookmarkEnd w:id="25"/>
    </w:p>
    <w:p>
      <w:pPr>
        <w:pStyle w:val="8"/>
        <w:spacing w:before="156" w:after="156"/>
        <w:ind w:firstLine="540" w:firstLineChars="200"/>
        <w:rPr>
          <w:color w:val="auto"/>
        </w:rPr>
      </w:pPr>
      <w:bookmarkStart w:id="26" w:name="_Toc22481"/>
      <w:bookmarkStart w:id="27" w:name="_Toc2272557"/>
      <w:r>
        <w:rPr>
          <w:rFonts w:hint="eastAsia"/>
          <w:color w:val="auto"/>
        </w:rPr>
        <w:t>（一）总则</w:t>
      </w:r>
      <w:bookmarkEnd w:id="26"/>
      <w:bookmarkEnd w:id="27"/>
    </w:p>
    <w:p>
      <w:pPr>
        <w:spacing w:line="360" w:lineRule="auto"/>
        <w:ind w:firstLine="480" w:firstLineChars="200"/>
        <w:rPr>
          <w:rFonts w:ascii="宋体" w:hAnsi="宋体"/>
          <w:b/>
          <w:color w:val="auto"/>
          <w:sz w:val="24"/>
          <w:szCs w:val="24"/>
        </w:rPr>
      </w:pPr>
      <w:r>
        <w:rPr>
          <w:rFonts w:ascii="宋体" w:hAnsi="宋体"/>
          <w:color w:val="auto"/>
          <w:sz w:val="24"/>
          <w:szCs w:val="24"/>
        </w:rPr>
        <w:t xml:space="preserve">35 </w:t>
      </w:r>
      <w:r>
        <w:rPr>
          <w:rFonts w:hint="eastAsia" w:ascii="宋体" w:hAnsi="宋体"/>
          <w:color w:val="auto"/>
          <w:sz w:val="24"/>
          <w:szCs w:val="24"/>
        </w:rPr>
        <w:t>开标、评标及定标所依据的规则</w:t>
      </w:r>
    </w:p>
    <w:p>
      <w:pPr>
        <w:spacing w:line="360" w:lineRule="auto"/>
        <w:ind w:firstLine="480" w:firstLineChars="200"/>
        <w:rPr>
          <w:rFonts w:ascii="宋体" w:hAnsi="宋体"/>
          <w:color w:val="auto"/>
          <w:sz w:val="24"/>
          <w:szCs w:val="24"/>
        </w:rPr>
      </w:pPr>
      <w:r>
        <w:rPr>
          <w:rFonts w:ascii="宋体" w:hAnsi="宋体"/>
          <w:color w:val="auto"/>
          <w:sz w:val="24"/>
          <w:szCs w:val="24"/>
        </w:rPr>
        <w:t>35.1</w:t>
      </w:r>
      <w:r>
        <w:rPr>
          <w:rFonts w:hint="eastAsia" w:ascii="宋体" w:hAnsi="宋体"/>
          <w:color w:val="auto"/>
          <w:sz w:val="24"/>
          <w:szCs w:val="24"/>
        </w:rPr>
        <w:t>《中华人民共和国招标投标法》；</w:t>
      </w:r>
    </w:p>
    <w:p>
      <w:pPr>
        <w:spacing w:line="360" w:lineRule="auto"/>
        <w:ind w:firstLine="480" w:firstLineChars="200"/>
        <w:rPr>
          <w:rFonts w:ascii="宋体" w:hAnsi="宋体"/>
          <w:color w:val="auto"/>
          <w:sz w:val="24"/>
          <w:szCs w:val="24"/>
        </w:rPr>
      </w:pPr>
      <w:r>
        <w:rPr>
          <w:rFonts w:ascii="宋体" w:hAnsi="宋体"/>
          <w:color w:val="auto"/>
          <w:sz w:val="24"/>
          <w:szCs w:val="24"/>
        </w:rPr>
        <w:t>35.2</w:t>
      </w:r>
      <w:r>
        <w:rPr>
          <w:rFonts w:hint="eastAsia" w:ascii="宋体" w:hAnsi="宋体"/>
          <w:color w:val="auto"/>
          <w:sz w:val="24"/>
          <w:szCs w:val="24"/>
        </w:rPr>
        <w:t>《中华人民共和国招标投标法实施条例》；</w:t>
      </w:r>
    </w:p>
    <w:p>
      <w:pPr>
        <w:spacing w:line="360" w:lineRule="auto"/>
        <w:ind w:firstLine="480" w:firstLineChars="200"/>
        <w:rPr>
          <w:rFonts w:ascii="宋体" w:hAnsi="宋体"/>
          <w:color w:val="auto"/>
          <w:sz w:val="24"/>
          <w:szCs w:val="24"/>
        </w:rPr>
      </w:pPr>
      <w:r>
        <w:rPr>
          <w:rFonts w:ascii="宋体" w:hAnsi="宋体"/>
          <w:color w:val="auto"/>
          <w:sz w:val="24"/>
          <w:szCs w:val="24"/>
        </w:rPr>
        <w:t>35.3</w:t>
      </w:r>
      <w:r>
        <w:rPr>
          <w:rFonts w:hint="eastAsia" w:ascii="宋体" w:hAnsi="宋体"/>
          <w:color w:val="auto"/>
          <w:sz w:val="24"/>
          <w:szCs w:val="24"/>
        </w:rPr>
        <w:t>《评标委员会和评标方法暂行规定》（七部委第</w:t>
      </w:r>
      <w:r>
        <w:rPr>
          <w:rFonts w:ascii="宋体" w:hAnsi="宋体"/>
          <w:color w:val="auto"/>
          <w:sz w:val="24"/>
          <w:szCs w:val="24"/>
        </w:rPr>
        <w:t>12</w:t>
      </w:r>
      <w:r>
        <w:rPr>
          <w:rFonts w:hint="eastAsia" w:ascii="宋体" w:hAnsi="宋体"/>
          <w:color w:val="auto"/>
          <w:sz w:val="24"/>
          <w:szCs w:val="24"/>
        </w:rPr>
        <w:t>号令）</w:t>
      </w:r>
    </w:p>
    <w:p>
      <w:pPr>
        <w:spacing w:line="360" w:lineRule="auto"/>
        <w:ind w:firstLine="480" w:firstLineChars="200"/>
        <w:rPr>
          <w:rFonts w:ascii="宋体" w:hAnsi="宋体"/>
          <w:color w:val="auto"/>
          <w:sz w:val="24"/>
          <w:szCs w:val="24"/>
        </w:rPr>
      </w:pPr>
      <w:r>
        <w:rPr>
          <w:rFonts w:ascii="宋体" w:hAnsi="宋体"/>
          <w:color w:val="auto"/>
          <w:sz w:val="24"/>
          <w:szCs w:val="24"/>
        </w:rPr>
        <w:t>35.4</w:t>
      </w:r>
      <w:r>
        <w:rPr>
          <w:rFonts w:hint="eastAsia" w:ascii="宋体" w:hAnsi="宋体"/>
          <w:color w:val="auto"/>
          <w:sz w:val="24"/>
          <w:szCs w:val="24"/>
        </w:rPr>
        <w:t>《工程建设项目施工招标投标办法》（七部委</w:t>
      </w:r>
      <w:r>
        <w:rPr>
          <w:rFonts w:ascii="宋体" w:hAnsi="宋体"/>
          <w:color w:val="auto"/>
          <w:sz w:val="24"/>
          <w:szCs w:val="24"/>
        </w:rPr>
        <w:t>2003</w:t>
      </w:r>
      <w:r>
        <w:rPr>
          <w:rFonts w:hint="eastAsia" w:ascii="宋体" w:hAnsi="宋体"/>
          <w:color w:val="auto"/>
          <w:sz w:val="24"/>
          <w:szCs w:val="24"/>
        </w:rPr>
        <w:t>年第</w:t>
      </w:r>
      <w:r>
        <w:rPr>
          <w:rFonts w:ascii="宋体" w:hAnsi="宋体"/>
          <w:color w:val="auto"/>
          <w:sz w:val="24"/>
          <w:szCs w:val="24"/>
        </w:rPr>
        <w:t>30</w:t>
      </w:r>
      <w:r>
        <w:rPr>
          <w:rFonts w:hint="eastAsia" w:ascii="宋体" w:hAnsi="宋体"/>
          <w:color w:val="auto"/>
          <w:sz w:val="24"/>
          <w:szCs w:val="24"/>
        </w:rPr>
        <w:t>号令）</w:t>
      </w:r>
    </w:p>
    <w:p>
      <w:pPr>
        <w:spacing w:line="360" w:lineRule="auto"/>
        <w:ind w:firstLine="480" w:firstLineChars="200"/>
        <w:rPr>
          <w:rFonts w:ascii="宋体" w:hAnsi="宋体"/>
          <w:color w:val="auto"/>
          <w:sz w:val="24"/>
          <w:szCs w:val="24"/>
        </w:rPr>
      </w:pPr>
      <w:r>
        <w:rPr>
          <w:rFonts w:ascii="宋体" w:hAnsi="宋体"/>
          <w:color w:val="auto"/>
          <w:sz w:val="24"/>
          <w:szCs w:val="24"/>
        </w:rPr>
        <w:t>35.5</w:t>
      </w:r>
      <w:r>
        <w:rPr>
          <w:rFonts w:hint="eastAsia" w:ascii="宋体" w:hAnsi="宋体"/>
          <w:color w:val="auto"/>
          <w:sz w:val="24"/>
          <w:szCs w:val="24"/>
        </w:rPr>
        <w:t>《广东省实施〈中华人民共和国招标投标法〉办法》；</w:t>
      </w:r>
    </w:p>
    <w:p>
      <w:pPr>
        <w:spacing w:line="360" w:lineRule="auto"/>
        <w:ind w:firstLine="480" w:firstLineChars="200"/>
        <w:rPr>
          <w:rFonts w:ascii="宋体" w:hAnsi="宋体"/>
          <w:color w:val="auto"/>
          <w:sz w:val="24"/>
          <w:szCs w:val="24"/>
        </w:rPr>
      </w:pPr>
      <w:r>
        <w:rPr>
          <w:rFonts w:ascii="宋体" w:hAnsi="宋体"/>
          <w:color w:val="auto"/>
          <w:sz w:val="24"/>
          <w:szCs w:val="24"/>
        </w:rPr>
        <w:t>35.6</w:t>
      </w:r>
      <w:r>
        <w:rPr>
          <w:rFonts w:hint="eastAsia" w:ascii="宋体" w:hAnsi="宋体"/>
          <w:color w:val="auto"/>
          <w:sz w:val="24"/>
          <w:szCs w:val="24"/>
        </w:rPr>
        <w:t>《房屋建筑和市政基础设施工程施工招标投标管理办法》（建设部令第</w:t>
      </w:r>
      <w:r>
        <w:rPr>
          <w:rFonts w:ascii="宋体" w:hAnsi="宋体"/>
          <w:color w:val="auto"/>
          <w:sz w:val="24"/>
          <w:szCs w:val="24"/>
        </w:rPr>
        <w:t>89</w:t>
      </w:r>
      <w:r>
        <w:rPr>
          <w:rFonts w:hint="eastAsia" w:ascii="宋体" w:hAnsi="宋体"/>
          <w:color w:val="auto"/>
          <w:sz w:val="24"/>
          <w:szCs w:val="24"/>
        </w:rPr>
        <w:t>号）</w:t>
      </w:r>
    </w:p>
    <w:p>
      <w:pPr>
        <w:spacing w:line="360" w:lineRule="auto"/>
        <w:ind w:firstLine="480" w:firstLineChars="200"/>
        <w:rPr>
          <w:rFonts w:ascii="宋体" w:hAnsi="宋体"/>
          <w:color w:val="auto"/>
          <w:sz w:val="24"/>
          <w:szCs w:val="24"/>
        </w:rPr>
      </w:pPr>
      <w:r>
        <w:rPr>
          <w:rFonts w:ascii="宋体" w:hAnsi="宋体"/>
          <w:color w:val="auto"/>
          <w:sz w:val="24"/>
          <w:szCs w:val="24"/>
        </w:rPr>
        <w:t>35.7</w:t>
      </w:r>
      <w:r>
        <w:rPr>
          <w:rFonts w:hint="eastAsia" w:ascii="宋体" w:hAnsi="宋体"/>
          <w:color w:val="auto"/>
          <w:sz w:val="24"/>
          <w:szCs w:val="24"/>
        </w:rPr>
        <w:t>《广东省加强建设工程招标投标监督管理的若干规定》（粤发[2004]4号）；</w:t>
      </w:r>
    </w:p>
    <w:p>
      <w:pPr>
        <w:spacing w:line="360" w:lineRule="auto"/>
        <w:ind w:firstLine="480" w:firstLineChars="200"/>
        <w:rPr>
          <w:rFonts w:ascii="宋体" w:hAnsi="宋体"/>
          <w:color w:val="auto"/>
          <w:sz w:val="24"/>
          <w:szCs w:val="24"/>
        </w:rPr>
      </w:pPr>
      <w:r>
        <w:rPr>
          <w:rFonts w:ascii="宋体" w:hAnsi="宋体"/>
          <w:color w:val="auto"/>
          <w:sz w:val="24"/>
          <w:szCs w:val="24"/>
        </w:rPr>
        <w:t>35.</w:t>
      </w:r>
      <w:r>
        <w:rPr>
          <w:rFonts w:hint="eastAsia" w:ascii="宋体" w:hAnsi="宋体"/>
          <w:color w:val="auto"/>
          <w:sz w:val="24"/>
          <w:szCs w:val="24"/>
        </w:rPr>
        <w:t>8《广州市工程建设项目招标投标管理办法》（穗建规字〔2023〕12号）。</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35.9本项目招标文件。</w:t>
      </w:r>
    </w:p>
    <w:p>
      <w:pPr>
        <w:spacing w:line="360" w:lineRule="auto"/>
        <w:ind w:firstLine="480" w:firstLineChars="200"/>
        <w:rPr>
          <w:rFonts w:ascii="宋体" w:hAnsi="宋体"/>
          <w:color w:val="auto"/>
          <w:sz w:val="24"/>
          <w:szCs w:val="24"/>
        </w:rPr>
      </w:pPr>
      <w:r>
        <w:rPr>
          <w:rFonts w:ascii="宋体" w:hAnsi="宋体"/>
          <w:color w:val="auto"/>
          <w:sz w:val="24"/>
          <w:szCs w:val="24"/>
        </w:rPr>
        <w:t>36</w:t>
      </w:r>
      <w:r>
        <w:rPr>
          <w:rFonts w:hint="eastAsia" w:ascii="宋体" w:hAnsi="宋体"/>
          <w:color w:val="auto"/>
          <w:sz w:val="24"/>
          <w:szCs w:val="24"/>
        </w:rPr>
        <w:t>．开标</w:t>
      </w:r>
    </w:p>
    <w:p>
      <w:pPr>
        <w:spacing w:line="360" w:lineRule="auto"/>
        <w:ind w:firstLine="480" w:firstLineChars="200"/>
        <w:rPr>
          <w:rFonts w:ascii="宋体" w:hAnsi="宋体"/>
          <w:color w:val="auto"/>
          <w:sz w:val="24"/>
          <w:szCs w:val="24"/>
          <w:u w:val="single"/>
        </w:rPr>
      </w:pPr>
      <w:r>
        <w:rPr>
          <w:rFonts w:ascii="宋体" w:hAnsi="宋体"/>
          <w:color w:val="auto"/>
          <w:sz w:val="24"/>
          <w:szCs w:val="24"/>
          <w:u w:val="single"/>
        </w:rPr>
        <w:t>36.</w:t>
      </w:r>
      <w:r>
        <w:rPr>
          <w:rFonts w:hint="eastAsia" w:ascii="宋体" w:hAnsi="宋体"/>
          <w:color w:val="auto"/>
          <w:sz w:val="24"/>
          <w:szCs w:val="24"/>
          <w:u w:val="single"/>
        </w:rPr>
        <w:t>1招标人按投标须知前附表第18项所规定的时间和地点公开开标，并邀请所有投标人参加。截标后，开标开始时间因故推迟的，相关评标信息仍以原定的开标开始时间的信息为准。若投标人不参加开标会的，其投标文件在开标现场的投标人或招标人代表、招标代理机构代表及交易中心代表见证下公开开启、解密、公布，并视同该投标人认可开标结果。</w:t>
      </w:r>
    </w:p>
    <w:p>
      <w:pPr>
        <w:spacing w:line="360" w:lineRule="auto"/>
        <w:ind w:firstLine="480" w:firstLineChars="200"/>
        <w:rPr>
          <w:rFonts w:ascii="宋体" w:hAnsi="宋体"/>
          <w:color w:val="auto"/>
          <w:sz w:val="24"/>
          <w:szCs w:val="24"/>
        </w:rPr>
      </w:pPr>
      <w:r>
        <w:rPr>
          <w:rFonts w:ascii="宋体" w:hAnsi="宋体"/>
          <w:color w:val="auto"/>
          <w:sz w:val="24"/>
          <w:szCs w:val="24"/>
        </w:rPr>
        <w:t>36.2</w:t>
      </w:r>
      <w:r>
        <w:rPr>
          <w:rFonts w:hint="eastAsia" w:ascii="宋体" w:hAnsi="宋体"/>
          <w:color w:val="auto"/>
          <w:sz w:val="24"/>
          <w:szCs w:val="24"/>
        </w:rPr>
        <w:t xml:space="preserve"> 招标人在招标文件要求提交投标文件的截止时间前收到的投标文件，开标时都当众予以解密、公布。</w:t>
      </w:r>
    </w:p>
    <w:p>
      <w:pPr>
        <w:spacing w:line="360" w:lineRule="auto"/>
        <w:ind w:firstLine="480" w:firstLineChars="200"/>
        <w:rPr>
          <w:rFonts w:ascii="宋体" w:hAnsi="宋体"/>
          <w:strike/>
          <w:color w:val="auto"/>
          <w:sz w:val="24"/>
          <w:szCs w:val="24"/>
        </w:rPr>
      </w:pPr>
      <w:r>
        <w:rPr>
          <w:rFonts w:hint="eastAsia" w:ascii="宋体" w:hAnsi="宋体"/>
          <w:strike/>
          <w:color w:val="auto"/>
          <w:sz w:val="24"/>
          <w:szCs w:val="24"/>
        </w:rPr>
        <w:t>36.3根据投标须知前附表第19项，如需抽取某一种评标办法供评标时使用的，应在开标前抽取。首先对招标文件中约定的若干种评标方法进行编号，再随机抽取某一编号，该编号所对应的评标办法供评标时使用。</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36.4若递交投标文件的投标人不足3家，则重新组织招标。（当</w:t>
      </w:r>
      <w:r>
        <w:rPr>
          <w:rFonts w:ascii="宋体" w:hAnsi="宋体"/>
          <w:color w:val="auto"/>
          <w:sz w:val="24"/>
          <w:szCs w:val="24"/>
        </w:rPr>
        <w:t>N</w:t>
      </w:r>
      <w:r>
        <w:rPr>
          <w:rFonts w:hint="eastAsia" w:ascii="宋体" w:hAnsi="宋体"/>
          <w:color w:val="auto"/>
          <w:sz w:val="24"/>
          <w:szCs w:val="24"/>
        </w:rPr>
        <w:t>个标段同时招标且不允许兼中时，若有效投标人不足</w:t>
      </w:r>
      <w:r>
        <w:rPr>
          <w:rFonts w:ascii="宋体" w:hAnsi="宋体"/>
          <w:color w:val="auto"/>
          <w:sz w:val="24"/>
          <w:szCs w:val="24"/>
        </w:rPr>
        <w:t>N+</w:t>
      </w:r>
      <w:r>
        <w:rPr>
          <w:rFonts w:hint="eastAsia" w:ascii="宋体" w:hAnsi="宋体"/>
          <w:color w:val="auto"/>
          <w:sz w:val="24"/>
          <w:szCs w:val="24"/>
        </w:rPr>
        <w:t>2家，则重新组织招标）</w:t>
      </w:r>
    </w:p>
    <w:p>
      <w:pPr>
        <w:spacing w:line="360" w:lineRule="auto"/>
        <w:ind w:firstLine="480" w:firstLineChars="200"/>
        <w:rPr>
          <w:rFonts w:ascii="宋体" w:hAnsi="宋体"/>
          <w:color w:val="auto"/>
          <w:sz w:val="24"/>
        </w:rPr>
      </w:pPr>
      <w:r>
        <w:rPr>
          <w:rFonts w:hint="eastAsia" w:ascii="宋体" w:hAnsi="宋体"/>
          <w:color w:val="auto"/>
          <w:sz w:val="24"/>
        </w:rPr>
        <w:t>36.5按下列程序进行开标：</w:t>
      </w:r>
    </w:p>
    <w:p>
      <w:pPr>
        <w:spacing w:line="360" w:lineRule="auto"/>
        <w:ind w:firstLine="480" w:firstLineChars="200"/>
        <w:rPr>
          <w:rFonts w:ascii="宋体" w:hAnsi="宋体"/>
          <w:color w:val="auto"/>
          <w:sz w:val="24"/>
          <w:u w:val="single"/>
        </w:rPr>
      </w:pPr>
      <w:r>
        <w:rPr>
          <w:rFonts w:hint="eastAsia" w:ascii="宋体" w:hAnsi="宋体"/>
          <w:color w:val="auto"/>
          <w:sz w:val="24"/>
          <w:u w:val="single"/>
        </w:rPr>
        <w:t>36.5.1在投标截止时间后半小时内，投标人通过交易平台对已递交的电子投标文件进行解密。投标人完成解密后，再由招标人或招标代理机构进行解密。解密完成后，公布招标项目名称、投标人名称、投标报价、工期及其他内容；</w:t>
      </w:r>
    </w:p>
    <w:p>
      <w:pPr>
        <w:spacing w:line="360" w:lineRule="auto"/>
        <w:ind w:firstLine="480" w:firstLineChars="200"/>
        <w:rPr>
          <w:rFonts w:ascii="宋体" w:hAnsi="宋体"/>
          <w:color w:val="auto"/>
          <w:sz w:val="24"/>
        </w:rPr>
      </w:pPr>
      <w:r>
        <w:rPr>
          <w:rFonts w:hint="eastAsia" w:ascii="宋体" w:hAnsi="宋体"/>
          <w:color w:val="auto"/>
          <w:sz w:val="24"/>
        </w:rPr>
        <w:t>36.5.2备用光盘的读取按投标须知前附表第36项的规定执行；</w:t>
      </w:r>
    </w:p>
    <w:p>
      <w:pPr>
        <w:spacing w:line="360" w:lineRule="auto"/>
        <w:ind w:firstLine="480" w:firstLineChars="200"/>
        <w:rPr>
          <w:rFonts w:ascii="宋体" w:hAnsi="宋体"/>
          <w:color w:val="auto"/>
          <w:sz w:val="24"/>
        </w:rPr>
      </w:pPr>
      <w:r>
        <w:rPr>
          <w:rFonts w:hint="eastAsia" w:ascii="宋体" w:hAnsi="宋体"/>
          <w:color w:val="auto"/>
          <w:sz w:val="24"/>
        </w:rPr>
        <w:t>36.5.3投标人代表、招标人代表、监标人、记录人等有关人员在开标记录上签字确认；若有关人员不签字的，不影响开标程序；</w:t>
      </w:r>
    </w:p>
    <w:p>
      <w:pPr>
        <w:spacing w:line="360" w:lineRule="auto"/>
        <w:ind w:firstLine="480" w:firstLineChars="200"/>
        <w:rPr>
          <w:rFonts w:ascii="宋体" w:hAnsi="宋体"/>
          <w:color w:val="auto"/>
          <w:sz w:val="24"/>
        </w:rPr>
      </w:pPr>
      <w:r>
        <w:rPr>
          <w:rFonts w:hint="eastAsia" w:ascii="宋体" w:hAnsi="宋体"/>
          <w:color w:val="auto"/>
          <w:sz w:val="24"/>
        </w:rPr>
        <w:t>36.5.4开标结束。</w:t>
      </w:r>
    </w:p>
    <w:p>
      <w:pPr>
        <w:spacing w:line="360" w:lineRule="auto"/>
        <w:ind w:firstLine="480" w:firstLineChars="200"/>
        <w:rPr>
          <w:rFonts w:ascii="宋体" w:hAnsi="宋体"/>
          <w:color w:val="auto"/>
          <w:sz w:val="24"/>
        </w:rPr>
      </w:pPr>
      <w:r>
        <w:rPr>
          <w:rFonts w:hint="eastAsia" w:ascii="宋体" w:hAnsi="宋体"/>
          <w:color w:val="auto"/>
          <w:sz w:val="24"/>
        </w:rPr>
        <w:t>36.6投标截止时间前未完成投标文件传输的或因投标人之外的原因造成投标文件未解密且未按要求递交备用光盘的，视为投标人撤回投标文件。因投标人原因造成投标文件未解密或未在规定的时间内解密的，视为撤销其投标文件。</w:t>
      </w:r>
    </w:p>
    <w:p>
      <w:pPr>
        <w:spacing w:line="360" w:lineRule="auto"/>
        <w:ind w:firstLine="480" w:firstLineChars="200"/>
        <w:rPr>
          <w:rFonts w:ascii="宋体" w:hAnsi="宋体"/>
          <w:color w:val="auto"/>
          <w:sz w:val="24"/>
        </w:rPr>
      </w:pPr>
      <w:r>
        <w:rPr>
          <w:rFonts w:hint="eastAsia" w:ascii="宋体" w:hAnsi="宋体"/>
          <w:color w:val="auto"/>
          <w:sz w:val="24"/>
        </w:rPr>
        <w:t>36.7开标时，两个（含两个）以上的投标人加密打包投标文件电脑机器特征码一致的，不参与下一程序，并由评标委员会否决其投标。</w:t>
      </w:r>
    </w:p>
    <w:p>
      <w:pPr>
        <w:spacing w:line="360" w:lineRule="auto"/>
        <w:ind w:firstLine="480" w:firstLineChars="200"/>
        <w:rPr>
          <w:rFonts w:ascii="宋体" w:hAnsi="宋体"/>
          <w:color w:val="auto"/>
          <w:sz w:val="24"/>
          <w:szCs w:val="24"/>
        </w:rPr>
      </w:pPr>
      <w:r>
        <w:rPr>
          <w:rFonts w:ascii="宋体" w:hAnsi="宋体"/>
          <w:color w:val="auto"/>
          <w:sz w:val="24"/>
          <w:szCs w:val="24"/>
        </w:rPr>
        <w:t>37</w:t>
      </w:r>
      <w:r>
        <w:rPr>
          <w:rFonts w:hint="eastAsia" w:ascii="宋体" w:hAnsi="宋体"/>
          <w:color w:val="auto"/>
          <w:sz w:val="24"/>
          <w:szCs w:val="24"/>
        </w:rPr>
        <w:t>．评标</w:t>
      </w:r>
    </w:p>
    <w:p>
      <w:pPr>
        <w:spacing w:line="360" w:lineRule="auto"/>
        <w:ind w:firstLine="480" w:firstLineChars="200"/>
        <w:rPr>
          <w:rFonts w:ascii="宋体" w:hAnsi="宋体"/>
          <w:color w:val="auto"/>
          <w:sz w:val="24"/>
          <w:szCs w:val="24"/>
        </w:rPr>
      </w:pPr>
      <w:r>
        <w:rPr>
          <w:rFonts w:ascii="宋体" w:hAnsi="宋体"/>
          <w:color w:val="auto"/>
          <w:sz w:val="24"/>
          <w:szCs w:val="24"/>
        </w:rPr>
        <w:t>37.1</w:t>
      </w:r>
      <w:r>
        <w:rPr>
          <w:rFonts w:hint="eastAsia" w:ascii="宋体" w:hAnsi="宋体"/>
          <w:color w:val="auto"/>
          <w:sz w:val="24"/>
          <w:szCs w:val="24"/>
        </w:rPr>
        <w:t>评标委员会由招标人依法组建。</w:t>
      </w:r>
    </w:p>
    <w:p>
      <w:pPr>
        <w:spacing w:line="360" w:lineRule="auto"/>
        <w:ind w:firstLine="480" w:firstLineChars="200"/>
        <w:rPr>
          <w:rFonts w:ascii="宋体" w:hAnsi="宋体"/>
          <w:color w:val="auto"/>
          <w:sz w:val="24"/>
          <w:szCs w:val="24"/>
        </w:rPr>
      </w:pPr>
      <w:r>
        <w:rPr>
          <w:rFonts w:ascii="宋体" w:hAnsi="宋体"/>
          <w:color w:val="auto"/>
          <w:sz w:val="24"/>
          <w:szCs w:val="24"/>
        </w:rPr>
        <w:t>37.2</w:t>
      </w:r>
      <w:r>
        <w:rPr>
          <w:rFonts w:hint="eastAsia" w:ascii="宋体" w:hAnsi="宋体"/>
          <w:color w:val="auto"/>
          <w:sz w:val="24"/>
          <w:szCs w:val="24"/>
        </w:rPr>
        <w:t>评标委员会的职责及守则：</w:t>
      </w:r>
    </w:p>
    <w:p>
      <w:pPr>
        <w:spacing w:line="360" w:lineRule="auto"/>
        <w:ind w:firstLine="480" w:firstLineChars="200"/>
        <w:rPr>
          <w:rFonts w:ascii="宋体" w:hAnsi="宋体"/>
          <w:color w:val="auto"/>
          <w:sz w:val="24"/>
          <w:szCs w:val="24"/>
        </w:rPr>
      </w:pPr>
      <w:r>
        <w:rPr>
          <w:rFonts w:ascii="宋体" w:hAnsi="宋体"/>
          <w:color w:val="auto"/>
          <w:sz w:val="24"/>
          <w:szCs w:val="24"/>
        </w:rPr>
        <w:t>37.2.1</w:t>
      </w:r>
      <w:r>
        <w:rPr>
          <w:rFonts w:hint="eastAsia" w:ascii="宋体" w:hAnsi="宋体"/>
          <w:color w:val="auto"/>
          <w:sz w:val="24"/>
          <w:szCs w:val="24"/>
        </w:rPr>
        <w:t>根据评标细则，对</w:t>
      </w:r>
      <w:r>
        <w:rPr>
          <w:rFonts w:hint="eastAsia" w:ascii="宋体" w:hAnsi="宋体"/>
          <w:color w:val="auto"/>
          <w:sz w:val="24"/>
        </w:rPr>
        <w:t>投标文件</w:t>
      </w:r>
      <w:r>
        <w:rPr>
          <w:rFonts w:hint="eastAsia" w:ascii="宋体" w:hAnsi="宋体"/>
          <w:color w:val="auto"/>
          <w:sz w:val="24"/>
          <w:szCs w:val="24"/>
        </w:rPr>
        <w:t>进行认真评审，完成评审报告；</w:t>
      </w:r>
    </w:p>
    <w:p>
      <w:pPr>
        <w:spacing w:line="360" w:lineRule="auto"/>
        <w:ind w:firstLine="480" w:firstLineChars="200"/>
        <w:rPr>
          <w:rFonts w:ascii="宋体" w:hAnsi="宋体"/>
          <w:color w:val="auto"/>
          <w:sz w:val="24"/>
          <w:szCs w:val="24"/>
        </w:rPr>
      </w:pPr>
      <w:r>
        <w:rPr>
          <w:rFonts w:ascii="宋体" w:hAnsi="宋体"/>
          <w:color w:val="auto"/>
          <w:sz w:val="24"/>
          <w:szCs w:val="24"/>
        </w:rPr>
        <w:t>37.2.2</w:t>
      </w:r>
      <w:r>
        <w:rPr>
          <w:rFonts w:hint="eastAsia" w:ascii="宋体" w:hAnsi="宋体"/>
          <w:color w:val="auto"/>
          <w:sz w:val="24"/>
          <w:szCs w:val="24"/>
        </w:rPr>
        <w:t>向招标人报告评审意见，推荐合格的中标候选人。</w:t>
      </w:r>
    </w:p>
    <w:p>
      <w:pPr>
        <w:spacing w:line="360" w:lineRule="auto"/>
        <w:ind w:firstLine="480" w:firstLineChars="200"/>
        <w:rPr>
          <w:rFonts w:ascii="宋体" w:hAnsi="宋体"/>
          <w:color w:val="auto"/>
          <w:sz w:val="24"/>
          <w:szCs w:val="24"/>
        </w:rPr>
      </w:pPr>
      <w:r>
        <w:rPr>
          <w:rFonts w:ascii="宋体" w:hAnsi="宋体"/>
          <w:bCs/>
          <w:color w:val="auto"/>
          <w:sz w:val="24"/>
          <w:szCs w:val="24"/>
        </w:rPr>
        <w:t>37.2.3</w:t>
      </w:r>
      <w:r>
        <w:rPr>
          <w:rFonts w:ascii="宋体" w:hAnsi="宋体"/>
          <w:b/>
          <w:bCs/>
          <w:color w:val="auto"/>
          <w:sz w:val="24"/>
          <w:szCs w:val="24"/>
        </w:rPr>
        <w:t xml:space="preserve"> </w:t>
      </w:r>
      <w:r>
        <w:rPr>
          <w:rFonts w:hint="eastAsia" w:ascii="宋体" w:hAnsi="宋体"/>
          <w:color w:val="auto"/>
          <w:sz w:val="24"/>
          <w:szCs w:val="24"/>
        </w:rPr>
        <w:t>所有参加评标人员必须遵守国家、地方政府制定的有关工程招标投标的法则、规定，遵守有关工程招标投标的保密制度；如有违反者，给予行政处分；情节严重，构成犯罪的，由司法机关依法追究其刑事责任。</w:t>
      </w:r>
    </w:p>
    <w:p>
      <w:pPr>
        <w:spacing w:line="360" w:lineRule="auto"/>
        <w:ind w:firstLine="480" w:firstLineChars="200"/>
        <w:rPr>
          <w:rFonts w:ascii="宋体" w:hAnsi="宋体"/>
          <w:color w:val="auto"/>
          <w:sz w:val="24"/>
          <w:szCs w:val="24"/>
        </w:rPr>
      </w:pPr>
      <w:r>
        <w:rPr>
          <w:rFonts w:ascii="宋体" w:hAnsi="宋体"/>
          <w:color w:val="auto"/>
          <w:sz w:val="24"/>
          <w:szCs w:val="24"/>
        </w:rPr>
        <w:t>37.2.4</w:t>
      </w:r>
      <w:r>
        <w:rPr>
          <w:rFonts w:hint="eastAsia" w:ascii="宋体" w:hAnsi="宋体"/>
          <w:color w:val="auto"/>
          <w:sz w:val="24"/>
          <w:szCs w:val="24"/>
        </w:rPr>
        <w:t>全体参与评标人员：</w:t>
      </w:r>
    </w:p>
    <w:p>
      <w:pPr>
        <w:spacing w:line="360" w:lineRule="auto"/>
        <w:ind w:firstLine="480" w:firstLineChars="200"/>
        <w:rPr>
          <w:rFonts w:ascii="宋体" w:hAnsi="宋体"/>
          <w:color w:val="auto"/>
          <w:sz w:val="24"/>
          <w:szCs w:val="24"/>
        </w:rPr>
      </w:pPr>
      <w:r>
        <w:rPr>
          <w:rFonts w:ascii="宋体" w:hAnsi="宋体"/>
          <w:color w:val="auto"/>
          <w:sz w:val="24"/>
          <w:szCs w:val="24"/>
        </w:rPr>
        <w:t xml:space="preserve">37.2.4.1 </w:t>
      </w:r>
      <w:r>
        <w:rPr>
          <w:rFonts w:hint="eastAsia" w:ascii="宋体" w:hAnsi="宋体"/>
          <w:color w:val="auto"/>
          <w:sz w:val="24"/>
          <w:szCs w:val="24"/>
        </w:rPr>
        <w:t>必须遵守评标纪律、不得泄密；</w:t>
      </w:r>
    </w:p>
    <w:p>
      <w:pPr>
        <w:spacing w:line="360" w:lineRule="auto"/>
        <w:ind w:firstLine="480" w:firstLineChars="200"/>
        <w:rPr>
          <w:rFonts w:ascii="宋体" w:hAnsi="宋体"/>
          <w:color w:val="auto"/>
          <w:sz w:val="24"/>
          <w:szCs w:val="24"/>
        </w:rPr>
      </w:pPr>
      <w:r>
        <w:rPr>
          <w:rFonts w:ascii="宋体" w:hAnsi="宋体"/>
          <w:color w:val="auto"/>
          <w:sz w:val="24"/>
          <w:szCs w:val="24"/>
        </w:rPr>
        <w:t xml:space="preserve">37.2.4.2 </w:t>
      </w:r>
      <w:r>
        <w:rPr>
          <w:rFonts w:hint="eastAsia" w:ascii="宋体" w:hAnsi="宋体"/>
          <w:color w:val="auto"/>
          <w:sz w:val="24"/>
          <w:szCs w:val="24"/>
        </w:rPr>
        <w:t>必须公正、不得循私；</w:t>
      </w:r>
    </w:p>
    <w:p>
      <w:pPr>
        <w:spacing w:line="360" w:lineRule="auto"/>
        <w:ind w:firstLine="480" w:firstLineChars="200"/>
        <w:rPr>
          <w:rFonts w:ascii="宋体" w:hAnsi="宋体"/>
          <w:color w:val="auto"/>
          <w:sz w:val="24"/>
          <w:szCs w:val="24"/>
        </w:rPr>
      </w:pPr>
      <w:r>
        <w:rPr>
          <w:rFonts w:ascii="宋体" w:hAnsi="宋体"/>
          <w:color w:val="auto"/>
          <w:sz w:val="24"/>
          <w:szCs w:val="24"/>
        </w:rPr>
        <w:t xml:space="preserve">37.2.4.3 </w:t>
      </w:r>
      <w:r>
        <w:rPr>
          <w:rFonts w:hint="eastAsia" w:ascii="宋体" w:hAnsi="宋体"/>
          <w:color w:val="auto"/>
          <w:sz w:val="24"/>
          <w:szCs w:val="24"/>
        </w:rPr>
        <w:t>必须科学、不得草率；</w:t>
      </w:r>
    </w:p>
    <w:p>
      <w:pPr>
        <w:spacing w:line="360" w:lineRule="auto"/>
        <w:ind w:firstLine="480" w:firstLineChars="200"/>
        <w:rPr>
          <w:rFonts w:ascii="宋体" w:hAnsi="宋体"/>
          <w:color w:val="auto"/>
          <w:sz w:val="24"/>
          <w:szCs w:val="24"/>
        </w:rPr>
      </w:pPr>
      <w:r>
        <w:rPr>
          <w:rFonts w:ascii="宋体" w:hAnsi="宋体"/>
          <w:color w:val="auto"/>
          <w:sz w:val="24"/>
          <w:szCs w:val="24"/>
        </w:rPr>
        <w:t xml:space="preserve">37.2.4.4 </w:t>
      </w:r>
      <w:r>
        <w:rPr>
          <w:rFonts w:hint="eastAsia" w:ascii="宋体" w:hAnsi="宋体"/>
          <w:color w:val="auto"/>
          <w:sz w:val="24"/>
          <w:szCs w:val="24"/>
        </w:rPr>
        <w:t>必须客观、不得带有成见；</w:t>
      </w:r>
    </w:p>
    <w:p>
      <w:pPr>
        <w:spacing w:line="360" w:lineRule="auto"/>
        <w:ind w:firstLine="480" w:firstLineChars="200"/>
        <w:rPr>
          <w:rFonts w:ascii="宋体" w:hAnsi="宋体"/>
          <w:color w:val="auto"/>
          <w:sz w:val="24"/>
          <w:szCs w:val="24"/>
        </w:rPr>
      </w:pPr>
      <w:r>
        <w:rPr>
          <w:rFonts w:ascii="宋体" w:hAnsi="宋体"/>
          <w:color w:val="auto"/>
          <w:sz w:val="24"/>
          <w:szCs w:val="24"/>
        </w:rPr>
        <w:t xml:space="preserve">37.2.4.5 </w:t>
      </w:r>
      <w:r>
        <w:rPr>
          <w:rFonts w:hint="eastAsia" w:ascii="宋体" w:hAnsi="宋体"/>
          <w:color w:val="auto"/>
          <w:sz w:val="24"/>
          <w:szCs w:val="24"/>
        </w:rPr>
        <w:t>必须平等、不得强加于人；</w:t>
      </w:r>
    </w:p>
    <w:p>
      <w:pPr>
        <w:spacing w:line="360" w:lineRule="auto"/>
        <w:ind w:firstLine="480" w:firstLineChars="200"/>
        <w:rPr>
          <w:rFonts w:ascii="宋体" w:hAnsi="宋体"/>
          <w:color w:val="auto"/>
          <w:sz w:val="24"/>
          <w:szCs w:val="24"/>
        </w:rPr>
      </w:pPr>
      <w:r>
        <w:rPr>
          <w:rFonts w:ascii="宋体" w:hAnsi="宋体"/>
          <w:color w:val="auto"/>
          <w:sz w:val="24"/>
          <w:szCs w:val="24"/>
        </w:rPr>
        <w:t xml:space="preserve">37.2.4.6 </w:t>
      </w:r>
      <w:r>
        <w:rPr>
          <w:rFonts w:hint="eastAsia" w:ascii="宋体" w:hAnsi="宋体"/>
          <w:color w:val="auto"/>
          <w:sz w:val="24"/>
          <w:szCs w:val="24"/>
        </w:rPr>
        <w:t>必须严谨、不得随意马虎。</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37.3 评标工作开始前，招标人应当向评标委员会提供评标所需的信息，包括招标项目的范围、性质、特殊性、需求目标和实施要点，以及招标文件规定的评标方法、评标因素及标准等，但不得明示或者暗示其倾向或者排斥特定投标人。</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37.4评标结束后，评标委员会递交评标报告并依法推荐中标候选人。</w:t>
      </w:r>
      <w:r>
        <w:rPr>
          <w:rFonts w:ascii="宋体" w:hAnsi="宋体"/>
          <w:color w:val="auto"/>
          <w:sz w:val="24"/>
          <w:szCs w:val="24"/>
        </w:rPr>
        <w:t xml:space="preserve"> </w:t>
      </w:r>
    </w:p>
    <w:p>
      <w:pPr>
        <w:spacing w:line="360" w:lineRule="auto"/>
        <w:ind w:firstLine="480" w:firstLineChars="200"/>
        <w:rPr>
          <w:rFonts w:ascii="宋体" w:hAnsi="宋体"/>
          <w:color w:val="auto"/>
          <w:sz w:val="24"/>
          <w:szCs w:val="24"/>
        </w:rPr>
      </w:pPr>
      <w:r>
        <w:rPr>
          <w:rFonts w:ascii="宋体" w:hAnsi="宋体"/>
          <w:color w:val="auto"/>
          <w:sz w:val="24"/>
          <w:szCs w:val="24"/>
        </w:rPr>
        <w:t>38</w:t>
      </w:r>
      <w:r>
        <w:rPr>
          <w:rFonts w:hint="eastAsia" w:ascii="宋体" w:hAnsi="宋体"/>
          <w:color w:val="auto"/>
          <w:sz w:val="24"/>
          <w:szCs w:val="24"/>
        </w:rPr>
        <w:t>．投标文件的澄清</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38.1为有助于投标文件的审查、评价和比较，评标期间，经</w:t>
      </w:r>
      <w:r>
        <w:rPr>
          <w:rFonts w:hint="eastAsia" w:ascii="宋体" w:hAnsi="宋体" w:cs="宋体"/>
          <w:color w:val="auto"/>
          <w:sz w:val="24"/>
          <w:szCs w:val="24"/>
          <w:u w:val="single"/>
        </w:rPr>
        <w:t>综合评标委员会</w:t>
      </w:r>
      <w:r>
        <w:rPr>
          <w:rFonts w:hint="eastAsia" w:ascii="宋体" w:hAnsi="宋体" w:cs="宋体"/>
          <w:color w:val="auto"/>
          <w:sz w:val="24"/>
          <w:szCs w:val="24"/>
        </w:rPr>
        <w:t>中两人以上（含两人）的成员以书面形式提出动议，</w:t>
      </w:r>
      <w:r>
        <w:rPr>
          <w:rFonts w:hint="eastAsia" w:ascii="宋体" w:hAnsi="宋体" w:cs="宋体"/>
          <w:color w:val="auto"/>
          <w:sz w:val="24"/>
          <w:szCs w:val="24"/>
          <w:u w:val="single"/>
        </w:rPr>
        <w:t>综合评标委员会</w:t>
      </w:r>
      <w:r>
        <w:rPr>
          <w:rFonts w:hint="eastAsia" w:ascii="宋体" w:hAnsi="宋体" w:cs="宋体"/>
          <w:color w:val="auto"/>
          <w:sz w:val="24"/>
          <w:szCs w:val="24"/>
        </w:rPr>
        <w:t>应当书面发出澄清通知，要求投标人</w:t>
      </w:r>
      <w:r>
        <w:rPr>
          <w:rFonts w:hint="eastAsia" w:ascii="宋体" w:hAnsi="宋体" w:cs="宋体"/>
          <w:color w:val="auto"/>
          <w:sz w:val="24"/>
          <w:szCs w:val="24"/>
          <w:u w:val="single"/>
        </w:rPr>
        <w:t>对投标文件含义不明确、对同类问题表述不一致、有明显文字和计算错误的内容以及细微偏差的内容</w:t>
      </w:r>
      <w:r>
        <w:rPr>
          <w:rFonts w:hint="eastAsia" w:ascii="宋体" w:hAnsi="宋体" w:cs="宋体"/>
          <w:color w:val="auto"/>
          <w:sz w:val="24"/>
          <w:szCs w:val="24"/>
        </w:rPr>
        <w:t>作出澄清。</w:t>
      </w:r>
    </w:p>
    <w:p>
      <w:pPr>
        <w:spacing w:line="360" w:lineRule="auto"/>
        <w:ind w:firstLine="480" w:firstLineChars="200"/>
        <w:rPr>
          <w:rFonts w:ascii="宋体" w:hAnsi="宋体"/>
          <w:color w:val="auto"/>
          <w:sz w:val="24"/>
          <w:szCs w:val="24"/>
        </w:rPr>
      </w:pPr>
      <w:r>
        <w:rPr>
          <w:rFonts w:ascii="宋体" w:hAnsi="宋体"/>
          <w:color w:val="auto"/>
          <w:sz w:val="24"/>
          <w:szCs w:val="24"/>
        </w:rPr>
        <w:t xml:space="preserve">38.2 </w:t>
      </w:r>
      <w:r>
        <w:rPr>
          <w:rFonts w:hint="eastAsia" w:ascii="宋体" w:hAnsi="宋体"/>
          <w:color w:val="auto"/>
          <w:sz w:val="24"/>
          <w:szCs w:val="24"/>
        </w:rPr>
        <w:t>投标人应以书面形式进行澄清，澄清中的承诺性意思表示在投标文件有效期内均对投标人有约束力。除评标委员会对评标中发现算术错误进行修正后要求投标人以澄清形式进行的核实和确认外，澄清不得超出投标文件的范围或改变投标文件的实质性内容，超出部分不作为评标委员会评审的依据。</w:t>
      </w:r>
    </w:p>
    <w:p>
      <w:pPr>
        <w:spacing w:line="360" w:lineRule="auto"/>
        <w:ind w:firstLine="480" w:firstLineChars="200"/>
        <w:rPr>
          <w:rFonts w:ascii="宋体" w:hAnsi="宋体"/>
          <w:color w:val="auto"/>
          <w:sz w:val="24"/>
          <w:szCs w:val="24"/>
        </w:rPr>
      </w:pPr>
      <w:r>
        <w:rPr>
          <w:rFonts w:ascii="宋体" w:hAnsi="宋体"/>
          <w:color w:val="auto"/>
          <w:sz w:val="24"/>
          <w:szCs w:val="24"/>
        </w:rPr>
        <w:t xml:space="preserve">38.3 </w:t>
      </w:r>
      <w:r>
        <w:rPr>
          <w:rFonts w:hint="eastAsia" w:ascii="宋体" w:hAnsi="宋体"/>
          <w:color w:val="auto"/>
          <w:sz w:val="24"/>
          <w:szCs w:val="24"/>
        </w:rPr>
        <w:t>评标委员会或评标委员会专业评审组成员均应当阅读投标人的澄清，但应独立参考澄清对投标文件进行评审。</w:t>
      </w:r>
    </w:p>
    <w:p>
      <w:pPr>
        <w:spacing w:line="360" w:lineRule="auto"/>
        <w:ind w:firstLine="480" w:firstLineChars="200"/>
        <w:rPr>
          <w:rFonts w:ascii="宋体" w:hAnsi="宋体"/>
          <w:color w:val="auto"/>
          <w:sz w:val="24"/>
          <w:szCs w:val="24"/>
        </w:rPr>
      </w:pPr>
      <w:r>
        <w:rPr>
          <w:rFonts w:ascii="宋体" w:hAnsi="宋体"/>
          <w:color w:val="auto"/>
          <w:sz w:val="24"/>
          <w:szCs w:val="24"/>
        </w:rPr>
        <w:t>38.4</w:t>
      </w:r>
      <w:r>
        <w:rPr>
          <w:rFonts w:hint="eastAsia" w:ascii="宋体" w:hAnsi="宋体"/>
          <w:color w:val="auto"/>
          <w:sz w:val="24"/>
          <w:szCs w:val="24"/>
        </w:rPr>
        <w:t>如果投标文件实质上不响应招标文件的各项要求，评标委员会将按照符合性审查标准予以拒绝，不接受投标人通过修改或撤销其不符合要求的差异或保留，使之成为具有响应性的投标。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38.5投标人如在本项目中存在串通投标、弄虚作假、行贿情形且在评标过程中未被发现的，该投标不改变本项目评标结果排序，其中标无效。招标人按照《中华人民共和国招标投标法实施条例》第五十五条的规定依次确定中标人或重新招标。</w:t>
      </w:r>
    </w:p>
    <w:p>
      <w:pPr>
        <w:spacing w:line="360" w:lineRule="auto"/>
        <w:ind w:firstLine="480" w:firstLineChars="200"/>
        <w:rPr>
          <w:rFonts w:ascii="宋体" w:hAnsi="宋体"/>
          <w:color w:val="auto"/>
          <w:sz w:val="24"/>
          <w:szCs w:val="24"/>
        </w:rPr>
      </w:pPr>
      <w:r>
        <w:rPr>
          <w:rFonts w:ascii="宋体" w:hAnsi="宋体"/>
          <w:color w:val="auto"/>
          <w:sz w:val="24"/>
          <w:szCs w:val="24"/>
        </w:rPr>
        <w:t>39</w:t>
      </w:r>
      <w:r>
        <w:rPr>
          <w:rFonts w:hint="eastAsia" w:ascii="宋体" w:hAnsi="宋体"/>
          <w:color w:val="auto"/>
          <w:sz w:val="24"/>
          <w:szCs w:val="24"/>
        </w:rPr>
        <w:t>．定标</w:t>
      </w:r>
    </w:p>
    <w:p>
      <w:pPr>
        <w:spacing w:line="360" w:lineRule="auto"/>
        <w:ind w:firstLine="480" w:firstLineChars="200"/>
        <w:rPr>
          <w:rFonts w:ascii="宋体" w:hAnsi="宋体"/>
          <w:color w:val="auto"/>
          <w:sz w:val="24"/>
          <w:szCs w:val="24"/>
        </w:rPr>
      </w:pPr>
      <w:r>
        <w:rPr>
          <w:rFonts w:ascii="宋体" w:hAnsi="宋体"/>
          <w:color w:val="auto"/>
          <w:sz w:val="24"/>
          <w:szCs w:val="24"/>
        </w:rPr>
        <w:t xml:space="preserve">39.1 </w:t>
      </w:r>
      <w:r>
        <w:rPr>
          <w:rFonts w:hint="eastAsia" w:ascii="宋体" w:hAnsi="宋体"/>
          <w:color w:val="auto"/>
          <w:sz w:val="24"/>
          <w:szCs w:val="24"/>
        </w:rPr>
        <w:t>招标人根据评标委员会递交的评标报告，最终审定中标人。</w:t>
      </w:r>
    </w:p>
    <w:p>
      <w:pPr>
        <w:spacing w:line="360" w:lineRule="auto"/>
        <w:ind w:firstLine="480" w:firstLineChars="200"/>
        <w:rPr>
          <w:rFonts w:ascii="宋体" w:hAnsi="宋体"/>
          <w:color w:val="auto"/>
          <w:sz w:val="24"/>
          <w:szCs w:val="24"/>
        </w:rPr>
      </w:pPr>
      <w:r>
        <w:rPr>
          <w:rFonts w:ascii="宋体" w:hAnsi="宋体"/>
          <w:color w:val="auto"/>
          <w:sz w:val="24"/>
          <w:szCs w:val="24"/>
        </w:rPr>
        <w:t xml:space="preserve">39.2 </w:t>
      </w:r>
      <w:r>
        <w:rPr>
          <w:rFonts w:hint="eastAsia" w:ascii="宋体" w:hAnsi="宋体"/>
          <w:color w:val="auto"/>
          <w:sz w:val="24"/>
          <w:szCs w:val="24"/>
        </w:rPr>
        <w:t>依法必须进行公开招标的项目，招标人应当确定排名第一的中标候选人为中标人。</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u w:val="single"/>
        </w:rPr>
        <w:t>39.3排名第一的中标候选人放弃中标、或因不可抗力提出不能履行合同，或者招标文件规定应当提交履约担保而在规定的期限内未能提交的，或经核查发现委派的项目负责人已在其他在建项目中任职的，招标人可以确定排名第二的中标候选人为中标人</w:t>
      </w:r>
      <w:r>
        <w:rPr>
          <w:rFonts w:hint="eastAsia" w:ascii="宋体" w:hAnsi="宋体" w:cs="宋体"/>
          <w:color w:val="auto"/>
          <w:sz w:val="24"/>
          <w:szCs w:val="24"/>
        </w:rPr>
        <w:t>。</w:t>
      </w:r>
    </w:p>
    <w:p>
      <w:pPr>
        <w:spacing w:line="360" w:lineRule="auto"/>
        <w:ind w:firstLine="480" w:firstLineChars="200"/>
        <w:rPr>
          <w:rFonts w:ascii="宋体" w:hAnsi="宋体"/>
          <w:color w:val="auto"/>
          <w:sz w:val="24"/>
          <w:szCs w:val="24"/>
        </w:rPr>
      </w:pPr>
      <w:r>
        <w:rPr>
          <w:rFonts w:ascii="宋体" w:hAnsi="宋体"/>
          <w:color w:val="auto"/>
          <w:sz w:val="24"/>
          <w:szCs w:val="24"/>
        </w:rPr>
        <w:t>39.4</w:t>
      </w:r>
      <w:r>
        <w:rPr>
          <w:rFonts w:hint="eastAsia" w:ascii="宋体" w:hAnsi="宋体"/>
          <w:color w:val="auto"/>
          <w:sz w:val="24"/>
          <w:szCs w:val="24"/>
        </w:rPr>
        <w:t>排名第二的中标候选人出现前款所列的情形的，招标人可以确定排名第三的中标候选人为中标人。以此类推，如所有中标候选人均出现前款所列的情形，为招标失败，招标人依法重新招标。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39.5 重新评标的，评标信息（含业绩、奖项等）仍以投标截止时投标人的信息为准。因特殊原因需要延长投标有效期，投标人拒绝延长投标有效期的，仍参与评标，但不被推荐为中标候选人。</w:t>
      </w:r>
    </w:p>
    <w:p>
      <w:pPr>
        <w:pStyle w:val="8"/>
        <w:spacing w:before="156" w:after="156"/>
        <w:ind w:firstLine="540" w:firstLineChars="200"/>
        <w:rPr>
          <w:color w:val="auto"/>
        </w:rPr>
      </w:pPr>
      <w:bookmarkStart w:id="28" w:name="_Toc2272558"/>
      <w:bookmarkStart w:id="29" w:name="_Toc7488"/>
      <w:r>
        <w:rPr>
          <w:rFonts w:hint="eastAsia"/>
          <w:color w:val="auto"/>
        </w:rPr>
        <w:t>（二）开标评标办法程序和细则</w:t>
      </w:r>
      <w:bookmarkEnd w:id="28"/>
      <w:bookmarkEnd w:id="29"/>
    </w:p>
    <w:p>
      <w:pPr>
        <w:spacing w:line="360" w:lineRule="auto"/>
        <w:ind w:firstLine="480" w:firstLineChars="200"/>
        <w:rPr>
          <w:rFonts w:ascii="宋体" w:hAnsi="宋体"/>
          <w:strike/>
          <w:color w:val="auto"/>
          <w:sz w:val="24"/>
          <w:szCs w:val="24"/>
        </w:rPr>
      </w:pPr>
      <w:r>
        <w:rPr>
          <w:rFonts w:hint="eastAsia" w:ascii="宋体" w:hAnsi="宋体"/>
          <w:strike/>
          <w:color w:val="auto"/>
          <w:sz w:val="24"/>
          <w:szCs w:val="24"/>
        </w:rPr>
        <w:t>注：以下八种评标办法所述企业综合诚信评价分数即投标截止当日广州市工程招标代理行业协会网站上公布的企业综合诚信评价</w:t>
      </w:r>
      <w:r>
        <w:rPr>
          <w:rFonts w:ascii="宋体" w:hAnsi="宋体"/>
          <w:strike/>
          <w:color w:val="auto"/>
          <w:sz w:val="24"/>
          <w:szCs w:val="24"/>
        </w:rPr>
        <w:t>60</w:t>
      </w:r>
      <w:r>
        <w:rPr>
          <w:rFonts w:hint="eastAsia" w:ascii="宋体" w:hAnsi="宋体"/>
          <w:strike/>
          <w:color w:val="auto"/>
          <w:sz w:val="24"/>
          <w:szCs w:val="24"/>
        </w:rPr>
        <w:t>日诚信分。</w:t>
      </w:r>
    </w:p>
    <w:p>
      <w:pPr>
        <w:pStyle w:val="8"/>
        <w:spacing w:before="156" w:after="156"/>
        <w:ind w:firstLine="540" w:firstLineChars="200"/>
        <w:rPr>
          <w:color w:val="auto"/>
        </w:rPr>
      </w:pPr>
      <w:bookmarkStart w:id="30" w:name="_Toc2272564"/>
      <w:bookmarkStart w:id="31" w:name="_Toc26504"/>
      <w:r>
        <w:rPr>
          <w:rFonts w:hint="eastAsia"/>
          <w:color w:val="auto"/>
        </w:rPr>
        <w:t>可选办法七（适合综合评分法四，技术标与经济标同时开启）</w:t>
      </w:r>
      <w:bookmarkEnd w:id="30"/>
      <w:bookmarkEnd w:id="31"/>
    </w:p>
    <w:p>
      <w:pPr>
        <w:snapToGrid w:val="0"/>
        <w:spacing w:line="360" w:lineRule="auto"/>
        <w:ind w:firstLine="480" w:firstLineChars="200"/>
        <w:rPr>
          <w:rFonts w:ascii="宋体"/>
          <w:color w:val="auto"/>
          <w:sz w:val="24"/>
          <w:szCs w:val="24"/>
        </w:rPr>
      </w:pPr>
      <w:r>
        <w:rPr>
          <w:rFonts w:hint="eastAsia" w:ascii="宋体"/>
          <w:color w:val="auto"/>
          <w:sz w:val="24"/>
          <w:szCs w:val="24"/>
        </w:rPr>
        <w:t>40．开标和评标程序</w:t>
      </w:r>
    </w:p>
    <w:p>
      <w:pPr>
        <w:snapToGrid w:val="0"/>
        <w:spacing w:line="360" w:lineRule="auto"/>
        <w:ind w:firstLine="480" w:firstLineChars="200"/>
        <w:rPr>
          <w:rFonts w:ascii="宋体"/>
          <w:color w:val="auto"/>
          <w:sz w:val="24"/>
          <w:szCs w:val="24"/>
        </w:rPr>
      </w:pPr>
      <w:r>
        <w:rPr>
          <w:rFonts w:hint="eastAsia" w:ascii="宋体"/>
          <w:color w:val="auto"/>
          <w:sz w:val="24"/>
          <w:szCs w:val="24"/>
        </w:rPr>
        <w:t>40.1技术标（含资格审查文件）与经济标投标文件同时公开开标；</w:t>
      </w:r>
    </w:p>
    <w:p>
      <w:pPr>
        <w:snapToGrid w:val="0"/>
        <w:spacing w:line="360" w:lineRule="auto"/>
        <w:ind w:firstLine="480" w:firstLineChars="200"/>
        <w:rPr>
          <w:rFonts w:ascii="宋体"/>
          <w:color w:val="auto"/>
          <w:sz w:val="24"/>
          <w:szCs w:val="24"/>
        </w:rPr>
      </w:pPr>
      <w:r>
        <w:rPr>
          <w:rFonts w:hint="eastAsia" w:ascii="宋体"/>
          <w:color w:val="auto"/>
          <w:sz w:val="24"/>
          <w:szCs w:val="24"/>
        </w:rPr>
        <w:t>40.2由评标委员会对所有已公开开标的投标人进行资格审查；</w:t>
      </w:r>
    </w:p>
    <w:p>
      <w:pPr>
        <w:snapToGrid w:val="0"/>
        <w:spacing w:line="360" w:lineRule="auto"/>
        <w:ind w:firstLine="480" w:firstLineChars="200"/>
        <w:rPr>
          <w:rFonts w:ascii="宋体"/>
          <w:color w:val="auto"/>
          <w:sz w:val="24"/>
          <w:szCs w:val="24"/>
        </w:rPr>
      </w:pPr>
      <w:r>
        <w:rPr>
          <w:rFonts w:hint="eastAsia" w:ascii="宋体"/>
          <w:color w:val="auto"/>
          <w:sz w:val="24"/>
          <w:szCs w:val="24"/>
        </w:rPr>
        <w:t>40.3技术标投标文件有效性审查；</w:t>
      </w:r>
    </w:p>
    <w:p>
      <w:pPr>
        <w:snapToGrid w:val="0"/>
        <w:spacing w:line="360" w:lineRule="auto"/>
        <w:ind w:firstLine="480" w:firstLineChars="200"/>
        <w:rPr>
          <w:rFonts w:ascii="宋体"/>
          <w:color w:val="auto"/>
          <w:sz w:val="24"/>
          <w:szCs w:val="24"/>
        </w:rPr>
      </w:pPr>
      <w:r>
        <w:rPr>
          <w:rFonts w:hint="eastAsia" w:ascii="宋体"/>
          <w:color w:val="auto"/>
          <w:sz w:val="24"/>
          <w:szCs w:val="24"/>
        </w:rPr>
        <w:t>40.4技术标详细审查评分；</w:t>
      </w:r>
    </w:p>
    <w:p>
      <w:pPr>
        <w:snapToGrid w:val="0"/>
        <w:spacing w:line="360" w:lineRule="auto"/>
        <w:ind w:firstLine="480" w:firstLineChars="200"/>
        <w:rPr>
          <w:rFonts w:ascii="宋体"/>
          <w:color w:val="auto"/>
          <w:sz w:val="24"/>
          <w:szCs w:val="24"/>
        </w:rPr>
      </w:pPr>
      <w:r>
        <w:rPr>
          <w:rFonts w:hint="eastAsia" w:ascii="宋体"/>
          <w:color w:val="auto"/>
          <w:sz w:val="24"/>
          <w:szCs w:val="24"/>
        </w:rPr>
        <w:t>40.5经济标详细审查评分；</w:t>
      </w:r>
      <w:r>
        <w:rPr>
          <w:rFonts w:ascii="宋体"/>
          <w:color w:val="auto"/>
          <w:sz w:val="24"/>
          <w:szCs w:val="24"/>
        </w:rPr>
        <w:t xml:space="preserve"> </w:t>
      </w:r>
    </w:p>
    <w:p>
      <w:pPr>
        <w:snapToGrid w:val="0"/>
        <w:spacing w:line="360" w:lineRule="auto"/>
        <w:ind w:firstLine="480" w:firstLineChars="200"/>
        <w:rPr>
          <w:rFonts w:ascii="宋体"/>
          <w:color w:val="auto"/>
          <w:sz w:val="24"/>
          <w:szCs w:val="24"/>
        </w:rPr>
      </w:pPr>
      <w:r>
        <w:rPr>
          <w:rFonts w:hint="eastAsia" w:ascii="宋体"/>
          <w:color w:val="auto"/>
          <w:sz w:val="24"/>
          <w:szCs w:val="24"/>
        </w:rPr>
        <w:t>40.6评标委员会按照投标人总得分由高至低排序；</w:t>
      </w:r>
    </w:p>
    <w:p>
      <w:pPr>
        <w:snapToGrid w:val="0"/>
        <w:spacing w:line="360" w:lineRule="auto"/>
        <w:ind w:firstLine="480" w:firstLineChars="200"/>
        <w:rPr>
          <w:rFonts w:ascii="宋体"/>
          <w:color w:val="auto"/>
          <w:sz w:val="24"/>
          <w:szCs w:val="24"/>
        </w:rPr>
      </w:pPr>
      <w:r>
        <w:rPr>
          <w:rFonts w:hint="eastAsia" w:ascii="宋体"/>
          <w:color w:val="auto"/>
          <w:sz w:val="24"/>
          <w:szCs w:val="24"/>
        </w:rPr>
        <w:t>40.7经济标投标文件有效性审查；</w:t>
      </w:r>
    </w:p>
    <w:p>
      <w:pPr>
        <w:snapToGrid w:val="0"/>
        <w:spacing w:line="360" w:lineRule="auto"/>
        <w:ind w:firstLine="480" w:firstLineChars="200"/>
        <w:rPr>
          <w:rFonts w:ascii="宋体"/>
          <w:color w:val="auto"/>
          <w:szCs w:val="21"/>
        </w:rPr>
      </w:pPr>
      <w:r>
        <w:rPr>
          <w:rFonts w:hint="eastAsia" w:ascii="宋体"/>
          <w:color w:val="auto"/>
          <w:sz w:val="24"/>
          <w:szCs w:val="24"/>
        </w:rPr>
        <w:t>40.8评标委员会按排序向招标人推荐中标候选人名单，并递交资格审查报告及评标报告。</w:t>
      </w:r>
    </w:p>
    <w:p>
      <w:pPr>
        <w:snapToGrid w:val="0"/>
        <w:spacing w:line="360" w:lineRule="auto"/>
        <w:ind w:firstLine="480" w:firstLineChars="200"/>
        <w:rPr>
          <w:rFonts w:ascii="宋体"/>
          <w:color w:val="auto"/>
          <w:sz w:val="24"/>
          <w:szCs w:val="24"/>
        </w:rPr>
      </w:pPr>
      <w:r>
        <w:rPr>
          <w:rFonts w:hint="eastAsia" w:ascii="宋体"/>
          <w:color w:val="auto"/>
          <w:sz w:val="24"/>
          <w:szCs w:val="24"/>
        </w:rPr>
        <w:t>41．开标细则</w:t>
      </w:r>
    </w:p>
    <w:p>
      <w:pPr>
        <w:snapToGrid w:val="0"/>
        <w:spacing w:line="360" w:lineRule="auto"/>
        <w:ind w:firstLine="480" w:firstLineChars="200"/>
        <w:rPr>
          <w:rFonts w:ascii="宋体"/>
          <w:color w:val="auto"/>
          <w:sz w:val="24"/>
          <w:szCs w:val="24"/>
          <w:u w:val="single"/>
        </w:rPr>
      </w:pPr>
      <w:r>
        <w:rPr>
          <w:rFonts w:hint="eastAsia" w:ascii="宋体"/>
          <w:color w:val="auto"/>
          <w:sz w:val="24"/>
          <w:szCs w:val="24"/>
          <w:u w:val="single"/>
        </w:rPr>
        <w:t>41.1开标由招标人或招标代理主持</w:t>
      </w:r>
    </w:p>
    <w:p>
      <w:pPr>
        <w:snapToGrid w:val="0"/>
        <w:spacing w:line="360" w:lineRule="auto"/>
        <w:ind w:firstLine="480" w:firstLineChars="200"/>
        <w:rPr>
          <w:rFonts w:ascii="宋体"/>
          <w:color w:val="auto"/>
          <w:sz w:val="24"/>
          <w:szCs w:val="24"/>
        </w:rPr>
      </w:pPr>
      <w:r>
        <w:rPr>
          <w:rFonts w:hint="eastAsia" w:ascii="宋体"/>
          <w:color w:val="auto"/>
          <w:sz w:val="24"/>
          <w:szCs w:val="24"/>
        </w:rPr>
        <w:t>41.2 细则</w:t>
      </w:r>
    </w:p>
    <w:p>
      <w:pPr>
        <w:snapToGrid w:val="0"/>
        <w:spacing w:line="360" w:lineRule="auto"/>
        <w:ind w:firstLine="480" w:firstLineChars="200"/>
        <w:rPr>
          <w:rFonts w:ascii="宋体"/>
          <w:color w:val="auto"/>
          <w:sz w:val="24"/>
          <w:szCs w:val="24"/>
          <w:u w:val="single"/>
        </w:rPr>
      </w:pPr>
      <w:r>
        <w:rPr>
          <w:rFonts w:hint="eastAsia" w:ascii="宋体"/>
          <w:color w:val="auto"/>
          <w:sz w:val="24"/>
          <w:szCs w:val="24"/>
          <w:u w:val="single"/>
        </w:rPr>
        <w:t xml:space="preserve">41.2.1投标截止期前，各投标人递交投标文件（包括技术标投标文件、经济标投标文件）至广州交易集团有限公司（广州公共资源交易中心）交易平台。有关投标文件提交的事项详见第一章投标须知。 </w:t>
      </w:r>
    </w:p>
    <w:p>
      <w:pPr>
        <w:snapToGrid w:val="0"/>
        <w:spacing w:line="360" w:lineRule="auto"/>
        <w:ind w:firstLine="480" w:firstLineChars="200"/>
        <w:rPr>
          <w:rFonts w:ascii="宋体"/>
          <w:strike/>
          <w:color w:val="auto"/>
          <w:sz w:val="24"/>
          <w:szCs w:val="24"/>
        </w:rPr>
      </w:pPr>
      <w:r>
        <w:rPr>
          <w:rFonts w:hint="eastAsia" w:ascii="宋体"/>
          <w:strike/>
          <w:color w:val="auto"/>
          <w:sz w:val="24"/>
          <w:szCs w:val="24"/>
        </w:rPr>
        <w:t>41.2.2开标前，首先由招标人随机抽取确定该工程计算评标参考价的等分点值X。</w:t>
      </w:r>
    </w:p>
    <w:p>
      <w:pPr>
        <w:snapToGrid w:val="0"/>
        <w:spacing w:line="360" w:lineRule="auto"/>
        <w:ind w:firstLine="480" w:firstLineChars="200"/>
        <w:rPr>
          <w:rFonts w:ascii="宋体"/>
          <w:color w:val="auto"/>
          <w:sz w:val="24"/>
          <w:szCs w:val="24"/>
          <w:u w:val="single"/>
        </w:rPr>
      </w:pPr>
      <w:r>
        <w:rPr>
          <w:rFonts w:hint="eastAsia" w:ascii="宋体"/>
          <w:color w:val="auto"/>
          <w:sz w:val="24"/>
          <w:szCs w:val="24"/>
          <w:u w:val="single"/>
        </w:rPr>
        <w:t>41.2.3开标时，投标人代表有权参加现场开标或在线开标，也可以自主决定不参加开标，若投标人代表对开标过程有异议的，参加现场开标的应当在开标现场提出，同时出示本人身份证原件，招标人应当当场作出答复，并制作记录；参加在线开标的，投标人应通过交易平台在线提出，招标人应通过交易平台答复，答复后方可结束开标。1.具体操作详见“广州交易集团有限公司（广州公共资源交易中心）门户网站首页-&gt;服务指南-&gt;系统帮助-&gt;操作手册-&gt;发起及受理异议操作指引”。2.投标人可登录交易平台网站向招标人提出异议申请，招标人在线处理完异议后，提出异议的投标人可以在线查询处理结果。异议处理结果仅对提出异议的投标人开放查询。投标人登录广交易平台进入“我是投标人”-选择“新建设工程交易平台”-“异议管理”-点击“新增异议”-选择要发起异议的项目。</w:t>
      </w:r>
    </w:p>
    <w:p>
      <w:pPr>
        <w:snapToGrid w:val="0"/>
        <w:spacing w:line="360" w:lineRule="auto"/>
        <w:ind w:firstLine="480" w:firstLineChars="200"/>
        <w:rPr>
          <w:rFonts w:ascii="宋体"/>
          <w:color w:val="auto"/>
          <w:sz w:val="24"/>
          <w:szCs w:val="24"/>
        </w:rPr>
      </w:pPr>
      <w:r>
        <w:rPr>
          <w:rFonts w:hint="eastAsia" w:ascii="宋体"/>
          <w:color w:val="auto"/>
          <w:sz w:val="24"/>
          <w:szCs w:val="24"/>
        </w:rPr>
        <w:t xml:space="preserve">41.2.4按36.5.1的规定完成解密后，公布下列内容，并予以记录，记录提交评标委员会评审： </w:t>
      </w:r>
    </w:p>
    <w:p>
      <w:pPr>
        <w:snapToGrid w:val="0"/>
        <w:spacing w:line="360" w:lineRule="auto"/>
        <w:ind w:firstLine="480" w:firstLineChars="200"/>
        <w:rPr>
          <w:rFonts w:ascii="宋体"/>
          <w:color w:val="auto"/>
          <w:sz w:val="24"/>
          <w:szCs w:val="24"/>
        </w:rPr>
      </w:pPr>
      <w:r>
        <w:rPr>
          <w:rFonts w:hint="eastAsia" w:ascii="宋体"/>
          <w:color w:val="auto"/>
          <w:sz w:val="24"/>
          <w:szCs w:val="24"/>
        </w:rPr>
        <w:t>41.2.4.1开标时，公布：a、投标人名称；b、</w:t>
      </w:r>
      <w:r>
        <w:rPr>
          <w:rFonts w:hint="eastAsia" w:ascii="宋体" w:hAnsi="宋体"/>
          <w:color w:val="auto"/>
          <w:sz w:val="24"/>
        </w:rPr>
        <w:t>投标文件</w:t>
      </w:r>
      <w:r>
        <w:rPr>
          <w:rFonts w:hint="eastAsia" w:ascii="宋体"/>
          <w:color w:val="auto"/>
          <w:sz w:val="24"/>
          <w:szCs w:val="24"/>
        </w:rPr>
        <w:t>密封情况；c、投标报价；d、项目经理（负责人）名称；e、法定代表人证明及授权委托等主要内容及开标记录表中的其他必要内容。投标报价以数字和文字两种方式表述的，应公布文字表述的投标报价。</w:t>
      </w:r>
    </w:p>
    <w:p>
      <w:pPr>
        <w:snapToGrid w:val="0"/>
        <w:spacing w:line="360" w:lineRule="auto"/>
        <w:ind w:firstLine="480" w:firstLineChars="200"/>
        <w:rPr>
          <w:rFonts w:ascii="宋体"/>
          <w:color w:val="auto"/>
          <w:sz w:val="24"/>
          <w:szCs w:val="24"/>
        </w:rPr>
      </w:pPr>
      <w:r>
        <w:rPr>
          <w:rFonts w:hint="eastAsia" w:ascii="宋体"/>
          <w:color w:val="auto"/>
          <w:sz w:val="24"/>
          <w:szCs w:val="24"/>
        </w:rPr>
        <w:t>41.3招标人</w:t>
      </w:r>
      <w:r>
        <w:rPr>
          <w:rFonts w:hint="eastAsia" w:ascii="宋体"/>
          <w:color w:val="auto"/>
          <w:sz w:val="24"/>
          <w:szCs w:val="24"/>
          <w:u w:val="single"/>
        </w:rPr>
        <w:t>或招标代理机构</w:t>
      </w:r>
      <w:r>
        <w:rPr>
          <w:rFonts w:hint="eastAsia" w:ascii="宋体"/>
          <w:color w:val="auto"/>
          <w:sz w:val="24"/>
          <w:szCs w:val="24"/>
        </w:rPr>
        <w:t>对开标过程进行记录，并存档备查，投标人在</w:t>
      </w:r>
      <w:r>
        <w:rPr>
          <w:rFonts w:hint="eastAsia" w:ascii="宋体"/>
          <w:color w:val="auto"/>
          <w:sz w:val="24"/>
          <w:szCs w:val="24"/>
          <w:u w:val="single"/>
        </w:rPr>
        <w:t>开标记录上</w:t>
      </w:r>
      <w:r>
        <w:rPr>
          <w:rFonts w:hint="eastAsia" w:ascii="宋体"/>
          <w:color w:val="auto"/>
          <w:sz w:val="24"/>
          <w:szCs w:val="24"/>
        </w:rPr>
        <w:t>签字。</w:t>
      </w:r>
    </w:p>
    <w:p>
      <w:pPr>
        <w:snapToGrid w:val="0"/>
        <w:spacing w:line="360" w:lineRule="auto"/>
        <w:ind w:firstLine="480" w:firstLineChars="200"/>
        <w:rPr>
          <w:rFonts w:ascii="宋体"/>
          <w:color w:val="auto"/>
          <w:sz w:val="24"/>
          <w:szCs w:val="24"/>
        </w:rPr>
      </w:pPr>
      <w:r>
        <w:rPr>
          <w:rFonts w:hint="eastAsia" w:ascii="宋体"/>
          <w:color w:val="auto"/>
          <w:sz w:val="24"/>
          <w:szCs w:val="24"/>
        </w:rPr>
        <w:t>41.4 招标人将上述符合要求的投标文件，送至评标委员会进行评审。</w:t>
      </w:r>
    </w:p>
    <w:p>
      <w:pPr>
        <w:pStyle w:val="5"/>
        <w:tabs>
          <w:tab w:val="left" w:pos="7380"/>
        </w:tabs>
        <w:snapToGrid w:val="0"/>
        <w:spacing w:after="0" w:line="360" w:lineRule="auto"/>
        <w:ind w:firstLine="480" w:firstLineChars="200"/>
        <w:rPr>
          <w:rFonts w:ascii="宋体"/>
          <w:color w:val="auto"/>
          <w:sz w:val="24"/>
          <w:szCs w:val="24"/>
        </w:rPr>
      </w:pPr>
      <w:r>
        <w:rPr>
          <w:rFonts w:hint="eastAsia" w:ascii="宋体"/>
          <w:color w:val="auto"/>
          <w:sz w:val="24"/>
          <w:szCs w:val="24"/>
        </w:rPr>
        <w:t>42. 资格审查及评标细则</w:t>
      </w:r>
    </w:p>
    <w:p>
      <w:pPr>
        <w:pStyle w:val="5"/>
        <w:tabs>
          <w:tab w:val="left" w:pos="7380"/>
        </w:tabs>
        <w:snapToGrid w:val="0"/>
        <w:spacing w:after="0" w:line="360" w:lineRule="auto"/>
        <w:ind w:firstLine="480" w:firstLineChars="200"/>
        <w:rPr>
          <w:rFonts w:ascii="宋体"/>
          <w:color w:val="auto"/>
          <w:sz w:val="24"/>
          <w:szCs w:val="24"/>
        </w:rPr>
      </w:pPr>
      <w:r>
        <w:rPr>
          <w:rFonts w:hint="eastAsia" w:ascii="宋体"/>
          <w:color w:val="auto"/>
          <w:sz w:val="24"/>
          <w:szCs w:val="24"/>
        </w:rPr>
        <w:t>42.1资格审查及评标均由招标人依法组建的评标委员会负责。</w:t>
      </w:r>
    </w:p>
    <w:p>
      <w:pPr>
        <w:pStyle w:val="5"/>
        <w:tabs>
          <w:tab w:val="left" w:pos="7380"/>
        </w:tabs>
        <w:snapToGrid w:val="0"/>
        <w:spacing w:after="0" w:line="360" w:lineRule="auto"/>
        <w:ind w:firstLine="480" w:firstLineChars="200"/>
        <w:rPr>
          <w:rFonts w:ascii="宋体"/>
          <w:color w:val="auto"/>
          <w:sz w:val="24"/>
          <w:szCs w:val="24"/>
          <w:u w:val="single"/>
        </w:rPr>
      </w:pPr>
      <w:r>
        <w:rPr>
          <w:rFonts w:hint="eastAsia" w:ascii="宋体"/>
          <w:color w:val="auto"/>
          <w:sz w:val="24"/>
          <w:szCs w:val="24"/>
          <w:u w:val="single"/>
        </w:rPr>
        <w:t>42.2评标委员会的组成：方式 一 。</w:t>
      </w:r>
    </w:p>
    <w:p>
      <w:pPr>
        <w:pStyle w:val="5"/>
        <w:tabs>
          <w:tab w:val="left" w:pos="7380"/>
        </w:tabs>
        <w:snapToGrid w:val="0"/>
        <w:spacing w:after="0" w:line="360" w:lineRule="auto"/>
        <w:ind w:firstLine="480" w:firstLineChars="200"/>
        <w:rPr>
          <w:rFonts w:ascii="宋体"/>
          <w:color w:val="auto"/>
          <w:sz w:val="24"/>
          <w:szCs w:val="24"/>
          <w:u w:val="single"/>
        </w:rPr>
      </w:pPr>
      <w:r>
        <w:rPr>
          <w:rFonts w:hint="eastAsia" w:ascii="宋体"/>
          <w:color w:val="auto"/>
          <w:sz w:val="24"/>
          <w:szCs w:val="24"/>
          <w:u w:val="single"/>
        </w:rPr>
        <w:t>方式一：评标委员会为综合评标委员会，负责评标工作。</w:t>
      </w:r>
    </w:p>
    <w:p>
      <w:pPr>
        <w:pStyle w:val="5"/>
        <w:tabs>
          <w:tab w:val="left" w:pos="7380"/>
        </w:tabs>
        <w:snapToGrid w:val="0"/>
        <w:spacing w:after="0" w:line="360" w:lineRule="auto"/>
        <w:ind w:firstLine="480" w:firstLineChars="200"/>
        <w:rPr>
          <w:rFonts w:ascii="宋体"/>
          <w:color w:val="auto"/>
          <w:sz w:val="24"/>
          <w:szCs w:val="24"/>
        </w:rPr>
      </w:pPr>
      <w:r>
        <w:rPr>
          <w:rFonts w:hint="eastAsia" w:ascii="宋体"/>
          <w:color w:val="auto"/>
          <w:sz w:val="24"/>
          <w:szCs w:val="24"/>
        </w:rPr>
        <w:t>43．投标人资格审查</w:t>
      </w:r>
    </w:p>
    <w:p>
      <w:pPr>
        <w:pStyle w:val="5"/>
        <w:tabs>
          <w:tab w:val="left" w:pos="7380"/>
        </w:tabs>
        <w:snapToGrid w:val="0"/>
        <w:spacing w:after="0" w:line="360" w:lineRule="auto"/>
        <w:ind w:firstLine="480" w:firstLineChars="200"/>
        <w:rPr>
          <w:rFonts w:ascii="宋体"/>
          <w:color w:val="auto"/>
          <w:sz w:val="24"/>
          <w:szCs w:val="24"/>
          <w:u w:val="single"/>
        </w:rPr>
      </w:pPr>
      <w:r>
        <w:rPr>
          <w:rFonts w:hint="eastAsia" w:ascii="宋体"/>
          <w:color w:val="auto"/>
          <w:sz w:val="24"/>
          <w:szCs w:val="24"/>
          <w:u w:val="single"/>
        </w:rPr>
        <w:t>43.1资格审查文件中全部符合附表一《资格审查表》中情形的，为资格审查合格；否则为资格审查不合格。如评标委员会成员的评审意见不一致时，以评标委员会过半数成员的意见作为评标委员会对该情形的认定结论。评委发现资格审查文件中含义不明确、对同类问题表述不一致、有明显文字和计算错误的，应当要求投标人作必要的澄清、说明后再判定投标人是否通过资格审查，不得直接认定其不通过资格审查。</w:t>
      </w:r>
    </w:p>
    <w:p>
      <w:pPr>
        <w:pStyle w:val="5"/>
        <w:tabs>
          <w:tab w:val="left" w:pos="7380"/>
        </w:tabs>
        <w:snapToGrid w:val="0"/>
        <w:spacing w:after="0" w:line="360" w:lineRule="auto"/>
        <w:ind w:firstLine="480" w:firstLineChars="200"/>
        <w:rPr>
          <w:rFonts w:ascii="宋体"/>
          <w:color w:val="auto"/>
          <w:sz w:val="24"/>
          <w:szCs w:val="24"/>
        </w:rPr>
      </w:pPr>
      <w:r>
        <w:rPr>
          <w:rFonts w:hint="eastAsia" w:ascii="宋体"/>
          <w:color w:val="auto"/>
          <w:sz w:val="24"/>
          <w:szCs w:val="24"/>
        </w:rPr>
        <w:t>43.2汇总资格审查情况，编写资格审查报告。</w:t>
      </w:r>
    </w:p>
    <w:p>
      <w:pPr>
        <w:pStyle w:val="5"/>
        <w:tabs>
          <w:tab w:val="left" w:pos="7380"/>
        </w:tabs>
        <w:snapToGrid w:val="0"/>
        <w:spacing w:after="0" w:line="360" w:lineRule="auto"/>
        <w:ind w:firstLine="480" w:firstLineChars="200"/>
        <w:rPr>
          <w:rFonts w:ascii="宋体"/>
          <w:color w:val="auto"/>
          <w:sz w:val="24"/>
          <w:szCs w:val="24"/>
        </w:rPr>
      </w:pPr>
      <w:r>
        <w:rPr>
          <w:rFonts w:hint="eastAsia" w:ascii="宋体"/>
          <w:color w:val="auto"/>
          <w:sz w:val="24"/>
          <w:szCs w:val="24"/>
        </w:rPr>
        <w:t>43.3资格审查不合格的投标文件不参加下一阶段的评标，不参与评标参考价的计算。</w:t>
      </w:r>
    </w:p>
    <w:p>
      <w:pPr>
        <w:pStyle w:val="5"/>
        <w:tabs>
          <w:tab w:val="left" w:pos="7380"/>
        </w:tabs>
        <w:snapToGrid w:val="0"/>
        <w:spacing w:after="0" w:line="360" w:lineRule="auto"/>
        <w:ind w:firstLine="480" w:firstLineChars="200"/>
        <w:rPr>
          <w:rFonts w:ascii="宋体"/>
          <w:color w:val="auto"/>
          <w:sz w:val="24"/>
          <w:szCs w:val="24"/>
        </w:rPr>
      </w:pPr>
      <w:r>
        <w:rPr>
          <w:rFonts w:hint="eastAsia" w:ascii="宋体"/>
          <w:color w:val="auto"/>
          <w:sz w:val="24"/>
          <w:szCs w:val="24"/>
        </w:rPr>
        <w:t>43.4资格审查时，投标企业名称已经工商变更的，但企业及个人的资质证书未完成企业名称变更，仍然承认其有效。资质证书、安全生产许可证之间登记的信息不一致，应当允许投标人澄清，不得直接否决其投标。</w:t>
      </w:r>
    </w:p>
    <w:p>
      <w:pPr>
        <w:pStyle w:val="5"/>
        <w:tabs>
          <w:tab w:val="left" w:pos="7380"/>
        </w:tabs>
        <w:snapToGrid w:val="0"/>
        <w:spacing w:after="0" w:line="360" w:lineRule="auto"/>
        <w:ind w:firstLine="480" w:firstLineChars="200"/>
        <w:rPr>
          <w:rFonts w:ascii="宋体"/>
          <w:color w:val="auto"/>
          <w:sz w:val="24"/>
          <w:szCs w:val="24"/>
        </w:rPr>
      </w:pPr>
      <w:r>
        <w:rPr>
          <w:rFonts w:hint="eastAsia" w:ascii="宋体"/>
          <w:color w:val="auto"/>
          <w:sz w:val="24"/>
          <w:szCs w:val="24"/>
        </w:rPr>
        <w:t>43.5资审合格后，投标人的资格发生变化而不满足投标人合格条件，在发出中标通知书前，资格问题仍未解决的，招标人将取消其中标资格。</w:t>
      </w:r>
    </w:p>
    <w:p>
      <w:pPr>
        <w:pStyle w:val="5"/>
        <w:tabs>
          <w:tab w:val="left" w:pos="7380"/>
        </w:tabs>
        <w:snapToGrid w:val="0"/>
        <w:spacing w:after="0" w:line="360" w:lineRule="auto"/>
        <w:ind w:firstLine="480" w:firstLineChars="200"/>
        <w:rPr>
          <w:rFonts w:ascii="宋体"/>
          <w:color w:val="auto"/>
          <w:sz w:val="24"/>
          <w:szCs w:val="24"/>
        </w:rPr>
      </w:pPr>
      <w:r>
        <w:rPr>
          <w:rFonts w:hint="eastAsia" w:ascii="宋体"/>
          <w:color w:val="auto"/>
          <w:sz w:val="24"/>
          <w:szCs w:val="24"/>
        </w:rPr>
        <w:t>43.6资格审查合格的投标人少于3名的（当N个标段同时招标且不允许兼中时，资格审查合格的投标人少于N+2名），则本项目招标失败。</w:t>
      </w:r>
    </w:p>
    <w:p>
      <w:pPr>
        <w:pStyle w:val="5"/>
        <w:tabs>
          <w:tab w:val="left" w:pos="7380"/>
        </w:tabs>
        <w:snapToGrid w:val="0"/>
        <w:spacing w:after="0" w:line="360" w:lineRule="auto"/>
        <w:ind w:firstLine="480" w:firstLineChars="200"/>
        <w:rPr>
          <w:rFonts w:ascii="宋体"/>
          <w:color w:val="auto"/>
          <w:sz w:val="24"/>
          <w:szCs w:val="24"/>
        </w:rPr>
      </w:pPr>
      <w:r>
        <w:rPr>
          <w:rFonts w:hint="eastAsia" w:ascii="宋体"/>
          <w:color w:val="auto"/>
          <w:sz w:val="24"/>
          <w:szCs w:val="24"/>
        </w:rPr>
        <w:t>44．技术标评审</w:t>
      </w:r>
    </w:p>
    <w:p>
      <w:pPr>
        <w:pStyle w:val="5"/>
        <w:tabs>
          <w:tab w:val="left" w:pos="7380"/>
        </w:tabs>
        <w:snapToGrid w:val="0"/>
        <w:spacing w:after="0" w:line="360" w:lineRule="auto"/>
        <w:ind w:firstLine="480" w:firstLineChars="200"/>
        <w:rPr>
          <w:rFonts w:ascii="宋体"/>
          <w:color w:val="auto"/>
          <w:sz w:val="24"/>
          <w:szCs w:val="24"/>
        </w:rPr>
      </w:pPr>
      <w:r>
        <w:rPr>
          <w:rFonts w:hint="eastAsia" w:ascii="宋体"/>
          <w:color w:val="auto"/>
          <w:sz w:val="24"/>
          <w:szCs w:val="24"/>
        </w:rPr>
        <w:t>44.1</w:t>
      </w:r>
      <w:r>
        <w:rPr>
          <w:rFonts w:hint="eastAsia" w:ascii="宋体"/>
          <w:color w:val="auto"/>
          <w:sz w:val="24"/>
          <w:szCs w:val="24"/>
          <w:u w:val="single"/>
        </w:rPr>
        <w:t>技术标的有效性审查：投标文件中没有任一种列于本办法附表二《技术标有效性审查表》中情形的，为有效投标文件。否则其投标文件将被否决。被否决的投标人不参与下一阶段评审，不参与评标参考价的计算。如评标委员会成员的评审意见不一致时，以评标委员会过半数成员的意见作为评标委员会对该情形的认定结论。若通过技术标有效性审查的投标人不足三家，则重新招标。（当N个标段同时招标且不允许兼中时，若通过技术标有效性审查投标人不足N+2家，则重新招标）。评委发现投标文件中含义不明确、对同类问题表述不一致、有明显文字和计算错误的，应当要求投标人作必要的澄清、说明后再判定投标人是否通过有效性审查，不得直接否决投标。</w:t>
      </w:r>
    </w:p>
    <w:p>
      <w:pPr>
        <w:pStyle w:val="5"/>
        <w:tabs>
          <w:tab w:val="left" w:pos="7380"/>
        </w:tabs>
        <w:snapToGrid w:val="0"/>
        <w:spacing w:after="0" w:line="360" w:lineRule="auto"/>
        <w:ind w:firstLine="480" w:firstLineChars="200"/>
        <w:rPr>
          <w:rFonts w:ascii="宋体"/>
          <w:color w:val="auto"/>
          <w:sz w:val="24"/>
          <w:szCs w:val="24"/>
        </w:rPr>
      </w:pPr>
      <w:r>
        <w:rPr>
          <w:rFonts w:hint="eastAsia" w:ascii="宋体"/>
          <w:color w:val="auto"/>
          <w:sz w:val="24"/>
          <w:szCs w:val="24"/>
        </w:rPr>
        <w:t>44.2技术标详细审查评分：评标委员会按照附表四《技术标详细审查评分表》的标准，对通过技术标有效性审查的投标文件技术标进行详细审查，评出技术分，得分四舍五入精确到小数点后两位。</w:t>
      </w:r>
    </w:p>
    <w:p>
      <w:pPr>
        <w:pStyle w:val="5"/>
        <w:tabs>
          <w:tab w:val="left" w:pos="7380"/>
        </w:tabs>
        <w:snapToGrid w:val="0"/>
        <w:spacing w:after="0" w:line="360" w:lineRule="auto"/>
        <w:ind w:firstLine="480" w:firstLineChars="200"/>
        <w:rPr>
          <w:rFonts w:ascii="宋体"/>
          <w:color w:val="auto"/>
          <w:sz w:val="24"/>
          <w:szCs w:val="24"/>
        </w:rPr>
      </w:pPr>
      <w:r>
        <w:rPr>
          <w:rFonts w:hint="eastAsia" w:ascii="宋体"/>
          <w:color w:val="auto"/>
          <w:sz w:val="24"/>
          <w:szCs w:val="24"/>
        </w:rPr>
        <w:t>45．经济标评审和得分汇总</w:t>
      </w:r>
    </w:p>
    <w:p>
      <w:pPr>
        <w:pStyle w:val="5"/>
        <w:tabs>
          <w:tab w:val="left" w:pos="7380"/>
        </w:tabs>
        <w:snapToGrid w:val="0"/>
        <w:spacing w:after="0" w:line="360" w:lineRule="auto"/>
        <w:ind w:firstLine="480" w:firstLineChars="200"/>
        <w:rPr>
          <w:rFonts w:ascii="宋体"/>
          <w:color w:val="auto"/>
          <w:sz w:val="24"/>
          <w:szCs w:val="24"/>
          <w:u w:val="single"/>
        </w:rPr>
      </w:pPr>
      <w:r>
        <w:rPr>
          <w:rFonts w:hint="eastAsia" w:ascii="宋体"/>
          <w:color w:val="auto"/>
          <w:sz w:val="24"/>
          <w:szCs w:val="24"/>
          <w:u w:val="single"/>
        </w:rPr>
        <w:t>45.1若通过技术标有效性审查的投标人中所有投标报价均大于等于最高投标限价，则本项目招标失败，由招标人依法重新招标。</w:t>
      </w:r>
    </w:p>
    <w:p>
      <w:pPr>
        <w:pStyle w:val="5"/>
        <w:tabs>
          <w:tab w:val="left" w:pos="7380"/>
        </w:tabs>
        <w:snapToGrid w:val="0"/>
        <w:spacing w:after="0" w:line="360" w:lineRule="auto"/>
        <w:ind w:firstLine="480" w:firstLineChars="200"/>
        <w:rPr>
          <w:rFonts w:ascii="宋体" w:hAnsi="宋体" w:cs="宋体"/>
          <w:color w:val="auto"/>
          <w:sz w:val="24"/>
          <w:szCs w:val="24"/>
          <w:u w:val="single"/>
        </w:rPr>
      </w:pPr>
      <w:r>
        <w:rPr>
          <w:rFonts w:hint="eastAsia" w:ascii="宋体" w:hAnsi="宋体"/>
          <w:color w:val="auto"/>
          <w:sz w:val="24"/>
          <w:szCs w:val="24"/>
        </w:rPr>
        <w:t xml:space="preserve"> </w:t>
      </w:r>
      <w:r>
        <w:rPr>
          <w:rFonts w:hint="eastAsia" w:ascii="宋体" w:hAnsi="宋体" w:cs="宋体"/>
          <w:color w:val="auto"/>
          <w:sz w:val="24"/>
          <w:szCs w:val="24"/>
          <w:u w:val="single"/>
        </w:rPr>
        <w:t>45.2按方法</w:t>
      </w:r>
      <w:r>
        <w:rPr>
          <w:rFonts w:hint="eastAsia" w:ascii="宋体" w:hAnsi="宋体" w:cs="宋体"/>
          <w:b/>
          <w:bCs/>
          <w:color w:val="auto"/>
          <w:sz w:val="24"/>
          <w:szCs w:val="24"/>
          <w:u w:val="single"/>
        </w:rPr>
        <w:t>一</w:t>
      </w:r>
      <w:r>
        <w:rPr>
          <w:rFonts w:hint="eastAsia" w:ascii="宋体" w:hAnsi="宋体" w:cs="宋体"/>
          <w:color w:val="auto"/>
          <w:sz w:val="24"/>
          <w:szCs w:val="24"/>
          <w:u w:val="single"/>
        </w:rPr>
        <w:t>计算评标参考价：</w:t>
      </w:r>
    </w:p>
    <w:p>
      <w:pPr>
        <w:spacing w:line="360" w:lineRule="auto"/>
        <w:ind w:firstLine="480" w:firstLineChars="200"/>
        <w:rPr>
          <w:rFonts w:ascii="宋体" w:hAnsi="宋体" w:cs="宋体"/>
          <w:color w:val="auto"/>
          <w:kern w:val="0"/>
          <w:sz w:val="24"/>
          <w:szCs w:val="24"/>
          <w:u w:val="single"/>
        </w:rPr>
      </w:pPr>
      <w:r>
        <w:rPr>
          <w:rFonts w:hint="eastAsia" w:ascii="宋体" w:hAnsi="宋体" w:cs="宋体"/>
          <w:color w:val="auto"/>
          <w:kern w:val="0"/>
          <w:sz w:val="24"/>
          <w:szCs w:val="24"/>
          <w:u w:val="single"/>
        </w:rPr>
        <w:t>通过技术标有效性审查且经济报价在[工程成本警戒价, 招标控制价]区间的投标人的技术标得分前N名（N＝5；当N不足5名时，取满足前述条件的投标人个数）的经济报价加权平均，计算评标参考价。公式如下：</w:t>
      </w:r>
    </w:p>
    <w:p>
      <w:pPr>
        <w:spacing w:line="360" w:lineRule="auto"/>
        <w:ind w:firstLine="480" w:firstLineChars="200"/>
        <w:rPr>
          <w:rFonts w:ascii="宋体" w:hAnsi="宋体" w:cs="宋体"/>
          <w:color w:val="auto"/>
          <w:kern w:val="0"/>
          <w:sz w:val="24"/>
          <w:szCs w:val="24"/>
          <w:u w:val="single"/>
        </w:rPr>
      </w:pPr>
      <w:r>
        <w:rPr>
          <w:rFonts w:hint="eastAsia" w:ascii="宋体" w:hAnsi="宋体" w:cs="宋体"/>
          <w:color w:val="auto"/>
          <w:kern w:val="0"/>
          <w:sz w:val="24"/>
          <w:szCs w:val="24"/>
          <w:u w:val="single"/>
        </w:rPr>
        <w:t>评标参考价=Σ（投标人的投标报价*报价权重）。</w:t>
      </w:r>
    </w:p>
    <w:p>
      <w:pPr>
        <w:spacing w:line="360" w:lineRule="auto"/>
        <w:ind w:firstLine="480" w:firstLineChars="200"/>
        <w:rPr>
          <w:rFonts w:ascii="宋体" w:hAnsi="宋体" w:cs="宋体"/>
          <w:color w:val="auto"/>
          <w:kern w:val="0"/>
          <w:sz w:val="24"/>
          <w:szCs w:val="24"/>
          <w:u w:val="single"/>
        </w:rPr>
      </w:pPr>
      <w:r>
        <w:rPr>
          <w:rFonts w:hint="eastAsia" w:ascii="宋体" w:hAnsi="宋体" w:cs="宋体"/>
          <w:color w:val="auto"/>
          <w:kern w:val="0"/>
          <w:sz w:val="24"/>
          <w:szCs w:val="24"/>
          <w:u w:val="single"/>
        </w:rPr>
        <w:t>其中：报价权重的计算方法为：将N名投标人按技术分由高至低进行排序，第一名投标人的权重为（</w:t>
      </w:r>
      <w:r>
        <w:rPr>
          <w:rFonts w:hint="eastAsia" w:ascii="宋体" w:hAnsi="宋体" w:cs="宋体"/>
          <w:color w:val="auto"/>
          <w:kern w:val="0"/>
          <w:sz w:val="24"/>
          <w:szCs w:val="24"/>
          <w:u w:val="single"/>
        </w:rPr>
        <w:fldChar w:fldCharType="begin"/>
      </w:r>
      <w:r>
        <w:rPr>
          <w:rFonts w:hint="eastAsia" w:ascii="宋体" w:hAnsi="宋体" w:cs="宋体"/>
          <w:color w:val="auto"/>
          <w:kern w:val="0"/>
          <w:sz w:val="24"/>
          <w:szCs w:val="24"/>
          <w:u w:val="single"/>
        </w:rPr>
        <w:instrText xml:space="preserve"> QUOTE </w:instrText>
      </w:r>
      <w:r>
        <w:rPr>
          <w:rFonts w:hint="eastAsia" w:ascii="宋体" w:hAnsi="宋体" w:cs="宋体"/>
          <w:color w:val="auto"/>
          <w:kern w:val="0"/>
          <w:sz w:val="24"/>
          <w:szCs w:val="24"/>
          <w:u w:val="single"/>
        </w:rPr>
        <w:pict>
          <v:shape id="_x0000_i1037" o:spt="75" type="#_x0000_t75" style="height:35.25pt;width:30pt;" filled="f" o:preferrelative="t" stroked="f" coordsize="21600,21600">
            <v:path/>
            <v:fill on="f" focussize="0,0"/>
            <v:stroke on="f"/>
            <v:imagedata r:id="rId20" chromakey="#FFFFFF" o:title=""/>
            <o:lock v:ext="edit" aspectratio="t"/>
            <w10:wrap type="none"/>
            <w10:anchorlock/>
          </v:shape>
        </w:pict>
      </w:r>
      <w:r>
        <w:rPr>
          <w:rFonts w:ascii="宋体" w:hAnsi="宋体" w:cs="宋体"/>
          <w:color w:val="auto"/>
          <w:kern w:val="0"/>
          <w:sz w:val="24"/>
          <w:szCs w:val="24"/>
          <w:u w:val="single"/>
        </w:rPr>
        <w:instrText xml:space="preserve"> \* MERGEFORMAT </w:instrText>
      </w:r>
      <w:r>
        <w:rPr>
          <w:rFonts w:hint="eastAsia" w:ascii="宋体" w:hAnsi="宋体" w:cs="宋体"/>
          <w:color w:val="auto"/>
          <w:kern w:val="0"/>
          <w:sz w:val="24"/>
          <w:szCs w:val="24"/>
          <w:u w:val="single"/>
        </w:rPr>
        <w:fldChar w:fldCharType="separate"/>
      </w:r>
      <w:r>
        <w:rPr>
          <w:rFonts w:hint="eastAsia" w:ascii="宋体" w:hAnsi="宋体" w:cs="宋体"/>
          <w:color w:val="auto"/>
          <w:kern w:val="0"/>
          <w:sz w:val="24"/>
          <w:szCs w:val="24"/>
          <w:u w:val="single"/>
        </w:rPr>
        <w:pict>
          <v:shape id="_x0000_i1038" o:spt="75" type="#_x0000_t75" style="height:35.25pt;width:30pt;" filled="f" o:preferrelative="t" stroked="f" coordsize="21600,21600">
            <v:path/>
            <v:fill on="f" focussize="0,0"/>
            <v:stroke on="f"/>
            <v:imagedata r:id="rId20" chromakey="#FFFFFF" o:title=""/>
            <o:lock v:ext="edit" aspectratio="t"/>
            <w10:wrap type="none"/>
            <w10:anchorlock/>
          </v:shape>
        </w:pict>
      </w:r>
      <w:r>
        <w:rPr>
          <w:rFonts w:hint="eastAsia" w:ascii="宋体" w:hAnsi="宋体" w:cs="宋体"/>
          <w:color w:val="auto"/>
          <w:kern w:val="0"/>
          <w:sz w:val="24"/>
          <w:szCs w:val="24"/>
          <w:u w:val="single"/>
        </w:rPr>
        <w:fldChar w:fldCharType="end"/>
      </w:r>
      <w:r>
        <w:rPr>
          <w:rFonts w:hint="eastAsia" w:ascii="宋体" w:hAnsi="宋体" w:cs="宋体"/>
          <w:color w:val="auto"/>
          <w:kern w:val="0"/>
          <w:sz w:val="24"/>
          <w:szCs w:val="24"/>
          <w:u w:val="single"/>
        </w:rPr>
        <w:t>），第二名投标人的权重为（</w:t>
      </w:r>
      <w:r>
        <w:rPr>
          <w:rFonts w:hint="eastAsia" w:ascii="宋体" w:hAnsi="宋体" w:cs="宋体"/>
          <w:color w:val="auto"/>
          <w:kern w:val="0"/>
          <w:sz w:val="24"/>
          <w:szCs w:val="24"/>
          <w:u w:val="single"/>
        </w:rPr>
        <w:fldChar w:fldCharType="begin"/>
      </w:r>
      <w:r>
        <w:rPr>
          <w:rFonts w:hint="eastAsia" w:ascii="宋体" w:hAnsi="宋体" w:cs="宋体"/>
          <w:color w:val="auto"/>
          <w:kern w:val="0"/>
          <w:sz w:val="24"/>
          <w:szCs w:val="24"/>
          <w:u w:val="single"/>
        </w:rPr>
        <w:instrText xml:space="preserve"> QUOTE </w:instrText>
      </w:r>
      <w:r>
        <w:rPr>
          <w:rFonts w:hint="eastAsia" w:ascii="宋体" w:hAnsi="宋体" w:cs="宋体"/>
          <w:color w:val="auto"/>
          <w:kern w:val="0"/>
          <w:sz w:val="24"/>
          <w:szCs w:val="24"/>
          <w:u w:val="single"/>
        </w:rPr>
        <w:pict>
          <v:shape id="_x0000_i1039" o:spt="75" type="#_x0000_t75" style="height:31.5pt;width:25.5pt;" filled="f" o:preferrelative="t" stroked="f" coordsize="21600,21600">
            <v:path/>
            <v:fill on="f" focussize="0,0"/>
            <v:stroke on="f"/>
            <v:imagedata r:id="rId21" chromakey="#FFFFFF" o:title=""/>
            <o:lock v:ext="edit" aspectratio="t"/>
            <w10:wrap type="none"/>
            <w10:anchorlock/>
          </v:shape>
        </w:pict>
      </w:r>
      <w:r>
        <w:rPr>
          <w:rFonts w:ascii="宋体" w:hAnsi="宋体" w:cs="宋体"/>
          <w:color w:val="auto"/>
          <w:kern w:val="0"/>
          <w:sz w:val="24"/>
          <w:szCs w:val="24"/>
          <w:u w:val="single"/>
        </w:rPr>
        <w:instrText xml:space="preserve"> \* MERGEFORMAT </w:instrText>
      </w:r>
      <w:r>
        <w:rPr>
          <w:rFonts w:hint="eastAsia" w:ascii="宋体" w:hAnsi="宋体" w:cs="宋体"/>
          <w:color w:val="auto"/>
          <w:kern w:val="0"/>
          <w:sz w:val="24"/>
          <w:szCs w:val="24"/>
          <w:u w:val="single"/>
        </w:rPr>
        <w:fldChar w:fldCharType="separate"/>
      </w:r>
      <w:r>
        <w:rPr>
          <w:rFonts w:hint="eastAsia" w:ascii="宋体" w:hAnsi="宋体" w:cs="宋体"/>
          <w:color w:val="auto"/>
          <w:kern w:val="0"/>
          <w:sz w:val="24"/>
          <w:szCs w:val="24"/>
          <w:u w:val="single"/>
        </w:rPr>
        <w:pict>
          <v:shape id="_x0000_i1040" o:spt="75" type="#_x0000_t75" style="height:31.5pt;width:25.5pt;" filled="f" o:preferrelative="t" stroked="f" coordsize="21600,21600">
            <v:path/>
            <v:fill on="f" focussize="0,0"/>
            <v:stroke on="f"/>
            <v:imagedata r:id="rId21" chromakey="#FFFFFF" o:title=""/>
            <o:lock v:ext="edit" aspectratio="t"/>
            <w10:wrap type="none"/>
            <w10:anchorlock/>
          </v:shape>
        </w:pict>
      </w:r>
      <w:r>
        <w:rPr>
          <w:rFonts w:hint="eastAsia" w:ascii="宋体" w:hAnsi="宋体" w:cs="宋体"/>
          <w:color w:val="auto"/>
          <w:kern w:val="0"/>
          <w:sz w:val="24"/>
          <w:szCs w:val="24"/>
          <w:u w:val="single"/>
        </w:rPr>
        <w:fldChar w:fldCharType="end"/>
      </w:r>
      <w:r>
        <w:rPr>
          <w:rFonts w:hint="eastAsia" w:ascii="宋体" w:hAnsi="宋体" w:cs="宋体"/>
          <w:color w:val="auto"/>
          <w:kern w:val="0"/>
          <w:sz w:val="24"/>
          <w:szCs w:val="24"/>
          <w:u w:val="single"/>
        </w:rPr>
        <w:t>），以此类推，最后一名投标人的权重为（</w:t>
      </w:r>
      <w:r>
        <w:rPr>
          <w:rFonts w:hint="eastAsia" w:ascii="宋体" w:hAnsi="宋体" w:cs="宋体"/>
          <w:color w:val="auto"/>
          <w:kern w:val="0"/>
          <w:sz w:val="24"/>
          <w:szCs w:val="24"/>
          <w:u w:val="single"/>
        </w:rPr>
        <w:fldChar w:fldCharType="begin"/>
      </w:r>
      <w:r>
        <w:rPr>
          <w:rFonts w:hint="eastAsia" w:ascii="宋体" w:hAnsi="宋体" w:cs="宋体"/>
          <w:color w:val="auto"/>
          <w:kern w:val="0"/>
          <w:sz w:val="24"/>
          <w:szCs w:val="24"/>
          <w:u w:val="single"/>
        </w:rPr>
        <w:instrText xml:space="preserve"> QUOTE </w:instrText>
      </w:r>
      <w:r>
        <w:rPr>
          <w:rFonts w:hint="eastAsia" w:ascii="宋体" w:hAnsi="宋体" w:cs="宋体"/>
          <w:color w:val="auto"/>
          <w:kern w:val="0"/>
          <w:sz w:val="24"/>
          <w:szCs w:val="24"/>
          <w:u w:val="single"/>
        </w:rPr>
        <w:pict>
          <v:shape id="_x0000_i1041" o:spt="75" type="#_x0000_t75" style="height:31.5pt;width:25.5pt;" filled="f" o:preferrelative="t" stroked="f" coordsize="21600,21600">
            <v:path/>
            <v:fill on="f" focussize="0,0"/>
            <v:stroke on="f"/>
            <v:imagedata r:id="rId22" chromakey="#FFFFFF" o:title=""/>
            <o:lock v:ext="edit" aspectratio="t"/>
            <w10:wrap type="none"/>
            <w10:anchorlock/>
          </v:shape>
        </w:pict>
      </w:r>
      <w:r>
        <w:rPr>
          <w:rFonts w:ascii="宋体" w:hAnsi="宋体" w:cs="宋体"/>
          <w:color w:val="auto"/>
          <w:kern w:val="0"/>
          <w:sz w:val="24"/>
          <w:szCs w:val="24"/>
          <w:u w:val="single"/>
        </w:rPr>
        <w:instrText xml:space="preserve"> \* MERGEFORMAT </w:instrText>
      </w:r>
      <w:r>
        <w:rPr>
          <w:rFonts w:hint="eastAsia" w:ascii="宋体" w:hAnsi="宋体" w:cs="宋体"/>
          <w:color w:val="auto"/>
          <w:kern w:val="0"/>
          <w:sz w:val="24"/>
          <w:szCs w:val="24"/>
          <w:u w:val="single"/>
        </w:rPr>
        <w:fldChar w:fldCharType="separate"/>
      </w:r>
      <w:r>
        <w:rPr>
          <w:rFonts w:hint="eastAsia" w:ascii="宋体" w:hAnsi="宋体" w:cs="宋体"/>
          <w:color w:val="auto"/>
          <w:kern w:val="0"/>
          <w:sz w:val="24"/>
          <w:szCs w:val="24"/>
          <w:u w:val="single"/>
        </w:rPr>
        <w:pict>
          <v:shape id="_x0000_i1042" o:spt="75" type="#_x0000_t75" style="height:31.5pt;width:25.5pt;" filled="f" o:preferrelative="t" stroked="f" coordsize="21600,21600">
            <v:path/>
            <v:fill on="f" focussize="0,0"/>
            <v:stroke on="f"/>
            <v:imagedata r:id="rId22" chromakey="#FFFFFF" o:title=""/>
            <o:lock v:ext="edit" aspectratio="t"/>
            <w10:wrap type="none"/>
            <w10:anchorlock/>
          </v:shape>
        </w:pict>
      </w:r>
      <w:r>
        <w:rPr>
          <w:rFonts w:hint="eastAsia" w:ascii="宋体" w:hAnsi="宋体" w:cs="宋体"/>
          <w:color w:val="auto"/>
          <w:kern w:val="0"/>
          <w:sz w:val="24"/>
          <w:szCs w:val="24"/>
          <w:u w:val="single"/>
        </w:rPr>
        <w:fldChar w:fldCharType="end"/>
      </w:r>
      <w:r>
        <w:rPr>
          <w:rFonts w:hint="eastAsia" w:ascii="宋体" w:hAnsi="宋体" w:cs="宋体"/>
          <w:color w:val="auto"/>
          <w:kern w:val="0"/>
          <w:sz w:val="24"/>
          <w:szCs w:val="24"/>
          <w:u w:val="single"/>
        </w:rPr>
        <w:t>）。</w:t>
      </w:r>
    </w:p>
    <w:p>
      <w:pPr>
        <w:spacing w:line="360" w:lineRule="auto"/>
        <w:ind w:firstLine="480" w:firstLineChars="200"/>
        <w:rPr>
          <w:rFonts w:ascii="宋体" w:hAnsi="宋体" w:cs="宋体"/>
          <w:color w:val="auto"/>
          <w:kern w:val="0"/>
          <w:sz w:val="24"/>
          <w:szCs w:val="24"/>
          <w:u w:val="single"/>
        </w:rPr>
      </w:pPr>
      <w:r>
        <w:rPr>
          <w:rFonts w:hint="eastAsia" w:ascii="宋体" w:hAnsi="宋体" w:cs="宋体"/>
          <w:color w:val="auto"/>
          <w:kern w:val="0"/>
          <w:sz w:val="24"/>
          <w:szCs w:val="24"/>
          <w:u w:val="single"/>
        </w:rPr>
        <w:t>技术标得分相同的的投标人，以投标总报价较低的排前；如仍存在相同情况，由评标委员会采用记名投票方式，确定投标人的排序。</w:t>
      </w:r>
    </w:p>
    <w:p>
      <w:pPr>
        <w:spacing w:line="360" w:lineRule="auto"/>
        <w:ind w:firstLine="480" w:firstLineChars="200"/>
        <w:rPr>
          <w:rFonts w:ascii="宋体" w:hAnsi="宋体" w:cs="宋体"/>
          <w:color w:val="auto"/>
          <w:kern w:val="0"/>
          <w:sz w:val="24"/>
          <w:szCs w:val="24"/>
          <w:u w:val="single"/>
        </w:rPr>
      </w:pPr>
      <w:r>
        <w:rPr>
          <w:rFonts w:hint="eastAsia" w:ascii="宋体" w:hAnsi="宋体" w:cs="宋体"/>
          <w:color w:val="auto"/>
          <w:kern w:val="0"/>
          <w:sz w:val="24"/>
          <w:szCs w:val="24"/>
          <w:u w:val="single"/>
        </w:rPr>
        <w:t>注：投票方式确定排序的具体操作步骤为：由评标会对出现该情况的投标人进行编号，然后通过投票方式依次确定投标人的排序。</w:t>
      </w:r>
    </w:p>
    <w:p>
      <w:pPr>
        <w:spacing w:line="360" w:lineRule="auto"/>
        <w:ind w:firstLine="480" w:firstLineChars="200"/>
        <w:rPr>
          <w:rFonts w:ascii="宋体" w:hAnsi="宋体" w:cs="宋体"/>
          <w:color w:val="auto"/>
          <w:kern w:val="0"/>
          <w:sz w:val="24"/>
          <w:szCs w:val="24"/>
          <w:u w:val="single"/>
        </w:rPr>
      </w:pPr>
      <w:r>
        <w:rPr>
          <w:rFonts w:hint="eastAsia" w:ascii="宋体" w:hAnsi="宋体" w:cs="宋体"/>
          <w:color w:val="auto"/>
          <w:kern w:val="0"/>
          <w:sz w:val="24"/>
          <w:szCs w:val="24"/>
          <w:u w:val="single"/>
        </w:rPr>
        <w:t>45.3当标价等于评标参考价时得100分，标价每高于评标参考价1%，扣0.2分，每低于评标参考价1%，扣0.1分，扣至0分为止，得出经济分，精确到小数点后两位。</w:t>
      </w:r>
    </w:p>
    <w:p>
      <w:pPr>
        <w:spacing w:line="360" w:lineRule="auto"/>
        <w:ind w:firstLine="480" w:firstLineChars="200"/>
        <w:rPr>
          <w:rFonts w:ascii="宋体" w:hAnsi="宋体" w:cs="宋体"/>
          <w:color w:val="auto"/>
          <w:kern w:val="0"/>
          <w:sz w:val="24"/>
          <w:szCs w:val="24"/>
          <w:u w:val="single"/>
        </w:rPr>
      </w:pPr>
      <w:r>
        <w:rPr>
          <w:rFonts w:hint="eastAsia" w:ascii="宋体" w:hAnsi="宋体" w:cs="宋体"/>
          <w:color w:val="auto"/>
          <w:kern w:val="0"/>
          <w:sz w:val="24"/>
          <w:szCs w:val="24"/>
          <w:u w:val="single"/>
        </w:rPr>
        <w:t>45.4计算通过技术标有效性审查的投标人总得分。投标人总得分=技术得分（100分）×技术得分权重（20%）＋经济得分（满分100分）×经济得分权重（80%）。技术、经济得分权重按投标须知前附表的规定执行。总得分四舍五入保留两位小数。总得分相同的投标文件，以技术分高的排前；总得分、技术分均相同的投标文件，以投标总报价低的排前；如仍存在相同情况，由评标委员会采用记名投票方式，确定投标人的排序。随机方式确定排序的具体操作步骤为：由评标会对出现该情况的投标人进行编号，然后通过记名投票方式，以得票多的排前确定排序。</w:t>
      </w:r>
    </w:p>
    <w:p>
      <w:pPr>
        <w:pStyle w:val="5"/>
        <w:tabs>
          <w:tab w:val="left" w:pos="7380"/>
        </w:tabs>
        <w:snapToGrid w:val="0"/>
        <w:spacing w:after="0" w:line="360" w:lineRule="auto"/>
        <w:ind w:firstLine="480" w:firstLineChars="200"/>
        <w:rPr>
          <w:rFonts w:ascii="宋体" w:hAnsi="宋体"/>
          <w:color w:val="auto"/>
          <w:sz w:val="24"/>
          <w:szCs w:val="24"/>
        </w:rPr>
      </w:pPr>
      <w:r>
        <w:rPr>
          <w:rFonts w:hint="eastAsia" w:ascii="宋体" w:hAnsi="宋体"/>
          <w:color w:val="auto"/>
          <w:sz w:val="24"/>
          <w:szCs w:val="24"/>
        </w:rPr>
        <w:t>46.经济标的有效性审查</w:t>
      </w:r>
    </w:p>
    <w:p>
      <w:pPr>
        <w:spacing w:line="360" w:lineRule="auto"/>
        <w:ind w:firstLine="480" w:firstLineChars="200"/>
        <w:rPr>
          <w:rFonts w:ascii="宋体" w:hAnsi="宋体"/>
          <w:color w:val="auto"/>
          <w:sz w:val="24"/>
          <w:szCs w:val="24"/>
        </w:rPr>
      </w:pPr>
      <w:r>
        <w:rPr>
          <w:rFonts w:hint="eastAsia" w:ascii="宋体" w:hAnsi="宋体" w:cs="宋体"/>
          <w:color w:val="auto"/>
          <w:kern w:val="0"/>
          <w:sz w:val="24"/>
          <w:szCs w:val="24"/>
          <w:u w:val="single"/>
        </w:rPr>
        <w:t>46.1经济标的有效性审查：按照投标人总得分排序，依次对投标文件进行经济标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评委发现投标文件中含义不明确、对同类问题表述不一致、有明显文字和计算错误、投标报价可能低于成本影响履约的，应当要求投标人作必要的澄清、说明后再判定投标人是否通过有效性审查，不得直接否决投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 xml:space="preserve"> </w:t>
      </w:r>
      <w:r>
        <w:rPr>
          <w:rFonts w:ascii="宋体" w:hAnsi="宋体"/>
          <w:color w:val="auto"/>
          <w:sz w:val="24"/>
          <w:szCs w:val="24"/>
        </w:rPr>
        <w:t>4</w:t>
      </w:r>
      <w:r>
        <w:rPr>
          <w:rFonts w:hint="eastAsia" w:ascii="宋体" w:hAnsi="宋体"/>
          <w:color w:val="auto"/>
          <w:sz w:val="24"/>
          <w:szCs w:val="24"/>
        </w:rPr>
        <w:t>6.2经济标的算术校核。评标委员会对进行经济标有效性审查的投标文件投标报价按照就低不就高的原则进行算术校核，具体标准如下：</w:t>
      </w:r>
    </w:p>
    <w:p>
      <w:pPr>
        <w:spacing w:line="360" w:lineRule="auto"/>
        <w:ind w:firstLine="480" w:firstLineChars="200"/>
        <w:rPr>
          <w:rFonts w:ascii="宋体" w:hAnsi="宋体"/>
          <w:color w:val="auto"/>
          <w:sz w:val="24"/>
          <w:szCs w:val="24"/>
        </w:rPr>
      </w:pPr>
      <w:r>
        <w:rPr>
          <w:rFonts w:ascii="宋体" w:hAnsi="宋体"/>
          <w:color w:val="auto"/>
          <w:sz w:val="24"/>
          <w:szCs w:val="24"/>
        </w:rPr>
        <w:t>4</w:t>
      </w:r>
      <w:r>
        <w:rPr>
          <w:rFonts w:hint="eastAsia" w:ascii="宋体" w:hAnsi="宋体"/>
          <w:color w:val="auto"/>
          <w:sz w:val="24"/>
          <w:szCs w:val="24"/>
        </w:rPr>
        <w:t>6.2.1如果数字表示的金额和用文字表示的金额不一致时，应以文字表示的金额为准；</w:t>
      </w:r>
    </w:p>
    <w:p>
      <w:pPr>
        <w:spacing w:line="360" w:lineRule="auto"/>
        <w:ind w:firstLine="480" w:firstLineChars="200"/>
        <w:rPr>
          <w:rFonts w:ascii="宋体" w:hAnsi="宋体"/>
          <w:color w:val="auto"/>
          <w:sz w:val="24"/>
          <w:szCs w:val="24"/>
        </w:rPr>
      </w:pPr>
      <w:r>
        <w:rPr>
          <w:rFonts w:hint="eastAsia" w:ascii="宋体" w:hAnsi="宋体"/>
          <w:color w:val="auto"/>
          <w:sz w:val="24"/>
          <w:szCs w:val="24"/>
        </w:rPr>
        <w:t xml:space="preserve"> </w:t>
      </w:r>
      <w:r>
        <w:rPr>
          <w:rFonts w:ascii="宋体" w:hAnsi="宋体"/>
          <w:color w:val="auto"/>
          <w:sz w:val="24"/>
          <w:szCs w:val="24"/>
        </w:rPr>
        <w:t>4</w:t>
      </w:r>
      <w:r>
        <w:rPr>
          <w:rFonts w:hint="eastAsia" w:ascii="宋体" w:hAnsi="宋体"/>
          <w:color w:val="auto"/>
          <w:sz w:val="24"/>
          <w:szCs w:val="24"/>
        </w:rPr>
        <w:t>6.2.2经算术复核的投标人报价与其投标报价不一致时，按就低不就高原则确定其最终报价；</w:t>
      </w:r>
    </w:p>
    <w:p>
      <w:pPr>
        <w:spacing w:line="360" w:lineRule="auto"/>
        <w:ind w:firstLine="480" w:firstLineChars="200"/>
        <w:rPr>
          <w:rFonts w:ascii="宋体" w:hAnsi="宋体"/>
          <w:color w:val="auto"/>
          <w:sz w:val="24"/>
          <w:szCs w:val="24"/>
        </w:rPr>
      </w:pPr>
      <w:r>
        <w:rPr>
          <w:rFonts w:hint="eastAsia" w:ascii="宋体" w:hAnsi="宋体"/>
          <w:color w:val="auto"/>
          <w:sz w:val="24"/>
          <w:szCs w:val="24"/>
        </w:rPr>
        <w:t xml:space="preserve"> </w:t>
      </w:r>
      <w:r>
        <w:rPr>
          <w:rFonts w:ascii="宋体" w:hAnsi="宋体"/>
          <w:color w:val="auto"/>
          <w:sz w:val="24"/>
          <w:szCs w:val="24"/>
        </w:rPr>
        <w:t>4</w:t>
      </w:r>
      <w:r>
        <w:rPr>
          <w:rFonts w:hint="eastAsia" w:ascii="宋体" w:hAnsi="宋体"/>
          <w:color w:val="auto"/>
          <w:sz w:val="24"/>
          <w:szCs w:val="24"/>
        </w:rPr>
        <w:t>6.2.3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pPr>
        <w:spacing w:line="360" w:lineRule="auto"/>
        <w:ind w:firstLine="480" w:firstLineChars="200"/>
        <w:rPr>
          <w:rFonts w:ascii="宋体" w:hAnsi="宋体"/>
          <w:color w:val="auto"/>
          <w:sz w:val="24"/>
          <w:szCs w:val="24"/>
        </w:rPr>
      </w:pPr>
      <w:r>
        <w:rPr>
          <w:rFonts w:hint="eastAsia" w:ascii="宋体" w:hAnsi="宋体"/>
          <w:color w:val="auto"/>
          <w:sz w:val="24"/>
          <w:szCs w:val="24"/>
        </w:rPr>
        <w:t xml:space="preserve"> </w:t>
      </w:r>
      <w:r>
        <w:rPr>
          <w:rFonts w:ascii="宋体" w:hAnsi="宋体"/>
          <w:color w:val="auto"/>
          <w:sz w:val="24"/>
          <w:szCs w:val="24"/>
        </w:rPr>
        <w:t>4</w:t>
      </w:r>
      <w:r>
        <w:rPr>
          <w:rFonts w:hint="eastAsia" w:ascii="宋体" w:hAnsi="宋体"/>
          <w:color w:val="auto"/>
          <w:sz w:val="24"/>
          <w:szCs w:val="24"/>
        </w:rPr>
        <w:t>6.2.</w:t>
      </w:r>
      <w:r>
        <w:rPr>
          <w:rFonts w:ascii="宋体" w:hAnsi="宋体"/>
          <w:color w:val="auto"/>
          <w:sz w:val="24"/>
          <w:szCs w:val="24"/>
        </w:rPr>
        <w:t>4</w:t>
      </w:r>
      <w:r>
        <w:rPr>
          <w:rFonts w:hint="eastAsia" w:ascii="宋体" w:hAnsi="宋体"/>
          <w:color w:val="auto"/>
          <w:sz w:val="24"/>
          <w:szCs w:val="24"/>
        </w:rPr>
        <w:t>当合价、金额累加错误时，按就低不就高原则，如果累加修正值小于原累加值，则按累加修正值；如果累加修正值大于原累加值，则按原累加值；</w:t>
      </w:r>
    </w:p>
    <w:p>
      <w:pPr>
        <w:spacing w:line="360" w:lineRule="auto"/>
        <w:ind w:firstLine="480" w:firstLineChars="200"/>
        <w:rPr>
          <w:rFonts w:ascii="宋体" w:hAnsi="宋体"/>
          <w:color w:val="auto"/>
          <w:sz w:val="24"/>
          <w:szCs w:val="24"/>
        </w:rPr>
      </w:pPr>
      <w:r>
        <w:rPr>
          <w:rFonts w:hint="eastAsia" w:ascii="宋体" w:hAnsi="宋体"/>
          <w:color w:val="auto"/>
          <w:sz w:val="24"/>
          <w:szCs w:val="24"/>
        </w:rPr>
        <w:t xml:space="preserve"> </w:t>
      </w:r>
      <w:r>
        <w:rPr>
          <w:rFonts w:ascii="宋体" w:hAnsi="宋体"/>
          <w:color w:val="auto"/>
          <w:sz w:val="24"/>
          <w:szCs w:val="24"/>
        </w:rPr>
        <w:t>4</w:t>
      </w:r>
      <w:r>
        <w:rPr>
          <w:rFonts w:hint="eastAsia" w:ascii="宋体" w:hAnsi="宋体"/>
          <w:color w:val="auto"/>
          <w:sz w:val="24"/>
          <w:szCs w:val="24"/>
        </w:rPr>
        <w:t>6.2.</w:t>
      </w:r>
      <w:r>
        <w:rPr>
          <w:rFonts w:ascii="宋体" w:hAnsi="宋体"/>
          <w:color w:val="auto"/>
          <w:sz w:val="24"/>
          <w:szCs w:val="24"/>
        </w:rPr>
        <w:t>5</w:t>
      </w:r>
      <w:r>
        <w:rPr>
          <w:rFonts w:hint="eastAsia" w:ascii="宋体" w:hAnsi="宋体"/>
          <w:color w:val="auto"/>
          <w:sz w:val="24"/>
          <w:szCs w:val="24"/>
        </w:rPr>
        <w:t>如果投标人的有关规费、暂列金额、暂估价、绿色施工安全防护措施费等未按招标文件规定的金额填写的，由评标委员会按照招标文件规定的金额进行修正；</w:t>
      </w:r>
    </w:p>
    <w:p>
      <w:pPr>
        <w:spacing w:line="360" w:lineRule="auto"/>
        <w:ind w:firstLine="480" w:firstLineChars="200"/>
        <w:rPr>
          <w:rFonts w:ascii="宋体" w:hAnsi="宋体"/>
          <w:color w:val="auto"/>
          <w:sz w:val="24"/>
          <w:szCs w:val="24"/>
        </w:rPr>
      </w:pPr>
      <w:r>
        <w:rPr>
          <w:rFonts w:ascii="宋体" w:hAnsi="宋体"/>
          <w:color w:val="auto"/>
          <w:sz w:val="24"/>
          <w:szCs w:val="24"/>
        </w:rPr>
        <w:t>4</w:t>
      </w:r>
      <w:r>
        <w:rPr>
          <w:rFonts w:hint="eastAsia" w:ascii="宋体" w:hAnsi="宋体"/>
          <w:color w:val="auto"/>
          <w:sz w:val="24"/>
          <w:szCs w:val="24"/>
        </w:rPr>
        <w:t>6.2.</w:t>
      </w:r>
      <w:r>
        <w:rPr>
          <w:rFonts w:ascii="宋体" w:hAnsi="宋体"/>
          <w:color w:val="auto"/>
          <w:sz w:val="24"/>
          <w:szCs w:val="24"/>
        </w:rPr>
        <w:t>6</w:t>
      </w:r>
      <w:r>
        <w:rPr>
          <w:rFonts w:hint="eastAsia" w:ascii="宋体" w:hAnsi="宋体"/>
          <w:color w:val="auto"/>
          <w:sz w:val="24"/>
          <w:szCs w:val="24"/>
        </w:rPr>
        <w:t>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对比招标文件（招标工程量清单）漏项的，则该漏项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pPr>
        <w:spacing w:line="360" w:lineRule="auto"/>
        <w:ind w:firstLine="480" w:firstLineChars="200"/>
        <w:rPr>
          <w:rFonts w:ascii="宋体" w:hAnsi="宋体"/>
          <w:color w:val="auto"/>
          <w:sz w:val="24"/>
          <w:szCs w:val="24"/>
        </w:rPr>
      </w:pPr>
      <w:r>
        <w:rPr>
          <w:rFonts w:ascii="宋体" w:hAnsi="宋体"/>
          <w:color w:val="auto"/>
          <w:sz w:val="24"/>
          <w:szCs w:val="24"/>
        </w:rPr>
        <w:t>4</w:t>
      </w:r>
      <w:r>
        <w:rPr>
          <w:rFonts w:hint="eastAsia" w:ascii="宋体" w:hAnsi="宋体"/>
          <w:color w:val="auto"/>
          <w:sz w:val="24"/>
          <w:szCs w:val="24"/>
        </w:rPr>
        <w:t>6.2.</w:t>
      </w:r>
      <w:r>
        <w:rPr>
          <w:rFonts w:ascii="宋体" w:hAnsi="宋体"/>
          <w:color w:val="auto"/>
          <w:sz w:val="24"/>
          <w:szCs w:val="24"/>
        </w:rPr>
        <w:t>7</w:t>
      </w:r>
      <w:r>
        <w:rPr>
          <w:rFonts w:hint="eastAsia" w:ascii="宋体" w:hAnsi="宋体"/>
          <w:color w:val="auto"/>
          <w:sz w:val="24"/>
          <w:szCs w:val="24"/>
        </w:rPr>
        <w:t>按就低不就高原则，当修正后报价小于原报价，总价按修正后报价；当修正后报价大于原报价，总价按原报价，并在签订合同时载明在结算价中扣除修正报价与原报价的差额。</w:t>
      </w:r>
    </w:p>
    <w:p>
      <w:pPr>
        <w:spacing w:line="360" w:lineRule="auto"/>
        <w:ind w:firstLine="480" w:firstLineChars="200"/>
        <w:rPr>
          <w:rFonts w:ascii="宋体" w:hAnsi="宋体"/>
          <w:color w:val="auto"/>
          <w:sz w:val="24"/>
          <w:szCs w:val="24"/>
        </w:rPr>
      </w:pPr>
      <w:r>
        <w:rPr>
          <w:rFonts w:ascii="宋体" w:hAnsi="宋体"/>
          <w:color w:val="auto"/>
          <w:sz w:val="24"/>
          <w:szCs w:val="24"/>
        </w:rPr>
        <w:t>4</w:t>
      </w:r>
      <w:r>
        <w:rPr>
          <w:rFonts w:hint="eastAsia" w:ascii="宋体" w:hAnsi="宋体"/>
          <w:color w:val="auto"/>
          <w:sz w:val="24"/>
          <w:szCs w:val="24"/>
        </w:rPr>
        <w:t>6.2.</w:t>
      </w:r>
      <w:r>
        <w:rPr>
          <w:rFonts w:ascii="宋体" w:hAnsi="宋体"/>
          <w:color w:val="auto"/>
          <w:sz w:val="24"/>
          <w:szCs w:val="24"/>
        </w:rPr>
        <w:t>8</w:t>
      </w:r>
      <w:r>
        <w:rPr>
          <w:rFonts w:hint="eastAsia" w:ascii="宋体" w:hAnsi="宋体"/>
          <w:color w:val="auto"/>
          <w:sz w:val="24"/>
          <w:szCs w:val="24"/>
        </w:rPr>
        <w:t>按上述修正错误的原则及方法调整或修正投标文件的投标报价，调整后的投标报价对投标人起约束作用。如果投标人不接受修正后的报价，则取消其投标资格，</w:t>
      </w:r>
      <w:r>
        <w:rPr>
          <w:rFonts w:hint="eastAsia" w:ascii="宋体" w:hAnsi="宋体"/>
          <w:strike/>
          <w:color w:val="auto"/>
          <w:sz w:val="24"/>
          <w:szCs w:val="24"/>
        </w:rPr>
        <w:t>并且其投标保证金也将不予退还</w:t>
      </w:r>
      <w:r>
        <w:rPr>
          <w:rFonts w:hint="eastAsia" w:ascii="宋体" w:hAnsi="宋体"/>
          <w:color w:val="auto"/>
          <w:sz w:val="24"/>
          <w:szCs w:val="24"/>
        </w:rPr>
        <w:t>。</w:t>
      </w:r>
    </w:p>
    <w:p>
      <w:pPr>
        <w:spacing w:line="360" w:lineRule="auto"/>
        <w:ind w:firstLine="480" w:firstLineChars="200"/>
        <w:rPr>
          <w:rFonts w:ascii="宋体" w:hAnsi="宋体"/>
          <w:color w:val="auto"/>
          <w:sz w:val="24"/>
          <w:szCs w:val="24"/>
        </w:rPr>
      </w:pPr>
      <w:r>
        <w:rPr>
          <w:rFonts w:ascii="宋体" w:hAnsi="宋体"/>
          <w:color w:val="auto"/>
          <w:sz w:val="24"/>
          <w:szCs w:val="24"/>
        </w:rPr>
        <w:t>4</w:t>
      </w:r>
      <w:r>
        <w:rPr>
          <w:rFonts w:hint="eastAsia" w:ascii="宋体" w:hAnsi="宋体"/>
          <w:color w:val="auto"/>
          <w:sz w:val="24"/>
          <w:szCs w:val="24"/>
        </w:rPr>
        <w:t>7.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pPr>
        <w:spacing w:line="360" w:lineRule="auto"/>
        <w:ind w:firstLine="480" w:firstLineChars="200"/>
        <w:rPr>
          <w:rFonts w:ascii="宋体" w:hAnsi="宋体"/>
          <w:color w:val="auto"/>
          <w:sz w:val="24"/>
          <w:szCs w:val="24"/>
        </w:rPr>
      </w:pPr>
      <w:r>
        <w:rPr>
          <w:rFonts w:ascii="宋体" w:hAnsi="宋体"/>
          <w:color w:val="auto"/>
          <w:sz w:val="24"/>
          <w:szCs w:val="24"/>
        </w:rPr>
        <w:t>4</w:t>
      </w:r>
      <w:r>
        <w:rPr>
          <w:rFonts w:hint="eastAsia" w:ascii="宋体" w:hAnsi="宋体"/>
          <w:color w:val="auto"/>
          <w:sz w:val="24"/>
          <w:szCs w:val="24"/>
        </w:rPr>
        <w:t>8.评标委员会应在通过投标文件经济标有效性审查的投标人中，按步骤45.4确定的</w:t>
      </w:r>
      <w:r>
        <w:rPr>
          <w:rFonts w:hint="eastAsia" w:ascii="宋体" w:hAnsi="宋体"/>
          <w:color w:val="auto"/>
          <w:sz w:val="24"/>
          <w:szCs w:val="24"/>
          <w:u w:val="single"/>
        </w:rPr>
        <w:t>投标人排序</w:t>
      </w:r>
      <w:r>
        <w:rPr>
          <w:rFonts w:hint="eastAsia" w:ascii="宋体" w:hAnsi="宋体"/>
          <w:color w:val="auto"/>
          <w:sz w:val="24"/>
          <w:szCs w:val="24"/>
        </w:rPr>
        <w:t>，推荐前</w:t>
      </w:r>
      <w:r>
        <w:rPr>
          <w:rFonts w:ascii="宋体" w:hAnsi="宋体"/>
          <w:color w:val="auto"/>
          <w:sz w:val="24"/>
          <w:szCs w:val="24"/>
        </w:rPr>
        <w:t>3</w:t>
      </w:r>
      <w:r>
        <w:rPr>
          <w:rFonts w:hint="eastAsia" w:ascii="宋体" w:hAnsi="宋体"/>
          <w:color w:val="auto"/>
          <w:sz w:val="24"/>
          <w:szCs w:val="24"/>
        </w:rPr>
        <w:t>名依次为第一中标候选人至第三中标候选人</w:t>
      </w:r>
      <w:r>
        <w:rPr>
          <w:rFonts w:ascii="宋体" w:hAnsi="宋体"/>
          <w:color w:val="auto"/>
          <w:sz w:val="24"/>
          <w:szCs w:val="24"/>
        </w:rPr>
        <w:t>,</w:t>
      </w:r>
      <w:r>
        <w:rPr>
          <w:rFonts w:hint="eastAsia" w:ascii="宋体" w:hAnsi="宋体"/>
          <w:color w:val="auto"/>
          <w:sz w:val="24"/>
          <w:szCs w:val="24"/>
        </w:rPr>
        <w:t>并编制评标报告。</w:t>
      </w:r>
    </w:p>
    <w:p>
      <w:pPr>
        <w:spacing w:line="360" w:lineRule="auto"/>
        <w:ind w:firstLine="480" w:firstLineChars="200"/>
        <w:rPr>
          <w:rFonts w:ascii="宋体" w:hAnsi="宋体"/>
          <w:color w:val="auto"/>
          <w:sz w:val="24"/>
          <w:szCs w:val="24"/>
        </w:rPr>
      </w:pPr>
      <w:r>
        <w:rPr>
          <w:rFonts w:ascii="宋体" w:hAnsi="宋体"/>
          <w:color w:val="auto"/>
          <w:sz w:val="24"/>
          <w:szCs w:val="24"/>
        </w:rPr>
        <w:t>4</w:t>
      </w:r>
      <w:r>
        <w:rPr>
          <w:rFonts w:hint="eastAsia" w:ascii="宋体" w:hAnsi="宋体"/>
          <w:color w:val="auto"/>
          <w:sz w:val="24"/>
          <w:szCs w:val="24"/>
        </w:rPr>
        <w:t>9.若通过经济标有效性审查的投标人不足三家，应当依法重新招标。（当</w:t>
      </w:r>
      <w:r>
        <w:rPr>
          <w:rFonts w:ascii="宋体" w:hAnsi="宋体"/>
          <w:color w:val="auto"/>
          <w:sz w:val="24"/>
          <w:szCs w:val="24"/>
        </w:rPr>
        <w:t>N</w:t>
      </w:r>
      <w:r>
        <w:rPr>
          <w:rFonts w:hint="eastAsia" w:ascii="宋体" w:hAnsi="宋体"/>
          <w:color w:val="auto"/>
          <w:sz w:val="24"/>
          <w:szCs w:val="24"/>
        </w:rPr>
        <w:t>个标段同时招标且不允许兼中时，若有效投标人不足</w:t>
      </w:r>
      <w:r>
        <w:rPr>
          <w:rFonts w:ascii="宋体" w:hAnsi="宋体"/>
          <w:color w:val="auto"/>
          <w:sz w:val="24"/>
          <w:szCs w:val="24"/>
        </w:rPr>
        <w:t>N+2</w:t>
      </w:r>
      <w:r>
        <w:rPr>
          <w:rFonts w:hint="eastAsia" w:ascii="宋体" w:hAnsi="宋体"/>
          <w:color w:val="auto"/>
          <w:sz w:val="24"/>
          <w:szCs w:val="24"/>
        </w:rPr>
        <w:t>家，应当依法重新招标）</w:t>
      </w: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hAnsi="宋体"/>
          <w:color w:val="auto"/>
          <w:szCs w:val="21"/>
        </w:rPr>
      </w:pPr>
    </w:p>
    <w:p>
      <w:pPr>
        <w:rPr>
          <w:rFonts w:ascii="宋体"/>
          <w:color w:val="auto"/>
          <w:szCs w:val="21"/>
        </w:rPr>
      </w:pPr>
      <w:r>
        <w:rPr>
          <w:rFonts w:hint="eastAsia" w:ascii="宋体" w:hAnsi="宋体"/>
          <w:color w:val="auto"/>
          <w:szCs w:val="21"/>
        </w:rPr>
        <w:t>附表一：</w:t>
      </w:r>
    </w:p>
    <w:p>
      <w:pPr>
        <w:jc w:val="center"/>
        <w:rPr>
          <w:b/>
          <w:color w:val="auto"/>
          <w:sz w:val="32"/>
          <w:szCs w:val="32"/>
        </w:rPr>
      </w:pPr>
      <w:r>
        <w:rPr>
          <w:rFonts w:hint="eastAsia"/>
          <w:b/>
          <w:color w:val="auto"/>
          <w:sz w:val="32"/>
          <w:szCs w:val="32"/>
        </w:rPr>
        <w:t>资格审查表</w:t>
      </w:r>
    </w:p>
    <w:p>
      <w:pPr>
        <w:spacing w:line="480" w:lineRule="auto"/>
        <w:rPr>
          <w:color w:val="auto"/>
          <w:sz w:val="24"/>
          <w:szCs w:val="24"/>
        </w:rPr>
      </w:pPr>
      <w:r>
        <w:rPr>
          <w:rFonts w:hint="eastAsia"/>
          <w:color w:val="auto"/>
          <w:sz w:val="24"/>
          <w:szCs w:val="24"/>
        </w:rPr>
        <w:t>工程名称：</w:t>
      </w:r>
    </w:p>
    <w:p>
      <w:pPr>
        <w:spacing w:line="480" w:lineRule="auto"/>
        <w:rPr>
          <w:color w:val="auto"/>
          <w:sz w:val="24"/>
          <w:szCs w:val="24"/>
        </w:rPr>
      </w:pPr>
      <w:r>
        <w:rPr>
          <w:rFonts w:hint="eastAsia"/>
          <w:color w:val="auto"/>
          <w:sz w:val="24"/>
          <w:szCs w:val="24"/>
        </w:rPr>
        <w:t>投标人名称：</w:t>
      </w:r>
    </w:p>
    <w:tbl>
      <w:tblPr>
        <w:tblStyle w:val="36"/>
        <w:tblW w:w="92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3536"/>
        <w:gridCol w:w="3955"/>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712"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b/>
                <w:color w:val="auto"/>
                <w:szCs w:val="21"/>
              </w:rPr>
            </w:pPr>
            <w:r>
              <w:rPr>
                <w:rFonts w:hint="eastAsia" w:ascii="宋体" w:hAnsi="宋体"/>
                <w:b/>
                <w:color w:val="auto"/>
                <w:szCs w:val="21"/>
              </w:rPr>
              <w:t>序号</w:t>
            </w:r>
          </w:p>
        </w:tc>
        <w:tc>
          <w:tcPr>
            <w:tcW w:w="353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b/>
                <w:color w:val="auto"/>
                <w:szCs w:val="21"/>
              </w:rPr>
            </w:pPr>
            <w:r>
              <w:rPr>
                <w:rFonts w:hint="eastAsia" w:ascii="宋体" w:hAnsi="宋体"/>
                <w:b/>
                <w:color w:val="auto"/>
                <w:szCs w:val="21"/>
              </w:rPr>
              <w:t>审查项目</w:t>
            </w:r>
          </w:p>
        </w:tc>
        <w:tc>
          <w:tcPr>
            <w:tcW w:w="395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b/>
                <w:color w:val="auto"/>
                <w:szCs w:val="21"/>
              </w:rPr>
            </w:pPr>
            <w:r>
              <w:rPr>
                <w:rFonts w:hint="eastAsia" w:ascii="宋体" w:hAnsi="宋体"/>
                <w:b/>
                <w:color w:val="auto"/>
                <w:szCs w:val="21"/>
              </w:rPr>
              <w:t>须审查的资料</w:t>
            </w:r>
          </w:p>
        </w:tc>
        <w:tc>
          <w:tcPr>
            <w:tcW w:w="1071"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b/>
                <w:color w:val="auto"/>
                <w:szCs w:val="21"/>
              </w:rPr>
            </w:pPr>
            <w:r>
              <w:rPr>
                <w:rFonts w:hint="eastAsia" w:ascii="宋体" w:hAnsi="宋体"/>
                <w:b/>
                <w:color w:val="auto"/>
                <w:szCs w:val="21"/>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ascii="宋体" w:hAnsi="宋体"/>
                <w:color w:val="auto"/>
                <w:szCs w:val="21"/>
              </w:rPr>
              <w:t>1</w:t>
            </w:r>
          </w:p>
        </w:tc>
        <w:tc>
          <w:tcPr>
            <w:tcW w:w="353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投标人参加投标的意思表达清楚，投标人代表被授权有效</w:t>
            </w:r>
          </w:p>
        </w:tc>
        <w:tc>
          <w:tcPr>
            <w:tcW w:w="395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投标人声明、法定代表人证明书；委托投标的还应提供法人授权委托证明书</w:t>
            </w:r>
          </w:p>
        </w:tc>
        <w:tc>
          <w:tcPr>
            <w:tcW w:w="1071"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ascii="宋体" w:hAnsi="宋体"/>
                <w:color w:val="auto"/>
                <w:szCs w:val="21"/>
              </w:rPr>
              <w:t>2</w:t>
            </w:r>
          </w:p>
        </w:tc>
        <w:tc>
          <w:tcPr>
            <w:tcW w:w="353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投标人均具有独立法人资格，按国家法律经营</w:t>
            </w:r>
          </w:p>
        </w:tc>
        <w:tc>
          <w:tcPr>
            <w:tcW w:w="395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s="宋体"/>
                <w:color w:val="auto"/>
                <w:szCs w:val="21"/>
              </w:rPr>
              <w:t>营业执照</w:t>
            </w:r>
            <w:r>
              <w:rPr>
                <w:rFonts w:hint="eastAsia" w:ascii="宋体" w:hAnsi="宋体"/>
                <w:color w:val="auto"/>
                <w:szCs w:val="21"/>
              </w:rPr>
              <w:t>扫描件</w:t>
            </w:r>
          </w:p>
        </w:tc>
        <w:tc>
          <w:tcPr>
            <w:tcW w:w="1071"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ascii="宋体" w:hAnsi="宋体"/>
                <w:color w:val="auto"/>
                <w:szCs w:val="21"/>
              </w:rPr>
              <w:t>3</w:t>
            </w:r>
          </w:p>
        </w:tc>
        <w:tc>
          <w:tcPr>
            <w:tcW w:w="353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投标人均持有建设行政主管部门颁发的企业资质证书及安全生产许可证；投标人资质符合公告要求</w:t>
            </w:r>
          </w:p>
        </w:tc>
        <w:tc>
          <w:tcPr>
            <w:tcW w:w="395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s="宋体"/>
                <w:color w:val="auto"/>
                <w:szCs w:val="21"/>
              </w:rPr>
              <w:t>资质证书及安全生产许可证</w:t>
            </w:r>
            <w:r>
              <w:rPr>
                <w:rFonts w:hint="eastAsia" w:ascii="宋体" w:hAnsi="宋体"/>
                <w:color w:val="auto"/>
                <w:szCs w:val="21"/>
              </w:rPr>
              <w:t>扫描件</w:t>
            </w:r>
          </w:p>
        </w:tc>
        <w:tc>
          <w:tcPr>
            <w:tcW w:w="1071"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ascii="宋体" w:hAnsi="宋体"/>
                <w:color w:val="auto"/>
                <w:szCs w:val="21"/>
              </w:rPr>
              <w:t>4</w:t>
            </w:r>
          </w:p>
        </w:tc>
        <w:tc>
          <w:tcPr>
            <w:tcW w:w="353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投标人拟担任本工程项目负责人符合公告要求</w:t>
            </w:r>
          </w:p>
        </w:tc>
        <w:tc>
          <w:tcPr>
            <w:tcW w:w="395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处于有效期内的注册建造师注册证书扫描件。</w:t>
            </w:r>
          </w:p>
          <w:p>
            <w:pPr>
              <w:spacing w:before="120" w:after="60"/>
              <w:jc w:val="center"/>
              <w:rPr>
                <w:rFonts w:ascii="宋体" w:hAnsi="宋体"/>
                <w:color w:val="auto"/>
                <w:szCs w:val="21"/>
              </w:rPr>
            </w:pPr>
            <w:r>
              <w:rPr>
                <w:rFonts w:hint="eastAsia" w:ascii="宋体" w:hAnsi="宋体"/>
                <w:color w:val="auto"/>
                <w:szCs w:val="21"/>
              </w:rPr>
              <w:t>（注：打印建造师电子证书后，应在个人签名处手写本人签名再扫描提交，提交扫描件未手写签名或与签名图像笔迹不一致的，该电子证书无效。）</w:t>
            </w:r>
          </w:p>
        </w:tc>
        <w:tc>
          <w:tcPr>
            <w:tcW w:w="1071"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ascii="宋体" w:hAnsi="宋体"/>
                <w:color w:val="auto"/>
                <w:szCs w:val="21"/>
              </w:rPr>
              <w:t>5</w:t>
            </w:r>
          </w:p>
        </w:tc>
        <w:tc>
          <w:tcPr>
            <w:tcW w:w="353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rPr>
            </w:pPr>
            <w:r>
              <w:rPr>
                <w:rFonts w:hint="eastAsia" w:ascii="宋体" w:hAnsi="宋体" w:cs="宋体"/>
                <w:color w:val="auto"/>
                <w:szCs w:val="21"/>
              </w:rPr>
              <w:t>持有项目负责人安全生产考核合格证（B类）或建筑施工企业项目负责人安全生产考核合格证</w:t>
            </w:r>
          </w:p>
        </w:tc>
        <w:tc>
          <w:tcPr>
            <w:tcW w:w="395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rPr>
            </w:pPr>
            <w:r>
              <w:rPr>
                <w:rFonts w:hint="eastAsia" w:ascii="宋体" w:hAnsi="宋体" w:cs="宋体"/>
                <w:color w:val="auto"/>
                <w:szCs w:val="21"/>
              </w:rPr>
              <w:t>项目负责人安全生产考核合格证（B类）或建筑施工企业项目负责人安全生产考核合格证扫描件</w:t>
            </w:r>
          </w:p>
        </w:tc>
        <w:tc>
          <w:tcPr>
            <w:tcW w:w="1071"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6</w:t>
            </w:r>
          </w:p>
        </w:tc>
        <w:tc>
          <w:tcPr>
            <w:tcW w:w="353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投标人拟担任本工程技术负责人符合公告要求</w:t>
            </w:r>
          </w:p>
        </w:tc>
        <w:tc>
          <w:tcPr>
            <w:tcW w:w="395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s="宋体"/>
                <w:color w:val="auto"/>
                <w:szCs w:val="21"/>
              </w:rPr>
              <w:t>拟委托技术负责人的</w:t>
            </w:r>
            <w:r>
              <w:rPr>
                <w:rStyle w:val="117"/>
                <w:rFonts w:hint="eastAsia"/>
                <w:color w:val="auto"/>
                <w:sz w:val="21"/>
                <w:szCs w:val="21"/>
                <w:lang w:val="en-US"/>
              </w:rPr>
              <w:t>市政类专业</w:t>
            </w:r>
            <w:r>
              <w:rPr>
                <w:rFonts w:hint="eastAsia" w:ascii="宋体" w:hAnsi="宋体" w:cs="宋体"/>
                <w:color w:val="auto"/>
                <w:szCs w:val="21"/>
              </w:rPr>
              <w:t>工程师或以上职称证书扫描件</w:t>
            </w:r>
          </w:p>
        </w:tc>
        <w:tc>
          <w:tcPr>
            <w:tcW w:w="1071"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7</w:t>
            </w:r>
          </w:p>
        </w:tc>
        <w:tc>
          <w:tcPr>
            <w:tcW w:w="353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专职安全员须具有安全生产考核合格证（C类）或建筑施工企业专职安全生产管理人员安全生产考核合格证书（C3）</w:t>
            </w:r>
          </w:p>
        </w:tc>
        <w:tc>
          <w:tcPr>
            <w:tcW w:w="395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专职安全员须具有安全生产考核合格证（C类）或建筑施工企业专职安全生产管理人员安全生产考核合格证书（C3）扫描件。</w:t>
            </w:r>
          </w:p>
        </w:tc>
        <w:tc>
          <w:tcPr>
            <w:tcW w:w="1071"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8</w:t>
            </w:r>
          </w:p>
        </w:tc>
        <w:tc>
          <w:tcPr>
            <w:tcW w:w="353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投标人提供的投标人声明符合公告要求</w:t>
            </w:r>
          </w:p>
        </w:tc>
        <w:tc>
          <w:tcPr>
            <w:tcW w:w="395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s="宋体"/>
                <w:color w:val="auto"/>
                <w:szCs w:val="21"/>
              </w:rPr>
              <w:t>投标人声明（一）、投标人声明（二）、投标人声明（三）</w:t>
            </w:r>
          </w:p>
        </w:tc>
        <w:tc>
          <w:tcPr>
            <w:tcW w:w="1071"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9</w:t>
            </w:r>
          </w:p>
        </w:tc>
        <w:tc>
          <w:tcPr>
            <w:tcW w:w="353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投标人声明中签字的项目负责人和技术负责人与本项目拟派的项目负责人和技术负责人一致</w:t>
            </w:r>
          </w:p>
        </w:tc>
        <w:tc>
          <w:tcPr>
            <w:tcW w:w="395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网上投标时选择拟投标的项目负责人、资格审查文件中拟委派的技术负责人及投标人声明</w:t>
            </w:r>
          </w:p>
        </w:tc>
        <w:tc>
          <w:tcPr>
            <w:tcW w:w="1071"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10</w:t>
            </w:r>
          </w:p>
        </w:tc>
        <w:tc>
          <w:tcPr>
            <w:tcW w:w="353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关于联合体投标：本项目不接受联合体投标。</w:t>
            </w:r>
          </w:p>
        </w:tc>
        <w:tc>
          <w:tcPr>
            <w:tcW w:w="395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本项目不接受联合体投标。</w:t>
            </w:r>
          </w:p>
        </w:tc>
        <w:tc>
          <w:tcPr>
            <w:tcW w:w="1071"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11</w:t>
            </w:r>
          </w:p>
        </w:tc>
        <w:tc>
          <w:tcPr>
            <w:tcW w:w="353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投标登记前，投标人须在广州交易集团有限公司（广州公共资源交易中心）办理企业信息登记及拟担任本工程项目负责人、专职安全员须是本企业信息登记信息中的在册人员。</w:t>
            </w:r>
          </w:p>
        </w:tc>
        <w:tc>
          <w:tcPr>
            <w:tcW w:w="395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投标人在</w:t>
            </w:r>
            <w:r>
              <w:rPr>
                <w:rFonts w:hint="eastAsia"/>
                <w:color w:val="auto"/>
                <w:u w:val="single"/>
              </w:rPr>
              <w:t>广州交易集团有限公司（广州公共资源交易中心）企业</w:t>
            </w:r>
            <w:r>
              <w:rPr>
                <w:rFonts w:hint="eastAsia" w:ascii="宋体" w:hAnsi="宋体"/>
                <w:color w:val="auto"/>
                <w:szCs w:val="21"/>
              </w:rPr>
              <w:t>库内</w:t>
            </w:r>
            <w:r>
              <w:rPr>
                <w:rFonts w:hint="eastAsia" w:ascii="宋体" w:hAnsi="宋体"/>
                <w:color w:val="auto"/>
                <w:szCs w:val="21"/>
                <w:u w:val="single"/>
              </w:rPr>
              <w:t>信息</w:t>
            </w:r>
            <w:r>
              <w:rPr>
                <w:rFonts w:hint="eastAsia"/>
                <w:color w:val="auto"/>
                <w:u w:val="single"/>
              </w:rPr>
              <w:t>登记</w:t>
            </w:r>
            <w:r>
              <w:rPr>
                <w:rFonts w:hint="eastAsia" w:ascii="宋体" w:hAnsi="宋体"/>
                <w:color w:val="auto"/>
                <w:szCs w:val="21"/>
              </w:rPr>
              <w:t>的企业和人员信息</w:t>
            </w:r>
          </w:p>
        </w:tc>
        <w:tc>
          <w:tcPr>
            <w:tcW w:w="1071"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12</w:t>
            </w:r>
          </w:p>
        </w:tc>
        <w:tc>
          <w:tcPr>
            <w:tcW w:w="353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投标人未出现以下情形：与其它投标人的单位负责人为同一人或者存在控股、管理关系的（按投标人提供的《投标人声明（一）》第八条内容进行评审）。</w:t>
            </w:r>
          </w:p>
        </w:tc>
        <w:tc>
          <w:tcPr>
            <w:tcW w:w="395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rPr>
            </w:pPr>
            <w:r>
              <w:rPr>
                <w:rFonts w:hint="eastAsia" w:ascii="宋体" w:hAnsi="宋体" w:cs="宋体"/>
                <w:color w:val="auto"/>
                <w:szCs w:val="21"/>
              </w:rPr>
              <w:t>投标人声明</w:t>
            </w:r>
            <w:r>
              <w:rPr>
                <w:rFonts w:hint="eastAsia" w:ascii="宋体" w:hAnsi="宋体"/>
                <w:color w:val="auto"/>
                <w:szCs w:val="21"/>
              </w:rPr>
              <w:t>（一）</w:t>
            </w:r>
          </w:p>
        </w:tc>
        <w:tc>
          <w:tcPr>
            <w:tcW w:w="1071"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13</w:t>
            </w:r>
          </w:p>
        </w:tc>
        <w:tc>
          <w:tcPr>
            <w:tcW w:w="3536"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未被列入拖欠农民工工资失信联合惩戒对象名单</w:t>
            </w:r>
          </w:p>
        </w:tc>
        <w:tc>
          <w:tcPr>
            <w:tcW w:w="3955"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投标人无需提供资料，按交易系统比对的结果进行评审</w:t>
            </w:r>
          </w:p>
        </w:tc>
        <w:tc>
          <w:tcPr>
            <w:tcW w:w="1071"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p>
        </w:tc>
      </w:tr>
    </w:tbl>
    <w:p>
      <w:pPr>
        <w:spacing w:line="480" w:lineRule="auto"/>
        <w:ind w:firstLine="470" w:firstLineChars="224"/>
        <w:rPr>
          <w:rFonts w:ascii="宋体"/>
          <w:color w:val="auto"/>
          <w:szCs w:val="21"/>
        </w:rPr>
      </w:pPr>
      <w:r>
        <w:rPr>
          <w:rFonts w:hint="eastAsia" w:ascii="宋体" w:hAnsi="宋体"/>
          <w:color w:val="auto"/>
          <w:szCs w:val="21"/>
        </w:rPr>
        <w:t>备注：</w:t>
      </w:r>
    </w:p>
    <w:p>
      <w:pPr>
        <w:spacing w:line="480" w:lineRule="auto"/>
        <w:ind w:firstLine="470" w:firstLineChars="224"/>
        <w:rPr>
          <w:rFonts w:ascii="宋体" w:hAnsi="宋体"/>
          <w:color w:val="auto"/>
          <w:szCs w:val="21"/>
        </w:rPr>
      </w:pPr>
      <w:r>
        <w:rPr>
          <w:rFonts w:hint="eastAsia" w:ascii="宋体" w:hAnsi="宋体"/>
          <w:color w:val="auto"/>
          <w:szCs w:val="21"/>
        </w:rPr>
        <w:t xml:space="preserve">1、每一项目符合的打“○”，不符合的打“×”； </w:t>
      </w:r>
    </w:p>
    <w:p>
      <w:pPr>
        <w:spacing w:line="480" w:lineRule="auto"/>
        <w:ind w:firstLine="470" w:firstLineChars="224"/>
        <w:rPr>
          <w:rFonts w:ascii="宋体" w:hAnsi="宋体"/>
          <w:color w:val="auto"/>
          <w:szCs w:val="21"/>
        </w:rPr>
      </w:pPr>
      <w:r>
        <w:rPr>
          <w:rFonts w:hint="eastAsia" w:ascii="宋体" w:hAnsi="宋体"/>
          <w:color w:val="auto"/>
          <w:szCs w:val="21"/>
        </w:rPr>
        <w:t>2、若评委意见不一致时，则按少数服从多数的原则，作出评审结论。汇总后，出现一个“×”的结论为“不通过”。</w:t>
      </w:r>
    </w:p>
    <w:p>
      <w:pPr>
        <w:spacing w:line="480" w:lineRule="auto"/>
        <w:ind w:firstLine="470" w:firstLineChars="224"/>
        <w:rPr>
          <w:rFonts w:ascii="宋体" w:hAnsi="宋体"/>
          <w:color w:val="auto"/>
          <w:szCs w:val="21"/>
        </w:rPr>
      </w:pPr>
      <w:r>
        <w:rPr>
          <w:rFonts w:hint="eastAsia" w:ascii="宋体" w:hAnsi="宋体"/>
          <w:color w:val="auto"/>
          <w:szCs w:val="21"/>
        </w:rPr>
        <w:t>3.</w:t>
      </w:r>
      <w:r>
        <w:rPr>
          <w:rFonts w:ascii="宋体" w:hAnsi="宋体"/>
          <w:color w:val="auto"/>
          <w:szCs w:val="21"/>
        </w:rPr>
        <w:t>不得将</w:t>
      </w:r>
      <w:r>
        <w:rPr>
          <w:rFonts w:hint="eastAsia" w:ascii="宋体" w:hAnsi="宋体"/>
          <w:color w:val="auto"/>
          <w:szCs w:val="21"/>
        </w:rPr>
        <w:t>文件顺序、</w:t>
      </w:r>
      <w:r>
        <w:rPr>
          <w:rFonts w:ascii="宋体" w:hAnsi="宋体"/>
          <w:color w:val="auto"/>
          <w:szCs w:val="21"/>
        </w:rPr>
        <w:t>明显的文字错误等列为否</w:t>
      </w:r>
      <w:r>
        <w:rPr>
          <w:rFonts w:hint="eastAsia" w:ascii="宋体" w:hAnsi="宋体"/>
          <w:color w:val="auto"/>
          <w:szCs w:val="21"/>
        </w:rPr>
        <w:t>决</w:t>
      </w:r>
      <w:r>
        <w:rPr>
          <w:rFonts w:ascii="宋体" w:hAnsi="宋体"/>
          <w:color w:val="auto"/>
          <w:szCs w:val="21"/>
        </w:rPr>
        <w:t>投标的</w:t>
      </w:r>
      <w:r>
        <w:rPr>
          <w:rFonts w:hint="eastAsia" w:ascii="宋体" w:hAnsi="宋体"/>
          <w:color w:val="auto"/>
          <w:szCs w:val="21"/>
        </w:rPr>
        <w:t>情形。评委</w:t>
      </w:r>
      <w:r>
        <w:rPr>
          <w:rFonts w:ascii="宋体" w:hAnsi="宋体"/>
          <w:color w:val="auto"/>
          <w:szCs w:val="21"/>
        </w:rPr>
        <w:t>发现</w:t>
      </w:r>
      <w:r>
        <w:rPr>
          <w:rFonts w:hint="eastAsia" w:ascii="宋体" w:hAnsi="宋体"/>
          <w:color w:val="auto"/>
          <w:szCs w:val="21"/>
        </w:rPr>
        <w:t>资格审查文件</w:t>
      </w:r>
      <w:r>
        <w:rPr>
          <w:rFonts w:ascii="宋体" w:hAnsi="宋体"/>
          <w:color w:val="auto"/>
          <w:szCs w:val="21"/>
        </w:rPr>
        <w:t>中</w:t>
      </w:r>
      <w:r>
        <w:rPr>
          <w:rFonts w:hint="eastAsia" w:ascii="宋体" w:hAnsi="宋体"/>
          <w:color w:val="auto"/>
          <w:szCs w:val="21"/>
        </w:rPr>
        <w:t>含义不明确</w:t>
      </w:r>
      <w:r>
        <w:rPr>
          <w:rFonts w:ascii="宋体" w:hAnsi="宋体"/>
          <w:color w:val="auto"/>
          <w:szCs w:val="21"/>
        </w:rPr>
        <w:t>、对同类问题表述不一致、有明显</w:t>
      </w:r>
      <w:r>
        <w:rPr>
          <w:rFonts w:hint="eastAsia" w:ascii="宋体" w:hAnsi="宋体"/>
          <w:color w:val="auto"/>
          <w:szCs w:val="21"/>
        </w:rPr>
        <w:t>文字</w:t>
      </w:r>
      <w:r>
        <w:rPr>
          <w:rFonts w:ascii="宋体" w:hAnsi="宋体"/>
          <w:color w:val="auto"/>
          <w:szCs w:val="21"/>
        </w:rPr>
        <w:t>和计算错误的，应当</w:t>
      </w:r>
      <w:r>
        <w:rPr>
          <w:rFonts w:hint="eastAsia" w:ascii="宋体" w:hAnsi="宋体"/>
          <w:color w:val="auto"/>
          <w:szCs w:val="21"/>
        </w:rPr>
        <w:t>要求</w:t>
      </w:r>
      <w:r>
        <w:rPr>
          <w:rFonts w:ascii="宋体" w:hAnsi="宋体"/>
          <w:color w:val="auto"/>
          <w:szCs w:val="21"/>
        </w:rPr>
        <w:t>投标人作必要的澄清、说明</w:t>
      </w:r>
      <w:r>
        <w:rPr>
          <w:rFonts w:hint="eastAsia" w:ascii="宋体" w:hAnsi="宋体"/>
          <w:color w:val="auto"/>
          <w:szCs w:val="21"/>
        </w:rPr>
        <w:t>后再判定投标人是否通过资格审查</w:t>
      </w:r>
      <w:r>
        <w:rPr>
          <w:rFonts w:ascii="宋体" w:hAnsi="宋体"/>
          <w:color w:val="auto"/>
          <w:szCs w:val="21"/>
        </w:rPr>
        <w:t>，不得直接</w:t>
      </w:r>
      <w:r>
        <w:rPr>
          <w:rFonts w:hint="eastAsia" w:ascii="宋体" w:hAnsi="宋体"/>
          <w:color w:val="auto"/>
          <w:szCs w:val="21"/>
        </w:rPr>
        <w:t>认定其不通过资格审查。</w:t>
      </w:r>
    </w:p>
    <w:p>
      <w:pPr>
        <w:rPr>
          <w:color w:val="auto"/>
        </w:rPr>
        <w:sectPr>
          <w:headerReference r:id="rId5" w:type="first"/>
          <w:footerReference r:id="rId8" w:type="first"/>
          <w:headerReference r:id="rId3" w:type="default"/>
          <w:footerReference r:id="rId6" w:type="default"/>
          <w:headerReference r:id="rId4" w:type="even"/>
          <w:footerReference r:id="rId7" w:type="even"/>
          <w:endnotePr>
            <w:numFmt w:val="decimal"/>
          </w:endnotePr>
          <w:pgSz w:w="11906" w:h="16838"/>
          <w:pgMar w:top="1134" w:right="1418" w:bottom="1247" w:left="1418" w:header="851" w:footer="907" w:gutter="0"/>
          <w:cols w:space="425" w:num="1"/>
          <w:titlePg/>
          <w:docGrid w:type="lines" w:linePitch="312" w:charSpace="0"/>
        </w:sectPr>
      </w:pPr>
    </w:p>
    <w:p>
      <w:pPr>
        <w:jc w:val="left"/>
        <w:rPr>
          <w:b/>
          <w:color w:val="auto"/>
          <w:sz w:val="36"/>
          <w:szCs w:val="36"/>
        </w:rPr>
      </w:pPr>
      <w:r>
        <w:rPr>
          <w:rFonts w:hint="eastAsia"/>
          <w:color w:val="auto"/>
          <w:szCs w:val="21"/>
        </w:rPr>
        <w:t>附表二</w:t>
      </w:r>
      <w:r>
        <w:rPr>
          <w:rFonts w:hint="eastAsia"/>
          <w:b/>
          <w:color w:val="auto"/>
          <w:sz w:val="36"/>
          <w:szCs w:val="36"/>
        </w:rPr>
        <w:t xml:space="preserve">                             技术标有效性审查表</w:t>
      </w:r>
    </w:p>
    <w:p>
      <w:pPr>
        <w:rPr>
          <w:color w:val="auto"/>
          <w:szCs w:val="21"/>
        </w:rPr>
      </w:pPr>
      <w:r>
        <w:rPr>
          <w:rFonts w:hint="eastAsia"/>
          <w:color w:val="auto"/>
          <w:szCs w:val="21"/>
        </w:rPr>
        <w:t>工程名称：</w:t>
      </w:r>
    </w:p>
    <w:tbl>
      <w:tblPr>
        <w:tblStyle w:val="36"/>
        <w:tblW w:w="14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5318"/>
        <w:gridCol w:w="1583"/>
        <w:gridCol w:w="1534"/>
        <w:gridCol w:w="1650"/>
        <w:gridCol w:w="1766"/>
        <w:gridCol w:w="1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rPr>
            </w:pPr>
            <w:r>
              <w:rPr>
                <w:rFonts w:hint="eastAsia" w:ascii="宋体" w:hAnsi="宋体"/>
                <w:color w:val="auto"/>
                <w:szCs w:val="21"/>
              </w:rPr>
              <w:t>序号</w:t>
            </w:r>
          </w:p>
        </w:tc>
        <w:tc>
          <w:tcPr>
            <w:tcW w:w="5318" w:type="dxa"/>
            <w:tcBorders>
              <w:top w:val="single" w:color="auto" w:sz="4" w:space="0"/>
              <w:left w:val="single" w:color="auto" w:sz="4" w:space="0"/>
              <w:bottom w:val="single" w:color="auto" w:sz="4" w:space="0"/>
              <w:right w:val="single" w:color="auto" w:sz="4" w:space="0"/>
              <w:tl2br w:val="single" w:color="auto" w:sz="4" w:space="0"/>
            </w:tcBorders>
          </w:tcPr>
          <w:p>
            <w:pPr>
              <w:adjustRightInd w:val="0"/>
              <w:rPr>
                <w:rFonts w:ascii="宋体" w:hAnsi="宋体"/>
                <w:color w:val="auto"/>
                <w:szCs w:val="21"/>
              </w:rPr>
            </w:pPr>
            <w:r>
              <w:rPr>
                <w:rFonts w:ascii="宋体" w:hAnsi="宋体"/>
                <w:color w:val="auto"/>
                <w:szCs w:val="21"/>
              </w:rPr>
              <w:t xml:space="preserve">               </w:t>
            </w:r>
            <w:r>
              <w:rPr>
                <w:rFonts w:hint="eastAsia" w:ascii="宋体" w:hAnsi="宋体"/>
                <w:color w:val="auto"/>
                <w:szCs w:val="21"/>
              </w:rPr>
              <w:t>投标人</w:t>
            </w:r>
          </w:p>
          <w:p>
            <w:pPr>
              <w:adjustRightInd w:val="0"/>
              <w:rPr>
                <w:rFonts w:ascii="宋体" w:hAnsi="宋体"/>
                <w:color w:val="auto"/>
                <w:szCs w:val="21"/>
              </w:rPr>
            </w:pPr>
            <w:r>
              <w:rPr>
                <w:rFonts w:hint="eastAsia" w:ascii="宋体" w:hAnsi="宋体"/>
                <w:color w:val="auto"/>
                <w:szCs w:val="21"/>
              </w:rPr>
              <w:t>评审内容</w:t>
            </w:r>
          </w:p>
        </w:tc>
        <w:tc>
          <w:tcPr>
            <w:tcW w:w="158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534"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5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766"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717"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rPr>
            </w:pPr>
            <w:r>
              <w:rPr>
                <w:rFonts w:hint="eastAsia" w:ascii="宋体" w:hAnsi="宋体"/>
                <w:color w:val="auto"/>
                <w:szCs w:val="21"/>
              </w:rPr>
              <w:t>1</w:t>
            </w:r>
          </w:p>
        </w:tc>
        <w:tc>
          <w:tcPr>
            <w:tcW w:w="5318"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rPr>
            </w:pPr>
            <w:r>
              <w:rPr>
                <w:rFonts w:hint="eastAsia" w:ascii="宋体" w:hAnsi="宋体" w:cs="宋体"/>
                <w:color w:val="auto"/>
                <w:szCs w:val="21"/>
                <w:u w:val="single"/>
              </w:rPr>
              <w:t>《广州建设工程施工招标投标书》中的投标总工期不符合招标文件要求的；</w:t>
            </w:r>
          </w:p>
        </w:tc>
        <w:tc>
          <w:tcPr>
            <w:tcW w:w="158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534"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5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766"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717"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rPr>
            </w:pPr>
            <w:r>
              <w:rPr>
                <w:rFonts w:hint="eastAsia" w:ascii="宋体" w:hAnsi="宋体"/>
                <w:color w:val="auto"/>
                <w:szCs w:val="21"/>
              </w:rPr>
              <w:t>2</w:t>
            </w:r>
          </w:p>
        </w:tc>
        <w:tc>
          <w:tcPr>
            <w:tcW w:w="5318"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rPr>
            </w:pPr>
            <w:r>
              <w:rPr>
                <w:rFonts w:hint="eastAsia" w:ascii="宋体" w:hAnsi="宋体" w:cs="宋体"/>
                <w:color w:val="auto"/>
                <w:szCs w:val="21"/>
                <w:u w:val="single"/>
              </w:rPr>
              <w:t>《广州建设工程施工招标投标书》中的工程质量标准不符合招标文件要求的；</w:t>
            </w:r>
          </w:p>
        </w:tc>
        <w:tc>
          <w:tcPr>
            <w:tcW w:w="158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534"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5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766"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717"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rPr>
            </w:pPr>
            <w:r>
              <w:rPr>
                <w:rFonts w:hint="eastAsia" w:ascii="宋体" w:hAnsi="宋体"/>
                <w:color w:val="auto"/>
                <w:szCs w:val="21"/>
              </w:rPr>
              <w:t>3</w:t>
            </w:r>
          </w:p>
        </w:tc>
        <w:tc>
          <w:tcPr>
            <w:tcW w:w="5318"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rPr>
            </w:pPr>
            <w:r>
              <w:rPr>
                <w:rFonts w:hint="eastAsia" w:ascii="宋体" w:hAnsi="宋体" w:cs="宋体"/>
                <w:color w:val="auto"/>
                <w:szCs w:val="21"/>
              </w:rPr>
              <w:t>投标文件中没有有效的法定代表人证明书，或由委托代理人</w:t>
            </w:r>
            <w:r>
              <w:rPr>
                <w:rFonts w:hint="eastAsia" w:ascii="宋体" w:hAnsi="宋体" w:cs="宋体"/>
                <w:color w:val="auto"/>
                <w:szCs w:val="21"/>
                <w:u w:val="single"/>
              </w:rPr>
              <w:t>签字或盖章</w:t>
            </w:r>
            <w:r>
              <w:rPr>
                <w:rFonts w:hint="eastAsia" w:ascii="宋体" w:hAnsi="宋体" w:cs="宋体"/>
                <w:color w:val="auto"/>
                <w:szCs w:val="21"/>
              </w:rPr>
              <w:t>的投标文件中没有法定代表人授权书；</w:t>
            </w:r>
          </w:p>
        </w:tc>
        <w:tc>
          <w:tcPr>
            <w:tcW w:w="158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534"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5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766"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717"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rPr>
            </w:pPr>
            <w:r>
              <w:rPr>
                <w:rFonts w:hint="eastAsia" w:ascii="宋体" w:hAnsi="宋体"/>
                <w:color w:val="auto"/>
                <w:szCs w:val="21"/>
              </w:rPr>
              <w:t>4</w:t>
            </w:r>
          </w:p>
        </w:tc>
        <w:tc>
          <w:tcPr>
            <w:tcW w:w="5318"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rPr>
            </w:pPr>
            <w:r>
              <w:rPr>
                <w:rFonts w:hint="eastAsia" w:ascii="宋体" w:hAnsi="宋体" w:cs="宋体"/>
                <w:color w:val="auto"/>
                <w:szCs w:val="21"/>
              </w:rPr>
              <w:t>投标文件未按规定的格式</w:t>
            </w:r>
            <w:r>
              <w:rPr>
                <w:rFonts w:hint="eastAsia" w:ascii="宋体" w:hAnsi="宋体" w:cs="宋体"/>
                <w:color w:val="auto"/>
                <w:szCs w:val="21"/>
                <w:u w:val="single"/>
              </w:rPr>
              <w:t>（指附件一：广州建设工程施工招标投标书）</w:t>
            </w:r>
            <w:r>
              <w:rPr>
                <w:rFonts w:hint="eastAsia" w:ascii="宋体" w:hAnsi="宋体" w:cs="宋体"/>
                <w:color w:val="auto"/>
                <w:szCs w:val="21"/>
              </w:rPr>
              <w:t>填写，或主要内容不全，或关键字迹模糊、无法辨认的；</w:t>
            </w:r>
          </w:p>
        </w:tc>
        <w:tc>
          <w:tcPr>
            <w:tcW w:w="158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534"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5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766"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717"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rPr>
            </w:pPr>
            <w:r>
              <w:rPr>
                <w:rFonts w:ascii="宋体" w:hAnsi="宋体"/>
                <w:color w:val="auto"/>
                <w:szCs w:val="21"/>
              </w:rPr>
              <w:t>5</w:t>
            </w:r>
          </w:p>
        </w:tc>
        <w:tc>
          <w:tcPr>
            <w:tcW w:w="5318"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rPr>
            </w:pPr>
            <w:r>
              <w:rPr>
                <w:rFonts w:hint="eastAsia" w:ascii="宋体" w:hAnsi="宋体"/>
                <w:color w:val="auto"/>
                <w:szCs w:val="21"/>
              </w:rPr>
              <w:t>投标人之间存在《广东省实施&lt;中华人民共和国招标投标法&gt;》第十六条所禁止的情形的；</w:t>
            </w:r>
          </w:p>
        </w:tc>
        <w:tc>
          <w:tcPr>
            <w:tcW w:w="158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534"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5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766"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717"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rPr>
            </w:pPr>
            <w:r>
              <w:rPr>
                <w:rFonts w:ascii="宋体" w:hAnsi="宋体"/>
                <w:color w:val="auto"/>
                <w:szCs w:val="21"/>
              </w:rPr>
              <w:t>6</w:t>
            </w:r>
          </w:p>
        </w:tc>
        <w:tc>
          <w:tcPr>
            <w:tcW w:w="5318"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rPr>
            </w:pPr>
            <w:r>
              <w:rPr>
                <w:rFonts w:hint="eastAsia" w:ascii="宋体" w:hAnsi="宋体"/>
                <w:color w:val="auto"/>
                <w:szCs w:val="21"/>
              </w:rPr>
              <w:t>无《参与编制技术标投标文件人员名单》的</w:t>
            </w:r>
          </w:p>
        </w:tc>
        <w:tc>
          <w:tcPr>
            <w:tcW w:w="158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shd w:val="pct10" w:color="auto" w:fill="FFFFFF"/>
              </w:rPr>
            </w:pPr>
          </w:p>
        </w:tc>
        <w:tc>
          <w:tcPr>
            <w:tcW w:w="1534"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shd w:val="pct10" w:color="auto" w:fill="FFFFFF"/>
              </w:rPr>
            </w:pPr>
          </w:p>
        </w:tc>
        <w:tc>
          <w:tcPr>
            <w:tcW w:w="165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shd w:val="pct10" w:color="auto" w:fill="FFFFFF"/>
              </w:rPr>
            </w:pPr>
          </w:p>
        </w:tc>
        <w:tc>
          <w:tcPr>
            <w:tcW w:w="1766"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shd w:val="pct10" w:color="auto" w:fill="FFFFFF"/>
              </w:rPr>
            </w:pPr>
          </w:p>
        </w:tc>
        <w:tc>
          <w:tcPr>
            <w:tcW w:w="1717"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rPr>
            </w:pPr>
            <w:r>
              <w:rPr>
                <w:rFonts w:ascii="宋体" w:hAnsi="宋体"/>
                <w:color w:val="auto"/>
                <w:szCs w:val="21"/>
              </w:rPr>
              <w:t>7</w:t>
            </w:r>
          </w:p>
        </w:tc>
        <w:tc>
          <w:tcPr>
            <w:tcW w:w="5318"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rPr>
            </w:pPr>
            <w:r>
              <w:rPr>
                <w:rFonts w:hint="eastAsia" w:ascii="宋体" w:hAnsi="宋体" w:cs="宋体"/>
                <w:color w:val="auto"/>
                <w:szCs w:val="21"/>
              </w:rPr>
              <w:t>投标人与本项目其他投标人加密打包投标文件电脑机器特征码一致的(以交易平台评标系统的检索信息为准)</w:t>
            </w:r>
          </w:p>
        </w:tc>
        <w:tc>
          <w:tcPr>
            <w:tcW w:w="158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534"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5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766"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717"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r>
    </w:tbl>
    <w:p>
      <w:pPr>
        <w:rPr>
          <w:rFonts w:ascii="宋体" w:hAnsi="宋体"/>
          <w:color w:val="auto"/>
          <w:szCs w:val="21"/>
        </w:rPr>
      </w:pPr>
      <w:r>
        <w:rPr>
          <w:rFonts w:hint="eastAsia" w:ascii="宋体" w:hAnsi="宋体"/>
          <w:color w:val="auto"/>
          <w:szCs w:val="21"/>
        </w:rPr>
        <w:t>注：1.本表使用GZZB2018-3招标文件范本，与范本内容不同之处均以下划线标明。技术标评审中，响应性、承诺性内容不应作为评分因素，可在该表中对上述内容进行符合性审查。审查标准须具备可操作性。</w:t>
      </w:r>
    </w:p>
    <w:p>
      <w:pPr>
        <w:rPr>
          <w:rFonts w:ascii="宋体" w:hAnsi="宋体"/>
          <w:color w:val="auto"/>
          <w:szCs w:val="21"/>
        </w:rPr>
      </w:pPr>
      <w:r>
        <w:rPr>
          <w:rFonts w:hint="eastAsia" w:ascii="宋体" w:hAnsi="宋体"/>
          <w:color w:val="auto"/>
          <w:szCs w:val="21"/>
        </w:rPr>
        <w:t>2.不得将文件顺序、明显的文字错误等列为否决投标的情形。评委发现投标文件中含义不明确、对同类问题表述不一致、有明显文字和计算错误的，应当要求投标人作必要的澄清、说明后再判定投标人是否通过有效性审查，不得直接否决投标，若出现评标委员会否决投标的，应在评标报告中载明否决投标的具体情形、原因；</w:t>
      </w:r>
    </w:p>
    <w:p>
      <w:pPr>
        <w:rPr>
          <w:rFonts w:ascii="宋体" w:hAnsi="宋体"/>
          <w:color w:val="auto"/>
          <w:szCs w:val="21"/>
        </w:rPr>
      </w:pPr>
      <w:r>
        <w:rPr>
          <w:rFonts w:hint="eastAsia" w:ascii="宋体" w:hAnsi="宋体"/>
          <w:color w:val="auto"/>
          <w:szCs w:val="21"/>
        </w:rPr>
        <w:t>3.凡出现以上任何一项情形，结论均为无效，否则就为有效。</w:t>
      </w:r>
    </w:p>
    <w:p>
      <w:pPr>
        <w:rPr>
          <w:rFonts w:ascii="宋体" w:hAnsi="宋体"/>
          <w:color w:val="auto"/>
          <w:szCs w:val="21"/>
        </w:rPr>
      </w:pPr>
      <w:r>
        <w:rPr>
          <w:rFonts w:hint="eastAsia" w:ascii="宋体" w:hAnsi="宋体"/>
          <w:color w:val="auto"/>
          <w:szCs w:val="21"/>
        </w:rPr>
        <w:t>4.如对本表中某种情形的评审意见不一致时，以评标委员会过半数成员的意见作为评标委员会对该情形的认定结论。</w:t>
      </w:r>
    </w:p>
    <w:p>
      <w:pPr>
        <w:rPr>
          <w:rFonts w:ascii="宋体" w:hAnsi="宋体"/>
          <w:color w:val="auto"/>
          <w:szCs w:val="21"/>
        </w:rPr>
      </w:pPr>
      <w:r>
        <w:rPr>
          <w:rFonts w:hint="eastAsia" w:ascii="宋体" w:hAnsi="宋体"/>
          <w:color w:val="auto"/>
          <w:szCs w:val="21"/>
        </w:rPr>
        <w:t>评委签名：</w:t>
      </w:r>
    </w:p>
    <w:p>
      <w:pPr>
        <w:rPr>
          <w:color w:val="auto"/>
          <w:szCs w:val="21"/>
        </w:rPr>
      </w:pPr>
      <w:r>
        <w:rPr>
          <w:color w:val="auto"/>
        </w:rPr>
        <w:br w:type="page"/>
      </w:r>
      <w:r>
        <w:rPr>
          <w:rFonts w:hint="eastAsia"/>
          <w:color w:val="auto"/>
          <w:szCs w:val="21"/>
        </w:rPr>
        <w:t>附表三</w:t>
      </w:r>
    </w:p>
    <w:p>
      <w:pPr>
        <w:jc w:val="center"/>
        <w:rPr>
          <w:b/>
          <w:color w:val="auto"/>
          <w:sz w:val="36"/>
          <w:szCs w:val="36"/>
        </w:rPr>
      </w:pPr>
      <w:r>
        <w:rPr>
          <w:rFonts w:hint="eastAsia"/>
          <w:b/>
          <w:color w:val="auto"/>
          <w:sz w:val="36"/>
          <w:szCs w:val="36"/>
        </w:rPr>
        <w:t>经济标有效性审查表</w:t>
      </w:r>
    </w:p>
    <w:p>
      <w:pPr>
        <w:rPr>
          <w:color w:val="auto"/>
          <w:szCs w:val="21"/>
        </w:rPr>
      </w:pPr>
      <w:r>
        <w:rPr>
          <w:rFonts w:hint="eastAsia"/>
          <w:color w:val="auto"/>
          <w:szCs w:val="21"/>
        </w:rPr>
        <w:t>工程名称：</w:t>
      </w:r>
    </w:p>
    <w:tbl>
      <w:tblPr>
        <w:tblStyle w:val="36"/>
        <w:tblW w:w="14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7244"/>
        <w:gridCol w:w="1397"/>
        <w:gridCol w:w="1397"/>
        <w:gridCol w:w="1396"/>
        <w:gridCol w:w="1397"/>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序号</w:t>
            </w:r>
          </w:p>
        </w:tc>
        <w:tc>
          <w:tcPr>
            <w:tcW w:w="7244" w:type="dxa"/>
            <w:tcBorders>
              <w:top w:val="single" w:color="auto" w:sz="4" w:space="0"/>
              <w:left w:val="single" w:color="auto" w:sz="4" w:space="0"/>
              <w:bottom w:val="single" w:color="auto" w:sz="4" w:space="0"/>
              <w:right w:val="single" w:color="auto" w:sz="4" w:space="0"/>
              <w:tl2br w:val="single" w:color="auto" w:sz="4" w:space="0"/>
            </w:tcBorders>
          </w:tcPr>
          <w:p>
            <w:pPr>
              <w:rPr>
                <w:rFonts w:ascii="宋体" w:hAnsi="宋体"/>
                <w:color w:val="auto"/>
                <w:szCs w:val="21"/>
              </w:rPr>
            </w:pPr>
            <w:r>
              <w:rPr>
                <w:rFonts w:ascii="宋体" w:hAnsi="宋体"/>
                <w:color w:val="auto"/>
                <w:szCs w:val="21"/>
              </w:rPr>
              <w:t xml:space="preserve">              </w:t>
            </w:r>
            <w:r>
              <w:rPr>
                <w:rFonts w:hint="eastAsia" w:ascii="宋体" w:hAnsi="宋体"/>
                <w:color w:val="auto"/>
                <w:szCs w:val="21"/>
              </w:rPr>
              <w:t xml:space="preserve">                                          </w:t>
            </w:r>
            <w:r>
              <w:rPr>
                <w:rFonts w:ascii="宋体" w:hAnsi="宋体"/>
                <w:color w:val="auto"/>
                <w:szCs w:val="21"/>
              </w:rPr>
              <w:t xml:space="preserve"> </w:t>
            </w:r>
            <w:r>
              <w:rPr>
                <w:rFonts w:hint="eastAsia" w:ascii="宋体" w:hAnsi="宋体"/>
                <w:color w:val="auto"/>
                <w:szCs w:val="21"/>
              </w:rPr>
              <w:t>投标人</w:t>
            </w:r>
          </w:p>
          <w:p>
            <w:pPr>
              <w:rPr>
                <w:rFonts w:ascii="宋体" w:hAnsi="宋体"/>
                <w:color w:val="auto"/>
                <w:szCs w:val="21"/>
              </w:rPr>
            </w:pPr>
            <w:r>
              <w:rPr>
                <w:rFonts w:hint="eastAsia" w:ascii="宋体" w:hAnsi="宋体"/>
                <w:color w:val="auto"/>
                <w:szCs w:val="21"/>
              </w:rPr>
              <w:t>评审内容</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1</w:t>
            </w:r>
          </w:p>
        </w:tc>
        <w:tc>
          <w:tcPr>
            <w:tcW w:w="724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对同一招标项目出现两个或以上的投标报价，且没有申明哪个有效；</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2</w:t>
            </w:r>
          </w:p>
        </w:tc>
        <w:tc>
          <w:tcPr>
            <w:tcW w:w="724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投标报价高于最高投标限价的；</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3</w:t>
            </w:r>
          </w:p>
        </w:tc>
        <w:tc>
          <w:tcPr>
            <w:tcW w:w="724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left="-2" w:leftChars="-1"/>
              <w:jc w:val="left"/>
              <w:rPr>
                <w:rFonts w:ascii="宋体" w:hAnsi="宋体"/>
                <w:color w:val="auto"/>
                <w:szCs w:val="21"/>
              </w:rPr>
            </w:pPr>
            <w:r>
              <w:rPr>
                <w:rFonts w:hint="eastAsia" w:ascii="宋体" w:hAnsi="宋体"/>
                <w:color w:val="auto"/>
                <w:szCs w:val="21"/>
              </w:rPr>
              <w:t>投标报价低于成本的；</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4</w:t>
            </w:r>
          </w:p>
        </w:tc>
        <w:tc>
          <w:tcPr>
            <w:tcW w:w="724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算术复核后的投标报价与原投标报价相比存在</w:t>
            </w:r>
            <w:r>
              <w:rPr>
                <w:rFonts w:ascii="宋体" w:hAnsi="宋体"/>
                <w:color w:val="auto"/>
                <w:szCs w:val="21"/>
              </w:rPr>
              <w:t>1%</w:t>
            </w:r>
            <w:r>
              <w:rPr>
                <w:rFonts w:hint="eastAsia" w:ascii="宋体" w:hAnsi="宋体"/>
                <w:color w:val="auto"/>
                <w:szCs w:val="21"/>
              </w:rPr>
              <w:t>或以上误差的；</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5</w:t>
            </w:r>
          </w:p>
        </w:tc>
        <w:tc>
          <w:tcPr>
            <w:tcW w:w="724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投标文件未按规定的格式</w:t>
            </w:r>
            <w:r>
              <w:rPr>
                <w:rFonts w:hint="eastAsia" w:ascii="宋体" w:hAnsi="宋体" w:cs="宋体"/>
                <w:color w:val="auto"/>
                <w:szCs w:val="21"/>
                <w:u w:val="single"/>
              </w:rPr>
              <w:t>（指附件一：广州建设工程施工招标投标书）</w:t>
            </w:r>
            <w:r>
              <w:rPr>
                <w:rFonts w:hint="eastAsia" w:ascii="宋体" w:hAnsi="宋体"/>
                <w:color w:val="auto"/>
                <w:szCs w:val="21"/>
              </w:rPr>
              <w:t>填写，或主要内容不全，或关键字迹模糊、无法辨认的；</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6</w:t>
            </w:r>
          </w:p>
        </w:tc>
        <w:tc>
          <w:tcPr>
            <w:tcW w:w="724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不同投标人的投标报价中分部分项工程量清单综合单价相似度达到80%及以上的(以</w:t>
            </w:r>
            <w:r>
              <w:rPr>
                <w:rFonts w:hint="eastAsia" w:ascii="宋体" w:hAnsi="宋体" w:cs="宋体"/>
                <w:color w:val="auto"/>
                <w:szCs w:val="21"/>
                <w:u w:val="single"/>
              </w:rPr>
              <w:t>广州交易集团有限公司（广州公共资源交易中心）</w:t>
            </w:r>
            <w:r>
              <w:rPr>
                <w:rFonts w:hint="eastAsia" w:ascii="宋体" w:hAnsi="宋体"/>
                <w:color w:val="auto"/>
                <w:szCs w:val="21"/>
              </w:rPr>
              <w:t>交易平台评标系统的检索信息为准)</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7</w:t>
            </w:r>
          </w:p>
        </w:tc>
        <w:tc>
          <w:tcPr>
            <w:tcW w:w="724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投标人之间存在《广东省实施&lt;中华人民共和国招标投标法&gt;》第十六条所禁止的情形的；</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8</w:t>
            </w:r>
          </w:p>
        </w:tc>
        <w:tc>
          <w:tcPr>
            <w:tcW w:w="724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无《参与编制经济标投标文件人员名单》的；</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9</w:t>
            </w:r>
          </w:p>
        </w:tc>
        <w:tc>
          <w:tcPr>
            <w:tcW w:w="724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无《对投标文件编制的承诺》</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10</w:t>
            </w:r>
          </w:p>
        </w:tc>
        <w:tc>
          <w:tcPr>
            <w:tcW w:w="724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投标人与本项目其他投标人的投标文件工程量清单编制机器硬件 信息一致的（以交易平台评标系统的检索信息为准）</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r>
    </w:tbl>
    <w:p>
      <w:pPr>
        <w:pStyle w:val="5"/>
        <w:ind w:firstLine="458"/>
        <w:rPr>
          <w:rFonts w:ascii="宋体" w:hAnsi="宋体"/>
          <w:color w:val="auto"/>
          <w:szCs w:val="21"/>
        </w:rPr>
      </w:pPr>
      <w:r>
        <w:rPr>
          <w:rFonts w:hint="eastAsia" w:ascii="宋体" w:hAnsi="宋体"/>
          <w:color w:val="auto"/>
          <w:szCs w:val="21"/>
        </w:rPr>
        <w:t>注：1.本表使用GZZB2018-3招标文件范本，与范本内容不同之处均以下划线标明。</w:t>
      </w:r>
    </w:p>
    <w:p>
      <w:pPr>
        <w:pStyle w:val="5"/>
        <w:ind w:firstLine="458"/>
        <w:rPr>
          <w:rFonts w:ascii="宋体" w:hAnsi="宋体"/>
          <w:color w:val="auto"/>
          <w:szCs w:val="21"/>
        </w:rPr>
      </w:pPr>
      <w:r>
        <w:rPr>
          <w:rFonts w:hint="eastAsia" w:ascii="宋体" w:hAnsi="宋体"/>
          <w:color w:val="auto"/>
          <w:szCs w:val="21"/>
        </w:rPr>
        <w:t>2.凡出现以上任何一项情形，结论均为无效，否则就为有效。</w:t>
      </w:r>
    </w:p>
    <w:p>
      <w:pPr>
        <w:pStyle w:val="5"/>
        <w:ind w:firstLine="458"/>
        <w:rPr>
          <w:rFonts w:ascii="宋体" w:hAnsi="宋体"/>
          <w:color w:val="auto"/>
          <w:szCs w:val="21"/>
        </w:rPr>
      </w:pPr>
      <w:r>
        <w:rPr>
          <w:rFonts w:hint="eastAsia" w:ascii="宋体" w:hAnsi="宋体"/>
          <w:color w:val="auto"/>
          <w:szCs w:val="21"/>
        </w:rPr>
        <w:t>3.如对本表中某种情形的评审意见不一致时，以评标委员会过半数成员的意见作为评标委员会对该情形的认定结论。</w:t>
      </w:r>
    </w:p>
    <w:p>
      <w:pPr>
        <w:pStyle w:val="5"/>
        <w:ind w:firstLine="458"/>
        <w:rPr>
          <w:rFonts w:ascii="宋体" w:hAnsi="宋体"/>
          <w:color w:val="auto"/>
          <w:szCs w:val="21"/>
        </w:rPr>
      </w:pPr>
      <w:r>
        <w:rPr>
          <w:rFonts w:hint="eastAsia" w:ascii="宋体" w:hAnsi="宋体"/>
          <w:color w:val="auto"/>
          <w:szCs w:val="21"/>
        </w:rPr>
        <w:t>4.不得将文件顺序、明显的文字错误等列为否决投标的情形。评委发现投标文件中含义不明确、对同类问题表述不一致、有明显文字和计算错误、投标报价可能低于成本影响履约的，应当要求投标人作必要的澄清、说明后再判定投标人是否通过有效性审查，不得直接否决投标。</w:t>
      </w:r>
    </w:p>
    <w:p>
      <w:pPr>
        <w:pStyle w:val="5"/>
        <w:ind w:firstLine="458"/>
        <w:rPr>
          <w:rFonts w:ascii="宋体" w:hAnsi="宋体"/>
          <w:color w:val="auto"/>
          <w:szCs w:val="21"/>
        </w:rPr>
        <w:sectPr>
          <w:endnotePr>
            <w:numFmt w:val="decimal"/>
          </w:endnotePr>
          <w:pgSz w:w="16838" w:h="11906" w:orient="landscape"/>
          <w:pgMar w:top="1418" w:right="1247" w:bottom="1418" w:left="1134" w:header="851" w:footer="907" w:gutter="0"/>
          <w:cols w:space="425" w:num="1"/>
          <w:titlePg/>
          <w:docGrid w:type="lines" w:linePitch="312" w:charSpace="0"/>
        </w:sectPr>
      </w:pPr>
      <w:r>
        <w:rPr>
          <w:rFonts w:hint="eastAsia" w:ascii="宋体" w:hAnsi="宋体"/>
          <w:color w:val="auto"/>
          <w:szCs w:val="21"/>
        </w:rPr>
        <w:t>评委签名：</w:t>
      </w:r>
    </w:p>
    <w:p>
      <w:pPr>
        <w:rPr>
          <w:color w:val="auto"/>
          <w:szCs w:val="21"/>
        </w:rPr>
      </w:pPr>
      <w:r>
        <w:rPr>
          <w:rFonts w:hint="eastAsia"/>
          <w:color w:val="auto"/>
          <w:szCs w:val="21"/>
        </w:rPr>
        <w:t>附表四</w:t>
      </w:r>
    </w:p>
    <w:p>
      <w:pPr>
        <w:tabs>
          <w:tab w:val="center" w:pos="7288"/>
          <w:tab w:val="left" w:pos="9931"/>
        </w:tabs>
        <w:jc w:val="center"/>
        <w:rPr>
          <w:rFonts w:ascii="宋体" w:hAnsi="宋体" w:cs="宋体"/>
          <w:b/>
          <w:color w:val="auto"/>
          <w:sz w:val="32"/>
          <w:szCs w:val="32"/>
        </w:rPr>
      </w:pPr>
      <w:r>
        <w:rPr>
          <w:rFonts w:hint="eastAsia" w:ascii="宋体" w:hAnsi="宋体" w:cs="宋体"/>
          <w:b/>
          <w:color w:val="auto"/>
          <w:sz w:val="32"/>
          <w:szCs w:val="32"/>
        </w:rPr>
        <w:t>技术标详细审查评分表</w:t>
      </w:r>
    </w:p>
    <w:p>
      <w:pPr>
        <w:rPr>
          <w:rFonts w:ascii="宋体" w:hAnsi="宋体" w:cs="宋体"/>
          <w:color w:val="auto"/>
          <w:sz w:val="24"/>
          <w:szCs w:val="24"/>
        </w:rPr>
      </w:pPr>
      <w:r>
        <w:rPr>
          <w:rFonts w:hint="eastAsia" w:ascii="宋体" w:hAnsi="宋体" w:cs="宋体"/>
          <w:color w:val="auto"/>
          <w:sz w:val="24"/>
          <w:szCs w:val="24"/>
        </w:rPr>
        <w:t>工程名称：</w:t>
      </w:r>
    </w:p>
    <w:tbl>
      <w:tblPr>
        <w:tblStyle w:val="36"/>
        <w:tblW w:w="4991" w:type="pct"/>
        <w:jc w:val="center"/>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4"/>
        <w:gridCol w:w="1755"/>
        <w:gridCol w:w="838"/>
        <w:gridCol w:w="11040"/>
      </w:tblGrid>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tblHeader/>
          <w:jc w:val="center"/>
        </w:trPr>
        <w:tc>
          <w:tcPr>
            <w:tcW w:w="346" w:type="pct"/>
            <w:tcBorders>
              <w:top w:val="single" w:color="auto" w:sz="8" w:space="0"/>
              <w:left w:val="single" w:color="auto" w:sz="8" w:space="0"/>
              <w:bottom w:val="single" w:color="auto" w:sz="4" w:space="0"/>
              <w:right w:val="single" w:color="auto" w:sz="4" w:space="0"/>
            </w:tcBorders>
            <w:vAlign w:val="center"/>
          </w:tcPr>
          <w:p>
            <w:pPr>
              <w:widowControl/>
              <w:adjustRightInd w:val="0"/>
              <w:snapToGrid w:val="0"/>
              <w:jc w:val="center"/>
              <w:rPr>
                <w:rFonts w:ascii="宋体" w:hAnsi="宋体"/>
                <w:color w:val="auto"/>
                <w:szCs w:val="21"/>
                <w:highlight w:val="none"/>
              </w:rPr>
            </w:pPr>
            <w:r>
              <w:rPr>
                <w:rFonts w:hint="eastAsia" w:ascii="宋体" w:hAnsi="宋体"/>
                <w:color w:val="auto"/>
                <w:szCs w:val="21"/>
                <w:highlight w:val="none"/>
              </w:rPr>
              <w:t>评分项目</w:t>
            </w:r>
          </w:p>
        </w:tc>
        <w:tc>
          <w:tcPr>
            <w:tcW w:w="599" w:type="pct"/>
            <w:tcBorders>
              <w:top w:val="single" w:color="auto" w:sz="8"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olor w:val="auto"/>
                <w:szCs w:val="21"/>
                <w:highlight w:val="none"/>
              </w:rPr>
            </w:pPr>
            <w:r>
              <w:rPr>
                <w:rFonts w:hint="eastAsia" w:ascii="宋体" w:hAnsi="宋体"/>
                <w:color w:val="auto"/>
                <w:szCs w:val="21"/>
                <w:highlight w:val="none"/>
              </w:rPr>
              <w:t>评分内容</w:t>
            </w:r>
          </w:p>
        </w:tc>
        <w:tc>
          <w:tcPr>
            <w:tcW w:w="286" w:type="pct"/>
            <w:tcBorders>
              <w:top w:val="single" w:color="auto" w:sz="8"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olor w:val="auto"/>
                <w:szCs w:val="21"/>
                <w:highlight w:val="none"/>
              </w:rPr>
            </w:pPr>
            <w:r>
              <w:rPr>
                <w:rFonts w:hint="eastAsia" w:ascii="宋体" w:hAnsi="宋体"/>
                <w:color w:val="auto"/>
                <w:szCs w:val="21"/>
                <w:highlight w:val="none"/>
              </w:rPr>
              <w:t>分值</w:t>
            </w:r>
          </w:p>
        </w:tc>
        <w:tc>
          <w:tcPr>
            <w:tcW w:w="3768" w:type="pct"/>
            <w:tcBorders>
              <w:top w:val="single" w:color="auto" w:sz="8"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olor w:val="auto"/>
                <w:szCs w:val="21"/>
                <w:highlight w:val="none"/>
              </w:rPr>
            </w:pPr>
            <w:r>
              <w:rPr>
                <w:rFonts w:hint="eastAsia" w:ascii="宋体" w:hAnsi="宋体"/>
                <w:color w:val="auto"/>
                <w:szCs w:val="21"/>
                <w:highlight w:val="none"/>
              </w:rPr>
              <w:t>评审标准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346" w:type="pct"/>
            <w:vMerge w:val="restart"/>
            <w:tcBorders>
              <w:top w:val="single" w:color="auto" w:sz="4" w:space="0"/>
              <w:left w:val="single" w:color="auto" w:sz="8" w:space="0"/>
              <w:bottom w:val="single" w:color="auto" w:sz="4" w:space="0"/>
              <w:right w:val="single" w:color="auto" w:sz="4" w:space="0"/>
            </w:tcBorders>
            <w:vAlign w:val="center"/>
          </w:tcPr>
          <w:p>
            <w:pPr>
              <w:pStyle w:val="6"/>
              <w:rPr>
                <w:rFonts w:ascii="宋体" w:hAnsi="宋体" w:cs="宋体"/>
                <w:color w:val="auto"/>
                <w:szCs w:val="21"/>
                <w:highlight w:val="none"/>
              </w:rPr>
            </w:pPr>
            <w:r>
              <w:rPr>
                <w:rFonts w:hint="eastAsia" w:ascii="宋体" w:hAnsi="宋体" w:cs="宋体"/>
                <w:bCs/>
                <w:color w:val="auto"/>
                <w:szCs w:val="21"/>
                <w:highlight w:val="none"/>
              </w:rPr>
              <w:t>一、</w:t>
            </w:r>
            <w:r>
              <w:rPr>
                <w:rFonts w:hint="eastAsia" w:ascii="宋体" w:hAnsi="宋体" w:cs="宋体"/>
                <w:color w:val="auto"/>
                <w:szCs w:val="21"/>
                <w:highlight w:val="none"/>
              </w:rPr>
              <w:t>项目管理机构能力（</w:t>
            </w:r>
            <w:r>
              <w:rPr>
                <w:rFonts w:hint="eastAsia" w:ascii="宋体" w:hAnsi="宋体" w:cs="宋体"/>
                <w:color w:val="auto"/>
                <w:kern w:val="0"/>
                <w:szCs w:val="21"/>
                <w:highlight w:val="none"/>
              </w:rPr>
              <w:t>70</w:t>
            </w:r>
            <w:r>
              <w:rPr>
                <w:rFonts w:hint="eastAsia" w:ascii="宋体" w:hAnsi="宋体" w:cs="宋体"/>
                <w:color w:val="auto"/>
                <w:szCs w:val="21"/>
                <w:highlight w:val="none"/>
              </w:rPr>
              <w:t>分）</w:t>
            </w:r>
          </w:p>
          <w:p>
            <w:pPr>
              <w:tabs>
                <w:tab w:val="left" w:pos="360"/>
              </w:tabs>
              <w:snapToGrid w:val="0"/>
              <w:jc w:val="center"/>
              <w:rPr>
                <w:rFonts w:ascii="宋体" w:hAnsi="宋体" w:cs="宋体"/>
                <w:color w:val="auto"/>
                <w:szCs w:val="21"/>
                <w:highlight w:val="none"/>
              </w:rPr>
            </w:pPr>
          </w:p>
        </w:tc>
        <w:tc>
          <w:tcPr>
            <w:tcW w:w="599" w:type="pct"/>
            <w:tcBorders>
              <w:top w:val="single" w:color="auto" w:sz="4" w:space="0"/>
              <w:left w:val="single" w:color="auto" w:sz="4" w:space="0"/>
              <w:bottom w:val="single" w:color="auto" w:sz="4" w:space="0"/>
              <w:right w:val="single" w:color="auto" w:sz="4" w:space="0"/>
            </w:tcBorders>
            <w:vAlign w:val="center"/>
          </w:tcPr>
          <w:p>
            <w:pPr>
              <w:pStyle w:val="32"/>
              <w:shd w:val="clear" w:color="auto" w:fill="FFFFFF"/>
              <w:snapToGrid w:val="0"/>
              <w:spacing w:before="0" w:beforeAutospacing="0" w:after="0" w:afterAutospacing="0" w:line="0" w:lineRule="atLeast"/>
              <w:jc w:val="center"/>
              <w:rPr>
                <w:rFonts w:ascii="宋体" w:hAnsi="宋体" w:cs="宋体"/>
                <w:color w:val="auto"/>
                <w:kern w:val="2"/>
                <w:sz w:val="21"/>
                <w:szCs w:val="21"/>
                <w:highlight w:val="none"/>
              </w:rPr>
            </w:pPr>
            <w:r>
              <w:rPr>
                <w:rStyle w:val="127"/>
                <w:rFonts w:hint="default"/>
                <w:color w:val="auto"/>
                <w:kern w:val="2"/>
                <w:sz w:val="21"/>
                <w:szCs w:val="21"/>
                <w:highlight w:val="none"/>
                <w:lang w:bidi="ar"/>
              </w:rPr>
              <w:t>技术负责人</w:t>
            </w:r>
          </w:p>
        </w:tc>
        <w:tc>
          <w:tcPr>
            <w:tcW w:w="286" w:type="pct"/>
            <w:tcBorders>
              <w:top w:val="single" w:color="auto" w:sz="4" w:space="0"/>
              <w:left w:val="single" w:color="auto" w:sz="4" w:space="0"/>
              <w:bottom w:val="single" w:color="auto" w:sz="4" w:space="0"/>
              <w:right w:val="single" w:color="auto" w:sz="4" w:space="0"/>
            </w:tcBorders>
            <w:vAlign w:val="center"/>
          </w:tcPr>
          <w:p>
            <w:pPr>
              <w:pStyle w:val="118"/>
              <w:shd w:val="clear" w:color="auto" w:fill="auto"/>
              <w:snapToGrid w:val="0"/>
              <w:spacing w:line="240" w:lineRule="auto"/>
              <w:jc w:val="center"/>
              <w:rPr>
                <w:color w:val="auto"/>
                <w:sz w:val="21"/>
                <w:szCs w:val="21"/>
                <w:highlight w:val="none"/>
              </w:rPr>
            </w:pPr>
            <w:r>
              <w:rPr>
                <w:rStyle w:val="117"/>
                <w:rFonts w:eastAsia="PMingLiU"/>
                <w:color w:val="auto"/>
                <w:sz w:val="21"/>
                <w:szCs w:val="21"/>
                <w:highlight w:val="none"/>
                <w:lang w:eastAsia="zh-TW"/>
              </w:rPr>
              <w:t>25</w:t>
            </w:r>
          </w:p>
        </w:tc>
        <w:tc>
          <w:tcPr>
            <w:tcW w:w="3768" w:type="pct"/>
            <w:tcBorders>
              <w:top w:val="single" w:color="auto" w:sz="4" w:space="0"/>
              <w:left w:val="single" w:color="auto" w:sz="4" w:space="0"/>
              <w:bottom w:val="single" w:color="auto" w:sz="4" w:space="0"/>
              <w:right w:val="single" w:color="auto" w:sz="4" w:space="0"/>
            </w:tcBorders>
            <w:vAlign w:val="center"/>
          </w:tcPr>
          <w:p>
            <w:pPr>
              <w:pStyle w:val="118"/>
              <w:shd w:val="clear" w:color="auto" w:fill="auto"/>
              <w:snapToGrid w:val="0"/>
              <w:spacing w:line="240" w:lineRule="auto"/>
              <w:rPr>
                <w:rStyle w:val="117"/>
                <w:color w:val="auto"/>
                <w:sz w:val="21"/>
                <w:szCs w:val="21"/>
                <w:highlight w:val="none"/>
              </w:rPr>
            </w:pPr>
            <w:r>
              <w:rPr>
                <w:rStyle w:val="117"/>
                <w:rFonts w:hint="eastAsia"/>
                <w:color w:val="auto"/>
                <w:sz w:val="21"/>
                <w:szCs w:val="21"/>
                <w:highlight w:val="none"/>
              </w:rPr>
              <w:t>（1）技术负责人自201</w:t>
            </w:r>
            <w:r>
              <w:rPr>
                <w:rStyle w:val="117"/>
                <w:rFonts w:eastAsia="PMingLiU"/>
                <w:color w:val="auto"/>
                <w:sz w:val="21"/>
                <w:szCs w:val="21"/>
                <w:highlight w:val="none"/>
                <w:lang w:eastAsia="zh-TW"/>
              </w:rPr>
              <w:t>9</w:t>
            </w:r>
            <w:r>
              <w:rPr>
                <w:rStyle w:val="117"/>
                <w:rFonts w:hint="eastAsia"/>
                <w:color w:val="auto"/>
                <w:sz w:val="21"/>
                <w:szCs w:val="21"/>
                <w:highlight w:val="none"/>
              </w:rPr>
              <w:t>年1月1日至今担任过质量合格的类似工程业绩的技术负责人或项目负责人的，得</w:t>
            </w:r>
            <w:r>
              <w:rPr>
                <w:rStyle w:val="117"/>
                <w:rFonts w:eastAsia="PMingLiU"/>
                <w:color w:val="auto"/>
                <w:sz w:val="21"/>
                <w:szCs w:val="21"/>
                <w:highlight w:val="none"/>
                <w:lang w:eastAsia="zh-TW"/>
              </w:rPr>
              <w:t>10</w:t>
            </w:r>
            <w:r>
              <w:rPr>
                <w:rStyle w:val="117"/>
                <w:rFonts w:hint="eastAsia"/>
                <w:color w:val="auto"/>
                <w:sz w:val="21"/>
                <w:szCs w:val="21"/>
                <w:highlight w:val="none"/>
              </w:rPr>
              <w:t>分；不满足上述条件的不得分。本小项最多得</w:t>
            </w:r>
            <w:r>
              <w:rPr>
                <w:rStyle w:val="117"/>
                <w:rFonts w:eastAsia="PMingLiU"/>
                <w:color w:val="auto"/>
                <w:sz w:val="21"/>
                <w:szCs w:val="21"/>
                <w:highlight w:val="none"/>
                <w:lang w:eastAsia="zh-TW"/>
              </w:rPr>
              <w:t>10</w:t>
            </w:r>
            <w:r>
              <w:rPr>
                <w:rStyle w:val="117"/>
                <w:rFonts w:hint="eastAsia"/>
                <w:color w:val="auto"/>
                <w:sz w:val="21"/>
                <w:szCs w:val="21"/>
                <w:highlight w:val="none"/>
              </w:rPr>
              <w:t>分。</w:t>
            </w:r>
          </w:p>
          <w:p>
            <w:pPr>
              <w:pStyle w:val="118"/>
              <w:shd w:val="clear" w:color="auto" w:fill="auto"/>
              <w:snapToGrid w:val="0"/>
              <w:spacing w:line="240" w:lineRule="auto"/>
              <w:rPr>
                <w:rStyle w:val="117"/>
                <w:color w:val="auto"/>
                <w:sz w:val="21"/>
                <w:szCs w:val="21"/>
                <w:highlight w:val="none"/>
              </w:rPr>
            </w:pPr>
            <w:r>
              <w:rPr>
                <w:rStyle w:val="117"/>
                <w:rFonts w:hint="eastAsia"/>
                <w:color w:val="auto"/>
                <w:sz w:val="21"/>
                <w:szCs w:val="21"/>
                <w:highlight w:val="none"/>
              </w:rPr>
              <w:t>（2）委派的技术负责人具有市政类高级（或以上）工程师职称的，得</w:t>
            </w:r>
            <w:r>
              <w:rPr>
                <w:rStyle w:val="117"/>
                <w:rFonts w:eastAsia="PMingLiU"/>
                <w:color w:val="auto"/>
                <w:sz w:val="21"/>
                <w:szCs w:val="21"/>
                <w:highlight w:val="none"/>
                <w:lang w:eastAsia="zh-TW"/>
              </w:rPr>
              <w:t>10</w:t>
            </w:r>
            <w:r>
              <w:rPr>
                <w:rStyle w:val="117"/>
                <w:rFonts w:hint="eastAsia"/>
                <w:color w:val="auto"/>
                <w:sz w:val="21"/>
                <w:szCs w:val="21"/>
                <w:highlight w:val="none"/>
              </w:rPr>
              <w:t>分；拟委派的技术负责人具有市政类中级工程师职称的，得</w:t>
            </w:r>
            <w:r>
              <w:rPr>
                <w:rStyle w:val="117"/>
                <w:rFonts w:eastAsia="PMingLiU"/>
                <w:color w:val="auto"/>
                <w:sz w:val="21"/>
                <w:szCs w:val="21"/>
                <w:highlight w:val="none"/>
                <w:lang w:eastAsia="zh-TW"/>
              </w:rPr>
              <w:t>5</w:t>
            </w:r>
            <w:r>
              <w:rPr>
                <w:rStyle w:val="117"/>
                <w:rFonts w:hint="eastAsia"/>
                <w:color w:val="auto"/>
                <w:sz w:val="21"/>
                <w:szCs w:val="21"/>
                <w:highlight w:val="none"/>
              </w:rPr>
              <w:t>分。其它情况不得分。</w:t>
            </w:r>
          </w:p>
          <w:p>
            <w:pPr>
              <w:pStyle w:val="118"/>
              <w:shd w:val="clear" w:color="auto" w:fill="auto"/>
              <w:snapToGrid w:val="0"/>
              <w:spacing w:line="240" w:lineRule="auto"/>
              <w:rPr>
                <w:rStyle w:val="117"/>
                <w:color w:val="auto"/>
                <w:sz w:val="21"/>
                <w:szCs w:val="21"/>
                <w:highlight w:val="none"/>
              </w:rPr>
            </w:pPr>
            <w:r>
              <w:rPr>
                <w:rStyle w:val="117"/>
                <w:rFonts w:hint="eastAsia"/>
                <w:color w:val="auto"/>
                <w:sz w:val="21"/>
                <w:szCs w:val="21"/>
                <w:highlight w:val="none"/>
              </w:rPr>
              <w:t>（3）技术负责人具有10年或以上（含10年）施工管理工作经验，得</w:t>
            </w:r>
            <w:r>
              <w:rPr>
                <w:rStyle w:val="117"/>
                <w:rFonts w:eastAsia="PMingLiU"/>
                <w:color w:val="auto"/>
                <w:sz w:val="21"/>
                <w:szCs w:val="21"/>
                <w:highlight w:val="none"/>
                <w:lang w:eastAsia="zh-TW"/>
              </w:rPr>
              <w:t>5</w:t>
            </w:r>
            <w:r>
              <w:rPr>
                <w:rStyle w:val="117"/>
                <w:rFonts w:hint="eastAsia"/>
                <w:color w:val="auto"/>
                <w:sz w:val="21"/>
                <w:szCs w:val="21"/>
                <w:highlight w:val="none"/>
              </w:rPr>
              <w:t>分；具有5年（含5年）至10年（不含10年）施工管理工作经验，得</w:t>
            </w:r>
            <w:r>
              <w:rPr>
                <w:rStyle w:val="117"/>
                <w:rFonts w:eastAsia="PMingLiU"/>
                <w:color w:val="auto"/>
                <w:sz w:val="21"/>
                <w:szCs w:val="21"/>
                <w:highlight w:val="none"/>
                <w:lang w:eastAsia="zh-TW"/>
              </w:rPr>
              <w:t>3</w:t>
            </w:r>
            <w:r>
              <w:rPr>
                <w:rStyle w:val="117"/>
                <w:rFonts w:hint="eastAsia"/>
                <w:color w:val="auto"/>
                <w:sz w:val="21"/>
                <w:szCs w:val="21"/>
                <w:highlight w:val="none"/>
              </w:rPr>
              <w:t>分；具有5年以下施工管理工作经验，得</w:t>
            </w:r>
            <w:r>
              <w:rPr>
                <w:rStyle w:val="117"/>
                <w:rFonts w:eastAsia="PMingLiU"/>
                <w:color w:val="auto"/>
                <w:sz w:val="21"/>
                <w:szCs w:val="21"/>
                <w:highlight w:val="none"/>
                <w:lang w:eastAsia="zh-TW"/>
              </w:rPr>
              <w:t>1</w:t>
            </w:r>
            <w:r>
              <w:rPr>
                <w:rStyle w:val="117"/>
                <w:rFonts w:hint="eastAsia"/>
                <w:color w:val="auto"/>
                <w:sz w:val="21"/>
                <w:szCs w:val="21"/>
                <w:highlight w:val="none"/>
              </w:rPr>
              <w:t>分。本小项最多得</w:t>
            </w:r>
            <w:r>
              <w:rPr>
                <w:rStyle w:val="117"/>
                <w:rFonts w:eastAsia="PMingLiU"/>
                <w:color w:val="auto"/>
                <w:sz w:val="21"/>
                <w:szCs w:val="21"/>
                <w:highlight w:val="none"/>
                <w:lang w:eastAsia="zh-TW"/>
              </w:rPr>
              <w:t>5</w:t>
            </w:r>
            <w:r>
              <w:rPr>
                <w:rStyle w:val="117"/>
                <w:rFonts w:hint="eastAsia"/>
                <w:color w:val="auto"/>
                <w:sz w:val="21"/>
                <w:szCs w:val="21"/>
                <w:highlight w:val="none"/>
              </w:rPr>
              <w:t>分。</w:t>
            </w:r>
          </w:p>
          <w:p>
            <w:pPr>
              <w:pStyle w:val="118"/>
              <w:shd w:val="clear" w:color="auto" w:fill="auto"/>
              <w:snapToGrid w:val="0"/>
              <w:spacing w:line="240" w:lineRule="auto"/>
              <w:rPr>
                <w:color w:val="auto"/>
                <w:sz w:val="21"/>
                <w:szCs w:val="21"/>
                <w:highlight w:val="none"/>
              </w:rPr>
            </w:pPr>
            <w:r>
              <w:rPr>
                <w:rStyle w:val="117"/>
                <w:rFonts w:hint="eastAsia"/>
                <w:color w:val="auto"/>
                <w:sz w:val="21"/>
                <w:szCs w:val="21"/>
                <w:highlight w:val="none"/>
              </w:rPr>
              <w:t>备注：须提供类似工程业绩证明文件。未提供证明文件或证明文件不满足上述要求，不计分。本项最高得</w:t>
            </w:r>
            <w:r>
              <w:rPr>
                <w:rStyle w:val="117"/>
                <w:rFonts w:eastAsia="PMingLiU"/>
                <w:color w:val="auto"/>
                <w:sz w:val="21"/>
                <w:szCs w:val="21"/>
                <w:highlight w:val="none"/>
                <w:lang w:eastAsia="zh-TW"/>
              </w:rPr>
              <w:t>25</w:t>
            </w:r>
            <w:r>
              <w:rPr>
                <w:rStyle w:val="117"/>
                <w:rFonts w:hint="eastAsia"/>
                <w:color w:val="auto"/>
                <w:sz w:val="21"/>
                <w:szCs w:val="21"/>
                <w:highlight w:val="none"/>
              </w:rPr>
              <w:t>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346" w:type="pct"/>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599" w:type="pct"/>
            <w:tcBorders>
              <w:top w:val="single" w:color="auto" w:sz="4" w:space="0"/>
              <w:left w:val="single" w:color="auto" w:sz="4" w:space="0"/>
              <w:bottom w:val="single" w:color="auto" w:sz="4" w:space="0"/>
              <w:right w:val="single" w:color="auto" w:sz="4" w:space="0"/>
            </w:tcBorders>
            <w:vAlign w:val="center"/>
          </w:tcPr>
          <w:p>
            <w:pPr>
              <w:pStyle w:val="118"/>
              <w:shd w:val="clear" w:color="auto" w:fill="auto"/>
              <w:snapToGrid w:val="0"/>
              <w:spacing w:line="240" w:lineRule="auto"/>
              <w:rPr>
                <w:color w:val="auto"/>
                <w:sz w:val="21"/>
                <w:szCs w:val="21"/>
                <w:highlight w:val="none"/>
              </w:rPr>
            </w:pPr>
            <w:r>
              <w:rPr>
                <w:rStyle w:val="117"/>
                <w:rFonts w:hint="eastAsia"/>
                <w:color w:val="auto"/>
                <w:sz w:val="21"/>
                <w:szCs w:val="21"/>
                <w:highlight w:val="none"/>
              </w:rPr>
              <w:t>安全负责人</w:t>
            </w:r>
          </w:p>
        </w:tc>
        <w:tc>
          <w:tcPr>
            <w:tcW w:w="286" w:type="pct"/>
            <w:tcBorders>
              <w:top w:val="single" w:color="auto" w:sz="4" w:space="0"/>
              <w:left w:val="single" w:color="auto" w:sz="4" w:space="0"/>
              <w:bottom w:val="single" w:color="auto" w:sz="4" w:space="0"/>
              <w:right w:val="single" w:color="auto" w:sz="4" w:space="0"/>
            </w:tcBorders>
            <w:vAlign w:val="center"/>
          </w:tcPr>
          <w:p>
            <w:pPr>
              <w:pStyle w:val="118"/>
              <w:shd w:val="clear" w:color="auto" w:fill="auto"/>
              <w:snapToGrid w:val="0"/>
              <w:spacing w:line="240" w:lineRule="auto"/>
              <w:jc w:val="center"/>
              <w:rPr>
                <w:color w:val="auto"/>
                <w:sz w:val="21"/>
                <w:szCs w:val="21"/>
                <w:highlight w:val="none"/>
              </w:rPr>
            </w:pPr>
            <w:r>
              <w:rPr>
                <w:rStyle w:val="117"/>
                <w:rFonts w:eastAsia="PMingLiU"/>
                <w:color w:val="auto"/>
                <w:sz w:val="21"/>
                <w:szCs w:val="21"/>
                <w:highlight w:val="none"/>
                <w:lang w:eastAsia="zh-TW"/>
              </w:rPr>
              <w:t>15</w:t>
            </w:r>
          </w:p>
        </w:tc>
        <w:tc>
          <w:tcPr>
            <w:tcW w:w="3768" w:type="pct"/>
            <w:tcBorders>
              <w:top w:val="single" w:color="auto" w:sz="4" w:space="0"/>
              <w:left w:val="single" w:color="auto" w:sz="4" w:space="0"/>
              <w:bottom w:val="single" w:color="auto" w:sz="4" w:space="0"/>
              <w:right w:val="single" w:color="auto" w:sz="4" w:space="0"/>
            </w:tcBorders>
            <w:vAlign w:val="center"/>
          </w:tcPr>
          <w:p>
            <w:pPr>
              <w:pStyle w:val="118"/>
              <w:shd w:val="clear" w:color="auto" w:fill="auto"/>
              <w:snapToGrid w:val="0"/>
              <w:spacing w:line="240" w:lineRule="auto"/>
              <w:rPr>
                <w:rStyle w:val="117"/>
                <w:color w:val="auto"/>
                <w:sz w:val="21"/>
                <w:szCs w:val="21"/>
                <w:highlight w:val="none"/>
              </w:rPr>
            </w:pPr>
            <w:r>
              <w:rPr>
                <w:rStyle w:val="117"/>
                <w:rFonts w:hint="eastAsia"/>
                <w:color w:val="auto"/>
                <w:sz w:val="21"/>
                <w:szCs w:val="21"/>
                <w:highlight w:val="none"/>
              </w:rPr>
              <w:t>（1）安全负责人持有有效期内的注册安全工程师证书，得</w:t>
            </w:r>
            <w:r>
              <w:rPr>
                <w:rStyle w:val="117"/>
                <w:rFonts w:eastAsia="PMingLiU"/>
                <w:color w:val="auto"/>
                <w:sz w:val="21"/>
                <w:szCs w:val="21"/>
                <w:highlight w:val="none"/>
                <w:lang w:eastAsia="zh-TW"/>
              </w:rPr>
              <w:t>5</w:t>
            </w:r>
            <w:r>
              <w:rPr>
                <w:rStyle w:val="117"/>
                <w:rFonts w:hint="eastAsia"/>
                <w:color w:val="auto"/>
                <w:sz w:val="21"/>
                <w:szCs w:val="21"/>
                <w:highlight w:val="none"/>
              </w:rPr>
              <w:t>分；不满足上述条件不得分。本小项最多得</w:t>
            </w:r>
            <w:r>
              <w:rPr>
                <w:rStyle w:val="117"/>
                <w:rFonts w:eastAsia="PMingLiU"/>
                <w:color w:val="auto"/>
                <w:sz w:val="21"/>
                <w:szCs w:val="21"/>
                <w:highlight w:val="none"/>
                <w:lang w:eastAsia="zh-TW"/>
              </w:rPr>
              <w:t>5</w:t>
            </w:r>
            <w:r>
              <w:rPr>
                <w:rStyle w:val="117"/>
                <w:rFonts w:hint="eastAsia"/>
                <w:color w:val="auto"/>
                <w:sz w:val="21"/>
                <w:szCs w:val="21"/>
                <w:highlight w:val="none"/>
              </w:rPr>
              <w:t>分。</w:t>
            </w:r>
          </w:p>
          <w:p>
            <w:pPr>
              <w:pStyle w:val="118"/>
              <w:shd w:val="clear" w:color="auto" w:fill="auto"/>
              <w:snapToGrid w:val="0"/>
              <w:spacing w:line="240" w:lineRule="auto"/>
              <w:rPr>
                <w:rStyle w:val="117"/>
                <w:color w:val="auto"/>
                <w:sz w:val="21"/>
                <w:szCs w:val="21"/>
                <w:highlight w:val="none"/>
              </w:rPr>
            </w:pPr>
            <w:r>
              <w:rPr>
                <w:rStyle w:val="117"/>
                <w:rFonts w:hint="eastAsia"/>
                <w:color w:val="auto"/>
                <w:sz w:val="21"/>
                <w:szCs w:val="21"/>
                <w:highlight w:val="none"/>
              </w:rPr>
              <w:t>（2）安全负责人具有省级建设行政主管部门颁发的安全生产考核合格证（C类）或建筑施工企业专职安全生产管理人员安全生产考核合格证书（C3），得</w:t>
            </w:r>
            <w:r>
              <w:rPr>
                <w:rStyle w:val="117"/>
                <w:rFonts w:eastAsia="PMingLiU"/>
                <w:color w:val="auto"/>
                <w:sz w:val="21"/>
                <w:szCs w:val="21"/>
                <w:highlight w:val="none"/>
                <w:lang w:eastAsia="zh-TW"/>
              </w:rPr>
              <w:t>5</w:t>
            </w:r>
            <w:r>
              <w:rPr>
                <w:rStyle w:val="117"/>
                <w:rFonts w:hint="eastAsia"/>
                <w:color w:val="auto"/>
                <w:sz w:val="21"/>
                <w:szCs w:val="21"/>
                <w:highlight w:val="none"/>
              </w:rPr>
              <w:t>分；不满足上述条件不得分。本小项最多得</w:t>
            </w:r>
            <w:r>
              <w:rPr>
                <w:rStyle w:val="117"/>
                <w:rFonts w:eastAsia="PMingLiU"/>
                <w:color w:val="auto"/>
                <w:sz w:val="21"/>
                <w:szCs w:val="21"/>
                <w:highlight w:val="none"/>
                <w:lang w:eastAsia="zh-TW"/>
              </w:rPr>
              <w:t>5</w:t>
            </w:r>
            <w:r>
              <w:rPr>
                <w:rStyle w:val="117"/>
                <w:rFonts w:hint="eastAsia"/>
                <w:color w:val="auto"/>
                <w:sz w:val="21"/>
                <w:szCs w:val="21"/>
                <w:highlight w:val="none"/>
              </w:rPr>
              <w:t>分。</w:t>
            </w:r>
          </w:p>
          <w:p>
            <w:pPr>
              <w:pStyle w:val="118"/>
              <w:shd w:val="clear" w:color="auto" w:fill="auto"/>
              <w:snapToGrid w:val="0"/>
              <w:spacing w:line="240" w:lineRule="auto"/>
              <w:rPr>
                <w:rStyle w:val="117"/>
                <w:color w:val="auto"/>
                <w:sz w:val="21"/>
                <w:szCs w:val="21"/>
                <w:highlight w:val="none"/>
              </w:rPr>
            </w:pPr>
            <w:r>
              <w:rPr>
                <w:rStyle w:val="117"/>
                <w:rFonts w:hint="eastAsia"/>
                <w:color w:val="auto"/>
                <w:sz w:val="21"/>
                <w:szCs w:val="21"/>
                <w:highlight w:val="none"/>
              </w:rPr>
              <w:t>（3）安全负责人具有10年或以上（含10年）施工管理工作经验，得</w:t>
            </w:r>
            <w:r>
              <w:rPr>
                <w:rStyle w:val="117"/>
                <w:rFonts w:eastAsia="PMingLiU"/>
                <w:color w:val="auto"/>
                <w:sz w:val="21"/>
                <w:szCs w:val="21"/>
                <w:highlight w:val="none"/>
                <w:lang w:eastAsia="zh-TW"/>
              </w:rPr>
              <w:t>5</w:t>
            </w:r>
            <w:r>
              <w:rPr>
                <w:rStyle w:val="117"/>
                <w:rFonts w:hint="eastAsia"/>
                <w:color w:val="auto"/>
                <w:sz w:val="21"/>
                <w:szCs w:val="21"/>
                <w:highlight w:val="none"/>
              </w:rPr>
              <w:t>分；具有5年（含5年）至10年（不含10年）施工管理工作经验，得</w:t>
            </w:r>
            <w:r>
              <w:rPr>
                <w:rStyle w:val="117"/>
                <w:rFonts w:eastAsia="PMingLiU"/>
                <w:color w:val="auto"/>
                <w:sz w:val="21"/>
                <w:szCs w:val="21"/>
                <w:highlight w:val="none"/>
                <w:lang w:eastAsia="zh-TW"/>
              </w:rPr>
              <w:t>3</w:t>
            </w:r>
            <w:r>
              <w:rPr>
                <w:rStyle w:val="117"/>
                <w:rFonts w:hint="eastAsia"/>
                <w:color w:val="auto"/>
                <w:sz w:val="21"/>
                <w:szCs w:val="21"/>
                <w:highlight w:val="none"/>
              </w:rPr>
              <w:t>分；具有5年以下施工管理工作经验，得</w:t>
            </w:r>
            <w:r>
              <w:rPr>
                <w:rStyle w:val="117"/>
                <w:rFonts w:eastAsia="PMingLiU"/>
                <w:color w:val="auto"/>
                <w:sz w:val="21"/>
                <w:szCs w:val="21"/>
                <w:highlight w:val="none"/>
                <w:lang w:eastAsia="zh-TW"/>
              </w:rPr>
              <w:t>1</w:t>
            </w:r>
            <w:r>
              <w:rPr>
                <w:rStyle w:val="117"/>
                <w:rFonts w:hint="eastAsia"/>
                <w:color w:val="auto"/>
                <w:sz w:val="21"/>
                <w:szCs w:val="21"/>
                <w:highlight w:val="none"/>
              </w:rPr>
              <w:t>分。本小项最多得</w:t>
            </w:r>
            <w:r>
              <w:rPr>
                <w:rStyle w:val="117"/>
                <w:rFonts w:eastAsia="PMingLiU"/>
                <w:color w:val="auto"/>
                <w:sz w:val="21"/>
                <w:szCs w:val="21"/>
                <w:highlight w:val="none"/>
                <w:lang w:eastAsia="zh-TW"/>
              </w:rPr>
              <w:t>5</w:t>
            </w:r>
            <w:r>
              <w:rPr>
                <w:rStyle w:val="117"/>
                <w:rFonts w:hint="eastAsia"/>
                <w:color w:val="auto"/>
                <w:sz w:val="21"/>
                <w:szCs w:val="21"/>
                <w:highlight w:val="none"/>
              </w:rPr>
              <w:t>分。</w:t>
            </w:r>
          </w:p>
          <w:p>
            <w:pPr>
              <w:pStyle w:val="118"/>
              <w:shd w:val="clear" w:color="auto" w:fill="auto"/>
              <w:snapToGrid w:val="0"/>
              <w:spacing w:line="240" w:lineRule="auto"/>
              <w:rPr>
                <w:color w:val="auto"/>
                <w:sz w:val="21"/>
                <w:szCs w:val="21"/>
                <w:highlight w:val="none"/>
              </w:rPr>
            </w:pPr>
            <w:r>
              <w:rPr>
                <w:rStyle w:val="117"/>
                <w:rFonts w:hint="eastAsia"/>
                <w:color w:val="auto"/>
                <w:sz w:val="21"/>
                <w:szCs w:val="21"/>
                <w:highlight w:val="none"/>
              </w:rPr>
              <w:t>备注：须提供注册安全工程师、安全考核C证或C3证及毕业证扫描件，本项最高得</w:t>
            </w:r>
            <w:r>
              <w:rPr>
                <w:rStyle w:val="117"/>
                <w:rFonts w:eastAsia="PMingLiU"/>
                <w:color w:val="auto"/>
                <w:sz w:val="21"/>
                <w:szCs w:val="21"/>
                <w:highlight w:val="none"/>
                <w:lang w:eastAsia="zh-TW"/>
              </w:rPr>
              <w:t>15</w:t>
            </w:r>
            <w:r>
              <w:rPr>
                <w:rStyle w:val="117"/>
                <w:rFonts w:hint="eastAsia"/>
                <w:color w:val="auto"/>
                <w:sz w:val="21"/>
                <w:szCs w:val="21"/>
                <w:highlight w:val="none"/>
              </w:rPr>
              <w:t>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atLeast"/>
          <w:jc w:val="center"/>
        </w:trPr>
        <w:tc>
          <w:tcPr>
            <w:tcW w:w="346" w:type="pct"/>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599" w:type="pct"/>
            <w:tcBorders>
              <w:top w:val="single" w:color="auto" w:sz="4" w:space="0"/>
              <w:left w:val="single" w:color="auto" w:sz="4" w:space="0"/>
              <w:bottom w:val="single" w:color="auto" w:sz="4" w:space="0"/>
              <w:right w:val="single" w:color="auto" w:sz="4" w:space="0"/>
            </w:tcBorders>
            <w:vAlign w:val="center"/>
          </w:tcPr>
          <w:p>
            <w:pPr>
              <w:pStyle w:val="118"/>
              <w:shd w:val="clear" w:color="auto" w:fill="auto"/>
              <w:snapToGrid w:val="0"/>
              <w:spacing w:line="240" w:lineRule="auto"/>
              <w:rPr>
                <w:color w:val="auto"/>
                <w:sz w:val="21"/>
                <w:szCs w:val="21"/>
                <w:highlight w:val="none"/>
              </w:rPr>
            </w:pPr>
            <w:r>
              <w:rPr>
                <w:rStyle w:val="117"/>
                <w:rFonts w:hint="eastAsia"/>
                <w:color w:val="auto"/>
                <w:sz w:val="21"/>
                <w:szCs w:val="21"/>
                <w:highlight w:val="none"/>
              </w:rPr>
              <w:t>质量负责人</w:t>
            </w:r>
          </w:p>
        </w:tc>
        <w:tc>
          <w:tcPr>
            <w:tcW w:w="286" w:type="pct"/>
            <w:tcBorders>
              <w:top w:val="single" w:color="auto" w:sz="4" w:space="0"/>
              <w:left w:val="single" w:color="auto" w:sz="4" w:space="0"/>
              <w:bottom w:val="single" w:color="auto" w:sz="4" w:space="0"/>
              <w:right w:val="single" w:color="auto" w:sz="4" w:space="0"/>
            </w:tcBorders>
            <w:vAlign w:val="center"/>
          </w:tcPr>
          <w:p>
            <w:pPr>
              <w:pStyle w:val="118"/>
              <w:shd w:val="clear" w:color="auto" w:fill="auto"/>
              <w:snapToGrid w:val="0"/>
              <w:spacing w:line="240" w:lineRule="auto"/>
              <w:jc w:val="center"/>
              <w:rPr>
                <w:color w:val="auto"/>
                <w:sz w:val="21"/>
                <w:szCs w:val="21"/>
                <w:highlight w:val="none"/>
              </w:rPr>
            </w:pPr>
            <w:r>
              <w:rPr>
                <w:rStyle w:val="117"/>
                <w:rFonts w:eastAsia="PMingLiU"/>
                <w:color w:val="auto"/>
                <w:sz w:val="21"/>
                <w:szCs w:val="21"/>
                <w:highlight w:val="none"/>
                <w:lang w:eastAsia="zh-TW"/>
              </w:rPr>
              <w:t>15</w:t>
            </w:r>
          </w:p>
        </w:tc>
        <w:tc>
          <w:tcPr>
            <w:tcW w:w="3768" w:type="pct"/>
            <w:tcBorders>
              <w:top w:val="single" w:color="auto" w:sz="4" w:space="0"/>
              <w:left w:val="single" w:color="auto" w:sz="4" w:space="0"/>
              <w:bottom w:val="single" w:color="auto" w:sz="4" w:space="0"/>
              <w:right w:val="single" w:color="auto" w:sz="4" w:space="0"/>
            </w:tcBorders>
            <w:vAlign w:val="center"/>
          </w:tcPr>
          <w:p>
            <w:pPr>
              <w:pStyle w:val="118"/>
              <w:shd w:val="clear" w:color="auto" w:fill="auto"/>
              <w:snapToGrid w:val="0"/>
              <w:spacing w:line="240" w:lineRule="auto"/>
              <w:rPr>
                <w:rStyle w:val="117"/>
                <w:color w:val="auto"/>
                <w:sz w:val="21"/>
                <w:szCs w:val="21"/>
                <w:highlight w:val="none"/>
              </w:rPr>
            </w:pPr>
            <w:r>
              <w:rPr>
                <w:rStyle w:val="117"/>
                <w:rFonts w:hint="eastAsia"/>
                <w:color w:val="auto"/>
                <w:sz w:val="21"/>
                <w:szCs w:val="21"/>
                <w:highlight w:val="none"/>
              </w:rPr>
              <w:t>（1）拟委派的质量负责人具备质量员岗位证，得</w:t>
            </w:r>
            <w:r>
              <w:rPr>
                <w:rStyle w:val="117"/>
                <w:rFonts w:eastAsia="PMingLiU"/>
                <w:color w:val="auto"/>
                <w:sz w:val="21"/>
                <w:szCs w:val="21"/>
                <w:highlight w:val="none"/>
                <w:lang w:eastAsia="zh-TW"/>
              </w:rPr>
              <w:t>5</w:t>
            </w:r>
            <w:r>
              <w:rPr>
                <w:rStyle w:val="117"/>
                <w:rFonts w:hint="eastAsia"/>
                <w:color w:val="auto"/>
                <w:sz w:val="21"/>
                <w:szCs w:val="21"/>
                <w:highlight w:val="none"/>
              </w:rPr>
              <w:t>分；不满足上述条件不得分。本小项最多得</w:t>
            </w:r>
            <w:r>
              <w:rPr>
                <w:rStyle w:val="117"/>
                <w:rFonts w:eastAsia="PMingLiU"/>
                <w:color w:val="auto"/>
                <w:sz w:val="21"/>
                <w:szCs w:val="21"/>
                <w:highlight w:val="none"/>
                <w:lang w:eastAsia="zh-TW"/>
              </w:rPr>
              <w:t>5</w:t>
            </w:r>
            <w:r>
              <w:rPr>
                <w:rStyle w:val="117"/>
                <w:rFonts w:hint="eastAsia"/>
                <w:color w:val="auto"/>
                <w:sz w:val="21"/>
                <w:szCs w:val="21"/>
                <w:highlight w:val="none"/>
              </w:rPr>
              <w:t>分。</w:t>
            </w:r>
          </w:p>
          <w:p>
            <w:pPr>
              <w:pStyle w:val="118"/>
              <w:shd w:val="clear" w:color="auto" w:fill="auto"/>
              <w:snapToGrid w:val="0"/>
              <w:spacing w:line="240" w:lineRule="auto"/>
              <w:rPr>
                <w:rStyle w:val="117"/>
                <w:color w:val="auto"/>
                <w:sz w:val="21"/>
                <w:szCs w:val="21"/>
                <w:highlight w:val="none"/>
              </w:rPr>
            </w:pPr>
            <w:r>
              <w:rPr>
                <w:rStyle w:val="117"/>
                <w:rFonts w:hint="eastAsia"/>
                <w:color w:val="auto"/>
                <w:sz w:val="21"/>
                <w:szCs w:val="21"/>
                <w:highlight w:val="none"/>
              </w:rPr>
              <w:t>（2）质量负责人具有市政工程类相关专业高级工程师或以上职称，得</w:t>
            </w:r>
            <w:r>
              <w:rPr>
                <w:rStyle w:val="117"/>
                <w:rFonts w:eastAsia="PMingLiU"/>
                <w:color w:val="auto"/>
                <w:sz w:val="21"/>
                <w:szCs w:val="21"/>
                <w:highlight w:val="none"/>
                <w:lang w:eastAsia="zh-TW"/>
              </w:rPr>
              <w:t>5</w:t>
            </w:r>
            <w:r>
              <w:rPr>
                <w:rStyle w:val="117"/>
                <w:rFonts w:hint="eastAsia"/>
                <w:color w:val="auto"/>
                <w:sz w:val="21"/>
                <w:szCs w:val="21"/>
                <w:highlight w:val="none"/>
              </w:rPr>
              <w:t>分；</w:t>
            </w:r>
            <w:r>
              <w:rPr>
                <w:rStyle w:val="117"/>
                <w:rFonts w:eastAsia="宋体"/>
                <w:color w:val="auto"/>
                <w:sz w:val="21"/>
                <w:szCs w:val="21"/>
                <w:highlight w:val="none"/>
                <w:lang w:eastAsia="zh-TW"/>
              </w:rPr>
              <w:t>质量负责人具有市政工程类相关专业中级工程师职称，得3分；</w:t>
            </w:r>
            <w:r>
              <w:rPr>
                <w:rStyle w:val="117"/>
                <w:rFonts w:hint="eastAsia"/>
                <w:color w:val="auto"/>
                <w:sz w:val="21"/>
                <w:szCs w:val="21"/>
                <w:highlight w:val="none"/>
              </w:rPr>
              <w:t>不满足上述条件不得分。本小项最多得</w:t>
            </w:r>
            <w:r>
              <w:rPr>
                <w:rStyle w:val="117"/>
                <w:rFonts w:eastAsia="宋体"/>
                <w:color w:val="auto"/>
                <w:sz w:val="21"/>
                <w:szCs w:val="21"/>
                <w:highlight w:val="none"/>
                <w:lang w:eastAsia="zh-TW"/>
              </w:rPr>
              <w:t>5</w:t>
            </w:r>
            <w:r>
              <w:rPr>
                <w:rStyle w:val="117"/>
                <w:rFonts w:hint="eastAsia"/>
                <w:color w:val="auto"/>
                <w:sz w:val="21"/>
                <w:szCs w:val="21"/>
                <w:highlight w:val="none"/>
              </w:rPr>
              <w:t>分。</w:t>
            </w:r>
          </w:p>
          <w:p>
            <w:pPr>
              <w:pStyle w:val="118"/>
              <w:shd w:val="clear" w:color="auto" w:fill="auto"/>
              <w:snapToGrid w:val="0"/>
              <w:spacing w:line="240" w:lineRule="auto"/>
              <w:rPr>
                <w:rStyle w:val="117"/>
                <w:color w:val="auto"/>
                <w:sz w:val="21"/>
                <w:szCs w:val="21"/>
                <w:highlight w:val="none"/>
              </w:rPr>
            </w:pPr>
            <w:r>
              <w:rPr>
                <w:rStyle w:val="117"/>
                <w:rFonts w:hint="eastAsia"/>
                <w:color w:val="auto"/>
                <w:sz w:val="21"/>
                <w:szCs w:val="21"/>
                <w:highlight w:val="none"/>
              </w:rPr>
              <w:t>（3）质量负责人具有10年或以上（含10年）施工管理工作经验，得</w:t>
            </w:r>
            <w:r>
              <w:rPr>
                <w:rStyle w:val="117"/>
                <w:rFonts w:eastAsia="PMingLiU"/>
                <w:color w:val="auto"/>
                <w:sz w:val="21"/>
                <w:szCs w:val="21"/>
                <w:highlight w:val="none"/>
                <w:lang w:eastAsia="zh-TW"/>
              </w:rPr>
              <w:t>5</w:t>
            </w:r>
            <w:r>
              <w:rPr>
                <w:rStyle w:val="117"/>
                <w:rFonts w:hint="eastAsia"/>
                <w:color w:val="auto"/>
                <w:sz w:val="21"/>
                <w:szCs w:val="21"/>
                <w:highlight w:val="none"/>
              </w:rPr>
              <w:t>分；具有5年（含5年）至10年（不含10年）施工管理工作经验，得</w:t>
            </w:r>
            <w:r>
              <w:rPr>
                <w:rStyle w:val="117"/>
                <w:rFonts w:eastAsia="PMingLiU"/>
                <w:color w:val="auto"/>
                <w:sz w:val="21"/>
                <w:szCs w:val="21"/>
                <w:highlight w:val="none"/>
                <w:lang w:eastAsia="zh-TW"/>
              </w:rPr>
              <w:t>3</w:t>
            </w:r>
            <w:r>
              <w:rPr>
                <w:rStyle w:val="117"/>
                <w:rFonts w:hint="eastAsia"/>
                <w:color w:val="auto"/>
                <w:sz w:val="21"/>
                <w:szCs w:val="21"/>
                <w:highlight w:val="none"/>
              </w:rPr>
              <w:t>分；具有5年以下施工管理工作经验，得</w:t>
            </w:r>
            <w:r>
              <w:rPr>
                <w:rStyle w:val="117"/>
                <w:rFonts w:eastAsia="PMingLiU"/>
                <w:color w:val="auto"/>
                <w:sz w:val="21"/>
                <w:szCs w:val="21"/>
                <w:highlight w:val="none"/>
                <w:lang w:eastAsia="zh-TW"/>
              </w:rPr>
              <w:t>1</w:t>
            </w:r>
            <w:r>
              <w:rPr>
                <w:rStyle w:val="117"/>
                <w:rFonts w:hint="eastAsia"/>
                <w:color w:val="auto"/>
                <w:sz w:val="21"/>
                <w:szCs w:val="21"/>
                <w:highlight w:val="none"/>
              </w:rPr>
              <w:t>分。本小项最多得</w:t>
            </w:r>
            <w:r>
              <w:rPr>
                <w:rStyle w:val="117"/>
                <w:rFonts w:eastAsia="PMingLiU"/>
                <w:color w:val="auto"/>
                <w:sz w:val="21"/>
                <w:szCs w:val="21"/>
                <w:highlight w:val="none"/>
                <w:lang w:eastAsia="zh-TW"/>
              </w:rPr>
              <w:t>5</w:t>
            </w:r>
            <w:r>
              <w:rPr>
                <w:rStyle w:val="117"/>
                <w:rFonts w:hint="eastAsia"/>
                <w:color w:val="auto"/>
                <w:sz w:val="21"/>
                <w:szCs w:val="21"/>
                <w:highlight w:val="none"/>
              </w:rPr>
              <w:t>分。</w:t>
            </w:r>
          </w:p>
          <w:p>
            <w:pPr>
              <w:pStyle w:val="118"/>
              <w:shd w:val="clear" w:color="auto" w:fill="auto"/>
              <w:snapToGrid w:val="0"/>
              <w:spacing w:line="240" w:lineRule="auto"/>
              <w:rPr>
                <w:color w:val="auto"/>
                <w:sz w:val="21"/>
                <w:szCs w:val="21"/>
                <w:highlight w:val="none"/>
              </w:rPr>
            </w:pPr>
            <w:r>
              <w:rPr>
                <w:rStyle w:val="117"/>
                <w:rFonts w:hint="eastAsia"/>
                <w:color w:val="auto"/>
                <w:sz w:val="21"/>
                <w:szCs w:val="21"/>
                <w:highlight w:val="none"/>
              </w:rPr>
              <w:t>备注：须提供职称证书、毕业证扫描件，本项最高得</w:t>
            </w:r>
            <w:r>
              <w:rPr>
                <w:rStyle w:val="117"/>
                <w:rFonts w:eastAsia="PMingLiU"/>
                <w:color w:val="auto"/>
                <w:sz w:val="21"/>
                <w:szCs w:val="21"/>
                <w:highlight w:val="none"/>
                <w:lang w:eastAsia="zh-TW"/>
              </w:rPr>
              <w:t>15</w:t>
            </w:r>
            <w:r>
              <w:rPr>
                <w:rStyle w:val="117"/>
                <w:rFonts w:hint="eastAsia"/>
                <w:color w:val="auto"/>
                <w:sz w:val="21"/>
                <w:szCs w:val="21"/>
                <w:highlight w:val="none"/>
              </w:rPr>
              <w:t>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346" w:type="pct"/>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599" w:type="pct"/>
            <w:tcBorders>
              <w:top w:val="single" w:color="auto" w:sz="4" w:space="0"/>
              <w:left w:val="single" w:color="auto" w:sz="4" w:space="0"/>
              <w:bottom w:val="single" w:color="auto" w:sz="4" w:space="0"/>
              <w:right w:val="single" w:color="auto" w:sz="4" w:space="0"/>
            </w:tcBorders>
            <w:vAlign w:val="center"/>
          </w:tcPr>
          <w:p>
            <w:pPr>
              <w:pStyle w:val="118"/>
              <w:shd w:val="clear" w:color="auto" w:fill="auto"/>
              <w:snapToGrid w:val="0"/>
              <w:spacing w:line="240" w:lineRule="auto"/>
              <w:rPr>
                <w:color w:val="auto"/>
                <w:sz w:val="21"/>
                <w:szCs w:val="21"/>
                <w:highlight w:val="none"/>
                <w:shd w:val="clear" w:color="auto" w:fill="FFFFFF"/>
                <w:lang w:val="zh-TW"/>
              </w:rPr>
            </w:pPr>
            <w:r>
              <w:rPr>
                <w:rStyle w:val="117"/>
                <w:rFonts w:hint="eastAsia"/>
                <w:color w:val="auto"/>
                <w:sz w:val="21"/>
                <w:szCs w:val="21"/>
                <w:highlight w:val="none"/>
              </w:rPr>
              <w:t>造价负责人</w:t>
            </w:r>
          </w:p>
        </w:tc>
        <w:tc>
          <w:tcPr>
            <w:tcW w:w="286" w:type="pct"/>
            <w:tcBorders>
              <w:top w:val="single" w:color="auto" w:sz="4" w:space="0"/>
              <w:left w:val="single" w:color="auto" w:sz="4" w:space="0"/>
              <w:bottom w:val="single" w:color="auto" w:sz="4" w:space="0"/>
              <w:right w:val="single" w:color="auto" w:sz="4" w:space="0"/>
            </w:tcBorders>
            <w:vAlign w:val="center"/>
          </w:tcPr>
          <w:p>
            <w:pPr>
              <w:pStyle w:val="118"/>
              <w:shd w:val="clear" w:color="auto" w:fill="auto"/>
              <w:snapToGrid w:val="0"/>
              <w:spacing w:line="240" w:lineRule="auto"/>
              <w:jc w:val="center"/>
              <w:rPr>
                <w:rFonts w:eastAsia="PMingLiU"/>
                <w:color w:val="auto"/>
                <w:sz w:val="21"/>
                <w:szCs w:val="21"/>
                <w:highlight w:val="none"/>
                <w:shd w:val="clear" w:color="auto" w:fill="FFFFFF"/>
              </w:rPr>
            </w:pPr>
            <w:r>
              <w:rPr>
                <w:rStyle w:val="117"/>
                <w:rFonts w:eastAsia="PMingLiU"/>
                <w:color w:val="auto"/>
                <w:sz w:val="21"/>
                <w:szCs w:val="21"/>
                <w:highlight w:val="none"/>
                <w:lang w:eastAsia="zh-TW"/>
              </w:rPr>
              <w:t>15</w:t>
            </w:r>
          </w:p>
        </w:tc>
        <w:tc>
          <w:tcPr>
            <w:tcW w:w="3768" w:type="pct"/>
            <w:tcBorders>
              <w:top w:val="single" w:color="auto" w:sz="4" w:space="0"/>
              <w:left w:val="single" w:color="auto" w:sz="4" w:space="0"/>
              <w:bottom w:val="single" w:color="auto" w:sz="4" w:space="0"/>
              <w:right w:val="single" w:color="auto" w:sz="4" w:space="0"/>
            </w:tcBorders>
            <w:vAlign w:val="center"/>
          </w:tcPr>
          <w:p>
            <w:pPr>
              <w:pStyle w:val="118"/>
              <w:shd w:val="clear" w:color="auto" w:fill="auto"/>
              <w:snapToGrid w:val="0"/>
              <w:spacing w:line="240" w:lineRule="auto"/>
              <w:rPr>
                <w:rStyle w:val="117"/>
                <w:color w:val="auto"/>
                <w:sz w:val="21"/>
                <w:szCs w:val="21"/>
                <w:highlight w:val="none"/>
              </w:rPr>
            </w:pPr>
            <w:r>
              <w:rPr>
                <w:rStyle w:val="117"/>
                <w:rFonts w:hint="eastAsia"/>
                <w:color w:val="auto"/>
                <w:sz w:val="21"/>
                <w:szCs w:val="21"/>
                <w:highlight w:val="none"/>
              </w:rPr>
              <w:t>（1）造价负责人具有注册造价工程师（或注册一级造价工程师）证书，得</w:t>
            </w:r>
            <w:r>
              <w:rPr>
                <w:rStyle w:val="117"/>
                <w:rFonts w:eastAsia="PMingLiU"/>
                <w:color w:val="auto"/>
                <w:sz w:val="21"/>
                <w:szCs w:val="21"/>
                <w:highlight w:val="none"/>
                <w:lang w:eastAsia="zh-TW"/>
              </w:rPr>
              <w:t>10</w:t>
            </w:r>
            <w:r>
              <w:rPr>
                <w:rStyle w:val="117"/>
                <w:rFonts w:hint="eastAsia"/>
                <w:color w:val="auto"/>
                <w:sz w:val="21"/>
                <w:szCs w:val="21"/>
                <w:highlight w:val="none"/>
              </w:rPr>
              <w:t>分；不满足上述条件不得分。本小项最多得</w:t>
            </w:r>
            <w:r>
              <w:rPr>
                <w:rStyle w:val="117"/>
                <w:rFonts w:eastAsia="PMingLiU"/>
                <w:color w:val="auto"/>
                <w:sz w:val="21"/>
                <w:szCs w:val="21"/>
                <w:highlight w:val="none"/>
                <w:lang w:eastAsia="zh-TW"/>
              </w:rPr>
              <w:t>10</w:t>
            </w:r>
            <w:r>
              <w:rPr>
                <w:rStyle w:val="117"/>
                <w:rFonts w:hint="eastAsia"/>
                <w:color w:val="auto"/>
                <w:sz w:val="21"/>
                <w:szCs w:val="21"/>
                <w:highlight w:val="none"/>
              </w:rPr>
              <w:t>分。</w:t>
            </w:r>
          </w:p>
          <w:p>
            <w:pPr>
              <w:pStyle w:val="118"/>
              <w:shd w:val="clear" w:color="auto" w:fill="auto"/>
              <w:snapToGrid w:val="0"/>
              <w:spacing w:line="240" w:lineRule="auto"/>
              <w:rPr>
                <w:rStyle w:val="117"/>
                <w:color w:val="auto"/>
                <w:sz w:val="21"/>
                <w:szCs w:val="21"/>
                <w:highlight w:val="none"/>
              </w:rPr>
            </w:pPr>
            <w:r>
              <w:rPr>
                <w:rStyle w:val="117"/>
                <w:rFonts w:hint="eastAsia"/>
                <w:color w:val="auto"/>
                <w:sz w:val="21"/>
                <w:szCs w:val="21"/>
                <w:highlight w:val="none"/>
              </w:rPr>
              <w:t>（2）经历：具有10年或以上（含10年）造价管理工作经验，得</w:t>
            </w:r>
            <w:r>
              <w:rPr>
                <w:rStyle w:val="117"/>
                <w:rFonts w:eastAsia="PMingLiU"/>
                <w:color w:val="auto"/>
                <w:sz w:val="21"/>
                <w:szCs w:val="21"/>
                <w:highlight w:val="none"/>
                <w:lang w:eastAsia="zh-TW"/>
              </w:rPr>
              <w:t>5</w:t>
            </w:r>
            <w:r>
              <w:rPr>
                <w:rStyle w:val="117"/>
                <w:rFonts w:hint="eastAsia"/>
                <w:color w:val="auto"/>
                <w:sz w:val="21"/>
                <w:szCs w:val="21"/>
                <w:highlight w:val="none"/>
              </w:rPr>
              <w:t>分；具有5年（含5年）至10年（不含10年）造价管理工作经验，得</w:t>
            </w:r>
            <w:r>
              <w:rPr>
                <w:rStyle w:val="117"/>
                <w:rFonts w:eastAsia="PMingLiU"/>
                <w:color w:val="auto"/>
                <w:sz w:val="21"/>
                <w:szCs w:val="21"/>
                <w:highlight w:val="none"/>
                <w:lang w:eastAsia="zh-TW"/>
              </w:rPr>
              <w:t>3</w:t>
            </w:r>
            <w:r>
              <w:rPr>
                <w:rStyle w:val="117"/>
                <w:rFonts w:hint="eastAsia"/>
                <w:color w:val="auto"/>
                <w:sz w:val="21"/>
                <w:szCs w:val="21"/>
                <w:highlight w:val="none"/>
              </w:rPr>
              <w:t>分；具有5年以下造价管理工作经验，得1分。本小项最多得</w:t>
            </w:r>
            <w:r>
              <w:rPr>
                <w:rStyle w:val="117"/>
                <w:rFonts w:eastAsia="PMingLiU"/>
                <w:color w:val="auto"/>
                <w:sz w:val="21"/>
                <w:szCs w:val="21"/>
                <w:highlight w:val="none"/>
                <w:lang w:eastAsia="zh-TW"/>
              </w:rPr>
              <w:t>5</w:t>
            </w:r>
            <w:r>
              <w:rPr>
                <w:rStyle w:val="117"/>
                <w:rFonts w:hint="eastAsia"/>
                <w:color w:val="auto"/>
                <w:sz w:val="21"/>
                <w:szCs w:val="21"/>
                <w:highlight w:val="none"/>
              </w:rPr>
              <w:t>分。</w:t>
            </w:r>
          </w:p>
          <w:p>
            <w:pPr>
              <w:pStyle w:val="118"/>
              <w:shd w:val="clear" w:color="auto" w:fill="auto"/>
              <w:snapToGrid w:val="0"/>
              <w:spacing w:line="240" w:lineRule="auto"/>
              <w:rPr>
                <w:color w:val="auto"/>
                <w:kern w:val="0"/>
                <w:sz w:val="21"/>
                <w:szCs w:val="21"/>
                <w:highlight w:val="none"/>
                <w:shd w:val="clear" w:color="auto" w:fill="FFFFFF"/>
              </w:rPr>
            </w:pPr>
            <w:r>
              <w:rPr>
                <w:rStyle w:val="117"/>
                <w:rFonts w:hint="eastAsia"/>
                <w:color w:val="auto"/>
                <w:sz w:val="21"/>
                <w:szCs w:val="21"/>
                <w:highlight w:val="none"/>
              </w:rPr>
              <w:t>备注：须提供造价工程师注册证、毕业证扫描件，本项最高得</w:t>
            </w:r>
            <w:r>
              <w:rPr>
                <w:rStyle w:val="117"/>
                <w:rFonts w:eastAsia="PMingLiU"/>
                <w:color w:val="auto"/>
                <w:sz w:val="21"/>
                <w:szCs w:val="21"/>
                <w:highlight w:val="none"/>
                <w:lang w:eastAsia="zh-TW"/>
              </w:rPr>
              <w:t>15</w:t>
            </w:r>
            <w:r>
              <w:rPr>
                <w:rStyle w:val="117"/>
                <w:rFonts w:hint="eastAsia"/>
                <w:color w:val="auto"/>
                <w:sz w:val="21"/>
                <w:szCs w:val="21"/>
                <w:highlight w:val="none"/>
              </w:rPr>
              <w:t>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346" w:type="pct"/>
            <w:vMerge w:val="restart"/>
            <w:tcBorders>
              <w:top w:val="single" w:color="auto" w:sz="4" w:space="0"/>
              <w:left w:val="single" w:color="auto" w:sz="8"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二、企业资信（30分）</w:t>
            </w:r>
          </w:p>
        </w:tc>
        <w:tc>
          <w:tcPr>
            <w:tcW w:w="1755" w:type="dxa"/>
            <w:tcBorders>
              <w:top w:val="single" w:color="auto" w:sz="4" w:space="0"/>
              <w:left w:val="single" w:color="auto" w:sz="4" w:space="0"/>
              <w:bottom w:val="single" w:color="auto" w:sz="4" w:space="0"/>
              <w:right w:val="single" w:color="auto" w:sz="4" w:space="0"/>
            </w:tcBorders>
            <w:vAlign w:val="center"/>
          </w:tcPr>
          <w:p>
            <w:pPr>
              <w:pStyle w:val="118"/>
              <w:shd w:val="clear" w:color="auto" w:fill="auto"/>
              <w:snapToGrid w:val="0"/>
              <w:spacing w:line="240" w:lineRule="auto"/>
              <w:rPr>
                <w:color w:val="auto"/>
                <w:sz w:val="21"/>
                <w:szCs w:val="21"/>
                <w:highlight w:val="none"/>
                <w:lang w:bidi="ar"/>
              </w:rPr>
            </w:pPr>
            <w:r>
              <w:rPr>
                <w:rStyle w:val="117"/>
                <w:rFonts w:hint="eastAsia"/>
                <w:color w:val="auto"/>
                <w:sz w:val="21"/>
                <w:szCs w:val="21"/>
                <w:highlight w:val="none"/>
              </w:rPr>
              <w:t>投标人业绩情况</w:t>
            </w:r>
          </w:p>
        </w:tc>
        <w:tc>
          <w:tcPr>
            <w:tcW w:w="838" w:type="dxa"/>
            <w:tcBorders>
              <w:top w:val="single" w:color="auto" w:sz="4" w:space="0"/>
              <w:left w:val="single" w:color="auto" w:sz="4" w:space="0"/>
              <w:bottom w:val="single" w:color="auto" w:sz="4" w:space="0"/>
              <w:right w:val="single" w:color="auto" w:sz="4" w:space="0"/>
            </w:tcBorders>
            <w:vAlign w:val="center"/>
          </w:tcPr>
          <w:p>
            <w:pPr>
              <w:pStyle w:val="118"/>
              <w:shd w:val="clear" w:color="auto" w:fill="auto"/>
              <w:snapToGrid w:val="0"/>
              <w:spacing w:line="240" w:lineRule="auto"/>
              <w:jc w:val="center"/>
              <w:rPr>
                <w:color w:val="auto"/>
                <w:sz w:val="21"/>
                <w:szCs w:val="21"/>
                <w:highlight w:val="none"/>
              </w:rPr>
            </w:pPr>
            <w:r>
              <w:rPr>
                <w:rStyle w:val="117"/>
                <w:rFonts w:eastAsia="PMingLiU"/>
                <w:color w:val="auto"/>
                <w:sz w:val="21"/>
                <w:szCs w:val="21"/>
                <w:highlight w:val="none"/>
                <w:lang w:eastAsia="zh-TW"/>
              </w:rPr>
              <w:t>6</w:t>
            </w:r>
          </w:p>
        </w:tc>
        <w:tc>
          <w:tcPr>
            <w:tcW w:w="11040" w:type="dxa"/>
            <w:tcBorders>
              <w:top w:val="single" w:color="auto" w:sz="4" w:space="0"/>
              <w:left w:val="single" w:color="auto" w:sz="4" w:space="0"/>
              <w:bottom w:val="single" w:color="auto" w:sz="4" w:space="0"/>
              <w:right w:val="single" w:color="auto" w:sz="4" w:space="0"/>
            </w:tcBorders>
            <w:vAlign w:val="center"/>
          </w:tcPr>
          <w:p>
            <w:pPr>
              <w:pStyle w:val="118"/>
              <w:shd w:val="clear" w:color="auto" w:fill="auto"/>
              <w:snapToGrid w:val="0"/>
              <w:spacing w:line="240" w:lineRule="auto"/>
              <w:rPr>
                <w:color w:val="auto"/>
                <w:sz w:val="21"/>
                <w:szCs w:val="21"/>
                <w:highlight w:val="none"/>
                <w:lang w:bidi="ar"/>
              </w:rPr>
            </w:pPr>
            <w:r>
              <w:rPr>
                <w:rStyle w:val="117"/>
                <w:rFonts w:hint="eastAsia"/>
                <w:color w:val="auto"/>
                <w:sz w:val="21"/>
                <w:szCs w:val="21"/>
                <w:highlight w:val="none"/>
              </w:rPr>
              <w:t>投标人自201</w:t>
            </w:r>
            <w:r>
              <w:rPr>
                <w:rStyle w:val="117"/>
                <w:rFonts w:eastAsia="PMingLiU"/>
                <w:color w:val="auto"/>
                <w:sz w:val="21"/>
                <w:szCs w:val="21"/>
                <w:highlight w:val="none"/>
                <w:lang w:eastAsia="zh-TW"/>
              </w:rPr>
              <w:t>9</w:t>
            </w:r>
            <w:r>
              <w:rPr>
                <w:rStyle w:val="117"/>
                <w:rFonts w:hint="eastAsia"/>
                <w:color w:val="auto"/>
                <w:sz w:val="21"/>
                <w:szCs w:val="21"/>
                <w:highlight w:val="none"/>
              </w:rPr>
              <w:t>年1月1日至投标截止时间止完成过质量合格的类似工程业绩每项得</w:t>
            </w:r>
            <w:r>
              <w:rPr>
                <w:rStyle w:val="117"/>
                <w:rFonts w:eastAsia="PMingLiU"/>
                <w:color w:val="auto"/>
                <w:sz w:val="21"/>
                <w:szCs w:val="21"/>
                <w:highlight w:val="none"/>
                <w:lang w:eastAsia="zh-TW"/>
              </w:rPr>
              <w:t>0.6</w:t>
            </w:r>
            <w:r>
              <w:rPr>
                <w:rStyle w:val="117"/>
                <w:rFonts w:hint="eastAsia"/>
                <w:color w:val="auto"/>
                <w:sz w:val="21"/>
                <w:szCs w:val="21"/>
                <w:highlight w:val="none"/>
              </w:rPr>
              <w:t>分，最多得</w:t>
            </w:r>
            <w:r>
              <w:rPr>
                <w:rStyle w:val="117"/>
                <w:rFonts w:eastAsia="PMingLiU"/>
                <w:color w:val="auto"/>
                <w:sz w:val="21"/>
                <w:szCs w:val="21"/>
                <w:highlight w:val="none"/>
                <w:lang w:eastAsia="zh-TW"/>
              </w:rPr>
              <w:t>6</w:t>
            </w:r>
            <w:r>
              <w:rPr>
                <w:rStyle w:val="117"/>
                <w:rFonts w:hint="eastAsia"/>
                <w:color w:val="auto"/>
                <w:sz w:val="21"/>
                <w:szCs w:val="21"/>
                <w:highlight w:val="none"/>
              </w:rPr>
              <w:t>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346" w:type="pct"/>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1755" w:type="dxa"/>
            <w:tcBorders>
              <w:top w:val="single" w:color="auto" w:sz="4" w:space="0"/>
              <w:left w:val="single" w:color="auto" w:sz="4" w:space="0"/>
              <w:bottom w:val="single" w:color="auto" w:sz="4" w:space="0"/>
              <w:right w:val="single" w:color="auto" w:sz="4" w:space="0"/>
            </w:tcBorders>
            <w:vAlign w:val="center"/>
          </w:tcPr>
          <w:p>
            <w:pPr>
              <w:pStyle w:val="118"/>
              <w:shd w:val="clear" w:color="auto" w:fill="auto"/>
              <w:snapToGrid w:val="0"/>
              <w:spacing w:line="240" w:lineRule="auto"/>
              <w:rPr>
                <w:color w:val="auto"/>
                <w:sz w:val="21"/>
                <w:szCs w:val="21"/>
                <w:highlight w:val="none"/>
                <w:lang w:bidi="ar"/>
              </w:rPr>
            </w:pPr>
            <w:r>
              <w:rPr>
                <w:rStyle w:val="117"/>
                <w:rFonts w:hint="eastAsia"/>
                <w:color w:val="auto"/>
                <w:sz w:val="21"/>
                <w:szCs w:val="21"/>
                <w:highlight w:val="none"/>
              </w:rPr>
              <w:t>第三方评价</w:t>
            </w:r>
          </w:p>
        </w:tc>
        <w:tc>
          <w:tcPr>
            <w:tcW w:w="838" w:type="dxa"/>
            <w:tcBorders>
              <w:top w:val="single" w:color="auto" w:sz="4" w:space="0"/>
              <w:left w:val="single" w:color="auto" w:sz="4" w:space="0"/>
              <w:bottom w:val="single" w:color="auto" w:sz="4" w:space="0"/>
              <w:right w:val="single" w:color="auto" w:sz="4" w:space="0"/>
            </w:tcBorders>
            <w:vAlign w:val="center"/>
          </w:tcPr>
          <w:p>
            <w:pPr>
              <w:pStyle w:val="118"/>
              <w:shd w:val="clear" w:color="auto" w:fill="auto"/>
              <w:snapToGrid w:val="0"/>
              <w:spacing w:line="240" w:lineRule="auto"/>
              <w:jc w:val="center"/>
              <w:rPr>
                <w:color w:val="auto"/>
                <w:sz w:val="21"/>
                <w:szCs w:val="21"/>
                <w:highlight w:val="none"/>
              </w:rPr>
            </w:pPr>
            <w:r>
              <w:rPr>
                <w:rStyle w:val="117"/>
                <w:rFonts w:hint="eastAsia"/>
                <w:color w:val="auto"/>
                <w:sz w:val="21"/>
                <w:szCs w:val="21"/>
                <w:highlight w:val="none"/>
              </w:rPr>
              <w:t>6</w:t>
            </w:r>
          </w:p>
        </w:tc>
        <w:tc>
          <w:tcPr>
            <w:tcW w:w="11040" w:type="dxa"/>
            <w:tcBorders>
              <w:top w:val="single" w:color="auto" w:sz="4" w:space="0"/>
              <w:left w:val="single" w:color="auto" w:sz="4" w:space="0"/>
              <w:bottom w:val="single" w:color="auto" w:sz="4" w:space="0"/>
              <w:right w:val="single" w:color="auto" w:sz="4" w:space="0"/>
            </w:tcBorders>
            <w:vAlign w:val="center"/>
          </w:tcPr>
          <w:p>
            <w:pPr>
              <w:pStyle w:val="118"/>
              <w:shd w:val="clear" w:color="auto" w:fill="auto"/>
              <w:snapToGrid w:val="0"/>
              <w:spacing w:line="240" w:lineRule="auto"/>
              <w:rPr>
                <w:rStyle w:val="117"/>
                <w:color w:val="auto"/>
                <w:sz w:val="21"/>
                <w:szCs w:val="21"/>
                <w:highlight w:val="none"/>
              </w:rPr>
            </w:pPr>
          </w:p>
          <w:p>
            <w:pPr>
              <w:pStyle w:val="118"/>
              <w:snapToGrid w:val="0"/>
              <w:rPr>
                <w:color w:val="auto"/>
                <w:sz w:val="21"/>
                <w:szCs w:val="21"/>
                <w:highlight w:val="none"/>
                <w:lang w:bidi="ar"/>
              </w:rPr>
            </w:pPr>
            <w:r>
              <w:rPr>
                <w:rFonts w:hint="eastAsia"/>
                <w:color w:val="auto"/>
                <w:sz w:val="21"/>
                <w:szCs w:val="21"/>
                <w:highlight w:val="none"/>
                <w:lang w:bidi="ar"/>
              </w:rPr>
              <w:t>1、投标人获得质量管理体系认证书、环境管理体系认证书、职业健康安全管理体系认证证书、工程施工安全标准化体系认证证书、工程质量评价体系认证证书、履约能力评价体系认证证书。</w:t>
            </w:r>
          </w:p>
          <w:p>
            <w:pPr>
              <w:pStyle w:val="118"/>
              <w:snapToGrid w:val="0"/>
              <w:rPr>
                <w:rFonts w:hint="eastAsia"/>
                <w:color w:val="auto"/>
                <w:sz w:val="21"/>
                <w:szCs w:val="21"/>
                <w:highlight w:val="none"/>
                <w:lang w:bidi="ar"/>
              </w:rPr>
            </w:pPr>
            <w:r>
              <w:rPr>
                <w:rFonts w:hint="eastAsia"/>
                <w:color w:val="auto"/>
                <w:sz w:val="21"/>
                <w:szCs w:val="21"/>
                <w:highlight w:val="none"/>
                <w:lang w:bidi="ar"/>
              </w:rPr>
              <w:t>获得以上认证证书，每项得1分，最多得6分。</w:t>
            </w:r>
          </w:p>
          <w:p>
            <w:pPr>
              <w:pStyle w:val="118"/>
              <w:shd w:val="clear" w:color="auto" w:fill="auto"/>
              <w:snapToGrid w:val="0"/>
              <w:spacing w:line="240" w:lineRule="auto"/>
              <w:rPr>
                <w:color w:val="auto"/>
                <w:sz w:val="21"/>
                <w:szCs w:val="21"/>
                <w:highlight w:val="none"/>
                <w:lang w:bidi="ar"/>
              </w:rPr>
            </w:pPr>
            <w:r>
              <w:rPr>
                <w:rFonts w:hint="eastAsia"/>
                <w:color w:val="auto"/>
                <w:sz w:val="21"/>
                <w:szCs w:val="21"/>
                <w:highlight w:val="none"/>
                <w:lang w:bidi="ar"/>
              </w:rPr>
              <w:t>注：体系认证证书须是投标人在本项目招标公告发布时间之前获得且在有效期内的才可计算得分，须同时提供在有效期内的证书扫描件和国家认证认可监督管理委员会官方网站（www.cnca.gov.cn）查询页的截图，同一项认证获得有多个证书的按其中一个计分一次，未提供上述资料或不满足要求的不计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46" w:type="pct"/>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1755" w:type="dxa"/>
            <w:tcBorders>
              <w:top w:val="single" w:color="auto" w:sz="4" w:space="0"/>
              <w:left w:val="single" w:color="auto" w:sz="4" w:space="0"/>
              <w:bottom w:val="single" w:color="auto" w:sz="4" w:space="0"/>
              <w:right w:val="single" w:color="auto" w:sz="4" w:space="0"/>
            </w:tcBorders>
            <w:vAlign w:val="center"/>
          </w:tcPr>
          <w:p>
            <w:pPr>
              <w:pStyle w:val="118"/>
              <w:shd w:val="clear" w:color="auto" w:fill="auto"/>
              <w:snapToGrid w:val="0"/>
              <w:spacing w:line="240" w:lineRule="auto"/>
              <w:rPr>
                <w:color w:val="auto"/>
                <w:sz w:val="21"/>
                <w:szCs w:val="21"/>
                <w:highlight w:val="none"/>
                <w:lang w:bidi="ar"/>
              </w:rPr>
            </w:pPr>
            <w:r>
              <w:rPr>
                <w:rStyle w:val="117"/>
                <w:rFonts w:hint="eastAsia"/>
                <w:color w:val="auto"/>
                <w:sz w:val="21"/>
                <w:szCs w:val="21"/>
                <w:highlight w:val="none"/>
              </w:rPr>
              <w:t>工程获奖情况</w:t>
            </w:r>
          </w:p>
        </w:tc>
        <w:tc>
          <w:tcPr>
            <w:tcW w:w="838" w:type="dxa"/>
            <w:tcBorders>
              <w:top w:val="single" w:color="auto" w:sz="4" w:space="0"/>
              <w:left w:val="single" w:color="auto" w:sz="4" w:space="0"/>
              <w:bottom w:val="single" w:color="auto" w:sz="4" w:space="0"/>
              <w:right w:val="single" w:color="auto" w:sz="4" w:space="0"/>
            </w:tcBorders>
            <w:vAlign w:val="center"/>
          </w:tcPr>
          <w:p>
            <w:pPr>
              <w:pStyle w:val="118"/>
              <w:shd w:val="clear" w:color="auto" w:fill="auto"/>
              <w:snapToGrid w:val="0"/>
              <w:spacing w:line="240" w:lineRule="auto"/>
              <w:jc w:val="center"/>
              <w:rPr>
                <w:color w:val="auto"/>
                <w:sz w:val="21"/>
                <w:szCs w:val="21"/>
                <w:highlight w:val="none"/>
              </w:rPr>
            </w:pPr>
            <w:r>
              <w:rPr>
                <w:rStyle w:val="117"/>
                <w:rFonts w:eastAsia="PMingLiU"/>
                <w:color w:val="auto"/>
                <w:sz w:val="21"/>
                <w:szCs w:val="21"/>
                <w:highlight w:val="none"/>
                <w:lang w:eastAsia="zh-TW"/>
              </w:rPr>
              <w:t>9</w:t>
            </w:r>
          </w:p>
        </w:tc>
        <w:tc>
          <w:tcPr>
            <w:tcW w:w="11040" w:type="dxa"/>
            <w:tcBorders>
              <w:top w:val="single" w:color="auto" w:sz="4" w:space="0"/>
              <w:left w:val="single" w:color="auto" w:sz="4" w:space="0"/>
              <w:bottom w:val="single" w:color="auto" w:sz="4" w:space="0"/>
              <w:right w:val="single" w:color="auto" w:sz="4" w:space="0"/>
            </w:tcBorders>
            <w:vAlign w:val="center"/>
          </w:tcPr>
          <w:p>
            <w:pPr>
              <w:pStyle w:val="118"/>
              <w:shd w:val="clear" w:color="auto" w:fill="auto"/>
              <w:snapToGrid w:val="0"/>
              <w:spacing w:line="240" w:lineRule="auto"/>
              <w:rPr>
                <w:color w:val="auto"/>
                <w:sz w:val="21"/>
                <w:szCs w:val="21"/>
                <w:highlight w:val="none"/>
                <w:lang w:bidi="ar"/>
              </w:rPr>
            </w:pPr>
            <w:r>
              <w:rPr>
                <w:rStyle w:val="117"/>
                <w:rFonts w:hint="eastAsia"/>
                <w:color w:val="auto"/>
                <w:sz w:val="21"/>
                <w:szCs w:val="21"/>
                <w:highlight w:val="none"/>
              </w:rPr>
              <w:t>投标人自201</w:t>
            </w:r>
            <w:r>
              <w:rPr>
                <w:rStyle w:val="117"/>
                <w:rFonts w:eastAsia="PMingLiU"/>
                <w:color w:val="auto"/>
                <w:sz w:val="21"/>
                <w:szCs w:val="21"/>
                <w:highlight w:val="none"/>
                <w:lang w:eastAsia="zh-TW"/>
              </w:rPr>
              <w:t>9</w:t>
            </w:r>
            <w:r>
              <w:rPr>
                <w:rStyle w:val="117"/>
                <w:rFonts w:hint="eastAsia"/>
                <w:color w:val="auto"/>
                <w:sz w:val="21"/>
                <w:szCs w:val="21"/>
                <w:highlight w:val="none"/>
              </w:rPr>
              <w:t>年1月1日至投标截止时间止完成过的市政公用工程</w:t>
            </w:r>
            <w:r>
              <w:rPr>
                <w:rStyle w:val="117"/>
                <w:rFonts w:hint="eastAsia"/>
                <w:color w:val="auto"/>
                <w:kern w:val="0"/>
                <w:sz w:val="21"/>
                <w:szCs w:val="21"/>
                <w:highlight w:val="none"/>
              </w:rPr>
              <w:t>质量奖项的</w:t>
            </w:r>
            <w:r>
              <w:rPr>
                <w:rStyle w:val="117"/>
                <w:rFonts w:hint="eastAsia"/>
                <w:color w:val="auto"/>
                <w:sz w:val="21"/>
                <w:szCs w:val="21"/>
                <w:highlight w:val="none"/>
              </w:rPr>
              <w:t>，获得过国家级奖项，每项得</w:t>
            </w:r>
            <w:r>
              <w:rPr>
                <w:rStyle w:val="117"/>
                <w:rFonts w:hint="eastAsia"/>
                <w:color w:val="auto"/>
                <w:sz w:val="21"/>
                <w:szCs w:val="21"/>
                <w:highlight w:val="none"/>
                <w:lang w:val="en-US"/>
              </w:rPr>
              <w:t>3</w:t>
            </w:r>
            <w:r>
              <w:rPr>
                <w:rStyle w:val="117"/>
                <w:rFonts w:hint="eastAsia"/>
                <w:color w:val="auto"/>
                <w:sz w:val="21"/>
                <w:szCs w:val="21"/>
                <w:highlight w:val="none"/>
              </w:rPr>
              <w:t>分；获得过省级奖项，每项得</w:t>
            </w:r>
            <w:r>
              <w:rPr>
                <w:rStyle w:val="117"/>
                <w:rFonts w:hint="eastAsia"/>
                <w:color w:val="auto"/>
                <w:sz w:val="21"/>
                <w:szCs w:val="21"/>
                <w:highlight w:val="none"/>
                <w:lang w:val="en-US"/>
              </w:rPr>
              <w:t>2</w:t>
            </w:r>
            <w:r>
              <w:rPr>
                <w:rStyle w:val="117"/>
                <w:rFonts w:hint="eastAsia"/>
                <w:color w:val="auto"/>
                <w:sz w:val="21"/>
                <w:szCs w:val="21"/>
                <w:highlight w:val="none"/>
              </w:rPr>
              <w:t>分；获得过市级奖项，每项得</w:t>
            </w:r>
            <w:r>
              <w:rPr>
                <w:rStyle w:val="117"/>
                <w:rFonts w:hint="eastAsia"/>
                <w:color w:val="auto"/>
                <w:sz w:val="21"/>
                <w:szCs w:val="21"/>
                <w:highlight w:val="none"/>
                <w:lang w:val="en-US"/>
              </w:rPr>
              <w:t>1</w:t>
            </w:r>
            <w:r>
              <w:rPr>
                <w:rStyle w:val="117"/>
                <w:rFonts w:hint="eastAsia"/>
                <w:color w:val="auto"/>
                <w:sz w:val="21"/>
                <w:szCs w:val="21"/>
                <w:highlight w:val="none"/>
              </w:rPr>
              <w:t>分，本小项最高得</w:t>
            </w:r>
            <w:r>
              <w:rPr>
                <w:rStyle w:val="117"/>
                <w:rFonts w:eastAsia="PMingLiU"/>
                <w:color w:val="auto"/>
                <w:sz w:val="21"/>
                <w:szCs w:val="21"/>
                <w:highlight w:val="none"/>
                <w:lang w:eastAsia="zh-TW"/>
              </w:rPr>
              <w:t>9</w:t>
            </w:r>
            <w:r>
              <w:rPr>
                <w:rStyle w:val="117"/>
                <w:rFonts w:hint="eastAsia"/>
                <w:color w:val="auto"/>
                <w:sz w:val="21"/>
                <w:szCs w:val="21"/>
                <w:highlight w:val="none"/>
              </w:rPr>
              <w:t>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jc w:val="center"/>
        </w:trPr>
        <w:tc>
          <w:tcPr>
            <w:tcW w:w="346" w:type="pct"/>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1755" w:type="dxa"/>
            <w:tcBorders>
              <w:top w:val="single" w:color="auto" w:sz="4" w:space="0"/>
              <w:left w:val="single" w:color="auto" w:sz="4" w:space="0"/>
              <w:bottom w:val="single" w:color="auto" w:sz="4" w:space="0"/>
              <w:right w:val="single" w:color="auto" w:sz="4" w:space="0"/>
            </w:tcBorders>
            <w:vAlign w:val="center"/>
          </w:tcPr>
          <w:p>
            <w:pPr>
              <w:pStyle w:val="118"/>
              <w:shd w:val="clear" w:color="auto" w:fill="auto"/>
              <w:snapToGrid w:val="0"/>
              <w:spacing w:line="240" w:lineRule="auto"/>
              <w:rPr>
                <w:color w:val="auto"/>
                <w:sz w:val="21"/>
                <w:szCs w:val="21"/>
                <w:highlight w:val="none"/>
                <w:lang w:bidi="ar"/>
              </w:rPr>
            </w:pPr>
            <w:r>
              <w:rPr>
                <w:rStyle w:val="117"/>
                <w:rFonts w:hint="eastAsia"/>
                <w:color w:val="auto"/>
                <w:sz w:val="21"/>
                <w:szCs w:val="21"/>
                <w:highlight w:val="none"/>
              </w:rPr>
              <w:t>工程研发能力</w:t>
            </w:r>
          </w:p>
        </w:tc>
        <w:tc>
          <w:tcPr>
            <w:tcW w:w="838" w:type="dxa"/>
            <w:tcBorders>
              <w:top w:val="single" w:color="auto" w:sz="4" w:space="0"/>
              <w:left w:val="single" w:color="auto" w:sz="4" w:space="0"/>
              <w:bottom w:val="single" w:color="auto" w:sz="4" w:space="0"/>
              <w:right w:val="single" w:color="auto" w:sz="4" w:space="0"/>
            </w:tcBorders>
            <w:vAlign w:val="center"/>
          </w:tcPr>
          <w:p>
            <w:pPr>
              <w:pStyle w:val="118"/>
              <w:shd w:val="clear" w:color="auto" w:fill="auto"/>
              <w:snapToGrid w:val="0"/>
              <w:spacing w:line="240" w:lineRule="auto"/>
              <w:jc w:val="center"/>
              <w:rPr>
                <w:color w:val="auto"/>
                <w:sz w:val="21"/>
                <w:szCs w:val="21"/>
                <w:highlight w:val="none"/>
              </w:rPr>
            </w:pPr>
            <w:r>
              <w:rPr>
                <w:rStyle w:val="117"/>
                <w:rFonts w:hint="eastAsia"/>
                <w:color w:val="auto"/>
                <w:sz w:val="21"/>
                <w:szCs w:val="21"/>
                <w:highlight w:val="none"/>
              </w:rPr>
              <w:t>9</w:t>
            </w:r>
          </w:p>
        </w:tc>
        <w:tc>
          <w:tcPr>
            <w:tcW w:w="11040" w:type="dxa"/>
            <w:tcBorders>
              <w:top w:val="single" w:color="auto" w:sz="4" w:space="0"/>
              <w:left w:val="single" w:color="auto" w:sz="4" w:space="0"/>
              <w:bottom w:val="single" w:color="auto" w:sz="4" w:space="0"/>
              <w:right w:val="single" w:color="auto" w:sz="4" w:space="0"/>
            </w:tcBorders>
            <w:vAlign w:val="center"/>
          </w:tcPr>
          <w:p>
            <w:pPr>
              <w:pStyle w:val="118"/>
              <w:shd w:val="clear" w:color="auto" w:fill="auto"/>
              <w:snapToGrid w:val="0"/>
              <w:spacing w:line="240" w:lineRule="auto"/>
              <w:rPr>
                <w:color w:val="auto"/>
                <w:sz w:val="21"/>
                <w:szCs w:val="21"/>
                <w:highlight w:val="none"/>
                <w:lang w:bidi="ar"/>
              </w:rPr>
            </w:pPr>
            <w:r>
              <w:rPr>
                <w:rStyle w:val="117"/>
                <w:rFonts w:hint="eastAsia"/>
                <w:color w:val="auto"/>
                <w:sz w:val="21"/>
                <w:szCs w:val="21"/>
                <w:highlight w:val="none"/>
              </w:rPr>
              <w:t>投标人自201</w:t>
            </w:r>
            <w:r>
              <w:rPr>
                <w:rStyle w:val="117"/>
                <w:rFonts w:eastAsia="PMingLiU"/>
                <w:color w:val="auto"/>
                <w:sz w:val="21"/>
                <w:szCs w:val="21"/>
                <w:highlight w:val="none"/>
                <w:lang w:eastAsia="zh-TW"/>
              </w:rPr>
              <w:t>9</w:t>
            </w:r>
            <w:r>
              <w:rPr>
                <w:rStyle w:val="117"/>
                <w:rFonts w:hint="eastAsia"/>
                <w:color w:val="auto"/>
                <w:sz w:val="21"/>
                <w:szCs w:val="21"/>
                <w:highlight w:val="none"/>
              </w:rPr>
              <w:t>年1月1日至投标截止时间止（以证书颁发时间为准）获得市政工程科技进步奖的，每项得</w:t>
            </w:r>
            <w:r>
              <w:rPr>
                <w:rStyle w:val="117"/>
                <w:rFonts w:eastAsia="PMingLiU"/>
                <w:color w:val="auto"/>
                <w:sz w:val="21"/>
                <w:szCs w:val="21"/>
                <w:highlight w:val="none"/>
                <w:lang w:eastAsia="zh-TW"/>
              </w:rPr>
              <w:t>1.5</w:t>
            </w:r>
            <w:r>
              <w:rPr>
                <w:rStyle w:val="117"/>
                <w:rFonts w:hint="eastAsia"/>
                <w:color w:val="auto"/>
                <w:sz w:val="21"/>
                <w:szCs w:val="21"/>
                <w:highlight w:val="none"/>
              </w:rPr>
              <w:t>分，最多得9分，其他不得分。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945" w:type="pct"/>
            <w:gridSpan w:val="2"/>
            <w:tcBorders>
              <w:top w:val="single" w:color="auto" w:sz="4" w:space="0"/>
              <w:left w:val="single" w:color="auto" w:sz="8"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合计（一+二）</w:t>
            </w:r>
          </w:p>
        </w:tc>
        <w:tc>
          <w:tcPr>
            <w:tcW w:w="28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100</w:t>
            </w:r>
          </w:p>
        </w:tc>
        <w:tc>
          <w:tcPr>
            <w:tcW w:w="376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s="宋体"/>
                <w:color w:val="auto"/>
                <w:szCs w:val="21"/>
                <w:highlight w:val="none"/>
              </w:rPr>
            </w:pPr>
          </w:p>
        </w:tc>
      </w:tr>
    </w:tbl>
    <w:p>
      <w:pPr>
        <w:pStyle w:val="16"/>
        <w:spacing w:line="288" w:lineRule="auto"/>
        <w:ind w:firstLine="422" w:firstLineChars="200"/>
        <w:rPr>
          <w:rStyle w:val="117"/>
          <w:b/>
          <w:bCs/>
          <w:color w:val="auto"/>
          <w:sz w:val="21"/>
          <w:szCs w:val="21"/>
        </w:rPr>
      </w:pPr>
      <w:r>
        <w:rPr>
          <w:rStyle w:val="117"/>
          <w:rFonts w:hint="eastAsia"/>
          <w:b/>
          <w:bCs/>
          <w:color w:val="auto"/>
          <w:sz w:val="21"/>
          <w:szCs w:val="21"/>
        </w:rPr>
        <w:t>备注：</w:t>
      </w:r>
    </w:p>
    <w:p>
      <w:pPr>
        <w:adjustRightInd w:val="0"/>
        <w:snapToGrid w:val="0"/>
        <w:spacing w:line="288" w:lineRule="auto"/>
        <w:ind w:left="42" w:leftChars="20" w:right="42" w:rightChars="20" w:firstLine="381" w:firstLineChars="200"/>
        <w:rPr>
          <w:rStyle w:val="117"/>
          <w:b/>
          <w:bCs/>
          <w:color w:val="auto"/>
          <w:kern w:val="0"/>
          <w:szCs w:val="21"/>
        </w:rPr>
      </w:pPr>
      <w:r>
        <w:rPr>
          <w:rStyle w:val="117"/>
          <w:rFonts w:hint="eastAsia"/>
          <w:b/>
          <w:bCs/>
          <w:color w:val="auto"/>
          <w:kern w:val="0"/>
          <w:szCs w:val="21"/>
        </w:rPr>
        <w:t>一、项目管理机构能力</w:t>
      </w:r>
    </w:p>
    <w:p>
      <w:pPr>
        <w:adjustRightInd w:val="0"/>
        <w:snapToGrid w:val="0"/>
        <w:spacing w:line="288" w:lineRule="auto"/>
        <w:ind w:right="42" w:rightChars="20" w:firstLine="380" w:firstLineChars="200"/>
        <w:rPr>
          <w:rStyle w:val="117"/>
          <w:color w:val="auto"/>
          <w:kern w:val="0"/>
          <w:szCs w:val="21"/>
        </w:rPr>
      </w:pPr>
      <w:r>
        <w:rPr>
          <w:rStyle w:val="117"/>
          <w:rFonts w:hint="eastAsia"/>
          <w:color w:val="auto"/>
          <w:kern w:val="0"/>
          <w:szCs w:val="21"/>
        </w:rPr>
        <w:t>1、项目管理机构人员的岗位不能相互兼任，项目管理机构人员仅指投标人自身人员，不含子母公司人员，如投标申请人为集团公司，则不含集团下属分公司，专指集团本部人员，同样下属公司也不得使用集团公司的人员；</w:t>
      </w:r>
    </w:p>
    <w:p>
      <w:pPr>
        <w:adjustRightInd w:val="0"/>
        <w:snapToGrid w:val="0"/>
        <w:spacing w:line="288" w:lineRule="auto"/>
        <w:ind w:right="42" w:rightChars="20" w:firstLine="380" w:firstLineChars="200"/>
        <w:rPr>
          <w:rFonts w:ascii="宋体" w:hAnsi="宋体" w:cs="宋体"/>
          <w:b/>
          <w:color w:val="auto"/>
          <w:szCs w:val="21"/>
        </w:rPr>
      </w:pPr>
      <w:r>
        <w:rPr>
          <w:rStyle w:val="117"/>
          <w:rFonts w:hint="eastAsia"/>
          <w:color w:val="auto"/>
          <w:kern w:val="0"/>
          <w:szCs w:val="21"/>
        </w:rPr>
        <w:t>2、项目管理机构人员须提供相应职称证书、岗位证书（如有）、注册证书（如有）、类似工程业绩证明文件（如有）、毕业证（管理工作经验以毕业证发证日期为准）和20</w:t>
      </w:r>
      <w:r>
        <w:rPr>
          <w:rStyle w:val="117"/>
          <w:rFonts w:hint="eastAsia"/>
          <w:color w:val="auto"/>
          <w:kern w:val="0"/>
          <w:szCs w:val="21"/>
          <w:lang w:eastAsia="zh-TW"/>
        </w:rPr>
        <w:t>24</w:t>
      </w:r>
      <w:r>
        <w:rPr>
          <w:rStyle w:val="117"/>
          <w:rFonts w:hint="eastAsia"/>
          <w:color w:val="auto"/>
          <w:kern w:val="0"/>
          <w:szCs w:val="21"/>
        </w:rPr>
        <w:t>年</w:t>
      </w:r>
      <w:r>
        <w:rPr>
          <w:rStyle w:val="117"/>
          <w:rFonts w:hint="eastAsia"/>
          <w:color w:val="auto"/>
          <w:kern w:val="0"/>
          <w:szCs w:val="21"/>
          <w:lang w:eastAsia="zh-TW"/>
        </w:rPr>
        <w:t>6</w:t>
      </w:r>
      <w:r>
        <w:rPr>
          <w:rStyle w:val="117"/>
          <w:rFonts w:hint="eastAsia"/>
          <w:color w:val="auto"/>
          <w:kern w:val="0"/>
          <w:szCs w:val="21"/>
        </w:rPr>
        <w:t>月的社保缴纳证明材料扫描件。未提供或所提供的证明资料不符合要求的，则该评分节点不予评审。</w:t>
      </w:r>
    </w:p>
    <w:p>
      <w:pPr>
        <w:adjustRightInd w:val="0"/>
        <w:snapToGrid w:val="0"/>
        <w:spacing w:line="288" w:lineRule="auto"/>
        <w:ind w:left="42" w:leftChars="20" w:right="42" w:rightChars="20" w:firstLine="381" w:firstLineChars="200"/>
        <w:rPr>
          <w:rStyle w:val="117"/>
          <w:b/>
          <w:bCs/>
          <w:color w:val="auto"/>
          <w:kern w:val="0"/>
          <w:szCs w:val="21"/>
        </w:rPr>
      </w:pPr>
      <w:r>
        <w:rPr>
          <w:rStyle w:val="117"/>
          <w:rFonts w:hint="eastAsia"/>
          <w:b/>
          <w:bCs/>
          <w:color w:val="auto"/>
          <w:kern w:val="0"/>
          <w:szCs w:val="21"/>
        </w:rPr>
        <w:t>二、企业资信</w:t>
      </w:r>
    </w:p>
    <w:p>
      <w:pPr>
        <w:adjustRightInd w:val="0"/>
        <w:snapToGrid w:val="0"/>
        <w:spacing w:line="288" w:lineRule="auto"/>
        <w:ind w:left="42" w:leftChars="20" w:right="42" w:rightChars="20" w:firstLine="381" w:firstLineChars="200"/>
        <w:rPr>
          <w:rStyle w:val="117"/>
          <w:b/>
          <w:bCs/>
          <w:color w:val="auto"/>
          <w:kern w:val="0"/>
          <w:szCs w:val="21"/>
        </w:rPr>
      </w:pPr>
      <w:r>
        <w:rPr>
          <w:rStyle w:val="117"/>
          <w:rFonts w:hint="eastAsia"/>
          <w:b/>
          <w:bCs/>
          <w:color w:val="auto"/>
          <w:kern w:val="0"/>
          <w:szCs w:val="21"/>
        </w:rPr>
        <w:t>1、企业类似业绩</w:t>
      </w:r>
    </w:p>
    <w:p>
      <w:pPr>
        <w:adjustRightInd w:val="0"/>
        <w:snapToGrid w:val="0"/>
        <w:spacing w:line="288" w:lineRule="auto"/>
        <w:ind w:left="42" w:leftChars="20" w:right="42" w:rightChars="20" w:firstLine="420" w:firstLineChars="200"/>
        <w:rPr>
          <w:rFonts w:ascii="宋体" w:hAnsi="宋体" w:cs="宋体"/>
          <w:color w:val="auto"/>
          <w:kern w:val="0"/>
          <w:szCs w:val="21"/>
        </w:rPr>
      </w:pPr>
      <w:r>
        <w:rPr>
          <w:rFonts w:hint="eastAsia" w:ascii="宋体" w:hAnsi="宋体" w:cs="宋体"/>
          <w:color w:val="auto"/>
          <w:kern w:val="0"/>
          <w:szCs w:val="21"/>
        </w:rPr>
        <w:t>类似工程业绩是指单项工程中标价大于或等于1200万元的市政公用工程施工总承包业绩。投标人需提供以下资料：</w:t>
      </w:r>
    </w:p>
    <w:p>
      <w:pPr>
        <w:adjustRightInd w:val="0"/>
        <w:snapToGrid w:val="0"/>
        <w:spacing w:line="288" w:lineRule="auto"/>
        <w:ind w:left="42" w:leftChars="20" w:right="42" w:rightChars="20" w:firstLine="420" w:firstLineChars="200"/>
        <w:rPr>
          <w:rFonts w:ascii="宋体" w:hAnsi="宋体" w:cs="宋体"/>
          <w:color w:val="auto"/>
          <w:kern w:val="0"/>
          <w:szCs w:val="21"/>
        </w:rPr>
      </w:pPr>
      <w:r>
        <w:rPr>
          <w:rFonts w:hint="eastAsia" w:ascii="宋体" w:hAnsi="宋体" w:cs="宋体"/>
          <w:color w:val="auto"/>
          <w:kern w:val="0"/>
          <w:szCs w:val="21"/>
        </w:rPr>
        <w:t>（1）提供业绩的中标通知书（或免招标证明）、施工合同（仅需附协议书部分）、工程竣工验收报告及其他补充（如需要）的扫描件。</w:t>
      </w:r>
    </w:p>
    <w:p>
      <w:pPr>
        <w:adjustRightInd w:val="0"/>
        <w:snapToGrid w:val="0"/>
        <w:spacing w:line="288" w:lineRule="auto"/>
        <w:ind w:left="42" w:leftChars="20" w:right="42" w:rightChars="20" w:firstLine="420" w:firstLineChars="200"/>
        <w:rPr>
          <w:rFonts w:ascii="宋体" w:hAnsi="宋体" w:cs="宋体"/>
          <w:color w:val="auto"/>
          <w:kern w:val="0"/>
          <w:szCs w:val="21"/>
        </w:rPr>
      </w:pPr>
      <w:r>
        <w:rPr>
          <w:rFonts w:hint="eastAsia" w:ascii="宋体" w:hAnsi="宋体" w:cs="宋体"/>
          <w:color w:val="auto"/>
          <w:kern w:val="0"/>
          <w:szCs w:val="21"/>
        </w:rPr>
        <w:t>（2）业绩金额以中标通知书为准，中标通知书上没有金额的，以施工合同（不含补充合同）为准，时间以工程竣工验收报告等材料的日期为准。如为设计施工总承包项目（EPC项目）的，则投标人须为本项目的唯一施工单位。</w:t>
      </w:r>
    </w:p>
    <w:p>
      <w:pPr>
        <w:adjustRightInd w:val="0"/>
        <w:snapToGrid w:val="0"/>
        <w:spacing w:line="288" w:lineRule="auto"/>
        <w:ind w:left="42" w:leftChars="20" w:right="42" w:rightChars="20" w:firstLine="420" w:firstLineChars="200"/>
        <w:rPr>
          <w:rFonts w:ascii="宋体" w:hAnsi="宋体" w:cs="宋体"/>
          <w:color w:val="auto"/>
          <w:kern w:val="0"/>
          <w:szCs w:val="21"/>
        </w:rPr>
      </w:pPr>
      <w:r>
        <w:rPr>
          <w:rFonts w:hint="eastAsia" w:ascii="宋体" w:hAnsi="宋体" w:cs="宋体"/>
          <w:color w:val="auto"/>
          <w:kern w:val="0"/>
          <w:szCs w:val="21"/>
        </w:rPr>
        <w:t>（3）提供的材料不符合上述条件或未提供上述资料的，该业绩不予认定。</w:t>
      </w:r>
    </w:p>
    <w:p>
      <w:pPr>
        <w:adjustRightInd w:val="0"/>
        <w:snapToGrid w:val="0"/>
        <w:spacing w:line="288" w:lineRule="auto"/>
        <w:ind w:left="42" w:leftChars="20" w:right="42" w:rightChars="20" w:firstLine="381" w:firstLineChars="200"/>
        <w:rPr>
          <w:rStyle w:val="117"/>
          <w:b/>
          <w:bCs/>
          <w:color w:val="auto"/>
          <w:kern w:val="0"/>
          <w:szCs w:val="21"/>
        </w:rPr>
      </w:pPr>
      <w:r>
        <w:rPr>
          <w:rStyle w:val="117"/>
          <w:rFonts w:hint="eastAsia"/>
          <w:b/>
          <w:bCs/>
          <w:color w:val="auto"/>
          <w:kern w:val="0"/>
          <w:szCs w:val="21"/>
        </w:rPr>
        <w:t>2、工程获奖情况</w:t>
      </w:r>
    </w:p>
    <w:p>
      <w:pPr>
        <w:adjustRightInd w:val="0"/>
        <w:snapToGrid w:val="0"/>
        <w:spacing w:line="288" w:lineRule="auto"/>
        <w:ind w:left="42" w:leftChars="20" w:right="42" w:rightChars="20" w:firstLine="420" w:firstLineChars="200"/>
        <w:rPr>
          <w:rFonts w:ascii="宋体" w:hAnsi="宋体" w:cs="宋体"/>
          <w:color w:val="auto"/>
          <w:kern w:val="0"/>
          <w:szCs w:val="21"/>
        </w:rPr>
      </w:pPr>
      <w:r>
        <w:rPr>
          <w:rFonts w:hint="eastAsia" w:ascii="宋体" w:hAnsi="宋体" w:cs="宋体"/>
          <w:color w:val="auto"/>
          <w:kern w:val="0"/>
          <w:szCs w:val="21"/>
        </w:rPr>
        <w:t>国家级质量奖项是指鲁班奖、詹天佑奖、国家优质工程金质奖、国家优质工程奖、市政金杯示范工程奖</w:t>
      </w:r>
      <w:r>
        <w:rPr>
          <w:rFonts w:hint="eastAsia" w:ascii="宋体" w:hAnsi="宋体" w:cs="宋体"/>
          <w:color w:val="auto"/>
          <w:kern w:val="0"/>
          <w:szCs w:val="21"/>
          <w:lang w:eastAsia="zh-CN"/>
        </w:rPr>
        <w:t>等</w:t>
      </w:r>
      <w:r>
        <w:rPr>
          <w:rFonts w:hint="eastAsia" w:ascii="宋体" w:hAnsi="宋体" w:cs="宋体"/>
          <w:color w:val="auto"/>
          <w:kern w:val="0"/>
          <w:szCs w:val="21"/>
        </w:rPr>
        <w:t>；省级质量奖项指省级工程优质奖或优良样板工程奖、土木工程詹天佑故乡杯奖等各类工程实体奖项</w:t>
      </w:r>
      <w:r>
        <w:rPr>
          <w:rFonts w:hint="eastAsia" w:ascii="宋体" w:hAnsi="宋体" w:cs="宋体"/>
          <w:color w:val="auto"/>
          <w:kern w:val="0"/>
          <w:szCs w:val="21"/>
          <w:lang w:eastAsia="zh-CN"/>
        </w:rPr>
        <w:t>等</w:t>
      </w:r>
      <w:r>
        <w:rPr>
          <w:rFonts w:hint="eastAsia" w:ascii="宋体" w:hAnsi="宋体" w:cs="宋体"/>
          <w:color w:val="auto"/>
          <w:kern w:val="0"/>
          <w:szCs w:val="21"/>
        </w:rPr>
        <w:t>，不含技术类奖项；市级质量奖项指市级工程优质奖或优良样板工程奖等各类工程实体奖项，不含技术类奖项。参建项目不得分，同一项目获得多个奖项的，该项目获奖只按其中一个奖项所在最高级别计算一次分数，不得重复计算。</w:t>
      </w:r>
    </w:p>
    <w:p>
      <w:pPr>
        <w:adjustRightInd w:val="0"/>
        <w:snapToGrid w:val="0"/>
        <w:spacing w:line="288" w:lineRule="auto"/>
        <w:ind w:left="42" w:leftChars="20" w:right="42" w:rightChars="20" w:firstLine="381" w:firstLineChars="200"/>
        <w:rPr>
          <w:rStyle w:val="117"/>
          <w:b/>
          <w:bCs/>
          <w:color w:val="auto"/>
          <w:kern w:val="0"/>
          <w:szCs w:val="21"/>
        </w:rPr>
      </w:pPr>
      <w:r>
        <w:rPr>
          <w:rStyle w:val="117"/>
          <w:rFonts w:hint="eastAsia"/>
          <w:b/>
          <w:bCs/>
          <w:color w:val="auto"/>
          <w:kern w:val="0"/>
          <w:szCs w:val="21"/>
        </w:rPr>
        <w:t>3、工程研发能力</w:t>
      </w:r>
    </w:p>
    <w:p>
      <w:pPr>
        <w:adjustRightInd w:val="0"/>
        <w:snapToGrid w:val="0"/>
        <w:spacing w:line="288" w:lineRule="auto"/>
        <w:ind w:left="42" w:leftChars="20" w:right="42" w:rightChars="20" w:firstLine="420" w:firstLineChars="200"/>
        <w:rPr>
          <w:rFonts w:ascii="宋体" w:hAnsi="宋体" w:cs="宋体"/>
          <w:color w:val="auto"/>
          <w:kern w:val="0"/>
          <w:szCs w:val="21"/>
          <w:lang w:eastAsia="zh-TW"/>
        </w:rPr>
      </w:pPr>
      <w:r>
        <w:rPr>
          <w:rFonts w:hint="eastAsia" w:ascii="宋体" w:hAnsi="宋体" w:cs="宋体"/>
          <w:color w:val="auto"/>
          <w:kern w:val="0"/>
          <w:szCs w:val="21"/>
          <w:lang w:eastAsia="zh-TW"/>
        </w:rPr>
        <w:t>（1）市政工程科技进步奖包含“国家科学技术进步奖”或“全国市政工程科学技术奖”，获奖时间以证书中载明的发证时间为准，须提供获奖证书扫描件，其中协会颁发的奖项，要求发证协会必须经民政部门依法登记成立，且提供其在中国社会组织政务服务平台（https://chinanpo.mca.gov.cn/）查询结果的网页打印页，否则该项不得分。</w:t>
      </w:r>
    </w:p>
    <w:p>
      <w:pPr>
        <w:adjustRightInd w:val="0"/>
        <w:snapToGrid w:val="0"/>
        <w:spacing w:line="288" w:lineRule="auto"/>
        <w:ind w:left="42" w:leftChars="20" w:right="42" w:rightChars="20" w:firstLine="420" w:firstLineChars="200"/>
        <w:rPr>
          <w:rFonts w:ascii="宋体" w:hAnsi="宋体" w:cs="宋体"/>
          <w:color w:val="auto"/>
          <w:kern w:val="0"/>
          <w:szCs w:val="21"/>
          <w:lang w:eastAsia="zh-TW"/>
        </w:rPr>
      </w:pPr>
      <w:r>
        <w:rPr>
          <w:rFonts w:hint="eastAsia" w:ascii="宋体" w:hAnsi="宋体" w:cs="宋体"/>
          <w:color w:val="auto"/>
          <w:kern w:val="0"/>
          <w:szCs w:val="21"/>
        </w:rPr>
        <w:t>（2）需提供政府机构或建设职能部门或行业协会出具的科学技术成果鉴定证书扫描件，并在科学技术成果鉴定证书中反映该科学技术奖励的研究背景项目为市政类。</w:t>
      </w:r>
    </w:p>
    <w:p>
      <w:pPr>
        <w:adjustRightInd w:val="0"/>
        <w:snapToGrid w:val="0"/>
        <w:spacing w:line="288" w:lineRule="auto"/>
        <w:ind w:left="42" w:leftChars="20" w:right="42" w:rightChars="20" w:firstLine="420" w:firstLineChars="200"/>
        <w:rPr>
          <w:rFonts w:ascii="宋体" w:hAnsi="宋体" w:cs="宋体"/>
          <w:color w:val="auto"/>
          <w:kern w:val="0"/>
          <w:szCs w:val="21"/>
        </w:rPr>
      </w:pPr>
      <w:r>
        <w:rPr>
          <w:rFonts w:hint="eastAsia" w:ascii="宋体" w:hAnsi="宋体" w:cs="宋体"/>
          <w:color w:val="auto"/>
          <w:kern w:val="0"/>
          <w:szCs w:val="21"/>
        </w:rPr>
        <w:t>无提交上述资料不计分。同一项目获得多个奖项的，该项目获奖只按其中一个奖项所在最高级别计算一次分数，不得重复计算。</w:t>
      </w:r>
    </w:p>
    <w:p>
      <w:pPr>
        <w:adjustRightInd w:val="0"/>
        <w:snapToGrid w:val="0"/>
        <w:spacing w:line="288" w:lineRule="auto"/>
        <w:ind w:left="42" w:leftChars="20" w:right="42" w:rightChars="20" w:firstLine="381" w:firstLineChars="200"/>
        <w:rPr>
          <w:rStyle w:val="117"/>
          <w:b/>
          <w:bCs/>
          <w:color w:val="auto"/>
          <w:kern w:val="0"/>
          <w:szCs w:val="21"/>
        </w:rPr>
      </w:pPr>
      <w:r>
        <w:rPr>
          <w:rStyle w:val="117"/>
          <w:rFonts w:hint="eastAsia"/>
          <w:b/>
          <w:bCs/>
          <w:color w:val="auto"/>
          <w:kern w:val="0"/>
          <w:szCs w:val="21"/>
        </w:rPr>
        <w:t>4、第三方评价</w:t>
      </w:r>
    </w:p>
    <w:p>
      <w:pPr>
        <w:adjustRightInd w:val="0"/>
        <w:snapToGrid w:val="0"/>
        <w:spacing w:line="288" w:lineRule="auto"/>
        <w:ind w:left="42" w:leftChars="20" w:right="42" w:rightChars="20" w:firstLine="420" w:firstLineChars="200"/>
        <w:rPr>
          <w:rStyle w:val="117"/>
          <w:b/>
          <w:bCs/>
          <w:color w:val="auto"/>
          <w:kern w:val="0"/>
          <w:szCs w:val="21"/>
        </w:rPr>
      </w:pPr>
      <w:r>
        <w:rPr>
          <w:rFonts w:hint="eastAsia"/>
          <w:color w:val="auto"/>
          <w:szCs w:val="21"/>
          <w:lang w:bidi="ar"/>
        </w:rPr>
        <w:t>体系认证证书须是投标人在本项目招标公告发布时间之前获得且在有效期内的才可计算得分，须同时提供在有效期内的证书扫描件和国家认证认可监督管理委员会官方网站（www.cnca.gov.cn）查询页的截图，同一项认证获得有多个证书的按其中一个计分一次，未提供上述资料或不满足要求的不计分。</w:t>
      </w:r>
    </w:p>
    <w:p>
      <w:pPr>
        <w:adjustRightInd w:val="0"/>
        <w:snapToGrid w:val="0"/>
        <w:spacing w:line="288" w:lineRule="auto"/>
        <w:ind w:left="42" w:leftChars="20" w:right="42" w:rightChars="20" w:firstLine="381" w:firstLineChars="200"/>
        <w:rPr>
          <w:rStyle w:val="117"/>
          <w:b/>
          <w:bCs/>
          <w:color w:val="auto"/>
          <w:kern w:val="0"/>
          <w:szCs w:val="21"/>
        </w:rPr>
      </w:pPr>
      <w:r>
        <w:rPr>
          <w:rStyle w:val="117"/>
          <w:rFonts w:hint="eastAsia"/>
          <w:b/>
          <w:bCs/>
          <w:color w:val="auto"/>
          <w:kern w:val="0"/>
          <w:szCs w:val="21"/>
        </w:rPr>
        <w:t>三、投标人得分为各评委评分去掉一个最高分和一个最低分后的算术平均值（若分数出现小数点时，保留小数点后二位，第三位小数四舍五入）。</w:t>
      </w:r>
    </w:p>
    <w:p>
      <w:pPr>
        <w:rPr>
          <w:color w:val="auto"/>
          <w:szCs w:val="21"/>
        </w:rPr>
      </w:pPr>
      <w:r>
        <w:rPr>
          <w:rFonts w:hint="eastAsia"/>
          <w:color w:val="auto"/>
          <w:szCs w:val="21"/>
        </w:rPr>
        <w:br w:type="page"/>
      </w:r>
    </w:p>
    <w:p>
      <w:pPr>
        <w:rPr>
          <w:color w:val="auto"/>
          <w:szCs w:val="21"/>
        </w:rPr>
      </w:pPr>
      <w:r>
        <w:rPr>
          <w:rFonts w:hint="eastAsia"/>
          <w:color w:val="auto"/>
          <w:szCs w:val="21"/>
        </w:rPr>
        <w:t>附表五（适用于加权平均法）</w:t>
      </w:r>
    </w:p>
    <w:p>
      <w:pPr>
        <w:jc w:val="center"/>
        <w:rPr>
          <w:b/>
          <w:color w:val="auto"/>
          <w:sz w:val="36"/>
          <w:szCs w:val="36"/>
        </w:rPr>
      </w:pPr>
      <w:r>
        <w:rPr>
          <w:rFonts w:hint="eastAsia"/>
          <w:b/>
          <w:color w:val="auto"/>
          <w:sz w:val="36"/>
          <w:szCs w:val="36"/>
        </w:rPr>
        <w:t>经济标评分表</w:t>
      </w:r>
    </w:p>
    <w:p>
      <w:pPr>
        <w:rPr>
          <w:color w:val="auto"/>
          <w:szCs w:val="21"/>
        </w:rPr>
      </w:pPr>
      <w:r>
        <w:rPr>
          <w:rFonts w:hint="eastAsia"/>
          <w:color w:val="auto"/>
          <w:szCs w:val="21"/>
        </w:rPr>
        <w:t>工程名称：</w:t>
      </w:r>
    </w:p>
    <w:tbl>
      <w:tblPr>
        <w:tblStyle w:val="36"/>
        <w:tblW w:w="144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3"/>
        <w:gridCol w:w="1009"/>
        <w:gridCol w:w="12"/>
        <w:gridCol w:w="1034"/>
        <w:gridCol w:w="1033"/>
        <w:gridCol w:w="1033"/>
        <w:gridCol w:w="1033"/>
        <w:gridCol w:w="1033"/>
        <w:gridCol w:w="1033"/>
        <w:gridCol w:w="1033"/>
        <w:gridCol w:w="1033"/>
        <w:gridCol w:w="1033"/>
        <w:gridCol w:w="1033"/>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投标人名称</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投标报价</w:t>
            </w:r>
            <w:r>
              <w:rPr>
                <w:rFonts w:ascii="宋体" w:hAnsi="宋体"/>
                <w:color w:val="auto"/>
                <w:szCs w:val="21"/>
              </w:rPr>
              <w:t>PT</w:t>
            </w:r>
            <w:r>
              <w:rPr>
                <w:rFonts w:hint="eastAsia" w:ascii="宋体" w:hAnsi="宋体"/>
                <w:color w:val="auto"/>
                <w:szCs w:val="21"/>
              </w:rPr>
              <w:t>（元）</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报价权重</w:t>
            </w:r>
          </w:p>
        </w:tc>
        <w:tc>
          <w:tcPr>
            <w:tcW w:w="10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4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评标参考价PC（元）</w:t>
            </w:r>
          </w:p>
        </w:tc>
        <w:tc>
          <w:tcPr>
            <w:tcW w:w="12384" w:type="dxa"/>
            <w:gridSpan w:val="13"/>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偏差（（</w:t>
            </w:r>
            <w:r>
              <w:rPr>
                <w:rFonts w:ascii="宋体" w:hAnsi="宋体"/>
                <w:color w:val="auto"/>
                <w:szCs w:val="21"/>
              </w:rPr>
              <w:t>PT-PC</w:t>
            </w:r>
            <w:r>
              <w:rPr>
                <w:rFonts w:hint="eastAsia" w:ascii="宋体" w:hAnsi="宋体"/>
                <w:color w:val="auto"/>
                <w:szCs w:val="21"/>
              </w:rPr>
              <w:t>）</w:t>
            </w:r>
            <w:r>
              <w:rPr>
                <w:rFonts w:ascii="宋体" w:hAnsi="宋体"/>
                <w:color w:val="auto"/>
                <w:szCs w:val="21"/>
              </w:rPr>
              <w:t>/PC</w:t>
            </w:r>
            <w:r>
              <w:rPr>
                <w:rFonts w:hint="eastAsia" w:ascii="宋体" w:hAnsi="宋体"/>
                <w:color w:val="auto"/>
                <w:szCs w:val="21"/>
              </w:rPr>
              <w:t>）（</w:t>
            </w:r>
            <w:r>
              <w:rPr>
                <w:rFonts w:ascii="宋体" w:hAnsi="宋体"/>
                <w:color w:val="auto"/>
                <w:szCs w:val="21"/>
              </w:rPr>
              <w:t>%</w:t>
            </w:r>
            <w:r>
              <w:rPr>
                <w:rFonts w:hint="eastAsia" w:ascii="宋体" w:hAnsi="宋体"/>
                <w:color w:val="auto"/>
                <w:szCs w:val="21"/>
              </w:rPr>
              <w:t>）</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减分（</w:t>
            </w:r>
            <w:r>
              <w:rPr>
                <w:rFonts w:ascii="宋体" w:hAnsi="宋体"/>
                <w:color w:val="auto"/>
                <w:szCs w:val="21"/>
              </w:rPr>
              <w:t>A</w:t>
            </w:r>
            <w:r>
              <w:rPr>
                <w:rFonts w:hint="eastAsia" w:ascii="宋体" w:hAnsi="宋体"/>
                <w:color w:val="auto"/>
                <w:szCs w:val="21"/>
              </w:rPr>
              <w:t>）</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得分</w:t>
            </w:r>
            <w:r>
              <w:rPr>
                <w:rFonts w:ascii="宋体" w:hAnsi="宋体"/>
                <w:color w:val="auto"/>
                <w:szCs w:val="21"/>
              </w:rPr>
              <w:t>(I=100-A)</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r>
    </w:tbl>
    <w:p>
      <w:pPr>
        <w:rPr>
          <w:color w:val="auto"/>
        </w:rPr>
      </w:pPr>
      <w:r>
        <w:rPr>
          <w:rFonts w:hint="eastAsia"/>
          <w:color w:val="auto"/>
          <w:szCs w:val="21"/>
        </w:rPr>
        <w:t>评委签名：</w:t>
      </w:r>
      <w:r>
        <w:rPr>
          <w:b/>
          <w:color w:val="auto"/>
          <w:sz w:val="36"/>
          <w:szCs w:val="36"/>
        </w:rPr>
        <w:br w:type="page"/>
      </w:r>
    </w:p>
    <w:p>
      <w:pPr>
        <w:rPr>
          <w:rFonts w:ascii="宋体" w:hAnsi="宋体" w:cs="宋体"/>
          <w:b/>
          <w:color w:val="auto"/>
          <w:szCs w:val="21"/>
        </w:rPr>
      </w:pPr>
      <w:r>
        <w:rPr>
          <w:rFonts w:hint="eastAsia" w:ascii="宋体" w:hAnsi="宋体" w:cs="宋体"/>
          <w:color w:val="auto"/>
          <w:szCs w:val="21"/>
        </w:rPr>
        <w:t>附表六</w:t>
      </w:r>
    </w:p>
    <w:p>
      <w:pPr>
        <w:jc w:val="center"/>
        <w:rPr>
          <w:rFonts w:ascii="宋体" w:hAnsi="宋体" w:cs="宋体"/>
          <w:b/>
          <w:color w:val="auto"/>
          <w:sz w:val="36"/>
          <w:szCs w:val="36"/>
        </w:rPr>
      </w:pPr>
      <w:r>
        <w:rPr>
          <w:rFonts w:hint="eastAsia" w:ascii="宋体" w:hAnsi="宋体" w:cs="宋体"/>
          <w:b/>
          <w:color w:val="auto"/>
          <w:sz w:val="36"/>
          <w:szCs w:val="36"/>
        </w:rPr>
        <w:t>算术复核表</w:t>
      </w:r>
    </w:p>
    <w:p>
      <w:pPr>
        <w:rPr>
          <w:rFonts w:ascii="宋体" w:hAnsi="宋体" w:cs="宋体"/>
          <w:color w:val="auto"/>
          <w:kern w:val="0"/>
          <w:szCs w:val="21"/>
        </w:rPr>
      </w:pPr>
      <w:r>
        <w:rPr>
          <w:rFonts w:hint="eastAsia" w:ascii="宋体" w:hAnsi="宋体" w:cs="宋体"/>
          <w:color w:val="auto"/>
          <w:kern w:val="0"/>
          <w:szCs w:val="21"/>
        </w:rPr>
        <w:t>工程名称：                                           投标人:                                                  单位：元</w:t>
      </w:r>
    </w:p>
    <w:tbl>
      <w:tblPr>
        <w:tblStyle w:val="36"/>
        <w:tblW w:w="14820" w:type="dxa"/>
        <w:tblInd w:w="113" w:type="dxa"/>
        <w:tblLayout w:type="fixed"/>
        <w:tblCellMar>
          <w:top w:w="0" w:type="dxa"/>
          <w:left w:w="108" w:type="dxa"/>
          <w:bottom w:w="0" w:type="dxa"/>
          <w:right w:w="108" w:type="dxa"/>
        </w:tblCellMar>
      </w:tblPr>
      <w:tblGrid>
        <w:gridCol w:w="645"/>
        <w:gridCol w:w="4488"/>
        <w:gridCol w:w="1602"/>
        <w:gridCol w:w="1575"/>
        <w:gridCol w:w="1575"/>
        <w:gridCol w:w="1470"/>
        <w:gridCol w:w="3465"/>
      </w:tblGrid>
      <w:tr>
        <w:trPr>
          <w:trHeight w:val="705" w:hRule="atLeast"/>
        </w:trPr>
        <w:tc>
          <w:tcPr>
            <w:tcW w:w="64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编号</w:t>
            </w:r>
          </w:p>
        </w:tc>
        <w:tc>
          <w:tcPr>
            <w:tcW w:w="4488"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算术校核项目</w:t>
            </w:r>
          </w:p>
        </w:tc>
        <w:tc>
          <w:tcPr>
            <w:tcW w:w="1602"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修正前投标</w:t>
            </w:r>
          </w:p>
          <w:p>
            <w:pPr>
              <w:rPr>
                <w:rFonts w:ascii="宋体" w:hAnsi="宋体" w:cs="宋体"/>
                <w:color w:val="auto"/>
                <w:kern w:val="0"/>
                <w:szCs w:val="21"/>
              </w:rPr>
            </w:pPr>
            <w:r>
              <w:rPr>
                <w:rFonts w:hint="eastAsia" w:ascii="宋体" w:hAnsi="宋体" w:cs="宋体"/>
                <w:color w:val="auto"/>
                <w:kern w:val="0"/>
                <w:szCs w:val="21"/>
              </w:rPr>
              <w:t>报价A</w:t>
            </w:r>
          </w:p>
        </w:tc>
        <w:tc>
          <w:tcPr>
            <w:tcW w:w="1575"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修正后投标</w:t>
            </w:r>
          </w:p>
          <w:p>
            <w:pPr>
              <w:rPr>
                <w:rFonts w:ascii="宋体" w:hAnsi="宋体" w:cs="宋体"/>
                <w:color w:val="auto"/>
                <w:kern w:val="0"/>
                <w:szCs w:val="21"/>
              </w:rPr>
            </w:pPr>
            <w:r>
              <w:rPr>
                <w:rFonts w:hint="eastAsia" w:ascii="宋体" w:hAnsi="宋体" w:cs="宋体"/>
                <w:color w:val="auto"/>
                <w:kern w:val="0"/>
                <w:szCs w:val="21"/>
              </w:rPr>
              <w:t>报价B</w:t>
            </w:r>
          </w:p>
        </w:tc>
        <w:tc>
          <w:tcPr>
            <w:tcW w:w="1575"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修正率</w:t>
            </w:r>
          </w:p>
          <w:p>
            <w:pPr>
              <w:rPr>
                <w:rFonts w:ascii="宋体" w:hAnsi="宋体" w:cs="宋体"/>
                <w:color w:val="auto"/>
                <w:kern w:val="0"/>
                <w:szCs w:val="21"/>
              </w:rPr>
            </w:pPr>
            <w:r>
              <w:rPr>
                <w:rFonts w:hint="eastAsia" w:ascii="宋体" w:hAnsi="宋体" w:cs="宋体"/>
                <w:color w:val="auto"/>
                <w:kern w:val="0"/>
                <w:szCs w:val="21"/>
              </w:rPr>
              <w:t>r=|A-B|/A*100%</w:t>
            </w:r>
          </w:p>
        </w:tc>
        <w:tc>
          <w:tcPr>
            <w:tcW w:w="1470"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经评审的最终投标报价</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当B&gt;A时，修正后报价与原报价的差额；当B≤A时,R=0</w:t>
            </w: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1</w:t>
            </w:r>
          </w:p>
        </w:tc>
        <w:tc>
          <w:tcPr>
            <w:tcW w:w="4488" w:type="dxa"/>
            <w:tcBorders>
              <w:top w:val="nil"/>
              <w:left w:val="nil"/>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[单位工程1]</w:t>
            </w:r>
          </w:p>
        </w:tc>
        <w:tc>
          <w:tcPr>
            <w:tcW w:w="1602" w:type="dxa"/>
            <w:tcBorders>
              <w:top w:val="nil"/>
              <w:left w:val="nil"/>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2</w:t>
            </w:r>
          </w:p>
        </w:tc>
        <w:tc>
          <w:tcPr>
            <w:tcW w:w="4488" w:type="dxa"/>
            <w:tcBorders>
              <w:top w:val="nil"/>
              <w:left w:val="nil"/>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[单位工程2]</w:t>
            </w:r>
          </w:p>
        </w:tc>
        <w:tc>
          <w:tcPr>
            <w:tcW w:w="1602" w:type="dxa"/>
            <w:tcBorders>
              <w:top w:val="nil"/>
              <w:left w:val="nil"/>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w:t>
            </w:r>
          </w:p>
        </w:tc>
        <w:tc>
          <w:tcPr>
            <w:tcW w:w="4488" w:type="dxa"/>
            <w:tcBorders>
              <w:top w:val="nil"/>
              <w:left w:val="nil"/>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w:t>
            </w:r>
          </w:p>
        </w:tc>
        <w:tc>
          <w:tcPr>
            <w:tcW w:w="1602" w:type="dxa"/>
            <w:tcBorders>
              <w:top w:val="nil"/>
              <w:left w:val="nil"/>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w:t>
            </w:r>
          </w:p>
        </w:tc>
        <w:tc>
          <w:tcPr>
            <w:tcW w:w="4488" w:type="dxa"/>
            <w:tcBorders>
              <w:top w:val="nil"/>
              <w:left w:val="nil"/>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w:t>
            </w:r>
          </w:p>
        </w:tc>
        <w:tc>
          <w:tcPr>
            <w:tcW w:w="1602" w:type="dxa"/>
            <w:tcBorders>
              <w:top w:val="nil"/>
              <w:left w:val="nil"/>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w:t>
            </w:r>
          </w:p>
        </w:tc>
        <w:tc>
          <w:tcPr>
            <w:tcW w:w="4488" w:type="dxa"/>
            <w:tcBorders>
              <w:top w:val="nil"/>
              <w:left w:val="nil"/>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w:t>
            </w:r>
          </w:p>
        </w:tc>
        <w:tc>
          <w:tcPr>
            <w:tcW w:w="1602" w:type="dxa"/>
            <w:tcBorders>
              <w:top w:val="nil"/>
              <w:left w:val="nil"/>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n</w:t>
            </w:r>
          </w:p>
        </w:tc>
        <w:tc>
          <w:tcPr>
            <w:tcW w:w="4488" w:type="dxa"/>
            <w:tcBorders>
              <w:top w:val="nil"/>
              <w:left w:val="nil"/>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[单位工程n]</w:t>
            </w:r>
          </w:p>
        </w:tc>
        <w:tc>
          <w:tcPr>
            <w:tcW w:w="1602" w:type="dxa"/>
            <w:tcBorders>
              <w:top w:val="nil"/>
              <w:left w:val="nil"/>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w:t>
            </w:r>
          </w:p>
        </w:tc>
        <w:tc>
          <w:tcPr>
            <w:tcW w:w="4488" w:type="dxa"/>
            <w:tcBorders>
              <w:top w:val="nil"/>
              <w:left w:val="nil"/>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投标总报价</w:t>
            </w:r>
          </w:p>
        </w:tc>
        <w:tc>
          <w:tcPr>
            <w:tcW w:w="1602" w:type="dxa"/>
            <w:tcBorders>
              <w:top w:val="nil"/>
              <w:left w:val="nil"/>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　</w:t>
            </w:r>
          </w:p>
        </w:tc>
        <w:tc>
          <w:tcPr>
            <w:tcW w:w="1575" w:type="dxa"/>
            <w:tcBorders>
              <w:top w:val="nil"/>
              <w:left w:val="nil"/>
              <w:bottom w:val="single" w:color="auto" w:sz="4" w:space="0"/>
              <w:right w:val="single" w:color="auto" w:sz="4" w:space="0"/>
              <w:tr2bl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rPr>
            </w:pPr>
            <w:r>
              <w:rPr>
                <w:rFonts w:hint="eastAsia" w:ascii="宋体" w:hAnsi="宋体" w:cs="宋体"/>
                <w:color w:val="auto"/>
                <w:kern w:val="0"/>
                <w:szCs w:val="21"/>
              </w:rPr>
              <w:t>∑A=A</w:t>
            </w:r>
            <w:r>
              <w:rPr>
                <w:rFonts w:hint="eastAsia" w:ascii="宋体" w:hAnsi="宋体" w:cs="宋体"/>
                <w:color w:val="auto"/>
                <w:kern w:val="0"/>
                <w:szCs w:val="21"/>
                <w:vertAlign w:val="subscript"/>
              </w:rPr>
              <w:t>1</w:t>
            </w:r>
            <w:r>
              <w:rPr>
                <w:rFonts w:hint="eastAsia" w:ascii="宋体" w:hAnsi="宋体" w:cs="宋体"/>
                <w:color w:val="auto"/>
                <w:kern w:val="0"/>
                <w:szCs w:val="21"/>
              </w:rPr>
              <w:t>+A</w:t>
            </w:r>
            <w:r>
              <w:rPr>
                <w:rFonts w:hint="eastAsia" w:ascii="宋体" w:hAnsi="宋体" w:cs="宋体"/>
                <w:color w:val="auto"/>
                <w:kern w:val="0"/>
                <w:szCs w:val="21"/>
                <w:vertAlign w:val="subscript"/>
              </w:rPr>
              <w:t>2</w:t>
            </w:r>
            <w:r>
              <w:rPr>
                <w:rFonts w:hint="eastAsia" w:ascii="宋体" w:hAnsi="宋体" w:cs="宋体"/>
                <w:color w:val="auto"/>
                <w:kern w:val="0"/>
                <w:szCs w:val="21"/>
              </w:rPr>
              <w:t>+…An；∑B=B</w:t>
            </w:r>
            <w:r>
              <w:rPr>
                <w:rFonts w:hint="eastAsia" w:ascii="宋体" w:hAnsi="宋体" w:cs="宋体"/>
                <w:color w:val="auto"/>
                <w:kern w:val="0"/>
                <w:szCs w:val="21"/>
                <w:vertAlign w:val="subscript"/>
              </w:rPr>
              <w:t>1</w:t>
            </w:r>
            <w:r>
              <w:rPr>
                <w:rFonts w:hint="eastAsia" w:ascii="宋体" w:hAnsi="宋体" w:cs="宋体"/>
                <w:color w:val="auto"/>
                <w:kern w:val="0"/>
                <w:szCs w:val="21"/>
              </w:rPr>
              <w:t>+B</w:t>
            </w:r>
            <w:r>
              <w:rPr>
                <w:rFonts w:hint="eastAsia" w:ascii="宋体" w:hAnsi="宋体" w:cs="宋体"/>
                <w:color w:val="auto"/>
                <w:kern w:val="0"/>
                <w:szCs w:val="21"/>
                <w:vertAlign w:val="subscript"/>
              </w:rPr>
              <w:t>2</w:t>
            </w:r>
            <w:r>
              <w:rPr>
                <w:rFonts w:hint="eastAsia" w:ascii="宋体" w:hAnsi="宋体" w:cs="宋体"/>
                <w:color w:val="auto"/>
                <w:kern w:val="0"/>
                <w:szCs w:val="21"/>
              </w:rPr>
              <w:t>+…Bn</w:t>
            </w:r>
          </w:p>
        </w:tc>
      </w:tr>
    </w:tbl>
    <w:p>
      <w:pPr>
        <w:rPr>
          <w:rFonts w:ascii="宋体" w:hAnsi="宋体" w:cs="宋体"/>
          <w:color w:val="auto"/>
          <w:kern w:val="0"/>
          <w:szCs w:val="21"/>
        </w:rPr>
      </w:pPr>
      <w:r>
        <w:rPr>
          <w:rFonts w:hint="eastAsia" w:ascii="宋体" w:hAnsi="宋体" w:cs="宋体"/>
          <w:color w:val="auto"/>
          <w:kern w:val="0"/>
          <w:szCs w:val="21"/>
        </w:rPr>
        <w:t>修正原则：</w:t>
      </w:r>
      <w:r>
        <w:rPr>
          <w:rFonts w:hint="eastAsia" w:ascii="宋体" w:hAnsi="宋体" w:cs="宋体"/>
          <w:color w:val="auto"/>
          <w:szCs w:val="21"/>
        </w:rPr>
        <w:t>按就低不就高原则，当修正后报价小于原报价，总价按修正后报价；当修正后报价大于原报价，总价按原报价，并在签订合同时载明在结算价中扣除修正报价与原报价的差额。</w:t>
      </w:r>
      <w:r>
        <w:rPr>
          <w:rFonts w:hint="eastAsia" w:ascii="宋体" w:hAnsi="宋体" w:cs="宋体"/>
          <w:color w:val="auto"/>
          <w:kern w:val="0"/>
          <w:szCs w:val="21"/>
        </w:rPr>
        <w:tab/>
      </w:r>
    </w:p>
    <w:p>
      <w:pPr>
        <w:rPr>
          <w:rFonts w:ascii="宋体" w:hAnsi="宋体" w:cs="宋体"/>
          <w:color w:val="auto"/>
          <w:kern w:val="0"/>
          <w:szCs w:val="21"/>
        </w:rPr>
      </w:pPr>
      <w:r>
        <w:rPr>
          <w:rFonts w:hint="eastAsia" w:ascii="宋体" w:hAnsi="宋体" w:cs="宋体"/>
          <w:color w:val="auto"/>
          <w:kern w:val="0"/>
          <w:szCs w:val="21"/>
        </w:rPr>
        <w:t>评委签名：</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日期：</w:t>
      </w:r>
    </w:p>
    <w:p>
      <w:pPr>
        <w:rPr>
          <w:rFonts w:ascii="宋体" w:hAnsi="宋体" w:cs="宋体"/>
          <w:color w:val="auto"/>
        </w:rPr>
      </w:pPr>
    </w:p>
    <w:p>
      <w:pPr>
        <w:rPr>
          <w:rFonts w:ascii="宋体" w:hAnsi="宋体" w:cs="宋体"/>
          <w:color w:val="auto"/>
        </w:rPr>
      </w:pPr>
      <w:r>
        <w:rPr>
          <w:rFonts w:hint="eastAsia" w:ascii="宋体" w:hAnsi="宋体" w:cs="宋体"/>
          <w:color w:val="auto"/>
        </w:rPr>
        <w:br w:type="page"/>
      </w:r>
    </w:p>
    <w:p>
      <w:pPr>
        <w:jc w:val="center"/>
        <w:rPr>
          <w:rFonts w:ascii="宋体" w:hAnsi="宋体" w:cs="宋体"/>
          <w:b/>
          <w:color w:val="auto"/>
          <w:sz w:val="36"/>
          <w:szCs w:val="36"/>
        </w:rPr>
      </w:pPr>
      <w:r>
        <w:rPr>
          <w:rFonts w:hint="eastAsia" w:ascii="宋体" w:hAnsi="宋体" w:cs="宋体"/>
          <w:b/>
          <w:color w:val="auto"/>
          <w:sz w:val="36"/>
          <w:szCs w:val="36"/>
        </w:rPr>
        <w:t>算术复核表</w:t>
      </w:r>
    </w:p>
    <w:p>
      <w:pPr>
        <w:rPr>
          <w:rFonts w:ascii="宋体" w:hAnsi="宋体" w:cs="宋体"/>
          <w:color w:val="auto"/>
          <w:szCs w:val="21"/>
        </w:rPr>
      </w:pPr>
      <w:r>
        <w:rPr>
          <w:rFonts w:hint="eastAsia" w:ascii="宋体" w:hAnsi="宋体" w:cs="宋体"/>
          <w:color w:val="auto"/>
          <w:szCs w:val="21"/>
        </w:rPr>
        <w:t>工程名称：</w:t>
      </w:r>
    </w:p>
    <w:tbl>
      <w:tblPr>
        <w:tblStyle w:val="36"/>
        <w:tblW w:w="1449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4297"/>
        <w:gridCol w:w="2330"/>
        <w:gridCol w:w="3419"/>
        <w:gridCol w:w="3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b/>
                <w:color w:val="auto"/>
                <w:sz w:val="28"/>
                <w:szCs w:val="28"/>
              </w:rPr>
            </w:pPr>
            <w:r>
              <w:rPr>
                <w:rFonts w:hint="eastAsia" w:ascii="宋体" w:hAnsi="宋体" w:cs="宋体"/>
                <w:b/>
                <w:color w:val="auto"/>
                <w:sz w:val="28"/>
                <w:szCs w:val="28"/>
              </w:rPr>
              <w:t>编号</w:t>
            </w: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b/>
                <w:color w:val="auto"/>
                <w:sz w:val="28"/>
                <w:szCs w:val="28"/>
              </w:rPr>
            </w:pPr>
            <w:r>
              <w:rPr>
                <w:rFonts w:hint="eastAsia" w:ascii="宋体" w:hAnsi="宋体" w:cs="宋体"/>
                <w:b/>
                <w:color w:val="auto"/>
                <w:sz w:val="28"/>
                <w:szCs w:val="28"/>
              </w:rPr>
              <w:t>投标人名称</w:t>
            </w: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b/>
                <w:color w:val="auto"/>
                <w:sz w:val="28"/>
                <w:szCs w:val="28"/>
              </w:rPr>
            </w:pPr>
            <w:r>
              <w:rPr>
                <w:rFonts w:hint="eastAsia" w:ascii="宋体" w:hAnsi="宋体" w:cs="宋体"/>
                <w:b/>
                <w:color w:val="auto"/>
                <w:sz w:val="28"/>
                <w:szCs w:val="28"/>
              </w:rPr>
              <w:t>原投标报价（A）</w:t>
            </w:r>
          </w:p>
        </w:tc>
        <w:tc>
          <w:tcPr>
            <w:tcW w:w="3419" w:type="dxa"/>
            <w:tcBorders>
              <w:top w:val="single" w:color="auto" w:sz="4" w:space="0"/>
              <w:left w:val="single" w:color="auto" w:sz="4" w:space="0"/>
              <w:bottom w:val="single" w:color="auto" w:sz="4" w:space="0"/>
              <w:right w:val="single" w:color="auto" w:sz="4" w:space="0"/>
            </w:tcBorders>
          </w:tcPr>
          <w:p>
            <w:pPr>
              <w:rPr>
                <w:rFonts w:ascii="宋体" w:hAnsi="宋体" w:cs="宋体"/>
                <w:b/>
                <w:color w:val="auto"/>
                <w:sz w:val="28"/>
                <w:szCs w:val="28"/>
              </w:rPr>
            </w:pPr>
            <w:r>
              <w:rPr>
                <w:rFonts w:hint="eastAsia" w:ascii="宋体" w:hAnsi="宋体" w:cs="宋体"/>
                <w:b/>
                <w:color w:val="auto"/>
                <w:sz w:val="28"/>
                <w:szCs w:val="28"/>
              </w:rPr>
              <w:t>算数复核后投标报价（B）</w:t>
            </w: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b/>
                <w:color w:val="auto"/>
                <w:sz w:val="28"/>
                <w:szCs w:val="28"/>
              </w:rPr>
            </w:pPr>
            <w:r>
              <w:rPr>
                <w:rFonts w:hint="eastAsia" w:ascii="宋体" w:hAnsi="宋体" w:cs="宋体"/>
                <w:b/>
                <w:color w:val="auto"/>
                <w:sz w:val="28"/>
                <w:szCs w:val="28"/>
              </w:rPr>
              <w:t>误差率（r=|A-B|/A*100%）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rPr>
            </w:pPr>
          </w:p>
        </w:tc>
        <w:tc>
          <w:tcPr>
            <w:tcW w:w="341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rPr>
            </w:pPr>
          </w:p>
        </w:tc>
        <w:tc>
          <w:tcPr>
            <w:tcW w:w="341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rPr>
            </w:pPr>
          </w:p>
        </w:tc>
        <w:tc>
          <w:tcPr>
            <w:tcW w:w="341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rPr>
            </w:pPr>
          </w:p>
        </w:tc>
        <w:tc>
          <w:tcPr>
            <w:tcW w:w="341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rPr>
            </w:pPr>
          </w:p>
        </w:tc>
        <w:tc>
          <w:tcPr>
            <w:tcW w:w="341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rPr>
            </w:pPr>
          </w:p>
        </w:tc>
        <w:tc>
          <w:tcPr>
            <w:tcW w:w="341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rPr>
            </w:pPr>
          </w:p>
        </w:tc>
        <w:tc>
          <w:tcPr>
            <w:tcW w:w="341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rPr>
            </w:pPr>
          </w:p>
        </w:tc>
        <w:tc>
          <w:tcPr>
            <w:tcW w:w="3419"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rPr>
            </w:pPr>
          </w:p>
        </w:tc>
      </w:tr>
    </w:tbl>
    <w:p>
      <w:pPr>
        <w:rPr>
          <w:rFonts w:ascii="宋体" w:hAnsi="宋体" w:cs="宋体"/>
          <w:color w:val="auto"/>
          <w:szCs w:val="21"/>
        </w:rPr>
      </w:pPr>
      <w:r>
        <w:rPr>
          <w:rFonts w:hint="eastAsia" w:ascii="宋体" w:hAnsi="宋体" w:cs="宋体"/>
          <w:color w:val="auto"/>
          <w:szCs w:val="21"/>
        </w:rPr>
        <w:t>评委签名：</w:t>
      </w:r>
    </w:p>
    <w:p>
      <w:pPr>
        <w:spacing w:line="360" w:lineRule="auto"/>
        <w:jc w:val="center"/>
        <w:rPr>
          <w:rFonts w:ascii="宋体" w:hAnsi="宋体" w:cs="宋体"/>
          <w:color w:val="auto"/>
          <w:szCs w:val="21"/>
        </w:rPr>
        <w:sectPr>
          <w:headerReference r:id="rId11" w:type="first"/>
          <w:footerReference r:id="rId14" w:type="first"/>
          <w:headerReference r:id="rId9" w:type="default"/>
          <w:footerReference r:id="rId12" w:type="default"/>
          <w:headerReference r:id="rId10" w:type="even"/>
          <w:footerReference r:id="rId13" w:type="even"/>
          <w:endnotePr>
            <w:numFmt w:val="decimal"/>
          </w:endnotePr>
          <w:pgSz w:w="16838" w:h="11906" w:orient="landscape"/>
          <w:pgMar w:top="1090" w:right="1247" w:bottom="1418" w:left="1134" w:header="851" w:footer="907" w:gutter="0"/>
          <w:cols w:space="720" w:num="1"/>
          <w:titlePg/>
          <w:docGrid w:type="lines" w:linePitch="312" w:charSpace="0"/>
        </w:sectPr>
      </w:pPr>
    </w:p>
    <w:p>
      <w:pPr>
        <w:pStyle w:val="3"/>
        <w:rPr>
          <w:color w:val="auto"/>
        </w:rPr>
      </w:pPr>
      <w:bookmarkStart w:id="32" w:name="_Toc27044"/>
      <w:bookmarkStart w:id="33" w:name="_Toc2272566"/>
      <w:r>
        <w:rPr>
          <w:rFonts w:hint="eastAsia"/>
          <w:color w:val="auto"/>
        </w:rPr>
        <w:t>第三章</w:t>
      </w:r>
      <w:r>
        <w:rPr>
          <w:color w:val="auto"/>
        </w:rPr>
        <w:t xml:space="preserve">  </w:t>
      </w:r>
      <w:r>
        <w:rPr>
          <w:rFonts w:hint="eastAsia"/>
          <w:color w:val="auto"/>
        </w:rPr>
        <w:t>合同条款</w:t>
      </w:r>
      <w:bookmarkEnd w:id="32"/>
      <w:bookmarkEnd w:id="33"/>
    </w:p>
    <w:p>
      <w:pPr>
        <w:jc w:val="center"/>
        <w:rPr>
          <w:rFonts w:ascii="宋体"/>
          <w:b/>
          <w:color w:val="auto"/>
          <w:sz w:val="32"/>
          <w:szCs w:val="32"/>
        </w:rPr>
      </w:pPr>
      <w:r>
        <w:rPr>
          <w:rFonts w:hint="eastAsia" w:ascii="宋体" w:hAnsi="宋体" w:cs="宋体"/>
          <w:color w:val="auto"/>
          <w:sz w:val="32"/>
          <w:szCs w:val="32"/>
          <w:u w:val="single"/>
        </w:rPr>
        <w:t>另册</w:t>
      </w:r>
      <w:r>
        <w:rPr>
          <w:rFonts w:hint="eastAsia" w:ascii="宋体" w:hAnsi="宋体"/>
          <w:color w:val="auto"/>
          <w:sz w:val="32"/>
          <w:szCs w:val="32"/>
        </w:rPr>
        <w:t>。</w:t>
      </w:r>
    </w:p>
    <w:p>
      <w:pPr>
        <w:rPr>
          <w:color w:val="auto"/>
          <w:sz w:val="24"/>
          <w:szCs w:val="24"/>
        </w:rPr>
      </w:pPr>
    </w:p>
    <w:p>
      <w:pPr>
        <w:pStyle w:val="5"/>
        <w:spacing w:line="360" w:lineRule="auto"/>
        <w:rPr>
          <w:color w:val="auto"/>
          <w:sz w:val="24"/>
          <w:szCs w:val="24"/>
        </w:rPr>
      </w:pPr>
    </w:p>
    <w:p>
      <w:pPr>
        <w:pStyle w:val="5"/>
        <w:spacing w:line="360" w:lineRule="auto"/>
        <w:rPr>
          <w:color w:val="auto"/>
          <w:sz w:val="24"/>
          <w:szCs w:val="24"/>
        </w:rPr>
      </w:pPr>
    </w:p>
    <w:p>
      <w:pPr>
        <w:pStyle w:val="5"/>
        <w:spacing w:line="360" w:lineRule="auto"/>
        <w:rPr>
          <w:color w:val="auto"/>
          <w:sz w:val="24"/>
          <w:szCs w:val="24"/>
        </w:rPr>
      </w:pPr>
    </w:p>
    <w:p>
      <w:pPr>
        <w:pStyle w:val="5"/>
        <w:spacing w:line="360" w:lineRule="auto"/>
        <w:rPr>
          <w:color w:val="auto"/>
          <w:sz w:val="24"/>
          <w:szCs w:val="24"/>
        </w:rPr>
      </w:pPr>
    </w:p>
    <w:p>
      <w:pPr>
        <w:pStyle w:val="5"/>
        <w:spacing w:line="360" w:lineRule="auto"/>
        <w:rPr>
          <w:color w:val="auto"/>
          <w:sz w:val="24"/>
          <w:szCs w:val="24"/>
        </w:rPr>
      </w:pPr>
    </w:p>
    <w:p>
      <w:pPr>
        <w:pStyle w:val="5"/>
        <w:spacing w:line="360" w:lineRule="auto"/>
        <w:rPr>
          <w:color w:val="auto"/>
          <w:sz w:val="24"/>
          <w:szCs w:val="24"/>
        </w:rPr>
      </w:pPr>
    </w:p>
    <w:p>
      <w:pPr>
        <w:pStyle w:val="5"/>
        <w:spacing w:line="360" w:lineRule="auto"/>
        <w:rPr>
          <w:color w:val="auto"/>
          <w:sz w:val="24"/>
          <w:szCs w:val="24"/>
        </w:rPr>
      </w:pPr>
    </w:p>
    <w:p>
      <w:pPr>
        <w:pStyle w:val="5"/>
        <w:spacing w:line="360" w:lineRule="auto"/>
        <w:rPr>
          <w:color w:val="auto"/>
          <w:sz w:val="24"/>
          <w:szCs w:val="24"/>
        </w:rPr>
      </w:pPr>
    </w:p>
    <w:p>
      <w:pPr>
        <w:pStyle w:val="5"/>
        <w:spacing w:line="360" w:lineRule="auto"/>
        <w:rPr>
          <w:color w:val="auto"/>
          <w:sz w:val="24"/>
          <w:szCs w:val="24"/>
        </w:rPr>
      </w:pPr>
    </w:p>
    <w:p>
      <w:pPr>
        <w:pStyle w:val="5"/>
        <w:spacing w:line="360" w:lineRule="auto"/>
        <w:rPr>
          <w:color w:val="auto"/>
          <w:sz w:val="24"/>
          <w:szCs w:val="24"/>
        </w:rPr>
      </w:pPr>
    </w:p>
    <w:p>
      <w:pPr>
        <w:pStyle w:val="5"/>
        <w:spacing w:line="360" w:lineRule="auto"/>
        <w:rPr>
          <w:color w:val="auto"/>
          <w:sz w:val="24"/>
          <w:szCs w:val="24"/>
        </w:rPr>
      </w:pPr>
    </w:p>
    <w:p>
      <w:pPr>
        <w:pStyle w:val="5"/>
        <w:spacing w:line="360" w:lineRule="auto"/>
        <w:rPr>
          <w:color w:val="auto"/>
          <w:sz w:val="24"/>
          <w:szCs w:val="24"/>
        </w:rPr>
      </w:pPr>
    </w:p>
    <w:p>
      <w:pPr>
        <w:pStyle w:val="5"/>
        <w:spacing w:line="360" w:lineRule="auto"/>
        <w:rPr>
          <w:color w:val="auto"/>
          <w:sz w:val="24"/>
          <w:szCs w:val="24"/>
        </w:rPr>
      </w:pPr>
    </w:p>
    <w:p>
      <w:pPr>
        <w:pStyle w:val="5"/>
        <w:spacing w:line="360" w:lineRule="auto"/>
        <w:rPr>
          <w:color w:val="auto"/>
          <w:sz w:val="24"/>
          <w:szCs w:val="24"/>
        </w:rPr>
      </w:pPr>
    </w:p>
    <w:p>
      <w:pPr>
        <w:pStyle w:val="5"/>
        <w:spacing w:line="360" w:lineRule="auto"/>
        <w:rPr>
          <w:color w:val="auto"/>
          <w:sz w:val="24"/>
          <w:szCs w:val="24"/>
        </w:rPr>
      </w:pPr>
    </w:p>
    <w:p>
      <w:pPr>
        <w:pStyle w:val="5"/>
        <w:spacing w:line="360" w:lineRule="auto"/>
        <w:rPr>
          <w:color w:val="auto"/>
          <w:sz w:val="24"/>
          <w:szCs w:val="24"/>
        </w:rPr>
      </w:pPr>
    </w:p>
    <w:p>
      <w:pPr>
        <w:pStyle w:val="5"/>
        <w:spacing w:line="360" w:lineRule="auto"/>
        <w:rPr>
          <w:color w:val="auto"/>
          <w:sz w:val="24"/>
          <w:szCs w:val="24"/>
        </w:rPr>
      </w:pPr>
    </w:p>
    <w:p>
      <w:pPr>
        <w:pStyle w:val="5"/>
        <w:spacing w:line="360" w:lineRule="auto"/>
        <w:rPr>
          <w:color w:val="auto"/>
          <w:sz w:val="24"/>
          <w:szCs w:val="24"/>
        </w:rPr>
      </w:pPr>
    </w:p>
    <w:p>
      <w:pPr>
        <w:pStyle w:val="20"/>
        <w:spacing w:line="360" w:lineRule="auto"/>
        <w:rPr>
          <w:color w:val="auto"/>
          <w:sz w:val="24"/>
          <w:szCs w:val="24"/>
        </w:rPr>
      </w:pPr>
    </w:p>
    <w:p>
      <w:pPr>
        <w:pStyle w:val="20"/>
        <w:spacing w:line="360" w:lineRule="auto"/>
        <w:rPr>
          <w:color w:val="auto"/>
          <w:sz w:val="24"/>
          <w:szCs w:val="24"/>
        </w:rPr>
      </w:pPr>
      <w:r>
        <w:rPr>
          <w:color w:val="auto"/>
          <w:sz w:val="24"/>
          <w:szCs w:val="24"/>
        </w:rPr>
        <w:br w:type="page"/>
      </w:r>
    </w:p>
    <w:p>
      <w:pPr>
        <w:pStyle w:val="3"/>
        <w:rPr>
          <w:color w:val="auto"/>
        </w:rPr>
      </w:pPr>
      <w:bookmarkStart w:id="34" w:name="_Toc2272567"/>
      <w:bookmarkStart w:id="35" w:name="_Toc28265"/>
      <w:r>
        <w:rPr>
          <w:rFonts w:hint="eastAsia"/>
          <w:color w:val="auto"/>
        </w:rPr>
        <w:t>第四章</w:t>
      </w:r>
      <w:r>
        <w:rPr>
          <w:color w:val="auto"/>
        </w:rPr>
        <w:t xml:space="preserve">  </w:t>
      </w:r>
      <w:r>
        <w:rPr>
          <w:rFonts w:hint="eastAsia"/>
          <w:color w:val="auto"/>
        </w:rPr>
        <w:t>投标文件格式</w:t>
      </w:r>
      <w:bookmarkEnd w:id="34"/>
      <w:bookmarkEnd w:id="35"/>
    </w:p>
    <w:p>
      <w:pPr>
        <w:autoSpaceDE w:val="0"/>
        <w:autoSpaceDN w:val="0"/>
        <w:adjustRightInd w:val="0"/>
        <w:rPr>
          <w:bCs/>
          <w:color w:val="auto"/>
          <w:szCs w:val="21"/>
        </w:rPr>
      </w:pPr>
      <w:r>
        <w:rPr>
          <w:color w:val="auto"/>
        </w:rPr>
        <w:br w:type="page"/>
      </w:r>
      <w:r>
        <w:rPr>
          <w:rFonts w:hint="eastAsia"/>
          <w:bCs/>
          <w:color w:val="auto"/>
          <w:szCs w:val="21"/>
        </w:rPr>
        <w:t>附件一</w:t>
      </w:r>
    </w:p>
    <w:p>
      <w:pPr>
        <w:autoSpaceDE w:val="0"/>
        <w:autoSpaceDN w:val="0"/>
        <w:adjustRightInd w:val="0"/>
        <w:rPr>
          <w:rFonts w:ascii="宋体" w:cs="宋体"/>
          <w:b/>
          <w:bCs/>
          <w:color w:val="auto"/>
          <w:szCs w:val="21"/>
          <w:lang w:val="zh-CN"/>
        </w:rPr>
      </w:pPr>
      <w:r>
        <w:rPr>
          <w:rFonts w:hint="eastAsia"/>
          <w:bCs/>
          <w:color w:val="auto"/>
          <w:szCs w:val="21"/>
        </w:rPr>
        <w:t>（适用于技术标与经济标同时开启）</w:t>
      </w:r>
    </w:p>
    <w:p>
      <w:pPr>
        <w:autoSpaceDE w:val="0"/>
        <w:autoSpaceDN w:val="0"/>
        <w:adjustRightInd w:val="0"/>
        <w:ind w:left="-540" w:leftChars="-257" w:firstLine="1135" w:firstLineChars="257"/>
        <w:jc w:val="center"/>
        <w:rPr>
          <w:rFonts w:ascii="宋体" w:hAnsi="宋体" w:cs="宋体"/>
          <w:b/>
          <w:bCs/>
          <w:color w:val="auto"/>
          <w:sz w:val="44"/>
          <w:szCs w:val="44"/>
          <w:lang w:val="zh-CN"/>
        </w:rPr>
      </w:pPr>
    </w:p>
    <w:p>
      <w:pPr>
        <w:autoSpaceDE w:val="0"/>
        <w:autoSpaceDN w:val="0"/>
        <w:adjustRightInd w:val="0"/>
        <w:ind w:left="-540" w:leftChars="-257" w:firstLine="1135" w:firstLineChars="257"/>
        <w:jc w:val="center"/>
        <w:rPr>
          <w:rFonts w:ascii="宋体"/>
          <w:b/>
          <w:bCs/>
          <w:color w:val="auto"/>
          <w:sz w:val="52"/>
          <w:szCs w:val="52"/>
        </w:rPr>
      </w:pPr>
      <w:r>
        <w:rPr>
          <w:rFonts w:hint="eastAsia" w:ascii="宋体" w:hAnsi="宋体" w:cs="宋体"/>
          <w:b/>
          <w:bCs/>
          <w:color w:val="auto"/>
          <w:sz w:val="44"/>
          <w:szCs w:val="44"/>
          <w:lang w:val="zh-CN"/>
        </w:rPr>
        <w:t>广州建设工程施工招标投标书</w:t>
      </w:r>
    </w:p>
    <w:tbl>
      <w:tblPr>
        <w:tblStyle w:val="36"/>
        <w:tblpPr w:leftFromText="180" w:rightFromText="180" w:vertAnchor="text" w:horzAnchor="margin" w:tblpXSpec="center" w:tblpY="275"/>
        <w:tblW w:w="9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5"/>
        <w:gridCol w:w="3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b/>
                <w:bCs/>
                <w:color w:val="auto"/>
                <w:sz w:val="24"/>
                <w:szCs w:val="24"/>
                <w:lang w:val="zh-CN"/>
              </w:rPr>
            </w:pPr>
            <w:r>
              <w:rPr>
                <w:rFonts w:hint="eastAsia" w:ascii="宋体" w:hAnsi="宋体" w:cs="宋体"/>
                <w:b/>
                <w:color w:val="auto"/>
                <w:sz w:val="24"/>
                <w:szCs w:val="24"/>
                <w:lang w:val="zh-CN"/>
              </w:rPr>
              <w:t>工</w:t>
            </w:r>
            <w:r>
              <w:rPr>
                <w:rFonts w:ascii="宋体" w:hAnsi="宋体" w:cs="宋体"/>
                <w:b/>
                <w:color w:val="auto"/>
                <w:sz w:val="24"/>
                <w:szCs w:val="24"/>
                <w:lang w:val="zh-CN"/>
              </w:rPr>
              <w:t xml:space="preserve"> </w:t>
            </w:r>
            <w:r>
              <w:rPr>
                <w:rFonts w:hint="eastAsia" w:ascii="宋体" w:hAnsi="宋体" w:cs="宋体"/>
                <w:b/>
                <w:color w:val="auto"/>
                <w:sz w:val="24"/>
                <w:szCs w:val="24"/>
                <w:lang w:val="zh-CN"/>
              </w:rPr>
              <w:t>程</w:t>
            </w:r>
            <w:r>
              <w:rPr>
                <w:rFonts w:ascii="宋体" w:hAnsi="宋体" w:cs="宋体"/>
                <w:b/>
                <w:color w:val="auto"/>
                <w:sz w:val="24"/>
                <w:szCs w:val="24"/>
                <w:lang w:val="zh-CN"/>
              </w:rPr>
              <w:t xml:space="preserve"> </w:t>
            </w:r>
            <w:r>
              <w:rPr>
                <w:rFonts w:hint="eastAsia" w:ascii="宋体" w:hAnsi="宋体" w:cs="宋体"/>
                <w:b/>
                <w:color w:val="auto"/>
                <w:sz w:val="24"/>
                <w:szCs w:val="24"/>
                <w:lang w:val="zh-CN"/>
              </w:rPr>
              <w:t>名</w:t>
            </w:r>
            <w:r>
              <w:rPr>
                <w:rFonts w:ascii="宋体" w:hAnsi="宋体" w:cs="宋体"/>
                <w:b/>
                <w:color w:val="auto"/>
                <w:sz w:val="24"/>
                <w:szCs w:val="24"/>
                <w:lang w:val="zh-CN"/>
              </w:rPr>
              <w:t xml:space="preserve"> </w:t>
            </w:r>
            <w:r>
              <w:rPr>
                <w:rFonts w:hint="eastAsia" w:ascii="宋体" w:hAnsi="宋体" w:cs="宋体"/>
                <w:b/>
                <w:color w:val="auto"/>
                <w:sz w:val="24"/>
                <w:szCs w:val="24"/>
                <w:lang w:val="zh-CN"/>
              </w:rPr>
              <w:t>称</w:t>
            </w:r>
          </w:p>
        </w:tc>
        <w:tc>
          <w:tcPr>
            <w:tcW w:w="3574"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cs="宋体"/>
                <w:b/>
                <w:bCs/>
                <w:color w:val="auto"/>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b/>
                <w:bCs/>
                <w:color w:val="auto"/>
                <w:sz w:val="24"/>
                <w:szCs w:val="24"/>
                <w:lang w:val="zh-CN"/>
              </w:rPr>
            </w:pPr>
            <w:r>
              <w:rPr>
                <w:rFonts w:hint="eastAsia" w:ascii="宋体" w:hAnsi="宋体" w:cs="宋体"/>
                <w:b/>
                <w:color w:val="auto"/>
                <w:sz w:val="24"/>
                <w:szCs w:val="24"/>
                <w:lang w:val="zh-CN"/>
              </w:rPr>
              <w:t>投标总报价（元）</w:t>
            </w:r>
          </w:p>
        </w:tc>
        <w:tc>
          <w:tcPr>
            <w:tcW w:w="35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b/>
                <w:bCs/>
                <w:color w:val="auto"/>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b/>
                <w:bCs/>
                <w:color w:val="auto"/>
                <w:sz w:val="24"/>
                <w:szCs w:val="24"/>
                <w:lang w:val="zh-CN"/>
              </w:rPr>
            </w:pPr>
            <w:r>
              <w:rPr>
                <w:rFonts w:hint="eastAsia" w:ascii="宋体" w:hAnsi="宋体" w:cs="宋体"/>
                <w:b/>
                <w:color w:val="auto"/>
                <w:sz w:val="24"/>
                <w:szCs w:val="24"/>
                <w:lang w:val="zh-CN"/>
              </w:rPr>
              <w:t>其中：</w:t>
            </w:r>
            <w:r>
              <w:rPr>
                <w:rFonts w:hint="eastAsia" w:ascii="宋体" w:hAnsi="宋体" w:cs="宋体"/>
                <w:b/>
                <w:bCs/>
                <w:color w:val="auto"/>
                <w:sz w:val="24"/>
                <w:szCs w:val="24"/>
                <w:lang w:val="zh-CN"/>
              </w:rPr>
              <w:t>人工费</w:t>
            </w:r>
            <w:r>
              <w:rPr>
                <w:rFonts w:hint="eastAsia" w:ascii="宋体" w:hAnsi="宋体" w:cs="宋体"/>
                <w:b/>
                <w:color w:val="auto"/>
                <w:sz w:val="24"/>
                <w:szCs w:val="24"/>
                <w:lang w:val="zh-CN"/>
              </w:rPr>
              <w:t>（元）</w:t>
            </w:r>
          </w:p>
        </w:tc>
        <w:tc>
          <w:tcPr>
            <w:tcW w:w="35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b/>
                <w:bCs/>
                <w:color w:val="auto"/>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auto"/>
                <w:sz w:val="24"/>
                <w:szCs w:val="24"/>
                <w:lang w:val="zh-CN"/>
              </w:rPr>
            </w:pPr>
            <w:r>
              <w:rPr>
                <w:rFonts w:hint="eastAsia" w:ascii="宋体" w:hAnsi="宋体" w:cs="宋体"/>
                <w:b/>
                <w:bCs/>
                <w:color w:val="auto"/>
                <w:sz w:val="24"/>
                <w:szCs w:val="24"/>
                <w:lang w:val="zh-CN"/>
              </w:rPr>
              <w:t>其中：</w:t>
            </w:r>
            <w:r>
              <w:rPr>
                <w:rFonts w:hint="eastAsia" w:ascii="宋体" w:hAnsi="宋体" w:cs="宋体"/>
                <w:b/>
                <w:color w:val="auto"/>
                <w:sz w:val="24"/>
                <w:szCs w:val="24"/>
                <w:lang w:val="zh-CN"/>
              </w:rPr>
              <w:t>绿色施工安全防护措施费（元）</w:t>
            </w:r>
          </w:p>
        </w:tc>
        <w:tc>
          <w:tcPr>
            <w:tcW w:w="35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b/>
                <w:bCs/>
                <w:color w:val="auto"/>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
                <w:color w:val="auto"/>
                <w:sz w:val="24"/>
                <w:szCs w:val="24"/>
                <w:lang w:val="zh-CN"/>
              </w:rPr>
            </w:pPr>
            <w:r>
              <w:rPr>
                <w:rFonts w:hint="eastAsia" w:ascii="宋体" w:hAnsi="宋体" w:cs="宋体"/>
                <w:b/>
                <w:color w:val="auto"/>
                <w:sz w:val="24"/>
                <w:szCs w:val="24"/>
                <w:lang w:val="zh-CN"/>
              </w:rPr>
              <w:t>投</w:t>
            </w:r>
            <w:r>
              <w:rPr>
                <w:rFonts w:ascii="宋体" w:hAnsi="宋体" w:cs="宋体"/>
                <w:b/>
                <w:color w:val="auto"/>
                <w:sz w:val="24"/>
                <w:szCs w:val="24"/>
                <w:lang w:val="zh-CN"/>
              </w:rPr>
              <w:t xml:space="preserve"> </w:t>
            </w:r>
            <w:r>
              <w:rPr>
                <w:rFonts w:hint="eastAsia" w:ascii="宋体" w:hAnsi="宋体" w:cs="宋体"/>
                <w:b/>
                <w:color w:val="auto"/>
                <w:sz w:val="24"/>
                <w:szCs w:val="24"/>
                <w:lang w:val="zh-CN"/>
              </w:rPr>
              <w:t>标</w:t>
            </w:r>
            <w:r>
              <w:rPr>
                <w:rFonts w:ascii="宋体" w:hAnsi="宋体" w:cs="宋体"/>
                <w:b/>
                <w:color w:val="auto"/>
                <w:sz w:val="24"/>
                <w:szCs w:val="24"/>
                <w:lang w:val="zh-CN"/>
              </w:rPr>
              <w:t xml:space="preserve"> </w:t>
            </w:r>
            <w:r>
              <w:rPr>
                <w:rFonts w:hint="eastAsia" w:ascii="宋体" w:hAnsi="宋体" w:cs="宋体"/>
                <w:b/>
                <w:color w:val="auto"/>
                <w:sz w:val="24"/>
                <w:szCs w:val="24"/>
                <w:lang w:val="zh-CN"/>
              </w:rPr>
              <w:t>总</w:t>
            </w:r>
            <w:r>
              <w:rPr>
                <w:rFonts w:hint="eastAsia" w:ascii="宋体" w:hAnsi="宋体" w:cs="宋体"/>
                <w:b/>
                <w:color w:val="auto"/>
                <w:sz w:val="24"/>
                <w:szCs w:val="24"/>
              </w:rPr>
              <w:t xml:space="preserve"> </w:t>
            </w:r>
            <w:r>
              <w:rPr>
                <w:rFonts w:hint="eastAsia" w:ascii="宋体" w:hAnsi="宋体" w:cs="宋体"/>
                <w:b/>
                <w:color w:val="auto"/>
                <w:sz w:val="24"/>
                <w:szCs w:val="24"/>
                <w:lang w:val="zh-CN"/>
              </w:rPr>
              <w:t>工</w:t>
            </w:r>
            <w:r>
              <w:rPr>
                <w:rFonts w:ascii="宋体" w:hAnsi="宋体" w:cs="宋体"/>
                <w:b/>
                <w:color w:val="auto"/>
                <w:sz w:val="24"/>
                <w:szCs w:val="24"/>
                <w:lang w:val="zh-CN"/>
              </w:rPr>
              <w:t xml:space="preserve"> </w:t>
            </w:r>
            <w:r>
              <w:rPr>
                <w:rFonts w:hint="eastAsia" w:ascii="宋体" w:hAnsi="宋体" w:cs="宋体"/>
                <w:b/>
                <w:color w:val="auto"/>
                <w:sz w:val="24"/>
                <w:szCs w:val="24"/>
                <w:lang w:val="zh-CN"/>
              </w:rPr>
              <w:t>期</w:t>
            </w:r>
          </w:p>
        </w:tc>
        <w:tc>
          <w:tcPr>
            <w:tcW w:w="3574"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cs="宋体"/>
                <w:b/>
                <w:bCs/>
                <w:color w:val="auto"/>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auto"/>
                <w:sz w:val="24"/>
                <w:szCs w:val="24"/>
              </w:rPr>
            </w:pPr>
            <w:r>
              <w:rPr>
                <w:rFonts w:hint="eastAsia" w:ascii="宋体" w:hAnsi="宋体" w:cs="宋体"/>
                <w:b/>
                <w:color w:val="auto"/>
                <w:sz w:val="24"/>
                <w:szCs w:val="24"/>
                <w:lang w:val="zh-CN"/>
              </w:rPr>
              <w:t>工程质量标准</w:t>
            </w:r>
          </w:p>
        </w:tc>
        <w:tc>
          <w:tcPr>
            <w:tcW w:w="3574"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cs="宋体"/>
                <w:b/>
                <w:bCs/>
                <w:color w:val="auto"/>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b/>
                <w:bCs/>
                <w:color w:val="auto"/>
                <w:sz w:val="24"/>
                <w:szCs w:val="24"/>
                <w:lang w:val="zh-CN"/>
              </w:rPr>
            </w:pPr>
            <w:r>
              <w:rPr>
                <w:rFonts w:hint="eastAsia" w:ascii="宋体" w:hAnsi="宋体" w:cs="宋体"/>
                <w:b/>
                <w:color w:val="auto"/>
                <w:sz w:val="24"/>
                <w:szCs w:val="24"/>
                <w:lang w:val="zh-CN"/>
              </w:rPr>
              <w:t>保</w:t>
            </w:r>
            <w:r>
              <w:rPr>
                <w:rFonts w:ascii="宋体" w:hAnsi="宋体" w:cs="宋体"/>
                <w:b/>
                <w:color w:val="auto"/>
                <w:sz w:val="24"/>
                <w:szCs w:val="24"/>
                <w:lang w:val="zh-CN"/>
              </w:rPr>
              <w:t xml:space="preserve"> </w:t>
            </w:r>
            <w:r>
              <w:rPr>
                <w:rFonts w:hint="eastAsia" w:ascii="宋体" w:hAnsi="宋体" w:cs="宋体"/>
                <w:b/>
                <w:color w:val="auto"/>
                <w:sz w:val="24"/>
                <w:szCs w:val="24"/>
                <w:lang w:val="zh-CN"/>
              </w:rPr>
              <w:t>修</w:t>
            </w:r>
            <w:r>
              <w:rPr>
                <w:rFonts w:ascii="宋体" w:hAnsi="宋体" w:cs="宋体"/>
                <w:b/>
                <w:color w:val="auto"/>
                <w:sz w:val="24"/>
                <w:szCs w:val="24"/>
                <w:lang w:val="zh-CN"/>
              </w:rPr>
              <w:t xml:space="preserve"> </w:t>
            </w:r>
            <w:r>
              <w:rPr>
                <w:rFonts w:hint="eastAsia" w:ascii="宋体" w:hAnsi="宋体" w:cs="宋体"/>
                <w:b/>
                <w:color w:val="auto"/>
                <w:sz w:val="24"/>
                <w:szCs w:val="24"/>
                <w:lang w:val="zh-CN"/>
              </w:rPr>
              <w:t>期</w:t>
            </w:r>
            <w:r>
              <w:rPr>
                <w:rFonts w:ascii="宋体" w:hAnsi="宋体" w:cs="宋体"/>
                <w:b/>
                <w:color w:val="auto"/>
                <w:sz w:val="24"/>
                <w:szCs w:val="24"/>
                <w:lang w:val="zh-CN"/>
              </w:rPr>
              <w:t xml:space="preserve"> </w:t>
            </w:r>
            <w:r>
              <w:rPr>
                <w:rFonts w:hint="eastAsia" w:ascii="宋体" w:hAnsi="宋体" w:cs="宋体"/>
                <w:b/>
                <w:color w:val="auto"/>
                <w:sz w:val="24"/>
                <w:szCs w:val="24"/>
                <w:lang w:val="zh-CN"/>
              </w:rPr>
              <w:t>限</w:t>
            </w:r>
          </w:p>
        </w:tc>
        <w:tc>
          <w:tcPr>
            <w:tcW w:w="3574"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cs="宋体"/>
                <w:b/>
                <w:bCs/>
                <w:color w:val="auto"/>
                <w:sz w:val="24"/>
                <w:szCs w:val="24"/>
                <w:lang w:val="zh-CN"/>
              </w:rPr>
            </w:pPr>
          </w:p>
        </w:tc>
      </w:tr>
    </w:tbl>
    <w:p>
      <w:pPr>
        <w:tabs>
          <w:tab w:val="left" w:pos="720"/>
        </w:tabs>
        <w:snapToGrid w:val="0"/>
        <w:spacing w:line="360" w:lineRule="auto"/>
        <w:rPr>
          <w:color w:val="auto"/>
          <w:sz w:val="24"/>
          <w:szCs w:val="24"/>
        </w:rPr>
      </w:pPr>
    </w:p>
    <w:p>
      <w:pPr>
        <w:autoSpaceDE w:val="0"/>
        <w:autoSpaceDN w:val="0"/>
        <w:adjustRightInd w:val="0"/>
        <w:rPr>
          <w:color w:val="auto"/>
          <w:szCs w:val="21"/>
        </w:rPr>
      </w:pPr>
      <w:r>
        <w:rPr>
          <w:color w:val="auto"/>
          <w:sz w:val="24"/>
          <w:szCs w:val="24"/>
        </w:rPr>
        <w:br w:type="page"/>
      </w:r>
      <w:r>
        <w:rPr>
          <w:rFonts w:hint="eastAsia"/>
          <w:color w:val="auto"/>
          <w:szCs w:val="21"/>
        </w:rPr>
        <w:t>附件二</w:t>
      </w:r>
    </w:p>
    <w:p>
      <w:pPr>
        <w:tabs>
          <w:tab w:val="left" w:pos="720"/>
        </w:tabs>
        <w:snapToGrid w:val="0"/>
        <w:spacing w:line="360" w:lineRule="auto"/>
        <w:jc w:val="center"/>
        <w:rPr>
          <w:b/>
          <w:color w:val="auto"/>
          <w:sz w:val="32"/>
          <w:szCs w:val="32"/>
        </w:rPr>
      </w:pPr>
      <w:r>
        <w:rPr>
          <w:rFonts w:hint="eastAsia"/>
          <w:b/>
          <w:color w:val="auto"/>
          <w:sz w:val="32"/>
          <w:szCs w:val="32"/>
        </w:rPr>
        <w:t>投标文件编制人员名单</w:t>
      </w:r>
    </w:p>
    <w:p>
      <w:pPr>
        <w:tabs>
          <w:tab w:val="left" w:pos="720"/>
        </w:tabs>
        <w:snapToGrid w:val="0"/>
        <w:spacing w:line="360" w:lineRule="auto"/>
        <w:rPr>
          <w:color w:val="auto"/>
          <w:sz w:val="24"/>
          <w:szCs w:val="24"/>
        </w:rPr>
      </w:pPr>
    </w:p>
    <w:p>
      <w:pPr>
        <w:tabs>
          <w:tab w:val="left" w:pos="720"/>
        </w:tabs>
        <w:snapToGrid w:val="0"/>
        <w:spacing w:line="360" w:lineRule="auto"/>
        <w:jc w:val="center"/>
        <w:rPr>
          <w:color w:val="auto"/>
          <w:szCs w:val="21"/>
        </w:rPr>
      </w:pPr>
      <w:r>
        <w:rPr>
          <w:rFonts w:hint="eastAsia"/>
          <w:color w:val="auto"/>
          <w:szCs w:val="21"/>
        </w:rPr>
        <w:t>一、参与编制技术标投标文件人员名单</w:t>
      </w:r>
    </w:p>
    <w:tbl>
      <w:tblPr>
        <w:tblStyle w:val="36"/>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347"/>
        <w:gridCol w:w="2274"/>
        <w:gridCol w:w="2182"/>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296" w:type="dxa"/>
            <w:gridSpan w:val="5"/>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r>
              <w:rPr>
                <w:rFonts w:hint="eastAsia" w:ascii="宋体" w:hAnsi="宋体"/>
                <w:color w:val="auto"/>
                <w:szCs w:val="21"/>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r>
              <w:rPr>
                <w:rFonts w:hint="eastAsia" w:ascii="宋体" w:hAnsi="宋体"/>
                <w:color w:val="auto"/>
                <w:szCs w:val="21"/>
              </w:rPr>
              <w:t>姓名</w:t>
            </w: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r>
              <w:rPr>
                <w:rFonts w:hint="eastAsia" w:ascii="宋体" w:hAnsi="宋体"/>
                <w:color w:val="auto"/>
                <w:szCs w:val="21"/>
              </w:rPr>
              <w:t>职务</w:t>
            </w: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r>
              <w:rPr>
                <w:rFonts w:hint="eastAsia" w:ascii="宋体" w:hAnsi="宋体"/>
                <w:color w:val="auto"/>
                <w:szCs w:val="21"/>
              </w:rPr>
              <w:t>所承担工作</w:t>
            </w: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r>
              <w:rPr>
                <w:rFonts w:hint="eastAsia" w:ascii="宋体" w:hAnsi="宋体"/>
                <w:color w:val="auto"/>
                <w:szCs w:val="21"/>
              </w:rPr>
              <w:t>身份证号码</w:t>
            </w: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r>
              <w:rPr>
                <w:rFonts w:hint="eastAsia" w:ascii="宋体" w:hAnsi="宋体"/>
                <w:color w:val="auto"/>
                <w:szCs w:val="21"/>
              </w:rPr>
              <w:t>本人签名栏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r>
    </w:tbl>
    <w:p>
      <w:pPr>
        <w:tabs>
          <w:tab w:val="left" w:pos="720"/>
        </w:tabs>
        <w:snapToGrid w:val="0"/>
        <w:spacing w:line="360" w:lineRule="auto"/>
        <w:rPr>
          <w:color w:val="auto"/>
          <w:sz w:val="24"/>
          <w:szCs w:val="24"/>
        </w:rPr>
      </w:pPr>
    </w:p>
    <w:p>
      <w:pPr>
        <w:tabs>
          <w:tab w:val="left" w:pos="720"/>
        </w:tabs>
        <w:snapToGrid w:val="0"/>
        <w:spacing w:line="360" w:lineRule="auto"/>
        <w:rPr>
          <w:color w:val="auto"/>
          <w:sz w:val="24"/>
          <w:szCs w:val="24"/>
        </w:rPr>
      </w:pPr>
    </w:p>
    <w:p>
      <w:pPr>
        <w:tabs>
          <w:tab w:val="left" w:pos="720"/>
        </w:tabs>
        <w:snapToGrid w:val="0"/>
        <w:spacing w:line="360" w:lineRule="auto"/>
        <w:jc w:val="center"/>
        <w:rPr>
          <w:color w:val="auto"/>
          <w:szCs w:val="21"/>
        </w:rPr>
      </w:pPr>
      <w:r>
        <w:rPr>
          <w:rFonts w:hint="eastAsia"/>
          <w:color w:val="auto"/>
          <w:szCs w:val="21"/>
        </w:rPr>
        <w:t>二、参与编制经济标投标文件人员名单</w:t>
      </w:r>
    </w:p>
    <w:tbl>
      <w:tblPr>
        <w:tblStyle w:val="36"/>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347"/>
        <w:gridCol w:w="2274"/>
        <w:gridCol w:w="2182"/>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296" w:type="dxa"/>
            <w:gridSpan w:val="5"/>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r>
              <w:rPr>
                <w:rFonts w:hint="eastAsia" w:ascii="宋体" w:hAnsi="宋体"/>
                <w:color w:val="auto"/>
                <w:szCs w:val="21"/>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r>
              <w:rPr>
                <w:rFonts w:hint="eastAsia" w:ascii="宋体" w:hAnsi="宋体"/>
                <w:color w:val="auto"/>
                <w:szCs w:val="21"/>
              </w:rPr>
              <w:t>姓名</w:t>
            </w: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r>
              <w:rPr>
                <w:rFonts w:hint="eastAsia" w:ascii="宋体" w:hAnsi="宋体"/>
                <w:color w:val="auto"/>
                <w:szCs w:val="21"/>
              </w:rPr>
              <w:t>职务</w:t>
            </w: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r>
              <w:rPr>
                <w:rFonts w:hint="eastAsia" w:ascii="宋体" w:hAnsi="宋体"/>
                <w:color w:val="auto"/>
                <w:szCs w:val="21"/>
              </w:rPr>
              <w:t>所承担工作</w:t>
            </w: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r>
              <w:rPr>
                <w:rFonts w:hint="eastAsia" w:ascii="宋体" w:hAnsi="宋体"/>
                <w:color w:val="auto"/>
                <w:szCs w:val="21"/>
              </w:rPr>
              <w:t>身份证号码</w:t>
            </w: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r>
              <w:rPr>
                <w:rFonts w:hint="eastAsia" w:ascii="宋体" w:hAnsi="宋体"/>
                <w:color w:val="auto"/>
                <w:szCs w:val="21"/>
              </w:rPr>
              <w:t>本人签名栏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r>
    </w:tbl>
    <w:p>
      <w:pPr>
        <w:tabs>
          <w:tab w:val="left" w:pos="720"/>
        </w:tabs>
        <w:snapToGrid w:val="0"/>
        <w:spacing w:line="360" w:lineRule="auto"/>
        <w:rPr>
          <w:color w:val="auto"/>
          <w:sz w:val="24"/>
          <w:szCs w:val="24"/>
        </w:rPr>
      </w:pPr>
    </w:p>
    <w:p>
      <w:pPr>
        <w:pStyle w:val="5"/>
        <w:spacing w:after="0" w:line="360" w:lineRule="auto"/>
        <w:ind w:left="-2" w:leftChars="-1" w:firstLine="367" w:firstLineChars="175"/>
        <w:jc w:val="left"/>
        <w:rPr>
          <w:color w:val="auto"/>
          <w:szCs w:val="21"/>
        </w:rPr>
      </w:pPr>
      <w:r>
        <w:rPr>
          <w:rFonts w:hint="eastAsia"/>
          <w:color w:val="auto"/>
          <w:szCs w:val="21"/>
        </w:rPr>
        <w:t>注：参与编制投标文件所有人员名单应包括如编制技术投标方案、编制各种专业工程量清单投标报价、负责清样校对、负责打印及复印等所有人员在内的人员名单。</w:t>
      </w:r>
    </w:p>
    <w:p>
      <w:pPr>
        <w:pStyle w:val="5"/>
        <w:spacing w:after="0" w:line="360" w:lineRule="auto"/>
        <w:ind w:left="-2" w:leftChars="-1" w:firstLineChars="175"/>
        <w:jc w:val="center"/>
        <w:rPr>
          <w:color w:val="auto"/>
          <w:sz w:val="24"/>
          <w:szCs w:val="24"/>
        </w:rPr>
      </w:pPr>
    </w:p>
    <w:p>
      <w:pPr>
        <w:autoSpaceDE w:val="0"/>
        <w:autoSpaceDN w:val="0"/>
        <w:adjustRightInd w:val="0"/>
        <w:rPr>
          <w:color w:val="auto"/>
          <w:szCs w:val="21"/>
        </w:rPr>
      </w:pPr>
      <w:r>
        <w:rPr>
          <w:rFonts w:hint="eastAsia"/>
          <w:color w:val="auto"/>
          <w:szCs w:val="21"/>
        </w:rPr>
        <w:t>附件三</w:t>
      </w:r>
    </w:p>
    <w:p>
      <w:pPr>
        <w:pStyle w:val="5"/>
        <w:spacing w:after="0" w:line="360" w:lineRule="auto"/>
        <w:ind w:firstLine="0"/>
        <w:jc w:val="center"/>
        <w:rPr>
          <w:color w:val="auto"/>
          <w:sz w:val="32"/>
          <w:szCs w:val="32"/>
        </w:rPr>
      </w:pPr>
      <w:r>
        <w:rPr>
          <w:rFonts w:hint="eastAsia"/>
          <w:b/>
          <w:color w:val="auto"/>
          <w:sz w:val="32"/>
          <w:szCs w:val="32"/>
        </w:rPr>
        <w:t>对投标文件编制的承诺</w:t>
      </w:r>
    </w:p>
    <w:p>
      <w:pPr>
        <w:pStyle w:val="5"/>
        <w:spacing w:after="0" w:line="360" w:lineRule="auto"/>
        <w:ind w:left="-2" w:leftChars="-1" w:firstLine="540" w:firstLineChars="225"/>
        <w:rPr>
          <w:rFonts w:ascii="宋体" w:hAnsi="宋体"/>
          <w:color w:val="auto"/>
          <w:sz w:val="24"/>
          <w:szCs w:val="24"/>
        </w:rPr>
      </w:pPr>
      <w:r>
        <w:rPr>
          <w:rFonts w:hint="eastAsia" w:ascii="宋体" w:hAnsi="宋体"/>
          <w:color w:val="auto"/>
          <w:sz w:val="24"/>
          <w:szCs w:val="24"/>
        </w:rPr>
        <w:t>本公司授权</w:t>
      </w:r>
      <w:r>
        <w:rPr>
          <w:rFonts w:hint="eastAsia" w:ascii="宋体" w:hAnsi="宋体"/>
          <w:color w:val="auto"/>
          <w:sz w:val="24"/>
          <w:szCs w:val="24"/>
          <w:u w:val="single"/>
        </w:rPr>
        <w:t xml:space="preserve">         （身份证号：               ）</w:t>
      </w:r>
      <w:r>
        <w:rPr>
          <w:rFonts w:hint="eastAsia" w:ascii="宋体" w:hAnsi="宋体"/>
          <w:color w:val="auto"/>
          <w:sz w:val="24"/>
          <w:szCs w:val="24"/>
        </w:rPr>
        <w:t>负责对投标文件的编制及内容进行解释、说明，并承诺以下事项：</w:t>
      </w:r>
    </w:p>
    <w:p>
      <w:pPr>
        <w:pStyle w:val="5"/>
        <w:spacing w:after="0" w:line="360" w:lineRule="auto"/>
        <w:ind w:left="-2" w:leftChars="-1" w:firstLine="540" w:firstLineChars="225"/>
        <w:rPr>
          <w:rFonts w:ascii="宋体" w:hAnsi="宋体"/>
          <w:color w:val="auto"/>
          <w:sz w:val="24"/>
          <w:szCs w:val="24"/>
        </w:rPr>
      </w:pPr>
      <w:r>
        <w:rPr>
          <w:rFonts w:hint="eastAsia" w:ascii="宋体" w:hAnsi="宋体"/>
          <w:color w:val="auto"/>
          <w:sz w:val="24"/>
          <w:szCs w:val="24"/>
        </w:rPr>
        <w:t>1.被授权人清楚投标文件编制的具体情况，包括技术方案文件、工程量清单、以及投标文件的加密打包的理解；</w:t>
      </w:r>
    </w:p>
    <w:p>
      <w:pPr>
        <w:pStyle w:val="5"/>
        <w:spacing w:after="0" w:line="360" w:lineRule="auto"/>
        <w:ind w:left="-2" w:leftChars="-1" w:firstLine="540" w:firstLineChars="225"/>
        <w:rPr>
          <w:rFonts w:ascii="宋体" w:hAnsi="宋体"/>
          <w:color w:val="auto"/>
          <w:sz w:val="24"/>
          <w:szCs w:val="24"/>
        </w:rPr>
      </w:pPr>
      <w:r>
        <w:rPr>
          <w:rFonts w:hint="eastAsia" w:ascii="宋体" w:hAnsi="宋体"/>
          <w:color w:val="auto"/>
          <w:sz w:val="24"/>
          <w:szCs w:val="24"/>
        </w:rPr>
        <w:t>2.在本项目开标至评标结束前，努力确保被授权人在项目评标所在地附近；</w:t>
      </w:r>
    </w:p>
    <w:p>
      <w:pPr>
        <w:pStyle w:val="5"/>
        <w:spacing w:after="0" w:line="360" w:lineRule="auto"/>
        <w:ind w:left="-2" w:leftChars="-1" w:firstLine="540" w:firstLineChars="225"/>
        <w:rPr>
          <w:rFonts w:ascii="宋体" w:hAnsi="宋体"/>
          <w:color w:val="auto"/>
          <w:sz w:val="24"/>
          <w:szCs w:val="24"/>
        </w:rPr>
      </w:pPr>
      <w:r>
        <w:rPr>
          <w:rFonts w:hint="eastAsia" w:ascii="宋体" w:hAnsi="宋体"/>
          <w:color w:val="auto"/>
          <w:sz w:val="24"/>
          <w:szCs w:val="24"/>
        </w:rPr>
        <w:t>3.从评标委员会要求澄清起二小时内，被授权人应如实地书面澄清。</w:t>
      </w:r>
    </w:p>
    <w:p>
      <w:pPr>
        <w:pStyle w:val="5"/>
        <w:spacing w:after="0" w:line="360" w:lineRule="auto"/>
        <w:ind w:left="-2" w:leftChars="-1" w:firstLine="540" w:firstLineChars="225"/>
        <w:rPr>
          <w:rFonts w:ascii="宋体" w:hAnsi="宋体"/>
          <w:color w:val="auto"/>
          <w:sz w:val="24"/>
          <w:szCs w:val="24"/>
        </w:rPr>
      </w:pPr>
      <w:r>
        <w:rPr>
          <w:rFonts w:hint="eastAsia" w:ascii="宋体" w:hAnsi="宋体"/>
          <w:color w:val="auto"/>
          <w:sz w:val="24"/>
          <w:szCs w:val="24"/>
        </w:rPr>
        <w:t xml:space="preserve">如由于未遵守上述承诺内容之一导致无法进行澄清的，我公司认可和接受评标委员会作出的评审结论。                                 </w:t>
      </w:r>
    </w:p>
    <w:p>
      <w:pPr>
        <w:pStyle w:val="5"/>
        <w:spacing w:after="0" w:line="360" w:lineRule="auto"/>
        <w:ind w:firstLine="360" w:firstLineChars="150"/>
        <w:rPr>
          <w:rFonts w:ascii="宋体" w:hAnsi="宋体"/>
          <w:color w:val="auto"/>
          <w:sz w:val="24"/>
          <w:szCs w:val="24"/>
        </w:rPr>
      </w:pPr>
      <w:r>
        <w:rPr>
          <w:rFonts w:hint="eastAsia" w:ascii="宋体" w:hAnsi="宋体"/>
          <w:color w:val="auto"/>
          <w:sz w:val="24"/>
          <w:szCs w:val="24"/>
        </w:rPr>
        <w:t xml:space="preserve"> </w:t>
      </w:r>
    </w:p>
    <w:p>
      <w:pPr>
        <w:pStyle w:val="5"/>
        <w:spacing w:after="0" w:line="360" w:lineRule="auto"/>
        <w:ind w:firstLine="480" w:firstLineChars="200"/>
        <w:rPr>
          <w:rFonts w:ascii="宋体" w:hAnsi="宋体"/>
          <w:color w:val="auto"/>
          <w:sz w:val="24"/>
          <w:szCs w:val="24"/>
        </w:rPr>
      </w:pPr>
      <w:r>
        <w:rPr>
          <w:rFonts w:hint="eastAsia" w:ascii="宋体" w:hAnsi="宋体"/>
          <w:color w:val="auto"/>
          <w:sz w:val="24"/>
          <w:szCs w:val="24"/>
        </w:rPr>
        <w:t>附件：《投标文件编制情况》</w:t>
      </w:r>
    </w:p>
    <w:p>
      <w:pPr>
        <w:spacing w:line="360" w:lineRule="auto"/>
        <w:ind w:right="90" w:firstLine="3240" w:firstLineChars="1350"/>
        <w:rPr>
          <w:rFonts w:ascii="宋体" w:hAnsi="宋体"/>
          <w:color w:val="auto"/>
          <w:sz w:val="24"/>
          <w:szCs w:val="24"/>
          <w:u w:val="single"/>
        </w:rPr>
      </w:pPr>
      <w:r>
        <w:rPr>
          <w:rFonts w:hint="eastAsia" w:ascii="宋体" w:hAnsi="宋体"/>
          <w:color w:val="auto"/>
          <w:sz w:val="24"/>
          <w:szCs w:val="24"/>
        </w:rPr>
        <w:t xml:space="preserve"> 投标人名称（盖法人公章）：</w:t>
      </w:r>
      <w:r>
        <w:rPr>
          <w:rFonts w:hint="eastAsia" w:ascii="宋体" w:hAnsi="宋体"/>
          <w:color w:val="auto"/>
          <w:sz w:val="24"/>
          <w:szCs w:val="24"/>
          <w:u w:val="single"/>
        </w:rPr>
        <w:t xml:space="preserve">                  </w:t>
      </w:r>
    </w:p>
    <w:p>
      <w:pPr>
        <w:spacing w:line="360" w:lineRule="auto"/>
        <w:ind w:firstLine="2160" w:firstLineChars="900"/>
        <w:rPr>
          <w:rFonts w:ascii="宋体" w:hAnsi="宋体"/>
          <w:color w:val="auto"/>
          <w:sz w:val="24"/>
          <w:szCs w:val="24"/>
          <w:u w:val="single"/>
        </w:rPr>
      </w:pPr>
      <w:r>
        <w:rPr>
          <w:rFonts w:hint="eastAsia" w:ascii="宋体" w:hAnsi="宋体"/>
          <w:color w:val="auto"/>
          <w:sz w:val="24"/>
          <w:szCs w:val="24"/>
        </w:rPr>
        <w:t>法定代表人或被授权人（签字或盖章）：</w:t>
      </w:r>
      <w:r>
        <w:rPr>
          <w:rFonts w:hint="eastAsia" w:ascii="宋体" w:hAnsi="宋体"/>
          <w:color w:val="auto"/>
          <w:sz w:val="24"/>
          <w:szCs w:val="24"/>
          <w:u w:val="single"/>
        </w:rPr>
        <w:t xml:space="preserve">                  </w:t>
      </w:r>
    </w:p>
    <w:p>
      <w:pPr>
        <w:spacing w:line="360" w:lineRule="auto"/>
        <w:ind w:firstLine="4440" w:firstLineChars="1850"/>
        <w:jc w:val="center"/>
        <w:rPr>
          <w:color w:val="auto"/>
          <w:sz w:val="24"/>
          <w:szCs w:val="24"/>
        </w:rPr>
      </w:pPr>
      <w:r>
        <w:rPr>
          <w:rFonts w:hint="eastAsia"/>
          <w:color w:val="auto"/>
          <w:sz w:val="24"/>
          <w:szCs w:val="24"/>
        </w:rPr>
        <w:t xml:space="preserve"> 日期：      年   月   日 </w:t>
      </w:r>
      <w:r>
        <w:rPr>
          <w:rFonts w:hint="eastAsia"/>
          <w:color w:val="auto"/>
          <w:sz w:val="18"/>
          <w:szCs w:val="18"/>
        </w:rPr>
        <w:t xml:space="preserve"> </w:t>
      </w:r>
      <w:r>
        <w:rPr>
          <w:rFonts w:hint="eastAsia"/>
          <w:color w:val="auto"/>
          <w:sz w:val="24"/>
          <w:szCs w:val="24"/>
        </w:rPr>
        <w:t xml:space="preserve">    </w:t>
      </w:r>
    </w:p>
    <w:p>
      <w:pPr>
        <w:pStyle w:val="5"/>
        <w:spacing w:after="0" w:line="360" w:lineRule="auto"/>
        <w:ind w:firstLine="0"/>
        <w:rPr>
          <w:b/>
          <w:color w:val="auto"/>
          <w:sz w:val="32"/>
          <w:szCs w:val="32"/>
        </w:rPr>
      </w:pPr>
    </w:p>
    <w:p>
      <w:pPr>
        <w:pStyle w:val="5"/>
        <w:spacing w:after="0" w:line="360" w:lineRule="auto"/>
        <w:ind w:firstLine="643" w:firstLineChars="200"/>
        <w:jc w:val="center"/>
        <w:rPr>
          <w:color w:val="auto"/>
          <w:sz w:val="18"/>
          <w:szCs w:val="18"/>
        </w:rPr>
      </w:pPr>
      <w:r>
        <w:rPr>
          <w:rFonts w:hint="eastAsia"/>
          <w:b/>
          <w:color w:val="auto"/>
          <w:sz w:val="32"/>
          <w:szCs w:val="32"/>
        </w:rPr>
        <w:t>投标文件编制情况</w:t>
      </w:r>
    </w:p>
    <w:p>
      <w:pPr>
        <w:pStyle w:val="5"/>
        <w:spacing w:after="0" w:line="360" w:lineRule="auto"/>
        <w:ind w:firstLine="480" w:firstLineChars="200"/>
        <w:rPr>
          <w:rFonts w:ascii="宋体" w:hAnsi="宋体"/>
          <w:color w:val="auto"/>
          <w:sz w:val="24"/>
          <w:szCs w:val="24"/>
          <w:u w:val="single"/>
        </w:rPr>
      </w:pPr>
      <w:r>
        <w:rPr>
          <w:rFonts w:hint="eastAsia" w:ascii="宋体" w:hAnsi="宋体"/>
          <w:color w:val="auto"/>
          <w:sz w:val="24"/>
          <w:szCs w:val="24"/>
        </w:rPr>
        <w:t>1.投标文件报价编制方式: □自行编制的，编制的负责人：</w:t>
      </w:r>
      <w:r>
        <w:rPr>
          <w:rFonts w:hint="eastAsia" w:ascii="宋体" w:hAnsi="宋体"/>
          <w:color w:val="auto"/>
          <w:sz w:val="24"/>
          <w:szCs w:val="24"/>
          <w:u w:val="single"/>
        </w:rPr>
        <w:t xml:space="preserve"> （盖造价工程师执业专用章或全国建设工程造价员章，执业单位应与投标人一致） </w:t>
      </w:r>
      <w:r>
        <w:rPr>
          <w:rFonts w:hint="eastAsia" w:ascii="宋体" w:hAnsi="宋体"/>
          <w:color w:val="auto"/>
          <w:sz w:val="24"/>
          <w:szCs w:val="24"/>
        </w:rPr>
        <w:t>。□委托编制的，受委托单位</w:t>
      </w:r>
      <w:r>
        <w:rPr>
          <w:rFonts w:hint="eastAsia" w:ascii="宋体" w:hAnsi="宋体"/>
          <w:color w:val="auto"/>
          <w:sz w:val="24"/>
          <w:szCs w:val="24"/>
          <w:u w:val="single"/>
        </w:rPr>
        <w:t xml:space="preserve">                    </w:t>
      </w:r>
      <w:r>
        <w:rPr>
          <w:rFonts w:hint="eastAsia" w:ascii="宋体" w:hAnsi="宋体"/>
          <w:color w:val="auto"/>
          <w:sz w:val="24"/>
          <w:szCs w:val="24"/>
        </w:rPr>
        <w:t>，编制的负责人：</w:t>
      </w:r>
      <w:r>
        <w:rPr>
          <w:rFonts w:hint="eastAsia" w:ascii="宋体" w:hAnsi="宋体"/>
          <w:color w:val="auto"/>
          <w:sz w:val="24"/>
          <w:szCs w:val="24"/>
          <w:u w:val="single"/>
        </w:rPr>
        <w:t xml:space="preserve"> （盖造价工程师执业专用章或全国建设工程造价员章，执业单位应与受委托单位一致） </w:t>
      </w:r>
      <w:r>
        <w:rPr>
          <w:rFonts w:hint="eastAsia" w:ascii="宋体" w:hAnsi="宋体"/>
          <w:color w:val="auto"/>
          <w:sz w:val="24"/>
          <w:szCs w:val="24"/>
        </w:rPr>
        <w:t>。</w:t>
      </w:r>
    </w:p>
    <w:p>
      <w:pPr>
        <w:pStyle w:val="5"/>
        <w:spacing w:after="0" w:line="360" w:lineRule="auto"/>
        <w:ind w:firstLine="480" w:firstLineChars="200"/>
        <w:rPr>
          <w:rFonts w:ascii="宋体" w:hAnsi="宋体"/>
          <w:color w:val="auto"/>
          <w:sz w:val="24"/>
          <w:szCs w:val="24"/>
        </w:rPr>
      </w:pPr>
      <w:r>
        <w:rPr>
          <w:rFonts w:hint="eastAsia" w:ascii="宋体" w:hAnsi="宋体"/>
          <w:color w:val="auto"/>
          <w:sz w:val="24"/>
          <w:szCs w:val="24"/>
        </w:rPr>
        <w:t>2.投标文件加密打包的电脑情况</w:t>
      </w:r>
    </w:p>
    <w:tbl>
      <w:tblPr>
        <w:tblStyle w:val="36"/>
        <w:tblW w:w="8306" w:type="dxa"/>
        <w:tblInd w:w="0" w:type="dxa"/>
        <w:tblLayout w:type="fixed"/>
        <w:tblCellMar>
          <w:top w:w="0" w:type="dxa"/>
          <w:left w:w="108" w:type="dxa"/>
          <w:bottom w:w="0" w:type="dxa"/>
          <w:right w:w="108" w:type="dxa"/>
        </w:tblCellMar>
      </w:tblPr>
      <w:tblGrid>
        <w:gridCol w:w="8306"/>
      </w:tblGrid>
      <w:tr>
        <w:tblPrEx>
          <w:tblCellMar>
            <w:top w:w="0" w:type="dxa"/>
            <w:left w:w="108" w:type="dxa"/>
            <w:bottom w:w="0" w:type="dxa"/>
            <w:right w:w="108" w:type="dxa"/>
          </w:tblCellMar>
        </w:tblPrEx>
        <w:trPr>
          <w:trHeight w:val="2819" w:hRule="atLeast"/>
        </w:trPr>
        <w:tc>
          <w:tcPr>
            <w:tcW w:w="8306" w:type="dxa"/>
            <w:shd w:val="clear" w:color="auto" w:fill="auto"/>
          </w:tcPr>
          <w:p>
            <w:pPr>
              <w:pStyle w:val="5"/>
              <w:spacing w:after="0" w:line="360" w:lineRule="auto"/>
              <w:ind w:firstLine="0"/>
              <w:rPr>
                <w:rFonts w:ascii="宋体" w:hAnsi="宋体"/>
                <w:color w:val="auto"/>
                <w:sz w:val="24"/>
                <w:szCs w:val="24"/>
              </w:rPr>
            </w:pPr>
            <w:r>
              <w:rPr>
                <w:rFonts w:hint="eastAsia" w:ascii="宋体" w:hAnsi="宋体"/>
                <w:color w:val="auto"/>
                <w:sz w:val="24"/>
                <w:szCs w:val="24"/>
              </w:rPr>
              <w:t>投标文件加密打包的电脑     自有    □      外包    □     其他    □</w:t>
            </w:r>
          </w:p>
          <w:p>
            <w:pPr>
              <w:pStyle w:val="5"/>
              <w:spacing w:after="0" w:line="360" w:lineRule="auto"/>
              <w:ind w:firstLine="0"/>
              <w:rPr>
                <w:rFonts w:ascii="宋体" w:hAnsi="宋体"/>
                <w:color w:val="auto"/>
                <w:sz w:val="24"/>
                <w:szCs w:val="24"/>
              </w:rPr>
            </w:pPr>
            <w:r>
              <w:rPr>
                <w:rFonts w:hint="eastAsia" w:ascii="宋体" w:hAnsi="宋体"/>
                <w:color w:val="auto"/>
                <w:sz w:val="24"/>
                <w:szCs w:val="24"/>
              </w:rPr>
              <w:t>电脑类型</w:t>
            </w:r>
          </w:p>
          <w:p>
            <w:pPr>
              <w:pStyle w:val="5"/>
              <w:spacing w:after="0" w:line="360" w:lineRule="auto"/>
              <w:ind w:firstLine="0"/>
              <w:rPr>
                <w:rFonts w:ascii="宋体" w:hAnsi="宋体"/>
                <w:color w:val="auto"/>
                <w:sz w:val="24"/>
                <w:szCs w:val="24"/>
              </w:rPr>
            </w:pPr>
            <w:r>
              <w:rPr>
                <w:rFonts w:hint="eastAsia" w:ascii="宋体" w:hAnsi="宋体"/>
                <w:color w:val="auto"/>
                <w:sz w:val="24"/>
                <w:szCs w:val="24"/>
              </w:rPr>
              <w:t>电脑所属单位</w:t>
            </w:r>
          </w:p>
          <w:p>
            <w:pPr>
              <w:pStyle w:val="5"/>
              <w:spacing w:after="0" w:line="360" w:lineRule="auto"/>
              <w:ind w:firstLine="0"/>
              <w:rPr>
                <w:rFonts w:ascii="宋体" w:hAnsi="宋体"/>
                <w:color w:val="auto"/>
                <w:sz w:val="24"/>
                <w:szCs w:val="24"/>
              </w:rPr>
            </w:pPr>
            <w:r>
              <w:rPr>
                <w:rFonts w:hint="eastAsia" w:ascii="宋体" w:hAnsi="宋体"/>
                <w:color w:val="auto"/>
                <w:sz w:val="24"/>
                <w:szCs w:val="24"/>
              </w:rPr>
              <w:t>电脑所在地址        （如××市××区(县) ××街（路）××号××大厦××房）</w:t>
            </w:r>
          </w:p>
        </w:tc>
      </w:tr>
    </w:tbl>
    <w:p>
      <w:pPr>
        <w:pStyle w:val="5"/>
        <w:spacing w:after="0" w:line="360" w:lineRule="auto"/>
        <w:ind w:left="-2" w:leftChars="-1" w:firstLine="367" w:firstLineChars="175"/>
        <w:jc w:val="left"/>
        <w:rPr>
          <w:rFonts w:ascii="宋体" w:hAnsi="宋体" w:cs="宋体"/>
          <w:color w:val="auto"/>
          <w:szCs w:val="21"/>
        </w:rPr>
      </w:pPr>
      <w:r>
        <w:rPr>
          <w:rFonts w:hint="eastAsia" w:ascii="宋体" w:hAnsi="宋体" w:cs="宋体"/>
          <w:color w:val="auto"/>
          <w:szCs w:val="21"/>
        </w:rPr>
        <w:t>附件四</w:t>
      </w:r>
    </w:p>
    <w:p>
      <w:pPr>
        <w:autoSpaceDE w:val="0"/>
        <w:autoSpaceDN w:val="0"/>
        <w:adjustRightInd w:val="0"/>
        <w:spacing w:line="360" w:lineRule="auto"/>
        <w:jc w:val="center"/>
        <w:rPr>
          <w:rFonts w:ascii="宋体" w:hAnsi="宋体" w:cs="宋体"/>
          <w:b/>
          <w:bCs/>
          <w:color w:val="auto"/>
          <w:sz w:val="36"/>
          <w:szCs w:val="36"/>
        </w:rPr>
      </w:pPr>
    </w:p>
    <w:p>
      <w:pPr>
        <w:autoSpaceDE w:val="0"/>
        <w:autoSpaceDN w:val="0"/>
        <w:adjustRightInd w:val="0"/>
        <w:spacing w:line="360" w:lineRule="auto"/>
        <w:jc w:val="center"/>
        <w:rPr>
          <w:rFonts w:ascii="宋体" w:hAnsi="宋体" w:cs="宋体"/>
          <w:b/>
          <w:bCs/>
          <w:color w:val="auto"/>
          <w:sz w:val="36"/>
          <w:szCs w:val="36"/>
          <w:lang w:val="zh-CN"/>
        </w:rPr>
      </w:pPr>
      <w:r>
        <w:rPr>
          <w:rFonts w:hint="eastAsia" w:ascii="宋体" w:hAnsi="宋体" w:cs="宋体"/>
          <w:b/>
          <w:bCs/>
          <w:color w:val="auto"/>
          <w:sz w:val="36"/>
          <w:szCs w:val="36"/>
        </w:rPr>
        <w:t>施工</w:t>
      </w:r>
      <w:r>
        <w:rPr>
          <w:rFonts w:ascii="宋体" w:hAnsi="宋体" w:cs="宋体"/>
          <w:b/>
          <w:bCs/>
          <w:color w:val="auto"/>
          <w:sz w:val="36"/>
          <w:szCs w:val="36"/>
          <w:lang w:val="zh-CN"/>
        </w:rPr>
        <w:t>项目管理团队人员信息表</w:t>
      </w:r>
    </w:p>
    <w:tbl>
      <w:tblPr>
        <w:tblStyle w:val="36"/>
        <w:tblW w:w="8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358"/>
        <w:gridCol w:w="1376"/>
        <w:gridCol w:w="1462"/>
        <w:gridCol w:w="2783"/>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706" w:type="dxa"/>
            <w:vAlign w:val="center"/>
          </w:tcPr>
          <w:p>
            <w:pPr>
              <w:adjustRightInd w:val="0"/>
              <w:snapToGrid w:val="0"/>
              <w:ind w:left="-63" w:leftChars="-30" w:right="-63" w:rightChars="-30"/>
              <w:jc w:val="center"/>
              <w:rPr>
                <w:rFonts w:ascii="宋体" w:hAnsi="宋体"/>
                <w:color w:val="auto"/>
              </w:rPr>
            </w:pPr>
            <w:r>
              <w:rPr>
                <w:rFonts w:ascii="宋体" w:hAnsi="宋体"/>
                <w:color w:val="auto"/>
              </w:rPr>
              <w:t>序号</w:t>
            </w:r>
          </w:p>
        </w:tc>
        <w:tc>
          <w:tcPr>
            <w:tcW w:w="1358" w:type="dxa"/>
            <w:vAlign w:val="center"/>
          </w:tcPr>
          <w:p>
            <w:pPr>
              <w:adjustRightInd w:val="0"/>
              <w:snapToGrid w:val="0"/>
              <w:ind w:left="-63" w:leftChars="-30" w:right="-63" w:rightChars="-30"/>
              <w:jc w:val="center"/>
              <w:rPr>
                <w:rFonts w:ascii="宋体" w:hAnsi="宋体"/>
                <w:color w:val="auto"/>
              </w:rPr>
            </w:pPr>
            <w:r>
              <w:rPr>
                <w:rFonts w:ascii="宋体" w:hAnsi="宋体"/>
                <w:color w:val="auto"/>
              </w:rPr>
              <w:t>姓名</w:t>
            </w:r>
          </w:p>
        </w:tc>
        <w:tc>
          <w:tcPr>
            <w:tcW w:w="1376" w:type="dxa"/>
            <w:vAlign w:val="center"/>
          </w:tcPr>
          <w:p>
            <w:pPr>
              <w:adjustRightInd w:val="0"/>
              <w:snapToGrid w:val="0"/>
              <w:ind w:left="-63" w:leftChars="-30" w:right="-63" w:rightChars="-30"/>
              <w:jc w:val="center"/>
              <w:rPr>
                <w:rFonts w:ascii="宋体" w:hAnsi="宋体"/>
                <w:color w:val="auto"/>
              </w:rPr>
            </w:pPr>
            <w:r>
              <w:rPr>
                <w:rStyle w:val="113"/>
                <w:rFonts w:hint="default" w:ascii="宋体" w:hAnsi="宋体" w:eastAsia="宋体" w:cs="宋体"/>
                <w:color w:val="auto"/>
                <w:sz w:val="21"/>
                <w:szCs w:val="21"/>
                <w:lang w:bidi="ar"/>
              </w:rPr>
              <w:t>岗位</w:t>
            </w:r>
          </w:p>
        </w:tc>
        <w:tc>
          <w:tcPr>
            <w:tcW w:w="1462" w:type="dxa"/>
            <w:vAlign w:val="center"/>
          </w:tcPr>
          <w:p>
            <w:pPr>
              <w:adjustRightInd w:val="0"/>
              <w:snapToGrid w:val="0"/>
              <w:ind w:left="-63" w:leftChars="-30" w:right="-63" w:rightChars="-30"/>
              <w:jc w:val="center"/>
              <w:rPr>
                <w:rStyle w:val="113"/>
                <w:rFonts w:hint="default" w:ascii="宋体" w:hAnsi="宋体" w:eastAsia="宋体" w:cs="宋体"/>
                <w:color w:val="auto"/>
                <w:sz w:val="21"/>
                <w:szCs w:val="21"/>
                <w:lang w:bidi="ar"/>
              </w:rPr>
            </w:pPr>
            <w:r>
              <w:rPr>
                <w:rStyle w:val="113"/>
                <w:rFonts w:hint="default" w:ascii="宋体" w:hAnsi="宋体" w:eastAsia="宋体" w:cs="宋体"/>
                <w:color w:val="auto"/>
                <w:sz w:val="21"/>
                <w:szCs w:val="21"/>
                <w:lang w:bidi="ar"/>
              </w:rPr>
              <w:t>职称</w:t>
            </w:r>
          </w:p>
        </w:tc>
        <w:tc>
          <w:tcPr>
            <w:tcW w:w="2783" w:type="dxa"/>
            <w:vAlign w:val="center"/>
          </w:tcPr>
          <w:p>
            <w:pPr>
              <w:adjustRightInd w:val="0"/>
              <w:snapToGrid w:val="0"/>
              <w:ind w:left="-63" w:leftChars="-30" w:right="-63" w:rightChars="-30"/>
              <w:jc w:val="center"/>
              <w:rPr>
                <w:rStyle w:val="113"/>
                <w:rFonts w:hint="default" w:ascii="宋体" w:hAnsi="宋体" w:eastAsia="宋体" w:cs="宋体"/>
                <w:color w:val="auto"/>
                <w:sz w:val="21"/>
                <w:szCs w:val="21"/>
                <w:lang w:bidi="ar"/>
              </w:rPr>
            </w:pPr>
            <w:r>
              <w:rPr>
                <w:rStyle w:val="113"/>
                <w:rFonts w:hint="default" w:ascii="宋体" w:hAnsi="宋体" w:eastAsia="宋体" w:cs="宋体"/>
                <w:color w:val="auto"/>
                <w:sz w:val="21"/>
                <w:szCs w:val="21"/>
                <w:lang w:bidi="ar"/>
              </w:rPr>
              <w:t>职称证书或资格证书编号</w:t>
            </w:r>
          </w:p>
        </w:tc>
        <w:tc>
          <w:tcPr>
            <w:tcW w:w="858" w:type="dxa"/>
            <w:vAlign w:val="center"/>
          </w:tcPr>
          <w:p>
            <w:pPr>
              <w:adjustRightInd w:val="0"/>
              <w:snapToGrid w:val="0"/>
              <w:ind w:left="-63" w:leftChars="-30" w:right="-63" w:rightChars="-30"/>
              <w:jc w:val="center"/>
              <w:rPr>
                <w:rStyle w:val="113"/>
                <w:rFonts w:hint="default" w:ascii="宋体" w:hAnsi="宋体" w:eastAsia="宋体" w:cs="宋体"/>
                <w:color w:val="auto"/>
                <w:sz w:val="21"/>
                <w:szCs w:val="21"/>
                <w:lang w:bidi="ar"/>
              </w:rPr>
            </w:pPr>
            <w:r>
              <w:rPr>
                <w:rStyle w:val="113"/>
                <w:rFonts w:hint="default" w:ascii="宋体" w:hAnsi="宋体" w:eastAsia="宋体" w:cs="宋体"/>
                <w:color w:val="auto"/>
                <w:sz w:val="21"/>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6" w:type="dxa"/>
            <w:vAlign w:val="center"/>
          </w:tcPr>
          <w:p>
            <w:pPr>
              <w:adjustRightInd w:val="0"/>
              <w:snapToGrid w:val="0"/>
              <w:ind w:left="-63" w:leftChars="-30" w:right="-63" w:rightChars="-30"/>
              <w:jc w:val="center"/>
              <w:rPr>
                <w:rFonts w:ascii="宋体" w:hAnsi="宋体"/>
                <w:color w:val="auto"/>
              </w:rPr>
            </w:pPr>
          </w:p>
        </w:tc>
        <w:tc>
          <w:tcPr>
            <w:tcW w:w="1358" w:type="dxa"/>
            <w:vAlign w:val="center"/>
          </w:tcPr>
          <w:p>
            <w:pPr>
              <w:adjustRightInd w:val="0"/>
              <w:snapToGrid w:val="0"/>
              <w:ind w:left="-63" w:leftChars="-30" w:right="-63" w:rightChars="-30"/>
              <w:jc w:val="center"/>
              <w:rPr>
                <w:rFonts w:ascii="宋体" w:hAnsi="宋体"/>
                <w:color w:val="auto"/>
              </w:rPr>
            </w:pPr>
          </w:p>
        </w:tc>
        <w:tc>
          <w:tcPr>
            <w:tcW w:w="1376" w:type="dxa"/>
            <w:vAlign w:val="center"/>
          </w:tcPr>
          <w:p>
            <w:pPr>
              <w:adjustRightInd w:val="0"/>
              <w:snapToGrid w:val="0"/>
              <w:ind w:left="-63" w:leftChars="-30" w:right="-63" w:rightChars="-30"/>
              <w:jc w:val="center"/>
              <w:rPr>
                <w:rFonts w:ascii="宋体" w:hAnsi="宋体" w:cs="宋体"/>
                <w:color w:val="auto"/>
                <w:szCs w:val="21"/>
                <w:lang w:bidi="ar"/>
              </w:rPr>
            </w:pPr>
          </w:p>
        </w:tc>
        <w:tc>
          <w:tcPr>
            <w:tcW w:w="1462" w:type="dxa"/>
            <w:vAlign w:val="center"/>
          </w:tcPr>
          <w:p>
            <w:pPr>
              <w:adjustRightInd w:val="0"/>
              <w:snapToGrid w:val="0"/>
              <w:ind w:left="-63" w:leftChars="-30" w:right="-63" w:rightChars="-30"/>
              <w:jc w:val="center"/>
              <w:rPr>
                <w:rFonts w:ascii="宋体" w:hAnsi="宋体"/>
                <w:color w:val="auto"/>
              </w:rPr>
            </w:pPr>
          </w:p>
        </w:tc>
        <w:tc>
          <w:tcPr>
            <w:tcW w:w="2783" w:type="dxa"/>
            <w:vAlign w:val="center"/>
          </w:tcPr>
          <w:p>
            <w:pPr>
              <w:adjustRightInd w:val="0"/>
              <w:snapToGrid w:val="0"/>
              <w:ind w:left="-63" w:leftChars="-30" w:right="-63" w:rightChars="-30"/>
              <w:jc w:val="center"/>
              <w:rPr>
                <w:rFonts w:ascii="宋体" w:hAnsi="宋体"/>
                <w:color w:val="auto"/>
              </w:rPr>
            </w:pPr>
          </w:p>
        </w:tc>
        <w:tc>
          <w:tcPr>
            <w:tcW w:w="858" w:type="dxa"/>
            <w:vAlign w:val="center"/>
          </w:tcPr>
          <w:p>
            <w:pPr>
              <w:adjustRightInd w:val="0"/>
              <w:snapToGrid w:val="0"/>
              <w:ind w:left="-63" w:leftChars="-30" w:right="-63" w:rightChars="-30"/>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06" w:type="dxa"/>
            <w:vAlign w:val="center"/>
          </w:tcPr>
          <w:p>
            <w:pPr>
              <w:adjustRightInd w:val="0"/>
              <w:snapToGrid w:val="0"/>
              <w:ind w:left="-63" w:leftChars="-30" w:right="-63" w:rightChars="-30"/>
              <w:jc w:val="center"/>
              <w:rPr>
                <w:rFonts w:ascii="宋体" w:hAnsi="宋体"/>
                <w:color w:val="auto"/>
              </w:rPr>
            </w:pPr>
          </w:p>
        </w:tc>
        <w:tc>
          <w:tcPr>
            <w:tcW w:w="1358" w:type="dxa"/>
            <w:vAlign w:val="center"/>
          </w:tcPr>
          <w:p>
            <w:pPr>
              <w:adjustRightInd w:val="0"/>
              <w:snapToGrid w:val="0"/>
              <w:ind w:left="-63" w:leftChars="-30" w:right="-63" w:rightChars="-30"/>
              <w:jc w:val="center"/>
              <w:rPr>
                <w:rFonts w:ascii="宋体" w:hAnsi="宋体"/>
                <w:color w:val="auto"/>
              </w:rPr>
            </w:pPr>
          </w:p>
        </w:tc>
        <w:tc>
          <w:tcPr>
            <w:tcW w:w="1376" w:type="dxa"/>
            <w:vAlign w:val="center"/>
          </w:tcPr>
          <w:p>
            <w:pPr>
              <w:adjustRightInd w:val="0"/>
              <w:snapToGrid w:val="0"/>
              <w:ind w:left="-63" w:leftChars="-30" w:right="-63" w:rightChars="-30"/>
              <w:jc w:val="center"/>
              <w:rPr>
                <w:rFonts w:ascii="宋体" w:hAnsi="宋体" w:cs="宋体"/>
                <w:color w:val="auto"/>
                <w:szCs w:val="21"/>
                <w:lang w:bidi="ar"/>
              </w:rPr>
            </w:pPr>
          </w:p>
        </w:tc>
        <w:tc>
          <w:tcPr>
            <w:tcW w:w="1462" w:type="dxa"/>
            <w:vAlign w:val="center"/>
          </w:tcPr>
          <w:p>
            <w:pPr>
              <w:adjustRightInd w:val="0"/>
              <w:snapToGrid w:val="0"/>
              <w:ind w:left="-63" w:leftChars="-30" w:right="-63" w:rightChars="-30"/>
              <w:jc w:val="center"/>
              <w:rPr>
                <w:rFonts w:ascii="宋体" w:hAnsi="宋体"/>
                <w:color w:val="auto"/>
              </w:rPr>
            </w:pPr>
          </w:p>
        </w:tc>
        <w:tc>
          <w:tcPr>
            <w:tcW w:w="2783" w:type="dxa"/>
            <w:vAlign w:val="center"/>
          </w:tcPr>
          <w:p>
            <w:pPr>
              <w:adjustRightInd w:val="0"/>
              <w:snapToGrid w:val="0"/>
              <w:ind w:left="-63" w:leftChars="-30" w:right="-63" w:rightChars="-30"/>
              <w:jc w:val="center"/>
              <w:rPr>
                <w:rFonts w:ascii="宋体" w:hAnsi="宋体"/>
                <w:color w:val="auto"/>
              </w:rPr>
            </w:pPr>
          </w:p>
        </w:tc>
        <w:tc>
          <w:tcPr>
            <w:tcW w:w="858" w:type="dxa"/>
            <w:vAlign w:val="center"/>
          </w:tcPr>
          <w:p>
            <w:pPr>
              <w:adjustRightInd w:val="0"/>
              <w:snapToGrid w:val="0"/>
              <w:ind w:left="-63" w:leftChars="-30" w:right="-63" w:rightChars="-30"/>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06" w:type="dxa"/>
            <w:vAlign w:val="center"/>
          </w:tcPr>
          <w:p>
            <w:pPr>
              <w:adjustRightInd w:val="0"/>
              <w:snapToGrid w:val="0"/>
              <w:ind w:left="-63" w:leftChars="-30" w:right="-63" w:rightChars="-30"/>
              <w:jc w:val="center"/>
              <w:rPr>
                <w:rFonts w:ascii="宋体" w:hAnsi="宋体"/>
                <w:color w:val="auto"/>
              </w:rPr>
            </w:pPr>
          </w:p>
        </w:tc>
        <w:tc>
          <w:tcPr>
            <w:tcW w:w="1358" w:type="dxa"/>
            <w:vAlign w:val="center"/>
          </w:tcPr>
          <w:p>
            <w:pPr>
              <w:adjustRightInd w:val="0"/>
              <w:snapToGrid w:val="0"/>
              <w:ind w:left="-63" w:leftChars="-30" w:right="-63" w:rightChars="-30"/>
              <w:jc w:val="center"/>
              <w:rPr>
                <w:rFonts w:ascii="宋体" w:hAnsi="宋体"/>
                <w:color w:val="auto"/>
              </w:rPr>
            </w:pPr>
          </w:p>
        </w:tc>
        <w:tc>
          <w:tcPr>
            <w:tcW w:w="1376" w:type="dxa"/>
            <w:vAlign w:val="center"/>
          </w:tcPr>
          <w:p>
            <w:pPr>
              <w:adjustRightInd w:val="0"/>
              <w:snapToGrid w:val="0"/>
              <w:ind w:left="-63" w:leftChars="-30" w:right="-63" w:rightChars="-30"/>
              <w:jc w:val="center"/>
              <w:rPr>
                <w:rFonts w:ascii="宋体" w:hAnsi="宋体"/>
                <w:color w:val="auto"/>
              </w:rPr>
            </w:pPr>
          </w:p>
        </w:tc>
        <w:tc>
          <w:tcPr>
            <w:tcW w:w="1462" w:type="dxa"/>
            <w:vAlign w:val="center"/>
          </w:tcPr>
          <w:p>
            <w:pPr>
              <w:adjustRightInd w:val="0"/>
              <w:snapToGrid w:val="0"/>
              <w:ind w:left="-63" w:leftChars="-30" w:right="-63" w:rightChars="-30"/>
              <w:jc w:val="center"/>
              <w:rPr>
                <w:rFonts w:ascii="宋体" w:hAnsi="宋体"/>
                <w:color w:val="auto"/>
              </w:rPr>
            </w:pPr>
          </w:p>
        </w:tc>
        <w:tc>
          <w:tcPr>
            <w:tcW w:w="2783" w:type="dxa"/>
            <w:vAlign w:val="center"/>
          </w:tcPr>
          <w:p>
            <w:pPr>
              <w:adjustRightInd w:val="0"/>
              <w:snapToGrid w:val="0"/>
              <w:ind w:left="-63" w:leftChars="-30" w:right="-63" w:rightChars="-30"/>
              <w:jc w:val="center"/>
              <w:rPr>
                <w:rFonts w:ascii="宋体" w:hAnsi="宋体"/>
                <w:color w:val="auto"/>
              </w:rPr>
            </w:pPr>
          </w:p>
        </w:tc>
        <w:tc>
          <w:tcPr>
            <w:tcW w:w="858" w:type="dxa"/>
            <w:vAlign w:val="center"/>
          </w:tcPr>
          <w:p>
            <w:pPr>
              <w:adjustRightInd w:val="0"/>
              <w:snapToGrid w:val="0"/>
              <w:ind w:left="-63" w:leftChars="-30" w:right="-63" w:rightChars="-30"/>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6" w:type="dxa"/>
            <w:vAlign w:val="center"/>
          </w:tcPr>
          <w:p>
            <w:pPr>
              <w:adjustRightInd w:val="0"/>
              <w:snapToGrid w:val="0"/>
              <w:ind w:left="-63" w:leftChars="-30" w:right="-63" w:rightChars="-30"/>
              <w:jc w:val="center"/>
              <w:rPr>
                <w:rFonts w:ascii="宋体" w:hAnsi="宋体"/>
                <w:color w:val="auto"/>
                <w:szCs w:val="24"/>
              </w:rPr>
            </w:pPr>
          </w:p>
        </w:tc>
        <w:tc>
          <w:tcPr>
            <w:tcW w:w="1358" w:type="dxa"/>
            <w:vAlign w:val="center"/>
          </w:tcPr>
          <w:p>
            <w:pPr>
              <w:adjustRightInd w:val="0"/>
              <w:snapToGrid w:val="0"/>
              <w:ind w:left="-63" w:leftChars="-30" w:right="-63" w:rightChars="-30"/>
              <w:jc w:val="center"/>
              <w:rPr>
                <w:rFonts w:ascii="宋体" w:hAnsi="宋体"/>
                <w:color w:val="auto"/>
                <w:szCs w:val="24"/>
              </w:rPr>
            </w:pPr>
          </w:p>
        </w:tc>
        <w:tc>
          <w:tcPr>
            <w:tcW w:w="1376" w:type="dxa"/>
            <w:vAlign w:val="center"/>
          </w:tcPr>
          <w:p>
            <w:pPr>
              <w:adjustRightInd w:val="0"/>
              <w:snapToGrid w:val="0"/>
              <w:ind w:left="-63" w:leftChars="-30" w:right="-63" w:rightChars="-30"/>
              <w:jc w:val="center"/>
              <w:rPr>
                <w:rFonts w:ascii="宋体" w:hAnsi="宋体"/>
                <w:color w:val="auto"/>
              </w:rPr>
            </w:pPr>
          </w:p>
        </w:tc>
        <w:tc>
          <w:tcPr>
            <w:tcW w:w="1462" w:type="dxa"/>
            <w:vAlign w:val="center"/>
          </w:tcPr>
          <w:p>
            <w:pPr>
              <w:adjustRightInd w:val="0"/>
              <w:snapToGrid w:val="0"/>
              <w:ind w:left="-63" w:leftChars="-30" w:right="-63" w:rightChars="-30"/>
              <w:jc w:val="center"/>
              <w:rPr>
                <w:rFonts w:ascii="宋体" w:hAnsi="宋体"/>
                <w:color w:val="auto"/>
                <w:szCs w:val="24"/>
              </w:rPr>
            </w:pPr>
          </w:p>
        </w:tc>
        <w:tc>
          <w:tcPr>
            <w:tcW w:w="2783" w:type="dxa"/>
            <w:vAlign w:val="center"/>
          </w:tcPr>
          <w:p>
            <w:pPr>
              <w:adjustRightInd w:val="0"/>
              <w:snapToGrid w:val="0"/>
              <w:ind w:left="-63" w:leftChars="-30" w:right="-63" w:rightChars="-30"/>
              <w:jc w:val="center"/>
              <w:rPr>
                <w:rFonts w:ascii="宋体" w:hAnsi="宋体"/>
                <w:color w:val="auto"/>
                <w:szCs w:val="24"/>
              </w:rPr>
            </w:pPr>
          </w:p>
        </w:tc>
        <w:tc>
          <w:tcPr>
            <w:tcW w:w="858" w:type="dxa"/>
            <w:vAlign w:val="center"/>
          </w:tcPr>
          <w:p>
            <w:pPr>
              <w:adjustRightInd w:val="0"/>
              <w:snapToGrid w:val="0"/>
              <w:ind w:left="-63" w:leftChars="-30" w:right="-63" w:rightChars="-30"/>
              <w:jc w:val="center"/>
              <w:rPr>
                <w:rFonts w:ascii="宋体" w:hAnsi="宋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6" w:type="dxa"/>
            <w:vAlign w:val="center"/>
          </w:tcPr>
          <w:p>
            <w:pPr>
              <w:adjustRightInd w:val="0"/>
              <w:snapToGrid w:val="0"/>
              <w:ind w:left="-63" w:leftChars="-30" w:right="-63" w:rightChars="-30"/>
              <w:jc w:val="center"/>
              <w:rPr>
                <w:rFonts w:ascii="宋体" w:hAnsi="宋体"/>
                <w:color w:val="auto"/>
                <w:szCs w:val="24"/>
              </w:rPr>
            </w:pPr>
          </w:p>
        </w:tc>
        <w:tc>
          <w:tcPr>
            <w:tcW w:w="1358" w:type="dxa"/>
            <w:vAlign w:val="center"/>
          </w:tcPr>
          <w:p>
            <w:pPr>
              <w:adjustRightInd w:val="0"/>
              <w:snapToGrid w:val="0"/>
              <w:ind w:left="-63" w:leftChars="-30" w:right="-63" w:rightChars="-30"/>
              <w:jc w:val="center"/>
              <w:rPr>
                <w:rFonts w:ascii="宋体" w:hAnsi="宋体"/>
                <w:color w:val="auto"/>
                <w:szCs w:val="24"/>
              </w:rPr>
            </w:pPr>
          </w:p>
        </w:tc>
        <w:tc>
          <w:tcPr>
            <w:tcW w:w="1376" w:type="dxa"/>
            <w:vAlign w:val="center"/>
          </w:tcPr>
          <w:p>
            <w:pPr>
              <w:adjustRightInd w:val="0"/>
              <w:snapToGrid w:val="0"/>
              <w:ind w:left="-63" w:leftChars="-30" w:right="-63" w:rightChars="-30"/>
              <w:jc w:val="center"/>
              <w:rPr>
                <w:rFonts w:ascii="宋体" w:hAnsi="宋体"/>
                <w:color w:val="auto"/>
              </w:rPr>
            </w:pPr>
          </w:p>
        </w:tc>
        <w:tc>
          <w:tcPr>
            <w:tcW w:w="1462" w:type="dxa"/>
            <w:vAlign w:val="center"/>
          </w:tcPr>
          <w:p>
            <w:pPr>
              <w:adjustRightInd w:val="0"/>
              <w:snapToGrid w:val="0"/>
              <w:ind w:left="-63" w:leftChars="-30" w:right="-63" w:rightChars="-30"/>
              <w:jc w:val="center"/>
              <w:rPr>
                <w:rFonts w:ascii="宋体" w:hAnsi="宋体"/>
                <w:color w:val="auto"/>
                <w:szCs w:val="24"/>
              </w:rPr>
            </w:pPr>
          </w:p>
        </w:tc>
        <w:tc>
          <w:tcPr>
            <w:tcW w:w="2783" w:type="dxa"/>
            <w:vAlign w:val="center"/>
          </w:tcPr>
          <w:p>
            <w:pPr>
              <w:adjustRightInd w:val="0"/>
              <w:snapToGrid w:val="0"/>
              <w:ind w:left="-63" w:leftChars="-30" w:right="-63" w:rightChars="-30"/>
              <w:jc w:val="center"/>
              <w:rPr>
                <w:rFonts w:ascii="宋体" w:hAnsi="宋体"/>
                <w:color w:val="auto"/>
                <w:szCs w:val="24"/>
              </w:rPr>
            </w:pPr>
          </w:p>
        </w:tc>
        <w:tc>
          <w:tcPr>
            <w:tcW w:w="858" w:type="dxa"/>
            <w:vAlign w:val="center"/>
          </w:tcPr>
          <w:p>
            <w:pPr>
              <w:adjustRightInd w:val="0"/>
              <w:snapToGrid w:val="0"/>
              <w:ind w:left="-63" w:leftChars="-30" w:right="-63" w:rightChars="-30"/>
              <w:jc w:val="center"/>
              <w:rPr>
                <w:rFonts w:ascii="宋体" w:hAnsi="宋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6" w:type="dxa"/>
            <w:vAlign w:val="center"/>
          </w:tcPr>
          <w:p>
            <w:pPr>
              <w:adjustRightInd w:val="0"/>
              <w:snapToGrid w:val="0"/>
              <w:ind w:left="-63" w:leftChars="-30" w:right="-63" w:rightChars="-30"/>
              <w:jc w:val="center"/>
              <w:rPr>
                <w:rFonts w:ascii="宋体" w:hAnsi="宋体"/>
                <w:color w:val="auto"/>
                <w:szCs w:val="24"/>
              </w:rPr>
            </w:pPr>
          </w:p>
        </w:tc>
        <w:tc>
          <w:tcPr>
            <w:tcW w:w="1358" w:type="dxa"/>
            <w:vAlign w:val="center"/>
          </w:tcPr>
          <w:p>
            <w:pPr>
              <w:adjustRightInd w:val="0"/>
              <w:snapToGrid w:val="0"/>
              <w:ind w:left="-63" w:leftChars="-30" w:right="-63" w:rightChars="-30"/>
              <w:jc w:val="center"/>
              <w:rPr>
                <w:rFonts w:ascii="宋体" w:hAnsi="宋体"/>
                <w:color w:val="auto"/>
                <w:szCs w:val="24"/>
              </w:rPr>
            </w:pPr>
          </w:p>
        </w:tc>
        <w:tc>
          <w:tcPr>
            <w:tcW w:w="1376" w:type="dxa"/>
            <w:vAlign w:val="center"/>
          </w:tcPr>
          <w:p>
            <w:pPr>
              <w:adjustRightInd w:val="0"/>
              <w:snapToGrid w:val="0"/>
              <w:ind w:left="-63" w:leftChars="-30" w:right="-63" w:rightChars="-30"/>
              <w:jc w:val="center"/>
              <w:rPr>
                <w:rFonts w:ascii="宋体" w:hAnsi="宋体"/>
                <w:color w:val="auto"/>
                <w:szCs w:val="24"/>
              </w:rPr>
            </w:pPr>
          </w:p>
        </w:tc>
        <w:tc>
          <w:tcPr>
            <w:tcW w:w="1462" w:type="dxa"/>
            <w:vAlign w:val="center"/>
          </w:tcPr>
          <w:p>
            <w:pPr>
              <w:adjustRightInd w:val="0"/>
              <w:snapToGrid w:val="0"/>
              <w:ind w:left="-63" w:leftChars="-30" w:right="-63" w:rightChars="-30"/>
              <w:jc w:val="center"/>
              <w:rPr>
                <w:rFonts w:ascii="宋体" w:hAnsi="宋体"/>
                <w:color w:val="auto"/>
                <w:szCs w:val="24"/>
              </w:rPr>
            </w:pPr>
          </w:p>
        </w:tc>
        <w:tc>
          <w:tcPr>
            <w:tcW w:w="2783" w:type="dxa"/>
            <w:vAlign w:val="center"/>
          </w:tcPr>
          <w:p>
            <w:pPr>
              <w:adjustRightInd w:val="0"/>
              <w:snapToGrid w:val="0"/>
              <w:ind w:left="-63" w:leftChars="-30" w:right="-63" w:rightChars="-30"/>
              <w:jc w:val="center"/>
              <w:rPr>
                <w:rFonts w:ascii="宋体" w:hAnsi="宋体"/>
                <w:color w:val="auto"/>
                <w:szCs w:val="24"/>
              </w:rPr>
            </w:pPr>
          </w:p>
        </w:tc>
        <w:tc>
          <w:tcPr>
            <w:tcW w:w="858" w:type="dxa"/>
            <w:vAlign w:val="center"/>
          </w:tcPr>
          <w:p>
            <w:pPr>
              <w:adjustRightInd w:val="0"/>
              <w:snapToGrid w:val="0"/>
              <w:ind w:left="-63" w:leftChars="-30" w:right="-63" w:rightChars="-30"/>
              <w:jc w:val="center"/>
              <w:rPr>
                <w:rFonts w:ascii="宋体" w:hAnsi="宋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6" w:type="dxa"/>
            <w:vAlign w:val="center"/>
          </w:tcPr>
          <w:p>
            <w:pPr>
              <w:adjustRightInd w:val="0"/>
              <w:snapToGrid w:val="0"/>
              <w:ind w:left="-63" w:leftChars="-30" w:right="-63" w:rightChars="-30"/>
              <w:jc w:val="center"/>
              <w:rPr>
                <w:rFonts w:ascii="宋体" w:hAnsi="宋体"/>
                <w:color w:val="auto"/>
                <w:szCs w:val="24"/>
              </w:rPr>
            </w:pPr>
          </w:p>
        </w:tc>
        <w:tc>
          <w:tcPr>
            <w:tcW w:w="1358" w:type="dxa"/>
            <w:vAlign w:val="center"/>
          </w:tcPr>
          <w:p>
            <w:pPr>
              <w:adjustRightInd w:val="0"/>
              <w:snapToGrid w:val="0"/>
              <w:ind w:left="-63" w:leftChars="-30" w:right="-63" w:rightChars="-30"/>
              <w:jc w:val="center"/>
              <w:rPr>
                <w:rFonts w:ascii="宋体" w:hAnsi="宋体"/>
                <w:color w:val="auto"/>
                <w:szCs w:val="24"/>
              </w:rPr>
            </w:pPr>
          </w:p>
        </w:tc>
        <w:tc>
          <w:tcPr>
            <w:tcW w:w="1376" w:type="dxa"/>
            <w:vAlign w:val="center"/>
          </w:tcPr>
          <w:p>
            <w:pPr>
              <w:adjustRightInd w:val="0"/>
              <w:snapToGrid w:val="0"/>
              <w:ind w:left="-63" w:leftChars="-30" w:right="-63" w:rightChars="-30"/>
              <w:jc w:val="center"/>
              <w:rPr>
                <w:rFonts w:ascii="宋体" w:hAnsi="宋体"/>
                <w:color w:val="auto"/>
                <w:szCs w:val="24"/>
              </w:rPr>
            </w:pPr>
          </w:p>
        </w:tc>
        <w:tc>
          <w:tcPr>
            <w:tcW w:w="1462" w:type="dxa"/>
            <w:vAlign w:val="center"/>
          </w:tcPr>
          <w:p>
            <w:pPr>
              <w:adjustRightInd w:val="0"/>
              <w:snapToGrid w:val="0"/>
              <w:ind w:left="-63" w:leftChars="-30" w:right="-63" w:rightChars="-30"/>
              <w:jc w:val="center"/>
              <w:rPr>
                <w:rFonts w:ascii="宋体" w:hAnsi="宋体"/>
                <w:color w:val="auto"/>
                <w:szCs w:val="24"/>
              </w:rPr>
            </w:pPr>
          </w:p>
        </w:tc>
        <w:tc>
          <w:tcPr>
            <w:tcW w:w="2783" w:type="dxa"/>
            <w:vAlign w:val="center"/>
          </w:tcPr>
          <w:p>
            <w:pPr>
              <w:adjustRightInd w:val="0"/>
              <w:snapToGrid w:val="0"/>
              <w:ind w:left="-63" w:leftChars="-30" w:right="-63" w:rightChars="-30"/>
              <w:jc w:val="center"/>
              <w:rPr>
                <w:rFonts w:ascii="宋体" w:hAnsi="宋体"/>
                <w:color w:val="auto"/>
                <w:szCs w:val="24"/>
              </w:rPr>
            </w:pPr>
          </w:p>
        </w:tc>
        <w:tc>
          <w:tcPr>
            <w:tcW w:w="858" w:type="dxa"/>
            <w:vAlign w:val="center"/>
          </w:tcPr>
          <w:p>
            <w:pPr>
              <w:adjustRightInd w:val="0"/>
              <w:snapToGrid w:val="0"/>
              <w:ind w:left="-63" w:leftChars="-30" w:right="-63" w:rightChars="-30"/>
              <w:jc w:val="center"/>
              <w:rPr>
                <w:rFonts w:ascii="宋体" w:hAnsi="宋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6" w:type="dxa"/>
            <w:vAlign w:val="center"/>
          </w:tcPr>
          <w:p>
            <w:pPr>
              <w:adjustRightInd w:val="0"/>
              <w:snapToGrid w:val="0"/>
              <w:ind w:left="-63" w:leftChars="-30" w:right="-63" w:rightChars="-30"/>
              <w:jc w:val="center"/>
              <w:rPr>
                <w:rFonts w:ascii="宋体" w:hAnsi="宋体"/>
                <w:color w:val="auto"/>
                <w:szCs w:val="24"/>
              </w:rPr>
            </w:pPr>
          </w:p>
        </w:tc>
        <w:tc>
          <w:tcPr>
            <w:tcW w:w="1358" w:type="dxa"/>
            <w:vAlign w:val="center"/>
          </w:tcPr>
          <w:p>
            <w:pPr>
              <w:adjustRightInd w:val="0"/>
              <w:snapToGrid w:val="0"/>
              <w:ind w:left="-63" w:leftChars="-30" w:right="-63" w:rightChars="-30"/>
              <w:jc w:val="center"/>
              <w:rPr>
                <w:rFonts w:ascii="宋体" w:hAnsi="宋体"/>
                <w:color w:val="auto"/>
                <w:szCs w:val="24"/>
              </w:rPr>
            </w:pPr>
          </w:p>
        </w:tc>
        <w:tc>
          <w:tcPr>
            <w:tcW w:w="1376" w:type="dxa"/>
            <w:vAlign w:val="center"/>
          </w:tcPr>
          <w:p>
            <w:pPr>
              <w:adjustRightInd w:val="0"/>
              <w:snapToGrid w:val="0"/>
              <w:ind w:left="-63" w:leftChars="-30" w:right="-63" w:rightChars="-30"/>
              <w:jc w:val="center"/>
              <w:rPr>
                <w:rFonts w:ascii="宋体" w:hAnsi="宋体"/>
                <w:color w:val="auto"/>
                <w:szCs w:val="24"/>
              </w:rPr>
            </w:pPr>
          </w:p>
        </w:tc>
        <w:tc>
          <w:tcPr>
            <w:tcW w:w="1462" w:type="dxa"/>
            <w:vAlign w:val="center"/>
          </w:tcPr>
          <w:p>
            <w:pPr>
              <w:adjustRightInd w:val="0"/>
              <w:snapToGrid w:val="0"/>
              <w:ind w:left="-63" w:leftChars="-30" w:right="-63" w:rightChars="-30"/>
              <w:jc w:val="center"/>
              <w:rPr>
                <w:rFonts w:ascii="宋体" w:hAnsi="宋体"/>
                <w:color w:val="auto"/>
                <w:szCs w:val="24"/>
              </w:rPr>
            </w:pPr>
          </w:p>
        </w:tc>
        <w:tc>
          <w:tcPr>
            <w:tcW w:w="2783" w:type="dxa"/>
            <w:vAlign w:val="center"/>
          </w:tcPr>
          <w:p>
            <w:pPr>
              <w:adjustRightInd w:val="0"/>
              <w:snapToGrid w:val="0"/>
              <w:ind w:left="-63" w:leftChars="-30" w:right="-63" w:rightChars="-30"/>
              <w:jc w:val="center"/>
              <w:rPr>
                <w:rFonts w:ascii="宋体" w:hAnsi="宋体"/>
                <w:color w:val="auto"/>
                <w:szCs w:val="24"/>
              </w:rPr>
            </w:pPr>
          </w:p>
        </w:tc>
        <w:tc>
          <w:tcPr>
            <w:tcW w:w="858" w:type="dxa"/>
            <w:vAlign w:val="center"/>
          </w:tcPr>
          <w:p>
            <w:pPr>
              <w:adjustRightInd w:val="0"/>
              <w:snapToGrid w:val="0"/>
              <w:ind w:left="-63" w:leftChars="-30" w:right="-63" w:rightChars="-30"/>
              <w:jc w:val="center"/>
              <w:rPr>
                <w:rFonts w:ascii="宋体" w:hAnsi="宋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6" w:type="dxa"/>
            <w:vAlign w:val="center"/>
          </w:tcPr>
          <w:p>
            <w:pPr>
              <w:adjustRightInd w:val="0"/>
              <w:snapToGrid w:val="0"/>
              <w:ind w:left="-63" w:leftChars="-30" w:right="-63" w:rightChars="-30"/>
              <w:jc w:val="center"/>
              <w:rPr>
                <w:rFonts w:ascii="宋体" w:hAnsi="宋体"/>
                <w:color w:val="auto"/>
                <w:szCs w:val="24"/>
              </w:rPr>
            </w:pPr>
          </w:p>
        </w:tc>
        <w:tc>
          <w:tcPr>
            <w:tcW w:w="1358" w:type="dxa"/>
            <w:vAlign w:val="center"/>
          </w:tcPr>
          <w:p>
            <w:pPr>
              <w:adjustRightInd w:val="0"/>
              <w:snapToGrid w:val="0"/>
              <w:ind w:left="-63" w:leftChars="-30" w:right="-63" w:rightChars="-30"/>
              <w:jc w:val="center"/>
              <w:rPr>
                <w:rFonts w:ascii="宋体" w:hAnsi="宋体"/>
                <w:color w:val="auto"/>
                <w:szCs w:val="24"/>
              </w:rPr>
            </w:pPr>
          </w:p>
        </w:tc>
        <w:tc>
          <w:tcPr>
            <w:tcW w:w="1376" w:type="dxa"/>
            <w:vAlign w:val="center"/>
          </w:tcPr>
          <w:p>
            <w:pPr>
              <w:adjustRightInd w:val="0"/>
              <w:snapToGrid w:val="0"/>
              <w:ind w:left="-63" w:leftChars="-30" w:right="-63" w:rightChars="-30"/>
              <w:jc w:val="center"/>
              <w:rPr>
                <w:rFonts w:ascii="宋体" w:hAnsi="宋体"/>
                <w:color w:val="auto"/>
                <w:szCs w:val="24"/>
              </w:rPr>
            </w:pPr>
          </w:p>
        </w:tc>
        <w:tc>
          <w:tcPr>
            <w:tcW w:w="1462" w:type="dxa"/>
            <w:vAlign w:val="center"/>
          </w:tcPr>
          <w:p>
            <w:pPr>
              <w:adjustRightInd w:val="0"/>
              <w:snapToGrid w:val="0"/>
              <w:ind w:left="-63" w:leftChars="-30" w:right="-63" w:rightChars="-30"/>
              <w:jc w:val="center"/>
              <w:rPr>
                <w:rFonts w:ascii="宋体" w:hAnsi="宋体"/>
                <w:color w:val="auto"/>
                <w:szCs w:val="24"/>
              </w:rPr>
            </w:pPr>
          </w:p>
        </w:tc>
        <w:tc>
          <w:tcPr>
            <w:tcW w:w="2783" w:type="dxa"/>
            <w:vAlign w:val="center"/>
          </w:tcPr>
          <w:p>
            <w:pPr>
              <w:adjustRightInd w:val="0"/>
              <w:snapToGrid w:val="0"/>
              <w:ind w:left="-63" w:leftChars="-30" w:right="-63" w:rightChars="-30"/>
              <w:jc w:val="center"/>
              <w:rPr>
                <w:rFonts w:ascii="宋体" w:hAnsi="宋体"/>
                <w:color w:val="auto"/>
                <w:szCs w:val="24"/>
              </w:rPr>
            </w:pPr>
          </w:p>
        </w:tc>
        <w:tc>
          <w:tcPr>
            <w:tcW w:w="858" w:type="dxa"/>
            <w:vAlign w:val="center"/>
          </w:tcPr>
          <w:p>
            <w:pPr>
              <w:adjustRightInd w:val="0"/>
              <w:snapToGrid w:val="0"/>
              <w:ind w:left="-63" w:leftChars="-30" w:right="-63" w:rightChars="-30"/>
              <w:jc w:val="center"/>
              <w:rPr>
                <w:rFonts w:ascii="宋体" w:hAnsi="宋体"/>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06" w:type="dxa"/>
            <w:vAlign w:val="center"/>
          </w:tcPr>
          <w:p>
            <w:pPr>
              <w:adjustRightInd w:val="0"/>
              <w:snapToGrid w:val="0"/>
              <w:ind w:left="-63" w:leftChars="-30" w:right="-63" w:rightChars="-30"/>
              <w:jc w:val="center"/>
              <w:rPr>
                <w:rFonts w:ascii="宋体" w:hAnsi="宋体"/>
                <w:color w:val="auto"/>
              </w:rPr>
            </w:pPr>
          </w:p>
        </w:tc>
        <w:tc>
          <w:tcPr>
            <w:tcW w:w="1358" w:type="dxa"/>
            <w:vAlign w:val="center"/>
          </w:tcPr>
          <w:p>
            <w:pPr>
              <w:adjustRightInd w:val="0"/>
              <w:snapToGrid w:val="0"/>
              <w:ind w:left="-63" w:leftChars="-30" w:right="-63" w:rightChars="-30"/>
              <w:jc w:val="center"/>
              <w:rPr>
                <w:rFonts w:ascii="宋体" w:hAnsi="宋体"/>
                <w:color w:val="auto"/>
              </w:rPr>
            </w:pPr>
          </w:p>
        </w:tc>
        <w:tc>
          <w:tcPr>
            <w:tcW w:w="1376" w:type="dxa"/>
            <w:vAlign w:val="center"/>
          </w:tcPr>
          <w:p>
            <w:pPr>
              <w:adjustRightInd w:val="0"/>
              <w:snapToGrid w:val="0"/>
              <w:ind w:left="-63" w:leftChars="-30" w:right="-63" w:rightChars="-30"/>
              <w:jc w:val="center"/>
              <w:rPr>
                <w:rFonts w:ascii="宋体" w:hAnsi="宋体"/>
                <w:color w:val="auto"/>
              </w:rPr>
            </w:pPr>
          </w:p>
        </w:tc>
        <w:tc>
          <w:tcPr>
            <w:tcW w:w="1462" w:type="dxa"/>
            <w:vAlign w:val="center"/>
          </w:tcPr>
          <w:p>
            <w:pPr>
              <w:adjustRightInd w:val="0"/>
              <w:snapToGrid w:val="0"/>
              <w:ind w:left="-63" w:leftChars="-30" w:right="-63" w:rightChars="-30"/>
              <w:jc w:val="center"/>
              <w:rPr>
                <w:rFonts w:ascii="宋体" w:hAnsi="宋体"/>
                <w:color w:val="auto"/>
              </w:rPr>
            </w:pPr>
          </w:p>
        </w:tc>
        <w:tc>
          <w:tcPr>
            <w:tcW w:w="2783" w:type="dxa"/>
            <w:vAlign w:val="center"/>
          </w:tcPr>
          <w:p>
            <w:pPr>
              <w:adjustRightInd w:val="0"/>
              <w:snapToGrid w:val="0"/>
              <w:ind w:left="-63" w:leftChars="-30" w:right="-63" w:rightChars="-30"/>
              <w:jc w:val="center"/>
              <w:rPr>
                <w:rFonts w:ascii="宋体" w:hAnsi="宋体"/>
                <w:color w:val="auto"/>
              </w:rPr>
            </w:pPr>
          </w:p>
        </w:tc>
        <w:tc>
          <w:tcPr>
            <w:tcW w:w="858" w:type="dxa"/>
            <w:vAlign w:val="center"/>
          </w:tcPr>
          <w:p>
            <w:pPr>
              <w:adjustRightInd w:val="0"/>
              <w:snapToGrid w:val="0"/>
              <w:ind w:left="-63" w:leftChars="-30" w:right="-63" w:rightChars="-30"/>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06" w:type="dxa"/>
            <w:vAlign w:val="center"/>
          </w:tcPr>
          <w:p>
            <w:pPr>
              <w:adjustRightInd w:val="0"/>
              <w:snapToGrid w:val="0"/>
              <w:ind w:left="-63" w:leftChars="-30" w:right="-63" w:rightChars="-30"/>
              <w:jc w:val="center"/>
              <w:rPr>
                <w:rFonts w:ascii="宋体" w:hAnsi="宋体"/>
                <w:color w:val="auto"/>
              </w:rPr>
            </w:pPr>
          </w:p>
        </w:tc>
        <w:tc>
          <w:tcPr>
            <w:tcW w:w="1358" w:type="dxa"/>
            <w:vAlign w:val="center"/>
          </w:tcPr>
          <w:p>
            <w:pPr>
              <w:adjustRightInd w:val="0"/>
              <w:snapToGrid w:val="0"/>
              <w:ind w:left="-63" w:leftChars="-30" w:right="-63" w:rightChars="-30"/>
              <w:jc w:val="center"/>
              <w:rPr>
                <w:rFonts w:ascii="宋体" w:hAnsi="宋体"/>
                <w:color w:val="auto"/>
              </w:rPr>
            </w:pPr>
          </w:p>
        </w:tc>
        <w:tc>
          <w:tcPr>
            <w:tcW w:w="1376" w:type="dxa"/>
            <w:vAlign w:val="center"/>
          </w:tcPr>
          <w:p>
            <w:pPr>
              <w:adjustRightInd w:val="0"/>
              <w:snapToGrid w:val="0"/>
              <w:ind w:left="-63" w:leftChars="-30" w:right="-63" w:rightChars="-30"/>
              <w:jc w:val="center"/>
              <w:rPr>
                <w:rFonts w:ascii="宋体" w:hAnsi="宋体"/>
                <w:color w:val="auto"/>
              </w:rPr>
            </w:pPr>
          </w:p>
        </w:tc>
        <w:tc>
          <w:tcPr>
            <w:tcW w:w="1462" w:type="dxa"/>
            <w:vAlign w:val="center"/>
          </w:tcPr>
          <w:p>
            <w:pPr>
              <w:adjustRightInd w:val="0"/>
              <w:snapToGrid w:val="0"/>
              <w:ind w:left="-63" w:leftChars="-30" w:right="-63" w:rightChars="-30"/>
              <w:jc w:val="center"/>
              <w:rPr>
                <w:rFonts w:ascii="宋体" w:hAnsi="宋体"/>
                <w:color w:val="auto"/>
              </w:rPr>
            </w:pPr>
          </w:p>
        </w:tc>
        <w:tc>
          <w:tcPr>
            <w:tcW w:w="2783" w:type="dxa"/>
            <w:vAlign w:val="center"/>
          </w:tcPr>
          <w:p>
            <w:pPr>
              <w:adjustRightInd w:val="0"/>
              <w:snapToGrid w:val="0"/>
              <w:ind w:left="-63" w:leftChars="-30" w:right="-63" w:rightChars="-30"/>
              <w:jc w:val="center"/>
              <w:rPr>
                <w:rFonts w:ascii="宋体" w:hAnsi="宋体"/>
                <w:color w:val="auto"/>
              </w:rPr>
            </w:pPr>
          </w:p>
        </w:tc>
        <w:tc>
          <w:tcPr>
            <w:tcW w:w="858" w:type="dxa"/>
            <w:vAlign w:val="center"/>
          </w:tcPr>
          <w:p>
            <w:pPr>
              <w:adjustRightInd w:val="0"/>
              <w:snapToGrid w:val="0"/>
              <w:ind w:left="-63" w:leftChars="-30" w:right="-63" w:rightChars="-30"/>
              <w:jc w:val="center"/>
              <w:rPr>
                <w:rFonts w:ascii="宋体" w:hAnsi="宋体"/>
                <w:color w:val="auto"/>
              </w:rPr>
            </w:pPr>
          </w:p>
        </w:tc>
      </w:tr>
    </w:tbl>
    <w:p>
      <w:pPr>
        <w:autoSpaceDE w:val="0"/>
        <w:autoSpaceDN w:val="0"/>
        <w:adjustRightInd w:val="0"/>
        <w:rPr>
          <w:rStyle w:val="113"/>
          <w:rFonts w:hint="default" w:ascii="宋体" w:hAnsi="宋体" w:eastAsia="宋体" w:cs="宋体"/>
          <w:color w:val="auto"/>
          <w:sz w:val="21"/>
          <w:szCs w:val="21"/>
          <w:lang w:bidi="ar"/>
        </w:rPr>
      </w:pPr>
      <w:r>
        <w:rPr>
          <w:rStyle w:val="113"/>
          <w:rFonts w:hint="default" w:ascii="宋体" w:hAnsi="宋体" w:eastAsia="宋体" w:cs="宋体"/>
          <w:color w:val="auto"/>
          <w:sz w:val="21"/>
          <w:szCs w:val="21"/>
          <w:lang w:bidi="ar"/>
        </w:rPr>
        <w:t>备注：</w:t>
      </w:r>
    </w:p>
    <w:p>
      <w:pPr>
        <w:autoSpaceDE w:val="0"/>
        <w:autoSpaceDN w:val="0"/>
        <w:adjustRightInd w:val="0"/>
        <w:rPr>
          <w:rStyle w:val="113"/>
          <w:rFonts w:hint="default" w:ascii="宋体" w:hAnsi="宋体" w:eastAsia="宋体" w:cs="宋体"/>
          <w:color w:val="auto"/>
          <w:sz w:val="21"/>
          <w:szCs w:val="21"/>
          <w:lang w:bidi="ar"/>
        </w:rPr>
      </w:pPr>
      <w:r>
        <w:rPr>
          <w:rStyle w:val="113"/>
          <w:rFonts w:hint="default" w:ascii="宋体" w:hAnsi="宋体" w:eastAsia="宋体" w:cs="宋体"/>
          <w:color w:val="auto"/>
          <w:sz w:val="21"/>
          <w:szCs w:val="21"/>
          <w:lang w:bidi="ar"/>
        </w:rPr>
        <w:t>1、“岗位”要求（除项目负责人、专职安全员外）由投标人根据项目管理需要结合自身实力在本表中明确。以上项目管理团队人员信息将由交易系统提取后供各相关单位在履约时比对、查核。</w:t>
      </w:r>
    </w:p>
    <w:p>
      <w:pPr>
        <w:autoSpaceDE w:val="0"/>
        <w:autoSpaceDN w:val="0"/>
        <w:adjustRightInd w:val="0"/>
        <w:rPr>
          <w:rStyle w:val="113"/>
          <w:rFonts w:hint="default" w:ascii="宋体" w:hAnsi="宋体" w:eastAsia="宋体" w:cs="宋体"/>
          <w:color w:val="auto"/>
          <w:sz w:val="21"/>
          <w:szCs w:val="21"/>
          <w:lang w:bidi="ar"/>
        </w:rPr>
      </w:pPr>
      <w:r>
        <w:rPr>
          <w:rStyle w:val="113"/>
          <w:rFonts w:hint="default" w:ascii="宋体" w:hAnsi="宋体" w:eastAsia="宋体" w:cs="宋体"/>
          <w:color w:val="auto"/>
          <w:sz w:val="21"/>
          <w:szCs w:val="21"/>
          <w:lang w:bidi="ar"/>
        </w:rPr>
        <w:t>2、投标人应根据本表中的“岗位”要求，填写本表“岗位”栏和相关人员“姓名”、“职称”和“职称证书编号”栏。“职称”栏填“高级”、“中级”、“初级”或“无”；无职称证书或资格证书的，“职称证书或资格证书编号”栏填“无”；同时具备职称证书和资格证书的，“职称证书或资格证书编号”栏填职称证书编号。投标人完整填写相关表格内容后，方可递交投标文件。</w:t>
      </w:r>
    </w:p>
    <w:p>
      <w:pPr>
        <w:autoSpaceDE w:val="0"/>
        <w:autoSpaceDN w:val="0"/>
        <w:adjustRightInd w:val="0"/>
        <w:rPr>
          <w:rFonts w:ascii="宋体" w:hAnsi="宋体" w:cs="宋体"/>
          <w:b/>
          <w:color w:val="auto"/>
          <w:szCs w:val="21"/>
        </w:rPr>
      </w:pPr>
      <w:r>
        <w:rPr>
          <w:rStyle w:val="113"/>
          <w:rFonts w:hint="default" w:ascii="宋体" w:hAnsi="宋体" w:eastAsia="宋体" w:cs="宋体"/>
          <w:color w:val="auto"/>
          <w:sz w:val="21"/>
          <w:szCs w:val="21"/>
          <w:lang w:bidi="ar"/>
        </w:rPr>
        <w:t>3、如评标办法对投标人拟投入的项目管理团队进行评审的，如相同岗位投入人员姓名与本表不一致的，以本表中姓名为准；投标人提供的团队人员职称或资格（含证书编号）情况与本表不一致的，以投标人提供的相关证明材料为准。</w:t>
      </w:r>
    </w:p>
    <w:p>
      <w:pPr>
        <w:spacing w:line="360" w:lineRule="auto"/>
        <w:rPr>
          <w:rFonts w:ascii="宋体" w:hAnsi="宋体"/>
          <w:color w:val="auto"/>
          <w:sz w:val="24"/>
          <w:szCs w:val="24"/>
        </w:rPr>
      </w:pPr>
    </w:p>
    <w:p>
      <w:pPr>
        <w:spacing w:line="320" w:lineRule="exact"/>
        <w:rPr>
          <w:rFonts w:ascii="仿宋_GB2312" w:hAnsi="楷体" w:eastAsia="仿宋_GB2312"/>
          <w:color w:val="auto"/>
          <w:szCs w:val="21"/>
        </w:rPr>
      </w:pPr>
    </w:p>
    <w:p>
      <w:pPr>
        <w:widowControl/>
        <w:jc w:val="left"/>
        <w:rPr>
          <w:rStyle w:val="113"/>
          <w:rFonts w:hint="default" w:ascii="宋体" w:hAnsi="宋体" w:eastAsia="宋体" w:cs="宋体"/>
          <w:color w:val="auto"/>
          <w:sz w:val="21"/>
          <w:szCs w:val="21"/>
          <w:lang w:bidi="ar"/>
        </w:rPr>
      </w:pPr>
      <w:r>
        <w:rPr>
          <w:color w:val="auto"/>
          <w:sz w:val="24"/>
          <w:szCs w:val="24"/>
        </w:rPr>
        <w:br w:type="page"/>
      </w:r>
      <w:bookmarkStart w:id="36" w:name="_Toc1198"/>
      <w:bookmarkStart w:id="37" w:name="_Toc15122"/>
      <w:bookmarkStart w:id="38" w:name="_Toc2272568"/>
      <w:r>
        <w:rPr>
          <w:rFonts w:hint="eastAsia"/>
          <w:color w:val="auto"/>
        </w:rPr>
        <w:t>附件五：</w:t>
      </w:r>
    </w:p>
    <w:p>
      <w:pPr>
        <w:autoSpaceDE w:val="0"/>
        <w:autoSpaceDN w:val="0"/>
        <w:adjustRightInd w:val="0"/>
        <w:jc w:val="center"/>
        <w:outlineLvl w:val="1"/>
        <w:rPr>
          <w:rFonts w:ascii="宋体" w:hAnsi="宋体" w:cs="宋体"/>
          <w:b/>
          <w:bCs/>
          <w:color w:val="auto"/>
          <w:sz w:val="36"/>
          <w:szCs w:val="36"/>
          <w:lang w:val="zh-CN"/>
        </w:rPr>
      </w:pPr>
      <w:bookmarkStart w:id="39" w:name="_Toc29953"/>
      <w:r>
        <w:rPr>
          <w:rFonts w:hint="eastAsia" w:ascii="宋体" w:hAnsi="宋体" w:cs="宋体"/>
          <w:b/>
          <w:bCs/>
          <w:color w:val="auto"/>
          <w:sz w:val="36"/>
          <w:szCs w:val="36"/>
          <w:lang w:val="zh-CN"/>
        </w:rPr>
        <w:t>响应招标文件所附施工组织设计要点的承诺书</w:t>
      </w:r>
      <w:bookmarkEnd w:id="39"/>
    </w:p>
    <w:p>
      <w:pPr>
        <w:spacing w:line="360" w:lineRule="auto"/>
        <w:rPr>
          <w:rFonts w:ascii="宋体" w:hAnsi="宋体"/>
          <w:color w:val="auto"/>
          <w:sz w:val="24"/>
          <w:szCs w:val="24"/>
        </w:rPr>
      </w:pPr>
    </w:p>
    <w:p>
      <w:pPr>
        <w:spacing w:line="360" w:lineRule="auto"/>
        <w:rPr>
          <w:rFonts w:ascii="宋体" w:hAnsi="宋体"/>
          <w:color w:val="auto"/>
          <w:sz w:val="24"/>
          <w:szCs w:val="24"/>
        </w:rPr>
      </w:pPr>
      <w:r>
        <w:rPr>
          <w:rFonts w:hint="eastAsia" w:ascii="宋体" w:hAnsi="宋体"/>
          <w:color w:val="auto"/>
          <w:sz w:val="24"/>
          <w:szCs w:val="24"/>
          <w:u w:val="single"/>
        </w:rPr>
        <w:t xml:space="preserve">             （招标人）</w:t>
      </w:r>
      <w:r>
        <w:rPr>
          <w:rFonts w:hint="eastAsia" w:ascii="宋体" w:hAnsi="宋体"/>
          <w:color w:val="auto"/>
          <w:sz w:val="24"/>
          <w:szCs w:val="24"/>
        </w:rPr>
        <w:t>：</w:t>
      </w:r>
    </w:p>
    <w:p>
      <w:pPr>
        <w:spacing w:line="360" w:lineRule="auto"/>
        <w:rPr>
          <w:rFonts w:ascii="宋体" w:hAnsi="宋体"/>
          <w:color w:val="auto"/>
          <w:sz w:val="24"/>
          <w:szCs w:val="24"/>
        </w:rPr>
      </w:pPr>
      <w:r>
        <w:rPr>
          <w:rFonts w:hint="eastAsia" w:ascii="宋体" w:hAnsi="宋体"/>
          <w:color w:val="auto"/>
          <w:sz w:val="24"/>
          <w:szCs w:val="24"/>
        </w:rPr>
        <w:t xml:space="preserve">    我方承诺，如中标承建</w:t>
      </w:r>
      <w:r>
        <w:rPr>
          <w:rFonts w:hint="eastAsia" w:ascii="宋体" w:hAnsi="宋体"/>
          <w:color w:val="auto"/>
          <w:sz w:val="24"/>
          <w:szCs w:val="24"/>
          <w:u w:val="single"/>
        </w:rPr>
        <w:t xml:space="preserve">            (项目名称)</w:t>
      </w:r>
      <w:r>
        <w:rPr>
          <w:rFonts w:hint="eastAsia" w:ascii="宋体" w:hAnsi="宋体"/>
          <w:color w:val="auto"/>
          <w:sz w:val="24"/>
          <w:szCs w:val="24"/>
        </w:rPr>
        <w:t>，将按招标文件所附的本工程</w:t>
      </w:r>
      <w:r>
        <w:rPr>
          <w:rFonts w:hint="eastAsia" w:ascii="宋体" w:hAnsi="宋体"/>
          <w:color w:val="auto"/>
          <w:sz w:val="24"/>
          <w:szCs w:val="24"/>
          <w:u w:val="single"/>
        </w:rPr>
        <w:t>（施工组织设计要点）</w:t>
      </w:r>
      <w:r>
        <w:rPr>
          <w:rFonts w:hint="eastAsia" w:ascii="宋体" w:hAnsi="宋体"/>
          <w:color w:val="auto"/>
          <w:sz w:val="24"/>
          <w:szCs w:val="24"/>
        </w:rPr>
        <w:t>进行响应的基础上自行组织施工。并承诺在中标后按招标文件所附的</w:t>
      </w:r>
      <w:r>
        <w:rPr>
          <w:rFonts w:hint="eastAsia" w:ascii="宋体" w:hAnsi="宋体"/>
          <w:color w:val="auto"/>
          <w:sz w:val="24"/>
          <w:szCs w:val="24"/>
          <w:u w:val="single"/>
        </w:rPr>
        <w:t>（施工组织设计要点）</w:t>
      </w:r>
      <w:r>
        <w:rPr>
          <w:rFonts w:hint="eastAsia" w:ascii="宋体" w:hAnsi="宋体"/>
          <w:color w:val="auto"/>
          <w:sz w:val="24"/>
          <w:szCs w:val="24"/>
        </w:rPr>
        <w:t>基础上编制详细的施工组织设计，并报经监理单位和建设单位审批后实施。</w:t>
      </w:r>
    </w:p>
    <w:p>
      <w:pPr>
        <w:spacing w:line="360" w:lineRule="auto"/>
        <w:rPr>
          <w:rFonts w:ascii="宋体" w:hAnsi="宋体"/>
          <w:color w:val="auto"/>
          <w:sz w:val="24"/>
          <w:szCs w:val="24"/>
        </w:rPr>
      </w:pPr>
    </w:p>
    <w:p>
      <w:pPr>
        <w:spacing w:line="360" w:lineRule="auto"/>
        <w:rPr>
          <w:rFonts w:ascii="宋体" w:hAnsi="宋体"/>
          <w:color w:val="auto"/>
          <w:sz w:val="24"/>
          <w:szCs w:val="24"/>
        </w:rPr>
      </w:pPr>
    </w:p>
    <w:p>
      <w:pPr>
        <w:topLinePunct/>
        <w:adjustRightInd w:val="0"/>
        <w:snapToGrid w:val="0"/>
        <w:spacing w:line="440" w:lineRule="exact"/>
        <w:ind w:firstLine="3462" w:firstLineChars="1396"/>
        <w:rPr>
          <w:rFonts w:ascii="宋体" w:hAnsi="宋体" w:cs="宋体"/>
          <w:snapToGrid w:val="0"/>
          <w:color w:val="auto"/>
          <w:spacing w:val="4"/>
          <w:kern w:val="0"/>
          <w:sz w:val="24"/>
          <w:szCs w:val="24"/>
        </w:rPr>
      </w:pPr>
    </w:p>
    <w:p>
      <w:pPr>
        <w:topLinePunct/>
        <w:adjustRightInd w:val="0"/>
        <w:snapToGrid w:val="0"/>
        <w:spacing w:line="440" w:lineRule="exact"/>
        <w:ind w:firstLine="3462" w:firstLineChars="1396"/>
        <w:rPr>
          <w:rFonts w:ascii="宋体" w:hAnsi="宋体" w:cs="宋体"/>
          <w:snapToGrid w:val="0"/>
          <w:color w:val="auto"/>
          <w:spacing w:val="4"/>
          <w:kern w:val="0"/>
          <w:sz w:val="24"/>
          <w:szCs w:val="24"/>
        </w:rPr>
      </w:pPr>
      <w:r>
        <w:rPr>
          <w:rFonts w:hint="eastAsia" w:ascii="宋体" w:hAnsi="宋体" w:cs="宋体"/>
          <w:snapToGrid w:val="0"/>
          <w:color w:val="auto"/>
          <w:spacing w:val="4"/>
          <w:kern w:val="0"/>
          <w:sz w:val="24"/>
          <w:szCs w:val="24"/>
        </w:rPr>
        <w:t>投 标 人：    （盖章）</w:t>
      </w:r>
    </w:p>
    <w:p>
      <w:pPr>
        <w:topLinePunct/>
        <w:adjustRightInd w:val="0"/>
        <w:snapToGrid w:val="0"/>
        <w:spacing w:line="440" w:lineRule="exact"/>
        <w:ind w:firstLine="3462" w:firstLineChars="1396"/>
        <w:rPr>
          <w:rFonts w:ascii="宋体" w:hAnsi="宋体" w:cs="宋体"/>
          <w:snapToGrid w:val="0"/>
          <w:color w:val="auto"/>
          <w:spacing w:val="4"/>
          <w:kern w:val="0"/>
          <w:sz w:val="24"/>
          <w:szCs w:val="24"/>
        </w:rPr>
      </w:pPr>
      <w:r>
        <w:rPr>
          <w:rFonts w:hint="eastAsia" w:ascii="宋体" w:hAnsi="宋体" w:cs="宋体"/>
          <w:snapToGrid w:val="0"/>
          <w:color w:val="auto"/>
          <w:spacing w:val="4"/>
          <w:kern w:val="0"/>
          <w:sz w:val="24"/>
          <w:szCs w:val="24"/>
        </w:rPr>
        <w:t>法定代表人或授权代理人（签字或盖章）：</w:t>
      </w:r>
    </w:p>
    <w:p>
      <w:pPr>
        <w:topLinePunct/>
        <w:adjustRightInd w:val="0"/>
        <w:snapToGrid w:val="0"/>
        <w:spacing w:line="440" w:lineRule="exact"/>
        <w:ind w:firstLine="3462" w:firstLineChars="1396"/>
        <w:rPr>
          <w:rFonts w:ascii="宋体" w:hAnsi="宋体" w:cs="宋体"/>
          <w:snapToGrid w:val="0"/>
          <w:color w:val="auto"/>
          <w:spacing w:val="4"/>
          <w:kern w:val="0"/>
          <w:sz w:val="24"/>
          <w:szCs w:val="24"/>
        </w:rPr>
      </w:pPr>
      <w:r>
        <w:rPr>
          <w:rFonts w:hint="eastAsia" w:ascii="宋体" w:hAnsi="宋体" w:cs="宋体"/>
          <w:snapToGrid w:val="0"/>
          <w:color w:val="auto"/>
          <w:spacing w:val="4"/>
          <w:kern w:val="0"/>
          <w:sz w:val="24"/>
          <w:szCs w:val="24"/>
        </w:rPr>
        <w:t>日    期：    年    月    日</w:t>
      </w:r>
    </w:p>
    <w:p>
      <w:pPr>
        <w:widowControl/>
        <w:jc w:val="left"/>
        <w:rPr>
          <w:rStyle w:val="113"/>
          <w:rFonts w:hint="default" w:ascii="宋体" w:hAnsi="宋体" w:eastAsia="宋体" w:cs="宋体"/>
          <w:color w:val="auto"/>
          <w:sz w:val="21"/>
          <w:szCs w:val="21"/>
          <w:lang w:bidi="ar"/>
        </w:rPr>
      </w:pPr>
    </w:p>
    <w:p>
      <w:pPr>
        <w:widowControl/>
        <w:jc w:val="left"/>
        <w:rPr>
          <w:rStyle w:val="113"/>
          <w:rFonts w:hint="default" w:ascii="宋体" w:hAnsi="宋体" w:eastAsia="宋体" w:cs="宋体"/>
          <w:color w:val="auto"/>
          <w:sz w:val="21"/>
          <w:szCs w:val="21"/>
          <w:lang w:bidi="ar"/>
        </w:rPr>
      </w:pPr>
    </w:p>
    <w:p>
      <w:pPr>
        <w:widowControl/>
        <w:jc w:val="left"/>
        <w:rPr>
          <w:rStyle w:val="113"/>
          <w:rFonts w:hint="default" w:ascii="宋体" w:hAnsi="宋体" w:eastAsia="宋体" w:cs="宋体"/>
          <w:color w:val="auto"/>
          <w:sz w:val="21"/>
          <w:szCs w:val="21"/>
          <w:lang w:bidi="ar"/>
        </w:rPr>
      </w:pPr>
    </w:p>
    <w:p>
      <w:pPr>
        <w:rPr>
          <w:rFonts w:ascii="宋体" w:hAnsi="宋体"/>
          <w:color w:val="auto"/>
        </w:rPr>
      </w:pPr>
      <w:r>
        <w:rPr>
          <w:rFonts w:hint="eastAsia" w:ascii="宋体" w:hAnsi="宋体"/>
          <w:color w:val="auto"/>
        </w:rPr>
        <w:br w:type="page"/>
      </w:r>
    </w:p>
    <w:p>
      <w:pPr>
        <w:pStyle w:val="122"/>
        <w:autoSpaceDE w:val="0"/>
        <w:autoSpaceDN w:val="0"/>
        <w:ind w:right="496" w:firstLine="0" w:firstLineChars="0"/>
        <w:jc w:val="left"/>
        <w:outlineLvl w:val="2"/>
        <w:rPr>
          <w:b/>
          <w:color w:val="auto"/>
        </w:rPr>
      </w:pPr>
      <w:bookmarkStart w:id="40" w:name="_Toc16367"/>
      <w:r>
        <w:rPr>
          <w:rFonts w:hint="eastAsia" w:ascii="宋体" w:hAnsi="宋体"/>
          <w:color w:val="auto"/>
        </w:rPr>
        <w:t>附件六</w:t>
      </w:r>
      <w:bookmarkEnd w:id="40"/>
      <w:r>
        <w:rPr>
          <w:rFonts w:hint="eastAsia" w:ascii="宋体" w:hAnsi="宋体"/>
          <w:color w:val="auto"/>
        </w:rPr>
        <w:t xml:space="preserve"> </w:t>
      </w:r>
      <w:bookmarkEnd w:id="36"/>
      <w:bookmarkEnd w:id="37"/>
    </w:p>
    <w:p>
      <w:pPr>
        <w:pStyle w:val="123"/>
        <w:spacing w:before="120" w:beforeLines="50" w:after="156" w:line="240" w:lineRule="auto"/>
        <w:rPr>
          <w:rFonts w:ascii="Times New Roman" w:hAnsi="Times New Roman" w:eastAsia="宋体"/>
          <w:color w:val="auto"/>
          <w:sz w:val="32"/>
          <w:szCs w:val="32"/>
        </w:rPr>
      </w:pPr>
      <w:r>
        <w:rPr>
          <w:rFonts w:ascii="Times New Roman" w:hAnsi="Times New Roman" w:eastAsia="宋体"/>
          <w:color w:val="auto"/>
          <w:sz w:val="32"/>
          <w:szCs w:val="32"/>
        </w:rPr>
        <w:t>危险性较大的分部分项工程清单及</w:t>
      </w:r>
    </w:p>
    <w:p>
      <w:pPr>
        <w:pStyle w:val="123"/>
        <w:spacing w:before="120" w:beforeLines="50" w:after="156" w:line="240" w:lineRule="auto"/>
        <w:rPr>
          <w:rFonts w:ascii="Times New Roman" w:hAnsi="Times New Roman" w:eastAsia="宋体"/>
          <w:color w:val="auto"/>
          <w:sz w:val="32"/>
          <w:szCs w:val="32"/>
        </w:rPr>
      </w:pPr>
      <w:r>
        <w:rPr>
          <w:rFonts w:ascii="Times New Roman" w:hAnsi="Times New Roman" w:eastAsia="宋体"/>
          <w:color w:val="auto"/>
          <w:sz w:val="32"/>
          <w:szCs w:val="32"/>
        </w:rPr>
        <w:t>超过一定规模的危险性较大的分部分项工程清单</w:t>
      </w:r>
    </w:p>
    <w:p>
      <w:pPr>
        <w:pStyle w:val="110"/>
        <w:numPr>
          <w:ilvl w:val="0"/>
          <w:numId w:val="3"/>
        </w:numPr>
        <w:autoSpaceDE w:val="0"/>
        <w:autoSpaceDN w:val="0"/>
        <w:adjustRightInd w:val="0"/>
        <w:spacing w:line="276" w:lineRule="auto"/>
        <w:ind w:firstLineChars="0"/>
        <w:jc w:val="left"/>
        <w:rPr>
          <w:color w:val="auto"/>
          <w:szCs w:val="21"/>
        </w:rPr>
      </w:pPr>
      <w:r>
        <w:rPr>
          <w:rFonts w:hint="eastAsia"/>
          <w:color w:val="auto"/>
          <w:szCs w:val="21"/>
        </w:rPr>
        <w:t>根据中华人民共和国住房和城乡建设部令第37号《危险性较大的分部分项工程安全管理规定》（以下简称“37号文”），投标人在投标时须补充完善危大工程清单并明确相应的安全管理措施。</w:t>
      </w:r>
    </w:p>
    <w:p>
      <w:pPr>
        <w:pStyle w:val="110"/>
        <w:numPr>
          <w:ilvl w:val="0"/>
          <w:numId w:val="3"/>
        </w:numPr>
        <w:autoSpaceDE w:val="0"/>
        <w:autoSpaceDN w:val="0"/>
        <w:adjustRightInd w:val="0"/>
        <w:spacing w:line="276" w:lineRule="auto"/>
        <w:ind w:firstLineChars="0"/>
        <w:jc w:val="left"/>
        <w:rPr>
          <w:color w:val="auto"/>
          <w:szCs w:val="21"/>
        </w:rPr>
      </w:pPr>
      <w:r>
        <w:rPr>
          <w:rFonts w:hint="eastAsia"/>
          <w:color w:val="auto"/>
          <w:szCs w:val="21"/>
        </w:rPr>
        <w:t>招标人根据设计文件的要求及37号文的规定列出“危险性较大的分部分项工程清单及超过一定规模的危险性较大的分部分项工程清单”中与本招标项目相关的清单项，具体详第5点“打√”标识。</w:t>
      </w:r>
    </w:p>
    <w:p>
      <w:pPr>
        <w:pStyle w:val="110"/>
        <w:numPr>
          <w:ilvl w:val="0"/>
          <w:numId w:val="4"/>
        </w:numPr>
        <w:autoSpaceDE w:val="0"/>
        <w:autoSpaceDN w:val="0"/>
        <w:adjustRightInd w:val="0"/>
        <w:spacing w:line="276" w:lineRule="auto"/>
        <w:ind w:firstLineChars="0"/>
        <w:jc w:val="left"/>
        <w:rPr>
          <w:color w:val="auto"/>
          <w:szCs w:val="21"/>
        </w:rPr>
      </w:pPr>
      <w:r>
        <w:rPr>
          <w:rFonts w:hint="eastAsia"/>
          <w:color w:val="auto"/>
          <w:szCs w:val="21"/>
        </w:rPr>
        <w:t>投标单位同意建设单位在清单中标识的该项请在对应项打“√”标识，并在投标文件中提供相应的安全管理措施。</w:t>
      </w:r>
    </w:p>
    <w:p>
      <w:pPr>
        <w:pStyle w:val="110"/>
        <w:numPr>
          <w:ilvl w:val="0"/>
          <w:numId w:val="4"/>
        </w:numPr>
        <w:autoSpaceDE w:val="0"/>
        <w:autoSpaceDN w:val="0"/>
        <w:adjustRightInd w:val="0"/>
        <w:spacing w:line="276" w:lineRule="auto"/>
        <w:ind w:firstLineChars="0"/>
        <w:jc w:val="left"/>
        <w:rPr>
          <w:color w:val="auto"/>
          <w:szCs w:val="21"/>
        </w:rPr>
      </w:pPr>
      <w:r>
        <w:rPr>
          <w:rFonts w:hint="eastAsia"/>
          <w:color w:val="auto"/>
          <w:szCs w:val="21"/>
        </w:rPr>
        <w:t>投标单位对清单中认为需要补充的该项请在对应项打“√”标识，并在投标文件中提供相应的安全管理措施。</w:t>
      </w:r>
    </w:p>
    <w:p>
      <w:pPr>
        <w:pStyle w:val="110"/>
        <w:numPr>
          <w:ilvl w:val="0"/>
          <w:numId w:val="4"/>
        </w:numPr>
        <w:autoSpaceDE w:val="0"/>
        <w:autoSpaceDN w:val="0"/>
        <w:adjustRightInd w:val="0"/>
        <w:spacing w:line="276" w:lineRule="auto"/>
        <w:ind w:firstLineChars="0"/>
        <w:jc w:val="left"/>
        <w:rPr>
          <w:color w:val="auto"/>
          <w:szCs w:val="21"/>
        </w:rPr>
      </w:pPr>
      <w:r>
        <w:rPr>
          <w:rFonts w:hint="eastAsia"/>
          <w:color w:val="auto"/>
          <w:szCs w:val="21"/>
        </w:rPr>
        <w:t>投标单位不同意建设单位在清单中标识的该项请在对应项打“×”标识，并在备注栏填上相关说明。</w:t>
      </w:r>
    </w:p>
    <w:p>
      <w:pPr>
        <w:pStyle w:val="110"/>
        <w:numPr>
          <w:ilvl w:val="0"/>
          <w:numId w:val="3"/>
        </w:numPr>
        <w:autoSpaceDE w:val="0"/>
        <w:autoSpaceDN w:val="0"/>
        <w:adjustRightInd w:val="0"/>
        <w:spacing w:line="276" w:lineRule="auto"/>
        <w:ind w:firstLineChars="0"/>
        <w:jc w:val="left"/>
        <w:rPr>
          <w:color w:val="auto"/>
          <w:szCs w:val="21"/>
        </w:rPr>
      </w:pPr>
      <w:r>
        <w:rPr>
          <w:rFonts w:hint="eastAsia"/>
          <w:color w:val="auto"/>
          <w:szCs w:val="21"/>
        </w:rPr>
        <w:t>投标单位应当在投标时根据招标人提供的下述第5点清单，在投标施工组织中编制专项施工方案。</w:t>
      </w:r>
    </w:p>
    <w:p>
      <w:pPr>
        <w:pStyle w:val="110"/>
        <w:numPr>
          <w:ilvl w:val="0"/>
          <w:numId w:val="3"/>
        </w:numPr>
        <w:autoSpaceDE w:val="0"/>
        <w:autoSpaceDN w:val="0"/>
        <w:adjustRightInd w:val="0"/>
        <w:spacing w:line="276" w:lineRule="auto"/>
        <w:ind w:firstLineChars="0"/>
        <w:jc w:val="left"/>
        <w:rPr>
          <w:color w:val="auto"/>
          <w:szCs w:val="21"/>
        </w:rPr>
      </w:pPr>
      <w:r>
        <w:rPr>
          <w:rFonts w:hint="eastAsia"/>
          <w:color w:val="auto"/>
          <w:szCs w:val="21"/>
        </w:rPr>
        <w:t>对于超过一定规模的危大工程，中标单位应当组织召开专家论证会对专项施工方案进行论证。</w:t>
      </w:r>
    </w:p>
    <w:p>
      <w:pPr>
        <w:pStyle w:val="110"/>
        <w:numPr>
          <w:ilvl w:val="0"/>
          <w:numId w:val="3"/>
        </w:numPr>
        <w:autoSpaceDE w:val="0"/>
        <w:autoSpaceDN w:val="0"/>
        <w:adjustRightInd w:val="0"/>
        <w:spacing w:line="276" w:lineRule="auto"/>
        <w:ind w:firstLineChars="0"/>
        <w:jc w:val="left"/>
        <w:rPr>
          <w:color w:val="auto"/>
          <w:szCs w:val="21"/>
        </w:rPr>
      </w:pPr>
      <w:r>
        <w:rPr>
          <w:rFonts w:hint="eastAsia"/>
          <w:color w:val="auto"/>
          <w:szCs w:val="21"/>
        </w:rPr>
        <w:t>危险性较大的分部分项工程清单及超过一定规模的危险性较大的分部分项工程清单：</w:t>
      </w:r>
    </w:p>
    <w:tbl>
      <w:tblPr>
        <w:tblStyle w:val="36"/>
        <w:tblW w:w="8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6"/>
        <w:gridCol w:w="1200"/>
        <w:gridCol w:w="1106"/>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vAlign w:val="center"/>
          </w:tcPr>
          <w:p>
            <w:pPr>
              <w:spacing w:line="276" w:lineRule="auto"/>
              <w:jc w:val="center"/>
              <w:rPr>
                <w:rFonts w:ascii="Times New Roman" w:hAnsi="Times New Roman"/>
                <w:b/>
                <w:color w:val="auto"/>
                <w:szCs w:val="21"/>
              </w:rPr>
            </w:pPr>
            <w:r>
              <w:rPr>
                <w:rFonts w:hint="eastAsia" w:ascii="Times New Roman" w:hAnsi="Times New Roman"/>
                <w:b/>
                <w:color w:val="auto"/>
                <w:szCs w:val="21"/>
              </w:rPr>
              <w:t>一、危险性较大的分部分项工程清单</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建设单位</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投标单位</w:t>
            </w:r>
          </w:p>
        </w:tc>
        <w:tc>
          <w:tcPr>
            <w:tcW w:w="659"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一、基坑支护</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（一）开挖深度超过3m（含3m）的基坑（槽）的土方开挖、支护、降水工程。</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xml:space="preserve">( </w:t>
            </w:r>
            <w:r>
              <w:rPr>
                <w:rFonts w:hint="eastAsia"/>
                <w:color w:val="auto"/>
                <w:szCs w:val="21"/>
              </w:rPr>
              <w:t xml:space="preserve">  </w:t>
            </w:r>
            <w:r>
              <w:rPr>
                <w:rFonts w:hint="eastAsia" w:ascii="Times New Roman" w:hAnsi="Times New Roman"/>
                <w:color w:val="auto"/>
                <w:szCs w:val="21"/>
              </w:rPr>
              <w:t>)</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（二）开挖深度虽未超过3m，但地质条件、周围环境和地下管线复杂，或影响毗邻建、构筑物安全的基坑（槽）的土方开挖、支护、降水工程。</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二、模板工程及支撑体系</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（一）各类工具式模板工程：包括滑模、爬模、飞模、隧道模等工程。</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二）混凝土模板支撑工程：搭设高度5m及以上，或搭设跨度10m及以上，或施工总荷载（荷载效应基本组合的设计值，以下简称设计值）10kN/m2及以上，或集中线荷载（设计值）15kN/m及以上，或高度大于支撑水平投影宽度且相对独立无联系构件的混凝土模板支撑工程。</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widowControl/>
              <w:spacing w:line="276" w:lineRule="auto"/>
              <w:jc w:val="left"/>
              <w:rPr>
                <w:rFonts w:ascii="Times New Roman" w:hAnsi="Times New Roman" w:cs="宋体"/>
                <w:color w:val="auto"/>
                <w:szCs w:val="21"/>
              </w:rPr>
            </w:pPr>
            <w:r>
              <w:rPr>
                <w:rFonts w:hint="eastAsia" w:ascii="Times New Roman" w:hAnsi="Times New Roman" w:cs="宋体"/>
                <w:color w:val="auto"/>
                <w:szCs w:val="21"/>
              </w:rPr>
              <w:t>（三）承重支撑体系：用于钢结构安装等满堂支撑体系。</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5606" w:type="dxa"/>
          </w:tcPr>
          <w:p>
            <w:pPr>
              <w:widowControl/>
              <w:spacing w:line="276" w:lineRule="auto"/>
              <w:jc w:val="left"/>
              <w:rPr>
                <w:rFonts w:ascii="Times New Roman" w:hAnsi="Times New Roman" w:cs="宋体"/>
                <w:color w:val="auto"/>
                <w:szCs w:val="21"/>
              </w:rPr>
            </w:pPr>
            <w:r>
              <w:rPr>
                <w:rFonts w:hint="eastAsia" w:ascii="Times New Roman" w:hAnsi="Times New Roman" w:cs="宋体"/>
                <w:color w:val="auto"/>
                <w:szCs w:val="21"/>
              </w:rPr>
              <w:t>　三、起重吊装及起重机械安装拆卸工程</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widowControl/>
              <w:spacing w:line="276" w:lineRule="auto"/>
              <w:jc w:val="left"/>
              <w:rPr>
                <w:rFonts w:ascii="Times New Roman" w:hAnsi="Times New Roman" w:cs="宋体"/>
                <w:color w:val="auto"/>
                <w:szCs w:val="21"/>
              </w:rPr>
            </w:pPr>
            <w:r>
              <w:rPr>
                <w:rFonts w:hint="eastAsia" w:ascii="Times New Roman" w:hAnsi="Times New Roman" w:cs="宋体"/>
                <w:color w:val="auto"/>
                <w:szCs w:val="21"/>
              </w:rPr>
              <w:t>（一）采用非常规起重设备、方法，且单件起吊重量在10kN及以上的起重吊装工程。</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s="宋体"/>
                <w:color w:val="auto"/>
                <w:szCs w:val="21"/>
              </w:rPr>
              <w:t>（二）采用起重机械进行安装的工程。</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s="宋体"/>
                <w:color w:val="auto"/>
                <w:szCs w:val="21"/>
              </w:rPr>
            </w:pPr>
            <w:r>
              <w:rPr>
                <w:rFonts w:hint="eastAsia" w:ascii="Times New Roman" w:hAnsi="Times New Roman" w:cs="宋体"/>
                <w:color w:val="auto"/>
                <w:szCs w:val="21"/>
              </w:rPr>
              <w:t>（三）起重机械安装和拆卸工程。</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四、脚手架工程</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（一）搭设高度24m及以上的落地式钢管脚手架工程（包括采光井、电梯井脚手架）。</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（二）附着式升降脚手架工程。</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（三）悬挑式脚手架工程。</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（四）高处作业吊篮。</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（五）卸料平台、操作平台工程。</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（六）异型脚手架工程。</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五、拆除工程</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可能影响行人、交通、电力设施、通讯设施或其它建、构筑物安全的拆除工程。</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　六、暗挖工程</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采用矿山法、盾构法、顶管法施工的隧道、洞室工程。</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七、其它</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（一）建筑幕墙安装工程。</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（二）钢结构、网架和索膜结构安装工程。</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（三）人工挖孔桩工程。</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（四）水下作业工程。</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（五）装配式建筑混凝土预制构件安装工程。</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（六）采用新技术、新工艺、新材料、新设备可能影响工程施工安全，尚无国家、行业及地方技术标准的分部分项工程。</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vAlign w:val="center"/>
          </w:tcPr>
          <w:p>
            <w:pPr>
              <w:widowControl/>
              <w:spacing w:line="276" w:lineRule="auto"/>
              <w:rPr>
                <w:rFonts w:ascii="Times New Roman" w:hAnsi="Times New Roman" w:cs="宋体"/>
                <w:b/>
                <w:color w:val="auto"/>
                <w:szCs w:val="21"/>
              </w:rPr>
            </w:pPr>
            <w:r>
              <w:rPr>
                <w:rFonts w:hint="eastAsia" w:ascii="Times New Roman" w:hAnsi="Times New Roman" w:cs="宋体"/>
                <w:b/>
                <w:bCs/>
                <w:color w:val="auto"/>
                <w:szCs w:val="21"/>
              </w:rPr>
              <w:t>二、超过一定规模的危险性较大的分部分项工程清单</w:t>
            </w:r>
          </w:p>
        </w:tc>
        <w:tc>
          <w:tcPr>
            <w:tcW w:w="1200" w:type="dxa"/>
            <w:vAlign w:val="center"/>
          </w:tcPr>
          <w:p>
            <w:pPr>
              <w:spacing w:line="276" w:lineRule="auto"/>
              <w:jc w:val="center"/>
              <w:rPr>
                <w:rFonts w:ascii="Times New Roman" w:hAnsi="Times New Roman"/>
                <w:color w:val="auto"/>
                <w:szCs w:val="21"/>
              </w:rPr>
            </w:pPr>
          </w:p>
        </w:tc>
        <w:tc>
          <w:tcPr>
            <w:tcW w:w="1106" w:type="dxa"/>
            <w:vAlign w:val="center"/>
          </w:tcPr>
          <w:p>
            <w:pPr>
              <w:spacing w:line="276" w:lineRule="auto"/>
              <w:jc w:val="center"/>
              <w:rPr>
                <w:rFonts w:ascii="Times New Roman" w:hAnsi="Times New Roman"/>
                <w:color w:val="auto"/>
                <w:szCs w:val="21"/>
              </w:rPr>
            </w:pPr>
          </w:p>
        </w:tc>
        <w:tc>
          <w:tcPr>
            <w:tcW w:w="659" w:type="dxa"/>
            <w:vAlign w:val="center"/>
          </w:tcPr>
          <w:p>
            <w:pPr>
              <w:spacing w:line="276" w:lineRule="auto"/>
              <w:jc w:val="center"/>
              <w:rPr>
                <w:rFonts w:ascii="Times New Roman" w:hAnsi="Times New Roman"/>
                <w:color w:val="auto"/>
                <w:szCs w:val="21"/>
              </w:rPr>
            </w:pPr>
          </w:p>
        </w:tc>
      </w:tr>
      <w:tr>
        <w:tblPrEx>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一、深基坑工程</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开挖深度超过5m（含5m）的基坑（槽）的土方开挖、支护、降水工程。</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ind w:firstLine="480"/>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二、模板工程及支撑体系</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ind w:firstLine="480"/>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（一）各类工具式模板工程：包括滑模、爬模、飞模、隧道模等工程。</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ind w:firstLine="480"/>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（二）混凝土模板支撑工程：搭设高度8m及以上，或搭设跨度18m及以上，或施工总荷载（设计值）15kN/m2及以上，或集中线荷载（设计值）20kN/m及以上。</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（三）承重支撑体系：用于钢结构安装等满堂支撑体系，承受单点集中荷载7kN及以上。</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　三、起重吊装及起重机械安装拆卸工程</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（一）采用非常规起重设备、方法，且单件起吊重量在100kN及以上的起重吊装工程。</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（二）起重量300kN及以上，或搭设总高度200m及以上，或搭设基础标高在200m及以上的起重机械安装和拆卸工程。</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四、脚手架工程</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（一）搭设高度50m及以上的落地式钢管脚手架工程。</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（二）提升高度在150m及以上的附着式升降脚手架工程或附着式升降操作平台工程。</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（三）分段架体搭设高度20m及以上的悬挑式脚手架工程。</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五、拆除工程</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（一）码头、桥梁、高架、烟囱、水塔或拆除中容易引起有毒有害气（液）体或粉尘扩散、易燃易爆事故发生的特殊建、构筑物的拆除工程。</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（二）文物保护建筑、优秀历史建筑或历史文化风貌区影响范围内的拆除工程。</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六、暗挖工程</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采用矿山法、盾构法、顶管法施工的隧道、洞室工程。</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七、其它</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（一）施工高度50m及以上的建筑幕墙安装工程。</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（二）跨度36m及以上的钢结构安装工程，或跨度60m及以上的网架和索膜结构安装工程。</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（三）开挖深度16m及以上的人工挖孔桩工程。</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（四）水下作业工程。</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（五）重量1000kN及以上的大型结构整体顶升、平移、转体等施工工艺。</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6" w:type="dxa"/>
          </w:tcPr>
          <w:p>
            <w:pPr>
              <w:spacing w:line="276" w:lineRule="auto"/>
              <w:jc w:val="left"/>
              <w:rPr>
                <w:rFonts w:ascii="Times New Roman" w:hAnsi="Times New Roman"/>
                <w:color w:val="auto"/>
                <w:szCs w:val="21"/>
              </w:rPr>
            </w:pPr>
            <w:r>
              <w:rPr>
                <w:rFonts w:hint="eastAsia" w:ascii="Times New Roman" w:hAnsi="Times New Roman"/>
                <w:color w:val="auto"/>
                <w:szCs w:val="21"/>
              </w:rPr>
              <w:t>（六）采用新技术、新工艺、新材料、新设备可能影响工程施工安全，尚无国家、行业及地方技术标准的分部分项工程。</w:t>
            </w:r>
          </w:p>
        </w:tc>
        <w:tc>
          <w:tcPr>
            <w:tcW w:w="1200"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1106" w:type="dxa"/>
            <w:vAlign w:val="center"/>
          </w:tcPr>
          <w:p>
            <w:pPr>
              <w:spacing w:line="276" w:lineRule="auto"/>
              <w:jc w:val="center"/>
              <w:rPr>
                <w:rFonts w:ascii="Times New Roman" w:hAnsi="Times New Roman"/>
                <w:color w:val="auto"/>
                <w:szCs w:val="21"/>
              </w:rPr>
            </w:pPr>
            <w:r>
              <w:rPr>
                <w:rFonts w:hint="eastAsia" w:ascii="Times New Roman" w:hAnsi="Times New Roman"/>
                <w:color w:val="auto"/>
                <w:szCs w:val="21"/>
              </w:rPr>
              <w:t>(    )</w:t>
            </w:r>
          </w:p>
        </w:tc>
        <w:tc>
          <w:tcPr>
            <w:tcW w:w="659" w:type="dxa"/>
            <w:vAlign w:val="center"/>
          </w:tcPr>
          <w:p>
            <w:pPr>
              <w:spacing w:line="276" w:lineRule="auto"/>
              <w:jc w:val="center"/>
              <w:rPr>
                <w:rFonts w:ascii="Times New Roman" w:hAnsi="Times New Roman"/>
                <w:color w:val="auto"/>
                <w:szCs w:val="21"/>
              </w:rPr>
            </w:pPr>
          </w:p>
        </w:tc>
      </w:tr>
    </w:tbl>
    <w:p>
      <w:pPr>
        <w:pStyle w:val="122"/>
        <w:ind w:firstLine="496"/>
        <w:rPr>
          <w:color w:val="auto"/>
        </w:rPr>
      </w:pPr>
    </w:p>
    <w:p>
      <w:pPr>
        <w:spacing w:line="360" w:lineRule="auto"/>
        <w:ind w:firstLine="5520"/>
        <w:jc w:val="right"/>
        <w:rPr>
          <w:rFonts w:cs="宋体"/>
          <w:color w:val="auto"/>
          <w:sz w:val="24"/>
          <w:szCs w:val="20"/>
        </w:rPr>
      </w:pPr>
      <w:r>
        <w:rPr>
          <w:rFonts w:hint="eastAsia" w:cs="宋体"/>
          <w:color w:val="auto"/>
          <w:sz w:val="24"/>
          <w:szCs w:val="20"/>
        </w:rPr>
        <w:t>投标人名称（盖法人公章）：</w:t>
      </w:r>
    </w:p>
    <w:p>
      <w:pPr>
        <w:spacing w:line="360" w:lineRule="auto"/>
        <w:ind w:right="26"/>
        <w:jc w:val="right"/>
        <w:rPr>
          <w:rFonts w:cs="宋体"/>
          <w:color w:val="auto"/>
          <w:sz w:val="24"/>
          <w:szCs w:val="20"/>
        </w:rPr>
      </w:pPr>
      <w:r>
        <w:rPr>
          <w:rFonts w:hint="eastAsia" w:cs="宋体"/>
          <w:color w:val="auto"/>
          <w:sz w:val="24"/>
          <w:szCs w:val="20"/>
        </w:rPr>
        <w:t>法定代表人或被授权人（签字或盖章）：</w:t>
      </w:r>
    </w:p>
    <w:p>
      <w:pPr>
        <w:widowControl/>
        <w:topLinePunct/>
        <w:adjustRightInd w:val="0"/>
        <w:snapToGrid w:val="0"/>
        <w:spacing w:after="200"/>
        <w:jc w:val="right"/>
        <w:outlineLvl w:val="2"/>
        <w:rPr>
          <w:rStyle w:val="60"/>
          <w:color w:val="auto"/>
        </w:rPr>
      </w:pPr>
      <w:bookmarkStart w:id="41" w:name="_Toc15638"/>
      <w:bookmarkStart w:id="42" w:name="_Toc13721"/>
      <w:bookmarkStart w:id="43" w:name="_Toc10930"/>
      <w:r>
        <w:rPr>
          <w:rFonts w:hint="eastAsia" w:cs="宋体"/>
          <w:color w:val="auto"/>
          <w:sz w:val="24"/>
          <w:szCs w:val="20"/>
        </w:rPr>
        <w:t>日期：   年  月  日</w:t>
      </w:r>
      <w:bookmarkEnd w:id="41"/>
      <w:bookmarkEnd w:id="42"/>
      <w:r>
        <w:rPr>
          <w:rStyle w:val="60"/>
          <w:rFonts w:hint="eastAsia"/>
          <w:color w:val="auto"/>
        </w:rPr>
        <w:br w:type="page"/>
      </w:r>
      <w:bookmarkEnd w:id="43"/>
    </w:p>
    <w:p>
      <w:pPr>
        <w:pStyle w:val="122"/>
        <w:autoSpaceDE w:val="0"/>
        <w:autoSpaceDN w:val="0"/>
        <w:ind w:right="496" w:firstLine="0" w:firstLineChars="0"/>
        <w:jc w:val="left"/>
        <w:outlineLvl w:val="2"/>
        <w:rPr>
          <w:rFonts w:ascii="宋体" w:hAnsi="宋体"/>
          <w:color w:val="auto"/>
        </w:rPr>
      </w:pPr>
      <w:bookmarkStart w:id="44" w:name="_Toc4273"/>
      <w:r>
        <w:rPr>
          <w:rFonts w:hint="eastAsia" w:ascii="宋体" w:hAnsi="宋体"/>
          <w:color w:val="auto"/>
        </w:rPr>
        <w:t>附件七</w:t>
      </w:r>
      <w:bookmarkEnd w:id="44"/>
    </w:p>
    <w:p>
      <w:pPr>
        <w:rPr>
          <w:rStyle w:val="60"/>
          <w:color w:val="auto"/>
        </w:rPr>
      </w:pPr>
    </w:p>
    <w:p>
      <w:pPr>
        <w:rPr>
          <w:rStyle w:val="60"/>
          <w:color w:val="auto"/>
        </w:rPr>
      </w:pPr>
    </w:p>
    <w:p>
      <w:pPr>
        <w:jc w:val="center"/>
        <w:rPr>
          <w:rFonts w:ascii="宋体" w:hAnsi="宋体" w:cs="宋体"/>
          <w:b/>
          <w:bCs/>
          <w:color w:val="auto"/>
          <w:sz w:val="28"/>
          <w:szCs w:val="28"/>
        </w:rPr>
      </w:pPr>
      <w:r>
        <w:rPr>
          <w:rFonts w:hint="eastAsia" w:ascii="宋体" w:hAnsi="宋体" w:cs="宋体"/>
          <w:b/>
          <w:bCs/>
          <w:color w:val="auto"/>
          <w:sz w:val="28"/>
          <w:szCs w:val="28"/>
        </w:rPr>
        <w:t>关于主动参与建筑业结对帮扶的承诺函</w:t>
      </w:r>
    </w:p>
    <w:p>
      <w:pPr>
        <w:widowControl/>
        <w:spacing w:line="560" w:lineRule="exact"/>
        <w:jc w:val="left"/>
        <w:rPr>
          <w:rFonts w:ascii="宋体" w:hAnsi="宋体" w:cs="宋体"/>
          <w:color w:val="auto"/>
          <w:sz w:val="28"/>
          <w:szCs w:val="28"/>
        </w:rPr>
      </w:pPr>
    </w:p>
    <w:p>
      <w:pPr>
        <w:widowControl/>
        <w:spacing w:line="560" w:lineRule="exact"/>
        <w:jc w:val="left"/>
        <w:rPr>
          <w:rFonts w:ascii="宋体" w:hAnsi="宋体" w:cs="宋体"/>
          <w:color w:val="auto"/>
          <w:sz w:val="24"/>
          <w:szCs w:val="24"/>
        </w:rPr>
      </w:pPr>
      <w:r>
        <w:rPr>
          <w:rFonts w:hint="eastAsia" w:ascii="宋体" w:hAnsi="宋体"/>
          <w:color w:val="auto"/>
          <w:sz w:val="24"/>
          <w:u w:val="single"/>
        </w:rPr>
        <w:t>广州市增城区人民政府增江街道办事处</w:t>
      </w:r>
      <w:r>
        <w:rPr>
          <w:rFonts w:hint="eastAsia" w:ascii="宋体" w:hAnsi="宋体" w:cs="宋体"/>
          <w:color w:val="auto"/>
          <w:sz w:val="24"/>
          <w:szCs w:val="24"/>
        </w:rPr>
        <w:t>（招标人）：</w:t>
      </w:r>
    </w:p>
    <w:p>
      <w:pPr>
        <w:pStyle w:val="112"/>
        <w:spacing w:line="560" w:lineRule="exact"/>
        <w:ind w:firstLine="480" w:firstLineChars="200"/>
        <w:rPr>
          <w:rFonts w:ascii="宋体" w:hAnsi="宋体" w:cs="宋体"/>
          <w:bCs/>
          <w:color w:val="auto"/>
          <w:sz w:val="24"/>
          <w:szCs w:val="24"/>
        </w:rPr>
      </w:pPr>
      <w:r>
        <w:rPr>
          <w:rFonts w:hint="eastAsia" w:ascii="宋体" w:hAnsi="宋体" w:cs="宋体"/>
          <w:bCs/>
          <w:color w:val="auto"/>
          <w:sz w:val="24"/>
          <w:szCs w:val="24"/>
        </w:rPr>
        <w:t>为加快推动建筑业企业与乡镇结对帮扶工作，使“百千万工程”成为县域经济发展和新型城镇化建设的新亮点。</w:t>
      </w:r>
    </w:p>
    <w:p>
      <w:pPr>
        <w:pStyle w:val="112"/>
        <w:spacing w:line="560" w:lineRule="exact"/>
        <w:ind w:firstLine="480" w:firstLineChars="200"/>
        <w:rPr>
          <w:rFonts w:ascii="宋体" w:hAnsi="宋体" w:cs="宋体"/>
          <w:bCs/>
          <w:color w:val="auto"/>
          <w:sz w:val="24"/>
          <w:szCs w:val="24"/>
        </w:rPr>
      </w:pPr>
      <w:r>
        <w:rPr>
          <w:rFonts w:hint="eastAsia" w:ascii="宋体" w:hAnsi="宋体" w:cs="宋体"/>
          <w:bCs/>
          <w:color w:val="auto"/>
          <w:sz w:val="24"/>
          <w:szCs w:val="24"/>
        </w:rPr>
        <w:t>如若我单位中标</w:t>
      </w:r>
      <w:r>
        <w:rPr>
          <w:rFonts w:hint="eastAsia" w:ascii="宋体" w:hAnsi="宋体"/>
          <w:color w:val="auto"/>
          <w:sz w:val="24"/>
          <w:u w:val="single"/>
        </w:rPr>
        <w:t>增江街南山路建设工程施工总承包</w:t>
      </w:r>
      <w:r>
        <w:rPr>
          <w:rFonts w:hint="eastAsia" w:ascii="宋体" w:hAnsi="宋体" w:cs="宋体"/>
          <w:bCs/>
          <w:color w:val="auto"/>
          <w:sz w:val="24"/>
          <w:szCs w:val="24"/>
          <w:u w:val="single"/>
        </w:rPr>
        <w:t xml:space="preserve"> </w:t>
      </w:r>
      <w:r>
        <w:rPr>
          <w:rFonts w:hint="eastAsia" w:ascii="宋体" w:hAnsi="宋体" w:cs="宋体"/>
          <w:bCs/>
          <w:color w:val="auto"/>
          <w:sz w:val="24"/>
          <w:szCs w:val="24"/>
        </w:rPr>
        <w:t>项目，我单位承诺将贯彻落实《广东省“百千万工程”指挥部城镇建设专班关于进一步推动建筑业企业与乡镇结对帮扶的指导意见》，积极响应广州市关于投身“百千万工程”的号召，主动参与建筑业结对帮扶工作。</w:t>
      </w:r>
    </w:p>
    <w:p>
      <w:pPr>
        <w:pStyle w:val="112"/>
        <w:spacing w:line="560" w:lineRule="exact"/>
        <w:ind w:firstLine="480" w:firstLineChars="200"/>
        <w:rPr>
          <w:rFonts w:ascii="宋体" w:hAnsi="宋体" w:cs="宋体"/>
          <w:bCs/>
          <w:color w:val="auto"/>
          <w:sz w:val="24"/>
          <w:szCs w:val="24"/>
        </w:rPr>
      </w:pPr>
      <w:r>
        <w:rPr>
          <w:rFonts w:hint="eastAsia" w:ascii="宋体" w:hAnsi="宋体" w:cs="宋体"/>
          <w:bCs/>
          <w:color w:val="auto"/>
          <w:sz w:val="24"/>
          <w:szCs w:val="24"/>
        </w:rPr>
        <w:t>我单位将切实履约践诺，进一步做好广州市建筑业结对帮扶工作，以增强我单位成就感、荣誉感和获得感。</w:t>
      </w:r>
    </w:p>
    <w:p>
      <w:pPr>
        <w:pStyle w:val="112"/>
        <w:ind w:firstLine="4233" w:firstLineChars="1764"/>
        <w:rPr>
          <w:rFonts w:ascii="宋体" w:hAnsi="宋体" w:cs="宋体"/>
          <w:color w:val="auto"/>
          <w:sz w:val="24"/>
          <w:szCs w:val="24"/>
        </w:rPr>
      </w:pPr>
    </w:p>
    <w:p>
      <w:pPr>
        <w:pStyle w:val="112"/>
        <w:ind w:firstLine="4233" w:firstLineChars="1764"/>
        <w:rPr>
          <w:rFonts w:ascii="宋体" w:hAnsi="宋体" w:cs="宋体"/>
          <w:color w:val="auto"/>
          <w:sz w:val="24"/>
          <w:szCs w:val="24"/>
        </w:rPr>
      </w:pPr>
    </w:p>
    <w:p>
      <w:pPr>
        <w:pStyle w:val="112"/>
        <w:ind w:firstLine="4233" w:firstLineChars="1764"/>
        <w:rPr>
          <w:rFonts w:ascii="宋体" w:hAnsi="宋体" w:cs="宋体"/>
          <w:color w:val="auto"/>
          <w:sz w:val="24"/>
          <w:szCs w:val="24"/>
        </w:rPr>
      </w:pPr>
    </w:p>
    <w:p>
      <w:pPr>
        <w:pStyle w:val="112"/>
        <w:ind w:firstLine="4233" w:firstLineChars="1764"/>
        <w:rPr>
          <w:rFonts w:ascii="宋体" w:hAnsi="宋体" w:cs="宋体"/>
          <w:color w:val="auto"/>
          <w:sz w:val="24"/>
          <w:szCs w:val="24"/>
        </w:rPr>
      </w:pPr>
    </w:p>
    <w:p>
      <w:pPr>
        <w:topLinePunct/>
        <w:adjustRightInd w:val="0"/>
        <w:snapToGrid w:val="0"/>
        <w:spacing w:line="440" w:lineRule="exact"/>
        <w:ind w:firstLine="3462" w:firstLineChars="1396"/>
        <w:rPr>
          <w:rFonts w:ascii="宋体" w:hAnsi="宋体" w:cs="宋体"/>
          <w:snapToGrid w:val="0"/>
          <w:color w:val="auto"/>
          <w:spacing w:val="4"/>
          <w:kern w:val="0"/>
          <w:sz w:val="24"/>
          <w:szCs w:val="24"/>
        </w:rPr>
      </w:pPr>
      <w:r>
        <w:rPr>
          <w:rFonts w:hint="eastAsia" w:ascii="宋体" w:hAnsi="宋体" w:cs="宋体"/>
          <w:snapToGrid w:val="0"/>
          <w:color w:val="auto"/>
          <w:spacing w:val="4"/>
          <w:kern w:val="0"/>
          <w:sz w:val="24"/>
          <w:szCs w:val="24"/>
        </w:rPr>
        <w:t>投 标 人：              （盖章）</w:t>
      </w:r>
    </w:p>
    <w:p>
      <w:pPr>
        <w:topLinePunct/>
        <w:adjustRightInd w:val="0"/>
        <w:snapToGrid w:val="0"/>
        <w:spacing w:line="440" w:lineRule="exact"/>
        <w:ind w:firstLine="3462" w:firstLineChars="1396"/>
        <w:rPr>
          <w:rFonts w:ascii="宋体" w:hAnsi="宋体" w:cs="宋体"/>
          <w:snapToGrid w:val="0"/>
          <w:color w:val="auto"/>
          <w:spacing w:val="4"/>
          <w:kern w:val="0"/>
          <w:sz w:val="24"/>
          <w:szCs w:val="24"/>
        </w:rPr>
      </w:pPr>
      <w:r>
        <w:rPr>
          <w:rFonts w:hint="eastAsia" w:ascii="宋体" w:hAnsi="宋体" w:cs="宋体"/>
          <w:snapToGrid w:val="0"/>
          <w:color w:val="auto"/>
          <w:spacing w:val="4"/>
          <w:kern w:val="0"/>
          <w:sz w:val="24"/>
          <w:szCs w:val="24"/>
        </w:rPr>
        <w:t>法定代表人或授权代理人（签字或盖章）：</w:t>
      </w:r>
    </w:p>
    <w:p>
      <w:pPr>
        <w:topLinePunct/>
        <w:adjustRightInd w:val="0"/>
        <w:snapToGrid w:val="0"/>
        <w:spacing w:line="440" w:lineRule="exact"/>
        <w:ind w:firstLine="3462" w:firstLineChars="1396"/>
        <w:rPr>
          <w:rFonts w:ascii="宋体" w:hAnsi="宋体" w:cs="宋体"/>
          <w:snapToGrid w:val="0"/>
          <w:color w:val="auto"/>
          <w:spacing w:val="4"/>
          <w:kern w:val="0"/>
          <w:sz w:val="24"/>
          <w:szCs w:val="24"/>
        </w:rPr>
      </w:pPr>
      <w:r>
        <w:rPr>
          <w:rFonts w:hint="eastAsia" w:ascii="宋体" w:hAnsi="宋体" w:cs="宋体"/>
          <w:snapToGrid w:val="0"/>
          <w:color w:val="auto"/>
          <w:spacing w:val="4"/>
          <w:kern w:val="0"/>
          <w:sz w:val="24"/>
          <w:szCs w:val="24"/>
        </w:rPr>
        <w:t>日    期：    年    月    日</w:t>
      </w:r>
    </w:p>
    <w:p>
      <w:pPr>
        <w:rPr>
          <w:rStyle w:val="60"/>
          <w:color w:val="auto"/>
        </w:rPr>
      </w:pPr>
    </w:p>
    <w:p>
      <w:pPr>
        <w:tabs>
          <w:tab w:val="left" w:pos="720"/>
        </w:tabs>
        <w:snapToGrid w:val="0"/>
        <w:spacing w:line="360" w:lineRule="auto"/>
        <w:jc w:val="center"/>
        <w:rPr>
          <w:rStyle w:val="60"/>
          <w:color w:val="auto"/>
        </w:rPr>
      </w:pPr>
    </w:p>
    <w:p>
      <w:pPr>
        <w:tabs>
          <w:tab w:val="left" w:pos="720"/>
        </w:tabs>
        <w:snapToGrid w:val="0"/>
        <w:spacing w:line="360" w:lineRule="auto"/>
        <w:jc w:val="center"/>
        <w:rPr>
          <w:rStyle w:val="60"/>
          <w:color w:val="auto"/>
        </w:rPr>
      </w:pPr>
    </w:p>
    <w:p>
      <w:pPr>
        <w:tabs>
          <w:tab w:val="left" w:pos="720"/>
        </w:tabs>
        <w:snapToGrid w:val="0"/>
        <w:spacing w:line="360" w:lineRule="auto"/>
        <w:jc w:val="center"/>
        <w:rPr>
          <w:rStyle w:val="60"/>
          <w:color w:val="auto"/>
        </w:rPr>
      </w:pPr>
    </w:p>
    <w:p>
      <w:pPr>
        <w:tabs>
          <w:tab w:val="left" w:pos="720"/>
        </w:tabs>
        <w:snapToGrid w:val="0"/>
        <w:spacing w:line="360" w:lineRule="auto"/>
        <w:jc w:val="center"/>
        <w:rPr>
          <w:rStyle w:val="60"/>
          <w:color w:val="auto"/>
        </w:rPr>
      </w:pPr>
    </w:p>
    <w:p>
      <w:pPr>
        <w:tabs>
          <w:tab w:val="left" w:pos="720"/>
        </w:tabs>
        <w:snapToGrid w:val="0"/>
        <w:spacing w:line="360" w:lineRule="auto"/>
        <w:jc w:val="center"/>
        <w:rPr>
          <w:rStyle w:val="60"/>
          <w:color w:val="auto"/>
        </w:rPr>
      </w:pPr>
    </w:p>
    <w:p>
      <w:pPr>
        <w:tabs>
          <w:tab w:val="left" w:pos="720"/>
        </w:tabs>
        <w:snapToGrid w:val="0"/>
        <w:spacing w:line="360" w:lineRule="auto"/>
        <w:jc w:val="center"/>
        <w:rPr>
          <w:rStyle w:val="60"/>
          <w:color w:val="auto"/>
        </w:rPr>
      </w:pPr>
    </w:p>
    <w:p>
      <w:pPr>
        <w:tabs>
          <w:tab w:val="left" w:pos="720"/>
        </w:tabs>
        <w:snapToGrid w:val="0"/>
        <w:spacing w:line="360" w:lineRule="auto"/>
        <w:jc w:val="center"/>
        <w:rPr>
          <w:rStyle w:val="60"/>
          <w:color w:val="auto"/>
        </w:rPr>
      </w:pPr>
    </w:p>
    <w:p>
      <w:pPr>
        <w:tabs>
          <w:tab w:val="left" w:pos="720"/>
        </w:tabs>
        <w:snapToGrid w:val="0"/>
        <w:spacing w:line="360" w:lineRule="auto"/>
        <w:jc w:val="center"/>
        <w:rPr>
          <w:rStyle w:val="60"/>
          <w:color w:val="auto"/>
        </w:rPr>
      </w:pPr>
    </w:p>
    <w:p>
      <w:pPr>
        <w:pStyle w:val="2"/>
        <w:rPr>
          <w:color w:val="auto"/>
        </w:rPr>
      </w:pPr>
    </w:p>
    <w:p>
      <w:pPr>
        <w:tabs>
          <w:tab w:val="left" w:pos="720"/>
        </w:tabs>
        <w:snapToGrid w:val="0"/>
        <w:spacing w:line="360" w:lineRule="auto"/>
        <w:jc w:val="center"/>
        <w:rPr>
          <w:rStyle w:val="60"/>
          <w:color w:val="auto"/>
        </w:rPr>
      </w:pPr>
      <w:bookmarkStart w:id="45" w:name="_Toc4366"/>
      <w:r>
        <w:rPr>
          <w:rStyle w:val="60"/>
          <w:rFonts w:hint="eastAsia"/>
          <w:color w:val="auto"/>
        </w:rPr>
        <w:t>第五章</w:t>
      </w:r>
      <w:r>
        <w:rPr>
          <w:rStyle w:val="60"/>
          <w:color w:val="auto"/>
        </w:rPr>
        <w:t xml:space="preserve">  </w:t>
      </w:r>
      <w:r>
        <w:rPr>
          <w:rStyle w:val="60"/>
          <w:rFonts w:hint="eastAsia"/>
          <w:color w:val="auto"/>
        </w:rPr>
        <w:t>技术条件（工程建设标准）</w:t>
      </w:r>
      <w:bookmarkEnd w:id="38"/>
    </w:p>
    <w:bookmarkEnd w:id="45"/>
    <w:p>
      <w:pPr>
        <w:rPr>
          <w:rFonts w:ascii="宋体" w:hAnsi="宋体" w:cs="宋体"/>
          <w:b/>
          <w:color w:val="auto"/>
          <w:sz w:val="24"/>
          <w:szCs w:val="24"/>
        </w:rPr>
      </w:pPr>
      <w:bookmarkStart w:id="46" w:name="_Toc2272569"/>
      <w:r>
        <w:rPr>
          <w:rFonts w:hint="eastAsia" w:ascii="宋体" w:hAnsi="宋体" w:cs="宋体"/>
          <w:b/>
          <w:color w:val="auto"/>
          <w:sz w:val="24"/>
          <w:szCs w:val="24"/>
        </w:rPr>
        <w:t>1.标准</w:t>
      </w:r>
    </w:p>
    <w:p>
      <w:pPr>
        <w:rPr>
          <w:rFonts w:ascii="宋体" w:hAnsi="宋体" w:cs="宋体"/>
          <w:color w:val="auto"/>
          <w:sz w:val="24"/>
          <w:szCs w:val="24"/>
        </w:rPr>
      </w:pPr>
      <w:r>
        <w:rPr>
          <w:rFonts w:hint="eastAsia" w:ascii="宋体" w:hAnsi="宋体" w:cs="宋体"/>
          <w:color w:val="auto"/>
          <w:sz w:val="24"/>
          <w:szCs w:val="24"/>
        </w:rPr>
        <w:t>引用的国家及有关部委颁布的标准、规范、和规程。若施工时期建设主管部门颁布新的规范、标准，则按照新的规范、标准执行。</w:t>
      </w:r>
    </w:p>
    <w:p>
      <w:pPr>
        <w:rPr>
          <w:rFonts w:ascii="宋体" w:hAnsi="宋体" w:cs="宋体"/>
          <w:color w:val="auto"/>
          <w:sz w:val="24"/>
          <w:szCs w:val="24"/>
        </w:rPr>
      </w:pPr>
    </w:p>
    <w:p>
      <w:pPr>
        <w:rPr>
          <w:rFonts w:ascii="宋体" w:hAnsi="宋体" w:cs="宋体"/>
          <w:b/>
          <w:color w:val="auto"/>
          <w:sz w:val="24"/>
          <w:szCs w:val="24"/>
        </w:rPr>
      </w:pPr>
      <w:r>
        <w:rPr>
          <w:rFonts w:hint="eastAsia" w:ascii="宋体" w:hAnsi="宋体" w:cs="宋体"/>
          <w:b/>
          <w:color w:val="auto"/>
          <w:sz w:val="24"/>
          <w:szCs w:val="24"/>
        </w:rPr>
        <w:t>2、施工组织设计要点</w:t>
      </w:r>
    </w:p>
    <w:p>
      <w:pPr>
        <w:rPr>
          <w:rFonts w:ascii="宋体" w:hAnsi="宋体" w:cs="宋体"/>
          <w:color w:val="auto"/>
          <w:sz w:val="24"/>
          <w:szCs w:val="24"/>
        </w:rPr>
      </w:pPr>
      <w:r>
        <w:rPr>
          <w:rFonts w:hint="eastAsia" w:ascii="宋体" w:hAnsi="宋体" w:cs="宋体"/>
          <w:color w:val="auto"/>
          <w:sz w:val="24"/>
          <w:szCs w:val="24"/>
        </w:rPr>
        <w:t>如果中标，中标人应按项目的进展需求，并在规定的时间内按要点要求，编制详细的施工组织设计，作为工程施工的指导性文件，向建设单位提交一式五份的《施工组织设计方案》，内容包括（不限于）以下：</w:t>
      </w:r>
    </w:p>
    <w:p>
      <w:pPr>
        <w:rPr>
          <w:rFonts w:ascii="宋体" w:hAnsi="宋体" w:cs="宋体"/>
          <w:color w:val="auto"/>
          <w:sz w:val="24"/>
          <w:szCs w:val="24"/>
        </w:rPr>
      </w:pPr>
      <w:r>
        <w:rPr>
          <w:rFonts w:hint="eastAsia" w:ascii="宋体" w:hAnsi="宋体" w:cs="宋体"/>
          <w:color w:val="auto"/>
          <w:sz w:val="24"/>
          <w:szCs w:val="24"/>
        </w:rPr>
        <w:t>（一）工程概况及特点</w:t>
      </w:r>
    </w:p>
    <w:p>
      <w:pPr>
        <w:rPr>
          <w:rFonts w:ascii="宋体" w:hAnsi="宋体" w:cs="宋体"/>
          <w:color w:val="auto"/>
          <w:sz w:val="24"/>
          <w:szCs w:val="24"/>
        </w:rPr>
      </w:pPr>
      <w:r>
        <w:rPr>
          <w:rFonts w:hint="eastAsia" w:ascii="宋体" w:hAnsi="宋体" w:cs="宋体"/>
          <w:color w:val="auto"/>
          <w:sz w:val="24"/>
          <w:szCs w:val="24"/>
        </w:rPr>
        <w:t>1.1 工程概况</w:t>
      </w:r>
    </w:p>
    <w:p>
      <w:pPr>
        <w:rPr>
          <w:rFonts w:ascii="宋体" w:hAnsi="宋体" w:cs="宋体"/>
          <w:color w:val="auto"/>
          <w:sz w:val="24"/>
          <w:szCs w:val="24"/>
        </w:rPr>
      </w:pPr>
      <w:r>
        <w:rPr>
          <w:rFonts w:hint="eastAsia" w:ascii="宋体" w:hAnsi="宋体" w:cs="宋体"/>
          <w:color w:val="auto"/>
          <w:sz w:val="24"/>
          <w:szCs w:val="24"/>
        </w:rPr>
        <w:t>工程简述，工程规模，工程承包范围，地质及地貌状况，自然环境，交通情况等。</w:t>
      </w:r>
    </w:p>
    <w:p>
      <w:pPr>
        <w:rPr>
          <w:rFonts w:ascii="宋体" w:hAnsi="宋体" w:cs="宋体"/>
          <w:color w:val="auto"/>
          <w:sz w:val="24"/>
          <w:szCs w:val="24"/>
        </w:rPr>
      </w:pPr>
      <w:r>
        <w:rPr>
          <w:rFonts w:hint="eastAsia" w:ascii="宋体" w:hAnsi="宋体" w:cs="宋体"/>
          <w:color w:val="auto"/>
          <w:sz w:val="24"/>
          <w:szCs w:val="24"/>
        </w:rPr>
        <w:t>1.2 工程特点</w:t>
      </w:r>
    </w:p>
    <w:p>
      <w:pPr>
        <w:rPr>
          <w:rFonts w:ascii="宋体" w:hAnsi="宋体" w:cs="宋体"/>
          <w:color w:val="auto"/>
          <w:sz w:val="24"/>
          <w:szCs w:val="24"/>
        </w:rPr>
      </w:pPr>
      <w:r>
        <w:rPr>
          <w:rFonts w:hint="eastAsia" w:ascii="宋体" w:hAnsi="宋体" w:cs="宋体"/>
          <w:color w:val="auto"/>
          <w:sz w:val="24"/>
          <w:szCs w:val="24"/>
        </w:rPr>
        <w:t>设计特点、工程特点、影响施工的主要和特殊环节分析等。</w:t>
      </w:r>
    </w:p>
    <w:p>
      <w:pPr>
        <w:rPr>
          <w:rFonts w:ascii="宋体" w:hAnsi="宋体" w:cs="宋体"/>
          <w:color w:val="auto"/>
          <w:sz w:val="24"/>
          <w:szCs w:val="24"/>
        </w:rPr>
      </w:pPr>
      <w:r>
        <w:rPr>
          <w:rFonts w:hint="eastAsia" w:ascii="宋体" w:hAnsi="宋体" w:cs="宋体"/>
          <w:color w:val="auto"/>
          <w:sz w:val="24"/>
          <w:szCs w:val="24"/>
        </w:rPr>
        <w:t>（二）施工现场组织机构</w:t>
      </w:r>
    </w:p>
    <w:p>
      <w:pPr>
        <w:rPr>
          <w:rFonts w:ascii="宋体" w:hAnsi="宋体" w:cs="宋体"/>
          <w:color w:val="auto"/>
          <w:sz w:val="24"/>
          <w:szCs w:val="24"/>
        </w:rPr>
      </w:pPr>
      <w:r>
        <w:rPr>
          <w:rFonts w:hint="eastAsia" w:ascii="宋体" w:hAnsi="宋体" w:cs="宋体"/>
          <w:color w:val="auto"/>
          <w:sz w:val="24"/>
          <w:szCs w:val="24"/>
        </w:rPr>
        <w:t>2.1 组织机构关系图</w:t>
      </w:r>
    </w:p>
    <w:p>
      <w:pPr>
        <w:rPr>
          <w:rFonts w:ascii="宋体" w:hAnsi="宋体" w:cs="宋体"/>
          <w:color w:val="auto"/>
          <w:sz w:val="24"/>
          <w:szCs w:val="24"/>
        </w:rPr>
      </w:pPr>
      <w:r>
        <w:rPr>
          <w:rFonts w:hint="eastAsia" w:ascii="宋体" w:hAnsi="宋体" w:cs="宋体"/>
          <w:color w:val="auto"/>
          <w:sz w:val="24"/>
          <w:szCs w:val="24"/>
        </w:rPr>
        <w:t>2.2 工程主要负责人简介。</w:t>
      </w:r>
    </w:p>
    <w:p>
      <w:pPr>
        <w:rPr>
          <w:rFonts w:ascii="宋体" w:hAnsi="宋体" w:cs="宋体"/>
          <w:color w:val="auto"/>
          <w:sz w:val="24"/>
          <w:szCs w:val="24"/>
        </w:rPr>
      </w:pPr>
      <w:r>
        <w:rPr>
          <w:rFonts w:hint="eastAsia" w:ascii="宋体" w:hAnsi="宋体" w:cs="宋体"/>
          <w:color w:val="auto"/>
          <w:sz w:val="24"/>
          <w:szCs w:val="24"/>
        </w:rPr>
        <w:t>（三）施工现场总平面布置图</w:t>
      </w:r>
    </w:p>
    <w:p>
      <w:pPr>
        <w:rPr>
          <w:rFonts w:ascii="宋体" w:hAnsi="宋体" w:cs="宋体"/>
          <w:color w:val="auto"/>
          <w:sz w:val="24"/>
          <w:szCs w:val="24"/>
        </w:rPr>
      </w:pPr>
      <w:r>
        <w:rPr>
          <w:rFonts w:hint="eastAsia" w:ascii="宋体" w:hAnsi="宋体" w:cs="宋体"/>
          <w:color w:val="auto"/>
          <w:sz w:val="24"/>
          <w:szCs w:val="24"/>
        </w:rPr>
        <w:t>3.1 施工现场平面布置图</w:t>
      </w:r>
    </w:p>
    <w:p>
      <w:pPr>
        <w:rPr>
          <w:rFonts w:ascii="宋体" w:hAnsi="宋体" w:cs="宋体"/>
          <w:color w:val="auto"/>
          <w:sz w:val="24"/>
          <w:szCs w:val="24"/>
        </w:rPr>
      </w:pPr>
      <w:r>
        <w:rPr>
          <w:rFonts w:hint="eastAsia" w:ascii="宋体" w:hAnsi="宋体" w:cs="宋体"/>
          <w:color w:val="auto"/>
          <w:sz w:val="24"/>
          <w:szCs w:val="24"/>
        </w:rPr>
        <w:t>平面布置要求内容全面，充分利用现场条件，合理布置施工队、材料站、指挥部等。确定现场指挥部（工程处）和工区的驻地，材料站的设置，施工工区与施工班驻地，主要交通道路和通讯设施。平面布置图采用A3纸，图面要求线条清晰、标志明确。</w:t>
      </w:r>
    </w:p>
    <w:p>
      <w:pPr>
        <w:rPr>
          <w:rFonts w:ascii="宋体" w:hAnsi="宋体" w:cs="宋体"/>
          <w:color w:val="auto"/>
          <w:sz w:val="24"/>
          <w:szCs w:val="24"/>
        </w:rPr>
      </w:pPr>
      <w:r>
        <w:rPr>
          <w:rFonts w:hint="eastAsia" w:ascii="宋体" w:hAnsi="宋体" w:cs="宋体"/>
          <w:color w:val="auto"/>
          <w:sz w:val="24"/>
          <w:szCs w:val="24"/>
        </w:rPr>
        <w:t>（四）施工方案</w:t>
      </w:r>
    </w:p>
    <w:p>
      <w:pPr>
        <w:rPr>
          <w:rFonts w:ascii="宋体" w:hAnsi="宋体" w:cs="宋体"/>
          <w:color w:val="auto"/>
          <w:sz w:val="24"/>
          <w:szCs w:val="24"/>
        </w:rPr>
      </w:pPr>
      <w:r>
        <w:rPr>
          <w:rFonts w:hint="eastAsia" w:ascii="宋体" w:hAnsi="宋体" w:cs="宋体"/>
          <w:color w:val="auto"/>
          <w:sz w:val="24"/>
          <w:szCs w:val="24"/>
        </w:rPr>
        <w:t>4.1 施工准备</w:t>
      </w:r>
    </w:p>
    <w:p>
      <w:pPr>
        <w:rPr>
          <w:rFonts w:ascii="宋体" w:hAnsi="宋体" w:cs="宋体"/>
          <w:color w:val="auto"/>
          <w:sz w:val="24"/>
          <w:szCs w:val="24"/>
        </w:rPr>
      </w:pPr>
      <w:r>
        <w:rPr>
          <w:rFonts w:hint="eastAsia" w:ascii="宋体" w:hAnsi="宋体" w:cs="宋体"/>
          <w:color w:val="auto"/>
          <w:sz w:val="24"/>
          <w:szCs w:val="24"/>
        </w:rPr>
        <w:t>简要叙述施工技术资料、材料、通讯、施工场地的准备，施工机械、施工力量的配置，以及生活设施等的准备情况。主要施工机械设备表。</w:t>
      </w:r>
    </w:p>
    <w:p>
      <w:pPr>
        <w:rPr>
          <w:rFonts w:ascii="宋体" w:hAnsi="宋体" w:cs="宋体"/>
          <w:color w:val="auto"/>
          <w:sz w:val="24"/>
          <w:szCs w:val="24"/>
        </w:rPr>
      </w:pPr>
      <w:r>
        <w:rPr>
          <w:rFonts w:hint="eastAsia" w:ascii="宋体" w:hAnsi="宋体" w:cs="宋体"/>
          <w:color w:val="auto"/>
          <w:sz w:val="24"/>
          <w:szCs w:val="24"/>
        </w:rPr>
        <w:t>4.2 施工工序总体安排</w:t>
      </w:r>
    </w:p>
    <w:p>
      <w:pPr>
        <w:rPr>
          <w:rFonts w:ascii="宋体" w:hAnsi="宋体" w:cs="宋体"/>
          <w:color w:val="auto"/>
          <w:sz w:val="24"/>
          <w:szCs w:val="24"/>
        </w:rPr>
      </w:pPr>
      <w:r>
        <w:rPr>
          <w:rFonts w:hint="eastAsia" w:ascii="宋体" w:hAnsi="宋体" w:cs="宋体"/>
          <w:color w:val="auto"/>
          <w:sz w:val="24"/>
          <w:szCs w:val="24"/>
        </w:rPr>
        <w:t>4.3 主要工序和特殊工序的施工方法和施工效率估计，潜在问题的分析。</w:t>
      </w:r>
    </w:p>
    <w:p>
      <w:pPr>
        <w:rPr>
          <w:rFonts w:ascii="宋体" w:hAnsi="宋体" w:cs="宋体"/>
          <w:color w:val="auto"/>
          <w:sz w:val="24"/>
          <w:szCs w:val="24"/>
        </w:rPr>
      </w:pPr>
      <w:r>
        <w:rPr>
          <w:rFonts w:hint="eastAsia" w:ascii="宋体" w:hAnsi="宋体" w:cs="宋体"/>
          <w:color w:val="auto"/>
          <w:sz w:val="24"/>
          <w:szCs w:val="24"/>
        </w:rPr>
        <w:t>4.4 工程成本的控制措施为控制成本，提高效益，拟采取的措施。</w:t>
      </w:r>
    </w:p>
    <w:p>
      <w:pPr>
        <w:rPr>
          <w:rFonts w:ascii="宋体" w:hAnsi="宋体" w:cs="宋体"/>
          <w:color w:val="auto"/>
          <w:sz w:val="24"/>
          <w:szCs w:val="24"/>
        </w:rPr>
      </w:pPr>
      <w:r>
        <w:rPr>
          <w:rFonts w:hint="eastAsia" w:ascii="宋体" w:hAnsi="宋体" w:cs="宋体"/>
          <w:color w:val="auto"/>
          <w:sz w:val="24"/>
          <w:szCs w:val="24"/>
        </w:rPr>
        <w:t>（五）工期及施工进度计划</w:t>
      </w:r>
    </w:p>
    <w:p>
      <w:pPr>
        <w:rPr>
          <w:rFonts w:ascii="宋体" w:hAnsi="宋体" w:cs="宋体"/>
          <w:color w:val="auto"/>
          <w:sz w:val="24"/>
          <w:szCs w:val="24"/>
        </w:rPr>
      </w:pPr>
      <w:r>
        <w:rPr>
          <w:rFonts w:hint="eastAsia" w:ascii="宋体" w:hAnsi="宋体" w:cs="宋体"/>
          <w:color w:val="auto"/>
          <w:sz w:val="24"/>
          <w:szCs w:val="24"/>
        </w:rPr>
        <w:t>5.1 工期规划及要求</w:t>
      </w:r>
    </w:p>
    <w:p>
      <w:pPr>
        <w:rPr>
          <w:rFonts w:ascii="宋体" w:hAnsi="宋体" w:cs="宋体"/>
          <w:color w:val="auto"/>
          <w:sz w:val="24"/>
          <w:szCs w:val="24"/>
        </w:rPr>
      </w:pPr>
      <w:r>
        <w:rPr>
          <w:rFonts w:hint="eastAsia" w:ascii="宋体" w:hAnsi="宋体" w:cs="宋体"/>
          <w:color w:val="auto"/>
          <w:sz w:val="24"/>
          <w:szCs w:val="24"/>
        </w:rPr>
        <w:t>用横道图反映各主要施工过程的计划进度，深度达到全面、准确、清楚的描述工程实施过程，从中可衍生出各种施工资源计划及其过程管理信息。</w:t>
      </w:r>
    </w:p>
    <w:p>
      <w:pPr>
        <w:rPr>
          <w:rFonts w:ascii="宋体" w:hAnsi="宋体" w:cs="宋体"/>
          <w:color w:val="auto"/>
          <w:sz w:val="24"/>
          <w:szCs w:val="24"/>
        </w:rPr>
      </w:pPr>
      <w:r>
        <w:rPr>
          <w:rFonts w:hint="eastAsia" w:ascii="宋体" w:hAnsi="宋体" w:cs="宋体"/>
          <w:color w:val="auto"/>
          <w:sz w:val="24"/>
          <w:szCs w:val="24"/>
        </w:rPr>
        <w:t>5.2 施工进度计划网络图</w:t>
      </w:r>
    </w:p>
    <w:p>
      <w:pPr>
        <w:rPr>
          <w:rFonts w:ascii="宋体" w:hAnsi="宋体" w:cs="宋体"/>
          <w:color w:val="auto"/>
          <w:sz w:val="24"/>
          <w:szCs w:val="24"/>
        </w:rPr>
      </w:pPr>
      <w:r>
        <w:rPr>
          <w:rFonts w:hint="eastAsia" w:ascii="宋体" w:hAnsi="宋体" w:cs="宋体"/>
          <w:color w:val="auto"/>
          <w:sz w:val="24"/>
          <w:szCs w:val="24"/>
        </w:rPr>
        <w:t>施工网络图应明确工程开工、竣工日期，工程施工的关键路线，并针对关键工序，提出确保工期拟采取的措施。</w:t>
      </w:r>
    </w:p>
    <w:p>
      <w:pPr>
        <w:rPr>
          <w:rFonts w:ascii="宋体" w:hAnsi="宋体" w:cs="宋体"/>
          <w:color w:val="auto"/>
          <w:sz w:val="24"/>
          <w:szCs w:val="24"/>
        </w:rPr>
      </w:pPr>
      <w:r>
        <w:rPr>
          <w:rFonts w:hint="eastAsia" w:ascii="宋体" w:hAnsi="宋体" w:cs="宋体"/>
          <w:color w:val="auto"/>
          <w:sz w:val="24"/>
          <w:szCs w:val="24"/>
        </w:rPr>
        <w:t>5.3 施工资源（人力、材料、机具、场地及进场道路、公共关系）计划</w:t>
      </w:r>
    </w:p>
    <w:p>
      <w:pPr>
        <w:rPr>
          <w:rFonts w:ascii="宋体" w:hAnsi="宋体" w:cs="宋体"/>
          <w:color w:val="auto"/>
          <w:sz w:val="24"/>
          <w:szCs w:val="24"/>
        </w:rPr>
      </w:pPr>
      <w:r>
        <w:rPr>
          <w:rFonts w:hint="eastAsia" w:ascii="宋体" w:hAnsi="宋体" w:cs="宋体"/>
          <w:color w:val="auto"/>
          <w:sz w:val="24"/>
          <w:szCs w:val="24"/>
        </w:rPr>
        <w:t>5.4 施工进度计划分析</w:t>
      </w:r>
    </w:p>
    <w:p>
      <w:pPr>
        <w:rPr>
          <w:rFonts w:ascii="宋体" w:hAnsi="宋体" w:cs="宋体"/>
          <w:color w:val="auto"/>
          <w:sz w:val="24"/>
          <w:szCs w:val="24"/>
        </w:rPr>
      </w:pPr>
      <w:r>
        <w:rPr>
          <w:rFonts w:hint="eastAsia" w:ascii="宋体" w:hAnsi="宋体" w:cs="宋体"/>
          <w:color w:val="auto"/>
          <w:sz w:val="24"/>
          <w:szCs w:val="24"/>
        </w:rPr>
        <w:t>计划潜在问题，计划中的潜力及其开发途径等。</w:t>
      </w:r>
    </w:p>
    <w:p>
      <w:pPr>
        <w:rPr>
          <w:rFonts w:ascii="宋体" w:hAnsi="宋体" w:cs="宋体"/>
          <w:color w:val="auto"/>
          <w:sz w:val="24"/>
          <w:szCs w:val="24"/>
        </w:rPr>
      </w:pPr>
      <w:r>
        <w:rPr>
          <w:rFonts w:hint="eastAsia" w:ascii="宋体" w:hAnsi="宋体" w:cs="宋体"/>
          <w:color w:val="auto"/>
          <w:sz w:val="24"/>
          <w:szCs w:val="24"/>
        </w:rPr>
        <w:t>5.5 计划控制</w:t>
      </w:r>
    </w:p>
    <w:p>
      <w:pPr>
        <w:rPr>
          <w:rFonts w:ascii="宋体" w:hAnsi="宋体" w:cs="宋体"/>
          <w:color w:val="auto"/>
          <w:sz w:val="24"/>
          <w:szCs w:val="24"/>
        </w:rPr>
      </w:pPr>
      <w:r>
        <w:rPr>
          <w:rFonts w:hint="eastAsia" w:ascii="宋体" w:hAnsi="宋体" w:cs="宋体"/>
          <w:color w:val="auto"/>
          <w:sz w:val="24"/>
          <w:szCs w:val="24"/>
        </w:rPr>
        <w:t>程序、方法及制度等。</w:t>
      </w:r>
    </w:p>
    <w:p>
      <w:pPr>
        <w:rPr>
          <w:rFonts w:ascii="宋体" w:hAnsi="宋体" w:cs="宋体"/>
          <w:color w:val="auto"/>
          <w:sz w:val="24"/>
          <w:szCs w:val="24"/>
        </w:rPr>
      </w:pPr>
      <w:r>
        <w:rPr>
          <w:rFonts w:hint="eastAsia" w:ascii="宋体" w:hAnsi="宋体" w:cs="宋体"/>
          <w:color w:val="auto"/>
          <w:sz w:val="24"/>
          <w:szCs w:val="24"/>
        </w:rPr>
        <w:t>（六）质量目标、质量保证体系及技术组织措施</w:t>
      </w:r>
    </w:p>
    <w:p>
      <w:pPr>
        <w:rPr>
          <w:rFonts w:ascii="宋体" w:hAnsi="宋体" w:cs="宋体"/>
          <w:color w:val="auto"/>
          <w:sz w:val="24"/>
          <w:szCs w:val="24"/>
        </w:rPr>
      </w:pPr>
      <w:r>
        <w:rPr>
          <w:rFonts w:hint="eastAsia" w:ascii="宋体" w:hAnsi="宋体" w:cs="宋体"/>
          <w:color w:val="auto"/>
          <w:sz w:val="24"/>
          <w:szCs w:val="24"/>
        </w:rPr>
        <w:t>6.1 质量目标</w:t>
      </w:r>
    </w:p>
    <w:p>
      <w:pPr>
        <w:rPr>
          <w:rFonts w:ascii="宋体" w:hAnsi="宋体" w:cs="宋体"/>
          <w:color w:val="auto"/>
          <w:sz w:val="24"/>
          <w:szCs w:val="24"/>
        </w:rPr>
      </w:pPr>
      <w:r>
        <w:rPr>
          <w:rFonts w:hint="eastAsia" w:ascii="宋体" w:hAnsi="宋体" w:cs="宋体"/>
          <w:color w:val="auto"/>
          <w:sz w:val="24"/>
          <w:szCs w:val="24"/>
        </w:rPr>
        <w:t>本工程要求的质量目标：合格。</w:t>
      </w:r>
    </w:p>
    <w:p>
      <w:pPr>
        <w:rPr>
          <w:rFonts w:ascii="宋体" w:hAnsi="宋体" w:cs="宋体"/>
          <w:color w:val="auto"/>
          <w:sz w:val="24"/>
          <w:szCs w:val="24"/>
        </w:rPr>
      </w:pPr>
      <w:r>
        <w:rPr>
          <w:rFonts w:hint="eastAsia" w:ascii="宋体" w:hAnsi="宋体" w:cs="宋体"/>
          <w:color w:val="auto"/>
          <w:sz w:val="24"/>
          <w:szCs w:val="24"/>
        </w:rPr>
        <w:t>用单位工程和分项工程合格率、优良品率表示，欲达到的工程质量等级。</w:t>
      </w:r>
    </w:p>
    <w:p>
      <w:pPr>
        <w:rPr>
          <w:rFonts w:ascii="宋体" w:hAnsi="宋体" w:cs="宋体"/>
          <w:color w:val="auto"/>
          <w:sz w:val="24"/>
          <w:szCs w:val="24"/>
        </w:rPr>
      </w:pPr>
      <w:r>
        <w:rPr>
          <w:rFonts w:hint="eastAsia" w:ascii="宋体" w:hAnsi="宋体" w:cs="宋体"/>
          <w:color w:val="auto"/>
          <w:sz w:val="24"/>
          <w:szCs w:val="24"/>
        </w:rPr>
        <w:t>6.2 质量管理组织机构及主要职责</w:t>
      </w:r>
    </w:p>
    <w:p>
      <w:pPr>
        <w:rPr>
          <w:rFonts w:ascii="宋体" w:hAnsi="宋体" w:cs="宋体"/>
          <w:color w:val="auto"/>
          <w:sz w:val="24"/>
          <w:szCs w:val="24"/>
        </w:rPr>
      </w:pPr>
      <w:r>
        <w:rPr>
          <w:rFonts w:hint="eastAsia" w:ascii="宋体" w:hAnsi="宋体" w:cs="宋体"/>
          <w:color w:val="auto"/>
          <w:sz w:val="24"/>
          <w:szCs w:val="24"/>
        </w:rPr>
        <w:t>用框图表示质量管理组织机构，并简要叙述各质量管理部门的主要职责。</w:t>
      </w:r>
    </w:p>
    <w:p>
      <w:pPr>
        <w:rPr>
          <w:rFonts w:ascii="宋体" w:hAnsi="宋体" w:cs="宋体"/>
          <w:color w:val="auto"/>
          <w:sz w:val="24"/>
          <w:szCs w:val="24"/>
        </w:rPr>
      </w:pPr>
      <w:r>
        <w:rPr>
          <w:rFonts w:hint="eastAsia" w:ascii="宋体" w:hAnsi="宋体" w:cs="宋体"/>
          <w:color w:val="auto"/>
          <w:sz w:val="24"/>
          <w:szCs w:val="24"/>
        </w:rPr>
        <w:t>6.3 质量管理的措施</w:t>
      </w:r>
    </w:p>
    <w:p>
      <w:pPr>
        <w:rPr>
          <w:rFonts w:ascii="宋体" w:hAnsi="宋体" w:cs="宋体"/>
          <w:color w:val="auto"/>
          <w:sz w:val="24"/>
          <w:szCs w:val="24"/>
        </w:rPr>
      </w:pPr>
      <w:r>
        <w:rPr>
          <w:rFonts w:hint="eastAsia" w:ascii="宋体" w:hAnsi="宋体" w:cs="宋体"/>
          <w:color w:val="auto"/>
          <w:sz w:val="24"/>
          <w:szCs w:val="24"/>
        </w:rPr>
        <w:t>简要叙述质量管理的措施和关键工序的质量控制。</w:t>
      </w:r>
    </w:p>
    <w:p>
      <w:pPr>
        <w:rPr>
          <w:rFonts w:ascii="宋体" w:hAnsi="宋体" w:cs="宋体"/>
          <w:color w:val="auto"/>
          <w:sz w:val="24"/>
          <w:szCs w:val="24"/>
        </w:rPr>
      </w:pPr>
      <w:r>
        <w:rPr>
          <w:rFonts w:hint="eastAsia" w:ascii="宋体" w:hAnsi="宋体" w:cs="宋体"/>
          <w:color w:val="auto"/>
          <w:sz w:val="24"/>
          <w:szCs w:val="24"/>
        </w:rPr>
        <w:t>6.4 质量管理及检验的标准</w:t>
      </w:r>
    </w:p>
    <w:p>
      <w:pPr>
        <w:rPr>
          <w:rFonts w:ascii="宋体" w:hAnsi="宋体" w:cs="宋体"/>
          <w:color w:val="auto"/>
          <w:sz w:val="24"/>
          <w:szCs w:val="24"/>
        </w:rPr>
      </w:pPr>
      <w:r>
        <w:rPr>
          <w:rFonts w:hint="eastAsia" w:ascii="宋体" w:hAnsi="宋体" w:cs="宋体"/>
          <w:color w:val="auto"/>
          <w:sz w:val="24"/>
          <w:szCs w:val="24"/>
        </w:rPr>
        <w:t>执行的主要质量标准、规范。</w:t>
      </w:r>
    </w:p>
    <w:p>
      <w:pPr>
        <w:rPr>
          <w:rFonts w:ascii="宋体" w:hAnsi="宋体" w:cs="宋体"/>
          <w:color w:val="auto"/>
          <w:sz w:val="24"/>
          <w:szCs w:val="24"/>
        </w:rPr>
      </w:pPr>
      <w:r>
        <w:rPr>
          <w:rFonts w:hint="eastAsia" w:ascii="宋体" w:hAnsi="宋体" w:cs="宋体"/>
          <w:color w:val="auto"/>
          <w:sz w:val="24"/>
          <w:szCs w:val="24"/>
        </w:rPr>
        <w:t>6.5 质量保证技术措施</w:t>
      </w:r>
    </w:p>
    <w:p>
      <w:pPr>
        <w:rPr>
          <w:rFonts w:ascii="宋体" w:hAnsi="宋体" w:cs="宋体"/>
          <w:color w:val="auto"/>
          <w:sz w:val="24"/>
          <w:szCs w:val="24"/>
        </w:rPr>
      </w:pPr>
      <w:r>
        <w:rPr>
          <w:rFonts w:hint="eastAsia" w:ascii="宋体" w:hAnsi="宋体" w:cs="宋体"/>
          <w:color w:val="auto"/>
          <w:sz w:val="24"/>
          <w:szCs w:val="24"/>
        </w:rPr>
        <w:t>针对本工程特点，分析质量薄弱环节，拟将采取的技术措施。</w:t>
      </w:r>
    </w:p>
    <w:p>
      <w:pPr>
        <w:rPr>
          <w:rFonts w:ascii="宋体" w:hAnsi="宋体" w:cs="宋体"/>
          <w:color w:val="auto"/>
          <w:sz w:val="24"/>
          <w:szCs w:val="24"/>
        </w:rPr>
      </w:pPr>
      <w:r>
        <w:rPr>
          <w:rFonts w:hint="eastAsia" w:ascii="宋体" w:hAnsi="宋体" w:cs="宋体"/>
          <w:color w:val="auto"/>
          <w:sz w:val="24"/>
          <w:szCs w:val="24"/>
        </w:rPr>
        <w:t>（七）安全目标、安全保证体系及技术组织措施</w:t>
      </w:r>
    </w:p>
    <w:p>
      <w:pPr>
        <w:rPr>
          <w:rFonts w:ascii="宋体" w:hAnsi="宋体" w:cs="宋体"/>
          <w:color w:val="auto"/>
          <w:sz w:val="24"/>
          <w:szCs w:val="24"/>
        </w:rPr>
      </w:pPr>
      <w:r>
        <w:rPr>
          <w:rFonts w:hint="eastAsia" w:ascii="宋体" w:hAnsi="宋体" w:cs="宋体"/>
          <w:color w:val="auto"/>
          <w:sz w:val="24"/>
          <w:szCs w:val="24"/>
        </w:rPr>
        <w:t>7.1 安全管理目标</w:t>
      </w:r>
    </w:p>
    <w:p>
      <w:pPr>
        <w:rPr>
          <w:rFonts w:ascii="宋体" w:hAnsi="宋体" w:cs="宋体"/>
          <w:color w:val="auto"/>
          <w:sz w:val="24"/>
          <w:szCs w:val="24"/>
        </w:rPr>
      </w:pPr>
      <w:r>
        <w:rPr>
          <w:rFonts w:hint="eastAsia" w:ascii="宋体" w:hAnsi="宋体" w:cs="宋体"/>
          <w:color w:val="auto"/>
          <w:sz w:val="24"/>
          <w:szCs w:val="24"/>
        </w:rPr>
        <w:t>7.2 安全管理组织机构及主要职责</w:t>
      </w:r>
    </w:p>
    <w:p>
      <w:pPr>
        <w:rPr>
          <w:rFonts w:ascii="宋体" w:hAnsi="宋体" w:cs="宋体"/>
          <w:color w:val="auto"/>
          <w:sz w:val="24"/>
          <w:szCs w:val="24"/>
        </w:rPr>
      </w:pPr>
      <w:r>
        <w:rPr>
          <w:rFonts w:hint="eastAsia" w:ascii="宋体" w:hAnsi="宋体" w:cs="宋体"/>
          <w:color w:val="auto"/>
          <w:sz w:val="24"/>
          <w:szCs w:val="24"/>
        </w:rPr>
        <w:t>用框图表示安全管理组织机构，并简要叙述各安全管理部门及人员的主要职责。</w:t>
      </w:r>
    </w:p>
    <w:p>
      <w:pPr>
        <w:rPr>
          <w:rFonts w:ascii="宋体" w:hAnsi="宋体" w:cs="宋体"/>
          <w:color w:val="auto"/>
          <w:sz w:val="24"/>
          <w:szCs w:val="24"/>
        </w:rPr>
      </w:pPr>
      <w:r>
        <w:rPr>
          <w:rFonts w:hint="eastAsia" w:ascii="宋体" w:hAnsi="宋体" w:cs="宋体"/>
          <w:color w:val="auto"/>
          <w:sz w:val="24"/>
          <w:szCs w:val="24"/>
        </w:rPr>
        <w:t>7.3 安全管理制度及办法</w:t>
      </w:r>
    </w:p>
    <w:p>
      <w:pPr>
        <w:rPr>
          <w:rFonts w:ascii="宋体" w:hAnsi="宋体" w:cs="宋体"/>
          <w:color w:val="auto"/>
          <w:sz w:val="24"/>
          <w:szCs w:val="24"/>
        </w:rPr>
      </w:pPr>
      <w:r>
        <w:rPr>
          <w:rFonts w:hint="eastAsia" w:ascii="宋体" w:hAnsi="宋体" w:cs="宋体"/>
          <w:color w:val="auto"/>
          <w:sz w:val="24"/>
          <w:szCs w:val="24"/>
        </w:rPr>
        <w:t>7.4 安全组织技术措施</w:t>
      </w:r>
    </w:p>
    <w:p>
      <w:pPr>
        <w:rPr>
          <w:rFonts w:ascii="宋体" w:hAnsi="宋体" w:cs="宋体"/>
          <w:color w:val="auto"/>
          <w:sz w:val="24"/>
          <w:szCs w:val="24"/>
        </w:rPr>
      </w:pPr>
      <w:r>
        <w:rPr>
          <w:rFonts w:hint="eastAsia" w:ascii="宋体" w:hAnsi="宋体" w:cs="宋体"/>
          <w:color w:val="auto"/>
          <w:sz w:val="24"/>
          <w:szCs w:val="24"/>
        </w:rPr>
        <w:t>针对本工程特点，分析安全薄弱环节，拟将采取的技术措施。</w:t>
      </w:r>
    </w:p>
    <w:p>
      <w:pPr>
        <w:rPr>
          <w:rFonts w:ascii="宋体" w:hAnsi="宋体" w:cs="宋体"/>
          <w:color w:val="auto"/>
          <w:sz w:val="24"/>
          <w:szCs w:val="24"/>
        </w:rPr>
      </w:pPr>
      <w:r>
        <w:rPr>
          <w:rFonts w:hint="eastAsia" w:ascii="宋体" w:hAnsi="宋体" w:cs="宋体"/>
          <w:color w:val="auto"/>
          <w:sz w:val="24"/>
          <w:szCs w:val="24"/>
        </w:rPr>
        <w:t>7.5 重要施工方案和特殊施工工序的安全过程控制</w:t>
      </w:r>
    </w:p>
    <w:p>
      <w:pPr>
        <w:rPr>
          <w:rFonts w:ascii="宋体" w:hAnsi="宋体" w:cs="宋体"/>
          <w:color w:val="auto"/>
          <w:sz w:val="24"/>
          <w:szCs w:val="24"/>
        </w:rPr>
      </w:pPr>
      <w:r>
        <w:rPr>
          <w:rFonts w:hint="eastAsia" w:ascii="宋体" w:hAnsi="宋体" w:cs="宋体"/>
          <w:color w:val="auto"/>
          <w:sz w:val="24"/>
          <w:szCs w:val="24"/>
        </w:rPr>
        <w:t>7.6 严格执行《建筑施工安全检查标准》(JGJ59-99)和省、市建设主管部门有关文明施工的规定。并按照甲方要求安排工作时间，在施工中尽量减少噪音，必要时采取有效的隔音措施，混凝土浇灌需连续不间断作业时，按有关规定申报夜间施工许可证。</w:t>
      </w:r>
    </w:p>
    <w:p>
      <w:pPr>
        <w:rPr>
          <w:rFonts w:ascii="宋体" w:hAnsi="宋体" w:cs="宋体"/>
          <w:color w:val="auto"/>
          <w:sz w:val="24"/>
          <w:szCs w:val="24"/>
        </w:rPr>
      </w:pPr>
      <w:bookmarkStart w:id="47" w:name="_Hlt531956504"/>
      <w:r>
        <w:rPr>
          <w:rFonts w:hint="eastAsia" w:ascii="宋体" w:hAnsi="宋体" w:cs="宋体"/>
          <w:color w:val="auto"/>
          <w:sz w:val="24"/>
          <w:szCs w:val="24"/>
        </w:rPr>
        <w:t>安全生产目标：杜绝本项目施工人员重大伤亡事故。</w:t>
      </w:r>
      <w:bookmarkEnd w:id="47"/>
    </w:p>
    <w:p>
      <w:pPr>
        <w:rPr>
          <w:rFonts w:ascii="宋体" w:hAnsi="宋体" w:cs="宋体"/>
          <w:color w:val="auto"/>
          <w:sz w:val="24"/>
          <w:szCs w:val="24"/>
        </w:rPr>
      </w:pPr>
      <w:r>
        <w:rPr>
          <w:rFonts w:hint="eastAsia" w:ascii="宋体" w:hAnsi="宋体" w:cs="宋体"/>
          <w:color w:val="auto"/>
          <w:sz w:val="24"/>
          <w:szCs w:val="24"/>
        </w:rPr>
        <w:t>文明施工目标：标准化管理。</w:t>
      </w:r>
    </w:p>
    <w:p>
      <w:pPr>
        <w:rPr>
          <w:rFonts w:ascii="宋体" w:hAnsi="宋体" w:cs="宋体"/>
          <w:color w:val="auto"/>
          <w:sz w:val="24"/>
          <w:szCs w:val="24"/>
        </w:rPr>
      </w:pPr>
      <w:r>
        <w:rPr>
          <w:rFonts w:hint="eastAsia" w:ascii="宋体" w:hAnsi="宋体" w:cs="宋体"/>
          <w:color w:val="auto"/>
          <w:sz w:val="24"/>
          <w:szCs w:val="24"/>
        </w:rPr>
        <w:t>（八）环境保护及文明施工</w:t>
      </w:r>
    </w:p>
    <w:p>
      <w:pPr>
        <w:rPr>
          <w:rFonts w:ascii="宋体" w:hAnsi="宋体" w:cs="宋体"/>
          <w:color w:val="auto"/>
          <w:sz w:val="24"/>
          <w:szCs w:val="24"/>
        </w:rPr>
      </w:pPr>
      <w:r>
        <w:rPr>
          <w:rFonts w:hint="eastAsia" w:ascii="宋体" w:hAnsi="宋体" w:cs="宋体"/>
          <w:color w:val="auto"/>
          <w:sz w:val="24"/>
          <w:szCs w:val="24"/>
        </w:rPr>
        <w:t>8.1 环境保护</w:t>
      </w:r>
    </w:p>
    <w:p>
      <w:pPr>
        <w:rPr>
          <w:rFonts w:ascii="宋体" w:hAnsi="宋体" w:cs="宋体"/>
          <w:color w:val="auto"/>
          <w:sz w:val="24"/>
          <w:szCs w:val="24"/>
        </w:rPr>
      </w:pPr>
      <w:r>
        <w:rPr>
          <w:rFonts w:hint="eastAsia" w:ascii="宋体" w:hAnsi="宋体" w:cs="宋体"/>
          <w:color w:val="auto"/>
          <w:sz w:val="24"/>
          <w:szCs w:val="24"/>
        </w:rPr>
        <w:t>分析因施工可能引起的环境保护方面的问题。</w:t>
      </w:r>
    </w:p>
    <w:p>
      <w:pPr>
        <w:rPr>
          <w:rFonts w:ascii="宋体" w:hAnsi="宋体" w:cs="宋体"/>
          <w:color w:val="auto"/>
          <w:sz w:val="24"/>
          <w:szCs w:val="24"/>
        </w:rPr>
      </w:pPr>
      <w:r>
        <w:rPr>
          <w:rFonts w:hint="eastAsia" w:ascii="宋体" w:hAnsi="宋体" w:cs="宋体"/>
          <w:color w:val="auto"/>
          <w:sz w:val="24"/>
          <w:szCs w:val="24"/>
        </w:rPr>
        <w:t>8.2 加强施工管理、严格保护环境</w:t>
      </w:r>
    </w:p>
    <w:p>
      <w:pPr>
        <w:rPr>
          <w:rFonts w:ascii="宋体" w:hAnsi="宋体" w:cs="宋体"/>
          <w:color w:val="auto"/>
          <w:sz w:val="24"/>
          <w:szCs w:val="24"/>
        </w:rPr>
      </w:pPr>
      <w:r>
        <w:rPr>
          <w:rFonts w:hint="eastAsia" w:ascii="宋体" w:hAnsi="宋体" w:cs="宋体"/>
          <w:color w:val="auto"/>
          <w:sz w:val="24"/>
          <w:szCs w:val="24"/>
        </w:rPr>
        <w:t>提出环境保护的目标及采取的具体措施。</w:t>
      </w:r>
    </w:p>
    <w:p>
      <w:pPr>
        <w:rPr>
          <w:rFonts w:ascii="宋体" w:hAnsi="宋体" w:cs="宋体"/>
          <w:color w:val="auto"/>
          <w:sz w:val="24"/>
          <w:szCs w:val="24"/>
        </w:rPr>
      </w:pPr>
      <w:r>
        <w:rPr>
          <w:rFonts w:hint="eastAsia" w:ascii="宋体" w:hAnsi="宋体" w:cs="宋体"/>
          <w:color w:val="auto"/>
          <w:sz w:val="24"/>
          <w:szCs w:val="24"/>
        </w:rPr>
        <w:t>8.3 文明施工的目标、组织机构和实施方案</w:t>
      </w:r>
    </w:p>
    <w:p>
      <w:pPr>
        <w:rPr>
          <w:rFonts w:ascii="宋体" w:hAnsi="宋体" w:cs="宋体"/>
          <w:color w:val="auto"/>
          <w:sz w:val="24"/>
          <w:szCs w:val="24"/>
        </w:rPr>
      </w:pPr>
      <w:r>
        <w:rPr>
          <w:rFonts w:hint="eastAsia" w:ascii="宋体" w:hAnsi="宋体" w:cs="宋体"/>
          <w:color w:val="auto"/>
          <w:sz w:val="24"/>
          <w:szCs w:val="24"/>
        </w:rPr>
        <w:t>8.4 文明施工考核、管理办法</w:t>
      </w:r>
    </w:p>
    <w:p>
      <w:pPr>
        <w:rPr>
          <w:rFonts w:ascii="宋体" w:hAnsi="宋体" w:cs="宋体"/>
          <w:color w:val="auto"/>
          <w:sz w:val="24"/>
          <w:szCs w:val="24"/>
        </w:rPr>
      </w:pPr>
      <w:r>
        <w:rPr>
          <w:rFonts w:hint="eastAsia" w:ascii="宋体" w:hAnsi="宋体" w:cs="宋体"/>
          <w:color w:val="auto"/>
          <w:sz w:val="24"/>
          <w:szCs w:val="24"/>
        </w:rPr>
        <w:t>（九）计划、统计和信息管理</w:t>
      </w:r>
    </w:p>
    <w:p>
      <w:pPr>
        <w:rPr>
          <w:rFonts w:ascii="宋体" w:hAnsi="宋体" w:cs="宋体"/>
          <w:color w:val="auto"/>
          <w:sz w:val="24"/>
          <w:szCs w:val="24"/>
        </w:rPr>
      </w:pPr>
      <w:r>
        <w:rPr>
          <w:rFonts w:hint="eastAsia" w:ascii="宋体" w:hAnsi="宋体" w:cs="宋体"/>
          <w:color w:val="auto"/>
          <w:sz w:val="24"/>
          <w:szCs w:val="24"/>
        </w:rPr>
        <w:t>9.1 计划、统计报表的编制与传递；</w:t>
      </w:r>
    </w:p>
    <w:p>
      <w:pPr>
        <w:rPr>
          <w:rFonts w:ascii="宋体" w:hAnsi="宋体" w:cs="宋体"/>
          <w:color w:val="auto"/>
          <w:sz w:val="24"/>
          <w:szCs w:val="24"/>
        </w:rPr>
      </w:pPr>
      <w:r>
        <w:rPr>
          <w:rFonts w:hint="eastAsia" w:ascii="宋体" w:hAnsi="宋体" w:cs="宋体"/>
          <w:color w:val="auto"/>
          <w:sz w:val="24"/>
          <w:szCs w:val="24"/>
        </w:rPr>
        <w:t>9.2 信息管理</w:t>
      </w:r>
    </w:p>
    <w:p>
      <w:pPr>
        <w:rPr>
          <w:rFonts w:ascii="宋体" w:hAnsi="宋体" w:cs="宋体"/>
          <w:color w:val="auto"/>
          <w:sz w:val="24"/>
          <w:szCs w:val="24"/>
        </w:rPr>
      </w:pPr>
      <w:r>
        <w:rPr>
          <w:rFonts w:hint="eastAsia" w:ascii="宋体" w:hAnsi="宋体" w:cs="宋体"/>
          <w:color w:val="auto"/>
          <w:sz w:val="24"/>
          <w:szCs w:val="24"/>
        </w:rPr>
        <w:t>提出信息管理的目标及拟将采取的措施。</w:t>
      </w:r>
    </w:p>
    <w:p>
      <w:pPr>
        <w:rPr>
          <w:rFonts w:ascii="宋体" w:hAnsi="宋体" w:cs="宋体"/>
          <w:color w:val="auto"/>
          <w:sz w:val="24"/>
          <w:szCs w:val="24"/>
        </w:rPr>
      </w:pPr>
      <w:bookmarkStart w:id="48" w:name="_Toc3345"/>
      <w:r>
        <w:rPr>
          <w:rFonts w:hint="eastAsia" w:ascii="宋体" w:hAnsi="宋体" w:cs="宋体"/>
          <w:color w:val="auto"/>
          <w:sz w:val="24"/>
          <w:szCs w:val="24"/>
        </w:rPr>
        <w:t>（十）施工现场建筑垃圾源头减量的具体要求和建筑垃圾综合利用产品的使用要求</w:t>
      </w:r>
      <w:bookmarkEnd w:id="48"/>
    </w:p>
    <w:p>
      <w:pPr>
        <w:rPr>
          <w:rFonts w:ascii="宋体" w:hAnsi="宋体" w:cs="宋体"/>
          <w:color w:val="auto"/>
          <w:sz w:val="24"/>
          <w:szCs w:val="24"/>
        </w:rPr>
      </w:pPr>
      <w:bookmarkStart w:id="49" w:name="_Toc18804"/>
      <w:r>
        <w:rPr>
          <w:rFonts w:hint="eastAsia" w:ascii="宋体" w:hAnsi="宋体" w:cs="宋体"/>
          <w:color w:val="auto"/>
          <w:sz w:val="24"/>
          <w:szCs w:val="24"/>
        </w:rPr>
        <w:t>10.1投标人应当建立建筑垃圾管理台账，分类收集、贮存和及时清运施工过程中产生的建筑垃圾，采取有效措施防止混合已分类的建筑垃圾；</w:t>
      </w:r>
      <w:bookmarkEnd w:id="49"/>
    </w:p>
    <w:p>
      <w:pPr>
        <w:rPr>
          <w:rFonts w:ascii="宋体" w:hAnsi="宋体" w:cs="宋体"/>
          <w:color w:val="auto"/>
          <w:sz w:val="24"/>
          <w:szCs w:val="24"/>
        </w:rPr>
      </w:pPr>
      <w:bookmarkStart w:id="50" w:name="_Toc2137"/>
      <w:r>
        <w:rPr>
          <w:rFonts w:hint="eastAsia" w:ascii="宋体" w:hAnsi="宋体" w:cs="宋体"/>
          <w:color w:val="auto"/>
          <w:sz w:val="24"/>
          <w:szCs w:val="24"/>
        </w:rPr>
        <w:t>10.2投标人应优化施工组织设计，实现精准下料、精细管理，降低建筑材料损耗率；</w:t>
      </w:r>
      <w:bookmarkEnd w:id="50"/>
    </w:p>
    <w:p>
      <w:pPr>
        <w:rPr>
          <w:rFonts w:ascii="宋体" w:hAnsi="宋体" w:cs="宋体"/>
          <w:color w:val="auto"/>
          <w:sz w:val="24"/>
          <w:szCs w:val="24"/>
        </w:rPr>
      </w:pPr>
      <w:bookmarkStart w:id="51" w:name="_Toc31533"/>
      <w:r>
        <w:rPr>
          <w:rFonts w:hint="eastAsia" w:ascii="宋体" w:hAnsi="宋体" w:cs="宋体"/>
          <w:color w:val="auto"/>
          <w:sz w:val="24"/>
          <w:szCs w:val="24"/>
        </w:rPr>
        <w:t>10.3投标人应严格按要求控制进场材料和设备的质量，减少因质量问题导致的返工或修补。加强对已完工工程的成品保护，避免二次损坏；</w:t>
      </w:r>
      <w:bookmarkEnd w:id="51"/>
    </w:p>
    <w:p>
      <w:pPr>
        <w:rPr>
          <w:rFonts w:ascii="宋体" w:hAnsi="宋体" w:cs="宋体"/>
          <w:color w:val="auto"/>
          <w:sz w:val="24"/>
          <w:szCs w:val="24"/>
        </w:rPr>
      </w:pPr>
      <w:bookmarkStart w:id="52" w:name="_Toc12568"/>
      <w:r>
        <w:rPr>
          <w:rFonts w:hint="eastAsia" w:ascii="宋体" w:hAnsi="宋体" w:cs="宋体"/>
          <w:color w:val="auto"/>
          <w:sz w:val="24"/>
          <w:szCs w:val="24"/>
        </w:rPr>
        <w:t>10.4投标人应实时统计并监控建筑垃圾产生量，及时采取针对性措施降低建筑垃圾排放量；</w:t>
      </w:r>
      <w:bookmarkEnd w:id="52"/>
    </w:p>
    <w:p>
      <w:pPr>
        <w:rPr>
          <w:rFonts w:ascii="宋体" w:hAnsi="宋体" w:cs="宋体"/>
          <w:color w:val="auto"/>
          <w:sz w:val="24"/>
          <w:szCs w:val="24"/>
        </w:rPr>
      </w:pPr>
      <w:bookmarkStart w:id="53" w:name="_Toc19790"/>
      <w:r>
        <w:rPr>
          <w:rFonts w:hint="eastAsia" w:ascii="宋体" w:hAnsi="宋体" w:cs="宋体"/>
          <w:color w:val="auto"/>
          <w:sz w:val="24"/>
          <w:szCs w:val="24"/>
        </w:rPr>
        <w:t>10.5鼓励投标人选择技术指标符合设计要求及满足使用功能的建筑垃圾综合利用产品；</w:t>
      </w:r>
      <w:bookmarkEnd w:id="53"/>
    </w:p>
    <w:p>
      <w:pPr>
        <w:rPr>
          <w:rFonts w:ascii="宋体" w:hAnsi="宋体" w:cs="宋体"/>
          <w:color w:val="auto"/>
          <w:sz w:val="24"/>
          <w:szCs w:val="24"/>
        </w:rPr>
      </w:pPr>
      <w:bookmarkStart w:id="54" w:name="_Toc17210"/>
      <w:r>
        <w:rPr>
          <w:rFonts w:hint="eastAsia" w:ascii="宋体" w:hAnsi="宋体" w:cs="宋体"/>
          <w:color w:val="auto"/>
          <w:sz w:val="24"/>
          <w:szCs w:val="24"/>
        </w:rPr>
        <w:t>10.6其他要求详见《广东省建筑垃圾管理条例》相关规定。</w:t>
      </w:r>
      <w:bookmarkEnd w:id="54"/>
    </w:p>
    <w:p>
      <w:pPr>
        <w:rPr>
          <w:rFonts w:ascii="宋体" w:hAnsi="宋体" w:cs="宋体"/>
          <w:color w:val="auto"/>
          <w:sz w:val="24"/>
          <w:szCs w:val="24"/>
        </w:rPr>
        <w:sectPr>
          <w:headerReference r:id="rId15" w:type="default"/>
          <w:footerReference r:id="rId16" w:type="default"/>
          <w:pgSz w:w="11907" w:h="16839"/>
          <w:pgMar w:top="1440" w:right="1083" w:bottom="1440" w:left="1083" w:header="0" w:footer="1476" w:gutter="0"/>
          <w:cols w:space="720" w:num="1"/>
        </w:sectPr>
      </w:pPr>
    </w:p>
    <w:p>
      <w:pPr>
        <w:pStyle w:val="3"/>
        <w:rPr>
          <w:color w:val="auto"/>
        </w:rPr>
      </w:pPr>
      <w:bookmarkStart w:id="55" w:name="_Toc18778"/>
      <w:r>
        <w:rPr>
          <w:rFonts w:hint="eastAsia"/>
          <w:color w:val="auto"/>
        </w:rPr>
        <w:t>第六章</w:t>
      </w:r>
      <w:r>
        <w:rPr>
          <w:color w:val="auto"/>
        </w:rPr>
        <w:t xml:space="preserve">  </w:t>
      </w:r>
      <w:r>
        <w:rPr>
          <w:rFonts w:hint="eastAsia"/>
          <w:color w:val="auto"/>
        </w:rPr>
        <w:t>图纸及勘察资料</w:t>
      </w:r>
      <w:bookmarkEnd w:id="46"/>
      <w:bookmarkEnd w:id="55"/>
    </w:p>
    <w:p>
      <w:pPr>
        <w:jc w:val="center"/>
        <w:rPr>
          <w:rFonts w:ascii="宋体"/>
          <w:b/>
          <w:color w:val="auto"/>
          <w:sz w:val="24"/>
          <w:szCs w:val="24"/>
        </w:rPr>
      </w:pPr>
      <w:r>
        <w:rPr>
          <w:rFonts w:hint="eastAsia" w:ascii="宋体" w:hAnsi="宋体"/>
          <w:color w:val="auto"/>
          <w:sz w:val="24"/>
          <w:szCs w:val="24"/>
        </w:rPr>
        <w:t>注：另册。</w:t>
      </w:r>
    </w:p>
    <w:p>
      <w:pPr>
        <w:pStyle w:val="3"/>
        <w:rPr>
          <w:color w:val="auto"/>
        </w:rPr>
      </w:pPr>
      <w:r>
        <w:rPr>
          <w:color w:val="auto"/>
          <w:sz w:val="24"/>
          <w:szCs w:val="24"/>
        </w:rPr>
        <w:br w:type="page"/>
      </w:r>
      <w:bookmarkStart w:id="56" w:name="_Toc2272570"/>
      <w:bookmarkStart w:id="57" w:name="_Toc17146"/>
      <w:r>
        <w:rPr>
          <w:rFonts w:hint="eastAsia"/>
          <w:color w:val="auto"/>
        </w:rPr>
        <w:t>第七章</w:t>
      </w:r>
      <w:r>
        <w:rPr>
          <w:color w:val="auto"/>
        </w:rPr>
        <w:t xml:space="preserve">  </w:t>
      </w:r>
      <w:r>
        <w:rPr>
          <w:rFonts w:hint="eastAsia"/>
          <w:color w:val="auto"/>
        </w:rPr>
        <w:t>工程量清单</w:t>
      </w:r>
      <w:bookmarkEnd w:id="56"/>
      <w:bookmarkEnd w:id="57"/>
    </w:p>
    <w:p>
      <w:pPr>
        <w:rPr>
          <w:rFonts w:ascii="宋体" w:hAnsi="宋体" w:cs="宋体"/>
          <w:b/>
          <w:color w:val="auto"/>
          <w:sz w:val="24"/>
          <w:szCs w:val="24"/>
        </w:rPr>
      </w:pPr>
      <w:r>
        <w:rPr>
          <w:rFonts w:hint="eastAsia" w:ascii="宋体" w:hAnsi="宋体" w:cs="宋体"/>
          <w:color w:val="auto"/>
          <w:sz w:val="24"/>
          <w:szCs w:val="24"/>
        </w:rPr>
        <w:t>另册。</w:t>
      </w:r>
    </w:p>
    <w:p>
      <w:pPr>
        <w:pStyle w:val="5"/>
        <w:spacing w:after="0" w:line="360" w:lineRule="auto"/>
        <w:ind w:left="-2" w:leftChars="-1" w:firstLine="960" w:firstLineChars="400"/>
        <w:rPr>
          <w:rFonts w:ascii="宋体"/>
          <w:color w:val="auto"/>
          <w:sz w:val="24"/>
        </w:rPr>
      </w:pPr>
    </w:p>
    <w:p>
      <w:pPr>
        <w:pStyle w:val="3"/>
        <w:rPr>
          <w:color w:val="auto"/>
        </w:rPr>
      </w:pPr>
    </w:p>
    <w:p>
      <w:pPr>
        <w:pStyle w:val="3"/>
        <w:rPr>
          <w:rFonts w:ascii="宋体"/>
          <w:color w:val="auto"/>
        </w:rPr>
      </w:pPr>
      <w:r>
        <w:rPr>
          <w:color w:val="auto"/>
          <w:sz w:val="24"/>
          <w:szCs w:val="24"/>
        </w:rPr>
        <w:br w:type="page"/>
      </w:r>
      <w:bookmarkStart w:id="58" w:name="_Toc2272571"/>
      <w:bookmarkStart w:id="59" w:name="_Toc17021"/>
      <w:r>
        <w:rPr>
          <w:rFonts w:hint="eastAsia"/>
          <w:color w:val="auto"/>
        </w:rPr>
        <w:t>第八章</w:t>
      </w:r>
      <w:r>
        <w:rPr>
          <w:color w:val="auto"/>
        </w:rPr>
        <w:t xml:space="preserve">  </w:t>
      </w:r>
      <w:r>
        <w:rPr>
          <w:rFonts w:hint="eastAsia"/>
          <w:color w:val="auto"/>
        </w:rPr>
        <w:t>最高投标限价</w:t>
      </w:r>
      <w:bookmarkEnd w:id="58"/>
      <w:bookmarkEnd w:id="59"/>
    </w:p>
    <w:p>
      <w:pPr>
        <w:spacing w:line="360" w:lineRule="auto"/>
        <w:ind w:firstLine="480"/>
        <w:rPr>
          <w:rFonts w:ascii="宋体" w:hAnsi="宋体" w:cs="宋体"/>
          <w:color w:val="auto"/>
          <w:sz w:val="24"/>
          <w:szCs w:val="24"/>
          <w:lang w:bidi="ar"/>
        </w:rPr>
      </w:pPr>
      <w:r>
        <w:rPr>
          <w:rFonts w:hint="eastAsia" w:ascii="宋体" w:hAnsi="宋体"/>
          <w:color w:val="auto"/>
          <w:sz w:val="24"/>
          <w:szCs w:val="24"/>
        </w:rPr>
        <w:t>招标人应当在发布招标文件时，公布最高投标限价的总价，分部分项工程费、措施项目费、其他项目费、规费和税金，以及绿色施工安全防护措施费、暂列金额等投标人不可竞争的固定报价。</w:t>
      </w:r>
      <w:r>
        <w:rPr>
          <w:rFonts w:hint="eastAsia" w:ascii="宋体" w:hAnsi="宋体" w:cs="宋体"/>
          <w:color w:val="auto"/>
          <w:sz w:val="24"/>
          <w:szCs w:val="24"/>
          <w:lang w:bidi="ar"/>
        </w:rPr>
        <w:t>具体详见本项目公告附件最高投标限价公布函。</w:t>
      </w:r>
    </w:p>
    <w:sectPr>
      <w:headerReference r:id="rId17" w:type="default"/>
      <w:footerReference r:id="rId1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Calisto MT">
    <w:altName w:val="Segoe Print"/>
    <w:panose1 w:val="02040603050505030304"/>
    <w:charset w:val="00"/>
    <w:family w:val="roman"/>
    <w:pitch w:val="default"/>
    <w:sig w:usb0="00000000" w:usb1="00000000" w:usb2="00000000" w:usb3="00000000" w:csb0="2000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Century Schoolbook">
    <w:altName w:val="Segoe Print"/>
    <w:panose1 w:val="02040604050505020304"/>
    <w:charset w:val="00"/>
    <w:family w:val="roman"/>
    <w:pitch w:val="default"/>
    <w:sig w:usb0="00000000" w:usb1="00000000" w:usb2="00000000" w:usb3="00000000" w:csb0="2000009F" w:csb1="DFD70000"/>
  </w:font>
  <w:font w:name="Wingdings 2">
    <w:altName w:val="Wingdings"/>
    <w:panose1 w:val="05020102010507070707"/>
    <w:charset w:val="02"/>
    <w:family w:val="roman"/>
    <w:pitch w:val="default"/>
    <w:sig w:usb0="00000000" w:usb1="00000000" w:usb2="00000000" w:usb3="00000000" w:csb0="80000000" w:csb1="00000000"/>
  </w:font>
  <w:font w:name="PMingLiU">
    <w:altName w:val="PMingLiU-ExtB"/>
    <w:panose1 w:val="02020500000000000000"/>
    <w:charset w:val="88"/>
    <w:family w:val="roman"/>
    <w:pitch w:val="default"/>
    <w:sig w:usb0="00000000" w:usb1="00000000" w:usb2="00000016" w:usb3="00000000" w:csb0="00100001" w:csb1="00000000"/>
  </w:font>
  <w:font w:name="楷体">
    <w:panose1 w:val="02010609060101010101"/>
    <w:charset w:val="86"/>
    <w:family w:val="modern"/>
    <w:pitch w:val="default"/>
    <w:sig w:usb0="800002BF" w:usb1="38CF7CFA" w:usb2="00000016" w:usb3="00000000" w:csb0="00040001"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92"/>
      <w:jc w:val="right"/>
      <w:rPr>
        <w:rStyle w:val="41"/>
      </w:rPr>
    </w:pPr>
    <w:r>
      <w:rPr>
        <w:rStyle w:val="41"/>
      </w:rPr>
      <w:fldChar w:fldCharType="begin"/>
    </w:r>
    <w:r>
      <w:rPr>
        <w:rStyle w:val="41"/>
      </w:rPr>
      <w:instrText xml:space="preserve">PAGE  </w:instrText>
    </w:r>
    <w:r>
      <w:rPr>
        <w:rStyle w:val="41"/>
      </w:rPr>
      <w:fldChar w:fldCharType="separate"/>
    </w:r>
    <w:r>
      <w:rPr>
        <w:rStyle w:val="41"/>
      </w:rPr>
      <w:t>54</w:t>
    </w:r>
    <w:r>
      <w:rPr>
        <w:rStyle w:val="4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92"/>
      <w:rPr>
        <w:rStyle w:val="41"/>
      </w:rPr>
    </w:pPr>
    <w:r>
      <w:rPr>
        <w:rStyle w:val="41"/>
      </w:rPr>
      <w:fldChar w:fldCharType="begin"/>
    </w:r>
    <w:r>
      <w:rPr>
        <w:rStyle w:val="41"/>
      </w:rPr>
      <w:instrText xml:space="preserve">PAGE  </w:instrText>
    </w:r>
    <w:r>
      <w:rPr>
        <w:rStyle w:val="41"/>
      </w:rPr>
      <w:fldChar w:fldCharType="separate"/>
    </w:r>
    <w:r>
      <w:rPr>
        <w:rStyle w:val="41"/>
        <w:rFonts w:hint="eastAsia"/>
      </w:rPr>
      <w:t>一</w:t>
    </w:r>
    <w:r>
      <w:rPr>
        <w:rStyle w:val="41"/>
      </w:rPr>
      <w:t>–2</w:t>
    </w:r>
    <w:r>
      <w:rPr>
        <w:rStyle w:val="41"/>
      </w:rPr>
      <w:fldChar w:fldCharType="end"/>
    </w:r>
  </w:p>
  <w:p>
    <w:pPr>
      <w:pStyle w:val="25"/>
      <w:ind w:firstLine="392"/>
    </w:pPr>
    <w:r>
      <w:rPr>
        <w:kern w:val="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92"/>
    </w:pPr>
    <w:r>
      <w:rPr>
        <w:rStyle w:val="41"/>
      </w:rPr>
      <w:fldChar w:fldCharType="begin"/>
    </w:r>
    <w:r>
      <w:rPr>
        <w:rStyle w:val="41"/>
      </w:rPr>
      <w:instrText xml:space="preserve"> PAGE </w:instrText>
    </w:r>
    <w:r>
      <w:rPr>
        <w:rStyle w:val="41"/>
      </w:rPr>
      <w:fldChar w:fldCharType="separate"/>
    </w:r>
    <w:r>
      <w:rPr>
        <w:rStyle w:val="41"/>
      </w:rPr>
      <w:t>51</w:t>
    </w:r>
    <w:r>
      <w:rPr>
        <w:rStyle w:val="4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outside" w:y="1"/>
      <w:jc w:val="center"/>
      <w:rPr>
        <w:rStyle w:val="41"/>
      </w:rPr>
    </w:pPr>
    <w:r>
      <w:fldChar w:fldCharType="begin"/>
    </w:r>
    <w:r>
      <w:rPr>
        <w:rStyle w:val="41"/>
      </w:rPr>
      <w:instrText xml:space="preserve">PAGE  </w:instrText>
    </w:r>
    <w:r>
      <w:fldChar w:fldCharType="separate"/>
    </w:r>
    <w:r>
      <w:rPr>
        <w:rStyle w:val="41"/>
      </w:rPr>
      <w:t>58</w:t>
    </w:r>
    <w:r>
      <w:fldChar w:fldCharType="end"/>
    </w:r>
  </w:p>
  <w:p>
    <w:pPr>
      <w:pStyle w:val="25"/>
      <w:framePr w:wrap="around" w:vAnchor="text" w:hAnchor="margin" w:xAlign="outside" w:y="1"/>
      <w:ind w:left="-4410" w:leftChars="-2100" w:right="-4439" w:rightChars="-2114"/>
      <w:rPr>
        <w:rStyle w:val="41"/>
      </w:rPr>
    </w:pPr>
  </w:p>
  <w:p>
    <w:pPr>
      <w:pStyle w:val="25"/>
      <w:ind w:right="360"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outside" w:y="1"/>
      <w:rPr>
        <w:rStyle w:val="41"/>
      </w:rPr>
    </w:pPr>
    <w:r>
      <w:fldChar w:fldCharType="begin"/>
    </w:r>
    <w:r>
      <w:rPr>
        <w:rStyle w:val="41"/>
      </w:rPr>
      <w:instrText xml:space="preserve">PAGE  </w:instrText>
    </w:r>
    <w:r>
      <w:fldChar w:fldCharType="separate"/>
    </w:r>
    <w:r>
      <w:rPr>
        <w:rStyle w:val="41"/>
        <w:rFonts w:hint="eastAsia"/>
      </w:rPr>
      <w:t>一</w:t>
    </w:r>
    <w:r>
      <w:rPr>
        <w:rStyle w:val="41"/>
      </w:rPr>
      <w:t>–2</w:t>
    </w:r>
    <w:r>
      <w:fldChar w:fldCharType="end"/>
    </w:r>
  </w:p>
  <w:p>
    <w:pPr>
      <w:pStyle w:val="25"/>
      <w:ind w:right="360" w:firstLine="360"/>
      <w:jc w:val="center"/>
    </w:pPr>
    <w:r>
      <w:rPr>
        <w:sz w:val="20"/>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fldChar w:fldCharType="begin"/>
    </w:r>
    <w:r>
      <w:rPr>
        <w:rStyle w:val="41"/>
      </w:rPr>
      <w:instrText xml:space="preserve"> PAGE </w:instrText>
    </w:r>
    <w:r>
      <w:fldChar w:fldCharType="separate"/>
    </w:r>
    <w:r>
      <w:rPr>
        <w:rStyle w:val="41"/>
      </w:rPr>
      <w:t>55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4083"/>
      <w:rPr>
        <w:rFonts w:eastAsia="Calibri" w:cs="Calibri"/>
        <w:sz w:val="18"/>
        <w:szCs w:val="18"/>
      </w:rPr>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v:path/>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67</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outside" w:y="1"/>
      <w:jc w:val="center"/>
      <w:rPr>
        <w:rStyle w:val="41"/>
      </w:rPr>
    </w:pPr>
    <w:r>
      <w:rPr>
        <w:rStyle w:val="41"/>
      </w:rPr>
      <w:fldChar w:fldCharType="begin"/>
    </w:r>
    <w:r>
      <w:rPr>
        <w:rStyle w:val="41"/>
      </w:rPr>
      <w:instrText xml:space="preserve">PAGE  </w:instrText>
    </w:r>
    <w:r>
      <w:rPr>
        <w:rStyle w:val="41"/>
      </w:rPr>
      <w:fldChar w:fldCharType="separate"/>
    </w:r>
    <w:r>
      <w:rPr>
        <w:rStyle w:val="41"/>
      </w:rPr>
      <w:t>68</w:t>
    </w:r>
    <w:r>
      <w:rPr>
        <w:rStyle w:val="41"/>
      </w:rPr>
      <w:fldChar w:fldCharType="end"/>
    </w:r>
  </w:p>
  <w:p>
    <w:pPr>
      <w:pStyle w:val="25"/>
      <w:framePr w:wrap="around" w:vAnchor="text" w:hAnchor="margin" w:xAlign="outside" w:y="1"/>
      <w:ind w:left="-4410" w:leftChars="-2100" w:right="-4439" w:rightChars="-2114"/>
      <w:rPr>
        <w:rStyle w:val="41"/>
      </w:rPr>
    </w:pPr>
  </w:p>
  <w:p>
    <w:pPr>
      <w:pStyle w:val="25"/>
      <w:ind w:right="360" w:firstLine="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1"/>
      </w:pBdr>
      <w:ind w:firstLine="39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92"/>
    </w:pPr>
    <w:r>
      <w:rPr>
        <w:rFonts w:hint="eastAsia"/>
      </w:rPr>
      <w:t>横枝岗路道路排水改造工程招标文件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right"/>
      <w:rPr>
        <w:i/>
        <w:iCs/>
      </w:rPr>
    </w:pPr>
    <w:r>
      <w:rPr>
        <w:rFonts w:hint="eastAsia"/>
        <w:i/>
        <w:iCs/>
      </w:rPr>
      <w:t>横枝岗路道路排水改造工程招标文件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jc w:val="right"/>
      <w:rPr>
        <w:i/>
        <w:iC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lvlText w:val="（%1）"/>
      <w:lvlJc w:val="left"/>
      <w:pPr>
        <w:ind w:left="1080" w:hanging="720"/>
      </w:pPr>
      <w:rPr>
        <w:rFonts w:hint="default"/>
        <w:color w:val="000000"/>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00000009"/>
    <w:multiLevelType w:val="multilevel"/>
    <w:tmpl w:val="0000000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59905B5"/>
    <w:multiLevelType w:val="multilevel"/>
    <w:tmpl w:val="259905B5"/>
    <w:lvl w:ilvl="0" w:tentative="0">
      <w:start w:val="1"/>
      <w:numFmt w:val="chineseCountingThousand"/>
      <w:pStyle w:val="94"/>
      <w:suff w:val="space"/>
      <w:lvlText w:val="第%1章"/>
      <w:lvlJc w:val="left"/>
      <w:pPr>
        <w:ind w:left="567" w:hanging="279"/>
      </w:pPr>
      <w:rPr>
        <w:rFonts w:hint="eastAsia" w:ascii="宋体" w:eastAsia="宋体" w:cs="Times New Roman"/>
        <w:b/>
        <w:i w:val="0"/>
        <w:spacing w:val="0"/>
        <w:position w:val="0"/>
        <w:sz w:val="44"/>
      </w:rPr>
    </w:lvl>
    <w:lvl w:ilvl="1" w:tentative="0">
      <w:start w:val="1"/>
      <w:numFmt w:val="decimal"/>
      <w:suff w:val="space"/>
      <w:lvlText w:val="%2."/>
      <w:lvlJc w:val="left"/>
      <w:pPr>
        <w:ind w:left="454" w:hanging="454"/>
      </w:pPr>
      <w:rPr>
        <w:rFonts w:hint="eastAsia" w:ascii="宋体" w:eastAsia="宋体" w:cs="Times New Roman"/>
        <w:b/>
        <w:i w:val="0"/>
        <w:sz w:val="32"/>
      </w:rPr>
    </w:lvl>
    <w:lvl w:ilvl="2" w:tentative="0">
      <w:start w:val="1"/>
      <w:numFmt w:val="decimal"/>
      <w:suff w:val="space"/>
      <w:lvlText w:val="%2.%3"/>
      <w:lvlJc w:val="left"/>
      <w:pPr>
        <w:ind w:left="454" w:hanging="454"/>
      </w:pPr>
      <w:rPr>
        <w:rFonts w:hint="eastAsia" w:ascii="宋体" w:eastAsia="宋体" w:cs="Times New Roman"/>
        <w:b/>
        <w:i w:val="0"/>
        <w:sz w:val="28"/>
      </w:rPr>
    </w:lvl>
    <w:lvl w:ilvl="3" w:tentative="0">
      <w:start w:val="1"/>
      <w:numFmt w:val="decimal"/>
      <w:pStyle w:val="9"/>
      <w:suff w:val="space"/>
      <w:lvlText w:val="%2.%3.%4"/>
      <w:lvlJc w:val="left"/>
      <w:pPr>
        <w:ind w:left="284" w:hanging="284"/>
      </w:pPr>
      <w:rPr>
        <w:rFonts w:hint="eastAsia" w:ascii="宋体" w:eastAsia="宋体" w:cs="Times New Roman"/>
        <w:b/>
        <w:i w:val="0"/>
        <w:sz w:val="28"/>
      </w:rPr>
    </w:lvl>
    <w:lvl w:ilvl="4" w:tentative="0">
      <w:start w:val="1"/>
      <w:numFmt w:val="decimal"/>
      <w:pStyle w:val="10"/>
      <w:isLgl/>
      <w:suff w:val="space"/>
      <w:lvlText w:val="%2.%3.%4.%5"/>
      <w:lvlJc w:val="left"/>
      <w:pPr>
        <w:ind w:left="284" w:hanging="284"/>
      </w:pPr>
      <w:rPr>
        <w:rFonts w:hint="eastAsia" w:ascii="宋体" w:eastAsia="宋体" w:cs="Times New Roman"/>
        <w:b/>
        <w:i w:val="0"/>
        <w:strike w:val="0"/>
        <w:dstrike w:val="0"/>
        <w:sz w:val="28"/>
      </w:rPr>
    </w:lvl>
    <w:lvl w:ilvl="5" w:tentative="0">
      <w:start w:val="1"/>
      <w:numFmt w:val="decimal"/>
      <w:lvlRestart w:val="0"/>
      <w:suff w:val="space"/>
      <w:lvlText w:val="1.1.1.1.1.%6%5"/>
      <w:lvlJc w:val="left"/>
      <w:rPr>
        <w:rFonts w:hint="eastAsia" w:ascii="宋体" w:eastAsia="宋体" w:cs="Times New Roman"/>
        <w:b/>
        <w:i w:val="0"/>
        <w:sz w:val="28"/>
      </w:rPr>
    </w:lvl>
    <w:lvl w:ilvl="6" w:tentative="0">
      <w:start w:val="1"/>
      <w:numFmt w:val="none"/>
      <w:pStyle w:val="12"/>
      <w:suff w:val="nothing"/>
      <w:lvlText w:val=""/>
      <w:lvlJc w:val="left"/>
      <w:rPr>
        <w:rFonts w:hint="eastAsia" w:cs="Times New Roman"/>
      </w:rPr>
    </w:lvl>
    <w:lvl w:ilvl="7" w:tentative="0">
      <w:start w:val="1"/>
      <w:numFmt w:val="none"/>
      <w:pStyle w:val="13"/>
      <w:suff w:val="nothing"/>
      <w:lvlText w:val=""/>
      <w:lvlJc w:val="left"/>
      <w:rPr>
        <w:rFonts w:hint="eastAsia" w:cs="Times New Roman"/>
      </w:rPr>
    </w:lvl>
    <w:lvl w:ilvl="8" w:tentative="0">
      <w:start w:val="1"/>
      <w:numFmt w:val="none"/>
      <w:pStyle w:val="14"/>
      <w:suff w:val="nothing"/>
      <w:lvlText w:val=""/>
      <w:lvlJc w:val="left"/>
      <w:rPr>
        <w:rFonts w:hint="eastAsia" w:cs="Times New Roman"/>
      </w:rPr>
    </w:lvl>
  </w:abstractNum>
  <w:abstractNum w:abstractNumId="3">
    <w:nsid w:val="74FB0463"/>
    <w:multiLevelType w:val="multilevel"/>
    <w:tmpl w:val="74FB0463"/>
    <w:lvl w:ilvl="0" w:tentative="0">
      <w:start w:val="1"/>
      <w:numFmt w:val="decimal"/>
      <w:suff w:val="nothing"/>
      <w:lvlText w:val="第%1篇"/>
      <w:lvlJc w:val="left"/>
      <w:rPr>
        <w:rFonts w:hint="eastAsia" w:cs="Times New Roman"/>
        <w:spacing w:val="60"/>
      </w:rPr>
    </w:lvl>
    <w:lvl w:ilvl="1" w:tentative="0">
      <w:start w:val="1"/>
      <w:numFmt w:val="none"/>
      <w:suff w:val="nothing"/>
      <w:lvlText w:val=""/>
      <w:lvlJc w:val="left"/>
      <w:rPr>
        <w:rFonts w:hint="eastAsia" w:cs="Times New Roman"/>
      </w:rPr>
    </w:lvl>
    <w:lvl w:ilvl="2" w:tentative="0">
      <w:start w:val="1"/>
      <w:numFmt w:val="none"/>
      <w:suff w:val="nothing"/>
      <w:lvlText w:val=""/>
      <w:lvlJc w:val="left"/>
      <w:rPr>
        <w:rFonts w:hint="eastAsia" w:cs="Times New Roman"/>
      </w:rPr>
    </w:lvl>
    <w:lvl w:ilvl="3" w:tentative="0">
      <w:start w:val="1"/>
      <w:numFmt w:val="none"/>
      <w:suff w:val="nothing"/>
      <w:lvlText w:val=""/>
      <w:lvlJc w:val="left"/>
      <w:rPr>
        <w:rFonts w:hint="eastAsia" w:cs="Times New Roman"/>
      </w:rPr>
    </w:lvl>
    <w:lvl w:ilvl="4" w:tentative="0">
      <w:start w:val="1"/>
      <w:numFmt w:val="none"/>
      <w:suff w:val="nothing"/>
      <w:lvlText w:val=""/>
      <w:lvlJc w:val="center"/>
      <w:pPr>
        <w:ind w:firstLine="288"/>
      </w:pPr>
      <w:rPr>
        <w:rFonts w:hint="eastAsia" w:cs="Times New Roman"/>
      </w:rPr>
    </w:lvl>
    <w:lvl w:ilvl="5" w:tentative="0">
      <w:start w:val="1"/>
      <w:numFmt w:val="none"/>
      <w:pStyle w:val="11"/>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endnotePr>
    <w:numFmt w:val="decimal"/>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AwZjY3NmNiZjViZTNkMjA2YzdkMzA2NzhhOWQyNmUifQ=="/>
    <w:docVar w:name="KSO_WPS_MARK_KEY" w:val="d754cf29-0653-4b46-a47c-5ebddf2d8a71"/>
  </w:docVars>
  <w:rsids>
    <w:rsidRoot w:val="00172A27"/>
    <w:rsid w:val="000200EE"/>
    <w:rsid w:val="000477D7"/>
    <w:rsid w:val="000575F8"/>
    <w:rsid w:val="000C1007"/>
    <w:rsid w:val="000C11E0"/>
    <w:rsid w:val="000C2710"/>
    <w:rsid w:val="000D396E"/>
    <w:rsid w:val="00113A58"/>
    <w:rsid w:val="00172A27"/>
    <w:rsid w:val="00181CAA"/>
    <w:rsid w:val="002B7895"/>
    <w:rsid w:val="00336AA3"/>
    <w:rsid w:val="004370EC"/>
    <w:rsid w:val="004424B8"/>
    <w:rsid w:val="004615F6"/>
    <w:rsid w:val="004B295D"/>
    <w:rsid w:val="005539A0"/>
    <w:rsid w:val="005866FB"/>
    <w:rsid w:val="005C212B"/>
    <w:rsid w:val="006036EF"/>
    <w:rsid w:val="00673B83"/>
    <w:rsid w:val="00680BFD"/>
    <w:rsid w:val="006B6B0D"/>
    <w:rsid w:val="006F3576"/>
    <w:rsid w:val="0073229B"/>
    <w:rsid w:val="00780EC8"/>
    <w:rsid w:val="007B1B56"/>
    <w:rsid w:val="007B41BE"/>
    <w:rsid w:val="007D6D06"/>
    <w:rsid w:val="007F68E8"/>
    <w:rsid w:val="00835C9E"/>
    <w:rsid w:val="008919F1"/>
    <w:rsid w:val="008D2515"/>
    <w:rsid w:val="008E4AD1"/>
    <w:rsid w:val="009179DE"/>
    <w:rsid w:val="00920E49"/>
    <w:rsid w:val="009747E9"/>
    <w:rsid w:val="009868A0"/>
    <w:rsid w:val="00991949"/>
    <w:rsid w:val="009A0469"/>
    <w:rsid w:val="009A704D"/>
    <w:rsid w:val="00A0387A"/>
    <w:rsid w:val="00A0619D"/>
    <w:rsid w:val="00A20AF3"/>
    <w:rsid w:val="00A2579D"/>
    <w:rsid w:val="00A50D34"/>
    <w:rsid w:val="00A64E29"/>
    <w:rsid w:val="00AD3DEE"/>
    <w:rsid w:val="00AD6716"/>
    <w:rsid w:val="00B04298"/>
    <w:rsid w:val="00B717AF"/>
    <w:rsid w:val="00BC7B91"/>
    <w:rsid w:val="00BD34C8"/>
    <w:rsid w:val="00BE1732"/>
    <w:rsid w:val="00BE216D"/>
    <w:rsid w:val="00BF4229"/>
    <w:rsid w:val="00C267C0"/>
    <w:rsid w:val="00C32C1E"/>
    <w:rsid w:val="00C35453"/>
    <w:rsid w:val="00C408D3"/>
    <w:rsid w:val="00C5365F"/>
    <w:rsid w:val="00C66B7B"/>
    <w:rsid w:val="00C814C1"/>
    <w:rsid w:val="00C81F53"/>
    <w:rsid w:val="00C82C8A"/>
    <w:rsid w:val="00CB506E"/>
    <w:rsid w:val="00CD156B"/>
    <w:rsid w:val="00CE6D2E"/>
    <w:rsid w:val="00D75B45"/>
    <w:rsid w:val="00D84E64"/>
    <w:rsid w:val="00E10936"/>
    <w:rsid w:val="00E22EAB"/>
    <w:rsid w:val="00E457F6"/>
    <w:rsid w:val="00E638F3"/>
    <w:rsid w:val="00E7528D"/>
    <w:rsid w:val="00E77CE9"/>
    <w:rsid w:val="00EB6530"/>
    <w:rsid w:val="00EC014E"/>
    <w:rsid w:val="00F40301"/>
    <w:rsid w:val="00FA5926"/>
    <w:rsid w:val="00FC5596"/>
    <w:rsid w:val="00FD780F"/>
    <w:rsid w:val="01695867"/>
    <w:rsid w:val="01A324E9"/>
    <w:rsid w:val="01C53F3E"/>
    <w:rsid w:val="01D152A8"/>
    <w:rsid w:val="025A529E"/>
    <w:rsid w:val="02FE2D03"/>
    <w:rsid w:val="03124864"/>
    <w:rsid w:val="03184F30"/>
    <w:rsid w:val="036F4693"/>
    <w:rsid w:val="04262463"/>
    <w:rsid w:val="045066FF"/>
    <w:rsid w:val="04B56FD0"/>
    <w:rsid w:val="05935ABA"/>
    <w:rsid w:val="06181B12"/>
    <w:rsid w:val="06327B5B"/>
    <w:rsid w:val="06391F63"/>
    <w:rsid w:val="0694453D"/>
    <w:rsid w:val="06A05249"/>
    <w:rsid w:val="072F44E3"/>
    <w:rsid w:val="073B1CC1"/>
    <w:rsid w:val="07893F2F"/>
    <w:rsid w:val="07B30216"/>
    <w:rsid w:val="07CC4C61"/>
    <w:rsid w:val="07F63A6D"/>
    <w:rsid w:val="083640B7"/>
    <w:rsid w:val="08777DF5"/>
    <w:rsid w:val="08EF0C8C"/>
    <w:rsid w:val="090B5543"/>
    <w:rsid w:val="09AD5B81"/>
    <w:rsid w:val="09F33618"/>
    <w:rsid w:val="0A357013"/>
    <w:rsid w:val="0A5615D2"/>
    <w:rsid w:val="0A825391"/>
    <w:rsid w:val="0B194835"/>
    <w:rsid w:val="0BA555DC"/>
    <w:rsid w:val="0BE57915"/>
    <w:rsid w:val="0C163FA6"/>
    <w:rsid w:val="0D407BD1"/>
    <w:rsid w:val="0D5E54A5"/>
    <w:rsid w:val="0DAE649D"/>
    <w:rsid w:val="0E3B2321"/>
    <w:rsid w:val="0E576B35"/>
    <w:rsid w:val="0E7D7B68"/>
    <w:rsid w:val="0EBB5316"/>
    <w:rsid w:val="0EDB59B8"/>
    <w:rsid w:val="0F511424"/>
    <w:rsid w:val="0F7E4AB5"/>
    <w:rsid w:val="0F8D2A2E"/>
    <w:rsid w:val="0FAC68BB"/>
    <w:rsid w:val="0FEF45D8"/>
    <w:rsid w:val="104135F9"/>
    <w:rsid w:val="10930611"/>
    <w:rsid w:val="10990EC7"/>
    <w:rsid w:val="10AA09E6"/>
    <w:rsid w:val="10C62948"/>
    <w:rsid w:val="112C24FB"/>
    <w:rsid w:val="114C494B"/>
    <w:rsid w:val="11E8746F"/>
    <w:rsid w:val="11F31941"/>
    <w:rsid w:val="12CB0A5B"/>
    <w:rsid w:val="13375D52"/>
    <w:rsid w:val="13D45305"/>
    <w:rsid w:val="13E72709"/>
    <w:rsid w:val="1472213F"/>
    <w:rsid w:val="14D34591"/>
    <w:rsid w:val="154D4C74"/>
    <w:rsid w:val="15A47E68"/>
    <w:rsid w:val="16067FA9"/>
    <w:rsid w:val="16861D19"/>
    <w:rsid w:val="16DC22CD"/>
    <w:rsid w:val="173F18BE"/>
    <w:rsid w:val="175C6F6A"/>
    <w:rsid w:val="18151F96"/>
    <w:rsid w:val="181C07FE"/>
    <w:rsid w:val="185C1918"/>
    <w:rsid w:val="187354C1"/>
    <w:rsid w:val="189237DC"/>
    <w:rsid w:val="18A254CF"/>
    <w:rsid w:val="18F7519C"/>
    <w:rsid w:val="190621F2"/>
    <w:rsid w:val="195B3775"/>
    <w:rsid w:val="1A025B97"/>
    <w:rsid w:val="1A2F4635"/>
    <w:rsid w:val="1A531F7F"/>
    <w:rsid w:val="1A98475D"/>
    <w:rsid w:val="1AD03189"/>
    <w:rsid w:val="1AFC3630"/>
    <w:rsid w:val="1B23611B"/>
    <w:rsid w:val="1B257D65"/>
    <w:rsid w:val="1B7F68A2"/>
    <w:rsid w:val="1B862A01"/>
    <w:rsid w:val="1B9F38C9"/>
    <w:rsid w:val="1C817B9F"/>
    <w:rsid w:val="1CBD471C"/>
    <w:rsid w:val="1D946687"/>
    <w:rsid w:val="1E203761"/>
    <w:rsid w:val="1E486D96"/>
    <w:rsid w:val="1EA91761"/>
    <w:rsid w:val="1EBA5A37"/>
    <w:rsid w:val="1F647BA2"/>
    <w:rsid w:val="1FF540F7"/>
    <w:rsid w:val="1FF92163"/>
    <w:rsid w:val="20216DCB"/>
    <w:rsid w:val="202C50C6"/>
    <w:rsid w:val="20BB73F7"/>
    <w:rsid w:val="20EA0012"/>
    <w:rsid w:val="20EB0C9B"/>
    <w:rsid w:val="20EB1AE8"/>
    <w:rsid w:val="20F461FB"/>
    <w:rsid w:val="212A1126"/>
    <w:rsid w:val="214D7C2B"/>
    <w:rsid w:val="228D26CE"/>
    <w:rsid w:val="228D3CB5"/>
    <w:rsid w:val="22AD0709"/>
    <w:rsid w:val="230D7BEE"/>
    <w:rsid w:val="23141450"/>
    <w:rsid w:val="238E2519"/>
    <w:rsid w:val="23922691"/>
    <w:rsid w:val="24030E99"/>
    <w:rsid w:val="24A972CC"/>
    <w:rsid w:val="24C31EA3"/>
    <w:rsid w:val="257A518B"/>
    <w:rsid w:val="27616AF6"/>
    <w:rsid w:val="27AC1B6A"/>
    <w:rsid w:val="27C522AB"/>
    <w:rsid w:val="28530A3B"/>
    <w:rsid w:val="28790229"/>
    <w:rsid w:val="289F315B"/>
    <w:rsid w:val="29466BCF"/>
    <w:rsid w:val="2A880A7B"/>
    <w:rsid w:val="2A9D53FD"/>
    <w:rsid w:val="2ABB54F4"/>
    <w:rsid w:val="2AE676B4"/>
    <w:rsid w:val="2B82123D"/>
    <w:rsid w:val="2C0D164C"/>
    <w:rsid w:val="2C1A0526"/>
    <w:rsid w:val="2C90798A"/>
    <w:rsid w:val="2CB07C40"/>
    <w:rsid w:val="2DC4660F"/>
    <w:rsid w:val="2E6A3E61"/>
    <w:rsid w:val="2E7D075C"/>
    <w:rsid w:val="2E877166"/>
    <w:rsid w:val="2F203E69"/>
    <w:rsid w:val="2F754C15"/>
    <w:rsid w:val="2FD5699B"/>
    <w:rsid w:val="30997F39"/>
    <w:rsid w:val="30AC62B5"/>
    <w:rsid w:val="30CB388B"/>
    <w:rsid w:val="310A17BD"/>
    <w:rsid w:val="31570A76"/>
    <w:rsid w:val="31682B17"/>
    <w:rsid w:val="317F4543"/>
    <w:rsid w:val="31A81DEF"/>
    <w:rsid w:val="32184F44"/>
    <w:rsid w:val="323F1C36"/>
    <w:rsid w:val="32BF3509"/>
    <w:rsid w:val="339B6959"/>
    <w:rsid w:val="33BA702B"/>
    <w:rsid w:val="33CB137D"/>
    <w:rsid w:val="33F5184C"/>
    <w:rsid w:val="342310E4"/>
    <w:rsid w:val="3457257C"/>
    <w:rsid w:val="34B22F0E"/>
    <w:rsid w:val="35174D82"/>
    <w:rsid w:val="351B0DDE"/>
    <w:rsid w:val="35BB7673"/>
    <w:rsid w:val="361600A4"/>
    <w:rsid w:val="36C24BE4"/>
    <w:rsid w:val="36FA484C"/>
    <w:rsid w:val="370A6416"/>
    <w:rsid w:val="37465954"/>
    <w:rsid w:val="37546F97"/>
    <w:rsid w:val="375D203C"/>
    <w:rsid w:val="37FA01D4"/>
    <w:rsid w:val="38026A6F"/>
    <w:rsid w:val="38660B51"/>
    <w:rsid w:val="386C44C8"/>
    <w:rsid w:val="38FB5AD3"/>
    <w:rsid w:val="390239BE"/>
    <w:rsid w:val="39AF79F5"/>
    <w:rsid w:val="39C15447"/>
    <w:rsid w:val="39DD0E2F"/>
    <w:rsid w:val="39F308E8"/>
    <w:rsid w:val="39FF6BA3"/>
    <w:rsid w:val="3A4B56FC"/>
    <w:rsid w:val="3A566F31"/>
    <w:rsid w:val="3A8B1EF5"/>
    <w:rsid w:val="3A8D1903"/>
    <w:rsid w:val="3B0B1AD8"/>
    <w:rsid w:val="3B4413D5"/>
    <w:rsid w:val="3B626996"/>
    <w:rsid w:val="3B817F46"/>
    <w:rsid w:val="3BA90120"/>
    <w:rsid w:val="3C0435A9"/>
    <w:rsid w:val="3C6D13A1"/>
    <w:rsid w:val="3C6E7851"/>
    <w:rsid w:val="3CB17B91"/>
    <w:rsid w:val="3CEB786D"/>
    <w:rsid w:val="3D60411F"/>
    <w:rsid w:val="3E473359"/>
    <w:rsid w:val="3EBE2135"/>
    <w:rsid w:val="3F6C2C90"/>
    <w:rsid w:val="402204A1"/>
    <w:rsid w:val="402B4D0F"/>
    <w:rsid w:val="41CF635B"/>
    <w:rsid w:val="41E657FF"/>
    <w:rsid w:val="42A21DA3"/>
    <w:rsid w:val="42BB330B"/>
    <w:rsid w:val="431731AA"/>
    <w:rsid w:val="433E7706"/>
    <w:rsid w:val="43AA0EDA"/>
    <w:rsid w:val="43CC4A3F"/>
    <w:rsid w:val="43FD4CE8"/>
    <w:rsid w:val="43FE7235"/>
    <w:rsid w:val="447C0411"/>
    <w:rsid w:val="450D5A45"/>
    <w:rsid w:val="45675EB9"/>
    <w:rsid w:val="45C65BB7"/>
    <w:rsid w:val="46B567EC"/>
    <w:rsid w:val="4789207B"/>
    <w:rsid w:val="47D0386E"/>
    <w:rsid w:val="47ED366A"/>
    <w:rsid w:val="481A7151"/>
    <w:rsid w:val="48523C0A"/>
    <w:rsid w:val="487335D5"/>
    <w:rsid w:val="493058B4"/>
    <w:rsid w:val="49351245"/>
    <w:rsid w:val="49927DC7"/>
    <w:rsid w:val="49DE18DD"/>
    <w:rsid w:val="4A5A5C3F"/>
    <w:rsid w:val="4B294DDA"/>
    <w:rsid w:val="4B3F6B82"/>
    <w:rsid w:val="4B6B7860"/>
    <w:rsid w:val="4BEA342B"/>
    <w:rsid w:val="4BFD5540"/>
    <w:rsid w:val="4BFE3359"/>
    <w:rsid w:val="4C066B29"/>
    <w:rsid w:val="4C105BD6"/>
    <w:rsid w:val="4C3719B2"/>
    <w:rsid w:val="4C902A8D"/>
    <w:rsid w:val="4C96649F"/>
    <w:rsid w:val="4CC414CF"/>
    <w:rsid w:val="4CC87B94"/>
    <w:rsid w:val="4CCC0113"/>
    <w:rsid w:val="4D2866B7"/>
    <w:rsid w:val="4DBC0187"/>
    <w:rsid w:val="4DFE42FC"/>
    <w:rsid w:val="4E6C325B"/>
    <w:rsid w:val="4E8F6564"/>
    <w:rsid w:val="4ED65279"/>
    <w:rsid w:val="4F5C0C2F"/>
    <w:rsid w:val="4FA5088A"/>
    <w:rsid w:val="4FB629B4"/>
    <w:rsid w:val="50215DDD"/>
    <w:rsid w:val="502244A5"/>
    <w:rsid w:val="50506965"/>
    <w:rsid w:val="50760543"/>
    <w:rsid w:val="50B909AE"/>
    <w:rsid w:val="510942D7"/>
    <w:rsid w:val="51736582"/>
    <w:rsid w:val="51BB4DAA"/>
    <w:rsid w:val="5265216E"/>
    <w:rsid w:val="52EC221C"/>
    <w:rsid w:val="53672172"/>
    <w:rsid w:val="53C11B84"/>
    <w:rsid w:val="53DF072C"/>
    <w:rsid w:val="53F92C98"/>
    <w:rsid w:val="542942D5"/>
    <w:rsid w:val="54733238"/>
    <w:rsid w:val="548C6339"/>
    <w:rsid w:val="54AE09CE"/>
    <w:rsid w:val="54B40BE7"/>
    <w:rsid w:val="55144405"/>
    <w:rsid w:val="55995214"/>
    <w:rsid w:val="56AE4214"/>
    <w:rsid w:val="573354B6"/>
    <w:rsid w:val="57452F9B"/>
    <w:rsid w:val="5791308D"/>
    <w:rsid w:val="57920D10"/>
    <w:rsid w:val="57E02CC4"/>
    <w:rsid w:val="58047C74"/>
    <w:rsid w:val="58223237"/>
    <w:rsid w:val="5864233E"/>
    <w:rsid w:val="58F51A81"/>
    <w:rsid w:val="590D059C"/>
    <w:rsid w:val="592B15DF"/>
    <w:rsid w:val="593E6324"/>
    <w:rsid w:val="596B54BB"/>
    <w:rsid w:val="59C9560C"/>
    <w:rsid w:val="59E2645B"/>
    <w:rsid w:val="5A4E03B9"/>
    <w:rsid w:val="5A755E33"/>
    <w:rsid w:val="5AD04EC6"/>
    <w:rsid w:val="5AE07983"/>
    <w:rsid w:val="5B215ACE"/>
    <w:rsid w:val="5BA43C7D"/>
    <w:rsid w:val="5BA66C84"/>
    <w:rsid w:val="5BC04CA0"/>
    <w:rsid w:val="5BD037DD"/>
    <w:rsid w:val="5C193C6F"/>
    <w:rsid w:val="5C6914DA"/>
    <w:rsid w:val="5C8643FA"/>
    <w:rsid w:val="5CDF456F"/>
    <w:rsid w:val="5D572C78"/>
    <w:rsid w:val="5D6476E6"/>
    <w:rsid w:val="5D9278DD"/>
    <w:rsid w:val="5DD714A4"/>
    <w:rsid w:val="5E6014D4"/>
    <w:rsid w:val="5E6D347A"/>
    <w:rsid w:val="5ECB5FF5"/>
    <w:rsid w:val="5EDE4A8A"/>
    <w:rsid w:val="5F0F299B"/>
    <w:rsid w:val="5F4B72E8"/>
    <w:rsid w:val="5F64242D"/>
    <w:rsid w:val="5FC57B21"/>
    <w:rsid w:val="5FCD0920"/>
    <w:rsid w:val="5FEF5F56"/>
    <w:rsid w:val="600F37E7"/>
    <w:rsid w:val="607D63EF"/>
    <w:rsid w:val="608B3AD4"/>
    <w:rsid w:val="61856700"/>
    <w:rsid w:val="618E445E"/>
    <w:rsid w:val="61CD42B9"/>
    <w:rsid w:val="620F7EF6"/>
    <w:rsid w:val="627666FF"/>
    <w:rsid w:val="62832486"/>
    <w:rsid w:val="628D019F"/>
    <w:rsid w:val="62966DA1"/>
    <w:rsid w:val="631B69F2"/>
    <w:rsid w:val="635602DE"/>
    <w:rsid w:val="638A67B2"/>
    <w:rsid w:val="638B442C"/>
    <w:rsid w:val="63C01BA2"/>
    <w:rsid w:val="63C10880"/>
    <w:rsid w:val="64357EF4"/>
    <w:rsid w:val="644C1739"/>
    <w:rsid w:val="644F5459"/>
    <w:rsid w:val="64FB758F"/>
    <w:rsid w:val="64FD03AC"/>
    <w:rsid w:val="653505E7"/>
    <w:rsid w:val="65890C8C"/>
    <w:rsid w:val="65D26D77"/>
    <w:rsid w:val="65E77799"/>
    <w:rsid w:val="66BA2932"/>
    <w:rsid w:val="676A1200"/>
    <w:rsid w:val="677772D0"/>
    <w:rsid w:val="68403A64"/>
    <w:rsid w:val="68E029FD"/>
    <w:rsid w:val="69147527"/>
    <w:rsid w:val="69630509"/>
    <w:rsid w:val="699A2DE5"/>
    <w:rsid w:val="69AC0C58"/>
    <w:rsid w:val="69B411FD"/>
    <w:rsid w:val="69B813AB"/>
    <w:rsid w:val="69DB133C"/>
    <w:rsid w:val="69FA40E3"/>
    <w:rsid w:val="6A1E234A"/>
    <w:rsid w:val="6B036428"/>
    <w:rsid w:val="6B040620"/>
    <w:rsid w:val="6B407C0E"/>
    <w:rsid w:val="6B447BA8"/>
    <w:rsid w:val="6B66776B"/>
    <w:rsid w:val="6B804DE4"/>
    <w:rsid w:val="6BC46986"/>
    <w:rsid w:val="6C7621DF"/>
    <w:rsid w:val="6C787452"/>
    <w:rsid w:val="6C7D39C9"/>
    <w:rsid w:val="6CEF4F0F"/>
    <w:rsid w:val="6D5736CD"/>
    <w:rsid w:val="6D824924"/>
    <w:rsid w:val="6DAB59DE"/>
    <w:rsid w:val="6DEF55B7"/>
    <w:rsid w:val="6E1C6E5A"/>
    <w:rsid w:val="6E296D1B"/>
    <w:rsid w:val="6E7D76F4"/>
    <w:rsid w:val="6EAF3BF9"/>
    <w:rsid w:val="6F3D48CD"/>
    <w:rsid w:val="6F9220A7"/>
    <w:rsid w:val="6F9D106B"/>
    <w:rsid w:val="6F9F1217"/>
    <w:rsid w:val="6FD146E6"/>
    <w:rsid w:val="702751BC"/>
    <w:rsid w:val="70803C45"/>
    <w:rsid w:val="708A2F7E"/>
    <w:rsid w:val="70AF7646"/>
    <w:rsid w:val="70E06CE3"/>
    <w:rsid w:val="71533DB0"/>
    <w:rsid w:val="71CC34BB"/>
    <w:rsid w:val="71F413EE"/>
    <w:rsid w:val="723143F0"/>
    <w:rsid w:val="723F4C97"/>
    <w:rsid w:val="739909A9"/>
    <w:rsid w:val="73BC4877"/>
    <w:rsid w:val="73CC483B"/>
    <w:rsid w:val="74550B7F"/>
    <w:rsid w:val="74660147"/>
    <w:rsid w:val="747857C5"/>
    <w:rsid w:val="749F4F46"/>
    <w:rsid w:val="74BC2D43"/>
    <w:rsid w:val="74D57DC3"/>
    <w:rsid w:val="75091C36"/>
    <w:rsid w:val="754D4AAC"/>
    <w:rsid w:val="754E44BD"/>
    <w:rsid w:val="7568637B"/>
    <w:rsid w:val="75866B39"/>
    <w:rsid w:val="76117735"/>
    <w:rsid w:val="761F5CF5"/>
    <w:rsid w:val="762A5C33"/>
    <w:rsid w:val="76305A01"/>
    <w:rsid w:val="766C1C80"/>
    <w:rsid w:val="769748A4"/>
    <w:rsid w:val="76F579B0"/>
    <w:rsid w:val="771208E5"/>
    <w:rsid w:val="77206207"/>
    <w:rsid w:val="77302EC9"/>
    <w:rsid w:val="780E4FF0"/>
    <w:rsid w:val="783B609A"/>
    <w:rsid w:val="78D46F90"/>
    <w:rsid w:val="790C3366"/>
    <w:rsid w:val="794E7636"/>
    <w:rsid w:val="7956473D"/>
    <w:rsid w:val="79761382"/>
    <w:rsid w:val="7A9554CF"/>
    <w:rsid w:val="7ADC31A8"/>
    <w:rsid w:val="7AF33058"/>
    <w:rsid w:val="7B012F78"/>
    <w:rsid w:val="7BFC5316"/>
    <w:rsid w:val="7CAA0B92"/>
    <w:rsid w:val="7CBD6A8F"/>
    <w:rsid w:val="7CC47394"/>
    <w:rsid w:val="7CFF4621"/>
    <w:rsid w:val="7D5F768E"/>
    <w:rsid w:val="7E97060A"/>
    <w:rsid w:val="7EBF506D"/>
    <w:rsid w:val="7EF002A6"/>
    <w:rsid w:val="7FB77874"/>
    <w:rsid w:val="7FD12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4"/>
    <w:next w:val="5"/>
    <w:link w:val="60"/>
    <w:qFormat/>
    <w:uiPriority w:val="0"/>
    <w:pPr>
      <w:keepNext/>
      <w:keepLines/>
      <w:spacing w:after="120" w:line="360" w:lineRule="auto"/>
      <w:outlineLvl w:val="0"/>
    </w:pPr>
    <w:rPr>
      <w:kern w:val="44"/>
      <w:sz w:val="28"/>
      <w:szCs w:val="28"/>
    </w:rPr>
  </w:style>
  <w:style w:type="paragraph" w:styleId="7">
    <w:name w:val="heading 2"/>
    <w:basedOn w:val="1"/>
    <w:next w:val="1"/>
    <w:link w:val="61"/>
    <w:qFormat/>
    <w:uiPriority w:val="0"/>
    <w:pPr>
      <w:keepNext/>
      <w:keepLines/>
      <w:spacing w:before="120" w:after="120" w:line="415" w:lineRule="auto"/>
      <w:ind w:left="454"/>
      <w:jc w:val="center"/>
      <w:outlineLvl w:val="1"/>
    </w:pPr>
    <w:rPr>
      <w:rFonts w:ascii="Arial" w:hAnsi="Arial"/>
      <w:b/>
      <w:color w:val="000000"/>
      <w:sz w:val="24"/>
      <w:szCs w:val="24"/>
    </w:rPr>
  </w:style>
  <w:style w:type="paragraph" w:styleId="8">
    <w:name w:val="heading 3"/>
    <w:basedOn w:val="1"/>
    <w:next w:val="1"/>
    <w:link w:val="55"/>
    <w:qFormat/>
    <w:uiPriority w:val="0"/>
    <w:pPr>
      <w:widowControl/>
      <w:spacing w:before="100" w:beforeAutospacing="1" w:after="100" w:afterAutospacing="1"/>
      <w:jc w:val="left"/>
      <w:outlineLvl w:val="2"/>
    </w:pPr>
    <w:rPr>
      <w:rFonts w:ascii="宋体" w:hAnsi="宋体" w:cs="宋体"/>
      <w:kern w:val="0"/>
      <w:sz w:val="27"/>
      <w:szCs w:val="27"/>
    </w:rPr>
  </w:style>
  <w:style w:type="paragraph" w:styleId="9">
    <w:name w:val="heading 4"/>
    <w:basedOn w:val="8"/>
    <w:next w:val="2"/>
    <w:link w:val="62"/>
    <w:qFormat/>
    <w:uiPriority w:val="0"/>
    <w:pPr>
      <w:keepNext/>
      <w:keepLines/>
      <w:widowControl w:val="0"/>
      <w:numPr>
        <w:ilvl w:val="3"/>
        <w:numId w:val="1"/>
      </w:numPr>
      <w:spacing w:before="0" w:beforeLines="50" w:beforeAutospacing="0" w:after="0" w:afterLines="50" w:afterAutospacing="0" w:line="360" w:lineRule="auto"/>
      <w:outlineLvl w:val="3"/>
    </w:pPr>
    <w:rPr>
      <w:rFonts w:ascii="Arial" w:hAnsi="Arial" w:cs="Times New Roman"/>
      <w:color w:val="000000"/>
      <w:kern w:val="2"/>
      <w:sz w:val="21"/>
      <w:szCs w:val="21"/>
    </w:rPr>
  </w:style>
  <w:style w:type="paragraph" w:styleId="10">
    <w:name w:val="heading 5"/>
    <w:basedOn w:val="9"/>
    <w:next w:val="2"/>
    <w:link w:val="63"/>
    <w:qFormat/>
    <w:uiPriority w:val="0"/>
    <w:pPr>
      <w:numPr>
        <w:ilvl w:val="4"/>
      </w:numPr>
      <w:spacing w:line="240" w:lineRule="exact"/>
      <w:outlineLvl w:val="4"/>
    </w:pPr>
  </w:style>
  <w:style w:type="paragraph" w:styleId="11">
    <w:name w:val="heading 6"/>
    <w:basedOn w:val="1"/>
    <w:next w:val="1"/>
    <w:link w:val="64"/>
    <w:qFormat/>
    <w:uiPriority w:val="0"/>
    <w:pPr>
      <w:keepNext/>
      <w:keepLines/>
      <w:numPr>
        <w:ilvl w:val="5"/>
        <w:numId w:val="2"/>
      </w:numPr>
      <w:spacing w:before="240" w:after="64" w:line="320" w:lineRule="auto"/>
      <w:outlineLvl w:val="5"/>
    </w:pPr>
    <w:rPr>
      <w:rFonts w:ascii="Arial" w:hAnsi="Arial" w:eastAsia="黑体"/>
      <w:b/>
      <w:bCs/>
      <w:sz w:val="24"/>
      <w:szCs w:val="24"/>
    </w:rPr>
  </w:style>
  <w:style w:type="paragraph" w:styleId="12">
    <w:name w:val="heading 7"/>
    <w:basedOn w:val="1"/>
    <w:next w:val="2"/>
    <w:link w:val="65"/>
    <w:qFormat/>
    <w:uiPriority w:val="0"/>
    <w:pPr>
      <w:keepNext/>
      <w:keepLines/>
      <w:numPr>
        <w:ilvl w:val="6"/>
        <w:numId w:val="1"/>
      </w:numPr>
      <w:spacing w:before="240" w:after="64" w:line="320" w:lineRule="auto"/>
      <w:outlineLvl w:val="6"/>
    </w:pPr>
    <w:rPr>
      <w:rFonts w:ascii="Times New Roman" w:hAnsi="Times New Roman"/>
      <w:b/>
      <w:sz w:val="24"/>
      <w:szCs w:val="20"/>
    </w:rPr>
  </w:style>
  <w:style w:type="paragraph" w:styleId="13">
    <w:name w:val="heading 8"/>
    <w:basedOn w:val="1"/>
    <w:next w:val="2"/>
    <w:link w:val="66"/>
    <w:qFormat/>
    <w:uiPriority w:val="0"/>
    <w:pPr>
      <w:keepNext/>
      <w:keepLines/>
      <w:numPr>
        <w:ilvl w:val="7"/>
        <w:numId w:val="1"/>
      </w:numPr>
      <w:spacing w:before="240" w:after="64" w:line="320" w:lineRule="auto"/>
      <w:outlineLvl w:val="7"/>
    </w:pPr>
    <w:rPr>
      <w:rFonts w:ascii="Arial" w:hAnsi="Arial" w:eastAsia="黑体"/>
      <w:sz w:val="24"/>
      <w:szCs w:val="20"/>
    </w:rPr>
  </w:style>
  <w:style w:type="paragraph" w:styleId="14">
    <w:name w:val="heading 9"/>
    <w:basedOn w:val="1"/>
    <w:next w:val="2"/>
    <w:link w:val="67"/>
    <w:qFormat/>
    <w:uiPriority w:val="0"/>
    <w:pPr>
      <w:keepNext/>
      <w:keepLines/>
      <w:numPr>
        <w:ilvl w:val="8"/>
        <w:numId w:val="1"/>
      </w:numPr>
      <w:spacing w:before="240" w:after="64" w:line="320" w:lineRule="auto"/>
      <w:outlineLvl w:val="8"/>
    </w:pPr>
    <w:rPr>
      <w:rFonts w:ascii="Arial" w:hAnsi="Arial" w:eastAsia="黑体"/>
      <w:szCs w:val="20"/>
    </w:rPr>
  </w:style>
  <w:style w:type="character" w:default="1" w:styleId="38">
    <w:name w:val="Default Paragraph Font"/>
    <w:semiHidden/>
    <w:unhideWhenUsed/>
    <w:uiPriority w:val="1"/>
  </w:style>
  <w:style w:type="table" w:default="1" w:styleId="36">
    <w:name w:val="Normal Table"/>
    <w:semiHidden/>
    <w:unhideWhenUsed/>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pPr>
    <w:rPr>
      <w:rFonts w:ascii="Times New Roman" w:hAnsi="Times New Roman"/>
      <w:szCs w:val="20"/>
    </w:rPr>
  </w:style>
  <w:style w:type="paragraph" w:styleId="4">
    <w:name w:val="Title"/>
    <w:basedOn w:val="1"/>
    <w:link w:val="69"/>
    <w:qFormat/>
    <w:uiPriority w:val="0"/>
    <w:pPr>
      <w:spacing w:before="120" w:after="60"/>
      <w:jc w:val="center"/>
    </w:pPr>
    <w:rPr>
      <w:rFonts w:ascii="Arial" w:hAnsi="Arial"/>
      <w:b/>
      <w:sz w:val="44"/>
      <w:szCs w:val="20"/>
    </w:rPr>
  </w:style>
  <w:style w:type="paragraph" w:styleId="5">
    <w:name w:val="Body Text First Indent"/>
    <w:basedOn w:val="6"/>
    <w:link w:val="73"/>
    <w:qFormat/>
    <w:uiPriority w:val="0"/>
    <w:pPr>
      <w:ind w:firstLine="420"/>
    </w:pPr>
  </w:style>
  <w:style w:type="paragraph" w:styleId="6">
    <w:name w:val="Body Text"/>
    <w:basedOn w:val="1"/>
    <w:next w:val="1"/>
    <w:link w:val="71"/>
    <w:qFormat/>
    <w:uiPriority w:val="0"/>
    <w:pPr>
      <w:spacing w:after="120"/>
    </w:pPr>
    <w:rPr>
      <w:rFonts w:ascii="Times New Roman" w:hAnsi="Times New Roman"/>
      <w:szCs w:val="20"/>
    </w:rPr>
  </w:style>
  <w:style w:type="paragraph" w:styleId="15">
    <w:name w:val="Document Map"/>
    <w:basedOn w:val="1"/>
    <w:link w:val="79"/>
    <w:qFormat/>
    <w:uiPriority w:val="0"/>
    <w:pPr>
      <w:shd w:val="clear" w:color="auto" w:fill="000080"/>
    </w:pPr>
    <w:rPr>
      <w:rFonts w:ascii="Times New Roman" w:hAnsi="Times New Roman"/>
      <w:szCs w:val="20"/>
    </w:rPr>
  </w:style>
  <w:style w:type="paragraph" w:styleId="16">
    <w:name w:val="annotation text"/>
    <w:basedOn w:val="1"/>
    <w:link w:val="105"/>
    <w:qFormat/>
    <w:uiPriority w:val="0"/>
    <w:pPr>
      <w:spacing w:line="360" w:lineRule="auto"/>
      <w:ind w:firstLine="523" w:firstLineChars="218"/>
      <w:jc w:val="left"/>
    </w:pPr>
    <w:rPr>
      <w:rFonts w:ascii="宋体" w:hAnsi="宋体"/>
      <w:sz w:val="24"/>
      <w:szCs w:val="24"/>
    </w:rPr>
  </w:style>
  <w:style w:type="paragraph" w:styleId="17">
    <w:name w:val="Body Text 3"/>
    <w:basedOn w:val="1"/>
    <w:qFormat/>
    <w:uiPriority w:val="0"/>
    <w:rPr>
      <w:rFonts w:ascii="宋体" w:hAnsi="宋体" w:cs="宋体"/>
      <w:sz w:val="24"/>
      <w:szCs w:val="20"/>
    </w:rPr>
  </w:style>
  <w:style w:type="paragraph" w:styleId="18">
    <w:name w:val="Body Text Indent"/>
    <w:basedOn w:val="1"/>
    <w:link w:val="77"/>
    <w:qFormat/>
    <w:uiPriority w:val="0"/>
    <w:pPr>
      <w:ind w:firstLine="570"/>
    </w:pPr>
    <w:rPr>
      <w:rFonts w:ascii="Times New Roman" w:hAnsi="Times New Roman"/>
      <w:sz w:val="28"/>
      <w:szCs w:val="20"/>
    </w:rPr>
  </w:style>
  <w:style w:type="paragraph" w:styleId="19">
    <w:name w:val="toc 3"/>
    <w:basedOn w:val="1"/>
    <w:next w:val="1"/>
    <w:qFormat/>
    <w:uiPriority w:val="39"/>
    <w:pPr>
      <w:snapToGrid w:val="0"/>
      <w:spacing w:line="360" w:lineRule="auto"/>
      <w:ind w:left="400" w:leftChars="400"/>
      <w:jc w:val="left"/>
    </w:pPr>
    <w:rPr>
      <w:rFonts w:ascii="Times New Roman" w:hAnsi="Times New Roman"/>
      <w:sz w:val="24"/>
      <w:szCs w:val="20"/>
    </w:rPr>
  </w:style>
  <w:style w:type="paragraph" w:styleId="20">
    <w:name w:val="Plain Text"/>
    <w:basedOn w:val="1"/>
    <w:link w:val="81"/>
    <w:qFormat/>
    <w:uiPriority w:val="0"/>
    <w:rPr>
      <w:rFonts w:ascii="宋体" w:hAnsi="Courier New"/>
      <w:szCs w:val="20"/>
    </w:rPr>
  </w:style>
  <w:style w:type="paragraph" w:styleId="21">
    <w:name w:val="Date"/>
    <w:basedOn w:val="1"/>
    <w:next w:val="1"/>
    <w:link w:val="75"/>
    <w:qFormat/>
    <w:uiPriority w:val="0"/>
    <w:rPr>
      <w:rFonts w:ascii="Times New Roman" w:hAnsi="Times New Roman"/>
      <w:szCs w:val="20"/>
    </w:rPr>
  </w:style>
  <w:style w:type="paragraph" w:styleId="22">
    <w:name w:val="Body Text Indent 2"/>
    <w:basedOn w:val="1"/>
    <w:link w:val="83"/>
    <w:qFormat/>
    <w:uiPriority w:val="0"/>
    <w:pPr>
      <w:spacing w:line="400" w:lineRule="exact"/>
      <w:ind w:left="425"/>
    </w:pPr>
    <w:rPr>
      <w:rFonts w:ascii="Times New Roman" w:hAnsi="Times New Roman"/>
      <w:color w:val="000000"/>
      <w:sz w:val="24"/>
      <w:szCs w:val="20"/>
    </w:rPr>
  </w:style>
  <w:style w:type="paragraph" w:styleId="23">
    <w:name w:val="endnote text"/>
    <w:basedOn w:val="1"/>
    <w:link w:val="92"/>
    <w:qFormat/>
    <w:uiPriority w:val="0"/>
    <w:pPr>
      <w:snapToGrid w:val="0"/>
      <w:jc w:val="left"/>
    </w:pPr>
    <w:rPr>
      <w:rFonts w:ascii="Times New Roman" w:hAnsi="Times New Roman"/>
      <w:szCs w:val="20"/>
    </w:rPr>
  </w:style>
  <w:style w:type="paragraph" w:styleId="24">
    <w:name w:val="Balloon Text"/>
    <w:basedOn w:val="1"/>
    <w:link w:val="102"/>
    <w:qFormat/>
    <w:uiPriority w:val="0"/>
    <w:rPr>
      <w:rFonts w:ascii="Times New Roman" w:hAnsi="Times New Roman"/>
      <w:sz w:val="18"/>
      <w:szCs w:val="18"/>
    </w:rPr>
  </w:style>
  <w:style w:type="paragraph" w:styleId="25">
    <w:name w:val="footer"/>
    <w:basedOn w:val="1"/>
    <w:link w:val="59"/>
    <w:unhideWhenUsed/>
    <w:qFormat/>
    <w:uiPriority w:val="0"/>
    <w:pPr>
      <w:tabs>
        <w:tab w:val="center" w:pos="4153"/>
        <w:tab w:val="right" w:pos="8306"/>
      </w:tabs>
      <w:snapToGrid w:val="0"/>
      <w:jc w:val="left"/>
    </w:pPr>
    <w:rPr>
      <w:sz w:val="18"/>
      <w:szCs w:val="18"/>
    </w:rPr>
  </w:style>
  <w:style w:type="paragraph" w:styleId="26">
    <w:name w:val="header"/>
    <w:basedOn w:val="1"/>
    <w:link w:val="57"/>
    <w:unhideWhenUsed/>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pPr>
      <w:tabs>
        <w:tab w:val="right" w:leader="dot" w:pos="9060"/>
      </w:tabs>
      <w:adjustRightInd w:val="0"/>
      <w:snapToGrid w:val="0"/>
      <w:spacing w:line="360" w:lineRule="auto"/>
      <w:jc w:val="left"/>
      <w:textAlignment w:val="baseline"/>
    </w:pPr>
    <w:rPr>
      <w:rFonts w:ascii="宋体" w:hAnsi="宋体"/>
      <w:caps/>
      <w:kern w:val="0"/>
      <w:sz w:val="24"/>
      <w:szCs w:val="32"/>
    </w:rPr>
  </w:style>
  <w:style w:type="paragraph" w:styleId="28">
    <w:name w:val="footnote text"/>
    <w:basedOn w:val="1"/>
    <w:link w:val="107"/>
    <w:qFormat/>
    <w:uiPriority w:val="0"/>
    <w:pPr>
      <w:snapToGrid w:val="0"/>
      <w:spacing w:line="360" w:lineRule="auto"/>
      <w:ind w:firstLine="523" w:firstLineChars="218"/>
      <w:jc w:val="left"/>
    </w:pPr>
    <w:rPr>
      <w:rFonts w:ascii="宋体" w:hAnsi="宋体"/>
      <w:sz w:val="18"/>
      <w:szCs w:val="18"/>
    </w:rPr>
  </w:style>
  <w:style w:type="paragraph" w:styleId="29">
    <w:name w:val="Body Text Indent 3"/>
    <w:basedOn w:val="1"/>
    <w:link w:val="85"/>
    <w:qFormat/>
    <w:uiPriority w:val="0"/>
    <w:pPr>
      <w:tabs>
        <w:tab w:val="left" w:pos="0"/>
      </w:tabs>
      <w:spacing w:line="400" w:lineRule="exact"/>
      <w:ind w:left="563" w:leftChars="228" w:hanging="84" w:hangingChars="35"/>
    </w:pPr>
    <w:rPr>
      <w:rFonts w:ascii="Times New Roman" w:hAnsi="Times New Roman"/>
      <w:color w:val="000000"/>
      <w:sz w:val="24"/>
      <w:szCs w:val="20"/>
    </w:rPr>
  </w:style>
  <w:style w:type="paragraph" w:styleId="30">
    <w:name w:val="toc 2"/>
    <w:basedOn w:val="1"/>
    <w:next w:val="1"/>
    <w:qFormat/>
    <w:uiPriority w:val="39"/>
    <w:pPr>
      <w:tabs>
        <w:tab w:val="right" w:leader="dot" w:pos="9060"/>
      </w:tabs>
      <w:snapToGrid w:val="0"/>
      <w:spacing w:line="360" w:lineRule="auto"/>
      <w:ind w:left="420" w:leftChars="200"/>
      <w:jc w:val="left"/>
    </w:pPr>
    <w:rPr>
      <w:rFonts w:ascii="Times New Roman" w:hAnsi="Times New Roman"/>
      <w:sz w:val="24"/>
      <w:szCs w:val="24"/>
    </w:rPr>
  </w:style>
  <w:style w:type="paragraph" w:styleId="31">
    <w:name w:val="Body Text 2"/>
    <w:basedOn w:val="1"/>
    <w:link w:val="89"/>
    <w:qFormat/>
    <w:uiPriority w:val="0"/>
    <w:rPr>
      <w:rFonts w:ascii="宋体" w:hAnsi="宋体"/>
      <w:szCs w:val="24"/>
      <w:u w:val="single"/>
    </w:rPr>
  </w:style>
  <w:style w:type="paragraph" w:styleId="32">
    <w:name w:val="Normal (Web)"/>
    <w:basedOn w:val="1"/>
    <w:qFormat/>
    <w:uiPriority w:val="0"/>
    <w:pPr>
      <w:spacing w:before="100" w:beforeAutospacing="1" w:after="100" w:afterAutospacing="1"/>
      <w:jc w:val="left"/>
    </w:pPr>
    <w:rPr>
      <w:kern w:val="0"/>
      <w:sz w:val="24"/>
    </w:rPr>
  </w:style>
  <w:style w:type="paragraph" w:styleId="33">
    <w:name w:val="index 1"/>
    <w:basedOn w:val="1"/>
    <w:next w:val="1"/>
    <w:qFormat/>
    <w:uiPriority w:val="0"/>
    <w:rPr>
      <w:rFonts w:ascii="Times New Roman" w:hAnsi="Times New Roman" w:eastAsia="仿宋_GB2312"/>
      <w:sz w:val="28"/>
      <w:szCs w:val="20"/>
    </w:rPr>
  </w:style>
  <w:style w:type="paragraph" w:styleId="34">
    <w:name w:val="annotation subject"/>
    <w:basedOn w:val="16"/>
    <w:next w:val="16"/>
    <w:link w:val="109"/>
    <w:qFormat/>
    <w:uiPriority w:val="0"/>
    <w:rPr>
      <w:b/>
      <w:bCs/>
    </w:rPr>
  </w:style>
  <w:style w:type="paragraph" w:styleId="35">
    <w:name w:val="Body Text First Indent 2"/>
    <w:basedOn w:val="18"/>
    <w:qFormat/>
    <w:uiPriority w:val="0"/>
    <w:pPr>
      <w:spacing w:after="120"/>
      <w:ind w:left="200" w:leftChars="200" w:firstLine="200" w:firstLineChars="200"/>
    </w:pPr>
    <w:rPr>
      <w:szCs w:val="24"/>
    </w:rPr>
  </w:style>
  <w:style w:type="table" w:styleId="37">
    <w:name w:val="Table Grid"/>
    <w:basedOn w:val="3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qFormat/>
    <w:uiPriority w:val="0"/>
    <w:rPr>
      <w:b/>
    </w:rPr>
  </w:style>
  <w:style w:type="character" w:styleId="40">
    <w:name w:val="endnote reference"/>
    <w:qFormat/>
    <w:uiPriority w:val="0"/>
    <w:rPr>
      <w:vertAlign w:val="superscript"/>
    </w:rPr>
  </w:style>
  <w:style w:type="character" w:styleId="41">
    <w:name w:val="page number"/>
    <w:qFormat/>
    <w:uiPriority w:val="0"/>
    <w:rPr>
      <w:rFonts w:cs="Times New Roman"/>
    </w:rPr>
  </w:style>
  <w:style w:type="character" w:styleId="42">
    <w:name w:val="FollowedHyperlink"/>
    <w:semiHidden/>
    <w:unhideWhenUsed/>
    <w:qFormat/>
    <w:uiPriority w:val="99"/>
    <w:rPr>
      <w:color w:val="954F72"/>
      <w:u w:val="single"/>
    </w:rPr>
  </w:style>
  <w:style w:type="character" w:styleId="43">
    <w:name w:val="Hyperlink"/>
    <w:qFormat/>
    <w:uiPriority w:val="99"/>
    <w:rPr>
      <w:color w:val="0000FF"/>
      <w:u w:val="single"/>
    </w:rPr>
  </w:style>
  <w:style w:type="character" w:styleId="44">
    <w:name w:val="annotation reference"/>
    <w:qFormat/>
    <w:uiPriority w:val="0"/>
    <w:rPr>
      <w:sz w:val="21"/>
      <w:szCs w:val="21"/>
    </w:rPr>
  </w:style>
  <w:style w:type="character" w:styleId="45">
    <w:name w:val="footnote reference"/>
    <w:qFormat/>
    <w:uiPriority w:val="0"/>
    <w:rPr>
      <w:vertAlign w:val="superscript"/>
    </w:rPr>
  </w:style>
  <w:style w:type="character" w:customStyle="1" w:styleId="46">
    <w:name w:val="标题 1 字符"/>
    <w:qFormat/>
    <w:uiPriority w:val="9"/>
    <w:rPr>
      <w:rFonts w:ascii="Calibri" w:hAnsi="Calibri" w:eastAsia="宋体" w:cs="Times New Roman"/>
      <w:b/>
      <w:bCs/>
      <w:kern w:val="44"/>
      <w:sz w:val="44"/>
      <w:szCs w:val="44"/>
    </w:rPr>
  </w:style>
  <w:style w:type="character" w:customStyle="1" w:styleId="47">
    <w:name w:val="标题 2 字符"/>
    <w:semiHidden/>
    <w:qFormat/>
    <w:uiPriority w:val="9"/>
    <w:rPr>
      <w:rFonts w:ascii="等线 Light" w:hAnsi="等线 Light" w:eastAsia="等线 Light" w:cs="Times New Roman"/>
      <w:b/>
      <w:bCs/>
      <w:sz w:val="32"/>
      <w:szCs w:val="32"/>
    </w:rPr>
  </w:style>
  <w:style w:type="character" w:customStyle="1" w:styleId="48">
    <w:name w:val="标题 3 字符"/>
    <w:semiHidden/>
    <w:qFormat/>
    <w:uiPriority w:val="9"/>
    <w:rPr>
      <w:rFonts w:ascii="Calibri" w:hAnsi="Calibri" w:eastAsia="宋体" w:cs="Times New Roman"/>
      <w:b/>
      <w:bCs/>
      <w:sz w:val="32"/>
      <w:szCs w:val="32"/>
    </w:rPr>
  </w:style>
  <w:style w:type="character" w:customStyle="1" w:styleId="49">
    <w:name w:val="标题 4 字符"/>
    <w:semiHidden/>
    <w:qFormat/>
    <w:uiPriority w:val="9"/>
    <w:rPr>
      <w:rFonts w:ascii="等线 Light" w:hAnsi="等线 Light" w:eastAsia="等线 Light" w:cs="Times New Roman"/>
      <w:b/>
      <w:bCs/>
      <w:sz w:val="28"/>
      <w:szCs w:val="28"/>
    </w:rPr>
  </w:style>
  <w:style w:type="character" w:customStyle="1" w:styleId="50">
    <w:name w:val="标题 5 字符"/>
    <w:semiHidden/>
    <w:qFormat/>
    <w:uiPriority w:val="9"/>
    <w:rPr>
      <w:rFonts w:ascii="Calibri" w:hAnsi="Calibri" w:eastAsia="宋体" w:cs="Times New Roman"/>
      <w:b/>
      <w:bCs/>
      <w:sz w:val="28"/>
      <w:szCs w:val="28"/>
    </w:rPr>
  </w:style>
  <w:style w:type="character" w:customStyle="1" w:styleId="51">
    <w:name w:val="标题 6 字符"/>
    <w:semiHidden/>
    <w:qFormat/>
    <w:uiPriority w:val="9"/>
    <w:rPr>
      <w:rFonts w:ascii="等线 Light" w:hAnsi="等线 Light" w:eastAsia="等线 Light" w:cs="Times New Roman"/>
      <w:b/>
      <w:bCs/>
      <w:sz w:val="24"/>
      <w:szCs w:val="24"/>
    </w:rPr>
  </w:style>
  <w:style w:type="character" w:customStyle="1" w:styleId="52">
    <w:name w:val="标题 7 字符"/>
    <w:semiHidden/>
    <w:qFormat/>
    <w:uiPriority w:val="9"/>
    <w:rPr>
      <w:rFonts w:ascii="Calibri" w:hAnsi="Calibri" w:eastAsia="宋体" w:cs="Times New Roman"/>
      <w:b/>
      <w:bCs/>
      <w:sz w:val="24"/>
      <w:szCs w:val="24"/>
    </w:rPr>
  </w:style>
  <w:style w:type="character" w:customStyle="1" w:styleId="53">
    <w:name w:val="标题 8 字符"/>
    <w:semiHidden/>
    <w:qFormat/>
    <w:uiPriority w:val="9"/>
    <w:rPr>
      <w:rFonts w:ascii="等线 Light" w:hAnsi="等线 Light" w:eastAsia="等线 Light" w:cs="Times New Roman"/>
      <w:sz w:val="24"/>
      <w:szCs w:val="24"/>
    </w:rPr>
  </w:style>
  <w:style w:type="character" w:customStyle="1" w:styleId="54">
    <w:name w:val="标题 9 字符"/>
    <w:semiHidden/>
    <w:qFormat/>
    <w:uiPriority w:val="9"/>
    <w:rPr>
      <w:rFonts w:ascii="等线 Light" w:hAnsi="等线 Light" w:eastAsia="等线 Light" w:cs="Times New Roman"/>
      <w:szCs w:val="21"/>
    </w:rPr>
  </w:style>
  <w:style w:type="character" w:customStyle="1" w:styleId="55">
    <w:name w:val="标题 3 字符1"/>
    <w:link w:val="8"/>
    <w:qFormat/>
    <w:uiPriority w:val="0"/>
    <w:rPr>
      <w:rFonts w:ascii="宋体" w:hAnsi="宋体" w:eastAsia="宋体" w:cs="宋体"/>
      <w:kern w:val="0"/>
      <w:sz w:val="27"/>
      <w:szCs w:val="27"/>
    </w:rPr>
  </w:style>
  <w:style w:type="character" w:customStyle="1" w:styleId="56">
    <w:name w:val="页眉 字符"/>
    <w:semiHidden/>
    <w:qFormat/>
    <w:uiPriority w:val="99"/>
    <w:rPr>
      <w:rFonts w:ascii="Calibri" w:hAnsi="Calibri" w:eastAsia="宋体" w:cs="Times New Roman"/>
      <w:sz w:val="18"/>
      <w:szCs w:val="18"/>
    </w:rPr>
  </w:style>
  <w:style w:type="character" w:customStyle="1" w:styleId="57">
    <w:name w:val="页眉 字符1"/>
    <w:link w:val="26"/>
    <w:qFormat/>
    <w:uiPriority w:val="0"/>
    <w:rPr>
      <w:rFonts w:ascii="Calibri" w:hAnsi="Calibri" w:eastAsia="宋体" w:cs="Times New Roman"/>
      <w:sz w:val="18"/>
      <w:szCs w:val="18"/>
    </w:rPr>
  </w:style>
  <w:style w:type="character" w:customStyle="1" w:styleId="58">
    <w:name w:val="页脚 字符"/>
    <w:semiHidden/>
    <w:qFormat/>
    <w:uiPriority w:val="99"/>
    <w:rPr>
      <w:rFonts w:ascii="Calibri" w:hAnsi="Calibri" w:eastAsia="宋体" w:cs="Times New Roman"/>
      <w:sz w:val="18"/>
      <w:szCs w:val="18"/>
    </w:rPr>
  </w:style>
  <w:style w:type="character" w:customStyle="1" w:styleId="59">
    <w:name w:val="页脚 字符1"/>
    <w:link w:val="25"/>
    <w:qFormat/>
    <w:uiPriority w:val="0"/>
    <w:rPr>
      <w:rFonts w:ascii="Calibri" w:hAnsi="Calibri" w:eastAsia="宋体" w:cs="Times New Roman"/>
      <w:sz w:val="18"/>
      <w:szCs w:val="18"/>
    </w:rPr>
  </w:style>
  <w:style w:type="character" w:customStyle="1" w:styleId="60">
    <w:name w:val="标题 1 字符1"/>
    <w:link w:val="3"/>
    <w:qFormat/>
    <w:uiPriority w:val="0"/>
    <w:rPr>
      <w:rFonts w:ascii="Arial" w:hAnsi="Arial" w:eastAsia="宋体"/>
      <w:b/>
      <w:kern w:val="44"/>
      <w:sz w:val="28"/>
      <w:szCs w:val="28"/>
    </w:rPr>
  </w:style>
  <w:style w:type="character" w:customStyle="1" w:styleId="61">
    <w:name w:val="标题 2 字符1"/>
    <w:link w:val="7"/>
    <w:qFormat/>
    <w:uiPriority w:val="0"/>
    <w:rPr>
      <w:rFonts w:ascii="Arial" w:hAnsi="Arial" w:eastAsia="宋体" w:cs="Times New Roman"/>
      <w:b/>
      <w:color w:val="000000"/>
      <w:sz w:val="24"/>
      <w:szCs w:val="24"/>
    </w:rPr>
  </w:style>
  <w:style w:type="character" w:customStyle="1" w:styleId="62">
    <w:name w:val="标题 4 字符1"/>
    <w:link w:val="9"/>
    <w:qFormat/>
    <w:uiPriority w:val="0"/>
    <w:rPr>
      <w:rFonts w:ascii="Arial" w:hAnsi="Arial" w:eastAsia="宋体" w:cs="Times New Roman"/>
      <w:color w:val="000000"/>
      <w:szCs w:val="21"/>
    </w:rPr>
  </w:style>
  <w:style w:type="character" w:customStyle="1" w:styleId="63">
    <w:name w:val="标题 5 字符1"/>
    <w:link w:val="10"/>
    <w:qFormat/>
    <w:uiPriority w:val="0"/>
    <w:rPr>
      <w:rFonts w:ascii="Arial" w:hAnsi="Arial" w:eastAsia="宋体" w:cs="Times New Roman"/>
      <w:color w:val="000000"/>
      <w:szCs w:val="21"/>
    </w:rPr>
  </w:style>
  <w:style w:type="character" w:customStyle="1" w:styleId="64">
    <w:name w:val="标题 6 字符1"/>
    <w:link w:val="11"/>
    <w:qFormat/>
    <w:uiPriority w:val="0"/>
    <w:rPr>
      <w:rFonts w:ascii="Arial" w:hAnsi="Arial" w:eastAsia="黑体" w:cs="Times New Roman"/>
      <w:b/>
      <w:bCs/>
      <w:sz w:val="24"/>
      <w:szCs w:val="24"/>
    </w:rPr>
  </w:style>
  <w:style w:type="character" w:customStyle="1" w:styleId="65">
    <w:name w:val="标题 7 字符1"/>
    <w:link w:val="12"/>
    <w:qFormat/>
    <w:uiPriority w:val="0"/>
    <w:rPr>
      <w:rFonts w:ascii="Times New Roman" w:hAnsi="Times New Roman" w:eastAsia="宋体" w:cs="Times New Roman"/>
      <w:b/>
      <w:sz w:val="24"/>
      <w:szCs w:val="20"/>
    </w:rPr>
  </w:style>
  <w:style w:type="character" w:customStyle="1" w:styleId="66">
    <w:name w:val="标题 8 字符1"/>
    <w:link w:val="13"/>
    <w:qFormat/>
    <w:uiPriority w:val="0"/>
    <w:rPr>
      <w:rFonts w:ascii="Arial" w:hAnsi="Arial" w:eastAsia="黑体" w:cs="Times New Roman"/>
      <w:sz w:val="24"/>
      <w:szCs w:val="20"/>
    </w:rPr>
  </w:style>
  <w:style w:type="character" w:customStyle="1" w:styleId="67">
    <w:name w:val="标题 9 字符1"/>
    <w:link w:val="14"/>
    <w:qFormat/>
    <w:uiPriority w:val="0"/>
    <w:rPr>
      <w:rFonts w:ascii="Arial" w:hAnsi="Arial" w:eastAsia="黑体" w:cs="Times New Roman"/>
      <w:szCs w:val="20"/>
    </w:rPr>
  </w:style>
  <w:style w:type="character" w:customStyle="1" w:styleId="68">
    <w:name w:val="标题 字符"/>
    <w:qFormat/>
    <w:uiPriority w:val="10"/>
    <w:rPr>
      <w:rFonts w:ascii="等线 Light" w:hAnsi="等线 Light" w:eastAsia="等线 Light" w:cs="Times New Roman"/>
      <w:b/>
      <w:bCs/>
      <w:sz w:val="32"/>
      <w:szCs w:val="32"/>
    </w:rPr>
  </w:style>
  <w:style w:type="character" w:customStyle="1" w:styleId="69">
    <w:name w:val="标题 字符1"/>
    <w:link w:val="4"/>
    <w:qFormat/>
    <w:uiPriority w:val="0"/>
    <w:rPr>
      <w:rFonts w:ascii="Arial" w:hAnsi="Arial" w:eastAsia="宋体" w:cs="Times New Roman"/>
      <w:b/>
      <w:sz w:val="44"/>
      <w:szCs w:val="20"/>
    </w:rPr>
  </w:style>
  <w:style w:type="character" w:customStyle="1" w:styleId="70">
    <w:name w:val="正文文本 字符"/>
    <w:semiHidden/>
    <w:qFormat/>
    <w:uiPriority w:val="99"/>
    <w:rPr>
      <w:rFonts w:ascii="Calibri" w:hAnsi="Calibri" w:eastAsia="宋体" w:cs="Times New Roman"/>
    </w:rPr>
  </w:style>
  <w:style w:type="character" w:customStyle="1" w:styleId="71">
    <w:name w:val="正文文本 字符1"/>
    <w:link w:val="6"/>
    <w:qFormat/>
    <w:uiPriority w:val="0"/>
    <w:rPr>
      <w:rFonts w:ascii="Times New Roman" w:hAnsi="Times New Roman" w:eastAsia="宋体" w:cs="Times New Roman"/>
      <w:szCs w:val="20"/>
    </w:rPr>
  </w:style>
  <w:style w:type="character" w:customStyle="1" w:styleId="72">
    <w:name w:val="正文首行缩进 字符"/>
    <w:basedOn w:val="70"/>
    <w:semiHidden/>
    <w:qFormat/>
    <w:uiPriority w:val="99"/>
    <w:rPr>
      <w:rFonts w:ascii="Calibri" w:hAnsi="Calibri" w:eastAsia="宋体" w:cs="Times New Roman"/>
    </w:rPr>
  </w:style>
  <w:style w:type="character" w:customStyle="1" w:styleId="73">
    <w:name w:val="正文文本首行缩进 字符"/>
    <w:link w:val="5"/>
    <w:qFormat/>
    <w:uiPriority w:val="0"/>
  </w:style>
  <w:style w:type="character" w:customStyle="1" w:styleId="74">
    <w:name w:val="日期 字符"/>
    <w:semiHidden/>
    <w:qFormat/>
    <w:uiPriority w:val="99"/>
    <w:rPr>
      <w:rFonts w:ascii="Calibri" w:hAnsi="Calibri" w:eastAsia="宋体" w:cs="Times New Roman"/>
    </w:rPr>
  </w:style>
  <w:style w:type="character" w:customStyle="1" w:styleId="75">
    <w:name w:val="日期 字符1"/>
    <w:link w:val="21"/>
    <w:qFormat/>
    <w:uiPriority w:val="0"/>
    <w:rPr>
      <w:rFonts w:ascii="Times New Roman" w:hAnsi="Times New Roman" w:eastAsia="宋体" w:cs="Times New Roman"/>
      <w:szCs w:val="20"/>
    </w:rPr>
  </w:style>
  <w:style w:type="character" w:customStyle="1" w:styleId="76">
    <w:name w:val="正文文本缩进 字符"/>
    <w:semiHidden/>
    <w:qFormat/>
    <w:uiPriority w:val="99"/>
    <w:rPr>
      <w:rFonts w:ascii="Calibri" w:hAnsi="Calibri" w:eastAsia="宋体" w:cs="Times New Roman"/>
    </w:rPr>
  </w:style>
  <w:style w:type="character" w:customStyle="1" w:styleId="77">
    <w:name w:val="正文文本缩进 字符1"/>
    <w:link w:val="18"/>
    <w:qFormat/>
    <w:uiPriority w:val="0"/>
    <w:rPr>
      <w:rFonts w:ascii="Times New Roman" w:hAnsi="Times New Roman" w:eastAsia="宋体" w:cs="Times New Roman"/>
      <w:sz w:val="28"/>
      <w:szCs w:val="20"/>
    </w:rPr>
  </w:style>
  <w:style w:type="character" w:customStyle="1" w:styleId="78">
    <w:name w:val="文档结构图 字符"/>
    <w:semiHidden/>
    <w:qFormat/>
    <w:uiPriority w:val="99"/>
    <w:rPr>
      <w:rFonts w:ascii="Microsoft YaHei UI" w:hAnsi="Calibri" w:eastAsia="Microsoft YaHei UI" w:cs="Times New Roman"/>
      <w:sz w:val="18"/>
      <w:szCs w:val="18"/>
    </w:rPr>
  </w:style>
  <w:style w:type="character" w:customStyle="1" w:styleId="79">
    <w:name w:val="文档结构图 字符1"/>
    <w:link w:val="15"/>
    <w:qFormat/>
    <w:uiPriority w:val="0"/>
    <w:rPr>
      <w:rFonts w:ascii="Times New Roman" w:hAnsi="Times New Roman" w:eastAsia="宋体" w:cs="Times New Roman"/>
      <w:szCs w:val="20"/>
      <w:shd w:val="clear" w:color="auto" w:fill="000080"/>
    </w:rPr>
  </w:style>
  <w:style w:type="character" w:customStyle="1" w:styleId="80">
    <w:name w:val="纯文本 字符"/>
    <w:semiHidden/>
    <w:qFormat/>
    <w:uiPriority w:val="99"/>
    <w:rPr>
      <w:rFonts w:ascii="等线" w:hAnsi="Courier New" w:cs="Courier New"/>
    </w:rPr>
  </w:style>
  <w:style w:type="character" w:customStyle="1" w:styleId="81">
    <w:name w:val="纯文本 字符1"/>
    <w:link w:val="20"/>
    <w:qFormat/>
    <w:uiPriority w:val="0"/>
    <w:rPr>
      <w:rFonts w:ascii="宋体" w:hAnsi="Courier New" w:eastAsia="宋体" w:cs="Times New Roman"/>
      <w:szCs w:val="20"/>
    </w:rPr>
  </w:style>
  <w:style w:type="character" w:customStyle="1" w:styleId="82">
    <w:name w:val="正文文本缩进 2 字符"/>
    <w:semiHidden/>
    <w:qFormat/>
    <w:uiPriority w:val="99"/>
    <w:rPr>
      <w:rFonts w:ascii="Calibri" w:hAnsi="Calibri" w:eastAsia="宋体" w:cs="Times New Roman"/>
    </w:rPr>
  </w:style>
  <w:style w:type="character" w:customStyle="1" w:styleId="83">
    <w:name w:val="正文文本缩进 2 字符1"/>
    <w:link w:val="22"/>
    <w:qFormat/>
    <w:uiPriority w:val="0"/>
    <w:rPr>
      <w:rFonts w:ascii="Times New Roman" w:hAnsi="Times New Roman" w:eastAsia="宋体" w:cs="Times New Roman"/>
      <w:color w:val="000000"/>
      <w:sz w:val="24"/>
      <w:szCs w:val="20"/>
    </w:rPr>
  </w:style>
  <w:style w:type="character" w:customStyle="1" w:styleId="84">
    <w:name w:val="正文文本缩进 3 字符"/>
    <w:semiHidden/>
    <w:qFormat/>
    <w:uiPriority w:val="99"/>
    <w:rPr>
      <w:rFonts w:ascii="Calibri" w:hAnsi="Calibri" w:eastAsia="宋体" w:cs="Times New Roman"/>
      <w:sz w:val="16"/>
      <w:szCs w:val="16"/>
    </w:rPr>
  </w:style>
  <w:style w:type="character" w:customStyle="1" w:styleId="85">
    <w:name w:val="正文文本缩进 3 字符1"/>
    <w:link w:val="29"/>
    <w:qFormat/>
    <w:uiPriority w:val="0"/>
    <w:rPr>
      <w:rFonts w:ascii="Times New Roman" w:hAnsi="Times New Roman" w:eastAsia="宋体" w:cs="Times New Roman"/>
      <w:color w:val="000000"/>
      <w:sz w:val="24"/>
      <w:szCs w:val="20"/>
    </w:rPr>
  </w:style>
  <w:style w:type="paragraph" w:customStyle="1" w:styleId="86">
    <w:name w:val="Blockquote"/>
    <w:basedOn w:val="1"/>
    <w:qFormat/>
    <w:uiPriority w:val="0"/>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87">
    <w:name w:val="_Style 69"/>
    <w:qFormat/>
    <w:uiPriority w:val="0"/>
    <w:rPr>
      <w:rFonts w:ascii="等线" w:hAnsi="等线" w:eastAsia="等线" w:cs="Times New Roman"/>
      <w:lang w:val="en-US" w:eastAsia="zh-CN" w:bidi="ar-SA"/>
    </w:rPr>
  </w:style>
  <w:style w:type="character" w:customStyle="1" w:styleId="88">
    <w:name w:val="正文文本 2 字符"/>
    <w:semiHidden/>
    <w:qFormat/>
    <w:uiPriority w:val="99"/>
    <w:rPr>
      <w:rFonts w:ascii="Calibri" w:hAnsi="Calibri" w:eastAsia="宋体" w:cs="Times New Roman"/>
    </w:rPr>
  </w:style>
  <w:style w:type="character" w:customStyle="1" w:styleId="89">
    <w:name w:val="正文文本 2 字符1"/>
    <w:link w:val="31"/>
    <w:qFormat/>
    <w:uiPriority w:val="0"/>
    <w:rPr>
      <w:rFonts w:ascii="宋体" w:hAnsi="宋体" w:eastAsia="宋体" w:cs="Times New Roman"/>
      <w:szCs w:val="24"/>
      <w:u w:val="single"/>
    </w:rPr>
  </w:style>
  <w:style w:type="paragraph" w:customStyle="1" w:styleId="90">
    <w:name w:val="表头"/>
    <w:basedOn w:val="1"/>
    <w:qFormat/>
    <w:uiPriority w:val="0"/>
    <w:pPr>
      <w:spacing w:line="360" w:lineRule="auto"/>
      <w:jc w:val="center"/>
    </w:pPr>
    <w:rPr>
      <w:rFonts w:ascii="黑体" w:hAnsi="Times New Roman" w:eastAsia="黑体"/>
      <w:kern w:val="0"/>
      <w:sz w:val="24"/>
      <w:szCs w:val="20"/>
    </w:rPr>
  </w:style>
  <w:style w:type="character" w:customStyle="1" w:styleId="91">
    <w:name w:val="尾注文本 字符"/>
    <w:semiHidden/>
    <w:qFormat/>
    <w:uiPriority w:val="99"/>
    <w:rPr>
      <w:rFonts w:ascii="Calibri" w:hAnsi="Calibri" w:eastAsia="宋体" w:cs="Times New Roman"/>
    </w:rPr>
  </w:style>
  <w:style w:type="character" w:customStyle="1" w:styleId="92">
    <w:name w:val="尾注文本 字符1"/>
    <w:link w:val="23"/>
    <w:qFormat/>
    <w:uiPriority w:val="0"/>
    <w:rPr>
      <w:rFonts w:ascii="Times New Roman" w:hAnsi="Times New Roman" w:eastAsia="宋体" w:cs="Times New Roman"/>
      <w:szCs w:val="20"/>
    </w:rPr>
  </w:style>
  <w:style w:type="paragraph" w:customStyle="1" w:styleId="93">
    <w:name w:val="Char"/>
    <w:basedOn w:val="1"/>
    <w:qFormat/>
    <w:uiPriority w:val="0"/>
    <w:rPr>
      <w:rFonts w:ascii="Tahoma" w:hAnsi="Tahoma"/>
      <w:sz w:val="24"/>
      <w:szCs w:val="20"/>
    </w:rPr>
  </w:style>
  <w:style w:type="paragraph" w:customStyle="1" w:styleId="94">
    <w:name w:val="Char1"/>
    <w:basedOn w:val="1"/>
    <w:qFormat/>
    <w:uiPriority w:val="0"/>
    <w:pPr>
      <w:numPr>
        <w:ilvl w:val="0"/>
        <w:numId w:val="1"/>
      </w:numPr>
    </w:pPr>
    <w:rPr>
      <w:rFonts w:ascii="Times New Roman" w:hAnsi="Times New Roman"/>
      <w:sz w:val="24"/>
      <w:szCs w:val="24"/>
    </w:rPr>
  </w:style>
  <w:style w:type="paragraph" w:customStyle="1" w:styleId="95">
    <w:name w:val="公文抬头"/>
    <w:basedOn w:val="2"/>
    <w:qFormat/>
    <w:uiPriority w:val="0"/>
    <w:pPr>
      <w:ind w:firstLine="0"/>
    </w:pPr>
    <w:rPr>
      <w:rFonts w:ascii="仿宋_GB2312" w:eastAsia="仿宋_GB2312"/>
      <w:sz w:val="30"/>
      <w:szCs w:val="24"/>
    </w:rPr>
  </w:style>
  <w:style w:type="paragraph" w:customStyle="1" w:styleId="96">
    <w:name w:val="Char Char Char1 Char"/>
    <w:basedOn w:val="15"/>
    <w:qFormat/>
    <w:uiPriority w:val="0"/>
    <w:rPr>
      <w:rFonts w:ascii="Tahoma" w:hAnsi="Tahoma"/>
      <w:sz w:val="24"/>
      <w:szCs w:val="24"/>
    </w:rPr>
  </w:style>
  <w:style w:type="paragraph" w:customStyle="1" w:styleId="97">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98">
    <w:name w:val="公文标题"/>
    <w:basedOn w:val="8"/>
    <w:qFormat/>
    <w:uiPriority w:val="0"/>
    <w:pPr>
      <w:keepNext/>
      <w:keepLines/>
      <w:widowControl w:val="0"/>
      <w:spacing w:before="0" w:beforeAutospacing="0" w:after="0" w:afterAutospacing="0"/>
      <w:ind w:left="1469" w:right="1542"/>
    </w:pPr>
    <w:rPr>
      <w:rFonts w:hAnsi="Times New Roman" w:cs="Times New Roman"/>
      <w:b/>
      <w:kern w:val="2"/>
      <w:sz w:val="44"/>
      <w:szCs w:val="21"/>
    </w:rPr>
  </w:style>
  <w:style w:type="paragraph" w:customStyle="1" w:styleId="99">
    <w:name w:val="发文落款"/>
    <w:basedOn w:val="97"/>
    <w:qFormat/>
    <w:uiPriority w:val="0"/>
    <w:pPr>
      <w:ind w:left="4094" w:right="607" w:firstLine="0"/>
      <w:jc w:val="center"/>
    </w:pPr>
  </w:style>
  <w:style w:type="paragraph" w:customStyle="1" w:styleId="100">
    <w:name w:val="Char Char Char Char"/>
    <w:basedOn w:val="1"/>
    <w:qFormat/>
    <w:uiPriority w:val="0"/>
    <w:rPr>
      <w:rFonts w:ascii="Times New Roman" w:hAnsi="Times New Roman"/>
      <w:sz w:val="30"/>
      <w:szCs w:val="24"/>
    </w:rPr>
  </w:style>
  <w:style w:type="character" w:customStyle="1" w:styleId="101">
    <w:name w:val="批注框文本 字符"/>
    <w:semiHidden/>
    <w:qFormat/>
    <w:uiPriority w:val="99"/>
    <w:rPr>
      <w:rFonts w:ascii="Calibri" w:hAnsi="Calibri" w:eastAsia="宋体" w:cs="Times New Roman"/>
      <w:sz w:val="18"/>
      <w:szCs w:val="18"/>
    </w:rPr>
  </w:style>
  <w:style w:type="character" w:customStyle="1" w:styleId="102">
    <w:name w:val="批注框文本 字符1"/>
    <w:link w:val="24"/>
    <w:qFormat/>
    <w:uiPriority w:val="0"/>
    <w:rPr>
      <w:rFonts w:ascii="Times New Roman" w:hAnsi="Times New Roman" w:eastAsia="宋体" w:cs="Times New Roman"/>
      <w:sz w:val="18"/>
      <w:szCs w:val="18"/>
    </w:rPr>
  </w:style>
  <w:style w:type="paragraph" w:customStyle="1" w:styleId="103">
    <w:name w:val="TOC 标题1"/>
    <w:basedOn w:val="3"/>
    <w:next w:val="1"/>
    <w:semiHidden/>
    <w:unhideWhenUsed/>
    <w:qFormat/>
    <w:uiPriority w:val="39"/>
    <w:pPr>
      <w:widowControl/>
      <w:spacing w:before="480" w:after="0" w:line="276" w:lineRule="auto"/>
      <w:outlineLvl w:val="9"/>
    </w:pPr>
    <w:rPr>
      <w:rFonts w:ascii="Cambria" w:hAnsi="Cambria"/>
      <w:color w:val="365F91"/>
      <w:kern w:val="0"/>
    </w:rPr>
  </w:style>
  <w:style w:type="character" w:customStyle="1" w:styleId="104">
    <w:name w:val="批注文字 字符"/>
    <w:semiHidden/>
    <w:qFormat/>
    <w:uiPriority w:val="99"/>
    <w:rPr>
      <w:rFonts w:ascii="Calibri" w:hAnsi="Calibri" w:eastAsia="宋体" w:cs="Times New Roman"/>
    </w:rPr>
  </w:style>
  <w:style w:type="character" w:customStyle="1" w:styleId="105">
    <w:name w:val="批注文字 字符1"/>
    <w:link w:val="16"/>
    <w:qFormat/>
    <w:uiPriority w:val="0"/>
    <w:rPr>
      <w:rFonts w:ascii="宋体" w:hAnsi="宋体" w:eastAsia="宋体" w:cs="Times New Roman"/>
      <w:sz w:val="24"/>
      <w:szCs w:val="24"/>
    </w:rPr>
  </w:style>
  <w:style w:type="character" w:customStyle="1" w:styleId="106">
    <w:name w:val="脚注文本 字符"/>
    <w:semiHidden/>
    <w:qFormat/>
    <w:uiPriority w:val="99"/>
    <w:rPr>
      <w:rFonts w:ascii="Calibri" w:hAnsi="Calibri" w:eastAsia="宋体" w:cs="Times New Roman"/>
      <w:sz w:val="18"/>
      <w:szCs w:val="18"/>
    </w:rPr>
  </w:style>
  <w:style w:type="character" w:customStyle="1" w:styleId="107">
    <w:name w:val="脚注文本 字符1"/>
    <w:link w:val="28"/>
    <w:qFormat/>
    <w:uiPriority w:val="0"/>
    <w:rPr>
      <w:rFonts w:ascii="宋体" w:hAnsi="宋体" w:eastAsia="宋体" w:cs="Times New Roman"/>
      <w:sz w:val="18"/>
      <w:szCs w:val="18"/>
    </w:rPr>
  </w:style>
  <w:style w:type="character" w:customStyle="1" w:styleId="108">
    <w:name w:val="批注主题 字符"/>
    <w:semiHidden/>
    <w:qFormat/>
    <w:uiPriority w:val="99"/>
    <w:rPr>
      <w:rFonts w:ascii="Calibri" w:hAnsi="Calibri" w:eastAsia="宋体" w:cs="Times New Roman"/>
      <w:b/>
      <w:bCs/>
    </w:rPr>
  </w:style>
  <w:style w:type="character" w:customStyle="1" w:styleId="109">
    <w:name w:val="批注主题 字符1"/>
    <w:link w:val="34"/>
    <w:qFormat/>
    <w:uiPriority w:val="0"/>
    <w:rPr>
      <w:rFonts w:ascii="宋体" w:hAnsi="宋体" w:eastAsia="宋体" w:cs="Times New Roman"/>
      <w:b/>
      <w:bCs/>
      <w:sz w:val="24"/>
      <w:szCs w:val="24"/>
    </w:rPr>
  </w:style>
  <w:style w:type="paragraph" w:styleId="110">
    <w:name w:val="List Paragraph"/>
    <w:basedOn w:val="1"/>
    <w:qFormat/>
    <w:uiPriority w:val="34"/>
    <w:pPr>
      <w:ind w:firstLine="420" w:firstLineChars="200"/>
    </w:pPr>
    <w:rPr>
      <w:rFonts w:ascii="Times New Roman" w:hAnsi="Times New Roman"/>
      <w:szCs w:val="20"/>
    </w:rPr>
  </w:style>
  <w:style w:type="paragraph" w:customStyle="1" w:styleId="111">
    <w:name w:val="修订1"/>
    <w:hidden/>
    <w:semiHidden/>
    <w:qFormat/>
    <w:uiPriority w:val="99"/>
    <w:rPr>
      <w:rFonts w:ascii="Times New Roman" w:hAnsi="Times New Roman" w:eastAsia="宋体" w:cs="Times New Roman"/>
      <w:kern w:val="2"/>
      <w:sz w:val="21"/>
      <w:lang w:val="en-US" w:eastAsia="zh-CN" w:bidi="ar-SA"/>
    </w:rPr>
  </w:style>
  <w:style w:type="paragraph" w:customStyle="1" w:styleId="112">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113">
    <w:name w:val="font11"/>
    <w:qFormat/>
    <w:uiPriority w:val="0"/>
    <w:rPr>
      <w:rFonts w:hint="eastAsia" w:ascii="仿宋" w:hAnsi="仿宋" w:eastAsia="仿宋" w:cs="仿宋"/>
      <w:color w:val="000000"/>
      <w:sz w:val="28"/>
      <w:szCs w:val="28"/>
      <w:u w:val="none"/>
    </w:rPr>
  </w:style>
  <w:style w:type="paragraph" w:customStyle="1" w:styleId="114">
    <w:name w:val="a"/>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5">
    <w:name w:val="Default"/>
    <w:qFormat/>
    <w:uiPriority w:val="0"/>
    <w:pPr>
      <w:widowControl w:val="0"/>
      <w:autoSpaceDE w:val="0"/>
      <w:autoSpaceDN w:val="0"/>
      <w:adjustRightInd w:val="0"/>
    </w:pPr>
    <w:rPr>
      <w:rFonts w:ascii="宋体" w:hAnsi="等线" w:eastAsia="宋体" w:cs="宋体"/>
      <w:color w:val="000000"/>
      <w:sz w:val="24"/>
      <w:szCs w:val="24"/>
      <w:lang w:val="en-US" w:eastAsia="zh-CN" w:bidi="ar-SA"/>
    </w:rPr>
  </w:style>
  <w:style w:type="paragraph" w:customStyle="1" w:styleId="116">
    <w:name w:val="正文 New New"/>
    <w:qFormat/>
    <w:uiPriority w:val="0"/>
    <w:pPr>
      <w:widowControl w:val="0"/>
      <w:jc w:val="both"/>
    </w:pPr>
    <w:rPr>
      <w:rFonts w:ascii="Calibri" w:hAnsi="Calibri" w:eastAsia="楷体_GB2312" w:cs="Times New Roman"/>
      <w:lang w:val="en-US" w:eastAsia="zh-CN" w:bidi="ar-SA"/>
    </w:rPr>
  </w:style>
  <w:style w:type="character" w:customStyle="1" w:styleId="117">
    <w:name w:val="正文文本1"/>
    <w:qFormat/>
    <w:uiPriority w:val="0"/>
    <w:rPr>
      <w:rFonts w:ascii="宋体" w:hAnsi="宋体" w:eastAsia="宋体" w:cs="宋体"/>
      <w:color w:val="000000"/>
      <w:spacing w:val="0"/>
      <w:w w:val="100"/>
      <w:position w:val="0"/>
      <w:sz w:val="19"/>
      <w:szCs w:val="19"/>
      <w:shd w:val="clear" w:color="auto" w:fill="FFFFFF"/>
      <w:lang w:val="zh-TW"/>
    </w:rPr>
  </w:style>
  <w:style w:type="paragraph" w:customStyle="1" w:styleId="118">
    <w:name w:val="正文文本3"/>
    <w:basedOn w:val="1"/>
    <w:qFormat/>
    <w:uiPriority w:val="0"/>
    <w:pPr>
      <w:shd w:val="clear" w:color="auto" w:fill="FFFFFF"/>
      <w:spacing w:line="0" w:lineRule="atLeast"/>
      <w:jc w:val="left"/>
    </w:pPr>
    <w:rPr>
      <w:rFonts w:ascii="宋体" w:hAnsi="宋体" w:cs="宋体"/>
      <w:sz w:val="19"/>
      <w:szCs w:val="19"/>
    </w:rPr>
  </w:style>
  <w:style w:type="character" w:customStyle="1" w:styleId="119">
    <w:name w:val="正文文本 + Century Schoolbook"/>
    <w:qFormat/>
    <w:uiPriority w:val="0"/>
    <w:rPr>
      <w:rFonts w:ascii="Century Schoolbook" w:hAnsi="Century Schoolbook" w:eastAsia="Century Schoolbook" w:cs="Century Schoolbook"/>
      <w:b/>
      <w:bCs/>
      <w:color w:val="000000"/>
      <w:spacing w:val="10"/>
      <w:w w:val="100"/>
      <w:position w:val="0"/>
      <w:sz w:val="17"/>
      <w:szCs w:val="17"/>
      <w:shd w:val="clear" w:color="auto" w:fill="FFFFFF"/>
      <w:lang w:val="en-US"/>
    </w:rPr>
  </w:style>
  <w:style w:type="paragraph" w:customStyle="1" w:styleId="120">
    <w:name w:val="表格文字缩进"/>
    <w:basedOn w:val="1"/>
    <w:qFormat/>
    <w:uiPriority w:val="0"/>
    <w:pPr>
      <w:widowControl/>
      <w:spacing w:before="62" w:after="62" w:line="240" w:lineRule="atLeast"/>
      <w:ind w:firstLine="360" w:firstLineChars="200"/>
      <w:jc w:val="left"/>
    </w:pPr>
    <w:rPr>
      <w:rFonts w:cs="宋体"/>
      <w:color w:val="000000"/>
      <w:kern w:val="0"/>
      <w:szCs w:val="18"/>
    </w:rPr>
  </w:style>
  <w:style w:type="paragraph" w:customStyle="1" w:styleId="121">
    <w:name w:val="PlainText"/>
    <w:basedOn w:val="1"/>
    <w:qFormat/>
    <w:uiPriority w:val="0"/>
    <w:rPr>
      <w:rFonts w:ascii="宋体" w:hAnsi="Courier New"/>
      <w:kern w:val="0"/>
      <w:sz w:val="20"/>
      <w:szCs w:val="20"/>
    </w:rPr>
  </w:style>
  <w:style w:type="paragraph" w:customStyle="1" w:styleId="122">
    <w:name w:val="文一"/>
    <w:basedOn w:val="1"/>
    <w:qFormat/>
    <w:uiPriority w:val="0"/>
    <w:pPr>
      <w:topLinePunct/>
      <w:adjustRightInd w:val="0"/>
      <w:snapToGrid w:val="0"/>
      <w:spacing w:line="360" w:lineRule="auto"/>
      <w:ind w:firstLine="200" w:firstLineChars="200"/>
    </w:pPr>
    <w:rPr>
      <w:rFonts w:ascii="Times New Roman" w:hAnsi="Times New Roman"/>
      <w:spacing w:val="4"/>
      <w:kern w:val="0"/>
      <w:sz w:val="24"/>
      <w:szCs w:val="24"/>
    </w:rPr>
  </w:style>
  <w:style w:type="paragraph" w:customStyle="1" w:styleId="123">
    <w:name w:val="正题"/>
    <w:basedOn w:val="1"/>
    <w:next w:val="122"/>
    <w:qFormat/>
    <w:uiPriority w:val="0"/>
    <w:pPr>
      <w:topLinePunct/>
      <w:adjustRightInd w:val="0"/>
      <w:snapToGrid w:val="0"/>
      <w:spacing w:line="360" w:lineRule="auto"/>
      <w:jc w:val="center"/>
    </w:pPr>
    <w:rPr>
      <w:rFonts w:ascii="等线" w:hAnsi="等线" w:eastAsia="黑体"/>
      <w:b/>
      <w:spacing w:val="4"/>
      <w:kern w:val="0"/>
      <w:sz w:val="36"/>
      <w:szCs w:val="36"/>
    </w:rPr>
  </w:style>
  <w:style w:type="paragraph" w:customStyle="1" w:styleId="124">
    <w:name w:val="样式 宋体 行距: 1.5 倍行距"/>
    <w:basedOn w:val="1"/>
    <w:qFormat/>
    <w:uiPriority w:val="0"/>
    <w:pPr>
      <w:jc w:val="center"/>
    </w:pPr>
    <w:rPr>
      <w:rFonts w:ascii="Times New Roman" w:hAnsi="Times New Roman"/>
      <w:b/>
    </w:rPr>
  </w:style>
  <w:style w:type="paragraph" w:customStyle="1" w:styleId="125">
    <w:name w:val="Body text|3"/>
    <w:basedOn w:val="1"/>
    <w:qFormat/>
    <w:uiPriority w:val="0"/>
    <w:rPr>
      <w:rFonts w:ascii="宋体" w:hAnsi="宋体" w:cs="宋体"/>
      <w:sz w:val="20"/>
      <w:szCs w:val="20"/>
      <w:lang w:val="zh-TW" w:eastAsia="zh-TW" w:bidi="zh-TW"/>
    </w:rPr>
  </w:style>
  <w:style w:type="character" w:customStyle="1" w:styleId="126">
    <w:name w:val="16"/>
    <w:basedOn w:val="38"/>
    <w:qFormat/>
    <w:uiPriority w:val="0"/>
    <w:rPr>
      <w:rFonts w:hint="default" w:ascii="Times New Roman" w:hAnsi="Times New Roman" w:cs="Times New Roman"/>
    </w:rPr>
  </w:style>
  <w:style w:type="character" w:customStyle="1" w:styleId="127">
    <w:name w:val="15"/>
    <w:basedOn w:val="38"/>
    <w:qFormat/>
    <w:uiPriority w:val="0"/>
    <w:rPr>
      <w:rFonts w:hint="eastAsia" w:ascii="宋体" w:hAnsi="宋体" w:eastAsia="宋体" w:cs="宋体"/>
      <w:color w:val="000000"/>
      <w:spacing w:val="0"/>
      <w:sz w:val="19"/>
      <w:szCs w:val="19"/>
      <w:shd w:val="clear" w:color="auto" w:fill="FFFFFF"/>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3.png"/><Relationship Id="rId21" Type="http://schemas.openxmlformats.org/officeDocument/2006/relationships/image" Target="media/image2.png"/><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73</Pages>
  <Words>47184</Words>
  <Characters>49593</Characters>
  <Lines>394</Lines>
  <Paragraphs>111</Paragraphs>
  <TotalTime>35</TotalTime>
  <ScaleCrop>false</ScaleCrop>
  <LinksUpToDate>false</LinksUpToDate>
  <CharactersWithSpaces>51977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2024-06-28T03:41:00Z</dcterms:created>
  <dc:creator>管理员</dc:creator>
  <cp:lastModifiedBy>Lson.</cp:lastModifiedBy>
  <cp:lastPrinted>2024-06-28T07:42:00Z</cp:lastPrinted>
  <dcterms:modified xsi:type="dcterms:W3CDTF">2024-06-28T09:22:02Z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5C313C2CBC2A4914AA8254819A0770D6_13</vt:lpwstr>
  </property>
</Properties>
</file>