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00" w:firstLineChars="200"/>
        <w:jc w:val="center"/>
        <w:rPr>
          <w:rFonts w:ascii="宋体" w:hAnsi="宋体"/>
          <w:sz w:val="30"/>
          <w:szCs w:val="30"/>
        </w:rPr>
      </w:pPr>
      <w:bookmarkStart w:id="0" w:name="_Toc477982296"/>
      <w:bookmarkStart w:id="1" w:name="_Toc478424883"/>
      <w:bookmarkStart w:id="2" w:name="_Toc478303269"/>
      <w:bookmarkStart w:id="3" w:name="_Toc477970711"/>
      <w:permStart w:id="0" w:edGrp="everyone"/>
      <w:permEnd w:id="0"/>
    </w:p>
    <w:p>
      <w:pPr>
        <w:wordWrap w:val="0"/>
        <w:spacing w:line="360" w:lineRule="auto"/>
        <w:ind w:firstLine="600" w:firstLineChars="200"/>
        <w:rPr>
          <w:rFonts w:eastAsia="黑体"/>
          <w:sz w:val="36"/>
          <w:szCs w:val="36"/>
        </w:rPr>
      </w:pPr>
      <w:r>
        <w:rPr>
          <w:rFonts w:hint="eastAsia" w:ascii="宋体" w:hAnsi="宋体"/>
          <w:sz w:val="30"/>
          <w:szCs w:val="30"/>
        </w:rPr>
        <w:t>合同编号：</w:t>
      </w:r>
      <w:bookmarkEnd w:id="0"/>
      <w:bookmarkEnd w:id="1"/>
      <w:bookmarkEnd w:id="2"/>
      <w:bookmarkEnd w:id="3"/>
      <w:permStart w:id="1" w:edGrp="everyone"/>
      <w:r>
        <w:rPr>
          <w:rFonts w:hint="eastAsia" w:ascii="宋体" w:hAnsi="宋体"/>
          <w:sz w:val="30"/>
          <w:szCs w:val="30"/>
        </w:rPr>
        <w:t>xxx</w:t>
      </w:r>
      <w:r>
        <w:rPr>
          <w:rFonts w:hint="eastAsia" w:eastAsia="黑体"/>
          <w:sz w:val="36"/>
          <w:szCs w:val="36"/>
        </w:rPr>
        <w:t>工程设计施工总承包（EPC）</w:t>
      </w:r>
    </w:p>
    <w:permEnd w:id="1"/>
    <w:p>
      <w:pPr>
        <w:pStyle w:val="35"/>
        <w:rPr>
          <w:rFonts w:ascii="华文中宋" w:hAnsi="华文中宋" w:eastAsia="华文中宋"/>
          <w:szCs w:val="44"/>
        </w:rPr>
      </w:pPr>
    </w:p>
    <w:p>
      <w:pPr>
        <w:spacing w:line="360" w:lineRule="auto"/>
        <w:jc w:val="center"/>
        <w:rPr>
          <w:rFonts w:ascii="宋体" w:hAnsi="宋体"/>
          <w:b/>
          <w:sz w:val="48"/>
          <w:szCs w:val="48"/>
        </w:rPr>
      </w:pPr>
      <w:bookmarkStart w:id="4" w:name="_Toc478303271"/>
      <w:bookmarkStart w:id="5" w:name="_Toc477982298"/>
      <w:bookmarkStart w:id="6" w:name="_Toc478424885"/>
      <w:bookmarkStart w:id="7" w:name="_Toc477970713"/>
      <w:r>
        <w:rPr>
          <w:rFonts w:hint="eastAsia" w:ascii="宋体" w:hAnsi="宋体"/>
          <w:b/>
          <w:sz w:val="48"/>
          <w:szCs w:val="48"/>
        </w:rPr>
        <w:t>项目合同</w:t>
      </w:r>
      <w:bookmarkEnd w:id="4"/>
      <w:bookmarkEnd w:id="5"/>
      <w:bookmarkEnd w:id="6"/>
      <w:bookmarkEnd w:id="7"/>
    </w:p>
    <w:p>
      <w:pPr>
        <w:pStyle w:val="35"/>
        <w:jc w:val="both"/>
        <w:rPr>
          <w:rFonts w:ascii="宋体" w:hAnsi="宋体"/>
          <w:b w:val="0"/>
          <w:szCs w:val="21"/>
        </w:rPr>
      </w:pPr>
      <w:permStart w:id="2" w:edGrp="everyone"/>
    </w:p>
    <w:p>
      <w:pPr>
        <w:pStyle w:val="35"/>
        <w:jc w:val="both"/>
        <w:rPr>
          <w:rFonts w:ascii="宋体" w:hAnsi="宋体"/>
          <w:b w:val="0"/>
          <w:szCs w:val="21"/>
        </w:rPr>
      </w:pPr>
    </w:p>
    <w:p>
      <w:pPr>
        <w:pStyle w:val="35"/>
        <w:jc w:val="both"/>
        <w:rPr>
          <w:rFonts w:ascii="宋体" w:hAnsi="宋体"/>
          <w:b w:val="0"/>
          <w:szCs w:val="21"/>
        </w:rPr>
      </w:pPr>
    </w:p>
    <w:p>
      <w:pPr>
        <w:pStyle w:val="35"/>
        <w:jc w:val="both"/>
        <w:rPr>
          <w:rFonts w:ascii="宋体" w:hAnsi="宋体"/>
          <w:b w:val="0"/>
          <w:szCs w:val="21"/>
        </w:rPr>
      </w:pPr>
    </w:p>
    <w:p>
      <w:pPr>
        <w:pStyle w:val="35"/>
        <w:jc w:val="both"/>
        <w:rPr>
          <w:rFonts w:ascii="宋体" w:hAnsi="宋体"/>
          <w:b w:val="0"/>
          <w:szCs w:val="21"/>
        </w:rPr>
      </w:pPr>
    </w:p>
    <w:p>
      <w:pPr>
        <w:pStyle w:val="35"/>
        <w:jc w:val="both"/>
        <w:rPr>
          <w:rFonts w:ascii="宋体" w:hAnsi="宋体"/>
          <w:b w:val="0"/>
          <w:szCs w:val="21"/>
        </w:rPr>
      </w:pPr>
    </w:p>
    <w:p>
      <w:pPr>
        <w:pStyle w:val="35"/>
        <w:jc w:val="both"/>
        <w:rPr>
          <w:rFonts w:ascii="宋体" w:hAnsi="宋体"/>
          <w:b w:val="0"/>
          <w:szCs w:val="21"/>
        </w:rPr>
      </w:pPr>
    </w:p>
    <w:p>
      <w:pPr>
        <w:spacing w:line="360" w:lineRule="auto"/>
        <w:ind w:firstLine="1148" w:firstLineChars="359"/>
        <w:rPr>
          <w:rFonts w:ascii="宋体" w:hAnsi="宋体"/>
          <w:b/>
          <w:sz w:val="32"/>
          <w:szCs w:val="32"/>
        </w:rPr>
      </w:pPr>
      <w:bookmarkStart w:id="8" w:name="_Toc477970714"/>
      <w:bookmarkStart w:id="9" w:name="_Toc478303272"/>
      <w:bookmarkStart w:id="10" w:name="_Toc478424886"/>
      <w:bookmarkStart w:id="11" w:name="_Toc477982299"/>
      <w:r>
        <w:rPr>
          <w:rFonts w:hint="eastAsia" w:ascii="宋体" w:hAnsi="宋体"/>
          <w:b/>
          <w:sz w:val="32"/>
          <w:szCs w:val="32"/>
        </w:rPr>
        <w:t>发包人：</w:t>
      </w:r>
      <w:bookmarkEnd w:id="8"/>
      <w:bookmarkEnd w:id="9"/>
      <w:bookmarkEnd w:id="10"/>
      <w:bookmarkEnd w:id="11"/>
      <w:bookmarkStart w:id="12" w:name="_Toc477982300"/>
      <w:bookmarkStart w:id="13" w:name="_Toc478303273"/>
      <w:bookmarkStart w:id="14" w:name="_Toc477970715"/>
      <w:bookmarkStart w:id="15" w:name="_Toc478424887"/>
      <w:r>
        <w:rPr>
          <w:rFonts w:hint="eastAsia" w:ascii="宋体" w:hAnsi="宋体"/>
          <w:b/>
          <w:sz w:val="32"/>
          <w:szCs w:val="32"/>
        </w:rPr>
        <w:t>广州市白云区水务工程建设管理中心</w:t>
      </w:r>
    </w:p>
    <w:p>
      <w:pPr>
        <w:spacing w:line="360" w:lineRule="auto"/>
        <w:ind w:firstLine="1148" w:firstLineChars="359"/>
        <w:rPr>
          <w:rFonts w:ascii="宋体" w:hAnsi="宋体"/>
          <w:b/>
          <w:sz w:val="32"/>
          <w:szCs w:val="32"/>
        </w:rPr>
      </w:pPr>
      <w:r>
        <w:rPr>
          <w:rFonts w:hint="eastAsia" w:ascii="宋体" w:hAnsi="宋体"/>
          <w:b/>
          <w:sz w:val="32"/>
          <w:szCs w:val="32"/>
        </w:rPr>
        <w:t>承包人：</w:t>
      </w:r>
      <w:bookmarkEnd w:id="12"/>
      <w:bookmarkEnd w:id="13"/>
      <w:bookmarkEnd w:id="14"/>
      <w:bookmarkEnd w:id="15"/>
      <w:r>
        <w:rPr>
          <w:rFonts w:hint="eastAsia" w:ascii="宋体" w:hAnsi="宋体"/>
          <w:b/>
          <w:sz w:val="32"/>
          <w:szCs w:val="32"/>
        </w:rPr>
        <w:t xml:space="preserve">（主）              </w:t>
      </w:r>
    </w:p>
    <w:p>
      <w:pPr>
        <w:spacing w:line="360" w:lineRule="auto"/>
        <w:ind w:firstLine="2240" w:firstLineChars="700"/>
      </w:pPr>
      <w:r>
        <w:rPr>
          <w:rFonts w:hint="eastAsia" w:ascii="宋体" w:hAnsi="宋体"/>
          <w:b/>
          <w:sz w:val="32"/>
          <w:szCs w:val="32"/>
        </w:rPr>
        <w:t xml:space="preserve">（成）              </w:t>
      </w:r>
    </w:p>
    <w:p/>
    <w:p>
      <w:pPr>
        <w:spacing w:line="360" w:lineRule="auto"/>
        <w:ind w:firstLine="1148" w:firstLineChars="359"/>
        <w:rPr>
          <w:rFonts w:ascii="宋体" w:hAnsi="宋体"/>
          <w:b/>
          <w:sz w:val="32"/>
          <w:szCs w:val="32"/>
        </w:rPr>
      </w:pPr>
    </w:p>
    <w:p>
      <w:pPr>
        <w:widowControl/>
        <w:jc w:val="center"/>
        <w:rPr>
          <w:rFonts w:ascii="宋体" w:hAnsi="宋体"/>
          <w:b/>
          <w:bCs/>
          <w:sz w:val="44"/>
          <w:szCs w:val="44"/>
        </w:rPr>
      </w:pPr>
      <w:bookmarkStart w:id="16" w:name="_Toc477970716"/>
      <w:bookmarkStart w:id="17" w:name="_Toc477982301"/>
      <w:bookmarkStart w:id="18" w:name="_Toc478303274"/>
      <w:bookmarkStart w:id="19" w:name="_Toc478424888"/>
      <w:r>
        <w:rPr>
          <w:rFonts w:hint="eastAsia" w:ascii="宋体" w:hAnsi="宋体"/>
          <w:sz w:val="32"/>
          <w:szCs w:val="32"/>
        </w:rPr>
        <w:t xml:space="preserve">签订日期：   年   月  </w:t>
      </w:r>
      <w:bookmarkEnd w:id="16"/>
      <w:bookmarkEnd w:id="17"/>
      <w:bookmarkEnd w:id="18"/>
      <w:bookmarkEnd w:id="19"/>
      <w:permEnd w:id="2"/>
      <w:r>
        <w:rPr>
          <w:rFonts w:ascii="宋体" w:hAnsi="宋体"/>
          <w:b/>
          <w:bCs/>
          <w:sz w:val="44"/>
          <w:szCs w:val="44"/>
        </w:rPr>
        <w:br w:type="page"/>
      </w:r>
    </w:p>
    <w:p>
      <w:pPr>
        <w:jc w:val="center"/>
        <w:rPr>
          <w:b/>
          <w:bCs/>
          <w:sz w:val="44"/>
          <w:szCs w:val="44"/>
        </w:rPr>
      </w:pPr>
      <w:permStart w:id="3" w:edGrp="everyone"/>
      <w:r>
        <w:rPr>
          <w:rFonts w:ascii="宋体" w:hAnsi="宋体"/>
          <w:b/>
          <w:bCs/>
          <w:sz w:val="44"/>
          <w:szCs w:val="44"/>
        </w:rPr>
        <w:t>目录</w:t>
      </w:r>
    </w:p>
    <w:p>
      <w:pPr>
        <w:pStyle w:val="77"/>
        <w:tabs>
          <w:tab w:val="right" w:leader="dot" w:pos="9638"/>
        </w:tabs>
        <w:rPr>
          <w:b/>
          <w:bCs/>
          <w:sz w:val="24"/>
          <w:szCs w:val="24"/>
        </w:rPr>
      </w:pPr>
      <w:r>
        <w:fldChar w:fldCharType="begin"/>
      </w:r>
      <w:r>
        <w:instrText xml:space="preserve"> HYPERLINK \l "_Toc10927_WPSOffice_Level1" </w:instrText>
      </w:r>
      <w:r>
        <w:fldChar w:fldCharType="separate"/>
      </w:r>
      <w:r>
        <w:rPr>
          <w:rFonts w:hint="eastAsia" w:ascii="宋体" w:hAnsi="宋体"/>
          <w:b/>
          <w:bCs/>
          <w:sz w:val="24"/>
          <w:szCs w:val="24"/>
        </w:rPr>
        <w:t>第一节 总承包合同协议书</w:t>
      </w:r>
      <w:r>
        <w:rPr>
          <w:b/>
          <w:bCs/>
          <w:sz w:val="24"/>
          <w:szCs w:val="24"/>
        </w:rPr>
        <w:tab/>
      </w:r>
      <w:bookmarkStart w:id="20" w:name="_Toc10927_WPSOffice_Level1Page"/>
      <w:r>
        <w:rPr>
          <w:b/>
          <w:bCs/>
          <w:sz w:val="24"/>
          <w:szCs w:val="24"/>
        </w:rPr>
        <w:t>3</w:t>
      </w:r>
      <w:bookmarkEnd w:id="20"/>
      <w:r>
        <w:rPr>
          <w:b/>
          <w:bCs/>
          <w:sz w:val="24"/>
          <w:szCs w:val="24"/>
        </w:rPr>
        <w:fldChar w:fldCharType="end"/>
      </w:r>
    </w:p>
    <w:p>
      <w:pPr>
        <w:pStyle w:val="77"/>
        <w:tabs>
          <w:tab w:val="right" w:leader="dot" w:pos="9638"/>
        </w:tabs>
        <w:rPr>
          <w:b/>
          <w:bCs/>
          <w:sz w:val="24"/>
          <w:szCs w:val="24"/>
        </w:rPr>
      </w:pPr>
      <w:r>
        <w:fldChar w:fldCharType="begin"/>
      </w:r>
      <w:r>
        <w:instrText xml:space="preserve"> HYPERLINK \l "_Toc23878_WPSOffice_Level1" </w:instrText>
      </w:r>
      <w:r>
        <w:fldChar w:fldCharType="separate"/>
      </w:r>
      <w:r>
        <w:rPr>
          <w:rFonts w:hint="eastAsia" w:ascii="宋体" w:hAnsi="宋体"/>
          <w:b/>
          <w:bCs/>
          <w:sz w:val="24"/>
          <w:szCs w:val="24"/>
        </w:rPr>
        <w:t>第二节 通用条款</w:t>
      </w:r>
      <w:r>
        <w:rPr>
          <w:b/>
          <w:bCs/>
          <w:sz w:val="24"/>
          <w:szCs w:val="24"/>
        </w:rPr>
        <w:tab/>
      </w:r>
      <w:bookmarkStart w:id="21" w:name="_Toc23878_WPSOffice_Level1Page"/>
      <w:r>
        <w:rPr>
          <w:b/>
          <w:bCs/>
          <w:sz w:val="24"/>
          <w:szCs w:val="24"/>
        </w:rPr>
        <w:t>8</w:t>
      </w:r>
      <w:bookmarkEnd w:id="21"/>
      <w:r>
        <w:rPr>
          <w:b/>
          <w:bCs/>
          <w:sz w:val="24"/>
          <w:szCs w:val="24"/>
        </w:rPr>
        <w:fldChar w:fldCharType="end"/>
      </w:r>
    </w:p>
    <w:p>
      <w:pPr>
        <w:pStyle w:val="77"/>
        <w:tabs>
          <w:tab w:val="right" w:leader="dot" w:pos="9638"/>
        </w:tabs>
        <w:rPr>
          <w:b/>
          <w:bCs/>
          <w:sz w:val="24"/>
          <w:szCs w:val="24"/>
        </w:rPr>
      </w:pPr>
      <w:r>
        <w:fldChar w:fldCharType="begin"/>
      </w:r>
      <w:r>
        <w:instrText xml:space="preserve"> HYPERLINK \l "_Toc8030_WPSOffice_Level1" </w:instrText>
      </w:r>
      <w:r>
        <w:fldChar w:fldCharType="separate"/>
      </w:r>
      <w:r>
        <w:rPr>
          <w:rFonts w:hint="eastAsia" w:ascii="宋体" w:hAnsi="宋体"/>
          <w:b/>
          <w:bCs/>
          <w:sz w:val="24"/>
          <w:szCs w:val="24"/>
        </w:rPr>
        <w:t>第三节 专用条款</w:t>
      </w:r>
      <w:r>
        <w:rPr>
          <w:b/>
          <w:bCs/>
          <w:sz w:val="24"/>
          <w:szCs w:val="24"/>
        </w:rPr>
        <w:tab/>
      </w:r>
      <w:bookmarkStart w:id="22" w:name="_Toc8030_WPSOffice_Level1Page"/>
      <w:r>
        <w:rPr>
          <w:b/>
          <w:bCs/>
          <w:sz w:val="24"/>
          <w:szCs w:val="24"/>
        </w:rPr>
        <w:t>65</w:t>
      </w:r>
      <w:bookmarkEnd w:id="22"/>
      <w:r>
        <w:rPr>
          <w:b/>
          <w:bCs/>
          <w:sz w:val="24"/>
          <w:szCs w:val="24"/>
        </w:rPr>
        <w:fldChar w:fldCharType="end"/>
      </w:r>
    </w:p>
    <w:p>
      <w:pPr>
        <w:pStyle w:val="77"/>
        <w:tabs>
          <w:tab w:val="right" w:leader="dot" w:pos="9638"/>
        </w:tabs>
        <w:rPr>
          <w:b/>
          <w:bCs/>
          <w:sz w:val="24"/>
          <w:szCs w:val="24"/>
        </w:rPr>
      </w:pPr>
      <w:r>
        <w:fldChar w:fldCharType="begin"/>
      </w:r>
      <w:r>
        <w:instrText xml:space="preserve"> HYPERLINK \l "_Toc2916_WPSOffice_Level1" </w:instrText>
      </w:r>
      <w:r>
        <w:fldChar w:fldCharType="separate"/>
      </w:r>
      <w:r>
        <w:rPr>
          <w:rFonts w:hint="eastAsia" w:ascii="宋体" w:hAnsi="宋体" w:cs="黑体"/>
          <w:b/>
          <w:bCs/>
          <w:sz w:val="24"/>
          <w:szCs w:val="24"/>
        </w:rPr>
        <w:t>附件1：工程质量保修书</w:t>
      </w:r>
      <w:r>
        <w:rPr>
          <w:b/>
          <w:bCs/>
          <w:sz w:val="24"/>
          <w:szCs w:val="24"/>
        </w:rPr>
        <w:tab/>
      </w:r>
      <w:bookmarkStart w:id="23" w:name="_Toc2916_WPSOffice_Level1Page"/>
      <w:r>
        <w:rPr>
          <w:b/>
          <w:bCs/>
          <w:sz w:val="24"/>
          <w:szCs w:val="24"/>
        </w:rPr>
        <w:t>92</w:t>
      </w:r>
      <w:bookmarkEnd w:id="23"/>
      <w:r>
        <w:rPr>
          <w:b/>
          <w:bCs/>
          <w:sz w:val="24"/>
          <w:szCs w:val="24"/>
        </w:rPr>
        <w:fldChar w:fldCharType="end"/>
      </w:r>
    </w:p>
    <w:p>
      <w:pPr>
        <w:pStyle w:val="77"/>
        <w:tabs>
          <w:tab w:val="right" w:leader="dot" w:pos="9638"/>
        </w:tabs>
        <w:rPr>
          <w:b/>
          <w:bCs/>
          <w:sz w:val="24"/>
          <w:szCs w:val="24"/>
        </w:rPr>
      </w:pPr>
      <w:r>
        <w:fldChar w:fldCharType="begin"/>
      </w:r>
      <w:r>
        <w:instrText xml:space="preserve"> HYPERLINK \l "_Toc2016_WPSOffice_Level1" </w:instrText>
      </w:r>
      <w:r>
        <w:fldChar w:fldCharType="separate"/>
      </w:r>
      <w:r>
        <w:rPr>
          <w:rFonts w:hint="eastAsia" w:ascii="宋体" w:hAnsi="宋体"/>
          <w:b/>
          <w:bCs/>
          <w:sz w:val="24"/>
          <w:szCs w:val="24"/>
        </w:rPr>
        <w:t>附件2：</w:t>
      </w:r>
      <w:r>
        <w:rPr>
          <w:rFonts w:ascii="宋体" w:hAnsi="宋体"/>
          <w:b/>
          <w:bCs/>
          <w:sz w:val="24"/>
          <w:szCs w:val="24"/>
        </w:rPr>
        <w:t>工程质量终身负责承诺书</w:t>
      </w:r>
      <w:r>
        <w:rPr>
          <w:b/>
          <w:bCs/>
          <w:sz w:val="24"/>
          <w:szCs w:val="24"/>
        </w:rPr>
        <w:tab/>
      </w:r>
      <w:bookmarkStart w:id="24" w:name="_Toc2016_WPSOffice_Level1Page"/>
      <w:r>
        <w:rPr>
          <w:b/>
          <w:bCs/>
          <w:sz w:val="24"/>
          <w:szCs w:val="24"/>
        </w:rPr>
        <w:t>94</w:t>
      </w:r>
      <w:bookmarkEnd w:id="24"/>
      <w:r>
        <w:rPr>
          <w:b/>
          <w:bCs/>
          <w:sz w:val="24"/>
          <w:szCs w:val="24"/>
        </w:rPr>
        <w:fldChar w:fldCharType="end"/>
      </w:r>
    </w:p>
    <w:p>
      <w:pPr>
        <w:pStyle w:val="77"/>
        <w:tabs>
          <w:tab w:val="right" w:leader="dot" w:pos="9638"/>
        </w:tabs>
        <w:rPr>
          <w:b/>
          <w:bCs/>
          <w:sz w:val="24"/>
          <w:szCs w:val="24"/>
        </w:rPr>
      </w:pPr>
      <w:r>
        <w:fldChar w:fldCharType="begin"/>
      </w:r>
      <w:r>
        <w:instrText xml:space="preserve"> HYPERLINK \l "_Toc3188_WPSOffice_Level1" </w:instrText>
      </w:r>
      <w:r>
        <w:fldChar w:fldCharType="separate"/>
      </w:r>
      <w:r>
        <w:rPr>
          <w:rFonts w:hint="eastAsia" w:ascii="宋体" w:hAnsi="宋体"/>
          <w:b/>
          <w:bCs/>
          <w:sz w:val="24"/>
          <w:szCs w:val="24"/>
        </w:rPr>
        <w:t>附件3：工程承包廉洁协议</w:t>
      </w:r>
      <w:r>
        <w:rPr>
          <w:b/>
          <w:bCs/>
          <w:sz w:val="24"/>
          <w:szCs w:val="24"/>
        </w:rPr>
        <w:tab/>
      </w:r>
      <w:r>
        <w:rPr>
          <w:b/>
          <w:bCs/>
          <w:sz w:val="24"/>
          <w:szCs w:val="24"/>
        </w:rPr>
        <w:fldChar w:fldCharType="end"/>
      </w:r>
      <w:r>
        <w:rPr>
          <w:rFonts w:hint="eastAsia"/>
          <w:b/>
          <w:bCs/>
          <w:sz w:val="24"/>
          <w:szCs w:val="24"/>
        </w:rPr>
        <w:t>106</w:t>
      </w:r>
    </w:p>
    <w:p>
      <w:pPr>
        <w:pStyle w:val="77"/>
        <w:tabs>
          <w:tab w:val="right" w:leader="dot" w:pos="9638"/>
        </w:tabs>
        <w:rPr>
          <w:b/>
          <w:bCs/>
          <w:sz w:val="24"/>
          <w:szCs w:val="24"/>
        </w:rPr>
      </w:pPr>
      <w:r>
        <w:fldChar w:fldCharType="begin"/>
      </w:r>
      <w:r>
        <w:instrText xml:space="preserve"> HYPERLINK \l "_Toc11791_WPSOffice_Level1" </w:instrText>
      </w:r>
      <w:r>
        <w:fldChar w:fldCharType="separate"/>
      </w:r>
      <w:r>
        <w:rPr>
          <w:rFonts w:hint="eastAsia" w:ascii="宋体" w:hAnsi="宋体"/>
          <w:b/>
          <w:bCs/>
          <w:sz w:val="24"/>
          <w:szCs w:val="24"/>
        </w:rPr>
        <w:t>附件4：</w:t>
      </w:r>
      <w:r>
        <w:rPr>
          <w:rFonts w:ascii="宋体" w:hAnsi="宋体"/>
          <w:b/>
          <w:bCs/>
          <w:sz w:val="24"/>
          <w:szCs w:val="24"/>
        </w:rPr>
        <w:t>安健环管理协议</w:t>
      </w:r>
      <w:r>
        <w:rPr>
          <w:b/>
          <w:bCs/>
          <w:sz w:val="24"/>
          <w:szCs w:val="24"/>
        </w:rPr>
        <w:tab/>
      </w:r>
      <w:r>
        <w:rPr>
          <w:b/>
          <w:bCs/>
          <w:sz w:val="24"/>
          <w:szCs w:val="24"/>
        </w:rPr>
        <w:fldChar w:fldCharType="end"/>
      </w:r>
      <w:r>
        <w:rPr>
          <w:rFonts w:hint="eastAsia"/>
          <w:b/>
          <w:bCs/>
          <w:sz w:val="24"/>
          <w:szCs w:val="24"/>
        </w:rPr>
        <w:t>109</w:t>
      </w:r>
    </w:p>
    <w:p>
      <w:pPr>
        <w:pStyle w:val="77"/>
        <w:tabs>
          <w:tab w:val="right" w:leader="dot" w:pos="9638"/>
        </w:tabs>
        <w:rPr>
          <w:b/>
          <w:bCs/>
          <w:sz w:val="24"/>
          <w:szCs w:val="24"/>
        </w:rPr>
      </w:pPr>
      <w:r>
        <w:fldChar w:fldCharType="begin"/>
      </w:r>
      <w:r>
        <w:instrText xml:space="preserve"> HYPERLINK \l "_Toc8939_WPSOffice_Level1" </w:instrText>
      </w:r>
      <w:r>
        <w:fldChar w:fldCharType="separate"/>
      </w:r>
      <w:r>
        <w:rPr>
          <w:rFonts w:hint="eastAsia" w:ascii="宋体" w:hAnsi="宋体"/>
          <w:b/>
          <w:bCs/>
          <w:sz w:val="24"/>
          <w:szCs w:val="24"/>
        </w:rPr>
        <w:t>附件5：安全文明施工管理</w:t>
      </w:r>
      <w:r>
        <w:rPr>
          <w:b/>
          <w:bCs/>
          <w:sz w:val="24"/>
          <w:szCs w:val="24"/>
        </w:rPr>
        <w:tab/>
      </w:r>
      <w:bookmarkStart w:id="25" w:name="_Toc8939_WPSOffice_Level1Page"/>
      <w:r>
        <w:rPr>
          <w:b/>
          <w:bCs/>
          <w:sz w:val="24"/>
          <w:szCs w:val="24"/>
        </w:rPr>
        <w:t>1</w:t>
      </w:r>
      <w:bookmarkEnd w:id="25"/>
      <w:r>
        <w:rPr>
          <w:b/>
          <w:bCs/>
          <w:sz w:val="24"/>
          <w:szCs w:val="24"/>
        </w:rPr>
        <w:fldChar w:fldCharType="end"/>
      </w:r>
      <w:r>
        <w:rPr>
          <w:rFonts w:hint="eastAsia"/>
          <w:b/>
          <w:bCs/>
          <w:sz w:val="24"/>
          <w:szCs w:val="24"/>
        </w:rPr>
        <w:t>20</w:t>
      </w:r>
    </w:p>
    <w:p>
      <w:pPr>
        <w:pStyle w:val="77"/>
        <w:tabs>
          <w:tab w:val="right" w:leader="dot" w:pos="9638"/>
        </w:tabs>
        <w:rPr>
          <w:b/>
          <w:bCs/>
          <w:sz w:val="24"/>
          <w:szCs w:val="24"/>
        </w:rPr>
      </w:pPr>
      <w:r>
        <w:fldChar w:fldCharType="begin"/>
      </w:r>
      <w:r>
        <w:instrText xml:space="preserve"> HYPERLINK \l "_Toc16447_WPSOffice_Level1" </w:instrText>
      </w:r>
      <w:r>
        <w:fldChar w:fldCharType="separate"/>
      </w:r>
      <w:r>
        <w:rPr>
          <w:rFonts w:hint="eastAsia" w:ascii="宋体" w:hAnsi="宋体"/>
          <w:b/>
          <w:bCs/>
          <w:sz w:val="24"/>
          <w:szCs w:val="24"/>
        </w:rPr>
        <w:t>附件6：民工权益保障承诺书</w:t>
      </w:r>
      <w:r>
        <w:rPr>
          <w:b/>
          <w:bCs/>
          <w:sz w:val="24"/>
          <w:szCs w:val="24"/>
        </w:rPr>
        <w:tab/>
      </w:r>
      <w:bookmarkStart w:id="26" w:name="_Toc16447_WPSOffice_Level1Page"/>
      <w:r>
        <w:rPr>
          <w:b/>
          <w:bCs/>
          <w:sz w:val="24"/>
          <w:szCs w:val="24"/>
        </w:rPr>
        <w:t>1</w:t>
      </w:r>
      <w:bookmarkEnd w:id="26"/>
      <w:r>
        <w:rPr>
          <w:b/>
          <w:bCs/>
          <w:sz w:val="24"/>
          <w:szCs w:val="24"/>
        </w:rPr>
        <w:fldChar w:fldCharType="end"/>
      </w:r>
      <w:r>
        <w:rPr>
          <w:rFonts w:hint="eastAsia"/>
          <w:b/>
          <w:bCs/>
          <w:sz w:val="24"/>
          <w:szCs w:val="24"/>
        </w:rPr>
        <w:t>27</w:t>
      </w:r>
    </w:p>
    <w:p>
      <w:pPr>
        <w:pStyle w:val="77"/>
        <w:tabs>
          <w:tab w:val="right" w:leader="dot" w:pos="9638"/>
        </w:tabs>
        <w:rPr>
          <w:b/>
          <w:bCs/>
          <w:sz w:val="24"/>
          <w:szCs w:val="24"/>
        </w:rPr>
      </w:pPr>
      <w:r>
        <w:fldChar w:fldCharType="begin"/>
      </w:r>
      <w:r>
        <w:instrText xml:space="preserve"> HYPERLINK \l "_Toc18760_WPSOffice_Level1" </w:instrText>
      </w:r>
      <w:r>
        <w:fldChar w:fldCharType="separate"/>
      </w:r>
      <w:r>
        <w:rPr>
          <w:rFonts w:hint="eastAsia" w:ascii="宋体" w:hAnsi="宋体"/>
          <w:b/>
          <w:bCs/>
          <w:sz w:val="24"/>
          <w:szCs w:val="24"/>
        </w:rPr>
        <w:t>附件7：环保承诺书</w:t>
      </w:r>
      <w:r>
        <w:rPr>
          <w:b/>
          <w:bCs/>
          <w:sz w:val="24"/>
          <w:szCs w:val="24"/>
        </w:rPr>
        <w:tab/>
      </w:r>
      <w:bookmarkStart w:id="27" w:name="_Toc18760_WPSOffice_Level1Page"/>
      <w:r>
        <w:rPr>
          <w:b/>
          <w:bCs/>
          <w:sz w:val="24"/>
          <w:szCs w:val="24"/>
        </w:rPr>
        <w:t>12</w:t>
      </w:r>
      <w:bookmarkEnd w:id="27"/>
      <w:r>
        <w:rPr>
          <w:b/>
          <w:bCs/>
          <w:sz w:val="24"/>
          <w:szCs w:val="24"/>
        </w:rPr>
        <w:fldChar w:fldCharType="end"/>
      </w:r>
      <w:r>
        <w:rPr>
          <w:rFonts w:hint="eastAsia"/>
          <w:b/>
          <w:bCs/>
          <w:sz w:val="24"/>
          <w:szCs w:val="24"/>
        </w:rPr>
        <w:t>9</w:t>
      </w:r>
    </w:p>
    <w:p>
      <w:pPr>
        <w:pStyle w:val="77"/>
        <w:tabs>
          <w:tab w:val="right" w:leader="dot" w:pos="9638"/>
        </w:tabs>
        <w:rPr>
          <w:b/>
          <w:bCs/>
          <w:sz w:val="24"/>
          <w:szCs w:val="24"/>
        </w:rPr>
      </w:pPr>
      <w:r>
        <w:rPr>
          <w:rFonts w:hint="eastAsia"/>
          <w:b/>
          <w:bCs/>
          <w:sz w:val="24"/>
          <w:szCs w:val="24"/>
        </w:rPr>
        <w:t>附件8：联合体协议</w:t>
      </w:r>
      <w:r>
        <w:rPr>
          <w:b/>
          <w:bCs/>
          <w:sz w:val="24"/>
          <w:szCs w:val="24"/>
        </w:rPr>
        <w:tab/>
      </w:r>
      <w:r>
        <w:rPr>
          <w:b/>
          <w:bCs/>
          <w:sz w:val="24"/>
          <w:szCs w:val="24"/>
        </w:rPr>
        <w:t>1</w:t>
      </w:r>
      <w:r>
        <w:rPr>
          <w:rFonts w:hint="eastAsia"/>
          <w:b/>
          <w:bCs/>
          <w:sz w:val="24"/>
          <w:szCs w:val="24"/>
        </w:rPr>
        <w:t>30</w:t>
      </w:r>
    </w:p>
    <w:p>
      <w:pPr>
        <w:pStyle w:val="77"/>
        <w:tabs>
          <w:tab w:val="right" w:leader="dot" w:pos="9638"/>
        </w:tabs>
        <w:rPr>
          <w:b/>
          <w:bCs/>
          <w:sz w:val="24"/>
          <w:szCs w:val="24"/>
        </w:rPr>
      </w:pPr>
      <w:r>
        <w:rPr>
          <w:rFonts w:hint="eastAsia"/>
          <w:b/>
          <w:bCs/>
          <w:sz w:val="24"/>
          <w:szCs w:val="24"/>
        </w:rPr>
        <w:t>附件9：联合体支付协议</w:t>
      </w:r>
      <w:r>
        <w:rPr>
          <w:b/>
          <w:bCs/>
          <w:sz w:val="24"/>
          <w:szCs w:val="24"/>
        </w:rPr>
        <w:tab/>
      </w:r>
      <w:r>
        <w:rPr>
          <w:rFonts w:hint="eastAsia"/>
          <w:b/>
          <w:bCs/>
          <w:sz w:val="24"/>
          <w:szCs w:val="24"/>
        </w:rPr>
        <w:t>131</w:t>
      </w:r>
    </w:p>
    <w:p>
      <w:pPr>
        <w:pStyle w:val="3"/>
        <w:pageBreakBefore/>
        <w:spacing w:before="120" w:after="0" w:line="240" w:lineRule="auto"/>
        <w:jc w:val="center"/>
        <w:rPr>
          <w:rFonts w:ascii="宋体" w:hAnsi="宋体"/>
          <w:sz w:val="36"/>
          <w:szCs w:val="36"/>
        </w:rPr>
      </w:pPr>
      <w:bookmarkStart w:id="28" w:name="_Toc478303275"/>
      <w:bookmarkStart w:id="29" w:name="_Toc477982302"/>
      <w:bookmarkStart w:id="30" w:name="_Toc484082391"/>
      <w:bookmarkStart w:id="31" w:name="_Toc484108963"/>
      <w:bookmarkStart w:id="32" w:name="_Toc399756562"/>
      <w:bookmarkStart w:id="33" w:name="_Toc484108908"/>
      <w:bookmarkStart w:id="34" w:name="_Toc10927_WPSOffice_Level1"/>
      <w:bookmarkStart w:id="35" w:name="_Toc289454015"/>
      <w:bookmarkStart w:id="36" w:name="_Toc259462338"/>
      <w:bookmarkStart w:id="37" w:name="_Toc402187562"/>
      <w:bookmarkStart w:id="38" w:name="_Toc369188647"/>
      <w:bookmarkStart w:id="39" w:name="_Toc477970717"/>
      <w:bookmarkStart w:id="40" w:name="_Toc478424889"/>
      <w:bookmarkStart w:id="41" w:name="_Toc484082717"/>
      <w:bookmarkStart w:id="42" w:name="_Toc152042388"/>
      <w:bookmarkStart w:id="43" w:name="_Toc184635097"/>
      <w:bookmarkStart w:id="44" w:name="_Toc247514034"/>
      <w:bookmarkStart w:id="45" w:name="_Toc247527635"/>
      <w:bookmarkStart w:id="46" w:name="_Toc144974578"/>
      <w:bookmarkStart w:id="47" w:name="_Toc152045610"/>
      <w:bookmarkStart w:id="48" w:name="_Toc247527553"/>
      <w:bookmarkStart w:id="49" w:name="_Toc152042305"/>
      <w:bookmarkStart w:id="50" w:name="_Toc152045529"/>
      <w:bookmarkStart w:id="51" w:name="_Toc247513952"/>
      <w:bookmarkStart w:id="52" w:name="_Toc144974497"/>
      <w:r>
        <w:rPr>
          <w:rFonts w:hint="eastAsia" w:ascii="宋体" w:hAnsi="宋体"/>
          <w:sz w:val="36"/>
          <w:szCs w:val="36"/>
        </w:rPr>
        <w:t>第</w:t>
      </w:r>
      <w:permEnd w:id="3"/>
      <w:r>
        <w:rPr>
          <w:rFonts w:hint="eastAsia" w:ascii="宋体" w:hAnsi="宋体"/>
          <w:sz w:val="36"/>
          <w:szCs w:val="36"/>
        </w:rPr>
        <w:t>一节 总承包合同协议书</w:t>
      </w:r>
      <w:bookmarkEnd w:id="28"/>
      <w:bookmarkEnd w:id="29"/>
      <w:bookmarkEnd w:id="30"/>
      <w:bookmarkEnd w:id="31"/>
      <w:bookmarkEnd w:id="32"/>
      <w:bookmarkEnd w:id="33"/>
      <w:bookmarkEnd w:id="34"/>
      <w:bookmarkEnd w:id="35"/>
      <w:bookmarkEnd w:id="36"/>
      <w:bookmarkEnd w:id="37"/>
      <w:bookmarkEnd w:id="38"/>
      <w:bookmarkEnd w:id="39"/>
      <w:bookmarkEnd w:id="40"/>
      <w:bookmarkEnd w:id="41"/>
    </w:p>
    <w:p/>
    <w:p>
      <w:pPr>
        <w:pStyle w:val="161"/>
        <w:spacing w:line="360" w:lineRule="auto"/>
        <w:ind w:firstLine="630" w:firstLineChars="300"/>
        <w:rPr>
          <w:rFonts w:ascii="宋体" w:hAnsi="宋体"/>
          <w:szCs w:val="21"/>
        </w:rPr>
      </w:pPr>
      <w:permStart w:id="4" w:edGrp="everyone"/>
      <w:r>
        <w:rPr>
          <w:rFonts w:hint="eastAsia" w:ascii="宋体" w:hAnsi="宋体"/>
          <w:szCs w:val="21"/>
        </w:rPr>
        <w:t>经   年   月   日公开招标，</w:t>
      </w:r>
      <w:r>
        <w:rPr>
          <w:rFonts w:hint="eastAsia"/>
          <w:szCs w:val="21"/>
          <w:u w:val="single"/>
        </w:rPr>
        <w:t xml:space="preserve">           </w:t>
      </w:r>
      <w:r>
        <w:rPr>
          <w:rFonts w:hint="eastAsia" w:ascii="宋体" w:hAnsi="宋体"/>
          <w:szCs w:val="21"/>
        </w:rPr>
        <w:t>（下称承包人）被评定为</w:t>
      </w:r>
      <w:r>
        <w:rPr>
          <w:rFonts w:hint="eastAsia"/>
          <w:szCs w:val="21"/>
          <w:u w:val="single"/>
        </w:rPr>
        <w:t xml:space="preserve">              </w:t>
      </w:r>
      <w:r>
        <w:rPr>
          <w:rFonts w:hint="eastAsia" w:ascii="宋体" w:hAnsi="宋体"/>
          <w:szCs w:val="21"/>
        </w:rPr>
        <w:t>中标人（详见中标通知书广州公资交（建设）字【    】第【     】号）。依照《中华人民共和国</w:t>
      </w:r>
      <w:r>
        <w:rPr>
          <w:rFonts w:hint="eastAsia" w:ascii="宋体" w:hAnsi="宋体"/>
          <w:szCs w:val="21"/>
          <w:lang w:eastAsia="zh-CN"/>
        </w:rPr>
        <w:t>民法典</w:t>
      </w:r>
      <w:r>
        <w:rPr>
          <w:rFonts w:hint="eastAsia" w:ascii="宋体" w:hAnsi="宋体"/>
          <w:szCs w:val="21"/>
        </w:rPr>
        <w:t>》及其他有关法律、行政法规，发包人和承包人在平等、自愿、公平和诚实信用的原则下，双方达成如下协议，并于年月日签订了本协议书。</w:t>
      </w:r>
    </w:p>
    <w:permEnd w:id="4"/>
    <w:p>
      <w:pPr>
        <w:pStyle w:val="145"/>
        <w:spacing w:line="360" w:lineRule="auto"/>
        <w:ind w:firstLine="420" w:firstLineChars="200"/>
        <w:jc w:val="left"/>
        <w:rPr>
          <w:rFonts w:eastAsia="宋体"/>
          <w:szCs w:val="21"/>
          <w:u w:val="none"/>
        </w:rPr>
      </w:pPr>
      <w:r>
        <w:rPr>
          <w:rFonts w:hint="eastAsia" w:eastAsia="宋体"/>
          <w:szCs w:val="21"/>
          <w:u w:val="none"/>
        </w:rPr>
        <w:t>承包人为联合体的，联合体各成员按本项目合同和联合体协议的约定向发包人申请合同价款的支付及合同结算，并按发包人的要求开具发票等工作，具体内容见附件联合体协议。</w:t>
      </w:r>
    </w:p>
    <w:p>
      <w:pPr>
        <w:pStyle w:val="59"/>
        <w:spacing w:before="0" w:after="0" w:line="360" w:lineRule="auto"/>
        <w:ind w:left="0" w:right="0" w:firstLine="420" w:firstLineChars="200"/>
        <w:rPr>
          <w:rFonts w:ascii="宋体" w:hAnsi="宋体"/>
          <w:b/>
          <w:bCs/>
          <w:sz w:val="21"/>
          <w:szCs w:val="21"/>
        </w:rPr>
      </w:pPr>
      <w:r>
        <w:rPr>
          <w:rFonts w:ascii="宋体" w:hAnsi="宋体"/>
          <w:b/>
          <w:bCs/>
          <w:sz w:val="21"/>
          <w:szCs w:val="21"/>
        </w:rPr>
        <w:t>一、工程概况</w:t>
      </w:r>
    </w:p>
    <w:p>
      <w:pPr>
        <w:spacing w:line="360" w:lineRule="auto"/>
        <w:ind w:firstLine="420" w:firstLineChars="200"/>
        <w:rPr>
          <w:rFonts w:ascii="宋体" w:hAnsi="宋体"/>
          <w:szCs w:val="21"/>
        </w:rPr>
      </w:pPr>
      <w:permStart w:id="5" w:edGrp="everyone"/>
      <w:r>
        <w:rPr>
          <w:rFonts w:ascii="宋体" w:hAnsi="宋体"/>
          <w:szCs w:val="21"/>
        </w:rPr>
        <w:t>工程名称：</w:t>
      </w:r>
      <w:r>
        <w:rPr>
          <w:rFonts w:hint="eastAsia"/>
          <w:szCs w:val="21"/>
          <w:u w:val="single"/>
        </w:rPr>
        <w:t xml:space="preserve">                     。</w:t>
      </w:r>
    </w:p>
    <w:p>
      <w:pPr>
        <w:spacing w:line="360" w:lineRule="auto"/>
        <w:ind w:firstLine="420" w:firstLineChars="200"/>
        <w:rPr>
          <w:szCs w:val="21"/>
          <w:u w:val="single"/>
        </w:rPr>
      </w:pPr>
      <w:r>
        <w:rPr>
          <w:rFonts w:ascii="宋体" w:hAnsi="宋体"/>
          <w:szCs w:val="21"/>
        </w:rPr>
        <w:t>建设地点：</w:t>
      </w:r>
      <w:r>
        <w:rPr>
          <w:rFonts w:hint="eastAsia"/>
          <w:szCs w:val="21"/>
          <w:u w:val="single"/>
        </w:rPr>
        <w:t xml:space="preserve">                     。</w:t>
      </w:r>
    </w:p>
    <w:p>
      <w:pPr>
        <w:spacing w:line="360" w:lineRule="auto"/>
        <w:ind w:firstLine="420" w:firstLineChars="200"/>
        <w:rPr>
          <w:rFonts w:ascii="宋体" w:hAnsi="宋体"/>
          <w:u w:val="single"/>
        </w:rPr>
      </w:pPr>
      <w:r>
        <w:rPr>
          <w:rFonts w:ascii="宋体" w:hAnsi="宋体"/>
          <w:szCs w:val="21"/>
        </w:rPr>
        <w:t>资金来源：</w:t>
      </w:r>
      <w:r>
        <w:rPr>
          <w:rFonts w:hint="eastAsia" w:ascii="宋体" w:hAnsi="宋体"/>
          <w:u w:val="single"/>
        </w:rPr>
        <w:t xml:space="preserve">             。</w:t>
      </w:r>
    </w:p>
    <w:permEnd w:id="5"/>
    <w:p>
      <w:pPr>
        <w:spacing w:line="360" w:lineRule="auto"/>
        <w:ind w:firstLine="420" w:firstLineChars="200"/>
        <w:rPr>
          <w:rFonts w:ascii="宋体" w:hAnsi="宋体"/>
          <w:u w:val="single"/>
        </w:rPr>
      </w:pPr>
      <w:r>
        <w:rPr>
          <w:rFonts w:hint="eastAsia" w:ascii="宋体" w:hAnsi="宋体"/>
          <w:szCs w:val="21"/>
        </w:rPr>
        <w:t>发包人：</w:t>
      </w:r>
      <w:r>
        <w:rPr>
          <w:rFonts w:hint="eastAsia" w:ascii="宋体" w:hAnsi="宋体"/>
          <w:u w:val="single"/>
        </w:rPr>
        <w:t>广州市白云区水务工程建设管理中心</w:t>
      </w:r>
    </w:p>
    <w:p>
      <w:pPr>
        <w:pStyle w:val="59"/>
        <w:spacing w:before="0" w:after="0" w:line="360" w:lineRule="auto"/>
        <w:ind w:left="0" w:right="0" w:firstLine="420" w:firstLineChars="200"/>
        <w:rPr>
          <w:rFonts w:ascii="宋体" w:hAnsi="宋体"/>
          <w:b/>
          <w:bCs/>
          <w:sz w:val="21"/>
          <w:szCs w:val="21"/>
        </w:rPr>
      </w:pPr>
      <w:r>
        <w:rPr>
          <w:rFonts w:ascii="宋体" w:hAnsi="宋体"/>
          <w:b/>
          <w:bCs/>
          <w:sz w:val="21"/>
          <w:szCs w:val="21"/>
        </w:rPr>
        <w:t>二、承包范围</w:t>
      </w:r>
    </w:p>
    <w:p>
      <w:pPr>
        <w:spacing w:line="360" w:lineRule="auto"/>
        <w:rPr>
          <w:szCs w:val="21"/>
        </w:rPr>
      </w:pPr>
      <w:r>
        <w:rPr>
          <w:rFonts w:hint="eastAsia"/>
          <w:szCs w:val="21"/>
        </w:rPr>
        <w:t xml:space="preserve">    具体内容包括：</w:t>
      </w:r>
    </w:p>
    <w:p>
      <w:pPr>
        <w:spacing w:line="360" w:lineRule="auto"/>
        <w:ind w:firstLine="420" w:firstLineChars="200"/>
        <w:rPr>
          <w:rFonts w:ascii="宋体" w:hAnsi="宋体"/>
          <w:szCs w:val="21"/>
        </w:rPr>
      </w:pPr>
      <w:r>
        <w:rPr>
          <w:rFonts w:hint="eastAsia"/>
          <w:szCs w:val="21"/>
        </w:rPr>
        <w:t>（1）设计：</w:t>
      </w:r>
      <w:r>
        <w:rPr>
          <w:rFonts w:hint="eastAsia" w:ascii="宋体" w:hAnsi="宋体"/>
          <w:szCs w:val="21"/>
        </w:rPr>
        <w:t>本工程的施工图设计、施工图送审并取得施工图审查合格书、施工图预算编制（由有</w:t>
      </w:r>
      <w:r>
        <w:rPr>
          <w:rFonts w:hint="eastAsia" w:ascii="宋体" w:hAnsi="宋体"/>
          <w:szCs w:val="21"/>
          <w:lang w:eastAsia="zh-CN"/>
        </w:rPr>
        <w:t>能力</w:t>
      </w:r>
      <w:r>
        <w:rPr>
          <w:rFonts w:hint="eastAsia" w:ascii="宋体" w:hAnsi="宋体"/>
          <w:szCs w:val="21"/>
        </w:rPr>
        <w:t>的造价咨询单位编制）、施工图预算审查配合服务、竣工图编制</w:t>
      </w:r>
      <w:r>
        <w:rPr>
          <w:rFonts w:hint="eastAsia" w:ascii="宋体" w:hAnsi="宋体"/>
          <w:szCs w:val="21"/>
          <w:lang w:eastAsia="zh-CN"/>
        </w:rPr>
        <w:t>等工作</w:t>
      </w:r>
      <w:r>
        <w:rPr>
          <w:rFonts w:hint="eastAsia" w:ascii="宋体" w:hAnsi="宋体"/>
          <w:szCs w:val="21"/>
        </w:rPr>
        <w:t>、</w:t>
      </w:r>
      <w:r>
        <w:rPr>
          <w:rFonts w:hint="eastAsia" w:ascii="宋体" w:hAnsi="宋体"/>
          <w:szCs w:val="21"/>
          <w:lang w:eastAsia="zh-CN"/>
        </w:rPr>
        <w:t>以及</w:t>
      </w:r>
      <w:r>
        <w:rPr>
          <w:rFonts w:hint="eastAsia" w:ascii="宋体" w:hAnsi="宋体"/>
          <w:szCs w:val="21"/>
        </w:rPr>
        <w:t>设计协调服务</w:t>
      </w:r>
      <w:r>
        <w:rPr>
          <w:rFonts w:hint="eastAsia" w:ascii="宋体" w:hAnsi="宋体"/>
          <w:szCs w:val="21"/>
          <w:lang w:eastAsia="zh-CN"/>
        </w:rPr>
        <w:t>，</w:t>
      </w:r>
      <w:r>
        <w:rPr>
          <w:rFonts w:hint="eastAsia" w:ascii="宋体" w:hAnsi="宋体"/>
          <w:szCs w:val="21"/>
        </w:rPr>
        <w:t xml:space="preserve">配合专家评审等工作。 </w:t>
      </w:r>
    </w:p>
    <w:p>
      <w:pPr>
        <w:spacing w:line="360" w:lineRule="auto"/>
        <w:ind w:firstLine="420" w:firstLineChars="200"/>
        <w:rPr>
          <w:szCs w:val="21"/>
        </w:rPr>
      </w:pPr>
      <w:r>
        <w:rPr>
          <w:rFonts w:hint="eastAsia"/>
          <w:szCs w:val="21"/>
        </w:rPr>
        <w:t>（2）工程施工范围：本工程设计范围内所有工程内容的施工（包工、包料、包安装、包工期、包质量、包安全生产、包文明施工、包劳保、包验收、包保修；综合单价包干、</w:t>
      </w:r>
      <w:r>
        <w:rPr>
          <w:rFonts w:hint="eastAsia"/>
          <w:szCs w:val="21"/>
          <w:lang w:eastAsia="zh-CN"/>
        </w:rPr>
        <w:t>总价</w:t>
      </w:r>
      <w:r>
        <w:rPr>
          <w:rFonts w:hint="eastAsia"/>
          <w:szCs w:val="21"/>
        </w:rPr>
        <w:t>措施项目费用包干；包承包范围内工程验收通过、包移交、包结算、包资料整理、包施工承包管理和现场整体组织、包专业协调及配合等），包括本项目施工范围内安全文明措施、交通疏解、土建、设备安装施工、外水外电配套建设施工、调试、完工验收、结算、保修、竣工验收等。</w:t>
      </w:r>
    </w:p>
    <w:p>
      <w:pPr>
        <w:spacing w:line="360" w:lineRule="auto"/>
        <w:ind w:firstLine="420" w:firstLineChars="200"/>
        <w:rPr>
          <w:szCs w:val="21"/>
        </w:rPr>
      </w:pPr>
      <w:r>
        <w:rPr>
          <w:rFonts w:hint="eastAsia"/>
          <w:szCs w:val="21"/>
        </w:rPr>
        <w:t>（3）相关报批、报建配合服务：报批报建配合，竣工备案等。</w:t>
      </w:r>
    </w:p>
    <w:p>
      <w:pPr>
        <w:spacing w:line="360" w:lineRule="auto"/>
        <w:ind w:firstLine="420" w:firstLineChars="200"/>
        <w:rPr>
          <w:rFonts w:ascii="宋体" w:hAnsi="宋体"/>
          <w:b/>
          <w:bCs/>
          <w:kern w:val="0"/>
          <w:szCs w:val="21"/>
        </w:rPr>
      </w:pPr>
      <w:r>
        <w:rPr>
          <w:rFonts w:ascii="宋体" w:hAnsi="宋体"/>
          <w:b/>
          <w:bCs/>
          <w:kern w:val="0"/>
          <w:szCs w:val="21"/>
        </w:rPr>
        <w:t>三、</w:t>
      </w:r>
      <w:r>
        <w:rPr>
          <w:rFonts w:hint="eastAsia" w:ascii="宋体" w:hAnsi="宋体"/>
          <w:b/>
          <w:bCs/>
          <w:kern w:val="0"/>
          <w:szCs w:val="21"/>
        </w:rPr>
        <w:t>工程</w:t>
      </w:r>
      <w:r>
        <w:rPr>
          <w:rFonts w:ascii="宋体" w:hAnsi="宋体"/>
          <w:b/>
          <w:bCs/>
          <w:kern w:val="0"/>
          <w:szCs w:val="21"/>
        </w:rPr>
        <w:t>建设</w:t>
      </w:r>
      <w:r>
        <w:rPr>
          <w:rFonts w:hint="eastAsia" w:ascii="宋体" w:hAnsi="宋体"/>
          <w:b/>
          <w:bCs/>
          <w:kern w:val="0"/>
          <w:szCs w:val="21"/>
        </w:rPr>
        <w:t>承包</w:t>
      </w:r>
      <w:r>
        <w:rPr>
          <w:rFonts w:ascii="宋体" w:hAnsi="宋体"/>
          <w:b/>
          <w:bCs/>
          <w:kern w:val="0"/>
          <w:szCs w:val="21"/>
        </w:rPr>
        <w:t>方式</w:t>
      </w:r>
    </w:p>
    <w:p>
      <w:pPr>
        <w:spacing w:line="360" w:lineRule="auto"/>
        <w:ind w:firstLine="420" w:firstLineChars="200"/>
        <w:rPr>
          <w:rFonts w:ascii="宋体" w:hAnsi="宋体"/>
          <w:b/>
          <w:bCs/>
          <w:kern w:val="0"/>
          <w:szCs w:val="21"/>
        </w:rPr>
      </w:pPr>
      <w:r>
        <w:rPr>
          <w:rFonts w:hint="eastAsia" w:ascii="宋体" w:hAnsi="宋体"/>
          <w:b/>
          <w:bCs/>
          <w:kern w:val="0"/>
          <w:szCs w:val="21"/>
          <w:u w:val="single"/>
        </w:rPr>
        <w:t>本工程采用设计施工总承包（EPC）方式</w:t>
      </w:r>
      <w:r>
        <w:rPr>
          <w:rFonts w:hint="eastAsia" w:ascii="宋体" w:hAnsi="宋体"/>
          <w:b/>
          <w:bCs/>
          <w:kern w:val="0"/>
          <w:szCs w:val="21"/>
        </w:rPr>
        <w:t>。</w:t>
      </w:r>
    </w:p>
    <w:p>
      <w:pPr>
        <w:spacing w:line="360" w:lineRule="auto"/>
        <w:ind w:firstLine="420" w:firstLineChars="200"/>
      </w:pPr>
      <w:r>
        <w:rPr>
          <w:rFonts w:ascii="宋体" w:hAnsi="宋体"/>
          <w:b/>
          <w:bCs/>
          <w:szCs w:val="21"/>
        </w:rPr>
        <w:t>四、工期</w:t>
      </w:r>
    </w:p>
    <w:p>
      <w:pPr>
        <w:spacing w:line="360" w:lineRule="auto"/>
        <w:ind w:firstLine="420" w:firstLineChars="200"/>
        <w:rPr>
          <w:rFonts w:hint="default" w:eastAsia="宋体"/>
          <w:szCs w:val="21"/>
          <w:lang w:val="en-US" w:eastAsia="zh-CN"/>
        </w:rPr>
      </w:pPr>
      <w:r>
        <w:rPr>
          <w:rFonts w:hint="eastAsia"/>
        </w:rPr>
        <w:t>（1）设计工期：承包人在合同签订后按发包人工作要求30天内完成</w:t>
      </w:r>
      <w:r>
        <w:rPr>
          <w:rFonts w:hint="eastAsia"/>
          <w:lang w:eastAsia="zh-CN"/>
        </w:rPr>
        <w:t>施工图设计</w:t>
      </w:r>
      <w:r>
        <w:rPr>
          <w:rFonts w:hint="eastAsia"/>
        </w:rPr>
        <w:t>、补充、修改、预算。</w:t>
      </w:r>
      <w:r>
        <w:rPr>
          <w:rFonts w:hint="eastAsia"/>
          <w:lang w:eastAsia="zh-CN"/>
        </w:rPr>
        <w:t>如果延误工期，承包人向发包人支付的误期损害赔偿费每天为最终设计合同价格的</w:t>
      </w:r>
      <w:r>
        <w:rPr>
          <w:rFonts w:hint="eastAsia"/>
          <w:lang w:val="en-US" w:eastAsia="zh-CN"/>
        </w:rPr>
        <w:t>0.3%；误期损害赔偿费的最高限额为最终设计合同价格的30%。</w:t>
      </w:r>
    </w:p>
    <w:p>
      <w:pPr>
        <w:spacing w:line="360" w:lineRule="auto"/>
        <w:ind w:firstLine="420" w:firstLineChars="200"/>
        <w:rPr>
          <w:rFonts w:ascii="宋体" w:hAnsi="宋体" w:cs="宋体"/>
          <w:iCs/>
          <w:szCs w:val="21"/>
        </w:rPr>
      </w:pPr>
      <w:permStart w:id="6" w:edGrp="everyone"/>
      <w:r>
        <w:rPr>
          <w:rFonts w:hint="eastAsia"/>
          <w:szCs w:val="21"/>
        </w:rPr>
        <w:t>（2）施工计划工期：</w:t>
      </w:r>
      <w:r>
        <w:rPr>
          <w:rFonts w:hint="eastAsia" w:ascii="宋体" w:hAnsi="宋体" w:cs="宋体"/>
          <w:iCs/>
          <w:szCs w:val="21"/>
        </w:rPr>
        <w:t>工程计划工期为  年  月  日至   年  月  日</w:t>
      </w:r>
    </w:p>
    <w:permEnd w:id="6"/>
    <w:p>
      <w:pPr>
        <w:spacing w:line="360" w:lineRule="auto"/>
        <w:ind w:firstLine="420" w:firstLineChars="200"/>
        <w:rPr>
          <w:rFonts w:ascii="宋体" w:hAnsi="宋体" w:cs="宋体"/>
          <w:iCs/>
          <w:szCs w:val="21"/>
        </w:rPr>
      </w:pPr>
      <w:r>
        <w:rPr>
          <w:rFonts w:hint="eastAsia" w:ascii="宋体" w:hAnsi="宋体"/>
          <w:szCs w:val="21"/>
        </w:rPr>
        <w:t>工程实际开工日期：根据实际情况，由发包人、工程属地政府及村等协调沟通具备施工条件后，以监理人下发的开工通知的开工日期为准起算；非承包人原因引起的工期延误，完工日期给予顺延。</w:t>
      </w:r>
    </w:p>
    <w:p>
      <w:pPr>
        <w:spacing w:line="360" w:lineRule="auto"/>
        <w:ind w:firstLine="420" w:firstLineChars="200"/>
        <w:rPr>
          <w:rFonts w:ascii="宋体" w:hAnsi="宋体"/>
          <w:szCs w:val="21"/>
        </w:rPr>
      </w:pPr>
      <w:r>
        <w:rPr>
          <w:rFonts w:hint="eastAsia" w:ascii="宋体" w:hAnsi="宋体"/>
          <w:szCs w:val="21"/>
        </w:rPr>
        <w:t>（3）单位工程验收合格后，该工程的结算在合同规定的时间内送经财政部门或发包人确定的第三方造价咨询机构评审。</w:t>
      </w:r>
    </w:p>
    <w:p>
      <w:pPr>
        <w:pStyle w:val="59"/>
        <w:numPr>
          <w:ilvl w:val="0"/>
          <w:numId w:val="2"/>
        </w:numPr>
        <w:spacing w:line="360" w:lineRule="auto"/>
        <w:rPr>
          <w:rFonts w:ascii="宋体" w:hAnsi="宋体"/>
          <w:b/>
          <w:bCs/>
          <w:sz w:val="21"/>
          <w:szCs w:val="21"/>
        </w:rPr>
      </w:pPr>
      <w:r>
        <w:rPr>
          <w:rFonts w:hint="eastAsia" w:ascii="宋体" w:hAnsi="宋体"/>
          <w:b/>
          <w:bCs/>
          <w:sz w:val="21"/>
          <w:szCs w:val="21"/>
        </w:rPr>
        <w:t>质量</w:t>
      </w:r>
      <w:r>
        <w:rPr>
          <w:rFonts w:ascii="宋体" w:hAnsi="宋体"/>
          <w:b/>
          <w:bCs/>
          <w:sz w:val="21"/>
          <w:szCs w:val="21"/>
        </w:rPr>
        <w:t>标准</w:t>
      </w:r>
    </w:p>
    <w:p>
      <w:pPr>
        <w:numPr>
          <w:ilvl w:val="0"/>
          <w:numId w:val="3"/>
        </w:numPr>
        <w:spacing w:line="360" w:lineRule="auto"/>
        <w:ind w:firstLine="420" w:firstLineChars="200"/>
        <w:rPr>
          <w:rFonts w:ascii="宋体" w:hAnsi="宋体"/>
          <w:kern w:val="0"/>
          <w:szCs w:val="21"/>
        </w:rPr>
      </w:pPr>
      <w:r>
        <w:rPr>
          <w:rFonts w:hint="eastAsia" w:ascii="宋体" w:hAnsi="宋体"/>
          <w:kern w:val="0"/>
          <w:szCs w:val="21"/>
        </w:rPr>
        <w:t>设计质量要求：符合国家相关设计质量标准规定的要求。</w:t>
      </w:r>
    </w:p>
    <w:p>
      <w:pPr>
        <w:spacing w:line="360" w:lineRule="auto"/>
        <w:ind w:firstLine="420" w:firstLineChars="200"/>
        <w:rPr>
          <w:rFonts w:ascii="宋体" w:hAnsi="宋体"/>
          <w:kern w:val="0"/>
          <w:szCs w:val="21"/>
        </w:rPr>
      </w:pPr>
      <w:r>
        <w:rPr>
          <w:rFonts w:hint="eastAsia" w:ascii="宋体" w:hAnsi="宋体"/>
          <w:kern w:val="0"/>
          <w:szCs w:val="21"/>
        </w:rPr>
        <w:t>2、施工质量要求：执行国家、地方或行业现行的工程建设质量验收标准及规范，须达到合格标准，满足发包人对工程质量的要求。</w:t>
      </w:r>
    </w:p>
    <w:p>
      <w:pPr>
        <w:pStyle w:val="59"/>
        <w:spacing w:before="0" w:after="0" w:line="360" w:lineRule="auto"/>
        <w:ind w:left="0" w:right="0" w:firstLine="420" w:firstLineChars="200"/>
        <w:rPr>
          <w:rFonts w:ascii="宋体" w:hAnsi="宋体"/>
          <w:b/>
          <w:bCs/>
          <w:sz w:val="21"/>
          <w:szCs w:val="21"/>
        </w:rPr>
      </w:pPr>
      <w:r>
        <w:rPr>
          <w:rFonts w:ascii="宋体" w:hAnsi="宋体"/>
          <w:b/>
          <w:bCs/>
          <w:sz w:val="21"/>
          <w:szCs w:val="21"/>
        </w:rPr>
        <w:t>六、</w:t>
      </w:r>
      <w:r>
        <w:rPr>
          <w:rFonts w:hint="eastAsia" w:ascii="宋体" w:hAnsi="宋体"/>
          <w:b/>
          <w:sz w:val="21"/>
          <w:szCs w:val="21"/>
        </w:rPr>
        <w:t>合同价款</w:t>
      </w:r>
    </w:p>
    <w:p>
      <w:pPr>
        <w:pStyle w:val="59"/>
        <w:spacing w:before="0" w:after="0" w:line="440" w:lineRule="exact"/>
        <w:ind w:left="0" w:right="0" w:firstLine="420" w:firstLineChars="200"/>
        <w:jc w:val="both"/>
        <w:rPr>
          <w:rFonts w:ascii="宋体" w:hAnsi="宋体"/>
          <w:sz w:val="21"/>
          <w:szCs w:val="21"/>
        </w:rPr>
      </w:pPr>
      <w:permStart w:id="7" w:edGrp="everyone"/>
      <w:r>
        <w:rPr>
          <w:rFonts w:hint="eastAsia" w:ascii="宋体" w:hAnsi="宋体"/>
          <w:sz w:val="21"/>
          <w:szCs w:val="21"/>
        </w:rPr>
        <w:t>（1）合同总价为：</w:t>
      </w:r>
      <w:r>
        <w:rPr>
          <w:rFonts w:ascii="Arial" w:hAnsi="Arial" w:cs="Arial"/>
          <w:sz w:val="21"/>
          <w:szCs w:val="21"/>
          <w:u w:val="single"/>
        </w:rPr>
        <w:t>¥</w:t>
      </w:r>
      <w:r>
        <w:rPr>
          <w:rFonts w:hint="eastAsia" w:ascii="宋体" w:hAnsi="宋体"/>
          <w:kern w:val="0"/>
          <w:sz w:val="21"/>
          <w:szCs w:val="21"/>
          <w:u w:val="single"/>
        </w:rPr>
        <w:t xml:space="preserve">            元</w:t>
      </w:r>
      <w:r>
        <w:rPr>
          <w:rFonts w:hint="eastAsia" w:ascii="宋体" w:hAnsi="宋体"/>
          <w:sz w:val="21"/>
          <w:szCs w:val="21"/>
        </w:rPr>
        <w:t>（大写：人民币）。（中标价）</w:t>
      </w:r>
    </w:p>
    <w:p>
      <w:pPr>
        <w:pStyle w:val="113"/>
        <w:spacing w:line="400" w:lineRule="exact"/>
        <w:ind w:left="718" w:hanging="718" w:hangingChars="342"/>
        <w:rPr>
          <w:rFonts w:ascii="宋体" w:hAnsi="宋体"/>
          <w:szCs w:val="21"/>
        </w:rPr>
      </w:pPr>
      <w:r>
        <w:rPr>
          <w:rFonts w:hint="eastAsia" w:ascii="宋体" w:hAnsi="宋体"/>
          <w:szCs w:val="21"/>
        </w:rPr>
        <w:t xml:space="preserve">其中： </w:t>
      </w:r>
    </w:p>
    <w:p>
      <w:pPr>
        <w:pStyle w:val="113"/>
        <w:spacing w:line="400" w:lineRule="exact"/>
        <w:ind w:firstLine="420" w:firstLineChars="200"/>
        <w:rPr>
          <w:rFonts w:ascii="宋体" w:hAnsi="宋体" w:cs="黑体"/>
          <w:kern w:val="0"/>
          <w:szCs w:val="21"/>
          <w:u w:val="single"/>
        </w:rPr>
      </w:pPr>
      <w:r>
        <w:rPr>
          <w:rFonts w:hint="eastAsia" w:ascii="宋体" w:hAnsi="宋体" w:cs="黑体"/>
          <w:kern w:val="0"/>
          <w:szCs w:val="21"/>
        </w:rPr>
        <w:t>设计费（暂定）：</w:t>
      </w:r>
      <w:r>
        <w:rPr>
          <w:rFonts w:ascii="Arial" w:hAnsi="Arial" w:cs="Arial"/>
          <w:szCs w:val="21"/>
          <w:u w:val="single"/>
        </w:rPr>
        <w:t>¥</w:t>
      </w:r>
      <w:r>
        <w:rPr>
          <w:rFonts w:hint="eastAsia" w:ascii="宋体" w:hAnsi="宋体"/>
          <w:kern w:val="0"/>
          <w:szCs w:val="21"/>
          <w:u w:val="single"/>
        </w:rPr>
        <w:t xml:space="preserve">            元</w:t>
      </w:r>
      <w:r>
        <w:rPr>
          <w:rFonts w:hint="eastAsia" w:ascii="宋体" w:hAnsi="宋体"/>
          <w:szCs w:val="21"/>
        </w:rPr>
        <w:t>（大写：人民币）</w:t>
      </w:r>
      <w:r>
        <w:rPr>
          <w:rFonts w:hint="eastAsia" w:ascii="宋体" w:hAnsi="宋体" w:cs="黑体"/>
          <w:kern w:val="0"/>
          <w:szCs w:val="21"/>
          <w:u w:val="single"/>
        </w:rPr>
        <w:t>（含施工图预算编制费和竣工图编制费）</w:t>
      </w:r>
    </w:p>
    <w:p>
      <w:pPr>
        <w:pStyle w:val="59"/>
        <w:spacing w:line="360" w:lineRule="auto"/>
        <w:ind w:left="0" w:firstLine="420" w:firstLineChars="200"/>
        <w:rPr>
          <w:rFonts w:ascii="宋体" w:hAnsi="宋体"/>
          <w:sz w:val="21"/>
          <w:szCs w:val="21"/>
        </w:rPr>
      </w:pPr>
      <w:r>
        <w:rPr>
          <w:rFonts w:hint="eastAsia" w:ascii="宋体" w:hAnsi="宋体"/>
          <w:sz w:val="21"/>
          <w:szCs w:val="21"/>
        </w:rPr>
        <w:t>建安费（暂定）：</w:t>
      </w:r>
      <w:r>
        <w:rPr>
          <w:rFonts w:ascii="Arial" w:hAnsi="Arial" w:cs="Arial"/>
          <w:sz w:val="21"/>
          <w:szCs w:val="21"/>
          <w:u w:val="single"/>
        </w:rPr>
        <w:t>¥</w:t>
      </w:r>
      <w:r>
        <w:rPr>
          <w:rFonts w:hint="eastAsia" w:ascii="宋体" w:hAnsi="宋体"/>
          <w:kern w:val="0"/>
          <w:sz w:val="21"/>
          <w:szCs w:val="21"/>
          <w:u w:val="single"/>
        </w:rPr>
        <w:t xml:space="preserve">            元</w:t>
      </w:r>
      <w:r>
        <w:rPr>
          <w:rFonts w:hint="eastAsia" w:ascii="宋体" w:hAnsi="宋体"/>
          <w:sz w:val="21"/>
          <w:szCs w:val="21"/>
        </w:rPr>
        <w:t>（大写：人民币）（大写：人民币）</w:t>
      </w:r>
    </w:p>
    <w:p>
      <w:pPr>
        <w:pStyle w:val="59"/>
        <w:spacing w:line="360" w:lineRule="auto"/>
        <w:ind w:left="0" w:firstLine="420"/>
        <w:rPr>
          <w:rFonts w:ascii="宋体" w:hAnsi="宋体"/>
          <w:sz w:val="21"/>
          <w:szCs w:val="21"/>
        </w:rPr>
      </w:pPr>
      <w:r>
        <w:rPr>
          <w:rFonts w:hint="eastAsia" w:ascii="宋体" w:hAnsi="宋体"/>
          <w:sz w:val="21"/>
          <w:szCs w:val="21"/>
        </w:rPr>
        <w:t>（2）工程设计费中标下浮率为：</w:t>
      </w:r>
      <w:r>
        <w:rPr>
          <w:rFonts w:hint="eastAsia" w:ascii="宋体" w:hAnsi="宋体"/>
          <w:sz w:val="21"/>
          <w:szCs w:val="21"/>
          <w:u w:val="single"/>
        </w:rPr>
        <w:t xml:space="preserve">         %</w:t>
      </w:r>
    </w:p>
    <w:p>
      <w:pPr>
        <w:pStyle w:val="59"/>
        <w:spacing w:line="360" w:lineRule="auto"/>
        <w:ind w:left="0" w:firstLine="420"/>
        <w:rPr>
          <w:rFonts w:ascii="宋体" w:hAnsi="宋体"/>
          <w:sz w:val="21"/>
          <w:szCs w:val="21"/>
        </w:rPr>
      </w:pPr>
      <w:r>
        <w:rPr>
          <w:rFonts w:hint="eastAsia" w:ascii="宋体" w:hAnsi="宋体"/>
          <w:sz w:val="21"/>
          <w:szCs w:val="21"/>
        </w:rPr>
        <w:t>建安工程费中标下浮率为：</w:t>
      </w:r>
      <w:r>
        <w:rPr>
          <w:rFonts w:hint="eastAsia" w:ascii="宋体" w:hAnsi="宋体"/>
          <w:sz w:val="21"/>
          <w:szCs w:val="21"/>
          <w:u w:val="single"/>
        </w:rPr>
        <w:t xml:space="preserve">         %</w:t>
      </w:r>
      <w:permEnd w:id="7"/>
    </w:p>
    <w:p>
      <w:pPr>
        <w:spacing w:line="360" w:lineRule="auto"/>
        <w:ind w:firstLine="420" w:firstLineChars="200"/>
        <w:rPr>
          <w:sz w:val="24"/>
        </w:rPr>
      </w:pPr>
      <w:r>
        <w:rPr>
          <w:rFonts w:hint="eastAsia" w:ascii="宋体" w:hAnsi="宋体"/>
          <w:szCs w:val="21"/>
        </w:rPr>
        <w:t>上</w:t>
      </w:r>
      <w:r>
        <w:rPr>
          <w:rFonts w:hint="eastAsia"/>
        </w:rPr>
        <w:t>述1~2项费用仅作为合同暂定价，最终结算价以经财政部门或发包人确定的第三方造价机构的审核结果为准。</w:t>
      </w:r>
    </w:p>
    <w:p>
      <w:pPr>
        <w:pStyle w:val="59"/>
        <w:spacing w:before="0" w:after="0" w:line="360" w:lineRule="auto"/>
        <w:ind w:left="0" w:right="0" w:firstLine="420" w:firstLineChars="200"/>
        <w:jc w:val="both"/>
        <w:rPr>
          <w:rFonts w:ascii="宋体" w:hAnsi="宋体"/>
          <w:b/>
          <w:bCs/>
          <w:sz w:val="21"/>
          <w:szCs w:val="21"/>
        </w:rPr>
      </w:pPr>
      <w:r>
        <w:rPr>
          <w:rFonts w:ascii="宋体" w:hAnsi="宋体"/>
          <w:b/>
          <w:bCs/>
          <w:sz w:val="21"/>
          <w:szCs w:val="21"/>
        </w:rPr>
        <w:t>七、</w:t>
      </w:r>
      <w:r>
        <w:rPr>
          <w:rFonts w:hint="eastAsia" w:ascii="宋体" w:hAnsi="宋体"/>
          <w:b/>
          <w:bCs/>
          <w:sz w:val="21"/>
          <w:szCs w:val="21"/>
        </w:rPr>
        <w:t>履约保证金</w:t>
      </w:r>
    </w:p>
    <w:p>
      <w:pPr>
        <w:pStyle w:val="59"/>
        <w:spacing w:before="0" w:after="0" w:line="360" w:lineRule="auto"/>
        <w:ind w:left="0" w:right="0" w:firstLine="420" w:firstLineChars="200"/>
        <w:jc w:val="both"/>
        <w:rPr>
          <w:rFonts w:ascii="宋体" w:hAnsi="宋体"/>
          <w:b/>
          <w:bCs/>
          <w:sz w:val="21"/>
          <w:szCs w:val="21"/>
        </w:rPr>
      </w:pPr>
      <w:r>
        <w:rPr>
          <w:rFonts w:hint="eastAsia" w:ascii="宋体" w:hAnsi="宋体"/>
          <w:bCs/>
          <w:sz w:val="21"/>
          <w:szCs w:val="21"/>
        </w:rPr>
        <w:t>本工程履约保证金为本合同价款的10%</w:t>
      </w:r>
      <w:r>
        <w:rPr>
          <w:rFonts w:hint="eastAsia" w:ascii="宋体" w:hAnsi="宋体"/>
          <w:sz w:val="21"/>
          <w:szCs w:val="21"/>
        </w:rPr>
        <w:t>。</w:t>
      </w:r>
    </w:p>
    <w:p>
      <w:pPr>
        <w:pStyle w:val="59"/>
        <w:spacing w:before="0" w:after="0" w:line="360" w:lineRule="auto"/>
        <w:ind w:left="0" w:right="0" w:firstLine="420" w:firstLineChars="200"/>
        <w:jc w:val="both"/>
        <w:rPr>
          <w:rFonts w:ascii="宋体" w:hAnsi="宋体"/>
          <w:b/>
          <w:bCs/>
          <w:sz w:val="21"/>
          <w:szCs w:val="21"/>
        </w:rPr>
      </w:pPr>
      <w:r>
        <w:rPr>
          <w:rFonts w:hint="eastAsia" w:ascii="宋体" w:hAnsi="宋体"/>
          <w:b/>
          <w:bCs/>
          <w:sz w:val="21"/>
          <w:szCs w:val="21"/>
        </w:rPr>
        <w:t>八、</w:t>
      </w:r>
      <w:r>
        <w:rPr>
          <w:rFonts w:ascii="宋体" w:hAnsi="宋体"/>
          <w:b/>
          <w:bCs/>
          <w:sz w:val="21"/>
          <w:szCs w:val="21"/>
        </w:rPr>
        <w:t>合同文件的组成</w:t>
      </w:r>
    </w:p>
    <w:p>
      <w:pPr>
        <w:pStyle w:val="59"/>
        <w:spacing w:before="0" w:after="0" w:line="360" w:lineRule="auto"/>
        <w:ind w:left="0" w:right="0" w:firstLine="420" w:firstLineChars="200"/>
        <w:rPr>
          <w:rFonts w:ascii="宋体" w:hAnsi="宋体"/>
          <w:sz w:val="21"/>
          <w:szCs w:val="21"/>
        </w:rPr>
      </w:pPr>
      <w:r>
        <w:rPr>
          <w:rFonts w:ascii="宋体" w:hAnsi="宋体"/>
          <w:sz w:val="21"/>
          <w:szCs w:val="21"/>
        </w:rPr>
        <w:t>下列文件共同构成合同文件：</w:t>
      </w:r>
    </w:p>
    <w:p>
      <w:pPr>
        <w:spacing w:line="420" w:lineRule="exact"/>
        <w:ind w:firstLine="420" w:firstLineChars="200"/>
        <w:rPr>
          <w:rFonts w:ascii="宋体" w:hAnsi="宋体" w:cs="宋体"/>
          <w:szCs w:val="21"/>
        </w:rPr>
      </w:pPr>
      <w:r>
        <w:rPr>
          <w:rFonts w:hint="eastAsia" w:ascii="宋体" w:hAnsi="宋体" w:cs="宋体"/>
          <w:szCs w:val="21"/>
        </w:rPr>
        <w:t>（一）</w:t>
      </w:r>
      <w:r>
        <w:rPr>
          <w:rFonts w:ascii="宋体" w:hAnsi="宋体"/>
          <w:szCs w:val="21"/>
        </w:rPr>
        <w:t>本</w:t>
      </w:r>
      <w:r>
        <w:rPr>
          <w:rFonts w:hint="eastAsia" w:ascii="宋体" w:hAnsi="宋体"/>
          <w:szCs w:val="21"/>
        </w:rPr>
        <w:t>协议书（补充协议书）</w:t>
      </w:r>
      <w:r>
        <w:rPr>
          <w:rFonts w:hint="eastAsia" w:ascii="宋体" w:hAnsi="宋体" w:cs="宋体"/>
          <w:szCs w:val="21"/>
        </w:rPr>
        <w:t>；</w:t>
      </w:r>
    </w:p>
    <w:p>
      <w:pPr>
        <w:spacing w:line="420" w:lineRule="exact"/>
        <w:ind w:firstLine="420" w:firstLineChars="200"/>
        <w:rPr>
          <w:rFonts w:ascii="宋体" w:hAnsi="宋体" w:cs="宋体"/>
          <w:szCs w:val="21"/>
        </w:rPr>
      </w:pPr>
      <w:r>
        <w:rPr>
          <w:rFonts w:hint="eastAsia" w:ascii="宋体" w:hAnsi="宋体" w:cs="宋体"/>
          <w:szCs w:val="21"/>
        </w:rPr>
        <w:t>（二）中标通知书；</w:t>
      </w:r>
    </w:p>
    <w:p>
      <w:pPr>
        <w:spacing w:line="420" w:lineRule="exact"/>
        <w:ind w:firstLine="420" w:firstLineChars="200"/>
        <w:rPr>
          <w:rFonts w:ascii="宋体" w:hAnsi="宋体" w:cs="宋体"/>
          <w:szCs w:val="21"/>
        </w:rPr>
      </w:pPr>
      <w:r>
        <w:rPr>
          <w:rFonts w:hint="eastAsia" w:ascii="宋体" w:hAnsi="宋体" w:cs="宋体"/>
          <w:szCs w:val="21"/>
        </w:rPr>
        <w:t>（三）</w:t>
      </w:r>
      <w:r>
        <w:rPr>
          <w:rFonts w:ascii="宋体" w:hAnsi="宋体"/>
          <w:szCs w:val="21"/>
        </w:rPr>
        <w:t>投标函及投标函附录</w:t>
      </w:r>
      <w:r>
        <w:rPr>
          <w:rFonts w:hint="eastAsia" w:ascii="宋体" w:hAnsi="宋体" w:cs="宋体"/>
          <w:szCs w:val="21"/>
        </w:rPr>
        <w:t>；</w:t>
      </w:r>
    </w:p>
    <w:p>
      <w:pPr>
        <w:spacing w:line="420" w:lineRule="exact"/>
        <w:ind w:firstLine="420" w:firstLineChars="200"/>
        <w:rPr>
          <w:rFonts w:ascii="宋体" w:hAnsi="宋体" w:cs="宋体"/>
          <w:szCs w:val="21"/>
        </w:rPr>
      </w:pPr>
      <w:r>
        <w:rPr>
          <w:rFonts w:hint="eastAsia" w:ascii="宋体" w:hAnsi="宋体" w:cs="宋体"/>
          <w:szCs w:val="21"/>
        </w:rPr>
        <w:t>（四）专用合同条款；</w:t>
      </w:r>
    </w:p>
    <w:p>
      <w:pPr>
        <w:spacing w:line="420" w:lineRule="exact"/>
        <w:ind w:firstLine="420" w:firstLineChars="200"/>
        <w:rPr>
          <w:rFonts w:ascii="宋体" w:hAnsi="宋体" w:cs="宋体"/>
          <w:szCs w:val="21"/>
        </w:rPr>
      </w:pPr>
      <w:r>
        <w:rPr>
          <w:rFonts w:hint="eastAsia" w:ascii="宋体" w:hAnsi="宋体" w:cs="宋体"/>
          <w:szCs w:val="21"/>
        </w:rPr>
        <w:t>（五）通用合同条款；</w:t>
      </w:r>
    </w:p>
    <w:p>
      <w:pPr>
        <w:spacing w:line="420" w:lineRule="exact"/>
        <w:ind w:firstLine="420" w:firstLineChars="200"/>
        <w:rPr>
          <w:rFonts w:ascii="宋体" w:hAnsi="宋体" w:cs="宋体"/>
          <w:szCs w:val="21"/>
        </w:rPr>
      </w:pPr>
      <w:r>
        <w:rPr>
          <w:rFonts w:hint="eastAsia" w:ascii="宋体" w:hAnsi="宋体" w:cs="宋体"/>
          <w:szCs w:val="21"/>
        </w:rPr>
        <w:t>（六）</w:t>
      </w:r>
      <w:r>
        <w:rPr>
          <w:rFonts w:ascii="宋体" w:hAnsi="宋体"/>
          <w:szCs w:val="21"/>
        </w:rPr>
        <w:t>技术标准和要求</w:t>
      </w:r>
      <w:r>
        <w:rPr>
          <w:rFonts w:hint="eastAsia" w:ascii="宋体" w:hAnsi="宋体" w:cs="宋体"/>
          <w:szCs w:val="21"/>
        </w:rPr>
        <w:t>；</w:t>
      </w:r>
    </w:p>
    <w:p>
      <w:pPr>
        <w:spacing w:line="420" w:lineRule="exact"/>
        <w:ind w:firstLine="420" w:firstLineChars="200"/>
        <w:rPr>
          <w:rFonts w:ascii="宋体" w:hAnsi="宋体" w:cs="宋体"/>
          <w:szCs w:val="21"/>
        </w:rPr>
      </w:pPr>
      <w:r>
        <w:rPr>
          <w:rFonts w:hint="eastAsia" w:ascii="宋体" w:hAnsi="宋体" w:cs="宋体"/>
          <w:szCs w:val="21"/>
        </w:rPr>
        <w:t>（七）招标文件；</w:t>
      </w:r>
    </w:p>
    <w:p>
      <w:pPr>
        <w:spacing w:line="420" w:lineRule="exact"/>
        <w:ind w:firstLine="420" w:firstLineChars="200"/>
        <w:rPr>
          <w:rFonts w:ascii="宋体" w:hAnsi="宋体" w:cs="宋体"/>
          <w:szCs w:val="21"/>
        </w:rPr>
      </w:pPr>
      <w:r>
        <w:rPr>
          <w:rFonts w:hint="eastAsia" w:ascii="宋体" w:hAnsi="宋体" w:cs="宋体"/>
          <w:szCs w:val="21"/>
        </w:rPr>
        <w:t>（八）承包人投标文件；</w:t>
      </w:r>
    </w:p>
    <w:p>
      <w:pPr>
        <w:spacing w:line="420" w:lineRule="exact"/>
        <w:ind w:firstLine="420" w:firstLineChars="200"/>
        <w:rPr>
          <w:rFonts w:ascii="宋体" w:hAnsi="宋体" w:cs="宋体"/>
          <w:szCs w:val="21"/>
        </w:rPr>
      </w:pPr>
      <w:r>
        <w:rPr>
          <w:rFonts w:hint="eastAsia" w:ascii="宋体" w:hAnsi="宋体" w:cs="宋体"/>
          <w:szCs w:val="21"/>
        </w:rPr>
        <w:t>（九）</w:t>
      </w:r>
      <w:r>
        <w:rPr>
          <w:rFonts w:ascii="宋体" w:hAnsi="宋体" w:cs="宋体"/>
          <w:szCs w:val="21"/>
        </w:rPr>
        <w:t>图纸</w:t>
      </w:r>
      <w:r>
        <w:rPr>
          <w:rFonts w:hint="eastAsia" w:ascii="宋体" w:hAnsi="宋体" w:cs="宋体"/>
          <w:szCs w:val="21"/>
        </w:rPr>
        <w:t>；</w:t>
      </w:r>
    </w:p>
    <w:p>
      <w:pPr>
        <w:spacing w:line="420" w:lineRule="exact"/>
        <w:ind w:firstLine="420" w:firstLineChars="200"/>
        <w:rPr>
          <w:rFonts w:ascii="宋体" w:hAnsi="宋体" w:cs="宋体"/>
          <w:szCs w:val="21"/>
        </w:rPr>
      </w:pPr>
      <w:r>
        <w:rPr>
          <w:rFonts w:hint="eastAsia" w:ascii="宋体" w:hAnsi="宋体" w:cs="宋体"/>
          <w:szCs w:val="21"/>
        </w:rPr>
        <w:t>（十）</w:t>
      </w:r>
      <w:r>
        <w:rPr>
          <w:rFonts w:ascii="宋体" w:hAnsi="宋体" w:cs="宋体"/>
          <w:szCs w:val="21"/>
        </w:rPr>
        <w:t>其他合同文件</w:t>
      </w:r>
      <w:r>
        <w:rPr>
          <w:rFonts w:hint="eastAsia" w:ascii="宋体" w:hAnsi="宋体" w:cs="宋体"/>
          <w:szCs w:val="21"/>
        </w:rPr>
        <w:t>。</w:t>
      </w:r>
    </w:p>
    <w:p>
      <w:pPr>
        <w:pStyle w:val="59"/>
        <w:spacing w:before="0" w:after="0" w:line="360" w:lineRule="auto"/>
        <w:ind w:left="0" w:right="0" w:firstLine="420" w:firstLineChars="200"/>
        <w:rPr>
          <w:rFonts w:ascii="宋体" w:hAnsi="宋体"/>
          <w:sz w:val="21"/>
          <w:szCs w:val="21"/>
        </w:rPr>
      </w:pPr>
      <w:r>
        <w:rPr>
          <w:rFonts w:hint="eastAsia" w:ascii="宋体" w:hAnsi="宋体"/>
          <w:sz w:val="21"/>
          <w:szCs w:val="21"/>
        </w:rPr>
        <w:t>上述文件互相补充和解释，如有不明确或不一致之处，以合同约定次序在先者为准</w:t>
      </w:r>
      <w:r>
        <w:rPr>
          <w:rFonts w:ascii="宋体" w:hAnsi="宋体"/>
          <w:sz w:val="21"/>
          <w:szCs w:val="21"/>
        </w:rPr>
        <w:t>。</w:t>
      </w:r>
    </w:p>
    <w:p>
      <w:pPr>
        <w:pStyle w:val="59"/>
        <w:spacing w:before="0" w:after="0" w:line="360" w:lineRule="auto"/>
        <w:ind w:left="0" w:right="0" w:firstLine="420" w:firstLineChars="200"/>
        <w:rPr>
          <w:rFonts w:ascii="宋体" w:hAnsi="宋体"/>
          <w:b/>
          <w:bCs/>
          <w:sz w:val="21"/>
          <w:szCs w:val="21"/>
        </w:rPr>
      </w:pPr>
      <w:r>
        <w:rPr>
          <w:rFonts w:ascii="宋体" w:hAnsi="宋体"/>
          <w:b/>
          <w:bCs/>
          <w:sz w:val="21"/>
          <w:szCs w:val="21"/>
        </w:rPr>
        <w:t>九、本协议书中有关词语含义与本</w:t>
      </w:r>
      <w:r>
        <w:rPr>
          <w:rFonts w:hint="eastAsia" w:ascii="宋体" w:hAnsi="宋体"/>
          <w:b/>
          <w:bCs/>
          <w:sz w:val="21"/>
          <w:szCs w:val="21"/>
        </w:rPr>
        <w:t>总承包</w:t>
      </w:r>
      <w:r>
        <w:rPr>
          <w:rFonts w:ascii="宋体" w:hAnsi="宋体"/>
          <w:b/>
          <w:bCs/>
          <w:sz w:val="21"/>
          <w:szCs w:val="21"/>
        </w:rPr>
        <w:t>合同</w:t>
      </w:r>
      <w:r>
        <w:rPr>
          <w:rFonts w:hint="eastAsia" w:ascii="宋体" w:hAnsi="宋体"/>
          <w:b/>
          <w:bCs/>
          <w:sz w:val="21"/>
          <w:szCs w:val="21"/>
        </w:rPr>
        <w:t>的</w:t>
      </w:r>
      <w:r>
        <w:rPr>
          <w:rFonts w:ascii="宋体" w:hAnsi="宋体"/>
          <w:b/>
          <w:bCs/>
          <w:sz w:val="21"/>
          <w:szCs w:val="21"/>
        </w:rPr>
        <w:t>《</w:t>
      </w:r>
      <w:r>
        <w:rPr>
          <w:rFonts w:hint="eastAsia" w:ascii="宋体" w:hAnsi="宋体"/>
          <w:b/>
          <w:bCs/>
          <w:sz w:val="21"/>
          <w:szCs w:val="21"/>
        </w:rPr>
        <w:t>合同通用条款</w:t>
      </w:r>
      <w:r>
        <w:rPr>
          <w:rFonts w:ascii="宋体" w:hAnsi="宋体"/>
          <w:b/>
          <w:bCs/>
          <w:sz w:val="21"/>
          <w:szCs w:val="21"/>
        </w:rPr>
        <w:t>》中赋予它们的定义相同。</w:t>
      </w:r>
    </w:p>
    <w:p>
      <w:pPr>
        <w:pStyle w:val="59"/>
        <w:spacing w:before="0" w:after="0" w:line="360" w:lineRule="auto"/>
        <w:ind w:left="0" w:right="0" w:firstLine="420" w:firstLineChars="200"/>
        <w:rPr>
          <w:rFonts w:ascii="宋体" w:hAnsi="宋体"/>
          <w:b/>
          <w:bCs/>
          <w:sz w:val="21"/>
          <w:szCs w:val="21"/>
        </w:rPr>
      </w:pPr>
      <w:r>
        <w:rPr>
          <w:rFonts w:ascii="宋体" w:hAnsi="宋体"/>
          <w:b/>
          <w:bCs/>
          <w:sz w:val="21"/>
          <w:szCs w:val="21"/>
        </w:rPr>
        <w:t>十、</w:t>
      </w:r>
      <w:r>
        <w:rPr>
          <w:rFonts w:hint="eastAsia" w:ascii="宋体" w:hAnsi="宋体"/>
          <w:b/>
          <w:bCs/>
          <w:sz w:val="21"/>
          <w:szCs w:val="21"/>
        </w:rPr>
        <w:t>承包人</w:t>
      </w:r>
      <w:r>
        <w:rPr>
          <w:rFonts w:ascii="宋体" w:hAnsi="宋体"/>
          <w:b/>
          <w:bCs/>
          <w:sz w:val="21"/>
          <w:szCs w:val="21"/>
        </w:rPr>
        <w:t>向发包人承诺按照合同约定进行施工、竣工并在质量保修期内承担工程质量保修责任。</w:t>
      </w:r>
    </w:p>
    <w:p>
      <w:pPr>
        <w:pStyle w:val="59"/>
        <w:spacing w:before="0" w:after="0" w:line="360" w:lineRule="auto"/>
        <w:ind w:left="0" w:right="0" w:firstLine="420" w:firstLineChars="200"/>
        <w:rPr>
          <w:rFonts w:ascii="宋体" w:hAnsi="宋体"/>
          <w:b/>
          <w:bCs/>
          <w:sz w:val="21"/>
          <w:szCs w:val="21"/>
        </w:rPr>
      </w:pPr>
      <w:r>
        <w:rPr>
          <w:rFonts w:ascii="宋体" w:hAnsi="宋体"/>
          <w:b/>
          <w:bCs/>
          <w:sz w:val="21"/>
          <w:szCs w:val="21"/>
        </w:rPr>
        <w:t>十一、发包人向承包人承诺按照合同约定的期限和方式支付合同价款及其他应当支付的款项。</w:t>
      </w:r>
    </w:p>
    <w:p>
      <w:pPr>
        <w:pStyle w:val="59"/>
        <w:spacing w:before="0" w:after="0" w:line="360" w:lineRule="auto"/>
        <w:ind w:left="0" w:right="0" w:firstLine="420" w:firstLineChars="200"/>
        <w:rPr>
          <w:rFonts w:ascii="宋体" w:hAnsi="宋体"/>
          <w:sz w:val="21"/>
          <w:szCs w:val="21"/>
        </w:rPr>
      </w:pPr>
      <w:r>
        <w:rPr>
          <w:rFonts w:ascii="宋体" w:hAnsi="宋体"/>
          <w:b/>
          <w:bCs/>
          <w:sz w:val="21"/>
          <w:szCs w:val="21"/>
        </w:rPr>
        <w:t>十二、合同生效</w:t>
      </w:r>
    </w:p>
    <w:p>
      <w:pPr>
        <w:pStyle w:val="59"/>
        <w:spacing w:before="0" w:after="0" w:line="360" w:lineRule="auto"/>
        <w:ind w:left="0" w:right="0" w:firstLine="420" w:firstLineChars="200"/>
        <w:rPr>
          <w:rFonts w:ascii="宋体" w:hAnsi="宋体"/>
          <w:sz w:val="21"/>
          <w:szCs w:val="21"/>
        </w:rPr>
      </w:pPr>
      <w:permStart w:id="8" w:edGrp="everyone"/>
      <w:r>
        <w:rPr>
          <w:rFonts w:ascii="宋体" w:hAnsi="宋体"/>
          <w:sz w:val="21"/>
          <w:szCs w:val="21"/>
        </w:rPr>
        <w:t>合同订立时间：年月日</w:t>
      </w:r>
    </w:p>
    <w:permEnd w:id="8"/>
    <w:p>
      <w:pPr>
        <w:pStyle w:val="59"/>
        <w:spacing w:before="0" w:after="0" w:line="360" w:lineRule="auto"/>
        <w:ind w:left="0" w:right="0" w:firstLine="420" w:firstLineChars="200"/>
        <w:rPr>
          <w:rFonts w:ascii="宋体" w:hAnsi="宋体"/>
          <w:sz w:val="21"/>
          <w:szCs w:val="21"/>
        </w:rPr>
      </w:pPr>
      <w:r>
        <w:rPr>
          <w:rFonts w:ascii="宋体" w:hAnsi="宋体"/>
          <w:sz w:val="21"/>
          <w:szCs w:val="21"/>
        </w:rPr>
        <w:t>合同订立地点：</w:t>
      </w:r>
      <w:r>
        <w:rPr>
          <w:rFonts w:hint="eastAsia" w:ascii="宋体" w:hAnsi="宋体"/>
          <w:sz w:val="21"/>
          <w:szCs w:val="21"/>
        </w:rPr>
        <w:t>广州市白云区</w:t>
      </w:r>
    </w:p>
    <w:p>
      <w:pPr>
        <w:pStyle w:val="59"/>
        <w:spacing w:before="0" w:after="0" w:line="360" w:lineRule="auto"/>
        <w:ind w:left="0" w:right="0" w:firstLine="420" w:firstLineChars="200"/>
        <w:rPr>
          <w:rFonts w:ascii="宋体" w:hAnsi="宋体"/>
          <w:sz w:val="21"/>
          <w:szCs w:val="21"/>
        </w:rPr>
      </w:pPr>
      <w:r>
        <w:rPr>
          <w:rFonts w:hint="eastAsia" w:ascii="宋体" w:hAnsi="宋体"/>
          <w:sz w:val="21"/>
          <w:szCs w:val="21"/>
        </w:rPr>
        <w:t>本合同各方约定本总承包合同</w:t>
      </w:r>
      <w:r>
        <w:rPr>
          <w:rFonts w:hint="eastAsia" w:ascii="宋体" w:hAnsi="宋体"/>
          <w:sz w:val="21"/>
          <w:szCs w:val="21"/>
          <w:u w:val="single"/>
        </w:rPr>
        <w:t>经各方法定代表人或其或委托代理人签名并分别加盖各自公章</w:t>
      </w:r>
      <w:r>
        <w:rPr>
          <w:rFonts w:hint="eastAsia" w:ascii="宋体" w:hAnsi="宋体"/>
          <w:sz w:val="21"/>
          <w:szCs w:val="21"/>
        </w:rPr>
        <w:t>后生效。</w:t>
      </w:r>
    </w:p>
    <w:p>
      <w:pPr>
        <w:spacing w:before="156" w:beforeLines="50" w:after="156" w:afterLines="50" w:line="360" w:lineRule="auto"/>
        <w:ind w:firstLine="435"/>
        <w:rPr>
          <w:rFonts w:ascii="宋体" w:hAnsi="宋体"/>
          <w:szCs w:val="21"/>
        </w:rPr>
      </w:pPr>
      <w:permStart w:id="9" w:edGrp="everyone"/>
      <w:r>
        <w:rPr>
          <w:rFonts w:hint="eastAsia" w:ascii="宋体" w:hAnsi="宋体" w:cs="宋体"/>
          <w:kern w:val="0"/>
          <w:szCs w:val="21"/>
        </w:rPr>
        <w:t>本合同一式份，具有同等法律效力，正本份，各执份，副本份，发包人执份，承包人执份。</w:t>
      </w:r>
    </w:p>
    <w:permEnd w:id="9"/>
    <w:p>
      <w:pPr>
        <w:pStyle w:val="59"/>
        <w:spacing w:before="0" w:after="0" w:line="360" w:lineRule="auto"/>
        <w:ind w:left="0" w:right="-109" w:rightChars="-52"/>
        <w:rPr>
          <w:rFonts w:ascii="宋体" w:hAnsi="宋体"/>
          <w:sz w:val="21"/>
          <w:szCs w:val="21"/>
        </w:rPr>
      </w:pPr>
      <w:bookmarkStart w:id="53" w:name="_Toc478303276"/>
      <w:bookmarkStart w:id="54" w:name="_Toc477982303"/>
      <w:bookmarkStart w:id="55" w:name="_Toc484082392"/>
      <w:bookmarkStart w:id="56" w:name="_Toc478424890"/>
      <w:bookmarkStart w:id="57" w:name="_Toc477970718"/>
      <w:bookmarkStart w:id="58" w:name="_Toc484108964"/>
      <w:bookmarkStart w:id="59" w:name="_Toc484108909"/>
      <w:bookmarkStart w:id="60" w:name="_Toc402187563"/>
      <w:bookmarkStart w:id="61" w:name="_Toc484082718"/>
    </w:p>
    <w:p>
      <w:pPr>
        <w:widowControl/>
        <w:jc w:val="left"/>
        <w:rPr>
          <w:rFonts w:ascii="宋体" w:hAnsi="宋体"/>
          <w:kern w:val="0"/>
          <w:szCs w:val="21"/>
        </w:rPr>
      </w:pPr>
      <w:r>
        <w:rPr>
          <w:rFonts w:ascii="宋体" w:hAnsi="宋体"/>
          <w:szCs w:val="21"/>
        </w:rPr>
        <w:br w:type="page"/>
      </w:r>
    </w:p>
    <w:p>
      <w:pPr>
        <w:pStyle w:val="59"/>
        <w:spacing w:before="0" w:after="0" w:line="360" w:lineRule="auto"/>
        <w:ind w:left="0" w:right="-109" w:rightChars="-52"/>
        <w:rPr>
          <w:rFonts w:ascii="宋体" w:hAnsi="宋体"/>
          <w:sz w:val="21"/>
          <w:szCs w:val="21"/>
        </w:rPr>
      </w:pPr>
      <w:r>
        <w:rPr>
          <w:rFonts w:hint="eastAsia" w:ascii="宋体" w:hAnsi="宋体"/>
          <w:sz w:val="21"/>
          <w:szCs w:val="21"/>
        </w:rPr>
        <w:t>（此页无正文）</w:t>
      </w:r>
    </w:p>
    <w:tbl>
      <w:tblPr>
        <w:tblStyle w:val="39"/>
        <w:tblW w:w="9513" w:type="dxa"/>
        <w:tblInd w:w="93" w:type="dxa"/>
        <w:tblLayout w:type="fixed"/>
        <w:tblCellMar>
          <w:top w:w="15" w:type="dxa"/>
          <w:left w:w="108" w:type="dxa"/>
          <w:bottom w:w="15" w:type="dxa"/>
          <w:right w:w="108" w:type="dxa"/>
        </w:tblCellMar>
      </w:tblPr>
      <w:tblGrid>
        <w:gridCol w:w="4860"/>
        <w:gridCol w:w="4653"/>
      </w:tblGrid>
      <w:tr>
        <w:tblPrEx>
          <w:tblCellMar>
            <w:top w:w="15" w:type="dxa"/>
            <w:left w:w="108" w:type="dxa"/>
            <w:bottom w:w="15" w:type="dxa"/>
            <w:right w:w="108" w:type="dxa"/>
          </w:tblCellMar>
        </w:tblPrEx>
        <w:trPr>
          <w:trHeight w:val="1020" w:hRule="atLeast"/>
        </w:trPr>
        <w:tc>
          <w:tcPr>
            <w:tcW w:w="4860" w:type="dxa"/>
            <w:vAlign w:val="center"/>
          </w:tcPr>
          <w:p>
            <w:pPr>
              <w:widowControl/>
              <w:jc w:val="left"/>
              <w:rPr>
                <w:rFonts w:ascii="宋体" w:hAnsi="宋体" w:cs="宋体"/>
                <w:color w:val="000000"/>
                <w:kern w:val="0"/>
                <w:szCs w:val="21"/>
              </w:rPr>
            </w:pPr>
            <w:permStart w:id="10" w:edGrp="everyone"/>
            <w:r>
              <w:rPr>
                <w:rFonts w:hint="eastAsia" w:ascii="宋体" w:hAnsi="宋体" w:cs="宋体"/>
                <w:color w:val="000000"/>
                <w:kern w:val="0"/>
                <w:szCs w:val="21"/>
              </w:rPr>
              <w:t>发包人： 广州市白云区水务工程建设管理中心</w:t>
            </w:r>
            <w:r>
              <w:rPr>
                <w:rFonts w:hint="eastAsia" w:ascii="宋体" w:hAnsi="宋体" w:cs="宋体"/>
                <w:color w:val="000000"/>
                <w:kern w:val="0"/>
                <w:szCs w:val="21"/>
              </w:rPr>
              <w:br w:type="textWrapping"/>
            </w:r>
            <w:r>
              <w:rPr>
                <w:rFonts w:hint="eastAsia" w:ascii="宋体" w:hAnsi="宋体" w:cs="宋体"/>
                <w:color w:val="000000"/>
                <w:kern w:val="0"/>
                <w:szCs w:val="21"/>
              </w:rPr>
              <w:t xml:space="preserve">        （盖章）</w:t>
            </w:r>
          </w:p>
        </w:tc>
        <w:tc>
          <w:tcPr>
            <w:tcW w:w="4653" w:type="dxa"/>
            <w:vAlign w:val="center"/>
          </w:tcPr>
          <w:p>
            <w:pPr>
              <w:widowControl/>
              <w:ind w:right="-3395" w:rightChars="-1617"/>
              <w:jc w:val="left"/>
              <w:rPr>
                <w:rFonts w:ascii="宋体" w:hAnsi="宋体" w:cs="宋体"/>
                <w:color w:val="000000"/>
                <w:kern w:val="0"/>
                <w:sz w:val="22"/>
                <w:szCs w:val="22"/>
              </w:rPr>
            </w:pPr>
            <w:r>
              <w:rPr>
                <w:rFonts w:hint="eastAsia" w:ascii="宋体" w:hAnsi="宋体" w:cs="宋体"/>
                <w:color w:val="000000"/>
                <w:kern w:val="0"/>
                <w:sz w:val="22"/>
                <w:szCs w:val="22"/>
              </w:rPr>
              <w:t>承包人（主）</w:t>
            </w:r>
            <w:r>
              <w:rPr>
                <w:rFonts w:hint="eastAsia" w:ascii="宋体" w:hAnsi="宋体" w:cs="宋体"/>
                <w:color w:val="000000"/>
                <w:kern w:val="0"/>
                <w:szCs w:val="21"/>
              </w:rPr>
              <w:t>：</w:t>
            </w:r>
            <w:r>
              <w:rPr>
                <w:rFonts w:hint="eastAsia" w:ascii="宋体" w:hAnsi="宋体" w:cs="宋体"/>
                <w:color w:val="000000"/>
                <w:kern w:val="0"/>
                <w:sz w:val="22"/>
                <w:szCs w:val="22"/>
              </w:rPr>
              <w:t>XXX</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      （盖章）</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法定代表人：</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法定代表人：</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或委托代理人：</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或委托代理人：</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经办人：</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经办人：</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地址：广州市白云区大金钟路19号金景大厦二楼</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地址：</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电话：</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电话：</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传真：</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传真：</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开户银行：</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开户银行：</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账号：</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账号：</w:t>
            </w:r>
          </w:p>
        </w:tc>
      </w:tr>
      <w:tr>
        <w:tblPrEx>
          <w:tblCellMar>
            <w:top w:w="15" w:type="dxa"/>
            <w:left w:w="108" w:type="dxa"/>
            <w:bottom w:w="15" w:type="dxa"/>
            <w:right w:w="108" w:type="dxa"/>
          </w:tblCellMar>
        </w:tblPrEx>
        <w:trPr>
          <w:trHeight w:val="286" w:hRule="atLeast"/>
        </w:trPr>
        <w:tc>
          <w:tcPr>
            <w:tcW w:w="4860" w:type="dxa"/>
            <w:vAlign w:val="center"/>
          </w:tcPr>
          <w:p>
            <w:pPr>
              <w:widowControl/>
              <w:rPr>
                <w:rFonts w:ascii="宋体" w:hAnsi="宋体" w:cs="宋体"/>
                <w:color w:val="000000"/>
                <w:kern w:val="0"/>
                <w:szCs w:val="21"/>
              </w:rPr>
            </w:pPr>
            <w:r>
              <w:rPr>
                <w:rFonts w:hint="eastAsia" w:ascii="宋体" w:hAnsi="宋体" w:cs="宋体"/>
                <w:color w:val="000000"/>
                <w:kern w:val="0"/>
                <w:szCs w:val="21"/>
              </w:rPr>
              <w:t>邮政编码：</w:t>
            </w:r>
          </w:p>
        </w:tc>
        <w:tc>
          <w:tcPr>
            <w:tcW w:w="4653" w:type="dxa"/>
            <w:vAlign w:val="center"/>
          </w:tcPr>
          <w:p>
            <w:pPr>
              <w:widowControl/>
              <w:rPr>
                <w:rFonts w:ascii="宋体" w:hAnsi="宋体" w:cs="宋体"/>
                <w:color w:val="000000"/>
                <w:kern w:val="0"/>
                <w:szCs w:val="21"/>
              </w:rPr>
            </w:pPr>
            <w:r>
              <w:rPr>
                <w:rFonts w:hint="eastAsia" w:ascii="宋体" w:hAnsi="宋体" w:cs="宋体"/>
                <w:color w:val="000000"/>
                <w:kern w:val="0"/>
                <w:szCs w:val="21"/>
              </w:rPr>
              <w:t>邮政编码：</w:t>
            </w:r>
          </w:p>
        </w:tc>
      </w:tr>
    </w:tbl>
    <w:p>
      <w:pPr>
        <w:pStyle w:val="2"/>
        <w:spacing w:before="156" w:after="156"/>
        <w:rPr>
          <w:rFonts w:ascii="宋体" w:hAnsi="宋体"/>
        </w:rPr>
      </w:pPr>
    </w:p>
    <w:tbl>
      <w:tblPr>
        <w:tblStyle w:val="39"/>
        <w:tblW w:w="9513" w:type="dxa"/>
        <w:tblInd w:w="93" w:type="dxa"/>
        <w:tblLayout w:type="fixed"/>
        <w:tblCellMar>
          <w:top w:w="15" w:type="dxa"/>
          <w:left w:w="108" w:type="dxa"/>
          <w:bottom w:w="15" w:type="dxa"/>
          <w:right w:w="108" w:type="dxa"/>
        </w:tblCellMar>
      </w:tblPr>
      <w:tblGrid>
        <w:gridCol w:w="4860"/>
        <w:gridCol w:w="4653"/>
      </w:tblGrid>
      <w:tr>
        <w:tblPrEx>
          <w:tblCellMar>
            <w:top w:w="15" w:type="dxa"/>
            <w:left w:w="108" w:type="dxa"/>
            <w:bottom w:w="15" w:type="dxa"/>
            <w:right w:w="108" w:type="dxa"/>
          </w:tblCellMar>
        </w:tblPrEx>
        <w:trPr>
          <w:trHeight w:val="1020"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 w:val="22"/>
                <w:szCs w:val="22"/>
              </w:rPr>
              <w:t>承包人（成）</w:t>
            </w:r>
            <w:r>
              <w:rPr>
                <w:rFonts w:hint="eastAsia" w:ascii="宋体" w:hAnsi="宋体" w:cs="宋体"/>
                <w:color w:val="000000"/>
                <w:kern w:val="0"/>
                <w:szCs w:val="21"/>
              </w:rPr>
              <w:t>：</w:t>
            </w:r>
            <w:r>
              <w:rPr>
                <w:rFonts w:hint="eastAsia" w:ascii="宋体" w:hAnsi="宋体" w:cs="宋体"/>
                <w:color w:val="000000"/>
                <w:kern w:val="0"/>
                <w:sz w:val="22"/>
                <w:szCs w:val="22"/>
              </w:rPr>
              <w:t>XXX</w:t>
            </w:r>
            <w:r>
              <w:rPr>
                <w:rFonts w:hint="eastAsia" w:ascii="宋体" w:hAnsi="宋体" w:cs="宋体"/>
                <w:color w:val="000000"/>
                <w:kern w:val="0"/>
                <w:szCs w:val="21"/>
              </w:rPr>
              <w:br w:type="textWrapping"/>
            </w:r>
            <w:r>
              <w:rPr>
                <w:rFonts w:hint="eastAsia" w:ascii="宋体" w:hAnsi="宋体" w:cs="宋体"/>
                <w:color w:val="000000"/>
                <w:kern w:val="0"/>
                <w:szCs w:val="21"/>
              </w:rPr>
              <w:t xml:space="preserve">      （盖章）</w:t>
            </w:r>
          </w:p>
        </w:tc>
        <w:tc>
          <w:tcPr>
            <w:tcW w:w="4653" w:type="dxa"/>
            <w:vAlign w:val="center"/>
          </w:tcPr>
          <w:p>
            <w:pPr>
              <w:widowControl/>
              <w:ind w:right="-3395" w:rightChars="-1617"/>
              <w:jc w:val="left"/>
              <w:rPr>
                <w:rFonts w:ascii="宋体" w:hAnsi="宋体" w:cs="宋体"/>
                <w:color w:val="000000"/>
                <w:kern w:val="0"/>
                <w:sz w:val="22"/>
                <w:szCs w:val="22"/>
              </w:rPr>
            </w:pPr>
            <w:r>
              <w:rPr>
                <w:rFonts w:hint="eastAsia" w:ascii="宋体" w:hAnsi="宋体" w:cs="宋体"/>
                <w:color w:val="000000"/>
                <w:kern w:val="0"/>
                <w:sz w:val="22"/>
                <w:szCs w:val="22"/>
              </w:rPr>
              <w:t>承包人（成）</w:t>
            </w:r>
            <w:r>
              <w:rPr>
                <w:rFonts w:hint="eastAsia" w:ascii="宋体" w:hAnsi="宋体" w:cs="宋体"/>
                <w:color w:val="000000"/>
                <w:kern w:val="0"/>
                <w:szCs w:val="21"/>
              </w:rPr>
              <w:t>：</w:t>
            </w:r>
            <w:r>
              <w:rPr>
                <w:rFonts w:hint="eastAsia" w:ascii="宋体" w:hAnsi="宋体" w:cs="宋体"/>
                <w:color w:val="000000"/>
                <w:kern w:val="0"/>
                <w:sz w:val="22"/>
                <w:szCs w:val="22"/>
              </w:rPr>
              <w:t>XXX</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      （盖章）</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法定代表人：</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法定代表人：</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或委托代理人：</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或委托代理人：</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经办人：</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经办人：</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地址：</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地址：</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电话：</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电话：</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传真：</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传真：</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开户银行：</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开户银行：</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账号：</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账号：</w:t>
            </w:r>
          </w:p>
        </w:tc>
      </w:tr>
      <w:tr>
        <w:tblPrEx>
          <w:tblCellMar>
            <w:top w:w="15" w:type="dxa"/>
            <w:left w:w="108" w:type="dxa"/>
            <w:bottom w:w="15" w:type="dxa"/>
            <w:right w:w="108" w:type="dxa"/>
          </w:tblCellMar>
        </w:tblPrEx>
        <w:trPr>
          <w:trHeight w:val="286" w:hRule="atLeast"/>
        </w:trPr>
        <w:tc>
          <w:tcPr>
            <w:tcW w:w="4860" w:type="dxa"/>
            <w:vAlign w:val="center"/>
          </w:tcPr>
          <w:p>
            <w:pPr>
              <w:widowControl/>
              <w:rPr>
                <w:rFonts w:ascii="宋体" w:hAnsi="宋体" w:cs="宋体"/>
                <w:color w:val="000000"/>
                <w:kern w:val="0"/>
                <w:szCs w:val="21"/>
              </w:rPr>
            </w:pPr>
            <w:r>
              <w:rPr>
                <w:rFonts w:hint="eastAsia" w:ascii="宋体" w:hAnsi="宋体" w:cs="宋体"/>
                <w:color w:val="000000"/>
                <w:kern w:val="0"/>
                <w:szCs w:val="21"/>
              </w:rPr>
              <w:t>邮政编码：</w:t>
            </w:r>
          </w:p>
        </w:tc>
        <w:tc>
          <w:tcPr>
            <w:tcW w:w="4653" w:type="dxa"/>
            <w:vAlign w:val="center"/>
          </w:tcPr>
          <w:p>
            <w:pPr>
              <w:widowControl/>
              <w:rPr>
                <w:rFonts w:ascii="宋体" w:hAnsi="宋体" w:cs="宋体"/>
                <w:color w:val="000000"/>
                <w:kern w:val="0"/>
                <w:szCs w:val="21"/>
              </w:rPr>
            </w:pPr>
            <w:r>
              <w:rPr>
                <w:rFonts w:hint="eastAsia" w:ascii="宋体" w:hAnsi="宋体" w:cs="宋体"/>
                <w:color w:val="000000"/>
                <w:kern w:val="0"/>
                <w:szCs w:val="21"/>
              </w:rPr>
              <w:t>邮政编码：</w:t>
            </w:r>
          </w:p>
        </w:tc>
      </w:tr>
    </w:tbl>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中标通知书扫描件</w:t>
      </w:r>
    </w:p>
    <w:p>
      <w:pPr>
        <w:pStyle w:val="2"/>
        <w:spacing w:before="156" w:after="156"/>
        <w:rPr>
          <w:rFonts w:ascii="宋体" w:hAnsi="宋体"/>
        </w:rPr>
      </w:pPr>
    </w:p>
    <w:p>
      <w:pPr>
        <w:rPr>
          <w:rFonts w:ascii="宋体" w:hAnsi="宋体"/>
          <w:szCs w:val="21"/>
        </w:rPr>
      </w:pPr>
    </w:p>
    <w:p>
      <w:pPr>
        <w:pStyle w:val="2"/>
        <w:spacing w:before="156" w:after="156"/>
        <w:rPr>
          <w:rFonts w:ascii="宋体" w:hAnsi="宋体"/>
        </w:rPr>
      </w:pPr>
    </w:p>
    <w:p>
      <w:pPr>
        <w:rPr>
          <w:rFonts w:ascii="宋体" w:hAnsi="宋体"/>
          <w:szCs w:val="21"/>
        </w:rPr>
      </w:pPr>
    </w:p>
    <w:p>
      <w:pPr>
        <w:pStyle w:val="2"/>
        <w:spacing w:before="156" w:after="156"/>
        <w:rPr>
          <w:rFonts w:ascii="宋体" w:hAnsi="宋体"/>
        </w:rPr>
      </w:pPr>
    </w:p>
    <w:p>
      <w:pPr>
        <w:rPr>
          <w:rFonts w:ascii="宋体" w:hAnsi="宋体"/>
          <w:szCs w:val="21"/>
        </w:rPr>
      </w:pPr>
    </w:p>
    <w:p>
      <w:pPr>
        <w:pStyle w:val="2"/>
        <w:spacing w:before="156" w:after="156"/>
        <w:rPr>
          <w:rFonts w:ascii="宋体" w:hAnsi="宋体"/>
        </w:rPr>
      </w:pPr>
    </w:p>
    <w:p>
      <w:pPr>
        <w:rPr>
          <w:rFonts w:ascii="宋体" w:hAnsi="宋体"/>
          <w:szCs w:val="21"/>
        </w:rPr>
      </w:pPr>
    </w:p>
    <w:p>
      <w:pPr>
        <w:pStyle w:val="2"/>
        <w:spacing w:before="156" w:after="156"/>
        <w:rPr>
          <w:rFonts w:ascii="宋体" w:hAnsi="宋体"/>
        </w:rPr>
      </w:pPr>
    </w:p>
    <w:p>
      <w:pPr>
        <w:rPr>
          <w:rFonts w:ascii="宋体" w:hAnsi="宋体"/>
          <w:szCs w:val="21"/>
        </w:rPr>
      </w:pPr>
    </w:p>
    <w:p>
      <w:pPr>
        <w:pStyle w:val="2"/>
        <w:spacing w:before="156" w:after="156"/>
        <w:rPr>
          <w:rFonts w:ascii="宋体" w:hAnsi="宋体"/>
        </w:rPr>
      </w:pPr>
    </w:p>
    <w:p>
      <w:pPr>
        <w:rPr>
          <w:rFonts w:ascii="宋体" w:hAnsi="宋体"/>
          <w:szCs w:val="21"/>
        </w:rPr>
      </w:pPr>
    </w:p>
    <w:p>
      <w:pPr>
        <w:pStyle w:val="2"/>
        <w:spacing w:before="156" w:after="156"/>
        <w:rPr>
          <w:rFonts w:ascii="宋体" w:hAnsi="宋体"/>
        </w:rPr>
      </w:pPr>
    </w:p>
    <w:p>
      <w:pPr>
        <w:rPr>
          <w:rFonts w:ascii="宋体" w:hAnsi="宋体"/>
          <w:szCs w:val="21"/>
        </w:rPr>
      </w:pPr>
    </w:p>
    <w:p>
      <w:pPr>
        <w:pStyle w:val="2"/>
        <w:spacing w:before="156" w:after="156"/>
        <w:rPr>
          <w:rFonts w:ascii="宋体" w:hAnsi="宋体"/>
        </w:rPr>
      </w:pPr>
    </w:p>
    <w:p>
      <w:pPr>
        <w:rPr>
          <w:rFonts w:ascii="宋体" w:hAnsi="宋体"/>
          <w:szCs w:val="21"/>
        </w:rPr>
      </w:pPr>
    </w:p>
    <w:p>
      <w:pPr>
        <w:pStyle w:val="2"/>
        <w:spacing w:before="156" w:after="156"/>
        <w:rPr>
          <w:rFonts w:ascii="宋体" w:hAnsi="宋体"/>
        </w:rPr>
      </w:pPr>
    </w:p>
    <w:p>
      <w:pPr>
        <w:rPr>
          <w:rFonts w:ascii="宋体" w:hAnsi="宋体"/>
          <w:szCs w:val="21"/>
        </w:rPr>
      </w:pPr>
    </w:p>
    <w:p>
      <w:pPr>
        <w:pStyle w:val="2"/>
        <w:spacing w:before="156" w:after="156"/>
        <w:rPr>
          <w:rFonts w:ascii="宋体" w:hAnsi="宋体"/>
        </w:rPr>
      </w:pPr>
    </w:p>
    <w:p>
      <w:pPr>
        <w:rPr>
          <w:rFonts w:ascii="宋体" w:hAnsi="宋体"/>
          <w:szCs w:val="21"/>
        </w:rPr>
      </w:pPr>
    </w:p>
    <w:p>
      <w:pPr>
        <w:pStyle w:val="2"/>
        <w:spacing w:before="156" w:after="156"/>
        <w:rPr>
          <w:rFonts w:ascii="宋体" w:hAnsi="宋体"/>
        </w:rPr>
      </w:pPr>
    </w:p>
    <w:p>
      <w:pPr>
        <w:rPr>
          <w:rFonts w:ascii="宋体" w:hAnsi="宋体"/>
          <w:szCs w:val="21"/>
        </w:rPr>
      </w:pPr>
    </w:p>
    <w:p>
      <w:pPr>
        <w:pStyle w:val="2"/>
        <w:spacing w:before="156" w:after="156"/>
        <w:rPr>
          <w:rFonts w:ascii="宋体" w:hAnsi="宋体"/>
        </w:rPr>
      </w:pPr>
    </w:p>
    <w:p>
      <w:pPr>
        <w:rPr>
          <w:rFonts w:ascii="宋体" w:hAnsi="宋体"/>
          <w:szCs w:val="21"/>
        </w:rPr>
      </w:pPr>
    </w:p>
    <w:p>
      <w:pPr>
        <w:pStyle w:val="2"/>
        <w:spacing w:before="156" w:after="156"/>
      </w:pPr>
      <w:r>
        <w:rPr>
          <w:rFonts w:hint="eastAsia" w:ascii="宋体" w:hAnsi="宋体"/>
        </w:rPr>
        <w:t>投标报价表扫描件</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ermEnd w:id="10"/>
    <w:p>
      <w:pPr>
        <w:pStyle w:val="2"/>
        <w:spacing w:before="156" w:after="156" w:line="336" w:lineRule="auto"/>
      </w:pPr>
    </w:p>
    <w:p>
      <w:pPr>
        <w:spacing w:line="336" w:lineRule="auto"/>
        <w:rPr>
          <w:rFonts w:ascii="宋体" w:hAnsi="宋体"/>
          <w:kern w:val="0"/>
          <w:szCs w:val="21"/>
        </w:rPr>
        <w:sectPr>
          <w:footerReference r:id="rId3" w:type="default"/>
          <w:pgSz w:w="11907" w:h="16840"/>
          <w:pgMar w:top="1559" w:right="1418" w:bottom="1247" w:left="1440" w:header="851" w:footer="992" w:gutter="0"/>
          <w:cols w:space="720" w:num="1"/>
          <w:docGrid w:type="linesAndChars" w:linePitch="312" w:charSpace="0"/>
        </w:sectPr>
      </w:pPr>
    </w:p>
    <w:p>
      <w:pPr>
        <w:pStyle w:val="3"/>
        <w:pageBreakBefore/>
        <w:spacing w:before="120" w:after="0" w:line="240" w:lineRule="auto"/>
        <w:jc w:val="center"/>
        <w:rPr>
          <w:rFonts w:ascii="宋体" w:hAnsi="宋体"/>
          <w:sz w:val="36"/>
          <w:szCs w:val="36"/>
        </w:rPr>
      </w:pPr>
      <w:bookmarkStart w:id="62" w:name="_Toc23878_WPSOffice_Level1"/>
      <w:r>
        <w:rPr>
          <w:rFonts w:hint="eastAsia" w:ascii="宋体" w:hAnsi="宋体"/>
          <w:sz w:val="36"/>
          <w:szCs w:val="36"/>
        </w:rPr>
        <w:t>第二节 通用条款</w:t>
      </w:r>
      <w:bookmarkEnd w:id="53"/>
      <w:bookmarkEnd w:id="54"/>
      <w:bookmarkEnd w:id="55"/>
      <w:bookmarkEnd w:id="56"/>
      <w:bookmarkEnd w:id="57"/>
      <w:bookmarkEnd w:id="58"/>
      <w:bookmarkEnd w:id="59"/>
      <w:bookmarkEnd w:id="60"/>
      <w:bookmarkEnd w:id="61"/>
      <w:bookmarkEnd w:id="62"/>
    </w:p>
    <w:p>
      <w:pPr>
        <w:spacing w:line="360" w:lineRule="auto"/>
        <w:rPr>
          <w:szCs w:val="21"/>
        </w:rPr>
      </w:pPr>
    </w:p>
    <w:p>
      <w:pPr>
        <w:spacing w:before="156" w:beforeLines="50" w:after="156" w:afterLines="50" w:line="360" w:lineRule="auto"/>
        <w:ind w:firstLine="420" w:firstLineChars="200"/>
        <w:rPr>
          <w:szCs w:val="21"/>
        </w:rPr>
      </w:pPr>
      <w:r>
        <w:rPr>
          <w:rFonts w:hint="eastAsia"/>
          <w:b/>
          <w:szCs w:val="21"/>
        </w:rPr>
        <w:t>第</w:t>
      </w:r>
      <w:r>
        <w:rPr>
          <w:b/>
          <w:szCs w:val="21"/>
        </w:rPr>
        <w:t>1</w:t>
      </w:r>
      <w:r>
        <w:rPr>
          <w:rFonts w:hint="eastAsia"/>
          <w:b/>
          <w:szCs w:val="21"/>
        </w:rPr>
        <w:t>条一般规定</w:t>
      </w:r>
    </w:p>
    <w:p>
      <w:pPr>
        <w:spacing w:before="156" w:beforeLines="50" w:after="156" w:afterLines="50" w:line="360" w:lineRule="auto"/>
        <w:ind w:firstLine="420" w:firstLineChars="200"/>
        <w:rPr>
          <w:b/>
          <w:szCs w:val="21"/>
        </w:rPr>
      </w:pPr>
      <w:r>
        <w:rPr>
          <w:rFonts w:hint="eastAsia"/>
          <w:b/>
          <w:szCs w:val="21"/>
        </w:rPr>
        <w:t>1.1  定义与解释</w:t>
      </w:r>
    </w:p>
    <w:p>
      <w:pPr>
        <w:spacing w:line="360" w:lineRule="auto"/>
        <w:ind w:firstLine="420" w:firstLineChars="200"/>
        <w:rPr>
          <w:szCs w:val="21"/>
        </w:rPr>
      </w:pPr>
      <w:r>
        <w:rPr>
          <w:szCs w:val="21"/>
        </w:rPr>
        <w:t>1.1.</w:t>
      </w:r>
      <w:r>
        <w:rPr>
          <w:rFonts w:hint="eastAsia"/>
          <w:szCs w:val="21"/>
        </w:rPr>
        <w:t>1通用条款，指根据法律、行政法规的规定，合同当事人在履行工程总承包合同过程中所遵守的一般性条款，由本文件第1条至第20条组成。</w:t>
      </w:r>
    </w:p>
    <w:p>
      <w:pPr>
        <w:spacing w:line="360" w:lineRule="auto"/>
        <w:ind w:firstLine="420" w:firstLineChars="200"/>
        <w:rPr>
          <w:szCs w:val="21"/>
        </w:rPr>
      </w:pPr>
      <w:r>
        <w:rPr>
          <w:szCs w:val="21"/>
        </w:rPr>
        <w:t>1.1.</w:t>
      </w:r>
      <w:r>
        <w:rPr>
          <w:rFonts w:hint="eastAsia"/>
          <w:szCs w:val="21"/>
        </w:rPr>
        <w:t>2专用条款，指根据工程总承包项目的实际，对通用条款进行补充、修改和完善，并同意共同遵守的条款。</w:t>
      </w:r>
    </w:p>
    <w:p>
      <w:pPr>
        <w:spacing w:line="360" w:lineRule="auto"/>
        <w:ind w:firstLine="420" w:firstLineChars="200"/>
        <w:rPr>
          <w:szCs w:val="21"/>
        </w:rPr>
      </w:pPr>
      <w:r>
        <w:rPr>
          <w:szCs w:val="21"/>
        </w:rPr>
        <w:t>1.1.</w:t>
      </w:r>
      <w:r>
        <w:rPr>
          <w:rFonts w:hint="eastAsia"/>
          <w:szCs w:val="21"/>
        </w:rPr>
        <w:t>3工程EPC总承包，指承包人受业主委托，按照合同约定对</w:t>
      </w:r>
      <w:r>
        <w:rPr>
          <w:rFonts w:hint="eastAsia"/>
          <w:szCs w:val="21"/>
          <w:u w:val="single"/>
        </w:rPr>
        <w:t>本工程</w:t>
      </w:r>
      <w:r>
        <w:rPr>
          <w:rFonts w:hint="eastAsia"/>
          <w:szCs w:val="21"/>
        </w:rPr>
        <w:t>项目的施工图设计、施工等实行全过程</w:t>
      </w:r>
      <w:r>
        <w:rPr>
          <w:szCs w:val="21"/>
        </w:rPr>
        <w:t>工程</w:t>
      </w:r>
      <w:r>
        <w:rPr>
          <w:rFonts w:hint="eastAsia"/>
          <w:szCs w:val="21"/>
        </w:rPr>
        <w:t>承包。</w:t>
      </w:r>
    </w:p>
    <w:p>
      <w:pPr>
        <w:spacing w:line="360" w:lineRule="auto"/>
        <w:ind w:firstLine="420" w:firstLineChars="200"/>
        <w:rPr>
          <w:szCs w:val="21"/>
        </w:rPr>
      </w:pPr>
      <w:r>
        <w:rPr>
          <w:szCs w:val="21"/>
        </w:rPr>
        <w:t>1.1.</w:t>
      </w:r>
      <w:r>
        <w:rPr>
          <w:rFonts w:hint="eastAsia"/>
          <w:szCs w:val="21"/>
        </w:rPr>
        <w:t>4发包人，指在合同协议书中约定的，被称为发包人的当事人，包括其合法继承人和经许可的受让人。</w:t>
      </w:r>
    </w:p>
    <w:p>
      <w:pPr>
        <w:spacing w:line="360" w:lineRule="auto"/>
        <w:ind w:firstLine="420" w:firstLineChars="200"/>
        <w:rPr>
          <w:szCs w:val="21"/>
        </w:rPr>
      </w:pPr>
      <w:r>
        <w:rPr>
          <w:szCs w:val="21"/>
        </w:rPr>
        <w:t>1.1.</w:t>
      </w:r>
      <w:r>
        <w:rPr>
          <w:rFonts w:hint="eastAsia"/>
          <w:szCs w:val="21"/>
        </w:rPr>
        <w:t>5承包人，指在合同协议书中约定的，被发包人接受的具有工程总承包主体资格的当事人，包括其合法继承人。</w:t>
      </w:r>
    </w:p>
    <w:p>
      <w:pPr>
        <w:spacing w:line="360" w:lineRule="auto"/>
        <w:ind w:firstLine="420" w:firstLineChars="200"/>
        <w:rPr>
          <w:szCs w:val="21"/>
        </w:rPr>
      </w:pPr>
      <w:r>
        <w:rPr>
          <w:szCs w:val="21"/>
        </w:rPr>
        <w:t>1.1.</w:t>
      </w:r>
      <w:r>
        <w:rPr>
          <w:rFonts w:hint="eastAsia"/>
          <w:szCs w:val="21"/>
        </w:rPr>
        <w:t>6分包人，指接受承包人根据合同约定对外分包的部分工程或服务的，并具有相应资格（或资质）的法人或其他组织。</w:t>
      </w:r>
    </w:p>
    <w:p>
      <w:pPr>
        <w:spacing w:line="360" w:lineRule="auto"/>
        <w:ind w:firstLine="420" w:firstLineChars="200"/>
        <w:rPr>
          <w:szCs w:val="21"/>
        </w:rPr>
      </w:pPr>
      <w:r>
        <w:rPr>
          <w:szCs w:val="21"/>
        </w:rPr>
        <w:t>1.1.</w:t>
      </w:r>
      <w:r>
        <w:rPr>
          <w:rFonts w:hint="eastAsia"/>
          <w:szCs w:val="21"/>
        </w:rPr>
        <w:t>7发包人代表，指发包人指定的履行本合同的或委托代理人。</w:t>
      </w:r>
    </w:p>
    <w:p>
      <w:pPr>
        <w:spacing w:line="360" w:lineRule="auto"/>
        <w:ind w:firstLine="420" w:firstLineChars="200"/>
        <w:rPr>
          <w:szCs w:val="21"/>
        </w:rPr>
      </w:pPr>
      <w:r>
        <w:rPr>
          <w:szCs w:val="21"/>
        </w:rPr>
        <w:t>1.1.</w:t>
      </w:r>
      <w:r>
        <w:rPr>
          <w:rFonts w:hint="eastAsia"/>
          <w:szCs w:val="21"/>
        </w:rPr>
        <w:t>8监理人，指发包人委托的具有相应资质的工程监理</w:t>
      </w:r>
      <w:r>
        <w:rPr>
          <w:rFonts w:hint="eastAsia"/>
          <w:szCs w:val="21"/>
          <w:lang w:eastAsia="zh-CN"/>
        </w:rPr>
        <w:t>单位</w:t>
      </w:r>
      <w:r>
        <w:rPr>
          <w:rFonts w:hint="eastAsia"/>
          <w:szCs w:val="21"/>
        </w:rPr>
        <w:t>。</w:t>
      </w:r>
    </w:p>
    <w:p>
      <w:pPr>
        <w:spacing w:line="360" w:lineRule="auto"/>
        <w:ind w:firstLine="420" w:firstLineChars="200"/>
        <w:rPr>
          <w:szCs w:val="21"/>
        </w:rPr>
      </w:pPr>
      <w:r>
        <w:rPr>
          <w:szCs w:val="21"/>
        </w:rPr>
        <w:t>1.1.</w:t>
      </w:r>
      <w:r>
        <w:rPr>
          <w:rFonts w:hint="eastAsia"/>
          <w:szCs w:val="21"/>
        </w:rPr>
        <w:t>9工程总监，指由监理人授权、负责履行监理合同的总监理工程师。</w:t>
      </w:r>
    </w:p>
    <w:p>
      <w:pPr>
        <w:spacing w:line="360" w:lineRule="auto"/>
        <w:ind w:firstLine="420" w:firstLineChars="200"/>
        <w:rPr>
          <w:szCs w:val="21"/>
        </w:rPr>
      </w:pPr>
      <w:r>
        <w:rPr>
          <w:szCs w:val="21"/>
        </w:rPr>
        <w:t>1.1.</w:t>
      </w:r>
      <w:r>
        <w:rPr>
          <w:rFonts w:hint="eastAsia"/>
          <w:szCs w:val="21"/>
        </w:rPr>
        <w:t>10项目经理，指承包人按照合同约定任命的负责履行合同的代表。</w:t>
      </w:r>
    </w:p>
    <w:p>
      <w:pPr>
        <w:spacing w:line="360" w:lineRule="auto"/>
        <w:ind w:firstLine="420" w:firstLineChars="200"/>
        <w:rPr>
          <w:szCs w:val="21"/>
        </w:rPr>
      </w:pPr>
      <w:r>
        <w:rPr>
          <w:szCs w:val="21"/>
        </w:rPr>
        <w:t>1.1.</w:t>
      </w:r>
      <w:r>
        <w:rPr>
          <w:rFonts w:hint="eastAsia"/>
          <w:szCs w:val="21"/>
        </w:rPr>
        <w:t>11永久性工程，指承包人根据合同约定，进行设计、施工、竣工验收、竣工后试验和（或）试运行考核并交付发包人进行生产操作或使用的工程。</w:t>
      </w:r>
    </w:p>
    <w:p>
      <w:pPr>
        <w:spacing w:line="360" w:lineRule="auto"/>
        <w:ind w:firstLine="420" w:firstLineChars="200"/>
        <w:rPr>
          <w:szCs w:val="21"/>
        </w:rPr>
      </w:pPr>
      <w:r>
        <w:rPr>
          <w:szCs w:val="21"/>
        </w:rPr>
        <w:t>1.1.</w:t>
      </w:r>
      <w:r>
        <w:rPr>
          <w:rFonts w:hint="eastAsia"/>
          <w:szCs w:val="21"/>
        </w:rPr>
        <w:t>12单项工程，指专用条件中列明的具有某项独立功能的工程单元，是永久性工程的组成部分。</w:t>
      </w:r>
    </w:p>
    <w:p>
      <w:pPr>
        <w:spacing w:line="360" w:lineRule="auto"/>
        <w:ind w:firstLine="420" w:firstLineChars="200"/>
        <w:rPr>
          <w:szCs w:val="21"/>
        </w:rPr>
      </w:pPr>
      <w:r>
        <w:rPr>
          <w:szCs w:val="21"/>
        </w:rPr>
        <w:t>1.1.</w:t>
      </w:r>
      <w:r>
        <w:rPr>
          <w:rFonts w:hint="eastAsia"/>
          <w:szCs w:val="21"/>
        </w:rPr>
        <w:t>13临时性工程，指为实施、完成永久性工程及修补任何质量缺陷，在现场所需搭建的临时建筑物、构筑物，不构成永久性工程实体的工程。</w:t>
      </w:r>
    </w:p>
    <w:p>
      <w:pPr>
        <w:spacing w:line="360" w:lineRule="auto"/>
        <w:ind w:firstLine="420" w:firstLineChars="200"/>
        <w:rPr>
          <w:szCs w:val="21"/>
        </w:rPr>
      </w:pPr>
      <w:r>
        <w:rPr>
          <w:szCs w:val="21"/>
        </w:rPr>
        <w:t>1.1.</w:t>
      </w:r>
      <w:r>
        <w:rPr>
          <w:rFonts w:hint="eastAsia"/>
          <w:szCs w:val="21"/>
        </w:rPr>
        <w:t>14现场或场地，指合同约定的用于承包人现场办公、居住、设备材料部件存放、施工机具、设施存放和工程实施的任何地点。</w:t>
      </w:r>
    </w:p>
    <w:p>
      <w:pPr>
        <w:spacing w:line="360" w:lineRule="auto"/>
        <w:ind w:firstLine="420" w:firstLineChars="200"/>
        <w:rPr>
          <w:szCs w:val="21"/>
        </w:rPr>
      </w:pPr>
      <w:r>
        <w:rPr>
          <w:rFonts w:hint="eastAsia"/>
          <w:szCs w:val="21"/>
        </w:rPr>
        <w:t>1.1.15项目基础资料，指发包人提供给承包人的经有关部门对项目批准或核准的文件、报告（选厂报告、资源报告、勘察报告）等，设计所须的基础资料。</w:t>
      </w:r>
    </w:p>
    <w:p>
      <w:pPr>
        <w:spacing w:line="360" w:lineRule="auto"/>
        <w:ind w:firstLine="420" w:firstLineChars="200"/>
        <w:rPr>
          <w:szCs w:val="21"/>
        </w:rPr>
      </w:pPr>
      <w:r>
        <w:rPr>
          <w:szCs w:val="21"/>
        </w:rPr>
        <w:t>1.1.</w:t>
      </w:r>
      <w:r>
        <w:rPr>
          <w:rFonts w:hint="eastAsia"/>
          <w:szCs w:val="21"/>
        </w:rPr>
        <w:t>16现场障碍资料，指发包人为承包人完成设计、进行现场施工所需要提供的地上和地下已有的建筑物、构筑物、须受保护的古建筑、古树木等坐标方位、数据和其他情况的资料。</w:t>
      </w:r>
    </w:p>
    <w:p>
      <w:pPr>
        <w:spacing w:line="360" w:lineRule="auto"/>
        <w:ind w:firstLine="420" w:firstLineChars="200"/>
        <w:rPr>
          <w:szCs w:val="21"/>
        </w:rPr>
      </w:pPr>
      <w:r>
        <w:rPr>
          <w:szCs w:val="21"/>
        </w:rPr>
        <w:t>1.1.</w:t>
      </w:r>
      <w:r>
        <w:rPr>
          <w:rFonts w:hint="eastAsia"/>
          <w:szCs w:val="21"/>
        </w:rPr>
        <w:t>17设计阶段，指从施工图设计开始后的设计阶段。</w:t>
      </w:r>
    </w:p>
    <w:p>
      <w:pPr>
        <w:spacing w:line="360" w:lineRule="auto"/>
        <w:ind w:firstLine="420" w:firstLineChars="200"/>
        <w:rPr>
          <w:szCs w:val="21"/>
        </w:rPr>
      </w:pPr>
      <w:r>
        <w:rPr>
          <w:rFonts w:hint="eastAsia"/>
          <w:szCs w:val="21"/>
        </w:rPr>
        <w:t>1.1.18工程物资，设计文件规定的并构成永久性工程实体的设备、材料和部件，及竣工后试验所需的材料等。</w:t>
      </w:r>
    </w:p>
    <w:p>
      <w:pPr>
        <w:spacing w:line="360" w:lineRule="auto"/>
        <w:ind w:firstLine="420" w:firstLineChars="200"/>
        <w:rPr>
          <w:szCs w:val="21"/>
        </w:rPr>
      </w:pPr>
      <w:r>
        <w:rPr>
          <w:szCs w:val="21"/>
        </w:rPr>
        <w:t>1.1.</w:t>
      </w:r>
      <w:r>
        <w:rPr>
          <w:rFonts w:hint="eastAsia"/>
          <w:szCs w:val="21"/>
        </w:rPr>
        <w:t>19施工，指承包人把设计文件转化为工程的过程，包括土建、安装和竣工验收等作业。</w:t>
      </w:r>
    </w:p>
    <w:p>
      <w:pPr>
        <w:spacing w:line="360" w:lineRule="auto"/>
        <w:ind w:firstLine="420" w:firstLineChars="200"/>
        <w:rPr>
          <w:szCs w:val="21"/>
        </w:rPr>
      </w:pPr>
      <w:r>
        <w:rPr>
          <w:szCs w:val="21"/>
        </w:rPr>
        <w:t>1.1.</w:t>
      </w:r>
      <w:r>
        <w:rPr>
          <w:rFonts w:hint="eastAsia"/>
          <w:szCs w:val="21"/>
        </w:rPr>
        <w:t>20竣工验收，指工程的土建、安装完工后，工程或（和）单项工程被业主接收前由承包人负责进行的试验。</w:t>
      </w:r>
    </w:p>
    <w:p>
      <w:pPr>
        <w:spacing w:line="360" w:lineRule="auto"/>
        <w:ind w:firstLine="420" w:firstLineChars="200"/>
        <w:rPr>
          <w:szCs w:val="21"/>
        </w:rPr>
      </w:pPr>
      <w:r>
        <w:rPr>
          <w:szCs w:val="21"/>
        </w:rPr>
        <w:t>1.1.</w:t>
      </w:r>
      <w:r>
        <w:rPr>
          <w:rFonts w:hint="eastAsia"/>
          <w:szCs w:val="21"/>
        </w:rPr>
        <w:t>21施工竣工，指工程已按合同约定和设计要求完成土建、安装，并通过竣工验收。</w:t>
      </w:r>
    </w:p>
    <w:p>
      <w:pPr>
        <w:spacing w:line="360" w:lineRule="auto"/>
        <w:ind w:firstLine="420" w:firstLineChars="200"/>
        <w:rPr>
          <w:szCs w:val="21"/>
        </w:rPr>
      </w:pPr>
      <w:r>
        <w:rPr>
          <w:szCs w:val="21"/>
        </w:rPr>
        <w:t>1.1.</w:t>
      </w:r>
      <w:r>
        <w:rPr>
          <w:rFonts w:hint="eastAsia"/>
          <w:szCs w:val="21"/>
        </w:rPr>
        <w:t>22工程接收，指工程或（和）单项工程通过竣工验收后，为使发包人的操作人员、使用人员进入岗位进行竣工后试验、试运行准备，由承包人与发包人进行工程交接，并由发包人颁发接收证书的过程。</w:t>
      </w:r>
    </w:p>
    <w:p>
      <w:pPr>
        <w:spacing w:line="360" w:lineRule="auto"/>
        <w:ind w:firstLine="420" w:firstLineChars="200"/>
        <w:rPr>
          <w:szCs w:val="21"/>
        </w:rPr>
      </w:pPr>
      <w:r>
        <w:rPr>
          <w:szCs w:val="21"/>
        </w:rPr>
        <w:t>1.1.</w:t>
      </w:r>
      <w:r>
        <w:rPr>
          <w:rFonts w:hint="eastAsia"/>
          <w:szCs w:val="21"/>
        </w:rPr>
        <w:t>23竣工后试验，指工程被发包人接收后，按合同约定由发包人自行组织的试验、或在发包人组织领导下并由承包人指导进行工程的功能试验。</w:t>
      </w:r>
    </w:p>
    <w:p>
      <w:pPr>
        <w:spacing w:line="360" w:lineRule="auto"/>
        <w:ind w:firstLine="420" w:firstLineChars="200"/>
        <w:rPr>
          <w:szCs w:val="21"/>
        </w:rPr>
      </w:pPr>
      <w:r>
        <w:rPr>
          <w:szCs w:val="21"/>
        </w:rPr>
        <w:t>1.1.</w:t>
      </w:r>
      <w:r>
        <w:rPr>
          <w:rFonts w:hint="eastAsia"/>
          <w:szCs w:val="21"/>
        </w:rPr>
        <w:t>24试运行考核，指根据合同约定，在工程完成竣工验收后，由发包人自行或在发包人的组织领导下由承包人指导下进行的包括合同目标考核验收在内的全部试验。</w:t>
      </w:r>
    </w:p>
    <w:p>
      <w:pPr>
        <w:spacing w:line="360" w:lineRule="auto"/>
        <w:ind w:firstLine="420" w:firstLineChars="200"/>
        <w:rPr>
          <w:szCs w:val="21"/>
        </w:rPr>
      </w:pPr>
      <w:r>
        <w:rPr>
          <w:rFonts w:hint="eastAsia"/>
          <w:szCs w:val="21"/>
        </w:rPr>
        <w:t>1.1.25考核验收证书，指试运行考核的全部试验完成并被验收后，由发包人签发的验收证书。</w:t>
      </w:r>
    </w:p>
    <w:p>
      <w:pPr>
        <w:spacing w:line="360" w:lineRule="auto"/>
        <w:ind w:firstLine="420" w:firstLineChars="200"/>
        <w:rPr>
          <w:szCs w:val="21"/>
        </w:rPr>
      </w:pPr>
      <w:r>
        <w:rPr>
          <w:szCs w:val="21"/>
        </w:rPr>
        <w:t>1.1.</w:t>
      </w:r>
      <w:r>
        <w:rPr>
          <w:rFonts w:hint="eastAsia"/>
          <w:szCs w:val="21"/>
        </w:rPr>
        <w:t>26工程竣工验收，指承包人接到考核验收证书、完成扫尾工程和缺陷修复，并按合同约定提交竣工验收报告、竣工资料、竣工结算资料，由发包人组织的工程结算与验收。</w:t>
      </w:r>
    </w:p>
    <w:p>
      <w:pPr>
        <w:spacing w:line="360" w:lineRule="auto"/>
        <w:ind w:firstLine="420" w:firstLineChars="200"/>
        <w:rPr>
          <w:szCs w:val="21"/>
        </w:rPr>
      </w:pPr>
      <w:r>
        <w:rPr>
          <w:rFonts w:hint="eastAsia"/>
          <w:szCs w:val="21"/>
        </w:rPr>
        <w:t>1.1.27项目进度计划，指自合同生效之日起，按合同约定的工程全部实施阶段（包括：设计、采购、施工、竣工验收、工程接收、竣工后试验至试运行考核各阶段的）或合同约定的若干实施阶段的时间计划安排。</w:t>
      </w:r>
    </w:p>
    <w:p>
      <w:pPr>
        <w:spacing w:line="360" w:lineRule="auto"/>
        <w:ind w:firstLine="420" w:firstLineChars="200"/>
        <w:rPr>
          <w:szCs w:val="21"/>
        </w:rPr>
      </w:pPr>
      <w:r>
        <w:rPr>
          <w:szCs w:val="21"/>
        </w:rPr>
        <w:t>1.1.</w:t>
      </w:r>
      <w:r>
        <w:rPr>
          <w:rFonts w:hint="eastAsia"/>
          <w:szCs w:val="21"/>
        </w:rPr>
        <w:t>28施工开工日期，指合同协议书中约定的，承包人开始现场施工的绝对日期或相对日期。</w:t>
      </w:r>
    </w:p>
    <w:p>
      <w:pPr>
        <w:spacing w:line="360" w:lineRule="auto"/>
        <w:ind w:firstLine="420" w:firstLineChars="200"/>
        <w:rPr>
          <w:szCs w:val="21"/>
        </w:rPr>
      </w:pPr>
      <w:r>
        <w:rPr>
          <w:szCs w:val="21"/>
        </w:rPr>
        <w:t>1.1.</w:t>
      </w:r>
      <w:r>
        <w:rPr>
          <w:rFonts w:hint="eastAsia"/>
          <w:szCs w:val="21"/>
        </w:rPr>
        <w:t>29竣工日期，指合同协议书中约定的，由承包人完成工程施工（含竣工验收）的绝对日期或相对日期，包括按合同约定的任何延长日期。</w:t>
      </w:r>
    </w:p>
    <w:p>
      <w:pPr>
        <w:spacing w:line="360" w:lineRule="auto"/>
        <w:ind w:firstLine="420" w:firstLineChars="200"/>
        <w:rPr>
          <w:szCs w:val="21"/>
        </w:rPr>
      </w:pPr>
      <w:r>
        <w:rPr>
          <w:szCs w:val="21"/>
        </w:rPr>
        <w:t>1.1.</w:t>
      </w:r>
      <w:r>
        <w:rPr>
          <w:rFonts w:hint="eastAsia"/>
          <w:szCs w:val="21"/>
        </w:rPr>
        <w:t>30变更，指发包人书面通知或书面批准的，对工程所作的任何更改。</w:t>
      </w:r>
    </w:p>
    <w:p>
      <w:pPr>
        <w:spacing w:line="360" w:lineRule="auto"/>
        <w:ind w:firstLine="420" w:firstLineChars="200"/>
        <w:rPr>
          <w:szCs w:val="21"/>
        </w:rPr>
      </w:pPr>
      <w:r>
        <w:rPr>
          <w:szCs w:val="21"/>
        </w:rPr>
        <w:t>1.1.</w:t>
      </w:r>
      <w:r>
        <w:rPr>
          <w:rFonts w:hint="eastAsia"/>
          <w:szCs w:val="21"/>
        </w:rPr>
        <w:t>31合同价格，指合同协议书中约定的、承包人进行设计、采购、施工、竣工验收、竣工后试验和服务等工作的价款</w:t>
      </w:r>
      <w:r>
        <w:rPr>
          <w:rFonts w:hint="eastAsia"/>
          <w:szCs w:val="21"/>
          <w:lang w:eastAsia="zh-CN"/>
        </w:rPr>
        <w:t>，包括了暂列金额、暂估价的合同总金额</w:t>
      </w:r>
      <w:r>
        <w:rPr>
          <w:rFonts w:hint="eastAsia"/>
          <w:szCs w:val="21"/>
        </w:rPr>
        <w:t>。</w:t>
      </w:r>
    </w:p>
    <w:p>
      <w:pPr>
        <w:spacing w:line="360" w:lineRule="auto"/>
        <w:ind w:firstLine="420" w:firstLineChars="200"/>
        <w:rPr>
          <w:szCs w:val="21"/>
        </w:rPr>
      </w:pPr>
      <w:r>
        <w:rPr>
          <w:szCs w:val="21"/>
        </w:rPr>
        <w:t>1.1.</w:t>
      </w:r>
      <w:r>
        <w:rPr>
          <w:rFonts w:hint="eastAsia"/>
          <w:szCs w:val="21"/>
        </w:rPr>
        <w:t>32合同价格调整，指依据合同约定需要增减的费用而对合同价格进行的相应调整。</w:t>
      </w:r>
    </w:p>
    <w:p>
      <w:pPr>
        <w:spacing w:line="360" w:lineRule="auto"/>
        <w:ind w:firstLine="420" w:firstLineChars="200"/>
        <w:rPr>
          <w:szCs w:val="21"/>
        </w:rPr>
      </w:pPr>
      <w:r>
        <w:rPr>
          <w:rFonts w:hint="eastAsia"/>
          <w:szCs w:val="21"/>
        </w:rPr>
        <w:t>1.1.33合同总价，指根据合同约定，经调整后的合同价格。</w:t>
      </w:r>
    </w:p>
    <w:p>
      <w:pPr>
        <w:spacing w:line="360" w:lineRule="auto"/>
        <w:ind w:firstLine="420" w:firstLineChars="200"/>
        <w:rPr>
          <w:szCs w:val="21"/>
        </w:rPr>
      </w:pPr>
      <w:r>
        <w:rPr>
          <w:rFonts w:hint="eastAsia"/>
          <w:szCs w:val="21"/>
        </w:rPr>
        <w:t>1.1.34预付款，是指根据合同约定，由发包人预先支付给承包人的款项。</w:t>
      </w:r>
    </w:p>
    <w:p>
      <w:pPr>
        <w:spacing w:line="360" w:lineRule="auto"/>
        <w:ind w:firstLine="420" w:firstLineChars="200"/>
        <w:rPr>
          <w:szCs w:val="21"/>
        </w:rPr>
      </w:pPr>
      <w:r>
        <w:rPr>
          <w:szCs w:val="21"/>
        </w:rPr>
        <w:t>1.1.</w:t>
      </w:r>
      <w:r>
        <w:rPr>
          <w:rFonts w:hint="eastAsia"/>
          <w:szCs w:val="21"/>
        </w:rPr>
        <w:t>35</w:t>
      </w:r>
      <w:r>
        <w:rPr>
          <w:szCs w:val="21"/>
        </w:rPr>
        <w:t>工程进度款，指发包人</w:t>
      </w:r>
      <w:r>
        <w:rPr>
          <w:rFonts w:hint="eastAsia"/>
          <w:szCs w:val="21"/>
        </w:rPr>
        <w:t>根据合同约定的支付内容、支付条件，分期向承包人</w:t>
      </w:r>
      <w:r>
        <w:rPr>
          <w:szCs w:val="21"/>
        </w:rPr>
        <w:t>支付</w:t>
      </w:r>
      <w:r>
        <w:rPr>
          <w:rFonts w:hint="eastAsia"/>
          <w:szCs w:val="21"/>
        </w:rPr>
        <w:t>的设计、采购和施工的进度款，及竣工后试验的服务费等</w:t>
      </w:r>
      <w:r>
        <w:rPr>
          <w:szCs w:val="21"/>
        </w:rPr>
        <w:t>款</w:t>
      </w:r>
      <w:r>
        <w:rPr>
          <w:rFonts w:hint="eastAsia"/>
          <w:szCs w:val="21"/>
        </w:rPr>
        <w:t>项</w:t>
      </w:r>
      <w:r>
        <w:rPr>
          <w:szCs w:val="21"/>
        </w:rPr>
        <w:t>。</w:t>
      </w:r>
    </w:p>
    <w:p>
      <w:pPr>
        <w:spacing w:line="360" w:lineRule="auto"/>
        <w:ind w:firstLine="420" w:firstLineChars="200"/>
        <w:rPr>
          <w:szCs w:val="21"/>
        </w:rPr>
      </w:pPr>
      <w:r>
        <w:rPr>
          <w:szCs w:val="21"/>
        </w:rPr>
        <w:t>1.1.</w:t>
      </w:r>
      <w:r>
        <w:rPr>
          <w:rFonts w:hint="eastAsia"/>
          <w:szCs w:val="21"/>
        </w:rPr>
        <w:t>36工程质量保修责任书，指依据有关质量保修的法律规定，发包人与承包人签订的质量保修责任书。</w:t>
      </w:r>
    </w:p>
    <w:p>
      <w:pPr>
        <w:spacing w:line="360" w:lineRule="auto"/>
        <w:ind w:firstLine="420" w:firstLineChars="200"/>
        <w:rPr>
          <w:szCs w:val="21"/>
        </w:rPr>
      </w:pPr>
      <w:r>
        <w:rPr>
          <w:szCs w:val="21"/>
        </w:rPr>
        <w:t>1.1.</w:t>
      </w:r>
      <w:r>
        <w:rPr>
          <w:rFonts w:hint="eastAsia"/>
          <w:szCs w:val="21"/>
        </w:rPr>
        <w:t>37书面形式，指合同书、信件和数据电文等可以有形地表现所载内容的形式。数据电文包括电传、传真、电子数据交换和电子邮件等。</w:t>
      </w:r>
    </w:p>
    <w:p>
      <w:pPr>
        <w:spacing w:line="360" w:lineRule="auto"/>
        <w:ind w:firstLine="420" w:firstLineChars="200"/>
        <w:rPr>
          <w:szCs w:val="21"/>
        </w:rPr>
      </w:pPr>
      <w:r>
        <w:rPr>
          <w:szCs w:val="21"/>
        </w:rPr>
        <w:t>1.1.</w:t>
      </w:r>
      <w:r>
        <w:rPr>
          <w:rFonts w:hint="eastAsia"/>
          <w:szCs w:val="21"/>
        </w:rPr>
        <w:t>38违约责任，指合同一方不履行合同义务或履行合同义务不符合合同约定所须承担的责任。</w:t>
      </w:r>
    </w:p>
    <w:p>
      <w:pPr>
        <w:spacing w:line="360" w:lineRule="auto"/>
        <w:ind w:firstLine="420" w:firstLineChars="200"/>
        <w:rPr>
          <w:szCs w:val="21"/>
        </w:rPr>
      </w:pPr>
      <w:r>
        <w:rPr>
          <w:rFonts w:hint="eastAsia"/>
          <w:szCs w:val="21"/>
        </w:rPr>
        <w:t>1.1.39不可抗力，指不能预见、不能避免并不能克服的客观情况。</w:t>
      </w:r>
    </w:p>
    <w:p>
      <w:pPr>
        <w:spacing w:line="360" w:lineRule="auto"/>
        <w:ind w:firstLine="420" w:firstLineChars="200"/>
        <w:rPr>
          <w:rFonts w:hint="eastAsia"/>
          <w:szCs w:val="21"/>
        </w:rPr>
      </w:pPr>
      <w:r>
        <w:rPr>
          <w:rFonts w:hint="eastAsia"/>
          <w:szCs w:val="21"/>
        </w:rPr>
        <w:t>1.1.40法律：除非本合同相关条款另有明确说明外，法律包括中华人民共和国法律、行政法规、司法解释、地方性法规、部门规章和地方政府规章以及可适用本合同的相关行政主管部门的规范性文件等。</w:t>
      </w:r>
    </w:p>
    <w:p>
      <w:pPr>
        <w:spacing w:before="156" w:beforeLines="50" w:after="156" w:afterLines="50" w:line="360" w:lineRule="auto"/>
        <w:ind w:firstLine="420" w:firstLineChars="200"/>
        <w:rPr>
          <w:b/>
          <w:szCs w:val="21"/>
        </w:rPr>
      </w:pPr>
      <w:r>
        <w:rPr>
          <w:b/>
          <w:szCs w:val="21"/>
        </w:rPr>
        <w:t>1.2</w:t>
      </w:r>
      <w:r>
        <w:rPr>
          <w:rFonts w:hint="eastAsia"/>
          <w:b/>
          <w:szCs w:val="21"/>
        </w:rPr>
        <w:t>合同文件</w:t>
      </w:r>
    </w:p>
    <w:p>
      <w:pPr>
        <w:spacing w:line="360" w:lineRule="auto"/>
        <w:ind w:firstLine="420" w:firstLineChars="200"/>
        <w:rPr>
          <w:szCs w:val="21"/>
        </w:rPr>
      </w:pPr>
      <w:r>
        <w:rPr>
          <w:szCs w:val="21"/>
        </w:rPr>
        <w:t>1.2.1</w:t>
      </w:r>
      <w:r>
        <w:rPr>
          <w:rFonts w:hint="eastAsia"/>
          <w:szCs w:val="21"/>
        </w:rPr>
        <w:t>合同文件的组成。</w:t>
      </w:r>
      <w:r>
        <w:rPr>
          <w:szCs w:val="21"/>
        </w:rPr>
        <w:t>合同文件相互解释，互为说明。除专用条款另有约定外，组成本合同的文件及优先解释顺序如下：</w:t>
      </w:r>
    </w:p>
    <w:p>
      <w:pPr>
        <w:spacing w:line="360" w:lineRule="auto"/>
        <w:ind w:firstLine="420" w:firstLineChars="200"/>
        <w:rPr>
          <w:szCs w:val="21"/>
        </w:rPr>
      </w:pPr>
      <w:r>
        <w:rPr>
          <w:rFonts w:hint="eastAsia"/>
          <w:szCs w:val="21"/>
        </w:rPr>
        <w:t>（1）</w:t>
      </w:r>
      <w:r>
        <w:rPr>
          <w:szCs w:val="21"/>
        </w:rPr>
        <w:t>本合同协议书</w:t>
      </w:r>
    </w:p>
    <w:p>
      <w:pPr>
        <w:spacing w:line="360" w:lineRule="auto"/>
        <w:ind w:firstLine="420" w:firstLineChars="200"/>
        <w:rPr>
          <w:szCs w:val="21"/>
        </w:rPr>
      </w:pPr>
      <w:r>
        <w:rPr>
          <w:szCs w:val="21"/>
        </w:rPr>
        <w:t>（</w:t>
      </w:r>
      <w:r>
        <w:rPr>
          <w:rFonts w:hint="eastAsia"/>
          <w:szCs w:val="21"/>
        </w:rPr>
        <w:t>2</w:t>
      </w:r>
      <w:r>
        <w:rPr>
          <w:szCs w:val="21"/>
        </w:rPr>
        <w:t>）中标通知书</w:t>
      </w:r>
    </w:p>
    <w:p>
      <w:pPr>
        <w:spacing w:line="360" w:lineRule="auto"/>
        <w:ind w:firstLine="420" w:firstLineChars="200"/>
        <w:rPr>
          <w:szCs w:val="21"/>
        </w:rPr>
      </w:pPr>
      <w:r>
        <w:rPr>
          <w:szCs w:val="21"/>
        </w:rPr>
        <w:t>（</w:t>
      </w:r>
      <w:r>
        <w:rPr>
          <w:rFonts w:hint="eastAsia"/>
          <w:szCs w:val="21"/>
        </w:rPr>
        <w:t>3</w:t>
      </w:r>
      <w:r>
        <w:rPr>
          <w:szCs w:val="21"/>
        </w:rPr>
        <w:t>）本合同专用条款</w:t>
      </w:r>
    </w:p>
    <w:p>
      <w:pPr>
        <w:spacing w:line="360" w:lineRule="auto"/>
        <w:ind w:firstLine="420" w:firstLineChars="200"/>
        <w:rPr>
          <w:szCs w:val="21"/>
        </w:rPr>
      </w:pPr>
      <w:r>
        <w:rPr>
          <w:szCs w:val="21"/>
        </w:rPr>
        <w:t>（</w:t>
      </w:r>
      <w:r>
        <w:rPr>
          <w:rFonts w:hint="eastAsia"/>
          <w:szCs w:val="21"/>
        </w:rPr>
        <w:t>4</w:t>
      </w:r>
      <w:r>
        <w:rPr>
          <w:szCs w:val="21"/>
        </w:rPr>
        <w:t>）本合同通用条款</w:t>
      </w:r>
    </w:p>
    <w:p>
      <w:pPr>
        <w:spacing w:line="360" w:lineRule="auto"/>
        <w:ind w:firstLine="420" w:firstLineChars="200"/>
        <w:rPr>
          <w:szCs w:val="21"/>
        </w:rPr>
      </w:pPr>
      <w:r>
        <w:rPr>
          <w:szCs w:val="21"/>
        </w:rPr>
        <w:t>（</w:t>
      </w:r>
      <w:r>
        <w:rPr>
          <w:rFonts w:hint="eastAsia"/>
          <w:szCs w:val="21"/>
        </w:rPr>
        <w:t>5</w:t>
      </w:r>
      <w:r>
        <w:rPr>
          <w:szCs w:val="21"/>
        </w:rPr>
        <w:t>）投标书及其附件</w:t>
      </w:r>
    </w:p>
    <w:p>
      <w:pPr>
        <w:spacing w:line="360" w:lineRule="auto"/>
        <w:ind w:firstLine="420" w:firstLineChars="200"/>
        <w:rPr>
          <w:szCs w:val="21"/>
        </w:rPr>
      </w:pPr>
      <w:r>
        <w:rPr>
          <w:rFonts w:hint="eastAsia"/>
          <w:szCs w:val="21"/>
        </w:rPr>
        <w:t>（6）</w:t>
      </w:r>
      <w:r>
        <w:rPr>
          <w:szCs w:val="21"/>
        </w:rPr>
        <w:t>招标文件（包括补充、修改、澄清文件、答疑纪要、工程量清单及总说明等）</w:t>
      </w:r>
    </w:p>
    <w:p>
      <w:pPr>
        <w:spacing w:line="360" w:lineRule="auto"/>
        <w:ind w:firstLine="420" w:firstLineChars="200"/>
        <w:rPr>
          <w:szCs w:val="21"/>
        </w:rPr>
      </w:pPr>
      <w:r>
        <w:rPr>
          <w:szCs w:val="21"/>
        </w:rPr>
        <w:t>（</w:t>
      </w:r>
      <w:r>
        <w:rPr>
          <w:rFonts w:hint="eastAsia"/>
          <w:szCs w:val="21"/>
        </w:rPr>
        <w:t>7</w:t>
      </w:r>
      <w:r>
        <w:rPr>
          <w:szCs w:val="21"/>
        </w:rPr>
        <w:t>）标准、规范及有关技术文件</w:t>
      </w:r>
    </w:p>
    <w:p>
      <w:pPr>
        <w:spacing w:line="360" w:lineRule="auto"/>
        <w:ind w:firstLine="420" w:firstLineChars="200"/>
        <w:rPr>
          <w:szCs w:val="21"/>
        </w:rPr>
      </w:pPr>
      <w:r>
        <w:rPr>
          <w:szCs w:val="21"/>
        </w:rPr>
        <w:t>（</w:t>
      </w:r>
      <w:r>
        <w:rPr>
          <w:rFonts w:hint="eastAsia"/>
          <w:szCs w:val="21"/>
        </w:rPr>
        <w:t>8</w:t>
      </w:r>
      <w:r>
        <w:rPr>
          <w:szCs w:val="21"/>
        </w:rPr>
        <w:t>）</w:t>
      </w:r>
      <w:r>
        <w:rPr>
          <w:rFonts w:hint="eastAsia"/>
          <w:szCs w:val="21"/>
        </w:rPr>
        <w:t>设计文件、资料和</w:t>
      </w:r>
      <w:r>
        <w:rPr>
          <w:szCs w:val="21"/>
        </w:rPr>
        <w:t>图纸</w:t>
      </w:r>
    </w:p>
    <w:p>
      <w:pPr>
        <w:spacing w:line="360" w:lineRule="auto"/>
        <w:ind w:firstLine="420" w:firstLineChars="200"/>
        <w:rPr>
          <w:szCs w:val="21"/>
        </w:rPr>
      </w:pPr>
      <w:r>
        <w:rPr>
          <w:rFonts w:hint="eastAsia"/>
          <w:szCs w:val="21"/>
        </w:rPr>
        <w:t>（9）</w:t>
      </w:r>
      <w:r>
        <w:rPr>
          <w:szCs w:val="21"/>
        </w:rPr>
        <w:t>工程报价单或预算书</w:t>
      </w:r>
    </w:p>
    <w:p>
      <w:pPr>
        <w:spacing w:line="360" w:lineRule="auto"/>
        <w:ind w:firstLine="420" w:firstLineChars="200"/>
        <w:rPr>
          <w:szCs w:val="21"/>
        </w:rPr>
      </w:pPr>
      <w:r>
        <w:rPr>
          <w:rFonts w:hint="eastAsia"/>
          <w:szCs w:val="21"/>
        </w:rPr>
        <w:t>（10）构成合同组成部分的其他文件。</w:t>
      </w:r>
    </w:p>
    <w:p>
      <w:pPr>
        <w:spacing w:line="360" w:lineRule="auto"/>
        <w:ind w:firstLine="420" w:firstLineChars="200"/>
        <w:rPr>
          <w:szCs w:val="21"/>
        </w:rPr>
      </w:pPr>
      <w:r>
        <w:rPr>
          <w:rFonts w:hint="eastAsia"/>
          <w:szCs w:val="21"/>
        </w:rPr>
        <w:t>双方在履行合同过程中形成的通知、会议纪要、备忘录、补充文件、指令、传真、电子邮件、变更和洽商等书面形式的文件构成本合同的组成部分。</w:t>
      </w:r>
    </w:p>
    <w:p>
      <w:pPr>
        <w:spacing w:line="360" w:lineRule="auto"/>
        <w:ind w:firstLine="420" w:firstLineChars="200"/>
        <w:rPr>
          <w:szCs w:val="21"/>
        </w:rPr>
      </w:pPr>
      <w:r>
        <w:rPr>
          <w:szCs w:val="21"/>
        </w:rPr>
        <w:t>1.2.2</w:t>
      </w:r>
      <w:r>
        <w:rPr>
          <w:rFonts w:hint="eastAsia"/>
          <w:szCs w:val="21"/>
        </w:rPr>
        <w:t>当合同文件的条款内容含糊不清或不相一致，并且不能依据合同约定的解释顺序阐述清楚时，在不影响工程正常进行的情况下，由当事人协商解决，也可采纳监理人的解释。当事人经协商未能达成一致或不接受监理人的解释的，根据</w:t>
      </w:r>
      <w:r>
        <w:rPr>
          <w:szCs w:val="21"/>
        </w:rPr>
        <w:t>16.3</w:t>
      </w:r>
      <w:r>
        <w:rPr>
          <w:rFonts w:hint="eastAsia"/>
          <w:szCs w:val="21"/>
        </w:rPr>
        <w:t>款关于争议和裁决的约定解决。</w:t>
      </w:r>
    </w:p>
    <w:p>
      <w:pPr>
        <w:spacing w:line="360" w:lineRule="auto"/>
        <w:ind w:firstLine="420" w:firstLineChars="200"/>
        <w:rPr>
          <w:szCs w:val="21"/>
        </w:rPr>
      </w:pPr>
      <w:r>
        <w:rPr>
          <w:rFonts w:hint="eastAsia"/>
          <w:szCs w:val="21"/>
        </w:rPr>
        <w:t>1.2.3合同中的条款标题仅为阅读方便，不作为对合同条款进行解释的依据。</w:t>
      </w:r>
    </w:p>
    <w:p>
      <w:pPr>
        <w:spacing w:line="360" w:lineRule="auto"/>
        <w:ind w:firstLine="420" w:firstLineChars="200"/>
        <w:rPr>
          <w:szCs w:val="21"/>
        </w:rPr>
      </w:pPr>
      <w:r>
        <w:rPr>
          <w:rFonts w:hint="eastAsia"/>
          <w:szCs w:val="21"/>
        </w:rPr>
        <w:t>1.2.4本合同中所使用的“日（天）”、“月”、“年”均指公历的日（天）、月、年。本合同中所使用的任何期间的起点均指相应事件发生之日的下一日。如果任何时间的起算是以某一期间届满为条件，则起算点为该期间届满之日的下一日。任何期间的到期日为该期间届满之日的当日。“工作日”指除中国法定节假日和体息日之外的其他公历日。</w:t>
      </w:r>
    </w:p>
    <w:p>
      <w:pPr>
        <w:spacing w:line="360" w:lineRule="auto"/>
        <w:ind w:firstLine="420" w:firstLineChars="200"/>
        <w:rPr>
          <w:szCs w:val="21"/>
        </w:rPr>
      </w:pPr>
      <w:r>
        <w:rPr>
          <w:rFonts w:hint="eastAsia"/>
          <w:szCs w:val="21"/>
        </w:rPr>
        <w:t>1.2.5条款标题不能作为合同解释的依据。</w:t>
      </w:r>
    </w:p>
    <w:p>
      <w:pPr>
        <w:spacing w:before="156" w:beforeLines="50" w:after="156" w:afterLines="50" w:line="360" w:lineRule="auto"/>
        <w:ind w:firstLine="420" w:firstLineChars="200"/>
        <w:rPr>
          <w:b/>
          <w:szCs w:val="21"/>
        </w:rPr>
      </w:pPr>
      <w:r>
        <w:rPr>
          <w:b/>
          <w:szCs w:val="21"/>
        </w:rPr>
        <w:t>1.3</w:t>
      </w:r>
      <w:r>
        <w:rPr>
          <w:rFonts w:hint="eastAsia"/>
          <w:b/>
          <w:szCs w:val="21"/>
        </w:rPr>
        <w:t>语言文字</w:t>
      </w:r>
    </w:p>
    <w:p>
      <w:pPr>
        <w:spacing w:line="360" w:lineRule="auto"/>
        <w:ind w:firstLine="420" w:firstLineChars="200"/>
        <w:rPr>
          <w:szCs w:val="21"/>
        </w:rPr>
      </w:pPr>
      <w:r>
        <w:rPr>
          <w:rFonts w:hint="eastAsia"/>
          <w:szCs w:val="21"/>
        </w:rPr>
        <w:t>合同文件以中国的汉语简体语言文字编写、解释和说明。</w:t>
      </w:r>
    </w:p>
    <w:p>
      <w:pPr>
        <w:spacing w:before="156" w:beforeLines="50" w:after="156" w:afterLines="50" w:line="360" w:lineRule="auto"/>
        <w:ind w:firstLine="420" w:firstLineChars="200"/>
        <w:rPr>
          <w:b/>
          <w:szCs w:val="21"/>
        </w:rPr>
      </w:pPr>
      <w:r>
        <w:rPr>
          <w:b/>
          <w:szCs w:val="21"/>
        </w:rPr>
        <w:t>1.4</w:t>
      </w:r>
      <w:r>
        <w:rPr>
          <w:rFonts w:hint="eastAsia"/>
          <w:b/>
          <w:szCs w:val="21"/>
        </w:rPr>
        <w:t>适用法律</w:t>
      </w:r>
    </w:p>
    <w:p>
      <w:pPr>
        <w:spacing w:line="360" w:lineRule="auto"/>
        <w:ind w:firstLine="420" w:firstLineChars="200"/>
        <w:rPr>
          <w:szCs w:val="21"/>
        </w:rPr>
      </w:pPr>
      <w:r>
        <w:rPr>
          <w:rFonts w:hint="eastAsia"/>
          <w:szCs w:val="21"/>
        </w:rPr>
        <w:t>本合同适用中华人民共和国的法律。需要明示的法律，由合同各方在专用条款中列明。</w:t>
      </w:r>
    </w:p>
    <w:p>
      <w:pPr>
        <w:spacing w:before="156" w:beforeLines="50" w:after="156" w:afterLines="50" w:line="360" w:lineRule="auto"/>
        <w:ind w:firstLine="420" w:firstLineChars="200"/>
        <w:rPr>
          <w:b/>
          <w:szCs w:val="21"/>
        </w:rPr>
      </w:pPr>
      <w:r>
        <w:rPr>
          <w:b/>
          <w:szCs w:val="21"/>
        </w:rPr>
        <w:t>1.5</w:t>
      </w:r>
      <w:r>
        <w:rPr>
          <w:rFonts w:hint="eastAsia"/>
          <w:b/>
          <w:szCs w:val="21"/>
        </w:rPr>
        <w:t>标准、规范</w:t>
      </w:r>
    </w:p>
    <w:p>
      <w:pPr>
        <w:spacing w:line="360" w:lineRule="auto"/>
        <w:ind w:firstLine="420" w:firstLineChars="200"/>
        <w:rPr>
          <w:szCs w:val="21"/>
        </w:rPr>
      </w:pPr>
      <w:r>
        <w:rPr>
          <w:szCs w:val="21"/>
        </w:rPr>
        <w:t>1.5.1</w:t>
      </w:r>
      <w:r>
        <w:rPr>
          <w:rFonts w:hint="eastAsia"/>
          <w:szCs w:val="21"/>
        </w:rPr>
        <w:t>适用于本工程的国家标准规范、或（和）行业标准规范、或（和）工程所在地方的标准规范、或（和）企业标准规范的名称（或编号），在专用条款中约定。</w:t>
      </w:r>
    </w:p>
    <w:p>
      <w:pPr>
        <w:spacing w:line="360" w:lineRule="auto"/>
        <w:ind w:firstLine="420" w:firstLineChars="200"/>
        <w:rPr>
          <w:szCs w:val="21"/>
        </w:rPr>
      </w:pPr>
      <w:r>
        <w:rPr>
          <w:szCs w:val="21"/>
        </w:rPr>
        <w:t>1.5.</w:t>
      </w:r>
      <w:r>
        <w:rPr>
          <w:rFonts w:hint="eastAsia"/>
          <w:szCs w:val="21"/>
        </w:rPr>
        <w:t>2发包人使用国外标准、规范的，负责提供原文版本和中文译本，并在专用条款中约定提供的标准、规范的名称、份数和时间。</w:t>
      </w:r>
    </w:p>
    <w:p>
      <w:pPr>
        <w:spacing w:line="360" w:lineRule="auto"/>
        <w:ind w:firstLine="420" w:firstLineChars="200"/>
        <w:rPr>
          <w:szCs w:val="21"/>
        </w:rPr>
      </w:pPr>
      <w:r>
        <w:rPr>
          <w:szCs w:val="21"/>
        </w:rPr>
        <w:t>1.5.</w:t>
      </w:r>
      <w:r>
        <w:rPr>
          <w:rFonts w:hint="eastAsia"/>
          <w:szCs w:val="21"/>
        </w:rPr>
        <w:t>3没有相应成文规定的标准、规范时，由发包人在专用条款中约定的时间向承包人列明技术要求，承包人按约定的时间和技术要求提出实施方法，经发包人认可后执行。承包人需要对实施方法进行研发试验的，或须对施工人员进行特殊培训的，另行签订协议作为本合同附件，其费用由发包人承担。</w:t>
      </w:r>
    </w:p>
    <w:p>
      <w:pPr>
        <w:spacing w:line="360" w:lineRule="auto"/>
        <w:ind w:firstLine="420" w:firstLineChars="200"/>
        <w:rPr>
          <w:szCs w:val="21"/>
        </w:rPr>
      </w:pPr>
      <w:r>
        <w:rPr>
          <w:rFonts w:hint="eastAsia"/>
          <w:szCs w:val="21"/>
        </w:rPr>
        <w:t>1.5.4遵守合同约定的标准规范进行设计、采购、加工和施工，任何一方不得改变国家强制性标准规范的规定。</w:t>
      </w:r>
    </w:p>
    <w:p>
      <w:pPr>
        <w:spacing w:line="360" w:lineRule="auto"/>
        <w:ind w:firstLine="420" w:firstLineChars="200"/>
        <w:rPr>
          <w:szCs w:val="21"/>
        </w:rPr>
      </w:pPr>
      <w:r>
        <w:rPr>
          <w:rFonts w:hint="eastAsia"/>
          <w:szCs w:val="21"/>
        </w:rPr>
        <w:t>1.5.5发包人有权按照合同和适用法律规定的标准规范，对承包人的设计、实施提出安全、质量、环境保护和职业健康方面的建议、修改和变更。</w:t>
      </w:r>
    </w:p>
    <w:p>
      <w:pPr>
        <w:spacing w:before="156" w:beforeLines="50" w:after="156" w:afterLines="50" w:line="360" w:lineRule="auto"/>
        <w:ind w:firstLine="420" w:firstLineChars="200"/>
        <w:rPr>
          <w:b/>
          <w:szCs w:val="21"/>
        </w:rPr>
      </w:pPr>
      <w:r>
        <w:rPr>
          <w:rFonts w:hint="eastAsia"/>
          <w:b/>
          <w:szCs w:val="21"/>
        </w:rPr>
        <w:t>1.6  遵守法律</w:t>
      </w:r>
    </w:p>
    <w:p>
      <w:pPr>
        <w:spacing w:line="360" w:lineRule="auto"/>
        <w:ind w:firstLine="420" w:firstLineChars="200"/>
        <w:rPr>
          <w:szCs w:val="21"/>
        </w:rPr>
      </w:pPr>
      <w:r>
        <w:rPr>
          <w:rFonts w:hint="eastAsia"/>
          <w:szCs w:val="21"/>
        </w:rPr>
        <w:t>1.6.1在履行合同期间，国家法律、行政法规规定由发包人办理并取得立项、城市规划、区域规划批文、土地使用许可、开工批准或施工许可证、工程质量监督手续，及其他许可、执照、证件、批件等，发包人负责协调与有关部门和单位的关系。因此造成承包人的开工延误、暂停、费用增加、进度延误时，发包人按承包人实际增加的合理费用给予赔偿，竣工日期相应顺延。</w:t>
      </w:r>
    </w:p>
    <w:p>
      <w:pPr>
        <w:spacing w:line="360" w:lineRule="auto"/>
        <w:ind w:firstLine="420" w:firstLineChars="200"/>
        <w:rPr>
          <w:szCs w:val="21"/>
        </w:rPr>
      </w:pPr>
      <w:r>
        <w:rPr>
          <w:rFonts w:hint="eastAsia"/>
          <w:szCs w:val="21"/>
        </w:rPr>
        <w:t>1.6.2承包人在履行合同期间遵守适用法律、行政法规、或行业规定进行设计、采购、加工、施工、竣工验收和竣工后试验，并承担质量保修责任。承包人须办理履行合同所需的由承包人办理的各种许可、执照、批文和手续等，保证发包人免受因此造成的损失。并因此给发包人造成损失的，承包人按发包人的实际增加的合理费用给予赔偿。竣工日期延误，由承包人负责。</w:t>
      </w:r>
    </w:p>
    <w:p>
      <w:pPr>
        <w:spacing w:line="360" w:lineRule="auto"/>
        <w:ind w:firstLine="420" w:firstLineChars="200"/>
        <w:rPr>
          <w:szCs w:val="21"/>
        </w:rPr>
      </w:pPr>
      <w:r>
        <w:rPr>
          <w:rFonts w:hint="eastAsia"/>
          <w:szCs w:val="21"/>
        </w:rPr>
        <w:t>1.6.3承包人按时向所雇佣人员发放工资，为其办理人身保险，并缴纳相关税费。</w:t>
      </w:r>
    </w:p>
    <w:p>
      <w:pPr>
        <w:spacing w:before="156" w:beforeLines="50" w:after="156" w:afterLines="50" w:line="360" w:lineRule="auto"/>
        <w:ind w:firstLine="420" w:firstLineChars="200"/>
        <w:rPr>
          <w:b/>
          <w:szCs w:val="21"/>
        </w:rPr>
      </w:pPr>
      <w:r>
        <w:rPr>
          <w:rFonts w:hint="eastAsia"/>
          <w:b/>
          <w:szCs w:val="21"/>
        </w:rPr>
        <w:t>1.7  保密事项</w:t>
      </w:r>
    </w:p>
    <w:p>
      <w:pPr>
        <w:spacing w:before="156" w:beforeLines="50" w:after="156" w:afterLines="50" w:line="360" w:lineRule="auto"/>
        <w:ind w:firstLine="420" w:firstLineChars="200"/>
        <w:rPr>
          <w:szCs w:val="21"/>
        </w:rPr>
      </w:pPr>
      <w:r>
        <w:rPr>
          <w:rFonts w:hint="eastAsia"/>
          <w:szCs w:val="21"/>
        </w:rPr>
        <w:t>当事人一方对</w:t>
      </w:r>
      <w:r>
        <w:rPr>
          <w:szCs w:val="21"/>
        </w:rPr>
        <w:t>在订立</w:t>
      </w:r>
      <w:r>
        <w:rPr>
          <w:rFonts w:hint="eastAsia"/>
          <w:szCs w:val="21"/>
        </w:rPr>
        <w:t>和履行</w:t>
      </w:r>
      <w:r>
        <w:rPr>
          <w:szCs w:val="21"/>
        </w:rPr>
        <w:t>合同过程中知悉</w:t>
      </w:r>
      <w:r>
        <w:rPr>
          <w:rFonts w:hint="eastAsia"/>
          <w:szCs w:val="21"/>
        </w:rPr>
        <w:t>的另一方</w:t>
      </w:r>
      <w:r>
        <w:rPr>
          <w:szCs w:val="21"/>
        </w:rPr>
        <w:t>的商业秘密</w:t>
      </w:r>
      <w:r>
        <w:rPr>
          <w:rFonts w:hint="eastAsia"/>
          <w:szCs w:val="21"/>
        </w:rPr>
        <w:t>、技术秘密负有保密责任，未经同意，不得对外</w:t>
      </w:r>
      <w:r>
        <w:rPr>
          <w:szCs w:val="21"/>
        </w:rPr>
        <w:t>泄露或</w:t>
      </w:r>
      <w:r>
        <w:rPr>
          <w:rFonts w:hint="eastAsia"/>
          <w:szCs w:val="21"/>
        </w:rPr>
        <w:t>用于本合同以外的目的</w:t>
      </w:r>
      <w:r>
        <w:rPr>
          <w:szCs w:val="21"/>
        </w:rPr>
        <w:t>。</w:t>
      </w:r>
      <w:r>
        <w:rPr>
          <w:rFonts w:hint="eastAsia"/>
          <w:szCs w:val="21"/>
        </w:rPr>
        <w:t>一方</w:t>
      </w:r>
      <w:r>
        <w:rPr>
          <w:szCs w:val="21"/>
        </w:rPr>
        <w:t>泄露或者</w:t>
      </w:r>
      <w:r>
        <w:rPr>
          <w:rFonts w:hint="eastAsia"/>
          <w:szCs w:val="21"/>
        </w:rPr>
        <w:t>在本合同以外</w:t>
      </w:r>
      <w:r>
        <w:rPr>
          <w:szCs w:val="21"/>
        </w:rPr>
        <w:t>使用该商业秘密</w:t>
      </w:r>
      <w:r>
        <w:rPr>
          <w:rFonts w:hint="eastAsia"/>
          <w:szCs w:val="21"/>
        </w:rPr>
        <w:t>、技术秘密</w:t>
      </w:r>
      <w:r>
        <w:rPr>
          <w:szCs w:val="21"/>
        </w:rPr>
        <w:t>给</w:t>
      </w:r>
      <w:r>
        <w:rPr>
          <w:rFonts w:hint="eastAsia"/>
          <w:szCs w:val="21"/>
        </w:rPr>
        <w:t>另一</w:t>
      </w:r>
      <w:r>
        <w:rPr>
          <w:szCs w:val="21"/>
        </w:rPr>
        <w:t>方造成损失的，承担损害赔偿责任。</w:t>
      </w:r>
      <w:r>
        <w:rPr>
          <w:rFonts w:hint="eastAsia"/>
          <w:szCs w:val="21"/>
        </w:rPr>
        <w:t>当事人为履行合同所需要的信息，另一方须予以提供。当事人认为必要时，可签订保密协议，作为合同附件。</w:t>
      </w:r>
    </w:p>
    <w:p>
      <w:pPr>
        <w:spacing w:before="156" w:beforeLines="50" w:after="156" w:afterLines="50" w:line="360" w:lineRule="auto"/>
        <w:ind w:firstLine="411" w:firstLineChars="196"/>
        <w:rPr>
          <w:b/>
          <w:szCs w:val="21"/>
        </w:rPr>
      </w:pPr>
      <w:r>
        <w:rPr>
          <w:rFonts w:hint="eastAsia"/>
          <w:b/>
          <w:szCs w:val="21"/>
        </w:rPr>
        <w:t>第</w:t>
      </w:r>
      <w:r>
        <w:rPr>
          <w:b/>
          <w:szCs w:val="21"/>
        </w:rPr>
        <w:t>2</w:t>
      </w:r>
      <w:r>
        <w:rPr>
          <w:rFonts w:hint="eastAsia"/>
          <w:b/>
          <w:szCs w:val="21"/>
        </w:rPr>
        <w:t>条发包人</w:t>
      </w:r>
    </w:p>
    <w:p>
      <w:pPr>
        <w:spacing w:before="156" w:beforeLines="50" w:after="156" w:afterLines="50" w:line="360" w:lineRule="auto"/>
        <w:ind w:firstLine="420" w:firstLineChars="200"/>
        <w:rPr>
          <w:b/>
          <w:szCs w:val="21"/>
        </w:rPr>
      </w:pPr>
      <w:r>
        <w:rPr>
          <w:b/>
          <w:szCs w:val="21"/>
        </w:rPr>
        <w:t>2.1</w:t>
      </w:r>
      <w:r>
        <w:rPr>
          <w:rFonts w:hint="eastAsia"/>
          <w:b/>
          <w:szCs w:val="21"/>
        </w:rPr>
        <w:t>发包人的义务和权利</w:t>
      </w:r>
    </w:p>
    <w:p>
      <w:pPr>
        <w:spacing w:line="360" w:lineRule="auto"/>
        <w:ind w:firstLine="420" w:firstLineChars="200"/>
        <w:rPr>
          <w:szCs w:val="21"/>
        </w:rPr>
      </w:pPr>
      <w:r>
        <w:rPr>
          <w:rFonts w:hint="eastAsia"/>
          <w:szCs w:val="21"/>
        </w:rPr>
        <w:t>2.1.1负责办理项目的审批、核准或备案手续，取得项目用地的使用权，完成拆迁补偿工作，使项目具备法律规定的开工条件。</w:t>
      </w:r>
    </w:p>
    <w:p>
      <w:pPr>
        <w:spacing w:line="360" w:lineRule="auto"/>
        <w:ind w:firstLine="420" w:firstLineChars="200"/>
        <w:rPr>
          <w:szCs w:val="21"/>
        </w:rPr>
      </w:pPr>
      <w:r>
        <w:rPr>
          <w:rFonts w:hint="eastAsia"/>
          <w:szCs w:val="21"/>
        </w:rPr>
        <w:t>2.1.2履行合同中约定的合同价格调整、付款、竣工结算义务。</w:t>
      </w:r>
    </w:p>
    <w:p>
      <w:pPr>
        <w:spacing w:line="360" w:lineRule="auto"/>
        <w:ind w:firstLine="420" w:firstLineChars="200"/>
        <w:rPr>
          <w:szCs w:val="21"/>
        </w:rPr>
      </w:pPr>
      <w:r>
        <w:rPr>
          <w:rFonts w:hint="eastAsia"/>
          <w:szCs w:val="21"/>
        </w:rPr>
        <w:t>2.1.3有权根据合同约定，及国家法律对安全、质量、标准、环境保护和职业健康等强制性规定，对承包人的设计、采购、施工等实施工作提出建议、修改和变更。</w:t>
      </w:r>
    </w:p>
    <w:p>
      <w:pPr>
        <w:spacing w:line="360" w:lineRule="auto"/>
        <w:ind w:firstLine="420" w:firstLineChars="200"/>
        <w:rPr>
          <w:szCs w:val="21"/>
        </w:rPr>
      </w:pPr>
      <w:r>
        <w:rPr>
          <w:rFonts w:hint="eastAsia"/>
          <w:szCs w:val="21"/>
        </w:rPr>
        <w:t>2.1.4有权根据合同约定，对因承包人原因给发包人带来的任何损失和损害，提出赔偿。</w:t>
      </w:r>
    </w:p>
    <w:p>
      <w:pPr>
        <w:spacing w:line="360" w:lineRule="auto"/>
        <w:ind w:firstLine="420" w:firstLineChars="200"/>
        <w:rPr>
          <w:szCs w:val="21"/>
        </w:rPr>
      </w:pPr>
      <w:r>
        <w:rPr>
          <w:rFonts w:hint="eastAsia"/>
          <w:szCs w:val="21"/>
        </w:rPr>
        <w:t>2.1.5发包人认为必要时，有权发出书面形式的暂停通知。该类暂停给承包人造成的费用增加时，由发包人承担。或造成工程关键路径延误的，竣工日期相应延长。</w:t>
      </w:r>
    </w:p>
    <w:p>
      <w:pPr>
        <w:spacing w:line="360" w:lineRule="auto"/>
        <w:ind w:firstLine="420" w:firstLineChars="200"/>
        <w:rPr>
          <w:szCs w:val="21"/>
        </w:rPr>
      </w:pPr>
      <w:r>
        <w:rPr>
          <w:rFonts w:hint="eastAsia"/>
          <w:szCs w:val="21"/>
        </w:rPr>
        <w:t>2.1.6履行合同中约定的其他权利和义务。</w:t>
      </w:r>
    </w:p>
    <w:p>
      <w:pPr>
        <w:spacing w:before="156" w:beforeLines="50" w:after="156" w:afterLines="50" w:line="360" w:lineRule="auto"/>
        <w:ind w:firstLine="420" w:firstLineChars="200"/>
        <w:rPr>
          <w:b/>
          <w:szCs w:val="21"/>
        </w:rPr>
      </w:pPr>
      <w:r>
        <w:rPr>
          <w:b/>
          <w:szCs w:val="21"/>
        </w:rPr>
        <w:t>2.2</w:t>
      </w:r>
      <w:r>
        <w:rPr>
          <w:rFonts w:hint="eastAsia"/>
          <w:b/>
          <w:szCs w:val="21"/>
        </w:rPr>
        <w:t>发包人代表</w:t>
      </w:r>
    </w:p>
    <w:p>
      <w:pPr>
        <w:spacing w:line="360" w:lineRule="auto"/>
        <w:ind w:firstLine="420" w:firstLineChars="200"/>
        <w:rPr>
          <w:szCs w:val="21"/>
        </w:rPr>
      </w:pPr>
      <w:r>
        <w:rPr>
          <w:rFonts w:hint="eastAsia"/>
          <w:szCs w:val="21"/>
        </w:rPr>
        <w:t>发包人委派的代表，行使发包人委托的权利，履行发包人义务。发包人代表依据本合同并在其授权范围内履行其职责。发包人代表根据合同约定的向承包人发出的通知，以书面形式由其本人签字后送交项目经理。</w:t>
      </w:r>
    </w:p>
    <w:p>
      <w:pPr>
        <w:spacing w:line="360" w:lineRule="auto"/>
        <w:ind w:firstLine="420" w:firstLineChars="200"/>
        <w:rPr>
          <w:szCs w:val="21"/>
        </w:rPr>
      </w:pPr>
      <w:r>
        <w:rPr>
          <w:rFonts w:hint="eastAsia"/>
          <w:szCs w:val="21"/>
        </w:rPr>
        <w:t>发包人代表的姓名、职务和职责在专用条款约定。发包人决定替换其代表时，将新任代表的姓名、职务、职权和任命时间在其到任的前</w:t>
      </w:r>
      <w:r>
        <w:rPr>
          <w:szCs w:val="21"/>
        </w:rPr>
        <w:t>15</w:t>
      </w:r>
      <w:r>
        <w:rPr>
          <w:rFonts w:hint="eastAsia"/>
          <w:szCs w:val="21"/>
        </w:rPr>
        <w:t>天，以书面形式通知承包人。</w:t>
      </w:r>
    </w:p>
    <w:p>
      <w:pPr>
        <w:spacing w:before="156" w:beforeLines="50" w:after="156" w:afterLines="50" w:line="360" w:lineRule="auto"/>
        <w:ind w:firstLine="420" w:firstLineChars="200"/>
        <w:rPr>
          <w:b/>
          <w:szCs w:val="21"/>
        </w:rPr>
      </w:pPr>
      <w:r>
        <w:rPr>
          <w:b/>
          <w:szCs w:val="21"/>
        </w:rPr>
        <w:t>2.3</w:t>
      </w:r>
      <w:r>
        <w:rPr>
          <w:rFonts w:hint="eastAsia"/>
          <w:b/>
          <w:szCs w:val="21"/>
        </w:rPr>
        <w:t>监理人</w:t>
      </w:r>
    </w:p>
    <w:p>
      <w:pPr>
        <w:spacing w:line="360" w:lineRule="auto"/>
        <w:ind w:firstLine="420" w:firstLineChars="200"/>
        <w:rPr>
          <w:szCs w:val="21"/>
        </w:rPr>
      </w:pPr>
      <w:r>
        <w:rPr>
          <w:szCs w:val="21"/>
        </w:rPr>
        <w:t>2.3.1</w:t>
      </w:r>
      <w:r>
        <w:rPr>
          <w:rFonts w:hint="eastAsia"/>
          <w:szCs w:val="21"/>
        </w:rPr>
        <w:t>发包人对工程实行监理的，监理人的名称、工程总监、监理范围、内容、职权和权限在专用条款中写明。</w:t>
      </w:r>
    </w:p>
    <w:p>
      <w:pPr>
        <w:spacing w:line="360" w:lineRule="auto"/>
        <w:ind w:firstLine="420" w:firstLineChars="200"/>
        <w:rPr>
          <w:szCs w:val="21"/>
        </w:rPr>
      </w:pPr>
      <w:r>
        <w:rPr>
          <w:rFonts w:hint="eastAsia"/>
          <w:szCs w:val="21"/>
        </w:rPr>
        <w:t>监理人按发包人委托监理的范围、内容、职权和权限，代表发包人对承包人实施监督。监理人向承包人发出的通知，以书面形式由工程总监签字后送交项目经理。</w:t>
      </w:r>
    </w:p>
    <w:p>
      <w:pPr>
        <w:spacing w:line="360" w:lineRule="auto"/>
        <w:ind w:firstLine="420" w:firstLineChars="200"/>
        <w:rPr>
          <w:szCs w:val="21"/>
        </w:rPr>
      </w:pPr>
      <w:r>
        <w:rPr>
          <w:rFonts w:hint="eastAsia"/>
          <w:szCs w:val="21"/>
        </w:rPr>
        <w:t>2.3.2工程总监的职权与发包人代表的职权相重叠或不明确时，由发包人予以协调并明确，并以书面形式通知承包人。</w:t>
      </w:r>
    </w:p>
    <w:p>
      <w:pPr>
        <w:spacing w:line="360" w:lineRule="auto"/>
        <w:ind w:firstLine="525" w:firstLineChars="250"/>
        <w:rPr>
          <w:szCs w:val="21"/>
        </w:rPr>
      </w:pPr>
      <w:r>
        <w:rPr>
          <w:rFonts w:hint="eastAsia"/>
          <w:szCs w:val="21"/>
        </w:rPr>
        <w:t>2.3.3除专用条款有明确约定或经发包人同意外，工程总监无权改变本合同当事人的任何权利和义务。</w:t>
      </w:r>
    </w:p>
    <w:p>
      <w:pPr>
        <w:spacing w:line="360" w:lineRule="auto"/>
        <w:ind w:firstLine="420" w:firstLineChars="200"/>
        <w:rPr>
          <w:szCs w:val="21"/>
        </w:rPr>
      </w:pPr>
      <w:r>
        <w:rPr>
          <w:rFonts w:hint="eastAsia"/>
          <w:szCs w:val="21"/>
        </w:rPr>
        <w:t>2.3.4发包人更换工程总监时，提前</w:t>
      </w:r>
      <w:r>
        <w:rPr>
          <w:szCs w:val="21"/>
        </w:rPr>
        <w:t>15</w:t>
      </w:r>
      <w:r>
        <w:rPr>
          <w:rFonts w:hint="eastAsia"/>
          <w:szCs w:val="21"/>
        </w:rPr>
        <w:t>天以书面形式通知承包人，并将替换者的姓名、职务、职权、权限和任命时间通知承包人。</w:t>
      </w:r>
    </w:p>
    <w:p>
      <w:pPr>
        <w:spacing w:before="156" w:beforeLines="50" w:after="156" w:afterLines="50" w:line="360" w:lineRule="auto"/>
        <w:ind w:firstLine="315" w:firstLineChars="150"/>
        <w:rPr>
          <w:b/>
          <w:szCs w:val="21"/>
        </w:rPr>
      </w:pPr>
      <w:r>
        <w:rPr>
          <w:b/>
          <w:szCs w:val="21"/>
        </w:rPr>
        <w:t>2.4</w:t>
      </w:r>
      <w:r>
        <w:rPr>
          <w:rFonts w:hint="eastAsia"/>
          <w:b/>
          <w:szCs w:val="21"/>
        </w:rPr>
        <w:t>安全保证</w:t>
      </w:r>
    </w:p>
    <w:p>
      <w:pPr>
        <w:spacing w:line="360" w:lineRule="auto"/>
        <w:ind w:firstLine="420" w:firstLineChars="200"/>
        <w:rPr>
          <w:szCs w:val="21"/>
        </w:rPr>
      </w:pPr>
      <w:r>
        <w:rPr>
          <w:szCs w:val="21"/>
        </w:rPr>
        <w:t>2.4.1</w:t>
      </w:r>
      <w:r>
        <w:rPr>
          <w:rFonts w:hint="eastAsia"/>
          <w:szCs w:val="21"/>
        </w:rPr>
        <w:t>发包人负责协调处理施工现场周围的地下、地上已有设施和邻近建筑物、构筑物、古树名木、文物及坟墓等的安全保护工作，维护现场周围的正常秩序，并承担相关费用。承包人接受发包人对前述某事项的委托时，另行签订委托协议作为合同附件。</w:t>
      </w:r>
    </w:p>
    <w:p>
      <w:pPr>
        <w:spacing w:line="360" w:lineRule="auto"/>
        <w:ind w:firstLine="420" w:firstLineChars="200"/>
        <w:rPr>
          <w:szCs w:val="21"/>
        </w:rPr>
      </w:pPr>
      <w:r>
        <w:rPr>
          <w:szCs w:val="21"/>
        </w:rPr>
        <w:t>2.4.2</w:t>
      </w:r>
      <w:r>
        <w:rPr>
          <w:rFonts w:hint="eastAsia"/>
          <w:szCs w:val="21"/>
        </w:rPr>
        <w:t>发包人负责工程现场临近正在使用、生产或运行的建筑物、构筑物、生产装置、设施、设备等，要设置隔离设施，竖立禁止入内、禁止动火的明显标志，并以书面形式通知承包人须遵守的安全规定和位置范围。因发包人的原因因此给承包人造成的损失和伤害，由发包人负责。</w:t>
      </w:r>
    </w:p>
    <w:p>
      <w:pPr>
        <w:spacing w:line="360" w:lineRule="auto"/>
        <w:ind w:firstLine="420" w:firstLineChars="200"/>
        <w:rPr>
          <w:szCs w:val="21"/>
        </w:rPr>
      </w:pPr>
      <w:r>
        <w:rPr>
          <w:szCs w:val="21"/>
        </w:rPr>
        <w:t>2.4.3</w:t>
      </w:r>
      <w:r>
        <w:rPr>
          <w:rFonts w:hint="eastAsia"/>
          <w:szCs w:val="21"/>
        </w:rPr>
        <w:t>本合同未作约定，而在工程主体结构或工程主要装置完成后，发包人要求进行涉及建筑主体及承重结构变动、或涉及重大工艺变化的装修工程时，双方另行签订委托合同，作为本合同附件，由承包人提出设计方案，方能施工。</w:t>
      </w:r>
    </w:p>
    <w:p>
      <w:pPr>
        <w:spacing w:line="360" w:lineRule="auto"/>
        <w:ind w:firstLine="420" w:firstLineChars="200"/>
        <w:rPr>
          <w:szCs w:val="21"/>
        </w:rPr>
      </w:pPr>
      <w:r>
        <w:rPr>
          <w:rFonts w:hint="eastAsia"/>
          <w:szCs w:val="21"/>
        </w:rPr>
        <w:t>发包人自行决定此类装修或发包人与第三方签订委托合同，由发包人或发包人另行委托的第三方提出设计方案及施工的，由此造成的损失、损害由发包人负责。</w:t>
      </w:r>
    </w:p>
    <w:p>
      <w:pPr>
        <w:spacing w:line="360" w:lineRule="auto"/>
        <w:ind w:firstLine="420" w:firstLineChars="200"/>
        <w:rPr>
          <w:szCs w:val="21"/>
        </w:rPr>
      </w:pPr>
      <w:r>
        <w:rPr>
          <w:szCs w:val="21"/>
        </w:rPr>
        <w:t>2.4.4</w:t>
      </w:r>
      <w:r>
        <w:rPr>
          <w:rFonts w:hint="eastAsia"/>
          <w:szCs w:val="21"/>
        </w:rPr>
        <w:t>发包人对其代表、雇员、监理人及其委托的其他人员进行安全教育，并遵守承包人工程现场的安全规定。因上述人员未能遵守承包人工程现场的安全规定发生的人身伤害、安全事故，由发包人负责。</w:t>
      </w:r>
    </w:p>
    <w:p>
      <w:pPr>
        <w:spacing w:line="360" w:lineRule="auto"/>
        <w:ind w:firstLine="420" w:firstLineChars="200"/>
        <w:rPr>
          <w:szCs w:val="21"/>
        </w:rPr>
      </w:pPr>
      <w:r>
        <w:rPr>
          <w:rFonts w:hint="eastAsia"/>
          <w:szCs w:val="21"/>
        </w:rPr>
        <w:t>2.4.5发包人、发包人代表、雇员、监理人及其委托的其他人员，遵守7.8款健康、安全和环境的相关约定。</w:t>
      </w:r>
    </w:p>
    <w:p>
      <w:pPr>
        <w:spacing w:before="156" w:beforeLines="50" w:after="156" w:afterLines="50" w:line="360" w:lineRule="auto"/>
        <w:ind w:firstLine="420" w:firstLineChars="200"/>
        <w:rPr>
          <w:b/>
          <w:szCs w:val="21"/>
        </w:rPr>
      </w:pPr>
      <w:r>
        <w:rPr>
          <w:b/>
          <w:szCs w:val="21"/>
        </w:rPr>
        <w:t>2.5</w:t>
      </w:r>
      <w:r>
        <w:rPr>
          <w:rFonts w:hint="eastAsia"/>
          <w:b/>
          <w:szCs w:val="21"/>
        </w:rPr>
        <w:t>保安责任</w:t>
      </w:r>
    </w:p>
    <w:p>
      <w:pPr>
        <w:spacing w:line="360" w:lineRule="auto"/>
        <w:ind w:firstLine="420" w:firstLineChars="200"/>
        <w:rPr>
          <w:szCs w:val="21"/>
        </w:rPr>
      </w:pPr>
      <w:r>
        <w:rPr>
          <w:szCs w:val="21"/>
        </w:rPr>
        <w:t>2.5.1发包人负责与</w:t>
      </w:r>
      <w:r>
        <w:rPr>
          <w:rFonts w:hint="eastAsia"/>
          <w:szCs w:val="21"/>
        </w:rPr>
        <w:t>工程</w:t>
      </w:r>
      <w:r>
        <w:rPr>
          <w:szCs w:val="21"/>
        </w:rPr>
        <w:t>当地有关治安部门的联系、沟通和协调，并承担相关费用。</w:t>
      </w:r>
      <w:r>
        <w:rPr>
          <w:rFonts w:hint="eastAsia"/>
          <w:szCs w:val="21"/>
        </w:rPr>
        <w:t>发包人</w:t>
      </w:r>
      <w:r>
        <w:rPr>
          <w:szCs w:val="21"/>
        </w:rPr>
        <w:t>有权对承包人的保安工作实行归口领导。</w:t>
      </w:r>
    </w:p>
    <w:p>
      <w:pPr>
        <w:spacing w:line="360" w:lineRule="auto"/>
        <w:ind w:firstLine="420" w:firstLineChars="200"/>
        <w:rPr>
          <w:szCs w:val="21"/>
        </w:rPr>
      </w:pPr>
      <w:r>
        <w:rPr>
          <w:rFonts w:hint="eastAsia"/>
          <w:szCs w:val="21"/>
        </w:rPr>
        <w:t>2.5.2</w:t>
      </w:r>
      <w:r>
        <w:rPr>
          <w:szCs w:val="21"/>
        </w:rPr>
        <w:t>发包人</w:t>
      </w:r>
      <w:r>
        <w:rPr>
          <w:rFonts w:hint="eastAsia"/>
          <w:szCs w:val="21"/>
        </w:rPr>
        <w:t>与承包人商定工程</w:t>
      </w:r>
      <w:r>
        <w:rPr>
          <w:szCs w:val="21"/>
        </w:rPr>
        <w:t>实施阶段</w:t>
      </w:r>
      <w:r>
        <w:rPr>
          <w:rFonts w:hint="eastAsia"/>
          <w:szCs w:val="21"/>
        </w:rPr>
        <w:t>及区域</w:t>
      </w:r>
      <w:r>
        <w:rPr>
          <w:szCs w:val="21"/>
        </w:rPr>
        <w:t>的保安责任划分</w:t>
      </w:r>
      <w:r>
        <w:rPr>
          <w:rFonts w:hint="eastAsia"/>
          <w:szCs w:val="21"/>
        </w:rPr>
        <w:t>，并</w:t>
      </w:r>
      <w:r>
        <w:rPr>
          <w:szCs w:val="21"/>
        </w:rPr>
        <w:t>编制</w:t>
      </w:r>
      <w:r>
        <w:rPr>
          <w:rFonts w:hint="eastAsia"/>
          <w:szCs w:val="21"/>
        </w:rPr>
        <w:t>各自的</w:t>
      </w:r>
      <w:r>
        <w:rPr>
          <w:szCs w:val="21"/>
        </w:rPr>
        <w:t>相关保安制度、责任制度和报告制度</w:t>
      </w:r>
      <w:r>
        <w:rPr>
          <w:rFonts w:hint="eastAsia"/>
          <w:szCs w:val="21"/>
        </w:rPr>
        <w:t>，作为合同附件。</w:t>
      </w:r>
    </w:p>
    <w:p>
      <w:pPr>
        <w:spacing w:line="360" w:lineRule="auto"/>
        <w:ind w:firstLine="420" w:firstLineChars="200"/>
        <w:rPr>
          <w:szCs w:val="21"/>
        </w:rPr>
      </w:pPr>
      <w:r>
        <w:rPr>
          <w:rFonts w:hint="eastAsia"/>
          <w:szCs w:val="21"/>
        </w:rPr>
        <w:t>2.5.3</w:t>
      </w:r>
      <w:r>
        <w:rPr>
          <w:szCs w:val="21"/>
        </w:rPr>
        <w:t>发包人</w:t>
      </w:r>
      <w:r>
        <w:rPr>
          <w:rFonts w:hint="eastAsia"/>
          <w:szCs w:val="21"/>
        </w:rPr>
        <w:t>按合同约定</w:t>
      </w:r>
      <w:r>
        <w:rPr>
          <w:szCs w:val="21"/>
        </w:rPr>
        <w:t>占用的区域、接收的单项工程和工程，由发包人承担相关保安</w:t>
      </w:r>
      <w:r>
        <w:rPr>
          <w:rFonts w:hint="eastAsia"/>
          <w:szCs w:val="21"/>
        </w:rPr>
        <w:t>工作，及因此产生的费用、损害</w:t>
      </w:r>
      <w:r>
        <w:rPr>
          <w:szCs w:val="21"/>
        </w:rPr>
        <w:t>和责任。</w:t>
      </w:r>
    </w:p>
    <w:p>
      <w:pPr>
        <w:spacing w:before="156" w:beforeLines="50" w:after="156" w:afterLines="50" w:line="360" w:lineRule="auto"/>
        <w:ind w:firstLine="420" w:firstLineChars="200"/>
        <w:rPr>
          <w:b/>
          <w:szCs w:val="21"/>
        </w:rPr>
      </w:pPr>
      <w:r>
        <w:rPr>
          <w:rFonts w:hint="eastAsia"/>
          <w:b/>
          <w:szCs w:val="21"/>
        </w:rPr>
        <w:t>第</w:t>
      </w:r>
      <w:r>
        <w:rPr>
          <w:b/>
          <w:szCs w:val="21"/>
        </w:rPr>
        <w:t>3</w:t>
      </w:r>
      <w:r>
        <w:rPr>
          <w:rFonts w:hint="eastAsia"/>
          <w:b/>
          <w:szCs w:val="21"/>
        </w:rPr>
        <w:t>条承包人</w:t>
      </w:r>
    </w:p>
    <w:p>
      <w:pPr>
        <w:spacing w:before="156" w:beforeLines="50" w:after="156" w:afterLines="50" w:line="360" w:lineRule="auto"/>
        <w:ind w:firstLine="420" w:firstLineChars="200"/>
        <w:rPr>
          <w:b/>
          <w:szCs w:val="21"/>
        </w:rPr>
      </w:pPr>
      <w:r>
        <w:rPr>
          <w:b/>
          <w:szCs w:val="21"/>
        </w:rPr>
        <w:t>3.1</w:t>
      </w:r>
      <w:r>
        <w:rPr>
          <w:rFonts w:hint="eastAsia"/>
          <w:b/>
          <w:szCs w:val="21"/>
        </w:rPr>
        <w:t>承包人的义务和权利</w:t>
      </w:r>
    </w:p>
    <w:p>
      <w:pPr>
        <w:spacing w:line="360" w:lineRule="auto"/>
        <w:ind w:firstLine="420" w:firstLineChars="200"/>
        <w:rPr>
          <w:szCs w:val="21"/>
        </w:rPr>
      </w:pPr>
      <w:r>
        <w:rPr>
          <w:szCs w:val="21"/>
        </w:rPr>
        <w:t>3.1.1</w:t>
      </w:r>
      <w:r>
        <w:rPr>
          <w:rFonts w:hint="eastAsia"/>
          <w:szCs w:val="21"/>
        </w:rPr>
        <w:t>按照合同约定的标准、规范、工程的功能、规模、考核目标和竣工日期，来完成设计、采购、施工、竣工验收和竣工后试验是承包人的义务。</w:t>
      </w:r>
    </w:p>
    <w:p>
      <w:pPr>
        <w:spacing w:line="360" w:lineRule="auto"/>
        <w:ind w:firstLine="420" w:firstLineChars="200"/>
        <w:rPr>
          <w:szCs w:val="21"/>
        </w:rPr>
      </w:pPr>
      <w:r>
        <w:rPr>
          <w:szCs w:val="21"/>
        </w:rPr>
        <w:t>3.1.</w:t>
      </w:r>
      <w:r>
        <w:rPr>
          <w:rFonts w:hint="eastAsia"/>
          <w:szCs w:val="21"/>
        </w:rPr>
        <w:t>2承包人有义务按合同约定，自费修复因承包人原因引起的设计、文件、设备、材料、部件、施工、竣工验收和竣工后试验存在的缺陷。</w:t>
      </w:r>
    </w:p>
    <w:p>
      <w:pPr>
        <w:spacing w:line="360" w:lineRule="auto"/>
        <w:ind w:firstLine="420" w:firstLineChars="200"/>
        <w:rPr>
          <w:szCs w:val="21"/>
        </w:rPr>
      </w:pPr>
      <w:r>
        <w:rPr>
          <w:szCs w:val="21"/>
        </w:rPr>
        <w:t>3.1.</w:t>
      </w:r>
      <w:r>
        <w:rPr>
          <w:rFonts w:hint="eastAsia"/>
          <w:szCs w:val="21"/>
        </w:rPr>
        <w:t>3承包人有义务按合同约定和发包人的要求，提交相关报表。报表的类别、内容、提交时间，在专用条款中约定。</w:t>
      </w:r>
    </w:p>
    <w:p>
      <w:pPr>
        <w:spacing w:line="360" w:lineRule="auto"/>
        <w:ind w:firstLine="420" w:firstLineChars="200"/>
        <w:rPr>
          <w:szCs w:val="21"/>
        </w:rPr>
      </w:pPr>
      <w:r>
        <w:rPr>
          <w:rFonts w:hint="eastAsia"/>
          <w:szCs w:val="21"/>
        </w:rPr>
        <w:t>3.1.4发包人通知暂停的，承包人有权根据2.1.5款的约定提出费用增加和（或）竣工日期延长。</w:t>
      </w:r>
    </w:p>
    <w:p>
      <w:pPr>
        <w:spacing w:line="360" w:lineRule="auto"/>
        <w:ind w:firstLine="420" w:firstLineChars="200"/>
        <w:rPr>
          <w:szCs w:val="21"/>
        </w:rPr>
      </w:pPr>
      <w:r>
        <w:rPr>
          <w:rFonts w:hint="eastAsia"/>
          <w:szCs w:val="21"/>
        </w:rPr>
        <w:t>3.1.5对因发包人原因给承包人带来的任何损失、损害或造成工程关键路径延误的，承包人有权要求赔偿或（和）延长竣工日期。</w:t>
      </w:r>
    </w:p>
    <w:p>
      <w:pPr>
        <w:spacing w:before="156" w:beforeLines="50" w:after="156" w:afterLines="50" w:line="360" w:lineRule="auto"/>
        <w:ind w:firstLine="420" w:firstLineChars="200"/>
        <w:rPr>
          <w:b/>
          <w:szCs w:val="21"/>
        </w:rPr>
      </w:pPr>
      <w:r>
        <w:rPr>
          <w:b/>
          <w:szCs w:val="21"/>
        </w:rPr>
        <w:t>3.2</w:t>
      </w:r>
      <w:bookmarkStart w:id="63" w:name="_Hlk57728440"/>
      <w:r>
        <w:rPr>
          <w:rFonts w:hint="eastAsia"/>
          <w:b/>
          <w:szCs w:val="21"/>
        </w:rPr>
        <w:t>项目经理、项目技术负责人及其他相关人员</w:t>
      </w:r>
    </w:p>
    <w:bookmarkEnd w:id="63"/>
    <w:p>
      <w:pPr>
        <w:spacing w:line="360" w:lineRule="auto"/>
        <w:ind w:firstLine="420" w:firstLineChars="200"/>
        <w:rPr>
          <w:szCs w:val="21"/>
        </w:rPr>
      </w:pPr>
      <w:r>
        <w:rPr>
          <w:szCs w:val="21"/>
        </w:rPr>
        <w:t>3.2.1</w:t>
      </w:r>
      <w:r>
        <w:rPr>
          <w:rFonts w:hint="eastAsia"/>
          <w:szCs w:val="21"/>
        </w:rPr>
        <w:t>项目经理经授权并代表承包人负责履行本合同。项目经理和项目技术负责人的姓名、职责和权限在专用条款中约定。项目经理不得同时担任其他项目的项目经理。</w:t>
      </w:r>
    </w:p>
    <w:p>
      <w:pPr>
        <w:spacing w:line="360" w:lineRule="auto"/>
        <w:ind w:firstLine="420" w:firstLineChars="200"/>
        <w:rPr>
          <w:szCs w:val="21"/>
        </w:rPr>
      </w:pPr>
      <w:r>
        <w:rPr>
          <w:rFonts w:hint="eastAsia"/>
          <w:szCs w:val="21"/>
        </w:rPr>
        <w:t>3.2.2项目经理需离开项目现场须事先取得发包人同意，并指定一名有经验的人员临时代行其职责。承包人违反上述约定的，按照本专用条款的约定，承担违约责任。</w:t>
      </w:r>
    </w:p>
    <w:p>
      <w:pPr>
        <w:spacing w:line="360" w:lineRule="auto"/>
        <w:ind w:firstLine="420" w:firstLineChars="200"/>
        <w:rPr>
          <w:szCs w:val="21"/>
        </w:rPr>
      </w:pPr>
      <w:r>
        <w:rPr>
          <w:szCs w:val="21"/>
        </w:rPr>
        <w:t>3.2.</w:t>
      </w:r>
      <w:r>
        <w:rPr>
          <w:rFonts w:hint="eastAsia"/>
          <w:szCs w:val="21"/>
        </w:rPr>
        <w:t>3项目经理按合同约定的项目进度计划，并按发包人代表或（和）工程总监依据合同发出的指令组织项目实施。在紧急情况下，且无法与发包人代表或（和）工程总监取得联系时，项目经理有权采取必要的措施保证人身、工程和财产的安全，但须在事后</w:t>
      </w:r>
      <w:r>
        <w:rPr>
          <w:szCs w:val="21"/>
        </w:rPr>
        <w:t>48</w:t>
      </w:r>
      <w:r>
        <w:rPr>
          <w:rFonts w:hint="eastAsia"/>
          <w:szCs w:val="21"/>
        </w:rPr>
        <w:t>小时内向发包人代表或（和）工程总监送交书面报告。</w:t>
      </w:r>
    </w:p>
    <w:p>
      <w:pPr>
        <w:spacing w:line="360" w:lineRule="auto"/>
        <w:ind w:firstLine="420" w:firstLineChars="200"/>
        <w:rPr>
          <w:szCs w:val="21"/>
        </w:rPr>
      </w:pPr>
      <w:r>
        <w:rPr>
          <w:szCs w:val="21"/>
        </w:rPr>
        <w:t>3.2.</w:t>
      </w:r>
      <w:r>
        <w:rPr>
          <w:rFonts w:hint="eastAsia"/>
          <w:szCs w:val="21"/>
        </w:rPr>
        <w:t>4承包人需更换项目经理时</w:t>
      </w:r>
      <w:r>
        <w:rPr>
          <w:szCs w:val="21"/>
        </w:rPr>
        <w:t>，</w:t>
      </w:r>
      <w:r>
        <w:rPr>
          <w:rFonts w:hint="eastAsia"/>
          <w:szCs w:val="21"/>
        </w:rPr>
        <w:t>应符合本合同专用条款的约定。继任的项目经理须继续履行第</w:t>
      </w:r>
      <w:r>
        <w:rPr>
          <w:szCs w:val="21"/>
        </w:rPr>
        <w:t>3.2.1</w:t>
      </w:r>
      <w:r>
        <w:rPr>
          <w:rFonts w:hint="eastAsia"/>
          <w:szCs w:val="21"/>
        </w:rPr>
        <w:t>款约定的职责和权限。</w:t>
      </w:r>
    </w:p>
    <w:p>
      <w:pPr>
        <w:spacing w:line="360" w:lineRule="auto"/>
        <w:ind w:firstLine="420" w:firstLineChars="200"/>
        <w:rPr>
          <w:szCs w:val="21"/>
        </w:rPr>
      </w:pPr>
      <w:r>
        <w:rPr>
          <w:rFonts w:hint="eastAsia"/>
          <w:szCs w:val="21"/>
        </w:rPr>
        <w:t>3.2.5承包人未经发包人同意擅自更换项目经理的，应向发包人承担违约责任。</w:t>
      </w:r>
    </w:p>
    <w:p>
      <w:pPr>
        <w:spacing w:line="360" w:lineRule="auto"/>
        <w:ind w:firstLine="420" w:firstLineChars="200"/>
        <w:rPr>
          <w:szCs w:val="21"/>
        </w:rPr>
      </w:pPr>
      <w:r>
        <w:rPr>
          <w:szCs w:val="21"/>
        </w:rPr>
        <w:t>3.2.</w:t>
      </w:r>
      <w:r>
        <w:rPr>
          <w:rFonts w:hint="eastAsia"/>
          <w:szCs w:val="21"/>
        </w:rPr>
        <w:t>6发包人有权按本合同专用条款的约定以书面形式通知承包人更换其认为不称职的项目经理、项目技术负责人或/和其他相关人员。新任的项目经理继续履行、项目技术负责人或/和其他相关人员应当履行与其前任相同的权限。</w:t>
      </w:r>
    </w:p>
    <w:p>
      <w:pPr>
        <w:spacing w:line="360" w:lineRule="auto"/>
        <w:ind w:firstLine="420" w:firstLineChars="200"/>
        <w:rPr>
          <w:szCs w:val="21"/>
        </w:rPr>
      </w:pPr>
      <w:r>
        <w:rPr>
          <w:rFonts w:hint="eastAsia"/>
          <w:szCs w:val="21"/>
        </w:rPr>
        <w:t>3.2.7专用条款中关于项目经理或/和项目技术负责人的其他约定。</w:t>
      </w:r>
    </w:p>
    <w:p>
      <w:pPr>
        <w:spacing w:before="156" w:beforeLines="50" w:after="156" w:afterLines="50" w:line="360" w:lineRule="auto"/>
        <w:ind w:firstLine="420" w:firstLineChars="200"/>
        <w:rPr>
          <w:b/>
          <w:szCs w:val="21"/>
        </w:rPr>
      </w:pPr>
      <w:r>
        <w:rPr>
          <w:b/>
          <w:szCs w:val="21"/>
        </w:rPr>
        <w:t>3.</w:t>
      </w:r>
      <w:r>
        <w:rPr>
          <w:rFonts w:hint="eastAsia"/>
          <w:b/>
          <w:szCs w:val="21"/>
        </w:rPr>
        <w:t>3  工程质量保证</w:t>
      </w:r>
    </w:p>
    <w:p>
      <w:pPr>
        <w:spacing w:line="360" w:lineRule="auto"/>
        <w:ind w:firstLine="420" w:firstLineChars="200"/>
        <w:rPr>
          <w:szCs w:val="21"/>
        </w:rPr>
      </w:pPr>
      <w:r>
        <w:rPr>
          <w:szCs w:val="21"/>
        </w:rPr>
        <w:t>3.</w:t>
      </w:r>
      <w:r>
        <w:rPr>
          <w:rFonts w:hint="eastAsia"/>
          <w:szCs w:val="21"/>
        </w:rPr>
        <w:t>3</w:t>
      </w:r>
      <w:r>
        <w:rPr>
          <w:szCs w:val="21"/>
        </w:rPr>
        <w:t>.1</w:t>
      </w:r>
      <w:r>
        <w:rPr>
          <w:rFonts w:hint="eastAsia"/>
          <w:szCs w:val="21"/>
        </w:rPr>
        <w:t>质量保证体系。承包人质量保证体系认证证书，在合同实施过程中保持持续有效，并建立本合同项下的质量保证体系。</w:t>
      </w:r>
    </w:p>
    <w:p>
      <w:pPr>
        <w:spacing w:line="360" w:lineRule="auto"/>
        <w:ind w:firstLine="420" w:firstLineChars="200"/>
        <w:rPr>
          <w:szCs w:val="21"/>
        </w:rPr>
      </w:pPr>
      <w:r>
        <w:rPr>
          <w:szCs w:val="21"/>
        </w:rPr>
        <w:t>3.</w:t>
      </w:r>
      <w:r>
        <w:rPr>
          <w:rFonts w:hint="eastAsia"/>
          <w:szCs w:val="21"/>
        </w:rPr>
        <w:t>3</w:t>
      </w:r>
      <w:r>
        <w:rPr>
          <w:szCs w:val="21"/>
        </w:rPr>
        <w:t>.2</w:t>
      </w:r>
      <w:r>
        <w:rPr>
          <w:rFonts w:hint="eastAsia"/>
          <w:szCs w:val="21"/>
        </w:rPr>
        <w:t>实施过程的质量保证。承包人按合同约定的质量标准规范，确保设计、采购、加工制造、施工、竣工验收、竣工后试验和考核验收的质量。并遵照国家有关质量保修责任的规定，对工程进行保修。</w:t>
      </w:r>
    </w:p>
    <w:p>
      <w:pPr>
        <w:spacing w:before="156" w:beforeLines="50" w:after="156" w:afterLines="50" w:line="360" w:lineRule="auto"/>
        <w:ind w:firstLine="420" w:firstLineChars="200"/>
        <w:rPr>
          <w:b/>
          <w:szCs w:val="21"/>
        </w:rPr>
      </w:pPr>
      <w:r>
        <w:rPr>
          <w:b/>
          <w:szCs w:val="21"/>
        </w:rPr>
        <w:t>3.</w:t>
      </w:r>
      <w:r>
        <w:rPr>
          <w:rFonts w:hint="eastAsia"/>
          <w:b/>
          <w:szCs w:val="21"/>
        </w:rPr>
        <w:t>4  安全保证</w:t>
      </w:r>
    </w:p>
    <w:p>
      <w:pPr>
        <w:spacing w:line="360" w:lineRule="auto"/>
        <w:ind w:firstLine="420" w:firstLineChars="200"/>
        <w:rPr>
          <w:szCs w:val="21"/>
        </w:rPr>
      </w:pPr>
      <w:r>
        <w:rPr>
          <w:szCs w:val="21"/>
        </w:rPr>
        <w:t>3.</w:t>
      </w:r>
      <w:r>
        <w:rPr>
          <w:rFonts w:hint="eastAsia"/>
          <w:szCs w:val="21"/>
        </w:rPr>
        <w:t>4</w:t>
      </w:r>
      <w:r>
        <w:rPr>
          <w:szCs w:val="21"/>
        </w:rPr>
        <w:t>.</w:t>
      </w:r>
      <w:r>
        <w:rPr>
          <w:rFonts w:hint="eastAsia"/>
          <w:szCs w:val="21"/>
        </w:rPr>
        <w:t>1工程安全性能。承包人按合同约定，并遵照建设工程设计管理条例、建设工程质量管理条例及有关安全生产的法律规定，进行设计、采购、施工、竣工验收，保证工程的安全性能。</w:t>
      </w:r>
    </w:p>
    <w:p>
      <w:pPr>
        <w:spacing w:line="360" w:lineRule="auto"/>
        <w:ind w:firstLine="420" w:firstLineChars="200"/>
        <w:rPr>
          <w:szCs w:val="21"/>
        </w:rPr>
      </w:pPr>
      <w:r>
        <w:rPr>
          <w:rFonts w:hint="eastAsia"/>
          <w:szCs w:val="21"/>
        </w:rPr>
        <w:t>3</w:t>
      </w:r>
      <w:r>
        <w:rPr>
          <w:szCs w:val="21"/>
        </w:rPr>
        <w:t>.</w:t>
      </w:r>
      <w:r>
        <w:rPr>
          <w:rFonts w:hint="eastAsia"/>
          <w:szCs w:val="21"/>
        </w:rPr>
        <w:t>4</w:t>
      </w:r>
      <w:r>
        <w:rPr>
          <w:szCs w:val="21"/>
        </w:rPr>
        <w:t>.</w:t>
      </w:r>
      <w:r>
        <w:rPr>
          <w:rFonts w:hint="eastAsia"/>
          <w:szCs w:val="21"/>
        </w:rPr>
        <w:t>2现场安全施工和环境安全。承包人遵守7.8款健康、安全和环境的约定。</w:t>
      </w:r>
    </w:p>
    <w:p>
      <w:pPr>
        <w:spacing w:before="156" w:beforeLines="50" w:after="156" w:afterLines="50" w:line="360" w:lineRule="auto"/>
        <w:ind w:firstLine="420" w:firstLineChars="200"/>
        <w:rPr>
          <w:b/>
          <w:szCs w:val="21"/>
        </w:rPr>
      </w:pPr>
      <w:r>
        <w:rPr>
          <w:b/>
          <w:szCs w:val="21"/>
        </w:rPr>
        <w:t>3.</w:t>
      </w:r>
      <w:r>
        <w:rPr>
          <w:rFonts w:hint="eastAsia"/>
          <w:b/>
          <w:szCs w:val="21"/>
        </w:rPr>
        <w:t>5  职业健康和环境保护保证</w:t>
      </w:r>
    </w:p>
    <w:p>
      <w:pPr>
        <w:spacing w:line="360" w:lineRule="auto"/>
        <w:ind w:firstLine="420" w:firstLineChars="200"/>
        <w:rPr>
          <w:szCs w:val="21"/>
        </w:rPr>
      </w:pPr>
      <w:r>
        <w:rPr>
          <w:rFonts w:hint="eastAsia"/>
          <w:szCs w:val="21"/>
        </w:rPr>
        <w:t>3.5.1工程设计。</w:t>
      </w:r>
      <w:r>
        <w:rPr>
          <w:szCs w:val="21"/>
        </w:rPr>
        <w:t>承包人按合同约定，并遵照</w:t>
      </w:r>
      <w:r>
        <w:rPr>
          <w:rFonts w:hint="eastAsia"/>
          <w:szCs w:val="21"/>
        </w:rPr>
        <w:t>建设工程勘察设计管理条例、建设工程环境保护条例及相关的法律规定</w:t>
      </w:r>
      <w:r>
        <w:rPr>
          <w:szCs w:val="21"/>
        </w:rPr>
        <w:t>进行工程的环境保护设计及职业健康保护设计，保证工程符合环境保护和职业健康的法律规定。</w:t>
      </w:r>
    </w:p>
    <w:p>
      <w:pPr>
        <w:spacing w:line="360" w:lineRule="auto"/>
        <w:ind w:firstLine="420" w:firstLineChars="200"/>
        <w:rPr>
          <w:szCs w:val="21"/>
        </w:rPr>
      </w:pPr>
      <w:r>
        <w:rPr>
          <w:szCs w:val="21"/>
        </w:rPr>
        <w:t>3.</w:t>
      </w:r>
      <w:r>
        <w:rPr>
          <w:rFonts w:hint="eastAsia"/>
          <w:szCs w:val="21"/>
        </w:rPr>
        <w:t>5</w:t>
      </w:r>
      <w:r>
        <w:rPr>
          <w:szCs w:val="21"/>
        </w:rPr>
        <w:t>.2</w:t>
      </w:r>
      <w:r>
        <w:rPr>
          <w:rFonts w:hint="eastAsia"/>
          <w:szCs w:val="21"/>
        </w:rPr>
        <w:t>现场职业健康和环境保护。承包人遵守7.8款健康、安全和环境的约定。</w:t>
      </w:r>
    </w:p>
    <w:p>
      <w:pPr>
        <w:spacing w:before="156" w:beforeLines="50" w:after="156" w:afterLines="50" w:line="360" w:lineRule="auto"/>
        <w:ind w:firstLine="420" w:firstLineChars="200"/>
        <w:rPr>
          <w:b/>
          <w:szCs w:val="21"/>
        </w:rPr>
      </w:pPr>
      <w:r>
        <w:rPr>
          <w:rFonts w:hint="eastAsia"/>
          <w:b/>
          <w:szCs w:val="21"/>
        </w:rPr>
        <w:t>3.6  进度保证</w:t>
      </w:r>
    </w:p>
    <w:p>
      <w:pPr>
        <w:spacing w:before="156" w:beforeLines="50" w:after="156" w:afterLines="50" w:line="360" w:lineRule="auto"/>
        <w:ind w:firstLine="420" w:firstLineChars="200"/>
        <w:rPr>
          <w:szCs w:val="21"/>
        </w:rPr>
      </w:pPr>
      <w:r>
        <w:rPr>
          <w:rFonts w:hint="eastAsia"/>
          <w:szCs w:val="21"/>
        </w:rPr>
        <w:t>承包人按4.1款约定的项目进度计划，合理有序地组织设计、采购、施工、竣工验收和竣工后试验需要的各类资源，采用有效的实施方法和组织方法，保证项目进度计划的实现。</w:t>
      </w:r>
    </w:p>
    <w:p>
      <w:pPr>
        <w:spacing w:before="156" w:beforeLines="50" w:after="156" w:afterLines="50" w:line="360" w:lineRule="auto"/>
        <w:ind w:firstLine="411" w:firstLineChars="196"/>
        <w:rPr>
          <w:b/>
          <w:szCs w:val="21"/>
        </w:rPr>
      </w:pPr>
      <w:r>
        <w:rPr>
          <w:rFonts w:hint="eastAsia"/>
          <w:b/>
          <w:szCs w:val="21"/>
        </w:rPr>
        <w:t>3.7  现场保安</w:t>
      </w:r>
    </w:p>
    <w:p>
      <w:pPr>
        <w:spacing w:before="156" w:beforeLines="50" w:after="156" w:afterLines="50" w:line="360" w:lineRule="auto"/>
        <w:ind w:firstLine="420" w:firstLineChars="200"/>
        <w:rPr>
          <w:szCs w:val="21"/>
        </w:rPr>
      </w:pPr>
      <w:r>
        <w:rPr>
          <w:rFonts w:hint="eastAsia"/>
          <w:szCs w:val="21"/>
        </w:rPr>
        <w:t>承包人承担其进入现场、施工开工至发包人接收单项工程或（和）工程之前的现场保安责任（含承包人的预制加工场地、办公及生活营区）。承包人负责编制相关的保安制度、责任制度和报告制度并提交给发包人的时间在专用条款中约定。</w:t>
      </w:r>
    </w:p>
    <w:p>
      <w:pPr>
        <w:spacing w:before="156" w:beforeLines="50" w:after="156" w:afterLines="50" w:line="360" w:lineRule="auto"/>
        <w:ind w:firstLine="420" w:firstLineChars="200"/>
        <w:rPr>
          <w:b/>
          <w:szCs w:val="21"/>
        </w:rPr>
      </w:pPr>
      <w:r>
        <w:rPr>
          <w:rFonts w:hint="eastAsia"/>
          <w:b/>
          <w:szCs w:val="21"/>
        </w:rPr>
        <w:t>3.8  分包</w:t>
      </w:r>
    </w:p>
    <w:p>
      <w:pPr>
        <w:spacing w:line="360" w:lineRule="auto"/>
        <w:ind w:firstLine="420" w:firstLineChars="200"/>
        <w:rPr>
          <w:szCs w:val="21"/>
        </w:rPr>
      </w:pPr>
      <w:r>
        <w:rPr>
          <w:rFonts w:hint="eastAsia"/>
          <w:szCs w:val="21"/>
        </w:rPr>
        <w:t>3.8.1分包约定。承包人应根据专用条款的约定依法确定分包人。发包人在收承包人确定的分包人名单后的15日内，予以批准或提出意见。发包人未能在15日批准亦未提出意见的，承包人有权在提交该工作事项和分包名单后的第16日开始，将提出的拟分包事项对外分包。</w:t>
      </w:r>
    </w:p>
    <w:p>
      <w:pPr>
        <w:spacing w:line="360" w:lineRule="auto"/>
        <w:ind w:firstLine="420" w:firstLineChars="200"/>
        <w:rPr>
          <w:szCs w:val="21"/>
        </w:rPr>
      </w:pPr>
      <w:r>
        <w:rPr>
          <w:szCs w:val="21"/>
        </w:rPr>
        <w:t>3.</w:t>
      </w:r>
      <w:r>
        <w:rPr>
          <w:rFonts w:hint="eastAsia"/>
          <w:szCs w:val="21"/>
        </w:rPr>
        <w:t>8</w:t>
      </w:r>
      <w:r>
        <w:rPr>
          <w:szCs w:val="21"/>
        </w:rPr>
        <w:t>.2</w:t>
      </w:r>
      <w:r>
        <w:rPr>
          <w:rFonts w:hint="eastAsia"/>
          <w:szCs w:val="21"/>
        </w:rPr>
        <w:t>分包人资质。符合国家法律规定的企业资质等级的分包人，方能被选择为分包人。</w:t>
      </w:r>
    </w:p>
    <w:p>
      <w:pPr>
        <w:spacing w:line="360" w:lineRule="auto"/>
        <w:ind w:firstLine="420" w:firstLineChars="200"/>
        <w:rPr>
          <w:szCs w:val="21"/>
        </w:rPr>
      </w:pPr>
      <w:r>
        <w:rPr>
          <w:rFonts w:hint="eastAsia"/>
          <w:szCs w:val="21"/>
        </w:rPr>
        <w:t>3.8.3</w:t>
      </w:r>
      <w:r>
        <w:rPr>
          <w:szCs w:val="21"/>
        </w:rPr>
        <w:t>承包人不得</w:t>
      </w:r>
      <w:r>
        <w:rPr>
          <w:rFonts w:hint="eastAsia"/>
          <w:szCs w:val="21"/>
        </w:rPr>
        <w:t>以肢解的方式</w:t>
      </w:r>
      <w:r>
        <w:rPr>
          <w:szCs w:val="21"/>
        </w:rPr>
        <w:t>将承包的全部工程</w:t>
      </w:r>
      <w:r>
        <w:rPr>
          <w:rFonts w:hint="eastAsia"/>
          <w:szCs w:val="21"/>
        </w:rPr>
        <w:t>对外分包，也不得将承包的工程全部转包</w:t>
      </w:r>
      <w:r>
        <w:rPr>
          <w:szCs w:val="21"/>
        </w:rPr>
        <w:t>。</w:t>
      </w:r>
    </w:p>
    <w:p>
      <w:pPr>
        <w:spacing w:line="360" w:lineRule="auto"/>
        <w:ind w:firstLine="420" w:firstLineChars="200"/>
        <w:rPr>
          <w:szCs w:val="21"/>
        </w:rPr>
      </w:pPr>
      <w:r>
        <w:rPr>
          <w:rFonts w:hint="eastAsia"/>
          <w:szCs w:val="21"/>
        </w:rPr>
        <w:t>3.8.4分包人不得将其分包的设计、施工和货物采购对外转包，分包人不得再分包。</w:t>
      </w:r>
    </w:p>
    <w:p>
      <w:pPr>
        <w:spacing w:line="360" w:lineRule="auto"/>
        <w:ind w:firstLine="420" w:firstLineChars="200"/>
        <w:rPr>
          <w:szCs w:val="21"/>
        </w:rPr>
      </w:pPr>
      <w:r>
        <w:rPr>
          <w:szCs w:val="21"/>
        </w:rPr>
        <w:t>3.</w:t>
      </w:r>
      <w:r>
        <w:rPr>
          <w:rFonts w:hint="eastAsia"/>
          <w:szCs w:val="21"/>
        </w:rPr>
        <w:t>8</w:t>
      </w:r>
      <w:r>
        <w:rPr>
          <w:szCs w:val="21"/>
        </w:rPr>
        <w:t>.</w:t>
      </w:r>
      <w:r>
        <w:rPr>
          <w:rFonts w:hint="eastAsia"/>
          <w:szCs w:val="21"/>
        </w:rPr>
        <w:t>5对分包人的付款。承包人应按分包合同约定，按时支付分包人进度款。未经承包人同意，发包人不得以任何形式向分包人支付任何款项。</w:t>
      </w:r>
    </w:p>
    <w:p>
      <w:pPr>
        <w:spacing w:line="360" w:lineRule="auto"/>
        <w:ind w:firstLine="420" w:firstLineChars="200"/>
        <w:rPr>
          <w:szCs w:val="21"/>
        </w:rPr>
      </w:pPr>
      <w:r>
        <w:rPr>
          <w:rFonts w:hint="eastAsia"/>
          <w:szCs w:val="21"/>
        </w:rPr>
        <w:t>3.8.6承包人对分包人负责。因分包人的任何违约行为、管理不善、疏忽或其他过错导致工程质量出现缺陷，给发包人造成损失或导致竣工日期延误的，承包人对分包人负责，承包人和分包人就分包工程对发包人承担连带责任。</w:t>
      </w:r>
    </w:p>
    <w:p>
      <w:pPr>
        <w:spacing w:before="156" w:beforeLines="50" w:after="156" w:afterLines="50" w:line="360" w:lineRule="auto"/>
        <w:ind w:firstLine="420" w:firstLineChars="200"/>
        <w:rPr>
          <w:b/>
          <w:szCs w:val="21"/>
        </w:rPr>
      </w:pPr>
      <w:r>
        <w:rPr>
          <w:rFonts w:hint="eastAsia"/>
          <w:b/>
          <w:szCs w:val="21"/>
        </w:rPr>
        <w:t>第4条进度计划、奖惩、延误和暂停</w:t>
      </w:r>
    </w:p>
    <w:p>
      <w:pPr>
        <w:spacing w:before="156" w:beforeLines="50" w:after="156" w:afterLines="50" w:line="360" w:lineRule="auto"/>
        <w:ind w:firstLine="420" w:firstLineChars="200"/>
        <w:rPr>
          <w:b/>
          <w:szCs w:val="21"/>
        </w:rPr>
      </w:pPr>
      <w:r>
        <w:rPr>
          <w:rFonts w:hint="eastAsia"/>
          <w:b/>
          <w:szCs w:val="21"/>
        </w:rPr>
        <w:t>4</w:t>
      </w:r>
      <w:r>
        <w:rPr>
          <w:b/>
          <w:szCs w:val="21"/>
        </w:rPr>
        <w:t>.1</w:t>
      </w:r>
      <w:r>
        <w:rPr>
          <w:rFonts w:hint="eastAsia"/>
          <w:b/>
          <w:szCs w:val="21"/>
        </w:rPr>
        <w:t>项目进度计划</w:t>
      </w:r>
    </w:p>
    <w:p>
      <w:pPr>
        <w:spacing w:line="360" w:lineRule="auto"/>
        <w:ind w:firstLine="420" w:firstLineChars="200"/>
        <w:rPr>
          <w:szCs w:val="21"/>
        </w:rPr>
      </w:pPr>
      <w:r>
        <w:rPr>
          <w:rFonts w:hint="eastAsia"/>
          <w:szCs w:val="21"/>
        </w:rPr>
        <w:t>4</w:t>
      </w:r>
      <w:r>
        <w:rPr>
          <w:szCs w:val="21"/>
        </w:rPr>
        <w:t>.1.1</w:t>
      </w:r>
      <w:r>
        <w:rPr>
          <w:rFonts w:hint="eastAsia"/>
          <w:szCs w:val="21"/>
        </w:rPr>
        <w:t>项目进度计划。承包人编制的项目进度计划，其中施工期限须符合合同协议书的约定。经发包人批准后实施。发包人的批准并不能解除承包人的合同责任。承包人提交项目进度计划的份数和时间在专用条款约定。</w:t>
      </w:r>
    </w:p>
    <w:p>
      <w:pPr>
        <w:spacing w:line="360" w:lineRule="auto"/>
        <w:ind w:firstLine="420" w:firstLineChars="200"/>
        <w:rPr>
          <w:szCs w:val="21"/>
        </w:rPr>
      </w:pPr>
      <w:r>
        <w:rPr>
          <w:rFonts w:hint="eastAsia"/>
          <w:szCs w:val="21"/>
        </w:rPr>
        <w:t>4</w:t>
      </w:r>
      <w:r>
        <w:rPr>
          <w:szCs w:val="21"/>
        </w:rPr>
        <w:t>.1.2</w:t>
      </w:r>
      <w:r>
        <w:rPr>
          <w:rFonts w:hint="eastAsia"/>
          <w:szCs w:val="21"/>
        </w:rPr>
        <w:t>自费赶上项目进度计划。承包人原因使工程实际进度明显落后于项目进度计划时，承包人有义务、发包人也有权利要求承包人自费采取措施，赶上项目进度计划。</w:t>
      </w:r>
    </w:p>
    <w:p>
      <w:pPr>
        <w:spacing w:line="360" w:lineRule="auto"/>
        <w:ind w:firstLine="420" w:firstLineChars="200"/>
        <w:rPr>
          <w:szCs w:val="21"/>
        </w:rPr>
      </w:pPr>
      <w:r>
        <w:rPr>
          <w:rFonts w:hint="eastAsia"/>
          <w:szCs w:val="21"/>
        </w:rPr>
        <w:t>4</w:t>
      </w:r>
      <w:r>
        <w:rPr>
          <w:szCs w:val="21"/>
        </w:rPr>
        <w:t>.1.3</w:t>
      </w:r>
      <w:r>
        <w:rPr>
          <w:rFonts w:hint="eastAsia"/>
          <w:szCs w:val="21"/>
        </w:rPr>
        <w:t>项目进度计划的调整。出现下列情况，竣工日期相应顺延，并对项目进度计划进行调整：</w:t>
      </w:r>
    </w:p>
    <w:p>
      <w:pPr>
        <w:spacing w:line="360" w:lineRule="auto"/>
        <w:ind w:firstLine="420" w:firstLineChars="200"/>
        <w:rPr>
          <w:szCs w:val="21"/>
        </w:rPr>
      </w:pPr>
      <w:r>
        <w:rPr>
          <w:rFonts w:hint="eastAsia"/>
          <w:szCs w:val="21"/>
        </w:rPr>
        <w:t>（1）发包人根据5.2.1款提供的项目基础资料和现场障碍资料不真实、不准确、不齐全、不及时，或未能按14.3.1款约定的预付款金额和14.3.2款约定的付款时间付款，导致4.2.2款约定的设计开工日期延误，或4.3.2款约定的采购开始日期延误，或造成施工开工日期延误的。</w:t>
      </w:r>
    </w:p>
    <w:p>
      <w:pPr>
        <w:spacing w:line="360" w:lineRule="auto"/>
        <w:ind w:firstLine="420" w:firstLineChars="200"/>
        <w:rPr>
          <w:szCs w:val="21"/>
        </w:rPr>
      </w:pPr>
      <w:r>
        <w:rPr>
          <w:rFonts w:hint="eastAsia"/>
          <w:szCs w:val="21"/>
        </w:rPr>
        <w:t>（2）因发包人原因，导致某个设计阶段审核会议时间的延误。</w:t>
      </w:r>
    </w:p>
    <w:p>
      <w:pPr>
        <w:spacing w:line="360" w:lineRule="auto"/>
        <w:ind w:firstLine="420" w:firstLineChars="200"/>
        <w:rPr>
          <w:szCs w:val="21"/>
        </w:rPr>
      </w:pPr>
      <w:r>
        <w:rPr>
          <w:rFonts w:hint="eastAsia"/>
          <w:szCs w:val="21"/>
        </w:rPr>
        <w:t>（3）相关设计审查部门批准时间较合同约定的时间延长的。</w:t>
      </w:r>
    </w:p>
    <w:p>
      <w:pPr>
        <w:spacing w:line="360" w:lineRule="auto"/>
        <w:ind w:firstLine="420" w:firstLineChars="200"/>
        <w:rPr>
          <w:szCs w:val="21"/>
        </w:rPr>
      </w:pPr>
      <w:r>
        <w:rPr>
          <w:rFonts w:hint="eastAsia"/>
          <w:szCs w:val="21"/>
        </w:rPr>
        <w:t>（4）根据合同约定的其他延长竣工日期的情况。</w:t>
      </w:r>
    </w:p>
    <w:p>
      <w:pPr>
        <w:spacing w:line="360" w:lineRule="auto"/>
        <w:ind w:firstLine="420" w:firstLineChars="200"/>
        <w:rPr>
          <w:szCs w:val="21"/>
        </w:rPr>
      </w:pPr>
      <w:r>
        <w:rPr>
          <w:rFonts w:hint="eastAsia"/>
          <w:szCs w:val="21"/>
        </w:rPr>
        <w:t>4.1.4发包人的赶工要求。合同实施过程中发包人书面提出加快设计、采购、施工、竣工验收的赶工要求，并被承包人接受时，承包人提交赶工方案。因赶工引起的费用增加，按13.2.5款的变更约定执行。</w:t>
      </w:r>
    </w:p>
    <w:p>
      <w:pPr>
        <w:spacing w:before="156" w:beforeLines="50" w:after="156" w:afterLines="50" w:line="360" w:lineRule="auto"/>
        <w:ind w:firstLine="420" w:firstLineChars="200"/>
        <w:rPr>
          <w:b/>
          <w:szCs w:val="21"/>
        </w:rPr>
      </w:pPr>
      <w:r>
        <w:rPr>
          <w:rFonts w:hint="eastAsia"/>
          <w:b/>
          <w:szCs w:val="21"/>
        </w:rPr>
        <w:t>4</w:t>
      </w:r>
      <w:r>
        <w:rPr>
          <w:b/>
          <w:szCs w:val="21"/>
        </w:rPr>
        <w:t>.</w:t>
      </w:r>
      <w:r>
        <w:rPr>
          <w:rFonts w:hint="eastAsia"/>
          <w:b/>
          <w:szCs w:val="21"/>
        </w:rPr>
        <w:t>2  设计进度计划</w:t>
      </w:r>
    </w:p>
    <w:p>
      <w:pPr>
        <w:spacing w:line="360" w:lineRule="auto"/>
        <w:ind w:firstLine="420" w:firstLineChars="200"/>
        <w:rPr>
          <w:szCs w:val="21"/>
        </w:rPr>
      </w:pPr>
      <w:r>
        <w:rPr>
          <w:rFonts w:hint="eastAsia"/>
          <w:szCs w:val="21"/>
        </w:rPr>
        <w:t>4</w:t>
      </w:r>
      <w:r>
        <w:rPr>
          <w:szCs w:val="21"/>
        </w:rPr>
        <w:t>.</w:t>
      </w:r>
      <w:r>
        <w:rPr>
          <w:rFonts w:hint="eastAsia"/>
          <w:szCs w:val="21"/>
        </w:rPr>
        <w:t>2</w:t>
      </w:r>
      <w:r>
        <w:rPr>
          <w:szCs w:val="21"/>
        </w:rPr>
        <w:t>.1</w:t>
      </w:r>
      <w:r>
        <w:rPr>
          <w:rFonts w:hint="eastAsia"/>
          <w:szCs w:val="21"/>
        </w:rPr>
        <w:t>设计进度计划。承包人根据批准的项目进度计划和5.3.1款约定的设计审查阶段及发包人组织的设计阶段审查会议的时间安排，编制设计进度计划。设计进度计划经发包人认可后执行。发包人的认可并不能解除承包人的合同责任。</w:t>
      </w:r>
    </w:p>
    <w:p>
      <w:pPr>
        <w:spacing w:line="360" w:lineRule="auto"/>
        <w:ind w:firstLine="420" w:firstLineChars="200"/>
        <w:rPr>
          <w:szCs w:val="21"/>
        </w:rPr>
      </w:pPr>
      <w:r>
        <w:rPr>
          <w:rFonts w:hint="eastAsia"/>
          <w:szCs w:val="21"/>
        </w:rPr>
        <w:t>4</w:t>
      </w:r>
      <w:r>
        <w:rPr>
          <w:szCs w:val="21"/>
        </w:rPr>
        <w:t>.</w:t>
      </w:r>
      <w:r>
        <w:rPr>
          <w:rFonts w:hint="eastAsia"/>
          <w:szCs w:val="21"/>
        </w:rPr>
        <w:t>2</w:t>
      </w:r>
      <w:r>
        <w:rPr>
          <w:szCs w:val="21"/>
        </w:rPr>
        <w:t>.2</w:t>
      </w:r>
      <w:r>
        <w:rPr>
          <w:rFonts w:hint="eastAsia"/>
          <w:szCs w:val="21"/>
        </w:rPr>
        <w:t>设计开工日期。承包人在收到发包人按5.2.1款提供的项目基础资料、现场障碍资料，及14.3.2款的预付款后的第</w:t>
      </w:r>
      <w:r>
        <w:rPr>
          <w:szCs w:val="21"/>
        </w:rPr>
        <w:t>1</w:t>
      </w:r>
      <w:r>
        <w:rPr>
          <w:rFonts w:hint="eastAsia"/>
          <w:szCs w:val="21"/>
        </w:rPr>
        <w:t>天，作为设计开工日期。</w:t>
      </w:r>
    </w:p>
    <w:p>
      <w:pPr>
        <w:spacing w:line="360" w:lineRule="auto"/>
        <w:ind w:firstLine="420" w:firstLineChars="200"/>
        <w:rPr>
          <w:szCs w:val="21"/>
        </w:rPr>
      </w:pPr>
      <w:r>
        <w:rPr>
          <w:rFonts w:hint="eastAsia"/>
          <w:szCs w:val="21"/>
        </w:rPr>
        <w:t>4</w:t>
      </w:r>
      <w:r>
        <w:rPr>
          <w:szCs w:val="21"/>
        </w:rPr>
        <w:t>.</w:t>
      </w:r>
      <w:r>
        <w:rPr>
          <w:rFonts w:hint="eastAsia"/>
          <w:szCs w:val="21"/>
        </w:rPr>
        <w:t>2</w:t>
      </w:r>
      <w:r>
        <w:rPr>
          <w:szCs w:val="21"/>
        </w:rPr>
        <w:t>.3</w:t>
      </w:r>
      <w:r>
        <w:rPr>
          <w:rFonts w:hint="eastAsia"/>
          <w:szCs w:val="21"/>
        </w:rPr>
        <w:t>设计开工日期延误。因发包人未能按5.2.1款的约定提供设计基础资料、现场障碍资料等相关资料，造成设计开工日期延误的，设计开工日期和工程竣工日期相应顺延；因承包人原因造成设计开工日期延误的，按4.1.2款的约定，自费赶上。</w:t>
      </w:r>
    </w:p>
    <w:p>
      <w:pPr>
        <w:spacing w:line="360" w:lineRule="auto"/>
        <w:ind w:firstLine="420" w:firstLineChars="200"/>
        <w:rPr>
          <w:szCs w:val="21"/>
        </w:rPr>
      </w:pPr>
      <w:r>
        <w:rPr>
          <w:rFonts w:hint="eastAsia"/>
          <w:szCs w:val="21"/>
        </w:rPr>
        <w:t>4</w:t>
      </w:r>
      <w:r>
        <w:rPr>
          <w:szCs w:val="21"/>
        </w:rPr>
        <w:t>.</w:t>
      </w:r>
      <w:r>
        <w:rPr>
          <w:rFonts w:hint="eastAsia"/>
          <w:szCs w:val="21"/>
        </w:rPr>
        <w:t>2</w:t>
      </w:r>
      <w:r>
        <w:rPr>
          <w:szCs w:val="21"/>
        </w:rPr>
        <w:t>.4</w:t>
      </w:r>
      <w:r>
        <w:rPr>
          <w:rFonts w:hint="eastAsia"/>
          <w:szCs w:val="21"/>
        </w:rPr>
        <w:t>设计阶段审查日期的延误</w:t>
      </w:r>
    </w:p>
    <w:p>
      <w:pPr>
        <w:spacing w:line="360" w:lineRule="auto"/>
        <w:ind w:firstLine="420" w:firstLineChars="200"/>
        <w:rPr>
          <w:szCs w:val="21"/>
        </w:rPr>
      </w:pPr>
      <w:r>
        <w:rPr>
          <w:rFonts w:hint="eastAsia"/>
          <w:szCs w:val="21"/>
        </w:rPr>
        <w:t>因承包人原因，未能按照5.3.1款约定的设计审查阶段及其审查会议的时间安排提交相关阶段的设计文件、或提交的相关设计文件不符合相关审核阶段的设计深度时，造成设计审查会议延误的，依据4.1.2款的约定，承包人自费采取措施并赶上。造成竣工日期延误，并给发包人造成审核会议准备的经济损失，由承包人承担。</w:t>
      </w:r>
    </w:p>
    <w:p>
      <w:pPr>
        <w:spacing w:line="360" w:lineRule="auto"/>
        <w:ind w:firstLine="420" w:firstLineChars="200"/>
        <w:rPr>
          <w:b/>
          <w:szCs w:val="21"/>
        </w:rPr>
      </w:pPr>
      <w:r>
        <w:rPr>
          <w:b/>
          <w:szCs w:val="21"/>
        </w:rPr>
        <w:t>4.</w:t>
      </w:r>
      <w:r>
        <w:rPr>
          <w:rFonts w:hint="eastAsia"/>
          <w:b/>
          <w:szCs w:val="21"/>
        </w:rPr>
        <w:t>3  采购进度计划</w:t>
      </w:r>
    </w:p>
    <w:p>
      <w:pPr>
        <w:spacing w:line="360" w:lineRule="auto"/>
        <w:ind w:firstLine="420" w:firstLineChars="200"/>
        <w:rPr>
          <w:szCs w:val="21"/>
        </w:rPr>
      </w:pPr>
      <w:r>
        <w:rPr>
          <w:rFonts w:hint="eastAsia"/>
          <w:szCs w:val="21"/>
        </w:rPr>
        <w:t>4.3.1采购进度计划。承包人的采购进度计划符合项目进度计划的时间安排，并与设计、施工、和（或）竣工验收及竣工后试验的进度计划相衔接。</w:t>
      </w:r>
    </w:p>
    <w:p>
      <w:pPr>
        <w:spacing w:line="360" w:lineRule="auto"/>
        <w:ind w:firstLine="420" w:firstLineChars="200"/>
        <w:rPr>
          <w:szCs w:val="21"/>
        </w:rPr>
      </w:pPr>
      <w:r>
        <w:rPr>
          <w:rFonts w:hint="eastAsia"/>
          <w:szCs w:val="21"/>
        </w:rPr>
        <w:t>4.3.2采购开始日期。在专用条款约定。</w:t>
      </w:r>
    </w:p>
    <w:p>
      <w:pPr>
        <w:spacing w:line="360" w:lineRule="auto"/>
        <w:ind w:firstLine="420" w:firstLineChars="200"/>
        <w:rPr>
          <w:szCs w:val="21"/>
        </w:rPr>
      </w:pPr>
      <w:r>
        <w:rPr>
          <w:rFonts w:hint="eastAsia"/>
          <w:szCs w:val="21"/>
        </w:rPr>
        <w:t>4.3.3采购进度延误。因承包人的原因导致采购延误，造成的停工、窝工损失和竣工日期延误，由承包人负责。因发包人原因导致采购延误，给承包人造成的停工、窝工损失，由发包人承担；造成关键路径延误的，竣工日期相应顺延。</w:t>
      </w:r>
    </w:p>
    <w:p>
      <w:pPr>
        <w:spacing w:line="360" w:lineRule="auto"/>
        <w:ind w:firstLine="420" w:firstLineChars="200"/>
        <w:rPr>
          <w:b/>
          <w:szCs w:val="21"/>
        </w:rPr>
      </w:pPr>
      <w:r>
        <w:rPr>
          <w:rFonts w:hint="eastAsia"/>
          <w:b/>
          <w:szCs w:val="21"/>
        </w:rPr>
        <w:t>4.4  施工进度计划</w:t>
      </w:r>
    </w:p>
    <w:p>
      <w:pPr>
        <w:spacing w:line="360" w:lineRule="auto"/>
        <w:ind w:firstLine="420" w:firstLineChars="200"/>
        <w:rPr>
          <w:szCs w:val="21"/>
        </w:rPr>
      </w:pPr>
      <w:r>
        <w:rPr>
          <w:rFonts w:hint="eastAsia"/>
          <w:szCs w:val="21"/>
        </w:rPr>
        <w:t>4.4.1施工进度计划。承包人在现场施工开工</w:t>
      </w:r>
      <w:r>
        <w:rPr>
          <w:szCs w:val="21"/>
        </w:rPr>
        <w:t>15</w:t>
      </w:r>
      <w:r>
        <w:rPr>
          <w:rFonts w:hint="eastAsia"/>
          <w:szCs w:val="21"/>
        </w:rPr>
        <w:t>天前提交一份包括施工进度计划在内的总体施工组织设计。施工进度计划符合项目进度计划的时间安排，并与设计、采购、竣工验收进度计划相衔接。发包人需承包人提交的关键单项工程或（和）关键分部分项工程施工进度计划的，在专用条款中约定。</w:t>
      </w:r>
    </w:p>
    <w:p>
      <w:pPr>
        <w:spacing w:line="360" w:lineRule="auto"/>
        <w:ind w:firstLine="420" w:firstLineChars="200"/>
        <w:rPr>
          <w:szCs w:val="21"/>
        </w:rPr>
      </w:pPr>
      <w:r>
        <w:rPr>
          <w:rFonts w:hint="eastAsia"/>
          <w:szCs w:val="21"/>
        </w:rPr>
        <w:t>4</w:t>
      </w:r>
      <w:r>
        <w:rPr>
          <w:szCs w:val="21"/>
        </w:rPr>
        <w:t>.</w:t>
      </w:r>
      <w:r>
        <w:rPr>
          <w:rFonts w:hint="eastAsia"/>
          <w:szCs w:val="21"/>
        </w:rPr>
        <w:t>4</w:t>
      </w:r>
      <w:r>
        <w:rPr>
          <w:szCs w:val="21"/>
        </w:rPr>
        <w:t>.</w:t>
      </w:r>
      <w:r>
        <w:rPr>
          <w:rFonts w:hint="eastAsia"/>
          <w:szCs w:val="21"/>
        </w:rPr>
        <w:t>2施工开工日期延误。根据下列约定，确定竣工日期的延长：</w:t>
      </w:r>
    </w:p>
    <w:p>
      <w:pPr>
        <w:spacing w:line="360" w:lineRule="auto"/>
        <w:ind w:firstLine="420" w:firstLineChars="200"/>
        <w:rPr>
          <w:szCs w:val="21"/>
        </w:rPr>
      </w:pPr>
      <w:r>
        <w:rPr>
          <w:rFonts w:hint="eastAsia"/>
          <w:szCs w:val="21"/>
        </w:rPr>
        <w:t>（</w:t>
      </w:r>
      <w:r>
        <w:rPr>
          <w:szCs w:val="21"/>
        </w:rPr>
        <w:t>1</w:t>
      </w:r>
      <w:r>
        <w:rPr>
          <w:rFonts w:hint="eastAsia"/>
          <w:szCs w:val="21"/>
        </w:rPr>
        <w:t>）因发包人原因造成承包人不能按时开工的，竣工日期相应顺延。</w:t>
      </w:r>
    </w:p>
    <w:p>
      <w:pPr>
        <w:spacing w:line="360" w:lineRule="auto"/>
        <w:ind w:firstLine="420" w:firstLineChars="200"/>
        <w:rPr>
          <w:szCs w:val="21"/>
        </w:rPr>
      </w:pPr>
      <w:r>
        <w:rPr>
          <w:rFonts w:hint="eastAsia"/>
          <w:szCs w:val="21"/>
        </w:rPr>
        <w:t>（</w:t>
      </w:r>
      <w:r>
        <w:rPr>
          <w:szCs w:val="21"/>
        </w:rPr>
        <w:t>2</w:t>
      </w:r>
      <w:r>
        <w:rPr>
          <w:rFonts w:hint="eastAsia"/>
          <w:szCs w:val="21"/>
        </w:rPr>
        <w:t>）因承包人原因不能按时开工的，需说明正当理由，自费采取措施及早开工，竣工日期不予延长。</w:t>
      </w:r>
    </w:p>
    <w:p>
      <w:pPr>
        <w:spacing w:line="360" w:lineRule="auto"/>
        <w:ind w:firstLine="420" w:firstLineChars="200"/>
        <w:rPr>
          <w:szCs w:val="21"/>
        </w:rPr>
      </w:pPr>
      <w:r>
        <w:rPr>
          <w:rFonts w:hint="eastAsia"/>
          <w:szCs w:val="21"/>
        </w:rPr>
        <w:t>（</w:t>
      </w:r>
      <w:r>
        <w:rPr>
          <w:szCs w:val="21"/>
        </w:rPr>
        <w:t>3</w:t>
      </w:r>
      <w:r>
        <w:rPr>
          <w:rFonts w:hint="eastAsia"/>
          <w:szCs w:val="21"/>
        </w:rPr>
        <w:t>）因不可抗力造成施工开工日期延误的，竣工日期相应顺延。</w:t>
      </w:r>
    </w:p>
    <w:p>
      <w:pPr>
        <w:spacing w:line="360" w:lineRule="auto"/>
        <w:ind w:firstLine="420" w:firstLineChars="200"/>
        <w:rPr>
          <w:szCs w:val="21"/>
        </w:rPr>
      </w:pPr>
      <w:r>
        <w:rPr>
          <w:rFonts w:hint="eastAsia"/>
          <w:szCs w:val="21"/>
        </w:rPr>
        <w:t>4.4.3竣工日期</w:t>
      </w:r>
    </w:p>
    <w:p>
      <w:pPr>
        <w:spacing w:line="360" w:lineRule="auto"/>
        <w:ind w:firstLine="420" w:firstLineChars="200"/>
        <w:rPr>
          <w:szCs w:val="21"/>
        </w:rPr>
      </w:pPr>
      <w:r>
        <w:rPr>
          <w:rFonts w:hint="eastAsia"/>
          <w:szCs w:val="21"/>
        </w:rPr>
        <w:t>1、承包范围包括竣工验收时，按以下方式确定计划竣工日期和实际竣工日期：</w:t>
      </w:r>
    </w:p>
    <w:p>
      <w:pPr>
        <w:spacing w:line="360" w:lineRule="auto"/>
        <w:ind w:firstLine="420" w:firstLineChars="200"/>
        <w:rPr>
          <w:szCs w:val="21"/>
        </w:rPr>
      </w:pPr>
      <w:r>
        <w:rPr>
          <w:rFonts w:hint="eastAsia"/>
          <w:szCs w:val="21"/>
        </w:rPr>
        <w:t>（1）根据9.1款工程接收的专用条款中所约定的单项工程竣工日期，为单项工程的计划竣工日期；工程中最后一个单项工程的计划竣工日期，为工程的计划竣工日期；</w:t>
      </w:r>
    </w:p>
    <w:p>
      <w:pPr>
        <w:spacing w:line="360" w:lineRule="auto"/>
        <w:ind w:firstLine="420" w:firstLineChars="200"/>
        <w:rPr>
          <w:szCs w:val="21"/>
        </w:rPr>
      </w:pPr>
      <w:r>
        <w:rPr>
          <w:rFonts w:hint="eastAsia"/>
          <w:szCs w:val="21"/>
        </w:rPr>
        <w:t>（2）单项工程中最后一项竣工验收通过的日期，为该单项工程的实际竣工日期；</w:t>
      </w:r>
    </w:p>
    <w:p>
      <w:pPr>
        <w:spacing w:line="360" w:lineRule="auto"/>
        <w:ind w:firstLine="420" w:firstLineChars="200"/>
        <w:rPr>
          <w:szCs w:val="21"/>
        </w:rPr>
      </w:pPr>
      <w:r>
        <w:rPr>
          <w:rFonts w:hint="eastAsia"/>
          <w:szCs w:val="21"/>
        </w:rPr>
        <w:t>（3）工程中最后一个单项工程通过竣工验收的日期，为工程的实际竣工日期。</w:t>
      </w:r>
    </w:p>
    <w:p>
      <w:pPr>
        <w:spacing w:line="360" w:lineRule="auto"/>
        <w:ind w:firstLine="420" w:firstLineChars="200"/>
        <w:rPr>
          <w:szCs w:val="21"/>
        </w:rPr>
      </w:pPr>
      <w:r>
        <w:rPr>
          <w:rFonts w:hint="eastAsia"/>
          <w:szCs w:val="21"/>
        </w:rPr>
        <w:t>2、承包范围不包括竣工验收时，按以下方式确定计划竣工日期和实际竣工日期：</w:t>
      </w:r>
    </w:p>
    <w:p>
      <w:pPr>
        <w:spacing w:line="360" w:lineRule="auto"/>
        <w:ind w:firstLine="420" w:firstLineChars="200"/>
        <w:rPr>
          <w:szCs w:val="21"/>
        </w:rPr>
      </w:pPr>
      <w:r>
        <w:rPr>
          <w:rFonts w:hint="eastAsia"/>
          <w:szCs w:val="21"/>
        </w:rPr>
        <w:t>（1）根据9.1款工程接收的专用条款中所约定的单项工程竣工日期，为单项工程的计划竣工日期；工程中最后一个单项工程的计划竣工日期，为工程的计划竣工日期；</w:t>
      </w:r>
    </w:p>
    <w:p>
      <w:pPr>
        <w:spacing w:line="360" w:lineRule="auto"/>
        <w:ind w:firstLine="420" w:firstLineChars="200"/>
        <w:rPr>
          <w:szCs w:val="21"/>
        </w:rPr>
      </w:pPr>
      <w:r>
        <w:rPr>
          <w:rFonts w:hint="eastAsia"/>
          <w:szCs w:val="21"/>
        </w:rPr>
        <w:t>（2）承包人按合同约定，完成施工图纸规定的单项工程中的全部施工作业，并符合约定的质量标准的日期，为单项工程的实际竣工日期；</w:t>
      </w:r>
    </w:p>
    <w:p>
      <w:pPr>
        <w:spacing w:line="360" w:lineRule="auto"/>
        <w:ind w:firstLine="420" w:firstLineChars="200"/>
        <w:rPr>
          <w:szCs w:val="21"/>
        </w:rPr>
      </w:pPr>
      <w:r>
        <w:rPr>
          <w:rFonts w:hint="eastAsia"/>
          <w:szCs w:val="21"/>
        </w:rPr>
        <w:t>（3）承包人按合同约定，完成施工图纸规定的工程中最后一个单项工程的全部施工作业，且符合约定的质量标准的日期，为工程的实际竣工日期</w:t>
      </w:r>
    </w:p>
    <w:p>
      <w:pPr>
        <w:spacing w:line="360" w:lineRule="auto"/>
        <w:ind w:firstLine="420" w:firstLineChars="200"/>
        <w:rPr>
          <w:szCs w:val="21"/>
        </w:rPr>
      </w:pPr>
      <w:r>
        <w:rPr>
          <w:rFonts w:hint="eastAsia"/>
          <w:szCs w:val="21"/>
        </w:rPr>
        <w:t>3、承包人为竣工验收、或竣工后试验预留的施工部位、或发包人要求的施工预留部位、不影响发包人实质操作使用的零星扫尾工程和缺陷修复，不影响竣工日期的确定。</w:t>
      </w:r>
    </w:p>
    <w:p>
      <w:pPr>
        <w:spacing w:before="156" w:beforeLines="50" w:after="156" w:afterLines="50" w:line="360" w:lineRule="auto"/>
        <w:ind w:firstLine="420" w:firstLineChars="200"/>
        <w:rPr>
          <w:b/>
          <w:szCs w:val="21"/>
        </w:rPr>
      </w:pPr>
      <w:r>
        <w:rPr>
          <w:b/>
          <w:szCs w:val="21"/>
        </w:rPr>
        <w:t xml:space="preserve">4.5  </w:t>
      </w:r>
      <w:r>
        <w:rPr>
          <w:rFonts w:hint="eastAsia"/>
          <w:b/>
          <w:szCs w:val="21"/>
        </w:rPr>
        <w:t>提前竣工及其误期赔偿</w:t>
      </w:r>
    </w:p>
    <w:p>
      <w:pPr>
        <w:spacing w:before="156" w:beforeLines="50" w:after="156" w:afterLines="50" w:line="360" w:lineRule="auto"/>
        <w:ind w:firstLine="420" w:firstLineChars="200"/>
        <w:rPr>
          <w:szCs w:val="21"/>
        </w:rPr>
      </w:pPr>
      <w:r>
        <w:rPr>
          <w:rFonts w:hint="eastAsia"/>
          <w:szCs w:val="21"/>
        </w:rPr>
        <w:t>（</w:t>
      </w:r>
      <w:r>
        <w:rPr>
          <w:szCs w:val="21"/>
        </w:rPr>
        <w:t>1</w:t>
      </w:r>
      <w:r>
        <w:rPr>
          <w:rFonts w:hint="eastAsia"/>
          <w:szCs w:val="21"/>
        </w:rPr>
        <w:t>）因承包人原因，造成工程竣工日期延误的，由承包人承担误期赔偿。每日延误的赔偿金额，及按日累计的最高赔偿金额在专用条款中约定。发包人有权从工程进度款、或竣工结算款、或约定提交的履约保证金中扣除赔偿金额。</w:t>
      </w:r>
    </w:p>
    <w:p>
      <w:pPr>
        <w:spacing w:before="156" w:beforeLines="50" w:after="156" w:afterLines="50" w:line="360" w:lineRule="auto"/>
        <w:ind w:firstLine="420" w:firstLineChars="200"/>
        <w:rPr>
          <w:szCs w:val="21"/>
        </w:rPr>
      </w:pPr>
      <w:r>
        <w:rPr>
          <w:rFonts w:hint="eastAsia"/>
          <w:szCs w:val="21"/>
        </w:rPr>
        <w:t>（2）合同双方当时人在专用条款中约定提前完工奖，明确每日历天应奖额度。约定提前完工奖的，如果承包人的实际完工日期早于计划完工日期的且符合本合同专用条款的约定，承包人有权得到提前完工奖。提前完工奖列入结算文件中与结算款一起支付。</w:t>
      </w:r>
    </w:p>
    <w:p>
      <w:pPr>
        <w:spacing w:before="156" w:beforeLines="50" w:after="156" w:afterLines="50" w:line="360" w:lineRule="auto"/>
        <w:ind w:firstLine="420" w:firstLineChars="200"/>
        <w:rPr>
          <w:b/>
          <w:szCs w:val="21"/>
        </w:rPr>
      </w:pPr>
      <w:r>
        <w:rPr>
          <w:rFonts w:hint="eastAsia"/>
          <w:b/>
          <w:szCs w:val="21"/>
        </w:rPr>
        <w:t>4</w:t>
      </w:r>
      <w:r>
        <w:rPr>
          <w:b/>
          <w:szCs w:val="21"/>
        </w:rPr>
        <w:t>.</w:t>
      </w:r>
      <w:r>
        <w:rPr>
          <w:rFonts w:hint="eastAsia"/>
          <w:b/>
          <w:szCs w:val="21"/>
        </w:rPr>
        <w:t>6  暂停</w:t>
      </w:r>
    </w:p>
    <w:p>
      <w:pPr>
        <w:spacing w:line="360" w:lineRule="auto"/>
        <w:ind w:firstLine="420" w:firstLineChars="200"/>
        <w:rPr>
          <w:szCs w:val="21"/>
        </w:rPr>
      </w:pPr>
      <w:r>
        <w:rPr>
          <w:rFonts w:hint="eastAsia"/>
          <w:szCs w:val="21"/>
        </w:rPr>
        <w:t>4</w:t>
      </w:r>
      <w:r>
        <w:rPr>
          <w:szCs w:val="21"/>
        </w:rPr>
        <w:t>.</w:t>
      </w:r>
      <w:r>
        <w:rPr>
          <w:rFonts w:hint="eastAsia"/>
          <w:szCs w:val="21"/>
        </w:rPr>
        <w:t>6</w:t>
      </w:r>
      <w:r>
        <w:rPr>
          <w:szCs w:val="21"/>
        </w:rPr>
        <w:t>.1</w:t>
      </w:r>
      <w:r>
        <w:rPr>
          <w:rFonts w:hint="eastAsia"/>
          <w:szCs w:val="21"/>
        </w:rPr>
        <w:t>发包人的暂停。发包人可以书面形式通知承包人暂停工程实施中的任何工作。通知中列明暂停日期及预计暂停的期限。</w:t>
      </w:r>
    </w:p>
    <w:p>
      <w:pPr>
        <w:spacing w:line="360" w:lineRule="auto"/>
        <w:ind w:firstLine="420" w:firstLineChars="200"/>
        <w:rPr>
          <w:szCs w:val="21"/>
        </w:rPr>
      </w:pPr>
      <w:r>
        <w:rPr>
          <w:rFonts w:hint="eastAsia"/>
          <w:szCs w:val="21"/>
        </w:rPr>
        <w:t>承包人因执行此项暂停而遭受的费用增加，或因复工而增加的合理费用，由发包人承担。因此造成工程关键路径延误的，竣工日期相应顺延。</w:t>
      </w:r>
    </w:p>
    <w:p>
      <w:pPr>
        <w:spacing w:line="360" w:lineRule="auto"/>
        <w:ind w:firstLine="420" w:firstLineChars="200"/>
        <w:rPr>
          <w:szCs w:val="21"/>
        </w:rPr>
      </w:pPr>
      <w:r>
        <w:rPr>
          <w:rFonts w:hint="eastAsia"/>
          <w:szCs w:val="21"/>
        </w:rPr>
        <w:t>4</w:t>
      </w:r>
      <w:r>
        <w:rPr>
          <w:szCs w:val="21"/>
        </w:rPr>
        <w:t>.</w:t>
      </w:r>
      <w:r>
        <w:rPr>
          <w:rFonts w:hint="eastAsia"/>
          <w:szCs w:val="21"/>
        </w:rPr>
        <w:t>6</w:t>
      </w:r>
      <w:r>
        <w:rPr>
          <w:szCs w:val="21"/>
        </w:rPr>
        <w:t>.2</w:t>
      </w:r>
      <w:r>
        <w:rPr>
          <w:rFonts w:hint="eastAsia"/>
          <w:szCs w:val="21"/>
        </w:rPr>
        <w:t>因不可抗力造成的暂停。根据17.1款不可抗力发生的义务和17.2款不可抗力的后果的条款约定，安排各方的工作。</w:t>
      </w:r>
    </w:p>
    <w:p>
      <w:pPr>
        <w:spacing w:line="360" w:lineRule="auto"/>
        <w:ind w:firstLine="420" w:firstLineChars="200"/>
        <w:rPr>
          <w:szCs w:val="21"/>
        </w:rPr>
      </w:pPr>
      <w:r>
        <w:rPr>
          <w:rFonts w:hint="eastAsia"/>
          <w:szCs w:val="21"/>
        </w:rPr>
        <w:t>4</w:t>
      </w:r>
      <w:r>
        <w:rPr>
          <w:szCs w:val="21"/>
        </w:rPr>
        <w:t>.</w:t>
      </w:r>
      <w:r>
        <w:rPr>
          <w:rFonts w:hint="eastAsia"/>
          <w:szCs w:val="21"/>
        </w:rPr>
        <w:t>6</w:t>
      </w:r>
      <w:r>
        <w:rPr>
          <w:szCs w:val="21"/>
        </w:rPr>
        <w:t>.3</w:t>
      </w:r>
      <w:r>
        <w:rPr>
          <w:rFonts w:hint="eastAsia"/>
          <w:szCs w:val="21"/>
        </w:rPr>
        <w:t>暂停时承包人的工作。当</w:t>
      </w:r>
      <w:r>
        <w:rPr>
          <w:szCs w:val="21"/>
        </w:rPr>
        <w:t>4.</w:t>
      </w:r>
      <w:r>
        <w:rPr>
          <w:rFonts w:hint="eastAsia"/>
          <w:szCs w:val="21"/>
        </w:rPr>
        <w:t>6</w:t>
      </w:r>
      <w:r>
        <w:rPr>
          <w:szCs w:val="21"/>
        </w:rPr>
        <w:t>.1</w:t>
      </w:r>
      <w:r>
        <w:rPr>
          <w:rFonts w:hint="eastAsia"/>
          <w:szCs w:val="21"/>
        </w:rPr>
        <w:t>款发包人的暂停和</w:t>
      </w:r>
      <w:r>
        <w:rPr>
          <w:szCs w:val="21"/>
        </w:rPr>
        <w:t>4.</w:t>
      </w:r>
      <w:r>
        <w:rPr>
          <w:rFonts w:hint="eastAsia"/>
          <w:szCs w:val="21"/>
        </w:rPr>
        <w:t>6</w:t>
      </w:r>
      <w:r>
        <w:rPr>
          <w:szCs w:val="21"/>
        </w:rPr>
        <w:t>.2</w:t>
      </w:r>
      <w:r>
        <w:rPr>
          <w:rFonts w:hint="eastAsia"/>
          <w:szCs w:val="21"/>
        </w:rPr>
        <w:t>款因不可抗力的暂停发生时，承包人立即停止现场的实施工作。并在暂停期间，根据合同约定，由承包人负责照料、保护、监管的人员、工程、物资及承包人的文件等。因承包人未能尽到照料、保护和监管责任，造成损坏、变质等，使发包人的费用增加，或（和）竣工日期的延误，由承包人负责。</w:t>
      </w:r>
    </w:p>
    <w:p>
      <w:pPr>
        <w:spacing w:line="360" w:lineRule="auto"/>
        <w:ind w:firstLine="420" w:firstLineChars="200"/>
        <w:rPr>
          <w:szCs w:val="21"/>
        </w:rPr>
      </w:pPr>
      <w:r>
        <w:rPr>
          <w:rFonts w:hint="eastAsia"/>
          <w:szCs w:val="21"/>
        </w:rPr>
        <w:t>4.6.4承包人的复工要求。根据</w:t>
      </w:r>
      <w:r>
        <w:rPr>
          <w:szCs w:val="21"/>
        </w:rPr>
        <w:t>4.</w:t>
      </w:r>
      <w:r>
        <w:rPr>
          <w:rFonts w:hint="eastAsia"/>
          <w:szCs w:val="21"/>
        </w:rPr>
        <w:t>6</w:t>
      </w:r>
      <w:r>
        <w:rPr>
          <w:szCs w:val="21"/>
        </w:rPr>
        <w:t>.1</w:t>
      </w:r>
      <w:r>
        <w:rPr>
          <w:rFonts w:hint="eastAsia"/>
          <w:szCs w:val="21"/>
        </w:rPr>
        <w:t>款发包人通知的暂停，承包人有权在暂停的</w:t>
      </w:r>
      <w:r>
        <w:rPr>
          <w:szCs w:val="21"/>
        </w:rPr>
        <w:t>45</w:t>
      </w:r>
      <w:r>
        <w:rPr>
          <w:rFonts w:hint="eastAsia"/>
          <w:szCs w:val="21"/>
        </w:rPr>
        <w:t>天后通知要求复工。不能复工时，承包人有权根据</w:t>
      </w:r>
      <w:r>
        <w:rPr>
          <w:szCs w:val="21"/>
        </w:rPr>
        <w:t>13.2.</w:t>
      </w:r>
      <w:r>
        <w:rPr>
          <w:rFonts w:hint="eastAsia"/>
          <w:szCs w:val="21"/>
        </w:rPr>
        <w:t>5款调减部分工程的约定，以变更方式调减受暂停影响的部分工程。</w:t>
      </w:r>
    </w:p>
    <w:p>
      <w:pPr>
        <w:spacing w:line="360" w:lineRule="auto"/>
        <w:ind w:firstLine="420" w:firstLineChars="200"/>
        <w:rPr>
          <w:szCs w:val="21"/>
        </w:rPr>
      </w:pPr>
      <w:r>
        <w:rPr>
          <w:rFonts w:hint="eastAsia"/>
          <w:szCs w:val="21"/>
        </w:rPr>
        <w:t>发包人的暂停超过45天且暂停影响到整个工程，或发包人的暂停超过180天，或因不可抗力的暂停致使合同无法履行，承包人有权根据</w:t>
      </w:r>
      <w:r>
        <w:rPr>
          <w:szCs w:val="21"/>
        </w:rPr>
        <w:t>1</w:t>
      </w:r>
      <w:r>
        <w:rPr>
          <w:rFonts w:hint="eastAsia"/>
          <w:szCs w:val="21"/>
        </w:rPr>
        <w:t>8</w:t>
      </w:r>
      <w:r>
        <w:rPr>
          <w:szCs w:val="21"/>
        </w:rPr>
        <w:t>.</w:t>
      </w:r>
      <w:r>
        <w:rPr>
          <w:rFonts w:hint="eastAsia"/>
          <w:szCs w:val="21"/>
        </w:rPr>
        <w:t>2款由承包人解除合同的约定，发出解除合同的通知。</w:t>
      </w:r>
    </w:p>
    <w:p>
      <w:pPr>
        <w:spacing w:line="360" w:lineRule="auto"/>
        <w:ind w:firstLine="420" w:firstLineChars="200"/>
        <w:rPr>
          <w:szCs w:val="21"/>
        </w:rPr>
      </w:pPr>
      <w:r>
        <w:rPr>
          <w:rFonts w:hint="eastAsia"/>
          <w:szCs w:val="21"/>
        </w:rPr>
        <w:t>4.6.5发包人的复工。发包人发出复工通知后，发包人有权组织承包人对受暂停影响的工程、设备、材料、部件进行检查，承包人将检查结果及需要恢复、修复的内容和估算通知发包人，经发包人确认后，所发生的恢复、修复价款由发包人承担。因恢复、修复造成工程关键路径延误的，竣工日期相应延长。</w:t>
      </w:r>
    </w:p>
    <w:p>
      <w:pPr>
        <w:spacing w:line="360" w:lineRule="auto"/>
        <w:ind w:firstLine="420" w:firstLineChars="200"/>
        <w:rPr>
          <w:szCs w:val="21"/>
        </w:rPr>
      </w:pPr>
      <w:r>
        <w:rPr>
          <w:rFonts w:hint="eastAsia"/>
          <w:szCs w:val="21"/>
        </w:rPr>
        <w:t>4.6.6因承包人原因的暂停。因承包人原因所造成的部分工程或工程的暂停，所发生的损失、损害及竣工日期延误，由承包人负责。</w:t>
      </w:r>
    </w:p>
    <w:p>
      <w:pPr>
        <w:spacing w:line="360" w:lineRule="auto"/>
        <w:ind w:firstLine="420" w:firstLineChars="200"/>
        <w:rPr>
          <w:szCs w:val="21"/>
        </w:rPr>
      </w:pPr>
      <w:r>
        <w:rPr>
          <w:rFonts w:hint="eastAsia"/>
          <w:szCs w:val="21"/>
        </w:rPr>
        <w:t>4.6.7工程暂停时的付款。发生发包人的暂停时，除已完的工程按合同约定付款外，</w:t>
      </w:r>
      <w:r>
        <w:rPr>
          <w:szCs w:val="21"/>
        </w:rPr>
        <w:t>发包人</w:t>
      </w:r>
      <w:r>
        <w:rPr>
          <w:rFonts w:hint="eastAsia"/>
          <w:szCs w:val="21"/>
        </w:rPr>
        <w:t>须</w:t>
      </w:r>
      <w:r>
        <w:rPr>
          <w:szCs w:val="21"/>
        </w:rPr>
        <w:t>赔偿</w:t>
      </w:r>
      <w:r>
        <w:rPr>
          <w:rFonts w:hint="eastAsia"/>
          <w:szCs w:val="21"/>
        </w:rPr>
        <w:t>因此给</w:t>
      </w:r>
      <w:r>
        <w:rPr>
          <w:szCs w:val="21"/>
        </w:rPr>
        <w:t>承包人造成的停工、窝工、倒运、机械设备调迁、材料和构件积压等</w:t>
      </w:r>
      <w:r>
        <w:rPr>
          <w:rFonts w:hint="eastAsia"/>
          <w:szCs w:val="21"/>
        </w:rPr>
        <w:t>经济</w:t>
      </w:r>
      <w:r>
        <w:rPr>
          <w:szCs w:val="21"/>
        </w:rPr>
        <w:t>损失</w:t>
      </w:r>
      <w:r>
        <w:rPr>
          <w:rFonts w:hint="eastAsia"/>
          <w:szCs w:val="21"/>
        </w:rPr>
        <w:t>，并按下述约定进行永久性工程设备、材料和部件的付款：</w:t>
      </w:r>
    </w:p>
    <w:p>
      <w:pPr>
        <w:spacing w:line="360" w:lineRule="auto"/>
        <w:ind w:firstLine="420" w:firstLineChars="200"/>
        <w:rPr>
          <w:szCs w:val="21"/>
        </w:rPr>
      </w:pPr>
      <w:r>
        <w:rPr>
          <w:rFonts w:hint="eastAsia"/>
          <w:szCs w:val="21"/>
        </w:rPr>
        <w:t>（</w:t>
      </w:r>
      <w:r>
        <w:rPr>
          <w:szCs w:val="21"/>
        </w:rPr>
        <w:t>1</w:t>
      </w:r>
      <w:r>
        <w:rPr>
          <w:rFonts w:hint="eastAsia"/>
          <w:szCs w:val="21"/>
        </w:rPr>
        <w:t>）承包人负责采购并构成工程实体的，但尚未能按采购进度款付款的设备、材料和部件，承包人将该款项单独列入</w:t>
      </w:r>
      <w:r>
        <w:rPr>
          <w:szCs w:val="21"/>
        </w:rPr>
        <w:t>14.6</w:t>
      </w:r>
      <w:r>
        <w:rPr>
          <w:rFonts w:hint="eastAsia"/>
          <w:szCs w:val="21"/>
        </w:rPr>
        <w:t>款按月工程进度申请付款或</w:t>
      </w:r>
      <w:r>
        <w:rPr>
          <w:szCs w:val="21"/>
        </w:rPr>
        <w:t>14.7</w:t>
      </w:r>
      <w:r>
        <w:rPr>
          <w:rFonts w:hint="eastAsia"/>
          <w:szCs w:val="21"/>
        </w:rPr>
        <w:t>款按付款计划表申请付款的报表中，发包人按</w:t>
      </w:r>
      <w:r>
        <w:rPr>
          <w:szCs w:val="21"/>
        </w:rPr>
        <w:t>14.8款的付款</w:t>
      </w:r>
      <w:r>
        <w:rPr>
          <w:rFonts w:hint="eastAsia"/>
          <w:szCs w:val="21"/>
        </w:rPr>
        <w:t>时间安排支付；</w:t>
      </w:r>
    </w:p>
    <w:p>
      <w:pPr>
        <w:spacing w:line="360" w:lineRule="auto"/>
        <w:ind w:firstLine="420" w:firstLineChars="200"/>
        <w:rPr>
          <w:szCs w:val="21"/>
        </w:rPr>
      </w:pPr>
      <w:r>
        <w:rPr>
          <w:rFonts w:hint="eastAsia"/>
          <w:szCs w:val="21"/>
        </w:rPr>
        <w:t>（2）承包人负责采购并运抵现场的永久性工程设备、材料和部件，尚未验收付款的部分，双方需进行验收交接。对其中有缺陷的设备、材料和部件，承包人自费修复。修复合格并经发包人验收后，根据14.4.1款工程进度款的约定，支付其中的采购进度款。</w:t>
      </w:r>
    </w:p>
    <w:p>
      <w:pPr>
        <w:spacing w:line="360" w:lineRule="auto"/>
        <w:ind w:firstLine="420" w:firstLineChars="200"/>
        <w:rPr>
          <w:szCs w:val="21"/>
        </w:rPr>
      </w:pPr>
      <w:r>
        <w:rPr>
          <w:rFonts w:hint="eastAsia"/>
          <w:szCs w:val="21"/>
        </w:rPr>
        <w:t>（</w:t>
      </w:r>
      <w:r>
        <w:rPr>
          <w:szCs w:val="21"/>
        </w:rPr>
        <w:t>3</w:t>
      </w:r>
      <w:r>
        <w:rPr>
          <w:rFonts w:hint="eastAsia"/>
          <w:szCs w:val="21"/>
        </w:rPr>
        <w:t>）发包人承担承包人为永久性工程订购的、尚未运抵现场的设备、材料和部件的相应款项。</w:t>
      </w:r>
    </w:p>
    <w:p>
      <w:pPr>
        <w:spacing w:line="360" w:lineRule="auto"/>
        <w:ind w:firstLine="420" w:firstLineChars="200"/>
        <w:rPr>
          <w:szCs w:val="21"/>
        </w:rPr>
      </w:pPr>
      <w:r>
        <w:rPr>
          <w:rFonts w:hint="eastAsia"/>
          <w:szCs w:val="21"/>
        </w:rPr>
        <w:t>（</w:t>
      </w:r>
      <w:r>
        <w:rPr>
          <w:szCs w:val="21"/>
        </w:rPr>
        <w:t>4</w:t>
      </w:r>
      <w:r>
        <w:rPr>
          <w:rFonts w:hint="eastAsia"/>
          <w:szCs w:val="21"/>
        </w:rPr>
        <w:t>）发包人要求承包人对已订货的永久性工程设备、材料和部件进行退货时，其供应商、制造厂要求的补偿、赔偿等相关费用，由发包人承担。</w:t>
      </w:r>
    </w:p>
    <w:p>
      <w:pPr>
        <w:spacing w:before="156" w:beforeLines="50" w:after="156" w:afterLines="50" w:line="360" w:lineRule="auto"/>
        <w:ind w:firstLine="411" w:firstLineChars="196"/>
        <w:rPr>
          <w:b/>
          <w:szCs w:val="21"/>
        </w:rPr>
      </w:pPr>
      <w:r>
        <w:rPr>
          <w:rFonts w:hint="eastAsia"/>
          <w:b/>
          <w:szCs w:val="21"/>
        </w:rPr>
        <w:t>第</w:t>
      </w:r>
      <w:r>
        <w:rPr>
          <w:b/>
          <w:szCs w:val="21"/>
        </w:rPr>
        <w:t>5</w:t>
      </w:r>
      <w:r>
        <w:rPr>
          <w:rFonts w:hint="eastAsia"/>
          <w:b/>
          <w:szCs w:val="21"/>
        </w:rPr>
        <w:t>条技术与设计</w:t>
      </w:r>
    </w:p>
    <w:p>
      <w:pPr>
        <w:spacing w:after="156" w:afterLines="50" w:line="360" w:lineRule="auto"/>
        <w:ind w:firstLine="411" w:firstLineChars="196"/>
        <w:rPr>
          <w:b/>
          <w:szCs w:val="21"/>
        </w:rPr>
      </w:pPr>
      <w:r>
        <w:rPr>
          <w:rFonts w:hint="eastAsia"/>
          <w:b/>
          <w:szCs w:val="21"/>
        </w:rPr>
        <w:t>5.1  生产工艺技术、建筑艺术造型</w:t>
      </w:r>
    </w:p>
    <w:p>
      <w:pPr>
        <w:spacing w:line="360" w:lineRule="auto"/>
        <w:ind w:firstLine="420" w:firstLineChars="200"/>
        <w:rPr>
          <w:szCs w:val="21"/>
        </w:rPr>
      </w:pPr>
      <w:r>
        <w:rPr>
          <w:rFonts w:hint="eastAsia"/>
          <w:szCs w:val="21"/>
        </w:rPr>
        <w:t>5.1.1承包人提供的工艺技术或建筑艺术造型</w:t>
      </w:r>
    </w:p>
    <w:p>
      <w:pPr>
        <w:spacing w:line="360" w:lineRule="auto"/>
        <w:ind w:firstLine="420" w:firstLineChars="200"/>
        <w:rPr>
          <w:szCs w:val="21"/>
        </w:rPr>
      </w:pPr>
      <w:r>
        <w:rPr>
          <w:rFonts w:hint="eastAsia"/>
          <w:szCs w:val="21"/>
        </w:rPr>
        <w:t>由承包人负责提供的生产工艺技术（含专利技术、专有技术、工艺包）或（和）建筑艺术造型（含建筑设计）时，承包人对所提供的工艺技术数据、工艺条件、软件、分析手册、操作指导书、设备制造指导书和其他资料、其他要求，或（和）建筑艺术造型及其结构设计负责。建筑造型需与主厂房的建筑造型、风格保持一致，必须得到发包人的确认。</w:t>
      </w:r>
    </w:p>
    <w:p>
      <w:pPr>
        <w:spacing w:line="360" w:lineRule="auto"/>
        <w:ind w:firstLine="420" w:firstLineChars="200"/>
        <w:rPr>
          <w:szCs w:val="21"/>
        </w:rPr>
      </w:pPr>
      <w:r>
        <w:rPr>
          <w:rFonts w:hint="eastAsia"/>
          <w:szCs w:val="21"/>
        </w:rPr>
        <w:t>承包人对本专用条款约定的试运行考核保证值、或（和）使用功能保证的说明负责。该试运行考核保证值、或（和）使用功能保证的说明，作为</w:t>
      </w:r>
      <w:r>
        <w:rPr>
          <w:szCs w:val="21"/>
        </w:rPr>
        <w:t>10.3.3</w:t>
      </w:r>
      <w:r>
        <w:rPr>
          <w:rFonts w:hint="eastAsia"/>
          <w:szCs w:val="21"/>
        </w:rPr>
        <w:t>款试运行考核的评价依据。根据工程特点，在专用条款中约定工程或（和）单项工程的试运行考核保证值、或使用功能保证的说明。</w:t>
      </w:r>
    </w:p>
    <w:p>
      <w:pPr>
        <w:spacing w:before="156" w:beforeLines="50" w:after="156" w:afterLines="50" w:line="360" w:lineRule="auto"/>
        <w:ind w:firstLine="411" w:firstLineChars="196"/>
        <w:rPr>
          <w:b/>
          <w:szCs w:val="21"/>
        </w:rPr>
      </w:pPr>
      <w:r>
        <w:rPr>
          <w:b/>
          <w:szCs w:val="21"/>
        </w:rPr>
        <w:t>5.</w:t>
      </w:r>
      <w:r>
        <w:rPr>
          <w:rFonts w:hint="eastAsia"/>
          <w:b/>
          <w:szCs w:val="21"/>
        </w:rPr>
        <w:t>2  设计</w:t>
      </w:r>
    </w:p>
    <w:p>
      <w:pPr>
        <w:spacing w:line="360" w:lineRule="auto"/>
        <w:ind w:firstLine="420" w:firstLineChars="200"/>
        <w:rPr>
          <w:szCs w:val="21"/>
        </w:rPr>
      </w:pPr>
      <w:r>
        <w:rPr>
          <w:rFonts w:hint="eastAsia"/>
          <w:szCs w:val="21"/>
        </w:rPr>
        <w:t>5.2</w:t>
      </w:r>
      <w:r>
        <w:rPr>
          <w:szCs w:val="21"/>
        </w:rPr>
        <w:t>.1</w:t>
      </w:r>
      <w:r>
        <w:rPr>
          <w:rFonts w:hint="eastAsia"/>
          <w:szCs w:val="21"/>
        </w:rPr>
        <w:t>发包人的义务</w:t>
      </w:r>
    </w:p>
    <w:p>
      <w:pPr>
        <w:spacing w:line="360" w:lineRule="auto"/>
        <w:ind w:firstLine="420" w:firstLineChars="200"/>
        <w:rPr>
          <w:szCs w:val="21"/>
        </w:rPr>
      </w:pPr>
      <w:r>
        <w:rPr>
          <w:rFonts w:hint="eastAsia"/>
          <w:szCs w:val="21"/>
        </w:rPr>
        <w:t>（1）提供项目基础资料。发包人按合同约定、行政法规或行业规定，向承包人提供设计需要的项目基础资料，对其真实、准确、齐全和及时负责。提供的项目基础资料有不真实、不准确或不齐全时，有义务按约定的时间向承包人提供进一步补充资料。提供项目基础资料的类别、内容、份数和时间在专用条款中约定。</w:t>
      </w:r>
    </w:p>
    <w:p>
      <w:pPr>
        <w:spacing w:line="360" w:lineRule="auto"/>
        <w:ind w:firstLine="420" w:firstLineChars="200"/>
        <w:rPr>
          <w:szCs w:val="21"/>
        </w:rPr>
      </w:pPr>
      <w:r>
        <w:rPr>
          <w:rFonts w:hint="eastAsia"/>
          <w:szCs w:val="21"/>
        </w:rPr>
        <w:t>发包人提供的项目基础资料中有专利商提供的技术或工艺包，或是独立建筑师提供的建筑艺术造型等，发包人有义务组织专利商或独立建筑师与承包人进行数据、条件和资料的交换、协调和交接。</w:t>
      </w:r>
    </w:p>
    <w:p>
      <w:pPr>
        <w:spacing w:line="360" w:lineRule="auto"/>
        <w:ind w:firstLine="420" w:firstLineChars="200"/>
        <w:rPr>
          <w:szCs w:val="21"/>
        </w:rPr>
      </w:pPr>
      <w:r>
        <w:rPr>
          <w:rFonts w:hint="eastAsia"/>
          <w:szCs w:val="21"/>
        </w:rPr>
        <w:t>发包人未能按约定时间提供项目基础资料及其补充资料、或提供的资料不真实、不准确、不齐全、或发包人的计划变更，造成承包人的设计停工、返工或修改的，发包人按承包人额外增加的设计工作量赔偿其损失。造成工程关键路径延误的，竣工日期相应顺延。</w:t>
      </w:r>
    </w:p>
    <w:p>
      <w:pPr>
        <w:spacing w:line="360" w:lineRule="auto"/>
        <w:ind w:firstLine="420" w:firstLineChars="200"/>
        <w:rPr>
          <w:szCs w:val="21"/>
        </w:rPr>
      </w:pPr>
      <w:r>
        <w:rPr>
          <w:rFonts w:hint="eastAsia"/>
          <w:szCs w:val="21"/>
        </w:rPr>
        <w:t>（2）提供现场障碍资料。发包人按合同约定和适用法律规定，在设计开始前，提供与设计、施工有关的地上、地下已有的建筑物、构筑物等现场障碍资料，并对其真实、准确、齐全和及时负责。因提供的资料不真实、不准确、不齐全、不及时造成的设计停工、返工和修改的，发包人按承包人额外增加的设计工作量赔偿其损失。造成工程关键路径延误的，竣工日期相应顺延。提供项目障碍资料的类别、内容、份数和时间安排，在专用条款中约定。</w:t>
      </w:r>
    </w:p>
    <w:p>
      <w:pPr>
        <w:spacing w:line="360" w:lineRule="auto"/>
        <w:ind w:firstLine="420" w:firstLineChars="200"/>
        <w:rPr>
          <w:szCs w:val="21"/>
        </w:rPr>
      </w:pPr>
      <w:r>
        <w:rPr>
          <w:rFonts w:hint="eastAsia"/>
          <w:szCs w:val="21"/>
        </w:rPr>
        <w:t>（3）承包人无法核实发包人所提供的项目基础资料中的数据、条件和资料的，发包人有义务给予进一步确认。</w:t>
      </w:r>
    </w:p>
    <w:p>
      <w:pPr>
        <w:spacing w:line="360" w:lineRule="auto"/>
        <w:ind w:firstLine="420" w:firstLineChars="200"/>
        <w:rPr>
          <w:szCs w:val="21"/>
        </w:rPr>
      </w:pPr>
      <w:r>
        <w:rPr>
          <w:rFonts w:hint="eastAsia"/>
          <w:szCs w:val="21"/>
        </w:rPr>
        <w:t>5.2.</w:t>
      </w:r>
      <w:r>
        <w:rPr>
          <w:szCs w:val="21"/>
        </w:rPr>
        <w:t>2</w:t>
      </w:r>
      <w:r>
        <w:rPr>
          <w:rFonts w:hint="eastAsia"/>
          <w:szCs w:val="21"/>
        </w:rPr>
        <w:t>承包人的义务</w:t>
      </w:r>
    </w:p>
    <w:p>
      <w:pPr>
        <w:spacing w:line="360" w:lineRule="auto"/>
        <w:ind w:firstLine="420" w:firstLineChars="200"/>
        <w:rPr>
          <w:szCs w:val="21"/>
        </w:rPr>
      </w:pPr>
      <w:r>
        <w:rPr>
          <w:rFonts w:hint="eastAsia"/>
          <w:szCs w:val="21"/>
        </w:rPr>
        <w:t>（1）承包人与发包人（及其专利商）以书面形式交接发包人按</w:t>
      </w:r>
      <w:r>
        <w:rPr>
          <w:szCs w:val="21"/>
        </w:rPr>
        <w:t>5.</w:t>
      </w:r>
      <w:r>
        <w:rPr>
          <w:rFonts w:hint="eastAsia"/>
          <w:szCs w:val="21"/>
        </w:rPr>
        <w:t>2</w:t>
      </w:r>
      <w:r>
        <w:rPr>
          <w:szCs w:val="21"/>
        </w:rPr>
        <w:t>.1</w:t>
      </w:r>
      <w:r>
        <w:rPr>
          <w:rFonts w:hint="eastAsia"/>
          <w:szCs w:val="21"/>
        </w:rPr>
        <w:t>款第</w:t>
      </w:r>
      <w:r>
        <w:rPr>
          <w:szCs w:val="21"/>
        </w:rPr>
        <w:t>1</w:t>
      </w:r>
      <w:r>
        <w:rPr>
          <w:rFonts w:hint="eastAsia"/>
          <w:szCs w:val="21"/>
        </w:rPr>
        <w:t>项提供的设计项目基础资料、第2项提供的与设计有关的现场障碍资料。对这些资料中的短缺、遗漏和不足，承包人在收到发包人提供的上述资料后15日内有义务向发包人提出进一步的补充要求。因承包人未能在上述时间内提出补充要求而发生的损失由承包人自行承担；由此造成工程关键路径延误的，竣工日期不予顺延。</w:t>
      </w:r>
    </w:p>
    <w:p>
      <w:pPr>
        <w:spacing w:line="360" w:lineRule="auto"/>
        <w:ind w:firstLine="420" w:firstLineChars="200"/>
        <w:rPr>
          <w:szCs w:val="21"/>
        </w:rPr>
      </w:pPr>
      <w:r>
        <w:rPr>
          <w:rFonts w:hint="eastAsia"/>
          <w:szCs w:val="21"/>
        </w:rPr>
        <w:t>（2）承包人有义务按照发包人提供的项目基础资料、现场障碍资料和行政法规规定的设计深度开展设计。并对其设计的工艺技术或建筑艺术造型，及工程的安全、环境保护、职业健康的标准，设备材料的质量、工程质量和完成时间负责。因承包人设计的原因，造成的费用增加、竣工日期延误，由承包人承担。</w:t>
      </w:r>
    </w:p>
    <w:p>
      <w:pPr>
        <w:spacing w:line="360" w:lineRule="auto"/>
        <w:ind w:firstLine="420" w:firstLineChars="200"/>
        <w:rPr>
          <w:szCs w:val="21"/>
        </w:rPr>
      </w:pPr>
      <w:r>
        <w:rPr>
          <w:rFonts w:hint="eastAsia"/>
          <w:szCs w:val="21"/>
        </w:rPr>
        <w:t>5</w:t>
      </w:r>
      <w:r>
        <w:rPr>
          <w:szCs w:val="21"/>
        </w:rPr>
        <w:t>.</w:t>
      </w:r>
      <w:r>
        <w:rPr>
          <w:rFonts w:hint="eastAsia"/>
          <w:szCs w:val="21"/>
        </w:rPr>
        <w:t>2</w:t>
      </w:r>
      <w:r>
        <w:rPr>
          <w:szCs w:val="21"/>
        </w:rPr>
        <w:t>.3</w:t>
      </w:r>
      <w:r>
        <w:rPr>
          <w:rFonts w:hint="eastAsia"/>
          <w:szCs w:val="21"/>
        </w:rPr>
        <w:t>遵守标准、规范</w:t>
      </w:r>
    </w:p>
    <w:p>
      <w:pPr>
        <w:spacing w:line="360" w:lineRule="auto"/>
        <w:ind w:firstLine="420" w:firstLineChars="200"/>
        <w:rPr>
          <w:szCs w:val="21"/>
        </w:rPr>
      </w:pPr>
      <w:r>
        <w:rPr>
          <w:rFonts w:hint="eastAsia"/>
          <w:szCs w:val="21"/>
        </w:rPr>
        <w:t>（1）1.5款约定的标准、规范，适用于发包人按单项工程接收或（和）整个工程接收。</w:t>
      </w:r>
    </w:p>
    <w:p>
      <w:pPr>
        <w:spacing w:line="360" w:lineRule="auto"/>
        <w:ind w:firstLine="420" w:firstLineChars="200"/>
        <w:rPr>
          <w:szCs w:val="21"/>
        </w:rPr>
      </w:pPr>
      <w:r>
        <w:rPr>
          <w:rFonts w:hint="eastAsia"/>
          <w:szCs w:val="21"/>
        </w:rPr>
        <w:t>（2）在合同实施过程中国家颁布了新的标准或规范时，承包人有义务向发包人提交有关新标准、新规范的建议书。对其中的强制性标准、规范，皆须遵守，并作为变更处理；对于非强制性及推荐性的标准、规范，发包人可决定采用或不采用，决定采用时，作为变更处理。</w:t>
      </w:r>
    </w:p>
    <w:p>
      <w:pPr>
        <w:spacing w:line="360" w:lineRule="auto"/>
        <w:ind w:firstLine="420" w:firstLineChars="200"/>
        <w:rPr>
          <w:szCs w:val="21"/>
        </w:rPr>
      </w:pPr>
      <w:r>
        <w:rPr>
          <w:rFonts w:hint="eastAsia"/>
          <w:szCs w:val="21"/>
        </w:rPr>
        <w:t>（3）依据适用法规和合同约定的标准、规范所完成的设计图纸、设计文件中的技术数据和技术条件，是永久性工程的设备、材料、部件采购质量、施工质量及竣工验收质量的依据。</w:t>
      </w:r>
    </w:p>
    <w:p>
      <w:pPr>
        <w:spacing w:line="360" w:lineRule="auto"/>
        <w:ind w:firstLine="420" w:firstLineChars="200"/>
        <w:rPr>
          <w:szCs w:val="21"/>
        </w:rPr>
      </w:pPr>
      <w:r>
        <w:rPr>
          <w:rFonts w:hint="eastAsia"/>
          <w:szCs w:val="21"/>
        </w:rPr>
        <w:t>5</w:t>
      </w:r>
      <w:r>
        <w:rPr>
          <w:szCs w:val="21"/>
        </w:rPr>
        <w:t>.</w:t>
      </w:r>
      <w:r>
        <w:rPr>
          <w:rFonts w:hint="eastAsia"/>
          <w:szCs w:val="21"/>
        </w:rPr>
        <w:t>2</w:t>
      </w:r>
      <w:r>
        <w:rPr>
          <w:szCs w:val="21"/>
        </w:rPr>
        <w:t>.</w:t>
      </w:r>
      <w:r>
        <w:rPr>
          <w:rFonts w:hint="eastAsia"/>
          <w:szCs w:val="21"/>
        </w:rPr>
        <w:t>4操作维修手册。由承包人指导竣工后试验和试运行考核试验，并编制操作维修手册的，发包人按5.2.1款第1项第二段的约定，责令其专利商或发包人的其他承包人向承包人提供操作指南及分析手册，并对其资料的真实、准确、齐全和及时负责，除非专用条款另有约定。发包人提交操作指南、分析手册，及承包人提交操作维修手册的份数、提交期限，在专用条款中约定。</w:t>
      </w:r>
    </w:p>
    <w:p>
      <w:pPr>
        <w:spacing w:line="360" w:lineRule="auto"/>
        <w:ind w:firstLine="420" w:firstLineChars="200"/>
        <w:rPr>
          <w:szCs w:val="21"/>
        </w:rPr>
      </w:pPr>
      <w:r>
        <w:rPr>
          <w:rFonts w:hint="eastAsia"/>
          <w:szCs w:val="21"/>
        </w:rPr>
        <w:t>5.2.5设计文件的主要内容在专用条款中约定。</w:t>
      </w:r>
    </w:p>
    <w:p>
      <w:pPr>
        <w:spacing w:line="360" w:lineRule="auto"/>
        <w:ind w:firstLine="420" w:firstLineChars="200"/>
        <w:rPr>
          <w:szCs w:val="21"/>
        </w:rPr>
      </w:pPr>
      <w:r>
        <w:rPr>
          <w:rFonts w:hint="eastAsia"/>
          <w:szCs w:val="21"/>
        </w:rPr>
        <w:t>5.2.6设计文件的的份数和提交时间。在专用条款中约定相关设计阶段的设计文件、资料和图纸提交的份数和时间。</w:t>
      </w:r>
    </w:p>
    <w:p>
      <w:pPr>
        <w:spacing w:line="360" w:lineRule="auto"/>
        <w:ind w:firstLine="420" w:firstLineChars="200"/>
        <w:rPr>
          <w:szCs w:val="21"/>
        </w:rPr>
      </w:pPr>
      <w:r>
        <w:rPr>
          <w:rFonts w:hint="eastAsia"/>
          <w:szCs w:val="21"/>
        </w:rPr>
        <w:t>5.2.7设计缺陷的自费修复，自费赶上。因承包人原因，造成设计文件中的遗漏、错误、缺陷和不足，自费修复。使设计进度延误时，自费采取措施赶上。</w:t>
      </w:r>
    </w:p>
    <w:p>
      <w:pPr>
        <w:spacing w:before="156" w:beforeLines="50" w:after="156" w:afterLines="50" w:line="360" w:lineRule="auto"/>
        <w:ind w:firstLine="420" w:firstLineChars="200"/>
        <w:rPr>
          <w:b/>
          <w:szCs w:val="21"/>
        </w:rPr>
      </w:pPr>
      <w:r>
        <w:rPr>
          <w:rFonts w:hint="eastAsia"/>
          <w:b/>
          <w:szCs w:val="21"/>
        </w:rPr>
        <w:t>5</w:t>
      </w:r>
      <w:r>
        <w:rPr>
          <w:b/>
          <w:szCs w:val="21"/>
        </w:rPr>
        <w:t>.</w:t>
      </w:r>
      <w:r>
        <w:rPr>
          <w:rFonts w:hint="eastAsia"/>
          <w:b/>
          <w:szCs w:val="21"/>
        </w:rPr>
        <w:t>3  设计阶段审查</w:t>
      </w:r>
    </w:p>
    <w:p>
      <w:pPr>
        <w:spacing w:line="360" w:lineRule="auto"/>
        <w:ind w:firstLine="420" w:firstLineChars="200"/>
        <w:rPr>
          <w:szCs w:val="21"/>
        </w:rPr>
      </w:pPr>
      <w:r>
        <w:rPr>
          <w:rFonts w:hint="eastAsia"/>
          <w:szCs w:val="21"/>
        </w:rPr>
        <w:t>5</w:t>
      </w:r>
      <w:r>
        <w:rPr>
          <w:szCs w:val="21"/>
        </w:rPr>
        <w:t>.</w:t>
      </w:r>
      <w:r>
        <w:rPr>
          <w:rFonts w:hint="eastAsia"/>
          <w:szCs w:val="21"/>
        </w:rPr>
        <w:t>3</w:t>
      </w:r>
      <w:r>
        <w:rPr>
          <w:szCs w:val="21"/>
        </w:rPr>
        <w:t>.1</w:t>
      </w:r>
      <w:r>
        <w:rPr>
          <w:rFonts w:hint="eastAsia"/>
          <w:szCs w:val="21"/>
        </w:rPr>
        <w:t>设计审查阶段及审查会议时间。本工程的设计阶段、设计阶段审查会议的时间安排，在专用条款约定。</w:t>
      </w:r>
    </w:p>
    <w:p>
      <w:pPr>
        <w:spacing w:line="360" w:lineRule="auto"/>
        <w:ind w:firstLine="420" w:firstLineChars="200"/>
        <w:rPr>
          <w:szCs w:val="21"/>
        </w:rPr>
      </w:pPr>
      <w:r>
        <w:rPr>
          <w:rFonts w:hint="eastAsia"/>
          <w:szCs w:val="21"/>
        </w:rPr>
        <w:t>5</w:t>
      </w:r>
      <w:r>
        <w:rPr>
          <w:szCs w:val="21"/>
        </w:rPr>
        <w:t>.</w:t>
      </w:r>
      <w:r>
        <w:rPr>
          <w:rFonts w:hint="eastAsia"/>
          <w:szCs w:val="21"/>
        </w:rPr>
        <w:t>3</w:t>
      </w:r>
      <w:r>
        <w:rPr>
          <w:szCs w:val="21"/>
        </w:rPr>
        <w:t>.2</w:t>
      </w:r>
      <w:r>
        <w:rPr>
          <w:rFonts w:hint="eastAsia"/>
          <w:szCs w:val="21"/>
        </w:rPr>
        <w:t>承包人根据5.3.1款的约定，向发包人提交相关设计审查阶段的设计文件，并符合行政法规对相关设计阶段的设计文件、图纸和资料的深度规定。承包人有义务自费参加发包人组织的设计审查会议、向审查者介绍、解答、解释，并自费提供审查过程中需提供的补充资料。</w:t>
      </w:r>
    </w:p>
    <w:p>
      <w:pPr>
        <w:spacing w:line="360" w:lineRule="auto"/>
        <w:ind w:firstLine="420" w:firstLineChars="200"/>
        <w:rPr>
          <w:szCs w:val="21"/>
        </w:rPr>
      </w:pPr>
      <w:r>
        <w:rPr>
          <w:rFonts w:hint="eastAsia"/>
          <w:szCs w:val="21"/>
        </w:rPr>
        <w:t>5</w:t>
      </w:r>
      <w:r>
        <w:rPr>
          <w:szCs w:val="21"/>
        </w:rPr>
        <w:t>.</w:t>
      </w:r>
      <w:r>
        <w:rPr>
          <w:rFonts w:hint="eastAsia"/>
          <w:szCs w:val="21"/>
        </w:rPr>
        <w:t>3</w:t>
      </w:r>
      <w:r>
        <w:rPr>
          <w:szCs w:val="21"/>
        </w:rPr>
        <w:t>.3</w:t>
      </w:r>
      <w:r>
        <w:rPr>
          <w:rFonts w:hint="eastAsia"/>
          <w:szCs w:val="21"/>
        </w:rPr>
        <w:t>发包人有义务向承包人提供根据5.3.2款设计审查会议的批准文件和纪要。承包人有义务按相关审查阶段批准的文件和纪要，并依据合同约定及相关设计法规的规定，对相关设计进行修改、补充和完善。</w:t>
      </w:r>
    </w:p>
    <w:p>
      <w:pPr>
        <w:spacing w:line="360" w:lineRule="auto"/>
        <w:ind w:firstLine="420" w:firstLineChars="200"/>
        <w:rPr>
          <w:szCs w:val="21"/>
        </w:rPr>
      </w:pPr>
      <w:r>
        <w:rPr>
          <w:rFonts w:hint="eastAsia"/>
          <w:szCs w:val="21"/>
        </w:rPr>
        <w:t>5</w:t>
      </w:r>
      <w:r>
        <w:rPr>
          <w:szCs w:val="21"/>
        </w:rPr>
        <w:t>.</w:t>
      </w:r>
      <w:r>
        <w:rPr>
          <w:rFonts w:hint="eastAsia"/>
          <w:szCs w:val="21"/>
        </w:rPr>
        <w:t>3</w:t>
      </w:r>
      <w:r>
        <w:rPr>
          <w:szCs w:val="21"/>
        </w:rPr>
        <w:t>.4</w:t>
      </w:r>
      <w:r>
        <w:rPr>
          <w:rFonts w:hint="eastAsia"/>
          <w:szCs w:val="21"/>
        </w:rPr>
        <w:t>因承包人原因，未能按5.2.6款约定的时间，向发包人提交相关设计审查阶段的完整设计文件、图纸和资料，致使相关设计审查阶段的会议无法进行或无法按期进行，造成的竣工日期延误、窝工损失，或发包人组织会议增加的费用，由承包人承担。</w:t>
      </w:r>
    </w:p>
    <w:p>
      <w:pPr>
        <w:spacing w:line="360" w:lineRule="auto"/>
        <w:ind w:firstLine="420" w:firstLineChars="200"/>
        <w:rPr>
          <w:szCs w:val="21"/>
        </w:rPr>
      </w:pPr>
      <w:r>
        <w:rPr>
          <w:rFonts w:hint="eastAsia"/>
          <w:szCs w:val="21"/>
        </w:rPr>
        <w:t>5.3.5发包人有权在</w:t>
      </w:r>
      <w:r>
        <w:rPr>
          <w:szCs w:val="21"/>
        </w:rPr>
        <w:t>5.</w:t>
      </w:r>
      <w:r>
        <w:rPr>
          <w:rFonts w:hint="eastAsia"/>
          <w:szCs w:val="21"/>
        </w:rPr>
        <w:t>3</w:t>
      </w:r>
      <w:r>
        <w:rPr>
          <w:szCs w:val="21"/>
        </w:rPr>
        <w:t>.1</w:t>
      </w:r>
      <w:r>
        <w:rPr>
          <w:rFonts w:hint="eastAsia"/>
          <w:szCs w:val="21"/>
        </w:rPr>
        <w:t>款约定的各设计审查阶段之前，对相关设计阶段的设计文件、图纸和资料提出建议、审查和确认，发包人的任何建议、审查和确认，并不能减轻或免除承包人的任何合同责任和合同义务。如因为发包人提出的建议错误而导致损失的，应免除承包人责任和义务。</w:t>
      </w:r>
    </w:p>
    <w:p>
      <w:pPr>
        <w:spacing w:before="156" w:beforeLines="50" w:after="156" w:afterLines="50" w:line="360" w:lineRule="auto"/>
        <w:ind w:firstLine="420" w:firstLineChars="200"/>
        <w:rPr>
          <w:b/>
          <w:szCs w:val="21"/>
        </w:rPr>
      </w:pPr>
      <w:r>
        <w:rPr>
          <w:rFonts w:hint="eastAsia"/>
          <w:b/>
          <w:szCs w:val="21"/>
        </w:rPr>
        <w:t>5.4  操作维修人员的培训</w:t>
      </w:r>
    </w:p>
    <w:p>
      <w:pPr>
        <w:spacing w:before="156" w:beforeLines="50" w:after="156" w:afterLines="50" w:line="360" w:lineRule="auto"/>
        <w:ind w:firstLine="420" w:firstLineChars="200"/>
        <w:rPr>
          <w:szCs w:val="21"/>
        </w:rPr>
      </w:pPr>
      <w:r>
        <w:rPr>
          <w:rFonts w:hint="eastAsia"/>
          <w:szCs w:val="21"/>
        </w:rPr>
        <w:t>发包人委托承包人对发包人的操作维修人员的培训，另行签订培训委托合同，培训费已包含在合同价款中，作为本合同的附件。</w:t>
      </w:r>
    </w:p>
    <w:p>
      <w:pPr>
        <w:spacing w:before="156" w:beforeLines="50" w:after="156" w:afterLines="50" w:line="360" w:lineRule="auto"/>
        <w:ind w:firstLine="420" w:firstLineChars="200"/>
        <w:rPr>
          <w:b/>
          <w:szCs w:val="21"/>
        </w:rPr>
      </w:pPr>
      <w:r>
        <w:rPr>
          <w:rFonts w:hint="eastAsia"/>
          <w:b/>
          <w:szCs w:val="21"/>
        </w:rPr>
        <w:t>5.5  知识产权</w:t>
      </w:r>
    </w:p>
    <w:p>
      <w:pPr>
        <w:spacing w:before="156" w:beforeLines="50" w:after="156" w:afterLines="50" w:line="360" w:lineRule="auto"/>
        <w:ind w:firstLine="420" w:firstLineChars="200"/>
        <w:rPr>
          <w:szCs w:val="21"/>
        </w:rPr>
      </w:pPr>
      <w:r>
        <w:rPr>
          <w:rFonts w:hint="eastAsia"/>
          <w:szCs w:val="21"/>
        </w:rPr>
        <w:t>本合同涉及到一方、或双方（含一方或双方相关的专利商、独立建筑师）的技术专利、建筑艺术造型、专有技术、著作权等知识产权的，签订有关知识产权及保密协议，作为本合同的附件。</w:t>
      </w:r>
    </w:p>
    <w:p>
      <w:pPr>
        <w:spacing w:before="156" w:beforeLines="50" w:after="156" w:afterLines="50" w:line="360" w:lineRule="auto"/>
        <w:ind w:firstLine="420" w:firstLineChars="200"/>
        <w:rPr>
          <w:b/>
          <w:szCs w:val="21"/>
        </w:rPr>
      </w:pPr>
      <w:r>
        <w:rPr>
          <w:rFonts w:hint="eastAsia"/>
          <w:b/>
          <w:szCs w:val="21"/>
        </w:rPr>
        <w:t>第</w:t>
      </w:r>
      <w:r>
        <w:rPr>
          <w:b/>
          <w:szCs w:val="21"/>
        </w:rPr>
        <w:t>6</w:t>
      </w:r>
      <w:r>
        <w:rPr>
          <w:rFonts w:hint="eastAsia"/>
          <w:b/>
          <w:szCs w:val="21"/>
        </w:rPr>
        <w:t>条工程物资</w:t>
      </w:r>
    </w:p>
    <w:p>
      <w:pPr>
        <w:spacing w:before="156" w:beforeLines="50" w:after="156" w:afterLines="50" w:line="360" w:lineRule="auto"/>
        <w:ind w:firstLine="420" w:firstLineChars="200"/>
        <w:rPr>
          <w:b/>
          <w:szCs w:val="21"/>
        </w:rPr>
      </w:pPr>
      <w:r>
        <w:rPr>
          <w:rFonts w:hint="eastAsia"/>
          <w:b/>
          <w:szCs w:val="21"/>
        </w:rPr>
        <w:t>6.1  工程物资的提供</w:t>
      </w:r>
    </w:p>
    <w:p>
      <w:pPr>
        <w:spacing w:line="360" w:lineRule="auto"/>
        <w:ind w:firstLine="420" w:firstLineChars="200"/>
        <w:rPr>
          <w:szCs w:val="21"/>
        </w:rPr>
      </w:pPr>
      <w:r>
        <w:rPr>
          <w:rFonts w:hint="eastAsia"/>
          <w:szCs w:val="21"/>
        </w:rPr>
        <w:t>6.1.1发包人提供的工程的设备、材料和部件</w:t>
      </w:r>
    </w:p>
    <w:p>
      <w:pPr>
        <w:spacing w:line="360" w:lineRule="auto"/>
        <w:ind w:firstLine="420" w:firstLineChars="200"/>
        <w:rPr>
          <w:szCs w:val="21"/>
        </w:rPr>
      </w:pPr>
      <w:r>
        <w:rPr>
          <w:rFonts w:hint="eastAsia"/>
          <w:szCs w:val="21"/>
        </w:rPr>
        <w:t>（1）发包人依据5.2.3款第（3）项设计文件规定的技术参数和技术条件、功能要求和使用要求，负责组织工程的设备、材料和部件采购的（包括备品备件、专用工具及厂商提交的技术文件）、负责运抵现场，并对其质量检查结果和性能结果负责。由发包人负责提供的工程的设备、材料和部件的类别、估算数量或（和）规格清单，在专用条款中列出。</w:t>
      </w:r>
    </w:p>
    <w:p>
      <w:pPr>
        <w:spacing w:line="360" w:lineRule="auto"/>
        <w:ind w:firstLine="420" w:firstLineChars="200"/>
        <w:rPr>
          <w:szCs w:val="21"/>
        </w:rPr>
      </w:pPr>
      <w:r>
        <w:rPr>
          <w:rFonts w:hint="eastAsia"/>
          <w:szCs w:val="21"/>
        </w:rPr>
        <w:t>（2）因发包人采购的设备、材料和部件存在缺陷、延误抵达现场，且给承包人造成窝工、停工增加费用、或导致关键路径延误的，按13条变更和合同价款调整的约定执行。</w:t>
      </w:r>
    </w:p>
    <w:p>
      <w:pPr>
        <w:spacing w:line="360" w:lineRule="auto"/>
        <w:ind w:firstLine="420" w:firstLineChars="200"/>
        <w:rPr>
          <w:szCs w:val="21"/>
        </w:rPr>
      </w:pPr>
      <w:r>
        <w:rPr>
          <w:rFonts w:hint="eastAsia"/>
          <w:szCs w:val="21"/>
        </w:rPr>
        <w:t>（3）发包人请承包人参加国外采购工作时，所发生的费用由发包人承担。</w:t>
      </w:r>
    </w:p>
    <w:p>
      <w:pPr>
        <w:spacing w:line="360" w:lineRule="auto"/>
        <w:ind w:firstLine="420" w:firstLineChars="200"/>
        <w:rPr>
          <w:szCs w:val="21"/>
        </w:rPr>
      </w:pPr>
      <w:r>
        <w:rPr>
          <w:rFonts w:hint="eastAsia"/>
          <w:szCs w:val="21"/>
        </w:rPr>
        <w:t>6.1.2承包人提供的永久性工程的设备、材料和部件</w:t>
      </w:r>
    </w:p>
    <w:p>
      <w:pPr>
        <w:spacing w:line="360" w:lineRule="auto"/>
        <w:ind w:firstLine="420" w:firstLineChars="200"/>
        <w:rPr>
          <w:szCs w:val="21"/>
        </w:rPr>
      </w:pPr>
      <w:r>
        <w:rPr>
          <w:rFonts w:hint="eastAsia"/>
          <w:szCs w:val="21"/>
        </w:rPr>
        <w:t>（1）承包人依据5.2.3款第（3）项设计文件规定的技术参数、技术条件、功能要求和使用要求，负责组织永久性工程的设备、材料、部件的采购的（包括备品备件、专用工具及厂商提交的技术文件）、负责运抵现场，并对其质量检查结果和性能结果负责。由承包人负责提供的永久性工程的设备、材料和部件的类别、估算数量或（和）规格清单在专用条款中列出。</w:t>
      </w:r>
    </w:p>
    <w:p>
      <w:pPr>
        <w:spacing w:line="360" w:lineRule="auto"/>
        <w:ind w:firstLine="420" w:firstLineChars="200"/>
        <w:rPr>
          <w:szCs w:val="21"/>
        </w:rPr>
      </w:pPr>
      <w:r>
        <w:rPr>
          <w:rFonts w:hint="eastAsia"/>
          <w:szCs w:val="21"/>
        </w:rPr>
        <w:t>（2）因承包人提供的设备、材料、部件（包括建筑构件等）不符合国家强制性标准规定所造成的质量缺陷，由承包人自费修复缺陷，因此造成进度延误的，竣工日期不予延长。</w:t>
      </w:r>
    </w:p>
    <w:p>
      <w:pPr>
        <w:spacing w:line="360" w:lineRule="auto"/>
        <w:ind w:firstLine="420" w:firstLineChars="200"/>
        <w:rPr>
          <w:szCs w:val="21"/>
        </w:rPr>
      </w:pPr>
      <w:r>
        <w:rPr>
          <w:rFonts w:hint="eastAsia"/>
          <w:szCs w:val="21"/>
        </w:rPr>
        <w:t>（3）由承包人提供的竣工后试验的生产性材料，在专用条款中列出类别或（和）清单。</w:t>
      </w:r>
    </w:p>
    <w:p>
      <w:pPr>
        <w:spacing w:line="360" w:lineRule="auto"/>
        <w:ind w:firstLine="420" w:firstLineChars="200"/>
        <w:rPr>
          <w:szCs w:val="21"/>
        </w:rPr>
      </w:pPr>
      <w:r>
        <w:rPr>
          <w:rFonts w:hint="eastAsia"/>
          <w:szCs w:val="21"/>
        </w:rPr>
        <w:t>6.1.3承包人对供应商的选择。依据3.8.1款约定的由承包人提交的并经发包人批准的供应商的名单中，由招标选择相关采购物资的供货商或制造厂。</w:t>
      </w:r>
    </w:p>
    <w:p>
      <w:pPr>
        <w:spacing w:line="360" w:lineRule="auto"/>
        <w:ind w:firstLine="420" w:firstLineChars="200"/>
        <w:rPr>
          <w:szCs w:val="21"/>
        </w:rPr>
      </w:pPr>
      <w:r>
        <w:rPr>
          <w:rFonts w:hint="eastAsia"/>
          <w:szCs w:val="21"/>
        </w:rPr>
        <w:t>承包人不得在设计文件中或以口头暗示方式指定供应商和加工制造厂，特殊情况或只有唯一厂家的除外。发包人不得以口头暗示方式指定供应商和加工制造厂。</w:t>
      </w:r>
    </w:p>
    <w:p>
      <w:pPr>
        <w:spacing w:line="360" w:lineRule="auto"/>
        <w:ind w:firstLine="420" w:firstLineChars="200"/>
        <w:rPr>
          <w:szCs w:val="21"/>
        </w:rPr>
      </w:pPr>
      <w:r>
        <w:rPr>
          <w:rFonts w:hint="eastAsia"/>
          <w:szCs w:val="21"/>
        </w:rPr>
        <w:t>6.1.4工程物资所有权。根据6.1.1款和6.1.2款约定提供的永久性工程设备、材料和部件，在运抵现场的交货地点后，所有权转为发包人所有。发包人履行其合同约定的付款义务。在发包人接收工程前，承包人有义务对工程设备、材料和部件进行保管、维护和保养，未经发包人批准不得运出现场。</w:t>
      </w:r>
    </w:p>
    <w:p>
      <w:pPr>
        <w:spacing w:before="156" w:beforeLines="50" w:after="156" w:afterLines="50" w:line="360" w:lineRule="auto"/>
        <w:ind w:firstLine="420" w:firstLineChars="200"/>
        <w:rPr>
          <w:b/>
          <w:szCs w:val="21"/>
        </w:rPr>
      </w:pPr>
      <w:r>
        <w:rPr>
          <w:rFonts w:hint="eastAsia"/>
          <w:b/>
          <w:szCs w:val="21"/>
        </w:rPr>
        <w:t>6.2  检验</w:t>
      </w:r>
    </w:p>
    <w:p>
      <w:pPr>
        <w:spacing w:line="360" w:lineRule="auto"/>
        <w:ind w:firstLine="420" w:firstLineChars="200"/>
        <w:rPr>
          <w:szCs w:val="21"/>
        </w:rPr>
      </w:pPr>
      <w:r>
        <w:rPr>
          <w:rFonts w:hint="eastAsia"/>
          <w:szCs w:val="21"/>
        </w:rPr>
        <w:t>6.2.1工厂检验与报告</w:t>
      </w:r>
    </w:p>
    <w:p>
      <w:pPr>
        <w:spacing w:line="360" w:lineRule="auto"/>
        <w:ind w:firstLine="420" w:firstLineChars="200"/>
        <w:rPr>
          <w:szCs w:val="21"/>
        </w:rPr>
      </w:pPr>
      <w:r>
        <w:rPr>
          <w:rFonts w:hint="eastAsia"/>
          <w:szCs w:val="21"/>
        </w:rPr>
        <w:t>（1）承包人遵守相关法律规定，负责6.1.2款约定的永久性工程设备、材料、部件和备品备件，及竣工后试验物资的强制性检查、检验、监测和试验，并向发包人提供相关报告。报告内容、报告期和提交份数，在专用条款中约定。</w:t>
      </w:r>
    </w:p>
    <w:p>
      <w:pPr>
        <w:spacing w:line="360" w:lineRule="auto"/>
        <w:ind w:firstLine="420" w:firstLineChars="200"/>
        <w:rPr>
          <w:szCs w:val="21"/>
        </w:rPr>
      </w:pPr>
      <w:r>
        <w:rPr>
          <w:rFonts w:hint="eastAsia"/>
          <w:szCs w:val="21"/>
        </w:rPr>
        <w:t>（2）承包人邀请发包人参检时，在进行相关加工制造阶段的检查、检验、监测和试验之前，以书面形式通知发包人参检的内容、地点和时间。发包人在接到邀请后的5日内，以书面形式通知承包人参检或不参检。发包人参检时，在接到本款第（1）项承包人发出的报告后5日内通知承包人。</w:t>
      </w:r>
    </w:p>
    <w:p>
      <w:pPr>
        <w:spacing w:line="360" w:lineRule="auto"/>
        <w:ind w:firstLine="420" w:firstLineChars="200"/>
        <w:rPr>
          <w:szCs w:val="21"/>
        </w:rPr>
      </w:pPr>
      <w:r>
        <w:rPr>
          <w:rFonts w:hint="eastAsia"/>
          <w:szCs w:val="21"/>
        </w:rPr>
        <w:t>（3）承包人承担其发包人参检人员在参检期间的工资、补贴、差旅费和住宿费等，并负责办理进入相关厂家的许可，并提供方便。</w:t>
      </w:r>
    </w:p>
    <w:p>
      <w:pPr>
        <w:spacing w:line="360" w:lineRule="auto"/>
        <w:ind w:firstLine="420" w:firstLineChars="200"/>
        <w:rPr>
          <w:szCs w:val="21"/>
        </w:rPr>
      </w:pPr>
      <w:r>
        <w:rPr>
          <w:rFonts w:hint="eastAsia"/>
          <w:szCs w:val="21"/>
        </w:rPr>
        <w:t>（4）发包人委托有资格、有经验的第三方代表发包人自费参检的，在接到承包人邀请函或报告后的5日内，以书面形式通知承包人，并写明受托单位及受托人员的名称、姓名及授予的职权。</w:t>
      </w:r>
    </w:p>
    <w:p>
      <w:pPr>
        <w:spacing w:line="360" w:lineRule="auto"/>
        <w:ind w:firstLine="420" w:firstLineChars="200"/>
        <w:rPr>
          <w:szCs w:val="21"/>
        </w:rPr>
      </w:pPr>
      <w:r>
        <w:rPr>
          <w:rFonts w:hint="eastAsia"/>
          <w:szCs w:val="21"/>
        </w:rPr>
        <w:t>（5）发包人及其委托人的参检，并不能解除承包人对其采购的工程设备、材料和部件的质量责任。</w:t>
      </w:r>
    </w:p>
    <w:p>
      <w:pPr>
        <w:spacing w:line="360" w:lineRule="auto"/>
        <w:ind w:firstLine="420" w:firstLineChars="200"/>
        <w:rPr>
          <w:szCs w:val="21"/>
        </w:rPr>
      </w:pPr>
      <w:r>
        <w:rPr>
          <w:rFonts w:hint="eastAsia"/>
          <w:szCs w:val="21"/>
        </w:rPr>
        <w:t>6.2.2覆盖和包装的后果。发包人已在6.2.1款约定的日期内以书面形式通知承包人参检，并依据约定日期提前或按时到达指定地点，但加工制造的设备、材料、部件（包括竣工后试验的物资）已经被覆盖、包装或已运抵启运地点时，发包人有权责令承包人将其运回原地、拆除覆盖、包装，重新进行检查或检验或检测或试验及复原，承包人承担因此发生的费用。因此造成工程关键路径延误的，竣工日期不予延长。</w:t>
      </w:r>
    </w:p>
    <w:p>
      <w:pPr>
        <w:spacing w:line="360" w:lineRule="auto"/>
        <w:ind w:firstLine="420" w:firstLineChars="200"/>
        <w:rPr>
          <w:szCs w:val="21"/>
        </w:rPr>
      </w:pPr>
      <w:r>
        <w:rPr>
          <w:rFonts w:hint="eastAsia"/>
          <w:szCs w:val="21"/>
        </w:rPr>
        <w:t>6.2.3未能按时参检。发包人未能按6.2.1款的约定时间参检，承包人可自行组织检查、检验、检测和试验，质检结果视为是真实的。发包人此后指令重新检查、检验、检测和试验，或增加试验细节或改变试验地点的，有权以变更指令通知承包人。经质检合格时，所发生的费用由发包人承担，造成工程关键路径延误的，竣工日期相应顺延；经质检不合格时，所发生的费用由承包人承担，竣工日期不予延长。</w:t>
      </w:r>
    </w:p>
    <w:p>
      <w:pPr>
        <w:spacing w:line="360" w:lineRule="auto"/>
        <w:ind w:firstLine="420" w:firstLineChars="200"/>
        <w:rPr>
          <w:szCs w:val="21"/>
        </w:rPr>
      </w:pPr>
      <w:r>
        <w:rPr>
          <w:rFonts w:hint="eastAsia"/>
          <w:szCs w:val="21"/>
        </w:rPr>
        <w:t>6.2.4现场清点与检查</w:t>
      </w:r>
    </w:p>
    <w:p>
      <w:pPr>
        <w:spacing w:line="360" w:lineRule="auto"/>
        <w:ind w:firstLine="420" w:firstLineChars="200"/>
        <w:rPr>
          <w:szCs w:val="21"/>
        </w:rPr>
      </w:pPr>
      <w:r>
        <w:rPr>
          <w:rFonts w:hint="eastAsia"/>
          <w:szCs w:val="21"/>
        </w:rPr>
        <w:t>（1）发包人根据6.1.1款约定负责提供的永久性工程设备、材料和部件，在运抵现场前5天通知承包人。发包人（或包括为发包人提供设备、材料和部件的供应商）与承包人（或包括其分包人）按每批货物的提货单据清点箱件数量及外观检查，并根据装箱单清点箱内数量、出厂合格证、图纸、文件资料及外观检查。经检查清点后双方人员签署交接清单。</w:t>
      </w:r>
    </w:p>
    <w:p>
      <w:pPr>
        <w:spacing w:line="360" w:lineRule="auto"/>
        <w:ind w:firstLine="420" w:firstLineChars="200"/>
        <w:rPr>
          <w:szCs w:val="21"/>
        </w:rPr>
      </w:pPr>
      <w:r>
        <w:rPr>
          <w:rFonts w:hint="eastAsia"/>
          <w:szCs w:val="21"/>
        </w:rPr>
        <w:t>经现场检查清点发现箱件短缺，箱件内的数量、图纸、资料短缺，或有外观缺陷的，发包人负责补齐、自费修复，缺陷未能修复之前不得用于工程。当发包人委托承包人修复缺陷时，另行签订追加合同。因上述情况造成工程关键路径延误的，竣工日期相应顺延。</w:t>
      </w:r>
    </w:p>
    <w:p>
      <w:pPr>
        <w:spacing w:line="360" w:lineRule="auto"/>
        <w:ind w:firstLine="420" w:firstLineChars="200"/>
        <w:rPr>
          <w:szCs w:val="21"/>
        </w:rPr>
      </w:pPr>
      <w:r>
        <w:rPr>
          <w:rFonts w:hint="eastAsia"/>
          <w:szCs w:val="21"/>
        </w:rPr>
        <w:t>（2）承包人根据6.1.2款约定负责提供的永久性工程设备、材料和部件，在运抵现场前5天通知发包人。承包人（包括承包人、或为承包人提供设备、材料和部件的供应商、或分包人）与发包人（包括发包人、或其代表、或其监理人）按每批货物的提货单据清点箱件数量及外观检查，并根据装箱单清点箱内数量、出场合格证、图纸、文件资料及外观检查。经检查清点后，双方人员签署交接清单。</w:t>
      </w:r>
    </w:p>
    <w:p>
      <w:pPr>
        <w:spacing w:line="360" w:lineRule="auto"/>
        <w:ind w:firstLine="420" w:firstLineChars="200"/>
        <w:rPr>
          <w:szCs w:val="21"/>
        </w:rPr>
      </w:pPr>
      <w:r>
        <w:rPr>
          <w:rFonts w:hint="eastAsia"/>
          <w:szCs w:val="21"/>
        </w:rPr>
        <w:t>经现场检查清点发现箱件短缺，箱件内的数量、图纸、资料短缺，或有外观缺陷的，承包人负责补齐、自费修复，缺陷未能修复之前不得用于工程。因此造成的费用增加、竣工日期延误，由承包人负责。</w:t>
      </w:r>
    </w:p>
    <w:p>
      <w:pPr>
        <w:spacing w:line="360" w:lineRule="auto"/>
        <w:ind w:firstLine="420" w:firstLineChars="200"/>
        <w:rPr>
          <w:szCs w:val="21"/>
        </w:rPr>
      </w:pPr>
      <w:r>
        <w:rPr>
          <w:rFonts w:hint="eastAsia"/>
          <w:szCs w:val="21"/>
        </w:rPr>
        <w:t>6.2.5质量监督部门及消防、环保等部门的参检。发包人、承包人随时接受质量监督部门、消防部门、环保部门、行业等专业检查人员对制造厂、安装及试验过程的现场检查，其费用由发包人承担。承包人为此提供方便。造成工程关键路径延误的，竣工日期相应顺延。</w:t>
      </w:r>
    </w:p>
    <w:p>
      <w:pPr>
        <w:spacing w:line="360" w:lineRule="auto"/>
        <w:ind w:firstLine="420" w:firstLineChars="200"/>
        <w:rPr>
          <w:szCs w:val="21"/>
        </w:rPr>
      </w:pPr>
      <w:r>
        <w:rPr>
          <w:rFonts w:hint="eastAsia"/>
          <w:szCs w:val="21"/>
        </w:rPr>
        <w:t>对参检中提出的修改、更换等意见，根据6.1.1款或6.1.2款约定提供的责任方来承担增加的相关费用。因此造成工程关键路径延误的，责任方为承包人时，竣工日期不予延长；责任方为发包人时，竣工日期相应顺延。</w:t>
      </w:r>
    </w:p>
    <w:p>
      <w:pPr>
        <w:spacing w:before="156" w:beforeLines="50" w:after="156" w:afterLines="50" w:line="360" w:lineRule="auto"/>
        <w:ind w:firstLine="420" w:firstLineChars="200"/>
        <w:rPr>
          <w:b/>
          <w:szCs w:val="21"/>
        </w:rPr>
      </w:pPr>
      <w:r>
        <w:rPr>
          <w:rFonts w:hint="eastAsia"/>
          <w:b/>
          <w:szCs w:val="21"/>
        </w:rPr>
        <w:t>6.3  进口工程物资和报关、清关</w:t>
      </w:r>
    </w:p>
    <w:p>
      <w:pPr>
        <w:spacing w:line="360" w:lineRule="auto"/>
        <w:ind w:firstLine="420" w:firstLineChars="200"/>
        <w:rPr>
          <w:szCs w:val="21"/>
        </w:rPr>
      </w:pPr>
      <w:r>
        <w:rPr>
          <w:rFonts w:hint="eastAsia"/>
          <w:szCs w:val="21"/>
        </w:rPr>
        <w:t>6.3.1永久性工程设备、材料和部件的进口采购责任方，及招标询价方式，在专用条款中约定。采购责任方负责报关、清关，另一方有义务协助。</w:t>
      </w:r>
    </w:p>
    <w:p>
      <w:pPr>
        <w:spacing w:line="360" w:lineRule="auto"/>
        <w:ind w:firstLine="420" w:firstLineChars="200"/>
        <w:rPr>
          <w:szCs w:val="21"/>
        </w:rPr>
      </w:pPr>
      <w:r>
        <w:rPr>
          <w:rFonts w:hint="eastAsia"/>
          <w:szCs w:val="21"/>
        </w:rPr>
        <w:t>6.3.2进口工程设备、材料和部件的报关、清关的延误，造成工程关键路径延误时，承包人负责进口采购的，竣工日期不予延长，增加的费用由承包人承担；发包人负责进口采购的，竣工日期给予相应延长。</w:t>
      </w:r>
    </w:p>
    <w:p>
      <w:pPr>
        <w:spacing w:before="156" w:beforeLines="50" w:after="156" w:afterLines="50" w:line="360" w:lineRule="auto"/>
        <w:ind w:firstLine="420" w:firstLineChars="200"/>
        <w:rPr>
          <w:b/>
          <w:szCs w:val="21"/>
        </w:rPr>
      </w:pPr>
      <w:r>
        <w:rPr>
          <w:rFonts w:hint="eastAsia"/>
          <w:b/>
          <w:szCs w:val="21"/>
        </w:rPr>
        <w:t>6.4  运输与超限物资运输</w:t>
      </w:r>
    </w:p>
    <w:p>
      <w:pPr>
        <w:spacing w:before="156" w:beforeLines="50" w:after="156" w:afterLines="50" w:line="360" w:lineRule="auto"/>
        <w:ind w:firstLine="420" w:firstLineChars="200"/>
        <w:rPr>
          <w:szCs w:val="21"/>
        </w:rPr>
      </w:pPr>
      <w:r>
        <w:rPr>
          <w:rFonts w:hint="eastAsia"/>
          <w:szCs w:val="21"/>
        </w:rPr>
        <w:t>工程超限物资（超重、超长、超宽、超高）的运输，由承包人负责，超限运输和特殊措施等全部费用，包含在中标合同价格内。因超限物资运输造成的费用增加，由承包人承担。造成工程关键路径延误时，竣工日期不予延长。</w:t>
      </w:r>
    </w:p>
    <w:p>
      <w:pPr>
        <w:spacing w:before="156" w:beforeLines="50" w:after="156" w:afterLines="50" w:line="360" w:lineRule="auto"/>
        <w:ind w:firstLine="420" w:firstLineChars="200"/>
        <w:rPr>
          <w:b/>
          <w:szCs w:val="21"/>
        </w:rPr>
      </w:pPr>
      <w:r>
        <w:rPr>
          <w:rFonts w:hint="eastAsia"/>
          <w:b/>
          <w:szCs w:val="21"/>
        </w:rPr>
        <w:t>6.5  重新订货及后果</w:t>
      </w:r>
    </w:p>
    <w:p>
      <w:pPr>
        <w:spacing w:line="360" w:lineRule="auto"/>
        <w:ind w:firstLine="420" w:firstLineChars="200"/>
        <w:rPr>
          <w:szCs w:val="21"/>
        </w:rPr>
      </w:pPr>
      <w:r>
        <w:rPr>
          <w:rFonts w:hint="eastAsia"/>
          <w:szCs w:val="21"/>
        </w:rPr>
        <w:t>6.5.1依据6.1.1款及6.3.1款的约定，由发包人负责提供的永久性工程设备、材料和部件存在缺陷时，经发包人组织修复仍不合格的，由发包人负责重新订货并运抵现场。因此造成承包人的停工、窝工，由发包人承担所发生的实际费用；使关键路径延误时，竣工日期相应顺延。</w:t>
      </w:r>
    </w:p>
    <w:p>
      <w:pPr>
        <w:spacing w:line="360" w:lineRule="auto"/>
        <w:ind w:firstLine="420" w:firstLineChars="200"/>
        <w:rPr>
          <w:szCs w:val="21"/>
        </w:rPr>
      </w:pPr>
      <w:r>
        <w:rPr>
          <w:rFonts w:hint="eastAsia"/>
          <w:szCs w:val="21"/>
        </w:rPr>
        <w:t>6.5.2依据6.1.2款及6.3.1款的约定，由承包人负责提供的永久性工程设备、材料和部件存在缺陷时，经承包人修复仍不合格的，由承包人负责重新订货并运抵现场。因此造成的费用增加、竣工日期延误，由承包人负责。</w:t>
      </w:r>
    </w:p>
    <w:p>
      <w:pPr>
        <w:spacing w:before="156" w:beforeLines="50" w:after="156" w:afterLines="50" w:line="360" w:lineRule="auto"/>
        <w:ind w:firstLine="420" w:firstLineChars="200"/>
        <w:rPr>
          <w:b/>
          <w:szCs w:val="21"/>
        </w:rPr>
      </w:pPr>
      <w:r>
        <w:rPr>
          <w:rFonts w:hint="eastAsia"/>
          <w:b/>
          <w:szCs w:val="21"/>
        </w:rPr>
        <w:t>6.6  工程物资保管与剩余</w:t>
      </w:r>
    </w:p>
    <w:p>
      <w:pPr>
        <w:spacing w:line="360" w:lineRule="auto"/>
        <w:ind w:firstLine="420" w:firstLineChars="200"/>
        <w:rPr>
          <w:szCs w:val="21"/>
        </w:rPr>
      </w:pPr>
      <w:r>
        <w:rPr>
          <w:rFonts w:hint="eastAsia"/>
          <w:szCs w:val="21"/>
        </w:rPr>
        <w:t>6.6.1工程物资保管。根据6.1.1款由发包人负责提供的工程物资、6.1.2款由承包人负责提供的工程物资的约定，并委托承包人保管的，其工程物资的类别和估算数量在专用条款中约定。</w:t>
      </w:r>
    </w:p>
    <w:p>
      <w:pPr>
        <w:spacing w:line="360" w:lineRule="auto"/>
        <w:ind w:firstLine="420" w:firstLineChars="200"/>
        <w:rPr>
          <w:szCs w:val="21"/>
        </w:rPr>
      </w:pPr>
      <w:r>
        <w:rPr>
          <w:rFonts w:hint="eastAsia"/>
          <w:szCs w:val="21"/>
        </w:rPr>
        <w:t>承包人按说明书的相关规定进行保管、维护、保养，防止变形、变质、污染和对人身造成伤害。在专用条款约定承包人提交保管维护方案的时间，方案包括：工程物资分类和保管、保养、保安、领用制度，以及库房、特殊保管库房、堆场、道路、照明、消防、设施、器具等规划。保管所需的一切费用，包含在中标合同价格内。由发包人提供的库房、堆场、设施和设备，在专用条款中约定。</w:t>
      </w:r>
    </w:p>
    <w:p>
      <w:pPr>
        <w:spacing w:line="360" w:lineRule="auto"/>
        <w:ind w:firstLine="420" w:firstLineChars="200"/>
        <w:rPr>
          <w:szCs w:val="21"/>
        </w:rPr>
      </w:pPr>
      <w:r>
        <w:rPr>
          <w:rFonts w:hint="eastAsia"/>
          <w:szCs w:val="21"/>
        </w:rPr>
        <w:t>6.6.2剩余工程物资的移交。承包人保管工程物资（包括发包人、承包人、分包人提供的工程物资），在竣工验收完成后，应把剩余的工程物资无偿移交给发包人。</w:t>
      </w:r>
    </w:p>
    <w:p>
      <w:pPr>
        <w:spacing w:before="156" w:beforeLines="50" w:after="156" w:afterLines="50" w:line="360" w:lineRule="auto"/>
        <w:ind w:firstLine="420" w:firstLineChars="200"/>
        <w:rPr>
          <w:b/>
          <w:szCs w:val="21"/>
        </w:rPr>
      </w:pPr>
      <w:r>
        <w:rPr>
          <w:rFonts w:hint="eastAsia"/>
          <w:b/>
          <w:szCs w:val="21"/>
        </w:rPr>
        <w:t>第</w:t>
      </w:r>
      <w:r>
        <w:rPr>
          <w:b/>
          <w:szCs w:val="21"/>
        </w:rPr>
        <w:t>7</w:t>
      </w:r>
      <w:r>
        <w:rPr>
          <w:rFonts w:hint="eastAsia"/>
          <w:b/>
          <w:szCs w:val="21"/>
        </w:rPr>
        <w:t>条施工</w:t>
      </w:r>
    </w:p>
    <w:p>
      <w:pPr>
        <w:spacing w:before="156" w:beforeLines="50" w:after="156" w:afterLines="50" w:line="360" w:lineRule="auto"/>
        <w:ind w:firstLine="420" w:firstLineChars="200"/>
        <w:rPr>
          <w:b/>
          <w:szCs w:val="21"/>
        </w:rPr>
      </w:pPr>
      <w:r>
        <w:rPr>
          <w:rFonts w:hint="eastAsia"/>
          <w:b/>
          <w:szCs w:val="21"/>
        </w:rPr>
        <w:t>7.1  发包人的义务</w:t>
      </w:r>
    </w:p>
    <w:p>
      <w:pPr>
        <w:spacing w:line="360" w:lineRule="auto"/>
        <w:ind w:firstLine="420" w:firstLineChars="200"/>
        <w:rPr>
          <w:szCs w:val="21"/>
        </w:rPr>
      </w:pPr>
      <w:r>
        <w:rPr>
          <w:rFonts w:hint="eastAsia"/>
          <w:szCs w:val="21"/>
        </w:rPr>
        <w:t>7.1.1提供基准坐标资料。发包人以书面形式并按约定时间将工程场地的基准坐标资料（包括基准控制点、基准控制标高和基准坐标控制线）提交给承包人。发包人有义务与承包人在现场交验。发包人提供基准坐标的内容和时间在专用条款中约定。因发包人提供基准坐标资料的延误，导致工程关键路径延误的，竣工日期相应顺延。</w:t>
      </w:r>
    </w:p>
    <w:p>
      <w:pPr>
        <w:spacing w:line="360" w:lineRule="auto"/>
        <w:ind w:firstLine="420" w:firstLineChars="200"/>
        <w:rPr>
          <w:szCs w:val="21"/>
        </w:rPr>
      </w:pPr>
      <w:r>
        <w:rPr>
          <w:rFonts w:hint="eastAsia"/>
          <w:szCs w:val="21"/>
        </w:rPr>
        <w:t>7.1.2审查总体施工组织设计。发包人有权对承包人根据</w:t>
      </w:r>
      <w:r>
        <w:rPr>
          <w:szCs w:val="21"/>
        </w:rPr>
        <w:t>7.</w:t>
      </w:r>
      <w:r>
        <w:rPr>
          <w:rFonts w:hint="eastAsia"/>
          <w:szCs w:val="21"/>
        </w:rPr>
        <w:t>2</w:t>
      </w:r>
      <w:r>
        <w:rPr>
          <w:szCs w:val="21"/>
        </w:rPr>
        <w:t>.</w:t>
      </w:r>
      <w:r>
        <w:rPr>
          <w:rFonts w:hint="eastAsia"/>
          <w:szCs w:val="21"/>
        </w:rPr>
        <w:t>2款约定提交的总体施工组织设计进行审查，并在接到后的20日内提出建议、要求和补充要求。发包人的建议和要求，并不能减轻或免除承包人的任何合同责任。发包人未能在20日内提出任何建议和要求的，承包人有权按提交的总体施工组织设计实施。</w:t>
      </w:r>
    </w:p>
    <w:p>
      <w:pPr>
        <w:spacing w:line="360" w:lineRule="auto"/>
        <w:ind w:firstLine="420" w:firstLineChars="200"/>
        <w:rPr>
          <w:szCs w:val="21"/>
        </w:rPr>
      </w:pPr>
      <w:r>
        <w:rPr>
          <w:rFonts w:hint="eastAsia"/>
          <w:szCs w:val="21"/>
        </w:rPr>
        <w:t>7.1.3进场条件和进场日期。发包人根据批准的初步设计和7.2.3款约定由承包人提交的临时占地资料，与承包人约定进场条件，确定进场日期。发包人完成进场道路、用地许可、拆迁及补偿等工作，保证承包人能够按时进入现场开始准备工作。进场条件和进场日期在专用条款约定。</w:t>
      </w:r>
    </w:p>
    <w:p>
      <w:pPr>
        <w:spacing w:line="360" w:lineRule="auto"/>
        <w:ind w:firstLine="420" w:firstLineChars="200"/>
        <w:rPr>
          <w:szCs w:val="21"/>
        </w:rPr>
      </w:pPr>
      <w:r>
        <w:rPr>
          <w:rFonts w:hint="eastAsia"/>
          <w:szCs w:val="21"/>
        </w:rPr>
        <w:t>因发包人原因造成承包人的进场时间延误，竣工日期顺延。发包人承担承包人因此发生的相关窝工费用。</w:t>
      </w:r>
    </w:p>
    <w:p>
      <w:pPr>
        <w:spacing w:line="360" w:lineRule="auto"/>
        <w:ind w:firstLine="420" w:firstLineChars="200"/>
        <w:rPr>
          <w:szCs w:val="21"/>
        </w:rPr>
      </w:pPr>
      <w:r>
        <w:rPr>
          <w:rFonts w:hint="eastAsia"/>
          <w:szCs w:val="21"/>
        </w:rPr>
        <w:t>7.1.4提供临时用水电等和节点铺设。发包人按7.2.4款的约定，在承包人进场前将施工临时用水、电等接至约定的节点位置，并保证其需要。上述临时使用的水电等的类别、取费单价在专用条款中约定，发包人按实际计量收费。发包人无法提供的水电等，承包人纳入报价。</w:t>
      </w:r>
    </w:p>
    <w:p>
      <w:pPr>
        <w:spacing w:line="360" w:lineRule="auto"/>
        <w:ind w:firstLine="420" w:firstLineChars="200"/>
        <w:rPr>
          <w:szCs w:val="21"/>
        </w:rPr>
      </w:pPr>
      <w:r>
        <w:rPr>
          <w:rFonts w:hint="eastAsia"/>
          <w:szCs w:val="21"/>
        </w:rPr>
        <w:t>发包人未能按约定的类别和时间完成节点铺设，使开工时间延误，竣工日期顺延。未能按约定的品质和数量提供水、电等，给承包人造成的损失由发包人承担，导致工程关键路径延误的，竣工日期相应顺延。</w:t>
      </w:r>
    </w:p>
    <w:p>
      <w:pPr>
        <w:spacing w:line="360" w:lineRule="auto"/>
        <w:ind w:firstLine="420" w:firstLineChars="200"/>
        <w:rPr>
          <w:szCs w:val="21"/>
        </w:rPr>
      </w:pPr>
      <w:r>
        <w:rPr>
          <w:rFonts w:hint="eastAsia"/>
          <w:szCs w:val="21"/>
        </w:rPr>
        <w:t>7.1.5办理开工等批准手续。在开工日期前，承包人须协助发包人办妥需办理的开工批准或施工许可证、工程质量监督手续及其他所需的许可、证件和批文等。</w:t>
      </w:r>
    </w:p>
    <w:p>
      <w:pPr>
        <w:spacing w:line="360" w:lineRule="auto"/>
        <w:ind w:firstLine="420" w:firstLineChars="200"/>
        <w:rPr>
          <w:szCs w:val="21"/>
        </w:rPr>
      </w:pPr>
      <w:r>
        <w:rPr>
          <w:rFonts w:hint="eastAsia"/>
          <w:szCs w:val="21"/>
        </w:rPr>
        <w:t>7.1.6施工过程中须由发包人办理的批准。承包人在施工过程中，根据7.2.6款的约定，通知须由发包人办理的各项批准手续，由发包人申请办理。</w:t>
      </w:r>
    </w:p>
    <w:p>
      <w:pPr>
        <w:spacing w:line="360" w:lineRule="auto"/>
        <w:ind w:firstLine="420" w:firstLineChars="200"/>
        <w:rPr>
          <w:szCs w:val="21"/>
        </w:rPr>
      </w:pPr>
      <w:r>
        <w:rPr>
          <w:rFonts w:hint="eastAsia"/>
          <w:szCs w:val="21"/>
        </w:rPr>
        <w:t>因发包人未能按时办妥上述批准手续，给承包人造成的窝工损失，由发包人承担。导致工程关键路径延误的，竣工日期相顺延。</w:t>
      </w:r>
    </w:p>
    <w:p>
      <w:pPr>
        <w:spacing w:line="360" w:lineRule="auto"/>
        <w:ind w:firstLine="420" w:firstLineChars="200"/>
        <w:rPr>
          <w:szCs w:val="21"/>
        </w:rPr>
      </w:pPr>
      <w:r>
        <w:rPr>
          <w:rFonts w:hint="eastAsia"/>
          <w:szCs w:val="21"/>
        </w:rPr>
        <w:t>7.1.7提供施工障碍资料。发包人按合同约定的内容和时间提供与施工场地相关的地下和地上的建筑物、构筑物和其他设施的坐标位置。发包人根据</w:t>
      </w:r>
      <w:r>
        <w:rPr>
          <w:szCs w:val="21"/>
        </w:rPr>
        <w:t>5.</w:t>
      </w:r>
      <w:r>
        <w:rPr>
          <w:rFonts w:hint="eastAsia"/>
          <w:szCs w:val="21"/>
        </w:rPr>
        <w:t>2</w:t>
      </w:r>
      <w:r>
        <w:rPr>
          <w:szCs w:val="21"/>
        </w:rPr>
        <w:t>.1</w:t>
      </w:r>
      <w:r>
        <w:rPr>
          <w:rFonts w:hint="eastAsia"/>
          <w:szCs w:val="21"/>
        </w:rPr>
        <w:t>款第（</w:t>
      </w:r>
      <w:r>
        <w:rPr>
          <w:szCs w:val="21"/>
        </w:rPr>
        <w:t>1</w:t>
      </w:r>
      <w:r>
        <w:rPr>
          <w:rFonts w:hint="eastAsia"/>
          <w:szCs w:val="21"/>
        </w:rPr>
        <w:t>）项、第（</w:t>
      </w:r>
      <w:r>
        <w:rPr>
          <w:szCs w:val="21"/>
        </w:rPr>
        <w:t>2</w:t>
      </w:r>
      <w:r>
        <w:rPr>
          <w:rFonts w:hint="eastAsia"/>
          <w:szCs w:val="21"/>
        </w:rPr>
        <w:t>）项的约定，已经提供的不再提供。承包人对发包人在合同约定时间之后提供的障碍资料，依据13.2.3款施工变更的约定提交变更申请，发包人给予合理批准。</w:t>
      </w:r>
    </w:p>
    <w:p>
      <w:pPr>
        <w:spacing w:line="360" w:lineRule="auto"/>
        <w:ind w:firstLine="420" w:firstLineChars="200"/>
        <w:rPr>
          <w:szCs w:val="21"/>
        </w:rPr>
      </w:pPr>
      <w:r>
        <w:rPr>
          <w:rFonts w:hint="eastAsia"/>
          <w:szCs w:val="21"/>
        </w:rPr>
        <w:t>因发包人未能提供上述施工障碍资料或提供的资料不真实、不准确、不齐全，给承包人造成损失或损害的，由发包人承担赔偿责任。导致工程关键路径延误的，竣工日期相应顺延。</w:t>
      </w:r>
    </w:p>
    <w:p>
      <w:pPr>
        <w:spacing w:line="360" w:lineRule="auto"/>
        <w:ind w:firstLine="420" w:firstLineChars="200"/>
        <w:rPr>
          <w:szCs w:val="21"/>
        </w:rPr>
      </w:pPr>
      <w:r>
        <w:rPr>
          <w:rFonts w:hint="eastAsia"/>
          <w:szCs w:val="21"/>
        </w:rPr>
        <w:t>7.1.8承包人新发现的施工障碍。发包人根据承包人按照7.2.8款的约定发出的通知，与有关单位联系、协调、处理施工场地周围及临近的影响工程实施的建筑物、构筑物、文物建筑、古树、名木、地下管线、线缆、构筑物以及地下文物、化石和坟墓等的保护工作，并承担相关费用。</w:t>
      </w:r>
    </w:p>
    <w:p>
      <w:pPr>
        <w:spacing w:line="360" w:lineRule="auto"/>
        <w:ind w:firstLine="420" w:firstLineChars="200"/>
        <w:rPr>
          <w:szCs w:val="21"/>
        </w:rPr>
      </w:pPr>
      <w:r>
        <w:rPr>
          <w:rFonts w:hint="eastAsia"/>
          <w:szCs w:val="21"/>
        </w:rPr>
        <w:t>对于新发现的施工障碍，承包人可依据13.2.4款的约定提交施工变更申请，发包人给予合理批准。施工障碍导致工程关键路径延误的，竣工日期相应顺延。</w:t>
      </w:r>
    </w:p>
    <w:p>
      <w:pPr>
        <w:spacing w:line="360" w:lineRule="auto"/>
        <w:ind w:firstLine="420" w:firstLineChars="200"/>
        <w:rPr>
          <w:szCs w:val="21"/>
        </w:rPr>
      </w:pPr>
      <w:r>
        <w:rPr>
          <w:rFonts w:hint="eastAsia"/>
          <w:szCs w:val="21"/>
        </w:rPr>
        <w:t>7.1.9发包人在收到承包人根据7.8款约定提交的“健康、安全、环境”管理计划后20日内对之进行确认。发包人有权检查其实施情况并对检查中发现的问题提出整改建议，承包人按照发包人合理建议自费整改。</w:t>
      </w:r>
    </w:p>
    <w:p>
      <w:pPr>
        <w:spacing w:line="360" w:lineRule="auto"/>
        <w:ind w:firstLine="420" w:firstLineChars="200"/>
        <w:rPr>
          <w:szCs w:val="21"/>
        </w:rPr>
      </w:pPr>
      <w:r>
        <w:rPr>
          <w:rFonts w:hint="eastAsia"/>
          <w:szCs w:val="21"/>
        </w:rPr>
        <w:t>7.1.10发包人履行专用条款中约定的由发包人履行的其他义务。</w:t>
      </w:r>
    </w:p>
    <w:p>
      <w:pPr>
        <w:spacing w:before="156" w:beforeLines="50" w:after="156" w:afterLines="50" w:line="360" w:lineRule="auto"/>
        <w:ind w:firstLine="420" w:firstLineChars="200"/>
        <w:rPr>
          <w:b/>
          <w:szCs w:val="21"/>
        </w:rPr>
      </w:pPr>
      <w:r>
        <w:rPr>
          <w:rFonts w:hint="eastAsia"/>
          <w:b/>
          <w:szCs w:val="21"/>
        </w:rPr>
        <w:t>7.2  承包人的义务</w:t>
      </w:r>
    </w:p>
    <w:p>
      <w:pPr>
        <w:spacing w:line="360" w:lineRule="auto"/>
        <w:ind w:firstLine="420" w:firstLineChars="200"/>
        <w:rPr>
          <w:szCs w:val="21"/>
        </w:rPr>
      </w:pPr>
      <w:r>
        <w:rPr>
          <w:rFonts w:hint="eastAsia"/>
          <w:szCs w:val="21"/>
        </w:rPr>
        <w:t>7.2.1坐标复验和放线。承包人有义务在现场与发包人共同复验基准坐标资料（含基准控制点、基准控制标高和基准坐标控制线）。承包人按发包人提供的基准坐标资料，对工程、单项工程、施工部位放线，并对放线的准确性负责。</w:t>
      </w:r>
    </w:p>
    <w:p>
      <w:pPr>
        <w:spacing w:line="360" w:lineRule="auto"/>
        <w:ind w:firstLine="420" w:firstLineChars="200"/>
        <w:rPr>
          <w:szCs w:val="21"/>
        </w:rPr>
      </w:pPr>
      <w:r>
        <w:rPr>
          <w:rFonts w:hint="eastAsia"/>
          <w:szCs w:val="21"/>
        </w:rPr>
        <w:t>承包人有义务提出并纠正发包人提供的基准坐标资料中的差错，因此增加的费用，由发包人承担。导致工程关键路径延误的，竣工日期相应顺延。</w:t>
      </w:r>
    </w:p>
    <w:p>
      <w:pPr>
        <w:spacing w:line="360" w:lineRule="auto"/>
        <w:ind w:firstLine="420" w:firstLineChars="200"/>
        <w:rPr>
          <w:szCs w:val="21"/>
        </w:rPr>
      </w:pPr>
      <w:r>
        <w:rPr>
          <w:rFonts w:hint="eastAsia"/>
          <w:szCs w:val="21"/>
        </w:rPr>
        <w:t>7.2.2施工组织设计。承包人在施工开工</w:t>
      </w:r>
      <w:r>
        <w:rPr>
          <w:szCs w:val="21"/>
        </w:rPr>
        <w:t>15</w:t>
      </w:r>
      <w:r>
        <w:rPr>
          <w:rFonts w:hint="eastAsia"/>
          <w:szCs w:val="21"/>
        </w:rPr>
        <w:t>天前或约定的其他时间内，向发包人提交总体施工组织设计。随着施工进展向发包人提交主要单项工程和主要分部分项工程的施工组织设计。对发包人提出的合理建议和要求，承包人自费修改完善。</w:t>
      </w:r>
    </w:p>
    <w:p>
      <w:pPr>
        <w:spacing w:line="360" w:lineRule="auto"/>
        <w:ind w:firstLine="420" w:firstLineChars="200"/>
        <w:rPr>
          <w:szCs w:val="21"/>
        </w:rPr>
      </w:pPr>
      <w:r>
        <w:rPr>
          <w:rFonts w:hint="eastAsia"/>
          <w:szCs w:val="21"/>
        </w:rPr>
        <w:t>总体施工组织设计提交的份数和时间，及需提交施工组织设计的主要单项工程和主要分部分项工程的名称、份数和时间，在专用条款中约定。</w:t>
      </w:r>
    </w:p>
    <w:p>
      <w:pPr>
        <w:spacing w:line="360" w:lineRule="auto"/>
        <w:ind w:firstLine="420" w:firstLineChars="200"/>
        <w:rPr>
          <w:szCs w:val="21"/>
        </w:rPr>
      </w:pPr>
      <w:r>
        <w:rPr>
          <w:rFonts w:hint="eastAsia"/>
          <w:szCs w:val="21"/>
        </w:rPr>
        <w:t>7.2.3提交临时占地资料。承包人按专用条款约定的时间向发包人提交，</w:t>
      </w:r>
    </w:p>
    <w:p>
      <w:pPr>
        <w:spacing w:line="360" w:lineRule="auto"/>
        <w:ind w:firstLine="420" w:firstLineChars="200"/>
        <w:rPr>
          <w:szCs w:val="21"/>
        </w:rPr>
      </w:pPr>
      <w:r>
        <w:rPr>
          <w:rFonts w:hint="eastAsia"/>
          <w:szCs w:val="21"/>
        </w:rPr>
        <w:t>（1）根据6.6.1款工程物资保管的约定，库房、堆场、道路用地的坐标位置、面积、占用时间、用途说明，并须单列需要由发包人租地的坐标位置、面积、占用时间和用途说明；</w:t>
      </w:r>
    </w:p>
    <w:p>
      <w:pPr>
        <w:spacing w:line="360" w:lineRule="auto"/>
        <w:ind w:firstLine="420" w:firstLineChars="200"/>
        <w:rPr>
          <w:szCs w:val="21"/>
        </w:rPr>
      </w:pPr>
      <w:r>
        <w:rPr>
          <w:rFonts w:hint="eastAsia"/>
          <w:szCs w:val="21"/>
        </w:rPr>
        <w:t>（2</w:t>
      </w:r>
      <w:r>
        <w:rPr>
          <w:szCs w:val="21"/>
        </w:rPr>
        <w:t>）</w:t>
      </w:r>
      <w:r>
        <w:rPr>
          <w:rFonts w:hint="eastAsia"/>
          <w:szCs w:val="21"/>
        </w:rPr>
        <w:t>施工用地的坐标位置、面积、占用时间、用途说明，并须单列要求发包人租地的坐标位置、面积、占用时间和用途说明；</w:t>
      </w:r>
    </w:p>
    <w:p>
      <w:pPr>
        <w:spacing w:line="360" w:lineRule="auto"/>
        <w:ind w:firstLine="420" w:firstLineChars="200"/>
        <w:rPr>
          <w:szCs w:val="21"/>
        </w:rPr>
      </w:pPr>
      <w:r>
        <w:rPr>
          <w:rFonts w:hint="eastAsia"/>
          <w:szCs w:val="21"/>
        </w:rPr>
        <w:t>（3）进入施工现场道路的入口坐标位置，并指明要求发包人铺设与城乡公共道路相连接的道路走向、长度、路宽、等级、桥涵承重、转弯半径和时间要求。</w:t>
      </w:r>
    </w:p>
    <w:p>
      <w:pPr>
        <w:spacing w:line="360" w:lineRule="auto"/>
        <w:rPr>
          <w:szCs w:val="21"/>
        </w:rPr>
      </w:pPr>
      <w:r>
        <w:rPr>
          <w:rFonts w:hint="eastAsia"/>
          <w:szCs w:val="21"/>
        </w:rPr>
        <w:t>因承包人未能按时提交上述资料，导致7.1.3款约定的进场日期延误的，由此增加的费用或（和）竣工日期延误，由承包人负责。</w:t>
      </w:r>
    </w:p>
    <w:p>
      <w:pPr>
        <w:spacing w:line="360" w:lineRule="auto"/>
        <w:ind w:firstLine="420" w:firstLineChars="200"/>
        <w:rPr>
          <w:szCs w:val="21"/>
        </w:rPr>
      </w:pPr>
      <w:r>
        <w:rPr>
          <w:rFonts w:hint="eastAsia"/>
          <w:szCs w:val="21"/>
        </w:rPr>
        <w:t>7.2.4临时用水电等。承包人在开工日期</w:t>
      </w:r>
      <w:r>
        <w:rPr>
          <w:szCs w:val="21"/>
        </w:rPr>
        <w:t>30</w:t>
      </w:r>
      <w:r>
        <w:rPr>
          <w:rFonts w:hint="eastAsia"/>
          <w:szCs w:val="21"/>
        </w:rPr>
        <w:t>天前或约定的其他时间前，并按本专用条款中约定的发包人能够提供的水电等临时使用的类别，向发包人提交施工（含永久性工程物资保管）所需的临时用水电等的品质、正常用量、高峰用量、使用时间和节点位置。承包人自费负责计量仪器的购买、安装和维护，并依据7.1.4款专用条款中约定的单价向发包人交费。</w:t>
      </w:r>
    </w:p>
    <w:p>
      <w:pPr>
        <w:spacing w:line="360" w:lineRule="auto"/>
        <w:ind w:firstLine="420" w:firstLineChars="200"/>
        <w:rPr>
          <w:szCs w:val="21"/>
        </w:rPr>
      </w:pPr>
      <w:r>
        <w:rPr>
          <w:rFonts w:hint="eastAsia"/>
          <w:szCs w:val="21"/>
        </w:rPr>
        <w:t>因承包人未能按约定时间提交上述资料，造成承包人的费用增加和竣工日期延误时，由承包人负责。</w:t>
      </w:r>
    </w:p>
    <w:p>
      <w:pPr>
        <w:spacing w:line="360" w:lineRule="auto"/>
        <w:ind w:firstLine="420" w:firstLineChars="200"/>
        <w:rPr>
          <w:szCs w:val="21"/>
        </w:rPr>
      </w:pPr>
      <w:r>
        <w:rPr>
          <w:rFonts w:hint="eastAsia"/>
          <w:szCs w:val="21"/>
        </w:rPr>
        <w:t>7.2.5协助发包人办理开工等批准手续。承包人在工程开工</w:t>
      </w:r>
      <w:r>
        <w:rPr>
          <w:szCs w:val="21"/>
        </w:rPr>
        <w:t>20</w:t>
      </w:r>
      <w:r>
        <w:rPr>
          <w:rFonts w:hint="eastAsia"/>
          <w:szCs w:val="21"/>
        </w:rPr>
        <w:t>天前，通知发包人向有关部门办理须由发包人办理的开工批准或施工许可证、工程质量监督手续及其他许可、证件、批件等。发包人需要时，承包人有义务提供协助。发包人委托承包人代办并被承包人接受时，另行签订协议，作为本合同的附件。</w:t>
      </w:r>
    </w:p>
    <w:p>
      <w:pPr>
        <w:spacing w:line="360" w:lineRule="auto"/>
        <w:ind w:firstLine="420" w:firstLineChars="200"/>
        <w:rPr>
          <w:szCs w:val="21"/>
        </w:rPr>
      </w:pPr>
      <w:r>
        <w:rPr>
          <w:rFonts w:hint="eastAsia"/>
          <w:szCs w:val="21"/>
        </w:rPr>
        <w:t>7.2.6施工过程中须通知办理的批准。承包人在施工过程中因临时增加场外临时用地，临时要求停水、停电、中断道路交通，爆破作业，或可能损坏道路、管线、电力、邮电、通讯等公共设施的，提前20天通知发包人办理相关申请批准手续。并按发包人的要求，提供需要承包人提供的相关文件、资料、证件等，有义务予以配合。</w:t>
      </w:r>
    </w:p>
    <w:p>
      <w:pPr>
        <w:spacing w:line="360" w:lineRule="auto"/>
        <w:rPr>
          <w:szCs w:val="21"/>
        </w:rPr>
      </w:pPr>
      <w:r>
        <w:rPr>
          <w:rFonts w:hint="eastAsia"/>
          <w:szCs w:val="21"/>
        </w:rPr>
        <w:t xml:space="preserve">    因承包人未能在20天前通知发包人或未能按时提供由发包人办理申请时要求的承包人的相关文件、资料和证件等，造成承包人窝工、停工和竣工日期延误的，由承包人负责。</w:t>
      </w:r>
    </w:p>
    <w:p>
      <w:pPr>
        <w:spacing w:line="360" w:lineRule="auto"/>
        <w:ind w:firstLine="420" w:firstLineChars="200"/>
        <w:rPr>
          <w:szCs w:val="21"/>
        </w:rPr>
      </w:pPr>
      <w:r>
        <w:rPr>
          <w:rFonts w:hint="eastAsia"/>
          <w:szCs w:val="21"/>
        </w:rPr>
        <w:t>7.2.7提供施工障碍资料。承包人按合同约定，在每项地下或地上施工部位开工</w:t>
      </w:r>
      <w:r>
        <w:rPr>
          <w:szCs w:val="21"/>
        </w:rPr>
        <w:t>20</w:t>
      </w:r>
      <w:r>
        <w:rPr>
          <w:rFonts w:hint="eastAsia"/>
          <w:szCs w:val="21"/>
        </w:rPr>
        <w:t>天前，向发包人提交施工场地的具体范围及其坐标位置，发包人须对上述范围内提供相关的地下和地下的建筑物、构筑物和其他设施的坐标位置（不包括发包人根据5.2.1款第（1）项、第（2）项中已提供的现场障碍资料）。对于发包人在合同约定时间之后提出的现场障碍资料，按照13.2.3款的施工变更的约定办理。</w:t>
      </w:r>
    </w:p>
    <w:p>
      <w:pPr>
        <w:spacing w:line="360" w:lineRule="auto"/>
        <w:ind w:firstLine="420" w:firstLineChars="200"/>
        <w:rPr>
          <w:szCs w:val="21"/>
        </w:rPr>
      </w:pPr>
      <w:r>
        <w:rPr>
          <w:rFonts w:hint="eastAsia"/>
          <w:szCs w:val="21"/>
        </w:rPr>
        <w:t>发包人已提供上述相关资料，因承包人未能履行保护义务，造成的损失、损害和责任，由承包人负责。因此造成工程关键路径延误的，承包人按4.1.2款的约定，自费赶上。</w:t>
      </w:r>
    </w:p>
    <w:p>
      <w:pPr>
        <w:spacing w:line="360" w:lineRule="auto"/>
        <w:ind w:firstLine="420" w:firstLineChars="200"/>
        <w:rPr>
          <w:szCs w:val="21"/>
        </w:rPr>
      </w:pPr>
      <w:r>
        <w:rPr>
          <w:rFonts w:hint="eastAsia"/>
          <w:szCs w:val="21"/>
        </w:rPr>
        <w:t>7.2.8新发现的施工障碍。承包人对在施工过程中新发现的场地周围及临近影响施工的建筑物、构筑物、文物建筑、古树、名木，以及地下管线、线缆、构筑物、文物、化石和坟墓等，立即采取保护措施，及时通知发包人。新发现的施工障碍，按照13.2.3款的施工变更约定办理。</w:t>
      </w:r>
    </w:p>
    <w:p>
      <w:pPr>
        <w:spacing w:line="360" w:lineRule="auto"/>
        <w:ind w:firstLine="420" w:firstLineChars="200"/>
        <w:rPr>
          <w:szCs w:val="21"/>
        </w:rPr>
      </w:pPr>
      <w:r>
        <w:rPr>
          <w:rFonts w:hint="eastAsia"/>
          <w:szCs w:val="21"/>
        </w:rPr>
        <w:t>7.2.9承包人有义务保证其人力、机具、设备、设施、措施材料、周转材料及其他施工资源，满足实施工程的需求。</w:t>
      </w:r>
    </w:p>
    <w:p>
      <w:pPr>
        <w:spacing w:line="360" w:lineRule="auto"/>
        <w:ind w:firstLine="420" w:firstLineChars="200"/>
        <w:rPr>
          <w:szCs w:val="21"/>
        </w:rPr>
      </w:pPr>
      <w:r>
        <w:rPr>
          <w:rFonts w:hint="eastAsia"/>
          <w:szCs w:val="21"/>
        </w:rPr>
        <w:t>7.2.10承包人有义务在施工前，向施工分包人和监理人说明设计文件的意图，解释设计文件，及时解决施工过程中出现的有关问题。</w:t>
      </w:r>
    </w:p>
    <w:p>
      <w:pPr>
        <w:spacing w:line="360" w:lineRule="auto"/>
        <w:ind w:firstLine="420" w:firstLineChars="200"/>
        <w:rPr>
          <w:szCs w:val="21"/>
        </w:rPr>
      </w:pPr>
      <w:r>
        <w:rPr>
          <w:rFonts w:hint="eastAsia"/>
          <w:szCs w:val="21"/>
        </w:rPr>
        <w:t>7.2.11工程的保护与维护。承包人在开工之日至发包人接收工程或（和）单项工程之日，负责工程的保护、维护和保安责任，保证工程不因承包人的施工而受到任何损失、损害。</w:t>
      </w:r>
    </w:p>
    <w:p>
      <w:pPr>
        <w:spacing w:line="360" w:lineRule="auto"/>
        <w:ind w:firstLine="420" w:firstLineChars="200"/>
        <w:rPr>
          <w:szCs w:val="21"/>
        </w:rPr>
      </w:pPr>
      <w:r>
        <w:rPr>
          <w:rFonts w:hint="eastAsia"/>
          <w:szCs w:val="21"/>
        </w:rPr>
        <w:t>7.2.12清理现场。承包人负责在施工过程中及完工后对现场进行清理、分类堆放，将残余物、废弃物、垃圾等运往发包人、或当地有关部门指定的地点。承包人不再使用的机具、设备、设施和临时工程等撤离现场，或运到发包人指定的场地。</w:t>
      </w:r>
    </w:p>
    <w:p>
      <w:pPr>
        <w:spacing w:line="360" w:lineRule="auto"/>
        <w:ind w:firstLine="420" w:firstLineChars="200"/>
        <w:rPr>
          <w:szCs w:val="21"/>
        </w:rPr>
      </w:pPr>
      <w:r>
        <w:rPr>
          <w:rFonts w:hint="eastAsia"/>
          <w:szCs w:val="21"/>
        </w:rPr>
        <w:t>7.2.13承包人有义务履行专用条款中约定的应由承包人履行的其他相关义务。</w:t>
      </w:r>
    </w:p>
    <w:p>
      <w:pPr>
        <w:spacing w:before="156" w:beforeLines="50" w:after="156" w:afterLines="50" w:line="360" w:lineRule="auto"/>
        <w:ind w:firstLine="411" w:firstLineChars="196"/>
        <w:rPr>
          <w:b/>
          <w:szCs w:val="21"/>
        </w:rPr>
      </w:pPr>
      <w:r>
        <w:rPr>
          <w:rFonts w:hint="eastAsia"/>
          <w:b/>
          <w:szCs w:val="21"/>
        </w:rPr>
        <w:t>7.3  施工技术方法</w:t>
      </w:r>
    </w:p>
    <w:p>
      <w:pPr>
        <w:spacing w:line="360" w:lineRule="auto"/>
        <w:ind w:firstLine="420" w:firstLineChars="200"/>
        <w:rPr>
          <w:szCs w:val="21"/>
        </w:rPr>
      </w:pPr>
      <w:r>
        <w:rPr>
          <w:rFonts w:hint="eastAsia"/>
          <w:szCs w:val="21"/>
        </w:rPr>
        <w:t>承包人的施工技术方法符合有关操作规程、安全规程及质量标准。</w:t>
      </w:r>
    </w:p>
    <w:p>
      <w:pPr>
        <w:spacing w:line="360" w:lineRule="auto"/>
        <w:ind w:firstLine="420" w:firstLineChars="200"/>
        <w:rPr>
          <w:szCs w:val="21"/>
        </w:rPr>
      </w:pPr>
      <w:r>
        <w:rPr>
          <w:rFonts w:hint="eastAsia"/>
          <w:szCs w:val="21"/>
        </w:rPr>
        <w:t>发包人对关键施工技术方法确认时，在收到承包人提交的该方法后的</w:t>
      </w:r>
      <w:r>
        <w:rPr>
          <w:szCs w:val="21"/>
        </w:rPr>
        <w:t>5</w:t>
      </w:r>
      <w:r>
        <w:rPr>
          <w:rFonts w:hint="eastAsia"/>
          <w:szCs w:val="21"/>
        </w:rPr>
        <w:t>日内予以确认或提出建议，发包人的任何此类确认和建议，并不能减轻或免除承包人的任何合同责任。</w:t>
      </w:r>
    </w:p>
    <w:p>
      <w:pPr>
        <w:spacing w:before="156" w:beforeLines="50" w:after="156" w:afterLines="50" w:line="360" w:lineRule="auto"/>
        <w:ind w:firstLine="420" w:firstLineChars="200"/>
        <w:rPr>
          <w:b/>
          <w:szCs w:val="21"/>
        </w:rPr>
      </w:pPr>
      <w:r>
        <w:rPr>
          <w:rFonts w:hint="eastAsia"/>
          <w:b/>
          <w:szCs w:val="21"/>
        </w:rPr>
        <w:t>7.4  人力和机具资源</w:t>
      </w:r>
    </w:p>
    <w:p>
      <w:pPr>
        <w:spacing w:line="360" w:lineRule="auto"/>
        <w:ind w:firstLine="420" w:firstLineChars="200"/>
        <w:rPr>
          <w:szCs w:val="21"/>
        </w:rPr>
      </w:pPr>
      <w:r>
        <w:rPr>
          <w:rFonts w:hint="eastAsia"/>
          <w:szCs w:val="21"/>
        </w:rPr>
        <w:t>7.4.1承包人按专用条款约定的格式、内容、份数和提交时间，向发包人提交施工人力资源计划一览表。施工人力资源计划符合施工进度计划的需要。并按专用条款约定的报表格式、内容、份数和报告期，向发包人提供实际进场的人力资源信息。</w:t>
      </w:r>
    </w:p>
    <w:p>
      <w:pPr>
        <w:spacing w:line="360" w:lineRule="auto"/>
        <w:ind w:firstLine="420" w:firstLineChars="200"/>
        <w:rPr>
          <w:szCs w:val="21"/>
        </w:rPr>
      </w:pPr>
      <w:r>
        <w:rPr>
          <w:rFonts w:hint="eastAsia"/>
          <w:szCs w:val="21"/>
        </w:rPr>
        <w:t>承包人未能按施工人力资源计划一览表投入足够工种和人力，导致实际施工进度明显落后于施工进度计划时，发包人有权通知承包人按计划一览表列出的工种和人数，在合理时间内调派人员进入现场。否则，发包人有权责令承包人将某些单项工程、分部分项工程的施工另行分包，因此发生的费用及延误的时间由承包人承担。</w:t>
      </w:r>
    </w:p>
    <w:p>
      <w:pPr>
        <w:spacing w:line="360" w:lineRule="auto"/>
        <w:ind w:firstLine="420" w:firstLineChars="200"/>
        <w:rPr>
          <w:szCs w:val="21"/>
        </w:rPr>
      </w:pPr>
      <w:r>
        <w:rPr>
          <w:rFonts w:hint="eastAsia"/>
          <w:szCs w:val="21"/>
        </w:rPr>
        <w:t>7.4.2承包人按专用条款约定的格式、内容、份数和提交时间，向发包人提交主要施工机具资源计划一览表。施工机具资源计划符合施工进度计划的需要。并按专用条款约定的报表格式、内容、份数和报告期，向发包人提供实际进场的主要施工机具信息。</w:t>
      </w:r>
    </w:p>
    <w:p>
      <w:pPr>
        <w:spacing w:line="360" w:lineRule="auto"/>
        <w:ind w:firstLine="420" w:firstLineChars="200"/>
        <w:rPr>
          <w:szCs w:val="21"/>
        </w:rPr>
      </w:pPr>
      <w:r>
        <w:rPr>
          <w:rFonts w:hint="eastAsia"/>
          <w:szCs w:val="21"/>
        </w:rPr>
        <w:t>承包人未能按施工机具资源计划一览表投入足够的机具，导致实际施工进度落后于施工进度计划时，发包人有权通知承包人按该一览表列出的机具数量，在合理时间内调派机具进入现场。否则，发包人有权责令承包人另行租赁机具，因此所发生的费用及延误的时间由承包人承担。</w:t>
      </w:r>
    </w:p>
    <w:p>
      <w:pPr>
        <w:spacing w:before="156" w:beforeLines="50" w:after="156" w:afterLines="50" w:line="360" w:lineRule="auto"/>
        <w:ind w:firstLine="411" w:firstLineChars="196"/>
        <w:rPr>
          <w:b/>
          <w:szCs w:val="21"/>
        </w:rPr>
      </w:pPr>
      <w:r>
        <w:rPr>
          <w:rFonts w:hint="eastAsia"/>
          <w:b/>
          <w:szCs w:val="21"/>
        </w:rPr>
        <w:t>7.5  质量与检验</w:t>
      </w:r>
    </w:p>
    <w:p>
      <w:pPr>
        <w:spacing w:line="360" w:lineRule="auto"/>
        <w:ind w:firstLine="420" w:firstLineChars="200"/>
        <w:rPr>
          <w:szCs w:val="21"/>
        </w:rPr>
      </w:pPr>
      <w:r>
        <w:rPr>
          <w:rFonts w:hint="eastAsia"/>
          <w:szCs w:val="21"/>
        </w:rPr>
        <w:t>7.5.1质量与检验</w:t>
      </w:r>
    </w:p>
    <w:p>
      <w:pPr>
        <w:spacing w:line="360" w:lineRule="auto"/>
        <w:ind w:firstLine="420" w:firstLineChars="200"/>
        <w:rPr>
          <w:szCs w:val="21"/>
        </w:rPr>
      </w:pPr>
      <w:r>
        <w:rPr>
          <w:rFonts w:hint="eastAsia"/>
          <w:szCs w:val="21"/>
        </w:rPr>
        <w:t>（1）承包人及其分包人随时接受发包人、工程总监、行政主管部门、质量管理部门、安全管理部门、行业质量安全检查人员或发包人委派的第三方质量检查单位所进行的安全质量的监督和检查。承包人为此类监督、检查提供方便。</w:t>
      </w:r>
    </w:p>
    <w:p>
      <w:pPr>
        <w:spacing w:line="360" w:lineRule="auto"/>
        <w:ind w:firstLine="420" w:firstLineChars="200"/>
        <w:rPr>
          <w:szCs w:val="21"/>
        </w:rPr>
      </w:pPr>
      <w:r>
        <w:rPr>
          <w:rFonts w:hint="eastAsia"/>
          <w:szCs w:val="21"/>
        </w:rPr>
        <w:t>（2）发包人委托第三方对施工质量进行检查、检验、检测和试验时，以书面形式通知承包人。第三方的验收结果视为发包人的验收结果。</w:t>
      </w:r>
    </w:p>
    <w:p>
      <w:pPr>
        <w:spacing w:line="360" w:lineRule="auto"/>
        <w:ind w:firstLine="420" w:firstLineChars="200"/>
        <w:rPr>
          <w:szCs w:val="21"/>
        </w:rPr>
      </w:pPr>
      <w:r>
        <w:rPr>
          <w:rFonts w:hint="eastAsia"/>
          <w:szCs w:val="21"/>
        </w:rPr>
        <w:t>（3）承包人遵守施工质量管理的有关规定，负有对其操作人员进行培训、考核、图纸交底、技术交底、操作规程交底、安全程序交底和质量标准交底，及消除事故隐患的责任。</w:t>
      </w:r>
    </w:p>
    <w:p>
      <w:pPr>
        <w:spacing w:line="360" w:lineRule="auto"/>
        <w:ind w:firstLine="420" w:firstLineChars="200"/>
        <w:rPr>
          <w:szCs w:val="21"/>
        </w:rPr>
      </w:pPr>
      <w:r>
        <w:rPr>
          <w:rFonts w:hint="eastAsia"/>
          <w:szCs w:val="21"/>
        </w:rPr>
        <w:t>（4）</w:t>
      </w:r>
      <w:r>
        <w:rPr>
          <w:szCs w:val="21"/>
        </w:rPr>
        <w:t>承包人</w:t>
      </w:r>
      <w:r>
        <w:rPr>
          <w:rFonts w:hint="eastAsia"/>
          <w:szCs w:val="21"/>
        </w:rPr>
        <w:t>按照</w:t>
      </w:r>
      <w:r>
        <w:rPr>
          <w:szCs w:val="21"/>
        </w:rPr>
        <w:t>设计</w:t>
      </w:r>
      <w:r>
        <w:rPr>
          <w:rFonts w:hint="eastAsia"/>
          <w:szCs w:val="21"/>
        </w:rPr>
        <w:t>文件</w:t>
      </w:r>
      <w:r>
        <w:rPr>
          <w:szCs w:val="21"/>
        </w:rPr>
        <w:t>、施工标准</w:t>
      </w:r>
      <w:r>
        <w:rPr>
          <w:rFonts w:hint="eastAsia"/>
          <w:szCs w:val="21"/>
        </w:rPr>
        <w:t>的规定</w:t>
      </w:r>
      <w:r>
        <w:rPr>
          <w:szCs w:val="21"/>
        </w:rPr>
        <w:t>和合同</w:t>
      </w:r>
      <w:r>
        <w:rPr>
          <w:rFonts w:hint="eastAsia"/>
          <w:szCs w:val="21"/>
        </w:rPr>
        <w:t>约定</w:t>
      </w:r>
      <w:r>
        <w:rPr>
          <w:szCs w:val="21"/>
        </w:rPr>
        <w:t>，对</w:t>
      </w:r>
      <w:r>
        <w:rPr>
          <w:rFonts w:hint="eastAsia"/>
          <w:szCs w:val="21"/>
        </w:rPr>
        <w:t>永久性工程的设备、</w:t>
      </w:r>
      <w:r>
        <w:rPr>
          <w:szCs w:val="21"/>
        </w:rPr>
        <w:t>材料、</w:t>
      </w:r>
      <w:r>
        <w:rPr>
          <w:rFonts w:hint="eastAsia"/>
          <w:szCs w:val="21"/>
        </w:rPr>
        <w:t>部件（包括</w:t>
      </w:r>
      <w:r>
        <w:rPr>
          <w:szCs w:val="21"/>
        </w:rPr>
        <w:t>建筑构配件</w:t>
      </w:r>
      <w:r>
        <w:rPr>
          <w:rFonts w:hint="eastAsia"/>
          <w:szCs w:val="21"/>
        </w:rPr>
        <w:t>）</w:t>
      </w:r>
      <w:r>
        <w:rPr>
          <w:szCs w:val="21"/>
        </w:rPr>
        <w:t>进行</w:t>
      </w:r>
      <w:r>
        <w:rPr>
          <w:rFonts w:hint="eastAsia"/>
          <w:szCs w:val="21"/>
        </w:rPr>
        <w:t>检查、</w:t>
      </w:r>
      <w:r>
        <w:rPr>
          <w:szCs w:val="21"/>
        </w:rPr>
        <w:t>检验</w:t>
      </w:r>
      <w:r>
        <w:rPr>
          <w:rFonts w:hint="eastAsia"/>
          <w:szCs w:val="21"/>
        </w:rPr>
        <w:t>、检测和试验</w:t>
      </w:r>
      <w:r>
        <w:rPr>
          <w:szCs w:val="21"/>
        </w:rPr>
        <w:t>，不合格的不得使用。</w:t>
      </w:r>
      <w:r>
        <w:rPr>
          <w:rFonts w:hint="eastAsia"/>
          <w:szCs w:val="21"/>
        </w:rPr>
        <w:t>并有义务自费修复和更换</w:t>
      </w:r>
      <w:r>
        <w:rPr>
          <w:szCs w:val="21"/>
        </w:rPr>
        <w:t>不合格</w:t>
      </w:r>
      <w:r>
        <w:rPr>
          <w:rFonts w:hint="eastAsia"/>
          <w:szCs w:val="21"/>
        </w:rPr>
        <w:t>的设备、</w:t>
      </w:r>
      <w:r>
        <w:rPr>
          <w:szCs w:val="21"/>
        </w:rPr>
        <w:t>材料、</w:t>
      </w:r>
      <w:r>
        <w:rPr>
          <w:rFonts w:hint="eastAsia"/>
          <w:szCs w:val="21"/>
        </w:rPr>
        <w:t>部件，因此造成竣工日期延误的，由承包人负责。</w:t>
      </w:r>
    </w:p>
    <w:p>
      <w:pPr>
        <w:spacing w:line="360" w:lineRule="auto"/>
        <w:ind w:firstLine="420" w:firstLineChars="200"/>
        <w:rPr>
          <w:szCs w:val="21"/>
        </w:rPr>
      </w:pPr>
      <w:r>
        <w:rPr>
          <w:rFonts w:hint="eastAsia"/>
          <w:szCs w:val="21"/>
        </w:rPr>
        <w:t>（5）承包人的施工符合合同约定的质量标准。质量标准的评定，以合同中约定的质量检验评定标准为依据。对不符合质量标准的施工部位，承包人有义务自费修复、返工、或更换、或重置，因此造成竣工日期延误的由承包人负责。</w:t>
      </w:r>
    </w:p>
    <w:p>
      <w:pPr>
        <w:spacing w:line="360" w:lineRule="auto"/>
        <w:ind w:firstLine="420" w:firstLineChars="200"/>
        <w:rPr>
          <w:szCs w:val="21"/>
        </w:rPr>
      </w:pPr>
      <w:r>
        <w:rPr>
          <w:rFonts w:hint="eastAsia"/>
          <w:szCs w:val="21"/>
        </w:rPr>
        <w:t>7.5.2质检部位与参检方。质检部位分为：发包人、监理人与承包人三方参检的部位；监理人与承包人两方参检的部位；第三方或承包人一方参检的部位。对施工质量进行检查的部位、检查标准及验收的表格格式在专用条款中约定。</w:t>
      </w:r>
    </w:p>
    <w:p>
      <w:pPr>
        <w:spacing w:line="360" w:lineRule="auto"/>
        <w:ind w:firstLine="420" w:firstLineChars="200"/>
        <w:rPr>
          <w:szCs w:val="21"/>
        </w:rPr>
      </w:pPr>
      <w:r>
        <w:rPr>
          <w:rFonts w:hint="eastAsia"/>
          <w:szCs w:val="21"/>
        </w:rPr>
        <w:t>按上述约定，经承包人一方检查合格的部位，报发包人或监理人备案。发包人和工程总监有权随时对备案的部位进行抽查或全面检查。</w:t>
      </w:r>
    </w:p>
    <w:p>
      <w:pPr>
        <w:spacing w:line="360" w:lineRule="auto"/>
        <w:ind w:firstLine="420" w:firstLineChars="200"/>
        <w:rPr>
          <w:szCs w:val="21"/>
        </w:rPr>
      </w:pPr>
      <w:r>
        <w:rPr>
          <w:rFonts w:hint="eastAsia"/>
          <w:szCs w:val="21"/>
        </w:rPr>
        <w:t>7.5.3通知参检方的参检。承包人自行检查、检验、检测和试验合格的，按7.5.2款专用条款约定的质检部位和参检方，通知相关参检单位参加检查。参检方未能按时参加的，承包人将自检合格的结果于其后的</w:t>
      </w:r>
      <w:r>
        <w:rPr>
          <w:szCs w:val="21"/>
        </w:rPr>
        <w:t>24</w:t>
      </w:r>
      <w:r>
        <w:rPr>
          <w:rFonts w:hint="eastAsia"/>
          <w:szCs w:val="21"/>
        </w:rPr>
        <w:t>小时内送交发包人或（和）监理人签字，</w:t>
      </w:r>
      <w:r>
        <w:rPr>
          <w:szCs w:val="21"/>
        </w:rPr>
        <w:t>24</w:t>
      </w:r>
      <w:r>
        <w:rPr>
          <w:rFonts w:hint="eastAsia"/>
          <w:szCs w:val="21"/>
        </w:rPr>
        <w:t>小时后未能签字，视为质检结果已被发包人认可。此后</w:t>
      </w:r>
      <w:r>
        <w:rPr>
          <w:szCs w:val="21"/>
        </w:rPr>
        <w:t>3</w:t>
      </w:r>
      <w:r>
        <w:rPr>
          <w:rFonts w:hint="eastAsia"/>
          <w:szCs w:val="21"/>
        </w:rPr>
        <w:t>日内，承包人发出视为发包人或（和）监理人已确认该质检结果的通知。</w:t>
      </w:r>
    </w:p>
    <w:p>
      <w:pPr>
        <w:spacing w:line="360" w:lineRule="auto"/>
        <w:ind w:firstLine="420" w:firstLineChars="200"/>
        <w:rPr>
          <w:szCs w:val="21"/>
        </w:rPr>
      </w:pPr>
      <w:r>
        <w:rPr>
          <w:rFonts w:hint="eastAsia"/>
          <w:szCs w:val="21"/>
        </w:rPr>
        <w:t>7.5.4质量检查的权利。发包人及其授权的监理人或第三方以及政府相关质量安全监督部门，在不妨碍承包人正常作业的情况下，具有对任何施工区域进行质量监督、检查、检验、检测和试验的权利。承包人为此类质量检查活动提供便利。当其检查、检验、检测、试验的结果合格，承包人增加的费用或（和）工程关键路径延误时，按13条变更和调整合同价格的约定，作为一项变更。</w:t>
      </w:r>
    </w:p>
    <w:p>
      <w:pPr>
        <w:spacing w:line="360" w:lineRule="auto"/>
        <w:ind w:firstLine="420" w:firstLineChars="200"/>
        <w:rPr>
          <w:szCs w:val="21"/>
        </w:rPr>
      </w:pPr>
      <w:r>
        <w:rPr>
          <w:rFonts w:hint="eastAsia"/>
          <w:szCs w:val="21"/>
        </w:rPr>
        <w:t>经质检发现因承包人原因引起的质量缺陷，有权下达修复、暂停、拆除、返工、重新施工、更换等指令，承包人应无条件执行该等指令，由此增加的费用由承包人承担，使竣工日期延误时，不予延长。同时，发包人还可以根据本合同的相关规定要求承包人承担违约责任。</w:t>
      </w:r>
    </w:p>
    <w:p>
      <w:pPr>
        <w:spacing w:line="360" w:lineRule="auto"/>
        <w:ind w:firstLine="420" w:firstLineChars="200"/>
        <w:rPr>
          <w:szCs w:val="21"/>
        </w:rPr>
      </w:pPr>
      <w:r>
        <w:rPr>
          <w:rFonts w:hint="eastAsia"/>
          <w:szCs w:val="21"/>
        </w:rPr>
        <w:t>7.5.5质量检查的标准。发包人或/和监理在对本工程和工程物资进行质量检查时，应按如下顺序进行：</w:t>
      </w:r>
    </w:p>
    <w:p>
      <w:pPr>
        <w:spacing w:line="360" w:lineRule="auto"/>
        <w:ind w:firstLine="420" w:firstLineChars="200"/>
        <w:rPr>
          <w:szCs w:val="21"/>
        </w:rPr>
      </w:pPr>
      <w:r>
        <w:rPr>
          <w:rFonts w:hint="eastAsia"/>
          <w:szCs w:val="21"/>
        </w:rPr>
        <w:t>（1）本工程设计图纸规定的设计标准；</w:t>
      </w:r>
    </w:p>
    <w:p>
      <w:pPr>
        <w:spacing w:line="360" w:lineRule="auto"/>
        <w:ind w:firstLine="420" w:firstLineChars="200"/>
        <w:rPr>
          <w:szCs w:val="21"/>
        </w:rPr>
      </w:pPr>
      <w:r>
        <w:rPr>
          <w:rFonts w:hint="eastAsia"/>
          <w:szCs w:val="21"/>
        </w:rPr>
        <w:t>（2）本工程招投标时确定的规格、技术指标、质量标准、品牌等；</w:t>
      </w:r>
    </w:p>
    <w:p>
      <w:pPr>
        <w:spacing w:line="360" w:lineRule="auto"/>
        <w:ind w:firstLine="420" w:firstLineChars="200"/>
        <w:rPr>
          <w:szCs w:val="21"/>
        </w:rPr>
      </w:pPr>
      <w:r>
        <w:rPr>
          <w:rFonts w:hint="eastAsia"/>
          <w:szCs w:val="21"/>
        </w:rPr>
        <w:t>（3）经设计人、监理人、承包人、发包人共同认定的产品封样、样板；</w:t>
      </w:r>
    </w:p>
    <w:p>
      <w:pPr>
        <w:spacing w:line="360" w:lineRule="auto"/>
        <w:ind w:firstLine="420" w:firstLineChars="200"/>
        <w:rPr>
          <w:szCs w:val="21"/>
        </w:rPr>
      </w:pPr>
      <w:r>
        <w:rPr>
          <w:rFonts w:hint="eastAsia"/>
          <w:szCs w:val="21"/>
        </w:rPr>
        <w:t>（4）国家或行业强制执行的技术标准、技术规范。</w:t>
      </w:r>
    </w:p>
    <w:p>
      <w:pPr>
        <w:spacing w:line="360" w:lineRule="auto"/>
        <w:ind w:firstLine="420" w:firstLineChars="200"/>
        <w:rPr>
          <w:szCs w:val="21"/>
        </w:rPr>
      </w:pPr>
      <w:r>
        <w:rPr>
          <w:rFonts w:hint="eastAsia"/>
          <w:szCs w:val="21"/>
        </w:rPr>
        <w:t>7.5.6重新进行质量检查。按7.5.3款的约定，经质量检查合格的工程部位，发包人有权在不影响工程正常施工的条件下，重新进行质量检查。其检查、检验、检测、试验的结果不合格时，因此发生的费用由承包人承担，造成工程关键路径延误的，竣工日期不予延长；其检查、检验、检测、试验的结果合格时，承包人增加的费用或（和）使竣工日期延误，按13条变更和调整合同价格的约定，作为一项变更。</w:t>
      </w:r>
    </w:p>
    <w:p>
      <w:pPr>
        <w:spacing w:line="360" w:lineRule="auto"/>
        <w:ind w:firstLine="420" w:firstLineChars="200"/>
        <w:rPr>
          <w:szCs w:val="21"/>
        </w:rPr>
      </w:pPr>
      <w:r>
        <w:rPr>
          <w:rFonts w:hint="eastAsia"/>
          <w:szCs w:val="21"/>
        </w:rPr>
        <w:t>7.5.7因发包人代表或（和）监理人的指令失误，或其他非承包人原因发生的追加施工费用，由发包人承担。造成工程关键路径延误，竣工日期相应顺延。</w:t>
      </w:r>
    </w:p>
    <w:p>
      <w:pPr>
        <w:spacing w:before="156" w:beforeLines="50" w:after="156" w:afterLines="50" w:line="360" w:lineRule="auto"/>
        <w:ind w:firstLine="411" w:firstLineChars="196"/>
        <w:rPr>
          <w:b/>
          <w:szCs w:val="21"/>
        </w:rPr>
      </w:pPr>
      <w:r>
        <w:rPr>
          <w:rFonts w:hint="eastAsia"/>
          <w:b/>
          <w:szCs w:val="21"/>
        </w:rPr>
        <w:t>7.6  隐蔽工程和中间验收</w:t>
      </w:r>
    </w:p>
    <w:p>
      <w:pPr>
        <w:spacing w:line="360" w:lineRule="auto"/>
        <w:ind w:firstLine="420" w:firstLineChars="200"/>
        <w:rPr>
          <w:szCs w:val="21"/>
        </w:rPr>
      </w:pPr>
      <w:r>
        <w:rPr>
          <w:rFonts w:hint="eastAsia"/>
          <w:szCs w:val="21"/>
        </w:rPr>
        <w:t>7.6.1隐蔽工程和中间验收。需要质检的隐蔽工程和中间验收部位的分类、部位、质检内容、质检标准、质检表格和参检方在专用条款中约定。</w:t>
      </w:r>
    </w:p>
    <w:p>
      <w:pPr>
        <w:spacing w:line="360" w:lineRule="auto"/>
        <w:ind w:firstLine="420" w:firstLineChars="200"/>
        <w:rPr>
          <w:szCs w:val="21"/>
        </w:rPr>
      </w:pPr>
      <w:r>
        <w:rPr>
          <w:rFonts w:hint="eastAsia"/>
          <w:szCs w:val="21"/>
        </w:rPr>
        <w:t>7.6.2验收通知和验收。承包人对自检合格的隐蔽工程或中间验收部位，在隐蔽工程或中间验收前的</w:t>
      </w:r>
      <w:r>
        <w:rPr>
          <w:szCs w:val="21"/>
        </w:rPr>
        <w:t>48</w:t>
      </w:r>
      <w:r>
        <w:rPr>
          <w:rFonts w:hint="eastAsia"/>
          <w:szCs w:val="21"/>
        </w:rPr>
        <w:t>小时以书面形式通知发包人或（和）监理人验收。通知包括隐蔽和中间验收的内容、验收时间和地点。验收合格，双方在验收记录上签字后，方可覆盖、进行紧后作业，编制并提交隐蔽工程竣工资料。</w:t>
      </w:r>
    </w:p>
    <w:p>
      <w:pPr>
        <w:spacing w:line="360" w:lineRule="auto"/>
        <w:ind w:firstLine="420" w:firstLineChars="200"/>
        <w:rPr>
          <w:szCs w:val="21"/>
        </w:rPr>
      </w:pPr>
      <w:r>
        <w:rPr>
          <w:rFonts w:hint="eastAsia"/>
          <w:szCs w:val="21"/>
        </w:rPr>
        <w:t>发包人或（和）监理人在验收合格</w:t>
      </w:r>
      <w:r>
        <w:rPr>
          <w:szCs w:val="21"/>
        </w:rPr>
        <w:t>24</w:t>
      </w:r>
      <w:r>
        <w:rPr>
          <w:rFonts w:hint="eastAsia"/>
          <w:szCs w:val="21"/>
        </w:rPr>
        <w:t>小时后不在验收记录上签字的，视为发包人或（和）监理人已经认可验收记录，承包人可隐蔽或进行紧后作业。经发包人或（和）监理人验收不合格的，承包人需在发包人或（和）监理人限定的时间内修正，重新通知发包人或（和）监理人验收。</w:t>
      </w:r>
    </w:p>
    <w:p>
      <w:pPr>
        <w:spacing w:line="360" w:lineRule="auto"/>
        <w:ind w:firstLine="420" w:firstLineChars="200"/>
        <w:rPr>
          <w:szCs w:val="21"/>
        </w:rPr>
      </w:pPr>
      <w:r>
        <w:rPr>
          <w:rFonts w:hint="eastAsia"/>
          <w:szCs w:val="21"/>
        </w:rPr>
        <w:t>7.6.3未能按时参加验收。发包人或（和）监理人不能按时参加隐蔽工程或中间验收部位验收的，在收到验收通知</w:t>
      </w:r>
      <w:r>
        <w:rPr>
          <w:szCs w:val="21"/>
        </w:rPr>
        <w:t>24</w:t>
      </w:r>
      <w:r>
        <w:rPr>
          <w:rFonts w:hint="eastAsia"/>
          <w:szCs w:val="21"/>
        </w:rPr>
        <w:t>小时内以书面形式向承包人提出延期要求，延期不能超过</w:t>
      </w:r>
      <w:r>
        <w:rPr>
          <w:szCs w:val="21"/>
        </w:rPr>
        <w:t>48</w:t>
      </w:r>
      <w:r>
        <w:rPr>
          <w:rFonts w:hint="eastAsia"/>
          <w:szCs w:val="21"/>
        </w:rPr>
        <w:t>小时。未能按以上时间提出延期验收，又未能参加验收的，承包人可自行组织验收，其验收记录视为已被发包人、监理人认可。</w:t>
      </w:r>
    </w:p>
    <w:p>
      <w:pPr>
        <w:spacing w:line="360" w:lineRule="auto"/>
        <w:ind w:firstLine="420" w:firstLineChars="200"/>
        <w:rPr>
          <w:szCs w:val="21"/>
        </w:rPr>
      </w:pPr>
      <w:r>
        <w:rPr>
          <w:rFonts w:hint="eastAsia"/>
          <w:szCs w:val="21"/>
        </w:rPr>
        <w:t>7.6.4再检验。发包人或（和）监理人在任何时间内，有权对已经验收的隐蔽工程要求重新检验，承包人按要求拆除覆盖、剥离或开孔，并在检验后重新覆盖或修复。经检验不合格时，由此发生的费用由承包人承担，使工程关键路径延误时，竣工日期不予延长；经检验合格时，承包人增加的费用、或工程关键路径的延误，按照13条变更和调整合同价格的约定，作为一项变更。</w:t>
      </w:r>
    </w:p>
    <w:p>
      <w:pPr>
        <w:spacing w:before="156" w:beforeLines="50" w:after="156" w:afterLines="50" w:line="360" w:lineRule="auto"/>
        <w:ind w:firstLine="420" w:firstLineChars="200"/>
        <w:rPr>
          <w:b/>
          <w:szCs w:val="21"/>
        </w:rPr>
      </w:pPr>
      <w:r>
        <w:rPr>
          <w:rFonts w:hint="eastAsia"/>
          <w:b/>
          <w:szCs w:val="21"/>
        </w:rPr>
        <w:t>7.7  对施工质量结果的争议</w:t>
      </w:r>
    </w:p>
    <w:p>
      <w:pPr>
        <w:spacing w:line="360" w:lineRule="auto"/>
        <w:ind w:firstLine="420" w:firstLineChars="200"/>
        <w:rPr>
          <w:szCs w:val="21"/>
        </w:rPr>
      </w:pPr>
      <w:r>
        <w:rPr>
          <w:rFonts w:hint="eastAsia"/>
          <w:szCs w:val="21"/>
        </w:rPr>
        <w:t>7.7.1对施工质量结果的争议，首先协商解决。经协商未达成一致意见的，委托双方一致同意的具有相应资格的工程质量检测机构进行鉴定。</w:t>
      </w:r>
    </w:p>
    <w:p>
      <w:pPr>
        <w:spacing w:line="360" w:lineRule="auto"/>
        <w:ind w:firstLine="420" w:firstLineChars="200"/>
        <w:rPr>
          <w:szCs w:val="21"/>
        </w:rPr>
      </w:pPr>
      <w:r>
        <w:rPr>
          <w:rFonts w:hint="eastAsia"/>
          <w:szCs w:val="21"/>
        </w:rPr>
        <w:t>根据鉴定结果，责任方为承包人时，因此造成的费用增加或竣工日期延误，由承包人负责；责任方为发包人时，因此造成的费用增加由发包人承担，工程关键路径因争议受到延误的，竣工日期相应顺延。</w:t>
      </w:r>
    </w:p>
    <w:p>
      <w:pPr>
        <w:spacing w:line="360" w:lineRule="auto"/>
        <w:ind w:firstLine="420" w:firstLineChars="200"/>
        <w:rPr>
          <w:szCs w:val="21"/>
        </w:rPr>
      </w:pPr>
      <w:r>
        <w:rPr>
          <w:rFonts w:hint="eastAsia"/>
          <w:szCs w:val="21"/>
        </w:rPr>
        <w:t>7.7.2根据鉴定结果，合同双方均有责任时，根据各方的责任大小，协商分担发生的费用；因此造成工程关键路径延误时，商定对竣工日期的延长。当双方对分担的费用、竣工日期延长不能达成一致时，按</w:t>
      </w:r>
      <w:r>
        <w:rPr>
          <w:szCs w:val="21"/>
        </w:rPr>
        <w:t>16.3</w:t>
      </w:r>
      <w:r>
        <w:rPr>
          <w:rFonts w:hint="eastAsia"/>
          <w:szCs w:val="21"/>
        </w:rPr>
        <w:t>款争议和裁决的约定程序解决。</w:t>
      </w:r>
    </w:p>
    <w:p>
      <w:pPr>
        <w:spacing w:before="156" w:beforeLines="50" w:after="156" w:afterLines="50" w:line="360" w:lineRule="auto"/>
        <w:ind w:firstLine="411" w:firstLineChars="196"/>
        <w:rPr>
          <w:b/>
          <w:szCs w:val="21"/>
        </w:rPr>
      </w:pPr>
      <w:r>
        <w:rPr>
          <w:rFonts w:hint="eastAsia"/>
          <w:b/>
          <w:szCs w:val="21"/>
        </w:rPr>
        <w:t>7.8  健康、安全、环境</w:t>
      </w:r>
    </w:p>
    <w:p>
      <w:pPr>
        <w:spacing w:line="360" w:lineRule="auto"/>
        <w:ind w:firstLine="420" w:firstLineChars="200"/>
        <w:rPr>
          <w:szCs w:val="21"/>
        </w:rPr>
      </w:pPr>
      <w:r>
        <w:rPr>
          <w:rFonts w:hint="eastAsia"/>
          <w:szCs w:val="21"/>
        </w:rPr>
        <w:t>7.8.1健康、安全、环境管理</w:t>
      </w:r>
    </w:p>
    <w:p>
      <w:pPr>
        <w:spacing w:line="360" w:lineRule="auto"/>
        <w:ind w:firstLine="420" w:firstLineChars="200"/>
        <w:rPr>
          <w:szCs w:val="21"/>
        </w:rPr>
      </w:pPr>
      <w:r>
        <w:rPr>
          <w:rFonts w:hint="eastAsia"/>
          <w:szCs w:val="21"/>
        </w:rPr>
        <w:t>（1）遵守有关健康、安全、环境的各项法律规定，是双方的义务。</w:t>
      </w:r>
    </w:p>
    <w:p>
      <w:pPr>
        <w:spacing w:line="360" w:lineRule="auto"/>
        <w:ind w:firstLine="420" w:firstLineChars="200"/>
        <w:rPr>
          <w:szCs w:val="21"/>
        </w:rPr>
      </w:pPr>
      <w:r>
        <w:rPr>
          <w:rFonts w:hint="eastAsia"/>
          <w:szCs w:val="21"/>
        </w:rPr>
        <w:t>（2）健康、安全、环境管理实施计划。在现场开工前或约定的其他时间内，承包人将健康、安全、环境管理实施计划提交给发包人。该计划的管理、实施费用包括在合同价格中。发包人在收到该计划后15日内提出建议，并予以确认，承包人根据发包人的建议自费修正。该计划提交的份数和提交时间，在专用条款中约定。</w:t>
      </w:r>
    </w:p>
    <w:p>
      <w:pPr>
        <w:spacing w:line="360" w:lineRule="auto"/>
        <w:ind w:firstLine="420" w:firstLineChars="200"/>
        <w:rPr>
          <w:szCs w:val="21"/>
        </w:rPr>
      </w:pPr>
      <w:r>
        <w:rPr>
          <w:rFonts w:hint="eastAsia"/>
          <w:szCs w:val="21"/>
        </w:rPr>
        <w:t>（3）在承包人实施健康、安全、环境管理实施计划的过程中，发包人需要在该计划之外采取特殊措施的，按13条变更和合同价格调整的约定，作为一项变更。</w:t>
      </w:r>
    </w:p>
    <w:p>
      <w:pPr>
        <w:spacing w:line="360" w:lineRule="auto"/>
        <w:ind w:firstLine="420" w:firstLineChars="200"/>
        <w:rPr>
          <w:szCs w:val="21"/>
        </w:rPr>
      </w:pPr>
      <w:r>
        <w:rPr>
          <w:rFonts w:hint="eastAsia"/>
          <w:szCs w:val="21"/>
        </w:rPr>
        <w:t>（4）当事人确保其在现场的所有雇员及其分包人的雇员都经过了足够的培训并具有经验，能够胜任健康、安全、环境管理工作。</w:t>
      </w:r>
    </w:p>
    <w:p>
      <w:pPr>
        <w:spacing w:line="360" w:lineRule="auto"/>
        <w:ind w:firstLine="420" w:firstLineChars="200"/>
        <w:rPr>
          <w:szCs w:val="21"/>
        </w:rPr>
      </w:pPr>
      <w:r>
        <w:rPr>
          <w:rFonts w:hint="eastAsia"/>
          <w:szCs w:val="21"/>
        </w:rPr>
        <w:t>（5）当事人遵守所有与实施本工程和使用施工设备相关的现场卫生、安全和环保的法律规定，并按规定各自办理相关手续。</w:t>
      </w:r>
    </w:p>
    <w:p>
      <w:pPr>
        <w:spacing w:line="360" w:lineRule="auto"/>
        <w:ind w:firstLine="420" w:firstLineChars="200"/>
        <w:rPr>
          <w:szCs w:val="21"/>
        </w:rPr>
      </w:pPr>
      <w:r>
        <w:rPr>
          <w:rFonts w:hint="eastAsia"/>
          <w:szCs w:val="21"/>
        </w:rPr>
        <w:t>（6）承包人为现场开工部分的工程建立健康保障条件、搭设安全设施并采取环保措施等，为发包人办理施工许可证提供条件。因承包人原因导致施工许可的批准推迟，造成费用增加或工程关键路径延误时，由承包人负责。</w:t>
      </w:r>
    </w:p>
    <w:p>
      <w:pPr>
        <w:spacing w:line="360" w:lineRule="auto"/>
        <w:ind w:firstLine="420" w:firstLineChars="200"/>
        <w:rPr>
          <w:szCs w:val="21"/>
        </w:rPr>
      </w:pPr>
      <w:r>
        <w:rPr>
          <w:rFonts w:hint="eastAsia"/>
          <w:szCs w:val="21"/>
        </w:rPr>
        <w:t>（7）当事人配备专职工程师或管理人员，负责管理、监督、指导职工健康、安全保护和环境保护工作。承包人对其分包人负责。</w:t>
      </w:r>
    </w:p>
    <w:p>
      <w:pPr>
        <w:spacing w:line="360" w:lineRule="auto"/>
        <w:ind w:firstLine="420" w:firstLineChars="200"/>
        <w:rPr>
          <w:szCs w:val="21"/>
        </w:rPr>
      </w:pPr>
      <w:r>
        <w:rPr>
          <w:rFonts w:hint="eastAsia"/>
          <w:szCs w:val="21"/>
        </w:rPr>
        <w:t>（8）承包人随时接受政府有关行政部门、行业机构、发包人、工程总监的健康、安全、环境检查人员的监督和检查，并为此提供方便。</w:t>
      </w:r>
    </w:p>
    <w:p>
      <w:pPr>
        <w:spacing w:line="360" w:lineRule="auto"/>
        <w:ind w:firstLine="411" w:firstLineChars="196"/>
        <w:rPr>
          <w:szCs w:val="21"/>
        </w:rPr>
      </w:pPr>
      <w:r>
        <w:rPr>
          <w:rFonts w:hint="eastAsia"/>
          <w:szCs w:val="21"/>
        </w:rPr>
        <w:t>7.8.2现场职业健康管理</w:t>
      </w:r>
    </w:p>
    <w:p>
      <w:pPr>
        <w:spacing w:line="360" w:lineRule="auto"/>
        <w:ind w:firstLine="420" w:firstLineChars="200"/>
        <w:rPr>
          <w:szCs w:val="21"/>
        </w:rPr>
      </w:pPr>
      <w:r>
        <w:rPr>
          <w:rFonts w:hint="eastAsia"/>
          <w:szCs w:val="21"/>
        </w:rPr>
        <w:t>（1）</w:t>
      </w:r>
      <w:r>
        <w:rPr>
          <w:szCs w:val="21"/>
        </w:rPr>
        <w:t>承包人</w:t>
      </w:r>
      <w:r>
        <w:rPr>
          <w:rFonts w:hint="eastAsia"/>
          <w:szCs w:val="21"/>
        </w:rPr>
        <w:t>遵守适用的职业健康的法律规定和合同约定（包括对雇用、健康、安全、福利等方面的规定），</w:t>
      </w:r>
      <w:r>
        <w:rPr>
          <w:szCs w:val="21"/>
        </w:rPr>
        <w:t>负责现场实施过程中</w:t>
      </w:r>
      <w:r>
        <w:rPr>
          <w:rFonts w:hint="eastAsia"/>
          <w:szCs w:val="21"/>
        </w:rPr>
        <w:t>其人员的</w:t>
      </w:r>
      <w:r>
        <w:rPr>
          <w:szCs w:val="21"/>
        </w:rPr>
        <w:t>职业健康</w:t>
      </w:r>
      <w:r>
        <w:rPr>
          <w:rFonts w:hint="eastAsia"/>
          <w:szCs w:val="21"/>
        </w:rPr>
        <w:t>和</w:t>
      </w:r>
      <w:r>
        <w:rPr>
          <w:szCs w:val="21"/>
        </w:rPr>
        <w:t>保护</w:t>
      </w:r>
      <w:r>
        <w:rPr>
          <w:rFonts w:hint="eastAsia"/>
          <w:szCs w:val="21"/>
        </w:rPr>
        <w:t>。</w:t>
      </w:r>
    </w:p>
    <w:p>
      <w:pPr>
        <w:spacing w:line="360" w:lineRule="auto"/>
        <w:ind w:firstLine="420" w:firstLineChars="200"/>
        <w:rPr>
          <w:szCs w:val="21"/>
        </w:rPr>
      </w:pPr>
      <w:r>
        <w:rPr>
          <w:rFonts w:hint="eastAsia"/>
          <w:szCs w:val="21"/>
        </w:rPr>
        <w:t>（2）承包人遵守适用的劳动法规，保护其雇员的合法休假权等合法权益，并为其现场人员提供劳动保护用品、防护器具、防暑降温用品、必要的现场食宿条件和安全生产设施。</w:t>
      </w:r>
    </w:p>
    <w:p>
      <w:pPr>
        <w:spacing w:line="360" w:lineRule="auto"/>
        <w:ind w:firstLine="420" w:firstLineChars="200"/>
        <w:rPr>
          <w:szCs w:val="21"/>
        </w:rPr>
      </w:pPr>
      <w:r>
        <w:rPr>
          <w:rFonts w:hint="eastAsia"/>
          <w:szCs w:val="21"/>
        </w:rPr>
        <w:t>（3）承包人对其施工人员进行相关作业的职业健康知识培训、危险及危害因素交底、安全操作规程交底、采取有效措施，按有关规定提供防止人身伤害的保护用具。</w:t>
      </w:r>
    </w:p>
    <w:p>
      <w:pPr>
        <w:spacing w:line="360" w:lineRule="auto"/>
        <w:ind w:firstLine="420" w:firstLineChars="200"/>
        <w:rPr>
          <w:szCs w:val="21"/>
        </w:rPr>
      </w:pPr>
      <w:r>
        <w:rPr>
          <w:rFonts w:hint="eastAsia"/>
          <w:szCs w:val="21"/>
        </w:rPr>
        <w:t>（4）承包人在有毒有害作业区域设置警示标志和说明。发包人及其委托人员未经承包人允许、未配备相关保护器具，进入该作业区域所造成的伤害，由发包人承担责任和费用。</w:t>
      </w:r>
    </w:p>
    <w:p>
      <w:pPr>
        <w:spacing w:line="360" w:lineRule="auto"/>
        <w:ind w:firstLine="420" w:firstLineChars="200"/>
        <w:rPr>
          <w:szCs w:val="21"/>
        </w:rPr>
      </w:pPr>
      <w:r>
        <w:rPr>
          <w:rFonts w:hint="eastAsia"/>
          <w:szCs w:val="21"/>
        </w:rPr>
        <w:t>（5）承包人对有毒有害岗位进行防治检查，对不合格的防护设施、器具、搭设等及时整改，消除危害健康的隐患。</w:t>
      </w:r>
    </w:p>
    <w:p>
      <w:pPr>
        <w:spacing w:line="360" w:lineRule="auto"/>
        <w:ind w:firstLine="420" w:firstLineChars="200"/>
        <w:rPr>
          <w:szCs w:val="21"/>
        </w:rPr>
      </w:pPr>
      <w:r>
        <w:rPr>
          <w:rFonts w:hint="eastAsia"/>
          <w:szCs w:val="21"/>
        </w:rPr>
        <w:t>（6）承包人采取卫生防疫措施，配备医务人员、急救设施，保持食堂的饮食卫生，保持住地及其周围的环境卫生，维护施工人员的健康。</w:t>
      </w:r>
    </w:p>
    <w:p>
      <w:pPr>
        <w:spacing w:line="360" w:lineRule="auto"/>
        <w:ind w:firstLine="411" w:firstLineChars="196"/>
        <w:rPr>
          <w:szCs w:val="21"/>
        </w:rPr>
      </w:pPr>
      <w:r>
        <w:rPr>
          <w:rFonts w:hint="eastAsia"/>
          <w:szCs w:val="21"/>
        </w:rPr>
        <w:t>7.8.3现场安全管理</w:t>
      </w:r>
    </w:p>
    <w:p>
      <w:pPr>
        <w:spacing w:line="360" w:lineRule="auto"/>
        <w:ind w:firstLine="420" w:firstLineChars="200"/>
        <w:rPr>
          <w:szCs w:val="21"/>
        </w:rPr>
      </w:pPr>
      <w:r>
        <w:rPr>
          <w:rFonts w:hint="eastAsia"/>
          <w:szCs w:val="21"/>
        </w:rPr>
        <w:t>（1）发包人、监理人对其在现场的人员进行安全教育，提供必要的个人安全用品，并对他们所造成的安全事故负责。发包人、监理人不得强令承包人违反安全施工、安全操作及竣工验收或（和）竣工后试验的有关安全规定。因发包人、监理人及其现场工作人员的原因，导致的人身伤害和财产损失，由发包人承担相关责任及所发生的费用。工程关键路径延误时，竣工日期给予顺延。</w:t>
      </w:r>
    </w:p>
    <w:p>
      <w:pPr>
        <w:spacing w:line="360" w:lineRule="auto"/>
        <w:rPr>
          <w:szCs w:val="21"/>
        </w:rPr>
      </w:pPr>
      <w:r>
        <w:rPr>
          <w:rFonts w:hint="eastAsia"/>
          <w:szCs w:val="21"/>
        </w:rPr>
        <w:t>因承包人原因，违反安全施工、安全操作、竣工验收或（和）竣工后试验的有关安全规定，导致的人身伤害和财产损失，工程关键路径延误时，由承包人承担。</w:t>
      </w:r>
    </w:p>
    <w:p>
      <w:pPr>
        <w:spacing w:line="360" w:lineRule="auto"/>
        <w:ind w:firstLine="420" w:firstLineChars="200"/>
        <w:rPr>
          <w:szCs w:val="21"/>
        </w:rPr>
      </w:pPr>
      <w:r>
        <w:rPr>
          <w:rFonts w:hint="eastAsia"/>
          <w:szCs w:val="21"/>
        </w:rPr>
        <w:t>（2）各方人员须遵守有关禁止通行的须知，包括禁止进入工作场地以及临近工作场地的特定区域。未能遵守此约定，所造成的伤害、损坏和损失，由未能遵守此项约定的一方负责。</w:t>
      </w:r>
    </w:p>
    <w:p>
      <w:pPr>
        <w:spacing w:line="360" w:lineRule="auto"/>
        <w:ind w:firstLine="420" w:firstLineChars="200"/>
        <w:rPr>
          <w:szCs w:val="21"/>
        </w:rPr>
      </w:pPr>
      <w:r>
        <w:rPr>
          <w:rFonts w:hint="eastAsia"/>
          <w:szCs w:val="21"/>
        </w:rPr>
        <w:t>（3）</w:t>
      </w:r>
      <w:r>
        <w:rPr>
          <w:szCs w:val="21"/>
        </w:rPr>
        <w:t>承包人</w:t>
      </w:r>
      <w:r>
        <w:rPr>
          <w:rFonts w:hint="eastAsia"/>
          <w:szCs w:val="21"/>
        </w:rPr>
        <w:t>按合同约定负责</w:t>
      </w:r>
      <w:r>
        <w:rPr>
          <w:szCs w:val="21"/>
        </w:rPr>
        <w:t>现场的安全工作，</w:t>
      </w:r>
      <w:r>
        <w:rPr>
          <w:rFonts w:hint="eastAsia"/>
          <w:szCs w:val="21"/>
        </w:rPr>
        <w:t>包括其分包人的现场。对</w:t>
      </w:r>
      <w:r>
        <w:rPr>
          <w:szCs w:val="21"/>
        </w:rPr>
        <w:t>有条件的现场实行封闭管理</w:t>
      </w:r>
      <w:r>
        <w:rPr>
          <w:rFonts w:hint="eastAsia"/>
          <w:szCs w:val="21"/>
        </w:rPr>
        <w:t>。根据工程特点，在施工组织设计文件中制定相应的安全技术措施，并对专业性较强的工程部分编制专项安全施工组织设计，包括维护安全、防范危险和预防火灾等措施。</w:t>
      </w:r>
    </w:p>
    <w:p>
      <w:pPr>
        <w:spacing w:line="360" w:lineRule="auto"/>
        <w:ind w:firstLine="420" w:firstLineChars="200"/>
        <w:rPr>
          <w:szCs w:val="21"/>
        </w:rPr>
      </w:pPr>
      <w:r>
        <w:rPr>
          <w:rFonts w:hint="eastAsia"/>
          <w:szCs w:val="21"/>
        </w:rPr>
        <w:t>（4）承包人（包括承包人的分包人、供应商及其运输单位）对其现场内及进出现场途中的道路、桥梁、地下设施等，采取防范措施使其免遭损坏，专用条款另有约定除外。因未按约定采取防范措施所造成的损坏或（和）竣工日期延误，由承包人负责。</w:t>
      </w:r>
    </w:p>
    <w:p>
      <w:pPr>
        <w:spacing w:line="360" w:lineRule="auto"/>
        <w:ind w:firstLine="420" w:firstLineChars="200"/>
        <w:rPr>
          <w:szCs w:val="21"/>
        </w:rPr>
      </w:pPr>
      <w:r>
        <w:rPr>
          <w:rFonts w:hint="eastAsia"/>
          <w:szCs w:val="21"/>
        </w:rPr>
        <w:t>（5）承包人对其施工人员进行安全操作培训，安全操作规程交底，采取安全防护措施，设置安全警示标志和说明，进行安全检查，消除事故隐患。</w:t>
      </w:r>
    </w:p>
    <w:p>
      <w:pPr>
        <w:spacing w:line="360" w:lineRule="auto"/>
        <w:ind w:firstLine="420" w:firstLineChars="200"/>
        <w:rPr>
          <w:szCs w:val="21"/>
        </w:rPr>
      </w:pPr>
      <w:r>
        <w:rPr>
          <w:rFonts w:hint="eastAsia"/>
          <w:szCs w:val="21"/>
        </w:rPr>
        <w:t>（6）承包人在动力设备、输电线路、地下管道、密封防震车间、高温高压、易燃易爆区域和地段，以及临街交通要道附近作业时，对施工现场及毗邻的建筑物、构筑物和特殊作业环境可能造成的损害采取安全防护措施。施工开始前须向发包人或（和）监理人提交安全防护措施方案，经认可后实施。</w:t>
      </w:r>
    </w:p>
    <w:p>
      <w:pPr>
        <w:spacing w:line="360" w:lineRule="auto"/>
        <w:ind w:firstLine="420" w:firstLineChars="200"/>
        <w:rPr>
          <w:szCs w:val="21"/>
        </w:rPr>
      </w:pPr>
      <w:r>
        <w:rPr>
          <w:rFonts w:hint="eastAsia"/>
          <w:szCs w:val="21"/>
        </w:rPr>
        <w:t>（7）承包人实施爆破、放射性、带电、毒害性及使用易燃易爆、毒害性、腐蚀性物品作业时（含运输、储存、保管）时，在施工前</w:t>
      </w:r>
      <w:r>
        <w:rPr>
          <w:szCs w:val="21"/>
        </w:rPr>
        <w:t>1</w:t>
      </w:r>
      <w:r>
        <w:rPr>
          <w:rFonts w:hint="eastAsia"/>
          <w:szCs w:val="21"/>
        </w:rPr>
        <w:t>0天以书面形式通知发包人、或（和）监理人，并提交相应的安全防护措施方案，经认可后实施。</w:t>
      </w:r>
    </w:p>
    <w:p>
      <w:pPr>
        <w:spacing w:line="360" w:lineRule="auto"/>
        <w:ind w:firstLine="420" w:firstLineChars="200"/>
        <w:rPr>
          <w:szCs w:val="21"/>
        </w:rPr>
      </w:pPr>
      <w:r>
        <w:rPr>
          <w:rFonts w:hint="eastAsia"/>
          <w:szCs w:val="21"/>
        </w:rPr>
        <w:t>（8）安全防护检查。承包人在作业开始前，通知发包人代表或（和）监理人对其提交的安全措施方案，及现场安全设施搭设、安全通道、安全器具和消防器具配置、对周围环境安全可能带来的影响等进行检查，并根据发包人或（和）监理人提出的整改建议自费整改。发包人或（和）监理人的检查、建议，并不能减轻或免除承包人的合同责任。</w:t>
      </w:r>
    </w:p>
    <w:p>
      <w:pPr>
        <w:spacing w:line="360" w:lineRule="auto"/>
        <w:ind w:firstLine="420" w:firstLineChars="200"/>
        <w:rPr>
          <w:szCs w:val="21"/>
        </w:rPr>
      </w:pPr>
      <w:r>
        <w:rPr>
          <w:rFonts w:hint="eastAsia"/>
          <w:szCs w:val="21"/>
        </w:rPr>
        <w:t>7.8.4现场的环境保护管理</w:t>
      </w:r>
    </w:p>
    <w:p>
      <w:pPr>
        <w:spacing w:line="360" w:lineRule="auto"/>
        <w:ind w:firstLine="420" w:firstLineChars="200"/>
        <w:rPr>
          <w:szCs w:val="21"/>
        </w:rPr>
      </w:pPr>
      <w:r>
        <w:rPr>
          <w:rFonts w:hint="eastAsia"/>
          <w:szCs w:val="21"/>
        </w:rPr>
        <w:t>（1）承包人负责在现场施工过程中保护现场周围的建筑物、构筑物、文物建筑、古树、名木，及地下管线、线缆、构筑物、文物、化石和坟墓等。因承包人未能通知发包人，并未能得到发包人进一步指示的情况下，所造成的损害、损失、赔偿等费用增加，或（和）竣工日期延误，由承包人负责。</w:t>
      </w:r>
    </w:p>
    <w:p>
      <w:pPr>
        <w:spacing w:line="360" w:lineRule="auto"/>
        <w:ind w:firstLine="420" w:firstLineChars="200"/>
        <w:rPr>
          <w:szCs w:val="21"/>
        </w:rPr>
      </w:pPr>
      <w:r>
        <w:rPr>
          <w:rFonts w:hint="eastAsia"/>
          <w:szCs w:val="21"/>
        </w:rPr>
        <w:t>（2）承包人采取措施，并负责控制或（和）处理现场的粉尘、废气、废水、固体废物和噪声对环境的污染和危害。因此发生的伤害、赔偿、罚款等费用增加，或（和）竣工日期延误，由承包人负责。</w:t>
      </w:r>
    </w:p>
    <w:p>
      <w:pPr>
        <w:spacing w:line="360" w:lineRule="auto"/>
        <w:ind w:firstLine="420" w:firstLineChars="200"/>
        <w:rPr>
          <w:szCs w:val="21"/>
        </w:rPr>
      </w:pPr>
      <w:r>
        <w:rPr>
          <w:rFonts w:hint="eastAsia"/>
          <w:szCs w:val="21"/>
        </w:rPr>
        <w:t>（3）施工现场残留、废弃的垃圾，承包人及时或定期运到发包人或当地有关行政部门指定的地点，防止对周围环境的污染及对作业的影响。因此导致当地行政部门的罚款、赔偿等增加的费用，由承包人承担。</w:t>
      </w:r>
    </w:p>
    <w:p>
      <w:pPr>
        <w:spacing w:line="360" w:lineRule="auto"/>
        <w:ind w:firstLine="420" w:firstLineChars="200"/>
        <w:rPr>
          <w:szCs w:val="21"/>
        </w:rPr>
      </w:pPr>
      <w:r>
        <w:rPr>
          <w:rFonts w:hint="eastAsia"/>
          <w:szCs w:val="21"/>
        </w:rPr>
        <w:t>7.8.5事故处理</w:t>
      </w:r>
    </w:p>
    <w:p>
      <w:pPr>
        <w:spacing w:line="360" w:lineRule="auto"/>
        <w:ind w:firstLine="420" w:firstLineChars="200"/>
        <w:rPr>
          <w:szCs w:val="21"/>
        </w:rPr>
      </w:pPr>
      <w:r>
        <w:rPr>
          <w:rFonts w:hint="eastAsia"/>
          <w:szCs w:val="21"/>
        </w:rPr>
        <w:t>（</w:t>
      </w:r>
      <w:r>
        <w:rPr>
          <w:szCs w:val="21"/>
        </w:rPr>
        <w:t>1</w:t>
      </w:r>
      <w:r>
        <w:rPr>
          <w:rFonts w:hint="eastAsia"/>
          <w:szCs w:val="21"/>
        </w:rPr>
        <w:t>）承包人或其分包人的人员，在现场作业过程中发生死亡、伤害事件时，承包人或其分包人立即采取救护措施，并立即报告发包人和（或）救援单位，发包人有义务为此项抢救提供必要条件。承包人维护好现场并采取防止事故蔓延的相应措施。</w:t>
      </w:r>
    </w:p>
    <w:p>
      <w:pPr>
        <w:spacing w:line="360" w:lineRule="auto"/>
        <w:ind w:firstLine="420" w:firstLineChars="200"/>
        <w:rPr>
          <w:szCs w:val="21"/>
        </w:rPr>
      </w:pPr>
      <w:r>
        <w:rPr>
          <w:rFonts w:hint="eastAsia"/>
          <w:szCs w:val="21"/>
        </w:rPr>
        <w:t>（</w:t>
      </w:r>
      <w:r>
        <w:rPr>
          <w:szCs w:val="21"/>
        </w:rPr>
        <w:t>2</w:t>
      </w:r>
      <w:r>
        <w:rPr>
          <w:rFonts w:hint="eastAsia"/>
          <w:szCs w:val="21"/>
        </w:rPr>
        <w:t>）对重大伤亡、重大财产、环境损害及其他安全事故，承包人按有关规定立即上报有关部门，并立即通知发包人代表和监理人。同时，按政府有关部门的要求处理。</w:t>
      </w:r>
    </w:p>
    <w:p>
      <w:pPr>
        <w:spacing w:line="360" w:lineRule="auto"/>
        <w:ind w:firstLine="420" w:firstLineChars="200"/>
        <w:rPr>
          <w:szCs w:val="21"/>
        </w:rPr>
      </w:pPr>
      <w:r>
        <w:rPr>
          <w:rFonts w:hint="eastAsia"/>
          <w:szCs w:val="21"/>
        </w:rPr>
        <w:t>（</w:t>
      </w:r>
      <w:r>
        <w:rPr>
          <w:szCs w:val="21"/>
        </w:rPr>
        <w:t>3</w:t>
      </w:r>
      <w:r>
        <w:rPr>
          <w:rFonts w:hint="eastAsia"/>
          <w:szCs w:val="21"/>
        </w:rPr>
        <w:t>）合同双方对事故责任有争议时，按照政府有关部门调查认定的最终结果办理。</w:t>
      </w:r>
    </w:p>
    <w:p>
      <w:pPr>
        <w:spacing w:line="360" w:lineRule="auto"/>
        <w:ind w:firstLine="420" w:firstLineChars="200"/>
        <w:rPr>
          <w:szCs w:val="21"/>
        </w:rPr>
      </w:pPr>
      <w:r>
        <w:rPr>
          <w:rFonts w:hint="eastAsia"/>
          <w:szCs w:val="21"/>
        </w:rPr>
        <w:t>（</w:t>
      </w:r>
      <w:r>
        <w:rPr>
          <w:szCs w:val="21"/>
        </w:rPr>
        <w:t>4</w:t>
      </w:r>
      <w:r>
        <w:rPr>
          <w:rFonts w:hint="eastAsia"/>
          <w:szCs w:val="21"/>
        </w:rPr>
        <w:t>）因</w:t>
      </w:r>
      <w:r>
        <w:rPr>
          <w:szCs w:val="21"/>
        </w:rPr>
        <w:t>承包人的原因致使</w:t>
      </w:r>
      <w:r>
        <w:rPr>
          <w:rFonts w:hint="eastAsia"/>
          <w:szCs w:val="21"/>
        </w:rPr>
        <w:t>建筑</w:t>
      </w:r>
      <w:r>
        <w:rPr>
          <w:szCs w:val="21"/>
        </w:rPr>
        <w:t>工程在合理使用期限</w:t>
      </w:r>
      <w:r>
        <w:rPr>
          <w:rFonts w:hint="eastAsia"/>
          <w:szCs w:val="21"/>
        </w:rPr>
        <w:t>、设备保证期内</w:t>
      </w:r>
      <w:r>
        <w:rPr>
          <w:szCs w:val="21"/>
        </w:rPr>
        <w:t>造成人身和财产损害的，</w:t>
      </w:r>
      <w:r>
        <w:rPr>
          <w:rFonts w:hint="eastAsia"/>
          <w:szCs w:val="21"/>
        </w:rPr>
        <w:t>由</w:t>
      </w:r>
      <w:r>
        <w:rPr>
          <w:szCs w:val="21"/>
        </w:rPr>
        <w:t>承包人承担损害赔偿责任</w:t>
      </w:r>
      <w:r>
        <w:rPr>
          <w:rFonts w:hint="eastAsia"/>
          <w:szCs w:val="21"/>
        </w:rPr>
        <w:t>。</w:t>
      </w:r>
    </w:p>
    <w:p>
      <w:pPr>
        <w:spacing w:line="360" w:lineRule="auto"/>
        <w:ind w:firstLine="420" w:firstLineChars="200"/>
        <w:rPr>
          <w:szCs w:val="21"/>
        </w:rPr>
      </w:pPr>
      <w:r>
        <w:rPr>
          <w:rFonts w:hint="eastAsia"/>
          <w:szCs w:val="21"/>
        </w:rPr>
        <w:t>（5）因承包人原因发生员工食物中毒、地方病及职业健康事件的，承包人应承担责任。</w:t>
      </w:r>
    </w:p>
    <w:p>
      <w:pPr>
        <w:spacing w:before="156" w:beforeLines="50" w:after="156" w:afterLines="50" w:line="360" w:lineRule="auto"/>
        <w:ind w:firstLine="420" w:firstLineChars="200"/>
        <w:rPr>
          <w:b/>
          <w:szCs w:val="21"/>
        </w:rPr>
      </w:pPr>
      <w:r>
        <w:rPr>
          <w:rFonts w:hint="eastAsia"/>
          <w:b/>
          <w:szCs w:val="21"/>
        </w:rPr>
        <w:t>第</w:t>
      </w:r>
      <w:r>
        <w:rPr>
          <w:b/>
          <w:szCs w:val="21"/>
        </w:rPr>
        <w:t>8</w:t>
      </w:r>
      <w:r>
        <w:rPr>
          <w:rFonts w:hint="eastAsia"/>
          <w:b/>
          <w:szCs w:val="21"/>
        </w:rPr>
        <w:t>条竣工验收</w:t>
      </w:r>
    </w:p>
    <w:p>
      <w:pPr>
        <w:spacing w:before="156" w:beforeLines="50" w:after="156" w:afterLines="50" w:line="360" w:lineRule="auto"/>
        <w:ind w:firstLine="420" w:firstLineChars="200"/>
        <w:rPr>
          <w:szCs w:val="21"/>
        </w:rPr>
      </w:pPr>
      <w:r>
        <w:rPr>
          <w:rFonts w:hint="eastAsia"/>
          <w:szCs w:val="21"/>
        </w:rPr>
        <w:t>本合同工程包含竣工验收，遵守本条约定。</w:t>
      </w:r>
    </w:p>
    <w:p>
      <w:pPr>
        <w:spacing w:before="156" w:beforeLines="50" w:after="156" w:afterLines="50" w:line="360" w:lineRule="auto"/>
        <w:ind w:firstLine="420" w:firstLineChars="200"/>
        <w:rPr>
          <w:b/>
          <w:szCs w:val="21"/>
        </w:rPr>
      </w:pPr>
      <w:r>
        <w:rPr>
          <w:b/>
          <w:szCs w:val="21"/>
        </w:rPr>
        <w:t>8.1</w:t>
      </w:r>
      <w:r>
        <w:rPr>
          <w:rFonts w:hint="eastAsia"/>
          <w:b/>
          <w:szCs w:val="21"/>
        </w:rPr>
        <w:t>竣工验收的义务</w:t>
      </w:r>
    </w:p>
    <w:p>
      <w:pPr>
        <w:spacing w:line="360" w:lineRule="auto"/>
        <w:ind w:firstLine="420" w:firstLineChars="200"/>
        <w:rPr>
          <w:szCs w:val="21"/>
        </w:rPr>
      </w:pPr>
      <w:r>
        <w:rPr>
          <w:szCs w:val="21"/>
        </w:rPr>
        <w:t>8.1.1</w:t>
      </w:r>
      <w:r>
        <w:rPr>
          <w:rFonts w:hint="eastAsia"/>
          <w:szCs w:val="21"/>
        </w:rPr>
        <w:t>承包人的义务</w:t>
      </w:r>
    </w:p>
    <w:p>
      <w:pPr>
        <w:spacing w:line="360" w:lineRule="auto"/>
        <w:ind w:firstLine="420" w:firstLineChars="200"/>
        <w:rPr>
          <w:szCs w:val="21"/>
        </w:rPr>
      </w:pPr>
      <w:r>
        <w:rPr>
          <w:rFonts w:hint="eastAsia"/>
          <w:szCs w:val="21"/>
        </w:rPr>
        <w:t>（</w:t>
      </w:r>
      <w:r>
        <w:rPr>
          <w:szCs w:val="21"/>
        </w:rPr>
        <w:t>1</w:t>
      </w:r>
      <w:r>
        <w:rPr>
          <w:rFonts w:hint="eastAsia"/>
          <w:szCs w:val="21"/>
        </w:rPr>
        <w:t>）在单项工程或（和）工程的竣工验收开始前，承包人须完成相应单项工程或（和）工程的施工作业（不包括：为竣工验收、竣工后试验必须预留的施工部位、不影响竣工验收的缺陷修复和零星扫尾工程）；并在竣工验收开始前，按合同约定需完成的检查、检验、检测和试验。</w:t>
      </w:r>
    </w:p>
    <w:p>
      <w:pPr>
        <w:spacing w:line="360" w:lineRule="auto"/>
        <w:ind w:firstLine="420" w:firstLineChars="200"/>
        <w:rPr>
          <w:szCs w:val="21"/>
        </w:rPr>
      </w:pPr>
      <w:r>
        <w:rPr>
          <w:rFonts w:hint="eastAsia"/>
          <w:szCs w:val="21"/>
        </w:rPr>
        <w:t>（</w:t>
      </w:r>
      <w:r>
        <w:rPr>
          <w:szCs w:val="21"/>
        </w:rPr>
        <w:t>2</w:t>
      </w:r>
      <w:r>
        <w:rPr>
          <w:rFonts w:hint="eastAsia"/>
          <w:szCs w:val="21"/>
        </w:rPr>
        <w:t>）在竣工验收开始前，承包人根据</w:t>
      </w:r>
      <w:r>
        <w:rPr>
          <w:szCs w:val="21"/>
        </w:rPr>
        <w:t>7.6</w:t>
      </w:r>
      <w:r>
        <w:rPr>
          <w:rFonts w:hint="eastAsia"/>
          <w:szCs w:val="21"/>
        </w:rPr>
        <w:t>款隐蔽工程和中间验收部位的约定，向发包人提交相关的质检资料及其竣工资料。</w:t>
      </w:r>
    </w:p>
    <w:p>
      <w:pPr>
        <w:spacing w:line="360" w:lineRule="auto"/>
        <w:ind w:firstLine="420" w:firstLineChars="200"/>
        <w:rPr>
          <w:szCs w:val="21"/>
        </w:rPr>
      </w:pPr>
      <w:r>
        <w:rPr>
          <w:rFonts w:hint="eastAsia"/>
          <w:szCs w:val="21"/>
        </w:rPr>
        <w:t>（</w:t>
      </w:r>
      <w:r>
        <w:rPr>
          <w:szCs w:val="21"/>
        </w:rPr>
        <w:t>3</w:t>
      </w:r>
      <w:r>
        <w:rPr>
          <w:rFonts w:hint="eastAsia"/>
          <w:szCs w:val="21"/>
        </w:rPr>
        <w:t>）根据第 10条竣工后试验的约定，由承包人指导发包人进行竣工后试验的，承包人须完成5.4款约定的操作维修人员培训，并在竣工验收前提交5</w:t>
      </w:r>
      <w:r>
        <w:rPr>
          <w:szCs w:val="21"/>
        </w:rPr>
        <w:t>.</w:t>
      </w:r>
      <w:r>
        <w:rPr>
          <w:rFonts w:hint="eastAsia"/>
          <w:szCs w:val="21"/>
        </w:rPr>
        <w:t>2</w:t>
      </w:r>
      <w:r>
        <w:rPr>
          <w:szCs w:val="21"/>
        </w:rPr>
        <w:t>.</w:t>
      </w:r>
      <w:r>
        <w:rPr>
          <w:rFonts w:hint="eastAsia"/>
          <w:szCs w:val="21"/>
        </w:rPr>
        <w:t>4款约定的操作维修手册。</w:t>
      </w:r>
    </w:p>
    <w:p>
      <w:pPr>
        <w:spacing w:line="360" w:lineRule="auto"/>
        <w:ind w:firstLine="420" w:firstLineChars="200"/>
        <w:rPr>
          <w:szCs w:val="21"/>
        </w:rPr>
      </w:pPr>
      <w:r>
        <w:rPr>
          <w:rFonts w:hint="eastAsia"/>
          <w:szCs w:val="21"/>
        </w:rPr>
        <w:t>（</w:t>
      </w:r>
      <w:r>
        <w:rPr>
          <w:szCs w:val="21"/>
        </w:rPr>
        <w:t>4</w:t>
      </w:r>
      <w:r>
        <w:rPr>
          <w:rFonts w:hint="eastAsia"/>
          <w:szCs w:val="21"/>
        </w:rPr>
        <w:t>）竣工验收方案。在达到竣工验收条件20日前，承包人将竣工验收方案提交给发包人。发包人在10日内对方案提出建议和意见，承包人根据发包人提出的建议和意见自费对竣工验收方案进行修正。竣工验收方案经发包人确认后，作为合同附件，由承包人负责实施。竣工验收方案提交的份数和提交时间，在专用条款中约定。</w:t>
      </w:r>
    </w:p>
    <w:p>
      <w:pPr>
        <w:spacing w:line="360" w:lineRule="auto"/>
        <w:ind w:firstLine="420" w:firstLineChars="200"/>
        <w:rPr>
          <w:szCs w:val="21"/>
        </w:rPr>
      </w:pPr>
      <w:r>
        <w:rPr>
          <w:rFonts w:hint="eastAsia"/>
          <w:szCs w:val="21"/>
        </w:rPr>
        <w:t>（5）承包人的竣工验收包括根据8.1.2款第（3）项发包人新委托给承包人进行的永久性工程的设备、材料和部件的竣工验收。</w:t>
      </w:r>
    </w:p>
    <w:p>
      <w:pPr>
        <w:spacing w:line="360" w:lineRule="auto"/>
        <w:ind w:firstLine="420" w:firstLineChars="200"/>
        <w:rPr>
          <w:szCs w:val="21"/>
        </w:rPr>
      </w:pPr>
      <w:r>
        <w:rPr>
          <w:rFonts w:hint="eastAsia"/>
          <w:szCs w:val="21"/>
        </w:rPr>
        <w:t>（6）承包人按照试验条件、试验程序，及5.2.3款第（3）项约定的标准、规范和数据，完成竣工验收。</w:t>
      </w:r>
    </w:p>
    <w:p>
      <w:pPr>
        <w:spacing w:line="360" w:lineRule="auto"/>
        <w:ind w:firstLine="420" w:firstLineChars="200"/>
        <w:rPr>
          <w:szCs w:val="21"/>
        </w:rPr>
      </w:pPr>
      <w:r>
        <w:rPr>
          <w:szCs w:val="21"/>
        </w:rPr>
        <w:t>8.1.2</w:t>
      </w:r>
      <w:r>
        <w:rPr>
          <w:rFonts w:hint="eastAsia"/>
          <w:szCs w:val="21"/>
        </w:rPr>
        <w:t>发包人、承包人的义务</w:t>
      </w:r>
    </w:p>
    <w:p>
      <w:pPr>
        <w:spacing w:line="360" w:lineRule="auto"/>
        <w:ind w:firstLine="420" w:firstLineChars="200"/>
        <w:rPr>
          <w:szCs w:val="21"/>
        </w:rPr>
      </w:pPr>
      <w:r>
        <w:rPr>
          <w:rFonts w:hint="eastAsia"/>
          <w:szCs w:val="21"/>
        </w:rPr>
        <w:t>（</w:t>
      </w:r>
      <w:r>
        <w:rPr>
          <w:szCs w:val="21"/>
        </w:rPr>
        <w:t>1</w:t>
      </w:r>
      <w:r>
        <w:rPr>
          <w:rFonts w:hint="eastAsia"/>
          <w:szCs w:val="21"/>
        </w:rPr>
        <w:t>）发包人有义务按确认后的竣工验收方案，提供电力、供水、动力及由发包人提供的消耗材料等。所提供的电力、供水、动力及相关消耗材料等须满足竣工验收对其品质、用量及时间的要求。</w:t>
      </w:r>
    </w:p>
    <w:p>
      <w:pPr>
        <w:spacing w:line="360" w:lineRule="auto"/>
        <w:ind w:firstLine="420" w:firstLineChars="200"/>
        <w:rPr>
          <w:szCs w:val="21"/>
        </w:rPr>
      </w:pPr>
      <w:r>
        <w:rPr>
          <w:rFonts w:hint="eastAsia"/>
          <w:szCs w:val="21"/>
        </w:rPr>
        <w:t>（</w:t>
      </w:r>
      <w:r>
        <w:rPr>
          <w:szCs w:val="21"/>
        </w:rPr>
        <w:t>2</w:t>
      </w:r>
      <w:r>
        <w:rPr>
          <w:rFonts w:hint="eastAsia"/>
          <w:szCs w:val="21"/>
        </w:rPr>
        <w:t>）发包人有义务提供竣工验收的消耗材料和备品备件，（库存有的话）。其中：因承包人原因造成的损坏的，发包人有权从合同价格中扣除相应款项；因合理耗损或发包人原因造成的，发包人免费提供。</w:t>
      </w:r>
    </w:p>
    <w:p>
      <w:pPr>
        <w:spacing w:line="360" w:lineRule="auto"/>
        <w:ind w:firstLine="420" w:firstLineChars="200"/>
        <w:rPr>
          <w:szCs w:val="21"/>
        </w:rPr>
      </w:pPr>
      <w:r>
        <w:rPr>
          <w:rFonts w:hint="eastAsia"/>
          <w:szCs w:val="21"/>
        </w:rPr>
        <w:t>（</w:t>
      </w:r>
      <w:r>
        <w:rPr>
          <w:szCs w:val="21"/>
        </w:rPr>
        <w:t>3</w:t>
      </w:r>
      <w:r>
        <w:rPr>
          <w:rFonts w:hint="eastAsia"/>
          <w:szCs w:val="21"/>
        </w:rPr>
        <w:t>）发包人委托承包人，对根据</w:t>
      </w:r>
      <w:r>
        <w:rPr>
          <w:szCs w:val="21"/>
        </w:rPr>
        <w:t>6.1.</w:t>
      </w:r>
      <w:r>
        <w:rPr>
          <w:rFonts w:hint="eastAsia"/>
          <w:szCs w:val="21"/>
        </w:rPr>
        <w:t>1款约定，由发包人提供的永久性工程设备、材料、部件进行竣工验收的服务费，已包含在合同价格中。合同实施过程中发包人新委托的，依据13条变更和合同价格调整的约定，作为一项变更。</w:t>
      </w:r>
    </w:p>
    <w:p>
      <w:pPr>
        <w:spacing w:line="360" w:lineRule="auto"/>
        <w:rPr>
          <w:szCs w:val="21"/>
        </w:rPr>
      </w:pPr>
      <w:r>
        <w:rPr>
          <w:rFonts w:hint="eastAsia"/>
          <w:szCs w:val="21"/>
        </w:rPr>
        <w:t>（4）由承包人进行采购的设备、材料、部件的竣工验收，承包人按发包人提供的试验条件、试验程序进行竣工验收，其试验结果须符合5.2.3款第（3）项约定的标准、规范和数据。</w:t>
      </w:r>
    </w:p>
    <w:p>
      <w:pPr>
        <w:spacing w:line="360" w:lineRule="auto"/>
        <w:ind w:firstLine="420" w:firstLineChars="200"/>
        <w:rPr>
          <w:szCs w:val="21"/>
        </w:rPr>
      </w:pPr>
      <w:r>
        <w:rPr>
          <w:szCs w:val="21"/>
        </w:rPr>
        <w:t>8.1.3</w:t>
      </w:r>
      <w:r>
        <w:rPr>
          <w:rFonts w:hint="eastAsia"/>
          <w:szCs w:val="21"/>
        </w:rPr>
        <w:t>竣工验收领导机构。竣工验收领导机构负责竣工验收的领导、组织和协调。承包人提供竣工验收所需的人力、机具并负责完成试验。发包人负责组织、协调、提供竣工验收方案中约定的相关条件及竣工验收的验收。</w:t>
      </w:r>
    </w:p>
    <w:p>
      <w:pPr>
        <w:spacing w:before="156" w:beforeLines="50" w:after="156" w:afterLines="50" w:line="360" w:lineRule="auto"/>
        <w:ind w:firstLine="411" w:firstLineChars="196"/>
        <w:rPr>
          <w:b/>
          <w:szCs w:val="21"/>
        </w:rPr>
      </w:pPr>
      <w:r>
        <w:rPr>
          <w:rFonts w:hint="eastAsia"/>
          <w:b/>
          <w:szCs w:val="21"/>
        </w:rPr>
        <w:t>8.2  竣工验收的检验和验收</w:t>
      </w:r>
    </w:p>
    <w:p>
      <w:pPr>
        <w:spacing w:line="360" w:lineRule="auto"/>
        <w:ind w:firstLine="420" w:firstLineChars="200"/>
        <w:rPr>
          <w:szCs w:val="21"/>
        </w:rPr>
      </w:pPr>
      <w:r>
        <w:rPr>
          <w:rFonts w:hint="eastAsia"/>
          <w:szCs w:val="21"/>
        </w:rPr>
        <w:t>8.2.1根据5.2.3款第（3）项约定的标准、规范、数据，及8.1.1款第4项竣工验收方案约定进行检验和验收。</w:t>
      </w:r>
    </w:p>
    <w:p>
      <w:pPr>
        <w:spacing w:line="360" w:lineRule="auto"/>
        <w:ind w:firstLine="420" w:firstLineChars="200"/>
        <w:rPr>
          <w:szCs w:val="21"/>
        </w:rPr>
      </w:pPr>
      <w:r>
        <w:rPr>
          <w:szCs w:val="21"/>
        </w:rPr>
        <w:t>8.</w:t>
      </w:r>
      <w:r>
        <w:rPr>
          <w:rFonts w:hint="eastAsia"/>
          <w:szCs w:val="21"/>
        </w:rPr>
        <w:t>2</w:t>
      </w:r>
      <w:r>
        <w:rPr>
          <w:szCs w:val="21"/>
        </w:rPr>
        <w:t>.2</w:t>
      </w:r>
      <w:r>
        <w:rPr>
          <w:rFonts w:hint="eastAsia"/>
          <w:szCs w:val="21"/>
        </w:rPr>
        <w:t>承包人在竣工验收开始前,依据8.1.1款的约定，对各方提供的试验条件进行检查落实后，双方人员在相关表格上签字。因发包人提供的竣工验收条件的延误，给承包人带来窝工损失，由发包人负责。使关键路径的竣工验收进度计划延误时，竣工日期相应顺延；因承包人原因未能按时落实竣工验收条件，增加的费用由承包人承担，使竣工验收进度延误时，承包人按4.1.2款的约定自费赶上。</w:t>
      </w:r>
    </w:p>
    <w:p>
      <w:pPr>
        <w:spacing w:line="360" w:lineRule="auto"/>
        <w:ind w:firstLine="420" w:firstLineChars="200"/>
        <w:rPr>
          <w:szCs w:val="21"/>
        </w:rPr>
      </w:pPr>
      <w:r>
        <w:rPr>
          <w:rFonts w:hint="eastAsia"/>
          <w:szCs w:val="21"/>
        </w:rPr>
        <w:t>8.2.3承包人在某项竣工验收开始</w:t>
      </w:r>
      <w:r>
        <w:rPr>
          <w:szCs w:val="21"/>
        </w:rPr>
        <w:t>36</w:t>
      </w:r>
      <w:r>
        <w:rPr>
          <w:rFonts w:hint="eastAsia"/>
          <w:szCs w:val="21"/>
        </w:rPr>
        <w:t>小时前，向发包人或（和）监理人发出通知，通知包括试验的项目、内容、地点和验收时间。发包人或（和）监理人在接到通知后的</w:t>
      </w:r>
      <w:r>
        <w:rPr>
          <w:szCs w:val="21"/>
        </w:rPr>
        <w:t>24</w:t>
      </w:r>
      <w:r>
        <w:rPr>
          <w:rFonts w:hint="eastAsia"/>
          <w:szCs w:val="21"/>
        </w:rPr>
        <w:t>小时内，以书面形式通知承包人参加，试验合格后，双方在试验记录及验收表格上签字。</w:t>
      </w:r>
    </w:p>
    <w:p>
      <w:pPr>
        <w:spacing w:line="360" w:lineRule="auto"/>
        <w:ind w:firstLine="420" w:firstLineChars="200"/>
        <w:rPr>
          <w:szCs w:val="21"/>
        </w:rPr>
      </w:pPr>
      <w:r>
        <w:rPr>
          <w:rFonts w:hint="eastAsia"/>
          <w:szCs w:val="21"/>
        </w:rPr>
        <w:t>发包人或（和）监理人在验收合格的</w:t>
      </w:r>
      <w:r>
        <w:rPr>
          <w:szCs w:val="21"/>
        </w:rPr>
        <w:t>24</w:t>
      </w:r>
      <w:r>
        <w:rPr>
          <w:rFonts w:hint="eastAsia"/>
          <w:szCs w:val="21"/>
        </w:rPr>
        <w:t>小时后，不在试验记录和验收表格上签字，视为发包人或（和）监理人已经认可此项验收，承包人可进行隐蔽、紧后作业。</w:t>
      </w:r>
    </w:p>
    <w:p>
      <w:pPr>
        <w:spacing w:line="360" w:lineRule="auto"/>
        <w:ind w:firstLine="420" w:firstLineChars="200"/>
        <w:rPr>
          <w:szCs w:val="21"/>
        </w:rPr>
      </w:pPr>
      <w:r>
        <w:rPr>
          <w:rFonts w:hint="eastAsia"/>
          <w:szCs w:val="21"/>
        </w:rPr>
        <w:t>验收不合格的，在发包人或（和）监理人指令的时间内由承包人修正并重新试验，并通知发包人或（和）监理人重新验收。</w:t>
      </w:r>
    </w:p>
    <w:p>
      <w:pPr>
        <w:spacing w:line="360" w:lineRule="auto"/>
        <w:ind w:firstLine="420" w:firstLineChars="200"/>
        <w:rPr>
          <w:szCs w:val="21"/>
        </w:rPr>
      </w:pPr>
      <w:r>
        <w:rPr>
          <w:rFonts w:hint="eastAsia"/>
          <w:szCs w:val="21"/>
        </w:rPr>
        <w:t>8.2.4发包人或（和）监理人不能按时参加试验和验收时，在接到通知后的</w:t>
      </w:r>
      <w:r>
        <w:rPr>
          <w:szCs w:val="21"/>
        </w:rPr>
        <w:t>24</w:t>
      </w:r>
      <w:r>
        <w:rPr>
          <w:rFonts w:hint="eastAsia"/>
          <w:szCs w:val="21"/>
        </w:rPr>
        <w:t>小时内以书面形式向承包人提出延期要求，延期不能超过</w:t>
      </w:r>
      <w:r>
        <w:rPr>
          <w:szCs w:val="21"/>
        </w:rPr>
        <w:t>24</w:t>
      </w:r>
      <w:r>
        <w:rPr>
          <w:rFonts w:hint="eastAsia"/>
          <w:szCs w:val="21"/>
        </w:rPr>
        <w:t>小时。未能按以上时间提出延期试验，又未能参加试验和验收，承包人可按通知的试验项目内容自行组织试验，试验结果视为经发包人或（和）监理人认可并通过验收。</w:t>
      </w:r>
    </w:p>
    <w:p>
      <w:pPr>
        <w:spacing w:line="360" w:lineRule="auto"/>
        <w:ind w:firstLine="420" w:firstLineChars="200"/>
        <w:rPr>
          <w:szCs w:val="21"/>
        </w:rPr>
      </w:pPr>
      <w:r>
        <w:rPr>
          <w:rFonts w:hint="eastAsia"/>
          <w:szCs w:val="21"/>
        </w:rPr>
        <w:t>8.2.5不论发包人或（和）监理人是否参加竣工验收和验收，发包人有权责令重新试验。当重新试验不合格时，承包人增加的费用由承包人负责，使竣工验收进度延误时，竣工日期不予延长；当重新试验合格时，承包人增加的费用，或（和）竣工日期的延长，按照13条变更和合同价格调整的约定，作为一项变更。</w:t>
      </w:r>
    </w:p>
    <w:p>
      <w:pPr>
        <w:spacing w:line="360" w:lineRule="auto"/>
        <w:ind w:firstLine="420" w:firstLineChars="200"/>
        <w:rPr>
          <w:szCs w:val="21"/>
        </w:rPr>
      </w:pPr>
      <w:r>
        <w:rPr>
          <w:rFonts w:hint="eastAsia"/>
          <w:szCs w:val="21"/>
        </w:rPr>
        <w:t>8.2.6竣工验收验收日期的约定</w:t>
      </w:r>
    </w:p>
    <w:p>
      <w:pPr>
        <w:spacing w:line="360" w:lineRule="auto"/>
        <w:ind w:firstLine="420" w:firstLineChars="200"/>
        <w:rPr>
          <w:szCs w:val="21"/>
        </w:rPr>
      </w:pPr>
      <w:r>
        <w:rPr>
          <w:rFonts w:hint="eastAsia"/>
          <w:szCs w:val="21"/>
        </w:rPr>
        <w:t>（</w:t>
      </w:r>
      <w:r>
        <w:rPr>
          <w:szCs w:val="21"/>
        </w:rPr>
        <w:t>1</w:t>
      </w:r>
      <w:r>
        <w:rPr>
          <w:rFonts w:hint="eastAsia"/>
          <w:szCs w:val="21"/>
        </w:rPr>
        <w:t>）某项竣工验收的验收日期和时间。按该项竣工验收通过的日期和时间，作为该项竣工验收验收的日期和时间；</w:t>
      </w:r>
    </w:p>
    <w:p>
      <w:pPr>
        <w:spacing w:line="360" w:lineRule="auto"/>
        <w:ind w:firstLine="420" w:firstLineChars="200"/>
        <w:rPr>
          <w:szCs w:val="21"/>
        </w:rPr>
      </w:pPr>
      <w:r>
        <w:rPr>
          <w:rFonts w:hint="eastAsia"/>
          <w:szCs w:val="21"/>
        </w:rPr>
        <w:t>（</w:t>
      </w:r>
      <w:r>
        <w:rPr>
          <w:szCs w:val="21"/>
        </w:rPr>
        <w:t>2</w:t>
      </w:r>
      <w:r>
        <w:rPr>
          <w:rFonts w:hint="eastAsia"/>
          <w:szCs w:val="21"/>
        </w:rPr>
        <w:t>）单项工程竣工验收的验收日期和时间。按其中最后一项竣工验收通过的日期和时间，作为该单项工程竣工验收验收的日期和时间；</w:t>
      </w:r>
    </w:p>
    <w:p>
      <w:pPr>
        <w:spacing w:line="360" w:lineRule="auto"/>
        <w:ind w:firstLine="420" w:firstLineChars="200"/>
        <w:rPr>
          <w:szCs w:val="21"/>
        </w:rPr>
      </w:pPr>
      <w:r>
        <w:rPr>
          <w:rFonts w:hint="eastAsia"/>
          <w:szCs w:val="21"/>
        </w:rPr>
        <w:t>（</w:t>
      </w:r>
      <w:r>
        <w:rPr>
          <w:szCs w:val="21"/>
        </w:rPr>
        <w:t>3</w:t>
      </w:r>
      <w:r>
        <w:rPr>
          <w:rFonts w:hint="eastAsia"/>
          <w:szCs w:val="21"/>
        </w:rPr>
        <w:t>）工程的竣工验收日期和时间。按最后一个单项工程通过竣工验收的日期和时间，作为工程竣工验收验收的日期和时间。</w:t>
      </w:r>
    </w:p>
    <w:p>
      <w:pPr>
        <w:spacing w:before="156" w:beforeLines="50" w:after="156" w:afterLines="50" w:line="360" w:lineRule="auto"/>
        <w:ind w:firstLine="411" w:firstLineChars="196"/>
        <w:rPr>
          <w:b/>
          <w:szCs w:val="21"/>
        </w:rPr>
      </w:pPr>
      <w:r>
        <w:rPr>
          <w:rFonts w:hint="eastAsia"/>
          <w:b/>
          <w:szCs w:val="21"/>
        </w:rPr>
        <w:t>8.3  竣工验收的安全和检查</w:t>
      </w:r>
    </w:p>
    <w:p>
      <w:pPr>
        <w:spacing w:line="360" w:lineRule="auto"/>
        <w:ind w:firstLine="420" w:firstLineChars="200"/>
        <w:rPr>
          <w:szCs w:val="21"/>
        </w:rPr>
      </w:pPr>
      <w:r>
        <w:rPr>
          <w:rFonts w:hint="eastAsia"/>
          <w:szCs w:val="21"/>
        </w:rPr>
        <w:t>8.3.1承包人按</w:t>
      </w:r>
      <w:r>
        <w:rPr>
          <w:szCs w:val="21"/>
        </w:rPr>
        <w:t>7.</w:t>
      </w:r>
      <w:r>
        <w:rPr>
          <w:rFonts w:hint="eastAsia"/>
          <w:szCs w:val="21"/>
        </w:rPr>
        <w:t>8款健康、安全和环境的约定，并结合竣工验收的通电、通水、通气、试压、试漏、吹扫、转动等特点，对触电危险、易燃易爆、高温高压、压力试验、机械设备运转等制定竣工验收的安全程序、安全制度、防火措施、事故报告制度及事故处理方案在内的安全操作方案，并将该方案提交给发包人确认，对发包人提出的建议、意见和要求，承包人自费修正，并经发包人确认后实施。发包人的确认并不能减轻或免除承包人的合同责任。承包人为竣工验收提供安全防护措施和防护用品的费用已包含在合同价格中。</w:t>
      </w:r>
    </w:p>
    <w:p>
      <w:pPr>
        <w:spacing w:line="360" w:lineRule="auto"/>
        <w:ind w:firstLine="420" w:firstLineChars="200"/>
        <w:rPr>
          <w:szCs w:val="21"/>
        </w:rPr>
      </w:pPr>
      <w:r>
        <w:rPr>
          <w:rFonts w:hint="eastAsia"/>
          <w:szCs w:val="21"/>
        </w:rPr>
        <w:t>8.3.2承包人对其人员进行竣工验收的安全培训，并对竣工验收的安全操作程序、场地环境、操作制度、应急处理措施等进行交底。</w:t>
      </w:r>
    </w:p>
    <w:p>
      <w:pPr>
        <w:spacing w:line="360" w:lineRule="auto"/>
        <w:ind w:firstLine="420" w:firstLineChars="200"/>
        <w:rPr>
          <w:szCs w:val="21"/>
        </w:rPr>
      </w:pPr>
      <w:r>
        <w:rPr>
          <w:rFonts w:hint="eastAsia"/>
          <w:szCs w:val="21"/>
        </w:rPr>
        <w:t>8.3.3发包人或（和）监理人有义务按照经确认的竣工验收安全方案中的安全规程、安全制度、安全措施等，对其管理人员和操作维修人员进行竣工验收的安全教育，自费提供参加监督、检查人员的防护设施。</w:t>
      </w:r>
    </w:p>
    <w:p>
      <w:pPr>
        <w:spacing w:line="360" w:lineRule="auto"/>
        <w:ind w:firstLine="420" w:firstLineChars="200"/>
        <w:rPr>
          <w:szCs w:val="21"/>
        </w:rPr>
      </w:pPr>
      <w:r>
        <w:rPr>
          <w:rFonts w:hint="eastAsia"/>
          <w:szCs w:val="21"/>
        </w:rPr>
        <w:t>8.3.4发包人或（和）监理人有权监督、检查承包人在竣工验收安全方案中列出的工作及落实情况，有权提出安全整改及发出整顿指令。承包人有义务按照指令进行整改、整顿，所增加的费用由承包人承担。因此造成工程竣工验收进度计划延误时，承包人遵照4.1.2款的约定自费赶上。</w:t>
      </w:r>
    </w:p>
    <w:p>
      <w:pPr>
        <w:spacing w:line="360" w:lineRule="auto"/>
        <w:ind w:firstLine="420" w:firstLineChars="200"/>
        <w:rPr>
          <w:szCs w:val="21"/>
        </w:rPr>
      </w:pPr>
      <w:r>
        <w:rPr>
          <w:rFonts w:hint="eastAsia"/>
          <w:szCs w:val="21"/>
        </w:rPr>
        <w:t>8.3.5按</w:t>
      </w:r>
      <w:r>
        <w:rPr>
          <w:szCs w:val="21"/>
        </w:rPr>
        <w:t>8.1.3</w:t>
      </w:r>
      <w:r>
        <w:rPr>
          <w:rFonts w:hint="eastAsia"/>
          <w:szCs w:val="21"/>
        </w:rPr>
        <w:t>款竣工验收领导机构的决定，开展竣工验收的组织、协调和实施，防止人身伤害和事故发生。</w:t>
      </w:r>
    </w:p>
    <w:p>
      <w:pPr>
        <w:spacing w:line="360" w:lineRule="auto"/>
        <w:ind w:firstLine="420" w:firstLineChars="200"/>
        <w:rPr>
          <w:szCs w:val="21"/>
        </w:rPr>
      </w:pPr>
      <w:r>
        <w:rPr>
          <w:rFonts w:hint="eastAsia"/>
          <w:szCs w:val="21"/>
        </w:rPr>
        <w:t>因发包人的原因造成的事故，由发包人承担其相应责任、费用和赔偿。造成工程竣工验收进度计划延误时，竣工日期相应顺延。</w:t>
      </w:r>
    </w:p>
    <w:p>
      <w:pPr>
        <w:spacing w:line="360" w:lineRule="auto"/>
        <w:ind w:firstLine="420" w:firstLineChars="200"/>
        <w:rPr>
          <w:szCs w:val="21"/>
        </w:rPr>
      </w:pPr>
      <w:r>
        <w:rPr>
          <w:rFonts w:hint="eastAsia"/>
          <w:szCs w:val="21"/>
        </w:rPr>
        <w:t>因承包人的原因造成的事故，由承包人承担其相应责任、费用和赔偿。造成工程竣工验收进度计划延误时，按4.1.2款的约定自费赶上。</w:t>
      </w:r>
    </w:p>
    <w:p>
      <w:pPr>
        <w:spacing w:before="156" w:beforeLines="50" w:after="156" w:afterLines="50" w:line="360" w:lineRule="auto"/>
        <w:ind w:firstLine="420" w:firstLineChars="200"/>
        <w:rPr>
          <w:b/>
          <w:szCs w:val="21"/>
        </w:rPr>
      </w:pPr>
      <w:r>
        <w:rPr>
          <w:rFonts w:hint="eastAsia"/>
          <w:b/>
          <w:szCs w:val="21"/>
        </w:rPr>
        <w:t>8.4  延误的竣工验收</w:t>
      </w:r>
    </w:p>
    <w:p>
      <w:pPr>
        <w:spacing w:line="360" w:lineRule="auto"/>
        <w:ind w:firstLine="420" w:firstLineChars="200"/>
        <w:rPr>
          <w:szCs w:val="21"/>
        </w:rPr>
      </w:pPr>
      <w:r>
        <w:rPr>
          <w:rFonts w:hint="eastAsia"/>
          <w:szCs w:val="21"/>
        </w:rPr>
        <w:t>8.4.1因承包人的原因使某项、某单项工程落后于竣工验收进度计划的，承包人按4.1.2款的约定自费采取措施，赶上竣工验收进度计划。</w:t>
      </w:r>
    </w:p>
    <w:p>
      <w:pPr>
        <w:spacing w:line="360" w:lineRule="auto"/>
        <w:ind w:firstLine="420" w:firstLineChars="200"/>
        <w:rPr>
          <w:szCs w:val="21"/>
        </w:rPr>
      </w:pPr>
      <w:r>
        <w:rPr>
          <w:rFonts w:hint="eastAsia"/>
          <w:szCs w:val="21"/>
        </w:rPr>
        <w:t>8.4.2因承包人的原因造成竣工验收延误，致使合同约定的工程竣工日期延误时，根据4.5款误期损害赔偿的约定，承包人承担误期赔偿责任。</w:t>
      </w:r>
    </w:p>
    <w:p>
      <w:pPr>
        <w:spacing w:line="360" w:lineRule="auto"/>
        <w:ind w:firstLine="420" w:firstLineChars="200"/>
        <w:rPr>
          <w:szCs w:val="21"/>
        </w:rPr>
      </w:pPr>
      <w:r>
        <w:rPr>
          <w:rFonts w:hint="eastAsia"/>
          <w:szCs w:val="21"/>
        </w:rPr>
        <w:t>8.4.3发包人组织的竣工验收。承包人无正当理由，未能按竣工验收领导机构决定的竣工验收进度计划进行某项竣工验收时，且在收到试验领导机构发出的通知后的10日内无正当理由，仍未进行该项竣工验收时，发包人有权自行组织该项竣工验收，试验的风险和费用由承包人承担。</w:t>
      </w:r>
    </w:p>
    <w:p>
      <w:pPr>
        <w:spacing w:line="360" w:lineRule="auto"/>
        <w:ind w:firstLine="420" w:firstLineChars="200"/>
        <w:rPr>
          <w:szCs w:val="21"/>
        </w:rPr>
      </w:pPr>
      <w:r>
        <w:rPr>
          <w:rFonts w:hint="eastAsia"/>
          <w:szCs w:val="21"/>
        </w:rPr>
        <w:t>8.4.4发包人未能根据</w:t>
      </w:r>
      <w:r>
        <w:rPr>
          <w:szCs w:val="21"/>
        </w:rPr>
        <w:t>8.1.2</w:t>
      </w:r>
      <w:r>
        <w:rPr>
          <w:rFonts w:hint="eastAsia"/>
          <w:szCs w:val="21"/>
        </w:rPr>
        <w:t>款的约定履行其义务，导致承包人竣工验收延误，费用增加时由发包人承担其合理费用，使竣工验收进度计划延误时，竣工日期给予相应顺延。</w:t>
      </w:r>
    </w:p>
    <w:p>
      <w:pPr>
        <w:spacing w:before="156" w:beforeLines="50" w:after="156" w:afterLines="50" w:line="360" w:lineRule="auto"/>
        <w:ind w:firstLine="411" w:firstLineChars="196"/>
        <w:rPr>
          <w:b/>
          <w:szCs w:val="21"/>
        </w:rPr>
      </w:pPr>
      <w:r>
        <w:rPr>
          <w:rFonts w:hint="eastAsia"/>
          <w:b/>
          <w:szCs w:val="21"/>
        </w:rPr>
        <w:t>8.5  重新验收</w:t>
      </w:r>
    </w:p>
    <w:p>
      <w:pPr>
        <w:spacing w:line="360" w:lineRule="auto"/>
        <w:ind w:firstLine="420" w:firstLineChars="200"/>
        <w:rPr>
          <w:szCs w:val="21"/>
        </w:rPr>
      </w:pPr>
      <w:r>
        <w:rPr>
          <w:rFonts w:hint="eastAsia"/>
          <w:szCs w:val="21"/>
        </w:rPr>
        <w:t>8.5.1承包人未能通过相关的竣工验收，可依据</w:t>
      </w:r>
      <w:r>
        <w:rPr>
          <w:szCs w:val="21"/>
        </w:rPr>
        <w:t>8.</w:t>
      </w:r>
      <w:r>
        <w:rPr>
          <w:rFonts w:hint="eastAsia"/>
          <w:szCs w:val="21"/>
        </w:rPr>
        <w:t>1</w:t>
      </w:r>
      <w:r>
        <w:rPr>
          <w:szCs w:val="21"/>
        </w:rPr>
        <w:t>.1</w:t>
      </w:r>
      <w:r>
        <w:rPr>
          <w:rFonts w:hint="eastAsia"/>
          <w:szCs w:val="21"/>
        </w:rPr>
        <w:t>款第（6）项的约定重新进行此项验收，并按</w:t>
      </w:r>
      <w:r>
        <w:rPr>
          <w:szCs w:val="21"/>
        </w:rPr>
        <w:t>8.</w:t>
      </w:r>
      <w:r>
        <w:rPr>
          <w:rFonts w:hint="eastAsia"/>
          <w:szCs w:val="21"/>
        </w:rPr>
        <w:t>2款的约定进行检验和验收。</w:t>
      </w:r>
    </w:p>
    <w:p>
      <w:pPr>
        <w:spacing w:line="360" w:lineRule="auto"/>
        <w:ind w:firstLine="420" w:firstLineChars="200"/>
        <w:rPr>
          <w:szCs w:val="21"/>
        </w:rPr>
      </w:pPr>
      <w:r>
        <w:rPr>
          <w:rFonts w:hint="eastAsia"/>
          <w:szCs w:val="21"/>
        </w:rPr>
        <w:t>8.5.2不论发包人或（和）监理人是否参加竣工验收，承包人未能通过的竣工验收，发包人均有权通知承包人再次按8.1.1款第（6）项的约定进行此项竣工验收，并按</w:t>
      </w:r>
      <w:r>
        <w:rPr>
          <w:szCs w:val="21"/>
        </w:rPr>
        <w:t>8.</w:t>
      </w:r>
      <w:r>
        <w:rPr>
          <w:rFonts w:hint="eastAsia"/>
          <w:szCs w:val="21"/>
        </w:rPr>
        <w:t>2款的约定进行检验和验收。</w:t>
      </w:r>
    </w:p>
    <w:p>
      <w:pPr>
        <w:spacing w:before="156" w:beforeLines="50" w:after="156" w:afterLines="50" w:line="360" w:lineRule="auto"/>
        <w:ind w:firstLine="420" w:firstLineChars="200"/>
        <w:rPr>
          <w:b/>
          <w:szCs w:val="21"/>
        </w:rPr>
      </w:pPr>
      <w:r>
        <w:rPr>
          <w:rFonts w:hint="eastAsia"/>
          <w:b/>
          <w:szCs w:val="21"/>
        </w:rPr>
        <w:t>8.6  未能通过竣工验收</w:t>
      </w:r>
    </w:p>
    <w:p>
      <w:pPr>
        <w:spacing w:line="360" w:lineRule="auto"/>
        <w:ind w:firstLine="420" w:firstLineChars="200"/>
        <w:rPr>
          <w:szCs w:val="21"/>
        </w:rPr>
      </w:pPr>
      <w:r>
        <w:rPr>
          <w:rFonts w:hint="eastAsia"/>
          <w:szCs w:val="21"/>
        </w:rPr>
        <w:t>8.6.1因承包人原因未能通过竣工验收，该项竣工验收允许再进行，但再进行最多为两次，两次试验后仍不符合验收条件，竣工日期不予延长，相关费用及相关事项按下述约定处理。</w:t>
      </w:r>
    </w:p>
    <w:p>
      <w:pPr>
        <w:spacing w:line="360" w:lineRule="auto"/>
        <w:ind w:firstLine="420" w:firstLineChars="200"/>
        <w:rPr>
          <w:szCs w:val="21"/>
        </w:rPr>
      </w:pPr>
      <w:r>
        <w:rPr>
          <w:rFonts w:hint="eastAsia"/>
          <w:szCs w:val="21"/>
        </w:rPr>
        <w:t>（</w:t>
      </w:r>
      <w:r>
        <w:rPr>
          <w:szCs w:val="21"/>
        </w:rPr>
        <w:t>1</w:t>
      </w:r>
      <w:r>
        <w:rPr>
          <w:rFonts w:hint="eastAsia"/>
          <w:szCs w:val="21"/>
        </w:rPr>
        <w:t>）该项竣工验收未能通过，对该项操作或使用不存在实质影响，承包人自费修复。无法修复时，发包人有权扣减该部分的相应付款，视为通过；</w:t>
      </w:r>
    </w:p>
    <w:p>
      <w:pPr>
        <w:spacing w:line="360" w:lineRule="auto"/>
        <w:ind w:firstLine="420" w:firstLineChars="200"/>
        <w:rPr>
          <w:szCs w:val="21"/>
        </w:rPr>
      </w:pPr>
      <w:r>
        <w:rPr>
          <w:rFonts w:hint="eastAsia"/>
          <w:szCs w:val="21"/>
        </w:rPr>
        <w:t>（</w:t>
      </w:r>
      <w:r>
        <w:rPr>
          <w:szCs w:val="21"/>
        </w:rPr>
        <w:t>2</w:t>
      </w:r>
      <w:r>
        <w:rPr>
          <w:rFonts w:hint="eastAsia"/>
          <w:szCs w:val="21"/>
        </w:rPr>
        <w:t>）该项竣工验收未能通过，对该单项工程未产生实质性操作和使用影响，发包人可相应扣减该单项工程的合同价款，视为通过；</w:t>
      </w:r>
    </w:p>
    <w:p>
      <w:pPr>
        <w:spacing w:line="360" w:lineRule="auto"/>
        <w:ind w:firstLine="420" w:firstLineChars="200"/>
        <w:rPr>
          <w:szCs w:val="21"/>
        </w:rPr>
      </w:pPr>
      <w:r>
        <w:rPr>
          <w:rFonts w:hint="eastAsia"/>
          <w:szCs w:val="21"/>
        </w:rPr>
        <w:t>（</w:t>
      </w:r>
      <w:r>
        <w:rPr>
          <w:szCs w:val="21"/>
        </w:rPr>
        <w:t>3</w:t>
      </w:r>
      <w:r>
        <w:rPr>
          <w:rFonts w:hint="eastAsia"/>
          <w:szCs w:val="21"/>
        </w:rPr>
        <w:t>）该项竣工验收未能通过，对操作或使用有实质性影响，发包人有权指令承包人更换相关部分，并进行竣工验收。发包人因此增加的费用，由承包人承担。使竣工日期延误时，承包人承担误期损害赔偿责任。</w:t>
      </w:r>
    </w:p>
    <w:p>
      <w:pPr>
        <w:spacing w:line="360" w:lineRule="auto"/>
        <w:ind w:firstLine="420" w:firstLineChars="200"/>
        <w:rPr>
          <w:szCs w:val="21"/>
        </w:rPr>
      </w:pPr>
      <w:r>
        <w:rPr>
          <w:rFonts w:hint="eastAsia"/>
          <w:szCs w:val="21"/>
        </w:rPr>
        <w:t>（</w:t>
      </w:r>
      <w:r>
        <w:rPr>
          <w:szCs w:val="21"/>
        </w:rPr>
        <w:t>4</w:t>
      </w:r>
      <w:r>
        <w:rPr>
          <w:rFonts w:hint="eastAsia"/>
          <w:szCs w:val="21"/>
        </w:rPr>
        <w:t>）未能通过竣工验收，使单项工程的任何主要部分丧失了生产、使用功能时，发包人有权指令承包人更换相关部分，承包人因此招致的费用增加、竣工日期延误，由承包人承担。使发包人增加的费用，有权根据</w:t>
      </w:r>
      <w:r>
        <w:rPr>
          <w:szCs w:val="21"/>
        </w:rPr>
        <w:t>16.2.1</w:t>
      </w:r>
      <w:r>
        <w:rPr>
          <w:rFonts w:hint="eastAsia"/>
          <w:szCs w:val="21"/>
        </w:rPr>
        <w:t>款的索赔约定向承包人提出索赔。</w:t>
      </w:r>
    </w:p>
    <w:p>
      <w:pPr>
        <w:spacing w:line="360" w:lineRule="auto"/>
        <w:ind w:firstLine="420" w:firstLineChars="200"/>
        <w:rPr>
          <w:szCs w:val="21"/>
        </w:rPr>
      </w:pPr>
      <w:r>
        <w:rPr>
          <w:rFonts w:hint="eastAsia"/>
          <w:szCs w:val="21"/>
        </w:rPr>
        <w:t>（5）未能通过的竣工验收，使整个工程丧失了生产或（和）使用功能时，发包人有权指令承包人重新设计、重置相关部分，因此招致的费用增加、竣工日期延误，由承包人承担。发包人且有权根据</w:t>
      </w:r>
      <w:r>
        <w:rPr>
          <w:szCs w:val="21"/>
        </w:rPr>
        <w:t>16.2.1</w:t>
      </w:r>
      <w:r>
        <w:rPr>
          <w:rFonts w:hint="eastAsia"/>
          <w:szCs w:val="21"/>
        </w:rPr>
        <w:t>款的索赔约定，向承包人提出索赔。或根据18</w:t>
      </w:r>
      <w:r>
        <w:rPr>
          <w:szCs w:val="21"/>
        </w:rPr>
        <w:t>.</w:t>
      </w:r>
      <w:r>
        <w:rPr>
          <w:rFonts w:hint="eastAsia"/>
          <w:szCs w:val="21"/>
        </w:rPr>
        <w:t>1款的约定，有权解除合同。</w:t>
      </w:r>
    </w:p>
    <w:p>
      <w:pPr>
        <w:spacing w:before="156" w:beforeLines="50" w:after="156" w:afterLines="50" w:line="360" w:lineRule="auto"/>
        <w:ind w:firstLine="411" w:firstLineChars="196"/>
        <w:rPr>
          <w:b/>
          <w:szCs w:val="21"/>
        </w:rPr>
      </w:pPr>
      <w:r>
        <w:rPr>
          <w:rFonts w:hint="eastAsia"/>
          <w:b/>
          <w:szCs w:val="21"/>
        </w:rPr>
        <w:t>8.7  竣工验收结果的争议</w:t>
      </w:r>
    </w:p>
    <w:p>
      <w:pPr>
        <w:spacing w:line="360" w:lineRule="auto"/>
        <w:ind w:firstLine="420" w:firstLineChars="200"/>
        <w:rPr>
          <w:szCs w:val="21"/>
        </w:rPr>
      </w:pPr>
      <w:r>
        <w:rPr>
          <w:rFonts w:hint="eastAsia"/>
          <w:szCs w:val="21"/>
        </w:rPr>
        <w:t>8.7.1协商解决。对竣工验收结果有争议的，首先协商解决。</w:t>
      </w:r>
    </w:p>
    <w:p>
      <w:pPr>
        <w:spacing w:line="360" w:lineRule="auto"/>
        <w:ind w:firstLine="420" w:firstLineChars="200"/>
        <w:rPr>
          <w:szCs w:val="21"/>
        </w:rPr>
      </w:pPr>
      <w:r>
        <w:rPr>
          <w:rFonts w:hint="eastAsia"/>
          <w:szCs w:val="21"/>
        </w:rPr>
        <w:t>8.7.2委托鉴定机构。经协商，对竣工验收结果仍有争议的，共同委托一个具有相应资格的检测机构进行鉴定。经鉴定，</w:t>
      </w:r>
    </w:p>
    <w:p>
      <w:pPr>
        <w:spacing w:line="360" w:lineRule="auto"/>
        <w:ind w:firstLine="420" w:firstLineChars="200"/>
        <w:rPr>
          <w:szCs w:val="21"/>
        </w:rPr>
      </w:pPr>
      <w:r>
        <w:rPr>
          <w:rFonts w:hint="eastAsia"/>
          <w:szCs w:val="21"/>
        </w:rPr>
        <w:t>（1）责任方为承包人时，所需的鉴定费用及因此造成发包人增加的合理费用由承包人承担，竣工日期不予延长；</w:t>
      </w:r>
    </w:p>
    <w:p>
      <w:pPr>
        <w:spacing w:line="360" w:lineRule="auto"/>
        <w:ind w:firstLine="420" w:firstLineChars="200"/>
        <w:rPr>
          <w:szCs w:val="21"/>
        </w:rPr>
      </w:pPr>
      <w:r>
        <w:rPr>
          <w:rFonts w:hint="eastAsia"/>
          <w:szCs w:val="21"/>
        </w:rPr>
        <w:t>（2）责任方为发包人时，所需的鉴定费用及因此造成承包人增加的合理费用由发包人承担，竣工日期相应顺延。</w:t>
      </w:r>
    </w:p>
    <w:p>
      <w:pPr>
        <w:spacing w:line="360" w:lineRule="auto"/>
        <w:ind w:firstLine="420" w:firstLineChars="200"/>
        <w:rPr>
          <w:szCs w:val="21"/>
        </w:rPr>
      </w:pPr>
      <w:r>
        <w:rPr>
          <w:rFonts w:hint="eastAsia"/>
          <w:szCs w:val="21"/>
        </w:rPr>
        <w:t>（3）双方均有责任时，根据其责任大小协商分担费用，并根据竣工验收计划的延误情况协商竣工日期延长。当双方对费用分担、竣工日期延长发生争议时，依据</w:t>
      </w:r>
      <w:r>
        <w:rPr>
          <w:szCs w:val="21"/>
        </w:rPr>
        <w:t>16.3</w:t>
      </w:r>
      <w:r>
        <w:rPr>
          <w:rFonts w:hint="eastAsia"/>
          <w:szCs w:val="21"/>
        </w:rPr>
        <w:t>款争议和裁决的约定解决。</w:t>
      </w:r>
    </w:p>
    <w:p>
      <w:pPr>
        <w:spacing w:before="156" w:beforeLines="50" w:after="156" w:afterLines="50" w:line="360" w:lineRule="auto"/>
        <w:ind w:firstLine="411" w:firstLineChars="196"/>
        <w:rPr>
          <w:b/>
          <w:szCs w:val="21"/>
        </w:rPr>
      </w:pPr>
      <w:r>
        <w:rPr>
          <w:rFonts w:hint="eastAsia"/>
          <w:b/>
          <w:szCs w:val="21"/>
        </w:rPr>
        <w:t>第9条工程接收</w:t>
      </w:r>
    </w:p>
    <w:p>
      <w:pPr>
        <w:spacing w:before="156" w:beforeLines="50" w:after="156" w:afterLines="50" w:line="360" w:lineRule="auto"/>
        <w:ind w:firstLine="420" w:firstLineChars="200"/>
        <w:rPr>
          <w:b/>
          <w:szCs w:val="21"/>
        </w:rPr>
      </w:pPr>
      <w:r>
        <w:rPr>
          <w:b/>
          <w:szCs w:val="21"/>
        </w:rPr>
        <w:t>9.1</w:t>
      </w:r>
      <w:r>
        <w:rPr>
          <w:rFonts w:hint="eastAsia"/>
          <w:b/>
          <w:szCs w:val="21"/>
        </w:rPr>
        <w:t>工程接收</w:t>
      </w:r>
    </w:p>
    <w:p>
      <w:pPr>
        <w:spacing w:line="360" w:lineRule="auto"/>
        <w:ind w:firstLine="420" w:firstLineChars="200"/>
        <w:rPr>
          <w:szCs w:val="21"/>
        </w:rPr>
      </w:pPr>
      <w:r>
        <w:rPr>
          <w:szCs w:val="21"/>
        </w:rPr>
        <w:t>9.1.1</w:t>
      </w:r>
      <w:r>
        <w:rPr>
          <w:rFonts w:hint="eastAsia"/>
          <w:szCs w:val="21"/>
        </w:rPr>
        <w:t>该工程承包人完成扫尾工程和缺陷修复，并符合合同约定的验收标准的，按合同约定办理工程接收和竣工验收。</w:t>
      </w:r>
    </w:p>
    <w:p>
      <w:pPr>
        <w:spacing w:line="360" w:lineRule="auto"/>
        <w:ind w:firstLine="420" w:firstLineChars="200"/>
        <w:rPr>
          <w:szCs w:val="21"/>
        </w:rPr>
      </w:pPr>
      <w:r>
        <w:rPr>
          <w:szCs w:val="21"/>
        </w:rPr>
        <w:t>9.1.2</w:t>
      </w:r>
      <w:r>
        <w:rPr>
          <w:rFonts w:hint="eastAsia"/>
          <w:szCs w:val="21"/>
        </w:rPr>
        <w:t>接收工程时承包人提交的资料。除按8.1.1款（1）至（3）项约定已经提交的资料外，需提交竣工验收完成的验收资料的类别、内容、份数和提交时间，在专用条款中约定。</w:t>
      </w:r>
    </w:p>
    <w:p>
      <w:pPr>
        <w:spacing w:before="156" w:beforeLines="50" w:after="156" w:afterLines="50" w:line="360" w:lineRule="auto"/>
        <w:ind w:firstLine="411" w:firstLineChars="196"/>
        <w:rPr>
          <w:b/>
          <w:szCs w:val="21"/>
        </w:rPr>
      </w:pPr>
      <w:r>
        <w:rPr>
          <w:b/>
          <w:szCs w:val="21"/>
        </w:rPr>
        <w:t>9.2</w:t>
      </w:r>
      <w:r>
        <w:rPr>
          <w:rFonts w:hint="eastAsia"/>
          <w:b/>
          <w:szCs w:val="21"/>
        </w:rPr>
        <w:t>接收证书</w:t>
      </w:r>
    </w:p>
    <w:p>
      <w:pPr>
        <w:spacing w:line="360" w:lineRule="auto"/>
        <w:ind w:firstLine="420" w:firstLineChars="200"/>
        <w:rPr>
          <w:szCs w:val="21"/>
        </w:rPr>
      </w:pPr>
      <w:r>
        <w:rPr>
          <w:szCs w:val="21"/>
        </w:rPr>
        <w:t>9.2.1</w:t>
      </w:r>
      <w:r>
        <w:rPr>
          <w:rFonts w:hint="eastAsia"/>
          <w:szCs w:val="21"/>
        </w:rPr>
        <w:t>承包人在工程或（和）单项工程具备接收条件后的</w:t>
      </w:r>
      <w:r>
        <w:rPr>
          <w:szCs w:val="21"/>
        </w:rPr>
        <w:t>1</w:t>
      </w:r>
      <w:r>
        <w:rPr>
          <w:rFonts w:hint="eastAsia"/>
          <w:szCs w:val="21"/>
        </w:rPr>
        <w:t>0日内，向发包人提交接收证书申请，发包人在接到申请后的10日内组织接收，并签发工程或（和）单项工程接收证书。</w:t>
      </w:r>
    </w:p>
    <w:p>
      <w:pPr>
        <w:spacing w:line="360" w:lineRule="auto"/>
        <w:ind w:firstLine="420" w:firstLineChars="200"/>
        <w:rPr>
          <w:szCs w:val="21"/>
        </w:rPr>
      </w:pPr>
      <w:r>
        <w:rPr>
          <w:rFonts w:hint="eastAsia"/>
          <w:szCs w:val="21"/>
        </w:rPr>
        <w:t>单项工程的接收日期，以</w:t>
      </w:r>
      <w:r>
        <w:rPr>
          <w:szCs w:val="21"/>
        </w:rPr>
        <w:t>8.</w:t>
      </w:r>
      <w:r>
        <w:rPr>
          <w:rFonts w:hint="eastAsia"/>
          <w:szCs w:val="21"/>
        </w:rPr>
        <w:t>2</w:t>
      </w:r>
      <w:r>
        <w:rPr>
          <w:szCs w:val="21"/>
        </w:rPr>
        <w:t>.6</w:t>
      </w:r>
      <w:r>
        <w:rPr>
          <w:rFonts w:hint="eastAsia"/>
          <w:szCs w:val="21"/>
        </w:rPr>
        <w:t>款第</w:t>
      </w:r>
      <w:r>
        <w:rPr>
          <w:szCs w:val="21"/>
        </w:rPr>
        <w:t>2</w:t>
      </w:r>
      <w:r>
        <w:rPr>
          <w:rFonts w:hint="eastAsia"/>
          <w:szCs w:val="21"/>
        </w:rPr>
        <w:t>项约定的日期，作为接收日期。</w:t>
      </w:r>
    </w:p>
    <w:p>
      <w:pPr>
        <w:spacing w:line="360" w:lineRule="auto"/>
        <w:ind w:firstLine="420" w:firstLineChars="200"/>
        <w:rPr>
          <w:szCs w:val="21"/>
        </w:rPr>
      </w:pPr>
      <w:r>
        <w:rPr>
          <w:rFonts w:hint="eastAsia"/>
          <w:szCs w:val="21"/>
        </w:rPr>
        <w:t>工程的接收日期，以</w:t>
      </w:r>
      <w:r>
        <w:rPr>
          <w:szCs w:val="21"/>
        </w:rPr>
        <w:t>8.</w:t>
      </w:r>
      <w:r>
        <w:rPr>
          <w:rFonts w:hint="eastAsia"/>
          <w:szCs w:val="21"/>
        </w:rPr>
        <w:t>2</w:t>
      </w:r>
      <w:r>
        <w:rPr>
          <w:szCs w:val="21"/>
        </w:rPr>
        <w:t>.6</w:t>
      </w:r>
      <w:r>
        <w:rPr>
          <w:rFonts w:hint="eastAsia"/>
          <w:szCs w:val="21"/>
        </w:rPr>
        <w:t>款第</w:t>
      </w:r>
      <w:r>
        <w:rPr>
          <w:szCs w:val="21"/>
        </w:rPr>
        <w:t>3</w:t>
      </w:r>
      <w:r>
        <w:rPr>
          <w:rFonts w:hint="eastAsia"/>
          <w:szCs w:val="21"/>
        </w:rPr>
        <w:t>项约定的日期，作为接收日期。</w:t>
      </w:r>
    </w:p>
    <w:p>
      <w:pPr>
        <w:spacing w:line="360" w:lineRule="auto"/>
        <w:ind w:firstLine="420" w:firstLineChars="200"/>
        <w:rPr>
          <w:szCs w:val="21"/>
        </w:rPr>
      </w:pPr>
      <w:r>
        <w:rPr>
          <w:szCs w:val="21"/>
        </w:rPr>
        <w:t>9.2.2</w:t>
      </w:r>
      <w:r>
        <w:rPr>
          <w:rFonts w:hint="eastAsia"/>
          <w:szCs w:val="21"/>
        </w:rPr>
        <w:t>扫尾工程和缺陷修复。对工程或（和）单项工程的操作、使用没有实质影响的扫尾工程和缺陷修复，不能作为发包人不接收工程的理由。经发包人与承包人协商确定的承包人完成该扫尾工程和缺陷修复的合理时间，作为接收证书的附件。</w:t>
      </w:r>
    </w:p>
    <w:p>
      <w:pPr>
        <w:spacing w:before="156" w:beforeLines="50" w:after="156" w:afterLines="50" w:line="360" w:lineRule="auto"/>
        <w:ind w:firstLine="420" w:firstLineChars="200"/>
        <w:rPr>
          <w:b/>
          <w:szCs w:val="21"/>
        </w:rPr>
      </w:pPr>
      <w:r>
        <w:rPr>
          <w:b/>
          <w:szCs w:val="21"/>
        </w:rPr>
        <w:t>9.3</w:t>
      </w:r>
      <w:r>
        <w:rPr>
          <w:rFonts w:hint="eastAsia"/>
          <w:b/>
          <w:szCs w:val="21"/>
        </w:rPr>
        <w:t>接收工程的责任</w:t>
      </w:r>
    </w:p>
    <w:p>
      <w:pPr>
        <w:spacing w:line="360" w:lineRule="auto"/>
        <w:ind w:firstLine="420" w:firstLineChars="200"/>
        <w:rPr>
          <w:szCs w:val="21"/>
        </w:rPr>
      </w:pPr>
      <w:r>
        <w:rPr>
          <w:szCs w:val="21"/>
        </w:rPr>
        <w:t>9.3.1</w:t>
      </w:r>
      <w:r>
        <w:rPr>
          <w:rFonts w:hint="eastAsia"/>
          <w:szCs w:val="21"/>
        </w:rPr>
        <w:t>保安责任。至整体工程接收之日起，发包人承担其保安责任。</w:t>
      </w:r>
    </w:p>
    <w:p>
      <w:pPr>
        <w:spacing w:line="360" w:lineRule="auto"/>
        <w:ind w:firstLine="420" w:firstLineChars="200"/>
        <w:rPr>
          <w:szCs w:val="21"/>
        </w:rPr>
      </w:pPr>
      <w:r>
        <w:rPr>
          <w:szCs w:val="21"/>
        </w:rPr>
        <w:t>9.3.2</w:t>
      </w:r>
      <w:r>
        <w:rPr>
          <w:rFonts w:hint="eastAsia"/>
          <w:szCs w:val="21"/>
        </w:rPr>
        <w:t>照管责任。自单项工程或（和）工程接收之日起，发包人承担其照管责任。并负责单项工程或（和）工程的维护、保养、维修,不包括需由承包人完成的缺陷修复和零星扫尾的工程部位及其区域。</w:t>
      </w:r>
    </w:p>
    <w:p>
      <w:pPr>
        <w:spacing w:line="360" w:lineRule="auto"/>
        <w:ind w:firstLine="420" w:firstLineChars="200"/>
        <w:rPr>
          <w:szCs w:val="21"/>
        </w:rPr>
      </w:pPr>
      <w:r>
        <w:rPr>
          <w:szCs w:val="21"/>
        </w:rPr>
        <w:t>9.3.3</w:t>
      </w:r>
      <w:r>
        <w:rPr>
          <w:rFonts w:hint="eastAsia"/>
          <w:szCs w:val="21"/>
        </w:rPr>
        <w:t>工程的投保责任。当合同约定施工期间的工程的应投保方是承包人时，承包人将工程投保期限保持到9.2.1款约定的发包人接收工程的日期。该日期之后的应投保方是发包人。</w:t>
      </w:r>
    </w:p>
    <w:p>
      <w:pPr>
        <w:spacing w:before="156" w:beforeLines="50" w:after="156" w:afterLines="50" w:line="360" w:lineRule="auto"/>
        <w:ind w:firstLine="420" w:firstLineChars="200"/>
        <w:rPr>
          <w:b/>
          <w:szCs w:val="21"/>
        </w:rPr>
      </w:pPr>
      <w:r>
        <w:rPr>
          <w:rFonts w:hint="eastAsia"/>
          <w:b/>
          <w:szCs w:val="21"/>
        </w:rPr>
        <w:t>第10条竣工后试验</w:t>
      </w:r>
    </w:p>
    <w:p>
      <w:pPr>
        <w:spacing w:line="360" w:lineRule="auto"/>
        <w:ind w:firstLine="420" w:firstLineChars="200"/>
        <w:rPr>
          <w:szCs w:val="21"/>
        </w:rPr>
      </w:pPr>
      <w:r>
        <w:rPr>
          <w:rFonts w:hint="eastAsia"/>
          <w:szCs w:val="21"/>
        </w:rPr>
        <w:t>本合同工程包含竣工后试验，遵守本条约定。</w:t>
      </w:r>
    </w:p>
    <w:p>
      <w:pPr>
        <w:spacing w:line="360" w:lineRule="auto"/>
        <w:ind w:firstLine="420" w:firstLineChars="200"/>
        <w:rPr>
          <w:szCs w:val="21"/>
        </w:rPr>
      </w:pPr>
      <w:r>
        <w:rPr>
          <w:szCs w:val="21"/>
        </w:rPr>
        <w:t>10.</w:t>
      </w:r>
      <w:r>
        <w:rPr>
          <w:rFonts w:hint="eastAsia"/>
          <w:szCs w:val="21"/>
        </w:rPr>
        <w:t>1  权力与义务</w:t>
      </w:r>
    </w:p>
    <w:p>
      <w:pPr>
        <w:spacing w:line="360" w:lineRule="auto"/>
        <w:ind w:firstLine="420" w:firstLineChars="200"/>
        <w:rPr>
          <w:szCs w:val="21"/>
        </w:rPr>
      </w:pPr>
      <w:r>
        <w:rPr>
          <w:rFonts w:hint="eastAsia"/>
          <w:szCs w:val="21"/>
        </w:rPr>
        <w:t>10.1.1发包人的义务</w:t>
      </w:r>
    </w:p>
    <w:p>
      <w:pPr>
        <w:spacing w:line="360" w:lineRule="auto"/>
        <w:ind w:firstLine="420" w:firstLineChars="200"/>
        <w:rPr>
          <w:szCs w:val="21"/>
        </w:rPr>
      </w:pPr>
      <w:r>
        <w:rPr>
          <w:rFonts w:hint="eastAsia"/>
          <w:szCs w:val="21"/>
        </w:rPr>
        <w:t>（1）发包人有权对第10.1.2款第（2）项约定的由承包人提交的竣工后试验方案进行审查并批准，发包人的批准并不能减轻或免除承包人的合同责任。</w:t>
      </w:r>
    </w:p>
    <w:p>
      <w:pPr>
        <w:spacing w:line="360" w:lineRule="auto"/>
        <w:ind w:firstLine="420" w:firstLineChars="200"/>
        <w:rPr>
          <w:szCs w:val="21"/>
        </w:rPr>
      </w:pPr>
      <w:r>
        <w:rPr>
          <w:rFonts w:hint="eastAsia"/>
          <w:szCs w:val="21"/>
        </w:rPr>
        <w:t>（2）发包人有义务组建竣工后试验联合协调领导机构，依据批准的竣工后试验方案进行分工、组织完成准备工作、竣工后试验和试运行考核。联合协调领导机构的设置方案及其分工职责等作为本合同的组成部分。</w:t>
      </w:r>
    </w:p>
    <w:p>
      <w:pPr>
        <w:spacing w:line="360" w:lineRule="auto"/>
        <w:ind w:firstLine="420" w:firstLineChars="200"/>
        <w:rPr>
          <w:szCs w:val="21"/>
        </w:rPr>
      </w:pPr>
      <w:r>
        <w:rPr>
          <w:rFonts w:hint="eastAsia"/>
          <w:szCs w:val="21"/>
        </w:rPr>
        <w:t>（3）发包人对承包人根据10.1.2款第（4）项提出的建议，有权向承包人发出不接受、或接受的通知。未能接受此项建议，承包人有义务按原来的组织安排、指令、通知执行。承包人因执行发包人的此项安排、或指令、或通知而发生的事故、人身伤害和工程损害，由发包人承担其责任。</w:t>
      </w:r>
    </w:p>
    <w:p>
      <w:pPr>
        <w:spacing w:line="360" w:lineRule="auto"/>
        <w:ind w:firstLine="420" w:firstLineChars="200"/>
        <w:rPr>
          <w:szCs w:val="21"/>
        </w:rPr>
      </w:pPr>
      <w:r>
        <w:rPr>
          <w:rFonts w:hint="eastAsia"/>
          <w:szCs w:val="21"/>
        </w:rPr>
        <w:t>（4）承包人在竣工后试验阶段向发包人发出的竣工验收组织安排、指令和通知，以书面形式送达发包人的项目经理，项目经理在回执上签署收到日期、时间和签名。</w:t>
      </w:r>
    </w:p>
    <w:p>
      <w:pPr>
        <w:spacing w:line="360" w:lineRule="auto"/>
        <w:ind w:firstLine="420" w:firstLineChars="200"/>
        <w:rPr>
          <w:szCs w:val="21"/>
        </w:rPr>
      </w:pPr>
      <w:r>
        <w:rPr>
          <w:rFonts w:hint="eastAsia"/>
          <w:szCs w:val="21"/>
        </w:rPr>
        <w:t>（5）发包人有权在紧急情况下，以口头和书面形式向承包人发出紧急指令，承包人立即执行。当承包人未能按发包人的指令执行，因此造成的事故责任、人身伤害和工程损害，由承包人承担。发包人在发出口头指令后12 小时内,以书面形式再发出补充指令并送交项目经理。</w:t>
      </w:r>
    </w:p>
    <w:p>
      <w:pPr>
        <w:spacing w:line="360" w:lineRule="auto"/>
        <w:ind w:firstLine="420" w:firstLineChars="200"/>
        <w:rPr>
          <w:szCs w:val="21"/>
        </w:rPr>
      </w:pPr>
      <w:r>
        <w:rPr>
          <w:rFonts w:hint="eastAsia"/>
          <w:szCs w:val="21"/>
        </w:rPr>
        <w:t>（6）发包人在竣工后试验阶段的其他义务和工作，在专用条款中约定。</w:t>
      </w:r>
    </w:p>
    <w:p>
      <w:pPr>
        <w:spacing w:line="360" w:lineRule="auto"/>
        <w:ind w:firstLine="420" w:firstLineChars="200"/>
        <w:rPr>
          <w:szCs w:val="21"/>
        </w:rPr>
      </w:pPr>
      <w:r>
        <w:rPr>
          <w:rFonts w:hint="eastAsia"/>
          <w:szCs w:val="21"/>
        </w:rPr>
        <w:t>10.1.2承包人的责任和义务</w:t>
      </w:r>
    </w:p>
    <w:p>
      <w:pPr>
        <w:spacing w:line="360" w:lineRule="auto"/>
        <w:ind w:firstLine="420" w:firstLineChars="200"/>
        <w:rPr>
          <w:szCs w:val="21"/>
        </w:rPr>
      </w:pPr>
      <w:r>
        <w:rPr>
          <w:rFonts w:hint="eastAsia"/>
          <w:szCs w:val="21"/>
        </w:rPr>
        <w:t>（1）承包人在发包人组建的竣工后试验联合协调领导机构的统一安排下，派出具有相应资格和经验的人员组织竣工投产试验。</w:t>
      </w:r>
    </w:p>
    <w:p>
      <w:pPr>
        <w:spacing w:line="360" w:lineRule="auto"/>
        <w:ind w:firstLine="420" w:firstLineChars="200"/>
        <w:rPr>
          <w:szCs w:val="21"/>
        </w:rPr>
      </w:pPr>
      <w:r>
        <w:rPr>
          <w:rFonts w:hint="eastAsia"/>
          <w:szCs w:val="21"/>
        </w:rPr>
        <w:t>（2）承包人根据合同约定和本工程竣工后试验的特点，编制竣工后试验方案。并在竣工验收开始前向发包人提交竣工后试验方案。方案包括：工程、单项工程及其相关部位的操作试验程序、资源条件、试验条件、操作规程、安全规程、事故处理程序及进度计划等。经发包人审查并批准后实施。提交竣工后试验方案的份数和时间在在专用条款约定。</w:t>
      </w:r>
    </w:p>
    <w:p>
      <w:pPr>
        <w:spacing w:line="360" w:lineRule="auto"/>
        <w:ind w:firstLine="420" w:firstLineChars="200"/>
        <w:rPr>
          <w:szCs w:val="21"/>
        </w:rPr>
      </w:pPr>
      <w:r>
        <w:rPr>
          <w:rFonts w:hint="eastAsia"/>
          <w:szCs w:val="21"/>
        </w:rPr>
        <w:t>（3）承包人未能执行发包人的安排、指令和通知，而发生的事故、人身伤害和工程损害，由发包人承担其责任。</w:t>
      </w:r>
    </w:p>
    <w:p>
      <w:pPr>
        <w:spacing w:line="360" w:lineRule="auto"/>
        <w:ind w:firstLine="420" w:firstLineChars="200"/>
        <w:rPr>
          <w:szCs w:val="21"/>
        </w:rPr>
      </w:pPr>
      <w:r>
        <w:rPr>
          <w:rFonts w:hint="eastAsia"/>
          <w:szCs w:val="21"/>
        </w:rPr>
        <w:t>（4）承包人无条件对发包人的运行、检修人员进行该工程岗前培训，不少于3个月。</w:t>
      </w:r>
    </w:p>
    <w:p>
      <w:pPr>
        <w:spacing w:line="360" w:lineRule="auto"/>
        <w:ind w:firstLine="420" w:firstLineChars="200"/>
        <w:rPr>
          <w:szCs w:val="21"/>
        </w:rPr>
      </w:pPr>
      <w:r>
        <w:rPr>
          <w:rFonts w:hint="eastAsia"/>
          <w:szCs w:val="21"/>
        </w:rPr>
        <w:t>（5）在紧急情况下，发包人以口头指令承包人进行的操作、工作及作业，承包人立即执行。承包人对此项指令做好记录，并做好实施的记录。对此，发包人在12小时内，将该口头指令再以书面形式送达承包人。</w:t>
      </w:r>
    </w:p>
    <w:p>
      <w:pPr>
        <w:spacing w:line="360" w:lineRule="auto"/>
        <w:ind w:firstLine="420" w:firstLineChars="200"/>
        <w:rPr>
          <w:szCs w:val="21"/>
        </w:rPr>
      </w:pPr>
      <w:r>
        <w:rPr>
          <w:rFonts w:hint="eastAsia"/>
          <w:szCs w:val="21"/>
        </w:rPr>
        <w:t>承包人因执行此项口头指令而发生事故责任、人身伤害、工程损害和费用增加时，由承包人承担。</w:t>
      </w:r>
    </w:p>
    <w:p>
      <w:pPr>
        <w:spacing w:line="360" w:lineRule="auto"/>
        <w:ind w:firstLine="420" w:firstLineChars="200"/>
        <w:rPr>
          <w:szCs w:val="21"/>
        </w:rPr>
      </w:pPr>
      <w:r>
        <w:rPr>
          <w:rFonts w:hint="eastAsia"/>
          <w:szCs w:val="21"/>
        </w:rPr>
        <w:t>（6）操作维修手册的缺陷责任。承包人负责编制的操作维修手册，因手册缺陷造成的事故责任、人身伤害和工程损害，由承包人承担；因发包人（包括其专利商）提供的操作指南存在缺陷，造成承包人操作手册的缺陷，因此发生的事故责任、人身伤害、工程损害和承包人的费用增加，由发包人承担。</w:t>
      </w:r>
    </w:p>
    <w:p>
      <w:pPr>
        <w:spacing w:line="360" w:lineRule="auto"/>
        <w:ind w:firstLine="420" w:firstLineChars="200"/>
        <w:rPr>
          <w:szCs w:val="21"/>
        </w:rPr>
      </w:pPr>
      <w:r>
        <w:rPr>
          <w:rFonts w:hint="eastAsia"/>
          <w:szCs w:val="21"/>
        </w:rPr>
        <w:t>（7）承包人根据合同约定或（和）行业规定，在竣工后试验阶段的其他义务和工作，在专用条款中约定。</w:t>
      </w:r>
    </w:p>
    <w:p>
      <w:pPr>
        <w:spacing w:before="156" w:beforeLines="50" w:after="156" w:afterLines="50" w:line="360" w:lineRule="auto"/>
        <w:ind w:firstLine="420" w:firstLineChars="200"/>
        <w:rPr>
          <w:b/>
          <w:szCs w:val="21"/>
        </w:rPr>
      </w:pPr>
      <w:r>
        <w:rPr>
          <w:b/>
          <w:szCs w:val="21"/>
        </w:rPr>
        <w:t>10.2</w:t>
      </w:r>
      <w:r>
        <w:rPr>
          <w:rFonts w:hint="eastAsia"/>
          <w:b/>
          <w:szCs w:val="21"/>
        </w:rPr>
        <w:t>竣工后试验程序</w:t>
      </w:r>
    </w:p>
    <w:p>
      <w:pPr>
        <w:spacing w:line="360" w:lineRule="auto"/>
        <w:ind w:firstLine="420" w:firstLineChars="200"/>
        <w:rPr>
          <w:szCs w:val="21"/>
        </w:rPr>
      </w:pPr>
      <w:r>
        <w:rPr>
          <w:rFonts w:hint="eastAsia"/>
          <w:szCs w:val="21"/>
        </w:rPr>
        <w:t>10.2.1发包人根据联合协调领导机构批准的竣工后试验方案，组织安排其运行人员、操作维修人员和其他各项准备工作。</w:t>
      </w:r>
    </w:p>
    <w:p>
      <w:pPr>
        <w:spacing w:line="360" w:lineRule="auto"/>
        <w:ind w:firstLine="420" w:firstLineChars="200"/>
        <w:rPr>
          <w:szCs w:val="21"/>
        </w:rPr>
      </w:pPr>
      <w:r>
        <w:rPr>
          <w:rFonts w:hint="eastAsia"/>
          <w:szCs w:val="21"/>
        </w:rPr>
        <w:t>10.2.2承包人根据批准的竣工后试验方案，完成方案中约定的由承包人提供的竣工后试验所需要的其他设备、设施、工具和器具，及由承包人完成的其他准备工作。</w:t>
      </w:r>
    </w:p>
    <w:p>
      <w:pPr>
        <w:spacing w:line="360" w:lineRule="auto"/>
        <w:ind w:firstLine="420" w:firstLineChars="200"/>
        <w:rPr>
          <w:szCs w:val="21"/>
        </w:rPr>
      </w:pPr>
      <w:r>
        <w:rPr>
          <w:szCs w:val="21"/>
        </w:rPr>
        <w:t>10.2.3</w:t>
      </w:r>
      <w:r>
        <w:rPr>
          <w:rFonts w:hint="eastAsia"/>
          <w:szCs w:val="21"/>
        </w:rPr>
        <w:t>承包人根据批准的竣工后试验方案，按照单项工程内的任何部分、单项工程、单项工程之间、或（和）工程的竣工后试验程序和试验条件，组织竣工后试验。</w:t>
      </w:r>
    </w:p>
    <w:p>
      <w:pPr>
        <w:spacing w:line="360" w:lineRule="auto"/>
        <w:ind w:firstLine="420" w:firstLineChars="200"/>
        <w:rPr>
          <w:szCs w:val="21"/>
        </w:rPr>
      </w:pPr>
      <w:r>
        <w:rPr>
          <w:rFonts w:hint="eastAsia"/>
          <w:szCs w:val="21"/>
        </w:rPr>
        <w:t>10.2.4联合协调领导机构组织全面检查并落实工程、单项工程及工程的任何部分竣工后试验需要的资源条件、试验条件、安全设施条件、消防设施条件、紧急事故处理设施条件或（和）相关措施，保证记录仪器、专用记录表格的齐全和数量的充分。</w:t>
      </w:r>
    </w:p>
    <w:p>
      <w:pPr>
        <w:spacing w:line="360" w:lineRule="auto"/>
        <w:ind w:firstLine="420" w:firstLineChars="200"/>
        <w:rPr>
          <w:szCs w:val="21"/>
        </w:rPr>
      </w:pPr>
      <w:r>
        <w:rPr>
          <w:rFonts w:hint="eastAsia"/>
          <w:szCs w:val="21"/>
        </w:rPr>
        <w:t>10.2.5工程竣工移交后试验日期的通知。承包人在该工程竣工达标投产后1个月后向发包人提交竣工验收。</w:t>
      </w:r>
    </w:p>
    <w:p>
      <w:pPr>
        <w:spacing w:line="360" w:lineRule="auto"/>
        <w:ind w:firstLine="420" w:firstLineChars="200"/>
        <w:rPr>
          <w:b/>
          <w:szCs w:val="21"/>
        </w:rPr>
      </w:pPr>
      <w:r>
        <w:rPr>
          <w:b/>
          <w:szCs w:val="21"/>
        </w:rPr>
        <w:t>10.</w:t>
      </w:r>
      <w:r>
        <w:rPr>
          <w:rFonts w:hint="eastAsia"/>
          <w:b/>
          <w:szCs w:val="21"/>
        </w:rPr>
        <w:t>3  竣工后试验及试运行考核</w:t>
      </w:r>
    </w:p>
    <w:p>
      <w:pPr>
        <w:spacing w:line="360" w:lineRule="auto"/>
        <w:ind w:firstLine="420" w:firstLineChars="200"/>
        <w:rPr>
          <w:szCs w:val="21"/>
        </w:rPr>
      </w:pPr>
      <w:r>
        <w:rPr>
          <w:szCs w:val="21"/>
        </w:rPr>
        <w:t>10.3.1</w:t>
      </w:r>
      <w:r>
        <w:rPr>
          <w:rFonts w:hint="eastAsia"/>
          <w:szCs w:val="21"/>
        </w:rPr>
        <w:t>按照批准的竣工后试验方案的试验程序、试验条件、操作程序进行试验，达到合同约定的工程或（和）单项工程的生产功能或（和）使用功能。</w:t>
      </w:r>
    </w:p>
    <w:p>
      <w:pPr>
        <w:spacing w:line="360" w:lineRule="auto"/>
        <w:ind w:firstLine="420" w:firstLineChars="200"/>
        <w:rPr>
          <w:szCs w:val="21"/>
        </w:rPr>
      </w:pPr>
      <w:r>
        <w:rPr>
          <w:szCs w:val="21"/>
        </w:rPr>
        <w:t>10.3.2</w:t>
      </w:r>
      <w:r>
        <w:rPr>
          <w:rFonts w:hint="eastAsia"/>
          <w:szCs w:val="21"/>
        </w:rPr>
        <w:t>发包人的操作人员和承包人的指导人员，在竣工后试验过程中的同一个岗位上的试验条件记录、试验记录及表格上如实填写数据、条件、情况、时间、姓名及约定的其他内容。</w:t>
      </w:r>
    </w:p>
    <w:p>
      <w:pPr>
        <w:spacing w:line="360" w:lineRule="auto"/>
        <w:ind w:firstLine="420" w:firstLineChars="200"/>
        <w:rPr>
          <w:szCs w:val="21"/>
        </w:rPr>
      </w:pPr>
      <w:r>
        <w:rPr>
          <w:rFonts w:hint="eastAsia"/>
          <w:szCs w:val="21"/>
        </w:rPr>
        <w:t>10.3.3试运行考核</w:t>
      </w:r>
    </w:p>
    <w:p>
      <w:pPr>
        <w:spacing w:line="360" w:lineRule="auto"/>
        <w:ind w:firstLine="420" w:firstLineChars="200"/>
        <w:rPr>
          <w:szCs w:val="21"/>
        </w:rPr>
      </w:pPr>
      <w:r>
        <w:rPr>
          <w:rFonts w:hint="eastAsia"/>
          <w:szCs w:val="21"/>
        </w:rPr>
        <w:t>（1）根据5.1.1款约定，由承包人提供生产工艺技术或建筑设计的，保证在试运行考核周期内,达到5.1.1款专用条款中约定的考核保证值或使用功能。</w:t>
      </w:r>
    </w:p>
    <w:p>
      <w:pPr>
        <w:spacing w:line="360" w:lineRule="auto"/>
        <w:ind w:firstLine="420" w:firstLineChars="200"/>
        <w:rPr>
          <w:szCs w:val="21"/>
        </w:rPr>
      </w:pPr>
      <w:r>
        <w:rPr>
          <w:rFonts w:hint="eastAsia"/>
          <w:szCs w:val="21"/>
        </w:rPr>
        <w:t>（2）由发包人提供生产工艺技术或建筑艺术造型的，承包人保证在试运行考核周期内达到约定的，由承包人承担的相关部分的考核保证值或使用功能。</w:t>
      </w:r>
    </w:p>
    <w:p>
      <w:pPr>
        <w:spacing w:line="360" w:lineRule="auto"/>
        <w:ind w:firstLine="420" w:firstLineChars="200"/>
        <w:rPr>
          <w:szCs w:val="21"/>
        </w:rPr>
      </w:pPr>
      <w:r>
        <w:rPr>
          <w:rFonts w:hint="eastAsia"/>
          <w:szCs w:val="21"/>
        </w:rPr>
        <w:t>（3）根据相关行业对试运行考核周期的规定，在专用条款中约定试运行考核的时间周期。</w:t>
      </w:r>
    </w:p>
    <w:p>
      <w:pPr>
        <w:spacing w:line="360" w:lineRule="auto"/>
        <w:ind w:firstLine="420" w:firstLineChars="200"/>
        <w:rPr>
          <w:szCs w:val="21"/>
        </w:rPr>
      </w:pPr>
      <w:r>
        <w:rPr>
          <w:rFonts w:hint="eastAsia"/>
          <w:szCs w:val="21"/>
        </w:rPr>
        <w:t>（4）试运行考核通过或使用功能通过后，双方共同整理竣工后试验及其试运行考核结果，并编写评价报告。报告一式两份，经合同双方签字或盖章后各持一份，作为本合同组成部分。发包人并根据</w:t>
      </w:r>
      <w:r>
        <w:rPr>
          <w:szCs w:val="21"/>
        </w:rPr>
        <w:t>10.7</w:t>
      </w:r>
      <w:r>
        <w:rPr>
          <w:rFonts w:hint="eastAsia"/>
          <w:szCs w:val="21"/>
        </w:rPr>
        <w:t>款的约定颁发考核验收证书。</w:t>
      </w:r>
    </w:p>
    <w:p>
      <w:pPr>
        <w:spacing w:line="360" w:lineRule="auto"/>
        <w:ind w:firstLine="420" w:firstLineChars="200"/>
        <w:rPr>
          <w:szCs w:val="21"/>
        </w:rPr>
      </w:pPr>
      <w:r>
        <w:rPr>
          <w:rFonts w:hint="eastAsia"/>
          <w:szCs w:val="21"/>
        </w:rPr>
        <w:t>10.3.4产品或（和）服务收益的所有权。单项工程和（或）工程竣工后试验及试运行考核期间的任何产品收益或服务收益，均属发包人所有。</w:t>
      </w:r>
    </w:p>
    <w:p>
      <w:pPr>
        <w:spacing w:before="156" w:beforeLines="50" w:after="156" w:afterLines="50" w:line="360" w:lineRule="auto"/>
        <w:ind w:firstLine="420" w:firstLineChars="200"/>
        <w:rPr>
          <w:b/>
          <w:szCs w:val="21"/>
        </w:rPr>
      </w:pPr>
      <w:r>
        <w:rPr>
          <w:b/>
          <w:szCs w:val="21"/>
        </w:rPr>
        <w:t>10.</w:t>
      </w:r>
      <w:r>
        <w:rPr>
          <w:rFonts w:hint="eastAsia"/>
          <w:b/>
          <w:szCs w:val="21"/>
        </w:rPr>
        <w:t>4  竣工后试验的延误</w:t>
      </w:r>
    </w:p>
    <w:p>
      <w:pPr>
        <w:spacing w:line="360" w:lineRule="auto"/>
        <w:ind w:firstLine="420" w:firstLineChars="200"/>
        <w:rPr>
          <w:szCs w:val="21"/>
        </w:rPr>
      </w:pPr>
      <w:r>
        <w:rPr>
          <w:szCs w:val="21"/>
        </w:rPr>
        <w:t>10.4.1</w:t>
      </w:r>
      <w:r>
        <w:rPr>
          <w:rFonts w:hint="eastAsia"/>
          <w:szCs w:val="21"/>
        </w:rPr>
        <w:t>根据10.2.5款竣工后试验日期通知的约定，非因承包人原因，发包人未能在发出竣工后试验通知后的90日内开始竣工后试验的，工程或（和）单项工程视为通过了竣工后试验和试运行考核。</w:t>
      </w:r>
    </w:p>
    <w:p>
      <w:pPr>
        <w:spacing w:line="360" w:lineRule="auto"/>
        <w:ind w:firstLine="420" w:firstLineChars="200"/>
        <w:rPr>
          <w:szCs w:val="21"/>
        </w:rPr>
      </w:pPr>
      <w:r>
        <w:rPr>
          <w:szCs w:val="21"/>
        </w:rPr>
        <w:t>10.4.2</w:t>
      </w:r>
      <w:r>
        <w:rPr>
          <w:rFonts w:hint="eastAsia"/>
          <w:szCs w:val="21"/>
        </w:rPr>
        <w:t>因承包人的原因造成竣工后试验延误时，由承包人自行承担增加的费用。</w:t>
      </w:r>
    </w:p>
    <w:p>
      <w:pPr>
        <w:spacing w:line="360" w:lineRule="auto"/>
        <w:ind w:firstLine="420" w:firstLineChars="200"/>
        <w:rPr>
          <w:szCs w:val="21"/>
        </w:rPr>
      </w:pPr>
      <w:r>
        <w:rPr>
          <w:rFonts w:hint="eastAsia"/>
          <w:szCs w:val="21"/>
        </w:rPr>
        <w:t>10.4.3按10.3.3款试运行考核的约定，在试运行考核期间，因发包人原因导致考核中断或停止，且中断或停止的累计天数超过第10.3.3款第（3）项专用条款中约定的试运行考核周期时，试运行考核在中断或停止后的90天内重新开始，过此期限视为单项工程或（和）工程已通过了试运行考核。</w:t>
      </w:r>
    </w:p>
    <w:p>
      <w:pPr>
        <w:spacing w:before="156" w:beforeLines="50" w:after="156" w:afterLines="50" w:line="360" w:lineRule="auto"/>
        <w:ind w:firstLine="420" w:firstLineChars="200"/>
        <w:rPr>
          <w:b/>
          <w:szCs w:val="21"/>
        </w:rPr>
      </w:pPr>
      <w:r>
        <w:rPr>
          <w:b/>
          <w:szCs w:val="21"/>
        </w:rPr>
        <w:t>10.</w:t>
      </w:r>
      <w:r>
        <w:rPr>
          <w:rFonts w:hint="eastAsia"/>
          <w:b/>
          <w:szCs w:val="21"/>
        </w:rPr>
        <w:t>5  重新进行竣工后试验</w:t>
      </w:r>
    </w:p>
    <w:p>
      <w:pPr>
        <w:spacing w:line="360" w:lineRule="auto"/>
        <w:ind w:firstLine="420" w:firstLineChars="200"/>
        <w:rPr>
          <w:szCs w:val="21"/>
        </w:rPr>
      </w:pPr>
      <w:r>
        <w:rPr>
          <w:szCs w:val="21"/>
        </w:rPr>
        <w:t>10.5.1</w:t>
      </w:r>
      <w:r>
        <w:rPr>
          <w:rFonts w:hint="eastAsia"/>
          <w:szCs w:val="21"/>
        </w:rPr>
        <w:t>根据5.1.1款及其专用条款中的约定，因承包人原因导致工程、单项工程或工程的任何部分未能通过竣工后试验，承包人自费修补其缺陷，并依据第</w:t>
      </w:r>
      <w:r>
        <w:rPr>
          <w:szCs w:val="21"/>
        </w:rPr>
        <w:t>10.2.3</w:t>
      </w:r>
      <w:r>
        <w:rPr>
          <w:rFonts w:hint="eastAsia"/>
          <w:szCs w:val="21"/>
        </w:rPr>
        <w:t>款约定的试验程序、试验条件，重新进行此项试验。</w:t>
      </w:r>
    </w:p>
    <w:p>
      <w:pPr>
        <w:spacing w:line="360" w:lineRule="auto"/>
        <w:ind w:firstLine="420" w:firstLineChars="200"/>
        <w:rPr>
          <w:szCs w:val="21"/>
        </w:rPr>
      </w:pPr>
      <w:r>
        <w:rPr>
          <w:szCs w:val="21"/>
        </w:rPr>
        <w:t>10.5.2</w:t>
      </w:r>
      <w:r>
        <w:rPr>
          <w:rFonts w:hint="eastAsia"/>
          <w:szCs w:val="21"/>
        </w:rPr>
        <w:t>承包人根据10.5.1款重新进行试验的约定，仍未能通过该项试验时，承包人自费继续修补缺陷，并按10.2.3款约定的试验程序、试验条件再次进行此项试验。</w:t>
      </w:r>
    </w:p>
    <w:p>
      <w:pPr>
        <w:spacing w:line="360" w:lineRule="auto"/>
        <w:ind w:firstLine="420" w:firstLineChars="200"/>
        <w:rPr>
          <w:szCs w:val="21"/>
        </w:rPr>
      </w:pPr>
      <w:r>
        <w:rPr>
          <w:rFonts w:hint="eastAsia"/>
          <w:szCs w:val="21"/>
        </w:rPr>
        <w:t>10.5.3承包人重新进行的竣工后试验，给发包人增加了额外费用时，发包人有权根据</w:t>
      </w:r>
      <w:r>
        <w:rPr>
          <w:szCs w:val="21"/>
        </w:rPr>
        <w:t>16.2.1</w:t>
      </w:r>
      <w:r>
        <w:rPr>
          <w:rFonts w:hint="eastAsia"/>
          <w:szCs w:val="21"/>
        </w:rPr>
        <w:t>款的约定向承包人提出索赔。</w:t>
      </w:r>
    </w:p>
    <w:p>
      <w:pPr>
        <w:spacing w:before="156" w:beforeLines="50" w:after="156" w:afterLines="50" w:line="360" w:lineRule="auto"/>
        <w:ind w:firstLine="420" w:firstLineChars="200"/>
        <w:rPr>
          <w:b/>
          <w:szCs w:val="21"/>
        </w:rPr>
      </w:pPr>
      <w:r>
        <w:rPr>
          <w:b/>
          <w:szCs w:val="21"/>
        </w:rPr>
        <w:t>10.</w:t>
      </w:r>
      <w:r>
        <w:rPr>
          <w:rFonts w:hint="eastAsia"/>
          <w:b/>
          <w:szCs w:val="21"/>
        </w:rPr>
        <w:t>6  未能通过考核</w:t>
      </w:r>
    </w:p>
    <w:p>
      <w:pPr>
        <w:spacing w:line="360" w:lineRule="auto"/>
        <w:ind w:firstLine="420" w:firstLineChars="200"/>
        <w:rPr>
          <w:szCs w:val="21"/>
        </w:rPr>
      </w:pPr>
      <w:r>
        <w:rPr>
          <w:rFonts w:hint="eastAsia"/>
          <w:szCs w:val="21"/>
        </w:rPr>
        <w:t>因承包人原因使工程或（和）单项工程未能通过考核，但尚具有生产功能、使用功能时，按以下约定处理：</w:t>
      </w:r>
    </w:p>
    <w:p>
      <w:pPr>
        <w:spacing w:line="360" w:lineRule="auto"/>
        <w:ind w:firstLine="420" w:firstLineChars="200"/>
        <w:rPr>
          <w:szCs w:val="21"/>
        </w:rPr>
      </w:pPr>
      <w:r>
        <w:rPr>
          <w:rFonts w:hint="eastAsia"/>
          <w:szCs w:val="21"/>
        </w:rPr>
        <w:t>（</w:t>
      </w:r>
      <w:r>
        <w:rPr>
          <w:szCs w:val="21"/>
        </w:rPr>
        <w:t>1</w:t>
      </w:r>
      <w:r>
        <w:rPr>
          <w:rFonts w:hint="eastAsia"/>
          <w:szCs w:val="21"/>
        </w:rPr>
        <w:t>）未能通过试运行考核的赔偿</w:t>
      </w:r>
    </w:p>
    <w:p>
      <w:pPr>
        <w:spacing w:line="360" w:lineRule="auto"/>
        <w:ind w:firstLine="420" w:firstLineChars="200"/>
        <w:rPr>
          <w:szCs w:val="21"/>
        </w:rPr>
      </w:pPr>
      <w:r>
        <w:rPr>
          <w:rFonts w:hint="eastAsia"/>
          <w:szCs w:val="21"/>
        </w:rPr>
        <w:t>1）承包人提供的生产工艺技术或建筑设计未能通过试运行考核</w:t>
      </w:r>
    </w:p>
    <w:p>
      <w:pPr>
        <w:spacing w:line="360" w:lineRule="auto"/>
        <w:ind w:firstLine="420" w:firstLineChars="200"/>
        <w:rPr>
          <w:szCs w:val="21"/>
        </w:rPr>
      </w:pPr>
      <w:r>
        <w:rPr>
          <w:rFonts w:hint="eastAsia"/>
          <w:szCs w:val="21"/>
        </w:rPr>
        <w:t>根据5.1.1款专用条款约定的工程或（和）单项工程试运行考核保证值或使用功能保证的说明书，并按照在本项专用条款中约定的未能通过试运行考核的赔偿金额、或赔偿计算公式计算的金额，向发包人支付了相应赔偿金额后，视为承包人通过了试运行考核。</w:t>
      </w:r>
    </w:p>
    <w:p>
      <w:pPr>
        <w:spacing w:line="360" w:lineRule="auto"/>
        <w:ind w:firstLine="420" w:firstLineChars="200"/>
        <w:rPr>
          <w:szCs w:val="21"/>
        </w:rPr>
      </w:pPr>
      <w:r>
        <w:rPr>
          <w:rFonts w:hint="eastAsia"/>
          <w:szCs w:val="21"/>
        </w:rPr>
        <w:t>2）发包人提供的生产工艺技术或建筑艺术造型未能通过试运行考核</w:t>
      </w:r>
    </w:p>
    <w:p>
      <w:pPr>
        <w:spacing w:line="360" w:lineRule="auto"/>
        <w:ind w:firstLine="420" w:firstLineChars="200"/>
        <w:rPr>
          <w:szCs w:val="21"/>
        </w:rPr>
      </w:pPr>
      <w:r>
        <w:rPr>
          <w:rFonts w:hint="eastAsia"/>
          <w:szCs w:val="21"/>
        </w:rPr>
        <w:t>根据约定的工程或（和）单项工程试运行考核中由承包人承担的相关责任，并按照在本项专用条款对相关责任约定的赔偿金额、或赔偿公式计算的金额，向发包人支付了相应赔偿金额，视为承包人通过了试运行考核。</w:t>
      </w:r>
    </w:p>
    <w:p>
      <w:pPr>
        <w:spacing w:line="360" w:lineRule="auto"/>
        <w:ind w:firstLine="420" w:firstLineChars="200"/>
        <w:rPr>
          <w:szCs w:val="21"/>
        </w:rPr>
      </w:pPr>
      <w:r>
        <w:rPr>
          <w:rFonts w:hint="eastAsia"/>
          <w:szCs w:val="21"/>
        </w:rPr>
        <w:t>（</w:t>
      </w:r>
      <w:r>
        <w:rPr>
          <w:szCs w:val="21"/>
        </w:rPr>
        <w:t>2</w:t>
      </w:r>
      <w:r>
        <w:rPr>
          <w:rFonts w:hint="eastAsia"/>
          <w:szCs w:val="21"/>
        </w:rPr>
        <w:t>）承包人对未能通过试运行考核的工程或（和）单项工程，提出自费调查、调整和修正并被发包人接受时，双方商定相应的调查、修正和试验期限，发包人为此提供方便。在通过该项考核之前，发包人可暂不按</w:t>
      </w:r>
      <w:r>
        <w:rPr>
          <w:szCs w:val="21"/>
        </w:rPr>
        <w:t>10.6</w:t>
      </w:r>
      <w:r>
        <w:rPr>
          <w:rFonts w:hint="eastAsia"/>
          <w:szCs w:val="21"/>
        </w:rPr>
        <w:t>款第（</w:t>
      </w:r>
      <w:r>
        <w:rPr>
          <w:szCs w:val="21"/>
        </w:rPr>
        <w:t>1</w:t>
      </w:r>
      <w:r>
        <w:rPr>
          <w:rFonts w:hint="eastAsia"/>
          <w:szCs w:val="21"/>
        </w:rPr>
        <w:t>）项约定提出赔偿。</w:t>
      </w:r>
    </w:p>
    <w:p>
      <w:pPr>
        <w:spacing w:line="360" w:lineRule="auto"/>
        <w:ind w:firstLine="420" w:firstLineChars="200"/>
        <w:rPr>
          <w:szCs w:val="21"/>
        </w:rPr>
      </w:pPr>
      <w:r>
        <w:rPr>
          <w:rFonts w:hint="eastAsia"/>
          <w:szCs w:val="21"/>
        </w:rPr>
        <w:t>（</w:t>
      </w:r>
      <w:r>
        <w:rPr>
          <w:szCs w:val="21"/>
        </w:rPr>
        <w:t>3</w:t>
      </w:r>
      <w:r>
        <w:rPr>
          <w:rFonts w:hint="eastAsia"/>
          <w:szCs w:val="21"/>
        </w:rPr>
        <w:t>）当发包人接受了本款第（</w:t>
      </w:r>
      <w:r>
        <w:rPr>
          <w:szCs w:val="21"/>
        </w:rPr>
        <w:t>2</w:t>
      </w:r>
      <w:r>
        <w:rPr>
          <w:rFonts w:hint="eastAsia"/>
          <w:szCs w:val="21"/>
        </w:rPr>
        <w:t>）项约定时，但在商定的期限内发包人未能给承包人提供方便，致使承包人无法在约定期限内进行调查、调整和修正，视为该项试运行考核已被通过。</w:t>
      </w:r>
    </w:p>
    <w:p>
      <w:pPr>
        <w:spacing w:before="156" w:beforeLines="50" w:after="156" w:afterLines="50" w:line="360" w:lineRule="auto"/>
        <w:ind w:firstLine="420" w:firstLineChars="200"/>
        <w:rPr>
          <w:b/>
          <w:szCs w:val="21"/>
        </w:rPr>
      </w:pPr>
      <w:r>
        <w:rPr>
          <w:b/>
          <w:szCs w:val="21"/>
        </w:rPr>
        <w:t>10.</w:t>
      </w:r>
      <w:r>
        <w:rPr>
          <w:rFonts w:hint="eastAsia"/>
          <w:b/>
          <w:szCs w:val="21"/>
        </w:rPr>
        <w:t>7  竣工后试验及考核验收证书</w:t>
      </w:r>
    </w:p>
    <w:p>
      <w:pPr>
        <w:spacing w:line="360" w:lineRule="auto"/>
        <w:ind w:firstLine="420" w:firstLineChars="200"/>
        <w:rPr>
          <w:szCs w:val="21"/>
        </w:rPr>
      </w:pPr>
      <w:r>
        <w:rPr>
          <w:szCs w:val="21"/>
        </w:rPr>
        <w:t>10.7.1</w:t>
      </w:r>
      <w:r>
        <w:rPr>
          <w:rFonts w:hint="eastAsia"/>
          <w:szCs w:val="21"/>
        </w:rPr>
        <w:t>在专用条款中约定按工程或（和）按单项工程颁发竣工后试验及考核验收证书。</w:t>
      </w:r>
    </w:p>
    <w:p>
      <w:pPr>
        <w:spacing w:line="360" w:lineRule="auto"/>
        <w:ind w:firstLine="420" w:firstLineChars="200"/>
        <w:rPr>
          <w:szCs w:val="21"/>
        </w:rPr>
      </w:pPr>
      <w:r>
        <w:rPr>
          <w:szCs w:val="21"/>
        </w:rPr>
        <w:t>10.7.2</w:t>
      </w:r>
      <w:r>
        <w:rPr>
          <w:rFonts w:hint="eastAsia"/>
          <w:szCs w:val="21"/>
        </w:rPr>
        <w:t>发包人根据10.3款、10.4款、10.5.1款、10.5.2款及10.6款的约定对通过或视为通过竣工后试验或（和）试运行考核的，按10.7.1款颁发竣工后试验及考核验收证书。该证书中写明的试运行考核通过的日期和时间，为实际完成考核或视为通过试运行考核的日期和时间。</w:t>
      </w:r>
    </w:p>
    <w:p>
      <w:pPr>
        <w:spacing w:line="360" w:lineRule="auto"/>
        <w:ind w:firstLine="420" w:firstLineChars="200"/>
        <w:rPr>
          <w:szCs w:val="21"/>
        </w:rPr>
      </w:pPr>
      <w:r>
        <w:rPr>
          <w:rFonts w:hint="eastAsia"/>
          <w:szCs w:val="21"/>
        </w:rPr>
        <w:t>10.8  丧失了生产价值和使用价值</w:t>
      </w:r>
    </w:p>
    <w:p>
      <w:pPr>
        <w:spacing w:line="360" w:lineRule="auto"/>
        <w:ind w:firstLine="420" w:firstLineChars="200"/>
        <w:rPr>
          <w:szCs w:val="21"/>
        </w:rPr>
      </w:pPr>
      <w:r>
        <w:rPr>
          <w:rFonts w:hint="eastAsia"/>
          <w:szCs w:val="21"/>
        </w:rPr>
        <w:t>因承包人的原因，工程或（和）单项工程未能通过竣工后试验，并使整个工程丧失了生产价值或使用价值时，发包人有权提出未能履约的索赔，并扣罚已提交的履约保证金。但发包人不得将本合同以外的连带合同损失包括在未履约赔偿和索赔之中。</w:t>
      </w:r>
    </w:p>
    <w:p>
      <w:pPr>
        <w:spacing w:line="360" w:lineRule="auto"/>
        <w:ind w:firstLine="420" w:firstLineChars="200"/>
        <w:rPr>
          <w:szCs w:val="21"/>
        </w:rPr>
      </w:pPr>
      <w:r>
        <w:rPr>
          <w:rFonts w:hint="eastAsia"/>
          <w:szCs w:val="21"/>
        </w:rPr>
        <w:t>不包括的连带合同：投产、使用后的市场销售合同、市场预计盈利、生产流动资金贷款利息、竣工后试验及试运行考核周期以外所签订的原材料、辅助材料、电力、水、燃料等供应合同，以及运输合同等损失。除非适用法律另有规定。</w:t>
      </w:r>
    </w:p>
    <w:p>
      <w:pPr>
        <w:spacing w:before="156" w:beforeLines="50" w:after="156" w:afterLines="50" w:line="360" w:lineRule="auto"/>
        <w:ind w:firstLine="411" w:firstLineChars="196"/>
        <w:rPr>
          <w:b/>
          <w:szCs w:val="21"/>
        </w:rPr>
      </w:pPr>
      <w:r>
        <w:rPr>
          <w:b/>
          <w:szCs w:val="21"/>
        </w:rPr>
        <w:t>第11条质量保修责任</w:t>
      </w:r>
    </w:p>
    <w:p>
      <w:pPr>
        <w:spacing w:before="156" w:beforeLines="50" w:after="156" w:afterLines="50" w:line="360" w:lineRule="auto"/>
        <w:ind w:firstLine="420" w:firstLineChars="200"/>
        <w:rPr>
          <w:b/>
          <w:szCs w:val="21"/>
        </w:rPr>
      </w:pPr>
      <w:r>
        <w:rPr>
          <w:b/>
          <w:szCs w:val="21"/>
        </w:rPr>
        <w:t>11.1质量保修责任书</w:t>
      </w:r>
    </w:p>
    <w:p>
      <w:pPr>
        <w:spacing w:line="360" w:lineRule="auto"/>
        <w:ind w:firstLine="420" w:firstLineChars="200"/>
        <w:rPr>
          <w:szCs w:val="21"/>
        </w:rPr>
      </w:pPr>
      <w:r>
        <w:rPr>
          <w:szCs w:val="21"/>
        </w:rPr>
        <w:t>11.1.1质量保修责任书。按</w:t>
      </w:r>
      <w:r>
        <w:rPr>
          <w:rFonts w:hint="eastAsia"/>
          <w:szCs w:val="21"/>
        </w:rPr>
        <w:t>照相关</w:t>
      </w:r>
      <w:r>
        <w:rPr>
          <w:szCs w:val="21"/>
        </w:rPr>
        <w:t>法律规定</w:t>
      </w:r>
      <w:r>
        <w:rPr>
          <w:rFonts w:hint="eastAsia"/>
          <w:szCs w:val="21"/>
        </w:rPr>
        <w:t>签订质量保修责任书是竣工验收的条件之一。</w:t>
      </w:r>
      <w:r>
        <w:rPr>
          <w:szCs w:val="21"/>
        </w:rPr>
        <w:t>按法律</w:t>
      </w:r>
      <w:r>
        <w:rPr>
          <w:rFonts w:hint="eastAsia"/>
          <w:szCs w:val="21"/>
        </w:rPr>
        <w:t>、法规</w:t>
      </w:r>
      <w:r>
        <w:rPr>
          <w:szCs w:val="21"/>
        </w:rPr>
        <w:t>规定的保修内容</w:t>
      </w:r>
      <w:r>
        <w:rPr>
          <w:rFonts w:hint="eastAsia"/>
          <w:szCs w:val="21"/>
        </w:rPr>
        <w:t>、</w:t>
      </w:r>
      <w:r>
        <w:rPr>
          <w:szCs w:val="21"/>
        </w:rPr>
        <w:t>范围、期限</w:t>
      </w:r>
      <w:r>
        <w:rPr>
          <w:rFonts w:hint="eastAsia"/>
          <w:szCs w:val="21"/>
        </w:rPr>
        <w:t>和</w:t>
      </w:r>
      <w:r>
        <w:rPr>
          <w:szCs w:val="21"/>
        </w:rPr>
        <w:t>责任</w:t>
      </w:r>
      <w:r>
        <w:rPr>
          <w:rFonts w:hint="eastAsia"/>
          <w:szCs w:val="21"/>
        </w:rPr>
        <w:t>，</w:t>
      </w:r>
      <w:r>
        <w:rPr>
          <w:szCs w:val="21"/>
        </w:rPr>
        <w:t>签订质量保修责任书，作为</w:t>
      </w:r>
      <w:r>
        <w:rPr>
          <w:rFonts w:hint="eastAsia"/>
          <w:szCs w:val="21"/>
        </w:rPr>
        <w:t>本</w:t>
      </w:r>
      <w:r>
        <w:rPr>
          <w:szCs w:val="21"/>
        </w:rPr>
        <w:t>合同附件。</w:t>
      </w:r>
      <w:r>
        <w:rPr>
          <w:rFonts w:hint="eastAsia"/>
          <w:szCs w:val="21"/>
        </w:rPr>
        <w:t>9.2.1款接收证书中写明的</w:t>
      </w:r>
      <w:r>
        <w:rPr>
          <w:szCs w:val="21"/>
        </w:rPr>
        <w:t>单项工程或（和）工程的</w:t>
      </w:r>
      <w:r>
        <w:rPr>
          <w:rFonts w:hint="eastAsia"/>
          <w:szCs w:val="21"/>
        </w:rPr>
        <w:t>接收</w:t>
      </w:r>
      <w:r>
        <w:rPr>
          <w:szCs w:val="21"/>
        </w:rPr>
        <w:t>日期，</w:t>
      </w:r>
      <w:r>
        <w:rPr>
          <w:rFonts w:hint="eastAsia"/>
          <w:szCs w:val="21"/>
        </w:rPr>
        <w:t>或</w:t>
      </w:r>
      <w:r>
        <w:rPr>
          <w:szCs w:val="21"/>
        </w:rPr>
        <w:t>单项工程或（和）工程</w:t>
      </w:r>
      <w:r>
        <w:rPr>
          <w:rFonts w:hint="eastAsia"/>
          <w:szCs w:val="21"/>
        </w:rPr>
        <w:t>视为被接收的</w:t>
      </w:r>
      <w:r>
        <w:rPr>
          <w:szCs w:val="21"/>
        </w:rPr>
        <w:t>日期，是承包人保修责任开始的日期。</w:t>
      </w:r>
    </w:p>
    <w:p>
      <w:pPr>
        <w:spacing w:line="360" w:lineRule="auto"/>
        <w:ind w:firstLine="420" w:firstLineChars="200"/>
        <w:rPr>
          <w:szCs w:val="21"/>
        </w:rPr>
      </w:pPr>
      <w:r>
        <w:rPr>
          <w:szCs w:val="21"/>
        </w:rPr>
        <w:t>11.1.2承包人未能提交</w:t>
      </w:r>
      <w:r>
        <w:rPr>
          <w:rFonts w:hint="eastAsia"/>
          <w:szCs w:val="21"/>
        </w:rPr>
        <w:t>质量保修责任书、无正当理由不</w:t>
      </w:r>
      <w:r>
        <w:rPr>
          <w:szCs w:val="21"/>
        </w:rPr>
        <w:t>与发包人签订质量保修责任书，发包人</w:t>
      </w:r>
      <w:r>
        <w:rPr>
          <w:rFonts w:hint="eastAsia"/>
          <w:szCs w:val="21"/>
        </w:rPr>
        <w:t>可</w:t>
      </w:r>
      <w:r>
        <w:rPr>
          <w:szCs w:val="21"/>
        </w:rPr>
        <w:t>不与承包人办理竣工结算，不承担</w:t>
      </w:r>
      <w:r>
        <w:rPr>
          <w:rFonts w:hint="eastAsia"/>
          <w:szCs w:val="21"/>
        </w:rPr>
        <w:t>尚未</w:t>
      </w:r>
      <w:r>
        <w:rPr>
          <w:szCs w:val="21"/>
        </w:rPr>
        <w:t>支付</w:t>
      </w:r>
      <w:r>
        <w:rPr>
          <w:rFonts w:hint="eastAsia"/>
          <w:szCs w:val="21"/>
        </w:rPr>
        <w:t>的</w:t>
      </w:r>
      <w:r>
        <w:rPr>
          <w:szCs w:val="21"/>
        </w:rPr>
        <w:t>竣工结算款项的相应利息</w:t>
      </w:r>
      <w:r>
        <w:rPr>
          <w:rFonts w:hint="eastAsia"/>
          <w:szCs w:val="21"/>
        </w:rPr>
        <w:t>，尽管约定了延期支付利息。</w:t>
      </w:r>
    </w:p>
    <w:p>
      <w:pPr>
        <w:spacing w:line="360" w:lineRule="auto"/>
        <w:ind w:firstLine="420" w:firstLineChars="200"/>
        <w:rPr>
          <w:szCs w:val="21"/>
        </w:rPr>
      </w:pPr>
      <w:r>
        <w:rPr>
          <w:rFonts w:hint="eastAsia"/>
          <w:szCs w:val="21"/>
        </w:rPr>
        <w:t>当</w:t>
      </w:r>
      <w:r>
        <w:rPr>
          <w:szCs w:val="21"/>
        </w:rPr>
        <w:t>承包人提交了质量保修责任书，提请与发包人签订该责任书</w:t>
      </w:r>
      <w:r>
        <w:rPr>
          <w:rFonts w:hint="eastAsia"/>
          <w:szCs w:val="21"/>
        </w:rPr>
        <w:t>并在合同中约定了延期付款利息时</w:t>
      </w:r>
      <w:r>
        <w:rPr>
          <w:szCs w:val="21"/>
        </w:rPr>
        <w:t>，但因发包人原因未能及时签署质量保修责任书，发包</w:t>
      </w:r>
      <w:r>
        <w:rPr>
          <w:rFonts w:hint="eastAsia"/>
          <w:szCs w:val="21"/>
        </w:rPr>
        <w:t>人</w:t>
      </w:r>
      <w:r>
        <w:rPr>
          <w:szCs w:val="21"/>
        </w:rPr>
        <w:t>从接到该责任书的</w:t>
      </w:r>
      <w:r>
        <w:rPr>
          <w:rFonts w:hint="eastAsia"/>
          <w:szCs w:val="21"/>
        </w:rPr>
        <w:t>第</w:t>
      </w:r>
      <w:r>
        <w:rPr>
          <w:szCs w:val="21"/>
        </w:rPr>
        <w:t>11天起承担竣工结算延期支付的利息</w:t>
      </w:r>
      <w:r>
        <w:rPr>
          <w:rFonts w:hint="eastAsia"/>
          <w:szCs w:val="21"/>
        </w:rPr>
        <w:t>。</w:t>
      </w:r>
    </w:p>
    <w:p>
      <w:pPr>
        <w:spacing w:before="156" w:beforeLines="50" w:after="156" w:afterLines="50" w:line="360" w:lineRule="auto"/>
        <w:ind w:firstLine="420" w:firstLineChars="200"/>
        <w:rPr>
          <w:b/>
          <w:szCs w:val="21"/>
        </w:rPr>
      </w:pPr>
      <w:r>
        <w:rPr>
          <w:b/>
          <w:szCs w:val="21"/>
        </w:rPr>
        <w:t>11.2质量保修金额</w:t>
      </w:r>
    </w:p>
    <w:p>
      <w:pPr>
        <w:spacing w:line="360" w:lineRule="auto"/>
        <w:ind w:firstLine="420" w:firstLineChars="200"/>
        <w:rPr>
          <w:szCs w:val="21"/>
        </w:rPr>
      </w:pPr>
      <w:r>
        <w:rPr>
          <w:szCs w:val="21"/>
        </w:rPr>
        <w:t>11.2.1质量保修金额。质量保修金额</w:t>
      </w:r>
      <w:r>
        <w:rPr>
          <w:rFonts w:hint="eastAsia"/>
          <w:szCs w:val="21"/>
        </w:rPr>
        <w:t>在专用条款中约定</w:t>
      </w:r>
      <w:r>
        <w:rPr>
          <w:szCs w:val="21"/>
        </w:rPr>
        <w:t>。</w:t>
      </w:r>
    </w:p>
    <w:p>
      <w:pPr>
        <w:spacing w:line="360" w:lineRule="auto"/>
        <w:ind w:firstLine="420" w:firstLineChars="200"/>
        <w:rPr>
          <w:szCs w:val="21"/>
        </w:rPr>
      </w:pPr>
      <w:r>
        <w:rPr>
          <w:szCs w:val="21"/>
        </w:rPr>
        <w:t>11.2.2质量保修金额的暂扣。</w:t>
      </w:r>
      <w:r>
        <w:rPr>
          <w:rFonts w:hint="eastAsia"/>
          <w:szCs w:val="21"/>
        </w:rPr>
        <w:t>质量保修金额的暂扣方式，在专用条款中约定。</w:t>
      </w:r>
    </w:p>
    <w:p>
      <w:pPr>
        <w:spacing w:line="360" w:lineRule="auto"/>
        <w:ind w:firstLine="420" w:firstLineChars="200"/>
        <w:rPr>
          <w:szCs w:val="21"/>
        </w:rPr>
      </w:pPr>
      <w:r>
        <w:rPr>
          <w:szCs w:val="21"/>
        </w:rPr>
        <w:t>11.2.3质量保修金额的支付。发包人依据第14.5.2款质量保修金额支付</w:t>
      </w:r>
      <w:r>
        <w:rPr>
          <w:rFonts w:hint="eastAsia"/>
          <w:szCs w:val="21"/>
        </w:rPr>
        <w:t>的约定</w:t>
      </w:r>
      <w:r>
        <w:rPr>
          <w:szCs w:val="21"/>
        </w:rPr>
        <w:t>，支付被暂扣的质量保修金额。</w:t>
      </w:r>
    </w:p>
    <w:p>
      <w:pPr>
        <w:spacing w:before="156" w:beforeLines="50" w:after="156" w:afterLines="50" w:line="360" w:lineRule="auto"/>
        <w:ind w:firstLine="411" w:firstLineChars="196"/>
        <w:rPr>
          <w:b/>
          <w:szCs w:val="21"/>
        </w:rPr>
      </w:pPr>
      <w:r>
        <w:rPr>
          <w:rFonts w:hint="eastAsia"/>
          <w:b/>
          <w:szCs w:val="21"/>
        </w:rPr>
        <w:t>第</w:t>
      </w:r>
      <w:r>
        <w:rPr>
          <w:b/>
          <w:szCs w:val="21"/>
        </w:rPr>
        <w:t>12</w:t>
      </w:r>
      <w:r>
        <w:rPr>
          <w:rFonts w:hint="eastAsia"/>
          <w:b/>
          <w:szCs w:val="21"/>
        </w:rPr>
        <w:t>条工程竣工验收</w:t>
      </w:r>
    </w:p>
    <w:p>
      <w:pPr>
        <w:spacing w:before="156" w:beforeLines="50" w:after="156" w:afterLines="50" w:line="360" w:lineRule="auto"/>
        <w:ind w:firstLine="420" w:firstLineChars="200"/>
        <w:rPr>
          <w:b/>
          <w:szCs w:val="21"/>
        </w:rPr>
      </w:pPr>
      <w:r>
        <w:rPr>
          <w:b/>
          <w:szCs w:val="21"/>
        </w:rPr>
        <w:t>12.1</w:t>
      </w:r>
      <w:r>
        <w:rPr>
          <w:rFonts w:hint="eastAsia"/>
          <w:b/>
          <w:szCs w:val="21"/>
        </w:rPr>
        <w:t>竣工验收报告及完整的竣工资料</w:t>
      </w:r>
    </w:p>
    <w:p>
      <w:pPr>
        <w:spacing w:line="360" w:lineRule="auto"/>
        <w:ind w:firstLine="420" w:firstLineChars="200"/>
        <w:rPr>
          <w:szCs w:val="21"/>
        </w:rPr>
      </w:pPr>
      <w:r>
        <w:rPr>
          <w:szCs w:val="21"/>
        </w:rPr>
        <w:t>12.1.1</w:t>
      </w:r>
      <w:r>
        <w:rPr>
          <w:rFonts w:hint="eastAsia"/>
          <w:szCs w:val="21"/>
        </w:rPr>
        <w:t>工程符合9.1款工程接收的相关约定，和（或）已按10.7款的约定颁发了竣工后试验及考核验收证书，并完成了</w:t>
      </w:r>
      <w:r>
        <w:rPr>
          <w:szCs w:val="21"/>
        </w:rPr>
        <w:t>9.2.2</w:t>
      </w:r>
      <w:r>
        <w:rPr>
          <w:rFonts w:hint="eastAsia"/>
          <w:szCs w:val="21"/>
        </w:rPr>
        <w:t>款约定的扫尾工程和缺陷修复，经发包人或监理人验收后，承包人依据8.1.1款（1）、（2）、（3）项、8.2款竣工验收的检验与验收、10.3.3款第（4）项竣工后试验及其试运行考核结果等资料的基础上，提交完整的工程竣工资料。竣工验收报告和完整的竣工资料的格式、内容和份数在专用条款约定。</w:t>
      </w:r>
    </w:p>
    <w:p>
      <w:pPr>
        <w:spacing w:line="360" w:lineRule="auto"/>
        <w:ind w:firstLine="420" w:firstLineChars="200"/>
        <w:rPr>
          <w:szCs w:val="21"/>
        </w:rPr>
      </w:pPr>
      <w:r>
        <w:rPr>
          <w:rFonts w:hint="eastAsia"/>
          <w:szCs w:val="21"/>
        </w:rPr>
        <w:t>12.1.2发包人在接到竣工验收报告和完整的竣工资料后的</w:t>
      </w:r>
      <w:r>
        <w:rPr>
          <w:szCs w:val="21"/>
        </w:rPr>
        <w:t>25</w:t>
      </w:r>
      <w:r>
        <w:rPr>
          <w:rFonts w:hint="eastAsia"/>
          <w:szCs w:val="21"/>
        </w:rPr>
        <w:t>日内提出修改意见或确认，承包人自费修改。</w:t>
      </w:r>
      <w:r>
        <w:rPr>
          <w:szCs w:val="21"/>
        </w:rPr>
        <w:t>25</w:t>
      </w:r>
      <w:r>
        <w:rPr>
          <w:rFonts w:hint="eastAsia"/>
          <w:szCs w:val="21"/>
        </w:rPr>
        <w:t>日内发包人未提出修改意见，视为竣工资料或（和）竣工验收报告已被确认。</w:t>
      </w:r>
    </w:p>
    <w:p>
      <w:pPr>
        <w:spacing w:line="360" w:lineRule="auto"/>
        <w:ind w:firstLine="420" w:firstLineChars="200"/>
        <w:rPr>
          <w:szCs w:val="21"/>
        </w:rPr>
      </w:pPr>
      <w:r>
        <w:rPr>
          <w:rFonts w:hint="eastAsia"/>
          <w:szCs w:val="21"/>
        </w:rPr>
        <w:t>12.1.3分期建设、分期投产或分期使用的工程，按</w:t>
      </w:r>
      <w:r>
        <w:rPr>
          <w:szCs w:val="21"/>
        </w:rPr>
        <w:t>12.1.1</w:t>
      </w:r>
      <w:r>
        <w:rPr>
          <w:rFonts w:hint="eastAsia"/>
          <w:szCs w:val="21"/>
        </w:rPr>
        <w:t>款及12.1.2款的约定办理。</w:t>
      </w:r>
    </w:p>
    <w:p>
      <w:pPr>
        <w:spacing w:line="360" w:lineRule="auto"/>
        <w:ind w:firstLine="420" w:firstLineChars="200"/>
        <w:rPr>
          <w:szCs w:val="21"/>
        </w:rPr>
      </w:pPr>
      <w:r>
        <w:rPr>
          <w:rFonts w:hint="eastAsia"/>
          <w:szCs w:val="21"/>
        </w:rPr>
        <w:t>12.1.4专用条款关于竣工验收报告和竣工资料的其他约定。</w:t>
      </w:r>
    </w:p>
    <w:p>
      <w:pPr>
        <w:spacing w:before="156" w:beforeLines="50" w:after="156" w:afterLines="50" w:line="360" w:lineRule="auto"/>
        <w:ind w:firstLine="420" w:firstLineChars="200"/>
        <w:rPr>
          <w:b/>
          <w:szCs w:val="21"/>
        </w:rPr>
      </w:pPr>
      <w:r>
        <w:rPr>
          <w:b/>
          <w:szCs w:val="21"/>
        </w:rPr>
        <w:t>12.2</w:t>
      </w:r>
      <w:r>
        <w:rPr>
          <w:rFonts w:hint="eastAsia"/>
          <w:b/>
          <w:szCs w:val="21"/>
        </w:rPr>
        <w:t>竣工验收</w:t>
      </w:r>
    </w:p>
    <w:p>
      <w:pPr>
        <w:spacing w:line="360" w:lineRule="auto"/>
        <w:ind w:firstLine="420" w:firstLineChars="200"/>
        <w:rPr>
          <w:szCs w:val="21"/>
        </w:rPr>
      </w:pPr>
      <w:r>
        <w:rPr>
          <w:szCs w:val="21"/>
        </w:rPr>
        <w:t>12.2.1</w:t>
      </w:r>
      <w:r>
        <w:rPr>
          <w:rFonts w:hint="eastAsia"/>
          <w:szCs w:val="21"/>
        </w:rPr>
        <w:t>组织竣工验收。根据12.1.2款的约定，竣工验收报告和完整的竣工资料被确认后的30日内，组织竣工验收。</w:t>
      </w:r>
    </w:p>
    <w:p>
      <w:pPr>
        <w:spacing w:line="360" w:lineRule="auto"/>
        <w:ind w:firstLine="420" w:firstLineChars="200"/>
        <w:rPr>
          <w:szCs w:val="21"/>
        </w:rPr>
      </w:pPr>
      <w:r>
        <w:rPr>
          <w:szCs w:val="21"/>
        </w:rPr>
        <w:t>12.2.2</w:t>
      </w:r>
      <w:r>
        <w:rPr>
          <w:rFonts w:hint="eastAsia"/>
          <w:szCs w:val="21"/>
        </w:rPr>
        <w:t>延后组织的竣工验收。根据12.2.1款的约定，发包人在30日内未能组织竣工验收时，按照</w:t>
      </w:r>
      <w:r>
        <w:rPr>
          <w:szCs w:val="21"/>
        </w:rPr>
        <w:t>14.12.</w:t>
      </w:r>
      <w:r>
        <w:rPr>
          <w:rFonts w:hint="eastAsia"/>
          <w:szCs w:val="21"/>
        </w:rPr>
        <w:t>1至14.12.3款的约定，</w:t>
      </w:r>
      <w:r>
        <w:rPr>
          <w:szCs w:val="21"/>
        </w:rPr>
        <w:t>结清竣工结算的款项。</w:t>
      </w:r>
    </w:p>
    <w:p>
      <w:pPr>
        <w:spacing w:line="360" w:lineRule="auto"/>
        <w:ind w:firstLine="420" w:firstLineChars="200"/>
        <w:rPr>
          <w:szCs w:val="21"/>
        </w:rPr>
      </w:pPr>
      <w:r>
        <w:rPr>
          <w:rFonts w:hint="eastAsia"/>
          <w:szCs w:val="21"/>
        </w:rPr>
        <w:t>在12.2.1款约定的时间之后，发包人进行竣工验收时，承包人有义务参加。发包人在验收后的25日内，对承包人的竣工验收报告或竣工资料提出的进一步修改意见，承包人自费修改。</w:t>
      </w:r>
    </w:p>
    <w:p>
      <w:pPr>
        <w:spacing w:line="360" w:lineRule="auto"/>
        <w:ind w:firstLine="420" w:firstLineChars="200"/>
        <w:rPr>
          <w:szCs w:val="21"/>
        </w:rPr>
      </w:pPr>
      <w:r>
        <w:rPr>
          <w:szCs w:val="21"/>
        </w:rPr>
        <w:t>12.2.</w:t>
      </w:r>
      <w:r>
        <w:rPr>
          <w:rFonts w:hint="eastAsia"/>
          <w:szCs w:val="21"/>
        </w:rPr>
        <w:t>3分期建设、分期投产或分期使用的合同工程的竣工验收，按12.1.3款、12.2.1款的约定，分期组织竣工验收。</w:t>
      </w:r>
    </w:p>
    <w:p>
      <w:pPr>
        <w:spacing w:line="360" w:lineRule="auto"/>
        <w:ind w:firstLine="420" w:firstLineChars="200"/>
        <w:rPr>
          <w:szCs w:val="21"/>
        </w:rPr>
      </w:pPr>
      <w:r>
        <w:rPr>
          <w:rFonts w:hint="eastAsia"/>
          <w:szCs w:val="21"/>
        </w:rPr>
        <w:t>12.2.4专用条款关于竣工验收的约定。</w:t>
      </w:r>
    </w:p>
    <w:p>
      <w:pPr>
        <w:spacing w:line="360" w:lineRule="auto"/>
        <w:ind w:firstLine="420" w:firstLineChars="200"/>
        <w:rPr>
          <w:b/>
          <w:szCs w:val="21"/>
        </w:rPr>
      </w:pPr>
      <w:r>
        <w:rPr>
          <w:rFonts w:hint="eastAsia"/>
          <w:b/>
          <w:szCs w:val="21"/>
        </w:rPr>
        <w:t>12.3竣工档案的整理和移交</w:t>
      </w:r>
    </w:p>
    <w:p>
      <w:pPr>
        <w:spacing w:line="360" w:lineRule="auto"/>
        <w:ind w:firstLine="420" w:firstLineChars="200"/>
        <w:rPr>
          <w:szCs w:val="21"/>
        </w:rPr>
      </w:pPr>
      <w:r>
        <w:rPr>
          <w:rFonts w:hint="eastAsia"/>
          <w:szCs w:val="21"/>
        </w:rPr>
        <w:t>12.3.1承包人应按照国家《城市建设档案管理规定》和发包人有关整理工程档案的要求，在工程施工期间及时收集、汇总、整理、编制竣工档案，并于工程竣工验收后40日内按建设工程档案整理与移交办法向发包人完整移交如下竣工档案：</w:t>
      </w:r>
    </w:p>
    <w:p>
      <w:pPr>
        <w:spacing w:line="360" w:lineRule="auto"/>
        <w:ind w:firstLine="420" w:firstLineChars="200"/>
        <w:rPr>
          <w:szCs w:val="21"/>
        </w:rPr>
      </w:pPr>
      <w:r>
        <w:rPr>
          <w:rFonts w:hint="eastAsia"/>
          <w:szCs w:val="21"/>
        </w:rPr>
        <w:t>（1）竣工文件资料、竣工图档案（原件）各一式十六份；</w:t>
      </w:r>
    </w:p>
    <w:p>
      <w:pPr>
        <w:spacing w:line="360" w:lineRule="auto"/>
        <w:ind w:firstLine="420" w:firstLineChars="200"/>
        <w:rPr>
          <w:szCs w:val="21"/>
        </w:rPr>
      </w:pPr>
      <w:r>
        <w:rPr>
          <w:rFonts w:hint="eastAsia"/>
          <w:szCs w:val="21"/>
        </w:rPr>
        <w:t>（2）与本款（1）项内容相同的电子版档案一式五份；</w:t>
      </w:r>
    </w:p>
    <w:p>
      <w:pPr>
        <w:spacing w:line="360" w:lineRule="auto"/>
        <w:ind w:firstLine="420" w:firstLineChars="200"/>
        <w:rPr>
          <w:szCs w:val="21"/>
        </w:rPr>
      </w:pPr>
      <w:r>
        <w:rPr>
          <w:rFonts w:hint="eastAsia"/>
          <w:szCs w:val="21"/>
        </w:rPr>
        <w:t>（3）声像档案一式五份。</w:t>
      </w:r>
    </w:p>
    <w:p>
      <w:pPr>
        <w:spacing w:line="360" w:lineRule="auto"/>
        <w:ind w:firstLine="420" w:firstLineChars="200"/>
        <w:rPr>
          <w:szCs w:val="21"/>
        </w:rPr>
      </w:pPr>
      <w:r>
        <w:rPr>
          <w:rFonts w:hint="eastAsia"/>
          <w:szCs w:val="21"/>
        </w:rPr>
        <w:t>12.3.2承包人应于工程竣工验收后40天内将竣工档案提交发包人代表签认，发包人代表应在收到竣工档案后</w:t>
      </w:r>
      <w:r>
        <w:rPr>
          <w:szCs w:val="21"/>
        </w:rPr>
        <w:t>20</w:t>
      </w:r>
      <w:r>
        <w:rPr>
          <w:rFonts w:hint="eastAsia"/>
          <w:szCs w:val="21"/>
        </w:rPr>
        <w:t>天内签认。经发包人代表签认后，承包人应及时将竣工档案移交给发包人归档并同时移交有关归档的证明文件。发包人经审查合格的，应在收到竣工档案后</w:t>
      </w:r>
      <w:r>
        <w:rPr>
          <w:szCs w:val="21"/>
        </w:rPr>
        <w:t>10</w:t>
      </w:r>
      <w:r>
        <w:rPr>
          <w:rFonts w:hint="eastAsia"/>
          <w:szCs w:val="21"/>
        </w:rPr>
        <w:t>天内签署档案验收意见；不合格的，要求承包人限期补正，直至合格为止。</w:t>
      </w:r>
    </w:p>
    <w:p>
      <w:pPr>
        <w:spacing w:line="360" w:lineRule="auto"/>
        <w:ind w:firstLine="420" w:firstLineChars="200"/>
        <w:rPr>
          <w:szCs w:val="21"/>
        </w:rPr>
      </w:pPr>
      <w:r>
        <w:rPr>
          <w:rFonts w:hint="eastAsia"/>
          <w:szCs w:val="21"/>
        </w:rPr>
        <w:t>12.3.3电子版竣工图的编制，以发包人提供的电子版施工图为基础。承包人在移交竣工档案时，应一并移交发包人提供的电子版施工图。</w:t>
      </w:r>
    </w:p>
    <w:p>
      <w:pPr>
        <w:spacing w:line="360" w:lineRule="auto"/>
        <w:ind w:firstLine="420" w:firstLineChars="200"/>
        <w:rPr>
          <w:szCs w:val="21"/>
        </w:rPr>
      </w:pPr>
      <w:r>
        <w:rPr>
          <w:rFonts w:hint="eastAsia"/>
          <w:szCs w:val="21"/>
        </w:rPr>
        <w:t>电子版施工图和电子版竣工图的知识产权归属发包人所有，非经发包人许可，承包人不得以任何方式复制、备份、转让和利用。否则，由此引起的任何纠纷和责任由承包人承担。</w:t>
      </w:r>
    </w:p>
    <w:p>
      <w:pPr>
        <w:spacing w:line="360" w:lineRule="auto"/>
        <w:ind w:firstLine="420" w:firstLineChars="200"/>
        <w:rPr>
          <w:szCs w:val="21"/>
        </w:rPr>
      </w:pPr>
      <w:r>
        <w:rPr>
          <w:rFonts w:hint="eastAsia"/>
          <w:szCs w:val="21"/>
        </w:rPr>
        <w:t>12.3.4承包人应督促其工程分包单位及时做好竣工资料整理工作，于分包工程竣工验收后</w:t>
      </w:r>
      <w:r>
        <w:rPr>
          <w:szCs w:val="21"/>
        </w:rPr>
        <w:t>25</w:t>
      </w:r>
      <w:r>
        <w:rPr>
          <w:rFonts w:hint="eastAsia"/>
          <w:szCs w:val="21"/>
        </w:rPr>
        <w:t>天内将全部档案资料移交给承包人，由承包人汇总、归档，并在承包人移交竣工档案时一并移交给发包人。</w:t>
      </w:r>
    </w:p>
    <w:p>
      <w:pPr>
        <w:spacing w:line="360" w:lineRule="auto"/>
        <w:ind w:firstLine="420" w:firstLineChars="200"/>
        <w:rPr>
          <w:szCs w:val="21"/>
        </w:rPr>
      </w:pPr>
      <w:r>
        <w:rPr>
          <w:rFonts w:hint="eastAsia"/>
          <w:szCs w:val="21"/>
        </w:rPr>
        <w:t>12.3.5承包人违反本合同第12.3款的约定，应向发包人支付人民币10万元的违约金，如果发包人因此受到损失大于本款约定的违约金，有权要求承包人另行赔偿。</w:t>
      </w:r>
    </w:p>
    <w:p>
      <w:pPr>
        <w:spacing w:before="156" w:beforeLines="50" w:after="156" w:afterLines="50" w:line="360" w:lineRule="auto"/>
        <w:ind w:firstLine="411" w:firstLineChars="196"/>
        <w:rPr>
          <w:b/>
          <w:szCs w:val="21"/>
        </w:rPr>
      </w:pPr>
      <w:r>
        <w:rPr>
          <w:rFonts w:hint="eastAsia"/>
          <w:b/>
          <w:szCs w:val="21"/>
        </w:rPr>
        <w:t>第</w:t>
      </w:r>
      <w:r>
        <w:rPr>
          <w:b/>
          <w:szCs w:val="21"/>
        </w:rPr>
        <w:t>13</w:t>
      </w:r>
      <w:r>
        <w:rPr>
          <w:rFonts w:hint="eastAsia"/>
          <w:b/>
          <w:szCs w:val="21"/>
        </w:rPr>
        <w:t>条变更和合同价格调整</w:t>
      </w:r>
    </w:p>
    <w:p>
      <w:pPr>
        <w:spacing w:before="156" w:beforeLines="50" w:after="156" w:afterLines="50" w:line="360" w:lineRule="auto"/>
        <w:ind w:firstLine="420" w:firstLineChars="200"/>
        <w:rPr>
          <w:b/>
          <w:szCs w:val="21"/>
        </w:rPr>
      </w:pPr>
      <w:r>
        <w:rPr>
          <w:b/>
          <w:szCs w:val="21"/>
        </w:rPr>
        <w:t>13.1</w:t>
      </w:r>
      <w:r>
        <w:rPr>
          <w:rFonts w:hint="eastAsia"/>
          <w:b/>
          <w:szCs w:val="21"/>
        </w:rPr>
        <w:t>变更权</w:t>
      </w:r>
    </w:p>
    <w:p>
      <w:pPr>
        <w:spacing w:line="360" w:lineRule="auto"/>
        <w:ind w:firstLine="420" w:firstLineChars="200"/>
        <w:rPr>
          <w:szCs w:val="21"/>
        </w:rPr>
      </w:pPr>
      <w:r>
        <w:rPr>
          <w:szCs w:val="21"/>
        </w:rPr>
        <w:t>13.1.1</w:t>
      </w:r>
      <w:r>
        <w:rPr>
          <w:rFonts w:hint="eastAsia"/>
          <w:szCs w:val="21"/>
        </w:rPr>
        <w:t>变更权。发包人拥有批准变更的权限。自合同生效后至工程竣工验收前的任何时间内，发包人有权下达变更指令。变更指令以书面形式发出。</w:t>
      </w:r>
    </w:p>
    <w:p>
      <w:pPr>
        <w:spacing w:line="360" w:lineRule="auto"/>
        <w:ind w:firstLine="420" w:firstLineChars="200"/>
        <w:rPr>
          <w:szCs w:val="21"/>
        </w:rPr>
      </w:pPr>
      <w:r>
        <w:rPr>
          <w:rFonts w:hint="eastAsia"/>
          <w:szCs w:val="21"/>
        </w:rPr>
        <w:t>13.1.2变更。由发包人批准并发出的书面变更指令、口头变更指令，属于变更。包括：发包人直接下达的变更指令、或经发包人批准的由监理人下达的变更指令。</w:t>
      </w:r>
    </w:p>
    <w:p>
      <w:pPr>
        <w:spacing w:line="360" w:lineRule="auto"/>
        <w:ind w:firstLine="420" w:firstLineChars="200"/>
        <w:rPr>
          <w:szCs w:val="21"/>
        </w:rPr>
      </w:pPr>
      <w:r>
        <w:rPr>
          <w:rFonts w:hint="eastAsia"/>
          <w:szCs w:val="21"/>
        </w:rPr>
        <w:t>承包人对自身的设计、采购、施工、竣工验收、竣工后试验存在的缺陷，自费修正、调整和完善，不属于变更。</w:t>
      </w:r>
    </w:p>
    <w:p>
      <w:pPr>
        <w:spacing w:line="360" w:lineRule="auto"/>
        <w:ind w:firstLine="420" w:firstLineChars="200"/>
        <w:rPr>
          <w:szCs w:val="21"/>
        </w:rPr>
      </w:pPr>
      <w:r>
        <w:rPr>
          <w:rFonts w:hint="eastAsia"/>
          <w:szCs w:val="21"/>
        </w:rPr>
        <w:t>13.1.3变更建议权。发包人有权随时向承包人提交书面变更建议，包括：缩短工期，降低发包人的工程、施工、维护、营运的费用，提高竣工工程的效率或价值，给发包人带来的长远利益和其他利益。发包人接到此类建议后，发出：不采纳、采纳、补充进一步资料的书面通知。</w:t>
      </w:r>
    </w:p>
    <w:p>
      <w:pPr>
        <w:spacing w:before="156" w:beforeLines="50" w:after="156" w:afterLines="50" w:line="360" w:lineRule="auto"/>
        <w:ind w:firstLine="420" w:firstLineChars="200"/>
        <w:rPr>
          <w:b/>
          <w:szCs w:val="21"/>
        </w:rPr>
      </w:pPr>
      <w:r>
        <w:rPr>
          <w:rFonts w:hint="eastAsia"/>
          <w:b/>
          <w:szCs w:val="21"/>
        </w:rPr>
        <w:t>13</w:t>
      </w:r>
      <w:r>
        <w:rPr>
          <w:b/>
          <w:szCs w:val="21"/>
        </w:rPr>
        <w:t>.</w:t>
      </w:r>
      <w:r>
        <w:rPr>
          <w:rFonts w:hint="eastAsia"/>
          <w:b/>
          <w:szCs w:val="21"/>
        </w:rPr>
        <w:t>2  变更范围</w:t>
      </w:r>
    </w:p>
    <w:p>
      <w:pPr>
        <w:spacing w:line="360" w:lineRule="auto"/>
        <w:ind w:firstLine="420" w:firstLineChars="200"/>
        <w:rPr>
          <w:szCs w:val="21"/>
        </w:rPr>
      </w:pPr>
      <w:r>
        <w:rPr>
          <w:szCs w:val="21"/>
        </w:rPr>
        <w:t>13.2.</w:t>
      </w:r>
      <w:r>
        <w:rPr>
          <w:rFonts w:hint="eastAsia"/>
          <w:szCs w:val="21"/>
        </w:rPr>
        <w:t>1设计变更范围</w:t>
      </w:r>
    </w:p>
    <w:p>
      <w:pPr>
        <w:spacing w:line="360" w:lineRule="auto"/>
        <w:ind w:firstLine="420" w:firstLineChars="200"/>
        <w:rPr>
          <w:szCs w:val="21"/>
        </w:rPr>
      </w:pPr>
      <w:r>
        <w:rPr>
          <w:rFonts w:hint="eastAsia"/>
          <w:szCs w:val="21"/>
        </w:rPr>
        <w:t>（1）对生产工艺流程的调整，但未扩大或缩小初步设计批准的生产路线和规模、或未扩大或缩小合同约定的生产路线和规模；</w:t>
      </w:r>
    </w:p>
    <w:p>
      <w:pPr>
        <w:spacing w:line="360" w:lineRule="auto"/>
        <w:ind w:firstLine="420" w:firstLineChars="200"/>
        <w:rPr>
          <w:szCs w:val="21"/>
        </w:rPr>
      </w:pPr>
      <w:r>
        <w:rPr>
          <w:rFonts w:hint="eastAsia"/>
          <w:szCs w:val="21"/>
        </w:rPr>
        <w:t>（2）对平面布置、竖面布置、局部使用功能的调整，但未扩大初步设计批准的建筑规模，未改变初步设计批准的使用功能；或未扩大合同约定的建筑规模，未改变合同约定的使用功能；</w:t>
      </w:r>
    </w:p>
    <w:p>
      <w:pPr>
        <w:spacing w:line="360" w:lineRule="auto"/>
        <w:ind w:firstLine="420" w:firstLineChars="200"/>
        <w:rPr>
          <w:szCs w:val="21"/>
        </w:rPr>
      </w:pPr>
      <w:r>
        <w:rPr>
          <w:rFonts w:hint="eastAsia"/>
          <w:szCs w:val="21"/>
        </w:rPr>
        <w:t>（3）对配套工程系统的工艺调整、使用功能调整；</w:t>
      </w:r>
    </w:p>
    <w:p>
      <w:pPr>
        <w:spacing w:line="360" w:lineRule="auto"/>
        <w:ind w:firstLine="420" w:firstLineChars="200"/>
        <w:rPr>
          <w:szCs w:val="21"/>
        </w:rPr>
      </w:pPr>
      <w:r>
        <w:rPr>
          <w:rFonts w:hint="eastAsia"/>
          <w:szCs w:val="21"/>
        </w:rPr>
        <w:t>（4）对区域内基准控制点、基准标高和基准线的调整；</w:t>
      </w:r>
    </w:p>
    <w:p>
      <w:pPr>
        <w:spacing w:line="360" w:lineRule="auto"/>
        <w:ind w:firstLine="420" w:firstLineChars="200"/>
        <w:rPr>
          <w:szCs w:val="21"/>
        </w:rPr>
      </w:pPr>
      <w:r>
        <w:rPr>
          <w:rFonts w:hint="eastAsia"/>
          <w:szCs w:val="21"/>
        </w:rPr>
        <w:t>（5）对设备、材料、部件的性能、规格和数量的调整；</w:t>
      </w:r>
    </w:p>
    <w:p>
      <w:pPr>
        <w:spacing w:line="360" w:lineRule="auto"/>
        <w:ind w:firstLine="420" w:firstLineChars="200"/>
        <w:rPr>
          <w:szCs w:val="21"/>
        </w:rPr>
      </w:pPr>
      <w:r>
        <w:rPr>
          <w:rFonts w:hint="eastAsia"/>
          <w:szCs w:val="21"/>
        </w:rPr>
        <w:t>（6）因执行新颁布的法律、标准、规范引起的变更；</w:t>
      </w:r>
    </w:p>
    <w:p>
      <w:pPr>
        <w:spacing w:line="360" w:lineRule="auto"/>
        <w:ind w:firstLine="420" w:firstLineChars="200"/>
        <w:rPr>
          <w:szCs w:val="21"/>
        </w:rPr>
      </w:pPr>
      <w:r>
        <w:rPr>
          <w:rFonts w:hint="eastAsia"/>
          <w:szCs w:val="21"/>
        </w:rPr>
        <w:t>（7）其他超出合同约定的设计事项；</w:t>
      </w:r>
    </w:p>
    <w:p>
      <w:pPr>
        <w:spacing w:line="360" w:lineRule="auto"/>
        <w:ind w:firstLine="420" w:firstLineChars="200"/>
        <w:rPr>
          <w:szCs w:val="21"/>
        </w:rPr>
      </w:pPr>
      <w:r>
        <w:rPr>
          <w:rFonts w:hint="eastAsia"/>
          <w:szCs w:val="21"/>
        </w:rPr>
        <w:t>（8）上述变更所需的附加工作。</w:t>
      </w:r>
    </w:p>
    <w:p>
      <w:pPr>
        <w:spacing w:line="360" w:lineRule="auto"/>
        <w:ind w:firstLine="420" w:firstLineChars="200"/>
        <w:rPr>
          <w:szCs w:val="21"/>
        </w:rPr>
      </w:pPr>
      <w:r>
        <w:rPr>
          <w:rFonts w:hint="eastAsia"/>
          <w:szCs w:val="21"/>
        </w:rPr>
        <w:t>13.2.2采购变更范围</w:t>
      </w:r>
    </w:p>
    <w:p>
      <w:pPr>
        <w:spacing w:line="360" w:lineRule="auto"/>
        <w:ind w:firstLine="420" w:firstLineChars="200"/>
        <w:rPr>
          <w:szCs w:val="21"/>
        </w:rPr>
      </w:pPr>
      <w:r>
        <w:rPr>
          <w:rFonts w:hint="eastAsia"/>
          <w:szCs w:val="21"/>
        </w:rPr>
        <w:t>（1）承包人已按发包人批准的名单，与相关供货商签订采购合同或已开始加工制造、供货、运输等，发包人通知承包人选择该名单中的另一家供货商；</w:t>
      </w:r>
    </w:p>
    <w:p>
      <w:pPr>
        <w:spacing w:line="360" w:lineRule="auto"/>
        <w:ind w:firstLine="420" w:firstLineChars="200"/>
        <w:rPr>
          <w:szCs w:val="21"/>
        </w:rPr>
      </w:pPr>
      <w:r>
        <w:rPr>
          <w:rFonts w:hint="eastAsia"/>
          <w:szCs w:val="21"/>
        </w:rPr>
        <w:t>（2）因执行新颁布的法律、标准、规范引起的变更；</w:t>
      </w:r>
    </w:p>
    <w:p>
      <w:pPr>
        <w:spacing w:line="360" w:lineRule="auto"/>
        <w:ind w:firstLine="420" w:firstLineChars="200"/>
        <w:rPr>
          <w:szCs w:val="21"/>
        </w:rPr>
      </w:pPr>
      <w:r>
        <w:rPr>
          <w:rFonts w:hint="eastAsia"/>
          <w:szCs w:val="21"/>
        </w:rPr>
        <w:t>（3）发包人要求改变检查、检验、检测、试验的地点和增加的附加试验；</w:t>
      </w:r>
    </w:p>
    <w:p>
      <w:pPr>
        <w:spacing w:line="360" w:lineRule="auto"/>
        <w:ind w:firstLine="420" w:firstLineChars="200"/>
        <w:rPr>
          <w:szCs w:val="21"/>
        </w:rPr>
      </w:pPr>
      <w:r>
        <w:rPr>
          <w:rFonts w:hint="eastAsia"/>
          <w:szCs w:val="21"/>
        </w:rPr>
        <w:t>（4）发包人要求增减合同中约定的备品备件、专用工具、竣工后试验物资的采购数量。</w:t>
      </w:r>
    </w:p>
    <w:p>
      <w:pPr>
        <w:spacing w:line="360" w:lineRule="auto"/>
        <w:ind w:firstLine="420" w:firstLineChars="200"/>
        <w:rPr>
          <w:szCs w:val="21"/>
        </w:rPr>
      </w:pPr>
      <w:r>
        <w:rPr>
          <w:szCs w:val="21"/>
        </w:rPr>
        <w:t>13.2.</w:t>
      </w:r>
      <w:r>
        <w:rPr>
          <w:rFonts w:hint="eastAsia"/>
          <w:szCs w:val="21"/>
        </w:rPr>
        <w:t>3施工变更范围</w:t>
      </w:r>
    </w:p>
    <w:p>
      <w:pPr>
        <w:spacing w:line="360" w:lineRule="auto"/>
        <w:ind w:firstLine="420" w:firstLineChars="200"/>
        <w:rPr>
          <w:szCs w:val="21"/>
        </w:rPr>
      </w:pPr>
      <w:r>
        <w:rPr>
          <w:rFonts w:hint="eastAsia"/>
          <w:szCs w:val="21"/>
        </w:rPr>
        <w:t>（1）根据13</w:t>
      </w:r>
      <w:r>
        <w:rPr>
          <w:szCs w:val="21"/>
        </w:rPr>
        <w:t>.2.</w:t>
      </w:r>
      <w:r>
        <w:rPr>
          <w:rFonts w:hint="eastAsia"/>
          <w:szCs w:val="21"/>
        </w:rPr>
        <w:t>1款的设计变更，造成施工方法改变、设备、材料、部件和工程量的增减；</w:t>
      </w:r>
    </w:p>
    <w:p>
      <w:pPr>
        <w:spacing w:line="360" w:lineRule="auto"/>
        <w:ind w:firstLine="420" w:firstLineChars="200"/>
        <w:rPr>
          <w:szCs w:val="21"/>
        </w:rPr>
      </w:pPr>
      <w:r>
        <w:rPr>
          <w:rFonts w:hint="eastAsia"/>
          <w:szCs w:val="21"/>
        </w:rPr>
        <w:t>（2）发包人要求增加的附加试验、改变试验地点；</w:t>
      </w:r>
    </w:p>
    <w:p>
      <w:pPr>
        <w:spacing w:line="360" w:lineRule="auto"/>
        <w:ind w:firstLine="420" w:firstLineChars="200"/>
        <w:rPr>
          <w:szCs w:val="21"/>
        </w:rPr>
      </w:pPr>
      <w:r>
        <w:rPr>
          <w:rFonts w:hint="eastAsia"/>
          <w:szCs w:val="21"/>
        </w:rPr>
        <w:t>（3）根据</w:t>
      </w:r>
      <w:r>
        <w:rPr>
          <w:szCs w:val="21"/>
        </w:rPr>
        <w:t>5.</w:t>
      </w:r>
      <w:r>
        <w:rPr>
          <w:rFonts w:hint="eastAsia"/>
          <w:szCs w:val="21"/>
        </w:rPr>
        <w:t>2</w:t>
      </w:r>
      <w:r>
        <w:rPr>
          <w:szCs w:val="21"/>
        </w:rPr>
        <w:t>.1</w:t>
      </w:r>
      <w:r>
        <w:rPr>
          <w:rFonts w:hint="eastAsia"/>
          <w:szCs w:val="21"/>
        </w:rPr>
        <w:t>款第（</w:t>
      </w:r>
      <w:r>
        <w:rPr>
          <w:szCs w:val="21"/>
        </w:rPr>
        <w:t>1</w:t>
      </w:r>
      <w:r>
        <w:rPr>
          <w:rFonts w:hint="eastAsia"/>
          <w:szCs w:val="21"/>
        </w:rPr>
        <w:t>）项、第（</w:t>
      </w:r>
      <w:r>
        <w:rPr>
          <w:szCs w:val="21"/>
        </w:rPr>
        <w:t>2</w:t>
      </w:r>
      <w:r>
        <w:rPr>
          <w:rFonts w:hint="eastAsia"/>
          <w:szCs w:val="21"/>
        </w:rPr>
        <w:t>）项之外，新增加的施工障碍；</w:t>
      </w:r>
    </w:p>
    <w:p>
      <w:pPr>
        <w:spacing w:line="360" w:lineRule="auto"/>
        <w:ind w:firstLine="420" w:firstLineChars="200"/>
        <w:rPr>
          <w:szCs w:val="21"/>
        </w:rPr>
      </w:pPr>
      <w:r>
        <w:rPr>
          <w:rFonts w:hint="eastAsia"/>
          <w:szCs w:val="21"/>
        </w:rPr>
        <w:t>（4）发包人对竣工验收经验收或市委验收合格的项目，通知重新进行竣工验收；</w:t>
      </w:r>
    </w:p>
    <w:p>
      <w:pPr>
        <w:spacing w:line="360" w:lineRule="auto"/>
        <w:ind w:firstLine="420" w:firstLineChars="200"/>
        <w:rPr>
          <w:szCs w:val="21"/>
        </w:rPr>
      </w:pPr>
      <w:r>
        <w:rPr>
          <w:rFonts w:hint="eastAsia"/>
          <w:szCs w:val="21"/>
        </w:rPr>
        <w:t>（5）因执行新颁布的法律、标准、规范引起的变更。</w:t>
      </w:r>
    </w:p>
    <w:p>
      <w:pPr>
        <w:spacing w:line="360" w:lineRule="auto"/>
        <w:ind w:firstLine="420" w:firstLineChars="200"/>
        <w:rPr>
          <w:szCs w:val="21"/>
        </w:rPr>
      </w:pPr>
      <w:r>
        <w:rPr>
          <w:rFonts w:hint="eastAsia"/>
          <w:szCs w:val="21"/>
        </w:rPr>
        <w:t>（6）上述变更所需的附加工作。</w:t>
      </w:r>
    </w:p>
    <w:p>
      <w:pPr>
        <w:spacing w:line="360" w:lineRule="auto"/>
        <w:ind w:firstLine="420" w:firstLineChars="200"/>
        <w:rPr>
          <w:szCs w:val="21"/>
        </w:rPr>
      </w:pPr>
      <w:r>
        <w:rPr>
          <w:rFonts w:hint="eastAsia"/>
          <w:szCs w:val="21"/>
        </w:rPr>
        <w:t>13.2.4发包人的赶工指令。承包人接受了发包人的书面指示，以发包人认为必要的方式加快设计、施工或其他任何部分的进度时，承包人为实施该赶工指令需对项目进度计划进行调整，并对所增加的措施和资源提出估算，经发包人批准后，作为一项变更。当发包人未能批准此项变更，承包人有权按合同约定的相关阶段的进度计划执行。</w:t>
      </w:r>
    </w:p>
    <w:p>
      <w:pPr>
        <w:spacing w:line="360" w:lineRule="auto"/>
        <w:ind w:firstLine="420" w:firstLineChars="200"/>
        <w:rPr>
          <w:szCs w:val="21"/>
        </w:rPr>
      </w:pPr>
      <w:r>
        <w:rPr>
          <w:rFonts w:hint="eastAsia"/>
          <w:szCs w:val="21"/>
        </w:rPr>
        <w:t>因承包人原因，实际进度明显落后于经上述批准的项目进度计划时，按4.1.2款的约定，承包人自费赶上；竣工日期延误时，按4.5款的约定，承担误期赔偿。</w:t>
      </w:r>
    </w:p>
    <w:p>
      <w:pPr>
        <w:spacing w:line="360" w:lineRule="auto"/>
        <w:ind w:firstLine="420" w:firstLineChars="200"/>
        <w:rPr>
          <w:szCs w:val="21"/>
        </w:rPr>
      </w:pPr>
      <w:r>
        <w:rPr>
          <w:szCs w:val="21"/>
        </w:rPr>
        <w:t>13.2.</w:t>
      </w:r>
      <w:r>
        <w:rPr>
          <w:rFonts w:hint="eastAsia"/>
          <w:szCs w:val="21"/>
        </w:rPr>
        <w:t>5调减部分工程。按4.6.4款承包人复工要求的约定，发包人的暂停超过</w:t>
      </w:r>
      <w:r>
        <w:rPr>
          <w:szCs w:val="21"/>
        </w:rPr>
        <w:t>4</w:t>
      </w:r>
      <w:r>
        <w:rPr>
          <w:rFonts w:hint="eastAsia"/>
          <w:szCs w:val="21"/>
        </w:rPr>
        <w:t>5天，承包人请求复工时仍不能复工或因不可抗力持续而无法继续施工，应一方要求，以变更方式调减受暂停影响的部分工程。</w:t>
      </w:r>
    </w:p>
    <w:p>
      <w:pPr>
        <w:spacing w:line="360" w:lineRule="auto"/>
        <w:ind w:firstLine="420" w:firstLineChars="200"/>
        <w:rPr>
          <w:szCs w:val="21"/>
        </w:rPr>
      </w:pPr>
      <w:r>
        <w:rPr>
          <w:rFonts w:hint="eastAsia"/>
          <w:szCs w:val="21"/>
        </w:rPr>
        <w:t>13.2.6其他变更。根据工程的具体特点，在专用条款中约定。</w:t>
      </w:r>
    </w:p>
    <w:p>
      <w:pPr>
        <w:spacing w:before="156" w:beforeLines="50" w:after="156" w:afterLines="50" w:line="360" w:lineRule="auto"/>
        <w:ind w:firstLine="420" w:firstLineChars="200"/>
        <w:rPr>
          <w:b/>
          <w:szCs w:val="21"/>
        </w:rPr>
      </w:pPr>
      <w:r>
        <w:rPr>
          <w:b/>
          <w:szCs w:val="21"/>
        </w:rPr>
        <w:t>13.3</w:t>
      </w:r>
      <w:r>
        <w:rPr>
          <w:rFonts w:hint="eastAsia"/>
          <w:b/>
          <w:szCs w:val="21"/>
        </w:rPr>
        <w:t>变更程序</w:t>
      </w:r>
    </w:p>
    <w:p>
      <w:pPr>
        <w:spacing w:line="360" w:lineRule="auto"/>
        <w:ind w:firstLine="420" w:firstLineChars="200"/>
        <w:rPr>
          <w:szCs w:val="21"/>
        </w:rPr>
      </w:pPr>
      <w:r>
        <w:rPr>
          <w:szCs w:val="21"/>
        </w:rPr>
        <w:t>13.3.1</w:t>
      </w:r>
      <w:r>
        <w:rPr>
          <w:rFonts w:hint="eastAsia"/>
          <w:szCs w:val="21"/>
        </w:rPr>
        <w:t>变更通知。为避免变更对工程的功能或使用功能等产生不利后果，发包人的变更事先以书面形式向承包人发出通知。</w:t>
      </w:r>
    </w:p>
    <w:p>
      <w:pPr>
        <w:spacing w:line="360" w:lineRule="auto"/>
        <w:ind w:firstLine="420" w:firstLineChars="200"/>
        <w:rPr>
          <w:szCs w:val="21"/>
        </w:rPr>
      </w:pPr>
      <w:r>
        <w:rPr>
          <w:szCs w:val="21"/>
        </w:rPr>
        <w:t>13.3.2</w:t>
      </w:r>
      <w:r>
        <w:rPr>
          <w:rFonts w:hint="eastAsia"/>
          <w:szCs w:val="21"/>
        </w:rPr>
        <w:t>变更通知的建议报告。承包人接到发包人的变更通知后，有义务在10日内向发包人提交书面建议报告，包括：</w:t>
      </w:r>
    </w:p>
    <w:p>
      <w:pPr>
        <w:spacing w:line="360" w:lineRule="auto"/>
        <w:ind w:firstLine="420" w:firstLineChars="200"/>
        <w:rPr>
          <w:szCs w:val="21"/>
        </w:rPr>
      </w:pPr>
      <w:r>
        <w:rPr>
          <w:rFonts w:hint="eastAsia"/>
          <w:szCs w:val="21"/>
        </w:rPr>
        <w:t>（1）接受发包人变更通知中的此项变更时，建议报告中包括：支持此项变更的理由、实施此项变更的工作内容、设备、材料、人力、机具等资源消耗的估算。此项变更引起竣工日期延长时，在报告中说明理由，并提交进度计划。</w:t>
      </w:r>
    </w:p>
    <w:p>
      <w:pPr>
        <w:spacing w:line="360" w:lineRule="auto"/>
        <w:ind w:firstLine="420" w:firstLineChars="200"/>
        <w:rPr>
          <w:szCs w:val="21"/>
        </w:rPr>
      </w:pPr>
      <w:r>
        <w:rPr>
          <w:rFonts w:hint="eastAsia"/>
          <w:szCs w:val="21"/>
        </w:rPr>
        <w:t>承包人未提交增加费用的估算及竣工日期延长，视为该项变更不涉及合同价格调整和竣工日期延长，发包人不再承担此项变更的任何费用及竣工日期延长的责任。</w:t>
      </w:r>
    </w:p>
    <w:p>
      <w:pPr>
        <w:spacing w:line="360" w:lineRule="auto"/>
        <w:ind w:firstLine="420" w:firstLineChars="200"/>
        <w:rPr>
          <w:szCs w:val="21"/>
        </w:rPr>
      </w:pPr>
      <w:r>
        <w:rPr>
          <w:rFonts w:hint="eastAsia"/>
          <w:szCs w:val="21"/>
        </w:rPr>
        <w:t>（2）不接受发包人变更通知中的此项变更时，建议报告中包括不支持此项变更的理由，理由包括：</w:t>
      </w:r>
    </w:p>
    <w:p>
      <w:pPr>
        <w:spacing w:line="360" w:lineRule="auto"/>
        <w:ind w:firstLine="420" w:firstLineChars="200"/>
        <w:rPr>
          <w:szCs w:val="21"/>
        </w:rPr>
      </w:pPr>
      <w:r>
        <w:rPr>
          <w:rFonts w:hint="eastAsia"/>
          <w:szCs w:val="21"/>
        </w:rPr>
        <w:t>1）此变更不符合法律、法规等有关规定；</w:t>
      </w:r>
    </w:p>
    <w:p>
      <w:pPr>
        <w:spacing w:line="360" w:lineRule="auto"/>
        <w:ind w:firstLine="420" w:firstLineChars="200"/>
        <w:rPr>
          <w:szCs w:val="21"/>
        </w:rPr>
      </w:pPr>
      <w:r>
        <w:rPr>
          <w:rFonts w:hint="eastAsia"/>
          <w:szCs w:val="21"/>
        </w:rPr>
        <w:t>2）或承包人难以取得变更所需的特殊设备、材料、部件；</w:t>
      </w:r>
    </w:p>
    <w:p>
      <w:pPr>
        <w:spacing w:line="360" w:lineRule="auto"/>
        <w:ind w:firstLine="420" w:firstLineChars="200"/>
        <w:rPr>
          <w:szCs w:val="21"/>
        </w:rPr>
      </w:pPr>
      <w:r>
        <w:rPr>
          <w:rFonts w:hint="eastAsia"/>
          <w:szCs w:val="21"/>
        </w:rPr>
        <w:t>3）或变更将降低工程的安全性、稳定性、适用性；</w:t>
      </w:r>
    </w:p>
    <w:p>
      <w:pPr>
        <w:spacing w:line="360" w:lineRule="auto"/>
        <w:ind w:firstLine="420" w:firstLineChars="200"/>
        <w:rPr>
          <w:szCs w:val="21"/>
        </w:rPr>
      </w:pPr>
      <w:r>
        <w:rPr>
          <w:rFonts w:hint="eastAsia"/>
          <w:szCs w:val="21"/>
        </w:rPr>
        <w:t>4）或对生产性能保证值、使用功能保证的实现产生不利影响等。</w:t>
      </w:r>
    </w:p>
    <w:p>
      <w:pPr>
        <w:spacing w:line="360" w:lineRule="auto"/>
        <w:ind w:firstLine="420" w:firstLineChars="200"/>
        <w:rPr>
          <w:szCs w:val="21"/>
        </w:rPr>
      </w:pPr>
      <w:r>
        <w:rPr>
          <w:szCs w:val="21"/>
        </w:rPr>
        <w:t>13.3.3</w:t>
      </w:r>
      <w:r>
        <w:rPr>
          <w:rFonts w:hint="eastAsia"/>
          <w:szCs w:val="21"/>
        </w:rPr>
        <w:t>发包人的审查和批准。发包人接到承包人根据13.3.2款约定提交的书面建议报告后，在</w:t>
      </w:r>
      <w:r>
        <w:rPr>
          <w:szCs w:val="21"/>
        </w:rPr>
        <w:t>10</w:t>
      </w:r>
      <w:r>
        <w:rPr>
          <w:rFonts w:hint="eastAsia"/>
          <w:szCs w:val="21"/>
        </w:rPr>
        <w:t>日内对此项建议给予审查，并发出批准、撤销、改变、提出进一步要求的书面通知。承包人在等待发包人回复的时间内，不能停止或延误任何工作。</w:t>
      </w:r>
    </w:p>
    <w:p>
      <w:pPr>
        <w:spacing w:line="360" w:lineRule="auto"/>
        <w:ind w:firstLine="420" w:firstLineChars="200"/>
        <w:rPr>
          <w:szCs w:val="21"/>
        </w:rPr>
      </w:pPr>
      <w:r>
        <w:rPr>
          <w:rFonts w:hint="eastAsia"/>
          <w:szCs w:val="21"/>
        </w:rPr>
        <w:t>（</w:t>
      </w:r>
      <w:r>
        <w:rPr>
          <w:szCs w:val="21"/>
        </w:rPr>
        <w:t>1</w:t>
      </w:r>
      <w:r>
        <w:rPr>
          <w:rFonts w:hint="eastAsia"/>
          <w:szCs w:val="21"/>
        </w:rPr>
        <w:t>）发包人接到承包人根据13.3.2款第（1）项的约定提交的建议报告后，对其理由、估算、或（和）竣工日期延长进行审查批准后，以书面形式下达变更指令。</w:t>
      </w:r>
    </w:p>
    <w:p>
      <w:pPr>
        <w:spacing w:line="360" w:lineRule="auto"/>
        <w:ind w:firstLine="420" w:firstLineChars="200"/>
        <w:rPr>
          <w:szCs w:val="21"/>
        </w:rPr>
      </w:pPr>
      <w:r>
        <w:rPr>
          <w:rFonts w:hint="eastAsia"/>
          <w:szCs w:val="21"/>
        </w:rPr>
        <w:t>发包人在下达的变更指令中，未能确认承包人对此项变更提出的估算或（和）竣工日期延长，自发包人接到此项书面建议报告后的第</w:t>
      </w:r>
      <w:r>
        <w:rPr>
          <w:szCs w:val="21"/>
        </w:rPr>
        <w:t>1</w:t>
      </w:r>
      <w:r>
        <w:rPr>
          <w:rFonts w:hint="eastAsia"/>
          <w:szCs w:val="21"/>
        </w:rPr>
        <w:t>1日开始，视为承包人提交的变更估算、或（和）竣工日期延长，已被发包人批准。</w:t>
      </w:r>
    </w:p>
    <w:p>
      <w:pPr>
        <w:spacing w:line="360" w:lineRule="auto"/>
        <w:ind w:firstLine="420" w:firstLineChars="200"/>
        <w:rPr>
          <w:szCs w:val="21"/>
        </w:rPr>
      </w:pPr>
      <w:r>
        <w:rPr>
          <w:rFonts w:hint="eastAsia"/>
          <w:szCs w:val="21"/>
        </w:rPr>
        <w:t>（2）发包人对承包人根据13.3.2款第（2）项提交的不接受此项变更的理由经发包人审查后，发出的撤销、改变、提出进一步补充资料的书面通知，承包人予以执行。</w:t>
      </w:r>
    </w:p>
    <w:p>
      <w:pPr>
        <w:spacing w:line="360" w:lineRule="auto"/>
        <w:ind w:firstLine="420" w:firstLineChars="200"/>
        <w:rPr>
          <w:szCs w:val="21"/>
        </w:rPr>
      </w:pPr>
      <w:r>
        <w:rPr>
          <w:rFonts w:hint="eastAsia"/>
          <w:szCs w:val="21"/>
        </w:rPr>
        <w:t>13.3.4承包人根据13.1.3 款的约定提交变更建议书的，其变更程序按照本变更程序的约定办理。</w:t>
      </w:r>
    </w:p>
    <w:p>
      <w:pPr>
        <w:spacing w:before="156" w:beforeLines="50" w:after="156" w:afterLines="50" w:line="360" w:lineRule="auto"/>
        <w:ind w:firstLine="420" w:firstLineChars="200"/>
        <w:rPr>
          <w:b/>
          <w:szCs w:val="21"/>
        </w:rPr>
      </w:pPr>
      <w:r>
        <w:rPr>
          <w:rFonts w:hint="eastAsia"/>
          <w:b/>
          <w:szCs w:val="21"/>
        </w:rPr>
        <w:t>13.4  紧急性变更程序</w:t>
      </w:r>
    </w:p>
    <w:p>
      <w:pPr>
        <w:spacing w:line="360" w:lineRule="auto"/>
        <w:ind w:firstLine="420" w:firstLineChars="200"/>
        <w:rPr>
          <w:szCs w:val="21"/>
        </w:rPr>
      </w:pPr>
      <w:r>
        <w:rPr>
          <w:rFonts w:hint="eastAsia"/>
          <w:szCs w:val="21"/>
        </w:rPr>
        <w:t>13.4.1发包人有权以书面形式或口头形式发出紧急性变更指令，责令承包人立即执行此项变更。承包人接到此类指令后，立即执行。</w:t>
      </w:r>
    </w:p>
    <w:p>
      <w:pPr>
        <w:spacing w:line="360" w:lineRule="auto"/>
        <w:ind w:firstLine="420" w:firstLineChars="200"/>
        <w:rPr>
          <w:szCs w:val="21"/>
        </w:rPr>
      </w:pPr>
      <w:r>
        <w:rPr>
          <w:rFonts w:hint="eastAsia"/>
          <w:szCs w:val="21"/>
        </w:rPr>
        <w:t>13.4.2承包人在紧急性变更指令执行完成后的10日内，向发包人提交实施此项变更的工作内容，以及设备、材料、人力、机具等资源实际消耗的费用及相关取费。因执行此项变更造成工程关键路径延误时，提出竣工日期延长，说明理由，并提交进度计划。</w:t>
      </w:r>
    </w:p>
    <w:p>
      <w:pPr>
        <w:spacing w:line="360" w:lineRule="auto"/>
        <w:ind w:firstLine="420" w:firstLineChars="200"/>
        <w:rPr>
          <w:szCs w:val="21"/>
        </w:rPr>
      </w:pPr>
      <w:r>
        <w:rPr>
          <w:rFonts w:hint="eastAsia"/>
          <w:szCs w:val="21"/>
        </w:rPr>
        <w:t>承包人未能在此项变更完成后的10日内提交实际消耗的费用及相关取费、或（和）延长竣工日期的书面资料，视为该项变更不涉及合同价格调整和竣工日期延长，发包人不再承担此项变更的任何责任。</w:t>
      </w:r>
    </w:p>
    <w:p>
      <w:pPr>
        <w:spacing w:line="360" w:lineRule="auto"/>
        <w:ind w:firstLine="420" w:firstLineChars="200"/>
        <w:rPr>
          <w:szCs w:val="21"/>
        </w:rPr>
      </w:pPr>
      <w:r>
        <w:rPr>
          <w:rFonts w:hint="eastAsia"/>
          <w:szCs w:val="21"/>
        </w:rPr>
        <w:t>13.4.3发包人在接到承包人根据13.4.2款提交的书面资料后的10日内，以书面形式通知承包人被批准的合理费用，或（和）给予竣工日期的合理延长。</w:t>
      </w:r>
    </w:p>
    <w:p>
      <w:pPr>
        <w:spacing w:line="360" w:lineRule="auto"/>
        <w:ind w:firstLine="420" w:firstLineChars="200"/>
        <w:rPr>
          <w:szCs w:val="21"/>
        </w:rPr>
      </w:pPr>
      <w:r>
        <w:rPr>
          <w:rFonts w:hint="eastAsia"/>
          <w:szCs w:val="21"/>
        </w:rPr>
        <w:t>发包人在接到承包人的此项书面报告后的</w:t>
      </w:r>
      <w:r>
        <w:rPr>
          <w:szCs w:val="21"/>
        </w:rPr>
        <w:t>10</w:t>
      </w:r>
      <w:r>
        <w:rPr>
          <w:rFonts w:hint="eastAsia"/>
          <w:szCs w:val="21"/>
        </w:rPr>
        <w:t>日内，未能批准承包人的费用或（和）竣工日期延长，自接到该报告的第</w:t>
      </w:r>
      <w:r>
        <w:rPr>
          <w:szCs w:val="21"/>
        </w:rPr>
        <w:t xml:space="preserve">11 </w:t>
      </w:r>
      <w:r>
        <w:rPr>
          <w:rFonts w:hint="eastAsia"/>
          <w:szCs w:val="21"/>
        </w:rPr>
        <w:t>日后，视为承包人提交的费用、或（和）竣工日期延长已被发包人批准。</w:t>
      </w:r>
    </w:p>
    <w:p>
      <w:pPr>
        <w:spacing w:before="156" w:beforeLines="50" w:after="156" w:afterLines="50" w:line="360" w:lineRule="auto"/>
        <w:ind w:firstLine="420" w:firstLineChars="200"/>
        <w:rPr>
          <w:b/>
          <w:szCs w:val="21"/>
        </w:rPr>
      </w:pPr>
      <w:r>
        <w:rPr>
          <w:rFonts w:hint="eastAsia"/>
          <w:b/>
          <w:szCs w:val="21"/>
        </w:rPr>
        <w:t>13.5  变更价款确定</w:t>
      </w:r>
    </w:p>
    <w:p>
      <w:pPr>
        <w:spacing w:before="156" w:beforeLines="50" w:after="156" w:afterLines="50" w:line="360" w:lineRule="auto"/>
        <w:ind w:firstLine="420" w:firstLineChars="200"/>
        <w:rPr>
          <w:szCs w:val="21"/>
        </w:rPr>
      </w:pPr>
      <w:r>
        <w:rPr>
          <w:rFonts w:hint="eastAsia"/>
          <w:szCs w:val="21"/>
        </w:rPr>
        <w:t>变更价款的确定在专用条款中约定。</w:t>
      </w:r>
    </w:p>
    <w:p>
      <w:pPr>
        <w:spacing w:before="156" w:beforeLines="50" w:after="156" w:afterLines="50" w:line="360" w:lineRule="auto"/>
        <w:ind w:firstLine="420" w:firstLineChars="200"/>
        <w:rPr>
          <w:b/>
          <w:szCs w:val="21"/>
        </w:rPr>
      </w:pPr>
      <w:r>
        <w:rPr>
          <w:rFonts w:hint="eastAsia"/>
          <w:b/>
          <w:szCs w:val="21"/>
        </w:rPr>
        <w:t>13.6  建议变更的利益分享</w:t>
      </w:r>
    </w:p>
    <w:p>
      <w:pPr>
        <w:spacing w:before="156" w:beforeLines="50" w:after="156" w:afterLines="50" w:line="360" w:lineRule="auto"/>
        <w:ind w:firstLine="420" w:firstLineChars="200"/>
        <w:rPr>
          <w:szCs w:val="21"/>
        </w:rPr>
      </w:pPr>
      <w:r>
        <w:rPr>
          <w:rFonts w:hint="eastAsia"/>
          <w:szCs w:val="21"/>
        </w:rPr>
        <w:t>因发包人批准采用承包人根据13.1.3款提出的变更建议，使工程的投资减少、工期缩短、获得长期运营效益或其他利益，其利益分享办法在专用条款中约定，届时另行签订利益分享补充协议，作为合同附件。</w:t>
      </w:r>
    </w:p>
    <w:p>
      <w:pPr>
        <w:spacing w:before="156" w:beforeLines="50" w:after="156" w:afterLines="50" w:line="360" w:lineRule="auto"/>
        <w:ind w:firstLine="420" w:firstLineChars="200"/>
        <w:rPr>
          <w:b/>
          <w:szCs w:val="21"/>
        </w:rPr>
      </w:pPr>
      <w:r>
        <w:rPr>
          <w:rFonts w:hint="eastAsia"/>
          <w:b/>
          <w:szCs w:val="21"/>
        </w:rPr>
        <w:t>13.7  合同价格调整</w:t>
      </w:r>
    </w:p>
    <w:p>
      <w:pPr>
        <w:spacing w:line="360" w:lineRule="auto"/>
        <w:ind w:firstLine="420" w:firstLineChars="200"/>
        <w:rPr>
          <w:szCs w:val="21"/>
        </w:rPr>
      </w:pPr>
      <w:r>
        <w:rPr>
          <w:rFonts w:hint="eastAsia"/>
          <w:szCs w:val="21"/>
        </w:rPr>
        <w:t>在下述情况发生后30日内，承包人将调整合同价格的原因及调整金额，以书面形式通知发包人或监理人。经发包人确认的合理金额，作为合同价格的调整金额，并在支付当期工程进度款中支付或扣减调整的金额。发包人收到承包人通知后</w:t>
      </w:r>
      <w:r>
        <w:rPr>
          <w:szCs w:val="21"/>
        </w:rPr>
        <w:t>15</w:t>
      </w:r>
      <w:r>
        <w:rPr>
          <w:rFonts w:hint="eastAsia"/>
          <w:szCs w:val="21"/>
        </w:rPr>
        <w:t>日内不予确认，也未能提出修改意见，视为已经同意该项价格的调整。合同价格调整包括以下情况：</w:t>
      </w:r>
    </w:p>
    <w:p>
      <w:pPr>
        <w:spacing w:line="360" w:lineRule="auto"/>
        <w:ind w:firstLine="420" w:firstLineChars="200"/>
        <w:rPr>
          <w:szCs w:val="21"/>
        </w:rPr>
      </w:pPr>
      <w:r>
        <w:rPr>
          <w:rFonts w:hint="eastAsia"/>
          <w:szCs w:val="21"/>
        </w:rPr>
        <w:t>（1）合同签订后，因法律、行政法规、国家政策变化和需遵守的行业规定，影响合同价格；</w:t>
      </w:r>
    </w:p>
    <w:p>
      <w:pPr>
        <w:spacing w:line="360" w:lineRule="auto"/>
        <w:ind w:firstLine="420" w:firstLineChars="200"/>
        <w:rPr>
          <w:szCs w:val="21"/>
        </w:rPr>
      </w:pPr>
      <w:r>
        <w:rPr>
          <w:rFonts w:hint="eastAsia"/>
          <w:szCs w:val="21"/>
        </w:rPr>
        <w:t>（2）合同执行过程中，工程造价管理部门公布的价格调整，涉及承包人投入成本增减的；</w:t>
      </w:r>
    </w:p>
    <w:p>
      <w:pPr>
        <w:spacing w:line="360" w:lineRule="auto"/>
        <w:ind w:firstLine="420" w:firstLineChars="200"/>
        <w:rPr>
          <w:szCs w:val="21"/>
        </w:rPr>
      </w:pPr>
      <w:r>
        <w:rPr>
          <w:rFonts w:hint="eastAsia"/>
          <w:szCs w:val="21"/>
        </w:rPr>
        <w:t>（3）一周内非承包人原因的停水、停电、停气、道路中断等，造成工程现场停工累计超过8小时的（承包人须提交报告并提供可证实的证明和估算）；</w:t>
      </w:r>
    </w:p>
    <w:p>
      <w:pPr>
        <w:spacing w:line="360" w:lineRule="auto"/>
        <w:ind w:firstLine="420" w:firstLineChars="200"/>
        <w:rPr>
          <w:szCs w:val="21"/>
        </w:rPr>
      </w:pPr>
      <w:r>
        <w:rPr>
          <w:rFonts w:hint="eastAsia"/>
          <w:szCs w:val="21"/>
        </w:rPr>
        <w:t>（4）发包人根据</w:t>
      </w:r>
      <w:r>
        <w:rPr>
          <w:szCs w:val="21"/>
        </w:rPr>
        <w:t>13.3</w:t>
      </w:r>
      <w:r>
        <w:rPr>
          <w:rFonts w:hint="eastAsia"/>
          <w:szCs w:val="21"/>
        </w:rPr>
        <w:t>款至13.5款变更程序中批准的变更费用的增减；</w:t>
      </w:r>
    </w:p>
    <w:p>
      <w:pPr>
        <w:spacing w:line="360" w:lineRule="auto"/>
        <w:ind w:firstLine="420" w:firstLineChars="200"/>
        <w:rPr>
          <w:szCs w:val="21"/>
        </w:rPr>
      </w:pPr>
      <w:r>
        <w:rPr>
          <w:rFonts w:hint="eastAsia"/>
          <w:szCs w:val="21"/>
        </w:rPr>
        <w:t>（</w:t>
      </w:r>
      <w:r>
        <w:rPr>
          <w:szCs w:val="21"/>
        </w:rPr>
        <w:t>5</w:t>
      </w:r>
      <w:r>
        <w:rPr>
          <w:rFonts w:hint="eastAsia"/>
          <w:szCs w:val="21"/>
        </w:rPr>
        <w:t>）根据本合同约定的其他增减的款项调整。合同中未能约定的增减款项，发包人不承担调整合同价格的责任。除非适用法律另有规定；</w:t>
      </w:r>
    </w:p>
    <w:p>
      <w:pPr>
        <w:spacing w:line="360" w:lineRule="auto"/>
        <w:ind w:firstLine="420" w:firstLineChars="200"/>
        <w:rPr>
          <w:szCs w:val="21"/>
        </w:rPr>
      </w:pPr>
      <w:r>
        <w:rPr>
          <w:rFonts w:hint="eastAsia"/>
          <w:szCs w:val="21"/>
        </w:rPr>
        <w:t>（</w:t>
      </w:r>
      <w:r>
        <w:rPr>
          <w:szCs w:val="21"/>
        </w:rPr>
        <w:t>6</w:t>
      </w:r>
      <w:r>
        <w:rPr>
          <w:rFonts w:hint="eastAsia"/>
          <w:szCs w:val="21"/>
        </w:rPr>
        <w:t>）合同价格的调整不包括合同变更。</w:t>
      </w:r>
    </w:p>
    <w:p>
      <w:pPr>
        <w:spacing w:before="156" w:beforeLines="50" w:after="156" w:afterLines="50" w:line="360" w:lineRule="auto"/>
        <w:ind w:firstLine="420" w:firstLineChars="200"/>
        <w:rPr>
          <w:b/>
          <w:szCs w:val="21"/>
        </w:rPr>
      </w:pPr>
      <w:r>
        <w:rPr>
          <w:rFonts w:hint="eastAsia"/>
          <w:b/>
          <w:szCs w:val="21"/>
        </w:rPr>
        <w:t>13.8  合同价格调整的争议</w:t>
      </w:r>
    </w:p>
    <w:p>
      <w:pPr>
        <w:spacing w:before="156" w:beforeLines="50" w:after="156" w:afterLines="50" w:line="360" w:lineRule="auto"/>
        <w:ind w:firstLine="420" w:firstLineChars="200"/>
        <w:rPr>
          <w:szCs w:val="21"/>
        </w:rPr>
      </w:pPr>
      <w:r>
        <w:rPr>
          <w:rFonts w:hint="eastAsia"/>
          <w:szCs w:val="21"/>
        </w:rPr>
        <w:t>经协商，未能对工程变更的费用、合同价格的调整或竣工日期的延长达成一致，发生争议时，根据</w:t>
      </w:r>
      <w:r>
        <w:rPr>
          <w:szCs w:val="21"/>
        </w:rPr>
        <w:t>16.3</w:t>
      </w:r>
      <w:r>
        <w:rPr>
          <w:rFonts w:hint="eastAsia"/>
          <w:szCs w:val="21"/>
        </w:rPr>
        <w:t>款关于争议和裁决的约定解决。</w:t>
      </w:r>
    </w:p>
    <w:p>
      <w:pPr>
        <w:spacing w:before="156" w:beforeLines="50" w:after="156" w:afterLines="50" w:line="360" w:lineRule="auto"/>
        <w:ind w:firstLine="411" w:firstLineChars="196"/>
        <w:rPr>
          <w:b/>
          <w:szCs w:val="21"/>
        </w:rPr>
      </w:pPr>
      <w:r>
        <w:rPr>
          <w:rFonts w:hint="eastAsia"/>
          <w:b/>
          <w:szCs w:val="21"/>
        </w:rPr>
        <w:t>第</w:t>
      </w:r>
      <w:r>
        <w:rPr>
          <w:b/>
          <w:szCs w:val="21"/>
        </w:rPr>
        <w:t>14</w:t>
      </w:r>
      <w:r>
        <w:rPr>
          <w:rFonts w:hint="eastAsia"/>
          <w:b/>
          <w:szCs w:val="21"/>
        </w:rPr>
        <w:t>条合同总价和付款</w:t>
      </w:r>
    </w:p>
    <w:p>
      <w:pPr>
        <w:spacing w:before="156" w:beforeLines="50" w:after="156" w:afterLines="50" w:line="360" w:lineRule="auto"/>
        <w:ind w:firstLine="420" w:firstLineChars="200"/>
        <w:rPr>
          <w:b/>
          <w:szCs w:val="21"/>
        </w:rPr>
      </w:pPr>
      <w:r>
        <w:rPr>
          <w:rFonts w:hint="eastAsia"/>
          <w:b/>
          <w:szCs w:val="21"/>
        </w:rPr>
        <w:t>14.1合同总价和付款</w:t>
      </w:r>
    </w:p>
    <w:p>
      <w:pPr>
        <w:spacing w:line="360" w:lineRule="auto"/>
        <w:ind w:firstLine="420" w:firstLineChars="200"/>
        <w:rPr>
          <w:szCs w:val="21"/>
        </w:rPr>
      </w:pPr>
      <w:r>
        <w:rPr>
          <w:rFonts w:hint="eastAsia"/>
          <w:szCs w:val="21"/>
        </w:rPr>
        <w:t>14.1.1合同总价。本合同为总价合同，除根据第13条变更和合同价格的调整，以及合同中其它相关增减金额的约定外，合同价格不做调整。</w:t>
      </w:r>
    </w:p>
    <w:p>
      <w:pPr>
        <w:spacing w:line="360" w:lineRule="auto"/>
        <w:ind w:firstLine="420" w:firstLineChars="200"/>
        <w:rPr>
          <w:szCs w:val="21"/>
        </w:rPr>
      </w:pPr>
      <w:r>
        <w:rPr>
          <w:rFonts w:hint="eastAsia"/>
          <w:szCs w:val="21"/>
        </w:rPr>
        <w:t>14.1.2付款</w:t>
      </w:r>
    </w:p>
    <w:p>
      <w:pPr>
        <w:spacing w:line="360" w:lineRule="auto"/>
        <w:ind w:firstLine="420" w:firstLineChars="200"/>
        <w:rPr>
          <w:szCs w:val="21"/>
        </w:rPr>
      </w:pPr>
      <w:r>
        <w:rPr>
          <w:rFonts w:hint="eastAsia"/>
          <w:szCs w:val="21"/>
        </w:rPr>
        <w:t>（1）合同价款的货币币种为人民币，在中国境内支付给承包人。</w:t>
      </w:r>
    </w:p>
    <w:p>
      <w:pPr>
        <w:spacing w:line="360" w:lineRule="auto"/>
        <w:ind w:firstLine="420" w:firstLineChars="200"/>
        <w:rPr>
          <w:szCs w:val="21"/>
        </w:rPr>
      </w:pPr>
      <w:r>
        <w:rPr>
          <w:rFonts w:hint="eastAsia"/>
          <w:szCs w:val="21"/>
        </w:rPr>
        <w:t>（2）发包人依据合同约定的应付款类别和付款时间安排，向承包人支付合同价款。</w:t>
      </w:r>
    </w:p>
    <w:p>
      <w:pPr>
        <w:spacing w:before="156" w:beforeLines="50" w:after="156" w:afterLines="50" w:line="360" w:lineRule="auto"/>
        <w:ind w:firstLine="420" w:firstLineChars="200"/>
        <w:rPr>
          <w:b/>
          <w:szCs w:val="21"/>
        </w:rPr>
      </w:pPr>
      <w:r>
        <w:rPr>
          <w:b/>
          <w:szCs w:val="21"/>
        </w:rPr>
        <w:t>14.2</w:t>
      </w:r>
      <w:r>
        <w:rPr>
          <w:rFonts w:hint="eastAsia"/>
          <w:b/>
          <w:szCs w:val="21"/>
        </w:rPr>
        <w:t>担保</w:t>
      </w:r>
    </w:p>
    <w:p>
      <w:pPr>
        <w:spacing w:line="360" w:lineRule="auto"/>
        <w:ind w:firstLine="420" w:firstLineChars="200"/>
        <w:rPr>
          <w:szCs w:val="21"/>
        </w:rPr>
      </w:pPr>
      <w:r>
        <w:rPr>
          <w:szCs w:val="21"/>
        </w:rPr>
        <w:t>14.2.1</w:t>
      </w:r>
      <w:r>
        <w:rPr>
          <w:rFonts w:hint="eastAsia"/>
          <w:szCs w:val="21"/>
        </w:rPr>
        <w:t>履约保证金。合同约定由承包人向发包人提交履约保证金时，履约的金额和提交时间，在专用条款中约定。</w:t>
      </w:r>
    </w:p>
    <w:p>
      <w:pPr>
        <w:spacing w:line="360" w:lineRule="auto"/>
        <w:ind w:firstLine="420" w:firstLineChars="200"/>
        <w:rPr>
          <w:szCs w:val="21"/>
        </w:rPr>
      </w:pPr>
      <w:r>
        <w:rPr>
          <w:rFonts w:hint="eastAsia"/>
          <w:szCs w:val="21"/>
        </w:rPr>
        <w:t>14.2.2支付保证金。合同约定由承包人向发包人提交履约保证金时，发包人向承包人提交支付保证金。支付保证金的金额和提交时间在专用条款中约定。</w:t>
      </w:r>
    </w:p>
    <w:p>
      <w:pPr>
        <w:spacing w:line="360" w:lineRule="auto"/>
        <w:ind w:firstLine="420" w:firstLineChars="200"/>
        <w:rPr>
          <w:szCs w:val="21"/>
        </w:rPr>
      </w:pPr>
      <w:r>
        <w:rPr>
          <w:szCs w:val="21"/>
        </w:rPr>
        <w:t>14.2.</w:t>
      </w:r>
      <w:r>
        <w:rPr>
          <w:rFonts w:hint="eastAsia"/>
          <w:szCs w:val="21"/>
        </w:rPr>
        <w:t>3预付款保证金。合同约定由承包人向发包人提交预付款时，预付款的提交时间在专用条款中约定。</w:t>
      </w:r>
    </w:p>
    <w:p>
      <w:pPr>
        <w:spacing w:before="156" w:beforeLines="50" w:after="156" w:afterLines="50" w:line="360" w:lineRule="auto"/>
        <w:ind w:firstLine="420" w:firstLineChars="200"/>
        <w:rPr>
          <w:b/>
          <w:szCs w:val="21"/>
        </w:rPr>
      </w:pPr>
      <w:r>
        <w:rPr>
          <w:b/>
          <w:szCs w:val="21"/>
        </w:rPr>
        <w:t xml:space="preserve">14.3  </w:t>
      </w:r>
      <w:r>
        <w:rPr>
          <w:rFonts w:hint="eastAsia"/>
          <w:b/>
          <w:szCs w:val="21"/>
        </w:rPr>
        <w:t>预付款</w:t>
      </w:r>
    </w:p>
    <w:p>
      <w:pPr>
        <w:spacing w:line="360" w:lineRule="auto"/>
        <w:ind w:firstLine="420" w:firstLineChars="200"/>
        <w:rPr>
          <w:szCs w:val="21"/>
        </w:rPr>
      </w:pPr>
      <w:r>
        <w:rPr>
          <w:rFonts w:hint="eastAsia"/>
          <w:szCs w:val="21"/>
        </w:rPr>
        <w:t>14.3.1预付款金额。发包人同意将按合同价格的的一定比例作为预付款金额，具体金额在专用条款中约定。</w:t>
      </w:r>
    </w:p>
    <w:p>
      <w:pPr>
        <w:spacing w:line="360" w:lineRule="auto"/>
        <w:ind w:firstLine="420" w:firstLineChars="200"/>
        <w:rPr>
          <w:szCs w:val="21"/>
        </w:rPr>
      </w:pPr>
      <w:r>
        <w:rPr>
          <w:rFonts w:hint="eastAsia"/>
          <w:szCs w:val="21"/>
        </w:rPr>
        <w:t>14.3.2预付款支付。合同约定了预付款时，在合同生效后，发包人收到承包人提交的预付款保函后10日内，根据14.3.1款约定的预付款金额一次支付给承包人；未约定预付款时，发包人在合同生效后10日内根据14.3.1款约定的预付款金额，向承包人支付。</w:t>
      </w:r>
    </w:p>
    <w:p>
      <w:pPr>
        <w:spacing w:line="360" w:lineRule="auto"/>
        <w:ind w:firstLine="420" w:firstLineChars="200"/>
        <w:rPr>
          <w:szCs w:val="21"/>
        </w:rPr>
      </w:pPr>
      <w:r>
        <w:rPr>
          <w:rFonts w:hint="eastAsia"/>
          <w:szCs w:val="21"/>
        </w:rPr>
        <w:t>14.3.3预付款抵扣</w:t>
      </w:r>
    </w:p>
    <w:p>
      <w:pPr>
        <w:spacing w:line="360" w:lineRule="auto"/>
        <w:ind w:firstLine="420" w:firstLineChars="200"/>
        <w:rPr>
          <w:szCs w:val="21"/>
        </w:rPr>
      </w:pPr>
      <w:r>
        <w:rPr>
          <w:rFonts w:hint="eastAsia"/>
          <w:szCs w:val="21"/>
        </w:rPr>
        <w:t>（1）抵扣预付款。预付款的抵扣方式、抵扣比例和抵扣时间安排，在专用条款中约定。</w:t>
      </w:r>
    </w:p>
    <w:p>
      <w:pPr>
        <w:spacing w:line="360" w:lineRule="auto"/>
        <w:ind w:firstLine="420" w:firstLineChars="200"/>
        <w:rPr>
          <w:szCs w:val="21"/>
        </w:rPr>
      </w:pPr>
      <w:r>
        <w:rPr>
          <w:rFonts w:hint="eastAsia"/>
          <w:szCs w:val="21"/>
        </w:rPr>
        <w:t>（2）在发包人签发工程接收证书或合同解除时，预付款尚未抵扣完时，</w:t>
      </w:r>
    </w:p>
    <w:p>
      <w:pPr>
        <w:spacing w:line="360" w:lineRule="auto"/>
        <w:ind w:firstLine="420" w:firstLineChars="200"/>
        <w:rPr>
          <w:szCs w:val="21"/>
        </w:rPr>
      </w:pPr>
      <w:r>
        <w:rPr>
          <w:rFonts w:hint="eastAsia"/>
          <w:szCs w:val="21"/>
        </w:rPr>
        <w:t>1）发包人有权从应付给承包人的款项中或属于承包人的款项中一次或多次扣除；</w:t>
      </w:r>
    </w:p>
    <w:p>
      <w:pPr>
        <w:spacing w:line="360" w:lineRule="auto"/>
        <w:ind w:firstLine="420" w:firstLineChars="200"/>
        <w:rPr>
          <w:szCs w:val="21"/>
        </w:rPr>
      </w:pPr>
      <w:r>
        <w:rPr>
          <w:rFonts w:hint="eastAsia"/>
          <w:szCs w:val="21"/>
        </w:rPr>
        <w:t>2）发包人从应付给承包人的款项或属于承包人的款项中不足以抵扣时，当合同约定了承包人提交预付款时，发包人有权从预付款中扣除尚未抵扣完的预付款；</w:t>
      </w:r>
    </w:p>
    <w:p>
      <w:pPr>
        <w:spacing w:line="360" w:lineRule="auto"/>
        <w:ind w:firstLine="420" w:firstLineChars="200"/>
        <w:rPr>
          <w:szCs w:val="21"/>
        </w:rPr>
      </w:pPr>
      <w:r>
        <w:rPr>
          <w:rFonts w:hint="eastAsia"/>
          <w:szCs w:val="21"/>
        </w:rPr>
        <w:t>3）发包人从应付给承包人或属于承包人的款项不足以抵扣时，合同未约定承包人提交预付款，但约定了履约保证金时，发包人有权从履约保证金中抵扣尚未扣完的预付款；</w:t>
      </w:r>
    </w:p>
    <w:p>
      <w:pPr>
        <w:spacing w:line="360" w:lineRule="auto"/>
        <w:ind w:firstLine="420" w:firstLineChars="200"/>
        <w:rPr>
          <w:szCs w:val="21"/>
        </w:rPr>
      </w:pPr>
      <w:r>
        <w:rPr>
          <w:rFonts w:hint="eastAsia"/>
          <w:szCs w:val="21"/>
        </w:rPr>
        <w:t>4）发包人从应付给承包人或属于承包人的款项不足以抵扣时，合同未约定履约保证金和预付款保证金时，发包人尚未扣减完的预付款余额，由承包人支付给发包人。</w:t>
      </w:r>
    </w:p>
    <w:p>
      <w:pPr>
        <w:spacing w:before="156" w:beforeLines="50" w:after="156" w:afterLines="50" w:line="360" w:lineRule="auto"/>
        <w:ind w:firstLine="420" w:firstLineChars="200"/>
        <w:rPr>
          <w:b/>
          <w:szCs w:val="21"/>
        </w:rPr>
      </w:pPr>
      <w:r>
        <w:rPr>
          <w:b/>
          <w:szCs w:val="21"/>
        </w:rPr>
        <w:t>14.4  工程进度款</w:t>
      </w:r>
    </w:p>
    <w:p>
      <w:pPr>
        <w:spacing w:line="360" w:lineRule="auto"/>
        <w:ind w:firstLine="420" w:firstLineChars="200"/>
        <w:rPr>
          <w:szCs w:val="21"/>
        </w:rPr>
      </w:pPr>
      <w:r>
        <w:rPr>
          <w:rFonts w:hint="eastAsia"/>
          <w:szCs w:val="21"/>
        </w:rPr>
        <w:t>14.4.1工程进度款。工程进度款包括设计进度款、采购进度款、施工进度款、竣工验收进度款，以及竣工后试验服务费和工程总承包管理费等，支付方式、支付条件和支付时间等，在专用条款中约定。</w:t>
      </w:r>
    </w:p>
    <w:p>
      <w:pPr>
        <w:spacing w:line="360" w:lineRule="auto"/>
        <w:ind w:firstLine="420" w:firstLineChars="200"/>
        <w:rPr>
          <w:szCs w:val="21"/>
        </w:rPr>
      </w:pPr>
      <w:r>
        <w:rPr>
          <w:rFonts w:hint="eastAsia"/>
          <w:szCs w:val="21"/>
        </w:rPr>
        <w:t>14.4.2根据工程具体情况，应付的其他进度款，在专用条款约定。</w:t>
      </w:r>
    </w:p>
    <w:p>
      <w:pPr>
        <w:spacing w:before="156" w:beforeLines="50" w:after="156" w:afterLines="50" w:line="360" w:lineRule="auto"/>
        <w:ind w:firstLine="420" w:firstLineChars="200"/>
        <w:rPr>
          <w:b/>
          <w:szCs w:val="21"/>
        </w:rPr>
      </w:pPr>
      <w:r>
        <w:rPr>
          <w:rFonts w:hint="eastAsia"/>
          <w:b/>
          <w:szCs w:val="21"/>
        </w:rPr>
        <w:t>14.5  质量保修金额的暂扣与支付</w:t>
      </w:r>
    </w:p>
    <w:p>
      <w:pPr>
        <w:spacing w:line="360" w:lineRule="auto"/>
        <w:ind w:firstLine="420" w:firstLineChars="200"/>
        <w:rPr>
          <w:szCs w:val="21"/>
        </w:rPr>
      </w:pPr>
      <w:r>
        <w:rPr>
          <w:szCs w:val="21"/>
        </w:rPr>
        <w:t>14.5.1质量保修金额的暂时扣减。根据11.2.1款</w:t>
      </w:r>
      <w:r>
        <w:rPr>
          <w:rFonts w:hint="eastAsia"/>
          <w:szCs w:val="21"/>
        </w:rPr>
        <w:t>约定的</w:t>
      </w:r>
      <w:r>
        <w:rPr>
          <w:szCs w:val="21"/>
        </w:rPr>
        <w:t>质量保修金额和11.2.2款质量保修金额暂扣的</w:t>
      </w:r>
      <w:r>
        <w:rPr>
          <w:rFonts w:hint="eastAsia"/>
          <w:szCs w:val="21"/>
        </w:rPr>
        <w:t>约定暂时扣减。</w:t>
      </w:r>
    </w:p>
    <w:p>
      <w:pPr>
        <w:spacing w:line="360" w:lineRule="auto"/>
        <w:ind w:firstLine="420" w:firstLineChars="200"/>
        <w:rPr>
          <w:szCs w:val="21"/>
        </w:rPr>
      </w:pPr>
      <w:r>
        <w:rPr>
          <w:szCs w:val="21"/>
        </w:rPr>
        <w:t>14.5.2质量保修金额的支付</w:t>
      </w:r>
    </w:p>
    <w:p>
      <w:pPr>
        <w:spacing w:line="360" w:lineRule="auto"/>
        <w:ind w:firstLine="420" w:firstLineChars="200"/>
        <w:rPr>
          <w:szCs w:val="21"/>
        </w:rPr>
      </w:pPr>
      <w:r>
        <w:rPr>
          <w:szCs w:val="21"/>
        </w:rPr>
        <w:t>（1）在办理工程竣工验收和竣工结算时，</w:t>
      </w:r>
      <w:r>
        <w:rPr>
          <w:rFonts w:hint="eastAsia"/>
          <w:szCs w:val="21"/>
        </w:rPr>
        <w:t>将</w:t>
      </w:r>
      <w:r>
        <w:rPr>
          <w:szCs w:val="21"/>
        </w:rPr>
        <w:t>14.5.1款暂时扣减的全部质量保修金额的一半支付给承包人（</w:t>
      </w:r>
      <w:r>
        <w:rPr>
          <w:rFonts w:hint="eastAsia"/>
          <w:szCs w:val="21"/>
        </w:rPr>
        <w:t>专用条款</w:t>
      </w:r>
      <w:r>
        <w:rPr>
          <w:szCs w:val="21"/>
        </w:rPr>
        <w:t>另有</w:t>
      </w:r>
      <w:r>
        <w:rPr>
          <w:rFonts w:hint="eastAsia"/>
          <w:szCs w:val="21"/>
        </w:rPr>
        <w:t>约定</w:t>
      </w:r>
      <w:r>
        <w:rPr>
          <w:szCs w:val="21"/>
        </w:rPr>
        <w:t>时除外）。此后，承包人未能按发包人</w:t>
      </w:r>
      <w:r>
        <w:rPr>
          <w:rFonts w:hint="eastAsia"/>
          <w:szCs w:val="21"/>
        </w:rPr>
        <w:t>通知</w:t>
      </w:r>
      <w:r>
        <w:rPr>
          <w:szCs w:val="21"/>
        </w:rPr>
        <w:t>修复新出现的缺陷</w:t>
      </w:r>
      <w:r>
        <w:rPr>
          <w:rFonts w:hint="eastAsia"/>
          <w:szCs w:val="21"/>
        </w:rPr>
        <w:t>、</w:t>
      </w:r>
      <w:r>
        <w:rPr>
          <w:szCs w:val="21"/>
        </w:rPr>
        <w:t>或委托发包人修复</w:t>
      </w:r>
      <w:r>
        <w:rPr>
          <w:rFonts w:hint="eastAsia"/>
          <w:szCs w:val="21"/>
        </w:rPr>
        <w:t>该缺陷</w:t>
      </w:r>
      <w:r>
        <w:rPr>
          <w:szCs w:val="21"/>
        </w:rPr>
        <w:t>，发包人发生的此项费用，从余下的质量保修金额中扣除。发包人在接收证书颁发之日起一年后的15</w:t>
      </w:r>
      <w:r>
        <w:rPr>
          <w:rFonts w:hint="eastAsia"/>
          <w:szCs w:val="21"/>
        </w:rPr>
        <w:t>日</w:t>
      </w:r>
      <w:r>
        <w:rPr>
          <w:szCs w:val="21"/>
        </w:rPr>
        <w:t>内，将</w:t>
      </w:r>
      <w:r>
        <w:rPr>
          <w:rFonts w:hint="eastAsia"/>
          <w:szCs w:val="21"/>
        </w:rPr>
        <w:t>暂扣的</w:t>
      </w:r>
      <w:r>
        <w:rPr>
          <w:szCs w:val="21"/>
        </w:rPr>
        <w:t>质量保修金额的余额支付给承包人。</w:t>
      </w:r>
    </w:p>
    <w:p>
      <w:pPr>
        <w:spacing w:line="360" w:lineRule="auto"/>
        <w:ind w:firstLine="420" w:firstLineChars="200"/>
        <w:rPr>
          <w:szCs w:val="21"/>
        </w:rPr>
      </w:pPr>
      <w:r>
        <w:rPr>
          <w:szCs w:val="21"/>
        </w:rPr>
        <w:t>（2）在办理工程竣工验收和竣工结算时，承包人</w:t>
      </w:r>
      <w:r>
        <w:rPr>
          <w:rFonts w:hint="eastAsia"/>
          <w:szCs w:val="21"/>
        </w:rPr>
        <w:t>请求</w:t>
      </w:r>
      <w:r>
        <w:rPr>
          <w:szCs w:val="21"/>
        </w:rPr>
        <w:t>提供余下的一半质量保修金的</w:t>
      </w:r>
      <w:r>
        <w:rPr>
          <w:rFonts w:hint="eastAsia"/>
          <w:szCs w:val="21"/>
        </w:rPr>
        <w:t>保证金</w:t>
      </w:r>
      <w:r>
        <w:rPr>
          <w:szCs w:val="21"/>
        </w:rPr>
        <w:t>，且发包人同意接受</w:t>
      </w:r>
      <w:r>
        <w:rPr>
          <w:rFonts w:hint="eastAsia"/>
          <w:szCs w:val="21"/>
        </w:rPr>
        <w:t>时</w:t>
      </w:r>
      <w:r>
        <w:rPr>
          <w:szCs w:val="21"/>
        </w:rPr>
        <w:t>，在接到该</w:t>
      </w:r>
      <w:r>
        <w:rPr>
          <w:rFonts w:hint="eastAsia"/>
          <w:szCs w:val="21"/>
        </w:rPr>
        <w:t>保证金</w:t>
      </w:r>
      <w:r>
        <w:rPr>
          <w:szCs w:val="21"/>
        </w:rPr>
        <w:t>后，向承包人支付该保修金额余下的一半款项。此后，承包人未能</w:t>
      </w:r>
      <w:r>
        <w:rPr>
          <w:rFonts w:hint="eastAsia"/>
          <w:szCs w:val="21"/>
        </w:rPr>
        <w:t>自费</w:t>
      </w:r>
      <w:r>
        <w:rPr>
          <w:szCs w:val="21"/>
        </w:rPr>
        <w:t>修复新出现的缺陷、或委托发包人修复该缺陷，发包人发生的此项费用，从该保函中扣除。在接收证书颁发之日起一年后的15</w:t>
      </w:r>
      <w:r>
        <w:rPr>
          <w:rFonts w:hint="eastAsia"/>
          <w:szCs w:val="21"/>
        </w:rPr>
        <w:t>日</w:t>
      </w:r>
      <w:r>
        <w:rPr>
          <w:szCs w:val="21"/>
        </w:rPr>
        <w:t>内，</w:t>
      </w:r>
      <w:r>
        <w:rPr>
          <w:rFonts w:hint="eastAsia"/>
          <w:szCs w:val="21"/>
        </w:rPr>
        <w:t>退还</w:t>
      </w:r>
      <w:r>
        <w:rPr>
          <w:szCs w:val="21"/>
        </w:rPr>
        <w:t>该保函</w:t>
      </w:r>
      <w:r>
        <w:rPr>
          <w:rFonts w:hint="eastAsia"/>
          <w:szCs w:val="21"/>
        </w:rPr>
        <w:t>。提交质量保修金的金额和时间，</w:t>
      </w:r>
      <w:r>
        <w:rPr>
          <w:szCs w:val="21"/>
        </w:rPr>
        <w:t>在专用条款</w:t>
      </w:r>
      <w:r>
        <w:rPr>
          <w:rFonts w:hint="eastAsia"/>
          <w:szCs w:val="21"/>
        </w:rPr>
        <w:t>约定。</w:t>
      </w:r>
    </w:p>
    <w:p>
      <w:pPr>
        <w:spacing w:before="156" w:beforeLines="50" w:after="156" w:afterLines="50" w:line="360" w:lineRule="auto"/>
        <w:ind w:firstLine="411" w:firstLineChars="196"/>
        <w:rPr>
          <w:b/>
          <w:szCs w:val="21"/>
        </w:rPr>
      </w:pPr>
      <w:r>
        <w:rPr>
          <w:b/>
          <w:szCs w:val="21"/>
        </w:rPr>
        <w:t>14.6</w:t>
      </w:r>
      <w:r>
        <w:rPr>
          <w:rFonts w:hint="eastAsia"/>
          <w:b/>
          <w:szCs w:val="21"/>
        </w:rPr>
        <w:t>按月工程进度申请付款</w:t>
      </w:r>
    </w:p>
    <w:p>
      <w:pPr>
        <w:spacing w:line="360" w:lineRule="auto"/>
        <w:ind w:firstLine="420" w:firstLineChars="200"/>
        <w:rPr>
          <w:szCs w:val="21"/>
        </w:rPr>
      </w:pPr>
      <w:r>
        <w:rPr>
          <w:szCs w:val="21"/>
        </w:rPr>
        <w:t>14.6.1</w:t>
      </w:r>
      <w:r>
        <w:rPr>
          <w:rFonts w:hint="eastAsia"/>
          <w:szCs w:val="21"/>
        </w:rPr>
        <w:t>按月申请付款。按月申请付款，以合同协议书约定的合同价格为基础，按每月实际完成的工程量（含设计、采购、施工、竣工验收和竣工后试验等）的合同金额，提交付款申请。承包人提交付款申请报告的格式、内容、份数和时间，在专用条款约定。</w:t>
      </w:r>
    </w:p>
    <w:p>
      <w:pPr>
        <w:spacing w:line="360" w:lineRule="auto"/>
        <w:ind w:firstLine="420" w:firstLineChars="200"/>
        <w:rPr>
          <w:szCs w:val="21"/>
        </w:rPr>
      </w:pPr>
      <w:r>
        <w:rPr>
          <w:rFonts w:hint="eastAsia"/>
          <w:szCs w:val="21"/>
        </w:rPr>
        <w:t>按月付款申请报告中的款项包括：</w:t>
      </w:r>
    </w:p>
    <w:p>
      <w:pPr>
        <w:spacing w:line="360" w:lineRule="auto"/>
        <w:ind w:firstLine="420" w:firstLineChars="200"/>
        <w:rPr>
          <w:szCs w:val="21"/>
        </w:rPr>
      </w:pPr>
      <w:r>
        <w:rPr>
          <w:rFonts w:hint="eastAsia"/>
          <w:szCs w:val="21"/>
        </w:rPr>
        <w:t>（1）按14.4款工程进度款约定的款项类别；</w:t>
      </w:r>
    </w:p>
    <w:p>
      <w:pPr>
        <w:spacing w:line="360" w:lineRule="auto"/>
        <w:ind w:firstLine="420" w:firstLineChars="200"/>
        <w:rPr>
          <w:szCs w:val="21"/>
        </w:rPr>
      </w:pPr>
      <w:r>
        <w:rPr>
          <w:rFonts w:hint="eastAsia"/>
          <w:szCs w:val="21"/>
        </w:rPr>
        <w:t>（2）按13.7款合同价格调整约定的增减款项；</w:t>
      </w:r>
    </w:p>
    <w:p>
      <w:pPr>
        <w:spacing w:line="360" w:lineRule="auto"/>
        <w:ind w:firstLine="420" w:firstLineChars="200"/>
        <w:rPr>
          <w:szCs w:val="21"/>
        </w:rPr>
      </w:pPr>
      <w:r>
        <w:rPr>
          <w:rFonts w:hint="eastAsia"/>
          <w:szCs w:val="21"/>
        </w:rPr>
        <w:t>（3）按</w:t>
      </w:r>
      <w:r>
        <w:rPr>
          <w:szCs w:val="21"/>
        </w:rPr>
        <w:t>14.</w:t>
      </w:r>
      <w:r>
        <w:rPr>
          <w:rFonts w:hint="eastAsia"/>
          <w:szCs w:val="21"/>
        </w:rPr>
        <w:t>3款预付款约定的支付及扣减的款项；</w:t>
      </w:r>
    </w:p>
    <w:p>
      <w:pPr>
        <w:spacing w:line="360" w:lineRule="auto"/>
        <w:ind w:firstLine="420" w:firstLineChars="200"/>
        <w:rPr>
          <w:szCs w:val="21"/>
        </w:rPr>
      </w:pPr>
      <w:r>
        <w:rPr>
          <w:rFonts w:hint="eastAsia"/>
          <w:szCs w:val="21"/>
        </w:rPr>
        <w:t>（4）按</w:t>
      </w:r>
      <w:r>
        <w:rPr>
          <w:szCs w:val="21"/>
        </w:rPr>
        <w:t>14.5</w:t>
      </w:r>
      <w:r>
        <w:rPr>
          <w:rFonts w:hint="eastAsia"/>
          <w:szCs w:val="21"/>
        </w:rPr>
        <w:t>款质量保修金额约定的暂扣及支付的款项；</w:t>
      </w:r>
    </w:p>
    <w:p>
      <w:pPr>
        <w:spacing w:line="360" w:lineRule="auto"/>
        <w:ind w:firstLine="420" w:firstLineChars="200"/>
        <w:rPr>
          <w:szCs w:val="21"/>
        </w:rPr>
      </w:pPr>
      <w:r>
        <w:rPr>
          <w:rFonts w:hint="eastAsia"/>
          <w:szCs w:val="21"/>
        </w:rPr>
        <w:t>（5）根据16.2款索赔结果所增减的款项；</w:t>
      </w:r>
    </w:p>
    <w:p>
      <w:pPr>
        <w:spacing w:line="360" w:lineRule="auto"/>
        <w:ind w:firstLine="420" w:firstLineChars="200"/>
        <w:rPr>
          <w:szCs w:val="21"/>
        </w:rPr>
      </w:pPr>
      <w:r>
        <w:rPr>
          <w:rFonts w:hint="eastAsia"/>
          <w:szCs w:val="21"/>
        </w:rPr>
        <w:t>（6）根据另行签订的本合同的补充协议增减的款项。</w:t>
      </w:r>
    </w:p>
    <w:p>
      <w:pPr>
        <w:spacing w:line="360" w:lineRule="auto"/>
        <w:ind w:firstLine="420" w:firstLineChars="200"/>
        <w:rPr>
          <w:szCs w:val="21"/>
        </w:rPr>
      </w:pPr>
      <w:r>
        <w:rPr>
          <w:szCs w:val="21"/>
        </w:rPr>
        <w:t>14.6.2</w:t>
      </w:r>
      <w:r>
        <w:rPr>
          <w:rFonts w:hint="eastAsia"/>
          <w:szCs w:val="21"/>
        </w:rPr>
        <w:t>约定了</w:t>
      </w:r>
      <w:r>
        <w:rPr>
          <w:szCs w:val="21"/>
        </w:rPr>
        <w:t>14.6.1</w:t>
      </w:r>
      <w:r>
        <w:rPr>
          <w:rFonts w:hint="eastAsia"/>
          <w:szCs w:val="21"/>
        </w:rPr>
        <w:t>款按月工程进度申请付款的方式时，不能再约定按14</w:t>
      </w:r>
      <w:r>
        <w:rPr>
          <w:szCs w:val="21"/>
        </w:rPr>
        <w:t>.7</w:t>
      </w:r>
      <w:r>
        <w:rPr>
          <w:rFonts w:hint="eastAsia"/>
          <w:szCs w:val="21"/>
        </w:rPr>
        <w:t>款按付款计划表申请付款的方式。</w:t>
      </w:r>
    </w:p>
    <w:p>
      <w:pPr>
        <w:spacing w:before="156" w:beforeLines="50" w:after="156" w:afterLines="50" w:line="360" w:lineRule="auto"/>
        <w:ind w:firstLine="411" w:firstLineChars="196"/>
        <w:rPr>
          <w:b/>
          <w:szCs w:val="21"/>
        </w:rPr>
      </w:pPr>
      <w:r>
        <w:rPr>
          <w:b/>
          <w:szCs w:val="21"/>
        </w:rPr>
        <w:t>14.7</w:t>
      </w:r>
      <w:r>
        <w:rPr>
          <w:rFonts w:hint="eastAsia"/>
          <w:b/>
          <w:szCs w:val="21"/>
        </w:rPr>
        <w:t>按付款计划表申请付款</w:t>
      </w:r>
    </w:p>
    <w:p>
      <w:pPr>
        <w:spacing w:line="360" w:lineRule="auto"/>
        <w:ind w:firstLine="420" w:firstLineChars="200"/>
        <w:rPr>
          <w:szCs w:val="21"/>
        </w:rPr>
      </w:pPr>
      <w:r>
        <w:rPr>
          <w:szCs w:val="21"/>
        </w:rPr>
        <w:t>14.</w:t>
      </w:r>
      <w:r>
        <w:rPr>
          <w:rFonts w:hint="eastAsia"/>
          <w:szCs w:val="21"/>
        </w:rPr>
        <w:t>7</w:t>
      </w:r>
      <w:r>
        <w:rPr>
          <w:szCs w:val="21"/>
        </w:rPr>
        <w:t>.1</w:t>
      </w:r>
      <w:r>
        <w:rPr>
          <w:rFonts w:hint="eastAsia"/>
          <w:szCs w:val="21"/>
        </w:rPr>
        <w:t>按付款计划表申请付款。按付款计划表申请付款，以合同协议书约定的合同价格为基础，按照在专用条款约定的付款期数、计划每期达到的主要形象进度或（和）完成的主要计划工程量（含设计、采购、施工、竣工验收和竣工后试验等）及每期付款金额，并依据专用条款约定的格式、内容、份数和提交时间，由承包人提交当期付款申请报告。</w:t>
      </w:r>
    </w:p>
    <w:p>
      <w:pPr>
        <w:spacing w:line="360" w:lineRule="auto"/>
        <w:ind w:firstLine="420" w:firstLineChars="200"/>
        <w:rPr>
          <w:szCs w:val="21"/>
        </w:rPr>
      </w:pPr>
      <w:r>
        <w:rPr>
          <w:rFonts w:hint="eastAsia"/>
          <w:szCs w:val="21"/>
        </w:rPr>
        <w:t>每期付款申请报告中的款项包括：</w:t>
      </w:r>
    </w:p>
    <w:p>
      <w:pPr>
        <w:spacing w:line="360" w:lineRule="auto"/>
        <w:ind w:firstLine="420" w:firstLineChars="200"/>
        <w:rPr>
          <w:szCs w:val="21"/>
        </w:rPr>
      </w:pPr>
      <w:r>
        <w:rPr>
          <w:rFonts w:hint="eastAsia"/>
          <w:szCs w:val="21"/>
        </w:rPr>
        <w:t>（1）按在本款专用条款中约定的当期计划申请付款的金额；</w:t>
      </w:r>
    </w:p>
    <w:p>
      <w:pPr>
        <w:spacing w:line="360" w:lineRule="auto"/>
        <w:ind w:firstLine="420" w:firstLineChars="200"/>
        <w:rPr>
          <w:szCs w:val="21"/>
        </w:rPr>
      </w:pPr>
      <w:r>
        <w:rPr>
          <w:rFonts w:hint="eastAsia"/>
          <w:szCs w:val="21"/>
        </w:rPr>
        <w:t>（2）按13.7款合同价款调整约定的增减款项；</w:t>
      </w:r>
    </w:p>
    <w:p>
      <w:pPr>
        <w:spacing w:line="360" w:lineRule="auto"/>
        <w:ind w:firstLine="420" w:firstLineChars="200"/>
        <w:rPr>
          <w:szCs w:val="21"/>
        </w:rPr>
      </w:pPr>
      <w:r>
        <w:rPr>
          <w:rFonts w:hint="eastAsia"/>
          <w:szCs w:val="21"/>
        </w:rPr>
        <w:t>（3）按</w:t>
      </w:r>
      <w:r>
        <w:rPr>
          <w:szCs w:val="21"/>
        </w:rPr>
        <w:t>14.3</w:t>
      </w:r>
      <w:r>
        <w:rPr>
          <w:rFonts w:hint="eastAsia"/>
          <w:szCs w:val="21"/>
        </w:rPr>
        <w:t>款预付款约定的，支付及扣减的款项；</w:t>
      </w:r>
    </w:p>
    <w:p>
      <w:pPr>
        <w:spacing w:line="360" w:lineRule="auto"/>
        <w:ind w:firstLine="420" w:firstLineChars="200"/>
        <w:rPr>
          <w:szCs w:val="21"/>
        </w:rPr>
      </w:pPr>
      <w:r>
        <w:rPr>
          <w:rFonts w:hint="eastAsia"/>
          <w:szCs w:val="21"/>
        </w:rPr>
        <w:t>（4）按</w:t>
      </w:r>
      <w:r>
        <w:rPr>
          <w:szCs w:val="21"/>
        </w:rPr>
        <w:t>14.5</w:t>
      </w:r>
      <w:r>
        <w:rPr>
          <w:rFonts w:hint="eastAsia"/>
          <w:szCs w:val="21"/>
        </w:rPr>
        <w:t>款质量保修金额约定的暂扣及支付的款项；</w:t>
      </w:r>
    </w:p>
    <w:p>
      <w:pPr>
        <w:spacing w:line="360" w:lineRule="auto"/>
        <w:ind w:firstLine="420" w:firstLineChars="200"/>
        <w:rPr>
          <w:szCs w:val="21"/>
        </w:rPr>
      </w:pPr>
      <w:r>
        <w:rPr>
          <w:rFonts w:hint="eastAsia"/>
          <w:szCs w:val="21"/>
        </w:rPr>
        <w:t>（5）根据16.2款索赔结果所增减的款项；</w:t>
      </w:r>
    </w:p>
    <w:p>
      <w:pPr>
        <w:spacing w:line="360" w:lineRule="auto"/>
        <w:ind w:firstLine="420" w:firstLineChars="200"/>
        <w:rPr>
          <w:szCs w:val="21"/>
        </w:rPr>
      </w:pPr>
      <w:r>
        <w:rPr>
          <w:rFonts w:hint="eastAsia"/>
          <w:szCs w:val="21"/>
        </w:rPr>
        <w:t>（6）根据另行签订的本合同的补充协议增减的款项。</w:t>
      </w:r>
    </w:p>
    <w:p>
      <w:pPr>
        <w:spacing w:line="360" w:lineRule="auto"/>
        <w:ind w:firstLine="420" w:firstLineChars="200"/>
        <w:rPr>
          <w:szCs w:val="21"/>
        </w:rPr>
      </w:pPr>
      <w:r>
        <w:rPr>
          <w:szCs w:val="21"/>
        </w:rPr>
        <w:t>14.7.2</w:t>
      </w:r>
      <w:r>
        <w:rPr>
          <w:rFonts w:hint="eastAsia"/>
          <w:szCs w:val="21"/>
        </w:rPr>
        <w:t>发包人按付款计划表付款时，承包人的实际工作或（和）实际进度比付款计划表约定的明显落后时，发包人有权与承包人商定减少当期付款金额，并有权与承包人共同调整付款计划表。承包人以后各期的付款申请及发包人的付款，以调整后的付款计划表为依据。</w:t>
      </w:r>
    </w:p>
    <w:p>
      <w:pPr>
        <w:spacing w:line="360" w:lineRule="auto"/>
        <w:ind w:firstLine="420" w:firstLineChars="200"/>
        <w:rPr>
          <w:szCs w:val="21"/>
        </w:rPr>
      </w:pPr>
      <w:r>
        <w:rPr>
          <w:szCs w:val="21"/>
        </w:rPr>
        <w:t>14.7.3</w:t>
      </w:r>
      <w:r>
        <w:rPr>
          <w:rFonts w:hint="eastAsia"/>
          <w:szCs w:val="21"/>
        </w:rPr>
        <w:t>约定了按14</w:t>
      </w:r>
      <w:r>
        <w:rPr>
          <w:szCs w:val="21"/>
        </w:rPr>
        <w:t>.7</w:t>
      </w:r>
      <w:r>
        <w:rPr>
          <w:rFonts w:hint="eastAsia"/>
          <w:szCs w:val="21"/>
        </w:rPr>
        <w:t>款付款计划表的方式申请付款时，不能再约定按14</w:t>
      </w:r>
      <w:r>
        <w:rPr>
          <w:szCs w:val="21"/>
        </w:rPr>
        <w:t>.6</w:t>
      </w:r>
      <w:r>
        <w:rPr>
          <w:rFonts w:hint="eastAsia"/>
          <w:szCs w:val="21"/>
        </w:rPr>
        <w:t>款按月工程进度付款申请的方式。</w:t>
      </w:r>
    </w:p>
    <w:p>
      <w:pPr>
        <w:spacing w:before="156" w:beforeLines="50" w:after="156" w:afterLines="50" w:line="360" w:lineRule="auto"/>
        <w:ind w:firstLine="411" w:firstLineChars="196"/>
        <w:rPr>
          <w:b/>
          <w:szCs w:val="21"/>
        </w:rPr>
      </w:pPr>
      <w:r>
        <w:rPr>
          <w:rFonts w:hint="eastAsia"/>
          <w:b/>
          <w:szCs w:val="21"/>
        </w:rPr>
        <w:t>14.8 付款条件与时间安排</w:t>
      </w:r>
    </w:p>
    <w:p>
      <w:pPr>
        <w:spacing w:line="360" w:lineRule="auto"/>
        <w:ind w:firstLine="420" w:firstLineChars="200"/>
        <w:rPr>
          <w:szCs w:val="21"/>
        </w:rPr>
      </w:pPr>
      <w:r>
        <w:rPr>
          <w:rFonts w:hint="eastAsia"/>
          <w:szCs w:val="21"/>
        </w:rPr>
        <w:t>14.8.1付款条件。约定了由承包人提交履约保证金时，履约保证金的提交是发包人支付各项款项的条件；未约定履约保证金时，发包人按约定支付各项款项。</w:t>
      </w:r>
    </w:p>
    <w:p>
      <w:pPr>
        <w:spacing w:line="360" w:lineRule="auto"/>
        <w:ind w:firstLine="420" w:firstLineChars="200"/>
        <w:rPr>
          <w:szCs w:val="21"/>
        </w:rPr>
      </w:pPr>
      <w:r>
        <w:rPr>
          <w:rFonts w:hint="eastAsia"/>
          <w:szCs w:val="21"/>
        </w:rPr>
        <w:t>14.8.2预付款的支付，依据14.3.2款预付款支付的约定执行。</w:t>
      </w:r>
    </w:p>
    <w:p>
      <w:pPr>
        <w:spacing w:line="360" w:lineRule="auto"/>
        <w:ind w:firstLine="420" w:firstLineChars="200"/>
        <w:rPr>
          <w:szCs w:val="21"/>
        </w:rPr>
      </w:pPr>
      <w:r>
        <w:rPr>
          <w:szCs w:val="21"/>
        </w:rPr>
        <w:t>14.8.</w:t>
      </w:r>
      <w:r>
        <w:rPr>
          <w:rFonts w:hint="eastAsia"/>
          <w:szCs w:val="21"/>
        </w:rPr>
        <w:t>3工程进度款</w:t>
      </w:r>
    </w:p>
    <w:p>
      <w:pPr>
        <w:spacing w:line="360" w:lineRule="auto"/>
        <w:ind w:firstLine="420" w:firstLineChars="200"/>
        <w:rPr>
          <w:szCs w:val="21"/>
        </w:rPr>
      </w:pPr>
      <w:r>
        <w:rPr>
          <w:rFonts w:hint="eastAsia"/>
          <w:szCs w:val="21"/>
        </w:rPr>
        <w:t>（1</w:t>
      </w:r>
      <w:r>
        <w:rPr>
          <w:szCs w:val="21"/>
        </w:rPr>
        <w:t>）</w:t>
      </w:r>
      <w:r>
        <w:rPr>
          <w:rFonts w:hint="eastAsia"/>
          <w:szCs w:val="21"/>
        </w:rPr>
        <w:t>按月工程进度申请与付款。当约定依据</w:t>
      </w:r>
      <w:r>
        <w:rPr>
          <w:szCs w:val="21"/>
        </w:rPr>
        <w:t>14.6.1款按月</w:t>
      </w:r>
      <w:r>
        <w:rPr>
          <w:rFonts w:hint="eastAsia"/>
          <w:szCs w:val="21"/>
        </w:rPr>
        <w:t>工程</w:t>
      </w:r>
      <w:r>
        <w:rPr>
          <w:szCs w:val="21"/>
        </w:rPr>
        <w:t>进度申请付款和付款时，</w:t>
      </w:r>
      <w:r>
        <w:rPr>
          <w:rFonts w:hint="eastAsia"/>
          <w:szCs w:val="21"/>
        </w:rPr>
        <w:t>发包人在收到承包人按14.6.1款提交的每月付款申请报告之日起的25天内审查并支付。</w:t>
      </w:r>
    </w:p>
    <w:p>
      <w:pPr>
        <w:spacing w:line="360" w:lineRule="auto"/>
        <w:ind w:firstLine="420" w:firstLineChars="200"/>
        <w:rPr>
          <w:szCs w:val="21"/>
        </w:rPr>
      </w:pPr>
      <w:r>
        <w:rPr>
          <w:rFonts w:hint="eastAsia"/>
          <w:szCs w:val="21"/>
        </w:rPr>
        <w:t>（2）按付款计划表申请与付款。当约定依据</w:t>
      </w:r>
      <w:r>
        <w:rPr>
          <w:szCs w:val="21"/>
        </w:rPr>
        <w:t>14.7.1</w:t>
      </w:r>
      <w:r>
        <w:rPr>
          <w:rFonts w:hint="eastAsia"/>
          <w:szCs w:val="21"/>
        </w:rPr>
        <w:t>款按付款计划表申请付款和付款时，发包人在收到承包人按14.7.1款提交的每期付款申请报告之日起的25天内审查并支付。</w:t>
      </w:r>
    </w:p>
    <w:p>
      <w:pPr>
        <w:spacing w:before="156" w:beforeLines="50" w:after="156" w:afterLines="50" w:line="360" w:lineRule="auto"/>
        <w:ind w:firstLine="411" w:firstLineChars="196"/>
        <w:rPr>
          <w:b/>
          <w:szCs w:val="21"/>
        </w:rPr>
      </w:pPr>
      <w:r>
        <w:rPr>
          <w:b/>
          <w:szCs w:val="21"/>
        </w:rPr>
        <w:t>14.9  付款时间延误</w:t>
      </w:r>
    </w:p>
    <w:p>
      <w:pPr>
        <w:spacing w:line="360" w:lineRule="auto"/>
        <w:ind w:firstLine="420" w:firstLineChars="200"/>
        <w:rPr>
          <w:szCs w:val="21"/>
        </w:rPr>
      </w:pPr>
      <w:r>
        <w:rPr>
          <w:szCs w:val="21"/>
        </w:rPr>
        <w:t>14.9.1因发包人的原因未能按14.8.3款</w:t>
      </w:r>
      <w:r>
        <w:rPr>
          <w:rFonts w:hint="eastAsia"/>
          <w:szCs w:val="21"/>
        </w:rPr>
        <w:t>约定</w:t>
      </w:r>
      <w:r>
        <w:rPr>
          <w:szCs w:val="21"/>
        </w:rPr>
        <w:t>的时间向承包人支付工程进度款的，从此后的第15</w:t>
      </w:r>
      <w:r>
        <w:rPr>
          <w:rFonts w:hint="eastAsia"/>
          <w:szCs w:val="21"/>
        </w:rPr>
        <w:t>天</w:t>
      </w:r>
      <w:r>
        <w:rPr>
          <w:szCs w:val="21"/>
        </w:rPr>
        <w:t>开始，以中国人民银行颁布的同期同类贷款利率向承包人支付延期付款的利息，作为延期付款的违约金额。</w:t>
      </w:r>
    </w:p>
    <w:p>
      <w:pPr>
        <w:spacing w:line="360" w:lineRule="auto"/>
        <w:ind w:firstLine="420" w:firstLineChars="200"/>
        <w:rPr>
          <w:szCs w:val="21"/>
        </w:rPr>
      </w:pPr>
      <w:r>
        <w:rPr>
          <w:rFonts w:hint="eastAsia"/>
          <w:szCs w:val="21"/>
        </w:rPr>
        <w:t>14.9.2</w:t>
      </w:r>
      <w:r>
        <w:rPr>
          <w:szCs w:val="21"/>
        </w:rPr>
        <w:t>发包人延误付款</w:t>
      </w:r>
      <w:r>
        <w:rPr>
          <w:rFonts w:hint="eastAsia"/>
          <w:szCs w:val="21"/>
        </w:rPr>
        <w:t>15天</w:t>
      </w:r>
      <w:r>
        <w:rPr>
          <w:szCs w:val="21"/>
        </w:rPr>
        <w:t>天以上</w:t>
      </w:r>
      <w:r>
        <w:rPr>
          <w:rFonts w:hint="eastAsia"/>
          <w:szCs w:val="21"/>
        </w:rPr>
        <w:t>，</w:t>
      </w:r>
      <w:r>
        <w:rPr>
          <w:szCs w:val="21"/>
        </w:rPr>
        <w:t>承包人有权向发包人发出</w:t>
      </w:r>
      <w:r>
        <w:rPr>
          <w:rFonts w:hint="eastAsia"/>
          <w:szCs w:val="21"/>
        </w:rPr>
        <w:t>要</w:t>
      </w:r>
      <w:r>
        <w:rPr>
          <w:szCs w:val="21"/>
        </w:rPr>
        <w:t>求付款的通知，发包人收到通知后仍不能付款，</w:t>
      </w:r>
      <w:r>
        <w:rPr>
          <w:rFonts w:hint="eastAsia"/>
          <w:szCs w:val="21"/>
        </w:rPr>
        <w:t>承包人可暂停部分工作，视为发包人导致的暂停，并遵照4</w:t>
      </w:r>
      <w:r>
        <w:rPr>
          <w:szCs w:val="21"/>
        </w:rPr>
        <w:t>.</w:t>
      </w:r>
      <w:r>
        <w:rPr>
          <w:rFonts w:hint="eastAsia"/>
          <w:szCs w:val="21"/>
        </w:rPr>
        <w:t>6</w:t>
      </w:r>
      <w:r>
        <w:rPr>
          <w:szCs w:val="21"/>
        </w:rPr>
        <w:t>.1</w:t>
      </w:r>
      <w:r>
        <w:rPr>
          <w:rFonts w:hint="eastAsia"/>
          <w:szCs w:val="21"/>
        </w:rPr>
        <w:t>款发包人的暂停的约定执行。</w:t>
      </w:r>
    </w:p>
    <w:p>
      <w:pPr>
        <w:spacing w:line="360" w:lineRule="auto"/>
        <w:ind w:firstLine="420" w:firstLineChars="200"/>
        <w:rPr>
          <w:szCs w:val="21"/>
        </w:rPr>
      </w:pPr>
      <w:r>
        <w:rPr>
          <w:rFonts w:hint="eastAsia"/>
          <w:szCs w:val="21"/>
        </w:rPr>
        <w:t>当</w:t>
      </w:r>
      <w:r>
        <w:rPr>
          <w:szCs w:val="21"/>
        </w:rPr>
        <w:t>协商签订延期付款协议书</w:t>
      </w:r>
      <w:r>
        <w:rPr>
          <w:rFonts w:hint="eastAsia"/>
          <w:szCs w:val="21"/>
        </w:rPr>
        <w:t>时</w:t>
      </w:r>
      <w:r>
        <w:rPr>
          <w:szCs w:val="21"/>
        </w:rPr>
        <w:t>，</w:t>
      </w:r>
      <w:r>
        <w:rPr>
          <w:rFonts w:hint="eastAsia"/>
          <w:szCs w:val="21"/>
        </w:rPr>
        <w:t>发包人</w:t>
      </w:r>
      <w:r>
        <w:rPr>
          <w:szCs w:val="21"/>
        </w:rPr>
        <w:t>按延期付款协议书</w:t>
      </w:r>
      <w:r>
        <w:rPr>
          <w:rFonts w:hint="eastAsia"/>
          <w:szCs w:val="21"/>
        </w:rPr>
        <w:t>中约定</w:t>
      </w:r>
      <w:r>
        <w:rPr>
          <w:szCs w:val="21"/>
        </w:rPr>
        <w:t>的期数、</w:t>
      </w:r>
      <w:r>
        <w:rPr>
          <w:rFonts w:hint="eastAsia"/>
          <w:szCs w:val="21"/>
        </w:rPr>
        <w:t>时间、</w:t>
      </w:r>
      <w:r>
        <w:rPr>
          <w:szCs w:val="21"/>
        </w:rPr>
        <w:t>金额</w:t>
      </w:r>
      <w:r>
        <w:rPr>
          <w:rFonts w:hint="eastAsia"/>
          <w:szCs w:val="21"/>
        </w:rPr>
        <w:t>和</w:t>
      </w:r>
      <w:r>
        <w:rPr>
          <w:szCs w:val="21"/>
        </w:rPr>
        <w:t>利息付款</w:t>
      </w:r>
      <w:r>
        <w:rPr>
          <w:rFonts w:hint="eastAsia"/>
          <w:szCs w:val="21"/>
        </w:rPr>
        <w:t>；当</w:t>
      </w:r>
      <w:r>
        <w:rPr>
          <w:szCs w:val="21"/>
        </w:rPr>
        <w:t>双方未能达成延期付款协议</w:t>
      </w:r>
      <w:r>
        <w:rPr>
          <w:rFonts w:hint="eastAsia"/>
          <w:szCs w:val="21"/>
        </w:rPr>
        <w:t>时</w:t>
      </w:r>
      <w:r>
        <w:rPr>
          <w:szCs w:val="21"/>
        </w:rPr>
        <w:t>，导致工程无法实施，承包人可停止部分或</w:t>
      </w:r>
      <w:r>
        <w:rPr>
          <w:rFonts w:hint="eastAsia"/>
          <w:szCs w:val="21"/>
        </w:rPr>
        <w:t>全部</w:t>
      </w:r>
      <w:r>
        <w:rPr>
          <w:szCs w:val="21"/>
        </w:rPr>
        <w:t>工程，发包人承担违约责任</w:t>
      </w:r>
      <w:r>
        <w:rPr>
          <w:rFonts w:hint="eastAsia"/>
          <w:szCs w:val="21"/>
        </w:rPr>
        <w:t>，导致工程关键路径</w:t>
      </w:r>
      <w:r>
        <w:rPr>
          <w:szCs w:val="21"/>
        </w:rPr>
        <w:t>延</w:t>
      </w:r>
      <w:r>
        <w:rPr>
          <w:rFonts w:hint="eastAsia"/>
          <w:szCs w:val="21"/>
        </w:rPr>
        <w:t>误时</w:t>
      </w:r>
      <w:r>
        <w:rPr>
          <w:szCs w:val="21"/>
        </w:rPr>
        <w:t>，</w:t>
      </w:r>
      <w:r>
        <w:rPr>
          <w:rFonts w:hint="eastAsia"/>
          <w:szCs w:val="21"/>
        </w:rPr>
        <w:t>竣工日期</w:t>
      </w:r>
      <w:r>
        <w:rPr>
          <w:szCs w:val="21"/>
        </w:rPr>
        <w:t>顺延。</w:t>
      </w:r>
    </w:p>
    <w:p>
      <w:pPr>
        <w:spacing w:line="360" w:lineRule="auto"/>
        <w:ind w:firstLine="420" w:firstLineChars="200"/>
        <w:rPr>
          <w:szCs w:val="21"/>
        </w:rPr>
      </w:pPr>
      <w:r>
        <w:rPr>
          <w:szCs w:val="21"/>
        </w:rPr>
        <w:t>14.9.3发包人</w:t>
      </w:r>
      <w:r>
        <w:rPr>
          <w:rFonts w:hint="eastAsia"/>
          <w:szCs w:val="21"/>
        </w:rPr>
        <w:t>的</w:t>
      </w:r>
      <w:r>
        <w:rPr>
          <w:szCs w:val="21"/>
        </w:rPr>
        <w:t>延误付款达60天以上，并影响到整个工程实施，承包人</w:t>
      </w:r>
      <w:r>
        <w:rPr>
          <w:rFonts w:hint="eastAsia"/>
          <w:szCs w:val="21"/>
        </w:rPr>
        <w:t>有权</w:t>
      </w:r>
      <w:r>
        <w:rPr>
          <w:szCs w:val="21"/>
        </w:rPr>
        <w:t>根据18.2款</w:t>
      </w:r>
      <w:r>
        <w:rPr>
          <w:rFonts w:hint="eastAsia"/>
          <w:szCs w:val="21"/>
        </w:rPr>
        <w:t>的约定</w:t>
      </w:r>
      <w:r>
        <w:rPr>
          <w:szCs w:val="21"/>
        </w:rPr>
        <w:t>向发包人发出解除合同的</w:t>
      </w:r>
      <w:r>
        <w:rPr>
          <w:rFonts w:hint="eastAsia"/>
          <w:szCs w:val="21"/>
        </w:rPr>
        <w:t>通知。</w:t>
      </w:r>
    </w:p>
    <w:p>
      <w:pPr>
        <w:spacing w:before="156" w:beforeLines="50" w:after="156" w:afterLines="50" w:line="360" w:lineRule="auto"/>
        <w:ind w:firstLine="411" w:firstLineChars="196"/>
        <w:rPr>
          <w:b/>
          <w:szCs w:val="21"/>
        </w:rPr>
      </w:pPr>
      <w:r>
        <w:rPr>
          <w:rFonts w:hint="eastAsia"/>
          <w:b/>
          <w:szCs w:val="21"/>
        </w:rPr>
        <w:t>14.10税务与关税</w:t>
      </w:r>
    </w:p>
    <w:p>
      <w:pPr>
        <w:spacing w:line="360" w:lineRule="auto"/>
        <w:ind w:firstLine="420" w:firstLineChars="200"/>
        <w:rPr>
          <w:szCs w:val="21"/>
        </w:rPr>
      </w:pPr>
      <w:r>
        <w:rPr>
          <w:rFonts w:hint="eastAsia"/>
          <w:szCs w:val="21"/>
        </w:rPr>
        <w:t>14.10.1发包人与承包人按国家有关纳税规定，各自履行各自的纳税义务，含进口关税。</w:t>
      </w:r>
    </w:p>
    <w:p>
      <w:pPr>
        <w:spacing w:line="360" w:lineRule="auto"/>
        <w:ind w:firstLine="420" w:firstLineChars="200"/>
        <w:rPr>
          <w:szCs w:val="21"/>
        </w:rPr>
      </w:pPr>
      <w:r>
        <w:rPr>
          <w:rFonts w:hint="eastAsia"/>
          <w:szCs w:val="21"/>
        </w:rPr>
        <w:t>14.10.2一方享有本合同进口工程设备、材料、设备配件等进口增值税和关税减免时，另一方有义务就办理减免税手续给予协助和配合。</w:t>
      </w:r>
    </w:p>
    <w:p>
      <w:pPr>
        <w:spacing w:before="156" w:beforeLines="50" w:after="156" w:afterLines="50" w:line="360" w:lineRule="auto"/>
        <w:ind w:firstLine="411" w:firstLineChars="196"/>
        <w:rPr>
          <w:b/>
          <w:szCs w:val="21"/>
        </w:rPr>
      </w:pPr>
      <w:r>
        <w:rPr>
          <w:b/>
          <w:szCs w:val="21"/>
        </w:rPr>
        <w:t>14.11  索赔款项的支付</w:t>
      </w:r>
    </w:p>
    <w:p>
      <w:pPr>
        <w:spacing w:line="360" w:lineRule="auto"/>
        <w:ind w:firstLine="420" w:firstLineChars="200"/>
        <w:rPr>
          <w:szCs w:val="21"/>
        </w:rPr>
      </w:pPr>
      <w:r>
        <w:rPr>
          <w:szCs w:val="21"/>
        </w:rPr>
        <w:t>14.11.1经协商确定的、或经仲裁</w:t>
      </w:r>
      <w:r>
        <w:rPr>
          <w:rFonts w:hint="eastAsia"/>
          <w:szCs w:val="21"/>
        </w:rPr>
        <w:t>裁定的、或法院判决</w:t>
      </w:r>
      <w:r>
        <w:rPr>
          <w:szCs w:val="21"/>
        </w:rPr>
        <w:t>的发包人应得的索赔款项，发包人可从支付给承包人的当月工程进度款或当期付款计划表的付款中扣减</w:t>
      </w:r>
      <w:r>
        <w:rPr>
          <w:rFonts w:hint="eastAsia"/>
          <w:szCs w:val="21"/>
        </w:rPr>
        <w:t>该索赔款项</w:t>
      </w:r>
      <w:r>
        <w:rPr>
          <w:szCs w:val="21"/>
        </w:rPr>
        <w:t>。</w:t>
      </w:r>
      <w:r>
        <w:rPr>
          <w:rFonts w:hint="eastAsia"/>
          <w:szCs w:val="21"/>
        </w:rPr>
        <w:t>当</w:t>
      </w:r>
      <w:r>
        <w:rPr>
          <w:szCs w:val="21"/>
        </w:rPr>
        <w:t>支付给承包人的各期工程进度款中不足以抵扣发包人的索赔款项时，</w:t>
      </w:r>
      <w:r>
        <w:rPr>
          <w:rFonts w:hint="eastAsia"/>
          <w:szCs w:val="21"/>
        </w:rPr>
        <w:t>且合同约定了承包人提交履约保证金时，</w:t>
      </w:r>
      <w:r>
        <w:rPr>
          <w:szCs w:val="21"/>
        </w:rPr>
        <w:t>可从履约</w:t>
      </w:r>
      <w:r>
        <w:rPr>
          <w:rFonts w:hint="eastAsia"/>
          <w:szCs w:val="21"/>
        </w:rPr>
        <w:t>保证金</w:t>
      </w:r>
      <w:r>
        <w:rPr>
          <w:szCs w:val="21"/>
        </w:rPr>
        <w:t>中抵扣。</w:t>
      </w:r>
      <w:r>
        <w:rPr>
          <w:rFonts w:hint="eastAsia"/>
          <w:szCs w:val="21"/>
        </w:rPr>
        <w:t>当</w:t>
      </w:r>
      <w:r>
        <w:rPr>
          <w:szCs w:val="21"/>
        </w:rPr>
        <w:t>履约</w:t>
      </w:r>
      <w:r>
        <w:rPr>
          <w:rFonts w:hint="eastAsia"/>
          <w:szCs w:val="21"/>
        </w:rPr>
        <w:t>保证金</w:t>
      </w:r>
      <w:r>
        <w:rPr>
          <w:szCs w:val="21"/>
        </w:rPr>
        <w:t>不足以抵扣</w:t>
      </w:r>
      <w:r>
        <w:rPr>
          <w:rFonts w:hint="eastAsia"/>
          <w:szCs w:val="21"/>
        </w:rPr>
        <w:t>时</w:t>
      </w:r>
      <w:r>
        <w:rPr>
          <w:szCs w:val="21"/>
        </w:rPr>
        <w:t>，或未</w:t>
      </w:r>
      <w:r>
        <w:rPr>
          <w:rFonts w:hint="eastAsia"/>
          <w:szCs w:val="21"/>
        </w:rPr>
        <w:t>约定</w:t>
      </w:r>
      <w:r>
        <w:rPr>
          <w:szCs w:val="21"/>
        </w:rPr>
        <w:t>履约</w:t>
      </w:r>
      <w:r>
        <w:rPr>
          <w:rFonts w:hint="eastAsia"/>
          <w:szCs w:val="21"/>
        </w:rPr>
        <w:t>保证金时</w:t>
      </w:r>
      <w:r>
        <w:rPr>
          <w:szCs w:val="21"/>
        </w:rPr>
        <w:t>，承包人</w:t>
      </w:r>
      <w:r>
        <w:rPr>
          <w:rFonts w:hint="eastAsia"/>
          <w:szCs w:val="21"/>
        </w:rPr>
        <w:t>须</w:t>
      </w:r>
      <w:r>
        <w:rPr>
          <w:szCs w:val="21"/>
        </w:rPr>
        <w:t>另行支付</w:t>
      </w:r>
      <w:r>
        <w:rPr>
          <w:rFonts w:hint="eastAsia"/>
          <w:szCs w:val="21"/>
        </w:rPr>
        <w:t>该</w:t>
      </w:r>
      <w:r>
        <w:rPr>
          <w:szCs w:val="21"/>
        </w:rPr>
        <w:t>索赔款项。</w:t>
      </w:r>
    </w:p>
    <w:p>
      <w:pPr>
        <w:spacing w:line="360" w:lineRule="auto"/>
        <w:ind w:firstLine="420" w:firstLineChars="200"/>
        <w:rPr>
          <w:szCs w:val="21"/>
        </w:rPr>
      </w:pPr>
      <w:r>
        <w:rPr>
          <w:rFonts w:hint="eastAsia"/>
          <w:szCs w:val="21"/>
        </w:rPr>
        <w:t>14.11.2</w:t>
      </w:r>
      <w:r>
        <w:rPr>
          <w:szCs w:val="21"/>
        </w:rPr>
        <w:t>经协商确定的、或经仲裁</w:t>
      </w:r>
      <w:r>
        <w:rPr>
          <w:rFonts w:hint="eastAsia"/>
          <w:szCs w:val="21"/>
        </w:rPr>
        <w:t>裁定的、或法院判决</w:t>
      </w:r>
      <w:r>
        <w:rPr>
          <w:szCs w:val="21"/>
        </w:rPr>
        <w:t>的承包人应得的索赔款项，承包人</w:t>
      </w:r>
      <w:r>
        <w:rPr>
          <w:rFonts w:hint="eastAsia"/>
          <w:szCs w:val="21"/>
        </w:rPr>
        <w:t>可</w:t>
      </w:r>
      <w:r>
        <w:rPr>
          <w:szCs w:val="21"/>
        </w:rPr>
        <w:t>在当月工程进度款或当期付款计划表的付款申请中单列</w:t>
      </w:r>
      <w:r>
        <w:rPr>
          <w:rFonts w:hint="eastAsia"/>
          <w:szCs w:val="21"/>
        </w:rPr>
        <w:t>该索赔</w:t>
      </w:r>
      <w:r>
        <w:rPr>
          <w:szCs w:val="21"/>
        </w:rPr>
        <w:t>款项，发包人在当期付款中支付该索赔款项。</w:t>
      </w:r>
      <w:r>
        <w:rPr>
          <w:rFonts w:hint="eastAsia"/>
          <w:szCs w:val="21"/>
        </w:rPr>
        <w:t>当发包人未能支付该索赔款项时，且合同约定了发包人提交支付保证金时，承包人有权从发包人提交的支付保证金中抵扣。当双方未能约定支付保证金时，发包人须</w:t>
      </w:r>
      <w:r>
        <w:rPr>
          <w:szCs w:val="21"/>
        </w:rPr>
        <w:t>另行支付</w:t>
      </w:r>
      <w:r>
        <w:rPr>
          <w:rFonts w:hint="eastAsia"/>
          <w:szCs w:val="21"/>
        </w:rPr>
        <w:t>该</w:t>
      </w:r>
      <w:r>
        <w:rPr>
          <w:szCs w:val="21"/>
        </w:rPr>
        <w:t>索赔款项</w:t>
      </w:r>
      <w:r>
        <w:rPr>
          <w:rFonts w:hint="eastAsia"/>
          <w:szCs w:val="21"/>
        </w:rPr>
        <w:t>。</w:t>
      </w:r>
    </w:p>
    <w:p>
      <w:pPr>
        <w:spacing w:before="156" w:beforeLines="50" w:after="156" w:afterLines="50" w:line="360" w:lineRule="auto"/>
        <w:ind w:firstLine="411" w:firstLineChars="196"/>
        <w:rPr>
          <w:b/>
          <w:szCs w:val="21"/>
        </w:rPr>
      </w:pPr>
      <w:r>
        <w:rPr>
          <w:b/>
          <w:szCs w:val="21"/>
        </w:rPr>
        <w:t>14.12  竣工结算</w:t>
      </w:r>
    </w:p>
    <w:p>
      <w:pPr>
        <w:spacing w:line="360" w:lineRule="auto"/>
        <w:ind w:firstLine="420" w:firstLineChars="200"/>
        <w:rPr>
          <w:szCs w:val="21"/>
        </w:rPr>
      </w:pPr>
      <w:r>
        <w:rPr>
          <w:szCs w:val="21"/>
        </w:rPr>
        <w:t>14.12.1提交竣工结算资料。根据12.1款的</w:t>
      </w:r>
      <w:r>
        <w:rPr>
          <w:rFonts w:hint="eastAsia"/>
          <w:szCs w:val="21"/>
        </w:rPr>
        <w:t>约定</w:t>
      </w:r>
      <w:r>
        <w:rPr>
          <w:szCs w:val="21"/>
        </w:rPr>
        <w:t>，承包人提交的</w:t>
      </w:r>
      <w:r>
        <w:rPr>
          <w:rFonts w:hint="eastAsia"/>
          <w:szCs w:val="21"/>
        </w:rPr>
        <w:t>竣工验收报告和完整的</w:t>
      </w:r>
      <w:r>
        <w:rPr>
          <w:szCs w:val="21"/>
        </w:rPr>
        <w:t>竣工资料被发包人认可后的30</w:t>
      </w:r>
      <w:r>
        <w:rPr>
          <w:rFonts w:hint="eastAsia"/>
          <w:szCs w:val="21"/>
        </w:rPr>
        <w:t>日</w:t>
      </w:r>
      <w:r>
        <w:rPr>
          <w:szCs w:val="21"/>
        </w:rPr>
        <w:t>内，承包人向发包人递交竣工结算报告和完整的竣工结算资料。</w:t>
      </w:r>
    </w:p>
    <w:p>
      <w:pPr>
        <w:spacing w:line="360" w:lineRule="auto"/>
        <w:ind w:firstLine="420" w:firstLineChars="200"/>
        <w:rPr>
          <w:szCs w:val="21"/>
        </w:rPr>
      </w:pPr>
      <w:r>
        <w:rPr>
          <w:szCs w:val="21"/>
        </w:rPr>
        <w:t>14.12.2最终竣工结算资料。发包人收到承包人提交的竣工结算报告和完整的竣工结算资料后的30</w:t>
      </w:r>
      <w:r>
        <w:rPr>
          <w:rFonts w:hint="eastAsia"/>
          <w:szCs w:val="21"/>
        </w:rPr>
        <w:t>日</w:t>
      </w:r>
      <w:r>
        <w:rPr>
          <w:szCs w:val="21"/>
        </w:rPr>
        <w:t>内，</w:t>
      </w:r>
      <w:r>
        <w:rPr>
          <w:rFonts w:hint="eastAsia"/>
          <w:szCs w:val="21"/>
        </w:rPr>
        <w:t>经审查并</w:t>
      </w:r>
      <w:r>
        <w:rPr>
          <w:szCs w:val="21"/>
        </w:rPr>
        <w:t>提出修改意见</w:t>
      </w:r>
      <w:r>
        <w:rPr>
          <w:rFonts w:hint="eastAsia"/>
          <w:szCs w:val="21"/>
        </w:rPr>
        <w:t>，</w:t>
      </w:r>
      <w:r>
        <w:rPr>
          <w:szCs w:val="21"/>
        </w:rPr>
        <w:t>协商一致</w:t>
      </w:r>
      <w:r>
        <w:rPr>
          <w:rFonts w:hint="eastAsia"/>
          <w:szCs w:val="21"/>
        </w:rPr>
        <w:t>后</w:t>
      </w:r>
      <w:r>
        <w:rPr>
          <w:szCs w:val="21"/>
        </w:rPr>
        <w:t>，</w:t>
      </w:r>
      <w:r>
        <w:rPr>
          <w:rFonts w:hint="eastAsia"/>
          <w:szCs w:val="21"/>
        </w:rPr>
        <w:t>由</w:t>
      </w:r>
      <w:r>
        <w:rPr>
          <w:szCs w:val="21"/>
        </w:rPr>
        <w:t>承包人自费修正</w:t>
      </w:r>
      <w:r>
        <w:rPr>
          <w:rFonts w:hint="eastAsia"/>
          <w:szCs w:val="21"/>
        </w:rPr>
        <w:t>，</w:t>
      </w:r>
      <w:r>
        <w:rPr>
          <w:szCs w:val="21"/>
        </w:rPr>
        <w:t>并提交最终的竣工结算报告和</w:t>
      </w:r>
      <w:r>
        <w:rPr>
          <w:rFonts w:hint="eastAsia"/>
          <w:szCs w:val="21"/>
        </w:rPr>
        <w:t>最终的</w:t>
      </w:r>
      <w:r>
        <w:rPr>
          <w:szCs w:val="21"/>
        </w:rPr>
        <w:t>结算资料。</w:t>
      </w:r>
    </w:p>
    <w:p>
      <w:pPr>
        <w:spacing w:line="360" w:lineRule="auto"/>
        <w:ind w:firstLine="420" w:firstLineChars="200"/>
        <w:rPr>
          <w:szCs w:val="21"/>
        </w:rPr>
      </w:pPr>
      <w:r>
        <w:rPr>
          <w:szCs w:val="21"/>
        </w:rPr>
        <w:t>14.12.3结清竣工结算的款项。发包人在承包人按14.12.2款</w:t>
      </w:r>
      <w:r>
        <w:rPr>
          <w:rFonts w:hint="eastAsia"/>
          <w:szCs w:val="21"/>
        </w:rPr>
        <w:t>的约定</w:t>
      </w:r>
      <w:r>
        <w:rPr>
          <w:szCs w:val="21"/>
        </w:rPr>
        <w:t>提交</w:t>
      </w:r>
      <w:r>
        <w:rPr>
          <w:rFonts w:hint="eastAsia"/>
          <w:szCs w:val="21"/>
        </w:rPr>
        <w:t>了</w:t>
      </w:r>
      <w:r>
        <w:rPr>
          <w:szCs w:val="21"/>
        </w:rPr>
        <w:t>最终竣工结算资料的30</w:t>
      </w:r>
      <w:r>
        <w:rPr>
          <w:rFonts w:hint="eastAsia"/>
          <w:szCs w:val="21"/>
        </w:rPr>
        <w:t>日</w:t>
      </w:r>
      <w:r>
        <w:rPr>
          <w:szCs w:val="21"/>
        </w:rPr>
        <w:t>内，结清竣工结算的款项</w:t>
      </w:r>
      <w:r>
        <w:rPr>
          <w:rFonts w:hint="eastAsia"/>
          <w:szCs w:val="21"/>
        </w:rPr>
        <w:t>。结清后，发包人</w:t>
      </w:r>
      <w:r>
        <w:rPr>
          <w:szCs w:val="21"/>
        </w:rPr>
        <w:t>将承包人按14.2.1款</w:t>
      </w:r>
      <w:r>
        <w:rPr>
          <w:rFonts w:hint="eastAsia"/>
          <w:szCs w:val="21"/>
        </w:rPr>
        <w:t>约定</w:t>
      </w:r>
      <w:r>
        <w:rPr>
          <w:szCs w:val="21"/>
        </w:rPr>
        <w:t>提交的履约</w:t>
      </w:r>
      <w:r>
        <w:rPr>
          <w:rFonts w:hint="eastAsia"/>
          <w:szCs w:val="21"/>
        </w:rPr>
        <w:t>保证金</w:t>
      </w:r>
      <w:r>
        <w:rPr>
          <w:szCs w:val="21"/>
        </w:rPr>
        <w:t>返还给承包人</w:t>
      </w:r>
      <w:r>
        <w:rPr>
          <w:rFonts w:hint="eastAsia"/>
          <w:szCs w:val="21"/>
        </w:rPr>
        <w:t>；</w:t>
      </w:r>
      <w:r>
        <w:rPr>
          <w:szCs w:val="21"/>
        </w:rPr>
        <w:t>承包人将发包人按14.2.2款</w:t>
      </w:r>
      <w:r>
        <w:rPr>
          <w:rFonts w:hint="eastAsia"/>
          <w:szCs w:val="21"/>
        </w:rPr>
        <w:t>约定</w:t>
      </w:r>
      <w:r>
        <w:rPr>
          <w:szCs w:val="21"/>
        </w:rPr>
        <w:t>提交的支付</w:t>
      </w:r>
      <w:r>
        <w:rPr>
          <w:rFonts w:hint="eastAsia"/>
          <w:szCs w:val="21"/>
        </w:rPr>
        <w:t>保证金</w:t>
      </w:r>
      <w:r>
        <w:rPr>
          <w:szCs w:val="21"/>
        </w:rPr>
        <w:t>返还给发包人。</w:t>
      </w:r>
    </w:p>
    <w:p>
      <w:pPr>
        <w:spacing w:line="360" w:lineRule="auto"/>
        <w:ind w:firstLine="420" w:firstLineChars="200"/>
        <w:rPr>
          <w:szCs w:val="21"/>
        </w:rPr>
      </w:pPr>
      <w:r>
        <w:rPr>
          <w:szCs w:val="21"/>
        </w:rPr>
        <w:t>14.12.4未能答复竣工结算报告。发包人接到承包人根据14.12.1款</w:t>
      </w:r>
      <w:r>
        <w:rPr>
          <w:rFonts w:hint="eastAsia"/>
          <w:szCs w:val="21"/>
        </w:rPr>
        <w:t>约定</w:t>
      </w:r>
      <w:r>
        <w:rPr>
          <w:szCs w:val="21"/>
        </w:rPr>
        <w:t>提交的竣工结算报告和完整的竣工结算资料的30</w:t>
      </w:r>
      <w:r>
        <w:rPr>
          <w:rFonts w:hint="eastAsia"/>
          <w:szCs w:val="21"/>
        </w:rPr>
        <w:t>日</w:t>
      </w:r>
      <w:r>
        <w:rPr>
          <w:szCs w:val="21"/>
        </w:rPr>
        <w:t>内，未能提出修改意见，也未予答复，视为发包人认可了该竣工结算资料作为最终竣工结算资料。发包人根据14.12.3款的</w:t>
      </w:r>
      <w:r>
        <w:rPr>
          <w:rFonts w:hint="eastAsia"/>
          <w:szCs w:val="21"/>
        </w:rPr>
        <w:t>约定</w:t>
      </w:r>
      <w:r>
        <w:rPr>
          <w:szCs w:val="21"/>
        </w:rPr>
        <w:t>，结清竣工结算的款项。</w:t>
      </w:r>
    </w:p>
    <w:p>
      <w:pPr>
        <w:spacing w:line="360" w:lineRule="auto"/>
        <w:ind w:firstLine="420" w:firstLineChars="200"/>
        <w:rPr>
          <w:szCs w:val="21"/>
        </w:rPr>
      </w:pPr>
      <w:r>
        <w:rPr>
          <w:szCs w:val="21"/>
        </w:rPr>
        <w:t>14.12.5发包人未能支付竣工结算的款项</w:t>
      </w:r>
    </w:p>
    <w:p>
      <w:pPr>
        <w:spacing w:line="360" w:lineRule="auto"/>
        <w:ind w:firstLine="420" w:firstLineChars="200"/>
        <w:rPr>
          <w:szCs w:val="21"/>
        </w:rPr>
      </w:pPr>
      <w:r>
        <w:rPr>
          <w:szCs w:val="21"/>
        </w:rPr>
        <w:t>（1）发包人未能按14.12.3款的</w:t>
      </w:r>
      <w:r>
        <w:rPr>
          <w:rFonts w:hint="eastAsia"/>
          <w:szCs w:val="21"/>
        </w:rPr>
        <w:t>约定</w:t>
      </w:r>
      <w:r>
        <w:rPr>
          <w:szCs w:val="21"/>
        </w:rPr>
        <w:t>，结清应付给承包人的竣工结算的款项余额，承包人有权从发包人根据14.2.2款</w:t>
      </w:r>
      <w:r>
        <w:rPr>
          <w:rFonts w:hint="eastAsia"/>
          <w:szCs w:val="21"/>
        </w:rPr>
        <w:t>约定</w:t>
      </w:r>
      <w:r>
        <w:rPr>
          <w:szCs w:val="21"/>
        </w:rPr>
        <w:t>提交的支付</w:t>
      </w:r>
      <w:r>
        <w:rPr>
          <w:rFonts w:hint="eastAsia"/>
          <w:szCs w:val="21"/>
        </w:rPr>
        <w:t>保证金</w:t>
      </w:r>
      <w:r>
        <w:rPr>
          <w:szCs w:val="21"/>
        </w:rPr>
        <w:t>中扣减该款项的余额。</w:t>
      </w:r>
    </w:p>
    <w:p>
      <w:pPr>
        <w:spacing w:line="360" w:lineRule="auto"/>
        <w:ind w:firstLine="420" w:firstLineChars="200"/>
        <w:rPr>
          <w:szCs w:val="21"/>
        </w:rPr>
      </w:pPr>
      <w:r>
        <w:rPr>
          <w:szCs w:val="21"/>
        </w:rPr>
        <w:t>合同未</w:t>
      </w:r>
      <w:r>
        <w:rPr>
          <w:rFonts w:hint="eastAsia"/>
          <w:szCs w:val="21"/>
        </w:rPr>
        <w:t>约定</w:t>
      </w:r>
      <w:r>
        <w:rPr>
          <w:szCs w:val="21"/>
        </w:rPr>
        <w:t>发包人按14.2.2款提交支付</w:t>
      </w:r>
      <w:r>
        <w:rPr>
          <w:rFonts w:hint="eastAsia"/>
          <w:szCs w:val="21"/>
        </w:rPr>
        <w:t>保证金时</w:t>
      </w:r>
      <w:r>
        <w:rPr>
          <w:szCs w:val="21"/>
        </w:rPr>
        <w:t>，发包人从承包人提交最终结算资料后的第31</w:t>
      </w:r>
      <w:r>
        <w:rPr>
          <w:rFonts w:hint="eastAsia"/>
          <w:szCs w:val="21"/>
        </w:rPr>
        <w:t>日</w:t>
      </w:r>
      <w:r>
        <w:rPr>
          <w:szCs w:val="21"/>
        </w:rPr>
        <w:t>起，按中国人民银行同期同类的贷款利率支付拖欠的竣工结算款项的余额</w:t>
      </w:r>
      <w:r>
        <w:rPr>
          <w:rFonts w:hint="eastAsia"/>
          <w:szCs w:val="21"/>
        </w:rPr>
        <w:t>及其</w:t>
      </w:r>
      <w:r>
        <w:rPr>
          <w:szCs w:val="21"/>
        </w:rPr>
        <w:t>利息。</w:t>
      </w:r>
    </w:p>
    <w:p>
      <w:pPr>
        <w:spacing w:line="360" w:lineRule="auto"/>
        <w:ind w:firstLine="420" w:firstLineChars="200"/>
        <w:rPr>
          <w:szCs w:val="21"/>
        </w:rPr>
      </w:pPr>
      <w:r>
        <w:rPr>
          <w:szCs w:val="21"/>
        </w:rPr>
        <w:t>（2）根据14.12.4款的</w:t>
      </w:r>
      <w:r>
        <w:rPr>
          <w:rFonts w:hint="eastAsia"/>
          <w:szCs w:val="21"/>
        </w:rPr>
        <w:t>约定</w:t>
      </w:r>
      <w:r>
        <w:rPr>
          <w:szCs w:val="21"/>
        </w:rPr>
        <w:t>，发包人未能在</w:t>
      </w:r>
      <w:r>
        <w:rPr>
          <w:rFonts w:hint="eastAsia"/>
          <w:szCs w:val="21"/>
        </w:rPr>
        <w:t>约定</w:t>
      </w:r>
      <w:r>
        <w:rPr>
          <w:szCs w:val="21"/>
        </w:rPr>
        <w:t>的30</w:t>
      </w:r>
      <w:r>
        <w:rPr>
          <w:rFonts w:hint="eastAsia"/>
          <w:szCs w:val="21"/>
        </w:rPr>
        <w:t>日</w:t>
      </w:r>
      <w:r>
        <w:rPr>
          <w:szCs w:val="21"/>
        </w:rPr>
        <w:t>内对竣工结算资料提出修改意见和答复，也未能向承包人支付竣工结算款项的余额，从承包人提交该报告后的第31</w:t>
      </w:r>
      <w:r>
        <w:rPr>
          <w:rFonts w:hint="eastAsia"/>
          <w:szCs w:val="21"/>
        </w:rPr>
        <w:t>日</w:t>
      </w:r>
      <w:r>
        <w:rPr>
          <w:szCs w:val="21"/>
        </w:rPr>
        <w:t>起，按中国人民银行同期同类的贷款利率，支付拖欠承包人的竣工结算款项的余额</w:t>
      </w:r>
      <w:r>
        <w:rPr>
          <w:rFonts w:hint="eastAsia"/>
          <w:szCs w:val="21"/>
        </w:rPr>
        <w:t>及其</w:t>
      </w:r>
      <w:r>
        <w:rPr>
          <w:szCs w:val="21"/>
        </w:rPr>
        <w:t>利息。</w:t>
      </w:r>
    </w:p>
    <w:p>
      <w:pPr>
        <w:spacing w:line="360" w:lineRule="auto"/>
        <w:ind w:firstLine="420" w:firstLineChars="200"/>
        <w:rPr>
          <w:szCs w:val="21"/>
        </w:rPr>
      </w:pPr>
      <w:r>
        <w:rPr>
          <w:rFonts w:hint="eastAsia"/>
          <w:szCs w:val="21"/>
        </w:rPr>
        <w:t>发包人在承包人提交最终竣工结算资料的90日内，仍未支付，承包人可依据第</w:t>
      </w:r>
      <w:r>
        <w:rPr>
          <w:szCs w:val="21"/>
        </w:rPr>
        <w:t>16.3</w:t>
      </w:r>
      <w:r>
        <w:rPr>
          <w:rFonts w:hint="eastAsia"/>
          <w:szCs w:val="21"/>
        </w:rPr>
        <w:t>款争议和裁决的约定解决。</w:t>
      </w:r>
    </w:p>
    <w:p>
      <w:pPr>
        <w:spacing w:line="360" w:lineRule="auto"/>
        <w:ind w:firstLine="420" w:firstLineChars="200"/>
        <w:rPr>
          <w:szCs w:val="21"/>
        </w:rPr>
      </w:pPr>
      <w:r>
        <w:rPr>
          <w:szCs w:val="21"/>
        </w:rPr>
        <w:t>14.12.6未能按时提交竣工结算报告及完整的结算资料。工程竣工验收报告经发包人认可后的30</w:t>
      </w:r>
      <w:r>
        <w:rPr>
          <w:rFonts w:hint="eastAsia"/>
          <w:szCs w:val="21"/>
        </w:rPr>
        <w:t>日</w:t>
      </w:r>
      <w:r>
        <w:rPr>
          <w:szCs w:val="21"/>
        </w:rPr>
        <w:t>内，承包人未能向发包人提交竣工结算报告及完整的结算资料，造成工程竣工结算不能正常进行、或工程竣工结算不能按时结清，发包人要求</w:t>
      </w:r>
      <w:r>
        <w:rPr>
          <w:rFonts w:hint="eastAsia"/>
          <w:szCs w:val="21"/>
        </w:rPr>
        <w:t>承包人</w:t>
      </w:r>
      <w:r>
        <w:rPr>
          <w:szCs w:val="21"/>
        </w:rPr>
        <w:t>交付工程时，承包人须交付；发包人</w:t>
      </w:r>
      <w:r>
        <w:rPr>
          <w:rFonts w:hint="eastAsia"/>
          <w:szCs w:val="21"/>
        </w:rPr>
        <w:t>未</w:t>
      </w:r>
      <w:r>
        <w:rPr>
          <w:szCs w:val="21"/>
        </w:rPr>
        <w:t>要求交付工程时，承包人须承担保管、维护和保养的费用和责任，不包括根据第9条工程接收</w:t>
      </w:r>
      <w:r>
        <w:rPr>
          <w:rFonts w:hint="eastAsia"/>
          <w:szCs w:val="21"/>
        </w:rPr>
        <w:t>的约定</w:t>
      </w:r>
      <w:r>
        <w:rPr>
          <w:szCs w:val="21"/>
        </w:rPr>
        <w:t>已被发包人使用、接收的单项工程和工程的任何部分。</w:t>
      </w:r>
    </w:p>
    <w:p>
      <w:pPr>
        <w:spacing w:line="360" w:lineRule="auto"/>
        <w:ind w:firstLine="420" w:firstLineChars="200"/>
        <w:rPr>
          <w:szCs w:val="21"/>
        </w:rPr>
      </w:pPr>
      <w:r>
        <w:rPr>
          <w:szCs w:val="21"/>
        </w:rPr>
        <w:t>14.12.7承包人未能支付竣工结算的款项</w:t>
      </w:r>
    </w:p>
    <w:p>
      <w:pPr>
        <w:spacing w:line="360" w:lineRule="auto"/>
        <w:ind w:firstLine="420" w:firstLineChars="200"/>
        <w:rPr>
          <w:szCs w:val="21"/>
        </w:rPr>
      </w:pPr>
      <w:r>
        <w:rPr>
          <w:szCs w:val="21"/>
        </w:rPr>
        <w:t>（1）承包人未能按14.12.3款的</w:t>
      </w:r>
      <w:r>
        <w:rPr>
          <w:rFonts w:hint="eastAsia"/>
          <w:szCs w:val="21"/>
        </w:rPr>
        <w:t>约定</w:t>
      </w:r>
      <w:r>
        <w:rPr>
          <w:szCs w:val="21"/>
        </w:rPr>
        <w:t>，结清应付给发包人的竣工结算中的款项余额，发包人有权从承包人根据14.2.1款</w:t>
      </w:r>
      <w:r>
        <w:rPr>
          <w:rFonts w:hint="eastAsia"/>
          <w:szCs w:val="21"/>
        </w:rPr>
        <w:t>约定</w:t>
      </w:r>
      <w:r>
        <w:rPr>
          <w:szCs w:val="21"/>
        </w:rPr>
        <w:t>提交的履约</w:t>
      </w:r>
      <w:r>
        <w:rPr>
          <w:rFonts w:hint="eastAsia"/>
          <w:szCs w:val="21"/>
        </w:rPr>
        <w:t>保证金</w:t>
      </w:r>
      <w:r>
        <w:rPr>
          <w:szCs w:val="21"/>
        </w:rPr>
        <w:t>中扣减该款项的余额。</w:t>
      </w:r>
    </w:p>
    <w:p>
      <w:pPr>
        <w:spacing w:line="360" w:lineRule="auto"/>
        <w:ind w:firstLine="420" w:firstLineChars="200"/>
        <w:rPr>
          <w:szCs w:val="21"/>
        </w:rPr>
      </w:pPr>
      <w:r>
        <w:rPr>
          <w:szCs w:val="21"/>
        </w:rPr>
        <w:t>履约</w:t>
      </w:r>
      <w:r>
        <w:rPr>
          <w:rFonts w:hint="eastAsia"/>
          <w:szCs w:val="21"/>
        </w:rPr>
        <w:t>保证金的</w:t>
      </w:r>
      <w:r>
        <w:rPr>
          <w:szCs w:val="21"/>
        </w:rPr>
        <w:t>金额不足以抵偿</w:t>
      </w:r>
      <w:r>
        <w:rPr>
          <w:rFonts w:hint="eastAsia"/>
          <w:szCs w:val="21"/>
        </w:rPr>
        <w:t>时</w:t>
      </w:r>
      <w:r>
        <w:rPr>
          <w:szCs w:val="21"/>
        </w:rPr>
        <w:t>，从最终竣工结算</w:t>
      </w:r>
      <w:r>
        <w:rPr>
          <w:rFonts w:hint="eastAsia"/>
          <w:szCs w:val="21"/>
        </w:rPr>
        <w:t>资料</w:t>
      </w:r>
      <w:r>
        <w:rPr>
          <w:szCs w:val="21"/>
        </w:rPr>
        <w:t>提交之后的31</w:t>
      </w:r>
      <w:r>
        <w:rPr>
          <w:rFonts w:hint="eastAsia"/>
          <w:szCs w:val="21"/>
        </w:rPr>
        <w:t>日</w:t>
      </w:r>
      <w:r>
        <w:rPr>
          <w:szCs w:val="21"/>
        </w:rPr>
        <w:t>起，承包人按中国人民银行同期同类贷款利率支付拖欠的竣工结算款项的余额</w:t>
      </w:r>
      <w:r>
        <w:rPr>
          <w:rFonts w:hint="eastAsia"/>
          <w:szCs w:val="21"/>
        </w:rPr>
        <w:t>及其</w:t>
      </w:r>
      <w:r>
        <w:rPr>
          <w:szCs w:val="21"/>
        </w:rPr>
        <w:t>利息。</w:t>
      </w:r>
      <w:r>
        <w:rPr>
          <w:rFonts w:hint="eastAsia"/>
          <w:szCs w:val="21"/>
        </w:rPr>
        <w:t>当</w:t>
      </w:r>
      <w:r>
        <w:rPr>
          <w:szCs w:val="21"/>
        </w:rPr>
        <w:t>承包人在最终竣工结算资料提交后的90</w:t>
      </w:r>
      <w:r>
        <w:rPr>
          <w:rFonts w:hint="eastAsia"/>
          <w:szCs w:val="21"/>
        </w:rPr>
        <w:t>日</w:t>
      </w:r>
      <w:r>
        <w:rPr>
          <w:szCs w:val="21"/>
        </w:rPr>
        <w:t>内仍未支付</w:t>
      </w:r>
      <w:r>
        <w:rPr>
          <w:rFonts w:hint="eastAsia"/>
          <w:szCs w:val="21"/>
        </w:rPr>
        <w:t>时</w:t>
      </w:r>
      <w:r>
        <w:rPr>
          <w:szCs w:val="21"/>
        </w:rPr>
        <w:t>，发包人有权根据第16.3款争议和裁决的</w:t>
      </w:r>
      <w:r>
        <w:rPr>
          <w:rFonts w:hint="eastAsia"/>
          <w:szCs w:val="21"/>
        </w:rPr>
        <w:t>约定</w:t>
      </w:r>
      <w:r>
        <w:rPr>
          <w:szCs w:val="21"/>
        </w:rPr>
        <w:t>解决。</w:t>
      </w:r>
    </w:p>
    <w:p>
      <w:pPr>
        <w:spacing w:line="360" w:lineRule="auto"/>
        <w:ind w:firstLine="420" w:firstLineChars="200"/>
        <w:rPr>
          <w:szCs w:val="21"/>
        </w:rPr>
      </w:pPr>
      <w:r>
        <w:rPr>
          <w:szCs w:val="21"/>
        </w:rPr>
        <w:t>（2）合同未</w:t>
      </w:r>
      <w:r>
        <w:rPr>
          <w:rFonts w:hint="eastAsia"/>
          <w:szCs w:val="21"/>
        </w:rPr>
        <w:t>约定</w:t>
      </w:r>
      <w:r>
        <w:rPr>
          <w:szCs w:val="21"/>
        </w:rPr>
        <w:t>履约</w:t>
      </w:r>
      <w:r>
        <w:rPr>
          <w:rFonts w:hint="eastAsia"/>
          <w:szCs w:val="21"/>
        </w:rPr>
        <w:t>保证金时</w:t>
      </w:r>
      <w:r>
        <w:rPr>
          <w:szCs w:val="21"/>
        </w:rPr>
        <w:t>，承包人从最终竣工结算资料提交后的第31</w:t>
      </w:r>
      <w:r>
        <w:rPr>
          <w:rFonts w:hint="eastAsia"/>
          <w:szCs w:val="21"/>
        </w:rPr>
        <w:t>日</w:t>
      </w:r>
      <w:r>
        <w:rPr>
          <w:szCs w:val="21"/>
        </w:rPr>
        <w:t>起，按中国人民银行同期同类贷款利率，向发包人支付拖欠的余额</w:t>
      </w:r>
      <w:r>
        <w:rPr>
          <w:rFonts w:hint="eastAsia"/>
          <w:szCs w:val="21"/>
        </w:rPr>
        <w:t>及其</w:t>
      </w:r>
      <w:r>
        <w:rPr>
          <w:szCs w:val="21"/>
        </w:rPr>
        <w:t>利息。</w:t>
      </w:r>
      <w:r>
        <w:rPr>
          <w:rFonts w:hint="eastAsia"/>
          <w:szCs w:val="21"/>
        </w:rPr>
        <w:t>当</w:t>
      </w:r>
      <w:r>
        <w:rPr>
          <w:szCs w:val="21"/>
        </w:rPr>
        <w:t>承包人在最终竣工结算资料提交后的90</w:t>
      </w:r>
      <w:r>
        <w:rPr>
          <w:rFonts w:hint="eastAsia"/>
          <w:szCs w:val="21"/>
        </w:rPr>
        <w:t>日</w:t>
      </w:r>
      <w:r>
        <w:rPr>
          <w:szCs w:val="21"/>
        </w:rPr>
        <w:t>内仍未支付</w:t>
      </w:r>
      <w:r>
        <w:rPr>
          <w:rFonts w:hint="eastAsia"/>
          <w:szCs w:val="21"/>
        </w:rPr>
        <w:t>时</w:t>
      </w:r>
      <w:r>
        <w:rPr>
          <w:szCs w:val="21"/>
        </w:rPr>
        <w:t>，发包人有权根据第16.3款争议和裁决的</w:t>
      </w:r>
      <w:r>
        <w:rPr>
          <w:rFonts w:hint="eastAsia"/>
          <w:szCs w:val="21"/>
        </w:rPr>
        <w:t>约定</w:t>
      </w:r>
      <w:r>
        <w:rPr>
          <w:szCs w:val="21"/>
        </w:rPr>
        <w:t>解决。</w:t>
      </w:r>
    </w:p>
    <w:p>
      <w:pPr>
        <w:spacing w:line="360" w:lineRule="auto"/>
        <w:ind w:firstLine="420" w:firstLineChars="200"/>
        <w:rPr>
          <w:szCs w:val="21"/>
        </w:rPr>
      </w:pPr>
      <w:r>
        <w:rPr>
          <w:rFonts w:hint="eastAsia"/>
          <w:szCs w:val="21"/>
        </w:rPr>
        <w:t>14.12.8竣工结算的争议。发包人收到承包人递交的竣工结算报告及完整的结算资料后的</w:t>
      </w:r>
      <w:r>
        <w:rPr>
          <w:szCs w:val="21"/>
        </w:rPr>
        <w:t>30</w:t>
      </w:r>
      <w:r>
        <w:rPr>
          <w:rFonts w:hint="eastAsia"/>
          <w:szCs w:val="21"/>
        </w:rPr>
        <w:t>日内，对工程竣工结算的价款发生争议时，共同委托一家具有相应资质等级的工程造价咨询单位进行竣工结算审核，按审核结果，结清竣工结算的款项。对审核结果仍有争议时，依据第</w:t>
      </w:r>
      <w:r>
        <w:rPr>
          <w:szCs w:val="21"/>
        </w:rPr>
        <w:t>16.3</w:t>
      </w:r>
      <w:r>
        <w:rPr>
          <w:rFonts w:hint="eastAsia"/>
          <w:szCs w:val="21"/>
        </w:rPr>
        <w:t>款争议和裁决的约定解决。</w:t>
      </w:r>
    </w:p>
    <w:p>
      <w:pPr>
        <w:spacing w:before="156" w:beforeLines="50" w:after="156" w:afterLines="50" w:line="360" w:lineRule="auto"/>
        <w:ind w:firstLine="420" w:firstLineChars="200"/>
        <w:rPr>
          <w:b/>
          <w:szCs w:val="21"/>
        </w:rPr>
      </w:pPr>
      <w:r>
        <w:rPr>
          <w:rFonts w:hint="eastAsia"/>
          <w:b/>
          <w:szCs w:val="21"/>
        </w:rPr>
        <w:t>第</w:t>
      </w:r>
      <w:r>
        <w:rPr>
          <w:b/>
          <w:szCs w:val="21"/>
        </w:rPr>
        <w:t>15</w:t>
      </w:r>
      <w:r>
        <w:rPr>
          <w:rFonts w:hint="eastAsia"/>
          <w:b/>
          <w:szCs w:val="21"/>
        </w:rPr>
        <w:t>条保险</w:t>
      </w:r>
    </w:p>
    <w:p>
      <w:pPr>
        <w:spacing w:before="156" w:beforeLines="50" w:after="156" w:afterLines="50" w:line="360" w:lineRule="auto"/>
        <w:ind w:firstLine="420" w:firstLineChars="200"/>
        <w:rPr>
          <w:b/>
          <w:szCs w:val="21"/>
        </w:rPr>
      </w:pPr>
      <w:r>
        <w:rPr>
          <w:rFonts w:hint="eastAsia"/>
          <w:b/>
          <w:szCs w:val="21"/>
        </w:rPr>
        <w:t>15.1  承包人的投保</w:t>
      </w:r>
    </w:p>
    <w:p>
      <w:pPr>
        <w:spacing w:line="360" w:lineRule="auto"/>
        <w:ind w:firstLine="420" w:firstLineChars="200"/>
        <w:rPr>
          <w:szCs w:val="21"/>
        </w:rPr>
      </w:pPr>
      <w:r>
        <w:rPr>
          <w:szCs w:val="21"/>
        </w:rPr>
        <w:t>15.1.1按适用法律</w:t>
      </w:r>
      <w:r>
        <w:rPr>
          <w:rFonts w:hint="eastAsia"/>
          <w:szCs w:val="21"/>
        </w:rPr>
        <w:t>、行政法规规定和专用条款约定的投保类别，由承包人</w:t>
      </w:r>
      <w:r>
        <w:rPr>
          <w:szCs w:val="21"/>
        </w:rPr>
        <w:t>投保</w:t>
      </w:r>
      <w:r>
        <w:rPr>
          <w:rFonts w:hint="eastAsia"/>
          <w:szCs w:val="21"/>
        </w:rPr>
        <w:t>的</w:t>
      </w:r>
      <w:r>
        <w:rPr>
          <w:szCs w:val="21"/>
        </w:rPr>
        <w:t>保险种类</w:t>
      </w:r>
      <w:r>
        <w:rPr>
          <w:rFonts w:hint="eastAsia"/>
          <w:szCs w:val="21"/>
        </w:rPr>
        <w:t>，其</w:t>
      </w:r>
      <w:r>
        <w:rPr>
          <w:szCs w:val="21"/>
        </w:rPr>
        <w:t>投保费用包含在合同价格中。</w:t>
      </w:r>
      <w:r>
        <w:rPr>
          <w:rFonts w:hint="eastAsia"/>
          <w:szCs w:val="21"/>
        </w:rPr>
        <w:t>在专用条款约定由承包人投保的保险种类、</w:t>
      </w:r>
      <w:r>
        <w:rPr>
          <w:szCs w:val="21"/>
        </w:rPr>
        <w:t>保险范围、投保金额、保险期限和持续有效</w:t>
      </w:r>
      <w:r>
        <w:rPr>
          <w:rFonts w:hint="eastAsia"/>
          <w:szCs w:val="21"/>
        </w:rPr>
        <w:t>的时间</w:t>
      </w:r>
      <w:r>
        <w:rPr>
          <w:szCs w:val="21"/>
        </w:rPr>
        <w:t>等。</w:t>
      </w:r>
    </w:p>
    <w:p>
      <w:pPr>
        <w:spacing w:line="360" w:lineRule="auto"/>
        <w:ind w:firstLine="420" w:firstLineChars="200"/>
        <w:rPr>
          <w:szCs w:val="21"/>
        </w:rPr>
      </w:pPr>
      <w:r>
        <w:rPr>
          <w:rFonts w:hint="eastAsia"/>
          <w:szCs w:val="21"/>
        </w:rPr>
        <w:t>（1）适用法律、行政法规规定的，及本专用条款约定的，由承包人负责投保的，依据工程实施阶段的需要按期投保；</w:t>
      </w:r>
    </w:p>
    <w:p>
      <w:pPr>
        <w:spacing w:line="360" w:lineRule="auto"/>
        <w:ind w:firstLine="420" w:firstLineChars="200"/>
        <w:rPr>
          <w:szCs w:val="21"/>
        </w:rPr>
      </w:pPr>
      <w:r>
        <w:rPr>
          <w:szCs w:val="21"/>
        </w:rPr>
        <w:t>（</w:t>
      </w:r>
      <w:r>
        <w:rPr>
          <w:rFonts w:hint="eastAsia"/>
          <w:szCs w:val="21"/>
        </w:rPr>
        <w:t>2</w:t>
      </w:r>
      <w:r>
        <w:rPr>
          <w:szCs w:val="21"/>
        </w:rPr>
        <w:t>）在合同执行过程中，</w:t>
      </w:r>
      <w:r>
        <w:rPr>
          <w:rFonts w:hint="eastAsia"/>
          <w:szCs w:val="21"/>
        </w:rPr>
        <w:t>新颁布的</w:t>
      </w:r>
      <w:r>
        <w:rPr>
          <w:szCs w:val="21"/>
        </w:rPr>
        <w:t>适用法律</w:t>
      </w:r>
      <w:r>
        <w:rPr>
          <w:rFonts w:hint="eastAsia"/>
          <w:szCs w:val="21"/>
        </w:rPr>
        <w:t>、法规</w:t>
      </w:r>
      <w:r>
        <w:rPr>
          <w:szCs w:val="21"/>
        </w:rPr>
        <w:t>规定</w:t>
      </w:r>
      <w:r>
        <w:rPr>
          <w:rFonts w:hint="eastAsia"/>
          <w:szCs w:val="21"/>
        </w:rPr>
        <w:t>的，</w:t>
      </w:r>
      <w:r>
        <w:rPr>
          <w:szCs w:val="21"/>
        </w:rPr>
        <w:t>由承包人投保的强制性保险，根据13条变更和合同价格调整的</w:t>
      </w:r>
      <w:r>
        <w:rPr>
          <w:rFonts w:hint="eastAsia"/>
          <w:szCs w:val="21"/>
        </w:rPr>
        <w:t>约定</w:t>
      </w:r>
      <w:r>
        <w:rPr>
          <w:szCs w:val="21"/>
        </w:rPr>
        <w:t>调整合同价格。</w:t>
      </w:r>
    </w:p>
    <w:p>
      <w:pPr>
        <w:spacing w:line="360" w:lineRule="auto"/>
        <w:ind w:firstLine="420" w:firstLineChars="200"/>
        <w:rPr>
          <w:szCs w:val="21"/>
        </w:rPr>
      </w:pPr>
      <w:r>
        <w:rPr>
          <w:szCs w:val="21"/>
        </w:rPr>
        <w:t>15.1.2保险单对联合被保险人提供保险时，保险赔偿对每个联合被保险人分别施用。承包人代表自己的被保险人，保证其被保险人遵守保险单</w:t>
      </w:r>
      <w:r>
        <w:rPr>
          <w:rFonts w:hint="eastAsia"/>
          <w:szCs w:val="21"/>
        </w:rPr>
        <w:t>约定</w:t>
      </w:r>
      <w:r>
        <w:rPr>
          <w:szCs w:val="21"/>
        </w:rPr>
        <w:t>的条件</w:t>
      </w:r>
      <w:r>
        <w:rPr>
          <w:rFonts w:hint="eastAsia"/>
          <w:szCs w:val="21"/>
        </w:rPr>
        <w:t>及其</w:t>
      </w:r>
      <w:r>
        <w:rPr>
          <w:szCs w:val="21"/>
        </w:rPr>
        <w:t>赔偿</w:t>
      </w:r>
      <w:r>
        <w:rPr>
          <w:rFonts w:hint="eastAsia"/>
          <w:szCs w:val="21"/>
        </w:rPr>
        <w:t>金额</w:t>
      </w:r>
      <w:r>
        <w:rPr>
          <w:szCs w:val="21"/>
        </w:rPr>
        <w:t>。</w:t>
      </w:r>
    </w:p>
    <w:p>
      <w:pPr>
        <w:spacing w:line="360" w:lineRule="auto"/>
        <w:ind w:firstLine="420" w:firstLineChars="200"/>
        <w:rPr>
          <w:szCs w:val="21"/>
        </w:rPr>
      </w:pPr>
      <w:r>
        <w:rPr>
          <w:szCs w:val="21"/>
        </w:rPr>
        <w:t>15.1.3</w:t>
      </w:r>
      <w:r>
        <w:rPr>
          <w:rFonts w:hint="eastAsia"/>
          <w:szCs w:val="21"/>
        </w:rPr>
        <w:t>承包人</w:t>
      </w:r>
      <w:r>
        <w:rPr>
          <w:szCs w:val="21"/>
        </w:rPr>
        <w:t>从保险人收到的理赔款项，用于保单</w:t>
      </w:r>
      <w:r>
        <w:rPr>
          <w:rFonts w:hint="eastAsia"/>
          <w:szCs w:val="21"/>
        </w:rPr>
        <w:t>约定</w:t>
      </w:r>
      <w:r>
        <w:rPr>
          <w:szCs w:val="21"/>
        </w:rPr>
        <w:t>的损失、损害、伤害的修复、购置、重建和赔偿。</w:t>
      </w:r>
    </w:p>
    <w:p>
      <w:pPr>
        <w:spacing w:line="360" w:lineRule="auto"/>
        <w:ind w:firstLine="420" w:firstLineChars="200"/>
        <w:rPr>
          <w:szCs w:val="21"/>
        </w:rPr>
      </w:pPr>
      <w:r>
        <w:rPr>
          <w:szCs w:val="21"/>
        </w:rPr>
        <w:t>15.1.4</w:t>
      </w:r>
      <w:r>
        <w:rPr>
          <w:rFonts w:hint="eastAsia"/>
          <w:szCs w:val="21"/>
        </w:rPr>
        <w:t>承包人</w:t>
      </w:r>
      <w:r>
        <w:rPr>
          <w:szCs w:val="21"/>
        </w:rPr>
        <w:t>在投保项目及其</w:t>
      </w:r>
      <w:r>
        <w:rPr>
          <w:rFonts w:hint="eastAsia"/>
          <w:szCs w:val="21"/>
        </w:rPr>
        <w:t>投保</w:t>
      </w:r>
      <w:r>
        <w:rPr>
          <w:szCs w:val="21"/>
        </w:rPr>
        <w:t>期限内，向</w:t>
      </w:r>
      <w:r>
        <w:rPr>
          <w:rFonts w:hint="eastAsia"/>
          <w:szCs w:val="21"/>
        </w:rPr>
        <w:t>发包人</w:t>
      </w:r>
      <w:r>
        <w:rPr>
          <w:szCs w:val="21"/>
        </w:rPr>
        <w:t>提供保险单副本、保费支付单据复印件和保险单生效的证明。</w:t>
      </w:r>
    </w:p>
    <w:p>
      <w:pPr>
        <w:spacing w:before="156" w:beforeLines="50" w:after="156" w:afterLines="50" w:line="360" w:lineRule="auto"/>
        <w:ind w:firstLine="420" w:firstLineChars="200"/>
        <w:rPr>
          <w:b/>
          <w:szCs w:val="21"/>
        </w:rPr>
      </w:pPr>
      <w:r>
        <w:rPr>
          <w:b/>
          <w:szCs w:val="21"/>
        </w:rPr>
        <w:t>15.2  一切险和第三方责任险</w:t>
      </w:r>
    </w:p>
    <w:p>
      <w:pPr>
        <w:spacing w:line="360" w:lineRule="auto"/>
        <w:ind w:firstLine="420" w:firstLineChars="200"/>
        <w:rPr>
          <w:szCs w:val="21"/>
        </w:rPr>
      </w:pPr>
      <w:r>
        <w:rPr>
          <w:szCs w:val="21"/>
        </w:rPr>
        <w:t>对于建筑工程一切险、安装工程一切险和第三者责任险，无论应投保方是任何一方，其在投保时均将本合同另一方同时列为保险合同项下的被保险人。具体</w:t>
      </w:r>
      <w:r>
        <w:rPr>
          <w:rFonts w:hint="eastAsia"/>
          <w:szCs w:val="21"/>
        </w:rPr>
        <w:t>的</w:t>
      </w:r>
      <w:r>
        <w:rPr>
          <w:szCs w:val="21"/>
        </w:rPr>
        <w:t>投保方在专用条款中</w:t>
      </w:r>
      <w:r>
        <w:rPr>
          <w:rFonts w:hint="eastAsia"/>
          <w:szCs w:val="21"/>
        </w:rPr>
        <w:t>约定</w:t>
      </w:r>
      <w:r>
        <w:rPr>
          <w:szCs w:val="21"/>
        </w:rPr>
        <w:t>。</w:t>
      </w:r>
    </w:p>
    <w:p>
      <w:pPr>
        <w:spacing w:line="360" w:lineRule="auto"/>
        <w:ind w:firstLine="420" w:firstLineChars="200"/>
        <w:rPr>
          <w:szCs w:val="21"/>
        </w:rPr>
      </w:pPr>
      <w:r>
        <w:rPr>
          <w:szCs w:val="21"/>
        </w:rPr>
        <w:t>15.3  保险的其他规定</w:t>
      </w:r>
    </w:p>
    <w:p>
      <w:pPr>
        <w:spacing w:line="360" w:lineRule="auto"/>
        <w:ind w:firstLine="420" w:firstLineChars="200"/>
        <w:rPr>
          <w:szCs w:val="21"/>
        </w:rPr>
      </w:pPr>
      <w:r>
        <w:rPr>
          <w:szCs w:val="21"/>
        </w:rPr>
        <w:t>15.3.1</w:t>
      </w:r>
      <w:r>
        <w:rPr>
          <w:rFonts w:hint="eastAsia"/>
          <w:szCs w:val="21"/>
        </w:rPr>
        <w:t>由承包人负责</w:t>
      </w:r>
      <w:r>
        <w:rPr>
          <w:szCs w:val="21"/>
        </w:rPr>
        <w:t>采购运输的设备、材料、部件的运输险</w:t>
      </w:r>
      <w:r>
        <w:rPr>
          <w:rFonts w:hint="eastAsia"/>
          <w:szCs w:val="21"/>
        </w:rPr>
        <w:t>，由承包人</w:t>
      </w:r>
      <w:r>
        <w:rPr>
          <w:szCs w:val="21"/>
        </w:rPr>
        <w:t>投保。此项保险费用已包含在合同价格中。</w:t>
      </w:r>
      <w:r>
        <w:rPr>
          <w:rFonts w:hint="eastAsia"/>
          <w:szCs w:val="21"/>
        </w:rPr>
        <w:t>除非专用条款中另有约定。</w:t>
      </w:r>
    </w:p>
    <w:p>
      <w:pPr>
        <w:spacing w:line="360" w:lineRule="auto"/>
        <w:ind w:firstLine="420" w:firstLineChars="200"/>
        <w:rPr>
          <w:szCs w:val="21"/>
        </w:rPr>
      </w:pPr>
      <w:r>
        <w:rPr>
          <w:szCs w:val="21"/>
        </w:rPr>
        <w:t>15.3.2保险事项的</w:t>
      </w:r>
      <w:r>
        <w:rPr>
          <w:rFonts w:hint="eastAsia"/>
          <w:szCs w:val="21"/>
        </w:rPr>
        <w:t>意外事件</w:t>
      </w:r>
      <w:r>
        <w:rPr>
          <w:szCs w:val="21"/>
        </w:rPr>
        <w:t>发生时，</w:t>
      </w:r>
      <w:r>
        <w:rPr>
          <w:rFonts w:hint="eastAsia"/>
          <w:szCs w:val="21"/>
        </w:rPr>
        <w:t>在场的各</w:t>
      </w:r>
      <w:r>
        <w:rPr>
          <w:szCs w:val="21"/>
        </w:rPr>
        <w:t>方均有责任努力采取必要措施，防止损失、损害的扩大。</w:t>
      </w:r>
    </w:p>
    <w:p>
      <w:pPr>
        <w:spacing w:line="360" w:lineRule="auto"/>
        <w:ind w:firstLine="420" w:firstLineChars="200"/>
        <w:rPr>
          <w:szCs w:val="21"/>
        </w:rPr>
      </w:pPr>
      <w:r>
        <w:rPr>
          <w:szCs w:val="21"/>
        </w:rPr>
        <w:t>15.3.3本合同</w:t>
      </w:r>
      <w:r>
        <w:rPr>
          <w:rFonts w:hint="eastAsia"/>
          <w:szCs w:val="21"/>
        </w:rPr>
        <w:t>约定</w:t>
      </w:r>
      <w:r>
        <w:rPr>
          <w:szCs w:val="21"/>
        </w:rPr>
        <w:t>以外的险种，根据各自的需要自行投保，保险费用</w:t>
      </w:r>
      <w:r>
        <w:rPr>
          <w:rFonts w:hint="eastAsia"/>
          <w:szCs w:val="21"/>
        </w:rPr>
        <w:t>由</w:t>
      </w:r>
      <w:r>
        <w:rPr>
          <w:szCs w:val="21"/>
        </w:rPr>
        <w:t>各自承担。</w:t>
      </w:r>
    </w:p>
    <w:p>
      <w:pPr>
        <w:spacing w:before="156" w:beforeLines="50" w:after="156" w:afterLines="50" w:line="360" w:lineRule="auto"/>
        <w:ind w:firstLine="411" w:firstLineChars="196"/>
        <w:rPr>
          <w:b/>
          <w:szCs w:val="21"/>
        </w:rPr>
      </w:pPr>
      <w:r>
        <w:rPr>
          <w:rFonts w:hint="eastAsia"/>
          <w:b/>
          <w:szCs w:val="21"/>
        </w:rPr>
        <w:t>第</w:t>
      </w:r>
      <w:r>
        <w:rPr>
          <w:b/>
          <w:szCs w:val="21"/>
        </w:rPr>
        <w:t>16</w:t>
      </w:r>
      <w:r>
        <w:rPr>
          <w:rFonts w:hint="eastAsia"/>
          <w:b/>
          <w:szCs w:val="21"/>
        </w:rPr>
        <w:t>条违约、索赔和裁决</w:t>
      </w:r>
    </w:p>
    <w:p>
      <w:pPr>
        <w:spacing w:before="156" w:beforeLines="50" w:after="156" w:afterLines="50" w:line="360" w:lineRule="auto"/>
        <w:ind w:firstLine="420" w:firstLineChars="200"/>
        <w:rPr>
          <w:b/>
          <w:szCs w:val="21"/>
        </w:rPr>
      </w:pPr>
      <w:r>
        <w:rPr>
          <w:b/>
          <w:szCs w:val="21"/>
        </w:rPr>
        <w:t>16.1</w:t>
      </w:r>
      <w:r>
        <w:rPr>
          <w:rFonts w:hint="eastAsia"/>
          <w:b/>
          <w:szCs w:val="21"/>
        </w:rPr>
        <w:t>违约责任</w:t>
      </w:r>
    </w:p>
    <w:p>
      <w:pPr>
        <w:spacing w:line="360" w:lineRule="auto"/>
        <w:ind w:firstLine="420" w:firstLineChars="200"/>
        <w:rPr>
          <w:szCs w:val="21"/>
        </w:rPr>
      </w:pPr>
      <w:r>
        <w:rPr>
          <w:szCs w:val="21"/>
        </w:rPr>
        <w:t>16.1.1</w:t>
      </w:r>
      <w:r>
        <w:rPr>
          <w:rFonts w:hint="eastAsia"/>
          <w:szCs w:val="21"/>
        </w:rPr>
        <w:t>发包人的违约责任。当发生下列情况时：</w:t>
      </w:r>
    </w:p>
    <w:p>
      <w:pPr>
        <w:spacing w:line="360" w:lineRule="auto"/>
        <w:ind w:firstLine="420" w:firstLineChars="200"/>
        <w:rPr>
          <w:szCs w:val="21"/>
        </w:rPr>
      </w:pPr>
      <w:r>
        <w:rPr>
          <w:rFonts w:hint="eastAsia"/>
          <w:szCs w:val="21"/>
        </w:rPr>
        <w:t>（1）发包人未能履行5.1.1款、5.2.1款第（1）、（2）项的约定，未能按时提供真实、准确、齐全的工艺技术或（和）建筑造型、项目基础资料和现场障碍资料；</w:t>
      </w:r>
    </w:p>
    <w:p>
      <w:pPr>
        <w:spacing w:line="360" w:lineRule="auto"/>
        <w:ind w:firstLine="420" w:firstLineChars="200"/>
        <w:rPr>
          <w:szCs w:val="21"/>
        </w:rPr>
      </w:pPr>
      <w:r>
        <w:rPr>
          <w:rFonts w:hint="eastAsia"/>
          <w:szCs w:val="21"/>
        </w:rPr>
        <w:t>（2）发包人未能按13条的约定调整合同价格，未能按预付款、工程进度款、竣工结算约定的款项类别、金额和时间支付相应款项；</w:t>
      </w:r>
    </w:p>
    <w:p>
      <w:pPr>
        <w:spacing w:line="360" w:lineRule="auto"/>
        <w:ind w:firstLine="420" w:firstLineChars="200"/>
        <w:rPr>
          <w:szCs w:val="21"/>
        </w:rPr>
      </w:pPr>
      <w:r>
        <w:rPr>
          <w:rFonts w:hint="eastAsia"/>
          <w:szCs w:val="21"/>
        </w:rPr>
        <w:t>（3）发包人未能履行合同中约定的其他责任和义务。</w:t>
      </w:r>
    </w:p>
    <w:p>
      <w:pPr>
        <w:spacing w:line="360" w:lineRule="auto"/>
        <w:ind w:firstLine="420" w:firstLineChars="200"/>
        <w:rPr>
          <w:szCs w:val="21"/>
        </w:rPr>
      </w:pPr>
      <w:r>
        <w:rPr>
          <w:rFonts w:hint="eastAsia"/>
          <w:szCs w:val="21"/>
        </w:rPr>
        <w:t>发包人采取补救措施，并赔偿因上述违约行为给承包人造成的损失。当造成工程关键路径延误时，竣工日期顺延。发包人承担的违约责任，并不能减轻或免除合同中约定的由发包人继续履行的其他责任和义务。</w:t>
      </w:r>
    </w:p>
    <w:p>
      <w:pPr>
        <w:spacing w:line="360" w:lineRule="auto"/>
        <w:ind w:firstLine="420" w:firstLineChars="200"/>
        <w:rPr>
          <w:szCs w:val="21"/>
        </w:rPr>
      </w:pPr>
      <w:r>
        <w:rPr>
          <w:szCs w:val="21"/>
        </w:rPr>
        <w:t>16.1.2</w:t>
      </w:r>
      <w:r>
        <w:rPr>
          <w:rFonts w:hint="eastAsia"/>
          <w:szCs w:val="21"/>
        </w:rPr>
        <w:t>承包人的违约责任。当发生下列情况时：</w:t>
      </w:r>
    </w:p>
    <w:p>
      <w:pPr>
        <w:spacing w:line="360" w:lineRule="auto"/>
        <w:ind w:firstLine="420" w:firstLineChars="200"/>
        <w:rPr>
          <w:szCs w:val="21"/>
        </w:rPr>
      </w:pPr>
      <w:r>
        <w:rPr>
          <w:rFonts w:hint="eastAsia"/>
          <w:szCs w:val="21"/>
        </w:rPr>
        <w:t>（1）承包人未能履行第6.2款对其提供的永久性工程设备、材料、部件进行检验的约定、第</w:t>
      </w:r>
      <w:r>
        <w:rPr>
          <w:szCs w:val="21"/>
        </w:rPr>
        <w:t>7.5</w:t>
      </w:r>
      <w:r>
        <w:rPr>
          <w:rFonts w:hint="eastAsia"/>
          <w:szCs w:val="21"/>
        </w:rPr>
        <w:t>款施工质量与检验的约定，未能修复缺陷；</w:t>
      </w:r>
    </w:p>
    <w:p>
      <w:pPr>
        <w:spacing w:line="360" w:lineRule="auto"/>
        <w:ind w:firstLine="420" w:firstLineChars="200"/>
        <w:rPr>
          <w:szCs w:val="21"/>
        </w:rPr>
      </w:pPr>
      <w:r>
        <w:rPr>
          <w:rFonts w:hint="eastAsia"/>
          <w:szCs w:val="21"/>
        </w:rPr>
        <w:t>（2）承包人经三次试验仍未能通过竣工验收、或经三次试验仍未能通过竣工后试验，导致的任何主要部分或整个工程丧失了使用价值、生产价值、使用利益；</w:t>
      </w:r>
    </w:p>
    <w:p>
      <w:pPr>
        <w:spacing w:line="360" w:lineRule="auto"/>
        <w:ind w:firstLine="420" w:firstLineChars="200"/>
        <w:rPr>
          <w:szCs w:val="21"/>
        </w:rPr>
      </w:pPr>
      <w:r>
        <w:rPr>
          <w:rFonts w:hint="eastAsia"/>
          <w:szCs w:val="21"/>
        </w:rPr>
        <w:t>（4）承包人未能履行合同约定的其他责任和义务；</w:t>
      </w:r>
    </w:p>
    <w:p>
      <w:pPr>
        <w:spacing w:line="360" w:lineRule="auto"/>
        <w:ind w:firstLine="420" w:firstLineChars="200"/>
        <w:rPr>
          <w:szCs w:val="21"/>
        </w:rPr>
      </w:pPr>
      <w:r>
        <w:rPr>
          <w:rFonts w:hint="eastAsia"/>
          <w:szCs w:val="21"/>
        </w:rPr>
        <w:t>（5）承包人未经发包人同意、或未经必要的许可、或适用法律不允许转让的，将工程转让他人。</w:t>
      </w:r>
    </w:p>
    <w:p>
      <w:pPr>
        <w:spacing w:line="360" w:lineRule="auto"/>
        <w:ind w:firstLine="420" w:firstLineChars="200"/>
        <w:rPr>
          <w:szCs w:val="21"/>
        </w:rPr>
      </w:pPr>
      <w:r>
        <w:rPr>
          <w:rFonts w:hint="eastAsia"/>
          <w:szCs w:val="21"/>
        </w:rPr>
        <w:t>承包人采取补救措施，并赔偿因上述违约行为给发包人造成的损失。承包人承担违约责任，并不能减轻或免除合同中约定的由承包人继续履行的其他责任和义务。</w:t>
      </w:r>
    </w:p>
    <w:p>
      <w:pPr>
        <w:spacing w:line="360" w:lineRule="auto"/>
        <w:ind w:firstLine="420" w:firstLineChars="200"/>
        <w:rPr>
          <w:szCs w:val="21"/>
        </w:rPr>
      </w:pPr>
      <w:r>
        <w:rPr>
          <w:rFonts w:hint="eastAsia"/>
          <w:szCs w:val="21"/>
        </w:rPr>
        <w:t>16.1.3专用条款关于违约责任的约定。</w:t>
      </w:r>
    </w:p>
    <w:p>
      <w:pPr>
        <w:spacing w:before="156" w:beforeLines="50" w:after="156" w:afterLines="50" w:line="360" w:lineRule="auto"/>
        <w:ind w:firstLine="420" w:firstLineChars="200"/>
        <w:rPr>
          <w:b/>
          <w:szCs w:val="21"/>
        </w:rPr>
      </w:pPr>
      <w:r>
        <w:rPr>
          <w:b/>
          <w:szCs w:val="21"/>
        </w:rPr>
        <w:t>16.2</w:t>
      </w:r>
      <w:r>
        <w:rPr>
          <w:rFonts w:hint="eastAsia"/>
          <w:b/>
          <w:szCs w:val="21"/>
        </w:rPr>
        <w:t>索赔</w:t>
      </w:r>
    </w:p>
    <w:p>
      <w:pPr>
        <w:spacing w:line="360" w:lineRule="auto"/>
        <w:ind w:firstLine="420" w:firstLineChars="200"/>
        <w:rPr>
          <w:szCs w:val="21"/>
        </w:rPr>
      </w:pPr>
      <w:r>
        <w:rPr>
          <w:szCs w:val="21"/>
        </w:rPr>
        <w:t>16.2.1</w:t>
      </w:r>
      <w:r>
        <w:rPr>
          <w:rFonts w:hint="eastAsia"/>
          <w:szCs w:val="21"/>
        </w:rPr>
        <w:t>发包人的索赔。发包人认为，承包人未能履行合同约定的职责、责任、义务，且根据本合同约定、与本合同有关的文件、资料的相关情况与事项，认为有权得到由承包人承担的损失、损害和伤害的赔偿，承包人未能按合同约定履行其赔偿责任时，发包人有权向承包人提出索赔。索赔依据法律及合同约定，并遵循如下程序进行：</w:t>
      </w:r>
    </w:p>
    <w:p>
      <w:pPr>
        <w:spacing w:line="360" w:lineRule="auto"/>
        <w:ind w:firstLine="420" w:firstLineChars="200"/>
        <w:rPr>
          <w:szCs w:val="21"/>
        </w:rPr>
      </w:pPr>
      <w:r>
        <w:rPr>
          <w:rFonts w:hint="eastAsia"/>
          <w:szCs w:val="21"/>
        </w:rPr>
        <w:t>（</w:t>
      </w:r>
      <w:r>
        <w:rPr>
          <w:szCs w:val="21"/>
        </w:rPr>
        <w:t>1</w:t>
      </w:r>
      <w:r>
        <w:rPr>
          <w:rFonts w:hint="eastAsia"/>
          <w:szCs w:val="21"/>
        </w:rPr>
        <w:t>）发包人在索赔事件发生后的</w:t>
      </w:r>
      <w:r>
        <w:rPr>
          <w:szCs w:val="21"/>
        </w:rPr>
        <w:t>30</w:t>
      </w:r>
      <w:r>
        <w:rPr>
          <w:rFonts w:hint="eastAsia"/>
          <w:szCs w:val="21"/>
        </w:rPr>
        <w:t>日内，向承包人送交索赔通知。未能在索赔事件发生后的</w:t>
      </w:r>
      <w:r>
        <w:rPr>
          <w:szCs w:val="21"/>
        </w:rPr>
        <w:t>30</w:t>
      </w:r>
      <w:r>
        <w:rPr>
          <w:rFonts w:hint="eastAsia"/>
          <w:szCs w:val="21"/>
        </w:rPr>
        <w:t>日内发出索赔通知，承包人不再承担任何责任，法律另有规定的除外；</w:t>
      </w:r>
    </w:p>
    <w:p>
      <w:pPr>
        <w:spacing w:line="360" w:lineRule="auto"/>
        <w:ind w:firstLine="420" w:firstLineChars="200"/>
        <w:rPr>
          <w:szCs w:val="21"/>
        </w:rPr>
      </w:pPr>
      <w:r>
        <w:rPr>
          <w:rFonts w:hint="eastAsia"/>
          <w:szCs w:val="21"/>
        </w:rPr>
        <w:t>（</w:t>
      </w:r>
      <w:r>
        <w:rPr>
          <w:szCs w:val="21"/>
        </w:rPr>
        <w:t>2</w:t>
      </w:r>
      <w:r>
        <w:rPr>
          <w:rFonts w:hint="eastAsia"/>
          <w:szCs w:val="21"/>
        </w:rPr>
        <w:t>）发包人在发出索赔通知后的</w:t>
      </w:r>
      <w:r>
        <w:rPr>
          <w:szCs w:val="21"/>
        </w:rPr>
        <w:t>30</w:t>
      </w:r>
      <w:r>
        <w:rPr>
          <w:rFonts w:hint="eastAsia"/>
          <w:szCs w:val="21"/>
        </w:rPr>
        <w:t>日内，以书面形式向承包人提供说明索赔事件的正当理由、条款根据、有效的可证实的证据和索赔估算等相关资料；</w:t>
      </w:r>
    </w:p>
    <w:p>
      <w:pPr>
        <w:spacing w:line="360" w:lineRule="auto"/>
        <w:ind w:firstLine="420" w:firstLineChars="200"/>
        <w:rPr>
          <w:szCs w:val="21"/>
        </w:rPr>
      </w:pPr>
      <w:r>
        <w:rPr>
          <w:rFonts w:hint="eastAsia"/>
          <w:szCs w:val="21"/>
        </w:rPr>
        <w:t>（</w:t>
      </w:r>
      <w:r>
        <w:rPr>
          <w:szCs w:val="21"/>
        </w:rPr>
        <w:t>3</w:t>
      </w:r>
      <w:r>
        <w:rPr>
          <w:rFonts w:hint="eastAsia"/>
          <w:szCs w:val="21"/>
        </w:rPr>
        <w:t>）承包人在收到发包人送交的索赔资料后，于</w:t>
      </w:r>
      <w:r>
        <w:rPr>
          <w:szCs w:val="21"/>
        </w:rPr>
        <w:t>30</w:t>
      </w:r>
      <w:r>
        <w:rPr>
          <w:rFonts w:hint="eastAsia"/>
          <w:szCs w:val="21"/>
        </w:rPr>
        <w:t>日内与发包人协商解决，或给予答复，或要求发包人进一步补充提供索赔理由和证据；</w:t>
      </w:r>
    </w:p>
    <w:p>
      <w:pPr>
        <w:spacing w:line="360" w:lineRule="auto"/>
        <w:ind w:firstLine="420" w:firstLineChars="200"/>
        <w:rPr>
          <w:szCs w:val="21"/>
        </w:rPr>
      </w:pPr>
      <w:r>
        <w:rPr>
          <w:rFonts w:hint="eastAsia"/>
          <w:szCs w:val="21"/>
        </w:rPr>
        <w:t>（</w:t>
      </w:r>
      <w:r>
        <w:rPr>
          <w:szCs w:val="21"/>
        </w:rPr>
        <w:t>4</w:t>
      </w:r>
      <w:r>
        <w:rPr>
          <w:rFonts w:hint="eastAsia"/>
          <w:szCs w:val="21"/>
        </w:rPr>
        <w:t>）承包人在收到发包人送交的索赔资料后</w:t>
      </w:r>
      <w:r>
        <w:rPr>
          <w:szCs w:val="21"/>
        </w:rPr>
        <w:t>30</w:t>
      </w:r>
      <w:r>
        <w:rPr>
          <w:rFonts w:hint="eastAsia"/>
          <w:szCs w:val="21"/>
        </w:rPr>
        <w:t>日内未与发包人协商、未予答复、或未向发包人提出进一步要求，视为该项索赔已被承包人认可。</w:t>
      </w:r>
    </w:p>
    <w:p>
      <w:pPr>
        <w:spacing w:line="360" w:lineRule="auto"/>
        <w:ind w:firstLine="420" w:firstLineChars="200"/>
        <w:rPr>
          <w:szCs w:val="21"/>
        </w:rPr>
      </w:pPr>
      <w:r>
        <w:rPr>
          <w:rFonts w:hint="eastAsia"/>
          <w:szCs w:val="21"/>
        </w:rPr>
        <w:t>（5）当发包人提出的索赔事件持续影响时，每周向承包人发出索赔事件的延续影响情况，在该索赔事件延续影响停止后的</w:t>
      </w:r>
      <w:r>
        <w:rPr>
          <w:szCs w:val="21"/>
        </w:rPr>
        <w:t>30</w:t>
      </w:r>
      <w:r>
        <w:rPr>
          <w:rFonts w:hint="eastAsia"/>
          <w:szCs w:val="21"/>
        </w:rPr>
        <w:t>日内，发包人向承包人送交最终索赔报告和最终索赔估算。索赔程序与本款第（1）项至第（</w:t>
      </w:r>
      <w:r>
        <w:rPr>
          <w:szCs w:val="21"/>
        </w:rPr>
        <w:t>4</w:t>
      </w:r>
      <w:r>
        <w:rPr>
          <w:rFonts w:hint="eastAsia"/>
          <w:szCs w:val="21"/>
        </w:rPr>
        <w:t>）项的约定相同。</w:t>
      </w:r>
    </w:p>
    <w:p>
      <w:pPr>
        <w:spacing w:line="360" w:lineRule="auto"/>
        <w:ind w:firstLine="420" w:firstLineChars="200"/>
        <w:rPr>
          <w:szCs w:val="21"/>
        </w:rPr>
      </w:pPr>
      <w:r>
        <w:rPr>
          <w:szCs w:val="21"/>
        </w:rPr>
        <w:t>16.2.2</w:t>
      </w:r>
      <w:r>
        <w:rPr>
          <w:rFonts w:hint="eastAsia"/>
          <w:szCs w:val="21"/>
        </w:rPr>
        <w:t>承包人的索赔。承包人认为，发包人未能履行合同约定的职责、责任和义务，且根据本合同的任何条款的约定、与本合同有关的文件、资料的相关情况和事项，认为有权得到由发包人承担的损失、损害和伤害的赔偿及竣工日期延长，发包人未能按合同约定履行其赔偿义务时，承包人有权向发包人提出索赔。索赔依据法律和合同约定，并遵循如下程序进行：</w:t>
      </w:r>
    </w:p>
    <w:p>
      <w:pPr>
        <w:spacing w:line="360" w:lineRule="auto"/>
        <w:ind w:firstLine="420" w:firstLineChars="200"/>
        <w:rPr>
          <w:szCs w:val="21"/>
        </w:rPr>
      </w:pPr>
      <w:r>
        <w:rPr>
          <w:rFonts w:hint="eastAsia"/>
          <w:szCs w:val="21"/>
        </w:rPr>
        <w:t>（</w:t>
      </w:r>
      <w:r>
        <w:rPr>
          <w:szCs w:val="21"/>
        </w:rPr>
        <w:t>1）</w:t>
      </w:r>
      <w:r>
        <w:rPr>
          <w:rFonts w:hint="eastAsia"/>
          <w:szCs w:val="21"/>
        </w:rPr>
        <w:t>索赔事件发生后</w:t>
      </w:r>
      <w:r>
        <w:rPr>
          <w:szCs w:val="21"/>
        </w:rPr>
        <w:t>30</w:t>
      </w:r>
      <w:r>
        <w:rPr>
          <w:rFonts w:hint="eastAsia"/>
          <w:szCs w:val="21"/>
        </w:rPr>
        <w:t>日内，向发包人发出索赔通知。未在索赔事件发生后的</w:t>
      </w:r>
      <w:r>
        <w:rPr>
          <w:szCs w:val="21"/>
        </w:rPr>
        <w:t>30</w:t>
      </w:r>
      <w:r>
        <w:rPr>
          <w:rFonts w:hint="eastAsia"/>
          <w:szCs w:val="21"/>
        </w:rPr>
        <w:t>日内发出索赔通知，发包人不再承担任何责任，法律另有规定除外；</w:t>
      </w:r>
    </w:p>
    <w:p>
      <w:pPr>
        <w:spacing w:line="360" w:lineRule="auto"/>
        <w:ind w:firstLine="420" w:firstLineChars="200"/>
        <w:rPr>
          <w:szCs w:val="21"/>
        </w:rPr>
      </w:pPr>
      <w:r>
        <w:rPr>
          <w:rFonts w:hint="eastAsia"/>
          <w:szCs w:val="21"/>
        </w:rPr>
        <w:t>（</w:t>
      </w:r>
      <w:r>
        <w:rPr>
          <w:szCs w:val="21"/>
        </w:rPr>
        <w:t>2</w:t>
      </w:r>
      <w:r>
        <w:rPr>
          <w:rFonts w:hint="eastAsia"/>
          <w:szCs w:val="21"/>
        </w:rPr>
        <w:t>）承包人在发出索赔事件通知后的</w:t>
      </w:r>
      <w:r>
        <w:rPr>
          <w:szCs w:val="21"/>
        </w:rPr>
        <w:t>30</w:t>
      </w:r>
      <w:r>
        <w:rPr>
          <w:rFonts w:hint="eastAsia"/>
          <w:szCs w:val="21"/>
        </w:rPr>
        <w:t>日内，以书面形式向发包人提交说明索赔事件的正当理由、条款根据、有效的可证实的证据和索赔估算资料的报告；</w:t>
      </w:r>
    </w:p>
    <w:p>
      <w:pPr>
        <w:spacing w:line="360" w:lineRule="auto"/>
        <w:ind w:firstLine="420" w:firstLineChars="200"/>
        <w:rPr>
          <w:szCs w:val="21"/>
        </w:rPr>
      </w:pPr>
      <w:r>
        <w:rPr>
          <w:rFonts w:hint="eastAsia"/>
          <w:szCs w:val="21"/>
        </w:rPr>
        <w:t>（</w:t>
      </w:r>
      <w:r>
        <w:rPr>
          <w:szCs w:val="21"/>
        </w:rPr>
        <w:t>3</w:t>
      </w:r>
      <w:r>
        <w:rPr>
          <w:rFonts w:hint="eastAsia"/>
          <w:szCs w:val="21"/>
        </w:rPr>
        <w:t>）发包人在收到承包人送交的有关索赔资料的报告后，于</w:t>
      </w:r>
      <w:r>
        <w:rPr>
          <w:szCs w:val="21"/>
        </w:rPr>
        <w:t>30</w:t>
      </w:r>
      <w:r>
        <w:rPr>
          <w:rFonts w:hint="eastAsia"/>
          <w:szCs w:val="21"/>
        </w:rPr>
        <w:t>日内与承包人协商解决，或给予答复，或要求承包人进一步补充索赔理由和证据；</w:t>
      </w:r>
    </w:p>
    <w:p>
      <w:pPr>
        <w:spacing w:line="360" w:lineRule="auto"/>
        <w:ind w:firstLine="420" w:firstLineChars="200"/>
        <w:rPr>
          <w:szCs w:val="21"/>
        </w:rPr>
      </w:pPr>
      <w:r>
        <w:rPr>
          <w:rFonts w:hint="eastAsia"/>
          <w:szCs w:val="21"/>
        </w:rPr>
        <w:t>（</w:t>
      </w:r>
      <w:r>
        <w:rPr>
          <w:szCs w:val="21"/>
        </w:rPr>
        <w:t>4</w:t>
      </w:r>
      <w:r>
        <w:rPr>
          <w:rFonts w:hint="eastAsia"/>
          <w:szCs w:val="21"/>
        </w:rPr>
        <w:t>）发包人在收到承包人按本款第（3）项提交的报告和补充资料后的</w:t>
      </w:r>
      <w:r>
        <w:rPr>
          <w:szCs w:val="21"/>
        </w:rPr>
        <w:t>30</w:t>
      </w:r>
      <w:r>
        <w:rPr>
          <w:rFonts w:hint="eastAsia"/>
          <w:szCs w:val="21"/>
        </w:rPr>
        <w:t>日内未与承包人协商、或未予答复、或未向承包人提出进一步补充要求，视为该项索赔已被发包人认可。</w:t>
      </w:r>
    </w:p>
    <w:p>
      <w:pPr>
        <w:spacing w:line="360" w:lineRule="auto"/>
        <w:ind w:firstLine="420" w:firstLineChars="200"/>
        <w:rPr>
          <w:szCs w:val="21"/>
        </w:rPr>
      </w:pPr>
      <w:r>
        <w:rPr>
          <w:rFonts w:hint="eastAsia"/>
          <w:szCs w:val="21"/>
        </w:rPr>
        <w:t>（5）当承包人提出的索赔事件持续影响时，承包人每周向发包人发出索赔事件的延续影响情况，在该索赔事件延续影响停止后的</w:t>
      </w:r>
      <w:r>
        <w:rPr>
          <w:szCs w:val="21"/>
        </w:rPr>
        <w:t>30</w:t>
      </w:r>
      <w:r>
        <w:rPr>
          <w:rFonts w:hint="eastAsia"/>
          <w:szCs w:val="21"/>
        </w:rPr>
        <w:t>日内，承包人向发包人送交最终索赔报告和最终索赔估算。索赔程序与本款第（1）项至第（</w:t>
      </w:r>
      <w:r>
        <w:rPr>
          <w:szCs w:val="21"/>
        </w:rPr>
        <w:t>4</w:t>
      </w:r>
      <w:r>
        <w:rPr>
          <w:rFonts w:hint="eastAsia"/>
          <w:szCs w:val="21"/>
        </w:rPr>
        <w:t>）项的约定相同。</w:t>
      </w:r>
    </w:p>
    <w:p>
      <w:pPr>
        <w:spacing w:before="156" w:beforeLines="50" w:after="156" w:afterLines="50" w:line="360" w:lineRule="auto"/>
        <w:ind w:firstLine="420" w:firstLineChars="200"/>
        <w:rPr>
          <w:b/>
          <w:szCs w:val="21"/>
        </w:rPr>
      </w:pPr>
      <w:r>
        <w:rPr>
          <w:b/>
          <w:szCs w:val="21"/>
        </w:rPr>
        <w:t>16.3</w:t>
      </w:r>
      <w:r>
        <w:rPr>
          <w:rFonts w:hint="eastAsia"/>
          <w:b/>
          <w:szCs w:val="21"/>
        </w:rPr>
        <w:t>争议和裁决</w:t>
      </w:r>
    </w:p>
    <w:p>
      <w:pPr>
        <w:spacing w:line="360" w:lineRule="auto"/>
        <w:ind w:firstLine="420" w:firstLineChars="200"/>
        <w:rPr>
          <w:szCs w:val="21"/>
        </w:rPr>
      </w:pPr>
      <w:r>
        <w:rPr>
          <w:szCs w:val="21"/>
        </w:rPr>
        <w:t>16.3.1</w:t>
      </w:r>
      <w:r>
        <w:rPr>
          <w:rFonts w:hint="eastAsia"/>
          <w:szCs w:val="21"/>
        </w:rPr>
        <w:t>争议的解决程序。发生争议时，当事人首先采取协商方式和解；经协商无法和解或当事人表明不愿协商和解时，采取仲裁或诉讼解决索赔争议。商定的仲裁机构的名称和地点，在专用条款中约定。</w:t>
      </w:r>
    </w:p>
    <w:p>
      <w:pPr>
        <w:spacing w:line="360" w:lineRule="auto"/>
        <w:ind w:firstLine="420" w:firstLineChars="200"/>
        <w:rPr>
          <w:szCs w:val="21"/>
        </w:rPr>
      </w:pPr>
      <w:r>
        <w:rPr>
          <w:szCs w:val="21"/>
        </w:rPr>
        <w:t>16.3.2</w:t>
      </w:r>
      <w:r>
        <w:rPr>
          <w:rFonts w:hint="eastAsia"/>
          <w:szCs w:val="21"/>
        </w:rPr>
        <w:t>争议不影响履约。发生争议后，须继续履行其合同约定的责任和义务，保持工程继续实施。除非出现下列情况，任何一方不得停止工程或部分工程的实施，</w:t>
      </w:r>
    </w:p>
    <w:p>
      <w:pPr>
        <w:spacing w:line="360" w:lineRule="auto"/>
        <w:ind w:firstLine="420" w:firstLineChars="200"/>
        <w:rPr>
          <w:szCs w:val="21"/>
        </w:rPr>
      </w:pPr>
      <w:r>
        <w:rPr>
          <w:rFonts w:hint="eastAsia"/>
          <w:szCs w:val="21"/>
        </w:rPr>
        <w:t>（</w:t>
      </w:r>
      <w:r>
        <w:rPr>
          <w:szCs w:val="21"/>
        </w:rPr>
        <w:t>1</w:t>
      </w:r>
      <w:r>
        <w:rPr>
          <w:rFonts w:hint="eastAsia"/>
          <w:szCs w:val="21"/>
        </w:rPr>
        <w:t>）当事人一方违约导致合同确已无法履行，经合同双方协议停止实施；</w:t>
      </w:r>
    </w:p>
    <w:p>
      <w:pPr>
        <w:spacing w:line="360" w:lineRule="auto"/>
        <w:ind w:firstLine="420" w:firstLineChars="200"/>
        <w:rPr>
          <w:szCs w:val="21"/>
        </w:rPr>
      </w:pPr>
      <w:r>
        <w:rPr>
          <w:rFonts w:hint="eastAsia"/>
          <w:szCs w:val="21"/>
        </w:rPr>
        <w:t>（2）仲裁机构或法院责令停止实施。</w:t>
      </w:r>
    </w:p>
    <w:p>
      <w:pPr>
        <w:spacing w:line="360" w:lineRule="auto"/>
        <w:ind w:firstLine="420" w:firstLineChars="200"/>
        <w:rPr>
          <w:szCs w:val="21"/>
        </w:rPr>
      </w:pPr>
      <w:r>
        <w:rPr>
          <w:szCs w:val="21"/>
        </w:rPr>
        <w:t>16.3.3</w:t>
      </w:r>
      <w:r>
        <w:rPr>
          <w:rFonts w:hint="eastAsia"/>
          <w:szCs w:val="21"/>
        </w:rPr>
        <w:t>停止实施的工程保护。根据16.3.2款约定，停止实施的工程或部分工程，当事人按合同约定的职责、责任和义务，保护好与本合同工程有关的各种文件、资料、图纸、已完工程，以及尚未使用的永久性工程的设备、材料和部件。</w:t>
      </w:r>
    </w:p>
    <w:p>
      <w:pPr>
        <w:spacing w:before="156" w:beforeLines="50" w:after="156" w:afterLines="50" w:line="360" w:lineRule="auto"/>
        <w:ind w:firstLine="411" w:firstLineChars="196"/>
        <w:rPr>
          <w:b/>
          <w:szCs w:val="21"/>
        </w:rPr>
      </w:pPr>
      <w:r>
        <w:rPr>
          <w:rFonts w:hint="eastAsia"/>
          <w:b/>
          <w:szCs w:val="21"/>
        </w:rPr>
        <w:t>第</w:t>
      </w:r>
      <w:r>
        <w:rPr>
          <w:b/>
          <w:szCs w:val="21"/>
        </w:rPr>
        <w:t>17</w:t>
      </w:r>
      <w:r>
        <w:rPr>
          <w:rFonts w:hint="eastAsia"/>
          <w:b/>
          <w:szCs w:val="21"/>
        </w:rPr>
        <w:t>条不可抗力</w:t>
      </w:r>
    </w:p>
    <w:p>
      <w:pPr>
        <w:spacing w:before="156" w:beforeLines="50" w:after="156" w:afterLines="50" w:line="360" w:lineRule="auto"/>
        <w:ind w:firstLine="411" w:firstLineChars="196"/>
        <w:rPr>
          <w:b/>
          <w:szCs w:val="21"/>
        </w:rPr>
      </w:pPr>
      <w:r>
        <w:rPr>
          <w:b/>
          <w:szCs w:val="21"/>
        </w:rPr>
        <w:t>17.</w:t>
      </w:r>
      <w:r>
        <w:rPr>
          <w:rFonts w:hint="eastAsia"/>
          <w:b/>
          <w:szCs w:val="21"/>
        </w:rPr>
        <w:t xml:space="preserve">1  </w:t>
      </w:r>
      <w:r>
        <w:rPr>
          <w:b/>
          <w:szCs w:val="21"/>
        </w:rPr>
        <w:t>不可抗力发生</w:t>
      </w:r>
      <w:r>
        <w:rPr>
          <w:rFonts w:hint="eastAsia"/>
          <w:b/>
          <w:szCs w:val="21"/>
        </w:rPr>
        <w:t>时的义务</w:t>
      </w:r>
    </w:p>
    <w:p>
      <w:pPr>
        <w:spacing w:line="360" w:lineRule="auto"/>
        <w:ind w:firstLine="420" w:firstLineChars="200"/>
        <w:rPr>
          <w:szCs w:val="21"/>
        </w:rPr>
      </w:pPr>
      <w:r>
        <w:rPr>
          <w:szCs w:val="21"/>
        </w:rPr>
        <w:t>17.</w:t>
      </w:r>
      <w:r>
        <w:rPr>
          <w:rFonts w:hint="eastAsia"/>
          <w:szCs w:val="21"/>
        </w:rPr>
        <w:t>1</w:t>
      </w:r>
      <w:r>
        <w:rPr>
          <w:szCs w:val="21"/>
        </w:rPr>
        <w:t>.1</w:t>
      </w:r>
      <w:r>
        <w:rPr>
          <w:rFonts w:hint="eastAsia"/>
          <w:szCs w:val="21"/>
        </w:rPr>
        <w:t>通知义务。觉察或发现不可抗力事件发生的一方，有义务立即通知另一方。根据本合同约定，工程现场照管的责任方，在不可抗力事件发生时，在力所能及的条件下迅速采取措施，尽力减少损失；另一方全力协助并采取措施。需暂停实施的施工或工作，立即停止。</w:t>
      </w:r>
    </w:p>
    <w:p>
      <w:pPr>
        <w:spacing w:line="360" w:lineRule="auto"/>
        <w:ind w:firstLine="420" w:firstLineChars="200"/>
        <w:rPr>
          <w:szCs w:val="21"/>
        </w:rPr>
      </w:pPr>
      <w:r>
        <w:rPr>
          <w:szCs w:val="21"/>
        </w:rPr>
        <w:t>17.</w:t>
      </w:r>
      <w:r>
        <w:rPr>
          <w:rFonts w:hint="eastAsia"/>
          <w:szCs w:val="21"/>
        </w:rPr>
        <w:t>1</w:t>
      </w:r>
      <w:r>
        <w:rPr>
          <w:szCs w:val="21"/>
        </w:rPr>
        <w:t>.2通报义务。不可抗力事件结束后的48小时内，</w:t>
      </w:r>
      <w:r>
        <w:rPr>
          <w:rFonts w:hint="eastAsia"/>
          <w:szCs w:val="21"/>
        </w:rPr>
        <w:t>工程现场的照管方是</w:t>
      </w:r>
      <w:r>
        <w:rPr>
          <w:szCs w:val="21"/>
        </w:rPr>
        <w:t>承包人</w:t>
      </w:r>
      <w:r>
        <w:rPr>
          <w:rFonts w:hint="eastAsia"/>
          <w:szCs w:val="21"/>
        </w:rPr>
        <w:t>时，承包人须</w:t>
      </w:r>
      <w:r>
        <w:rPr>
          <w:szCs w:val="21"/>
        </w:rPr>
        <w:t>向发包人通报受害和损失情况。</w:t>
      </w:r>
      <w:r>
        <w:rPr>
          <w:rFonts w:hint="eastAsia"/>
          <w:szCs w:val="21"/>
        </w:rPr>
        <w:t>当</w:t>
      </w:r>
      <w:r>
        <w:rPr>
          <w:szCs w:val="21"/>
        </w:rPr>
        <w:t>不可抗力事件持续发生</w:t>
      </w:r>
      <w:r>
        <w:rPr>
          <w:rFonts w:hint="eastAsia"/>
          <w:szCs w:val="21"/>
        </w:rPr>
        <w:t>时</w:t>
      </w:r>
      <w:r>
        <w:rPr>
          <w:szCs w:val="21"/>
        </w:rPr>
        <w:t>，承包人每周向发包人和工程总监报告受害情况。对报告周期另有约定</w:t>
      </w:r>
      <w:r>
        <w:rPr>
          <w:rFonts w:hint="eastAsia"/>
          <w:szCs w:val="21"/>
        </w:rPr>
        <w:t>时</w:t>
      </w:r>
      <w:r>
        <w:rPr>
          <w:szCs w:val="21"/>
        </w:rPr>
        <w:t>除外。</w:t>
      </w:r>
    </w:p>
    <w:p>
      <w:pPr>
        <w:spacing w:before="156" w:beforeLines="50" w:after="156" w:afterLines="50" w:line="360" w:lineRule="auto"/>
        <w:ind w:firstLine="411" w:firstLineChars="196"/>
        <w:rPr>
          <w:b/>
          <w:szCs w:val="21"/>
        </w:rPr>
      </w:pPr>
      <w:r>
        <w:rPr>
          <w:b/>
          <w:szCs w:val="21"/>
        </w:rPr>
        <w:t>17.</w:t>
      </w:r>
      <w:r>
        <w:rPr>
          <w:rFonts w:hint="eastAsia"/>
          <w:b/>
          <w:szCs w:val="21"/>
        </w:rPr>
        <w:t>2</w:t>
      </w:r>
      <w:r>
        <w:rPr>
          <w:b/>
          <w:szCs w:val="21"/>
        </w:rPr>
        <w:t>不可抗力的后果</w:t>
      </w:r>
    </w:p>
    <w:p>
      <w:pPr>
        <w:spacing w:line="360" w:lineRule="auto"/>
        <w:ind w:firstLine="420" w:firstLineChars="200"/>
        <w:rPr>
          <w:szCs w:val="21"/>
        </w:rPr>
      </w:pPr>
      <w:r>
        <w:rPr>
          <w:rFonts w:hint="eastAsia"/>
          <w:szCs w:val="21"/>
        </w:rPr>
        <w:t>因不可抗力事件导致的损失、损害、伤害所发生的费用及延误的竣工日期，依据如下约定，</w:t>
      </w:r>
      <w:r>
        <w:rPr>
          <w:szCs w:val="21"/>
        </w:rPr>
        <w:br w:type="textWrapping"/>
      </w:r>
      <w:r>
        <w:rPr>
          <w:rFonts w:hint="eastAsia"/>
          <w:szCs w:val="21"/>
        </w:rPr>
        <w:t>　　（</w:t>
      </w:r>
      <w:r>
        <w:rPr>
          <w:szCs w:val="21"/>
        </w:rPr>
        <w:t>1</w:t>
      </w:r>
      <w:r>
        <w:rPr>
          <w:rFonts w:hint="eastAsia"/>
          <w:szCs w:val="21"/>
        </w:rPr>
        <w:t>）永久性工程及其设备、材料、部件等损失、损害，由发包人承担；</w:t>
      </w:r>
    </w:p>
    <w:p>
      <w:pPr>
        <w:spacing w:line="360" w:lineRule="auto"/>
        <w:ind w:firstLine="420" w:firstLineChars="200"/>
        <w:rPr>
          <w:szCs w:val="21"/>
        </w:rPr>
      </w:pPr>
      <w:r>
        <w:rPr>
          <w:rFonts w:hint="eastAsia"/>
          <w:szCs w:val="21"/>
        </w:rPr>
        <w:t>（2）受雇人员的伤害，分别按照各自的雇用合同关系负责处理；</w:t>
      </w:r>
      <w:r>
        <w:rPr>
          <w:szCs w:val="21"/>
        </w:rPr>
        <w:br w:type="textWrapping"/>
      </w:r>
      <w:r>
        <w:rPr>
          <w:rFonts w:hint="eastAsia"/>
          <w:szCs w:val="21"/>
        </w:rPr>
        <w:t>　　（3）承包人的机具、设备、财产和临时工程的损失、损害，由承包人承担；</w:t>
      </w:r>
    </w:p>
    <w:p>
      <w:pPr>
        <w:spacing w:line="360" w:lineRule="auto"/>
        <w:ind w:firstLine="420" w:firstLineChars="200"/>
        <w:rPr>
          <w:szCs w:val="21"/>
        </w:rPr>
      </w:pPr>
      <w:r>
        <w:rPr>
          <w:rFonts w:hint="eastAsia"/>
          <w:szCs w:val="21"/>
        </w:rPr>
        <w:t>（4）因不可抗力事件造成承包人的停工损失，由承包人承担；</w:t>
      </w:r>
    </w:p>
    <w:p>
      <w:pPr>
        <w:spacing w:line="360" w:lineRule="auto"/>
        <w:ind w:firstLine="420" w:firstLineChars="200"/>
        <w:rPr>
          <w:szCs w:val="21"/>
        </w:rPr>
      </w:pPr>
      <w:r>
        <w:rPr>
          <w:rFonts w:hint="eastAsia"/>
          <w:szCs w:val="21"/>
        </w:rPr>
        <w:t>（5）不可抗力事件发生后，因一方迟延履行合同约定的保护义务导致的延续损失、损害，由迟延履行义务的一方承担相应责任及其损失；</w:t>
      </w:r>
    </w:p>
    <w:p>
      <w:pPr>
        <w:spacing w:line="360" w:lineRule="auto"/>
        <w:ind w:firstLine="420" w:firstLineChars="200"/>
        <w:rPr>
          <w:szCs w:val="21"/>
        </w:rPr>
      </w:pPr>
      <w:r>
        <w:rPr>
          <w:rFonts w:hint="eastAsia"/>
          <w:szCs w:val="21"/>
        </w:rPr>
        <w:t>（6）发包人通知恢复建设时，承包人在接到通知后的</w:t>
      </w:r>
      <w:r>
        <w:rPr>
          <w:szCs w:val="21"/>
        </w:rPr>
        <w:t>20</w:t>
      </w:r>
      <w:r>
        <w:rPr>
          <w:rFonts w:hint="eastAsia"/>
          <w:szCs w:val="21"/>
        </w:rPr>
        <w:t>日内、或双方根据具体情况约定的时间内，提交清理、修复的方案及其估算，以及进度计划安排的资料和报告，经发包人确认后，所需的清理、修复费用由发包人承担。恢复建设的竣工日期相应顺延。</w:t>
      </w:r>
    </w:p>
    <w:p>
      <w:pPr>
        <w:spacing w:before="156" w:beforeLines="50" w:after="156" w:afterLines="50" w:line="360" w:lineRule="auto"/>
        <w:ind w:firstLine="411" w:firstLineChars="196"/>
        <w:rPr>
          <w:b/>
          <w:szCs w:val="21"/>
        </w:rPr>
      </w:pPr>
      <w:r>
        <w:rPr>
          <w:rFonts w:hint="eastAsia"/>
          <w:b/>
          <w:szCs w:val="21"/>
        </w:rPr>
        <w:t>第</w:t>
      </w:r>
      <w:r>
        <w:rPr>
          <w:b/>
          <w:szCs w:val="21"/>
        </w:rPr>
        <w:t>18</w:t>
      </w:r>
      <w:r>
        <w:rPr>
          <w:rFonts w:hint="eastAsia"/>
          <w:b/>
          <w:szCs w:val="21"/>
        </w:rPr>
        <w:t>条合同解除</w:t>
      </w:r>
    </w:p>
    <w:p>
      <w:pPr>
        <w:spacing w:before="156" w:beforeLines="50" w:after="156" w:afterLines="50" w:line="360" w:lineRule="auto"/>
        <w:ind w:firstLine="411" w:firstLineChars="196"/>
        <w:rPr>
          <w:b/>
          <w:szCs w:val="21"/>
        </w:rPr>
      </w:pPr>
      <w:r>
        <w:rPr>
          <w:rFonts w:hint="eastAsia"/>
          <w:b/>
          <w:szCs w:val="21"/>
        </w:rPr>
        <w:t>18.1由发包人解除合同</w:t>
      </w:r>
    </w:p>
    <w:p>
      <w:pPr>
        <w:spacing w:line="360" w:lineRule="auto"/>
        <w:ind w:firstLine="420" w:firstLineChars="200"/>
        <w:rPr>
          <w:szCs w:val="21"/>
        </w:rPr>
      </w:pPr>
      <w:r>
        <w:rPr>
          <w:rFonts w:hint="eastAsia"/>
          <w:szCs w:val="21"/>
        </w:rPr>
        <w:t>18.1.1通知改正。承包人未能按合同履行其职责、责任和义务，发包人可通知承包人，在合理的时间内纠正并补救其违约行为。</w:t>
      </w:r>
    </w:p>
    <w:p>
      <w:pPr>
        <w:spacing w:line="360" w:lineRule="auto"/>
        <w:ind w:firstLine="420" w:firstLineChars="200"/>
        <w:rPr>
          <w:szCs w:val="21"/>
        </w:rPr>
      </w:pPr>
      <w:r>
        <w:rPr>
          <w:rFonts w:hint="eastAsia"/>
          <w:szCs w:val="21"/>
        </w:rPr>
        <w:t>18.1.2由发包人解除合同。发包人有权基于下列原因，以书面形式通知解除合同或解除合同的部分工作。在发出解除合同通知15天前告知承包人。发包人解除合同并不影响其根据合同约定享有的任何其他权利。</w:t>
      </w:r>
    </w:p>
    <w:p>
      <w:pPr>
        <w:spacing w:line="360" w:lineRule="auto"/>
        <w:ind w:firstLine="420" w:firstLineChars="200"/>
        <w:rPr>
          <w:szCs w:val="21"/>
        </w:rPr>
      </w:pPr>
      <w:r>
        <w:rPr>
          <w:rFonts w:hint="eastAsia"/>
          <w:szCs w:val="21"/>
        </w:rPr>
        <w:t>（1）承包人未能遵守14.2.1款履约保证金的约定；</w:t>
      </w:r>
    </w:p>
    <w:p>
      <w:pPr>
        <w:spacing w:line="360" w:lineRule="auto"/>
        <w:ind w:firstLine="420" w:firstLineChars="200"/>
        <w:rPr>
          <w:szCs w:val="21"/>
        </w:rPr>
      </w:pPr>
      <w:r>
        <w:rPr>
          <w:rFonts w:hint="eastAsia"/>
          <w:szCs w:val="21"/>
        </w:rPr>
        <w:t>（2）承包人未能执行18.1.1款通知改正的约定；</w:t>
      </w:r>
    </w:p>
    <w:p>
      <w:pPr>
        <w:spacing w:line="360" w:lineRule="auto"/>
        <w:ind w:firstLine="420" w:firstLineChars="200"/>
        <w:rPr>
          <w:szCs w:val="21"/>
        </w:rPr>
      </w:pPr>
      <w:r>
        <w:rPr>
          <w:rFonts w:hint="eastAsia"/>
          <w:szCs w:val="21"/>
        </w:rPr>
        <w:t>（3）承包人未能遵守3.8.1款至</w:t>
      </w:r>
      <w:r>
        <w:rPr>
          <w:szCs w:val="21"/>
        </w:rPr>
        <w:t>3.</w:t>
      </w:r>
      <w:r>
        <w:rPr>
          <w:rFonts w:hint="eastAsia"/>
          <w:szCs w:val="21"/>
        </w:rPr>
        <w:t>8</w:t>
      </w:r>
      <w:r>
        <w:rPr>
          <w:szCs w:val="21"/>
        </w:rPr>
        <w:t>.</w:t>
      </w:r>
      <w:r>
        <w:rPr>
          <w:rFonts w:hint="eastAsia"/>
          <w:szCs w:val="21"/>
        </w:rPr>
        <w:t>4款的有关分包和转包的约定；</w:t>
      </w:r>
    </w:p>
    <w:p>
      <w:pPr>
        <w:spacing w:line="360" w:lineRule="auto"/>
        <w:ind w:firstLine="420" w:firstLineChars="200"/>
        <w:rPr>
          <w:szCs w:val="21"/>
        </w:rPr>
      </w:pPr>
      <w:r>
        <w:rPr>
          <w:rFonts w:hint="eastAsia"/>
          <w:szCs w:val="21"/>
        </w:rPr>
        <w:t>（4）承包人实际进度明显落后于进度计划，发包人指令其采取措施并修正进度计划时，承包人无作为；</w:t>
      </w:r>
    </w:p>
    <w:p>
      <w:pPr>
        <w:spacing w:line="360" w:lineRule="auto"/>
        <w:ind w:firstLine="420" w:firstLineChars="200"/>
        <w:rPr>
          <w:szCs w:val="21"/>
        </w:rPr>
      </w:pPr>
      <w:r>
        <w:rPr>
          <w:rFonts w:hint="eastAsia"/>
          <w:szCs w:val="21"/>
        </w:rPr>
        <w:t>（5）工程质量有严重缺陷，承包人无正当理由使修复开始日期拖延达30天以上；</w:t>
      </w:r>
    </w:p>
    <w:p>
      <w:pPr>
        <w:spacing w:line="360" w:lineRule="auto"/>
        <w:ind w:firstLine="420" w:firstLineChars="200"/>
        <w:rPr>
          <w:szCs w:val="21"/>
        </w:rPr>
      </w:pPr>
      <w:r>
        <w:rPr>
          <w:rFonts w:hint="eastAsia"/>
          <w:szCs w:val="21"/>
        </w:rPr>
        <w:t>（6）承包人明确表示或以自己的行为明显表明不履行合同；</w:t>
      </w:r>
    </w:p>
    <w:p>
      <w:pPr>
        <w:spacing w:line="360" w:lineRule="auto"/>
        <w:ind w:firstLine="420" w:firstLineChars="200"/>
        <w:rPr>
          <w:szCs w:val="21"/>
        </w:rPr>
      </w:pPr>
      <w:r>
        <w:rPr>
          <w:rFonts w:hint="eastAsia"/>
          <w:szCs w:val="21"/>
        </w:rPr>
        <w:t>（7）根据8.6.2款第（4）项（或）和10.7款的约定，未能通过的竣工验收、未能通过的竣工后试验，使整个工程的任何部分或（和）工程丧失了主要使用功能、使用功能、生产功能；</w:t>
      </w:r>
    </w:p>
    <w:p>
      <w:pPr>
        <w:spacing w:line="360" w:lineRule="auto"/>
        <w:ind w:firstLine="420" w:firstLineChars="200"/>
        <w:rPr>
          <w:szCs w:val="21"/>
        </w:rPr>
      </w:pPr>
      <w:r>
        <w:rPr>
          <w:rFonts w:hint="eastAsia"/>
          <w:szCs w:val="21"/>
        </w:rPr>
        <w:t>（8）承包人破产、停业清理或进入清算程序，或情况表明承包人将进入破产或（和）清算程序。</w:t>
      </w:r>
    </w:p>
    <w:p>
      <w:pPr>
        <w:spacing w:line="360" w:lineRule="auto"/>
        <w:ind w:firstLine="420" w:firstLineChars="200"/>
        <w:rPr>
          <w:szCs w:val="21"/>
        </w:rPr>
      </w:pPr>
      <w:r>
        <w:rPr>
          <w:rFonts w:hint="eastAsia"/>
          <w:szCs w:val="21"/>
        </w:rPr>
        <w:t>发包人不能为另行安排其他承包人实施工程而解除合同或解除合同部分工作。发包人违反该约定时，承包人有权依据本项约定，提出仲裁或诉讼。</w:t>
      </w:r>
    </w:p>
    <w:p>
      <w:pPr>
        <w:spacing w:line="360" w:lineRule="auto"/>
        <w:ind w:firstLine="420" w:firstLineChars="200"/>
        <w:rPr>
          <w:szCs w:val="21"/>
        </w:rPr>
      </w:pPr>
      <w:r>
        <w:rPr>
          <w:rFonts w:hint="eastAsia"/>
          <w:szCs w:val="21"/>
        </w:rPr>
        <w:t>18.1.3承包人收到解除合同通知后的工作。在解除合同的30日内或双方约定的时间内，承包人完成以下工作：</w:t>
      </w:r>
    </w:p>
    <w:p>
      <w:pPr>
        <w:spacing w:line="360" w:lineRule="auto"/>
        <w:ind w:firstLine="420" w:firstLineChars="200"/>
        <w:rPr>
          <w:szCs w:val="21"/>
        </w:rPr>
      </w:pPr>
      <w:r>
        <w:rPr>
          <w:rFonts w:hint="eastAsia"/>
          <w:szCs w:val="21"/>
        </w:rPr>
        <w:t>（</w:t>
      </w:r>
      <w:r>
        <w:rPr>
          <w:szCs w:val="21"/>
        </w:rPr>
        <w:t>1</w:t>
      </w:r>
      <w:r>
        <w:rPr>
          <w:rFonts w:hint="eastAsia"/>
          <w:szCs w:val="21"/>
        </w:rPr>
        <w:t>）除了为保护生命、财产或工程安全、清理和必须执行的工作外，停止执行所有被通知解除的工作；</w:t>
      </w:r>
    </w:p>
    <w:p>
      <w:pPr>
        <w:spacing w:line="360" w:lineRule="auto"/>
        <w:ind w:firstLine="420" w:firstLineChars="200"/>
        <w:rPr>
          <w:szCs w:val="21"/>
        </w:rPr>
      </w:pPr>
      <w:r>
        <w:rPr>
          <w:rFonts w:hint="eastAsia"/>
          <w:szCs w:val="21"/>
        </w:rPr>
        <w:t>（2）发包人提供的所有信息及承包人为本工程编制的设计文件、技术资料及其他文件移交给发包人。在承包人留有的资料文件中，销毁与发包人提供的所有信息相关的数据及资料的备份；</w:t>
      </w:r>
    </w:p>
    <w:p>
      <w:pPr>
        <w:spacing w:line="360" w:lineRule="auto"/>
        <w:ind w:firstLine="420" w:firstLineChars="200"/>
        <w:rPr>
          <w:szCs w:val="21"/>
        </w:rPr>
      </w:pPr>
      <w:r>
        <w:rPr>
          <w:rFonts w:hint="eastAsia"/>
          <w:szCs w:val="21"/>
        </w:rPr>
        <w:t>（3）</w:t>
      </w:r>
      <w:r>
        <w:rPr>
          <w:szCs w:val="21"/>
        </w:rPr>
        <w:t>移交</w:t>
      </w:r>
      <w:r>
        <w:rPr>
          <w:rFonts w:hint="eastAsia"/>
          <w:szCs w:val="21"/>
        </w:rPr>
        <w:t>已完成的永久性</w:t>
      </w:r>
      <w:r>
        <w:rPr>
          <w:szCs w:val="21"/>
        </w:rPr>
        <w:t>工程及</w:t>
      </w:r>
      <w:r>
        <w:rPr>
          <w:rFonts w:hint="eastAsia"/>
          <w:szCs w:val="21"/>
        </w:rPr>
        <w:t>负责已运抵现场的永久性工程物资。在移交前，</w:t>
      </w:r>
      <w:r>
        <w:rPr>
          <w:szCs w:val="21"/>
        </w:rPr>
        <w:t>妥善做好已完工程和已运抵</w:t>
      </w:r>
      <w:r>
        <w:rPr>
          <w:rFonts w:hint="eastAsia"/>
          <w:szCs w:val="21"/>
        </w:rPr>
        <w:t>现场的</w:t>
      </w:r>
      <w:r>
        <w:rPr>
          <w:szCs w:val="21"/>
        </w:rPr>
        <w:t>永久性工程物资的</w:t>
      </w:r>
      <w:r>
        <w:rPr>
          <w:rFonts w:hint="eastAsia"/>
          <w:szCs w:val="21"/>
        </w:rPr>
        <w:t>保管、维护和保养；</w:t>
      </w:r>
    </w:p>
    <w:p>
      <w:pPr>
        <w:spacing w:line="360" w:lineRule="auto"/>
        <w:ind w:firstLine="420" w:firstLineChars="200"/>
        <w:rPr>
          <w:szCs w:val="21"/>
        </w:rPr>
      </w:pPr>
      <w:r>
        <w:rPr>
          <w:szCs w:val="21"/>
        </w:rPr>
        <w:t>（4）移交相应实施阶段已经付款的并已完成的和尚待完成的设计文件、图纸、资料、操作维修手册、施工组织设计、质检资料、竣工资料等；</w:t>
      </w:r>
    </w:p>
    <w:p>
      <w:pPr>
        <w:spacing w:line="360" w:lineRule="auto"/>
        <w:ind w:firstLine="420" w:firstLineChars="200"/>
        <w:rPr>
          <w:szCs w:val="21"/>
        </w:rPr>
      </w:pPr>
      <w:r>
        <w:rPr>
          <w:rFonts w:hint="eastAsia"/>
          <w:szCs w:val="21"/>
        </w:rPr>
        <w:t>（5）向发包人提交全部分包合同及执行情况说明。其中包括：承包人提供的永久性工程物资（含现场保管的、已经订货、正在加工的、运输途中的、运抵现场尚未交接的），发包人承担解除合同通知之日之前发生的、合同约定的此类款项。承包人有义务协助并配合处理与其有合同关系的分包人的关系；</w:t>
      </w:r>
    </w:p>
    <w:p>
      <w:pPr>
        <w:spacing w:line="360" w:lineRule="auto"/>
        <w:ind w:firstLine="420" w:firstLineChars="200"/>
        <w:rPr>
          <w:szCs w:val="21"/>
        </w:rPr>
      </w:pPr>
      <w:r>
        <w:rPr>
          <w:rFonts w:hint="eastAsia"/>
          <w:szCs w:val="21"/>
        </w:rPr>
        <w:t>（6）经发包人批准，承包人将其与被解除合同或被解除部分工作相关的和正在执行的分包合同及相关的责任和义务转让至发包人或（和）发包人指定方的名下，包括永久性工程及永久性工程物资，以及相关工作；</w:t>
      </w:r>
    </w:p>
    <w:p>
      <w:pPr>
        <w:spacing w:line="360" w:lineRule="auto"/>
        <w:ind w:firstLine="420" w:firstLineChars="200"/>
        <w:rPr>
          <w:szCs w:val="21"/>
        </w:rPr>
      </w:pPr>
      <w:r>
        <w:rPr>
          <w:rFonts w:hint="eastAsia"/>
          <w:szCs w:val="21"/>
        </w:rPr>
        <w:t>（7）承包人按照合同约定，继续履行其未被解除的合同部分工作；</w:t>
      </w:r>
    </w:p>
    <w:p>
      <w:pPr>
        <w:spacing w:line="360" w:lineRule="auto"/>
        <w:ind w:firstLine="420" w:firstLineChars="200"/>
        <w:rPr>
          <w:szCs w:val="21"/>
        </w:rPr>
      </w:pPr>
      <w:r>
        <w:rPr>
          <w:rFonts w:hint="eastAsia"/>
          <w:szCs w:val="21"/>
        </w:rPr>
        <w:t>（8）在解除合同的结算尚未结清之前，承包人不得将其机具、设备、设施、周转材料、措施材料撤离现场或（和）拆除。除非得到发包人同意。</w:t>
      </w:r>
    </w:p>
    <w:p>
      <w:pPr>
        <w:spacing w:line="360" w:lineRule="auto"/>
        <w:ind w:firstLine="420" w:firstLineChars="200"/>
        <w:rPr>
          <w:szCs w:val="21"/>
        </w:rPr>
      </w:pPr>
      <w:r>
        <w:rPr>
          <w:rFonts w:hint="eastAsia"/>
          <w:szCs w:val="21"/>
        </w:rPr>
        <w:t>18.1.4解除日期的结算资料</w:t>
      </w:r>
    </w:p>
    <w:p>
      <w:pPr>
        <w:spacing w:line="360" w:lineRule="auto"/>
        <w:ind w:firstLine="420" w:firstLineChars="200"/>
        <w:rPr>
          <w:szCs w:val="21"/>
        </w:rPr>
      </w:pPr>
      <w:r>
        <w:rPr>
          <w:rFonts w:hint="eastAsia"/>
          <w:szCs w:val="21"/>
        </w:rPr>
        <w:t>根据18.1.2款的约定，承包人收到解除合同或解除合同部分工作的通知后，发包人立即与承包人商定已发生的工程款项，包括：14.3款的预付款、14.4款的工程进度款、13.7款的合同价格调整的款项、14.5款的保修金额暂扣的款项、16.2.款的索赔款项、本合同补充协议的款项，及合同任何条款约定的应增减的款项。经协商一致，作为解除日期的结算资料。</w:t>
      </w:r>
    </w:p>
    <w:p>
      <w:pPr>
        <w:spacing w:line="360" w:lineRule="auto"/>
        <w:ind w:firstLine="420" w:firstLineChars="200"/>
        <w:rPr>
          <w:szCs w:val="21"/>
        </w:rPr>
      </w:pPr>
      <w:r>
        <w:rPr>
          <w:rFonts w:hint="eastAsia"/>
          <w:szCs w:val="21"/>
        </w:rPr>
        <w:t>18.1.5解除合同后的结算</w:t>
      </w:r>
    </w:p>
    <w:p>
      <w:pPr>
        <w:spacing w:line="360" w:lineRule="auto"/>
        <w:ind w:firstLine="420" w:firstLineChars="200"/>
        <w:rPr>
          <w:szCs w:val="21"/>
        </w:rPr>
      </w:pPr>
      <w:r>
        <w:rPr>
          <w:rFonts w:hint="eastAsia"/>
          <w:szCs w:val="21"/>
        </w:rPr>
        <w:t>（1）根据18.1.4款解除合同日期的结算资料，结清双方应收应付款项的余额。此后，发包人将承包人根据14.2.1款约定提交的履约保证金返还给承包人，承包人将发包人根据14.2.2款约定提交的支付保证金返还给发包人。</w:t>
      </w:r>
    </w:p>
    <w:p>
      <w:pPr>
        <w:spacing w:line="360" w:lineRule="auto"/>
        <w:ind w:firstLine="420" w:firstLineChars="200"/>
        <w:rPr>
          <w:szCs w:val="21"/>
        </w:rPr>
      </w:pPr>
      <w:r>
        <w:rPr>
          <w:rFonts w:hint="eastAsia"/>
          <w:szCs w:val="21"/>
        </w:rPr>
        <w:t>（2）合同解除时，仍有未被扣减完的预付款，发包人根据14.3.3预付款抵扣的约定扣除，此后，将约定提交的预付款保证金返还给承包人。</w:t>
      </w:r>
    </w:p>
    <w:p>
      <w:pPr>
        <w:spacing w:line="360" w:lineRule="auto"/>
        <w:ind w:firstLine="420" w:firstLineChars="200"/>
        <w:rPr>
          <w:szCs w:val="21"/>
        </w:rPr>
      </w:pPr>
      <w:r>
        <w:rPr>
          <w:rFonts w:hint="eastAsia"/>
          <w:szCs w:val="21"/>
        </w:rPr>
        <w:t>（3）发包人尚有其他未能扣减完的应收款余额，有权从</w:t>
      </w:r>
      <w:r>
        <w:rPr>
          <w:szCs w:val="21"/>
        </w:rPr>
        <w:t>14.2.1</w:t>
      </w:r>
      <w:r>
        <w:rPr>
          <w:rFonts w:hint="eastAsia"/>
          <w:szCs w:val="21"/>
        </w:rPr>
        <w:t>款约定的承包人提交的履约保证金中扣减，此后，将履约保证金返还给承包人。</w:t>
      </w:r>
    </w:p>
    <w:p>
      <w:pPr>
        <w:spacing w:line="360" w:lineRule="auto"/>
        <w:ind w:firstLine="420" w:firstLineChars="200"/>
        <w:rPr>
          <w:szCs w:val="21"/>
        </w:rPr>
      </w:pPr>
      <w:r>
        <w:rPr>
          <w:rFonts w:hint="eastAsia"/>
          <w:szCs w:val="21"/>
        </w:rPr>
        <w:t>（4）发包人按上述约定扣减后，仍有未能收回的款项时，或合同未能约定提交履约保证金和预付款保证金时，仍有未能扣减应收款项的余额时，可扣留与应收款价值相当的承包人的机具、设备、设施、周转材料等作为抵偿。</w:t>
      </w:r>
    </w:p>
    <w:p>
      <w:pPr>
        <w:spacing w:line="360" w:lineRule="auto"/>
        <w:ind w:firstLine="420" w:firstLineChars="200"/>
        <w:rPr>
          <w:szCs w:val="21"/>
        </w:rPr>
      </w:pPr>
      <w:r>
        <w:rPr>
          <w:rFonts w:hint="eastAsia"/>
          <w:szCs w:val="21"/>
        </w:rPr>
        <w:t>18.1.6承包人的撤离</w:t>
      </w:r>
    </w:p>
    <w:p>
      <w:pPr>
        <w:spacing w:line="360" w:lineRule="auto"/>
        <w:ind w:firstLine="420" w:firstLineChars="200"/>
        <w:rPr>
          <w:szCs w:val="21"/>
        </w:rPr>
      </w:pPr>
      <w:r>
        <w:rPr>
          <w:rFonts w:hint="eastAsia"/>
          <w:szCs w:val="21"/>
        </w:rPr>
        <w:t>（1）全部合同解除的撤离。按18.1.5款第（4）项的约定，承包人有权将未被因抵偿扣留的机具、设备、设施等自行撤离现场。并承担撤离和拆除临时设施的费用。发包人为此提供必要条件。</w:t>
      </w:r>
    </w:p>
    <w:p>
      <w:pPr>
        <w:spacing w:line="360" w:lineRule="auto"/>
        <w:ind w:firstLine="420" w:firstLineChars="200"/>
        <w:rPr>
          <w:szCs w:val="21"/>
        </w:rPr>
      </w:pPr>
      <w:r>
        <w:rPr>
          <w:rFonts w:hint="eastAsia"/>
          <w:szCs w:val="21"/>
        </w:rPr>
        <w:t>（2）部分合同解除的撤离。承包人接到发包人发出撤离现场的通知后，将其多余的机具、设备、设施等自费拆除并自费撤离现场（不包括根据18.1.5款第（4）项约定被抵偿的机具等）。发包人为此提供必要条件。</w:t>
      </w:r>
    </w:p>
    <w:p>
      <w:pPr>
        <w:spacing w:line="360" w:lineRule="auto"/>
        <w:ind w:firstLine="420" w:firstLineChars="200"/>
        <w:rPr>
          <w:szCs w:val="21"/>
        </w:rPr>
      </w:pPr>
      <w:r>
        <w:rPr>
          <w:rFonts w:hint="eastAsia"/>
          <w:szCs w:val="21"/>
        </w:rPr>
        <w:t>18.1.7解除合同后继续实施工程的权利。发包人可继续完成工程或与其他承包人继续完成工程。发包人有权与其他承包人</w:t>
      </w:r>
    </w:p>
    <w:p>
      <w:pPr>
        <w:spacing w:line="360" w:lineRule="auto"/>
        <w:ind w:firstLine="420" w:firstLineChars="200"/>
        <w:rPr>
          <w:szCs w:val="21"/>
        </w:rPr>
      </w:pPr>
      <w:r>
        <w:rPr>
          <w:rFonts w:hint="eastAsia"/>
          <w:szCs w:val="21"/>
        </w:rPr>
        <w:t>使用已移交的永久性工程的物资，及承包人为本工程编制的设计文件、实施文件及资料，以及使用根据18.1.5款第（4）项约定扣留抵偿的设施、机具和设备。</w:t>
      </w:r>
    </w:p>
    <w:p>
      <w:pPr>
        <w:spacing w:before="156" w:beforeLines="50" w:after="156" w:afterLines="50" w:line="360" w:lineRule="auto"/>
        <w:ind w:firstLine="411" w:firstLineChars="196"/>
        <w:rPr>
          <w:b/>
          <w:szCs w:val="21"/>
        </w:rPr>
      </w:pPr>
      <w:r>
        <w:rPr>
          <w:rFonts w:hint="eastAsia"/>
          <w:b/>
          <w:szCs w:val="21"/>
        </w:rPr>
        <w:t>18.2由承包人解除合同</w:t>
      </w:r>
    </w:p>
    <w:p>
      <w:pPr>
        <w:spacing w:line="360" w:lineRule="auto"/>
        <w:ind w:firstLine="420" w:firstLineChars="200"/>
        <w:rPr>
          <w:szCs w:val="21"/>
        </w:rPr>
      </w:pPr>
      <w:r>
        <w:rPr>
          <w:rFonts w:hint="eastAsia"/>
          <w:szCs w:val="21"/>
        </w:rPr>
        <w:t>18.2.1由承包人解除合同。基于下列原因，承包人有权以书面形式通知发包人解除合同，但在发出解除合同通知15天前告知发包人：</w:t>
      </w:r>
    </w:p>
    <w:p>
      <w:pPr>
        <w:spacing w:line="360" w:lineRule="auto"/>
        <w:ind w:firstLine="420" w:firstLineChars="200"/>
        <w:rPr>
          <w:szCs w:val="21"/>
        </w:rPr>
      </w:pPr>
      <w:r>
        <w:rPr>
          <w:szCs w:val="21"/>
        </w:rPr>
        <w:t>（1）发包人延误付款达60天以上，或根据4.</w:t>
      </w:r>
      <w:r>
        <w:rPr>
          <w:rFonts w:hint="eastAsia"/>
          <w:szCs w:val="21"/>
        </w:rPr>
        <w:t>6</w:t>
      </w:r>
      <w:r>
        <w:rPr>
          <w:szCs w:val="21"/>
        </w:rPr>
        <w:t>.4款承包人要求复工的约定的情况时；</w:t>
      </w:r>
    </w:p>
    <w:p>
      <w:pPr>
        <w:spacing w:line="360" w:lineRule="auto"/>
        <w:ind w:firstLine="420" w:firstLineChars="200"/>
        <w:rPr>
          <w:szCs w:val="21"/>
        </w:rPr>
      </w:pPr>
      <w:r>
        <w:rPr>
          <w:szCs w:val="21"/>
        </w:rPr>
        <w:t>（2）发包人实质上未能根据合同约定履行其义务，影响承包人实施工作停止30天以上；</w:t>
      </w:r>
    </w:p>
    <w:p>
      <w:pPr>
        <w:spacing w:line="360" w:lineRule="auto"/>
        <w:ind w:firstLine="420" w:firstLineChars="200"/>
        <w:rPr>
          <w:szCs w:val="21"/>
        </w:rPr>
      </w:pPr>
      <w:r>
        <w:rPr>
          <w:szCs w:val="21"/>
        </w:rPr>
        <w:t>（3）发包人未能按</w:t>
      </w:r>
      <w:r>
        <w:rPr>
          <w:rFonts w:hint="eastAsia"/>
          <w:szCs w:val="21"/>
        </w:rPr>
        <w:t>14.2.2款的</w:t>
      </w:r>
      <w:r>
        <w:rPr>
          <w:szCs w:val="21"/>
        </w:rPr>
        <w:t>约定提交支付</w:t>
      </w:r>
      <w:r>
        <w:rPr>
          <w:rFonts w:hint="eastAsia"/>
          <w:szCs w:val="21"/>
        </w:rPr>
        <w:t>保证金</w:t>
      </w:r>
      <w:r>
        <w:rPr>
          <w:szCs w:val="21"/>
        </w:rPr>
        <w:t>；</w:t>
      </w:r>
    </w:p>
    <w:p>
      <w:pPr>
        <w:spacing w:line="360" w:lineRule="auto"/>
        <w:ind w:firstLine="420" w:firstLineChars="200"/>
        <w:rPr>
          <w:szCs w:val="21"/>
        </w:rPr>
      </w:pPr>
      <w:r>
        <w:rPr>
          <w:rFonts w:hint="eastAsia"/>
          <w:szCs w:val="21"/>
        </w:rPr>
        <w:t>（4）出现第17条约定的不可抗力事件，导致继续履行合同主要义务已成为不可能或不必要；</w:t>
      </w:r>
    </w:p>
    <w:p>
      <w:pPr>
        <w:spacing w:line="360" w:lineRule="auto"/>
        <w:ind w:firstLine="420" w:firstLineChars="200"/>
        <w:rPr>
          <w:szCs w:val="21"/>
        </w:rPr>
      </w:pPr>
      <w:r>
        <w:rPr>
          <w:szCs w:val="21"/>
        </w:rPr>
        <w:t>（5）发包人破产、停业清理或进入清算程序、或情况表明发包人将进入破产或（和）清算程序，或发包人无力支付合同款项。</w:t>
      </w:r>
    </w:p>
    <w:p>
      <w:pPr>
        <w:spacing w:line="360" w:lineRule="auto"/>
        <w:ind w:firstLine="420" w:firstLineChars="200"/>
        <w:rPr>
          <w:szCs w:val="21"/>
        </w:rPr>
      </w:pPr>
      <w:r>
        <w:rPr>
          <w:szCs w:val="21"/>
        </w:rPr>
        <w:t>发包人接到承包人根据本款第（1）项、（2）项、（3）项解除合同的通知后，发包人随后给予了付款，或同意复工、或继续履行其义务、或提供了支付</w:t>
      </w:r>
      <w:r>
        <w:rPr>
          <w:rFonts w:hint="eastAsia"/>
          <w:szCs w:val="21"/>
        </w:rPr>
        <w:t>保证金</w:t>
      </w:r>
      <w:r>
        <w:rPr>
          <w:szCs w:val="21"/>
        </w:rPr>
        <w:t>时，承包人尽快安排并恢复正常工作。因此造成</w:t>
      </w:r>
      <w:r>
        <w:rPr>
          <w:rFonts w:hint="eastAsia"/>
          <w:szCs w:val="21"/>
        </w:rPr>
        <w:t>关键路线</w:t>
      </w:r>
      <w:r>
        <w:rPr>
          <w:szCs w:val="21"/>
        </w:rPr>
        <w:t>延误时，竣工日期顺延；</w:t>
      </w:r>
      <w:r>
        <w:rPr>
          <w:rFonts w:hint="eastAsia"/>
          <w:szCs w:val="21"/>
        </w:rPr>
        <w:t>承包人</w:t>
      </w:r>
      <w:r>
        <w:rPr>
          <w:szCs w:val="21"/>
        </w:rPr>
        <w:t>因此增加的费用，由发包人承担。</w:t>
      </w:r>
    </w:p>
    <w:p>
      <w:pPr>
        <w:spacing w:line="360" w:lineRule="auto"/>
        <w:ind w:firstLine="420" w:firstLineChars="200"/>
        <w:rPr>
          <w:szCs w:val="21"/>
        </w:rPr>
      </w:pPr>
      <w:r>
        <w:rPr>
          <w:rFonts w:hint="eastAsia"/>
          <w:szCs w:val="21"/>
        </w:rPr>
        <w:t>18.2.2承包人发出解除合同的通知后，停止和进行的工作如下：</w:t>
      </w:r>
    </w:p>
    <w:p>
      <w:pPr>
        <w:spacing w:line="360" w:lineRule="auto"/>
        <w:ind w:firstLine="420" w:firstLineChars="200"/>
        <w:rPr>
          <w:szCs w:val="21"/>
        </w:rPr>
      </w:pPr>
      <w:r>
        <w:rPr>
          <w:rFonts w:hint="eastAsia"/>
          <w:szCs w:val="21"/>
        </w:rPr>
        <w:t>（</w:t>
      </w:r>
      <w:r>
        <w:rPr>
          <w:szCs w:val="21"/>
        </w:rPr>
        <w:t>1</w:t>
      </w:r>
      <w:r>
        <w:rPr>
          <w:rFonts w:hint="eastAsia"/>
          <w:szCs w:val="21"/>
        </w:rPr>
        <w:t>）除为保护生命、财产、工程安全、清理和必须执行的工作外，停止所有进一步的工作；</w:t>
      </w:r>
    </w:p>
    <w:p>
      <w:pPr>
        <w:spacing w:line="360" w:lineRule="auto"/>
        <w:ind w:firstLine="420" w:firstLineChars="200"/>
        <w:rPr>
          <w:szCs w:val="21"/>
        </w:rPr>
      </w:pPr>
      <w:r>
        <w:rPr>
          <w:rFonts w:hint="eastAsia"/>
          <w:szCs w:val="21"/>
        </w:rPr>
        <w:t>（2）</w:t>
      </w:r>
      <w:r>
        <w:rPr>
          <w:szCs w:val="21"/>
        </w:rPr>
        <w:t>移交</w:t>
      </w:r>
      <w:r>
        <w:rPr>
          <w:rFonts w:hint="eastAsia"/>
          <w:szCs w:val="21"/>
        </w:rPr>
        <w:t>已完成的永久性</w:t>
      </w:r>
      <w:r>
        <w:rPr>
          <w:szCs w:val="21"/>
        </w:rPr>
        <w:t>工程及</w:t>
      </w:r>
      <w:r>
        <w:rPr>
          <w:rFonts w:hint="eastAsia"/>
          <w:szCs w:val="21"/>
        </w:rPr>
        <w:t>承包人提供的永久性工程物资（包括现场保管的、已经订货的、正在加工制造的、正在运输途中的、现场尚未交接的）。在未移交之前，承包人有义务</w:t>
      </w:r>
      <w:r>
        <w:rPr>
          <w:szCs w:val="21"/>
        </w:rPr>
        <w:t>妥善做好已完工程和已购永久性工程物资</w:t>
      </w:r>
      <w:r>
        <w:rPr>
          <w:rFonts w:hint="eastAsia"/>
          <w:szCs w:val="21"/>
        </w:rPr>
        <w:t>的保管、维护和保养；</w:t>
      </w:r>
    </w:p>
    <w:p>
      <w:pPr>
        <w:spacing w:line="360" w:lineRule="auto"/>
        <w:ind w:firstLine="420" w:firstLineChars="200"/>
        <w:rPr>
          <w:szCs w:val="21"/>
        </w:rPr>
      </w:pPr>
      <w:r>
        <w:rPr>
          <w:rFonts w:hint="eastAsia"/>
          <w:szCs w:val="21"/>
        </w:rPr>
        <w:t>（3）</w:t>
      </w:r>
      <w:r>
        <w:rPr>
          <w:szCs w:val="21"/>
        </w:rPr>
        <w:t>移交已经付款</w:t>
      </w:r>
      <w:r>
        <w:rPr>
          <w:rFonts w:hint="eastAsia"/>
          <w:szCs w:val="21"/>
        </w:rPr>
        <w:t>并已经完成和尚待完成</w:t>
      </w:r>
      <w:r>
        <w:rPr>
          <w:szCs w:val="21"/>
        </w:rPr>
        <w:t>的设计文件、图纸、资料、操作维修手册、施工组织设计、质检资料、竣工资料</w:t>
      </w:r>
      <w:r>
        <w:rPr>
          <w:rFonts w:hint="eastAsia"/>
          <w:szCs w:val="21"/>
        </w:rPr>
        <w:t>等。应发包人的要求，对已经完成但尚未付款的相关设计文件、图纸和资料等，按商定的价格付款后，承包人按约定的时间提交给发包人。</w:t>
      </w:r>
    </w:p>
    <w:p>
      <w:pPr>
        <w:spacing w:line="360" w:lineRule="auto"/>
        <w:ind w:firstLine="420" w:firstLineChars="200"/>
        <w:rPr>
          <w:szCs w:val="21"/>
        </w:rPr>
      </w:pPr>
      <w:r>
        <w:rPr>
          <w:rFonts w:hint="eastAsia"/>
          <w:szCs w:val="21"/>
        </w:rPr>
        <w:t>（4）向发包人提交全部分包合同及执行情况说明，由发包人承担其费用。</w:t>
      </w:r>
    </w:p>
    <w:p>
      <w:pPr>
        <w:spacing w:line="360" w:lineRule="auto"/>
        <w:ind w:firstLine="420" w:firstLineChars="200"/>
        <w:rPr>
          <w:szCs w:val="21"/>
        </w:rPr>
      </w:pPr>
      <w:r>
        <w:rPr>
          <w:rFonts w:hint="eastAsia"/>
          <w:szCs w:val="21"/>
        </w:rPr>
        <w:t>（5）应发包人的要求，承包人将分包合同转让至发包人或（和）发包人指定方的名下，包括永久性工程及其物资，以及相关工作；</w:t>
      </w:r>
    </w:p>
    <w:p>
      <w:pPr>
        <w:spacing w:line="360" w:lineRule="auto"/>
        <w:ind w:firstLine="420" w:firstLineChars="200"/>
        <w:rPr>
          <w:szCs w:val="21"/>
        </w:rPr>
      </w:pPr>
      <w:r>
        <w:rPr>
          <w:rFonts w:hint="eastAsia"/>
          <w:szCs w:val="21"/>
        </w:rPr>
        <w:t>（6）在承包人自留文件资料中，销毁发包人提供的所有信息及其相关的数据及资料的备份。</w:t>
      </w:r>
    </w:p>
    <w:p>
      <w:pPr>
        <w:spacing w:line="360" w:lineRule="auto"/>
        <w:ind w:firstLine="420" w:firstLineChars="200"/>
        <w:rPr>
          <w:szCs w:val="21"/>
        </w:rPr>
      </w:pPr>
      <w:r>
        <w:rPr>
          <w:rFonts w:hint="eastAsia"/>
          <w:szCs w:val="21"/>
        </w:rPr>
        <w:t>18.2.3解除合同日期的结算资料</w:t>
      </w:r>
    </w:p>
    <w:p>
      <w:pPr>
        <w:spacing w:line="360" w:lineRule="auto"/>
        <w:ind w:firstLine="420" w:firstLineChars="200"/>
        <w:rPr>
          <w:szCs w:val="21"/>
        </w:rPr>
      </w:pPr>
      <w:r>
        <w:rPr>
          <w:rFonts w:hint="eastAsia"/>
          <w:szCs w:val="21"/>
        </w:rPr>
        <w:t>根据18.2.1款的约定，发包人收到解除合同的通知后，即商定已发生的工程款项，包括：14.3款预付款、14.4款工程进度款、13.7款合同价格调整的款项、14.5款保修金额暂扣与支付的款项、16.2款索赔的款项、本合同补充协议的款项，及合同任何条款约定的增减款项，以及承包人拆除临时设施和机具、设备等撤离到承包人企业所在地的费用(当出现18.2.1款第(4)项不可抗力的情况，撤离费用由承包人承担)。经协商一致，作为解除日期的结算资料。</w:t>
      </w:r>
    </w:p>
    <w:p>
      <w:pPr>
        <w:spacing w:line="360" w:lineRule="auto"/>
        <w:ind w:firstLine="420" w:firstLineChars="200"/>
        <w:rPr>
          <w:szCs w:val="21"/>
        </w:rPr>
      </w:pPr>
      <w:r>
        <w:rPr>
          <w:rFonts w:hint="eastAsia"/>
          <w:szCs w:val="21"/>
        </w:rPr>
        <w:t>18.2.4解除合同后的结算</w:t>
      </w:r>
    </w:p>
    <w:p>
      <w:pPr>
        <w:spacing w:line="360" w:lineRule="auto"/>
        <w:ind w:firstLine="420" w:firstLineChars="200"/>
        <w:rPr>
          <w:szCs w:val="21"/>
        </w:rPr>
      </w:pPr>
      <w:r>
        <w:rPr>
          <w:rFonts w:hint="eastAsia"/>
          <w:szCs w:val="21"/>
        </w:rPr>
        <w:t>（1）根据18.2.3款解除合同日期的结算资料，结清解除合同双方的应收应付款项的余额。此后，承包人将发包人根据14.2.2款约定提交的支付保证金返还给发包人，发包人将承包人根据14.2.1款约定提交的履约保证金返还给承包人。</w:t>
      </w:r>
    </w:p>
    <w:p>
      <w:pPr>
        <w:spacing w:line="360" w:lineRule="auto"/>
        <w:ind w:firstLine="420" w:firstLineChars="200"/>
        <w:rPr>
          <w:szCs w:val="21"/>
        </w:rPr>
      </w:pPr>
      <w:r>
        <w:rPr>
          <w:rFonts w:hint="eastAsia"/>
          <w:szCs w:val="21"/>
        </w:rPr>
        <w:t>（2）合同解除时发包人仍有未被扣减完的预付款，根据14.3.3预付款抵扣的约定扣除，此后，发包人将预付款保证金返还给承包人。</w:t>
      </w:r>
    </w:p>
    <w:p>
      <w:pPr>
        <w:spacing w:line="360" w:lineRule="auto"/>
        <w:ind w:firstLine="420" w:firstLineChars="200"/>
        <w:rPr>
          <w:szCs w:val="21"/>
        </w:rPr>
      </w:pPr>
      <w:r>
        <w:rPr>
          <w:rFonts w:hint="eastAsia"/>
          <w:szCs w:val="21"/>
        </w:rPr>
        <w:t>（3）承包人尚有其他未能收回的应收款余额，有权从</w:t>
      </w:r>
      <w:r>
        <w:rPr>
          <w:szCs w:val="21"/>
        </w:rPr>
        <w:t>14.2.</w:t>
      </w:r>
      <w:r>
        <w:rPr>
          <w:rFonts w:hint="eastAsia"/>
          <w:szCs w:val="21"/>
        </w:rPr>
        <w:t>2款约定的发包人提交的支付保证金中扣减，此后，承包人将支付保证金返还给发包人。</w:t>
      </w:r>
    </w:p>
    <w:p>
      <w:pPr>
        <w:spacing w:line="360" w:lineRule="auto"/>
        <w:ind w:firstLine="420" w:firstLineChars="200"/>
        <w:rPr>
          <w:szCs w:val="21"/>
        </w:rPr>
      </w:pPr>
      <w:r>
        <w:rPr>
          <w:rFonts w:hint="eastAsia"/>
          <w:szCs w:val="21"/>
        </w:rPr>
        <w:t>（4）承包人尚有其他未能收回的应收款余额，合同又未约定发包人按</w:t>
      </w:r>
      <w:r>
        <w:rPr>
          <w:szCs w:val="21"/>
        </w:rPr>
        <w:t>14.2.</w:t>
      </w:r>
      <w:r>
        <w:rPr>
          <w:rFonts w:hint="eastAsia"/>
          <w:szCs w:val="21"/>
        </w:rPr>
        <w:t>2款提交支付保证金，且发包人未能支付时，发包人根据18.2.3款的约定，经协商一致的解除合同日期结算资料后的</w:t>
      </w:r>
      <w:r>
        <w:rPr>
          <w:szCs w:val="21"/>
        </w:rPr>
        <w:t>第1</w:t>
      </w:r>
      <w:r>
        <w:rPr>
          <w:rFonts w:hint="eastAsia"/>
          <w:szCs w:val="21"/>
        </w:rPr>
        <w:t>日</w:t>
      </w:r>
      <w:r>
        <w:rPr>
          <w:szCs w:val="21"/>
        </w:rPr>
        <w:t>起，按中国人民银行同期同类贷款利率，支付拖欠的余额和利息。</w:t>
      </w:r>
      <w:r>
        <w:rPr>
          <w:rFonts w:hint="eastAsia"/>
          <w:szCs w:val="21"/>
        </w:rPr>
        <w:t>发</w:t>
      </w:r>
      <w:r>
        <w:rPr>
          <w:szCs w:val="21"/>
        </w:rPr>
        <w:t>包人在</w:t>
      </w:r>
      <w:r>
        <w:rPr>
          <w:rFonts w:hint="eastAsia"/>
          <w:szCs w:val="21"/>
        </w:rPr>
        <w:t>此后的6</w:t>
      </w:r>
      <w:r>
        <w:rPr>
          <w:szCs w:val="21"/>
        </w:rPr>
        <w:t>0</w:t>
      </w:r>
      <w:r>
        <w:rPr>
          <w:rFonts w:hint="eastAsia"/>
          <w:szCs w:val="21"/>
        </w:rPr>
        <w:t>日</w:t>
      </w:r>
      <w:r>
        <w:rPr>
          <w:szCs w:val="21"/>
        </w:rPr>
        <w:t>内仍未支付，</w:t>
      </w:r>
      <w:r>
        <w:rPr>
          <w:rFonts w:hint="eastAsia"/>
          <w:szCs w:val="21"/>
        </w:rPr>
        <w:t>承</w:t>
      </w:r>
      <w:r>
        <w:rPr>
          <w:szCs w:val="21"/>
        </w:rPr>
        <w:t>包人有权根据第16.3款争议和裁决的</w:t>
      </w:r>
      <w:r>
        <w:rPr>
          <w:rFonts w:hint="eastAsia"/>
          <w:szCs w:val="21"/>
        </w:rPr>
        <w:t>约定</w:t>
      </w:r>
      <w:r>
        <w:rPr>
          <w:szCs w:val="21"/>
        </w:rPr>
        <w:t>解决。</w:t>
      </w:r>
    </w:p>
    <w:p>
      <w:pPr>
        <w:spacing w:line="360" w:lineRule="auto"/>
        <w:ind w:firstLine="420" w:firstLineChars="200"/>
        <w:rPr>
          <w:szCs w:val="21"/>
        </w:rPr>
      </w:pPr>
      <w:r>
        <w:rPr>
          <w:rFonts w:hint="eastAsia"/>
          <w:szCs w:val="21"/>
        </w:rPr>
        <w:t>（5）承包人尚有根据18.1.4款解除合同日期结算资料中未能付给发包人的付款余额，发包人有权根据18.1.5款约定的解除合同后的结算中的第（2）项至第（4）项进行结算。</w:t>
      </w:r>
    </w:p>
    <w:p>
      <w:pPr>
        <w:spacing w:line="360" w:lineRule="auto"/>
        <w:ind w:firstLine="420" w:firstLineChars="200"/>
        <w:rPr>
          <w:szCs w:val="21"/>
        </w:rPr>
      </w:pPr>
      <w:r>
        <w:rPr>
          <w:rFonts w:hint="eastAsia"/>
          <w:szCs w:val="21"/>
        </w:rPr>
        <w:t>18.2.5承包人的撤离。承包人在合同解除后，除为安全需要以外的所有其他物资、机具、设备和设施，全部撤离现场。</w:t>
      </w:r>
    </w:p>
    <w:p>
      <w:pPr>
        <w:spacing w:before="156" w:beforeLines="50" w:after="156" w:afterLines="50" w:line="360" w:lineRule="auto"/>
        <w:ind w:firstLine="411" w:firstLineChars="196"/>
        <w:rPr>
          <w:b/>
          <w:szCs w:val="21"/>
        </w:rPr>
      </w:pPr>
      <w:r>
        <w:rPr>
          <w:rFonts w:hint="eastAsia"/>
          <w:b/>
          <w:szCs w:val="21"/>
        </w:rPr>
        <w:t xml:space="preserve">18.3  </w:t>
      </w:r>
      <w:r>
        <w:rPr>
          <w:b/>
          <w:szCs w:val="21"/>
        </w:rPr>
        <w:t>合同解除后的事项</w:t>
      </w:r>
    </w:p>
    <w:p>
      <w:pPr>
        <w:spacing w:line="360" w:lineRule="auto"/>
        <w:ind w:firstLine="420" w:firstLineChars="200"/>
        <w:rPr>
          <w:szCs w:val="21"/>
        </w:rPr>
      </w:pPr>
      <w:r>
        <w:rPr>
          <w:szCs w:val="21"/>
        </w:rPr>
        <w:t>18.</w:t>
      </w:r>
      <w:r>
        <w:rPr>
          <w:rFonts w:hint="eastAsia"/>
          <w:szCs w:val="21"/>
        </w:rPr>
        <w:t>3</w:t>
      </w:r>
      <w:r>
        <w:rPr>
          <w:szCs w:val="21"/>
        </w:rPr>
        <w:t>.1合同解除后，</w:t>
      </w:r>
      <w:r>
        <w:rPr>
          <w:rFonts w:hint="eastAsia"/>
          <w:szCs w:val="21"/>
        </w:rPr>
        <w:t>由发包人或由承包人解除合同</w:t>
      </w:r>
      <w:r>
        <w:rPr>
          <w:szCs w:val="21"/>
        </w:rPr>
        <w:t>的结算</w:t>
      </w:r>
      <w:r>
        <w:rPr>
          <w:rFonts w:hint="eastAsia"/>
          <w:szCs w:val="21"/>
        </w:rPr>
        <w:t>、</w:t>
      </w:r>
      <w:r>
        <w:rPr>
          <w:szCs w:val="21"/>
        </w:rPr>
        <w:t>及结算后的付款</w:t>
      </w:r>
      <w:r>
        <w:rPr>
          <w:rFonts w:hint="eastAsia"/>
          <w:szCs w:val="21"/>
        </w:rPr>
        <w:t>约定</w:t>
      </w:r>
      <w:r>
        <w:rPr>
          <w:szCs w:val="21"/>
        </w:rPr>
        <w:t>仍然有效，直至</w:t>
      </w:r>
      <w:r>
        <w:rPr>
          <w:rFonts w:hint="eastAsia"/>
          <w:szCs w:val="21"/>
        </w:rPr>
        <w:t>解除合同的结算工作</w:t>
      </w:r>
      <w:r>
        <w:rPr>
          <w:szCs w:val="21"/>
        </w:rPr>
        <w:t>结清。</w:t>
      </w:r>
    </w:p>
    <w:p>
      <w:pPr>
        <w:spacing w:line="360" w:lineRule="auto"/>
        <w:ind w:firstLine="420" w:firstLineChars="200"/>
        <w:rPr>
          <w:szCs w:val="21"/>
        </w:rPr>
      </w:pPr>
      <w:r>
        <w:rPr>
          <w:szCs w:val="21"/>
        </w:rPr>
        <w:t>18.</w:t>
      </w:r>
      <w:r>
        <w:rPr>
          <w:rFonts w:hint="eastAsia"/>
          <w:szCs w:val="21"/>
        </w:rPr>
        <w:t>3</w:t>
      </w:r>
      <w:r>
        <w:rPr>
          <w:szCs w:val="21"/>
        </w:rPr>
        <w:t>.2解除合同的争议。合同一方对解除合同、或对解除日期的结算资料有争议，</w:t>
      </w:r>
      <w:r>
        <w:rPr>
          <w:rFonts w:hint="eastAsia"/>
          <w:szCs w:val="21"/>
        </w:rPr>
        <w:t>采取</w:t>
      </w:r>
      <w:r>
        <w:rPr>
          <w:szCs w:val="21"/>
        </w:rPr>
        <w:t>友好协商解决。经友好协商仍存在争议、或</w:t>
      </w:r>
      <w:r>
        <w:rPr>
          <w:rFonts w:hint="eastAsia"/>
          <w:szCs w:val="21"/>
        </w:rPr>
        <w:t>有一方</w:t>
      </w:r>
      <w:r>
        <w:rPr>
          <w:szCs w:val="21"/>
        </w:rPr>
        <w:t>不接受友好协商</w:t>
      </w:r>
      <w:r>
        <w:rPr>
          <w:rFonts w:hint="eastAsia"/>
          <w:szCs w:val="21"/>
        </w:rPr>
        <w:t>时</w:t>
      </w:r>
      <w:r>
        <w:rPr>
          <w:szCs w:val="21"/>
        </w:rPr>
        <w:t>，根据16.3款争议和裁决的</w:t>
      </w:r>
      <w:r>
        <w:rPr>
          <w:rFonts w:hint="eastAsia"/>
          <w:szCs w:val="21"/>
        </w:rPr>
        <w:t>约定</w:t>
      </w:r>
      <w:r>
        <w:rPr>
          <w:szCs w:val="21"/>
        </w:rPr>
        <w:t>解决。</w:t>
      </w:r>
    </w:p>
    <w:p>
      <w:pPr>
        <w:spacing w:before="156" w:beforeLines="50" w:after="156" w:afterLines="50" w:line="360" w:lineRule="auto"/>
        <w:ind w:firstLine="411" w:firstLineChars="196"/>
        <w:rPr>
          <w:b/>
          <w:szCs w:val="21"/>
        </w:rPr>
      </w:pPr>
      <w:r>
        <w:rPr>
          <w:b/>
          <w:szCs w:val="21"/>
        </w:rPr>
        <w:t>第19条合同生效与终止</w:t>
      </w:r>
    </w:p>
    <w:p>
      <w:pPr>
        <w:spacing w:line="360" w:lineRule="auto"/>
        <w:ind w:firstLine="420" w:firstLineChars="200"/>
        <w:rPr>
          <w:szCs w:val="21"/>
        </w:rPr>
      </w:pPr>
      <w:r>
        <w:rPr>
          <w:szCs w:val="21"/>
        </w:rPr>
        <w:t>19.1  合同生效。在合同协议书中</w:t>
      </w:r>
      <w:r>
        <w:rPr>
          <w:rFonts w:hint="eastAsia"/>
          <w:szCs w:val="21"/>
        </w:rPr>
        <w:t>约定</w:t>
      </w:r>
      <w:r>
        <w:rPr>
          <w:szCs w:val="21"/>
        </w:rPr>
        <w:t>的合同生效条件满足之日生效。合同正本、合同副本的份数在专用条款中</w:t>
      </w:r>
      <w:r>
        <w:rPr>
          <w:rFonts w:hint="eastAsia"/>
          <w:szCs w:val="21"/>
        </w:rPr>
        <w:t>约定</w:t>
      </w:r>
      <w:r>
        <w:rPr>
          <w:szCs w:val="21"/>
        </w:rPr>
        <w:t>。</w:t>
      </w:r>
    </w:p>
    <w:p>
      <w:pPr>
        <w:spacing w:line="360" w:lineRule="auto"/>
        <w:ind w:firstLine="420" w:firstLineChars="200"/>
        <w:rPr>
          <w:szCs w:val="21"/>
        </w:rPr>
      </w:pPr>
      <w:r>
        <w:rPr>
          <w:szCs w:val="21"/>
        </w:rPr>
        <w:t>19.2  除本合同第</w:t>
      </w:r>
      <w:r>
        <w:rPr>
          <w:rFonts w:hint="eastAsia"/>
          <w:szCs w:val="21"/>
        </w:rPr>
        <w:t>11.1</w:t>
      </w:r>
      <w:r>
        <w:rPr>
          <w:szCs w:val="21"/>
        </w:rPr>
        <w:t>款质量保修责任书的</w:t>
      </w:r>
      <w:r>
        <w:rPr>
          <w:rFonts w:hint="eastAsia"/>
          <w:szCs w:val="21"/>
        </w:rPr>
        <w:t>约定</w:t>
      </w:r>
      <w:r>
        <w:rPr>
          <w:szCs w:val="21"/>
        </w:rPr>
        <w:t>外，合同双方已履行了合同约定的全部义务竣工结算价款已结清，本合同即告终止。</w:t>
      </w:r>
    </w:p>
    <w:p>
      <w:pPr>
        <w:spacing w:line="360" w:lineRule="auto"/>
        <w:ind w:firstLine="420" w:firstLineChars="200"/>
        <w:rPr>
          <w:szCs w:val="21"/>
        </w:rPr>
      </w:pPr>
      <w:r>
        <w:rPr>
          <w:szCs w:val="21"/>
        </w:rPr>
        <w:t>19.3  合同双方在合同终止后，遵循诚实信用原则，履行通知、协助、保密等义务。</w:t>
      </w:r>
    </w:p>
    <w:p>
      <w:pPr>
        <w:spacing w:before="156" w:beforeLines="50" w:after="156" w:afterLines="50" w:line="360" w:lineRule="auto"/>
        <w:ind w:firstLine="411" w:firstLineChars="196"/>
        <w:rPr>
          <w:b/>
          <w:szCs w:val="21"/>
        </w:rPr>
      </w:pPr>
      <w:r>
        <w:rPr>
          <w:b/>
          <w:szCs w:val="21"/>
        </w:rPr>
        <w:t>第20条补充条款</w:t>
      </w:r>
    </w:p>
    <w:p>
      <w:pPr>
        <w:spacing w:line="360" w:lineRule="auto"/>
        <w:ind w:firstLine="420" w:firstLineChars="200"/>
        <w:rPr>
          <w:szCs w:val="21"/>
        </w:rPr>
      </w:pPr>
      <w:r>
        <w:rPr>
          <w:szCs w:val="21"/>
        </w:rPr>
        <w:t>根据有关法律</w:t>
      </w:r>
      <w:r>
        <w:rPr>
          <w:rFonts w:hint="eastAsia"/>
          <w:szCs w:val="21"/>
        </w:rPr>
        <w:t>、行政法规、行业规定</w:t>
      </w:r>
      <w:r>
        <w:rPr>
          <w:szCs w:val="21"/>
        </w:rPr>
        <w:t>，结合工程实施情况，经协商一致后，可对本通用条款的内容，在专用条款中具体约定、补充或修改。</w:t>
      </w:r>
    </w:p>
    <w:p>
      <w:pPr>
        <w:pStyle w:val="3"/>
        <w:pageBreakBefore/>
        <w:spacing w:before="120" w:after="0" w:line="240" w:lineRule="auto"/>
        <w:jc w:val="center"/>
        <w:rPr>
          <w:rFonts w:ascii="宋体" w:hAnsi="宋体"/>
          <w:sz w:val="36"/>
          <w:szCs w:val="36"/>
        </w:rPr>
      </w:pPr>
      <w:bookmarkStart w:id="64" w:name="_Toc484108910"/>
      <w:bookmarkStart w:id="65" w:name="_Toc402187564"/>
      <w:bookmarkStart w:id="66" w:name="_Toc484082719"/>
      <w:bookmarkStart w:id="67" w:name="_Toc8030_WPSOffice_Level1"/>
      <w:bookmarkStart w:id="68" w:name="_Toc478424891"/>
      <w:bookmarkStart w:id="69" w:name="_Toc477970719"/>
      <w:bookmarkStart w:id="70" w:name="_Toc477982304"/>
      <w:bookmarkStart w:id="71" w:name="_Toc478303277"/>
      <w:bookmarkStart w:id="72" w:name="_Toc484082393"/>
      <w:bookmarkStart w:id="73" w:name="_Toc484108965"/>
      <w:r>
        <w:rPr>
          <w:rFonts w:hint="eastAsia" w:ascii="宋体" w:hAnsi="宋体"/>
          <w:sz w:val="36"/>
          <w:szCs w:val="36"/>
        </w:rPr>
        <w:t>第三节 专用条款</w:t>
      </w:r>
      <w:bookmarkEnd w:id="64"/>
      <w:bookmarkEnd w:id="65"/>
      <w:bookmarkEnd w:id="66"/>
      <w:bookmarkEnd w:id="67"/>
      <w:bookmarkEnd w:id="68"/>
      <w:bookmarkEnd w:id="69"/>
      <w:bookmarkEnd w:id="70"/>
      <w:bookmarkEnd w:id="71"/>
      <w:bookmarkEnd w:id="72"/>
      <w:bookmarkEnd w:id="73"/>
    </w:p>
    <w:p>
      <w:pPr>
        <w:pStyle w:val="2"/>
        <w:spacing w:before="156" w:after="156"/>
      </w:pPr>
      <w:r>
        <w:rPr>
          <w:rFonts w:hint="eastAsia"/>
        </w:rPr>
        <w:t>第</w:t>
      </w:r>
      <w:r>
        <w:t>1</w:t>
      </w:r>
      <w:r>
        <w:rPr>
          <w:rFonts w:hint="eastAsia"/>
        </w:rPr>
        <w:t>条一般规定</w:t>
      </w:r>
    </w:p>
    <w:p>
      <w:pPr>
        <w:pStyle w:val="4"/>
        <w:spacing w:before="156" w:after="156"/>
      </w:pPr>
      <w:r>
        <w:rPr>
          <w:rFonts w:hint="eastAsia"/>
        </w:rPr>
        <w:t>1.1  定义与解释</w:t>
      </w:r>
    </w:p>
    <w:p>
      <w:pPr>
        <w:pStyle w:val="118"/>
        <w:spacing w:line="360" w:lineRule="auto"/>
        <w:ind w:firstLine="420" w:firstLineChars="200"/>
        <w:rPr>
          <w:rFonts w:cs="Times New Roman"/>
          <w:szCs w:val="21"/>
        </w:rPr>
      </w:pPr>
      <w:r>
        <w:rPr>
          <w:rFonts w:hint="eastAsia" w:cs="Times New Roman"/>
          <w:szCs w:val="21"/>
        </w:rPr>
        <w:t>1.1.3工程EPC总承包，指承包人受业主委托，按照合同约定对</w:t>
      </w:r>
      <w:r>
        <w:rPr>
          <w:rFonts w:hint="eastAsia" w:ascii="宋体" w:hAnsi="宋体"/>
          <w:szCs w:val="21"/>
        </w:rPr>
        <w:t>工程</w:t>
      </w:r>
      <w:r>
        <w:rPr>
          <w:rFonts w:hint="eastAsia" w:cs="Times New Roman"/>
          <w:szCs w:val="21"/>
        </w:rPr>
        <w:t>等实行全过程工程承包。</w:t>
      </w:r>
    </w:p>
    <w:p>
      <w:pPr>
        <w:spacing w:line="360" w:lineRule="auto"/>
        <w:ind w:firstLine="420" w:firstLineChars="200"/>
        <w:rPr>
          <w:szCs w:val="21"/>
        </w:rPr>
      </w:pPr>
      <w:r>
        <w:rPr>
          <w:szCs w:val="21"/>
        </w:rPr>
        <w:t>1.1.</w:t>
      </w:r>
      <w:r>
        <w:rPr>
          <w:rFonts w:hint="eastAsia"/>
          <w:szCs w:val="21"/>
        </w:rPr>
        <w:t>10项目经理，即</w:t>
      </w:r>
      <w:r>
        <w:rPr>
          <w:rFonts w:hint="eastAsia"/>
          <w:szCs w:val="21"/>
          <w:lang w:eastAsia="zh-CN"/>
        </w:rPr>
        <w:t>工程总承包项目经理</w:t>
      </w:r>
      <w:r>
        <w:rPr>
          <w:rFonts w:hint="eastAsia"/>
          <w:szCs w:val="21"/>
        </w:rPr>
        <w:t>。</w:t>
      </w:r>
    </w:p>
    <w:p>
      <w:pPr>
        <w:pStyle w:val="71"/>
        <w:spacing w:line="360" w:lineRule="auto"/>
        <w:ind w:firstLine="420" w:firstLineChars="200"/>
        <w:rPr>
          <w:szCs w:val="21"/>
        </w:rPr>
      </w:pPr>
      <w:r>
        <w:rPr>
          <w:rFonts w:hint="eastAsia"/>
          <w:szCs w:val="21"/>
        </w:rPr>
        <w:t>1.1.15项目基础资料，指发包人提供给承包人的经有关部门对项目批准或核准的文件、报告（选厂报告、资源报告、勘察报告）等。</w:t>
      </w:r>
    </w:p>
    <w:p>
      <w:pPr>
        <w:pStyle w:val="71"/>
        <w:spacing w:line="360" w:lineRule="auto"/>
        <w:ind w:firstLine="420" w:firstLineChars="200"/>
        <w:rPr>
          <w:szCs w:val="21"/>
        </w:rPr>
      </w:pPr>
      <w:permStart w:id="11" w:edGrp="everyone"/>
      <w:r>
        <w:rPr>
          <w:rFonts w:hint="eastAsia"/>
          <w:szCs w:val="21"/>
        </w:rPr>
        <w:t>1.1.17设计阶段，指         工程的从施工图设计开始的设计阶段。</w:t>
      </w:r>
    </w:p>
    <w:permEnd w:id="11"/>
    <w:p>
      <w:pPr>
        <w:pStyle w:val="71"/>
        <w:spacing w:line="360" w:lineRule="auto"/>
        <w:ind w:firstLine="420" w:firstLineChars="200"/>
        <w:rPr>
          <w:szCs w:val="21"/>
        </w:rPr>
      </w:pPr>
      <w:r>
        <w:rPr>
          <w:szCs w:val="21"/>
        </w:rPr>
        <w:t>1.1.</w:t>
      </w:r>
      <w:r>
        <w:rPr>
          <w:rFonts w:hint="eastAsia"/>
          <w:szCs w:val="21"/>
        </w:rPr>
        <w:t>19施工，指承包人把设计文件转化为工程的过程，包括土建、安装、完工验收和竣工验收等作业。</w:t>
      </w:r>
    </w:p>
    <w:p>
      <w:pPr>
        <w:pStyle w:val="71"/>
        <w:spacing w:line="360" w:lineRule="auto"/>
        <w:ind w:firstLine="420" w:firstLineChars="200"/>
        <w:rPr>
          <w:rFonts w:cs="Times New Roman"/>
          <w:szCs w:val="21"/>
        </w:rPr>
      </w:pPr>
      <w:r>
        <w:rPr>
          <w:rFonts w:hint="eastAsia" w:cs="Times New Roman"/>
          <w:szCs w:val="21"/>
        </w:rPr>
        <w:t>1.1.26工程竣工验收，本工程竣工验收按照广州市水务局《广州市水务建设工程竣工验收工作指引》（试行）有关规定执行。</w:t>
      </w:r>
    </w:p>
    <w:p>
      <w:pPr>
        <w:spacing w:line="360" w:lineRule="auto"/>
        <w:ind w:firstLine="420" w:firstLineChars="200"/>
        <w:rPr>
          <w:szCs w:val="21"/>
        </w:rPr>
      </w:pPr>
      <w:r>
        <w:rPr>
          <w:rFonts w:hint="eastAsia"/>
          <w:szCs w:val="21"/>
        </w:rPr>
        <w:t>1.1.27项目进度计划，指自合同生效之日起，按合同约定的工程全部实施阶段（包括：设计、采购、施工、竣工验收、工程接收等各阶段的）或合同约定的若干实施阶段的时间计划安排。</w:t>
      </w:r>
    </w:p>
    <w:p>
      <w:pPr>
        <w:spacing w:line="360" w:lineRule="auto"/>
        <w:ind w:firstLine="420" w:firstLineChars="200"/>
        <w:rPr>
          <w:b/>
          <w:szCs w:val="21"/>
        </w:rPr>
      </w:pPr>
      <w:r>
        <w:rPr>
          <w:szCs w:val="21"/>
        </w:rPr>
        <w:t>1.1.</w:t>
      </w:r>
      <w:r>
        <w:rPr>
          <w:rFonts w:hint="eastAsia"/>
          <w:szCs w:val="21"/>
        </w:rPr>
        <w:t>31合同价格，指合同协议书中约定的、承包人进行本工程的设计、采购、施工等工作的价款。</w:t>
      </w:r>
    </w:p>
    <w:p>
      <w:pPr>
        <w:pStyle w:val="4"/>
        <w:spacing w:before="156" w:after="156"/>
      </w:pPr>
      <w:r>
        <w:rPr>
          <w:rFonts w:hint="eastAsia"/>
        </w:rPr>
        <w:t>1.4  适用法律</w:t>
      </w:r>
    </w:p>
    <w:p>
      <w:pPr>
        <w:spacing w:line="360" w:lineRule="auto"/>
        <w:ind w:firstLine="420" w:firstLineChars="200"/>
        <w:rPr>
          <w:szCs w:val="21"/>
        </w:rPr>
      </w:pPr>
      <w:r>
        <w:rPr>
          <w:rFonts w:hint="eastAsia"/>
          <w:szCs w:val="21"/>
        </w:rPr>
        <w:t>合同双方需要明示的法律：</w:t>
      </w:r>
      <w:r>
        <w:rPr>
          <w:rFonts w:hint="eastAsia"/>
          <w:szCs w:val="21"/>
          <w:u w:val="single"/>
        </w:rPr>
        <w:t>本合同适用中华人民共和国法律、行政法规、部门规章、地方性法规和地方政府规章以及EPC工程所在地省级和市级相关行政主管机关制定的规范性文件</w:t>
      </w:r>
      <w:r>
        <w:rPr>
          <w:rFonts w:hint="eastAsia"/>
          <w:szCs w:val="21"/>
        </w:rPr>
        <w:t>。</w:t>
      </w:r>
    </w:p>
    <w:p>
      <w:pPr>
        <w:pStyle w:val="4"/>
        <w:spacing w:before="156" w:after="156"/>
      </w:pPr>
      <w:r>
        <w:rPr>
          <w:rFonts w:hint="eastAsia"/>
        </w:rPr>
        <w:t>1.5  标准、规范</w:t>
      </w:r>
    </w:p>
    <w:p>
      <w:pPr>
        <w:spacing w:line="360" w:lineRule="auto"/>
        <w:ind w:firstLine="420" w:firstLineChars="200"/>
        <w:rPr>
          <w:szCs w:val="21"/>
        </w:rPr>
      </w:pPr>
      <w:r>
        <w:rPr>
          <w:rFonts w:hint="eastAsia"/>
          <w:szCs w:val="21"/>
        </w:rPr>
        <w:t>1.5.1本合同</w:t>
      </w:r>
      <w:r>
        <w:rPr>
          <w:szCs w:val="21"/>
        </w:rPr>
        <w:t>适用</w:t>
      </w:r>
      <w:r>
        <w:rPr>
          <w:rFonts w:hint="eastAsia"/>
          <w:szCs w:val="21"/>
        </w:rPr>
        <w:t>的</w:t>
      </w:r>
      <w:r>
        <w:rPr>
          <w:szCs w:val="21"/>
        </w:rPr>
        <w:t>标准、规范</w:t>
      </w:r>
      <w:r>
        <w:rPr>
          <w:rFonts w:hint="eastAsia"/>
          <w:szCs w:val="21"/>
        </w:rPr>
        <w:t>（</w:t>
      </w:r>
      <w:r>
        <w:rPr>
          <w:szCs w:val="21"/>
        </w:rPr>
        <w:t>名称</w:t>
      </w:r>
      <w:r>
        <w:rPr>
          <w:rFonts w:hint="eastAsia"/>
          <w:szCs w:val="21"/>
        </w:rPr>
        <w:t>）</w:t>
      </w:r>
      <w:r>
        <w:rPr>
          <w:szCs w:val="21"/>
        </w:rPr>
        <w:t>：</w:t>
      </w:r>
      <w:r>
        <w:rPr>
          <w:rFonts w:hint="eastAsia"/>
          <w:szCs w:val="21"/>
          <w:u w:val="single"/>
        </w:rPr>
        <w:t>国家现行有效的有关设计、采购、施工、验收规范和验收标准，以及项目工程所在地省级和市级相关行政主管部门批准的文件</w:t>
      </w:r>
      <w:r>
        <w:rPr>
          <w:rFonts w:hint="eastAsia"/>
          <w:szCs w:val="21"/>
        </w:rPr>
        <w:t>。</w:t>
      </w:r>
    </w:p>
    <w:p>
      <w:pPr>
        <w:spacing w:line="360" w:lineRule="auto"/>
        <w:ind w:firstLine="420" w:firstLineChars="200"/>
        <w:rPr>
          <w:szCs w:val="21"/>
        </w:rPr>
      </w:pPr>
      <w:r>
        <w:rPr>
          <w:rFonts w:hint="eastAsia"/>
          <w:szCs w:val="21"/>
        </w:rPr>
        <w:t>1.5.2  发包人提供的国外标准、规范的名称、份数和时间</w:t>
      </w:r>
      <w:r>
        <w:rPr>
          <w:rFonts w:hint="eastAsia"/>
          <w:szCs w:val="21"/>
          <w:u w:val="single"/>
        </w:rPr>
        <w:t xml:space="preserve">：无。 </w:t>
      </w:r>
    </w:p>
    <w:p>
      <w:pPr>
        <w:spacing w:line="360" w:lineRule="auto"/>
        <w:ind w:firstLine="420" w:firstLineChars="200"/>
        <w:rPr>
          <w:szCs w:val="21"/>
          <w:u w:val="single"/>
        </w:rPr>
      </w:pPr>
      <w:r>
        <w:rPr>
          <w:rFonts w:hint="eastAsia"/>
          <w:szCs w:val="21"/>
        </w:rPr>
        <w:t>1.5.3  没有成文规范、标准规定的约定：</w:t>
      </w:r>
      <w:r>
        <w:rPr>
          <w:rFonts w:hint="eastAsia"/>
          <w:szCs w:val="21"/>
          <w:u w:val="single"/>
        </w:rPr>
        <w:t xml:space="preserve"> 发包人提供施工技术要求，承包人根据发包人的要求提供施工工艺或/和相应的实施方案，经发包人和监理人认可后执行</w:t>
      </w:r>
      <w:r>
        <w:rPr>
          <w:rFonts w:hint="eastAsia"/>
          <w:szCs w:val="21"/>
        </w:rPr>
        <w:t>。</w:t>
      </w:r>
    </w:p>
    <w:p>
      <w:pPr>
        <w:spacing w:line="360" w:lineRule="auto"/>
        <w:ind w:firstLine="420" w:firstLineChars="200"/>
        <w:rPr>
          <w:szCs w:val="21"/>
        </w:rPr>
      </w:pPr>
      <w:r>
        <w:rPr>
          <w:rFonts w:hint="eastAsia"/>
          <w:szCs w:val="21"/>
        </w:rPr>
        <w:t>发包人的技术要求及提交时间：</w:t>
      </w:r>
      <w:r>
        <w:rPr>
          <w:rFonts w:hint="eastAsia"/>
          <w:szCs w:val="21"/>
          <w:u w:val="single"/>
        </w:rPr>
        <w:t xml:space="preserve">无。 </w:t>
      </w:r>
    </w:p>
    <w:p>
      <w:pPr>
        <w:spacing w:line="360" w:lineRule="auto"/>
        <w:rPr>
          <w:szCs w:val="21"/>
        </w:rPr>
      </w:pPr>
      <w:r>
        <w:rPr>
          <w:rFonts w:hint="eastAsia"/>
          <w:szCs w:val="21"/>
        </w:rPr>
        <w:t xml:space="preserve">    承包人提交实施方法的时间：</w:t>
      </w:r>
      <w:r>
        <w:rPr>
          <w:rFonts w:hint="eastAsia"/>
          <w:szCs w:val="21"/>
          <w:u w:val="single"/>
        </w:rPr>
        <w:t>无。</w:t>
      </w:r>
    </w:p>
    <w:p>
      <w:pPr>
        <w:spacing w:line="360" w:lineRule="auto"/>
        <w:rPr>
          <w:szCs w:val="21"/>
        </w:rPr>
      </w:pPr>
      <w:r>
        <w:rPr>
          <w:rFonts w:hint="eastAsia"/>
          <w:szCs w:val="21"/>
        </w:rPr>
        <w:t xml:space="preserve">    研发试验（或培训）协议（名称）：</w:t>
      </w:r>
      <w:r>
        <w:rPr>
          <w:rFonts w:hint="eastAsia"/>
          <w:szCs w:val="21"/>
          <w:u w:val="single"/>
        </w:rPr>
        <w:t>无</w:t>
      </w:r>
      <w:r>
        <w:rPr>
          <w:rFonts w:hint="eastAsia"/>
          <w:szCs w:val="21"/>
        </w:rPr>
        <w:t>。</w:t>
      </w:r>
    </w:p>
    <w:p>
      <w:pPr>
        <w:pStyle w:val="4"/>
        <w:spacing w:before="156" w:after="156"/>
      </w:pPr>
      <w:r>
        <w:rPr>
          <w:rFonts w:hint="eastAsia"/>
        </w:rPr>
        <w:t>1.7  保密事项</w:t>
      </w:r>
    </w:p>
    <w:p>
      <w:pPr>
        <w:spacing w:line="360" w:lineRule="auto"/>
        <w:ind w:firstLine="420" w:firstLineChars="200"/>
        <w:rPr>
          <w:szCs w:val="21"/>
        </w:rPr>
      </w:pPr>
      <w:r>
        <w:rPr>
          <w:rFonts w:hint="eastAsia"/>
          <w:szCs w:val="21"/>
        </w:rPr>
        <w:t>1.签订的商业保密协议（名称）：</w:t>
      </w:r>
      <w:r>
        <w:rPr>
          <w:rFonts w:hint="eastAsia"/>
          <w:szCs w:val="21"/>
          <w:u w:val="single"/>
        </w:rPr>
        <w:t>无</w:t>
      </w:r>
      <w:r>
        <w:rPr>
          <w:rFonts w:hint="eastAsia"/>
          <w:szCs w:val="21"/>
        </w:rPr>
        <w:t>。</w:t>
      </w:r>
    </w:p>
    <w:p>
      <w:pPr>
        <w:pStyle w:val="2"/>
        <w:spacing w:before="156" w:after="156"/>
      </w:pPr>
      <w:r>
        <w:rPr>
          <w:rFonts w:hint="eastAsia"/>
        </w:rPr>
        <w:t>第</w:t>
      </w:r>
      <w:r>
        <w:t>2</w:t>
      </w:r>
      <w:r>
        <w:rPr>
          <w:rFonts w:hint="eastAsia"/>
        </w:rPr>
        <w:t>条发包人</w:t>
      </w:r>
    </w:p>
    <w:p>
      <w:pPr>
        <w:pStyle w:val="4"/>
        <w:spacing w:before="156" w:after="156"/>
      </w:pPr>
      <w:r>
        <w:rPr>
          <w:rFonts w:hint="eastAsia"/>
        </w:rPr>
        <w:t>2.1发包人的义务和权利</w:t>
      </w:r>
    </w:p>
    <w:p>
      <w:pPr>
        <w:spacing w:before="156" w:beforeLines="50" w:after="156" w:afterLines="50" w:line="360" w:lineRule="auto"/>
        <w:ind w:firstLine="420" w:firstLineChars="200"/>
        <w:rPr>
          <w:szCs w:val="21"/>
        </w:rPr>
      </w:pPr>
      <w:r>
        <w:rPr>
          <w:rFonts w:hint="eastAsia"/>
          <w:szCs w:val="21"/>
        </w:rPr>
        <w:t>2.1.7负责协调设计单位的前期设计资料移交给承包人。</w:t>
      </w:r>
    </w:p>
    <w:p>
      <w:pPr>
        <w:pStyle w:val="148"/>
        <w:spacing w:line="360" w:lineRule="auto"/>
        <w:ind w:firstLine="420" w:firstLineChars="200"/>
        <w:rPr>
          <w:rFonts w:cs="Times New Roman"/>
          <w:szCs w:val="21"/>
        </w:rPr>
      </w:pPr>
      <w:r>
        <w:rPr>
          <w:rFonts w:hint="eastAsia" w:cs="Times New Roman"/>
          <w:szCs w:val="21"/>
        </w:rPr>
        <w:t>2.1.8有权调整工作面和新增项目，工期相应延长。</w:t>
      </w:r>
    </w:p>
    <w:p>
      <w:pPr>
        <w:pStyle w:val="148"/>
        <w:spacing w:line="360" w:lineRule="auto"/>
        <w:ind w:firstLine="420" w:firstLineChars="200"/>
        <w:rPr>
          <w:rFonts w:cs="Times New Roman"/>
          <w:szCs w:val="21"/>
        </w:rPr>
      </w:pPr>
      <w:r>
        <w:rPr>
          <w:rFonts w:hint="eastAsia" w:cs="Times New Roman"/>
          <w:szCs w:val="21"/>
        </w:rPr>
        <w:t>2.1.9工程属地政府及村等相关部门要求改变设计路线、调整工作面、改变设计路线，经发包人同意方可实施，工期相应延长。</w:t>
      </w:r>
    </w:p>
    <w:p>
      <w:pPr>
        <w:pStyle w:val="148"/>
        <w:spacing w:line="360" w:lineRule="auto"/>
        <w:ind w:firstLine="420" w:firstLineChars="200"/>
        <w:rPr>
          <w:rFonts w:cs="Times New Roman"/>
          <w:szCs w:val="21"/>
        </w:rPr>
      </w:pPr>
      <w:r>
        <w:rPr>
          <w:rFonts w:hint="eastAsia" w:cs="Times New Roman"/>
          <w:szCs w:val="21"/>
        </w:rPr>
        <w:t>2.1.10负责非承包人原因的交通疏解，协调工程施工图纸审查，征地，沿线建（构）筑物的赔偿工作及综合管线迁改。</w:t>
      </w:r>
    </w:p>
    <w:p>
      <w:pPr>
        <w:pStyle w:val="148"/>
        <w:spacing w:line="360" w:lineRule="auto"/>
        <w:ind w:firstLine="420" w:firstLineChars="200"/>
        <w:rPr>
          <w:rFonts w:cs="Times New Roman"/>
          <w:szCs w:val="21"/>
        </w:rPr>
      </w:pPr>
      <w:r>
        <w:rPr>
          <w:rFonts w:hint="eastAsia" w:cs="Times New Roman"/>
          <w:szCs w:val="21"/>
        </w:rPr>
        <w:t>2.1.11因非承包人原因造成工期延误的，完工时间相应延长。</w:t>
      </w:r>
    </w:p>
    <w:p>
      <w:pPr>
        <w:pStyle w:val="4"/>
        <w:spacing w:before="156" w:after="156"/>
      </w:pPr>
      <w:r>
        <w:rPr>
          <w:rFonts w:hint="eastAsia"/>
        </w:rPr>
        <w:t>2.2  发包人代表</w:t>
      </w:r>
    </w:p>
    <w:p>
      <w:pPr>
        <w:spacing w:line="360" w:lineRule="auto"/>
        <w:ind w:firstLine="420" w:firstLineChars="200"/>
        <w:rPr>
          <w:szCs w:val="21"/>
        </w:rPr>
      </w:pPr>
      <w:r>
        <w:rPr>
          <w:rFonts w:hint="eastAsia"/>
          <w:szCs w:val="21"/>
          <w:u w:val="single"/>
        </w:rPr>
        <w:t>发包人在本合同签订后5日内以书面的形式把发包人的代表的姓名、联系方式、职权等以书面形式通知承包人</w:t>
      </w:r>
      <w:r>
        <w:rPr>
          <w:rFonts w:hint="eastAsia"/>
          <w:szCs w:val="21"/>
        </w:rPr>
        <w:t>。</w:t>
      </w:r>
    </w:p>
    <w:p>
      <w:pPr>
        <w:pStyle w:val="148"/>
        <w:spacing w:line="360" w:lineRule="auto"/>
        <w:ind w:firstLine="420" w:firstLineChars="200"/>
        <w:rPr>
          <w:rFonts w:cs="Times New Roman"/>
          <w:szCs w:val="21"/>
        </w:rPr>
      </w:pPr>
      <w:r>
        <w:rPr>
          <w:rFonts w:hint="eastAsia" w:cs="Times New Roman"/>
          <w:szCs w:val="21"/>
        </w:rPr>
        <w:t>发包人单位委派的代表，行使发包人单位委托的权利，履行发包人单位义务。发包人单位代表依据本合同并在其授权范围内履行其职责。</w:t>
      </w:r>
    </w:p>
    <w:p>
      <w:pPr>
        <w:pStyle w:val="148"/>
        <w:spacing w:line="360" w:lineRule="auto"/>
        <w:ind w:firstLine="420" w:firstLineChars="200"/>
        <w:rPr>
          <w:szCs w:val="21"/>
        </w:rPr>
      </w:pPr>
      <w:r>
        <w:rPr>
          <w:rFonts w:hint="eastAsia" w:cs="Times New Roman"/>
          <w:szCs w:val="21"/>
        </w:rPr>
        <w:t>发包人单位代表在本合同签订后</w:t>
      </w:r>
      <w:r>
        <w:rPr>
          <w:rFonts w:cs="Times New Roman"/>
          <w:szCs w:val="21"/>
        </w:rPr>
        <w:t>5</w:t>
      </w:r>
      <w:r>
        <w:rPr>
          <w:rFonts w:hint="eastAsia" w:cs="Times New Roman"/>
          <w:szCs w:val="21"/>
        </w:rPr>
        <w:t>日内以书面的形式把发包人的代表的姓名、联系方式、职权等以书面形式通知承包人。发包人单位决定替换其代表时，将新任代表的姓名、职务、职权和任命时间在其到任的前</w:t>
      </w:r>
      <w:r>
        <w:rPr>
          <w:rFonts w:cs="Times New Roman"/>
          <w:szCs w:val="21"/>
        </w:rPr>
        <w:t>15</w:t>
      </w:r>
      <w:r>
        <w:rPr>
          <w:rFonts w:hint="eastAsia" w:cs="Times New Roman"/>
          <w:szCs w:val="21"/>
        </w:rPr>
        <w:t>天，以书面形式通知承包人。</w:t>
      </w:r>
    </w:p>
    <w:p>
      <w:pPr>
        <w:pStyle w:val="4"/>
        <w:spacing w:before="156" w:after="156"/>
      </w:pPr>
      <w:r>
        <w:rPr>
          <w:rFonts w:hint="eastAsia"/>
        </w:rPr>
        <w:t>2.3  监理人</w:t>
      </w:r>
    </w:p>
    <w:p>
      <w:pPr>
        <w:spacing w:line="360" w:lineRule="auto"/>
        <w:ind w:firstLine="420" w:firstLineChars="200"/>
        <w:rPr>
          <w:szCs w:val="21"/>
        </w:rPr>
      </w:pPr>
      <w:r>
        <w:rPr>
          <w:rFonts w:hint="eastAsia"/>
          <w:szCs w:val="21"/>
        </w:rPr>
        <w:t>2.3.1</w:t>
      </w:r>
      <w:r>
        <w:rPr>
          <w:rFonts w:hint="eastAsia"/>
          <w:szCs w:val="21"/>
          <w:u w:val="single"/>
        </w:rPr>
        <w:t>发包人在签订本合同后5日内以书面的方式把监理人名称、工程总监理姓名、监理人的范围、监理的内容和监理的职权以书面形式通知承包人</w:t>
      </w:r>
      <w:r>
        <w:rPr>
          <w:rFonts w:hint="eastAsia"/>
          <w:szCs w:val="21"/>
        </w:rPr>
        <w:t>。</w:t>
      </w:r>
    </w:p>
    <w:p>
      <w:pPr>
        <w:pStyle w:val="4"/>
        <w:spacing w:before="156" w:after="156"/>
      </w:pPr>
      <w:r>
        <w:t>2.</w:t>
      </w:r>
      <w:r>
        <w:rPr>
          <w:rFonts w:hint="eastAsia"/>
        </w:rPr>
        <w:t>4  安全保证</w:t>
      </w:r>
    </w:p>
    <w:p>
      <w:pPr>
        <w:spacing w:line="360" w:lineRule="auto"/>
        <w:ind w:firstLine="420" w:firstLineChars="200"/>
        <w:rPr>
          <w:szCs w:val="21"/>
        </w:rPr>
      </w:pPr>
      <w:r>
        <w:rPr>
          <w:rFonts w:hint="eastAsia"/>
          <w:szCs w:val="21"/>
        </w:rPr>
        <w:t>2.4.1承包人接受发包人委托办理事项的协议（名称）：</w:t>
      </w:r>
      <w:r>
        <w:rPr>
          <w:rFonts w:hint="eastAsia"/>
          <w:szCs w:val="21"/>
          <w:u w:val="single"/>
        </w:rPr>
        <w:t>另行协商确定。</w:t>
      </w:r>
    </w:p>
    <w:p>
      <w:pPr>
        <w:spacing w:line="360" w:lineRule="auto"/>
        <w:ind w:firstLine="420" w:firstLineChars="200"/>
        <w:rPr>
          <w:szCs w:val="21"/>
        </w:rPr>
      </w:pPr>
      <w:r>
        <w:rPr>
          <w:rFonts w:hint="eastAsia"/>
          <w:szCs w:val="21"/>
        </w:rPr>
        <w:t>2.4.3发包人涉及建筑主体及承重结构变动、或涉及重大工艺变化的装修工程的委托合同（名称）</w:t>
      </w:r>
      <w:r>
        <w:rPr>
          <w:rFonts w:hint="eastAsia"/>
          <w:szCs w:val="21"/>
          <w:u w:val="single"/>
        </w:rPr>
        <w:t>：另行协商确定。</w:t>
      </w:r>
    </w:p>
    <w:p>
      <w:pPr>
        <w:pStyle w:val="2"/>
        <w:spacing w:before="156" w:after="156"/>
      </w:pPr>
      <w:r>
        <w:rPr>
          <w:rFonts w:hint="eastAsia"/>
        </w:rPr>
        <w:t>第</w:t>
      </w:r>
      <w:r>
        <w:t>3</w:t>
      </w:r>
      <w:r>
        <w:rPr>
          <w:rFonts w:hint="eastAsia"/>
        </w:rPr>
        <w:t>条承包人</w:t>
      </w:r>
    </w:p>
    <w:p>
      <w:pPr>
        <w:pStyle w:val="4"/>
        <w:spacing w:before="156" w:after="156"/>
      </w:pPr>
      <w:r>
        <w:t>3.1</w:t>
      </w:r>
      <w:r>
        <w:rPr>
          <w:rFonts w:hint="eastAsia"/>
        </w:rPr>
        <w:t>承包人的一般义务和权力</w:t>
      </w:r>
    </w:p>
    <w:p>
      <w:pPr>
        <w:spacing w:before="156" w:beforeLines="50" w:after="156" w:afterLines="50" w:line="360" w:lineRule="auto"/>
        <w:ind w:firstLine="420" w:firstLineChars="200"/>
        <w:rPr>
          <w:szCs w:val="21"/>
          <w:u w:val="single"/>
        </w:rPr>
      </w:pPr>
      <w:r>
        <w:rPr>
          <w:rFonts w:hint="eastAsia"/>
          <w:szCs w:val="21"/>
        </w:rPr>
        <w:t>3.1.3经合同双方商定，承包人应提交的报表类别、名称、要求、报告期、提交的时间和份数：</w:t>
      </w:r>
      <w:r>
        <w:rPr>
          <w:rFonts w:hint="eastAsia"/>
          <w:szCs w:val="21"/>
          <w:u w:val="single"/>
        </w:rPr>
        <w:t>按相关要求执行。</w:t>
      </w:r>
    </w:p>
    <w:p>
      <w:pPr>
        <w:pStyle w:val="4"/>
        <w:spacing w:before="156" w:after="156"/>
      </w:pPr>
      <w:r>
        <w:t>3.2</w:t>
      </w:r>
      <w:r>
        <w:rPr>
          <w:rFonts w:hint="eastAsia"/>
        </w:rPr>
        <w:t>项目经理、项目技术负责人及其他相关人员</w:t>
      </w:r>
    </w:p>
    <w:p>
      <w:pPr>
        <w:spacing w:line="360" w:lineRule="auto"/>
        <w:ind w:firstLine="420" w:firstLineChars="200"/>
        <w:rPr>
          <w:szCs w:val="21"/>
          <w:u w:val="single"/>
        </w:rPr>
      </w:pPr>
      <w:permStart w:id="12" w:edGrp="everyone"/>
      <w:r>
        <w:rPr>
          <w:szCs w:val="21"/>
        </w:rPr>
        <w:t>3.2.1</w:t>
      </w:r>
      <w:r>
        <w:rPr>
          <w:rFonts w:hint="eastAsia"/>
          <w:szCs w:val="21"/>
          <w:u w:val="single"/>
        </w:rPr>
        <w:t>项目经理姓名：</w:t>
      </w:r>
    </w:p>
    <w:p>
      <w:pPr>
        <w:spacing w:line="360" w:lineRule="auto"/>
        <w:ind w:firstLine="840" w:firstLineChars="400"/>
        <w:rPr>
          <w:szCs w:val="21"/>
          <w:u w:val="single"/>
        </w:rPr>
      </w:pPr>
      <w:r>
        <w:rPr>
          <w:rFonts w:hint="eastAsia"/>
          <w:szCs w:val="21"/>
          <w:u w:val="single"/>
        </w:rPr>
        <w:t>项目经理职责：</w:t>
      </w:r>
    </w:p>
    <w:p>
      <w:pPr>
        <w:spacing w:line="360" w:lineRule="auto"/>
        <w:ind w:firstLine="840" w:firstLineChars="400"/>
        <w:rPr>
          <w:szCs w:val="21"/>
          <w:u w:val="single"/>
        </w:rPr>
      </w:pPr>
      <w:r>
        <w:rPr>
          <w:rFonts w:hint="eastAsia"/>
          <w:szCs w:val="21"/>
          <w:u w:val="single"/>
        </w:rPr>
        <w:t>项目经理权限：</w:t>
      </w:r>
    </w:p>
    <w:p>
      <w:pPr>
        <w:spacing w:line="360" w:lineRule="auto"/>
        <w:ind w:firstLine="840" w:firstLineChars="400"/>
        <w:rPr>
          <w:szCs w:val="21"/>
          <w:u w:val="single"/>
        </w:rPr>
      </w:pPr>
      <w:r>
        <w:rPr>
          <w:rFonts w:hint="eastAsia"/>
          <w:szCs w:val="21"/>
          <w:u w:val="single"/>
        </w:rPr>
        <w:t>设计项目负责人姓名：</w:t>
      </w:r>
    </w:p>
    <w:p>
      <w:pPr>
        <w:spacing w:line="360" w:lineRule="auto"/>
        <w:ind w:firstLine="840" w:firstLineChars="400"/>
        <w:rPr>
          <w:szCs w:val="21"/>
          <w:u w:val="single"/>
        </w:rPr>
      </w:pPr>
      <w:r>
        <w:rPr>
          <w:rFonts w:hint="eastAsia"/>
          <w:szCs w:val="21"/>
          <w:u w:val="single"/>
        </w:rPr>
        <w:t>设计项目负责人职责：</w:t>
      </w:r>
    </w:p>
    <w:p>
      <w:pPr>
        <w:spacing w:line="360" w:lineRule="auto"/>
        <w:ind w:firstLine="840" w:firstLineChars="400"/>
        <w:rPr>
          <w:szCs w:val="21"/>
          <w:u w:val="single"/>
        </w:rPr>
      </w:pPr>
      <w:r>
        <w:rPr>
          <w:rFonts w:hint="eastAsia"/>
          <w:szCs w:val="21"/>
          <w:u w:val="single"/>
        </w:rPr>
        <w:t>设计项目负责人权限：</w:t>
      </w:r>
    </w:p>
    <w:p>
      <w:pPr>
        <w:spacing w:line="360" w:lineRule="auto"/>
        <w:ind w:firstLine="840" w:firstLineChars="400"/>
        <w:rPr>
          <w:szCs w:val="21"/>
          <w:u w:val="single"/>
        </w:rPr>
      </w:pPr>
      <w:r>
        <w:rPr>
          <w:rFonts w:hint="eastAsia"/>
          <w:szCs w:val="21"/>
          <w:u w:val="single"/>
        </w:rPr>
        <w:t>施工技术负责人姓名：</w:t>
      </w:r>
    </w:p>
    <w:p>
      <w:pPr>
        <w:spacing w:line="360" w:lineRule="auto"/>
        <w:ind w:firstLine="840" w:firstLineChars="400"/>
        <w:rPr>
          <w:szCs w:val="21"/>
          <w:u w:val="single"/>
        </w:rPr>
      </w:pPr>
      <w:r>
        <w:rPr>
          <w:rFonts w:hint="eastAsia"/>
          <w:szCs w:val="21"/>
          <w:u w:val="single"/>
        </w:rPr>
        <w:t>施工技术负责人职责：</w:t>
      </w:r>
    </w:p>
    <w:p>
      <w:pPr>
        <w:spacing w:line="360" w:lineRule="auto"/>
        <w:ind w:firstLine="840" w:firstLineChars="400"/>
        <w:rPr>
          <w:szCs w:val="21"/>
          <w:u w:val="single"/>
        </w:rPr>
      </w:pPr>
      <w:r>
        <w:rPr>
          <w:rFonts w:hint="eastAsia"/>
          <w:szCs w:val="21"/>
          <w:u w:val="single"/>
        </w:rPr>
        <w:t>施工技术负责人权限：</w:t>
      </w:r>
    </w:p>
    <w:p>
      <w:pPr>
        <w:spacing w:line="360" w:lineRule="auto"/>
        <w:ind w:firstLine="840" w:firstLineChars="400"/>
        <w:rPr>
          <w:szCs w:val="21"/>
          <w:u w:val="single"/>
        </w:rPr>
      </w:pPr>
      <w:r>
        <w:rPr>
          <w:rFonts w:hint="eastAsia"/>
          <w:szCs w:val="21"/>
          <w:u w:val="single"/>
        </w:rPr>
        <w:t>施工项目负责人姓名：</w:t>
      </w:r>
    </w:p>
    <w:p>
      <w:pPr>
        <w:spacing w:line="360" w:lineRule="auto"/>
        <w:ind w:firstLine="840" w:firstLineChars="400"/>
        <w:rPr>
          <w:szCs w:val="21"/>
          <w:u w:val="single"/>
        </w:rPr>
      </w:pPr>
      <w:r>
        <w:rPr>
          <w:rFonts w:hint="eastAsia"/>
          <w:szCs w:val="21"/>
          <w:u w:val="single"/>
        </w:rPr>
        <w:t>施工项目负责人职责：</w:t>
      </w:r>
    </w:p>
    <w:p>
      <w:pPr>
        <w:spacing w:line="360" w:lineRule="auto"/>
        <w:ind w:firstLine="840" w:firstLineChars="400"/>
        <w:rPr>
          <w:szCs w:val="21"/>
          <w:u w:val="single"/>
        </w:rPr>
      </w:pPr>
      <w:r>
        <w:rPr>
          <w:rFonts w:hint="eastAsia"/>
          <w:szCs w:val="21"/>
          <w:u w:val="single"/>
        </w:rPr>
        <w:t>施工项目负责人权限：</w:t>
      </w:r>
    </w:p>
    <w:permEnd w:id="12"/>
    <w:p>
      <w:pPr>
        <w:spacing w:line="360" w:lineRule="auto"/>
        <w:ind w:firstLine="420" w:firstLineChars="200"/>
        <w:rPr>
          <w:szCs w:val="21"/>
        </w:rPr>
      </w:pPr>
      <w:r>
        <w:rPr>
          <w:rFonts w:hint="eastAsia"/>
          <w:szCs w:val="21"/>
        </w:rPr>
        <w:t>3.2.2施工项目经理擅离项目现场的违约约定：施工项目经理擅离项目现场（包括项目经理未经发包人事先同意离开项目现场，或者施工项目经理离开项目现场已事先取得发包人同意但未指定一名有经验的人员临时代行其职责），承包人应就施工项目经理的每次行为向发包人支付人民币5万元的违约金。如果施工项目经理每次擅离项目现场连续超过24小时，或者在一个月内擅离现场累计超过48小时，承包人应向发包人支付人民币50万元的违约金，发包人可在工程结算时扣除本款约定的违约金，而且发包人有权要求承包人无条件更换项目经理，承包人应在收到发包人要求更换施工项目经理的通知后7天内更换完毕并派驻现场。</w:t>
      </w:r>
    </w:p>
    <w:p>
      <w:pPr>
        <w:spacing w:line="360" w:lineRule="auto"/>
        <w:ind w:firstLine="420" w:firstLineChars="200"/>
        <w:rPr>
          <w:szCs w:val="21"/>
        </w:rPr>
      </w:pPr>
      <w:r>
        <w:rPr>
          <w:rFonts w:hint="eastAsia"/>
          <w:szCs w:val="21"/>
        </w:rPr>
        <w:t>3.2.4承包人如需更换项目经理，应同时具备下列条件，方可更换：</w:t>
      </w:r>
    </w:p>
    <w:p>
      <w:pPr>
        <w:spacing w:line="360" w:lineRule="auto"/>
        <w:ind w:firstLine="420" w:firstLineChars="200"/>
        <w:rPr>
          <w:szCs w:val="21"/>
        </w:rPr>
      </w:pPr>
      <w:r>
        <w:rPr>
          <w:rFonts w:hint="eastAsia"/>
          <w:szCs w:val="21"/>
        </w:rPr>
        <w:t>（1）拟上任的项目经理（下称“新任项目经理”）必须与投标文件所载明的项目经理（下称“原任项目经理”）的专业相同，而且新任项目经理被国家相关行政主管机关授与的专业资格（或资质）等级不低于原任项目经理；</w:t>
      </w:r>
    </w:p>
    <w:p>
      <w:pPr>
        <w:spacing w:line="360" w:lineRule="auto"/>
        <w:ind w:firstLine="420" w:firstLineChars="200"/>
        <w:rPr>
          <w:szCs w:val="21"/>
        </w:rPr>
      </w:pPr>
      <w:r>
        <w:rPr>
          <w:rFonts w:hint="eastAsia"/>
          <w:szCs w:val="21"/>
        </w:rPr>
        <w:t>（2）新任项目经理不能同时在其他工程项目中服务；</w:t>
      </w:r>
    </w:p>
    <w:p>
      <w:pPr>
        <w:spacing w:line="360" w:lineRule="auto"/>
        <w:ind w:firstLine="420" w:firstLineChars="200"/>
        <w:rPr>
          <w:szCs w:val="21"/>
        </w:rPr>
      </w:pPr>
      <w:r>
        <w:rPr>
          <w:rFonts w:hint="eastAsia"/>
          <w:szCs w:val="21"/>
        </w:rPr>
        <w:t>（3）承包人在更换项目经理时应至少提前7天以书面形式通知发包人，并征得发包人书面同意。</w:t>
      </w:r>
    </w:p>
    <w:p>
      <w:pPr>
        <w:spacing w:line="360" w:lineRule="auto"/>
        <w:ind w:firstLine="420" w:firstLineChars="200"/>
        <w:rPr>
          <w:szCs w:val="21"/>
        </w:rPr>
      </w:pPr>
      <w:r>
        <w:rPr>
          <w:rFonts w:hint="eastAsia"/>
          <w:szCs w:val="21"/>
        </w:rPr>
        <w:t>3.2.5承包人未经发包人同意擅自更换项目经理的，应向发包人承担违约责任，每次更换项目经理应向发包人支付人民币100万元的违约金，发包人可在工程结算时扣除本款约定的违约金。</w:t>
      </w:r>
    </w:p>
    <w:p>
      <w:pPr>
        <w:spacing w:line="360" w:lineRule="auto"/>
        <w:ind w:firstLine="420" w:firstLineChars="200"/>
        <w:rPr>
          <w:szCs w:val="21"/>
        </w:rPr>
      </w:pPr>
      <w:r>
        <w:rPr>
          <w:rFonts w:hint="eastAsia"/>
          <w:szCs w:val="21"/>
        </w:rPr>
        <w:t>如果在本合同履行期间，承包人连续二日或在一个月内累计三日未任命项目经理，应向发包人承担支付人民币300万元的违约金，并且发包人有权解除本合同，如果本款约定的违约金不足以赔偿发包人的损失，发包人可以另行要求赔偿；如果发包人没有解除本合同，发包人可在工程结算时扣除本款约定的违约金。</w:t>
      </w:r>
    </w:p>
    <w:p>
      <w:pPr>
        <w:spacing w:line="360" w:lineRule="auto"/>
        <w:ind w:firstLine="420" w:firstLineChars="200"/>
        <w:rPr>
          <w:szCs w:val="21"/>
        </w:rPr>
      </w:pPr>
      <w:r>
        <w:rPr>
          <w:rFonts w:hint="eastAsia"/>
          <w:szCs w:val="21"/>
        </w:rPr>
        <w:t>3.2.6除本合同其他条款另有约定外，如果项目经理、项目技术负责人或承包人的现场管理机构主要部门负责人的实际工作能力和工作表现达不到招标文件明确要求或者工作态度存在严重不足，不适应现场工作需要，发包人有权向承包人提出更换。承包人在收到发包人要求更换的通知后3天内可以向发包人提出整改意见，如发包人不予接受，则承包人必须在收到发包人要求更换的通知后7天内无条件更换，所调换来相关人员的资质、资历、学历、职称、业绩、实际工作能力不低于投标书中所承诺的相应人员的综合素质。如果承包人未按本合同其他条款或（和）本款的约定更换相应的人员，应向发包人支付人民币100万元的违约金，发包人同时有权解除本合同；如果发包人未解除本合同，对于本款约定的违约金，发包人可在工程结算时一并扣除。</w:t>
      </w:r>
    </w:p>
    <w:p>
      <w:pPr>
        <w:spacing w:line="360" w:lineRule="auto"/>
        <w:ind w:firstLine="420" w:firstLineChars="200"/>
        <w:rPr>
          <w:szCs w:val="21"/>
        </w:rPr>
      </w:pPr>
      <w:r>
        <w:rPr>
          <w:rFonts w:hint="eastAsia"/>
          <w:szCs w:val="21"/>
        </w:rPr>
        <w:t>3.2.7由发包人组织的工程会议或工程总监组织的每周工地例会，项目经理或项目技术负责人必须出席（经发包人批准除外）。每无故缺席一次，承包人应按每人每次2万元向发包人支付违约金，发包人可在工程结算时扣除本款约定的违约金。如果项目经理或项目技术负责人每人在一个月内累计缺席工地例会二次，发包人有权要求承包人无条件更换项目经理或项目技术负责人，承包人应在收到发包人要求更换项目经理或项目技术负责人的通知后7天内更换完毕并派驻现场。</w:t>
      </w:r>
    </w:p>
    <w:p>
      <w:pPr>
        <w:spacing w:line="360" w:lineRule="auto"/>
        <w:ind w:firstLine="420" w:firstLineChars="200"/>
        <w:rPr>
          <w:szCs w:val="21"/>
        </w:rPr>
      </w:pPr>
      <w:r>
        <w:rPr>
          <w:rFonts w:hint="eastAsia"/>
          <w:szCs w:val="21"/>
        </w:rPr>
        <w:t>3.7 现场保安。</w:t>
      </w:r>
    </w:p>
    <w:p>
      <w:pPr>
        <w:spacing w:line="360" w:lineRule="auto"/>
        <w:ind w:firstLine="420" w:firstLineChars="200"/>
        <w:rPr>
          <w:szCs w:val="21"/>
        </w:rPr>
      </w:pPr>
      <w:r>
        <w:rPr>
          <w:rFonts w:hint="eastAsia"/>
          <w:szCs w:val="21"/>
        </w:rPr>
        <w:t>本条不适用。</w:t>
      </w:r>
    </w:p>
    <w:p>
      <w:pPr>
        <w:pStyle w:val="4"/>
        <w:spacing w:before="156" w:after="156"/>
      </w:pPr>
      <w:r>
        <w:rPr>
          <w:rFonts w:hint="eastAsia"/>
        </w:rPr>
        <w:t>3.8  分包</w:t>
      </w:r>
    </w:p>
    <w:p>
      <w:pPr>
        <w:spacing w:line="360" w:lineRule="auto"/>
        <w:ind w:firstLine="420" w:firstLineChars="200"/>
        <w:rPr>
          <w:szCs w:val="21"/>
        </w:rPr>
      </w:pPr>
      <w:r>
        <w:rPr>
          <w:rFonts w:hint="eastAsia"/>
          <w:szCs w:val="21"/>
        </w:rPr>
        <w:t>3.8.1分包约定</w:t>
      </w:r>
    </w:p>
    <w:p>
      <w:pPr>
        <w:spacing w:line="360" w:lineRule="auto"/>
        <w:ind w:firstLine="420" w:firstLineChars="200"/>
        <w:rPr>
          <w:szCs w:val="21"/>
        </w:rPr>
      </w:pPr>
      <w:r>
        <w:rPr>
          <w:rFonts w:hint="eastAsia"/>
          <w:szCs w:val="21"/>
        </w:rPr>
        <w:t>约定的分包事项：（1）</w:t>
      </w:r>
      <w:r>
        <w:rPr>
          <w:rFonts w:hint="eastAsia"/>
          <w:szCs w:val="21"/>
          <w:u w:val="single"/>
        </w:rPr>
        <w:t>《中华人民共和国招标投标法》第四十八条第二款规定，中标人按照合同约定或者经发包人同意，可以将中标项目的部分非主体、非关键性工作分包给他人完成。接受分包的人应当具备相应的资格条件，并不得再次分包；（</w:t>
      </w:r>
      <w:r>
        <w:rPr>
          <w:szCs w:val="21"/>
          <w:u w:val="single"/>
        </w:rPr>
        <w:t>2</w:t>
      </w:r>
      <w:r>
        <w:rPr>
          <w:rFonts w:hint="eastAsia"/>
          <w:szCs w:val="21"/>
          <w:u w:val="single"/>
        </w:rPr>
        <w:t>）承包人在进行分包前，应把相应的分包文件报送监理工程师以及发包人审查并征得发包人同意，发包人的审查和同意并不能免除承包人根据本合同或分包合同应承担的义务和责任。</w:t>
      </w:r>
    </w:p>
    <w:p>
      <w:pPr>
        <w:pStyle w:val="4"/>
        <w:spacing w:before="156" w:after="156"/>
      </w:pPr>
      <w:r>
        <w:rPr>
          <w:rFonts w:hint="eastAsia"/>
        </w:rPr>
        <w:t>第</w:t>
      </w:r>
      <w:r>
        <w:t>4</w:t>
      </w:r>
      <w:r>
        <w:rPr>
          <w:rFonts w:hint="eastAsia"/>
        </w:rPr>
        <w:t>条进度计划、奖惩、延误和暂停</w:t>
      </w:r>
    </w:p>
    <w:p>
      <w:pPr>
        <w:pStyle w:val="4"/>
        <w:spacing w:before="156" w:after="156"/>
      </w:pPr>
      <w:r>
        <w:rPr>
          <w:rFonts w:hint="eastAsia"/>
        </w:rPr>
        <w:t>4</w:t>
      </w:r>
      <w:r>
        <w:t>.1</w:t>
      </w:r>
      <w:r>
        <w:rPr>
          <w:rFonts w:hint="eastAsia"/>
        </w:rPr>
        <w:t>项目进度计划</w:t>
      </w:r>
    </w:p>
    <w:p>
      <w:pPr>
        <w:spacing w:before="156" w:beforeLines="50" w:after="156" w:afterLines="50" w:line="360" w:lineRule="auto"/>
        <w:ind w:firstLine="420" w:firstLineChars="200"/>
        <w:rPr>
          <w:szCs w:val="21"/>
        </w:rPr>
      </w:pPr>
      <w:r>
        <w:rPr>
          <w:rFonts w:hint="eastAsia"/>
          <w:szCs w:val="21"/>
        </w:rPr>
        <w:t>4</w:t>
      </w:r>
      <w:r>
        <w:rPr>
          <w:szCs w:val="21"/>
        </w:rPr>
        <w:t>.1.1</w:t>
      </w:r>
      <w:r>
        <w:rPr>
          <w:rFonts w:hint="eastAsia"/>
          <w:szCs w:val="21"/>
        </w:rPr>
        <w:t>承包人提交项目进度计划的份数和时间：</w:t>
      </w:r>
      <w:r>
        <w:rPr>
          <w:rFonts w:hint="eastAsia"/>
          <w:szCs w:val="21"/>
          <w:u w:val="single"/>
        </w:rPr>
        <w:t>承包人应在正式开工后的每月第15日前向发包人提交《工程进度计划表》原件一式二份。发包人应在收到《工程进度计划表》后5日内予以确认或提出修改意见。对于发包人提出的修改意见，除非违法或明显不合理，承包人应当根据该修改意见对《工程进度计划表》做出相应的修改。</w:t>
      </w:r>
    </w:p>
    <w:p>
      <w:pPr>
        <w:pStyle w:val="4"/>
        <w:spacing w:before="156" w:after="156"/>
      </w:pPr>
      <w:r>
        <w:t>4.</w:t>
      </w:r>
      <w:r>
        <w:rPr>
          <w:rFonts w:hint="eastAsia"/>
        </w:rPr>
        <w:t>2  采购进度计划</w:t>
      </w:r>
    </w:p>
    <w:p>
      <w:pPr>
        <w:spacing w:before="156" w:beforeLines="50" w:after="156" w:afterLines="50" w:line="360" w:lineRule="auto"/>
        <w:ind w:firstLine="420" w:firstLineChars="200"/>
        <w:rPr>
          <w:szCs w:val="21"/>
          <w:u w:val="single"/>
        </w:rPr>
      </w:pPr>
      <w:r>
        <w:rPr>
          <w:rFonts w:hint="eastAsia"/>
          <w:szCs w:val="21"/>
        </w:rPr>
        <w:t>4.2.2采购开始日期。工程物资采购及开始日期的约定：</w:t>
      </w:r>
      <w:r>
        <w:rPr>
          <w:rFonts w:hint="eastAsia"/>
          <w:szCs w:val="21"/>
          <w:u w:val="single"/>
        </w:rPr>
        <w:t>按总体进度开展采购计划。</w:t>
      </w:r>
    </w:p>
    <w:p>
      <w:pPr>
        <w:pStyle w:val="4"/>
        <w:spacing w:before="156" w:after="156"/>
      </w:pPr>
      <w:r>
        <w:rPr>
          <w:rFonts w:hint="eastAsia"/>
        </w:rPr>
        <w:t>4.3   施工进度计划</w:t>
      </w:r>
    </w:p>
    <w:p>
      <w:pPr>
        <w:spacing w:line="360" w:lineRule="auto"/>
        <w:ind w:firstLine="420" w:firstLineChars="200"/>
        <w:rPr>
          <w:szCs w:val="21"/>
        </w:rPr>
      </w:pPr>
      <w:r>
        <w:rPr>
          <w:rFonts w:hint="eastAsia"/>
          <w:szCs w:val="21"/>
        </w:rPr>
        <w:t>4.3.1施工进度计划（以表格或文字表述）</w:t>
      </w:r>
    </w:p>
    <w:p>
      <w:pPr>
        <w:spacing w:line="360" w:lineRule="auto"/>
        <w:ind w:firstLine="420" w:firstLineChars="200"/>
        <w:rPr>
          <w:szCs w:val="21"/>
        </w:rPr>
      </w:pPr>
      <w:r>
        <w:rPr>
          <w:rFonts w:hint="eastAsia"/>
          <w:szCs w:val="21"/>
        </w:rPr>
        <w:t>提交关键单项工程施工计划（名称）：</w:t>
      </w:r>
      <w:r>
        <w:rPr>
          <w:rFonts w:hint="eastAsia"/>
          <w:szCs w:val="21"/>
          <w:u w:val="single"/>
        </w:rPr>
        <w:t>按相关规范或者规定执行。</w:t>
      </w:r>
    </w:p>
    <w:p>
      <w:pPr>
        <w:spacing w:line="360" w:lineRule="auto"/>
        <w:ind w:firstLine="420" w:firstLineChars="200"/>
        <w:rPr>
          <w:szCs w:val="21"/>
        </w:rPr>
      </w:pPr>
      <w:r>
        <w:rPr>
          <w:rFonts w:hint="eastAsia"/>
          <w:szCs w:val="21"/>
        </w:rPr>
        <w:t>提交关键分部分项工程施工计划（名称）：</w:t>
      </w:r>
      <w:r>
        <w:rPr>
          <w:rFonts w:hint="eastAsia"/>
          <w:szCs w:val="21"/>
          <w:u w:val="single"/>
        </w:rPr>
        <w:t>按相关规范或者规定执行。</w:t>
      </w:r>
    </w:p>
    <w:p>
      <w:pPr>
        <w:pStyle w:val="4"/>
        <w:spacing w:before="156" w:after="156"/>
      </w:pPr>
      <w:r>
        <w:rPr>
          <w:rFonts w:hint="eastAsia"/>
        </w:rPr>
        <w:t>4.4 提前完工以及误期赔偿</w:t>
      </w:r>
    </w:p>
    <w:p>
      <w:pPr>
        <w:spacing w:line="360" w:lineRule="auto"/>
        <w:ind w:firstLine="420" w:firstLineChars="200"/>
        <w:rPr>
          <w:szCs w:val="21"/>
        </w:rPr>
      </w:pPr>
      <w:r>
        <w:rPr>
          <w:szCs w:val="21"/>
        </w:rPr>
        <w:t>1</w:t>
      </w:r>
      <w:r>
        <w:rPr>
          <w:rFonts w:hint="eastAsia"/>
          <w:szCs w:val="21"/>
        </w:rPr>
        <w:t>）因承包人原因使竣工日期延误，每延误1天，应向发包人支付本合同总价款的</w:t>
      </w:r>
      <w:r>
        <w:rPr>
          <w:szCs w:val="21"/>
        </w:rPr>
        <w:t>1.5‰</w:t>
      </w:r>
      <w:r>
        <w:rPr>
          <w:rFonts w:hint="eastAsia"/>
          <w:szCs w:val="21"/>
        </w:rPr>
        <w:t>作为违约金，且不低于每天1万元，误期赔偿限额为本合同总价款的10%；延误工期超过30天的，发包人有权解除合同，将本工程另行发包，并不免除承包人的应承担的违约赔偿责任。</w:t>
      </w:r>
    </w:p>
    <w:p>
      <w:pPr>
        <w:spacing w:line="360" w:lineRule="auto"/>
        <w:ind w:firstLine="420" w:firstLineChars="200"/>
        <w:rPr>
          <w:szCs w:val="21"/>
        </w:rPr>
      </w:pPr>
      <w:r>
        <w:rPr>
          <w:rFonts w:hint="eastAsia"/>
          <w:szCs w:val="21"/>
        </w:rPr>
        <w:t>2）关于提前完工奖的约定：双方另行商议合理奖励。</w:t>
      </w:r>
    </w:p>
    <w:p>
      <w:pPr>
        <w:pStyle w:val="2"/>
        <w:spacing w:before="156" w:after="156"/>
      </w:pPr>
      <w:r>
        <w:rPr>
          <w:rFonts w:hint="eastAsia"/>
        </w:rPr>
        <w:t>第</w:t>
      </w:r>
      <w:r>
        <w:t>5</w:t>
      </w:r>
      <w:r>
        <w:rPr>
          <w:rFonts w:hint="eastAsia"/>
        </w:rPr>
        <w:t>条技术与设计</w:t>
      </w:r>
    </w:p>
    <w:p>
      <w:pPr>
        <w:pStyle w:val="4"/>
        <w:spacing w:before="156" w:after="156"/>
      </w:pPr>
      <w:r>
        <w:t>5.</w:t>
      </w:r>
      <w:r>
        <w:rPr>
          <w:rFonts w:hint="eastAsia"/>
        </w:rPr>
        <w:t>2设计</w:t>
      </w:r>
    </w:p>
    <w:p>
      <w:pPr>
        <w:spacing w:line="360" w:lineRule="auto"/>
        <w:ind w:firstLine="420" w:firstLineChars="200"/>
        <w:rPr>
          <w:szCs w:val="21"/>
        </w:rPr>
      </w:pPr>
      <w:r>
        <w:rPr>
          <w:rFonts w:hint="eastAsia"/>
          <w:szCs w:val="21"/>
        </w:rPr>
        <w:t>5.2</w:t>
      </w:r>
      <w:r>
        <w:rPr>
          <w:szCs w:val="21"/>
        </w:rPr>
        <w:t>.1</w:t>
      </w:r>
      <w:r>
        <w:rPr>
          <w:rFonts w:hint="eastAsia"/>
          <w:szCs w:val="21"/>
        </w:rPr>
        <w:t>发包人的义务</w:t>
      </w:r>
    </w:p>
    <w:p>
      <w:pPr>
        <w:spacing w:line="360" w:lineRule="auto"/>
        <w:ind w:firstLine="420" w:firstLineChars="200"/>
        <w:rPr>
          <w:szCs w:val="21"/>
        </w:rPr>
      </w:pPr>
      <w:r>
        <w:rPr>
          <w:rFonts w:hint="eastAsia"/>
          <w:szCs w:val="21"/>
        </w:rPr>
        <w:t>（1）提供项目基础资料。发包人提供的项目基础资料的类别、内容、份数和时间</w:t>
      </w:r>
      <w:r>
        <w:rPr>
          <w:rFonts w:hint="eastAsia"/>
          <w:szCs w:val="21"/>
          <w:u w:val="single"/>
        </w:rPr>
        <w:t>：</w:t>
      </w:r>
      <w:r>
        <w:rPr>
          <w:rFonts w:hint="eastAsia" w:ascii="宋体" w:hAnsi="宋体"/>
          <w:szCs w:val="21"/>
          <w:u w:val="single"/>
        </w:rPr>
        <w:t>根据总进度计划，在合同签订后，发包人应提供经审批的本工程可行性研究阶段、初步设计阶段成果等资料。</w:t>
      </w:r>
    </w:p>
    <w:p>
      <w:pPr>
        <w:spacing w:line="360" w:lineRule="auto"/>
        <w:ind w:firstLine="420" w:firstLineChars="200"/>
        <w:rPr>
          <w:rFonts w:ascii="宋体" w:hAnsi="宋体"/>
          <w:szCs w:val="21"/>
          <w:u w:val="single"/>
        </w:rPr>
      </w:pPr>
      <w:r>
        <w:rPr>
          <w:rFonts w:hint="eastAsia"/>
          <w:szCs w:val="21"/>
        </w:rPr>
        <w:t>（2）提供现场障碍资料。发包人提供的现场障碍资料的类别、内容、份数和时间</w:t>
      </w:r>
      <w:r>
        <w:rPr>
          <w:rFonts w:hint="eastAsia"/>
          <w:szCs w:val="21"/>
          <w:u w:val="single"/>
        </w:rPr>
        <w:t>：</w:t>
      </w:r>
      <w:r>
        <w:rPr>
          <w:rFonts w:hint="eastAsia" w:ascii="宋体" w:hAnsi="宋体"/>
          <w:szCs w:val="21"/>
          <w:u w:val="single"/>
        </w:rPr>
        <w:t>根据总进度计划，在施工前15日内，发包人应提供工程的现场障碍资料，包括物探及地质详勘以及测量成果资料等。</w:t>
      </w:r>
    </w:p>
    <w:p>
      <w:pPr>
        <w:spacing w:line="360" w:lineRule="auto"/>
        <w:ind w:firstLine="420" w:firstLineChars="200"/>
        <w:rPr>
          <w:szCs w:val="21"/>
        </w:rPr>
      </w:pPr>
      <w:r>
        <w:rPr>
          <w:rFonts w:hint="eastAsia"/>
          <w:szCs w:val="21"/>
        </w:rPr>
        <w:t>5.2.</w:t>
      </w:r>
      <w:r>
        <w:rPr>
          <w:szCs w:val="21"/>
        </w:rPr>
        <w:t>2</w:t>
      </w:r>
      <w:r>
        <w:rPr>
          <w:rFonts w:hint="eastAsia"/>
          <w:szCs w:val="21"/>
        </w:rPr>
        <w:t>承包人的义务</w:t>
      </w:r>
    </w:p>
    <w:p>
      <w:pPr>
        <w:spacing w:line="360" w:lineRule="auto"/>
        <w:ind w:firstLine="420" w:firstLineChars="200"/>
        <w:rPr>
          <w:szCs w:val="21"/>
        </w:rPr>
      </w:pPr>
      <w:r>
        <w:rPr>
          <w:rFonts w:hint="eastAsia"/>
          <w:szCs w:val="21"/>
        </w:rPr>
        <w:t>（1）经合同双方商定，发包人提供的项目基础资料、现场障碍资料的如下部分，可按本款中5.2.4、5.2.5、5.2.6约定的如下时间期限，提出进一步要求。</w:t>
      </w:r>
    </w:p>
    <w:p>
      <w:pPr>
        <w:spacing w:line="360" w:lineRule="auto"/>
        <w:ind w:firstLine="420" w:firstLineChars="200"/>
        <w:rPr>
          <w:szCs w:val="21"/>
        </w:rPr>
      </w:pPr>
      <w:r>
        <w:rPr>
          <w:rFonts w:hint="eastAsia"/>
          <w:szCs w:val="21"/>
        </w:rPr>
        <w:t>5.2.4操作维修手册。提交的份数和最终提交期限：</w:t>
      </w:r>
    </w:p>
    <w:p>
      <w:pPr>
        <w:spacing w:line="360" w:lineRule="auto"/>
        <w:ind w:firstLine="420" w:firstLineChars="200"/>
        <w:rPr>
          <w:szCs w:val="21"/>
        </w:rPr>
      </w:pPr>
      <w:r>
        <w:rPr>
          <w:rFonts w:hint="eastAsia"/>
          <w:szCs w:val="21"/>
        </w:rPr>
        <w:t>（1）设计文件的主要内容：</w:t>
      </w:r>
      <w:r>
        <w:rPr>
          <w:rFonts w:hint="eastAsia"/>
          <w:b/>
          <w:szCs w:val="21"/>
          <w:u w:val="single"/>
        </w:rPr>
        <w:t>承包人向发包人提交的设计文件内容至少包括工程的通过施工图审查备案的施工图设计图纸，</w:t>
      </w:r>
      <w:r>
        <w:rPr>
          <w:rFonts w:hint="eastAsia"/>
          <w:b/>
          <w:szCs w:val="21"/>
          <w:highlight w:val="none"/>
          <w:u w:val="single"/>
        </w:rPr>
        <w:t>施工图预算编制（由</w:t>
      </w:r>
      <w:r>
        <w:rPr>
          <w:rFonts w:hint="eastAsia"/>
          <w:b/>
          <w:szCs w:val="21"/>
          <w:highlight w:val="none"/>
          <w:u w:val="single"/>
          <w:lang w:eastAsia="zh-CN"/>
        </w:rPr>
        <w:t>有能力的</w:t>
      </w:r>
      <w:r>
        <w:rPr>
          <w:rFonts w:hint="eastAsia"/>
          <w:b/>
          <w:szCs w:val="21"/>
          <w:highlight w:val="none"/>
          <w:u w:val="single"/>
        </w:rPr>
        <w:t>造价咨询单位编制）</w:t>
      </w:r>
      <w:r>
        <w:rPr>
          <w:rFonts w:hint="eastAsia"/>
          <w:b/>
          <w:szCs w:val="21"/>
          <w:u w:val="single"/>
        </w:rPr>
        <w:t>，竣工图编制，施工图设计阶段所有法规要求的报批文件，配合发包人申办国土、规划等工程报建手续，以及设计协调服务，配合专家评审等工作</w:t>
      </w:r>
      <w:r>
        <w:rPr>
          <w:rFonts w:hint="eastAsia"/>
          <w:szCs w:val="21"/>
        </w:rPr>
        <w:t>。</w:t>
      </w:r>
    </w:p>
    <w:p>
      <w:pPr>
        <w:spacing w:line="360" w:lineRule="auto"/>
        <w:ind w:firstLine="420" w:firstLineChars="200"/>
        <w:rPr>
          <w:b/>
          <w:szCs w:val="21"/>
          <w:u w:val="single"/>
        </w:rPr>
      </w:pPr>
      <w:r>
        <w:rPr>
          <w:rFonts w:hint="eastAsia"/>
          <w:b/>
          <w:szCs w:val="21"/>
          <w:u w:val="single"/>
        </w:rPr>
        <w:t>由于设计人员错误造成工程质量事故损失，设计人除负责采取补救措施外，应免收受损失部分的设计费，并对事故造成的损失按照责任比例向发包人支付赔偿金。由于设计人失职造成建设单位的工程损失达到结算价的20%以上时，由建设单位按相关程序进行处罚。</w:t>
      </w:r>
    </w:p>
    <w:p>
      <w:pPr>
        <w:spacing w:line="360" w:lineRule="auto"/>
        <w:ind w:firstLine="420" w:firstLineChars="200"/>
        <w:rPr>
          <w:szCs w:val="21"/>
        </w:rPr>
      </w:pPr>
      <w:r>
        <w:rPr>
          <w:rFonts w:hint="eastAsia"/>
          <w:szCs w:val="21"/>
        </w:rPr>
        <w:t>5.2.6设计文件的份数和提交时间：</w:t>
      </w:r>
      <w:r>
        <w:rPr>
          <w:rFonts w:hint="eastAsia"/>
          <w:szCs w:val="21"/>
          <w:u w:val="single"/>
        </w:rPr>
        <w:t>按相关规范或者规定执行。</w:t>
      </w:r>
    </w:p>
    <w:p>
      <w:pPr>
        <w:pStyle w:val="4"/>
        <w:spacing w:before="156" w:after="156"/>
      </w:pPr>
      <w:r>
        <w:rPr>
          <w:rFonts w:hint="eastAsia"/>
        </w:rPr>
        <w:t>5</w:t>
      </w:r>
      <w:r>
        <w:t>.</w:t>
      </w:r>
      <w:r>
        <w:rPr>
          <w:rFonts w:hint="eastAsia"/>
        </w:rPr>
        <w:t>3 设计阶段审查</w:t>
      </w:r>
    </w:p>
    <w:p>
      <w:pPr>
        <w:spacing w:line="360" w:lineRule="auto"/>
        <w:ind w:firstLine="420" w:firstLineChars="200"/>
        <w:rPr>
          <w:szCs w:val="21"/>
        </w:rPr>
      </w:pPr>
      <w:r>
        <w:rPr>
          <w:rFonts w:hint="eastAsia"/>
          <w:szCs w:val="21"/>
        </w:rPr>
        <w:t>5</w:t>
      </w:r>
      <w:r>
        <w:rPr>
          <w:szCs w:val="21"/>
        </w:rPr>
        <w:t>.</w:t>
      </w:r>
      <w:r>
        <w:rPr>
          <w:rFonts w:hint="eastAsia"/>
          <w:szCs w:val="21"/>
        </w:rPr>
        <w:t>3</w:t>
      </w:r>
      <w:r>
        <w:rPr>
          <w:szCs w:val="21"/>
        </w:rPr>
        <w:t>.1</w:t>
      </w:r>
      <w:r>
        <w:rPr>
          <w:rFonts w:hint="eastAsia"/>
          <w:szCs w:val="21"/>
        </w:rPr>
        <w:t>设计审查阶段及审查会议时间</w:t>
      </w:r>
    </w:p>
    <w:p>
      <w:pPr>
        <w:spacing w:line="360" w:lineRule="auto"/>
        <w:ind w:firstLine="420" w:firstLineChars="200"/>
        <w:rPr>
          <w:szCs w:val="21"/>
        </w:rPr>
      </w:pPr>
      <w:permStart w:id="13" w:edGrp="everyone"/>
      <w:r>
        <w:rPr>
          <w:rFonts w:hint="eastAsia"/>
          <w:szCs w:val="21"/>
        </w:rPr>
        <w:t>本工程的设计阶段（名称）：</w:t>
      </w:r>
      <w:r>
        <w:rPr>
          <w:rFonts w:hint="eastAsia"/>
          <w:b/>
          <w:szCs w:val="21"/>
          <w:u w:val="single"/>
        </w:rPr>
        <w:t xml:space="preserve">                工程的施工图设计阶段</w:t>
      </w:r>
      <w:r>
        <w:rPr>
          <w:rFonts w:hint="eastAsia"/>
          <w:szCs w:val="21"/>
        </w:rPr>
        <w:t>。</w:t>
      </w:r>
    </w:p>
    <w:permEnd w:id="13"/>
    <w:p>
      <w:pPr>
        <w:spacing w:line="360" w:lineRule="auto"/>
        <w:ind w:firstLine="420" w:firstLineChars="200"/>
        <w:rPr>
          <w:szCs w:val="21"/>
        </w:rPr>
      </w:pPr>
      <w:r>
        <w:rPr>
          <w:rFonts w:hint="eastAsia"/>
          <w:szCs w:val="21"/>
        </w:rPr>
        <w:t>设计审查阶段及其审查会议的时间安排：</w:t>
      </w:r>
      <w:r>
        <w:rPr>
          <w:rFonts w:hint="eastAsia"/>
          <w:b/>
          <w:szCs w:val="21"/>
          <w:u w:val="single"/>
        </w:rPr>
        <w:t>发包人收到各设计阶段的设计资料和文件后十个工作日内，按相关程序组织有关各方对设计文件进行审查，</w:t>
      </w:r>
      <w:r>
        <w:rPr>
          <w:rFonts w:hint="eastAsia" w:ascii="宋体" w:hAnsi="宋体"/>
          <w:bCs/>
          <w:szCs w:val="21"/>
          <w:u w:val="single"/>
        </w:rPr>
        <w:t>协调出具审查意见。</w:t>
      </w:r>
    </w:p>
    <w:p>
      <w:pPr>
        <w:spacing w:line="360" w:lineRule="auto"/>
        <w:ind w:firstLine="420" w:firstLineChars="200"/>
        <w:rPr>
          <w:szCs w:val="21"/>
        </w:rPr>
      </w:pPr>
      <w:r>
        <w:rPr>
          <w:rFonts w:hint="eastAsia"/>
          <w:szCs w:val="21"/>
        </w:rPr>
        <w:t>5.3.2承包人根据5.3.1款的约定，向发包人提交相关设计审查阶段的设计文件，并符合行政法规对相关设计阶段的设计文件、图纸和资料的深度规定。承包人有义务自费参加发包人组织的设计审查会议、向审查者介绍、解答、解释，并自费提供审查过程中需提供的补充资料。承包人需提供独立的设计图纸及资料、施工方案。</w:t>
      </w:r>
    </w:p>
    <w:p>
      <w:pPr>
        <w:spacing w:line="360" w:lineRule="auto"/>
        <w:ind w:firstLine="420" w:firstLineChars="200"/>
        <w:rPr>
          <w:szCs w:val="21"/>
        </w:rPr>
      </w:pPr>
      <w:r>
        <w:rPr>
          <w:rFonts w:hint="eastAsia"/>
          <w:szCs w:val="21"/>
        </w:rPr>
        <w:t>5.3.5发包人有权在5.3.1款约定的各设计审查阶段之前，对相关设计阶段的设计文件、图纸和资料提出建议、审查和确认，发包人的任何建议、审查和确认，并不能减轻或免除承包人的任何合同责任和合同义务。</w:t>
      </w:r>
    </w:p>
    <w:p>
      <w:pPr>
        <w:pStyle w:val="4"/>
        <w:spacing w:before="156" w:after="156"/>
      </w:pPr>
      <w:r>
        <w:rPr>
          <w:rFonts w:hint="eastAsia"/>
        </w:rPr>
        <w:t>5.4 操作维修人员的培训</w:t>
      </w:r>
    </w:p>
    <w:p>
      <w:pPr>
        <w:spacing w:line="360" w:lineRule="auto"/>
        <w:ind w:firstLine="420" w:firstLineChars="200"/>
        <w:rPr>
          <w:szCs w:val="21"/>
        </w:rPr>
      </w:pPr>
      <w:r>
        <w:rPr>
          <w:rFonts w:hint="eastAsia"/>
          <w:szCs w:val="21"/>
        </w:rPr>
        <w:t>本条不采用。</w:t>
      </w:r>
    </w:p>
    <w:p>
      <w:pPr>
        <w:pStyle w:val="2"/>
        <w:spacing w:before="156" w:after="156"/>
      </w:pPr>
      <w:r>
        <w:rPr>
          <w:rFonts w:hint="eastAsia"/>
        </w:rPr>
        <w:t>第</w:t>
      </w:r>
      <w:r>
        <w:t>6</w:t>
      </w:r>
      <w:r>
        <w:rPr>
          <w:rFonts w:hint="eastAsia"/>
        </w:rPr>
        <w:t>条工程物资</w:t>
      </w:r>
    </w:p>
    <w:p>
      <w:pPr>
        <w:pStyle w:val="4"/>
        <w:spacing w:before="156" w:after="156"/>
      </w:pPr>
      <w:r>
        <w:rPr>
          <w:rFonts w:hint="eastAsia"/>
        </w:rPr>
        <w:t>6.1  工程物资的提供</w:t>
      </w:r>
    </w:p>
    <w:p>
      <w:pPr>
        <w:spacing w:line="360" w:lineRule="auto"/>
        <w:ind w:firstLine="420" w:firstLineChars="200"/>
        <w:rPr>
          <w:szCs w:val="21"/>
          <w:u w:val="single"/>
        </w:rPr>
      </w:pPr>
      <w:r>
        <w:rPr>
          <w:rFonts w:hint="eastAsia"/>
          <w:szCs w:val="21"/>
        </w:rPr>
        <w:t>6.1.1发包人提供的工程的设备、材料和部件类别、估算数量或（和）规格清单</w:t>
      </w:r>
      <w:r>
        <w:rPr>
          <w:rFonts w:hint="eastAsia"/>
          <w:szCs w:val="21"/>
          <w:u w:val="single"/>
        </w:rPr>
        <w:t>：无</w:t>
      </w:r>
      <w:r>
        <w:rPr>
          <w:rFonts w:hint="eastAsia" w:ascii="黑体" w:eastAsia="黑体"/>
          <w:szCs w:val="21"/>
        </w:rPr>
        <w:t>。</w:t>
      </w:r>
    </w:p>
    <w:p>
      <w:pPr>
        <w:spacing w:line="360" w:lineRule="auto"/>
        <w:ind w:firstLine="420" w:firstLineChars="200"/>
        <w:rPr>
          <w:szCs w:val="21"/>
          <w:u w:val="single"/>
        </w:rPr>
      </w:pPr>
      <w:r>
        <w:rPr>
          <w:rFonts w:hint="eastAsia" w:ascii="宋体" w:hAnsi="宋体"/>
          <w:szCs w:val="21"/>
        </w:rPr>
        <w:t>6.1.2承包人必须按发包人相关要求进行材料采购并保证质量（发包人审批同意除外）。</w:t>
      </w:r>
    </w:p>
    <w:p>
      <w:pPr>
        <w:adjustRightInd w:val="0"/>
        <w:snapToGrid w:val="0"/>
        <w:spacing w:before="156" w:beforeLines="50" w:after="156" w:afterLines="50" w:line="360" w:lineRule="auto"/>
        <w:ind w:firstLine="420" w:firstLineChars="200"/>
        <w:rPr>
          <w:rFonts w:ascii="宋体" w:hAnsi="宋体"/>
          <w:szCs w:val="21"/>
          <w:u w:val="single"/>
        </w:rPr>
      </w:pPr>
      <w:r>
        <w:rPr>
          <w:rFonts w:ascii="宋体" w:hAnsi="宋体"/>
          <w:szCs w:val="21"/>
          <w:u w:val="single"/>
        </w:rPr>
        <w:t>6.1.3发包人单位有权抽查承包人的工程材料。</w:t>
      </w:r>
    </w:p>
    <w:p>
      <w:pPr>
        <w:adjustRightInd w:val="0"/>
        <w:snapToGrid w:val="0"/>
        <w:spacing w:before="156" w:beforeLines="50" w:after="156" w:afterLines="50" w:line="360" w:lineRule="auto"/>
        <w:ind w:firstLine="420" w:firstLineChars="200"/>
        <w:rPr>
          <w:rFonts w:ascii="宋体" w:hAnsi="宋体"/>
          <w:szCs w:val="21"/>
          <w:u w:val="single"/>
        </w:rPr>
      </w:pPr>
      <w:r>
        <w:rPr>
          <w:rFonts w:ascii="宋体" w:hAnsi="宋体"/>
          <w:szCs w:val="21"/>
          <w:u w:val="single"/>
        </w:rPr>
        <w:t>6.1.4材料、设备的结算必须以竣工图纸作为依据，如承包人超量采购、损耗超定额规定或遗失材料，其后果由承包人自行承担。</w:t>
      </w:r>
    </w:p>
    <w:p>
      <w:pPr>
        <w:pStyle w:val="4"/>
        <w:spacing w:before="156" w:after="156"/>
      </w:pPr>
      <w:r>
        <w:rPr>
          <w:rFonts w:hint="eastAsia"/>
        </w:rPr>
        <w:t>6.2检验</w:t>
      </w:r>
    </w:p>
    <w:p>
      <w:pPr>
        <w:spacing w:before="156" w:beforeLines="50" w:after="156" w:afterLines="50" w:line="360" w:lineRule="auto"/>
        <w:ind w:firstLine="420" w:firstLineChars="200"/>
        <w:rPr>
          <w:b/>
          <w:szCs w:val="21"/>
        </w:rPr>
      </w:pPr>
      <w:r>
        <w:rPr>
          <w:rFonts w:hint="eastAsia"/>
          <w:b/>
          <w:szCs w:val="21"/>
        </w:rPr>
        <w:t>6.2.1承包人检验报告的报告内容、报告期和提交份数:</w:t>
      </w:r>
      <w:r>
        <w:rPr>
          <w:rFonts w:hint="eastAsia" w:ascii="宋体" w:hAnsi="宋体"/>
          <w:szCs w:val="21"/>
          <w:u w:val="single"/>
        </w:rPr>
        <w:t>按相关规范或者规定执行。</w:t>
      </w:r>
    </w:p>
    <w:p>
      <w:pPr>
        <w:pStyle w:val="2"/>
        <w:spacing w:before="156" w:after="156"/>
      </w:pPr>
      <w:r>
        <w:rPr>
          <w:rFonts w:hint="eastAsia"/>
        </w:rPr>
        <w:t>第</w:t>
      </w:r>
      <w:r>
        <w:t>7</w:t>
      </w:r>
      <w:r>
        <w:rPr>
          <w:rFonts w:hint="eastAsia"/>
        </w:rPr>
        <w:t>条施工</w:t>
      </w:r>
    </w:p>
    <w:p>
      <w:pPr>
        <w:pStyle w:val="4"/>
        <w:spacing w:before="156" w:after="156"/>
      </w:pPr>
      <w:r>
        <w:rPr>
          <w:rFonts w:hint="eastAsia"/>
        </w:rPr>
        <w:t>7.1  发包人的义务</w:t>
      </w:r>
    </w:p>
    <w:p>
      <w:pPr>
        <w:spacing w:line="360" w:lineRule="auto"/>
        <w:ind w:firstLine="420" w:firstLineChars="200"/>
        <w:rPr>
          <w:szCs w:val="21"/>
        </w:rPr>
      </w:pPr>
      <w:r>
        <w:rPr>
          <w:rFonts w:hint="eastAsia"/>
          <w:szCs w:val="21"/>
        </w:rPr>
        <w:t>7.1.1提供基准坐标资料</w:t>
      </w:r>
    </w:p>
    <w:p>
      <w:pPr>
        <w:spacing w:line="360" w:lineRule="auto"/>
        <w:ind w:firstLine="420" w:firstLineChars="200"/>
        <w:rPr>
          <w:szCs w:val="21"/>
        </w:rPr>
      </w:pPr>
      <w:r>
        <w:rPr>
          <w:rFonts w:hint="eastAsia"/>
          <w:szCs w:val="21"/>
        </w:rPr>
        <w:t>提供的基准坐标资料的内容和时间：</w:t>
      </w:r>
      <w:r>
        <w:rPr>
          <w:rFonts w:hint="eastAsia"/>
          <w:b/>
          <w:szCs w:val="21"/>
          <w:u w:val="single"/>
        </w:rPr>
        <w:t>发包人以书面形式并按在本合同签订后10日内把工程场地的基准坐标资料（包括基准控制点、基准控制标高和基准坐标控制线）提交给承包人。</w:t>
      </w:r>
    </w:p>
    <w:p>
      <w:pPr>
        <w:spacing w:line="360" w:lineRule="auto"/>
        <w:ind w:firstLine="420" w:firstLineChars="200"/>
        <w:rPr>
          <w:szCs w:val="21"/>
        </w:rPr>
      </w:pPr>
      <w:r>
        <w:rPr>
          <w:rFonts w:hint="eastAsia"/>
          <w:szCs w:val="21"/>
        </w:rPr>
        <w:t>7.1.3进场条件和进场日期</w:t>
      </w:r>
    </w:p>
    <w:p>
      <w:pPr>
        <w:spacing w:line="360" w:lineRule="auto"/>
        <w:ind w:firstLine="420" w:firstLineChars="200"/>
        <w:rPr>
          <w:szCs w:val="21"/>
        </w:rPr>
      </w:pPr>
      <w:r>
        <w:rPr>
          <w:rFonts w:hint="eastAsia"/>
          <w:szCs w:val="21"/>
        </w:rPr>
        <w:t>承包人的进场条件：</w:t>
      </w:r>
      <w:r>
        <w:rPr>
          <w:rFonts w:hint="eastAsia"/>
          <w:szCs w:val="21"/>
          <w:u w:val="single"/>
        </w:rPr>
        <w:t>按相关规范或者规定执行。</w:t>
      </w:r>
    </w:p>
    <w:p>
      <w:pPr>
        <w:spacing w:line="360" w:lineRule="auto"/>
        <w:ind w:firstLine="420" w:firstLineChars="200"/>
        <w:rPr>
          <w:szCs w:val="21"/>
        </w:rPr>
      </w:pPr>
      <w:r>
        <w:rPr>
          <w:rFonts w:hint="eastAsia"/>
          <w:szCs w:val="21"/>
        </w:rPr>
        <w:t>承包人的进场日期：</w:t>
      </w:r>
      <w:r>
        <w:rPr>
          <w:rFonts w:hint="eastAsia"/>
          <w:szCs w:val="21"/>
          <w:u w:val="single"/>
        </w:rPr>
        <w:t>按相关规范或者规定执行 。</w:t>
      </w:r>
    </w:p>
    <w:p>
      <w:pPr>
        <w:spacing w:line="360" w:lineRule="auto"/>
        <w:ind w:firstLine="420" w:firstLineChars="200"/>
        <w:rPr>
          <w:szCs w:val="21"/>
        </w:rPr>
      </w:pPr>
      <w:r>
        <w:rPr>
          <w:rFonts w:hint="eastAsia"/>
          <w:szCs w:val="21"/>
        </w:rPr>
        <w:t>7.1.4临时用水电等提供和节点铺设</w:t>
      </w:r>
    </w:p>
    <w:p>
      <w:pPr>
        <w:spacing w:line="360" w:lineRule="auto"/>
        <w:ind w:firstLine="420" w:firstLineChars="200"/>
        <w:rPr>
          <w:szCs w:val="21"/>
        </w:rPr>
      </w:pPr>
      <w:r>
        <w:rPr>
          <w:rFonts w:hint="eastAsia"/>
          <w:szCs w:val="21"/>
        </w:rPr>
        <w:t>发包人提供给临时水、电等类别和取费单价：</w:t>
      </w:r>
      <w:r>
        <w:rPr>
          <w:rFonts w:hint="eastAsia"/>
          <w:b/>
          <w:szCs w:val="21"/>
          <w:u w:val="single"/>
        </w:rPr>
        <w:t>发包人负责协调本项目红线内工程建设所需的临时用水、用电、通信的接入点，相关的计费标准亦根据工业用水用电的相关标准计费</w:t>
      </w:r>
      <w:r>
        <w:rPr>
          <w:rFonts w:hint="eastAsia"/>
          <w:b/>
          <w:szCs w:val="21"/>
        </w:rPr>
        <w:t>。</w:t>
      </w:r>
    </w:p>
    <w:p>
      <w:pPr>
        <w:spacing w:line="360" w:lineRule="auto"/>
        <w:ind w:firstLine="420" w:firstLineChars="200"/>
        <w:rPr>
          <w:szCs w:val="21"/>
        </w:rPr>
      </w:pPr>
      <w:r>
        <w:rPr>
          <w:rFonts w:hint="eastAsia"/>
          <w:szCs w:val="21"/>
        </w:rPr>
        <w:t>7.1.10由发包人履行的其他义务：</w:t>
      </w:r>
      <w:r>
        <w:rPr>
          <w:rFonts w:hint="eastAsia"/>
          <w:szCs w:val="21"/>
          <w:u w:val="single"/>
        </w:rPr>
        <w:t>无。</w:t>
      </w:r>
    </w:p>
    <w:p>
      <w:pPr>
        <w:pStyle w:val="4"/>
        <w:spacing w:before="156" w:after="156"/>
      </w:pPr>
      <w:r>
        <w:rPr>
          <w:rFonts w:hint="eastAsia"/>
        </w:rPr>
        <w:t>7.2  承包人的义务</w:t>
      </w:r>
    </w:p>
    <w:p>
      <w:pPr>
        <w:spacing w:line="360" w:lineRule="auto"/>
        <w:ind w:firstLine="420" w:firstLineChars="200"/>
        <w:rPr>
          <w:szCs w:val="21"/>
        </w:rPr>
      </w:pPr>
      <w:r>
        <w:rPr>
          <w:rFonts w:hint="eastAsia"/>
          <w:szCs w:val="21"/>
        </w:rPr>
        <w:t>7.2.2施工组织设计</w:t>
      </w:r>
    </w:p>
    <w:p>
      <w:pPr>
        <w:spacing w:line="360" w:lineRule="auto"/>
        <w:ind w:firstLine="420" w:firstLineChars="200"/>
        <w:rPr>
          <w:szCs w:val="21"/>
        </w:rPr>
      </w:pPr>
      <w:r>
        <w:rPr>
          <w:rFonts w:hint="eastAsia"/>
          <w:szCs w:val="21"/>
        </w:rPr>
        <w:t>提交工程总体施工组织设计的份数和时间：</w:t>
      </w:r>
      <w:r>
        <w:rPr>
          <w:rFonts w:hint="eastAsia"/>
          <w:b/>
          <w:szCs w:val="21"/>
          <w:u w:val="single"/>
        </w:rPr>
        <w:t>承包人应在正式开工前7天</w:t>
      </w:r>
      <w:r>
        <w:rPr>
          <w:rFonts w:hint="eastAsia"/>
          <w:b/>
          <w:szCs w:val="21"/>
          <w:highlight w:val="none"/>
          <w:u w:val="single"/>
        </w:rPr>
        <w:t>向发包人及监理人提交《单项工程施工组织设计（施工方案）》原件一式二份。发包人及监理人应在收到《单项工程施工组织设计（施工方案）》5日内予以确认或提出修改意见。对于发包人及监理人提出的修改意见，除非违法或明显不合理，承包人应当根据该修改意见对《单项工程施工组织设计（施工</w:t>
      </w:r>
      <w:r>
        <w:rPr>
          <w:rFonts w:hint="eastAsia"/>
          <w:b/>
          <w:szCs w:val="21"/>
          <w:u w:val="single"/>
        </w:rPr>
        <w:t>方案）》做出相应的修改</w:t>
      </w:r>
      <w:r>
        <w:rPr>
          <w:rFonts w:hint="eastAsia"/>
          <w:b/>
          <w:szCs w:val="21"/>
        </w:rPr>
        <w:t>。</w:t>
      </w:r>
    </w:p>
    <w:p>
      <w:pPr>
        <w:spacing w:line="360" w:lineRule="auto"/>
        <w:ind w:firstLine="420" w:firstLineChars="200"/>
        <w:rPr>
          <w:rFonts w:ascii="宋体" w:hAnsi="宋体"/>
          <w:szCs w:val="21"/>
          <w:u w:val="single"/>
        </w:rPr>
      </w:pPr>
      <w:r>
        <w:rPr>
          <w:rFonts w:hint="eastAsia"/>
          <w:szCs w:val="21"/>
        </w:rPr>
        <w:t>需要提交主要单项工程、分部分项工程施工组织设计的名称、份数和时间：</w:t>
      </w:r>
      <w:r>
        <w:rPr>
          <w:rFonts w:hint="eastAsia" w:ascii="宋体" w:hAnsi="宋体"/>
          <w:szCs w:val="21"/>
          <w:u w:val="single"/>
        </w:rPr>
        <w:t>按相关规范或者规定执行。</w:t>
      </w:r>
    </w:p>
    <w:p>
      <w:pPr>
        <w:spacing w:line="360" w:lineRule="auto"/>
        <w:ind w:firstLine="420" w:firstLineChars="200"/>
        <w:rPr>
          <w:szCs w:val="21"/>
        </w:rPr>
      </w:pPr>
      <w:r>
        <w:rPr>
          <w:rFonts w:hint="eastAsia"/>
          <w:szCs w:val="21"/>
        </w:rPr>
        <w:t>7.2.3提交临时占地资料</w:t>
      </w:r>
    </w:p>
    <w:p>
      <w:pPr>
        <w:spacing w:line="360" w:lineRule="auto"/>
        <w:ind w:firstLine="420" w:firstLineChars="200"/>
        <w:rPr>
          <w:b/>
          <w:szCs w:val="21"/>
          <w:u w:val="single"/>
        </w:rPr>
      </w:pPr>
      <w:r>
        <w:rPr>
          <w:rFonts w:hint="eastAsia"/>
          <w:szCs w:val="21"/>
        </w:rPr>
        <w:t>提交临时占地资料的时间：</w:t>
      </w:r>
      <w:r>
        <w:rPr>
          <w:rFonts w:hint="eastAsia"/>
          <w:b/>
          <w:szCs w:val="21"/>
          <w:u w:val="single"/>
        </w:rPr>
        <w:t>发包人不提供临时占地（或租地），相应的场地由承包自行解决，相应的费用已包括在合同总价款之中。但发包人可以提供临时占地（或租地）的协调等帮助工作。</w:t>
      </w:r>
    </w:p>
    <w:p>
      <w:pPr>
        <w:spacing w:line="360" w:lineRule="auto"/>
        <w:ind w:firstLine="420" w:firstLineChars="200"/>
        <w:rPr>
          <w:szCs w:val="21"/>
        </w:rPr>
      </w:pPr>
      <w:r>
        <w:rPr>
          <w:rFonts w:hint="eastAsia"/>
          <w:szCs w:val="21"/>
        </w:rPr>
        <w:t>7.2.4提供临时用水电等资料</w:t>
      </w:r>
    </w:p>
    <w:p>
      <w:pPr>
        <w:spacing w:line="360" w:lineRule="auto"/>
        <w:ind w:firstLine="420" w:firstLineChars="200"/>
        <w:rPr>
          <w:szCs w:val="21"/>
        </w:rPr>
      </w:pPr>
      <w:r>
        <w:rPr>
          <w:rFonts w:hint="eastAsia"/>
          <w:szCs w:val="21"/>
        </w:rPr>
        <w:t>承包人需要水电等品质、正常用量、高峰量和使用时间：</w:t>
      </w:r>
      <w:r>
        <w:rPr>
          <w:rFonts w:hint="eastAsia"/>
          <w:b/>
          <w:szCs w:val="21"/>
          <w:u w:val="single"/>
        </w:rPr>
        <w:t>由承包人自行解决</w:t>
      </w:r>
      <w:r>
        <w:rPr>
          <w:rFonts w:hint="eastAsia"/>
          <w:szCs w:val="21"/>
          <w:u w:val="single"/>
        </w:rPr>
        <w:t>。</w:t>
      </w:r>
    </w:p>
    <w:p>
      <w:pPr>
        <w:spacing w:line="360" w:lineRule="auto"/>
        <w:ind w:firstLine="420" w:firstLineChars="200"/>
        <w:rPr>
          <w:szCs w:val="21"/>
        </w:rPr>
      </w:pPr>
      <w:r>
        <w:rPr>
          <w:rFonts w:hint="eastAsia"/>
          <w:szCs w:val="21"/>
        </w:rPr>
        <w:t>发包人能够满足施工临时用水、电等类别和数量：</w:t>
      </w:r>
      <w:r>
        <w:rPr>
          <w:rFonts w:hint="eastAsia"/>
          <w:b/>
          <w:szCs w:val="21"/>
          <w:u w:val="single"/>
        </w:rPr>
        <w:t>发包人负责协调本项目红线内工程建设所需的临时用水、用电、通信的接入点。</w:t>
      </w:r>
    </w:p>
    <w:p>
      <w:pPr>
        <w:spacing w:line="360" w:lineRule="auto"/>
        <w:ind w:firstLine="420" w:firstLineChars="200"/>
        <w:rPr>
          <w:szCs w:val="21"/>
        </w:rPr>
      </w:pPr>
      <w:r>
        <w:rPr>
          <w:rFonts w:hint="eastAsia"/>
          <w:szCs w:val="21"/>
        </w:rPr>
        <w:t>水电等节点位置资料的提交时间：</w:t>
      </w:r>
      <w:r>
        <w:rPr>
          <w:rFonts w:hint="eastAsia" w:ascii="宋体" w:hAnsi="宋体"/>
          <w:szCs w:val="21"/>
          <w:u w:val="single"/>
        </w:rPr>
        <w:t>按相关规范或者规定执行。</w:t>
      </w:r>
    </w:p>
    <w:p>
      <w:pPr>
        <w:spacing w:line="360" w:lineRule="auto"/>
        <w:ind w:firstLine="420" w:firstLineChars="200"/>
        <w:rPr>
          <w:szCs w:val="21"/>
        </w:rPr>
      </w:pPr>
      <w:r>
        <w:rPr>
          <w:szCs w:val="21"/>
        </w:rPr>
        <w:t xml:space="preserve">7.2.5  </w:t>
      </w:r>
      <w:r>
        <w:rPr>
          <w:rFonts w:hint="eastAsia"/>
          <w:szCs w:val="21"/>
        </w:rPr>
        <w:t>现场总协调：联合体</w:t>
      </w:r>
      <w:r>
        <w:rPr>
          <w:rFonts w:hint="eastAsia"/>
          <w:szCs w:val="21"/>
          <w:lang w:eastAsia="zh-CN"/>
        </w:rPr>
        <w:t>主办方</w:t>
      </w:r>
      <w:r>
        <w:rPr>
          <w:rFonts w:hint="eastAsia"/>
          <w:szCs w:val="21"/>
        </w:rPr>
        <w:t>负责该工程项目整体安全、质量管控、协调工作。包括：涉及本工程所有设备监造、催交、运输、验收、保管、管理、施工，本工程范围内引起的施工租地、道路占道、道路修复手续办理及协助与本工程有关的供电部门、城市规划、通信、市政、园林、交警、城监、公路、地铁、消防、防雷等部门一切手续办理及维稳协调工作。不包括：征地及青苗赔偿、沿线建（构）筑物的赔偿工作及综合管线迁改工作，但需</w:t>
      </w:r>
      <w:r>
        <w:rPr>
          <w:szCs w:val="21"/>
        </w:rPr>
        <w:t>EPC</w:t>
      </w:r>
      <w:r>
        <w:rPr>
          <w:rFonts w:hint="eastAsia"/>
          <w:szCs w:val="21"/>
        </w:rPr>
        <w:t>施工承包单位无条件配合并整体协助办理有关事宜。</w:t>
      </w:r>
    </w:p>
    <w:p>
      <w:pPr>
        <w:pStyle w:val="2"/>
        <w:spacing w:before="156" w:after="156"/>
        <w:ind w:firstLine="412"/>
      </w:pPr>
      <w:r>
        <w:rPr>
          <w:rFonts w:hint="eastAsia"/>
          <w:b w:val="0"/>
        </w:rPr>
        <w:t>7.2.14 施工过程中因施工造成的管道堵塞，承包人须负责疏通清理。</w:t>
      </w:r>
    </w:p>
    <w:p>
      <w:pPr>
        <w:spacing w:before="156" w:beforeLines="50" w:after="156" w:afterLines="50" w:line="360" w:lineRule="auto"/>
        <w:ind w:firstLine="420" w:firstLineChars="200"/>
        <w:rPr>
          <w:szCs w:val="21"/>
        </w:rPr>
      </w:pPr>
      <w:r>
        <w:rPr>
          <w:rFonts w:hint="eastAsia"/>
          <w:szCs w:val="21"/>
        </w:rPr>
        <w:t xml:space="preserve">7.2.15 承包人有义务服从发包人或发包人委托的管理部门的管理。 </w:t>
      </w:r>
    </w:p>
    <w:p>
      <w:pPr>
        <w:pStyle w:val="4"/>
        <w:spacing w:before="156" w:after="156"/>
      </w:pPr>
      <w:r>
        <w:rPr>
          <w:rFonts w:hint="eastAsia"/>
        </w:rPr>
        <w:t>7.4 人力和机具资源</w:t>
      </w:r>
    </w:p>
    <w:p>
      <w:pPr>
        <w:spacing w:line="360" w:lineRule="auto"/>
        <w:ind w:firstLine="420" w:firstLineChars="200"/>
        <w:rPr>
          <w:szCs w:val="21"/>
        </w:rPr>
      </w:pPr>
      <w:r>
        <w:rPr>
          <w:rFonts w:hint="eastAsia"/>
          <w:szCs w:val="21"/>
        </w:rPr>
        <w:t>7.4.1人力资源计划一览表的格式、内容、份数和提交时间：</w:t>
      </w:r>
      <w:r>
        <w:rPr>
          <w:rFonts w:hint="eastAsia"/>
          <w:b/>
          <w:szCs w:val="21"/>
          <w:u w:val="single"/>
        </w:rPr>
        <w:t>承包人在正式开工后3日内把相应的人力资源计划一览表原件一式两份提交给发包人。</w:t>
      </w:r>
    </w:p>
    <w:p>
      <w:pPr>
        <w:spacing w:line="360" w:lineRule="auto"/>
        <w:ind w:firstLine="420" w:firstLineChars="200"/>
        <w:rPr>
          <w:szCs w:val="21"/>
        </w:rPr>
      </w:pPr>
      <w:r>
        <w:rPr>
          <w:rFonts w:hint="eastAsia"/>
          <w:szCs w:val="21"/>
        </w:rPr>
        <w:t>7.4.2主要机具计划一览表的格式、内容、份数和提交时间：</w:t>
      </w:r>
      <w:r>
        <w:rPr>
          <w:rFonts w:hint="eastAsia"/>
          <w:b/>
          <w:szCs w:val="21"/>
          <w:u w:val="single"/>
        </w:rPr>
        <w:t>主要机具一览表的格式、内容、份数和提交时间由发包人在本项目工程正式开工前日以书面的方式通知承包人</w:t>
      </w:r>
      <w:r>
        <w:rPr>
          <w:rFonts w:hint="eastAsia"/>
          <w:szCs w:val="21"/>
        </w:rPr>
        <w:t>。</w:t>
      </w:r>
    </w:p>
    <w:p>
      <w:pPr>
        <w:pStyle w:val="4"/>
        <w:spacing w:before="156" w:after="156"/>
      </w:pPr>
      <w:r>
        <w:rPr>
          <w:rFonts w:hint="eastAsia"/>
        </w:rPr>
        <w:t>7.5  质量与检验</w:t>
      </w:r>
    </w:p>
    <w:p>
      <w:pPr>
        <w:spacing w:line="360" w:lineRule="auto"/>
        <w:ind w:firstLine="420" w:firstLineChars="200"/>
        <w:rPr>
          <w:szCs w:val="21"/>
        </w:rPr>
      </w:pPr>
      <w:r>
        <w:rPr>
          <w:rFonts w:hint="eastAsia"/>
          <w:szCs w:val="21"/>
        </w:rPr>
        <w:t>7.5.1质检部位与参检方</w:t>
      </w:r>
    </w:p>
    <w:p>
      <w:pPr>
        <w:spacing w:line="360" w:lineRule="auto"/>
        <w:ind w:firstLine="420" w:firstLineChars="200"/>
        <w:rPr>
          <w:szCs w:val="21"/>
        </w:rPr>
      </w:pPr>
      <w:r>
        <w:rPr>
          <w:rFonts w:hint="eastAsia"/>
          <w:b/>
          <w:szCs w:val="21"/>
          <w:u w:val="single"/>
        </w:rPr>
        <w:t>发包人根据实际需要在进行质检前5日以书面的方式把质检的范围、内容、标准、参检人等通知承包人，承包人应予以配合</w:t>
      </w:r>
      <w:r>
        <w:rPr>
          <w:rFonts w:hint="eastAsia"/>
          <w:szCs w:val="21"/>
        </w:rPr>
        <w:t>。</w:t>
      </w:r>
    </w:p>
    <w:p>
      <w:pPr>
        <w:pStyle w:val="4"/>
        <w:spacing w:before="156" w:after="156"/>
      </w:pPr>
      <w:r>
        <w:rPr>
          <w:rFonts w:hint="eastAsia"/>
        </w:rPr>
        <w:t>7.6  隐蔽工程和中间验收部位</w:t>
      </w:r>
    </w:p>
    <w:p>
      <w:pPr>
        <w:spacing w:line="360" w:lineRule="auto"/>
        <w:ind w:firstLine="420" w:firstLineChars="200"/>
        <w:rPr>
          <w:szCs w:val="21"/>
        </w:rPr>
      </w:pPr>
      <w:r>
        <w:rPr>
          <w:rFonts w:hint="eastAsia"/>
          <w:szCs w:val="21"/>
        </w:rPr>
        <w:t>7.6.1隐蔽工程和中间验收。</w:t>
      </w:r>
    </w:p>
    <w:p>
      <w:pPr>
        <w:spacing w:line="360" w:lineRule="auto"/>
        <w:ind w:firstLine="420" w:firstLineChars="200"/>
        <w:rPr>
          <w:szCs w:val="21"/>
        </w:rPr>
      </w:pPr>
      <w:r>
        <w:rPr>
          <w:rFonts w:hint="eastAsia"/>
          <w:szCs w:val="21"/>
        </w:rPr>
        <w:t>需要质检的隐蔽工程和中间验收部位的分类、部位、质检内容、标准、表格和参检方的约定：</w:t>
      </w:r>
      <w:r>
        <w:rPr>
          <w:rFonts w:hint="eastAsia"/>
          <w:b/>
          <w:szCs w:val="21"/>
          <w:u w:val="single"/>
        </w:rPr>
        <w:t>对于所有的隐蔽工程，发包人或委托监理人均需检查验收；对于重点的隐蔽工程，发包人需检查验收，重点的隐蔽工程由发包人和承包人共同约定；对于需要中间验收的部位（或中间验收的部分），发包人在进行质检前5日以书面的方式通知承包人，承包人应予以配合</w:t>
      </w:r>
      <w:r>
        <w:rPr>
          <w:rFonts w:hint="eastAsia"/>
          <w:b/>
          <w:szCs w:val="21"/>
        </w:rPr>
        <w:t>。</w:t>
      </w:r>
    </w:p>
    <w:p>
      <w:pPr>
        <w:pStyle w:val="4"/>
        <w:spacing w:before="156" w:after="156"/>
      </w:pPr>
      <w:r>
        <w:rPr>
          <w:rFonts w:hint="eastAsia"/>
        </w:rPr>
        <w:t>7.8  健康、安全、环境</w:t>
      </w:r>
    </w:p>
    <w:p>
      <w:pPr>
        <w:spacing w:line="360" w:lineRule="auto"/>
        <w:ind w:firstLine="420" w:firstLineChars="200"/>
        <w:rPr>
          <w:szCs w:val="21"/>
        </w:rPr>
      </w:pPr>
      <w:r>
        <w:rPr>
          <w:rFonts w:hint="eastAsia"/>
          <w:szCs w:val="21"/>
        </w:rPr>
        <w:t>7.8.1健康、安全、环境管理</w:t>
      </w:r>
    </w:p>
    <w:p>
      <w:pPr>
        <w:spacing w:line="360" w:lineRule="auto"/>
        <w:ind w:firstLine="420" w:firstLineChars="200"/>
        <w:rPr>
          <w:szCs w:val="21"/>
        </w:rPr>
      </w:pPr>
      <w:r>
        <w:rPr>
          <w:rFonts w:hint="eastAsia"/>
          <w:szCs w:val="21"/>
        </w:rPr>
        <w:t>提交健康、安全、环境管理计划的份数和时间：</w:t>
      </w:r>
      <w:r>
        <w:rPr>
          <w:rFonts w:hint="eastAsia"/>
          <w:b/>
          <w:szCs w:val="21"/>
          <w:u w:val="single"/>
        </w:rPr>
        <w:t>在本工程项目正式开工前5日，承包人应向发包人提交健康、安全、环境管理计划书原件一式二份</w:t>
      </w:r>
      <w:r>
        <w:rPr>
          <w:rFonts w:hint="eastAsia"/>
          <w:szCs w:val="21"/>
        </w:rPr>
        <w:t>。</w:t>
      </w:r>
    </w:p>
    <w:p>
      <w:pPr>
        <w:spacing w:line="360" w:lineRule="auto"/>
        <w:ind w:firstLine="420" w:firstLineChars="200"/>
        <w:rPr>
          <w:szCs w:val="21"/>
        </w:rPr>
      </w:pPr>
      <w:r>
        <w:rPr>
          <w:rFonts w:hint="eastAsia"/>
          <w:szCs w:val="21"/>
        </w:rPr>
        <w:t>7.8.5事故处理</w:t>
      </w:r>
    </w:p>
    <w:p>
      <w:pPr>
        <w:spacing w:line="360" w:lineRule="auto"/>
        <w:ind w:firstLine="420" w:firstLineChars="200"/>
        <w:rPr>
          <w:szCs w:val="21"/>
        </w:rPr>
      </w:pPr>
      <w:r>
        <w:rPr>
          <w:rFonts w:hint="eastAsia"/>
          <w:szCs w:val="21"/>
        </w:rPr>
        <w:t>（</w:t>
      </w:r>
      <w:r>
        <w:rPr>
          <w:szCs w:val="21"/>
        </w:rPr>
        <w:t>1</w:t>
      </w:r>
      <w:r>
        <w:rPr>
          <w:rFonts w:hint="eastAsia"/>
          <w:szCs w:val="21"/>
        </w:rPr>
        <w:t>）承包人或其分包人的人员，在现场作业过程中发生死亡、伤害事件时，承包人或其分包人立即采取救护措施，并立即报告发包人和（或）救援单位，发包人有义务为此项抢救提供必要条件。但因事件而给发包人或任何第三方造成的损失，由承包人承担赔偿责任。承包人维护好现场并采取防止事故蔓延的相应措施。</w:t>
      </w:r>
    </w:p>
    <w:p>
      <w:pPr>
        <w:spacing w:line="360" w:lineRule="auto"/>
        <w:ind w:firstLine="420" w:firstLineChars="200"/>
        <w:rPr>
          <w:szCs w:val="21"/>
        </w:rPr>
      </w:pPr>
      <w:r>
        <w:rPr>
          <w:rFonts w:hint="eastAsia"/>
          <w:szCs w:val="21"/>
        </w:rPr>
        <w:t>（</w:t>
      </w:r>
      <w:r>
        <w:rPr>
          <w:szCs w:val="21"/>
        </w:rPr>
        <w:t>2</w:t>
      </w:r>
      <w:r>
        <w:rPr>
          <w:rFonts w:hint="eastAsia"/>
          <w:szCs w:val="21"/>
        </w:rPr>
        <w:t>）对重大伤亡、重大财产、环境损害及其他安全事故，承包人按有关规定立即上报有关部门，并立即通知发包人代表和监理人。对于发生安全生产事故的应按照有关规定及时上报，并根据安监部门的责任认定，进行事故处理，如需赔偿，自行负担赔偿费用。</w:t>
      </w:r>
    </w:p>
    <w:p>
      <w:pPr>
        <w:pStyle w:val="2"/>
        <w:spacing w:before="156" w:after="156"/>
      </w:pPr>
      <w:r>
        <w:rPr>
          <w:rFonts w:hint="eastAsia"/>
        </w:rPr>
        <w:t>第</w:t>
      </w:r>
      <w:r>
        <w:t>8</w:t>
      </w:r>
      <w:r>
        <w:rPr>
          <w:rFonts w:hint="eastAsia"/>
        </w:rPr>
        <w:t>条竣工验收</w:t>
      </w:r>
    </w:p>
    <w:p>
      <w:pPr>
        <w:spacing w:before="156" w:beforeLines="50" w:after="156" w:afterLines="50" w:line="360" w:lineRule="auto"/>
        <w:ind w:firstLine="420" w:firstLineChars="200"/>
        <w:rPr>
          <w:szCs w:val="21"/>
        </w:rPr>
      </w:pPr>
      <w:r>
        <w:rPr>
          <w:rFonts w:hint="eastAsia"/>
          <w:szCs w:val="21"/>
        </w:rPr>
        <w:t>本合同工程包含竣工验收。</w:t>
      </w:r>
    </w:p>
    <w:p>
      <w:pPr>
        <w:pStyle w:val="4"/>
        <w:spacing w:before="156" w:after="156"/>
      </w:pPr>
      <w:r>
        <w:t>8.1</w:t>
      </w:r>
      <w:r>
        <w:rPr>
          <w:rFonts w:hint="eastAsia"/>
        </w:rPr>
        <w:t>竣工验收的义务</w:t>
      </w:r>
    </w:p>
    <w:p>
      <w:pPr>
        <w:spacing w:line="360" w:lineRule="auto"/>
        <w:ind w:firstLine="420" w:firstLineChars="200"/>
        <w:rPr>
          <w:szCs w:val="21"/>
        </w:rPr>
      </w:pPr>
      <w:r>
        <w:rPr>
          <w:szCs w:val="21"/>
        </w:rPr>
        <w:t>8.1.1</w:t>
      </w:r>
      <w:r>
        <w:rPr>
          <w:rFonts w:hint="eastAsia"/>
          <w:szCs w:val="21"/>
        </w:rPr>
        <w:t>承包人的一般义务</w:t>
      </w:r>
    </w:p>
    <w:p>
      <w:pPr>
        <w:spacing w:line="360" w:lineRule="auto"/>
        <w:ind w:firstLine="420" w:firstLineChars="200"/>
        <w:rPr>
          <w:szCs w:val="21"/>
        </w:rPr>
      </w:pPr>
      <w:r>
        <w:rPr>
          <w:rFonts w:hint="eastAsia"/>
          <w:szCs w:val="21"/>
        </w:rPr>
        <w:t>（1）竣工验收方案</w:t>
      </w:r>
      <w:r>
        <w:rPr>
          <w:rFonts w:ascii="宋体" w:hAnsi="宋体" w:cs="宋体"/>
          <w:kern w:val="0"/>
          <w:szCs w:val="21"/>
          <w:lang w:val="zh-CN"/>
        </w:rPr>
        <w:t>对应通用条款</w:t>
      </w:r>
      <w:r>
        <w:rPr>
          <w:szCs w:val="21"/>
        </w:rPr>
        <w:t>8.1.1</w:t>
      </w:r>
      <w:r>
        <w:rPr>
          <w:rFonts w:hint="eastAsia"/>
          <w:szCs w:val="21"/>
        </w:rPr>
        <w:t>款</w:t>
      </w:r>
      <w:r>
        <w:rPr>
          <w:rFonts w:ascii="宋体" w:hAnsi="宋体" w:cs="宋体"/>
          <w:kern w:val="0"/>
          <w:szCs w:val="21"/>
          <w:lang w:val="zh-CN"/>
        </w:rPr>
        <w:t>（</w:t>
      </w:r>
      <w:r>
        <w:rPr>
          <w:rFonts w:hint="eastAsia" w:ascii="宋体" w:hAnsi="宋体" w:cs="宋体"/>
          <w:kern w:val="0"/>
          <w:szCs w:val="21"/>
          <w:lang w:val="zh-CN"/>
        </w:rPr>
        <w:t>4</w:t>
      </w:r>
      <w:r>
        <w:rPr>
          <w:rFonts w:ascii="宋体" w:hAnsi="宋体" w:cs="宋体"/>
          <w:kern w:val="0"/>
          <w:szCs w:val="21"/>
          <w:lang w:val="zh-CN"/>
        </w:rPr>
        <w:t>）</w:t>
      </w:r>
      <w:r>
        <w:rPr>
          <w:rFonts w:hint="eastAsia" w:ascii="宋体" w:hAnsi="宋体" w:cs="宋体"/>
          <w:kern w:val="0"/>
          <w:szCs w:val="21"/>
          <w:lang w:val="zh-CN"/>
        </w:rPr>
        <w:t>条</w:t>
      </w:r>
    </w:p>
    <w:p>
      <w:pPr>
        <w:spacing w:line="360" w:lineRule="auto"/>
        <w:ind w:firstLine="420" w:firstLineChars="200"/>
        <w:rPr>
          <w:szCs w:val="21"/>
        </w:rPr>
      </w:pPr>
      <w:r>
        <w:rPr>
          <w:rFonts w:hint="eastAsia"/>
          <w:szCs w:val="21"/>
        </w:rPr>
        <w:t>提交竣工验收方案的份数和时间：</w:t>
      </w:r>
      <w:r>
        <w:rPr>
          <w:rFonts w:hint="eastAsia" w:ascii="黑体" w:eastAsia="黑体"/>
          <w:szCs w:val="21"/>
          <w:u w:val="single"/>
        </w:rPr>
        <w:t>在工程（包括单项工程）达到竣工验收条件20日前，承包人将竣工验收方案原件一式二份提交给发包人</w:t>
      </w:r>
      <w:r>
        <w:rPr>
          <w:rFonts w:hint="eastAsia"/>
          <w:szCs w:val="21"/>
        </w:rPr>
        <w:t>。</w:t>
      </w:r>
    </w:p>
    <w:p>
      <w:pPr>
        <w:pStyle w:val="2"/>
        <w:spacing w:before="156" w:after="156"/>
      </w:pPr>
      <w:r>
        <w:rPr>
          <w:rFonts w:hint="eastAsia"/>
        </w:rPr>
        <w:t>第9条工程接收</w:t>
      </w:r>
    </w:p>
    <w:p>
      <w:pPr>
        <w:pStyle w:val="4"/>
        <w:spacing w:before="156" w:after="156"/>
      </w:pPr>
      <w:r>
        <w:t>9.1</w:t>
      </w:r>
      <w:r>
        <w:rPr>
          <w:rFonts w:hint="eastAsia"/>
        </w:rPr>
        <w:t>工程接收</w:t>
      </w:r>
    </w:p>
    <w:p>
      <w:pPr>
        <w:spacing w:before="156" w:beforeLines="50" w:after="156" w:afterLines="50" w:line="360" w:lineRule="auto"/>
        <w:ind w:firstLine="420" w:firstLineChars="200"/>
        <w:rPr>
          <w:szCs w:val="21"/>
        </w:rPr>
      </w:pPr>
      <w:r>
        <w:rPr>
          <w:rFonts w:hint="eastAsia"/>
          <w:szCs w:val="21"/>
        </w:rPr>
        <w:t>9.1.1按单项工程或（和）按工程接收</w:t>
      </w:r>
    </w:p>
    <w:p>
      <w:pPr>
        <w:spacing w:before="156" w:beforeLines="50" w:after="156" w:afterLines="50" w:line="360" w:lineRule="auto"/>
        <w:ind w:firstLine="420" w:firstLineChars="200"/>
        <w:rPr>
          <w:szCs w:val="21"/>
        </w:rPr>
      </w:pPr>
      <w:r>
        <w:rPr>
          <w:rFonts w:hint="eastAsia"/>
          <w:szCs w:val="21"/>
        </w:rPr>
        <w:t>工程接收的日期：</w:t>
      </w:r>
      <w:r>
        <w:rPr>
          <w:rFonts w:hint="eastAsia" w:ascii="宋体" w:hAnsi="宋体"/>
          <w:szCs w:val="21"/>
          <w:u w:val="single"/>
        </w:rPr>
        <w:t>按相关规范或者规定执行。</w:t>
      </w:r>
    </w:p>
    <w:p>
      <w:pPr>
        <w:spacing w:line="360" w:lineRule="auto"/>
        <w:ind w:firstLine="420" w:firstLineChars="200"/>
        <w:rPr>
          <w:szCs w:val="21"/>
        </w:rPr>
      </w:pPr>
      <w:r>
        <w:rPr>
          <w:rFonts w:hint="eastAsia"/>
          <w:szCs w:val="21"/>
        </w:rPr>
        <w:t>单项工程接收的顺序和日期分别为：</w:t>
      </w:r>
      <w:r>
        <w:rPr>
          <w:rFonts w:hint="eastAsia" w:ascii="宋体" w:hAnsi="宋体"/>
          <w:szCs w:val="21"/>
          <w:u w:val="single"/>
        </w:rPr>
        <w:t>按相关规范或者规定执行。</w:t>
      </w:r>
    </w:p>
    <w:p>
      <w:pPr>
        <w:spacing w:line="360" w:lineRule="auto"/>
        <w:ind w:firstLine="420" w:firstLineChars="200"/>
        <w:rPr>
          <w:szCs w:val="21"/>
        </w:rPr>
      </w:pPr>
      <w:r>
        <w:rPr>
          <w:rFonts w:hint="eastAsia"/>
          <w:szCs w:val="21"/>
        </w:rPr>
        <w:t>9.1.2接收工程提交的资料</w:t>
      </w:r>
    </w:p>
    <w:p>
      <w:pPr>
        <w:spacing w:line="360" w:lineRule="auto"/>
        <w:ind w:firstLine="420" w:firstLineChars="200"/>
        <w:rPr>
          <w:szCs w:val="21"/>
        </w:rPr>
      </w:pPr>
      <w:r>
        <w:rPr>
          <w:rFonts w:hint="eastAsia"/>
          <w:szCs w:val="21"/>
        </w:rPr>
        <w:t>提交竣工验收资料的类别、内容、份数和时间：</w:t>
      </w:r>
      <w:r>
        <w:rPr>
          <w:rFonts w:hint="eastAsia" w:ascii="宋体" w:hAnsi="宋体"/>
          <w:szCs w:val="21"/>
          <w:u w:val="single"/>
        </w:rPr>
        <w:t>按相关规范或者规定执行。</w:t>
      </w:r>
    </w:p>
    <w:p>
      <w:pPr>
        <w:pStyle w:val="2"/>
        <w:spacing w:before="156" w:after="156"/>
      </w:pPr>
      <w:r>
        <w:rPr>
          <w:rFonts w:hint="eastAsia"/>
        </w:rPr>
        <w:t>第</w:t>
      </w:r>
      <w:r>
        <w:t>10</w:t>
      </w:r>
      <w:r>
        <w:rPr>
          <w:rFonts w:hint="eastAsia"/>
        </w:rPr>
        <w:t>条竣工后试验</w:t>
      </w:r>
    </w:p>
    <w:p>
      <w:pPr>
        <w:pStyle w:val="4"/>
        <w:spacing w:before="156" w:after="156"/>
      </w:pPr>
      <w:r>
        <w:t>10.</w:t>
      </w:r>
      <w:r>
        <w:rPr>
          <w:rFonts w:hint="eastAsia"/>
        </w:rPr>
        <w:t>1  责任与义务</w:t>
      </w:r>
    </w:p>
    <w:p>
      <w:pPr>
        <w:spacing w:line="360" w:lineRule="auto"/>
        <w:ind w:firstLine="420" w:firstLineChars="200"/>
        <w:rPr>
          <w:szCs w:val="21"/>
        </w:rPr>
      </w:pPr>
      <w:r>
        <w:rPr>
          <w:rFonts w:hint="eastAsia"/>
          <w:szCs w:val="21"/>
        </w:rPr>
        <w:t>10.1.1发包人的义务</w:t>
      </w:r>
    </w:p>
    <w:p>
      <w:pPr>
        <w:spacing w:line="360" w:lineRule="auto"/>
        <w:ind w:firstLine="420" w:firstLineChars="200"/>
        <w:rPr>
          <w:szCs w:val="21"/>
        </w:rPr>
      </w:pPr>
      <w:r>
        <w:rPr>
          <w:rFonts w:hint="eastAsia"/>
          <w:szCs w:val="21"/>
        </w:rPr>
        <w:t>（6）其他义务和工作：</w:t>
      </w:r>
      <w:r>
        <w:rPr>
          <w:rFonts w:hint="eastAsia"/>
          <w:b/>
          <w:szCs w:val="21"/>
          <w:u w:val="single"/>
        </w:rPr>
        <w:t>无</w:t>
      </w:r>
    </w:p>
    <w:p>
      <w:pPr>
        <w:spacing w:line="360" w:lineRule="auto"/>
        <w:ind w:firstLine="420" w:firstLineChars="200"/>
        <w:rPr>
          <w:szCs w:val="21"/>
        </w:rPr>
      </w:pPr>
      <w:r>
        <w:rPr>
          <w:rFonts w:hint="eastAsia"/>
          <w:szCs w:val="21"/>
        </w:rPr>
        <w:t>10.1.2承包人的义务</w:t>
      </w:r>
    </w:p>
    <w:p>
      <w:pPr>
        <w:spacing w:line="360" w:lineRule="auto"/>
        <w:ind w:firstLine="420" w:firstLineChars="200"/>
        <w:rPr>
          <w:szCs w:val="21"/>
          <w:u w:val="single"/>
        </w:rPr>
      </w:pPr>
      <w:r>
        <w:rPr>
          <w:rFonts w:hint="eastAsia"/>
          <w:szCs w:val="21"/>
        </w:rPr>
        <w:t>（2）提交给发包人的竣工后试验方案的份数和时间：</w:t>
      </w:r>
      <w:r>
        <w:rPr>
          <w:rFonts w:hint="eastAsia" w:ascii="宋体" w:hAnsi="宋体"/>
          <w:szCs w:val="21"/>
          <w:u w:val="single"/>
        </w:rPr>
        <w:t>按相关规范或者规定执行。</w:t>
      </w:r>
    </w:p>
    <w:p>
      <w:pPr>
        <w:spacing w:line="360" w:lineRule="auto"/>
        <w:ind w:firstLine="420" w:firstLineChars="200"/>
        <w:rPr>
          <w:szCs w:val="21"/>
        </w:rPr>
      </w:pPr>
      <w:r>
        <w:rPr>
          <w:rFonts w:hint="eastAsia"/>
          <w:szCs w:val="21"/>
        </w:rPr>
        <w:t>（7）其他义务和工作：</w:t>
      </w:r>
      <w:r>
        <w:rPr>
          <w:rFonts w:hint="eastAsia"/>
          <w:b/>
          <w:szCs w:val="21"/>
          <w:u w:val="single"/>
        </w:rPr>
        <w:t>无</w:t>
      </w:r>
    </w:p>
    <w:p>
      <w:pPr>
        <w:pStyle w:val="4"/>
        <w:spacing w:before="156" w:after="156"/>
      </w:pPr>
      <w:r>
        <w:t>10.2</w:t>
      </w:r>
      <w:r>
        <w:rPr>
          <w:rFonts w:hint="eastAsia"/>
        </w:rPr>
        <w:t>竣工后试验程序</w:t>
      </w:r>
    </w:p>
    <w:p>
      <w:pPr>
        <w:spacing w:line="360" w:lineRule="auto"/>
        <w:ind w:firstLine="420" w:firstLineChars="200"/>
        <w:rPr>
          <w:szCs w:val="21"/>
        </w:rPr>
      </w:pPr>
      <w:r>
        <w:rPr>
          <w:rFonts w:hint="eastAsia"/>
          <w:szCs w:val="21"/>
        </w:rPr>
        <w:t>10.2.5竣工后试验日期的通知</w:t>
      </w:r>
    </w:p>
    <w:p>
      <w:pPr>
        <w:spacing w:line="360" w:lineRule="auto"/>
        <w:ind w:firstLine="420" w:firstLineChars="200"/>
        <w:rPr>
          <w:szCs w:val="21"/>
        </w:rPr>
      </w:pPr>
      <w:r>
        <w:rPr>
          <w:rFonts w:hint="eastAsia"/>
          <w:szCs w:val="21"/>
        </w:rPr>
        <w:t>单项工程或（和）工程竣工后试验开始日期：</w:t>
      </w:r>
      <w:r>
        <w:rPr>
          <w:rFonts w:hint="eastAsia" w:ascii="宋体" w:hAnsi="宋体"/>
          <w:szCs w:val="21"/>
          <w:u w:val="single"/>
        </w:rPr>
        <w:t>按相关规范或者规定执行。</w:t>
      </w:r>
    </w:p>
    <w:p>
      <w:pPr>
        <w:pStyle w:val="4"/>
        <w:spacing w:before="156" w:after="156"/>
      </w:pPr>
      <w:r>
        <w:t>10.</w:t>
      </w:r>
      <w:r>
        <w:rPr>
          <w:rFonts w:hint="eastAsia"/>
        </w:rPr>
        <w:t>3  竣工后试验及试运行考核</w:t>
      </w:r>
    </w:p>
    <w:p>
      <w:pPr>
        <w:spacing w:line="360" w:lineRule="auto"/>
        <w:ind w:firstLine="420" w:firstLineChars="200"/>
        <w:rPr>
          <w:szCs w:val="21"/>
        </w:rPr>
      </w:pPr>
      <w:r>
        <w:rPr>
          <w:rFonts w:hint="eastAsia"/>
          <w:szCs w:val="21"/>
        </w:rPr>
        <w:t>10.3.3试运行考核</w:t>
      </w:r>
    </w:p>
    <w:p>
      <w:pPr>
        <w:spacing w:line="360" w:lineRule="auto"/>
        <w:ind w:firstLine="420" w:firstLineChars="200"/>
        <w:rPr>
          <w:szCs w:val="21"/>
        </w:rPr>
      </w:pPr>
      <w:r>
        <w:rPr>
          <w:rFonts w:hint="eastAsia"/>
          <w:szCs w:val="21"/>
        </w:rPr>
        <w:t>（3）试运行考核周期：无</w:t>
      </w:r>
    </w:p>
    <w:p>
      <w:pPr>
        <w:pStyle w:val="4"/>
        <w:spacing w:before="156" w:after="156"/>
      </w:pPr>
      <w:r>
        <w:t>10.</w:t>
      </w:r>
      <w:r>
        <w:rPr>
          <w:rFonts w:hint="eastAsia"/>
        </w:rPr>
        <w:t>6  未能通过考核</w:t>
      </w:r>
    </w:p>
    <w:p>
      <w:pPr>
        <w:spacing w:line="360" w:lineRule="auto"/>
        <w:ind w:firstLine="420" w:firstLineChars="200"/>
        <w:rPr>
          <w:szCs w:val="21"/>
        </w:rPr>
      </w:pPr>
      <w:r>
        <w:rPr>
          <w:rFonts w:hint="eastAsia"/>
          <w:szCs w:val="21"/>
        </w:rPr>
        <w:t>（1）未能通过试运行考核的赔偿</w:t>
      </w:r>
    </w:p>
    <w:p>
      <w:pPr>
        <w:spacing w:line="360" w:lineRule="auto"/>
        <w:ind w:firstLine="420" w:firstLineChars="200"/>
        <w:rPr>
          <w:szCs w:val="21"/>
        </w:rPr>
      </w:pPr>
      <w:r>
        <w:rPr>
          <w:rFonts w:hint="eastAsia"/>
          <w:szCs w:val="21"/>
        </w:rPr>
        <w:t>1）承包人提供生产工艺技术或建筑设计未能通过试运行考核的赔偿</w:t>
      </w:r>
    </w:p>
    <w:p>
      <w:pPr>
        <w:spacing w:line="360" w:lineRule="auto"/>
        <w:ind w:firstLine="420" w:firstLineChars="200"/>
        <w:rPr>
          <w:szCs w:val="21"/>
        </w:rPr>
      </w:pPr>
      <w:r>
        <w:rPr>
          <w:rFonts w:hint="eastAsia"/>
          <w:szCs w:val="21"/>
        </w:rPr>
        <w:t>单项工程的赔偿金额（或赔偿公式）分别为：</w:t>
      </w:r>
    </w:p>
    <w:p>
      <w:pPr>
        <w:spacing w:line="360" w:lineRule="auto"/>
        <w:ind w:firstLine="420" w:firstLineChars="200"/>
        <w:rPr>
          <w:szCs w:val="21"/>
        </w:rPr>
      </w:pPr>
      <w:r>
        <w:rPr>
          <w:rFonts w:hint="eastAsia"/>
          <w:szCs w:val="21"/>
        </w:rPr>
        <w:t>（或，以下一段，替换上一段）</w:t>
      </w:r>
    </w:p>
    <w:p>
      <w:pPr>
        <w:spacing w:line="360" w:lineRule="auto"/>
        <w:ind w:firstLine="420" w:firstLineChars="200"/>
        <w:rPr>
          <w:szCs w:val="21"/>
        </w:rPr>
      </w:pPr>
      <w:r>
        <w:rPr>
          <w:rFonts w:hint="eastAsia"/>
          <w:szCs w:val="21"/>
        </w:rPr>
        <w:t>工程的赔偿金额（或赔偿公式）：</w:t>
      </w:r>
    </w:p>
    <w:p>
      <w:pPr>
        <w:spacing w:line="360" w:lineRule="auto"/>
        <w:ind w:firstLine="420" w:firstLineChars="200"/>
        <w:rPr>
          <w:szCs w:val="21"/>
        </w:rPr>
      </w:pPr>
      <w:r>
        <w:rPr>
          <w:rFonts w:hint="eastAsia"/>
          <w:szCs w:val="21"/>
        </w:rPr>
        <w:t>2）承包人提供生产工艺技术或建筑艺术造型未能通过试运行考核的赔偿</w:t>
      </w:r>
    </w:p>
    <w:p>
      <w:pPr>
        <w:spacing w:line="360" w:lineRule="auto"/>
        <w:ind w:firstLine="420" w:firstLineChars="200"/>
      </w:pPr>
      <w:r>
        <w:rPr>
          <w:rFonts w:hint="eastAsia"/>
          <w:szCs w:val="21"/>
        </w:rPr>
        <w:t>承包人承担相关责任的赔偿金额（或赔偿公式）分别为：无</w:t>
      </w:r>
    </w:p>
    <w:p>
      <w:pPr>
        <w:spacing w:line="360" w:lineRule="auto"/>
        <w:ind w:firstLine="420" w:firstLineChars="200"/>
      </w:pPr>
      <w:r>
        <w:t>10.</w:t>
      </w:r>
      <w:r>
        <w:rPr>
          <w:rFonts w:hint="eastAsia"/>
        </w:rPr>
        <w:t>7 考核验收证书</w:t>
      </w:r>
    </w:p>
    <w:p>
      <w:pPr>
        <w:spacing w:line="360" w:lineRule="auto"/>
        <w:ind w:firstLine="420" w:firstLineChars="200"/>
        <w:rPr>
          <w:szCs w:val="21"/>
        </w:rPr>
      </w:pPr>
      <w:r>
        <w:rPr>
          <w:szCs w:val="21"/>
        </w:rPr>
        <w:t>10.</w:t>
      </w:r>
      <w:r>
        <w:rPr>
          <w:rFonts w:hint="eastAsia"/>
          <w:szCs w:val="21"/>
        </w:rPr>
        <w:t>7</w:t>
      </w:r>
      <w:r>
        <w:rPr>
          <w:szCs w:val="21"/>
        </w:rPr>
        <w:t>.1</w:t>
      </w:r>
      <w:r>
        <w:rPr>
          <w:rFonts w:hint="eastAsia"/>
          <w:szCs w:val="21"/>
        </w:rPr>
        <w:t>本合同按工程颁发竣工后试验及考核验收证书。</w:t>
      </w:r>
    </w:p>
    <w:p>
      <w:pPr>
        <w:spacing w:line="360" w:lineRule="auto"/>
        <w:rPr>
          <w:szCs w:val="21"/>
        </w:rPr>
      </w:pPr>
      <w:r>
        <w:rPr>
          <w:rFonts w:hint="eastAsia"/>
          <w:szCs w:val="21"/>
        </w:rPr>
        <w:t>（或，以下一段替换上一段）</w:t>
      </w:r>
    </w:p>
    <w:p>
      <w:pPr>
        <w:spacing w:line="360" w:lineRule="auto"/>
        <w:rPr>
          <w:szCs w:val="21"/>
        </w:rPr>
      </w:pPr>
      <w:r>
        <w:rPr>
          <w:rFonts w:hint="eastAsia"/>
          <w:szCs w:val="21"/>
        </w:rPr>
        <w:t>本合同按单项工程和工程颁发竣工后试验及考核验收证书。</w:t>
      </w:r>
    </w:p>
    <w:p>
      <w:pPr>
        <w:pStyle w:val="2"/>
        <w:spacing w:before="156" w:after="156"/>
      </w:pPr>
      <w:r>
        <w:t>第11条质量保修责任</w:t>
      </w:r>
    </w:p>
    <w:p>
      <w:pPr>
        <w:pStyle w:val="4"/>
        <w:spacing w:before="156" w:after="156"/>
      </w:pPr>
      <w:r>
        <w:rPr>
          <w:rFonts w:hint="eastAsia"/>
        </w:rPr>
        <w:t>11.2  质量保修金额</w:t>
      </w:r>
    </w:p>
    <w:p>
      <w:pPr>
        <w:spacing w:line="360" w:lineRule="auto"/>
        <w:ind w:firstLine="420" w:firstLineChars="200"/>
        <w:rPr>
          <w:szCs w:val="21"/>
        </w:rPr>
      </w:pPr>
      <w:r>
        <w:rPr>
          <w:rFonts w:hint="eastAsia"/>
          <w:szCs w:val="21"/>
        </w:rPr>
        <w:t>11.2.1质量保修金额</w:t>
      </w:r>
    </w:p>
    <w:p>
      <w:pPr>
        <w:spacing w:line="360" w:lineRule="auto"/>
        <w:ind w:firstLine="420" w:firstLineChars="200"/>
        <w:rPr>
          <w:szCs w:val="21"/>
        </w:rPr>
      </w:pPr>
      <w:r>
        <w:rPr>
          <w:rFonts w:hint="eastAsia"/>
          <w:szCs w:val="21"/>
        </w:rPr>
        <w:t>质量保修金额为合同协议书的工程施工结算评审价的：</w:t>
      </w:r>
      <w:r>
        <w:rPr>
          <w:rFonts w:hint="eastAsia" w:ascii="黑体" w:eastAsia="黑体"/>
          <w:szCs w:val="21"/>
          <w:u w:val="single"/>
        </w:rPr>
        <w:t>3</w:t>
      </w:r>
      <w:r>
        <w:rPr>
          <w:rFonts w:hint="eastAsia"/>
          <w:szCs w:val="21"/>
        </w:rPr>
        <w:t>%。</w:t>
      </w:r>
    </w:p>
    <w:p>
      <w:pPr>
        <w:spacing w:line="360" w:lineRule="auto"/>
        <w:ind w:firstLine="420" w:firstLineChars="200"/>
        <w:rPr>
          <w:szCs w:val="21"/>
        </w:rPr>
      </w:pPr>
      <w:r>
        <w:rPr>
          <w:rFonts w:hint="eastAsia"/>
          <w:szCs w:val="21"/>
        </w:rPr>
        <w:t>质量保修金额的暂扣方式：</w:t>
      </w:r>
      <w:r>
        <w:rPr>
          <w:rFonts w:hint="eastAsia"/>
          <w:b/>
          <w:szCs w:val="21"/>
          <w:u w:val="single"/>
        </w:rPr>
        <w:t>发包人在工程最终结算时暂留工程施工结算评审价的3%作为质保金，在缺陷责任期满且承包人已全部履行质保义务后28天内支付给承包人。</w:t>
      </w:r>
    </w:p>
    <w:p>
      <w:pPr>
        <w:pStyle w:val="2"/>
        <w:spacing w:before="156" w:after="156"/>
      </w:pPr>
      <w:r>
        <w:rPr>
          <w:rFonts w:hint="eastAsia"/>
        </w:rPr>
        <w:t>第</w:t>
      </w:r>
      <w:r>
        <w:t>12</w:t>
      </w:r>
      <w:r>
        <w:rPr>
          <w:rFonts w:hint="eastAsia"/>
        </w:rPr>
        <w:t>条工程竣工验收</w:t>
      </w:r>
    </w:p>
    <w:p>
      <w:pPr>
        <w:pStyle w:val="4"/>
        <w:spacing w:before="156" w:after="156"/>
      </w:pPr>
      <w:r>
        <w:t>12.1</w:t>
      </w:r>
      <w:r>
        <w:rPr>
          <w:rFonts w:hint="eastAsia"/>
        </w:rPr>
        <w:t>竣工资料及竣工验收报告</w:t>
      </w:r>
    </w:p>
    <w:p>
      <w:pPr>
        <w:spacing w:line="360" w:lineRule="auto"/>
        <w:ind w:firstLine="420" w:firstLineChars="200"/>
        <w:rPr>
          <w:szCs w:val="21"/>
        </w:rPr>
      </w:pPr>
      <w:r>
        <w:rPr>
          <w:szCs w:val="21"/>
        </w:rPr>
        <w:t>12.1.1</w:t>
      </w:r>
      <w:r>
        <w:rPr>
          <w:rFonts w:hint="eastAsia"/>
          <w:szCs w:val="21"/>
        </w:rPr>
        <w:t>竣工资料和竣工验收报告</w:t>
      </w:r>
    </w:p>
    <w:p>
      <w:pPr>
        <w:spacing w:line="360" w:lineRule="auto"/>
        <w:ind w:firstLine="420" w:firstLineChars="200"/>
        <w:rPr>
          <w:szCs w:val="21"/>
        </w:rPr>
      </w:pPr>
      <w:r>
        <w:rPr>
          <w:rFonts w:hint="eastAsia"/>
          <w:szCs w:val="21"/>
        </w:rPr>
        <w:t>竣工验收报告的格式、份数和提交时间：</w:t>
      </w:r>
      <w:r>
        <w:rPr>
          <w:rFonts w:hint="eastAsia"/>
          <w:szCs w:val="21"/>
          <w:u w:val="single"/>
        </w:rPr>
        <w:t>原件一式十六份，</w:t>
      </w:r>
      <w:r>
        <w:rPr>
          <w:rFonts w:hint="eastAsia"/>
          <w:szCs w:val="21"/>
        </w:rPr>
        <w:t>竣工验收报告</w:t>
      </w:r>
      <w:r>
        <w:rPr>
          <w:rFonts w:hint="eastAsia"/>
          <w:b/>
          <w:szCs w:val="21"/>
          <w:u w:val="single"/>
        </w:rPr>
        <w:t>采用规范的格式</w:t>
      </w:r>
      <w:r>
        <w:rPr>
          <w:rFonts w:hint="eastAsia"/>
          <w:szCs w:val="21"/>
          <w:u w:val="single"/>
        </w:rPr>
        <w:t>。</w:t>
      </w:r>
    </w:p>
    <w:p>
      <w:pPr>
        <w:spacing w:line="360" w:lineRule="auto"/>
        <w:ind w:firstLine="420" w:firstLineChars="200"/>
        <w:rPr>
          <w:b/>
          <w:szCs w:val="21"/>
          <w:u w:val="single"/>
        </w:rPr>
      </w:pPr>
      <w:r>
        <w:rPr>
          <w:rFonts w:hint="eastAsia"/>
          <w:szCs w:val="21"/>
        </w:rPr>
        <w:t>完整竣工资料的格式、份数和提交时间：</w:t>
      </w:r>
      <w:r>
        <w:rPr>
          <w:rFonts w:hint="eastAsia"/>
          <w:szCs w:val="21"/>
          <w:u w:val="single"/>
        </w:rPr>
        <w:t>原件一式十六份（完整竣工报告提供一式十六份，竣工资料提供副本或电子版），</w:t>
      </w:r>
      <w:r>
        <w:rPr>
          <w:rFonts w:hint="eastAsia"/>
          <w:szCs w:val="21"/>
        </w:rPr>
        <w:t>竣工资料</w:t>
      </w:r>
      <w:r>
        <w:rPr>
          <w:rFonts w:hint="eastAsia"/>
          <w:b/>
          <w:szCs w:val="21"/>
          <w:u w:val="single"/>
        </w:rPr>
        <w:t>采用规范的格式。</w:t>
      </w:r>
    </w:p>
    <w:p>
      <w:pPr>
        <w:spacing w:line="360" w:lineRule="auto"/>
        <w:ind w:firstLine="420" w:firstLineChars="200"/>
        <w:rPr>
          <w:szCs w:val="21"/>
        </w:rPr>
      </w:pPr>
      <w:r>
        <w:rPr>
          <w:rFonts w:hint="eastAsia"/>
          <w:szCs w:val="21"/>
        </w:rPr>
        <w:t>12.1.4</w:t>
      </w:r>
      <w:r>
        <w:rPr>
          <w:rFonts w:hint="eastAsia"/>
          <w:szCs w:val="21"/>
          <w:u w:val="single"/>
        </w:rPr>
        <w:t>承包人向发包人提交全部工程的竣工验收报告不得迟于全部工程完工后40天。因承包人逾期提交竣工验收报告的，以本工程终审结算价为基数，每逾期一个月从应支付给承包人的款项中扣减终审结算价的3%，以此累计，逾期超过5个月承包人仍未向发包人提交竣工验收报告，本工程视为不合格工程，发包人不再办理本工程的竣工验收及工程款支付，但工程仍应按发包人指定的期限无偿移交给发包人</w:t>
      </w:r>
      <w:r>
        <w:rPr>
          <w:rFonts w:hint="eastAsia"/>
          <w:szCs w:val="21"/>
        </w:rPr>
        <w:t>。</w:t>
      </w:r>
    </w:p>
    <w:p>
      <w:pPr>
        <w:pStyle w:val="4"/>
        <w:spacing w:before="156" w:after="156"/>
      </w:pPr>
      <w:r>
        <w:rPr>
          <w:rFonts w:hint="eastAsia"/>
        </w:rPr>
        <w:t>12.2竣工验收</w:t>
      </w:r>
    </w:p>
    <w:p>
      <w:pPr>
        <w:spacing w:line="360" w:lineRule="auto"/>
        <w:ind w:firstLine="420" w:firstLineChars="200"/>
        <w:rPr>
          <w:szCs w:val="21"/>
          <w:u w:val="single"/>
        </w:rPr>
      </w:pPr>
      <w:r>
        <w:rPr>
          <w:rFonts w:hint="eastAsia"/>
          <w:szCs w:val="21"/>
        </w:rPr>
        <w:t>12.2.</w:t>
      </w:r>
      <w:r>
        <w:rPr>
          <w:rFonts w:hint="eastAsia"/>
          <w:szCs w:val="21"/>
          <w:u w:val="single"/>
        </w:rPr>
        <w:t>4关于竣工验收的其他约定</w:t>
      </w:r>
    </w:p>
    <w:p>
      <w:pPr>
        <w:spacing w:line="360" w:lineRule="auto"/>
        <w:ind w:firstLine="420" w:firstLineChars="200"/>
        <w:rPr>
          <w:szCs w:val="21"/>
          <w:u w:val="single"/>
        </w:rPr>
      </w:pPr>
      <w:r>
        <w:rPr>
          <w:rFonts w:hint="eastAsia"/>
          <w:szCs w:val="21"/>
          <w:u w:val="single"/>
        </w:rPr>
        <w:t>（1）工程竣工验收严格按法律及国家、广东省和广州市相关行政主管部门的规定或要求执行。</w:t>
      </w:r>
    </w:p>
    <w:p>
      <w:pPr>
        <w:spacing w:line="360" w:lineRule="auto"/>
        <w:ind w:firstLine="420" w:firstLineChars="200"/>
        <w:rPr>
          <w:szCs w:val="21"/>
          <w:u w:val="single"/>
        </w:rPr>
      </w:pPr>
      <w:r>
        <w:rPr>
          <w:rFonts w:hint="eastAsia"/>
          <w:szCs w:val="21"/>
          <w:u w:val="single"/>
        </w:rPr>
        <w:t>（2）工程竣工验收通过，承包人送交完整的竣工验收资料（含竣工图）和竣工验收报告的日期为实际竣工日期；工程按发包人要求修改后通过竣工验收的，实际竣工日期为承包人修改后提请发包人验收的日期。</w:t>
      </w:r>
    </w:p>
    <w:p>
      <w:pPr>
        <w:spacing w:line="360" w:lineRule="auto"/>
        <w:ind w:firstLine="420" w:firstLineChars="200"/>
        <w:rPr>
          <w:szCs w:val="21"/>
          <w:u w:val="single"/>
        </w:rPr>
      </w:pPr>
      <w:r>
        <w:rPr>
          <w:rFonts w:hint="eastAsia"/>
          <w:szCs w:val="21"/>
          <w:u w:val="single"/>
        </w:rPr>
        <w:t>（3）工程未经竣工验收或竣工验收未通过的，发包人不得使用。因特殊情况，发包人在取得单项验收合格和征得承包人同意的情况下，发包人可提前使用。</w:t>
      </w:r>
    </w:p>
    <w:p>
      <w:pPr>
        <w:spacing w:line="360" w:lineRule="auto"/>
        <w:ind w:firstLine="420" w:firstLineChars="200"/>
        <w:rPr>
          <w:b/>
          <w:szCs w:val="21"/>
        </w:rPr>
      </w:pPr>
      <w:r>
        <w:rPr>
          <w:rFonts w:hint="eastAsia"/>
          <w:b/>
          <w:szCs w:val="21"/>
        </w:rPr>
        <w:t>12.3竣工档案的整理和移交</w:t>
      </w:r>
    </w:p>
    <w:p>
      <w:pPr>
        <w:spacing w:line="360" w:lineRule="auto"/>
        <w:ind w:firstLine="420" w:firstLineChars="200"/>
        <w:rPr>
          <w:szCs w:val="21"/>
        </w:rPr>
      </w:pPr>
      <w:r>
        <w:rPr>
          <w:rFonts w:hint="eastAsia"/>
          <w:szCs w:val="21"/>
        </w:rPr>
        <w:t>12.3.3电子版竣工图的编制，以发包人提供的电子版施工图为基础。承包人在移交竣工档案时，应一并移交发包人提供的电子版施工图。</w:t>
      </w:r>
    </w:p>
    <w:p>
      <w:pPr>
        <w:spacing w:line="360" w:lineRule="auto"/>
        <w:ind w:firstLine="420" w:firstLineChars="200"/>
        <w:rPr>
          <w:szCs w:val="21"/>
          <w:u w:val="single"/>
        </w:rPr>
      </w:pPr>
      <w:r>
        <w:rPr>
          <w:rFonts w:hint="eastAsia"/>
          <w:szCs w:val="21"/>
        </w:rPr>
        <w:t>电子版施工图和电子版竣工图的知识产权归属发包人和承包人双方共有，非经发包人许可，承包人不得以任何方式复制、备份、转让和利用。否则，由此引起的任何纠纷和责任由承包人承担。</w:t>
      </w:r>
    </w:p>
    <w:p>
      <w:pPr>
        <w:pStyle w:val="2"/>
        <w:spacing w:before="156" w:after="156"/>
      </w:pPr>
      <w:r>
        <w:rPr>
          <w:rFonts w:hint="eastAsia"/>
        </w:rPr>
        <w:t>第</w:t>
      </w:r>
      <w:r>
        <w:t>13</w:t>
      </w:r>
      <w:r>
        <w:rPr>
          <w:rFonts w:hint="eastAsia"/>
        </w:rPr>
        <w:t>条变更和合同价格调整</w:t>
      </w:r>
    </w:p>
    <w:p>
      <w:pPr>
        <w:pStyle w:val="4"/>
        <w:spacing w:before="156" w:after="156"/>
      </w:pPr>
      <w:r>
        <w:rPr>
          <w:rFonts w:hint="eastAsia"/>
        </w:rPr>
        <w:t>13.4  紧急性变更程序</w:t>
      </w:r>
    </w:p>
    <w:p>
      <w:pPr>
        <w:spacing w:line="360" w:lineRule="auto"/>
        <w:ind w:firstLine="420" w:firstLineChars="200"/>
        <w:rPr>
          <w:szCs w:val="21"/>
        </w:rPr>
      </w:pPr>
      <w:r>
        <w:rPr>
          <w:rFonts w:hint="eastAsia"/>
          <w:szCs w:val="21"/>
        </w:rPr>
        <w:t>本条不采用。</w:t>
      </w:r>
    </w:p>
    <w:p>
      <w:pPr>
        <w:pStyle w:val="4"/>
        <w:spacing w:before="156" w:after="156"/>
      </w:pPr>
      <w:r>
        <w:rPr>
          <w:rFonts w:hint="eastAsia"/>
        </w:rPr>
        <w:t>13.5 变更合同价款的确定方法</w:t>
      </w:r>
    </w:p>
    <w:p>
      <w:pPr>
        <w:spacing w:line="360" w:lineRule="auto"/>
        <w:ind w:firstLine="420" w:firstLineChars="200"/>
        <w:rPr>
          <w:szCs w:val="21"/>
        </w:rPr>
      </w:pPr>
      <w:r>
        <w:rPr>
          <w:rFonts w:hint="eastAsia"/>
          <w:szCs w:val="21"/>
        </w:rPr>
        <w:t>参照专用条款第14条条款执行。</w:t>
      </w:r>
    </w:p>
    <w:p>
      <w:pPr>
        <w:pStyle w:val="4"/>
        <w:spacing w:before="156" w:after="156"/>
      </w:pPr>
      <w:r>
        <w:rPr>
          <w:rFonts w:hint="eastAsia"/>
        </w:rPr>
        <w:t>13.7合同价格调整</w:t>
      </w:r>
    </w:p>
    <w:p>
      <w:pPr>
        <w:spacing w:line="360" w:lineRule="auto"/>
        <w:ind w:firstLine="420" w:firstLineChars="200"/>
        <w:rPr>
          <w:rFonts w:hint="eastAsia"/>
          <w:szCs w:val="21"/>
        </w:rPr>
      </w:pPr>
      <w:r>
        <w:rPr>
          <w:rFonts w:hint="eastAsia"/>
          <w:szCs w:val="21"/>
        </w:rPr>
        <w:t>（7）</w:t>
      </w:r>
      <w:r>
        <w:rPr>
          <w:rFonts w:hint="eastAsia"/>
          <w:szCs w:val="21"/>
          <w:lang w:eastAsia="zh-CN"/>
        </w:rPr>
        <w:t>结算</w:t>
      </w:r>
      <w:r>
        <w:rPr>
          <w:rFonts w:hint="eastAsia"/>
          <w:szCs w:val="21"/>
        </w:rPr>
        <w:t>单价不因市场物价涨落而调整。</w:t>
      </w:r>
    </w:p>
    <w:p>
      <w:pPr>
        <w:spacing w:line="360" w:lineRule="auto"/>
        <w:ind w:firstLine="420" w:firstLineChars="200"/>
        <w:rPr>
          <w:rFonts w:hint="eastAsia"/>
          <w:szCs w:val="21"/>
        </w:rPr>
      </w:pPr>
      <w:r>
        <w:rPr>
          <w:rFonts w:hint="eastAsia"/>
          <w:szCs w:val="21"/>
        </w:rPr>
        <w:t>（8）发包人有权根据实际情况对建设内容进行调整。发包人减少的项目无论有无替代，发包人都不予补偿。</w:t>
      </w:r>
    </w:p>
    <w:p>
      <w:pPr>
        <w:pStyle w:val="2"/>
        <w:spacing w:before="156" w:after="156"/>
      </w:pPr>
      <w:r>
        <w:rPr>
          <w:rFonts w:hint="eastAsia"/>
          <w:b w:val="0"/>
          <w:szCs w:val="21"/>
        </w:rPr>
        <w:t>（9）若发包人要求本工程申报各级奖项，提高工程质量标准的相关费用由双方协商另行确定。</w:t>
      </w:r>
      <w:r>
        <w:rPr>
          <w:rFonts w:hint="eastAsia"/>
        </w:rPr>
        <w:t>第</w:t>
      </w:r>
      <w:r>
        <w:t>14</w:t>
      </w:r>
      <w:r>
        <w:rPr>
          <w:rFonts w:hint="eastAsia"/>
        </w:rPr>
        <w:t>条合同总价、付款和结算</w:t>
      </w:r>
    </w:p>
    <w:p>
      <w:pPr>
        <w:pStyle w:val="4"/>
        <w:spacing w:before="156" w:after="156"/>
      </w:pPr>
      <w:r>
        <w:rPr>
          <w:rFonts w:hint="eastAsia"/>
        </w:rPr>
        <w:t>14.1合同总价、付款和结算</w:t>
      </w:r>
    </w:p>
    <w:p>
      <w:pPr>
        <w:pStyle w:val="59"/>
        <w:spacing w:before="0" w:after="0" w:line="440" w:lineRule="exact"/>
        <w:ind w:left="0" w:right="0" w:firstLine="480" w:firstLineChars="200"/>
        <w:jc w:val="both"/>
        <w:rPr>
          <w:rFonts w:ascii="宋体" w:hAnsi="宋体"/>
          <w:sz w:val="21"/>
          <w:szCs w:val="21"/>
        </w:rPr>
      </w:pPr>
      <w:permStart w:id="14" w:edGrp="everyone"/>
      <w:r>
        <w:rPr>
          <w:rFonts w:hint="eastAsia"/>
          <w:szCs w:val="21"/>
        </w:rPr>
        <w:t xml:space="preserve">14.1.1 </w:t>
      </w:r>
      <w:r>
        <w:rPr>
          <w:rFonts w:hint="eastAsia" w:ascii="宋体" w:hAnsi="宋体"/>
          <w:sz w:val="21"/>
          <w:szCs w:val="21"/>
        </w:rPr>
        <w:t>合同总价为：</w:t>
      </w:r>
      <w:r>
        <w:rPr>
          <w:rFonts w:ascii="Arial" w:hAnsi="Arial" w:cs="Arial"/>
          <w:szCs w:val="21"/>
          <w:u w:val="single"/>
        </w:rPr>
        <w:t>¥</w:t>
      </w:r>
      <w:r>
        <w:rPr>
          <w:rFonts w:hint="eastAsia" w:ascii="Arial" w:hAnsi="Arial" w:cs="Arial"/>
          <w:szCs w:val="21"/>
          <w:u w:val="single"/>
          <w:lang w:val="en-US" w:eastAsia="zh-CN"/>
        </w:rPr>
        <w:t xml:space="preserve">         </w:t>
      </w:r>
      <w:r>
        <w:rPr>
          <w:rFonts w:hint="eastAsia" w:ascii="宋体" w:hAnsi="宋体"/>
          <w:sz w:val="21"/>
          <w:szCs w:val="21"/>
        </w:rPr>
        <w:t>元（大写：人民币）。（中标价）</w:t>
      </w:r>
    </w:p>
    <w:p>
      <w:pPr>
        <w:pStyle w:val="113"/>
        <w:spacing w:line="400" w:lineRule="exact"/>
        <w:ind w:left="718" w:hanging="718" w:hangingChars="342"/>
        <w:rPr>
          <w:rFonts w:ascii="宋体" w:hAnsi="宋体"/>
          <w:szCs w:val="21"/>
        </w:rPr>
      </w:pPr>
      <w:r>
        <w:rPr>
          <w:rFonts w:hint="eastAsia" w:ascii="宋体" w:hAnsi="宋体"/>
          <w:szCs w:val="21"/>
        </w:rPr>
        <w:t xml:space="preserve">其中： </w:t>
      </w:r>
    </w:p>
    <w:p>
      <w:pPr>
        <w:pStyle w:val="113"/>
        <w:spacing w:line="400" w:lineRule="exact"/>
        <w:ind w:left="705" w:leftChars="194" w:hanging="298" w:hangingChars="142"/>
        <w:rPr>
          <w:rFonts w:ascii="宋体" w:hAnsi="宋体"/>
          <w:szCs w:val="21"/>
        </w:rPr>
      </w:pPr>
      <w:r>
        <w:rPr>
          <w:rFonts w:hint="eastAsia" w:ascii="宋体" w:hAnsi="宋体"/>
          <w:szCs w:val="21"/>
        </w:rPr>
        <w:t>设计费（暂定）：</w:t>
      </w:r>
      <w:r>
        <w:rPr>
          <w:rFonts w:ascii="Arial" w:hAnsi="Arial" w:cs="Arial"/>
          <w:szCs w:val="21"/>
          <w:u w:val="single"/>
        </w:rPr>
        <w:t>¥</w:t>
      </w:r>
      <w:r>
        <w:rPr>
          <w:rFonts w:hint="eastAsia" w:ascii="Arial" w:hAnsi="Arial" w:cs="Arial"/>
          <w:szCs w:val="21"/>
          <w:u w:val="single"/>
          <w:lang w:val="en-US" w:eastAsia="zh-CN"/>
        </w:rPr>
        <w:t xml:space="preserve">         </w:t>
      </w:r>
      <w:r>
        <w:rPr>
          <w:rFonts w:hint="eastAsia" w:ascii="宋体" w:hAnsi="宋体"/>
          <w:szCs w:val="21"/>
        </w:rPr>
        <w:t>元（大写：人民币）（含施工图预算编制费和竣工图编制费）</w:t>
      </w:r>
    </w:p>
    <w:p>
      <w:pPr>
        <w:pStyle w:val="113"/>
        <w:spacing w:before="156" w:beforeLines="50" w:after="156" w:afterLines="50" w:line="400" w:lineRule="exact"/>
        <w:ind w:left="705" w:leftChars="194" w:hanging="298" w:hangingChars="142"/>
        <w:rPr>
          <w:rFonts w:ascii="宋体" w:hAnsi="宋体"/>
          <w:szCs w:val="21"/>
        </w:rPr>
      </w:pPr>
      <w:r>
        <w:rPr>
          <w:rFonts w:hint="eastAsia" w:ascii="宋体" w:hAnsi="宋体"/>
          <w:szCs w:val="21"/>
        </w:rPr>
        <w:t>建安费（暂定）：</w:t>
      </w:r>
      <w:r>
        <w:rPr>
          <w:rFonts w:ascii="Arial" w:hAnsi="Arial" w:cs="Arial"/>
          <w:szCs w:val="21"/>
          <w:u w:val="single"/>
        </w:rPr>
        <w:t>¥</w:t>
      </w:r>
      <w:r>
        <w:rPr>
          <w:rFonts w:hint="eastAsia" w:ascii="Arial" w:hAnsi="Arial" w:cs="Arial"/>
          <w:szCs w:val="21"/>
          <w:u w:val="single"/>
          <w:lang w:val="en-US" w:eastAsia="zh-CN"/>
        </w:rPr>
        <w:t xml:space="preserve">          </w:t>
      </w:r>
      <w:r>
        <w:rPr>
          <w:rFonts w:hint="eastAsia" w:ascii="宋体" w:hAnsi="宋体"/>
          <w:szCs w:val="21"/>
        </w:rPr>
        <w:t>元（大写：人民币）（属不可竞争费用的部分，不执行中标下浮率）</w:t>
      </w:r>
      <w:permEnd w:id="14"/>
    </w:p>
    <w:p>
      <w:pPr>
        <w:pStyle w:val="4"/>
        <w:spacing w:before="156" w:after="156"/>
        <w:ind w:firstLine="412"/>
        <w:rPr>
          <w:b w:val="0"/>
        </w:rPr>
      </w:pPr>
      <w:r>
        <w:rPr>
          <w:b w:val="0"/>
        </w:rPr>
        <w:t>14</w:t>
      </w:r>
      <w:r>
        <w:rPr>
          <w:rFonts w:hint="eastAsia"/>
          <w:b w:val="0"/>
        </w:rPr>
        <w:t>.2  担保</w:t>
      </w:r>
    </w:p>
    <w:p>
      <w:pPr>
        <w:spacing w:line="360" w:lineRule="auto"/>
        <w:ind w:firstLine="420" w:firstLineChars="200"/>
        <w:rPr>
          <w:szCs w:val="21"/>
        </w:rPr>
      </w:pPr>
      <w:r>
        <w:rPr>
          <w:szCs w:val="21"/>
        </w:rPr>
        <w:t>14.</w:t>
      </w:r>
      <w:r>
        <w:rPr>
          <w:rFonts w:hint="eastAsia"/>
          <w:szCs w:val="21"/>
        </w:rPr>
        <w:t>2</w:t>
      </w:r>
      <w:r>
        <w:rPr>
          <w:szCs w:val="21"/>
        </w:rPr>
        <w:t>.1</w:t>
      </w:r>
      <w:r>
        <w:rPr>
          <w:rFonts w:hint="eastAsia"/>
          <w:szCs w:val="21"/>
        </w:rPr>
        <w:t>履约保证金</w:t>
      </w:r>
    </w:p>
    <w:p>
      <w:pPr>
        <w:spacing w:line="360" w:lineRule="auto"/>
        <w:ind w:firstLine="420" w:firstLineChars="200"/>
        <w:rPr>
          <w:b/>
          <w:szCs w:val="21"/>
          <w:u w:val="single"/>
        </w:rPr>
      </w:pPr>
      <w:r>
        <w:rPr>
          <w:rFonts w:hint="eastAsia"/>
          <w:szCs w:val="21"/>
        </w:rPr>
        <w:t>提交履约保证金的格式、金额和时间：</w:t>
      </w:r>
      <w:r>
        <w:rPr>
          <w:rFonts w:hint="eastAsia"/>
          <w:b/>
          <w:szCs w:val="21"/>
          <w:u w:val="single"/>
        </w:rPr>
        <w:t>在合同签订前</w:t>
      </w:r>
      <w:r>
        <w:rPr>
          <w:rFonts w:hint="eastAsia"/>
          <w:b/>
          <w:szCs w:val="21"/>
          <w:u w:val="single"/>
          <w:lang w:eastAsia="zh-CN"/>
        </w:rPr>
        <w:t>，</w:t>
      </w:r>
      <w:r>
        <w:rPr>
          <w:rFonts w:hint="eastAsia"/>
          <w:b/>
          <w:szCs w:val="21"/>
          <w:u w:val="single"/>
        </w:rPr>
        <w:t>承包人向发包人提交合同总额10%的履约担保（履约担保须以银行保函或保证保险或担保保函的方式提交）。联合体中标的，其履约担保由联合体各方或者联合体中</w:t>
      </w:r>
      <w:r>
        <w:rPr>
          <w:rFonts w:hint="eastAsia"/>
          <w:b/>
          <w:szCs w:val="21"/>
          <w:u w:val="single"/>
          <w:lang w:eastAsia="zh-CN"/>
        </w:rPr>
        <w:t>主办方</w:t>
      </w:r>
      <w:r>
        <w:rPr>
          <w:rFonts w:hint="eastAsia"/>
          <w:b/>
          <w:szCs w:val="21"/>
          <w:u w:val="single"/>
        </w:rPr>
        <w:t>的名义提交。未按发包人规定形式提交或逾期提交的，视为承包人放弃中标资格及违约，发包人没收其投标保证金并追究承包人违约责任。</w:t>
      </w:r>
    </w:p>
    <w:p>
      <w:pPr>
        <w:spacing w:line="360" w:lineRule="auto"/>
        <w:ind w:firstLine="420" w:firstLineChars="200"/>
        <w:rPr>
          <w:b/>
          <w:szCs w:val="21"/>
          <w:u w:val="single"/>
        </w:rPr>
      </w:pPr>
      <w:permStart w:id="15" w:edGrp="everyone"/>
      <w:r>
        <w:rPr>
          <w:rFonts w:hint="eastAsia"/>
          <w:b/>
          <w:szCs w:val="21"/>
          <w:u w:val="single"/>
        </w:rPr>
        <w:t>本合同履约保证金为本合同价款的10%，即</w:t>
      </w:r>
      <w:r>
        <w:rPr>
          <w:rFonts w:ascii="Arial" w:hAnsi="Arial" w:cs="Arial"/>
          <w:szCs w:val="21"/>
          <w:u w:val="single"/>
        </w:rPr>
        <w:t>¥</w:t>
      </w:r>
      <w:r>
        <w:rPr>
          <w:rFonts w:hint="eastAsia"/>
          <w:b/>
          <w:szCs w:val="21"/>
          <w:u w:val="single"/>
        </w:rPr>
        <w:t xml:space="preserve">          元。</w:t>
      </w:r>
    </w:p>
    <w:p>
      <w:pPr>
        <w:spacing w:line="360" w:lineRule="auto"/>
        <w:ind w:firstLine="420" w:firstLineChars="200"/>
        <w:rPr>
          <w:szCs w:val="21"/>
          <w:u w:val="single"/>
        </w:rPr>
      </w:pPr>
      <w:r>
        <w:rPr>
          <w:rFonts w:hint="eastAsia"/>
          <w:b/>
          <w:szCs w:val="21"/>
          <w:u w:val="single"/>
        </w:rPr>
        <w:t xml:space="preserve">            工程的合同价为：</w:t>
      </w:r>
      <w:r>
        <w:rPr>
          <w:rFonts w:ascii="Arial" w:hAnsi="Arial" w:cs="Arial"/>
          <w:szCs w:val="21"/>
          <w:u w:val="single"/>
        </w:rPr>
        <w:t>¥</w:t>
      </w:r>
      <w:r>
        <w:rPr>
          <w:rFonts w:hint="eastAsia"/>
          <w:b/>
          <w:szCs w:val="21"/>
          <w:u w:val="single"/>
        </w:rPr>
        <w:t xml:space="preserve">        元，即履约保证金为：</w:t>
      </w:r>
      <w:r>
        <w:rPr>
          <w:rFonts w:ascii="Arial" w:hAnsi="Arial" w:cs="Arial"/>
          <w:szCs w:val="21"/>
          <w:u w:val="single"/>
        </w:rPr>
        <w:t>¥</w:t>
      </w:r>
      <w:r>
        <w:rPr>
          <w:rFonts w:hint="eastAsia"/>
          <w:b/>
          <w:szCs w:val="21"/>
          <w:u w:val="single"/>
        </w:rPr>
        <w:t xml:space="preserve">        元。（大写：                   ）。</w:t>
      </w:r>
    </w:p>
    <w:permEnd w:id="15"/>
    <w:p>
      <w:pPr>
        <w:pStyle w:val="4"/>
        <w:spacing w:before="156" w:after="156"/>
        <w:rPr>
          <w:rFonts w:hint="eastAsia"/>
          <w:szCs w:val="21"/>
          <w:u w:val="single"/>
        </w:rPr>
      </w:pPr>
      <w:r>
        <w:rPr>
          <w:rFonts w:hint="eastAsia"/>
          <w:szCs w:val="21"/>
          <w:u w:val="single"/>
        </w:rPr>
        <w:t>履约保函自合同生效日起至工程竣工验收合格前一直有效，发包人应在工程竣工验收合格后14天内退还给承包人。履约保函到期但工程尚未竣工验收合格的，承包人应自觉办理保函延期手续，确保担保期限不出现空缺。否则，发包人有权不予支付工程款。</w:t>
      </w:r>
    </w:p>
    <w:p>
      <w:pPr>
        <w:pStyle w:val="4"/>
        <w:spacing w:before="156" w:after="156"/>
      </w:pPr>
      <w:r>
        <w:t>14.</w:t>
      </w:r>
      <w:r>
        <w:rPr>
          <w:rFonts w:hint="eastAsia"/>
        </w:rPr>
        <w:t>3  预付款</w:t>
      </w:r>
    </w:p>
    <w:p>
      <w:pPr>
        <w:spacing w:line="360" w:lineRule="auto"/>
        <w:ind w:firstLine="420" w:firstLineChars="200"/>
        <w:rPr>
          <w:szCs w:val="21"/>
        </w:rPr>
      </w:pPr>
      <w:r>
        <w:rPr>
          <w:rFonts w:hint="eastAsia"/>
          <w:szCs w:val="21"/>
        </w:rPr>
        <w:t>14.3.1预付款金额</w:t>
      </w:r>
    </w:p>
    <w:p>
      <w:pPr>
        <w:spacing w:line="360" w:lineRule="auto"/>
        <w:ind w:firstLine="420" w:firstLineChars="200"/>
        <w:rPr>
          <w:szCs w:val="21"/>
        </w:rPr>
      </w:pPr>
      <w:r>
        <w:rPr>
          <w:rFonts w:hint="eastAsia"/>
          <w:szCs w:val="21"/>
        </w:rPr>
        <w:t>设计费预付款在合同签订后，按本合同价的20%一次支付。</w:t>
      </w:r>
    </w:p>
    <w:p>
      <w:pPr>
        <w:spacing w:line="360" w:lineRule="auto"/>
        <w:ind w:firstLine="420" w:firstLineChars="200"/>
        <w:rPr>
          <w:rFonts w:hint="eastAsia"/>
          <w:szCs w:val="21"/>
        </w:rPr>
      </w:pPr>
      <w:r>
        <w:rPr>
          <w:rFonts w:hint="eastAsia"/>
          <w:szCs w:val="21"/>
        </w:rPr>
        <w:t>建安工程费预付款在合同签订后，按本合同价</w:t>
      </w:r>
      <w:r>
        <w:rPr>
          <w:rFonts w:hint="eastAsia"/>
          <w:color w:val="auto"/>
          <w:szCs w:val="21"/>
        </w:rPr>
        <w:t>（扣除</w:t>
      </w:r>
      <w:r>
        <w:rPr>
          <w:rFonts w:hint="eastAsia"/>
          <w:color w:val="auto"/>
          <w:szCs w:val="21"/>
          <w:lang w:val="en-US" w:eastAsia="zh-CN"/>
        </w:rPr>
        <w:t>暂列金金额和安全文明施工费</w:t>
      </w:r>
      <w:r>
        <w:rPr>
          <w:rFonts w:hint="eastAsia"/>
          <w:color w:val="auto"/>
          <w:szCs w:val="21"/>
        </w:rPr>
        <w:t>）</w:t>
      </w:r>
      <w:r>
        <w:rPr>
          <w:rFonts w:hint="eastAsia"/>
          <w:szCs w:val="21"/>
        </w:rPr>
        <w:t>的</w:t>
      </w:r>
      <w:r>
        <w:rPr>
          <w:rFonts w:hint="eastAsia"/>
          <w:szCs w:val="21"/>
          <w:lang w:val="en-US" w:eastAsia="zh-CN"/>
        </w:rPr>
        <w:t>3</w:t>
      </w:r>
      <w:r>
        <w:rPr>
          <w:rFonts w:hint="eastAsia"/>
          <w:szCs w:val="21"/>
        </w:rPr>
        <w:t>0%一次支付。</w:t>
      </w:r>
    </w:p>
    <w:p>
      <w:pPr>
        <w:spacing w:line="360" w:lineRule="auto"/>
        <w:ind w:firstLine="420" w:firstLineChars="200"/>
        <w:rPr>
          <w:b/>
          <w:szCs w:val="21"/>
          <w:u w:val="single"/>
        </w:rPr>
      </w:pPr>
      <w:permStart w:id="16" w:edGrp="everyone"/>
      <w:r>
        <w:rPr>
          <w:rFonts w:hint="eastAsia"/>
          <w:b/>
          <w:szCs w:val="21"/>
          <w:u w:val="single"/>
        </w:rPr>
        <w:t>其中：</w:t>
      </w:r>
    </w:p>
    <w:p>
      <w:pPr>
        <w:spacing w:line="360" w:lineRule="auto"/>
        <w:ind w:firstLine="420" w:firstLineChars="200"/>
        <w:rPr>
          <w:bCs/>
          <w:szCs w:val="21"/>
          <w:u w:val="single"/>
        </w:rPr>
      </w:pPr>
      <w:r>
        <w:rPr>
          <w:rFonts w:hint="eastAsia"/>
          <w:bCs/>
          <w:szCs w:val="21"/>
          <w:u w:val="single"/>
        </w:rPr>
        <w:t>设计费预付款按合同设计费</w:t>
      </w:r>
      <w:r>
        <w:rPr>
          <w:bCs/>
          <w:szCs w:val="21"/>
          <w:u w:val="single"/>
        </w:rPr>
        <w:t>20%</w:t>
      </w:r>
      <w:r>
        <w:rPr>
          <w:rFonts w:hint="eastAsia"/>
          <w:bCs/>
          <w:szCs w:val="21"/>
          <w:u w:val="single"/>
        </w:rPr>
        <w:t>支付，即预付款为：</w:t>
      </w:r>
      <w:r>
        <w:rPr>
          <w:rFonts w:ascii="Arial" w:hAnsi="Arial" w:cs="Arial"/>
          <w:szCs w:val="21"/>
          <w:u w:val="single"/>
        </w:rPr>
        <w:t>¥</w:t>
      </w:r>
      <w:r>
        <w:rPr>
          <w:rFonts w:hint="eastAsia"/>
          <w:bCs/>
          <w:szCs w:val="21"/>
          <w:u w:val="single"/>
        </w:rPr>
        <w:t xml:space="preserve">    元（大写：人民币    ）。</w:t>
      </w:r>
    </w:p>
    <w:p>
      <w:pPr>
        <w:spacing w:line="360" w:lineRule="auto"/>
        <w:ind w:firstLine="420" w:firstLineChars="200"/>
        <w:rPr>
          <w:rFonts w:hint="eastAsia"/>
          <w:bCs/>
          <w:szCs w:val="21"/>
          <w:u w:val="single"/>
        </w:rPr>
      </w:pPr>
      <w:r>
        <w:rPr>
          <w:rFonts w:hint="eastAsia"/>
          <w:bCs/>
          <w:szCs w:val="21"/>
          <w:u w:val="single"/>
        </w:rPr>
        <w:t>建安费预付款按合同建安费</w:t>
      </w:r>
      <w:r>
        <w:rPr>
          <w:rFonts w:hint="eastAsia"/>
          <w:color w:val="auto"/>
          <w:szCs w:val="21"/>
          <w:u w:val="single"/>
        </w:rPr>
        <w:t>（扣除</w:t>
      </w:r>
      <w:r>
        <w:rPr>
          <w:rFonts w:hint="eastAsia"/>
          <w:color w:val="auto"/>
          <w:szCs w:val="21"/>
          <w:u w:val="single"/>
          <w:lang w:val="en-US" w:eastAsia="zh-CN"/>
        </w:rPr>
        <w:t>暂列金金额和安全文明施工费</w:t>
      </w:r>
      <w:r>
        <w:rPr>
          <w:rFonts w:hint="eastAsia"/>
          <w:color w:val="auto"/>
          <w:szCs w:val="21"/>
          <w:u w:val="single"/>
        </w:rPr>
        <w:t>）</w:t>
      </w:r>
      <w:r>
        <w:rPr>
          <w:rFonts w:hint="eastAsia"/>
          <w:color w:val="auto"/>
          <w:szCs w:val="21"/>
          <w:u w:val="single"/>
          <w:lang w:eastAsia="zh-CN"/>
        </w:rPr>
        <w:t>的</w:t>
      </w:r>
      <w:r>
        <w:rPr>
          <w:rFonts w:hint="eastAsia"/>
          <w:bCs/>
          <w:szCs w:val="21"/>
          <w:u w:val="single"/>
          <w:lang w:val="en-US" w:eastAsia="zh-CN"/>
        </w:rPr>
        <w:t>3</w:t>
      </w:r>
      <w:r>
        <w:rPr>
          <w:bCs/>
          <w:szCs w:val="21"/>
          <w:u w:val="single"/>
        </w:rPr>
        <w:t>0</w:t>
      </w:r>
      <w:r>
        <w:rPr>
          <w:rFonts w:hint="eastAsia"/>
          <w:bCs/>
          <w:szCs w:val="21"/>
          <w:u w:val="single"/>
        </w:rPr>
        <w:t>%</w:t>
      </w:r>
      <w:r>
        <w:rPr>
          <w:bCs/>
          <w:szCs w:val="21"/>
          <w:u w:val="single"/>
        </w:rPr>
        <w:t>支付</w:t>
      </w:r>
      <w:r>
        <w:rPr>
          <w:rFonts w:hint="eastAsia"/>
          <w:bCs/>
          <w:szCs w:val="21"/>
          <w:u w:val="single"/>
        </w:rPr>
        <w:t>，</w:t>
      </w:r>
      <w:r>
        <w:rPr>
          <w:bCs/>
          <w:szCs w:val="21"/>
          <w:u w:val="single"/>
        </w:rPr>
        <w:t>即预付款</w:t>
      </w:r>
      <w:r>
        <w:rPr>
          <w:rFonts w:hint="eastAsia"/>
          <w:bCs/>
          <w:szCs w:val="21"/>
          <w:u w:val="single"/>
        </w:rPr>
        <w:t>为：</w:t>
      </w:r>
      <w:r>
        <w:rPr>
          <w:rFonts w:ascii="Arial" w:hAnsi="Arial" w:cs="Arial"/>
          <w:szCs w:val="21"/>
          <w:u w:val="single"/>
        </w:rPr>
        <w:t>¥</w:t>
      </w:r>
      <w:r>
        <w:rPr>
          <w:rFonts w:hint="eastAsia"/>
          <w:bCs/>
          <w:szCs w:val="21"/>
          <w:u w:val="single"/>
        </w:rPr>
        <w:t xml:space="preserve">   元（大写：人民币    ）。</w:t>
      </w:r>
    </w:p>
    <w:p>
      <w:pPr>
        <w:ind w:firstLine="420" w:firstLineChars="200"/>
        <w:rPr>
          <w:rFonts w:hint="eastAsia" w:eastAsia="宋体"/>
          <w:lang w:eastAsia="zh-CN"/>
        </w:rPr>
      </w:pPr>
      <w:r>
        <w:rPr>
          <w:rFonts w:hint="eastAsia"/>
          <w:szCs w:val="21"/>
        </w:rPr>
        <w:t>14.3.</w:t>
      </w:r>
      <w:r>
        <w:rPr>
          <w:rFonts w:hint="eastAsia"/>
          <w:szCs w:val="21"/>
          <w:lang w:val="en-US" w:eastAsia="zh-CN"/>
        </w:rPr>
        <w:t>2</w:t>
      </w:r>
      <w:r>
        <w:rPr>
          <w:rFonts w:hint="eastAsia"/>
          <w:szCs w:val="21"/>
        </w:rPr>
        <w:t>预付款</w:t>
      </w:r>
      <w:r>
        <w:rPr>
          <w:rFonts w:hint="eastAsia"/>
          <w:szCs w:val="21"/>
          <w:lang w:eastAsia="zh-CN"/>
        </w:rPr>
        <w:t>支付</w:t>
      </w:r>
    </w:p>
    <w:permEnd w:id="16"/>
    <w:p>
      <w:pPr>
        <w:spacing w:line="360" w:lineRule="auto"/>
        <w:ind w:firstLine="420" w:firstLineChars="200"/>
        <w:rPr>
          <w:rFonts w:hint="eastAsia" w:eastAsia="宋体"/>
          <w:szCs w:val="21"/>
          <w:lang w:eastAsia="zh-CN"/>
        </w:rPr>
      </w:pPr>
      <w:r>
        <w:rPr>
          <w:rFonts w:hint="eastAsia"/>
          <w:szCs w:val="21"/>
        </w:rPr>
        <w:t>（1）</w:t>
      </w:r>
      <w:r>
        <w:rPr>
          <w:rFonts w:hint="eastAsia"/>
          <w:szCs w:val="21"/>
          <w:lang w:eastAsia="zh-CN"/>
        </w:rPr>
        <w:t>本项目无需承包人提交预付款保函</w:t>
      </w:r>
    </w:p>
    <w:p>
      <w:pPr>
        <w:spacing w:line="360" w:lineRule="auto"/>
        <w:ind w:left="420"/>
        <w:rPr>
          <w:szCs w:val="21"/>
        </w:rPr>
      </w:pPr>
      <w:r>
        <w:rPr>
          <w:rFonts w:hint="eastAsia"/>
          <w:szCs w:val="21"/>
        </w:rPr>
        <w:t>（2）承包人向发包人提供等额的增值税发票。</w:t>
      </w:r>
    </w:p>
    <w:p>
      <w:pPr>
        <w:spacing w:line="360" w:lineRule="auto"/>
        <w:ind w:firstLine="420" w:firstLineChars="200"/>
        <w:rPr>
          <w:szCs w:val="21"/>
        </w:rPr>
      </w:pPr>
      <w:r>
        <w:rPr>
          <w:rFonts w:hint="eastAsia"/>
          <w:szCs w:val="21"/>
        </w:rPr>
        <w:t>（3）承包人为联合体的，由发包人按合同协议书的约定，向承包人支付相应的合同款项。</w:t>
      </w:r>
    </w:p>
    <w:p>
      <w:pPr>
        <w:spacing w:line="360" w:lineRule="auto"/>
        <w:ind w:firstLine="420" w:firstLineChars="200"/>
        <w:rPr>
          <w:szCs w:val="21"/>
        </w:rPr>
      </w:pPr>
      <w:r>
        <w:rPr>
          <w:rFonts w:hint="eastAsia"/>
          <w:szCs w:val="21"/>
        </w:rPr>
        <w:t>14.3.3预付款抵扣</w:t>
      </w:r>
    </w:p>
    <w:p>
      <w:pPr>
        <w:pStyle w:val="19"/>
        <w:spacing w:line="360" w:lineRule="auto"/>
        <w:ind w:firstLine="420" w:firstLineChars="200"/>
        <w:rPr>
          <w:rFonts w:hAnsi="宋体" w:cs="宋体"/>
          <w:szCs w:val="21"/>
        </w:rPr>
      </w:pPr>
      <w:r>
        <w:rPr>
          <w:rFonts w:hint="eastAsia" w:hAnsi="宋体"/>
          <w:szCs w:val="21"/>
        </w:rPr>
        <w:t>预付款的抵扣方式、抵扣比例和抵扣时间安排：</w:t>
      </w:r>
      <w:r>
        <w:rPr>
          <w:rFonts w:hint="eastAsia" w:hAnsi="宋体" w:cs="宋体"/>
          <w:szCs w:val="21"/>
        </w:rPr>
        <w:t>预付款应从每支付期应支付给承包人的工程进度款中扣回。</w:t>
      </w:r>
    </w:p>
    <w:p>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预付款按如下方式扣回：</w:t>
      </w:r>
    </w:p>
    <w:p>
      <w:pPr>
        <w:spacing w:after="156" w:afterLines="50"/>
        <w:rPr>
          <w:rFonts w:ascii="宋体" w:hAnsi="宋体"/>
          <w:bCs/>
          <w:szCs w:val="21"/>
        </w:rPr>
      </w:pPr>
      <w:r>
        <w:rPr>
          <w:rFonts w:hint="eastAsia" w:ascii="宋体" w:hAnsi="宋体" w:cs="宋体"/>
          <w:kern w:val="0"/>
          <w:szCs w:val="21"/>
        </w:rPr>
        <w:t xml:space="preserve">   </w:t>
      </w:r>
      <w:r>
        <w:rPr>
          <w:rFonts w:hint="eastAsia" w:hAnsi="宋体" w:cs="宋体"/>
          <w:color w:val="auto"/>
          <w:szCs w:val="21"/>
          <w:highlight w:val="none"/>
          <w:lang w:eastAsia="zh-CN"/>
        </w:rPr>
        <w:t>累计支付（含当次申请）</w:t>
      </w:r>
      <w:r>
        <w:rPr>
          <w:rFonts w:hint="eastAsia" w:hAnsi="宋体" w:cs="宋体"/>
          <w:color w:val="auto"/>
          <w:szCs w:val="21"/>
          <w:highlight w:val="none"/>
        </w:rPr>
        <w:t>超过合同价的50%时</w:t>
      </w:r>
      <w:r>
        <w:rPr>
          <w:rFonts w:hint="eastAsia" w:hAnsi="宋体" w:cs="宋体"/>
          <w:color w:val="auto"/>
          <w:szCs w:val="21"/>
          <w:highlight w:val="none"/>
          <w:lang w:eastAsia="zh-CN"/>
        </w:rPr>
        <w:t>，</w:t>
      </w:r>
      <w:r>
        <w:rPr>
          <w:rFonts w:hint="eastAsia" w:hAnsi="宋体" w:cs="宋体"/>
          <w:color w:val="auto"/>
          <w:szCs w:val="21"/>
          <w:highlight w:val="none"/>
        </w:rPr>
        <w:t>一次性扣回预付款，扣回的金额为已支付的预付款金额。</w:t>
      </w:r>
    </w:p>
    <w:p>
      <w:pPr>
        <w:pStyle w:val="4"/>
        <w:spacing w:before="156" w:after="156"/>
      </w:pPr>
      <w:r>
        <w:rPr>
          <w:rFonts w:hint="eastAsia"/>
        </w:rPr>
        <w:t>14.4  进度款</w:t>
      </w:r>
    </w:p>
    <w:p>
      <w:pPr>
        <w:spacing w:before="156" w:beforeLines="50" w:after="156" w:afterLines="50" w:line="360" w:lineRule="auto"/>
        <w:ind w:firstLine="420" w:firstLineChars="200"/>
        <w:rPr>
          <w:bCs/>
          <w:szCs w:val="21"/>
        </w:rPr>
      </w:pPr>
      <w:r>
        <w:rPr>
          <w:rFonts w:hint="eastAsia"/>
          <w:bCs/>
          <w:szCs w:val="21"/>
        </w:rPr>
        <w:t>根据合同中明确款项由发包人直接支付给承包人，发票开往发包人。</w:t>
      </w:r>
    </w:p>
    <w:p>
      <w:pPr>
        <w:spacing w:before="156" w:beforeLines="50" w:after="156" w:afterLines="50" w:line="360" w:lineRule="auto"/>
        <w:ind w:firstLine="420" w:firstLineChars="200"/>
        <w:rPr>
          <w:b/>
          <w:szCs w:val="21"/>
        </w:rPr>
      </w:pPr>
      <w:r>
        <w:rPr>
          <w:rFonts w:hint="eastAsia"/>
          <w:b/>
          <w:szCs w:val="21"/>
        </w:rPr>
        <w:t>14.4.1设计费进度款的支付方式、支付条件和支付时间：</w:t>
      </w:r>
    </w:p>
    <w:p>
      <w:pPr>
        <w:spacing w:before="156" w:beforeLines="50" w:after="156" w:afterLines="50" w:line="360" w:lineRule="auto"/>
        <w:ind w:firstLine="420" w:firstLineChars="200"/>
        <w:rPr>
          <w:bCs/>
          <w:szCs w:val="21"/>
        </w:rPr>
      </w:pPr>
      <w:r>
        <w:rPr>
          <w:rFonts w:hint="eastAsia"/>
          <w:bCs/>
          <w:szCs w:val="21"/>
        </w:rPr>
        <w:t>（1）施工图设计及预算编制完成后，支付至合同价的40%；</w:t>
      </w:r>
    </w:p>
    <w:p>
      <w:pPr>
        <w:pStyle w:val="2"/>
        <w:spacing w:before="156" w:after="156"/>
        <w:ind w:firstLine="412"/>
        <w:rPr>
          <w:b w:val="0"/>
          <w:bCs/>
        </w:rPr>
      </w:pPr>
      <w:r>
        <w:rPr>
          <w:rFonts w:hint="eastAsia"/>
          <w:b w:val="0"/>
          <w:bCs/>
        </w:rPr>
        <w:t>（</w:t>
      </w:r>
      <w:r>
        <w:rPr>
          <w:b w:val="0"/>
          <w:bCs/>
        </w:rPr>
        <w:t>2</w:t>
      </w:r>
      <w:r>
        <w:rPr>
          <w:rFonts w:hint="eastAsia"/>
          <w:b w:val="0"/>
          <w:bCs/>
        </w:rPr>
        <w:t>）施工图审查完成，施工图、预算修改完成后，累计支付至合同价的</w:t>
      </w:r>
      <w:r>
        <w:rPr>
          <w:b w:val="0"/>
          <w:bCs/>
        </w:rPr>
        <w:t>70%</w:t>
      </w:r>
      <w:r>
        <w:rPr>
          <w:rFonts w:hint="eastAsia"/>
          <w:b w:val="0"/>
          <w:bCs/>
        </w:rPr>
        <w:t>；</w:t>
      </w:r>
    </w:p>
    <w:p>
      <w:pPr>
        <w:ind w:firstLine="420" w:firstLineChars="200"/>
      </w:pPr>
      <w:r>
        <w:rPr>
          <w:rFonts w:hint="eastAsia"/>
          <w:bCs/>
          <w:szCs w:val="21"/>
        </w:rPr>
        <w:t>（</w:t>
      </w:r>
      <w:r>
        <w:rPr>
          <w:bCs/>
          <w:szCs w:val="21"/>
        </w:rPr>
        <w:t>3</w:t>
      </w:r>
      <w:r>
        <w:rPr>
          <w:rFonts w:hint="eastAsia"/>
          <w:bCs/>
          <w:szCs w:val="21"/>
        </w:rPr>
        <w:t>）工程完工及设计变更完成后，累计支付至合同价的</w:t>
      </w:r>
      <w:r>
        <w:rPr>
          <w:bCs/>
          <w:szCs w:val="21"/>
        </w:rPr>
        <w:t>80%</w:t>
      </w:r>
      <w:r>
        <w:rPr>
          <w:rFonts w:hint="eastAsia"/>
          <w:bCs/>
          <w:szCs w:val="21"/>
        </w:rPr>
        <w:t>；</w:t>
      </w:r>
    </w:p>
    <w:p>
      <w:pPr>
        <w:spacing w:before="156" w:beforeLines="50" w:after="156" w:afterLines="50" w:line="360" w:lineRule="auto"/>
        <w:ind w:firstLine="420" w:firstLineChars="200"/>
        <w:rPr>
          <w:bCs/>
          <w:szCs w:val="21"/>
        </w:rPr>
      </w:pPr>
      <w:r>
        <w:rPr>
          <w:rFonts w:hint="eastAsia"/>
          <w:bCs/>
          <w:szCs w:val="21"/>
        </w:rPr>
        <w:t>（</w:t>
      </w:r>
      <w:r>
        <w:rPr>
          <w:bCs/>
          <w:szCs w:val="21"/>
        </w:rPr>
        <w:t>4</w:t>
      </w:r>
      <w:r>
        <w:rPr>
          <w:rFonts w:hint="eastAsia"/>
          <w:bCs/>
          <w:szCs w:val="21"/>
        </w:rPr>
        <w:t>）工程结算评审完成后，累计支付至审定设计费的</w:t>
      </w:r>
      <w:r>
        <w:rPr>
          <w:bCs/>
          <w:szCs w:val="21"/>
        </w:rPr>
        <w:t>100%</w:t>
      </w:r>
      <w:r>
        <w:rPr>
          <w:rFonts w:hint="eastAsia"/>
          <w:bCs/>
          <w:szCs w:val="21"/>
        </w:rPr>
        <w:t>。</w:t>
      </w:r>
    </w:p>
    <w:p>
      <w:pPr>
        <w:spacing w:line="360" w:lineRule="auto"/>
        <w:ind w:firstLine="420"/>
        <w:rPr>
          <w:szCs w:val="21"/>
        </w:rPr>
      </w:pPr>
      <w:r>
        <w:rPr>
          <w:rFonts w:hint="eastAsia"/>
          <w:b/>
          <w:szCs w:val="21"/>
        </w:rPr>
        <w:t>14.4.2施工工程进度款的支付方式、支付条件和支付时间：</w:t>
      </w:r>
      <w:bookmarkStart w:id="74" w:name="_Toc296503211"/>
      <w:bookmarkStart w:id="75" w:name="_Toc296347210"/>
      <w:bookmarkStart w:id="76" w:name="_Toc296891251"/>
      <w:bookmarkStart w:id="77" w:name="_Toc296346712"/>
      <w:bookmarkStart w:id="78" w:name="_Toc292559921"/>
      <w:bookmarkStart w:id="79" w:name="_Toc296944550"/>
      <w:bookmarkStart w:id="80" w:name="_Toc303539163"/>
      <w:bookmarkStart w:id="81" w:name="_Toc300935006"/>
      <w:bookmarkStart w:id="82" w:name="_Toc297216215"/>
      <w:bookmarkStart w:id="83" w:name="_Toc296891039"/>
      <w:bookmarkStart w:id="84" w:name="_Toc292559416"/>
      <w:bookmarkStart w:id="85" w:name="_Toc297120511"/>
      <w:bookmarkStart w:id="86" w:name="_Toc297123556"/>
      <w:bookmarkStart w:id="87" w:name="_Toc297048397"/>
    </w:p>
    <w:bookmarkEnd w:id="74"/>
    <w:bookmarkEnd w:id="75"/>
    <w:bookmarkEnd w:id="76"/>
    <w:bookmarkEnd w:id="77"/>
    <w:bookmarkEnd w:id="78"/>
    <w:bookmarkEnd w:id="79"/>
    <w:bookmarkEnd w:id="80"/>
    <w:bookmarkEnd w:id="81"/>
    <w:bookmarkEnd w:id="82"/>
    <w:bookmarkEnd w:id="83"/>
    <w:bookmarkEnd w:id="84"/>
    <w:bookmarkEnd w:id="85"/>
    <w:bookmarkEnd w:id="86"/>
    <w:bookmarkEnd w:id="87"/>
    <w:p>
      <w:pPr>
        <w:snapToGrid w:val="0"/>
        <w:spacing w:line="360" w:lineRule="auto"/>
        <w:ind w:firstLine="420" w:firstLineChars="200"/>
        <w:rPr>
          <w:szCs w:val="21"/>
        </w:rPr>
      </w:pPr>
      <w:r>
        <w:rPr>
          <w:rFonts w:hint="eastAsia"/>
          <w:szCs w:val="21"/>
        </w:rPr>
        <w:t>进度款支付方式：</w:t>
      </w:r>
    </w:p>
    <w:p>
      <w:pPr>
        <w:snapToGrid w:val="0"/>
        <w:spacing w:line="360" w:lineRule="auto"/>
        <w:ind w:firstLine="420" w:firstLineChars="200"/>
        <w:rPr>
          <w:rFonts w:ascii="宋体" w:hAnsi="宋体"/>
          <w:szCs w:val="21"/>
        </w:rPr>
      </w:pPr>
      <w:r>
        <w:rPr>
          <w:rFonts w:hint="eastAsia" w:ascii="宋体" w:hAnsi="宋体"/>
          <w:szCs w:val="21"/>
        </w:rPr>
        <w:t>(1)中标总价仅为暂定合同价，中标总价不作为竣工结算的依据，在预算编制完成前可作为拨付工程进度款的依据。</w:t>
      </w:r>
    </w:p>
    <w:p>
      <w:pPr>
        <w:snapToGrid w:val="0"/>
        <w:spacing w:line="360" w:lineRule="auto"/>
        <w:ind w:firstLine="420" w:firstLineChars="200"/>
        <w:rPr>
          <w:szCs w:val="21"/>
        </w:rPr>
      </w:pPr>
      <w:r>
        <w:rPr>
          <w:rFonts w:ascii="宋体" w:hAnsi="宋体"/>
          <w:szCs w:val="21"/>
        </w:rPr>
        <w:t>(2)施工图预算综合单价以承包人投标工程量清单中的综合单</w:t>
      </w:r>
      <w:r>
        <w:rPr>
          <w:rFonts w:hint="eastAsia" w:ascii="宋体" w:hAnsi="宋体"/>
          <w:szCs w:val="21"/>
          <w:lang w:eastAsia="zh-CN"/>
        </w:rPr>
        <w:t>价</w:t>
      </w:r>
      <w:r>
        <w:rPr>
          <w:rFonts w:ascii="宋体" w:hAnsi="宋体"/>
          <w:szCs w:val="21"/>
        </w:rPr>
        <w:t>为准，</w:t>
      </w:r>
      <w:r>
        <w:rPr>
          <w:rFonts w:hint="eastAsia"/>
          <w:szCs w:val="21"/>
        </w:rPr>
        <w:t>若投标工程量清单中没有相同项目或类似项目的，其新增项目综合单价根据现行定额，包括但不限于：《广东省建筑与装饰工程综合定额（2018年）》、《广东省安装工程综合定额（2018年）》、《广东省市政工程综合定额（2018年）》及相关计价文件编制确定。材料价格按广州市造价管理站同期（</w:t>
      </w:r>
      <w:r>
        <w:rPr>
          <w:rFonts w:hint="eastAsia"/>
          <w:szCs w:val="21"/>
          <w:lang w:eastAsia="zh-CN"/>
        </w:rPr>
        <w:t>以本项目概算审核报告写明的采用材料价月份为准</w:t>
      </w:r>
      <w:r>
        <w:rPr>
          <w:rFonts w:hint="eastAsia"/>
          <w:szCs w:val="21"/>
        </w:rPr>
        <w:t>）《广州地区建设工程常用材料税前综合价格》予以调整，《广州地区建设工程常用材料税前综合价格》没有的材料单价，则参考同期（以本项目概算审核报告写明的采用材料价月份为准）该材料的市场价格，并结合承包人中标下浮率计算。</w:t>
      </w:r>
    </w:p>
    <w:p>
      <w:pPr>
        <w:snapToGrid w:val="0"/>
        <w:spacing w:line="360" w:lineRule="auto"/>
        <w:ind w:firstLine="420" w:firstLineChars="200"/>
        <w:rPr>
          <w:rFonts w:ascii="宋体" w:hAnsi="宋体"/>
          <w:szCs w:val="21"/>
          <w:highlight w:val="yellow"/>
        </w:rPr>
      </w:pPr>
      <w:r>
        <w:rPr>
          <w:rFonts w:hint="eastAsia"/>
          <w:szCs w:val="21"/>
        </w:rPr>
        <w:t>（3）在施工图预算编制完成后，作为拨付工程进度款及结算的依据。</w:t>
      </w:r>
    </w:p>
    <w:p>
      <w:pPr>
        <w:pStyle w:val="131"/>
        <w:snapToGrid w:val="0"/>
        <w:spacing w:line="360" w:lineRule="auto"/>
        <w:ind w:firstLine="465"/>
        <w:rPr>
          <w:rFonts w:hint="eastAsia" w:ascii="宋体" w:hAnsi="宋体"/>
          <w:szCs w:val="21"/>
        </w:rPr>
      </w:pPr>
      <w:r>
        <w:rPr>
          <w:rFonts w:hint="eastAsia" w:ascii="宋体" w:hAnsi="宋体"/>
          <w:szCs w:val="21"/>
        </w:rPr>
        <w:t>(</w:t>
      </w:r>
      <w:r>
        <w:rPr>
          <w:rFonts w:hint="eastAsia" w:ascii="宋体" w:hAnsi="宋体"/>
          <w:szCs w:val="21"/>
          <w:lang w:val="en-US" w:eastAsia="zh-CN"/>
        </w:rPr>
        <w:t>4</w:t>
      </w:r>
      <w:r>
        <w:rPr>
          <w:rFonts w:hint="eastAsia" w:ascii="宋体" w:hAnsi="宋体"/>
          <w:szCs w:val="21"/>
        </w:rPr>
        <w:t>)工程款按进度支付，预算完成前，以评审概算作为拨付进度款的依据，预算完成后，以预算作为拨付进度款的依据。</w:t>
      </w:r>
    </w:p>
    <w:p>
      <w:pPr>
        <w:pStyle w:val="131"/>
        <w:snapToGrid w:val="0"/>
        <w:spacing w:line="360" w:lineRule="auto"/>
        <w:ind w:firstLine="465"/>
        <w:rPr>
          <w:rFonts w:hint="eastAsia"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 工程款及设备采购款按月度计量当月完成实体工程对应造价的80%进行支付，工程完工验收后，发包人最多累计支付工程进度款至合同价的80%。完成结算送审后（完成结算送审以财政部门的受理回执为准），按已完成工作量的85%支付，发包人最多累计支付工程进度款至合同价的85%，经工程结算评审后发包人支付工程进度款累计至工程结算评审价的97%，余下3%作为质量保证金，在工程缺陷责任期达到2年后支付。</w:t>
      </w:r>
    </w:p>
    <w:p>
      <w:pPr>
        <w:pStyle w:val="131"/>
        <w:snapToGrid w:val="0"/>
        <w:spacing w:line="360" w:lineRule="auto"/>
        <w:ind w:firstLine="465"/>
        <w:rPr>
          <w:rFonts w:ascii="宋体" w:hAnsi="宋体"/>
          <w:szCs w:val="21"/>
        </w:rPr>
      </w:pPr>
      <w:r>
        <w:rPr>
          <w:rFonts w:hint="eastAsia" w:ascii="宋体" w:hAnsi="宋体"/>
          <w:szCs w:val="21"/>
        </w:rPr>
        <w:t>支付方式为：转帐支票。</w:t>
      </w:r>
    </w:p>
    <w:p>
      <w:pPr>
        <w:spacing w:line="360" w:lineRule="auto"/>
        <w:ind w:firstLine="420" w:firstLineChars="200"/>
        <w:rPr>
          <w:szCs w:val="21"/>
        </w:rPr>
      </w:pPr>
      <w:r>
        <w:rPr>
          <w:rFonts w:hint="eastAsia"/>
          <w:szCs w:val="21"/>
        </w:rPr>
        <w:t>14.4.4其他付款事项</w:t>
      </w:r>
    </w:p>
    <w:p>
      <w:pPr>
        <w:spacing w:line="360" w:lineRule="auto"/>
        <w:ind w:firstLine="420" w:firstLineChars="200"/>
        <w:rPr>
          <w:szCs w:val="21"/>
        </w:rPr>
      </w:pPr>
      <w:r>
        <w:rPr>
          <w:rFonts w:hint="eastAsia"/>
          <w:szCs w:val="21"/>
        </w:rPr>
        <w:t>每次付款，由联合体向发包人开具合格的等额增值税发票。</w:t>
      </w:r>
    </w:p>
    <w:p>
      <w:pPr>
        <w:pStyle w:val="4"/>
        <w:spacing w:before="156" w:after="156"/>
      </w:pPr>
      <w:r>
        <w:rPr>
          <w:rFonts w:hint="eastAsia"/>
        </w:rPr>
        <w:t>14.5  质量保修金额</w:t>
      </w:r>
    </w:p>
    <w:p>
      <w:pPr>
        <w:spacing w:line="360" w:lineRule="auto"/>
        <w:ind w:firstLine="420" w:firstLineChars="200"/>
        <w:rPr>
          <w:szCs w:val="21"/>
        </w:rPr>
      </w:pPr>
      <w:r>
        <w:rPr>
          <w:szCs w:val="21"/>
        </w:rPr>
        <w:t>14.</w:t>
      </w:r>
      <w:r>
        <w:rPr>
          <w:rFonts w:hint="eastAsia"/>
          <w:szCs w:val="21"/>
        </w:rPr>
        <w:t>5.2</w:t>
      </w:r>
      <w:r>
        <w:rPr>
          <w:szCs w:val="21"/>
        </w:rPr>
        <w:t>质量保修金额的支付</w:t>
      </w:r>
    </w:p>
    <w:p>
      <w:pPr>
        <w:spacing w:line="360" w:lineRule="auto"/>
        <w:ind w:firstLine="420" w:firstLineChars="200"/>
        <w:rPr>
          <w:szCs w:val="21"/>
        </w:rPr>
      </w:pPr>
      <w:r>
        <w:rPr>
          <w:rFonts w:hint="eastAsia"/>
          <w:szCs w:val="21"/>
        </w:rPr>
        <w:t>质量保修金保证金的金额和时间：</w:t>
      </w:r>
      <w:r>
        <w:rPr>
          <w:rFonts w:hint="eastAsia"/>
          <w:b/>
          <w:szCs w:val="21"/>
          <w:u w:val="single"/>
        </w:rPr>
        <w:t>详见本合同专用条款第14.4.3条。</w:t>
      </w:r>
    </w:p>
    <w:p>
      <w:pPr>
        <w:pStyle w:val="4"/>
        <w:spacing w:before="156" w:after="156"/>
      </w:pPr>
      <w:r>
        <w:t>14.</w:t>
      </w:r>
      <w:r>
        <w:rPr>
          <w:rFonts w:hint="eastAsia"/>
        </w:rPr>
        <w:t>6  按月工程进度申请付款</w:t>
      </w:r>
    </w:p>
    <w:p>
      <w:pPr>
        <w:spacing w:before="156" w:beforeLines="50" w:after="156" w:afterLines="50" w:line="360" w:lineRule="auto"/>
        <w:ind w:firstLine="420" w:firstLineChars="200"/>
        <w:rPr>
          <w:szCs w:val="21"/>
          <w:u w:val="single"/>
        </w:rPr>
      </w:pPr>
      <w:r>
        <w:rPr>
          <w:rFonts w:hint="eastAsia"/>
          <w:szCs w:val="21"/>
        </w:rPr>
        <w:t>按月付款申请报告的格式、内容、份数和提交时间：</w:t>
      </w:r>
      <w:r>
        <w:rPr>
          <w:rFonts w:hint="eastAsia"/>
          <w:szCs w:val="21"/>
          <w:u w:val="single"/>
        </w:rPr>
        <w:t>另行约定</w:t>
      </w:r>
    </w:p>
    <w:p>
      <w:pPr>
        <w:pStyle w:val="4"/>
        <w:spacing w:before="156" w:after="156"/>
      </w:pPr>
      <w:r>
        <w:t>14.</w:t>
      </w:r>
      <w:r>
        <w:rPr>
          <w:rFonts w:hint="eastAsia"/>
        </w:rPr>
        <w:t>7  按付款计划表申请付款</w:t>
      </w:r>
    </w:p>
    <w:p>
      <w:pPr>
        <w:spacing w:line="360" w:lineRule="auto"/>
        <w:ind w:firstLine="420" w:firstLineChars="200"/>
        <w:rPr>
          <w:szCs w:val="21"/>
          <w:u w:val="single"/>
        </w:rPr>
      </w:pPr>
      <w:r>
        <w:rPr>
          <w:rFonts w:hint="eastAsia"/>
          <w:szCs w:val="21"/>
        </w:rPr>
        <w:t>付款期数、每期付款金额、每期需达到的主要计划形象进度和主要计划工程量进度</w:t>
      </w:r>
      <w:r>
        <w:rPr>
          <w:rFonts w:hint="eastAsia"/>
          <w:szCs w:val="21"/>
          <w:u w:val="single"/>
        </w:rPr>
        <w:t>：另行约定</w:t>
      </w:r>
    </w:p>
    <w:p>
      <w:pPr>
        <w:spacing w:line="360" w:lineRule="auto"/>
        <w:ind w:firstLine="420" w:firstLineChars="200"/>
        <w:rPr>
          <w:szCs w:val="21"/>
          <w:u w:val="single"/>
        </w:rPr>
      </w:pPr>
      <w:r>
        <w:rPr>
          <w:rFonts w:hint="eastAsia"/>
          <w:szCs w:val="21"/>
        </w:rPr>
        <w:t>付款申请报告的格式、内容、份数和提交时间：</w:t>
      </w:r>
      <w:r>
        <w:rPr>
          <w:rFonts w:hint="eastAsia"/>
          <w:szCs w:val="21"/>
          <w:u w:val="single"/>
        </w:rPr>
        <w:t>另行约定</w:t>
      </w:r>
    </w:p>
    <w:p>
      <w:pPr>
        <w:pStyle w:val="4"/>
        <w:spacing w:before="156" w:after="156"/>
      </w:pPr>
      <w:r>
        <w:rPr>
          <w:rFonts w:hint="eastAsia"/>
        </w:rPr>
        <w:t>14.12 竣工结算</w:t>
      </w:r>
    </w:p>
    <w:p>
      <w:pPr>
        <w:spacing w:line="360" w:lineRule="auto"/>
        <w:ind w:firstLine="420" w:firstLineChars="200"/>
        <w:rPr>
          <w:szCs w:val="21"/>
        </w:rPr>
      </w:pPr>
      <w:r>
        <w:rPr>
          <w:szCs w:val="21"/>
        </w:rPr>
        <w:t>14.12.1提交竣工结算资料。</w:t>
      </w:r>
    </w:p>
    <w:p>
      <w:pPr>
        <w:spacing w:line="360" w:lineRule="auto"/>
        <w:ind w:firstLine="420" w:firstLineChars="200"/>
        <w:rPr>
          <w:szCs w:val="21"/>
        </w:rPr>
      </w:pPr>
      <w:r>
        <w:rPr>
          <w:szCs w:val="21"/>
        </w:rPr>
        <w:t>根据12.1款的</w:t>
      </w:r>
      <w:r>
        <w:rPr>
          <w:rFonts w:hint="eastAsia"/>
          <w:szCs w:val="21"/>
        </w:rPr>
        <w:t>约定</w:t>
      </w:r>
      <w:r>
        <w:rPr>
          <w:szCs w:val="21"/>
        </w:rPr>
        <w:t>，承包人提交的</w:t>
      </w:r>
      <w:r>
        <w:rPr>
          <w:rFonts w:hint="eastAsia"/>
          <w:szCs w:val="21"/>
        </w:rPr>
        <w:t>竣工验收报告和完整的</w:t>
      </w:r>
      <w:r>
        <w:rPr>
          <w:szCs w:val="21"/>
        </w:rPr>
        <w:t>竣工资料被发包人认可后的30</w:t>
      </w:r>
      <w:r>
        <w:rPr>
          <w:rFonts w:hint="eastAsia"/>
          <w:szCs w:val="21"/>
        </w:rPr>
        <w:t>日</w:t>
      </w:r>
      <w:r>
        <w:rPr>
          <w:szCs w:val="21"/>
        </w:rPr>
        <w:t>内，承包人向发包人递交竣工结算报告和完整的竣工结算资料。</w:t>
      </w:r>
      <w:r>
        <w:rPr>
          <w:rFonts w:hint="eastAsia"/>
          <w:szCs w:val="21"/>
        </w:rPr>
        <w:t>竣工结算资料应按以下要求编制、组卷：</w:t>
      </w:r>
    </w:p>
    <w:p>
      <w:pPr>
        <w:spacing w:line="360" w:lineRule="auto"/>
        <w:ind w:firstLine="420" w:firstLineChars="200"/>
        <w:rPr>
          <w:szCs w:val="21"/>
        </w:rPr>
      </w:pPr>
      <w:r>
        <w:rPr>
          <w:rFonts w:hint="eastAsia"/>
          <w:szCs w:val="21"/>
        </w:rPr>
        <w:t>① 竣工结算资料一式两套，有关竣工结算文件的编制和审核均须经承包人签字及盖章确认。</w:t>
      </w:r>
    </w:p>
    <w:p>
      <w:pPr>
        <w:spacing w:line="360" w:lineRule="auto"/>
        <w:ind w:firstLine="420" w:firstLineChars="200"/>
        <w:rPr>
          <w:szCs w:val="21"/>
        </w:rPr>
      </w:pPr>
      <w:r>
        <w:rPr>
          <w:rFonts w:hint="eastAsia"/>
          <w:szCs w:val="21"/>
        </w:rPr>
        <w:t>②工程结算书及电子文件：要求分两部分编制：第一部分是以竣工图为依据编制部分,包括图纸会审记录、设计变更、监理工程师通知或发包人施工指令等；第二部分以现场签证、工程洽商记录以及其它有关费用为依据编制部分。上述两部分不应有重复列项的内容，用电脑编制的结算书要求提供相应的电子版本并注明使用软件。必须使用清单计价，并严格按照清单规范编制。 </w:t>
      </w:r>
      <w:r>
        <w:rPr>
          <w:rFonts w:hint="eastAsia"/>
          <w:szCs w:val="21"/>
        </w:rPr>
        <w:br w:type="textWrapping"/>
      </w:r>
      <w:r>
        <w:rPr>
          <w:rFonts w:hint="eastAsia"/>
          <w:szCs w:val="21"/>
        </w:rPr>
        <w:t xml:space="preserve">    ③合同文件：包括发包人与承包人签订的工程承发包合同、经发包人确认的承包人与第三方签订的分包合同、各类补充合同、合同附件等，要求将上述合同文件列出总目录按顺序整理装订成册。       </w:t>
      </w:r>
    </w:p>
    <w:p>
      <w:pPr>
        <w:spacing w:line="360" w:lineRule="auto"/>
        <w:ind w:firstLine="420" w:firstLineChars="200"/>
        <w:rPr>
          <w:szCs w:val="21"/>
        </w:rPr>
      </w:pPr>
      <w:r>
        <w:rPr>
          <w:rFonts w:hint="eastAsia"/>
          <w:szCs w:val="21"/>
        </w:rPr>
        <w:t>④工程竣工图纸：竣工图必须有施工单位竣工图专用章及其相关人员签字。经发包人、设计、监理等单位确认的图纸会审记录、设计变更、监理工程师通知或发包人施工指令等内容均应反映在相应的竣工图上。对未在竣工图上反映的图纸会审记录、设计变更等内容，其费用在结算时发包人有权不予考虑；对未在竣工图纸上反映的事实变更，结算时发包人有权作出调整。</w:t>
      </w:r>
      <w:r>
        <w:rPr>
          <w:rFonts w:hint="eastAsia"/>
          <w:szCs w:val="21"/>
        </w:rPr>
        <w:br w:type="textWrapping"/>
      </w:r>
      <w:r>
        <w:rPr>
          <w:rFonts w:hint="eastAsia"/>
          <w:szCs w:val="21"/>
        </w:rPr>
        <w:t xml:space="preserve">    ⑤招标文件(含工程量清单)、招标答疑等文件：包括招标图纸、招标文件所附合同条款和技术规范、投标须知、招标澄清、招标答疑纪要、工程量清单等整套招标文件及其附件。</w:t>
      </w:r>
      <w:r>
        <w:rPr>
          <w:rFonts w:hint="eastAsia"/>
          <w:szCs w:val="21"/>
        </w:rPr>
        <w:br w:type="textWrapping"/>
      </w:r>
      <w:r>
        <w:rPr>
          <w:rFonts w:hint="eastAsia"/>
          <w:szCs w:val="21"/>
        </w:rPr>
        <w:t xml:space="preserve">    ⑥ 投标文件、中标通知书：包括技术标、经济标、投标承诺书、投标补充函等所有投标文件和中标通知书。</w:t>
      </w:r>
      <w:r>
        <w:rPr>
          <w:rFonts w:hint="eastAsia"/>
          <w:szCs w:val="21"/>
        </w:rPr>
        <w:br w:type="textWrapping"/>
      </w:r>
      <w:r>
        <w:rPr>
          <w:rFonts w:hint="eastAsia"/>
          <w:szCs w:val="21"/>
        </w:rPr>
        <w:t xml:space="preserve">    ⑦ 工程量计算书、钢筋抽料表及电子版：工程量计算书应由工程量汇总表和详细的工程量计算式组成，工程量应有详细的计算表达式，施工图、图纸会审记录、设计变更、工程洽商记录、现场签证单、监理工程师通知或发包人施工指令等部分的内容应在工程量计算式中一次计算。</w:t>
      </w:r>
      <w:r>
        <w:rPr>
          <w:rFonts w:hint="eastAsia"/>
          <w:szCs w:val="21"/>
        </w:rPr>
        <w:br w:type="textWrapping"/>
      </w:r>
      <w:r>
        <w:rPr>
          <w:rFonts w:hint="eastAsia"/>
          <w:szCs w:val="21"/>
        </w:rPr>
        <w:t xml:space="preserve">    钢筋抽料表应提供详细的抽料表和明细汇总表，详细的抽料表应注明钢筋所在构件名称、施工部位、钢筋编号、图样、计算式等，明细汇总表应区分不同类型、不同构件的汇总数量。</w:t>
      </w:r>
      <w:r>
        <w:rPr>
          <w:rFonts w:hint="eastAsia"/>
          <w:szCs w:val="21"/>
        </w:rPr>
        <w:br w:type="textWrapping"/>
      </w:r>
      <w:r>
        <w:rPr>
          <w:rFonts w:hint="eastAsia"/>
          <w:szCs w:val="21"/>
        </w:rPr>
        <w:t xml:space="preserve">    ⑧ 工程设计变更文件：要求分专业，按变更的时间先后整理装订成册。设计变更审批表要求原件，审批手续完备。</w:t>
      </w:r>
      <w:r>
        <w:rPr>
          <w:rFonts w:hint="eastAsia"/>
          <w:szCs w:val="21"/>
        </w:rPr>
        <w:br w:type="textWrapping"/>
      </w:r>
      <w:r>
        <w:rPr>
          <w:rFonts w:hint="eastAsia"/>
          <w:szCs w:val="21"/>
        </w:rPr>
        <w:t xml:space="preserve">    ⑨ 工程签证文件：要求根据现场签证单的时间先后整理装订成册，现场签证单上应有工程数量的计算过程、具体部位和施工简图，审批手续完备。</w:t>
      </w:r>
    </w:p>
    <w:p>
      <w:pPr>
        <w:spacing w:line="360" w:lineRule="auto"/>
        <w:ind w:firstLine="420" w:firstLineChars="200"/>
        <w:rPr>
          <w:szCs w:val="21"/>
        </w:rPr>
      </w:pPr>
      <w:r>
        <w:rPr>
          <w:rFonts w:hint="eastAsia"/>
          <w:szCs w:val="21"/>
        </w:rPr>
        <w:t xml:space="preserve">  ⑩ 图纸会审记录：要求按图纸会审的时间先后整理装订成册，图纸会审记录须有各单位参加会审人员签字及会审单位盖章确认。</w:t>
      </w:r>
      <w:r>
        <w:rPr>
          <w:rFonts w:hint="eastAsia"/>
          <w:szCs w:val="21"/>
        </w:rPr>
        <w:br w:type="textWrapping"/>
      </w:r>
      <w:r>
        <w:rPr>
          <w:rFonts w:hint="eastAsia"/>
          <w:szCs w:val="21"/>
        </w:rPr>
        <w:t xml:space="preserve">    ⑪ 洽商记录：要求根据工程洽商记录的时间先后整理装订成册，统一编号，要有监理人和发包人相关人员的签字和单位盖章确认。</w:t>
      </w:r>
      <w:r>
        <w:rPr>
          <w:rFonts w:hint="eastAsia"/>
          <w:szCs w:val="21"/>
        </w:rPr>
        <w:br w:type="textWrapping"/>
      </w:r>
      <w:r>
        <w:rPr>
          <w:rFonts w:hint="eastAsia"/>
          <w:szCs w:val="21"/>
        </w:rPr>
        <w:t xml:space="preserve">    ⑫ 监理工程师通知或建设单位施工指令：要求根据监理工程师通知或发包人施工指令的时间先后整理装订成册，统一编号。监理工程师通知及发包人施工指令要求为原件。</w:t>
      </w:r>
      <w:r>
        <w:rPr>
          <w:rFonts w:hint="eastAsia"/>
          <w:szCs w:val="21"/>
        </w:rPr>
        <w:br w:type="textWrapping"/>
      </w:r>
      <w:r>
        <w:rPr>
          <w:rFonts w:hint="eastAsia"/>
          <w:szCs w:val="21"/>
        </w:rPr>
        <w:t xml:space="preserve">    ⑬ 会议纪要：指工程质量、安全、技术、经济等现场协调会会议纪要等。要求根据会议纪要的时间先后整理装订成册，统一编号。会议纪要要求有参与会议的各方代表签字，并有监理人和发包人盖章确认。</w:t>
      </w:r>
      <w:r>
        <w:rPr>
          <w:rFonts w:hint="eastAsia"/>
          <w:szCs w:val="21"/>
        </w:rPr>
        <w:br w:type="textWrapping"/>
      </w:r>
      <w:r>
        <w:rPr>
          <w:rFonts w:hint="eastAsia"/>
          <w:szCs w:val="21"/>
        </w:rPr>
        <w:t xml:space="preserve">    ⑭ 承包人提供材料、设备单价审核单：要求根据材料设备单价呈批审核单的编号顺序整理装订成册。每项审核单应附有相关的资料或注明相关资料在送审结算资料的具体位置，审批手续完备。</w:t>
      </w:r>
      <w:r>
        <w:rPr>
          <w:rFonts w:hint="eastAsia"/>
          <w:szCs w:val="21"/>
        </w:rPr>
        <w:br w:type="textWrapping"/>
      </w:r>
      <w:r>
        <w:rPr>
          <w:rFonts w:hint="eastAsia"/>
          <w:szCs w:val="21"/>
        </w:rPr>
        <w:t xml:space="preserve">    ⑮ 新增项目审批文件：要求分专业，按新增项目的时间先后整理装订成册。新增项目审批表要求原件，审批手续完备。</w:t>
      </w:r>
      <w:r>
        <w:rPr>
          <w:rFonts w:hint="eastAsia"/>
          <w:szCs w:val="21"/>
        </w:rPr>
        <w:br w:type="textWrapping"/>
      </w:r>
      <w:r>
        <w:rPr>
          <w:rFonts w:hint="eastAsia"/>
          <w:szCs w:val="21"/>
        </w:rPr>
        <w:t xml:space="preserve">    ⑯ 竣工资料：开工报告、工程质量验收评定证书、材料检验报告、产品质量合格证、经发包人批准的施工组织设计或施工方案、隐蔽工程验收记录、安装工程的调试方案和调试记录等。要求监理人和发包人在确认表上盖章确认。</w:t>
      </w:r>
      <w:r>
        <w:rPr>
          <w:rFonts w:hint="eastAsia"/>
          <w:szCs w:val="21"/>
        </w:rPr>
        <w:br w:type="textWrapping"/>
      </w:r>
      <w:r>
        <w:rPr>
          <w:rFonts w:hint="eastAsia"/>
          <w:szCs w:val="21"/>
        </w:rPr>
        <w:fldChar w:fldCharType="begin"/>
      </w:r>
      <w:r>
        <w:rPr>
          <w:rFonts w:hint="eastAsia"/>
          <w:szCs w:val="21"/>
        </w:rPr>
        <w:instrText xml:space="preserve"> EQ \o\ac(○,17)</w:instrText>
      </w:r>
      <w:r>
        <w:rPr>
          <w:rFonts w:hint="eastAsia"/>
          <w:szCs w:val="21"/>
        </w:rPr>
        <w:fldChar w:fldCharType="end"/>
      </w:r>
      <w:r>
        <w:rPr>
          <w:rFonts w:hint="eastAsia"/>
          <w:szCs w:val="21"/>
        </w:rPr>
        <w:t xml:space="preserve"> 其它有关结算资料：在结算审核中需要的其他资料均需提供，例如：打桩、地基处理、回填等隐蔽记录、施工日记、地质勘察报告、非常用的标准图集、应由施工单位承担而由建设单位支付的费用证明等。</w:t>
      </w:r>
    </w:p>
    <w:p>
      <w:pPr>
        <w:spacing w:line="360" w:lineRule="auto"/>
        <w:ind w:firstLine="420" w:firstLineChars="200"/>
        <w:rPr>
          <w:szCs w:val="21"/>
        </w:rPr>
      </w:pPr>
      <w:r>
        <w:rPr>
          <w:rFonts w:hint="eastAsia"/>
          <w:szCs w:val="21"/>
        </w:rPr>
        <w:t>增加：承包人按发包人要求采购材料：供应合同复印件、采购发票复印件（加盖项目部章）</w:t>
      </w:r>
    </w:p>
    <w:p>
      <w:pPr>
        <w:pStyle w:val="4"/>
        <w:spacing w:before="156" w:after="156"/>
      </w:pPr>
      <w:r>
        <w:rPr>
          <w:rFonts w:hint="eastAsia"/>
        </w:rPr>
        <w:t>14.13本工程的结算方式如下：</w:t>
      </w:r>
    </w:p>
    <w:p>
      <w:pPr>
        <w:adjustRightInd w:val="0"/>
        <w:snapToGrid w:val="0"/>
        <w:spacing w:line="360" w:lineRule="auto"/>
        <w:ind w:firstLine="420" w:firstLineChars="200"/>
        <w:jc w:val="left"/>
        <w:rPr>
          <w:rFonts w:ascii="宋体" w:hAnsi="宋体"/>
          <w:b/>
          <w:szCs w:val="21"/>
        </w:rPr>
      </w:pPr>
      <w:r>
        <w:rPr>
          <w:rFonts w:hint="eastAsia"/>
          <w:szCs w:val="21"/>
        </w:rPr>
        <w:t>最终以财政部门或发包人确定的第三方造价机构审定的结算为准。</w:t>
      </w:r>
    </w:p>
    <w:p>
      <w:pPr>
        <w:adjustRightInd w:val="0"/>
        <w:snapToGrid w:val="0"/>
        <w:spacing w:line="360" w:lineRule="auto"/>
        <w:ind w:firstLine="420" w:firstLineChars="200"/>
        <w:rPr>
          <w:rFonts w:ascii="宋体" w:hAnsi="宋体"/>
          <w:szCs w:val="21"/>
        </w:rPr>
      </w:pPr>
      <w:r>
        <w:rPr>
          <w:rFonts w:hint="eastAsia" w:ascii="宋体" w:hAnsi="宋体"/>
          <w:szCs w:val="21"/>
        </w:rPr>
        <w:t>14.13.1设计费的结算方式：</w:t>
      </w:r>
    </w:p>
    <w:p>
      <w:pPr>
        <w:spacing w:line="360" w:lineRule="auto"/>
        <w:ind w:firstLine="420" w:firstLineChars="200"/>
        <w:rPr>
          <w:rFonts w:ascii="宋体" w:hAnsi="宋体"/>
          <w:szCs w:val="21"/>
        </w:rPr>
      </w:pPr>
      <w:r>
        <w:rPr>
          <w:rFonts w:hint="eastAsia" w:ascii="宋体" w:hAnsi="宋体"/>
          <w:szCs w:val="21"/>
        </w:rPr>
        <w:t>设计费结算，设计工作完成后，该整体工程通过竣工验收后方可办理结算，本合同范围内的设计结算价以经发包人确定的第三方造价咨询机构或财政部门审定的建安工程结算价为计算基数，参照国家发展计划委员会、建设部2002年颁布的《工程勘察设计收费标准》</w:t>
      </w:r>
      <w:r>
        <w:rPr>
          <w:rFonts w:hint="eastAsia"/>
          <w:szCs w:val="21"/>
        </w:rPr>
        <w:t>乘以（1-中标下浮率）</w:t>
      </w:r>
      <w:r>
        <w:rPr>
          <w:rFonts w:hint="eastAsia" w:ascii="宋体" w:hAnsi="宋体"/>
          <w:szCs w:val="21"/>
        </w:rPr>
        <w:t>计算。项目实施过程中发包人有权对具体实施项目进行调整,并按照上述办法结算。减少的项目无论有无替代，发包人都不予补偿。</w:t>
      </w:r>
    </w:p>
    <w:p>
      <w:pPr>
        <w:spacing w:line="360" w:lineRule="auto"/>
        <w:ind w:firstLine="420"/>
        <w:rPr>
          <w:szCs w:val="21"/>
        </w:rPr>
      </w:pPr>
      <w:r>
        <w:rPr>
          <w:rFonts w:hint="eastAsia"/>
          <w:szCs w:val="21"/>
        </w:rPr>
        <w:t>14.13.3建安工程费的结算方式：</w:t>
      </w:r>
    </w:p>
    <w:p>
      <w:pPr>
        <w:spacing w:line="360" w:lineRule="auto"/>
        <w:ind w:firstLine="420" w:firstLineChars="200"/>
        <w:rPr>
          <w:szCs w:val="21"/>
          <w:highlight w:val="yellow"/>
        </w:rPr>
      </w:pPr>
      <w:r>
        <w:rPr>
          <w:rFonts w:hint="eastAsia"/>
          <w:szCs w:val="21"/>
          <w:highlight w:val="yellow"/>
        </w:rPr>
        <w:t>（1）建安工程费按各子项工程分别结算（如有需要）。</w:t>
      </w:r>
    </w:p>
    <w:p>
      <w:pPr>
        <w:spacing w:line="360" w:lineRule="auto"/>
        <w:ind w:firstLine="420"/>
        <w:rPr>
          <w:szCs w:val="21"/>
        </w:rPr>
      </w:pPr>
      <w:r>
        <w:rPr>
          <w:rFonts w:hint="eastAsia"/>
          <w:szCs w:val="21"/>
        </w:rPr>
        <w:t>（2）建安工程费结算，工程量按实结算，结算单价以</w:t>
      </w:r>
      <w:r>
        <w:rPr>
          <w:rFonts w:ascii="宋体" w:hAnsi="宋体"/>
          <w:szCs w:val="21"/>
        </w:rPr>
        <w:t>承包人投标工程量清单中的综合单</w:t>
      </w:r>
      <w:r>
        <w:rPr>
          <w:rFonts w:hint="eastAsia" w:ascii="宋体" w:hAnsi="宋体"/>
          <w:szCs w:val="21"/>
          <w:lang w:eastAsia="zh-CN"/>
        </w:rPr>
        <w:t>价</w:t>
      </w:r>
      <w:r>
        <w:rPr>
          <w:rFonts w:ascii="宋体" w:hAnsi="宋体"/>
          <w:szCs w:val="21"/>
        </w:rPr>
        <w:t>为</w:t>
      </w:r>
      <w:r>
        <w:rPr>
          <w:rFonts w:hint="eastAsia"/>
          <w:szCs w:val="21"/>
        </w:rPr>
        <w:t>准。最终工程结算价以经财政部门或第三方造价机构审定的结算结果为准。</w:t>
      </w:r>
    </w:p>
    <w:p>
      <w:pPr>
        <w:spacing w:line="360" w:lineRule="auto"/>
        <w:ind w:firstLine="420"/>
        <w:rPr>
          <w:szCs w:val="21"/>
        </w:rPr>
      </w:pPr>
      <w:r>
        <w:rPr>
          <w:rFonts w:hint="eastAsia"/>
          <w:szCs w:val="21"/>
        </w:rPr>
        <w:t>（3）结算时，若投标工程量清单中有类似项目的，则按类似项目的综合单价对应相应子目、消耗量、单价等进行调整换算，原管理费、利润水平不变</w:t>
      </w:r>
      <w:r>
        <w:rPr>
          <w:rFonts w:hint="eastAsia"/>
          <w:szCs w:val="21"/>
          <w:lang w:eastAsia="zh-CN"/>
        </w:rPr>
        <w:t>；若</w:t>
      </w:r>
      <w:r>
        <w:rPr>
          <w:rFonts w:hint="eastAsia"/>
          <w:szCs w:val="21"/>
        </w:rPr>
        <w:t>投标工程量清单中没有相同项目或类似项目的，其新增项目综合单价根据现行定额，包括但不限于：《广东省建筑与装饰工程综合定额（2018年）》、《广东省安装工程综合定额（2018年）》、《广东省市政工程综合定额（2018年）》及相关计价文件编制确定。材料价格按广州市造价管理站同期（以本项目概算审核报告写明的采用材料价月份为准）《广州地区建设工程常用材料税前综合价格》予以调整，《广州地区建设工程常用材料税前综合价格》没有的材料单价，则参考同期（以本项目概算审核报告写明的采用材料价月份为准）该材料的市场价格，并结合承包人中标下浮率计算。</w:t>
      </w:r>
    </w:p>
    <w:p>
      <w:pPr>
        <w:spacing w:line="360" w:lineRule="auto"/>
        <w:ind w:firstLine="420"/>
        <w:rPr>
          <w:szCs w:val="21"/>
        </w:rPr>
      </w:pPr>
      <w:r>
        <w:rPr>
          <w:rFonts w:hint="eastAsia"/>
          <w:szCs w:val="21"/>
        </w:rPr>
        <w:t>（4）暂列金额的使用以设计变更结算为准。</w:t>
      </w:r>
    </w:p>
    <w:p>
      <w:pPr>
        <w:spacing w:line="360" w:lineRule="auto"/>
        <w:ind w:firstLine="420"/>
        <w:rPr>
          <w:szCs w:val="21"/>
        </w:rPr>
      </w:pPr>
      <w:r>
        <w:rPr>
          <w:rFonts w:hint="eastAsia"/>
          <w:szCs w:val="21"/>
        </w:rPr>
        <w:t>（5）总价措施项目费、预算包干费按施工图预算实行总价包干。</w:t>
      </w:r>
    </w:p>
    <w:p>
      <w:pPr>
        <w:spacing w:line="360" w:lineRule="auto"/>
        <w:ind w:firstLine="420"/>
        <w:rPr>
          <w:szCs w:val="21"/>
        </w:rPr>
      </w:pPr>
      <w:r>
        <w:rPr>
          <w:rFonts w:hint="eastAsia"/>
          <w:szCs w:val="21"/>
        </w:rPr>
        <w:t>（6）预算包干费包含涉及定额无法计取的项目及以下内容（包括但不限于）：</w:t>
      </w:r>
    </w:p>
    <w:p>
      <w:pPr>
        <w:spacing w:line="360" w:lineRule="auto"/>
        <w:ind w:firstLine="420"/>
        <w:rPr>
          <w:szCs w:val="21"/>
        </w:rPr>
      </w:pPr>
      <w:r>
        <w:rPr>
          <w:rFonts w:hint="eastAsia"/>
          <w:szCs w:val="21"/>
        </w:rPr>
        <w:t>1）工程用水加压措施；</w:t>
      </w:r>
    </w:p>
    <w:p>
      <w:pPr>
        <w:spacing w:line="360" w:lineRule="auto"/>
        <w:ind w:firstLine="420"/>
        <w:rPr>
          <w:szCs w:val="21"/>
        </w:rPr>
      </w:pPr>
      <w:r>
        <w:rPr>
          <w:rFonts w:hint="eastAsia"/>
          <w:szCs w:val="21"/>
        </w:rPr>
        <w:t>2）施工材料堆放场地的整理；</w:t>
      </w:r>
    </w:p>
    <w:p>
      <w:pPr>
        <w:spacing w:line="360" w:lineRule="auto"/>
        <w:ind w:firstLine="420"/>
        <w:rPr>
          <w:szCs w:val="21"/>
        </w:rPr>
      </w:pPr>
      <w:r>
        <w:rPr>
          <w:rFonts w:hint="eastAsia"/>
          <w:szCs w:val="21"/>
        </w:rPr>
        <w:t>3）工程成品的保护；</w:t>
      </w:r>
    </w:p>
    <w:p>
      <w:pPr>
        <w:spacing w:line="360" w:lineRule="auto"/>
        <w:ind w:firstLine="420"/>
        <w:rPr>
          <w:szCs w:val="21"/>
        </w:rPr>
      </w:pPr>
      <w:r>
        <w:rPr>
          <w:rFonts w:hint="eastAsia"/>
          <w:szCs w:val="21"/>
        </w:rPr>
        <w:t>4）施工中的临时停水停电；</w:t>
      </w:r>
    </w:p>
    <w:p>
      <w:pPr>
        <w:spacing w:line="360" w:lineRule="auto"/>
        <w:ind w:firstLine="420"/>
        <w:rPr>
          <w:szCs w:val="21"/>
        </w:rPr>
      </w:pPr>
      <w:r>
        <w:rPr>
          <w:rFonts w:hint="eastAsia"/>
          <w:szCs w:val="21"/>
        </w:rPr>
        <w:t>5）日间施工照明增加费；</w:t>
      </w:r>
    </w:p>
    <w:p>
      <w:pPr>
        <w:spacing w:line="360" w:lineRule="auto"/>
        <w:ind w:firstLine="420"/>
        <w:rPr>
          <w:szCs w:val="21"/>
        </w:rPr>
      </w:pPr>
      <w:r>
        <w:rPr>
          <w:rFonts w:hint="eastAsia"/>
          <w:szCs w:val="21"/>
        </w:rPr>
        <w:t>6）完工后的场地清理。</w:t>
      </w:r>
    </w:p>
    <w:p>
      <w:pPr>
        <w:spacing w:line="360" w:lineRule="auto"/>
        <w:ind w:firstLine="420" w:firstLineChars="200"/>
        <w:rPr>
          <w:szCs w:val="21"/>
          <w:highlight w:val="yellow"/>
        </w:rPr>
      </w:pPr>
      <w:r>
        <w:rPr>
          <w:rFonts w:hint="eastAsia"/>
          <w:szCs w:val="21"/>
        </w:rPr>
        <w:t>其他未尽事宜按国家、省、市现行的与本工程有关的定额及计价文件执行。</w:t>
      </w:r>
    </w:p>
    <w:p>
      <w:pPr>
        <w:pStyle w:val="2"/>
        <w:spacing w:before="156" w:after="156"/>
      </w:pPr>
      <w:r>
        <w:rPr>
          <w:rFonts w:hint="eastAsia"/>
        </w:rPr>
        <w:t>第</w:t>
      </w:r>
      <w:r>
        <w:t>1</w:t>
      </w:r>
      <w:r>
        <w:rPr>
          <w:rFonts w:hint="eastAsia"/>
        </w:rPr>
        <w:t>5条保险</w:t>
      </w:r>
    </w:p>
    <w:p>
      <w:pPr>
        <w:pStyle w:val="4"/>
        <w:spacing w:before="156" w:after="156"/>
      </w:pPr>
      <w:r>
        <w:rPr>
          <w:rFonts w:hint="eastAsia"/>
        </w:rPr>
        <w:t>15.1  承包人的投保</w:t>
      </w:r>
    </w:p>
    <w:p>
      <w:pPr>
        <w:spacing w:line="360" w:lineRule="auto"/>
        <w:ind w:firstLine="420" w:firstLineChars="200"/>
        <w:rPr>
          <w:szCs w:val="21"/>
        </w:rPr>
      </w:pPr>
      <w:r>
        <w:rPr>
          <w:szCs w:val="21"/>
        </w:rPr>
        <w:t>15.1.</w:t>
      </w:r>
      <w:r>
        <w:rPr>
          <w:rFonts w:hint="eastAsia"/>
          <w:szCs w:val="21"/>
        </w:rPr>
        <w:t>1合同双方商定，由承包人负责投保的保险种类、</w:t>
      </w:r>
      <w:r>
        <w:rPr>
          <w:szCs w:val="21"/>
        </w:rPr>
        <w:t>保险范围、投保金额、保险期限和持续有效</w:t>
      </w:r>
      <w:r>
        <w:rPr>
          <w:rFonts w:hint="eastAsia"/>
          <w:szCs w:val="21"/>
        </w:rPr>
        <w:t>的时间：</w:t>
      </w:r>
      <w:r>
        <w:rPr>
          <w:rFonts w:hint="eastAsia"/>
          <w:szCs w:val="21"/>
          <w:u w:val="single"/>
        </w:rPr>
        <w:t>按相关施工规范文件执行</w:t>
      </w:r>
    </w:p>
    <w:p>
      <w:pPr>
        <w:pStyle w:val="4"/>
        <w:spacing w:before="156" w:after="156"/>
      </w:pPr>
      <w:r>
        <w:rPr>
          <w:rFonts w:hint="eastAsia"/>
        </w:rPr>
        <w:t>15.2  一切险和第三方责任</w:t>
      </w:r>
    </w:p>
    <w:p>
      <w:pPr>
        <w:spacing w:before="156" w:beforeLines="50" w:after="156" w:afterLines="50" w:line="360" w:lineRule="auto"/>
        <w:ind w:firstLine="420" w:firstLineChars="200"/>
        <w:rPr>
          <w:szCs w:val="21"/>
        </w:rPr>
      </w:pPr>
      <w:r>
        <w:rPr>
          <w:rFonts w:hint="eastAsia"/>
          <w:szCs w:val="21"/>
        </w:rPr>
        <w:t>按国家有关工程保险规定执行。</w:t>
      </w:r>
      <w:r>
        <w:rPr>
          <w:rFonts w:hint="eastAsia" w:ascii="宋体" w:hAnsi="宋体"/>
          <w:szCs w:val="21"/>
          <w:u w:val="single"/>
        </w:rPr>
        <w:t>发包人负责投保土建工程、安装工程一切险以及第三者责任险，其他保险为承包人购买。发包人委托承包人办理的，承包人应按照相关政府文件要求购买，把发包人列为第一顺序的被保险人，工程保险费用由承包人代为发包人向保险公司支付，实际保险费用由承包人凭缴费发票向发包人请款。保险责任范围包括：(1)土建工程(安装工程及竣工验收)一切险，包含对设计(勘察)的保险；(2)第三者责任险。其他工程保险由承包人自行购买。</w:t>
      </w:r>
    </w:p>
    <w:p>
      <w:pPr>
        <w:pStyle w:val="2"/>
        <w:spacing w:before="156" w:after="156"/>
      </w:pPr>
      <w:r>
        <w:rPr>
          <w:rFonts w:hint="eastAsia"/>
        </w:rPr>
        <w:t>第</w:t>
      </w:r>
      <w:r>
        <w:t>16</w:t>
      </w:r>
      <w:r>
        <w:rPr>
          <w:rFonts w:hint="eastAsia"/>
        </w:rPr>
        <w:t>条违约、索赔和裁决</w:t>
      </w:r>
    </w:p>
    <w:p>
      <w:pPr>
        <w:pStyle w:val="4"/>
        <w:spacing w:before="156" w:after="156"/>
      </w:pPr>
      <w:bookmarkStart w:id="88" w:name="_Toc11094_WPSOffice_Level1"/>
      <w:bookmarkStart w:id="89" w:name="_Toc29995_WPSOffice_Level1"/>
      <w:r>
        <w:rPr>
          <w:rFonts w:hint="eastAsia"/>
        </w:rPr>
        <w:t>16.1.3专用条款关于违约责任的约定</w:t>
      </w:r>
      <w:bookmarkEnd w:id="88"/>
      <w:bookmarkEnd w:id="89"/>
    </w:p>
    <w:p>
      <w:pPr>
        <w:spacing w:line="360" w:lineRule="auto"/>
        <w:ind w:firstLine="420" w:firstLineChars="200"/>
        <w:rPr>
          <w:szCs w:val="21"/>
        </w:rPr>
      </w:pPr>
      <w:r>
        <w:rPr>
          <w:rFonts w:hint="eastAsia"/>
          <w:szCs w:val="21"/>
        </w:rPr>
        <w:t>16.1.3.1承包人承担违约责任形式包括但不限于：</w:t>
      </w:r>
    </w:p>
    <w:p>
      <w:pPr>
        <w:spacing w:line="360" w:lineRule="auto"/>
        <w:ind w:firstLine="420" w:firstLineChars="200"/>
        <w:rPr>
          <w:szCs w:val="21"/>
        </w:rPr>
      </w:pPr>
      <w:r>
        <w:rPr>
          <w:rFonts w:hint="eastAsia"/>
          <w:szCs w:val="21"/>
        </w:rPr>
        <w:t>（1）限期改正。承包人未履行或未按时履行或未按质履行义务时，发包人有权向承包人发出书面通知，要求承包人必须按发包人限定的时间或/和方式全面履行其合同义务。如果承包人按发包人要求的时限或/和方式改正了其违约行为，除本合同另有约定者外，累计二次被限期改正的行为或状态即构成承包人的一次一般违约行为，根据本合同的约定承担一般违约行为的后果；如果承包人未按发包人要求的时限或/和方式改正了其违约行为，除本合同另有约定者外，承包人构成一次严重违约行为，根据本合同的约定承担严重违约行为的后果。除本合同另有约定者外，承包人累计N次一般违约行为构成一次严重违约行为。</w:t>
      </w:r>
    </w:p>
    <w:p>
      <w:pPr>
        <w:spacing w:line="360" w:lineRule="auto"/>
        <w:ind w:firstLine="420" w:firstLineChars="200"/>
        <w:rPr>
          <w:szCs w:val="21"/>
        </w:rPr>
      </w:pPr>
      <w:r>
        <w:rPr>
          <w:rFonts w:hint="eastAsia"/>
          <w:szCs w:val="21"/>
        </w:rPr>
        <w:t>（2）一般违约责任的后果。承包人违反本合同的约定须承担一般违约责任时，对于每次一般违约行为，承包人应向发包人支付人民币1万元的违约金；如果承包人在合同期内再构成与前次违约行为性质相同或相似的违约行为，对于第二次性质相同或相似的违约行为，承包人应向发包人支付人民币1万5千元的违约金；对于第三次及以上的与前二次性质相同或相似的违约行为，承包人每次应向发包人支付人民币2万的违约金。</w:t>
      </w:r>
    </w:p>
    <w:p>
      <w:pPr>
        <w:spacing w:line="360" w:lineRule="auto"/>
        <w:ind w:firstLine="420" w:firstLineChars="200"/>
        <w:rPr>
          <w:szCs w:val="21"/>
        </w:rPr>
      </w:pPr>
      <w:r>
        <w:rPr>
          <w:rFonts w:hint="eastAsia"/>
          <w:szCs w:val="21"/>
        </w:rPr>
        <w:t>（3）严重违约行为的后果。承包人违反本合同的约定构成严重违约行为时，对于每次严重违约行为，承包人应向发包人支付人民币5万元的违约金。</w:t>
      </w:r>
    </w:p>
    <w:p>
      <w:pPr>
        <w:spacing w:line="360" w:lineRule="auto"/>
        <w:ind w:firstLine="420" w:firstLineChars="200"/>
        <w:rPr>
          <w:szCs w:val="21"/>
        </w:rPr>
      </w:pPr>
      <w:r>
        <w:rPr>
          <w:rFonts w:hint="eastAsia"/>
          <w:szCs w:val="21"/>
        </w:rPr>
        <w:t>（4）解除合同。当承包人违反本合同的约定符合解除合同的条件时，发包人有权向承包人发出书面解除合同的通知，该通知在送达承包人时解除合同即生效。解除合同的法律后果按照本合同的相关约定执行。</w:t>
      </w:r>
    </w:p>
    <w:p>
      <w:pPr>
        <w:spacing w:line="360" w:lineRule="auto"/>
        <w:ind w:firstLine="420" w:firstLineChars="200"/>
        <w:rPr>
          <w:szCs w:val="21"/>
        </w:rPr>
      </w:pPr>
      <w:r>
        <w:rPr>
          <w:rFonts w:hint="eastAsia"/>
          <w:szCs w:val="21"/>
        </w:rPr>
        <w:t>（5）赔偿损失和工程移交。本合同因承包人原因被发包人解除合同的，对于发包人因此受到的损失，承包人应全额赔偿给发包人，对于已建成或未建成的工程，承包人应在发包人指定的期限内无偿移交给发包人，且发包人无需向承包人（包括承包人的分包人）支付相应的款项或对价。</w:t>
      </w:r>
    </w:p>
    <w:p>
      <w:pPr>
        <w:spacing w:line="360" w:lineRule="auto"/>
        <w:ind w:firstLine="420" w:firstLineChars="200"/>
        <w:rPr>
          <w:szCs w:val="21"/>
        </w:rPr>
      </w:pPr>
      <w:r>
        <w:rPr>
          <w:rFonts w:hint="eastAsia"/>
          <w:szCs w:val="21"/>
        </w:rPr>
        <w:t>16.1.3.2承包人在合同期内累计构成三次严重违约行为，发包人有权单方解除合同。</w:t>
      </w:r>
    </w:p>
    <w:p>
      <w:pPr>
        <w:spacing w:line="360" w:lineRule="auto"/>
        <w:ind w:firstLine="420" w:firstLineChars="200"/>
        <w:rPr>
          <w:szCs w:val="21"/>
        </w:rPr>
      </w:pPr>
      <w:r>
        <w:rPr>
          <w:rFonts w:hint="eastAsia"/>
          <w:szCs w:val="21"/>
        </w:rPr>
        <w:t>16.1.3.3 承包人根据本合同的约定应向发包人支付的违约金，发包人有权从应支付给承包人的工程款或其他款中直接抵扣，承包人不得有异议。</w:t>
      </w:r>
    </w:p>
    <w:p>
      <w:pPr>
        <w:spacing w:line="360" w:lineRule="auto"/>
        <w:ind w:firstLine="420" w:firstLineChars="200"/>
        <w:rPr>
          <w:szCs w:val="21"/>
        </w:rPr>
      </w:pPr>
      <w:r>
        <w:rPr>
          <w:rFonts w:hint="eastAsia"/>
          <w:szCs w:val="21"/>
        </w:rPr>
        <w:t>16.1.3.4 工程材料设备采购及工程质量方面的违约责任</w:t>
      </w:r>
    </w:p>
    <w:p>
      <w:pPr>
        <w:spacing w:line="360" w:lineRule="auto"/>
        <w:ind w:firstLine="420" w:firstLineChars="200"/>
        <w:rPr>
          <w:szCs w:val="21"/>
        </w:rPr>
      </w:pPr>
      <w:r>
        <w:rPr>
          <w:rFonts w:hint="eastAsia"/>
          <w:szCs w:val="21"/>
        </w:rPr>
        <w:t>（1）发包人代表或/和工程总监按照本合同的相关约定抽查承包人的工程材料时，发现所检查的材料与该条款约定的标准的任何一项不符合时，承包人除必须全部退货、返工，并赔偿由此造成的损失外，承包人应当按照该批次材料的价值，按照如下方式承担违约责任：</w:t>
      </w:r>
    </w:p>
    <w:p>
      <w:pPr>
        <w:spacing w:line="360" w:lineRule="auto"/>
        <w:ind w:firstLine="420" w:firstLineChars="200"/>
        <w:rPr>
          <w:szCs w:val="21"/>
        </w:rPr>
      </w:pPr>
      <w:r>
        <w:rPr>
          <w:rFonts w:hint="eastAsia"/>
          <w:szCs w:val="21"/>
        </w:rPr>
        <w:t>A、单宗或批次材料价值在10万元以上100万元以下（含100万元），承包人承担1次一般违约行为的后果。</w:t>
      </w:r>
    </w:p>
    <w:p>
      <w:pPr>
        <w:spacing w:line="360" w:lineRule="auto"/>
        <w:ind w:firstLine="420" w:firstLineChars="200"/>
        <w:rPr>
          <w:szCs w:val="21"/>
        </w:rPr>
      </w:pPr>
      <w:r>
        <w:rPr>
          <w:rFonts w:hint="eastAsia"/>
          <w:szCs w:val="21"/>
        </w:rPr>
        <w:t>B、单宗或批次材料价值100-200万元（含200万元），承包人承担1次严重违约行为的后果。</w:t>
      </w:r>
    </w:p>
    <w:p>
      <w:pPr>
        <w:spacing w:line="360" w:lineRule="auto"/>
        <w:ind w:firstLine="420" w:firstLineChars="200"/>
        <w:rPr>
          <w:szCs w:val="21"/>
        </w:rPr>
      </w:pPr>
      <w:r>
        <w:rPr>
          <w:rFonts w:hint="eastAsia"/>
          <w:szCs w:val="21"/>
        </w:rPr>
        <w:t>C、单宗或批次材料价值在200万元以上的，发包人有权解除合同，并要求承包人赔偿发包人由此遭受的实际损失。</w:t>
      </w:r>
    </w:p>
    <w:p>
      <w:pPr>
        <w:spacing w:line="360" w:lineRule="auto"/>
        <w:ind w:firstLine="420" w:firstLineChars="200"/>
        <w:rPr>
          <w:szCs w:val="21"/>
        </w:rPr>
      </w:pPr>
      <w:r>
        <w:rPr>
          <w:rFonts w:hint="eastAsia"/>
          <w:szCs w:val="21"/>
        </w:rPr>
        <w:t>D、对于单宗或批次材料价值不高于10万元的（含10万元），但累计抽检不合格达5次，承包人承担1次一般违约行为的后果。</w:t>
      </w:r>
    </w:p>
    <w:p>
      <w:pPr>
        <w:spacing w:line="360" w:lineRule="auto"/>
        <w:ind w:firstLine="420" w:firstLineChars="200"/>
        <w:rPr>
          <w:szCs w:val="21"/>
        </w:rPr>
      </w:pPr>
      <w:r>
        <w:rPr>
          <w:rFonts w:hint="eastAsia"/>
          <w:szCs w:val="21"/>
        </w:rPr>
        <w:t>（2）承包人按本合同的相关约定，对各工序必须报验核查质量控制点。如承包人申请报验后，经发包人代表或/和工程总监检查发现存在质量问题，则该工序质量为不合格，承包人必须全部返工，返工后经检查合格才准进入下一工序，工期不予顺延。复检的结果，按每一分项工程计算，总计发现3次或连续发现2次质量控制点不合格的，承包人承担1次严重违约行为的后果；在合同期限内总计发现3次以上（不含本数）或连续发现2次以上（不含本数）质量控制点不合格的，发包人有权部分解除合同，将该分项工程另行发包，并不免除承包人应承担的违约赔偿责任。</w:t>
      </w:r>
    </w:p>
    <w:p>
      <w:pPr>
        <w:spacing w:line="360" w:lineRule="auto"/>
        <w:ind w:firstLine="420" w:firstLineChars="200"/>
        <w:rPr>
          <w:szCs w:val="21"/>
        </w:rPr>
      </w:pPr>
      <w:r>
        <w:rPr>
          <w:rFonts w:hint="eastAsia"/>
          <w:szCs w:val="21"/>
        </w:rPr>
        <w:t>（3）工程竣工验收时达不到合同约定的质量标准的，承包人应向发包人支付本合同全部工程审定结算总价2%的违约金，并在发包人规定的时间返工直至竣工验收合格。</w:t>
      </w:r>
    </w:p>
    <w:p>
      <w:pPr>
        <w:spacing w:line="360" w:lineRule="auto"/>
        <w:ind w:firstLine="420" w:firstLineChars="200"/>
        <w:rPr>
          <w:szCs w:val="21"/>
        </w:rPr>
      </w:pPr>
      <w:r>
        <w:rPr>
          <w:rFonts w:hint="eastAsia"/>
          <w:szCs w:val="21"/>
        </w:rPr>
        <w:t>（4）工程保修期内发现质量不合格，承包人必须在规定的期限返工并达到合同约定的质量等级，并按该不合格项目所在的分项工程造价的5%向发包人支付违约金。</w:t>
      </w:r>
    </w:p>
    <w:p>
      <w:pPr>
        <w:spacing w:line="360" w:lineRule="auto"/>
        <w:ind w:firstLine="420" w:firstLineChars="200"/>
        <w:rPr>
          <w:szCs w:val="21"/>
        </w:rPr>
      </w:pPr>
      <w:r>
        <w:rPr>
          <w:rFonts w:hint="eastAsia"/>
          <w:szCs w:val="21"/>
        </w:rPr>
        <w:t>16.1.3.5安全生产方面的违约责任</w:t>
      </w:r>
    </w:p>
    <w:p>
      <w:pPr>
        <w:spacing w:line="360" w:lineRule="auto"/>
        <w:ind w:firstLine="420" w:firstLineChars="200"/>
        <w:rPr>
          <w:szCs w:val="21"/>
        </w:rPr>
      </w:pPr>
      <w:r>
        <w:rPr>
          <w:rFonts w:hint="eastAsia"/>
          <w:szCs w:val="21"/>
        </w:rPr>
        <w:t>（1）承包人在政府行政主管部门组织的质量安全检查中，被发现存在严重的安全隐患，被通报批评，或被新闻媒体曝光造成不良影响的，被通报或被曝光1次，承包人必须承担严重违约责任；造成严重社会影响或累计被通报或被曝光3次以上（含本数）的，发包人有权解除合同，将本工程另行发包，并不免除承包人应承担的违约赔偿责任。</w:t>
      </w:r>
    </w:p>
    <w:p>
      <w:pPr>
        <w:spacing w:line="360" w:lineRule="auto"/>
        <w:ind w:firstLine="420" w:firstLineChars="200"/>
        <w:rPr>
          <w:szCs w:val="21"/>
        </w:rPr>
      </w:pPr>
      <w:r>
        <w:rPr>
          <w:rFonts w:hint="eastAsia"/>
          <w:szCs w:val="21"/>
        </w:rPr>
        <w:t>（2）承包人在发包人代表和监理工程师进行的日常质量安全检查中，被发现存在安全隐患的，承包人应限期改正。若同样问题被发现2次的或累计类似问题被发现3次，承包人必须承担1次一般违约行为的后果；此类问题的认定，以发包人代表或/和工程总监书面通知、指令、通报和会议纪要为准。</w:t>
      </w:r>
    </w:p>
    <w:p>
      <w:pPr>
        <w:spacing w:line="360" w:lineRule="auto"/>
        <w:ind w:firstLine="420" w:firstLineChars="200"/>
        <w:rPr>
          <w:szCs w:val="21"/>
        </w:rPr>
      </w:pPr>
      <w:r>
        <w:rPr>
          <w:rFonts w:hint="eastAsia"/>
          <w:szCs w:val="21"/>
        </w:rPr>
        <w:t>（3）承包人因自身原因造成的重大安全事故（含工程质量事故）的，按国家规定由相关主管部门处罚，发包人视情况严重性，有权解除合同，将本工程另行发包，并不免除承包人应承担的违约赔偿责任。。</w:t>
      </w:r>
    </w:p>
    <w:p>
      <w:pPr>
        <w:spacing w:line="360" w:lineRule="auto"/>
        <w:ind w:firstLine="420" w:firstLineChars="200"/>
        <w:rPr>
          <w:szCs w:val="21"/>
        </w:rPr>
      </w:pPr>
      <w:r>
        <w:rPr>
          <w:rFonts w:hint="eastAsia"/>
          <w:szCs w:val="21"/>
        </w:rPr>
        <w:t>16.1.3.6文明施工、环境保护方面的违约责任</w:t>
      </w:r>
    </w:p>
    <w:p>
      <w:pPr>
        <w:spacing w:line="360" w:lineRule="auto"/>
        <w:ind w:firstLine="420" w:firstLineChars="200"/>
        <w:rPr>
          <w:szCs w:val="21"/>
        </w:rPr>
      </w:pPr>
      <w:r>
        <w:rPr>
          <w:rFonts w:hint="eastAsia"/>
          <w:szCs w:val="21"/>
        </w:rPr>
        <w:t>（1）发包人代表和工程总监按照本合同相关约定，对承包人文明施工措施进行对照检查。经检查发现承包人因自身原因未能落实的，承包人必须承担1次一般违约行为的后果，并限期改正；如不限期改正，承包人应承担1次严重违约违约行为的后果。</w:t>
      </w:r>
    </w:p>
    <w:p>
      <w:pPr>
        <w:spacing w:line="360" w:lineRule="auto"/>
        <w:ind w:firstLine="420" w:firstLineChars="200"/>
        <w:rPr>
          <w:szCs w:val="21"/>
        </w:rPr>
      </w:pPr>
      <w:r>
        <w:rPr>
          <w:rFonts w:hint="eastAsia"/>
          <w:szCs w:val="21"/>
        </w:rPr>
        <w:t>（2）在政府行政主管部门的检查中，承包人的施工场地被评为不合格工地的，或者被通报批评的，或者被新闻媒体曝光的，承包人必须承担1次严重违约行为的后果，并立即采取切实有效措施予以整改；拒不采取切实有效的措施整改的，或整改效果不明显的，发包人有权解除合同，将本工程另行发包，并不免除承包人应承担的违约赔偿责任并要求承包人赔偿由此造成的损失。</w:t>
      </w:r>
    </w:p>
    <w:p>
      <w:pPr>
        <w:spacing w:line="360" w:lineRule="auto"/>
        <w:ind w:firstLine="420" w:firstLineChars="200"/>
        <w:rPr>
          <w:szCs w:val="21"/>
        </w:rPr>
      </w:pPr>
      <w:r>
        <w:rPr>
          <w:rFonts w:hint="eastAsia"/>
          <w:szCs w:val="21"/>
        </w:rPr>
        <w:t>（3）承包人在施工过程中因其自身原因造成周围环境卫生状况较差，被其他施工单位或周围居民投诉的，承包人必须在当天内整改。若故意拖延或同样问题累计被投诉2次，或累计被投诉3次，承包人必须承担1次一般违约行为的后果。</w:t>
      </w:r>
    </w:p>
    <w:p>
      <w:pPr>
        <w:spacing w:line="360" w:lineRule="auto"/>
        <w:ind w:firstLine="420" w:firstLineChars="200"/>
        <w:rPr>
          <w:szCs w:val="21"/>
        </w:rPr>
      </w:pPr>
      <w:r>
        <w:rPr>
          <w:rFonts w:hint="eastAsia"/>
          <w:szCs w:val="21"/>
        </w:rPr>
        <w:t>16.1.3.6工程分包、转包方面的违约责任</w:t>
      </w:r>
    </w:p>
    <w:p>
      <w:pPr>
        <w:spacing w:line="360" w:lineRule="auto"/>
        <w:ind w:firstLine="420" w:firstLineChars="200"/>
        <w:rPr>
          <w:szCs w:val="21"/>
        </w:rPr>
      </w:pPr>
      <w:r>
        <w:rPr>
          <w:szCs w:val="21"/>
        </w:rPr>
        <w:t>承包人</w:t>
      </w:r>
      <w:r>
        <w:rPr>
          <w:rFonts w:hint="eastAsia"/>
          <w:szCs w:val="21"/>
        </w:rPr>
        <w:t>未经发包人书面批准擅自分包或者转包工程的</w:t>
      </w:r>
      <w:r>
        <w:rPr>
          <w:szCs w:val="21"/>
        </w:rPr>
        <w:t>，发包人有权单方</w:t>
      </w:r>
      <w:r>
        <w:rPr>
          <w:rFonts w:hint="eastAsia"/>
          <w:szCs w:val="21"/>
        </w:rPr>
        <w:t>解除</w:t>
      </w:r>
      <w:r>
        <w:rPr>
          <w:szCs w:val="21"/>
        </w:rPr>
        <w:t>合同，由此而造成的经济损失由承包人负责赔偿。</w:t>
      </w:r>
    </w:p>
    <w:p>
      <w:pPr>
        <w:spacing w:line="360" w:lineRule="auto"/>
        <w:ind w:firstLine="420" w:firstLineChars="200"/>
        <w:rPr>
          <w:szCs w:val="21"/>
        </w:rPr>
      </w:pPr>
      <w:r>
        <w:rPr>
          <w:rFonts w:hint="eastAsia"/>
          <w:szCs w:val="21"/>
        </w:rPr>
        <w:t>16.1.3.7其他违约责任：除上述约定之外，承包人有违反其他合同义务的，均构成违约，应当承担1次一般违约行为的后果。如果承包人拒绝支付本合同约定的违约金或违约赔偿，发包人可以从承包人提供的履约保证金中扣减。对于已被发包人扣减的履约保证金，承包人应当在发包指定的期限内把履约保证金恢复至中标价的10%，如果承包人未在发包人指定的期限内把履约保证金恢复至本工程中标价的10%，发包人有权通知承包人解除本合同，将本工程另行发包，且不免除承包人应承担的违约赔偿责任。</w:t>
      </w:r>
    </w:p>
    <w:p>
      <w:pPr>
        <w:spacing w:line="360" w:lineRule="auto"/>
        <w:ind w:firstLine="420" w:firstLineChars="200"/>
        <w:rPr>
          <w:szCs w:val="21"/>
        </w:rPr>
      </w:pPr>
      <w:r>
        <w:rPr>
          <w:rFonts w:hint="eastAsia"/>
          <w:szCs w:val="21"/>
        </w:rPr>
        <w:t>16.1.3.7 本合同条款中将部分合同或全部合同解除后，发包人有权按有关规定另行选择承包人。</w:t>
      </w:r>
    </w:p>
    <w:p>
      <w:pPr>
        <w:pStyle w:val="2"/>
        <w:spacing w:before="156" w:after="156"/>
      </w:pPr>
      <w:r>
        <w:rPr>
          <w:rFonts w:hint="eastAsia"/>
          <w:bCs/>
        </w:rPr>
        <w:t>增加：</w:t>
      </w:r>
      <w:r>
        <w:rPr>
          <w:rFonts w:hint="eastAsia"/>
        </w:rPr>
        <w:t>16.1.3.8工程结算方面的违约责任</w:t>
      </w:r>
    </w:p>
    <w:p>
      <w:pPr>
        <w:spacing w:line="360" w:lineRule="auto"/>
        <w:ind w:firstLine="420" w:firstLineChars="200"/>
        <w:rPr>
          <w:szCs w:val="21"/>
        </w:rPr>
      </w:pPr>
      <w:r>
        <w:rPr>
          <w:rFonts w:hint="eastAsia"/>
          <w:szCs w:val="21"/>
        </w:rPr>
        <w:fldChar w:fldCharType="begin"/>
      </w:r>
      <w:r>
        <w:rPr>
          <w:rFonts w:hint="eastAsia"/>
          <w:szCs w:val="21"/>
        </w:rPr>
        <w:instrText xml:space="preserve"> = 1 \* GB3 </w:instrText>
      </w:r>
      <w:r>
        <w:rPr>
          <w:rFonts w:hint="eastAsia"/>
          <w:szCs w:val="21"/>
        </w:rPr>
        <w:fldChar w:fldCharType="separate"/>
      </w:r>
      <w:r>
        <w:rPr>
          <w:rFonts w:hint="eastAsia"/>
          <w:szCs w:val="21"/>
        </w:rPr>
        <w:t>①</w:t>
      </w:r>
      <w:r>
        <w:rPr>
          <w:rFonts w:hint="eastAsia"/>
          <w:szCs w:val="21"/>
        </w:rPr>
        <w:fldChar w:fldCharType="end"/>
      </w:r>
      <w:r>
        <w:rPr>
          <w:rFonts w:hint="eastAsia"/>
          <w:szCs w:val="21"/>
        </w:rPr>
        <w:t xml:space="preserve"> 承包人未在合同约定时间内提供完整的工程竣工结算资料，经发包人催促后14天内仍未提供或没有明确答复的或提出不正当理由延期的，发包人有权根据已有资料办理结算，责任由承包人自负，并按合同价款的0.1‰/天计算违约金。</w:t>
      </w:r>
    </w:p>
    <w:p>
      <w:pPr>
        <w:spacing w:line="360" w:lineRule="auto"/>
        <w:ind w:firstLine="420" w:firstLineChars="200"/>
        <w:rPr>
          <w:szCs w:val="21"/>
        </w:rPr>
      </w:pPr>
      <w:r>
        <w:rPr>
          <w:rFonts w:hint="eastAsia"/>
          <w:szCs w:val="21"/>
        </w:rPr>
        <w:fldChar w:fldCharType="begin"/>
      </w:r>
      <w:r>
        <w:rPr>
          <w:rFonts w:hint="eastAsia"/>
          <w:szCs w:val="21"/>
        </w:rPr>
        <w:instrText xml:space="preserve"> = 2 \* GB3 </w:instrText>
      </w:r>
      <w:r>
        <w:rPr>
          <w:rFonts w:hint="eastAsia"/>
          <w:szCs w:val="21"/>
        </w:rPr>
        <w:fldChar w:fldCharType="separate"/>
      </w:r>
      <w:r>
        <w:rPr>
          <w:rFonts w:hint="eastAsia"/>
          <w:szCs w:val="21"/>
        </w:rPr>
        <w:t>②</w:t>
      </w:r>
      <w:r>
        <w:rPr>
          <w:rFonts w:hint="eastAsia"/>
          <w:szCs w:val="21"/>
        </w:rPr>
        <w:fldChar w:fldCharType="end"/>
      </w:r>
      <w:r>
        <w:rPr>
          <w:rFonts w:hint="eastAsia"/>
          <w:szCs w:val="21"/>
        </w:rPr>
        <w:t xml:space="preserve"> 若承包人不配合结算审核工作以至工程结算不能按时完成或承包人对终审部门的审核结果拒不确认，则发包人有权根据已有资料，与终审部门共同确认最终的审核结果，责任由承包人自负。</w:t>
      </w:r>
    </w:p>
    <w:p>
      <w:pPr>
        <w:spacing w:line="360" w:lineRule="auto"/>
        <w:ind w:firstLine="420" w:firstLineChars="200"/>
        <w:rPr>
          <w:szCs w:val="21"/>
        </w:rPr>
      </w:pPr>
      <w:r>
        <w:rPr>
          <w:rFonts w:hint="eastAsia"/>
          <w:szCs w:val="21"/>
        </w:rPr>
        <w:t>③发包人在接到承包人递交完整的完工结算报表后30日内协调评审部门出具初步评审报告，审计完毕后15日内支付至工程款的97%。</w:t>
      </w:r>
    </w:p>
    <w:p>
      <w:pPr>
        <w:spacing w:line="360" w:lineRule="auto"/>
        <w:ind w:firstLine="420" w:firstLineChars="200"/>
        <w:rPr>
          <w:szCs w:val="21"/>
        </w:rPr>
      </w:pPr>
      <w:bookmarkStart w:id="90" w:name="_Toc25208_WPSOffice_Level1"/>
      <w:bookmarkStart w:id="91" w:name="_Toc22654_WPSOffice_Level1"/>
      <w:r>
        <w:rPr>
          <w:szCs w:val="21"/>
        </w:rPr>
        <w:t>16.</w:t>
      </w:r>
      <w:r>
        <w:rPr>
          <w:rFonts w:hint="eastAsia"/>
          <w:szCs w:val="21"/>
        </w:rPr>
        <w:t>3  争议和裁决</w:t>
      </w:r>
      <w:bookmarkEnd w:id="90"/>
      <w:bookmarkEnd w:id="91"/>
    </w:p>
    <w:p>
      <w:pPr>
        <w:spacing w:line="360" w:lineRule="auto"/>
        <w:ind w:firstLine="420" w:firstLineChars="200"/>
        <w:rPr>
          <w:szCs w:val="21"/>
        </w:rPr>
      </w:pPr>
      <w:r>
        <w:rPr>
          <w:szCs w:val="21"/>
        </w:rPr>
        <w:t>16.</w:t>
      </w:r>
      <w:r>
        <w:rPr>
          <w:rFonts w:hint="eastAsia"/>
          <w:szCs w:val="21"/>
        </w:rPr>
        <w:t>3</w:t>
      </w:r>
      <w:r>
        <w:rPr>
          <w:szCs w:val="21"/>
        </w:rPr>
        <w:t>.1</w:t>
      </w:r>
      <w:r>
        <w:rPr>
          <w:rFonts w:hint="eastAsia"/>
          <w:szCs w:val="21"/>
        </w:rPr>
        <w:t>解决争议的最终方式：</w:t>
      </w:r>
    </w:p>
    <w:p>
      <w:pPr>
        <w:spacing w:line="360" w:lineRule="auto"/>
        <w:ind w:firstLine="420" w:firstLineChars="200"/>
        <w:rPr>
          <w:szCs w:val="21"/>
        </w:rPr>
      </w:pPr>
      <w:r>
        <w:rPr>
          <w:szCs w:val="21"/>
        </w:rPr>
        <w:sym w:font="Wingdings 2" w:char="F052"/>
      </w:r>
      <w:r>
        <w:rPr>
          <w:szCs w:val="21"/>
        </w:rPr>
        <w:t>向</w:t>
      </w:r>
      <w:r>
        <w:rPr>
          <w:rFonts w:hint="eastAsia"/>
          <w:szCs w:val="21"/>
        </w:rPr>
        <w:t>工程所在地的人民法院提起诉讼。</w:t>
      </w:r>
    </w:p>
    <w:p>
      <w:pPr>
        <w:spacing w:line="360" w:lineRule="auto"/>
        <w:ind w:firstLine="420" w:firstLineChars="200"/>
        <w:rPr>
          <w:szCs w:val="21"/>
        </w:rPr>
      </w:pPr>
      <w:bookmarkStart w:id="92" w:name="_Toc17830_WPSOffice_Level1"/>
      <w:bookmarkStart w:id="93" w:name="_Toc14816_WPSOffice_Level1"/>
      <w:r>
        <w:rPr>
          <w:rFonts w:hint="eastAsia"/>
          <w:szCs w:val="21"/>
        </w:rPr>
        <w:t>第</w:t>
      </w:r>
      <w:r>
        <w:rPr>
          <w:szCs w:val="21"/>
        </w:rPr>
        <w:t>1</w:t>
      </w:r>
      <w:r>
        <w:rPr>
          <w:rFonts w:hint="eastAsia"/>
          <w:szCs w:val="21"/>
        </w:rPr>
        <w:t>9条</w:t>
      </w:r>
      <w:r>
        <w:rPr>
          <w:szCs w:val="21"/>
        </w:rPr>
        <w:t>合同生效</w:t>
      </w:r>
      <w:r>
        <w:rPr>
          <w:rFonts w:hint="eastAsia"/>
          <w:szCs w:val="21"/>
        </w:rPr>
        <w:t>与终止</w:t>
      </w:r>
      <w:bookmarkEnd w:id="92"/>
      <w:bookmarkEnd w:id="93"/>
    </w:p>
    <w:p>
      <w:pPr>
        <w:spacing w:line="360" w:lineRule="auto"/>
        <w:ind w:firstLine="420" w:firstLineChars="200"/>
        <w:rPr>
          <w:szCs w:val="21"/>
        </w:rPr>
      </w:pPr>
      <w:r>
        <w:rPr>
          <w:rFonts w:hint="eastAsia"/>
          <w:szCs w:val="21"/>
        </w:rPr>
        <w:t>19.1本合同自承包人和发包人的法定代表人或或委托代理人签字并加盖各自公章之日起生效。</w:t>
      </w:r>
    </w:p>
    <w:p>
      <w:pPr>
        <w:spacing w:line="360" w:lineRule="auto"/>
        <w:ind w:firstLine="420" w:firstLineChars="200"/>
        <w:rPr>
          <w:szCs w:val="21"/>
        </w:rPr>
      </w:pPr>
      <w:bookmarkStart w:id="94" w:name="_Toc30032_WPSOffice_Level1"/>
      <w:bookmarkStart w:id="95" w:name="_Toc13852_WPSOffice_Level1"/>
      <w:r>
        <w:rPr>
          <w:rFonts w:hint="eastAsia"/>
          <w:szCs w:val="21"/>
        </w:rPr>
        <w:t>第20条补充条款</w:t>
      </w:r>
      <w:bookmarkEnd w:id="94"/>
      <w:bookmarkEnd w:id="95"/>
    </w:p>
    <w:p>
      <w:pPr>
        <w:spacing w:line="360" w:lineRule="auto"/>
        <w:ind w:firstLine="420" w:firstLineChars="200"/>
        <w:rPr>
          <w:szCs w:val="21"/>
        </w:rPr>
      </w:pPr>
      <w:r>
        <w:rPr>
          <w:rFonts w:hint="eastAsia"/>
          <w:szCs w:val="21"/>
        </w:rPr>
        <w:t>2</w:t>
      </w:r>
      <w:r>
        <w:rPr>
          <w:szCs w:val="21"/>
        </w:rPr>
        <w:t>0.</w:t>
      </w:r>
      <w:r>
        <w:rPr>
          <w:rFonts w:hint="eastAsia"/>
          <w:szCs w:val="21"/>
        </w:rPr>
        <w:t>1安全文明施工费</w:t>
      </w:r>
    </w:p>
    <w:p>
      <w:pPr>
        <w:spacing w:line="360" w:lineRule="auto"/>
        <w:ind w:firstLine="420" w:firstLineChars="200"/>
        <w:rPr>
          <w:szCs w:val="21"/>
        </w:rPr>
      </w:pPr>
      <w:r>
        <w:rPr>
          <w:rFonts w:hint="eastAsia"/>
          <w:szCs w:val="21"/>
        </w:rPr>
        <w:t>2</w:t>
      </w:r>
      <w:r>
        <w:rPr>
          <w:szCs w:val="21"/>
        </w:rPr>
        <w:t>0.1</w:t>
      </w:r>
      <w:r>
        <w:rPr>
          <w:rFonts w:hint="eastAsia"/>
          <w:szCs w:val="21"/>
        </w:rPr>
        <w:t>.1安全文明施工费的内容、范围和金额</w:t>
      </w:r>
    </w:p>
    <w:p>
      <w:pPr>
        <w:spacing w:line="360" w:lineRule="auto"/>
        <w:ind w:firstLine="420" w:firstLineChars="200"/>
        <w:rPr>
          <w:szCs w:val="21"/>
        </w:rPr>
      </w:pPr>
      <w:r>
        <w:rPr>
          <w:rFonts w:hint="eastAsia"/>
          <w:szCs w:val="21"/>
        </w:rPr>
        <w:t>（</w:t>
      </w:r>
      <w:r>
        <w:rPr>
          <w:szCs w:val="21"/>
        </w:rPr>
        <w:t>1</w:t>
      </w:r>
      <w:r>
        <w:rPr>
          <w:rFonts w:hint="eastAsia"/>
          <w:szCs w:val="21"/>
        </w:rPr>
        <w:t>）内容和范围</w:t>
      </w:r>
    </w:p>
    <w:p>
      <w:pPr>
        <w:spacing w:line="360" w:lineRule="auto"/>
        <w:rPr>
          <w:szCs w:val="21"/>
        </w:rPr>
      </w:pPr>
      <w:r>
        <w:rPr>
          <w:rFonts w:ascii="宋体" w:hAnsi="宋体"/>
          <w:szCs w:val="21"/>
        </w:rPr>
        <w:t xml:space="preserve">□ </w:t>
      </w:r>
      <w:r>
        <w:rPr>
          <w:rFonts w:hint="eastAsia"/>
          <w:szCs w:val="21"/>
        </w:rPr>
        <w:t>按通用条款的规定，以现行广东省统一工程计价依据规定为准。</w:t>
      </w:r>
    </w:p>
    <w:p>
      <w:pPr>
        <w:spacing w:line="360" w:lineRule="auto"/>
        <w:rPr>
          <w:szCs w:val="21"/>
        </w:rPr>
      </w:pPr>
      <w:r>
        <w:rPr>
          <w:szCs w:val="21"/>
        </w:rPr>
        <w:sym w:font="Wingdings 2" w:char="F052"/>
      </w:r>
      <w:r>
        <w:rPr>
          <w:rFonts w:hint="eastAsia"/>
          <w:szCs w:val="21"/>
        </w:rPr>
        <w:t>另作约定：</w:t>
      </w:r>
      <w:r>
        <w:rPr>
          <w:rFonts w:hint="eastAsia"/>
          <w:b/>
          <w:szCs w:val="21"/>
          <w:u w:val="single"/>
        </w:rPr>
        <w:t>见合同附件：安全文明施工管理</w:t>
      </w:r>
    </w:p>
    <w:p>
      <w:pPr>
        <w:spacing w:line="360" w:lineRule="auto"/>
        <w:rPr>
          <w:szCs w:val="21"/>
        </w:rPr>
      </w:pPr>
      <w:r>
        <w:rPr>
          <w:rFonts w:hint="eastAsia"/>
          <w:szCs w:val="21"/>
        </w:rPr>
        <w:t>（</w:t>
      </w:r>
      <w:r>
        <w:rPr>
          <w:szCs w:val="21"/>
        </w:rPr>
        <w:t>2</w:t>
      </w:r>
      <w:r>
        <w:rPr>
          <w:rFonts w:hint="eastAsia"/>
          <w:szCs w:val="21"/>
        </w:rPr>
        <w:t>）安全文明施工费的总金额为             元。</w:t>
      </w:r>
    </w:p>
    <w:p>
      <w:pPr>
        <w:spacing w:line="360" w:lineRule="auto"/>
        <w:rPr>
          <w:szCs w:val="21"/>
        </w:rPr>
      </w:pPr>
      <w:r>
        <w:rPr>
          <w:rFonts w:hint="eastAsia"/>
          <w:szCs w:val="21"/>
        </w:rPr>
        <w:t xml:space="preserve">    2</w:t>
      </w:r>
      <w:r>
        <w:rPr>
          <w:szCs w:val="21"/>
        </w:rPr>
        <w:t>0.</w:t>
      </w:r>
      <w:r>
        <w:rPr>
          <w:rFonts w:hint="eastAsia"/>
          <w:szCs w:val="21"/>
        </w:rPr>
        <w:t>1.</w:t>
      </w:r>
      <w:r>
        <w:rPr>
          <w:szCs w:val="21"/>
        </w:rPr>
        <w:t xml:space="preserve">2 </w:t>
      </w:r>
      <w:r>
        <w:rPr>
          <w:rFonts w:hint="eastAsia"/>
          <w:szCs w:val="21"/>
        </w:rPr>
        <w:t>支付申请的提交与核实</w:t>
      </w:r>
    </w:p>
    <w:p>
      <w:pPr>
        <w:spacing w:line="360" w:lineRule="auto"/>
        <w:rPr>
          <w:szCs w:val="21"/>
        </w:rPr>
      </w:pPr>
      <w:r>
        <w:rPr>
          <w:rFonts w:ascii="宋体" w:hAnsi="宋体"/>
          <w:szCs w:val="21"/>
        </w:rPr>
        <w:t xml:space="preserve">  □ </w:t>
      </w:r>
      <w:r>
        <w:rPr>
          <w:rFonts w:hint="eastAsia"/>
          <w:szCs w:val="21"/>
        </w:rPr>
        <w:t>按通用条款的规定。</w:t>
      </w:r>
    </w:p>
    <w:p>
      <w:pPr>
        <w:spacing w:line="360" w:lineRule="auto"/>
        <w:rPr>
          <w:szCs w:val="21"/>
        </w:rPr>
      </w:pPr>
      <w:r>
        <w:rPr>
          <w:szCs w:val="21"/>
        </w:rPr>
        <w:sym w:font="Wingdings 2" w:char="F052"/>
      </w:r>
      <w:r>
        <w:rPr>
          <w:rFonts w:hint="eastAsia"/>
          <w:szCs w:val="21"/>
        </w:rPr>
        <w:t>另作约定：</w:t>
      </w:r>
      <w:r>
        <w:rPr>
          <w:rFonts w:hint="eastAsia"/>
          <w:b/>
          <w:szCs w:val="21"/>
          <w:u w:val="single"/>
        </w:rPr>
        <w:t>按照《合同附件：安全文明施工管理》中第</w:t>
      </w:r>
      <w:r>
        <w:rPr>
          <w:b/>
          <w:szCs w:val="21"/>
          <w:u w:val="single"/>
        </w:rPr>
        <w:t>1.3</w:t>
      </w:r>
      <w:r>
        <w:rPr>
          <w:rFonts w:hint="eastAsia"/>
          <w:b/>
          <w:szCs w:val="21"/>
          <w:u w:val="single"/>
        </w:rPr>
        <w:t>条约定内容执行。 </w:t>
      </w:r>
    </w:p>
    <w:p>
      <w:pPr>
        <w:spacing w:line="360" w:lineRule="auto"/>
        <w:rPr>
          <w:szCs w:val="21"/>
        </w:rPr>
      </w:pPr>
      <w:r>
        <w:rPr>
          <w:rFonts w:hint="eastAsia"/>
          <w:szCs w:val="21"/>
        </w:rPr>
        <w:t xml:space="preserve">    2</w:t>
      </w:r>
      <w:r>
        <w:rPr>
          <w:szCs w:val="21"/>
        </w:rPr>
        <w:t>0.</w:t>
      </w:r>
      <w:r>
        <w:rPr>
          <w:rFonts w:hint="eastAsia"/>
          <w:szCs w:val="21"/>
        </w:rPr>
        <w:t>1.</w:t>
      </w:r>
      <w:r>
        <w:rPr>
          <w:szCs w:val="21"/>
        </w:rPr>
        <w:t xml:space="preserve">3 </w:t>
      </w:r>
      <w:r>
        <w:rPr>
          <w:rFonts w:hint="eastAsia"/>
          <w:szCs w:val="21"/>
        </w:rPr>
        <w:t>费用支付</w:t>
      </w:r>
    </w:p>
    <w:p>
      <w:pPr>
        <w:spacing w:line="360" w:lineRule="auto"/>
        <w:rPr>
          <w:szCs w:val="21"/>
        </w:rPr>
      </w:pPr>
      <w:r>
        <w:rPr>
          <w:rFonts w:hint="eastAsia"/>
          <w:szCs w:val="21"/>
        </w:rPr>
        <w:t>安全文明施工费的支付办法和抵扣方式：</w:t>
      </w:r>
    </w:p>
    <w:p>
      <w:pPr>
        <w:spacing w:line="360" w:lineRule="auto"/>
        <w:rPr>
          <w:szCs w:val="21"/>
        </w:rPr>
      </w:pPr>
      <w:r>
        <w:rPr>
          <w:rFonts w:ascii="宋体" w:hAnsi="宋体"/>
          <w:szCs w:val="21"/>
        </w:rPr>
        <w:t xml:space="preserve"> □</w:t>
      </w:r>
      <w:r>
        <w:rPr>
          <w:rFonts w:hint="eastAsia"/>
          <w:szCs w:val="21"/>
        </w:rPr>
        <w:t>按通用条款的规定。</w:t>
      </w:r>
    </w:p>
    <w:p>
      <w:pPr>
        <w:spacing w:before="156" w:beforeLines="50" w:after="156" w:afterLines="50" w:line="360" w:lineRule="auto"/>
        <w:ind w:firstLine="420" w:firstLineChars="200"/>
        <w:rPr>
          <w:szCs w:val="21"/>
        </w:rPr>
      </w:pPr>
      <w:r>
        <w:rPr>
          <w:szCs w:val="21"/>
        </w:rPr>
        <w:sym w:font="Wingdings 2" w:char="F052"/>
      </w:r>
      <w:r>
        <w:rPr>
          <w:rFonts w:hint="eastAsia"/>
          <w:szCs w:val="21"/>
        </w:rPr>
        <w:t>另作约定：</w:t>
      </w:r>
      <w:r>
        <w:rPr>
          <w:rFonts w:hint="eastAsia"/>
          <w:b/>
          <w:szCs w:val="21"/>
          <w:u w:val="single"/>
        </w:rPr>
        <w:t>按照《合同附件：安全文明施工管理》中第</w:t>
      </w:r>
      <w:r>
        <w:rPr>
          <w:b/>
          <w:szCs w:val="21"/>
          <w:u w:val="single"/>
        </w:rPr>
        <w:t>1.3</w:t>
      </w:r>
      <w:r>
        <w:rPr>
          <w:rFonts w:hint="eastAsia"/>
          <w:b/>
          <w:szCs w:val="21"/>
          <w:u w:val="single"/>
        </w:rPr>
        <w:t>条约定内容执行。</w:t>
      </w:r>
    </w:p>
    <w:p>
      <w:pPr>
        <w:spacing w:before="156" w:beforeLines="50" w:after="156" w:afterLines="50" w:line="360" w:lineRule="auto"/>
        <w:ind w:firstLine="435"/>
        <w:rPr>
          <w:rFonts w:ascii="宋体" w:hAnsi="宋体" w:cs="宋体"/>
          <w:kern w:val="0"/>
          <w:szCs w:val="21"/>
        </w:rPr>
      </w:pPr>
      <w:r>
        <w:rPr>
          <w:rFonts w:hint="eastAsia"/>
          <w:szCs w:val="21"/>
        </w:rPr>
        <w:t>20.3</w:t>
      </w:r>
      <w:r>
        <w:rPr>
          <w:rFonts w:hint="eastAsia" w:ascii="宋体" w:hAnsi="宋体" w:cs="宋体"/>
          <w:kern w:val="0"/>
          <w:szCs w:val="21"/>
        </w:rPr>
        <w:t>如果本合同任何条款被法院或仲裁机构裁定属于非法或无法执行，该条款将与本合同其他条款分割并应被视作无效，该条款并不改变其他条款的效力和执行，本合同其他条款的效力、合法性与可执行性不受影响或妨碍，并完全有效。各方应立即将上述无效、非法或不可执行的条款代之以合法、有效且可执行的条款，而该等替代条款的意图应最接近上述无效、非法或不可执行的条款的意图。</w:t>
      </w:r>
    </w:p>
    <w:p>
      <w:pPr>
        <w:pStyle w:val="11"/>
        <w:spacing w:line="360" w:lineRule="auto"/>
        <w:rPr>
          <w:rFonts w:ascii="宋体" w:hAnsi="宋体" w:cs="宋体"/>
          <w:szCs w:val="21"/>
        </w:rPr>
      </w:pPr>
      <w:r>
        <w:rPr>
          <w:szCs w:val="21"/>
        </w:rPr>
        <w:t>20.4</w:t>
      </w:r>
      <w:r>
        <w:rPr>
          <w:rFonts w:hint="eastAsia" w:ascii="宋体" w:hAnsi="宋体" w:cs="宋体"/>
          <w:szCs w:val="21"/>
        </w:rPr>
        <w:t>除签署部分外，本合同条款不得手写，否则该文本不能做为确定双方权利义务的依据。</w:t>
      </w:r>
      <w:bookmarkStart w:id="96" w:name="_Toc289454018"/>
      <w:bookmarkStart w:id="97" w:name="_Toc259462341"/>
    </w:p>
    <w:p>
      <w:pPr>
        <w:pStyle w:val="11"/>
        <w:spacing w:line="360" w:lineRule="auto"/>
        <w:rPr>
          <w:rFonts w:ascii="宋体" w:hAnsi="宋体" w:cs="宋体"/>
          <w:szCs w:val="21"/>
        </w:rPr>
      </w:pPr>
    </w:p>
    <w:p>
      <w:pPr>
        <w:pStyle w:val="2"/>
        <w:spacing w:before="156" w:after="156"/>
      </w:pPr>
      <w:r>
        <w:rPr>
          <w:rFonts w:hint="eastAsia"/>
        </w:rPr>
        <w:t>增加：第21条款</w:t>
      </w:r>
      <w:r>
        <w:rPr>
          <w:rFonts w:hint="eastAsia"/>
          <w:bCs/>
        </w:rPr>
        <w:t>完工验收</w:t>
      </w:r>
    </w:p>
    <w:p>
      <w:pPr>
        <w:pStyle w:val="114"/>
        <w:snapToGrid w:val="0"/>
        <w:spacing w:line="360" w:lineRule="auto"/>
        <w:ind w:firstLine="420" w:firstLineChars="200"/>
        <w:rPr>
          <w:szCs w:val="21"/>
        </w:rPr>
      </w:pPr>
      <w:r>
        <w:rPr>
          <w:rFonts w:hint="eastAsia"/>
          <w:szCs w:val="21"/>
        </w:rPr>
        <w:t>本工程的完工验收按照《给水排水管道工程施工及验收规范》、《水利水电建设工程验收规程》（SL223-2008）等有关规定执行。</w:t>
      </w:r>
    </w:p>
    <w:p>
      <w:pPr>
        <w:pStyle w:val="139"/>
        <w:overflowPunct w:val="0"/>
        <w:spacing w:line="360" w:lineRule="auto"/>
        <w:rPr>
          <w:kern w:val="2"/>
          <w:sz w:val="21"/>
          <w:szCs w:val="21"/>
        </w:rPr>
      </w:pPr>
      <w:r>
        <w:rPr>
          <w:rFonts w:hint="eastAsia"/>
          <w:kern w:val="2"/>
          <w:sz w:val="21"/>
          <w:szCs w:val="21"/>
        </w:rPr>
        <w:t xml:space="preserve">    上述规范如有更新的，以最新版本为准。</w:t>
      </w:r>
    </w:p>
    <w:p>
      <w:pPr>
        <w:pStyle w:val="2"/>
        <w:spacing w:before="156" w:after="156"/>
      </w:pPr>
      <w:r>
        <w:rPr>
          <w:rFonts w:hint="eastAsia"/>
        </w:rPr>
        <w:t>第22条款其他条款</w:t>
      </w:r>
    </w:p>
    <w:bookmarkEnd w:id="96"/>
    <w:bookmarkEnd w:id="97"/>
    <w:p>
      <w:pPr>
        <w:pStyle w:val="154"/>
        <w:spacing w:line="360" w:lineRule="auto"/>
        <w:ind w:firstLine="420" w:firstLineChars="200"/>
        <w:rPr>
          <w:rFonts w:ascii="Calibri" w:hAnsi="Calibri"/>
          <w:kern w:val="2"/>
          <w:sz w:val="21"/>
          <w:szCs w:val="21"/>
        </w:rPr>
      </w:pPr>
      <w:bookmarkStart w:id="98" w:name="_Toc477982305"/>
      <w:bookmarkStart w:id="99" w:name="_Toc399756564"/>
      <w:bookmarkStart w:id="100" w:name="_Toc484082394"/>
      <w:bookmarkStart w:id="101" w:name="_Toc484082720"/>
      <w:bookmarkStart w:id="102" w:name="_Toc369188649"/>
      <w:bookmarkStart w:id="103" w:name="_Toc259462342"/>
      <w:bookmarkStart w:id="104" w:name="_Toc289454019"/>
      <w:bookmarkStart w:id="105" w:name="_Toc478303278"/>
      <w:bookmarkStart w:id="106" w:name="_Toc484108911"/>
      <w:bookmarkStart w:id="107" w:name="_Toc478424892"/>
      <w:bookmarkStart w:id="108" w:name="_Toc477970720"/>
      <w:bookmarkStart w:id="109" w:name="_Toc484108966"/>
      <w:bookmarkStart w:id="110" w:name="_Toc257471552"/>
      <w:bookmarkStart w:id="111" w:name="_Toc258336794"/>
      <w:bookmarkStart w:id="112" w:name="_Toc258336738"/>
      <w:r>
        <w:rPr>
          <w:rFonts w:hint="eastAsia" w:ascii="Calibri" w:hAnsi="Calibri"/>
          <w:kern w:val="2"/>
          <w:sz w:val="21"/>
          <w:szCs w:val="21"/>
        </w:rPr>
        <w:t>承包人应严格执行《关于加强建设等行业农民工劳动合同管理的通知》（劳社部发【2005】9号，切实规范用工制度。承包人必须在所有务工人员上岗前与其签订书面劳动合同，合同中要明确约定双方的权利与义务，规定劳动合同期限、工作内容、劳动保护及劳动条件、劳动报酬和违反劳动合同的责任、依法参加工伤保险、工伤责任等内容。有关劳动报酬的条款，应按照《广东省工资支付条例》相关要求，明确正常工作时间工资支付标准、支付项目、支付方式、支付周期和日期、特殊情况下的工资支付和其他支付内容以及产生争议的解决方式等。承包人在收到发包人支付的工程款后应及时向劳务分包单位支付相应的工程款，因承包人拖欠劳务单位工程款而引起的劳务单位滋事或以发包人为被告的诉讼，承包人应承担因此给发包人造成的损失（包括但不限于诉讼费、律师费和其它赔偿金）。</w:t>
      </w:r>
    </w:p>
    <w:p>
      <w:pPr>
        <w:pStyle w:val="2"/>
        <w:adjustRightInd w:val="0"/>
        <w:snapToGrid w:val="0"/>
        <w:spacing w:before="156" w:after="156"/>
        <w:rPr>
          <w:rFonts w:ascii="宋体" w:hAnsi="宋体"/>
        </w:rPr>
      </w:pPr>
      <w:bookmarkStart w:id="113" w:name="_Toc534637442"/>
      <w:r>
        <w:rPr>
          <w:rFonts w:hint="eastAsia" w:ascii="宋体" w:hAnsi="宋体"/>
        </w:rPr>
        <w:t>第</w:t>
      </w:r>
      <w:r>
        <w:rPr>
          <w:rFonts w:ascii="宋体" w:hAnsi="宋体"/>
        </w:rPr>
        <w:t>23条款对暂列金额的约定</w:t>
      </w:r>
      <w:bookmarkEnd w:id="113"/>
    </w:p>
    <w:p>
      <w:pPr>
        <w:pStyle w:val="14"/>
        <w:adjustRightInd w:val="0"/>
        <w:snapToGrid w:val="0"/>
        <w:spacing w:line="360" w:lineRule="auto"/>
        <w:ind w:firstLine="420" w:firstLineChars="200"/>
        <w:rPr>
          <w:rFonts w:ascii="宋体" w:hAnsi="宋体" w:cs="黑体"/>
          <w:szCs w:val="21"/>
        </w:rPr>
      </w:pPr>
      <w:r>
        <w:rPr>
          <w:rFonts w:hint="eastAsia" w:ascii="宋体" w:hAnsi="宋体" w:cs="黑体"/>
          <w:szCs w:val="21"/>
        </w:rPr>
        <w:t>工程费用中按分部分项工程费的</w:t>
      </w:r>
      <w:r>
        <w:rPr>
          <w:rFonts w:ascii="宋体" w:hAnsi="宋体" w:cs="黑体"/>
          <w:szCs w:val="21"/>
        </w:rPr>
        <w:t>10%的比例设置暂列金额，具体要求如下：</w:t>
      </w:r>
    </w:p>
    <w:p>
      <w:pPr>
        <w:pStyle w:val="14"/>
        <w:adjustRightInd w:val="0"/>
        <w:snapToGrid w:val="0"/>
        <w:spacing w:line="360" w:lineRule="auto"/>
        <w:ind w:firstLine="420" w:firstLineChars="200"/>
        <w:rPr>
          <w:rFonts w:ascii="宋体" w:hAnsi="宋体" w:cs="黑体"/>
          <w:szCs w:val="21"/>
        </w:rPr>
      </w:pPr>
      <w:r>
        <w:rPr>
          <w:rFonts w:hint="eastAsia" w:ascii="宋体" w:hAnsi="宋体" w:cs="黑体"/>
          <w:szCs w:val="21"/>
        </w:rPr>
        <w:t>（</w:t>
      </w:r>
      <w:r>
        <w:rPr>
          <w:rFonts w:ascii="宋体" w:hAnsi="宋体" w:cs="黑体"/>
          <w:szCs w:val="21"/>
        </w:rPr>
        <w:t>1）暂列金额计算原则</w:t>
      </w:r>
    </w:p>
    <w:p>
      <w:pPr>
        <w:pStyle w:val="132"/>
        <w:adjustRightInd w:val="0"/>
        <w:snapToGrid w:val="0"/>
        <w:spacing w:line="360" w:lineRule="auto"/>
        <w:ind w:firstLine="420" w:firstLineChars="200"/>
        <w:jc w:val="left"/>
        <w:rPr>
          <w:rFonts w:ascii="宋体" w:hAnsi="宋体" w:cs="黑体"/>
          <w:szCs w:val="21"/>
        </w:rPr>
      </w:pPr>
      <w:r>
        <w:rPr>
          <w:rFonts w:hint="eastAsia" w:ascii="宋体" w:hAnsi="宋体" w:cs="黑体"/>
          <w:szCs w:val="21"/>
        </w:rPr>
        <w:t>在不超出经批复的总投资估算的前提下，暂列金额按照分部分项工程直接工程费</w:t>
      </w:r>
      <w:r>
        <w:rPr>
          <w:rFonts w:ascii="宋体" w:hAnsi="宋体" w:cs="黑体"/>
          <w:szCs w:val="21"/>
        </w:rPr>
        <w:t>10%计取，概算时以发包人委托的第三方造价机构最终审核的分部分项工程费为计算基础。</w:t>
      </w:r>
    </w:p>
    <w:p>
      <w:pPr>
        <w:pStyle w:val="132"/>
        <w:adjustRightInd w:val="0"/>
        <w:snapToGrid w:val="0"/>
        <w:spacing w:line="360" w:lineRule="auto"/>
        <w:ind w:firstLine="420" w:firstLineChars="200"/>
        <w:jc w:val="left"/>
        <w:rPr>
          <w:rFonts w:ascii="宋体" w:hAnsi="宋体" w:cs="黑体"/>
          <w:szCs w:val="21"/>
        </w:rPr>
      </w:pPr>
      <w:r>
        <w:rPr>
          <w:rFonts w:hint="eastAsia" w:ascii="宋体" w:hAnsi="宋体" w:cs="黑体"/>
          <w:szCs w:val="21"/>
        </w:rPr>
        <w:t>（</w:t>
      </w:r>
      <w:r>
        <w:rPr>
          <w:rFonts w:ascii="宋体" w:hAnsi="宋体" w:cs="黑体"/>
          <w:szCs w:val="21"/>
        </w:rPr>
        <w:t>2）暂列金额的管理使用</w:t>
      </w:r>
    </w:p>
    <w:p>
      <w:pPr>
        <w:pStyle w:val="132"/>
        <w:adjustRightInd w:val="0"/>
        <w:snapToGrid w:val="0"/>
        <w:spacing w:line="360" w:lineRule="auto"/>
        <w:ind w:firstLine="420" w:firstLineChars="200"/>
        <w:jc w:val="left"/>
        <w:rPr>
          <w:rFonts w:hint="eastAsia" w:ascii="宋体" w:hAnsi="宋体" w:cs="黑体"/>
          <w:szCs w:val="21"/>
        </w:rPr>
      </w:pPr>
      <w:r>
        <w:rPr>
          <w:rFonts w:hint="eastAsia" w:ascii="宋体" w:hAnsi="宋体" w:cs="黑体"/>
          <w:szCs w:val="21"/>
        </w:rPr>
        <w:t>暂列金额应为发包人在工程量清单中暂定并包括在合同价款中的一笔款项。用于施工合同签订时尚未确定或者不可预见的所需材料、设备、服务的采购，施工中可能发生的工程变更、合同约定调整因素出现时的工程价款调整以及发生索赔等费用。项目实施过程中要严格按合同、招标文件以及发包人制订设计变更管理办法等相关规定使用，不得超范围使用。暂列金额的使用应遵循先审批、后动用的原则。</w:t>
      </w:r>
    </w:p>
    <w:p>
      <w:pPr>
        <w:pStyle w:val="2"/>
        <w:adjustRightInd w:val="0"/>
        <w:snapToGrid w:val="0"/>
        <w:spacing w:before="156" w:after="156"/>
        <w:rPr>
          <w:rFonts w:ascii="宋体" w:hAnsi="宋体"/>
        </w:rPr>
      </w:pPr>
      <w:bookmarkStart w:id="114" w:name="_Toc534637443"/>
      <w:r>
        <w:rPr>
          <w:rFonts w:hint="eastAsia" w:ascii="宋体" w:hAnsi="宋体"/>
        </w:rPr>
        <w:t>第</w:t>
      </w:r>
      <w:r>
        <w:rPr>
          <w:rFonts w:ascii="宋体" w:hAnsi="宋体"/>
        </w:rPr>
        <w:t>2</w:t>
      </w:r>
      <w:r>
        <w:rPr>
          <w:rFonts w:hint="eastAsia" w:ascii="宋体" w:hAnsi="宋体"/>
          <w:lang w:val="en-US" w:eastAsia="zh-CN"/>
        </w:rPr>
        <w:t>5</w:t>
      </w:r>
      <w:r>
        <w:rPr>
          <w:rFonts w:ascii="宋体" w:hAnsi="宋体"/>
        </w:rPr>
        <w:t>条款工人工资支付</w:t>
      </w:r>
      <w:bookmarkEnd w:id="114"/>
    </w:p>
    <w:p>
      <w:pPr>
        <w:pStyle w:val="132"/>
        <w:adjustRightInd w:val="0"/>
        <w:snapToGrid w:val="0"/>
        <w:spacing w:line="360" w:lineRule="auto"/>
        <w:ind w:firstLine="420" w:firstLineChars="200"/>
        <w:jc w:val="left"/>
        <w:rPr>
          <w:rFonts w:ascii="宋体" w:hAnsi="宋体" w:cs="黑体"/>
          <w:szCs w:val="21"/>
        </w:rPr>
      </w:pPr>
      <w:r>
        <w:rPr>
          <w:rFonts w:hint="eastAsia" w:ascii="宋体" w:hAnsi="宋体" w:cs="黑体"/>
          <w:szCs w:val="21"/>
        </w:rPr>
        <w:t>承包人(施工方）应根据《广州市建筑施工实名制管理办法》（穗建筑【2017】296号）、《关于印发广州市建设领域工人工资支付分账管理实施细则的通知》（穗建规字〔2020〕37号）、《广州市住房和城乡建设委员会关于实施&lt;广州市建设领域工人工资支付分账管理实施细则&gt;的通知》（穗建筑〔2017〕1344号）、《广州市住房和城乡建设委员会关于征集建设领域工人工资支付分账业务银行的通知》（穗建筑〔2017〕2247号）、《广州市住房和城乡建设委员会关于公布第一批广州市建设领域工人工资支付分账管理业务银行名录的通知》（穗建筑〔2017〕2365号）及《中华人民共和国国务院令》（第724号）等有关要求，落实实名制和工人工资支付分账制度。</w:t>
      </w:r>
    </w:p>
    <w:p>
      <w:pPr>
        <w:pStyle w:val="132"/>
        <w:adjustRightInd w:val="0"/>
        <w:snapToGrid w:val="0"/>
        <w:spacing w:line="360" w:lineRule="auto"/>
        <w:ind w:firstLine="420" w:firstLineChars="200"/>
        <w:jc w:val="left"/>
        <w:rPr>
          <w:rFonts w:ascii="宋体" w:hAnsi="宋体" w:cs="黑体"/>
          <w:szCs w:val="21"/>
        </w:rPr>
      </w:pPr>
      <w:r>
        <w:rPr>
          <w:rFonts w:hint="eastAsia" w:ascii="宋体" w:hAnsi="宋体" w:cs="黑体"/>
          <w:szCs w:val="21"/>
        </w:rPr>
        <w:t>承包人(施工方）应在办理施工许可手续前，在建设行业主管部门公布的、项目所在地的商业银行办理工人工资支付专用账户，并将工人工资支付专用账户相关信息报监理工程师和发包人。同时，承包人(施工方）应在用工之日起15日内为每个工人办理工人工资个人账户，通过工人工资支付专用账户将工人工资直接划入工人工资个人账户，确保工人工资按时足额发放。</w:t>
      </w:r>
    </w:p>
    <w:p>
      <w:pPr>
        <w:pStyle w:val="132"/>
        <w:adjustRightInd w:val="0"/>
        <w:snapToGrid w:val="0"/>
        <w:spacing w:line="360" w:lineRule="auto"/>
        <w:ind w:firstLine="420" w:firstLineChars="200"/>
        <w:jc w:val="left"/>
        <w:rPr>
          <w:rFonts w:ascii="宋体" w:hAnsi="宋体" w:cs="黑体"/>
          <w:szCs w:val="21"/>
        </w:rPr>
      </w:pPr>
      <w:r>
        <w:rPr>
          <w:rFonts w:hint="eastAsia" w:ascii="宋体" w:hAnsi="宋体" w:cs="黑体"/>
          <w:szCs w:val="21"/>
        </w:rPr>
        <w:t>承包人(施工方）应当建立工人实名、考勤、工资结算、支付等制度和管理台账，并存档备查，并将相关信息按月报送监理人，承包人的工人工资支付分账管理落实情况资料作为当期工程进度款申请拨付依据之一。</w:t>
      </w:r>
    </w:p>
    <w:p>
      <w:pPr>
        <w:pStyle w:val="132"/>
        <w:adjustRightInd w:val="0"/>
        <w:snapToGrid w:val="0"/>
        <w:spacing w:line="360" w:lineRule="auto"/>
        <w:ind w:firstLine="420" w:firstLineChars="200"/>
        <w:jc w:val="left"/>
        <w:rPr>
          <w:rFonts w:ascii="宋体" w:hAnsi="宋体" w:cs="黑体"/>
          <w:szCs w:val="21"/>
        </w:rPr>
      </w:pPr>
      <w:r>
        <w:rPr>
          <w:rFonts w:hint="eastAsia" w:ascii="宋体" w:hAnsi="宋体" w:cs="黑体"/>
          <w:szCs w:val="21"/>
        </w:rPr>
        <w:t>发包人按以下约定的工程进度款比例、支付期限和周期将工人工资拨付到工人工资支付专用账户：</w:t>
      </w:r>
    </w:p>
    <w:p>
      <w:pPr>
        <w:pStyle w:val="154"/>
        <w:spacing w:line="360" w:lineRule="auto"/>
        <w:ind w:firstLine="420" w:firstLineChars="200"/>
        <w:rPr>
          <w:rFonts w:hint="eastAsia" w:hAnsi="宋体" w:cs="宋体"/>
          <w:kern w:val="2"/>
          <w:sz w:val="21"/>
          <w:szCs w:val="21"/>
        </w:rPr>
      </w:pPr>
      <w:r>
        <w:rPr>
          <w:rFonts w:hint="eastAsia" w:hAnsi="宋体" w:cs="宋体"/>
          <w:kern w:val="2"/>
          <w:sz w:val="21"/>
          <w:szCs w:val="21"/>
        </w:rPr>
        <w:t>①工程进度款中的工人工资款比例：</w:t>
      </w:r>
    </w:p>
    <w:p>
      <w:pPr>
        <w:pStyle w:val="154"/>
        <w:spacing w:line="360" w:lineRule="auto"/>
        <w:ind w:firstLine="420" w:firstLineChars="200"/>
        <w:rPr>
          <w:rFonts w:hint="eastAsia" w:hAnsi="宋体" w:cs="宋体"/>
          <w:kern w:val="2"/>
          <w:sz w:val="21"/>
          <w:szCs w:val="21"/>
        </w:rPr>
      </w:pPr>
      <w:r>
        <w:rPr>
          <w:rFonts w:hint="eastAsia" w:hAnsi="宋体" w:cs="宋体"/>
          <w:kern w:val="2"/>
          <w:sz w:val="21"/>
          <w:szCs w:val="21"/>
        </w:rPr>
        <w:sym w:font="Wingdings 2" w:char="0052"/>
      </w:r>
      <w:r>
        <w:rPr>
          <w:rFonts w:hint="eastAsia" w:hAnsi="宋体" w:cs="宋体"/>
          <w:kern w:val="2"/>
          <w:sz w:val="21"/>
          <w:szCs w:val="21"/>
        </w:rPr>
        <w:t xml:space="preserve">工程款中的工人工资款比例参照施工招标的《中标通知书》中单列的人工费金额除以中标金额计算，具体比例为 </w:t>
      </w:r>
      <w:r>
        <w:rPr>
          <w:rFonts w:hint="eastAsia" w:hAnsi="宋体" w:cs="宋体"/>
          <w:kern w:val="2"/>
          <w:sz w:val="21"/>
          <w:szCs w:val="21"/>
          <w:u w:val="single"/>
        </w:rPr>
        <w:t xml:space="preserve"> </w:t>
      </w:r>
      <w:r>
        <w:rPr>
          <w:rFonts w:hint="eastAsia" w:hAnsi="宋体" w:cs="宋体"/>
          <w:kern w:val="2"/>
          <w:sz w:val="21"/>
          <w:szCs w:val="21"/>
          <w:u w:val="single"/>
          <w:lang w:val="en-US" w:eastAsia="zh-CN"/>
        </w:rPr>
        <w:t xml:space="preserve">  </w:t>
      </w:r>
      <w:r>
        <w:rPr>
          <w:rFonts w:hint="eastAsia" w:hAnsi="宋体" w:cs="宋体"/>
          <w:kern w:val="2"/>
          <w:sz w:val="21"/>
          <w:szCs w:val="21"/>
          <w:u w:val="single"/>
        </w:rPr>
        <w:t xml:space="preserve"> </w:t>
      </w:r>
      <w:r>
        <w:rPr>
          <w:rFonts w:hint="eastAsia" w:hAnsi="宋体" w:cs="宋体"/>
          <w:kern w:val="2"/>
          <w:sz w:val="21"/>
          <w:szCs w:val="21"/>
        </w:rPr>
        <w:t>%。</w:t>
      </w:r>
    </w:p>
    <w:p>
      <w:pPr>
        <w:pStyle w:val="154"/>
        <w:spacing w:line="360" w:lineRule="auto"/>
        <w:ind w:firstLine="420" w:firstLineChars="200"/>
        <w:rPr>
          <w:rFonts w:hint="eastAsia" w:hAnsi="宋体" w:cs="宋体"/>
          <w:kern w:val="2"/>
          <w:sz w:val="21"/>
          <w:szCs w:val="21"/>
        </w:rPr>
      </w:pPr>
      <w:r>
        <w:rPr>
          <w:rFonts w:hint="eastAsia" w:hAnsi="宋体" w:cs="宋体"/>
          <w:kern w:val="2"/>
          <w:sz w:val="21"/>
          <w:szCs w:val="21"/>
        </w:rPr>
        <w:t>□若招标文件中人工费、人工费占合同金额比例均未进行约定,工程款中的工人工资款比例为15 %。</w:t>
      </w:r>
    </w:p>
    <w:p>
      <w:pPr>
        <w:pStyle w:val="154"/>
        <w:spacing w:line="360" w:lineRule="auto"/>
        <w:ind w:firstLine="420" w:firstLineChars="200"/>
        <w:rPr>
          <w:rFonts w:hint="eastAsia" w:hAnsi="宋体" w:cs="宋体"/>
          <w:kern w:val="2"/>
          <w:sz w:val="21"/>
          <w:szCs w:val="21"/>
        </w:rPr>
      </w:pPr>
      <w:r>
        <w:rPr>
          <w:rFonts w:hint="eastAsia" w:hAnsi="宋体" w:cs="宋体"/>
          <w:kern w:val="2"/>
          <w:sz w:val="21"/>
          <w:szCs w:val="21"/>
        </w:rPr>
        <w:t xml:space="preserve">②工程进度款中的工人工资款支付期限和周期：发包人将每期工程进度款拨付到合同约定的承包人(施工方）账户时，按工程款 </w:t>
      </w:r>
      <w:r>
        <w:rPr>
          <w:rFonts w:hint="eastAsia" w:hAnsi="宋体" w:cs="宋体"/>
          <w:kern w:val="2"/>
          <w:sz w:val="21"/>
          <w:szCs w:val="21"/>
          <w:u w:val="single"/>
          <w:lang w:eastAsia="zh-CN"/>
        </w:rPr>
        <w:t xml:space="preserve"> </w:t>
      </w:r>
      <w:r>
        <w:rPr>
          <w:rFonts w:hint="eastAsia" w:hAnsi="宋体" w:cs="宋体"/>
          <w:kern w:val="2"/>
          <w:sz w:val="21"/>
          <w:szCs w:val="21"/>
          <w:u w:val="single"/>
          <w:lang w:val="en-US" w:eastAsia="zh-CN"/>
        </w:rPr>
        <w:t xml:space="preserve">  </w:t>
      </w:r>
      <w:r>
        <w:rPr>
          <w:rFonts w:hint="eastAsia" w:hAnsi="宋体" w:cs="宋体"/>
          <w:kern w:val="2"/>
          <w:sz w:val="21"/>
          <w:szCs w:val="21"/>
        </w:rPr>
        <w:t xml:space="preserve"> %的比例将工人工资划拨到承包人设立的工人工资支付专用账户。工人工资款支付周期按相关规定执行。</w:t>
      </w:r>
    </w:p>
    <w:p>
      <w:pPr>
        <w:pStyle w:val="132"/>
        <w:adjustRightInd w:val="0"/>
        <w:snapToGrid w:val="0"/>
        <w:spacing w:line="360" w:lineRule="auto"/>
        <w:ind w:firstLine="420" w:firstLineChars="200"/>
        <w:jc w:val="left"/>
        <w:rPr>
          <w:rFonts w:ascii="宋体" w:hAnsi="宋体" w:cs="黑体"/>
          <w:szCs w:val="21"/>
        </w:rPr>
      </w:pPr>
      <w:r>
        <w:rPr>
          <w:rFonts w:hint="eastAsia" w:ascii="宋体" w:hAnsi="宋体" w:cs="黑体"/>
          <w:szCs w:val="21"/>
        </w:rPr>
        <w:t>③工程进度款中的工人工资拨付周期：</w:t>
      </w:r>
    </w:p>
    <w:p>
      <w:pPr>
        <w:pStyle w:val="132"/>
        <w:adjustRightInd w:val="0"/>
        <w:snapToGrid w:val="0"/>
        <w:spacing w:line="360" w:lineRule="auto"/>
        <w:ind w:firstLine="420" w:firstLineChars="200"/>
        <w:jc w:val="left"/>
        <w:rPr>
          <w:rFonts w:ascii="宋体" w:hAnsi="宋体" w:cs="黑体"/>
          <w:szCs w:val="21"/>
        </w:rPr>
      </w:pPr>
      <w:r>
        <w:rPr>
          <w:rFonts w:hint="eastAsia" w:ascii="宋体" w:hAnsi="宋体" w:cs="黑体"/>
          <w:szCs w:val="21"/>
        </w:rPr>
        <w:t>④工人工资支付专用账户资金少于应支付工人工资的，承包人(施工方）应当及时补足。</w:t>
      </w:r>
    </w:p>
    <w:p>
      <w:pPr>
        <w:pStyle w:val="132"/>
        <w:adjustRightInd w:val="0"/>
        <w:snapToGrid w:val="0"/>
        <w:spacing w:line="360" w:lineRule="auto"/>
        <w:ind w:firstLine="420" w:firstLineChars="200"/>
        <w:jc w:val="left"/>
        <w:rPr>
          <w:rFonts w:ascii="宋体" w:hAnsi="宋体" w:cs="黑体"/>
          <w:szCs w:val="21"/>
        </w:rPr>
      </w:pPr>
      <w:r>
        <w:rPr>
          <w:rFonts w:hint="eastAsia" w:ascii="宋体" w:hAnsi="宋体" w:cs="黑体"/>
          <w:szCs w:val="21"/>
        </w:rPr>
        <w:t>承包人办理工人工资支付专用账户后，应出具承诺书并附上银行开户证明。</w:t>
      </w:r>
    </w:p>
    <w:p>
      <w:pPr>
        <w:pStyle w:val="2"/>
        <w:adjustRightInd w:val="0"/>
        <w:snapToGrid w:val="0"/>
        <w:spacing w:before="156" w:after="156"/>
        <w:rPr>
          <w:rFonts w:ascii="宋体" w:hAnsi="宋体"/>
        </w:rPr>
      </w:pPr>
      <w:r>
        <w:rPr>
          <w:rFonts w:hint="eastAsia" w:ascii="宋体" w:hAnsi="宋体" w:cs="黑体"/>
        </w:rPr>
        <w:t>承包人(施工方）对实名制管理和工人工资支付负总责，分包单位支付工资情况进行监督。承包人(施工方）依法将部分工程分包的，应当按本合同专用条款第38条约定执行，与分包单位签订分包合同，并明确工人工资比例。</w:t>
      </w:r>
      <w:bookmarkStart w:id="115" w:name="_Toc534637444"/>
    </w:p>
    <w:p>
      <w:pPr>
        <w:pStyle w:val="2"/>
        <w:adjustRightInd w:val="0"/>
        <w:snapToGrid w:val="0"/>
        <w:spacing w:before="156" w:after="156"/>
        <w:rPr>
          <w:rFonts w:ascii="宋体" w:hAnsi="宋体"/>
        </w:rPr>
      </w:pPr>
      <w:r>
        <w:rPr>
          <w:rFonts w:hint="eastAsia" w:ascii="宋体" w:hAnsi="宋体"/>
        </w:rPr>
        <w:t>第2</w:t>
      </w:r>
      <w:r>
        <w:rPr>
          <w:rFonts w:hint="eastAsia" w:ascii="宋体" w:hAnsi="宋体"/>
          <w:lang w:val="en-US" w:eastAsia="zh-CN"/>
        </w:rPr>
        <w:t>6</w:t>
      </w:r>
      <w:r>
        <w:rPr>
          <w:rFonts w:hint="eastAsia" w:ascii="宋体" w:hAnsi="宋体"/>
        </w:rPr>
        <w:t>条款缴纳工资保证金</w:t>
      </w:r>
    </w:p>
    <w:p>
      <w:pPr>
        <w:pStyle w:val="19"/>
        <w:spacing w:line="360" w:lineRule="auto"/>
        <w:ind w:firstLine="315" w:firstLineChars="150"/>
        <w:rPr>
          <w:rFonts w:hAnsi="宋体" w:cs="黑体"/>
          <w:szCs w:val="21"/>
        </w:rPr>
      </w:pPr>
      <w:r>
        <w:rPr>
          <w:rFonts w:hint="eastAsia" w:hAnsi="宋体" w:cs="黑体"/>
          <w:szCs w:val="21"/>
        </w:rPr>
        <w:t>承包人须按照《广州市建设领域施工企业工人工资支付保证金管理办法》（穗人社规字【2023】1号）等有关规定，以现金缴存或以银行保函、工程保证保险或工程担保公司保函方式缴纳工人工资保证金，将本工程纳入工资保证金管理，并将加具市人力资源社会保障行政部门审查意见的审查表送发包人备案。</w:t>
      </w:r>
    </w:p>
    <w:p>
      <w:pPr>
        <w:pStyle w:val="19"/>
        <w:spacing w:line="360" w:lineRule="auto"/>
        <w:ind w:firstLine="315" w:firstLineChars="150"/>
        <w:rPr>
          <w:b/>
          <w:bCs/>
        </w:rPr>
      </w:pPr>
      <w:r>
        <w:rPr>
          <w:rFonts w:hint="eastAsia" w:hAnsi="宋体" w:cs="黑体"/>
          <w:szCs w:val="21"/>
        </w:rPr>
        <w:t>工资保证金专户资金提取支付欠薪工资后，承包人须在15个工作日内等额补足。</w:t>
      </w:r>
    </w:p>
    <w:p>
      <w:pPr>
        <w:pStyle w:val="2"/>
        <w:adjustRightInd w:val="0"/>
        <w:snapToGrid w:val="0"/>
        <w:spacing w:before="156" w:after="156"/>
        <w:rPr>
          <w:rFonts w:ascii="宋体" w:hAnsi="宋体"/>
        </w:rPr>
      </w:pPr>
      <w:r>
        <w:rPr>
          <w:rFonts w:hint="eastAsia" w:ascii="宋体" w:hAnsi="宋体"/>
        </w:rPr>
        <w:t>第2</w:t>
      </w:r>
      <w:r>
        <w:rPr>
          <w:rFonts w:hint="eastAsia" w:ascii="宋体" w:hAnsi="宋体"/>
          <w:lang w:val="en-US" w:eastAsia="zh-CN"/>
        </w:rPr>
        <w:t>7</w:t>
      </w:r>
      <w:r>
        <w:rPr>
          <w:rFonts w:hint="eastAsia" w:ascii="宋体" w:hAnsi="宋体"/>
        </w:rPr>
        <w:t>条款扬尘防治管理</w:t>
      </w:r>
    </w:p>
    <w:p>
      <w:pPr>
        <w:pStyle w:val="132"/>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承包人应根据《广东省建设工程施工扬尘污染防治管理办法（试行）的通知》（粤办函[2017]708号）、《广州市2018年度大气污染综合防治工作计划》（穗水质安【2018】45号）、《广州市水务局关于印发广州市2018年水务工程扬尘污染控制行动方案的通知》（穗水质安[2018]45号）的要求，制定施工现场扬尘污染防治方案并报发包人和监理人审核，审核通过后，承包人应落实方案的实施。</w:t>
      </w:r>
    </w:p>
    <w:p>
      <w:pPr>
        <w:pStyle w:val="154"/>
        <w:spacing w:line="360" w:lineRule="auto"/>
        <w:ind w:firstLine="420" w:firstLineChars="200"/>
        <w:rPr>
          <w:rFonts w:hAnsi="宋体" w:cs="宋体"/>
          <w:sz w:val="24"/>
          <w:szCs w:val="24"/>
        </w:rPr>
      </w:pPr>
      <w:r>
        <w:rPr>
          <w:rFonts w:hint="eastAsia" w:hAnsi="宋体" w:cs="Times New Roman"/>
          <w:b/>
          <w:kern w:val="2"/>
          <w:sz w:val="21"/>
          <w:szCs w:val="21"/>
        </w:rPr>
        <w:t>第2</w:t>
      </w:r>
      <w:r>
        <w:rPr>
          <w:rFonts w:hint="eastAsia" w:hAnsi="宋体" w:cs="Times New Roman"/>
          <w:b/>
          <w:kern w:val="2"/>
          <w:sz w:val="21"/>
          <w:szCs w:val="21"/>
          <w:lang w:val="en-US" w:eastAsia="zh-CN"/>
        </w:rPr>
        <w:t>8</w:t>
      </w:r>
      <w:r>
        <w:rPr>
          <w:rFonts w:hint="eastAsia" w:hAnsi="宋体" w:cs="Times New Roman"/>
          <w:b/>
          <w:kern w:val="2"/>
          <w:sz w:val="21"/>
          <w:szCs w:val="21"/>
        </w:rPr>
        <w:t>条款安全生产责任保险</w:t>
      </w:r>
    </w:p>
    <w:p>
      <w:pPr>
        <w:pStyle w:val="154"/>
        <w:spacing w:line="360" w:lineRule="auto"/>
        <w:ind w:firstLine="420" w:firstLineChars="200"/>
        <w:rPr>
          <w:rFonts w:hint="eastAsia" w:hAnsi="宋体"/>
          <w:kern w:val="2"/>
          <w:sz w:val="21"/>
          <w:szCs w:val="21"/>
        </w:rPr>
      </w:pPr>
      <w:r>
        <w:rPr>
          <w:rFonts w:hint="eastAsia" w:hAnsi="宋体"/>
          <w:kern w:val="2"/>
          <w:sz w:val="21"/>
          <w:szCs w:val="21"/>
        </w:rPr>
        <w:t>承包人须根据《关于印发&lt;广东省安全生产监督管理局 中国保险监督管理委员会广东监管局广东省人民政府金融工作办公室关于广东省安全生产责任保险的实施方案&gt;的通知》（粤安监[2016]172号）、《广州市安全生产委员会办公室关于印发&lt;广州市2017年度安全生产责任保险试点工作方案&gt;的通知》（穗安办[2017]110号）、《广州市安全生产委员会办公室关于印发&lt;广州市2018年度安全生产责任保险工作方案&gt;的通知》（穗安办[2018]95号）等文件精神购买安全生产责任保险。</w:t>
      </w:r>
      <w:bookmarkEnd w:id="115"/>
    </w:p>
    <w:p>
      <w:pPr>
        <w:pStyle w:val="154"/>
        <w:spacing w:line="360" w:lineRule="auto"/>
        <w:ind w:firstLine="420" w:firstLineChars="200"/>
        <w:rPr>
          <w:rFonts w:hint="eastAsia" w:hAnsi="宋体" w:cs="Times New Roman"/>
          <w:b/>
          <w:kern w:val="2"/>
          <w:sz w:val="21"/>
          <w:szCs w:val="21"/>
        </w:rPr>
      </w:pPr>
      <w:r>
        <w:rPr>
          <w:rFonts w:hint="eastAsia" w:hAnsi="宋体" w:cs="Times New Roman"/>
          <w:b/>
          <w:kern w:val="2"/>
          <w:sz w:val="21"/>
          <w:szCs w:val="21"/>
        </w:rPr>
        <w:t>第2</w:t>
      </w:r>
      <w:r>
        <w:rPr>
          <w:rFonts w:hint="eastAsia" w:hAnsi="宋体" w:cs="Times New Roman"/>
          <w:b/>
          <w:kern w:val="2"/>
          <w:sz w:val="21"/>
          <w:szCs w:val="21"/>
          <w:lang w:val="en-US" w:eastAsia="zh-CN"/>
        </w:rPr>
        <w:t>9</w:t>
      </w:r>
      <w:r>
        <w:rPr>
          <w:rFonts w:hint="eastAsia" w:hAnsi="宋体" w:cs="Times New Roman"/>
          <w:b/>
          <w:kern w:val="2"/>
          <w:sz w:val="21"/>
          <w:szCs w:val="21"/>
        </w:rPr>
        <w:t>条款视频监控设备安装和接入</w:t>
      </w:r>
    </w:p>
    <w:p>
      <w:pPr>
        <w:pStyle w:val="154"/>
        <w:spacing w:line="360" w:lineRule="auto"/>
        <w:ind w:firstLine="420" w:firstLineChars="200"/>
        <w:rPr>
          <w:rFonts w:hAnsi="宋体"/>
          <w:sz w:val="28"/>
          <w:szCs w:val="28"/>
        </w:rPr>
      </w:pPr>
      <w:r>
        <w:rPr>
          <w:rFonts w:hint="eastAsia" w:hAnsi="宋体"/>
          <w:kern w:val="2"/>
          <w:sz w:val="21"/>
          <w:szCs w:val="21"/>
        </w:rPr>
        <w:t>为进一步提升我市水务建设工程信息化监管水平，强化工程质量安全管控，承包人应根据《广州市水务局关于在水务建设工程施工现场安装视频监控系统的通知》的要求，在本工程正式开工之日起15日内完成视频监控设备安装和视频接入工作。</w:t>
      </w:r>
      <w:r>
        <w:rPr>
          <w:rFonts w:hAnsi="宋体"/>
          <w:sz w:val="28"/>
          <w:szCs w:val="28"/>
        </w:rPr>
        <w:br w:type="page"/>
      </w:r>
    </w:p>
    <w:p>
      <w:pPr>
        <w:pStyle w:val="3"/>
        <w:spacing w:before="120" w:after="0" w:line="240" w:lineRule="auto"/>
        <w:rPr>
          <w:rFonts w:hAnsi="宋体"/>
          <w:sz w:val="28"/>
          <w:szCs w:val="28"/>
        </w:rPr>
      </w:pPr>
      <w:bookmarkStart w:id="116" w:name="_Toc2916_WPSOffice_Level1"/>
      <w:r>
        <w:rPr>
          <w:rFonts w:hint="eastAsia" w:ascii="宋体" w:hAnsi="宋体"/>
          <w:sz w:val="28"/>
          <w:szCs w:val="28"/>
        </w:rPr>
        <w:t>附件</w:t>
      </w:r>
      <w:r>
        <w:rPr>
          <w:rFonts w:ascii="宋体" w:hAnsi="宋体"/>
          <w:sz w:val="28"/>
          <w:szCs w:val="28"/>
        </w:rPr>
        <w:t>1：工程质量保修书</w:t>
      </w:r>
      <w:bookmarkEnd w:id="98"/>
      <w:bookmarkEnd w:id="99"/>
      <w:bookmarkEnd w:id="100"/>
      <w:bookmarkEnd w:id="101"/>
      <w:bookmarkEnd w:id="102"/>
      <w:bookmarkEnd w:id="103"/>
      <w:bookmarkEnd w:id="104"/>
      <w:bookmarkEnd w:id="105"/>
      <w:bookmarkEnd w:id="106"/>
      <w:bookmarkEnd w:id="107"/>
      <w:bookmarkEnd w:id="108"/>
      <w:bookmarkEnd w:id="109"/>
      <w:bookmarkEnd w:id="116"/>
    </w:p>
    <w:p>
      <w:pPr>
        <w:spacing w:line="400" w:lineRule="exact"/>
        <w:jc w:val="center"/>
        <w:rPr>
          <w:rFonts w:ascii="黑体" w:eastAsia="黑体"/>
          <w:sz w:val="30"/>
          <w:szCs w:val="30"/>
        </w:rPr>
      </w:pPr>
      <w:r>
        <w:rPr>
          <w:rFonts w:hint="eastAsia" w:ascii="黑体" w:eastAsia="黑体"/>
          <w:b/>
          <w:sz w:val="30"/>
          <w:szCs w:val="30"/>
        </w:rPr>
        <w:t>工程质量保修书</w:t>
      </w:r>
    </w:p>
    <w:p>
      <w:pPr>
        <w:spacing w:line="400" w:lineRule="exact"/>
        <w:rPr>
          <w:rFonts w:ascii="宋体" w:hAnsi="宋体"/>
          <w:szCs w:val="21"/>
        </w:rPr>
      </w:pPr>
    </w:p>
    <w:p>
      <w:pPr>
        <w:spacing w:line="400" w:lineRule="exact"/>
        <w:rPr>
          <w:rFonts w:ascii="宋体" w:hAnsi="宋体"/>
          <w:szCs w:val="21"/>
        </w:rPr>
      </w:pPr>
      <w:permStart w:id="17" w:edGrp="everyone"/>
      <w:r>
        <w:rPr>
          <w:rFonts w:hint="eastAsia" w:ascii="宋体" w:hAnsi="宋体"/>
          <w:szCs w:val="21"/>
        </w:rPr>
        <w:t>发包人（全称）：广州市白云区水务工程建设管理中心</w:t>
      </w:r>
    </w:p>
    <w:p>
      <w:pPr>
        <w:spacing w:line="400" w:lineRule="exact"/>
        <w:rPr>
          <w:rFonts w:ascii="宋体" w:hAnsi="宋体"/>
          <w:szCs w:val="21"/>
          <w:u w:val="single"/>
        </w:rPr>
      </w:pPr>
      <w:r>
        <w:rPr>
          <w:rFonts w:hint="eastAsia" w:ascii="宋体" w:hAnsi="宋体"/>
          <w:szCs w:val="21"/>
        </w:rPr>
        <w:t>承包人（全称）：</w:t>
      </w:r>
    </w:p>
    <w:permEnd w:id="17"/>
    <w:p>
      <w:pPr>
        <w:pStyle w:val="16"/>
        <w:spacing w:line="400" w:lineRule="exact"/>
        <w:rPr>
          <w:szCs w:val="21"/>
        </w:rPr>
      </w:pPr>
      <w:r>
        <w:rPr>
          <w:rFonts w:hint="eastAsia"/>
          <w:szCs w:val="21"/>
        </w:rPr>
        <w:t>　　为保证工程在合理使用期限内正常使用，发包人、承包人协商一致签订工程质量保修书。承包人在质量保修期内按照有关管理规定及双方约定承担工程质量保修责任。</w:t>
      </w:r>
    </w:p>
    <w:p>
      <w:pPr>
        <w:spacing w:line="400" w:lineRule="exact"/>
        <w:ind w:firstLine="420" w:firstLineChars="200"/>
        <w:rPr>
          <w:rFonts w:ascii="宋体" w:hAnsi="宋体"/>
          <w:szCs w:val="21"/>
        </w:rPr>
      </w:pPr>
      <w:r>
        <w:rPr>
          <w:rFonts w:hint="eastAsia" w:ascii="宋体" w:hAnsi="宋体"/>
          <w:szCs w:val="21"/>
        </w:rPr>
        <w:t>一、工程质量保修范围和内容</w:t>
      </w:r>
    </w:p>
    <w:p>
      <w:pPr>
        <w:spacing w:line="400" w:lineRule="exact"/>
        <w:ind w:firstLine="420" w:firstLineChars="200"/>
        <w:rPr>
          <w:rFonts w:ascii="宋体" w:hAnsi="宋体"/>
          <w:szCs w:val="21"/>
        </w:rPr>
      </w:pPr>
      <w:r>
        <w:rPr>
          <w:rFonts w:hint="eastAsia"/>
          <w:szCs w:val="21"/>
        </w:rPr>
        <w:t>质量保修范围包括地基基础工程、主体结构工程、屋面防水工程和双方约定的其他土建工程，以及电气管线、上下水管线的安装工程，供热、供冷系统工程等项目。</w:t>
      </w:r>
      <w:r>
        <w:rPr>
          <w:rFonts w:hint="eastAsia" w:ascii="宋体" w:hAnsi="宋体"/>
          <w:szCs w:val="21"/>
        </w:rPr>
        <w:t>具体质量保修内容，双方约定如下：</w:t>
      </w:r>
      <w:r>
        <w:rPr>
          <w:rFonts w:hint="eastAsia" w:ascii="宋体" w:hAnsi="宋体"/>
          <w:szCs w:val="21"/>
          <w:u w:val="single"/>
        </w:rPr>
        <w:t xml:space="preserve"> 承包人施工的工程范围。</w:t>
      </w:r>
    </w:p>
    <w:p>
      <w:pPr>
        <w:spacing w:line="400" w:lineRule="exact"/>
        <w:ind w:firstLine="420" w:firstLineChars="200"/>
        <w:rPr>
          <w:rFonts w:ascii="宋体" w:hAnsi="宋体"/>
          <w:szCs w:val="21"/>
        </w:rPr>
      </w:pPr>
      <w:r>
        <w:rPr>
          <w:rFonts w:hint="eastAsia" w:ascii="宋体" w:hAnsi="宋体"/>
          <w:szCs w:val="21"/>
        </w:rPr>
        <w:t>二、质量保修期</w:t>
      </w:r>
    </w:p>
    <w:p>
      <w:pPr>
        <w:spacing w:line="400" w:lineRule="exact"/>
        <w:rPr>
          <w:rFonts w:ascii="宋体" w:hAnsi="宋体"/>
          <w:szCs w:val="21"/>
        </w:rPr>
      </w:pPr>
      <w:r>
        <w:rPr>
          <w:rFonts w:hint="eastAsia" w:ascii="宋体" w:hAnsi="宋体"/>
          <w:szCs w:val="21"/>
        </w:rPr>
        <w:t>　　质量保修期从工程实际竣工之日算起。分单项竣工验收的工程，按单项工程分别计算质量保修期。</w:t>
      </w:r>
    </w:p>
    <w:p>
      <w:pPr>
        <w:spacing w:line="400" w:lineRule="exact"/>
        <w:rPr>
          <w:rFonts w:ascii="宋体" w:hAnsi="宋体"/>
          <w:szCs w:val="21"/>
        </w:rPr>
      </w:pPr>
      <w:r>
        <w:rPr>
          <w:rFonts w:hint="eastAsia" w:ascii="宋体" w:hAnsi="宋体"/>
          <w:szCs w:val="21"/>
        </w:rPr>
        <w:t>　　双方根据国家有关规定，结合具体工程约定本工程的质量保修期如下：</w:t>
      </w:r>
    </w:p>
    <w:p>
      <w:pPr>
        <w:spacing w:line="400" w:lineRule="exact"/>
        <w:rPr>
          <w:rFonts w:ascii="宋体" w:hAnsi="宋体"/>
          <w:szCs w:val="21"/>
        </w:rPr>
      </w:pPr>
      <w:r>
        <w:rPr>
          <w:rFonts w:hint="eastAsia" w:ascii="宋体" w:hAnsi="宋体"/>
          <w:szCs w:val="21"/>
        </w:rPr>
        <w:t>1．地基基础工程、主体结构工程为设计文件规定的合理使用年限；</w:t>
      </w:r>
    </w:p>
    <w:p>
      <w:pPr>
        <w:spacing w:line="400" w:lineRule="exact"/>
        <w:rPr>
          <w:rFonts w:ascii="宋体" w:hAnsi="宋体"/>
          <w:szCs w:val="21"/>
        </w:rPr>
      </w:pPr>
      <w:r>
        <w:rPr>
          <w:rFonts w:hint="eastAsia" w:ascii="宋体" w:hAnsi="宋体"/>
          <w:szCs w:val="21"/>
        </w:rPr>
        <w:t>2．屋面防水工程、有防水要求的卫生间、房间和外墙面的防渗漏工程为</w:t>
      </w:r>
      <w:r>
        <w:rPr>
          <w:rFonts w:hint="eastAsia" w:ascii="宋体" w:hAnsi="宋体"/>
          <w:szCs w:val="21"/>
          <w:u w:val="single"/>
        </w:rPr>
        <w:t xml:space="preserve"> 五 </w:t>
      </w:r>
      <w:r>
        <w:rPr>
          <w:rFonts w:hint="eastAsia" w:ascii="宋体" w:hAnsi="宋体"/>
          <w:szCs w:val="21"/>
        </w:rPr>
        <w:t>年；</w:t>
      </w:r>
    </w:p>
    <w:p>
      <w:pPr>
        <w:spacing w:line="400" w:lineRule="exact"/>
        <w:rPr>
          <w:rFonts w:ascii="宋体" w:hAnsi="宋体"/>
          <w:szCs w:val="21"/>
        </w:rPr>
      </w:pPr>
      <w:r>
        <w:rPr>
          <w:rFonts w:hint="eastAsia" w:ascii="宋体" w:hAnsi="宋体"/>
          <w:szCs w:val="21"/>
        </w:rPr>
        <w:t>3．电气管线工程、给排水管道工程、设备安装工程为</w:t>
      </w:r>
      <w:r>
        <w:rPr>
          <w:rFonts w:hint="eastAsia" w:ascii="宋体" w:hAnsi="宋体"/>
          <w:szCs w:val="21"/>
          <w:u w:val="single"/>
        </w:rPr>
        <w:t xml:space="preserve"> 两 </w:t>
      </w:r>
      <w:r>
        <w:rPr>
          <w:rFonts w:hint="eastAsia" w:ascii="宋体" w:hAnsi="宋体"/>
          <w:szCs w:val="21"/>
        </w:rPr>
        <w:t>年；</w:t>
      </w:r>
    </w:p>
    <w:p>
      <w:pPr>
        <w:spacing w:line="400" w:lineRule="exact"/>
        <w:rPr>
          <w:rFonts w:ascii="宋体" w:hAnsi="宋体"/>
          <w:szCs w:val="21"/>
        </w:rPr>
      </w:pPr>
      <w:r>
        <w:rPr>
          <w:rFonts w:hint="eastAsia" w:ascii="宋体" w:hAnsi="宋体"/>
          <w:szCs w:val="21"/>
        </w:rPr>
        <w:t>4．供热、供冷系统工程为</w:t>
      </w:r>
      <w:r>
        <w:rPr>
          <w:rFonts w:hint="eastAsia" w:ascii="宋体" w:hAnsi="宋体"/>
          <w:szCs w:val="21"/>
          <w:u w:val="single"/>
        </w:rPr>
        <w:t xml:space="preserve">  两 </w:t>
      </w:r>
      <w:r>
        <w:rPr>
          <w:rFonts w:hint="eastAsia" w:ascii="宋体" w:hAnsi="宋体"/>
          <w:szCs w:val="21"/>
        </w:rPr>
        <w:t>个采暖期、供冷期；</w:t>
      </w:r>
    </w:p>
    <w:p>
      <w:pPr>
        <w:spacing w:line="400" w:lineRule="exact"/>
        <w:rPr>
          <w:rFonts w:ascii="宋体" w:hAnsi="宋体"/>
          <w:szCs w:val="21"/>
        </w:rPr>
      </w:pPr>
      <w:r>
        <w:rPr>
          <w:rFonts w:hint="eastAsia" w:ascii="宋体" w:hAnsi="宋体"/>
          <w:szCs w:val="21"/>
        </w:rPr>
        <w:t>5．装饰装修工程为</w:t>
      </w:r>
      <w:r>
        <w:rPr>
          <w:rFonts w:hint="eastAsia" w:ascii="宋体" w:hAnsi="宋体"/>
          <w:szCs w:val="21"/>
          <w:u w:val="single"/>
        </w:rPr>
        <w:t xml:space="preserve">  两  </w:t>
      </w:r>
      <w:r>
        <w:rPr>
          <w:rFonts w:hint="eastAsia" w:ascii="宋体" w:hAnsi="宋体"/>
          <w:szCs w:val="21"/>
        </w:rPr>
        <w:t>年；</w:t>
      </w:r>
    </w:p>
    <w:p>
      <w:pPr>
        <w:spacing w:line="400" w:lineRule="exact"/>
        <w:rPr>
          <w:rFonts w:ascii="宋体" w:hAnsi="宋体"/>
          <w:szCs w:val="21"/>
        </w:rPr>
      </w:pPr>
      <w:r>
        <w:rPr>
          <w:rFonts w:hint="eastAsia" w:ascii="宋体" w:hAnsi="宋体"/>
          <w:szCs w:val="21"/>
        </w:rPr>
        <w:t xml:space="preserve">6．其他项目 </w:t>
      </w:r>
      <w:r>
        <w:rPr>
          <w:rFonts w:hint="eastAsia" w:ascii="宋体" w:hAnsi="宋体"/>
          <w:szCs w:val="21"/>
          <w:u w:val="single"/>
        </w:rPr>
        <w:t xml:space="preserve">   两 </w:t>
      </w:r>
      <w:r>
        <w:rPr>
          <w:rFonts w:hint="eastAsia" w:ascii="宋体" w:hAnsi="宋体"/>
          <w:szCs w:val="21"/>
        </w:rPr>
        <w:t>年。</w:t>
      </w:r>
    </w:p>
    <w:p>
      <w:pPr>
        <w:spacing w:line="400" w:lineRule="exact"/>
        <w:ind w:firstLine="420" w:firstLineChars="200"/>
        <w:rPr>
          <w:rFonts w:ascii="宋体" w:hAnsi="宋体"/>
          <w:szCs w:val="21"/>
        </w:rPr>
      </w:pPr>
      <w:r>
        <w:rPr>
          <w:rFonts w:hint="eastAsia" w:ascii="宋体" w:hAnsi="宋体"/>
          <w:szCs w:val="21"/>
        </w:rPr>
        <w:t>三、质量保修责任</w:t>
      </w:r>
    </w:p>
    <w:p>
      <w:pPr>
        <w:spacing w:line="400" w:lineRule="exact"/>
        <w:rPr>
          <w:rFonts w:ascii="宋体" w:hAnsi="宋体"/>
          <w:szCs w:val="21"/>
        </w:rPr>
      </w:pPr>
      <w:r>
        <w:rPr>
          <w:rFonts w:hint="eastAsia" w:ascii="宋体" w:hAnsi="宋体"/>
          <w:szCs w:val="21"/>
        </w:rPr>
        <w:t>　　1.属于保修范围、内容的项目，承包人应当在接到保修通知之日起</w:t>
      </w:r>
      <w:r>
        <w:rPr>
          <w:rFonts w:ascii="宋体" w:hAnsi="宋体"/>
          <w:szCs w:val="21"/>
        </w:rPr>
        <w:t>7</w:t>
      </w:r>
      <w:r>
        <w:rPr>
          <w:rFonts w:hint="eastAsia" w:ascii="宋体" w:hAnsi="宋体"/>
          <w:szCs w:val="21"/>
        </w:rPr>
        <w:t>天内派人修理。承包人不在约定期限内派人修理，发包人可以委托其他人员修理，保修费用从质量保修金内扣除。</w:t>
      </w:r>
    </w:p>
    <w:p>
      <w:pPr>
        <w:spacing w:line="400" w:lineRule="exact"/>
        <w:rPr>
          <w:rFonts w:ascii="宋体" w:hAnsi="宋体"/>
          <w:szCs w:val="21"/>
        </w:rPr>
      </w:pPr>
      <w:r>
        <w:rPr>
          <w:rFonts w:hint="eastAsia" w:ascii="宋体" w:hAnsi="宋体"/>
          <w:szCs w:val="21"/>
        </w:rPr>
        <w:t>　　2.发生紧急抢修事故的（如上水跑水、暖气漏水漏气、燃气漏气等），承包人在接到事故通知后，应当立即到达事故现场抢修。非承包人施工质量引起的事故，抢修费用由发包人承担。</w:t>
      </w:r>
    </w:p>
    <w:p>
      <w:pPr>
        <w:spacing w:line="400" w:lineRule="exact"/>
        <w:rPr>
          <w:rFonts w:ascii="宋体" w:hAnsi="宋体"/>
          <w:szCs w:val="21"/>
        </w:rPr>
      </w:pPr>
      <w:r>
        <w:rPr>
          <w:rFonts w:hint="eastAsia" w:ascii="宋体" w:hAnsi="宋体"/>
          <w:szCs w:val="21"/>
        </w:rPr>
        <w:t>　　3.在国家规定的工程合理使用期限内，承包人确保地基基础工程和主体结构的质量。因承包人原因致使工程在合理使用期限内造成人身和财产损害的，承包人应承担损害赔偿责任。</w:t>
      </w:r>
    </w:p>
    <w:p>
      <w:pPr>
        <w:spacing w:line="400" w:lineRule="exact"/>
        <w:ind w:firstLine="420" w:firstLineChars="200"/>
        <w:rPr>
          <w:rFonts w:ascii="宋体" w:hAnsi="宋体"/>
          <w:szCs w:val="21"/>
        </w:rPr>
      </w:pPr>
      <w:r>
        <w:rPr>
          <w:rFonts w:hint="eastAsia" w:ascii="宋体" w:hAnsi="宋体"/>
          <w:szCs w:val="21"/>
        </w:rPr>
        <w:t>四、质量保修金的支付</w:t>
      </w:r>
    </w:p>
    <w:p>
      <w:pPr>
        <w:spacing w:line="400" w:lineRule="exact"/>
        <w:rPr>
          <w:rFonts w:ascii="宋体" w:hAnsi="宋体"/>
          <w:szCs w:val="21"/>
        </w:rPr>
      </w:pPr>
      <w:r>
        <w:rPr>
          <w:rFonts w:hint="eastAsia" w:ascii="宋体" w:hAnsi="宋体"/>
          <w:szCs w:val="21"/>
        </w:rPr>
        <w:t>　　工程质量保修金一般不超过施工结算评审价的</w:t>
      </w:r>
      <w:r>
        <w:rPr>
          <w:rFonts w:ascii="宋体" w:hAnsi="宋体"/>
          <w:szCs w:val="21"/>
        </w:rPr>
        <w:t>3</w:t>
      </w:r>
      <w:r>
        <w:rPr>
          <w:rFonts w:hint="eastAsia" w:ascii="宋体" w:hAnsi="宋体"/>
          <w:szCs w:val="21"/>
        </w:rPr>
        <w:t>％，本工程约定的工程质量保修金为</w:t>
      </w:r>
      <w:r>
        <w:rPr>
          <w:rFonts w:hint="eastAsia" w:ascii="宋体" w:hAnsi="宋体"/>
          <w:szCs w:val="21"/>
          <w:u w:val="single"/>
        </w:rPr>
        <w:t>施工结算评审价</w:t>
      </w:r>
      <w:r>
        <w:rPr>
          <w:rFonts w:hint="eastAsia" w:ascii="宋体" w:hAnsi="宋体"/>
          <w:szCs w:val="21"/>
        </w:rPr>
        <w:t>的</w:t>
      </w:r>
      <w:r>
        <w:rPr>
          <w:rFonts w:ascii="宋体" w:hAnsi="宋体"/>
          <w:szCs w:val="21"/>
          <w:u w:val="single"/>
        </w:rPr>
        <w:t>3</w:t>
      </w:r>
      <w:r>
        <w:rPr>
          <w:rFonts w:hint="eastAsia" w:ascii="宋体" w:hAnsi="宋体"/>
          <w:szCs w:val="21"/>
        </w:rPr>
        <w:t>％。</w:t>
      </w:r>
    </w:p>
    <w:p>
      <w:pPr>
        <w:spacing w:line="400" w:lineRule="exact"/>
        <w:rPr>
          <w:rFonts w:ascii="宋体" w:hAnsi="宋体"/>
          <w:szCs w:val="21"/>
        </w:rPr>
      </w:pPr>
      <w:r>
        <w:rPr>
          <w:rFonts w:hint="eastAsia" w:ascii="宋体" w:hAnsi="宋体"/>
          <w:szCs w:val="21"/>
        </w:rPr>
        <w:t>　　本工程双方约定承包人向发包人支付工程质量保修金金额为</w:t>
      </w:r>
      <w:r>
        <w:rPr>
          <w:rFonts w:hint="eastAsia" w:ascii="宋体" w:hAnsi="宋体"/>
          <w:szCs w:val="21"/>
          <w:u w:val="single"/>
        </w:rPr>
        <w:t xml:space="preserve">  /  </w:t>
      </w:r>
      <w:r>
        <w:rPr>
          <w:rFonts w:hint="eastAsia" w:ascii="宋体" w:hAnsi="宋体"/>
          <w:szCs w:val="21"/>
        </w:rPr>
        <w:t>（大写）。质量保修金银行利率为</w:t>
      </w:r>
      <w:r>
        <w:rPr>
          <w:rFonts w:hint="eastAsia" w:ascii="宋体" w:hAnsi="宋体"/>
          <w:szCs w:val="21"/>
          <w:u w:val="single"/>
        </w:rPr>
        <w:t xml:space="preserve"> 零 </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五、质量保修金的返还</w:t>
      </w:r>
    </w:p>
    <w:p>
      <w:pPr>
        <w:spacing w:line="400" w:lineRule="exact"/>
        <w:rPr>
          <w:rFonts w:ascii="宋体" w:hAnsi="宋体"/>
          <w:szCs w:val="21"/>
        </w:rPr>
      </w:pPr>
      <w:r>
        <w:rPr>
          <w:rFonts w:hint="eastAsia" w:ascii="宋体" w:hAnsi="宋体"/>
          <w:szCs w:val="21"/>
        </w:rPr>
        <w:t>　　发包人在缺陷责任期满后28天内，将剩余保修金返还承包人（无息）。</w:t>
      </w:r>
    </w:p>
    <w:p>
      <w:pPr>
        <w:spacing w:line="400" w:lineRule="exact"/>
        <w:ind w:firstLine="420" w:firstLineChars="200"/>
        <w:rPr>
          <w:rFonts w:ascii="宋体" w:hAnsi="宋体"/>
          <w:szCs w:val="21"/>
        </w:rPr>
      </w:pPr>
      <w:r>
        <w:rPr>
          <w:rFonts w:hint="eastAsia" w:ascii="宋体" w:hAnsi="宋体"/>
          <w:szCs w:val="21"/>
        </w:rPr>
        <w:t>六、其他</w:t>
      </w:r>
    </w:p>
    <w:p>
      <w:pPr>
        <w:spacing w:line="400" w:lineRule="exact"/>
        <w:rPr>
          <w:rFonts w:ascii="宋体" w:hAnsi="宋体"/>
          <w:szCs w:val="21"/>
        </w:rPr>
      </w:pPr>
      <w:r>
        <w:rPr>
          <w:rFonts w:hint="eastAsia" w:ascii="宋体" w:hAnsi="宋体"/>
          <w:szCs w:val="21"/>
        </w:rPr>
        <w:t>　　双方约定的其他质量保修事项：</w:t>
      </w:r>
      <w:r>
        <w:rPr>
          <w:rFonts w:hint="eastAsia" w:ascii="宋体" w:hAnsi="宋体"/>
          <w:szCs w:val="21"/>
          <w:u w:val="single"/>
        </w:rPr>
        <w:t>发包人扣留工程施工结算评审价的</w:t>
      </w:r>
      <w:r>
        <w:rPr>
          <w:rFonts w:ascii="宋体" w:hAnsi="宋体"/>
          <w:szCs w:val="21"/>
          <w:u w:val="single"/>
        </w:rPr>
        <w:t>3</w:t>
      </w:r>
      <w:r>
        <w:rPr>
          <w:rFonts w:hint="eastAsia" w:ascii="宋体" w:hAnsi="宋体"/>
          <w:szCs w:val="21"/>
          <w:u w:val="single"/>
        </w:rPr>
        <w:t>％作为缺陷责任期的保证金，待缺陷责任期满后28天内支付给承包人（无息）。</w:t>
      </w:r>
    </w:p>
    <w:p>
      <w:pPr>
        <w:spacing w:line="400" w:lineRule="exact"/>
        <w:rPr>
          <w:rFonts w:ascii="宋体" w:hAnsi="宋体"/>
          <w:szCs w:val="21"/>
        </w:rPr>
      </w:pPr>
      <w:r>
        <w:rPr>
          <w:rFonts w:hint="eastAsia" w:ascii="宋体" w:hAnsi="宋体"/>
          <w:szCs w:val="21"/>
        </w:rPr>
        <w:t>　　本工程质量保修书作为施工合同附件，由发包人、承包人双方共同签署。</w:t>
      </w:r>
    </w:p>
    <w:p>
      <w:pPr>
        <w:spacing w:line="400" w:lineRule="exact"/>
        <w:rPr>
          <w:rFonts w:ascii="宋体" w:hAnsi="宋体"/>
          <w:szCs w:val="21"/>
        </w:rPr>
      </w:pPr>
    </w:p>
    <w:tbl>
      <w:tblPr>
        <w:tblStyle w:val="39"/>
        <w:tblW w:w="9513" w:type="dxa"/>
        <w:tblInd w:w="93" w:type="dxa"/>
        <w:tblLayout w:type="fixed"/>
        <w:tblCellMar>
          <w:top w:w="15" w:type="dxa"/>
          <w:left w:w="108" w:type="dxa"/>
          <w:bottom w:w="15" w:type="dxa"/>
          <w:right w:w="108" w:type="dxa"/>
        </w:tblCellMar>
      </w:tblPr>
      <w:tblGrid>
        <w:gridCol w:w="4860"/>
        <w:gridCol w:w="4653"/>
      </w:tblGrid>
      <w:tr>
        <w:tblPrEx>
          <w:tblCellMar>
            <w:top w:w="15" w:type="dxa"/>
            <w:left w:w="108" w:type="dxa"/>
            <w:bottom w:w="15" w:type="dxa"/>
            <w:right w:w="108" w:type="dxa"/>
          </w:tblCellMar>
        </w:tblPrEx>
        <w:trPr>
          <w:trHeight w:val="1020" w:hRule="atLeast"/>
        </w:trPr>
        <w:tc>
          <w:tcPr>
            <w:tcW w:w="4860" w:type="dxa"/>
            <w:vAlign w:val="center"/>
          </w:tcPr>
          <w:p>
            <w:pPr>
              <w:widowControl/>
              <w:jc w:val="left"/>
              <w:rPr>
                <w:rFonts w:ascii="宋体" w:hAnsi="宋体" w:cs="宋体"/>
                <w:color w:val="000000"/>
                <w:kern w:val="0"/>
                <w:szCs w:val="21"/>
              </w:rPr>
            </w:pPr>
            <w:bookmarkStart w:id="117" w:name="_Toc477982306"/>
            <w:bookmarkStart w:id="118" w:name="_Toc484082395"/>
            <w:bookmarkStart w:id="119" w:name="_Toc259462343"/>
            <w:bookmarkStart w:id="120" w:name="_Toc478424893"/>
            <w:bookmarkStart w:id="121" w:name="_Toc289454020"/>
            <w:bookmarkStart w:id="122" w:name="_Toc477970721"/>
            <w:bookmarkStart w:id="123" w:name="_Toc484082721"/>
            <w:bookmarkStart w:id="124" w:name="_Toc369188650"/>
            <w:bookmarkStart w:id="125" w:name="_Toc484108967"/>
            <w:bookmarkStart w:id="126" w:name="_Toc399756565"/>
            <w:bookmarkStart w:id="127" w:name="_Toc478303279"/>
            <w:bookmarkStart w:id="128" w:name="_Toc484108912"/>
            <w:permStart w:id="18" w:edGrp="everyone"/>
            <w:r>
              <w:rPr>
                <w:rFonts w:hint="eastAsia" w:ascii="宋体" w:hAnsi="宋体" w:cs="宋体"/>
                <w:color w:val="000000"/>
                <w:kern w:val="0"/>
                <w:szCs w:val="21"/>
              </w:rPr>
              <w:t>发包人： 广州市白云区水务工程建设管理中心</w:t>
            </w:r>
            <w:r>
              <w:rPr>
                <w:rFonts w:hint="eastAsia" w:ascii="宋体" w:hAnsi="宋体" w:cs="宋体"/>
                <w:color w:val="000000"/>
                <w:kern w:val="0"/>
                <w:szCs w:val="21"/>
              </w:rPr>
              <w:br w:type="textWrapping"/>
            </w:r>
            <w:r>
              <w:rPr>
                <w:rFonts w:hint="eastAsia" w:ascii="宋体" w:hAnsi="宋体" w:cs="宋体"/>
                <w:color w:val="000000"/>
                <w:kern w:val="0"/>
                <w:szCs w:val="21"/>
              </w:rPr>
              <w:t xml:space="preserve">        （盖章）</w:t>
            </w:r>
          </w:p>
        </w:tc>
        <w:tc>
          <w:tcPr>
            <w:tcW w:w="4653" w:type="dxa"/>
            <w:vAlign w:val="center"/>
          </w:tcPr>
          <w:p>
            <w:pPr>
              <w:widowControl/>
              <w:ind w:right="-3395" w:rightChars="-1617"/>
              <w:jc w:val="left"/>
              <w:rPr>
                <w:rFonts w:ascii="宋体" w:hAnsi="宋体" w:cs="宋体"/>
                <w:color w:val="000000"/>
                <w:kern w:val="0"/>
                <w:sz w:val="22"/>
              </w:rPr>
            </w:pPr>
            <w:r>
              <w:rPr>
                <w:rFonts w:hint="eastAsia" w:ascii="宋体" w:hAnsi="宋体" w:cs="宋体"/>
                <w:color w:val="000000"/>
                <w:kern w:val="0"/>
                <w:sz w:val="22"/>
              </w:rPr>
              <w:t>承包人（主）</w:t>
            </w:r>
            <w:r>
              <w:rPr>
                <w:rFonts w:hint="eastAsia" w:ascii="宋体" w:hAnsi="宋体" w:cs="宋体"/>
                <w:color w:val="000000"/>
                <w:kern w:val="0"/>
                <w:szCs w:val="21"/>
              </w:rPr>
              <w:t>：</w:t>
            </w:r>
            <w:r>
              <w:rPr>
                <w:rFonts w:hint="eastAsia" w:ascii="宋体" w:hAnsi="宋体" w:cs="宋体"/>
                <w:color w:val="000000"/>
                <w:kern w:val="0"/>
                <w:sz w:val="22"/>
              </w:rPr>
              <w:t>XXX</w:t>
            </w:r>
            <w:r>
              <w:rPr>
                <w:rFonts w:hint="eastAsia" w:ascii="宋体" w:hAnsi="宋体" w:cs="宋体"/>
                <w:color w:val="000000"/>
                <w:kern w:val="0"/>
                <w:sz w:val="22"/>
              </w:rPr>
              <w:br w:type="textWrapping"/>
            </w:r>
            <w:r>
              <w:rPr>
                <w:rFonts w:hint="eastAsia" w:ascii="宋体" w:hAnsi="宋体" w:cs="宋体"/>
                <w:color w:val="000000"/>
                <w:kern w:val="0"/>
                <w:sz w:val="22"/>
              </w:rPr>
              <w:t xml:space="preserve">      （盖章）</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法定代表人：</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法定代表人：</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或委托代理人：</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或委托代理人：</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经办人：</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经办人：</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地址：广州市白云区大金钟路19号金景大厦二楼</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地址：</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电话：</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电话：</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传真：</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传真：</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开户银行：</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开户银行：</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账号：</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账号：</w:t>
            </w:r>
          </w:p>
        </w:tc>
      </w:tr>
      <w:tr>
        <w:tblPrEx>
          <w:tblCellMar>
            <w:top w:w="15" w:type="dxa"/>
            <w:left w:w="108" w:type="dxa"/>
            <w:bottom w:w="15" w:type="dxa"/>
            <w:right w:w="108" w:type="dxa"/>
          </w:tblCellMar>
        </w:tblPrEx>
        <w:trPr>
          <w:trHeight w:val="286" w:hRule="atLeast"/>
        </w:trPr>
        <w:tc>
          <w:tcPr>
            <w:tcW w:w="4860" w:type="dxa"/>
            <w:vAlign w:val="center"/>
          </w:tcPr>
          <w:p>
            <w:pPr>
              <w:widowControl/>
              <w:rPr>
                <w:rFonts w:ascii="宋体" w:hAnsi="宋体" w:cs="宋体"/>
                <w:color w:val="000000"/>
                <w:kern w:val="0"/>
                <w:szCs w:val="21"/>
              </w:rPr>
            </w:pPr>
            <w:r>
              <w:rPr>
                <w:rFonts w:hint="eastAsia" w:ascii="宋体" w:hAnsi="宋体" w:cs="宋体"/>
                <w:color w:val="000000"/>
                <w:kern w:val="0"/>
                <w:szCs w:val="21"/>
              </w:rPr>
              <w:t>邮政编码：</w:t>
            </w:r>
          </w:p>
        </w:tc>
        <w:tc>
          <w:tcPr>
            <w:tcW w:w="4653" w:type="dxa"/>
            <w:vAlign w:val="center"/>
          </w:tcPr>
          <w:p>
            <w:pPr>
              <w:widowControl/>
              <w:rPr>
                <w:rFonts w:ascii="宋体" w:hAnsi="宋体" w:cs="宋体"/>
                <w:color w:val="000000"/>
                <w:kern w:val="0"/>
                <w:szCs w:val="21"/>
              </w:rPr>
            </w:pPr>
            <w:r>
              <w:rPr>
                <w:rFonts w:hint="eastAsia" w:ascii="宋体" w:hAnsi="宋体" w:cs="宋体"/>
                <w:color w:val="000000"/>
                <w:kern w:val="0"/>
                <w:szCs w:val="21"/>
              </w:rPr>
              <w:t>邮政编码：</w:t>
            </w:r>
          </w:p>
        </w:tc>
      </w:tr>
    </w:tbl>
    <w:p>
      <w:pPr>
        <w:keepNext/>
        <w:keepLines/>
        <w:spacing w:before="120" w:after="120" w:line="416" w:lineRule="auto"/>
        <w:outlineLvl w:val="1"/>
        <w:rPr>
          <w:b/>
          <w:bCs/>
          <w:sz w:val="32"/>
          <w:szCs w:val="21"/>
        </w:rPr>
      </w:pPr>
    </w:p>
    <w:tbl>
      <w:tblPr>
        <w:tblStyle w:val="39"/>
        <w:tblW w:w="9513" w:type="dxa"/>
        <w:tblInd w:w="93" w:type="dxa"/>
        <w:tblLayout w:type="fixed"/>
        <w:tblCellMar>
          <w:top w:w="15" w:type="dxa"/>
          <w:left w:w="108" w:type="dxa"/>
          <w:bottom w:w="15" w:type="dxa"/>
          <w:right w:w="108" w:type="dxa"/>
        </w:tblCellMar>
      </w:tblPr>
      <w:tblGrid>
        <w:gridCol w:w="4860"/>
        <w:gridCol w:w="4653"/>
      </w:tblGrid>
      <w:tr>
        <w:tblPrEx>
          <w:tblCellMar>
            <w:top w:w="15" w:type="dxa"/>
            <w:left w:w="108" w:type="dxa"/>
            <w:bottom w:w="15" w:type="dxa"/>
            <w:right w:w="108" w:type="dxa"/>
          </w:tblCellMar>
        </w:tblPrEx>
        <w:trPr>
          <w:trHeight w:val="1020"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 w:val="22"/>
              </w:rPr>
              <w:t>承包人（成）</w:t>
            </w:r>
            <w:r>
              <w:rPr>
                <w:rFonts w:hint="eastAsia" w:ascii="宋体" w:hAnsi="宋体" w:cs="宋体"/>
                <w:color w:val="000000"/>
                <w:kern w:val="0"/>
                <w:szCs w:val="21"/>
              </w:rPr>
              <w:t>：</w:t>
            </w:r>
            <w:r>
              <w:rPr>
                <w:rFonts w:hint="eastAsia" w:ascii="宋体" w:hAnsi="宋体" w:cs="宋体"/>
                <w:color w:val="000000"/>
                <w:kern w:val="0"/>
                <w:sz w:val="22"/>
              </w:rPr>
              <w:t>XXX</w:t>
            </w:r>
            <w:r>
              <w:rPr>
                <w:rFonts w:hint="eastAsia" w:ascii="宋体" w:hAnsi="宋体" w:cs="宋体"/>
                <w:color w:val="000000"/>
                <w:kern w:val="0"/>
                <w:szCs w:val="21"/>
              </w:rPr>
              <w:br w:type="textWrapping"/>
            </w:r>
            <w:r>
              <w:rPr>
                <w:rFonts w:hint="eastAsia" w:ascii="宋体" w:hAnsi="宋体" w:cs="宋体"/>
                <w:color w:val="000000"/>
                <w:kern w:val="0"/>
                <w:szCs w:val="21"/>
              </w:rPr>
              <w:t xml:space="preserve">      （盖章）</w:t>
            </w:r>
          </w:p>
        </w:tc>
        <w:tc>
          <w:tcPr>
            <w:tcW w:w="4653" w:type="dxa"/>
            <w:vAlign w:val="center"/>
          </w:tcPr>
          <w:p>
            <w:pPr>
              <w:widowControl/>
              <w:ind w:right="-3395" w:rightChars="-1617"/>
              <w:jc w:val="left"/>
              <w:rPr>
                <w:rFonts w:ascii="宋体" w:hAnsi="宋体" w:cs="宋体"/>
                <w:color w:val="000000"/>
                <w:kern w:val="0"/>
                <w:sz w:val="22"/>
              </w:rPr>
            </w:pPr>
            <w:r>
              <w:rPr>
                <w:rFonts w:hint="eastAsia" w:ascii="宋体" w:hAnsi="宋体" w:cs="宋体"/>
                <w:color w:val="000000"/>
                <w:kern w:val="0"/>
                <w:sz w:val="22"/>
              </w:rPr>
              <w:t>承包人（成）</w:t>
            </w:r>
            <w:r>
              <w:rPr>
                <w:rFonts w:hint="eastAsia" w:ascii="宋体" w:hAnsi="宋体" w:cs="宋体"/>
                <w:color w:val="000000"/>
                <w:kern w:val="0"/>
                <w:szCs w:val="21"/>
              </w:rPr>
              <w:t>：</w:t>
            </w:r>
            <w:r>
              <w:rPr>
                <w:rFonts w:hint="eastAsia" w:ascii="宋体" w:hAnsi="宋体" w:cs="宋体"/>
                <w:color w:val="000000"/>
                <w:kern w:val="0"/>
                <w:sz w:val="22"/>
              </w:rPr>
              <w:t>XXX</w:t>
            </w:r>
            <w:r>
              <w:rPr>
                <w:rFonts w:hint="eastAsia" w:ascii="宋体" w:hAnsi="宋体" w:cs="宋体"/>
                <w:color w:val="000000"/>
                <w:kern w:val="0"/>
                <w:sz w:val="22"/>
              </w:rPr>
              <w:br w:type="textWrapping"/>
            </w:r>
            <w:r>
              <w:rPr>
                <w:rFonts w:hint="eastAsia" w:ascii="宋体" w:hAnsi="宋体" w:cs="宋体"/>
                <w:color w:val="000000"/>
                <w:kern w:val="0"/>
                <w:sz w:val="22"/>
              </w:rPr>
              <w:t xml:space="preserve">      （盖章）</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法定代表人：</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法定代表人：</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或委托代理人：</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或委托代理人：</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经办人：</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经办人：</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地址：</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地址：</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电话：</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电话：</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传真：</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传真：</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开户银行：</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开户银行：</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账号：</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账号：</w:t>
            </w:r>
          </w:p>
        </w:tc>
      </w:tr>
      <w:tr>
        <w:tblPrEx>
          <w:tblCellMar>
            <w:top w:w="15" w:type="dxa"/>
            <w:left w:w="108" w:type="dxa"/>
            <w:bottom w:w="15" w:type="dxa"/>
            <w:right w:w="108" w:type="dxa"/>
          </w:tblCellMar>
        </w:tblPrEx>
        <w:trPr>
          <w:trHeight w:val="286" w:hRule="atLeast"/>
        </w:trPr>
        <w:tc>
          <w:tcPr>
            <w:tcW w:w="4860" w:type="dxa"/>
            <w:vAlign w:val="center"/>
          </w:tcPr>
          <w:p>
            <w:pPr>
              <w:widowControl/>
              <w:rPr>
                <w:rFonts w:ascii="宋体" w:hAnsi="宋体" w:cs="宋体"/>
                <w:color w:val="000000"/>
                <w:kern w:val="0"/>
                <w:szCs w:val="21"/>
              </w:rPr>
            </w:pPr>
            <w:r>
              <w:rPr>
                <w:rFonts w:hint="eastAsia" w:ascii="宋体" w:hAnsi="宋体" w:cs="宋体"/>
                <w:color w:val="000000"/>
                <w:kern w:val="0"/>
                <w:szCs w:val="21"/>
              </w:rPr>
              <w:t>邮政编码：</w:t>
            </w:r>
          </w:p>
        </w:tc>
        <w:tc>
          <w:tcPr>
            <w:tcW w:w="4653" w:type="dxa"/>
            <w:vAlign w:val="center"/>
          </w:tcPr>
          <w:p>
            <w:pPr>
              <w:widowControl/>
              <w:rPr>
                <w:rFonts w:ascii="宋体" w:hAnsi="宋体" w:cs="宋体"/>
                <w:color w:val="000000"/>
                <w:kern w:val="0"/>
                <w:szCs w:val="21"/>
              </w:rPr>
            </w:pPr>
            <w:r>
              <w:rPr>
                <w:rFonts w:hint="eastAsia" w:ascii="宋体" w:hAnsi="宋体" w:cs="宋体"/>
                <w:color w:val="000000"/>
                <w:kern w:val="0"/>
                <w:szCs w:val="21"/>
              </w:rPr>
              <w:t>邮政编码：</w:t>
            </w:r>
          </w:p>
        </w:tc>
      </w:tr>
    </w:tbl>
    <w:p>
      <w:pPr>
        <w:spacing w:line="336" w:lineRule="auto"/>
        <w:rPr>
          <w:rFonts w:ascii="宋体" w:hAnsi="宋体"/>
          <w:kern w:val="0"/>
          <w:szCs w:val="21"/>
        </w:rPr>
        <w:sectPr>
          <w:pgSz w:w="11907" w:h="16840"/>
          <w:pgMar w:top="1559" w:right="1418" w:bottom="1247" w:left="1440" w:header="851" w:footer="992" w:gutter="0"/>
          <w:cols w:space="720" w:num="1"/>
          <w:docGrid w:type="linesAndChars" w:linePitch="312" w:charSpace="0"/>
        </w:sectPr>
      </w:pPr>
    </w:p>
    <w:permEnd w:id="18"/>
    <w:p>
      <w:pPr>
        <w:pStyle w:val="3"/>
        <w:pageBreakBefore/>
        <w:spacing w:before="120" w:after="0" w:line="240" w:lineRule="auto"/>
        <w:rPr>
          <w:rFonts w:ascii="宋体" w:hAnsi="宋体"/>
          <w:sz w:val="28"/>
          <w:szCs w:val="28"/>
        </w:rPr>
      </w:pPr>
      <w:bookmarkStart w:id="129" w:name="_Toc2016_WPSOffice_Level1"/>
      <w:r>
        <w:rPr>
          <w:rFonts w:hint="eastAsia" w:ascii="宋体" w:hAnsi="宋体"/>
          <w:sz w:val="28"/>
          <w:szCs w:val="28"/>
        </w:rPr>
        <w:t>附件2：</w:t>
      </w:r>
      <w:r>
        <w:rPr>
          <w:rFonts w:ascii="宋体" w:hAnsi="宋体"/>
          <w:sz w:val="28"/>
          <w:szCs w:val="28"/>
        </w:rPr>
        <w:t>工程质量终身负责承诺书</w:t>
      </w:r>
      <w:bookmarkEnd w:id="110"/>
      <w:bookmarkEnd w:id="111"/>
      <w:bookmarkEnd w:id="112"/>
      <w:bookmarkEnd w:id="117"/>
      <w:bookmarkEnd w:id="118"/>
      <w:bookmarkEnd w:id="119"/>
      <w:bookmarkEnd w:id="120"/>
      <w:bookmarkEnd w:id="121"/>
      <w:bookmarkEnd w:id="122"/>
      <w:bookmarkEnd w:id="123"/>
      <w:bookmarkEnd w:id="124"/>
      <w:bookmarkEnd w:id="125"/>
      <w:bookmarkEnd w:id="126"/>
      <w:bookmarkEnd w:id="127"/>
      <w:bookmarkEnd w:id="128"/>
      <w:bookmarkEnd w:id="129"/>
    </w:p>
    <w:p>
      <w:pPr>
        <w:rPr>
          <w:rFonts w:ascii="宋体" w:hAnsi="宋体"/>
          <w:szCs w:val="21"/>
        </w:rPr>
      </w:pPr>
    </w:p>
    <w:p>
      <w:pPr>
        <w:jc w:val="center"/>
        <w:rPr>
          <w:rFonts w:ascii="宋体" w:hAnsi="宋体"/>
          <w:b/>
          <w:sz w:val="30"/>
          <w:szCs w:val="30"/>
        </w:rPr>
      </w:pPr>
      <w:r>
        <w:rPr>
          <w:rFonts w:ascii="宋体" w:hAnsi="宋体"/>
          <w:b/>
          <w:sz w:val="30"/>
          <w:szCs w:val="30"/>
        </w:rPr>
        <w:t>工程质量终身负责承诺书</w:t>
      </w:r>
    </w:p>
    <w:p>
      <w:pPr>
        <w:rPr>
          <w:rFonts w:ascii="宋体" w:hAnsi="宋体"/>
          <w:szCs w:val="21"/>
        </w:rPr>
      </w:pPr>
    </w:p>
    <w:p>
      <w:pPr>
        <w:spacing w:line="360" w:lineRule="auto"/>
        <w:rPr>
          <w:rFonts w:ascii="宋体" w:hAnsi="宋体"/>
          <w:szCs w:val="21"/>
          <w:u w:val="single"/>
        </w:rPr>
      </w:pPr>
      <w:r>
        <w:rPr>
          <w:rFonts w:hint="eastAsia" w:ascii="宋体" w:hAnsi="宋体"/>
          <w:szCs w:val="21"/>
          <w:u w:val="single"/>
        </w:rPr>
        <w:t>（发包人名称）</w:t>
      </w:r>
      <w:r>
        <w:rPr>
          <w:rFonts w:ascii="宋体" w:hAnsi="宋体"/>
          <w:szCs w:val="21"/>
          <w:u w:val="single"/>
        </w:rPr>
        <w:t>：</w:t>
      </w:r>
      <w:r>
        <w:rPr>
          <w:rFonts w:hint="eastAsia" w:ascii="宋体" w:hAnsi="宋体"/>
          <w:szCs w:val="21"/>
          <w:u w:val="single"/>
        </w:rPr>
        <w:t>广州市白云区水务工程建设管理中心</w:t>
      </w:r>
    </w:p>
    <w:p>
      <w:pPr>
        <w:spacing w:line="360" w:lineRule="auto"/>
        <w:rPr>
          <w:rFonts w:ascii="宋体" w:hAnsi="宋体"/>
          <w:szCs w:val="21"/>
        </w:rPr>
      </w:pPr>
      <w:r>
        <w:rPr>
          <w:rFonts w:ascii="宋体" w:hAnsi="宋体"/>
          <w:szCs w:val="21"/>
        </w:rPr>
        <w:t xml:space="preserve">    我单位理解贵公司在</w:t>
      </w:r>
      <w:r>
        <w:rPr>
          <w:rFonts w:hint="eastAsia" w:ascii="宋体" w:hAnsi="宋体"/>
          <w:szCs w:val="21"/>
        </w:rPr>
        <w:t>项目中，</w:t>
      </w:r>
      <w:r>
        <w:rPr>
          <w:rFonts w:ascii="宋体" w:hAnsi="宋体"/>
          <w:szCs w:val="21"/>
        </w:rPr>
        <w:t>按照国务院办公厅《关于加强基础设施工程质量管理的通知》（国办发[1999]16号）和</w:t>
      </w:r>
      <w:r>
        <w:rPr>
          <w:rFonts w:ascii="宋体" w:hAnsi="宋体" w:cs="宋体"/>
          <w:szCs w:val="21"/>
        </w:rPr>
        <w:t>建设部《关于印发《建设工程勘察质量管理办法》的通知》（建设[2000]167号）的要求，</w:t>
      </w:r>
      <w:r>
        <w:rPr>
          <w:rFonts w:ascii="宋体" w:hAnsi="宋体"/>
          <w:szCs w:val="21"/>
        </w:rPr>
        <w:t>工程项目在设计使用年限内实行质量终身负责制</w:t>
      </w:r>
      <w:r>
        <w:rPr>
          <w:rFonts w:hint="eastAsia" w:ascii="宋体" w:hAnsi="宋体"/>
          <w:szCs w:val="21"/>
        </w:rPr>
        <w:t>，我单位现郑重</w:t>
      </w:r>
      <w:r>
        <w:rPr>
          <w:rFonts w:ascii="宋体" w:hAnsi="宋体" w:cs="宋体"/>
          <w:szCs w:val="21"/>
        </w:rPr>
        <w:t>承诺如下：</w:t>
      </w:r>
    </w:p>
    <w:p>
      <w:pPr>
        <w:spacing w:line="360" w:lineRule="auto"/>
        <w:ind w:firstLine="420" w:firstLineChars="200"/>
        <w:rPr>
          <w:rFonts w:ascii="宋体" w:hAnsi="宋体"/>
          <w:szCs w:val="21"/>
        </w:rPr>
      </w:pPr>
      <w:r>
        <w:rPr>
          <w:rFonts w:ascii="宋体" w:hAnsi="宋体"/>
          <w:szCs w:val="21"/>
        </w:rPr>
        <w:t>确保按投标文件投入人员和设备，</w:t>
      </w:r>
      <w:r>
        <w:rPr>
          <w:rFonts w:hint="eastAsia" w:ascii="宋体" w:hAnsi="宋体"/>
          <w:szCs w:val="21"/>
        </w:rPr>
        <w:t>确保工程的施工质量</w:t>
      </w:r>
      <w:r>
        <w:rPr>
          <w:rFonts w:ascii="宋体" w:hAnsi="宋体"/>
          <w:szCs w:val="21"/>
        </w:rPr>
        <w:t>。如因</w:t>
      </w:r>
      <w:r>
        <w:rPr>
          <w:rFonts w:hint="eastAsia" w:ascii="宋体" w:hAnsi="宋体"/>
          <w:szCs w:val="21"/>
        </w:rPr>
        <w:t>施工</w:t>
      </w:r>
      <w:r>
        <w:rPr>
          <w:rFonts w:ascii="宋体" w:hAnsi="宋体"/>
          <w:szCs w:val="21"/>
        </w:rPr>
        <w:t>而引发的工程质量问题由我单位及主要</w:t>
      </w:r>
      <w:r>
        <w:rPr>
          <w:rFonts w:hint="eastAsia" w:ascii="宋体" w:hAnsi="宋体"/>
          <w:szCs w:val="21"/>
        </w:rPr>
        <w:t>管理、</w:t>
      </w:r>
      <w:r>
        <w:rPr>
          <w:rFonts w:ascii="宋体" w:hAnsi="宋体"/>
          <w:szCs w:val="21"/>
        </w:rPr>
        <w:t>技术负责人负责，在工程寿命期限和法律追诉期限内负终身质量责任，并承担相应的经济和法律责任。</w:t>
      </w:r>
    </w:p>
    <w:p>
      <w:pPr>
        <w:rPr>
          <w:rFonts w:ascii="宋体" w:hAnsi="宋体"/>
          <w:szCs w:val="21"/>
        </w:rPr>
      </w:pPr>
    </w:p>
    <w:tbl>
      <w:tblPr>
        <w:tblStyle w:val="39"/>
        <w:tblW w:w="9513" w:type="dxa"/>
        <w:tblInd w:w="93" w:type="dxa"/>
        <w:tblLayout w:type="fixed"/>
        <w:tblCellMar>
          <w:top w:w="15" w:type="dxa"/>
          <w:left w:w="108" w:type="dxa"/>
          <w:bottom w:w="15" w:type="dxa"/>
          <w:right w:w="108" w:type="dxa"/>
        </w:tblCellMar>
      </w:tblPr>
      <w:tblGrid>
        <w:gridCol w:w="4860"/>
        <w:gridCol w:w="4653"/>
      </w:tblGrid>
      <w:tr>
        <w:tblPrEx>
          <w:tblCellMar>
            <w:top w:w="15" w:type="dxa"/>
            <w:left w:w="108" w:type="dxa"/>
            <w:bottom w:w="15" w:type="dxa"/>
            <w:right w:w="108" w:type="dxa"/>
          </w:tblCellMar>
        </w:tblPrEx>
        <w:trPr>
          <w:trHeight w:val="1020" w:hRule="atLeast"/>
        </w:trPr>
        <w:tc>
          <w:tcPr>
            <w:tcW w:w="4860" w:type="dxa"/>
            <w:vAlign w:val="center"/>
          </w:tcPr>
          <w:p>
            <w:pPr>
              <w:widowControl/>
              <w:jc w:val="left"/>
              <w:rPr>
                <w:rFonts w:ascii="宋体" w:hAnsi="宋体" w:cs="宋体"/>
                <w:color w:val="000000"/>
                <w:kern w:val="0"/>
                <w:szCs w:val="21"/>
              </w:rPr>
            </w:pPr>
            <w:permStart w:id="19" w:edGrp="everyone"/>
            <w:r>
              <w:rPr>
                <w:rFonts w:hint="eastAsia" w:ascii="宋体" w:hAnsi="宋体" w:cs="宋体"/>
                <w:color w:val="000000"/>
                <w:kern w:val="0"/>
                <w:sz w:val="22"/>
              </w:rPr>
              <w:t>承包人（主）</w:t>
            </w:r>
            <w:r>
              <w:rPr>
                <w:rFonts w:hint="eastAsia" w:ascii="宋体" w:hAnsi="宋体" w:cs="宋体"/>
                <w:color w:val="000000"/>
                <w:kern w:val="0"/>
                <w:szCs w:val="21"/>
              </w:rPr>
              <w:t>：</w:t>
            </w:r>
            <w:r>
              <w:rPr>
                <w:rFonts w:hint="eastAsia" w:ascii="宋体" w:hAnsi="宋体" w:cs="宋体"/>
                <w:color w:val="000000"/>
                <w:kern w:val="0"/>
                <w:sz w:val="22"/>
              </w:rPr>
              <w:t>XXX</w:t>
            </w:r>
            <w:r>
              <w:rPr>
                <w:rFonts w:hint="eastAsia" w:ascii="宋体" w:hAnsi="宋体" w:cs="宋体"/>
                <w:color w:val="000000"/>
                <w:kern w:val="0"/>
                <w:szCs w:val="21"/>
              </w:rPr>
              <w:br w:type="textWrapping"/>
            </w:r>
            <w:r>
              <w:rPr>
                <w:rFonts w:hint="eastAsia" w:ascii="宋体" w:hAnsi="宋体" w:cs="宋体"/>
                <w:color w:val="000000"/>
                <w:kern w:val="0"/>
                <w:szCs w:val="21"/>
              </w:rPr>
              <w:t xml:space="preserve">      （盖章）</w:t>
            </w:r>
          </w:p>
        </w:tc>
        <w:tc>
          <w:tcPr>
            <w:tcW w:w="4653" w:type="dxa"/>
            <w:vAlign w:val="center"/>
          </w:tcPr>
          <w:p>
            <w:pPr>
              <w:widowControl/>
              <w:ind w:right="-3395" w:rightChars="-1617"/>
              <w:jc w:val="left"/>
              <w:rPr>
                <w:rFonts w:ascii="宋体" w:hAnsi="宋体" w:cs="宋体"/>
                <w:color w:val="000000"/>
                <w:kern w:val="0"/>
                <w:sz w:val="22"/>
              </w:rPr>
            </w:pPr>
            <w:r>
              <w:rPr>
                <w:rFonts w:hint="eastAsia" w:ascii="宋体" w:hAnsi="宋体" w:cs="宋体"/>
                <w:color w:val="000000"/>
                <w:kern w:val="0"/>
                <w:sz w:val="22"/>
              </w:rPr>
              <w:t>承包人（成）</w:t>
            </w:r>
            <w:r>
              <w:rPr>
                <w:rFonts w:hint="eastAsia" w:ascii="宋体" w:hAnsi="宋体" w:cs="宋体"/>
                <w:color w:val="000000"/>
                <w:kern w:val="0"/>
                <w:szCs w:val="21"/>
              </w:rPr>
              <w:t>：</w:t>
            </w:r>
            <w:r>
              <w:rPr>
                <w:rFonts w:hint="eastAsia" w:ascii="宋体" w:hAnsi="宋体" w:cs="宋体"/>
                <w:color w:val="000000"/>
                <w:kern w:val="0"/>
                <w:sz w:val="22"/>
              </w:rPr>
              <w:t>XXX</w:t>
            </w:r>
            <w:r>
              <w:rPr>
                <w:rFonts w:hint="eastAsia" w:ascii="宋体" w:hAnsi="宋体" w:cs="宋体"/>
                <w:color w:val="000000"/>
                <w:kern w:val="0"/>
                <w:sz w:val="22"/>
              </w:rPr>
              <w:br w:type="textWrapping"/>
            </w:r>
            <w:r>
              <w:rPr>
                <w:rFonts w:hint="eastAsia" w:ascii="宋体" w:hAnsi="宋体" w:cs="宋体"/>
                <w:color w:val="000000"/>
                <w:kern w:val="0"/>
                <w:sz w:val="22"/>
              </w:rPr>
              <w:t xml:space="preserve">      （盖章）</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法定代表人：</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法定代表人：</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或委托代理人：</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或委托代理人：</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经办人：</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经办人：</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地址：</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地址：</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电话：</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电话：</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传真：</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传真：</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开户银行：</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开户银行：</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账号：</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账号：</w:t>
            </w:r>
          </w:p>
        </w:tc>
      </w:tr>
      <w:tr>
        <w:tblPrEx>
          <w:tblCellMar>
            <w:top w:w="15" w:type="dxa"/>
            <w:left w:w="108" w:type="dxa"/>
            <w:bottom w:w="15" w:type="dxa"/>
            <w:right w:w="108" w:type="dxa"/>
          </w:tblCellMar>
        </w:tblPrEx>
        <w:trPr>
          <w:trHeight w:val="286" w:hRule="atLeast"/>
        </w:trPr>
        <w:tc>
          <w:tcPr>
            <w:tcW w:w="4860" w:type="dxa"/>
            <w:vAlign w:val="center"/>
          </w:tcPr>
          <w:p>
            <w:pPr>
              <w:widowControl/>
              <w:rPr>
                <w:rFonts w:ascii="宋体" w:hAnsi="宋体" w:cs="宋体"/>
                <w:color w:val="000000"/>
                <w:kern w:val="0"/>
                <w:szCs w:val="21"/>
              </w:rPr>
            </w:pPr>
            <w:r>
              <w:rPr>
                <w:rFonts w:hint="eastAsia" w:ascii="宋体" w:hAnsi="宋体" w:cs="宋体"/>
                <w:color w:val="000000"/>
                <w:kern w:val="0"/>
                <w:szCs w:val="21"/>
              </w:rPr>
              <w:t>邮政编码：</w:t>
            </w:r>
          </w:p>
        </w:tc>
        <w:tc>
          <w:tcPr>
            <w:tcW w:w="4653" w:type="dxa"/>
            <w:vAlign w:val="center"/>
          </w:tcPr>
          <w:p>
            <w:pPr>
              <w:widowControl/>
              <w:rPr>
                <w:rFonts w:ascii="宋体" w:hAnsi="宋体" w:cs="宋体"/>
                <w:color w:val="000000"/>
                <w:kern w:val="0"/>
                <w:szCs w:val="21"/>
              </w:rPr>
            </w:pPr>
            <w:r>
              <w:rPr>
                <w:rFonts w:hint="eastAsia" w:ascii="宋体" w:hAnsi="宋体" w:cs="宋体"/>
                <w:color w:val="000000"/>
                <w:kern w:val="0"/>
                <w:szCs w:val="21"/>
              </w:rPr>
              <w:t>邮政编码：</w:t>
            </w:r>
          </w:p>
        </w:tc>
      </w:tr>
    </w:tbl>
    <w:p>
      <w:pPr>
        <w:spacing w:line="336" w:lineRule="auto"/>
        <w:rPr>
          <w:rFonts w:ascii="宋体" w:hAnsi="宋体"/>
          <w:szCs w:val="21"/>
        </w:rPr>
      </w:pPr>
    </w:p>
    <w:tbl>
      <w:tblPr>
        <w:tblStyle w:val="39"/>
        <w:tblW w:w="9513" w:type="dxa"/>
        <w:tblInd w:w="93" w:type="dxa"/>
        <w:tblLayout w:type="fixed"/>
        <w:tblCellMar>
          <w:top w:w="15" w:type="dxa"/>
          <w:left w:w="108" w:type="dxa"/>
          <w:bottom w:w="15" w:type="dxa"/>
          <w:right w:w="108" w:type="dxa"/>
        </w:tblCellMar>
      </w:tblPr>
      <w:tblGrid>
        <w:gridCol w:w="4860"/>
        <w:gridCol w:w="4653"/>
      </w:tblGrid>
      <w:tr>
        <w:tblPrEx>
          <w:tblCellMar>
            <w:top w:w="15" w:type="dxa"/>
            <w:left w:w="108" w:type="dxa"/>
            <w:bottom w:w="15" w:type="dxa"/>
            <w:right w:w="108" w:type="dxa"/>
          </w:tblCellMar>
        </w:tblPrEx>
        <w:trPr>
          <w:gridAfter w:val="1"/>
          <w:wAfter w:w="4653" w:type="dxa"/>
          <w:trHeight w:val="1020"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 w:val="22"/>
              </w:rPr>
              <w:t>承包人（成）</w:t>
            </w:r>
            <w:r>
              <w:rPr>
                <w:rFonts w:hint="eastAsia" w:ascii="宋体" w:hAnsi="宋体" w:cs="宋体"/>
                <w:color w:val="000000"/>
                <w:kern w:val="0"/>
                <w:szCs w:val="21"/>
              </w:rPr>
              <w:t>：</w:t>
            </w:r>
            <w:r>
              <w:rPr>
                <w:rFonts w:hint="eastAsia" w:ascii="宋体" w:hAnsi="宋体" w:cs="宋体"/>
                <w:color w:val="000000"/>
                <w:kern w:val="0"/>
                <w:sz w:val="22"/>
              </w:rPr>
              <w:t>XXX</w:t>
            </w:r>
            <w:r>
              <w:rPr>
                <w:rFonts w:hint="eastAsia" w:ascii="宋体" w:hAnsi="宋体" w:cs="宋体"/>
                <w:color w:val="000000"/>
                <w:kern w:val="0"/>
                <w:szCs w:val="21"/>
              </w:rPr>
              <w:br w:type="textWrapping"/>
            </w:r>
            <w:r>
              <w:rPr>
                <w:rFonts w:hint="eastAsia" w:ascii="宋体" w:hAnsi="宋体" w:cs="宋体"/>
                <w:color w:val="000000"/>
                <w:kern w:val="0"/>
                <w:szCs w:val="21"/>
              </w:rPr>
              <w:t xml:space="preserve">      （盖章）</w:t>
            </w:r>
          </w:p>
        </w:tc>
      </w:tr>
      <w:tr>
        <w:tblPrEx>
          <w:tblCellMar>
            <w:top w:w="15" w:type="dxa"/>
            <w:left w:w="108" w:type="dxa"/>
            <w:bottom w:w="15" w:type="dxa"/>
            <w:right w:w="108" w:type="dxa"/>
          </w:tblCellMar>
        </w:tblPrEx>
        <w:trPr>
          <w:gridAfter w:val="1"/>
          <w:wAfter w:w="4653" w:type="dxa"/>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法定代表人：</w:t>
            </w:r>
          </w:p>
        </w:tc>
      </w:tr>
      <w:tr>
        <w:tblPrEx>
          <w:tblCellMar>
            <w:top w:w="15" w:type="dxa"/>
            <w:left w:w="108" w:type="dxa"/>
            <w:bottom w:w="15" w:type="dxa"/>
            <w:right w:w="108" w:type="dxa"/>
          </w:tblCellMar>
        </w:tblPrEx>
        <w:trPr>
          <w:gridAfter w:val="1"/>
          <w:wAfter w:w="4653" w:type="dxa"/>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或委托代理人：</w:t>
            </w:r>
          </w:p>
        </w:tc>
      </w:tr>
      <w:tr>
        <w:tblPrEx>
          <w:tblCellMar>
            <w:top w:w="15" w:type="dxa"/>
            <w:left w:w="108" w:type="dxa"/>
            <w:bottom w:w="15" w:type="dxa"/>
            <w:right w:w="108" w:type="dxa"/>
          </w:tblCellMar>
        </w:tblPrEx>
        <w:trPr>
          <w:gridAfter w:val="1"/>
          <w:wAfter w:w="4653" w:type="dxa"/>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地址：</w:t>
            </w:r>
          </w:p>
        </w:tc>
      </w:tr>
      <w:tr>
        <w:tblPrEx>
          <w:tblCellMar>
            <w:top w:w="15" w:type="dxa"/>
            <w:left w:w="108" w:type="dxa"/>
            <w:bottom w:w="15" w:type="dxa"/>
            <w:right w:w="108" w:type="dxa"/>
          </w:tblCellMar>
        </w:tblPrEx>
        <w:trPr>
          <w:gridAfter w:val="1"/>
          <w:wAfter w:w="4653" w:type="dxa"/>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电话：</w:t>
            </w:r>
          </w:p>
        </w:tc>
      </w:tr>
      <w:tr>
        <w:tblPrEx>
          <w:tblCellMar>
            <w:top w:w="15" w:type="dxa"/>
            <w:left w:w="108" w:type="dxa"/>
            <w:bottom w:w="15" w:type="dxa"/>
            <w:right w:w="108" w:type="dxa"/>
          </w:tblCellMar>
        </w:tblPrEx>
        <w:trPr>
          <w:gridAfter w:val="1"/>
          <w:wAfter w:w="4653" w:type="dxa"/>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传真：</w:t>
            </w:r>
          </w:p>
        </w:tc>
      </w:tr>
      <w:tr>
        <w:tblPrEx>
          <w:tblCellMar>
            <w:top w:w="15" w:type="dxa"/>
            <w:left w:w="108" w:type="dxa"/>
            <w:bottom w:w="15" w:type="dxa"/>
            <w:right w:w="108" w:type="dxa"/>
          </w:tblCellMar>
        </w:tblPrEx>
        <w:trPr>
          <w:gridAfter w:val="1"/>
          <w:wAfter w:w="4653" w:type="dxa"/>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开户银行：</w:t>
            </w:r>
          </w:p>
        </w:tc>
      </w:tr>
      <w:tr>
        <w:tblPrEx>
          <w:tblCellMar>
            <w:top w:w="15" w:type="dxa"/>
            <w:left w:w="108" w:type="dxa"/>
            <w:bottom w:w="15" w:type="dxa"/>
            <w:right w:w="108" w:type="dxa"/>
          </w:tblCellMar>
        </w:tblPrEx>
        <w:trPr>
          <w:gridAfter w:val="1"/>
          <w:wAfter w:w="4653" w:type="dxa"/>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账号：</w:t>
            </w:r>
          </w:p>
        </w:tc>
      </w:tr>
      <w:tr>
        <w:tblPrEx>
          <w:tblCellMar>
            <w:top w:w="15" w:type="dxa"/>
            <w:left w:w="108" w:type="dxa"/>
            <w:bottom w:w="15" w:type="dxa"/>
            <w:right w:w="108" w:type="dxa"/>
          </w:tblCellMar>
        </w:tblPrEx>
        <w:trPr>
          <w:trHeight w:val="286" w:hRule="atLeast"/>
        </w:trPr>
        <w:tc>
          <w:tcPr>
            <w:tcW w:w="4860" w:type="dxa"/>
            <w:vAlign w:val="center"/>
          </w:tcPr>
          <w:p>
            <w:pPr>
              <w:widowControl/>
              <w:rPr>
                <w:rFonts w:ascii="宋体" w:hAnsi="宋体" w:cs="宋体"/>
                <w:color w:val="000000"/>
                <w:kern w:val="0"/>
                <w:szCs w:val="21"/>
              </w:rPr>
            </w:pPr>
            <w:r>
              <w:rPr>
                <w:rFonts w:hint="eastAsia" w:ascii="宋体" w:hAnsi="宋体" w:cs="宋体"/>
                <w:color w:val="000000"/>
                <w:kern w:val="0"/>
                <w:szCs w:val="21"/>
              </w:rPr>
              <w:t>邮政编码：</w:t>
            </w:r>
          </w:p>
        </w:tc>
        <w:tc>
          <w:tcPr>
            <w:tcW w:w="4653" w:type="dxa"/>
            <w:vAlign w:val="center"/>
          </w:tcPr>
          <w:p>
            <w:pPr>
              <w:widowControl/>
              <w:rPr>
                <w:rFonts w:ascii="宋体" w:hAnsi="宋体" w:cs="宋体"/>
                <w:color w:val="000000"/>
                <w:kern w:val="0"/>
                <w:szCs w:val="21"/>
              </w:rPr>
            </w:pPr>
          </w:p>
        </w:tc>
      </w:tr>
    </w:tbl>
    <w:p>
      <w:pPr>
        <w:spacing w:line="336" w:lineRule="auto"/>
        <w:rPr>
          <w:rFonts w:ascii="宋体" w:hAnsi="宋体"/>
          <w:kern w:val="0"/>
          <w:szCs w:val="21"/>
        </w:rPr>
        <w:sectPr>
          <w:pgSz w:w="11907" w:h="16840"/>
          <w:pgMar w:top="1559" w:right="1418" w:bottom="1247" w:left="1440" w:header="851" w:footer="992" w:gutter="0"/>
          <w:cols w:space="720" w:num="1"/>
          <w:docGrid w:type="linesAndChars" w:linePitch="312" w:charSpace="0"/>
        </w:sectPr>
      </w:pPr>
    </w:p>
    <w:p>
      <w:pPr>
        <w:ind w:firstLine="200"/>
        <w:jc w:val="center"/>
        <w:rPr>
          <w:rFonts w:ascii="宋体" w:hAnsi="宋体"/>
          <w:b/>
          <w:sz w:val="32"/>
          <w:szCs w:val="32"/>
        </w:rPr>
      </w:pPr>
      <w:r>
        <w:rPr>
          <w:rFonts w:ascii="宋体" w:hAnsi="宋体"/>
          <w:b/>
          <w:sz w:val="32"/>
          <w:szCs w:val="32"/>
        </w:rPr>
        <w:t>工程质量终身责任制</w:t>
      </w:r>
      <w:r>
        <w:rPr>
          <w:rFonts w:hint="eastAsia" w:ascii="宋体" w:hAnsi="宋体"/>
          <w:b/>
          <w:sz w:val="32"/>
          <w:szCs w:val="32"/>
        </w:rPr>
        <w:t>登记表</w:t>
      </w:r>
    </w:p>
    <w:p>
      <w:pPr>
        <w:spacing w:line="320" w:lineRule="exact"/>
        <w:rPr>
          <w:rFonts w:ascii="宋体" w:hAnsi="宋体"/>
          <w:szCs w:val="21"/>
        </w:rPr>
      </w:pPr>
    </w:p>
    <w:tbl>
      <w:tblPr>
        <w:tblStyle w:val="39"/>
        <w:tblW w:w="10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605"/>
        <w:gridCol w:w="809"/>
        <w:gridCol w:w="189"/>
        <w:gridCol w:w="1616"/>
        <w:gridCol w:w="1396"/>
        <w:gridCol w:w="194"/>
        <w:gridCol w:w="1011"/>
        <w:gridCol w:w="955"/>
        <w:gridCol w:w="1190"/>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450" w:type="dxa"/>
            <w:gridSpan w:val="2"/>
            <w:vAlign w:val="center"/>
          </w:tcPr>
          <w:p>
            <w:pPr>
              <w:spacing w:line="320" w:lineRule="exact"/>
              <w:jc w:val="center"/>
              <w:rPr>
                <w:rFonts w:ascii="宋体" w:hAnsi="宋体"/>
                <w:szCs w:val="21"/>
              </w:rPr>
            </w:pPr>
            <w:r>
              <w:rPr>
                <w:rFonts w:hint="eastAsia" w:ascii="宋体" w:hAnsi="宋体"/>
                <w:szCs w:val="21"/>
              </w:rPr>
              <w:t>项目名称</w:t>
            </w:r>
          </w:p>
        </w:tc>
        <w:tc>
          <w:tcPr>
            <w:tcW w:w="2614" w:type="dxa"/>
            <w:gridSpan w:val="3"/>
            <w:vAlign w:val="center"/>
          </w:tcPr>
          <w:p>
            <w:pPr>
              <w:spacing w:line="320" w:lineRule="exact"/>
              <w:ind w:left="-161" w:leftChars="-77"/>
              <w:jc w:val="center"/>
              <w:rPr>
                <w:rFonts w:ascii="宋体" w:hAnsi="宋体"/>
                <w:szCs w:val="21"/>
              </w:rPr>
            </w:pPr>
          </w:p>
        </w:tc>
        <w:tc>
          <w:tcPr>
            <w:tcW w:w="1590" w:type="dxa"/>
            <w:gridSpan w:val="2"/>
            <w:vAlign w:val="center"/>
          </w:tcPr>
          <w:p>
            <w:pPr>
              <w:spacing w:line="320" w:lineRule="exact"/>
              <w:jc w:val="center"/>
              <w:rPr>
                <w:rFonts w:ascii="宋体" w:hAnsi="宋体"/>
                <w:szCs w:val="21"/>
              </w:rPr>
            </w:pPr>
            <w:r>
              <w:rPr>
                <w:rFonts w:hint="eastAsia" w:ascii="宋体" w:hAnsi="宋体"/>
                <w:szCs w:val="21"/>
              </w:rPr>
              <w:t>起讫桩号</w:t>
            </w:r>
          </w:p>
        </w:tc>
        <w:tc>
          <w:tcPr>
            <w:tcW w:w="1966" w:type="dxa"/>
            <w:gridSpan w:val="2"/>
            <w:vAlign w:val="center"/>
          </w:tcPr>
          <w:p>
            <w:pPr>
              <w:spacing w:line="320" w:lineRule="exact"/>
              <w:ind w:firstLine="200"/>
              <w:jc w:val="center"/>
              <w:rPr>
                <w:rFonts w:ascii="宋体" w:hAnsi="宋体"/>
                <w:szCs w:val="21"/>
              </w:rPr>
            </w:pPr>
          </w:p>
        </w:tc>
        <w:tc>
          <w:tcPr>
            <w:tcW w:w="1190" w:type="dxa"/>
            <w:vMerge w:val="restart"/>
            <w:vAlign w:val="center"/>
          </w:tcPr>
          <w:p>
            <w:pPr>
              <w:spacing w:line="320" w:lineRule="exact"/>
              <w:jc w:val="center"/>
              <w:rPr>
                <w:rFonts w:ascii="宋体" w:hAnsi="宋体"/>
                <w:szCs w:val="21"/>
              </w:rPr>
            </w:pPr>
            <w:r>
              <w:rPr>
                <w:rFonts w:hint="eastAsia" w:ascii="宋体" w:hAnsi="宋体"/>
                <w:szCs w:val="21"/>
              </w:rPr>
              <w:t>项目负责人相片</w:t>
            </w:r>
          </w:p>
        </w:tc>
        <w:tc>
          <w:tcPr>
            <w:tcW w:w="1210" w:type="dxa"/>
            <w:vMerge w:val="restart"/>
            <w:vAlign w:val="center"/>
          </w:tcPr>
          <w:p>
            <w:pPr>
              <w:spacing w:line="320" w:lineRule="exact"/>
              <w:jc w:val="center"/>
              <w:rPr>
                <w:rFonts w:ascii="宋体" w:hAnsi="宋体"/>
                <w:szCs w:val="21"/>
              </w:rPr>
            </w:pPr>
            <w:r>
              <w:rPr>
                <w:rFonts w:hint="eastAsia" w:ascii="宋体" w:hAnsi="宋体"/>
                <w:szCs w:val="21"/>
              </w:rPr>
              <w:t>技术负责人相片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450" w:type="dxa"/>
            <w:gridSpan w:val="2"/>
            <w:vAlign w:val="center"/>
          </w:tcPr>
          <w:p>
            <w:pPr>
              <w:spacing w:line="320" w:lineRule="exact"/>
              <w:jc w:val="center"/>
              <w:rPr>
                <w:rFonts w:ascii="宋体" w:hAnsi="宋体"/>
                <w:szCs w:val="21"/>
              </w:rPr>
            </w:pPr>
            <w:r>
              <w:rPr>
                <w:rFonts w:hint="eastAsia" w:ascii="宋体" w:hAnsi="宋体"/>
                <w:szCs w:val="21"/>
              </w:rPr>
              <w:t>施工单位</w:t>
            </w:r>
          </w:p>
        </w:tc>
        <w:tc>
          <w:tcPr>
            <w:tcW w:w="2614" w:type="dxa"/>
            <w:gridSpan w:val="3"/>
            <w:vAlign w:val="center"/>
          </w:tcPr>
          <w:p>
            <w:pPr>
              <w:spacing w:line="320" w:lineRule="exact"/>
              <w:ind w:firstLine="200"/>
              <w:jc w:val="center"/>
              <w:rPr>
                <w:rFonts w:ascii="宋体" w:hAnsi="宋体"/>
                <w:szCs w:val="21"/>
              </w:rPr>
            </w:pPr>
          </w:p>
        </w:tc>
        <w:tc>
          <w:tcPr>
            <w:tcW w:w="1590" w:type="dxa"/>
            <w:gridSpan w:val="2"/>
            <w:vAlign w:val="center"/>
          </w:tcPr>
          <w:p>
            <w:pPr>
              <w:spacing w:line="320" w:lineRule="exact"/>
              <w:rPr>
                <w:rFonts w:ascii="宋体" w:hAnsi="宋体"/>
                <w:szCs w:val="21"/>
              </w:rPr>
            </w:pPr>
            <w:r>
              <w:rPr>
                <w:rFonts w:hint="eastAsia" w:ascii="宋体" w:hAnsi="宋体"/>
                <w:szCs w:val="21"/>
              </w:rPr>
              <w:t>上级主管</w:t>
            </w:r>
          </w:p>
        </w:tc>
        <w:tc>
          <w:tcPr>
            <w:tcW w:w="1966" w:type="dxa"/>
            <w:gridSpan w:val="2"/>
            <w:vAlign w:val="center"/>
          </w:tcPr>
          <w:p>
            <w:pPr>
              <w:spacing w:line="320" w:lineRule="exact"/>
              <w:ind w:firstLine="200"/>
              <w:jc w:val="center"/>
              <w:rPr>
                <w:rFonts w:ascii="宋体" w:hAnsi="宋体"/>
                <w:szCs w:val="21"/>
              </w:rPr>
            </w:pPr>
          </w:p>
        </w:tc>
        <w:tc>
          <w:tcPr>
            <w:tcW w:w="1190" w:type="dxa"/>
            <w:vMerge w:val="continue"/>
            <w:vAlign w:val="center"/>
          </w:tcPr>
          <w:p>
            <w:pPr>
              <w:spacing w:line="320" w:lineRule="exact"/>
              <w:ind w:firstLine="200"/>
              <w:jc w:val="center"/>
              <w:rPr>
                <w:rFonts w:ascii="宋体" w:hAnsi="宋体"/>
                <w:szCs w:val="21"/>
              </w:rPr>
            </w:pPr>
          </w:p>
        </w:tc>
        <w:tc>
          <w:tcPr>
            <w:tcW w:w="1210" w:type="dxa"/>
            <w:vMerge w:val="continue"/>
            <w:vAlign w:val="center"/>
          </w:tcPr>
          <w:p>
            <w:pPr>
              <w:spacing w:line="320" w:lineRule="exact"/>
              <w:ind w:firstLine="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2259" w:type="dxa"/>
            <w:gridSpan w:val="3"/>
            <w:vAlign w:val="center"/>
          </w:tcPr>
          <w:p>
            <w:pPr>
              <w:spacing w:line="320" w:lineRule="exact"/>
              <w:jc w:val="center"/>
              <w:rPr>
                <w:rFonts w:ascii="宋体" w:hAnsi="宋体"/>
                <w:szCs w:val="21"/>
              </w:rPr>
            </w:pPr>
            <w:r>
              <w:rPr>
                <w:rFonts w:hint="eastAsia" w:ascii="宋体" w:hAnsi="宋体"/>
                <w:szCs w:val="21"/>
              </w:rPr>
              <w:t>项目负责人姓名</w:t>
            </w:r>
          </w:p>
        </w:tc>
        <w:tc>
          <w:tcPr>
            <w:tcW w:w="1805" w:type="dxa"/>
            <w:gridSpan w:val="2"/>
            <w:vAlign w:val="center"/>
          </w:tcPr>
          <w:p>
            <w:pPr>
              <w:spacing w:line="320" w:lineRule="exact"/>
              <w:rPr>
                <w:rFonts w:ascii="宋体" w:hAnsi="宋体"/>
                <w:szCs w:val="21"/>
              </w:rPr>
            </w:pPr>
          </w:p>
        </w:tc>
        <w:tc>
          <w:tcPr>
            <w:tcW w:w="1590" w:type="dxa"/>
            <w:gridSpan w:val="2"/>
            <w:vAlign w:val="center"/>
          </w:tcPr>
          <w:p>
            <w:pPr>
              <w:spacing w:line="320" w:lineRule="exact"/>
              <w:rPr>
                <w:rFonts w:ascii="宋体" w:hAnsi="宋体"/>
                <w:szCs w:val="21"/>
              </w:rPr>
            </w:pPr>
            <w:r>
              <w:rPr>
                <w:rFonts w:hint="eastAsia" w:ascii="宋体" w:hAnsi="宋体"/>
                <w:szCs w:val="21"/>
              </w:rPr>
              <w:t>身份证号码</w:t>
            </w:r>
          </w:p>
        </w:tc>
        <w:tc>
          <w:tcPr>
            <w:tcW w:w="1966" w:type="dxa"/>
            <w:gridSpan w:val="2"/>
            <w:vAlign w:val="center"/>
          </w:tcPr>
          <w:p>
            <w:pPr>
              <w:spacing w:line="320" w:lineRule="exact"/>
              <w:ind w:firstLine="200"/>
              <w:jc w:val="center"/>
              <w:rPr>
                <w:rFonts w:ascii="宋体" w:hAnsi="宋体"/>
                <w:szCs w:val="21"/>
              </w:rPr>
            </w:pPr>
          </w:p>
        </w:tc>
        <w:tc>
          <w:tcPr>
            <w:tcW w:w="1190" w:type="dxa"/>
            <w:vMerge w:val="continue"/>
            <w:vAlign w:val="center"/>
          </w:tcPr>
          <w:p>
            <w:pPr>
              <w:spacing w:line="320" w:lineRule="exact"/>
              <w:ind w:firstLine="200"/>
              <w:jc w:val="center"/>
              <w:rPr>
                <w:rFonts w:ascii="宋体" w:hAnsi="宋体"/>
                <w:szCs w:val="21"/>
              </w:rPr>
            </w:pPr>
          </w:p>
        </w:tc>
        <w:tc>
          <w:tcPr>
            <w:tcW w:w="1210" w:type="dxa"/>
            <w:vMerge w:val="continue"/>
            <w:vAlign w:val="center"/>
          </w:tcPr>
          <w:p>
            <w:pPr>
              <w:spacing w:line="320" w:lineRule="exact"/>
              <w:ind w:firstLine="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2259" w:type="dxa"/>
            <w:gridSpan w:val="3"/>
            <w:vAlign w:val="center"/>
          </w:tcPr>
          <w:p>
            <w:pPr>
              <w:spacing w:line="320" w:lineRule="exact"/>
              <w:jc w:val="center"/>
              <w:rPr>
                <w:rFonts w:ascii="宋体" w:hAnsi="宋体"/>
                <w:szCs w:val="21"/>
              </w:rPr>
            </w:pPr>
            <w:r>
              <w:rPr>
                <w:rFonts w:hint="eastAsia" w:ascii="宋体" w:hAnsi="宋体"/>
                <w:szCs w:val="21"/>
              </w:rPr>
              <w:t>技术负责人姓名</w:t>
            </w:r>
          </w:p>
        </w:tc>
        <w:tc>
          <w:tcPr>
            <w:tcW w:w="1805" w:type="dxa"/>
            <w:gridSpan w:val="2"/>
            <w:vAlign w:val="center"/>
          </w:tcPr>
          <w:p>
            <w:pPr>
              <w:spacing w:line="320" w:lineRule="exact"/>
              <w:rPr>
                <w:rFonts w:ascii="宋体" w:hAnsi="宋体"/>
                <w:szCs w:val="21"/>
              </w:rPr>
            </w:pPr>
          </w:p>
        </w:tc>
        <w:tc>
          <w:tcPr>
            <w:tcW w:w="1590" w:type="dxa"/>
            <w:gridSpan w:val="2"/>
            <w:vAlign w:val="center"/>
          </w:tcPr>
          <w:p>
            <w:pPr>
              <w:spacing w:line="320" w:lineRule="exact"/>
              <w:rPr>
                <w:rFonts w:ascii="宋体" w:hAnsi="宋体"/>
                <w:szCs w:val="21"/>
              </w:rPr>
            </w:pPr>
            <w:r>
              <w:rPr>
                <w:rFonts w:hint="eastAsia" w:ascii="宋体" w:hAnsi="宋体"/>
                <w:szCs w:val="21"/>
              </w:rPr>
              <w:t>身份证号码</w:t>
            </w:r>
          </w:p>
        </w:tc>
        <w:tc>
          <w:tcPr>
            <w:tcW w:w="1966" w:type="dxa"/>
            <w:gridSpan w:val="2"/>
            <w:vAlign w:val="center"/>
          </w:tcPr>
          <w:p>
            <w:pPr>
              <w:spacing w:line="320" w:lineRule="exact"/>
              <w:ind w:firstLine="200"/>
              <w:jc w:val="center"/>
              <w:rPr>
                <w:rFonts w:ascii="宋体" w:hAnsi="宋体"/>
                <w:szCs w:val="21"/>
              </w:rPr>
            </w:pPr>
          </w:p>
        </w:tc>
        <w:tc>
          <w:tcPr>
            <w:tcW w:w="1190" w:type="dxa"/>
            <w:vMerge w:val="continue"/>
            <w:vAlign w:val="center"/>
          </w:tcPr>
          <w:p>
            <w:pPr>
              <w:spacing w:line="320" w:lineRule="exact"/>
              <w:ind w:firstLine="200"/>
              <w:jc w:val="center"/>
              <w:rPr>
                <w:rFonts w:ascii="宋体" w:hAnsi="宋体"/>
                <w:szCs w:val="21"/>
              </w:rPr>
            </w:pPr>
          </w:p>
        </w:tc>
        <w:tc>
          <w:tcPr>
            <w:tcW w:w="1210" w:type="dxa"/>
            <w:vMerge w:val="continue"/>
            <w:vAlign w:val="center"/>
          </w:tcPr>
          <w:p>
            <w:pPr>
              <w:spacing w:line="320" w:lineRule="exact"/>
              <w:ind w:firstLine="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10020" w:type="dxa"/>
            <w:gridSpan w:val="11"/>
            <w:vAlign w:val="center"/>
          </w:tcPr>
          <w:p>
            <w:pPr>
              <w:spacing w:line="320" w:lineRule="exact"/>
              <w:ind w:firstLine="200"/>
              <w:jc w:val="center"/>
              <w:rPr>
                <w:rFonts w:ascii="宋体" w:hAnsi="宋体"/>
                <w:szCs w:val="21"/>
              </w:rPr>
            </w:pPr>
            <w:r>
              <w:rPr>
                <w:rFonts w:hint="eastAsia" w:ascii="宋体" w:hAnsi="宋体"/>
                <w:szCs w:val="21"/>
              </w:rPr>
              <w:t>施工单位人员情况记录表1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5" w:type="dxa"/>
            <w:vAlign w:val="center"/>
          </w:tcPr>
          <w:p>
            <w:pPr>
              <w:spacing w:line="320" w:lineRule="exact"/>
              <w:jc w:val="center"/>
              <w:rPr>
                <w:rFonts w:ascii="宋体" w:hAnsi="宋体"/>
                <w:szCs w:val="21"/>
              </w:rPr>
            </w:pPr>
            <w:r>
              <w:rPr>
                <w:rFonts w:hint="eastAsia" w:ascii="宋体" w:hAnsi="宋体"/>
                <w:szCs w:val="21"/>
              </w:rPr>
              <w:t>序号</w:t>
            </w:r>
          </w:p>
        </w:tc>
        <w:tc>
          <w:tcPr>
            <w:tcW w:w="1603" w:type="dxa"/>
            <w:gridSpan w:val="3"/>
            <w:vAlign w:val="center"/>
          </w:tcPr>
          <w:p>
            <w:pPr>
              <w:spacing w:line="320" w:lineRule="exact"/>
              <w:jc w:val="center"/>
              <w:rPr>
                <w:rFonts w:ascii="宋体" w:hAnsi="宋体"/>
                <w:szCs w:val="21"/>
              </w:rPr>
            </w:pPr>
            <w:r>
              <w:rPr>
                <w:rFonts w:hint="eastAsia" w:ascii="宋体" w:hAnsi="宋体"/>
                <w:szCs w:val="21"/>
              </w:rPr>
              <w:t>姓名</w:t>
            </w:r>
          </w:p>
        </w:tc>
        <w:tc>
          <w:tcPr>
            <w:tcW w:w="3012" w:type="dxa"/>
            <w:gridSpan w:val="2"/>
            <w:vAlign w:val="center"/>
          </w:tcPr>
          <w:p>
            <w:pPr>
              <w:spacing w:line="320" w:lineRule="exact"/>
              <w:ind w:firstLine="200"/>
              <w:jc w:val="center"/>
              <w:rPr>
                <w:rFonts w:ascii="宋体" w:hAnsi="宋体"/>
                <w:szCs w:val="21"/>
              </w:rPr>
            </w:pPr>
            <w:r>
              <w:rPr>
                <w:rFonts w:hint="eastAsia" w:ascii="宋体" w:hAnsi="宋体"/>
                <w:szCs w:val="21"/>
              </w:rPr>
              <w:t>身份证号码</w:t>
            </w:r>
          </w:p>
        </w:tc>
        <w:tc>
          <w:tcPr>
            <w:tcW w:w="1205" w:type="dxa"/>
            <w:gridSpan w:val="2"/>
            <w:vAlign w:val="center"/>
          </w:tcPr>
          <w:p>
            <w:pPr>
              <w:spacing w:line="320" w:lineRule="exact"/>
              <w:jc w:val="center"/>
              <w:rPr>
                <w:rFonts w:ascii="宋体" w:hAnsi="宋体"/>
                <w:szCs w:val="21"/>
              </w:rPr>
            </w:pPr>
            <w:r>
              <w:rPr>
                <w:rFonts w:hint="eastAsia" w:ascii="宋体" w:hAnsi="宋体"/>
                <w:szCs w:val="21"/>
              </w:rPr>
              <w:t>职称</w:t>
            </w:r>
          </w:p>
        </w:tc>
        <w:tc>
          <w:tcPr>
            <w:tcW w:w="955" w:type="dxa"/>
            <w:vAlign w:val="center"/>
          </w:tcPr>
          <w:p>
            <w:pPr>
              <w:spacing w:line="320" w:lineRule="exact"/>
              <w:jc w:val="center"/>
              <w:rPr>
                <w:rFonts w:ascii="宋体" w:hAnsi="宋体"/>
                <w:szCs w:val="21"/>
              </w:rPr>
            </w:pPr>
            <w:r>
              <w:rPr>
                <w:rFonts w:hint="eastAsia" w:ascii="宋体" w:hAnsi="宋体"/>
                <w:szCs w:val="21"/>
              </w:rPr>
              <w:t>职务</w:t>
            </w:r>
          </w:p>
        </w:tc>
        <w:tc>
          <w:tcPr>
            <w:tcW w:w="2400" w:type="dxa"/>
            <w:gridSpan w:val="2"/>
            <w:vAlign w:val="center"/>
          </w:tcPr>
          <w:p>
            <w:pPr>
              <w:spacing w:line="320" w:lineRule="exact"/>
              <w:jc w:val="center"/>
              <w:rPr>
                <w:rFonts w:ascii="宋体" w:hAnsi="宋体"/>
                <w:szCs w:val="21"/>
              </w:rPr>
            </w:pPr>
            <w:r>
              <w:rPr>
                <w:rFonts w:hint="eastAsia" w:ascii="宋体" w:hAnsi="宋体"/>
                <w:szCs w:val="21"/>
              </w:rPr>
              <w:t>责任范围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5" w:type="dxa"/>
            <w:vAlign w:val="center"/>
          </w:tcPr>
          <w:p>
            <w:pPr>
              <w:spacing w:line="320" w:lineRule="exact"/>
              <w:ind w:firstLine="200"/>
              <w:jc w:val="center"/>
              <w:rPr>
                <w:rFonts w:ascii="宋体" w:hAnsi="宋体"/>
                <w:szCs w:val="21"/>
              </w:rPr>
            </w:pPr>
          </w:p>
        </w:tc>
        <w:tc>
          <w:tcPr>
            <w:tcW w:w="1603" w:type="dxa"/>
            <w:gridSpan w:val="3"/>
            <w:vAlign w:val="center"/>
          </w:tcPr>
          <w:p>
            <w:pPr>
              <w:spacing w:line="320" w:lineRule="exact"/>
              <w:ind w:firstLine="200"/>
              <w:jc w:val="center"/>
              <w:rPr>
                <w:rFonts w:ascii="宋体" w:hAnsi="宋体"/>
                <w:szCs w:val="21"/>
              </w:rPr>
            </w:pPr>
          </w:p>
        </w:tc>
        <w:tc>
          <w:tcPr>
            <w:tcW w:w="3012" w:type="dxa"/>
            <w:gridSpan w:val="2"/>
            <w:vAlign w:val="center"/>
          </w:tcPr>
          <w:p>
            <w:pPr>
              <w:spacing w:line="320" w:lineRule="exact"/>
              <w:ind w:firstLine="200"/>
              <w:jc w:val="center"/>
              <w:rPr>
                <w:rFonts w:ascii="宋体" w:hAnsi="宋体"/>
                <w:szCs w:val="21"/>
              </w:rPr>
            </w:pPr>
          </w:p>
        </w:tc>
        <w:tc>
          <w:tcPr>
            <w:tcW w:w="1205" w:type="dxa"/>
            <w:gridSpan w:val="2"/>
            <w:vAlign w:val="center"/>
          </w:tcPr>
          <w:p>
            <w:pPr>
              <w:spacing w:line="320" w:lineRule="exact"/>
              <w:ind w:firstLine="200"/>
              <w:jc w:val="center"/>
              <w:rPr>
                <w:rFonts w:ascii="宋体" w:hAnsi="宋体"/>
                <w:szCs w:val="21"/>
              </w:rPr>
            </w:pPr>
          </w:p>
        </w:tc>
        <w:tc>
          <w:tcPr>
            <w:tcW w:w="955" w:type="dxa"/>
            <w:vAlign w:val="center"/>
          </w:tcPr>
          <w:p>
            <w:pPr>
              <w:spacing w:line="320" w:lineRule="exact"/>
              <w:ind w:firstLine="200"/>
              <w:jc w:val="center"/>
              <w:rPr>
                <w:rFonts w:ascii="宋体" w:hAnsi="宋体"/>
                <w:szCs w:val="21"/>
              </w:rPr>
            </w:pPr>
          </w:p>
        </w:tc>
        <w:tc>
          <w:tcPr>
            <w:tcW w:w="2400" w:type="dxa"/>
            <w:gridSpan w:val="2"/>
            <w:vAlign w:val="center"/>
          </w:tcPr>
          <w:p>
            <w:pPr>
              <w:spacing w:line="320" w:lineRule="exact"/>
              <w:ind w:firstLine="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845" w:type="dxa"/>
            <w:vAlign w:val="center"/>
          </w:tcPr>
          <w:p>
            <w:pPr>
              <w:spacing w:line="320" w:lineRule="exact"/>
              <w:ind w:firstLine="200"/>
              <w:jc w:val="center"/>
              <w:rPr>
                <w:rFonts w:ascii="宋体" w:hAnsi="宋体"/>
                <w:szCs w:val="21"/>
              </w:rPr>
            </w:pPr>
          </w:p>
        </w:tc>
        <w:tc>
          <w:tcPr>
            <w:tcW w:w="1603" w:type="dxa"/>
            <w:gridSpan w:val="3"/>
            <w:vAlign w:val="center"/>
          </w:tcPr>
          <w:p>
            <w:pPr>
              <w:spacing w:line="320" w:lineRule="exact"/>
              <w:ind w:firstLine="200"/>
              <w:jc w:val="center"/>
              <w:rPr>
                <w:rFonts w:ascii="宋体" w:hAnsi="宋体"/>
                <w:szCs w:val="21"/>
              </w:rPr>
            </w:pPr>
          </w:p>
        </w:tc>
        <w:tc>
          <w:tcPr>
            <w:tcW w:w="3012" w:type="dxa"/>
            <w:gridSpan w:val="2"/>
            <w:vAlign w:val="center"/>
          </w:tcPr>
          <w:p>
            <w:pPr>
              <w:spacing w:line="320" w:lineRule="exact"/>
              <w:ind w:firstLine="200"/>
              <w:jc w:val="center"/>
              <w:rPr>
                <w:rFonts w:ascii="宋体" w:hAnsi="宋体"/>
                <w:szCs w:val="21"/>
              </w:rPr>
            </w:pPr>
          </w:p>
        </w:tc>
        <w:tc>
          <w:tcPr>
            <w:tcW w:w="1205" w:type="dxa"/>
            <w:gridSpan w:val="2"/>
            <w:vAlign w:val="center"/>
          </w:tcPr>
          <w:p>
            <w:pPr>
              <w:spacing w:line="320" w:lineRule="exact"/>
              <w:ind w:firstLine="200"/>
              <w:jc w:val="center"/>
              <w:rPr>
                <w:rFonts w:ascii="宋体" w:hAnsi="宋体"/>
                <w:szCs w:val="21"/>
              </w:rPr>
            </w:pPr>
          </w:p>
        </w:tc>
        <w:tc>
          <w:tcPr>
            <w:tcW w:w="955" w:type="dxa"/>
            <w:vAlign w:val="center"/>
          </w:tcPr>
          <w:p>
            <w:pPr>
              <w:spacing w:line="320" w:lineRule="exact"/>
              <w:ind w:firstLine="200"/>
              <w:jc w:val="center"/>
              <w:rPr>
                <w:rFonts w:ascii="宋体" w:hAnsi="宋体"/>
                <w:szCs w:val="21"/>
              </w:rPr>
            </w:pPr>
          </w:p>
        </w:tc>
        <w:tc>
          <w:tcPr>
            <w:tcW w:w="2400" w:type="dxa"/>
            <w:gridSpan w:val="2"/>
            <w:vAlign w:val="center"/>
          </w:tcPr>
          <w:p>
            <w:pPr>
              <w:spacing w:line="320" w:lineRule="exact"/>
              <w:ind w:firstLine="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845" w:type="dxa"/>
            <w:vAlign w:val="center"/>
          </w:tcPr>
          <w:p>
            <w:pPr>
              <w:spacing w:line="320" w:lineRule="exact"/>
              <w:ind w:firstLine="200"/>
              <w:jc w:val="center"/>
              <w:rPr>
                <w:rFonts w:ascii="宋体" w:hAnsi="宋体"/>
                <w:szCs w:val="21"/>
              </w:rPr>
            </w:pPr>
          </w:p>
        </w:tc>
        <w:tc>
          <w:tcPr>
            <w:tcW w:w="1603" w:type="dxa"/>
            <w:gridSpan w:val="3"/>
            <w:vAlign w:val="center"/>
          </w:tcPr>
          <w:p>
            <w:pPr>
              <w:spacing w:line="320" w:lineRule="exact"/>
              <w:ind w:firstLine="200"/>
              <w:jc w:val="center"/>
              <w:rPr>
                <w:rFonts w:ascii="宋体" w:hAnsi="宋体"/>
                <w:szCs w:val="21"/>
              </w:rPr>
            </w:pPr>
          </w:p>
        </w:tc>
        <w:tc>
          <w:tcPr>
            <w:tcW w:w="3012" w:type="dxa"/>
            <w:gridSpan w:val="2"/>
            <w:vAlign w:val="center"/>
          </w:tcPr>
          <w:p>
            <w:pPr>
              <w:spacing w:line="320" w:lineRule="exact"/>
              <w:ind w:firstLine="200"/>
              <w:jc w:val="center"/>
              <w:rPr>
                <w:rFonts w:ascii="宋体" w:hAnsi="宋体"/>
                <w:szCs w:val="21"/>
              </w:rPr>
            </w:pPr>
          </w:p>
        </w:tc>
        <w:tc>
          <w:tcPr>
            <w:tcW w:w="1205" w:type="dxa"/>
            <w:gridSpan w:val="2"/>
            <w:vAlign w:val="center"/>
          </w:tcPr>
          <w:p>
            <w:pPr>
              <w:spacing w:line="320" w:lineRule="exact"/>
              <w:ind w:firstLine="200"/>
              <w:jc w:val="center"/>
              <w:rPr>
                <w:rFonts w:ascii="宋体" w:hAnsi="宋体"/>
                <w:szCs w:val="21"/>
              </w:rPr>
            </w:pPr>
          </w:p>
        </w:tc>
        <w:tc>
          <w:tcPr>
            <w:tcW w:w="955" w:type="dxa"/>
            <w:vAlign w:val="center"/>
          </w:tcPr>
          <w:p>
            <w:pPr>
              <w:spacing w:line="320" w:lineRule="exact"/>
              <w:ind w:firstLine="200"/>
              <w:jc w:val="center"/>
              <w:rPr>
                <w:rFonts w:ascii="宋体" w:hAnsi="宋体"/>
                <w:szCs w:val="21"/>
              </w:rPr>
            </w:pPr>
          </w:p>
        </w:tc>
        <w:tc>
          <w:tcPr>
            <w:tcW w:w="2400" w:type="dxa"/>
            <w:gridSpan w:val="2"/>
            <w:vAlign w:val="center"/>
          </w:tcPr>
          <w:p>
            <w:pPr>
              <w:spacing w:line="320" w:lineRule="exact"/>
              <w:ind w:firstLine="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845" w:type="dxa"/>
            <w:vAlign w:val="center"/>
          </w:tcPr>
          <w:p>
            <w:pPr>
              <w:spacing w:line="320" w:lineRule="exact"/>
              <w:ind w:firstLine="200"/>
              <w:jc w:val="center"/>
              <w:rPr>
                <w:rFonts w:ascii="宋体" w:hAnsi="宋体"/>
                <w:szCs w:val="21"/>
              </w:rPr>
            </w:pPr>
          </w:p>
        </w:tc>
        <w:tc>
          <w:tcPr>
            <w:tcW w:w="1603" w:type="dxa"/>
            <w:gridSpan w:val="3"/>
            <w:vAlign w:val="center"/>
          </w:tcPr>
          <w:p>
            <w:pPr>
              <w:spacing w:line="320" w:lineRule="exact"/>
              <w:ind w:firstLine="200"/>
              <w:jc w:val="center"/>
              <w:rPr>
                <w:rFonts w:ascii="宋体" w:hAnsi="宋体"/>
                <w:szCs w:val="21"/>
              </w:rPr>
            </w:pPr>
          </w:p>
        </w:tc>
        <w:tc>
          <w:tcPr>
            <w:tcW w:w="3012" w:type="dxa"/>
            <w:gridSpan w:val="2"/>
            <w:vAlign w:val="center"/>
          </w:tcPr>
          <w:p>
            <w:pPr>
              <w:spacing w:line="320" w:lineRule="exact"/>
              <w:ind w:firstLine="200"/>
              <w:jc w:val="center"/>
              <w:rPr>
                <w:rFonts w:ascii="宋体" w:hAnsi="宋体"/>
                <w:szCs w:val="21"/>
              </w:rPr>
            </w:pPr>
          </w:p>
        </w:tc>
        <w:tc>
          <w:tcPr>
            <w:tcW w:w="1205" w:type="dxa"/>
            <w:gridSpan w:val="2"/>
            <w:vAlign w:val="center"/>
          </w:tcPr>
          <w:p>
            <w:pPr>
              <w:spacing w:line="320" w:lineRule="exact"/>
              <w:ind w:firstLine="200"/>
              <w:jc w:val="center"/>
              <w:rPr>
                <w:rFonts w:ascii="宋体" w:hAnsi="宋体"/>
                <w:szCs w:val="21"/>
              </w:rPr>
            </w:pPr>
          </w:p>
        </w:tc>
        <w:tc>
          <w:tcPr>
            <w:tcW w:w="955" w:type="dxa"/>
            <w:vAlign w:val="center"/>
          </w:tcPr>
          <w:p>
            <w:pPr>
              <w:spacing w:line="320" w:lineRule="exact"/>
              <w:ind w:firstLine="200"/>
              <w:jc w:val="center"/>
              <w:rPr>
                <w:rFonts w:ascii="宋体" w:hAnsi="宋体"/>
                <w:szCs w:val="21"/>
              </w:rPr>
            </w:pPr>
          </w:p>
        </w:tc>
        <w:tc>
          <w:tcPr>
            <w:tcW w:w="2400" w:type="dxa"/>
            <w:gridSpan w:val="2"/>
            <w:vAlign w:val="center"/>
          </w:tcPr>
          <w:p>
            <w:pPr>
              <w:spacing w:line="320" w:lineRule="exact"/>
              <w:ind w:firstLine="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45" w:type="dxa"/>
            <w:vAlign w:val="center"/>
          </w:tcPr>
          <w:p>
            <w:pPr>
              <w:spacing w:line="320" w:lineRule="exact"/>
              <w:ind w:firstLine="200"/>
              <w:jc w:val="center"/>
              <w:rPr>
                <w:rFonts w:ascii="宋体" w:hAnsi="宋体"/>
                <w:szCs w:val="21"/>
              </w:rPr>
            </w:pPr>
          </w:p>
        </w:tc>
        <w:tc>
          <w:tcPr>
            <w:tcW w:w="1603" w:type="dxa"/>
            <w:gridSpan w:val="3"/>
            <w:vAlign w:val="center"/>
          </w:tcPr>
          <w:p>
            <w:pPr>
              <w:spacing w:line="320" w:lineRule="exact"/>
              <w:ind w:firstLine="200"/>
              <w:jc w:val="center"/>
              <w:rPr>
                <w:rFonts w:ascii="宋体" w:hAnsi="宋体"/>
                <w:szCs w:val="21"/>
              </w:rPr>
            </w:pPr>
          </w:p>
        </w:tc>
        <w:tc>
          <w:tcPr>
            <w:tcW w:w="3012" w:type="dxa"/>
            <w:gridSpan w:val="2"/>
            <w:vAlign w:val="center"/>
          </w:tcPr>
          <w:p>
            <w:pPr>
              <w:spacing w:line="320" w:lineRule="exact"/>
              <w:ind w:firstLine="200"/>
              <w:jc w:val="center"/>
              <w:rPr>
                <w:rFonts w:ascii="宋体" w:hAnsi="宋体"/>
                <w:szCs w:val="21"/>
              </w:rPr>
            </w:pPr>
          </w:p>
        </w:tc>
        <w:tc>
          <w:tcPr>
            <w:tcW w:w="1205" w:type="dxa"/>
            <w:gridSpan w:val="2"/>
            <w:vAlign w:val="center"/>
          </w:tcPr>
          <w:p>
            <w:pPr>
              <w:spacing w:line="320" w:lineRule="exact"/>
              <w:ind w:firstLine="200"/>
              <w:jc w:val="center"/>
              <w:rPr>
                <w:rFonts w:ascii="宋体" w:hAnsi="宋体"/>
                <w:szCs w:val="21"/>
              </w:rPr>
            </w:pPr>
          </w:p>
        </w:tc>
        <w:tc>
          <w:tcPr>
            <w:tcW w:w="955" w:type="dxa"/>
            <w:vAlign w:val="center"/>
          </w:tcPr>
          <w:p>
            <w:pPr>
              <w:spacing w:line="320" w:lineRule="exact"/>
              <w:ind w:firstLine="200"/>
              <w:jc w:val="center"/>
              <w:rPr>
                <w:rFonts w:ascii="宋体" w:hAnsi="宋体"/>
                <w:szCs w:val="21"/>
              </w:rPr>
            </w:pPr>
          </w:p>
        </w:tc>
        <w:tc>
          <w:tcPr>
            <w:tcW w:w="2400" w:type="dxa"/>
            <w:gridSpan w:val="2"/>
            <w:vAlign w:val="center"/>
          </w:tcPr>
          <w:p>
            <w:pPr>
              <w:spacing w:line="320" w:lineRule="exact"/>
              <w:ind w:firstLine="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845" w:type="dxa"/>
            <w:vAlign w:val="center"/>
          </w:tcPr>
          <w:p>
            <w:pPr>
              <w:spacing w:line="320" w:lineRule="exact"/>
              <w:ind w:firstLine="200"/>
              <w:jc w:val="center"/>
              <w:rPr>
                <w:rFonts w:ascii="宋体" w:hAnsi="宋体"/>
                <w:szCs w:val="21"/>
              </w:rPr>
            </w:pPr>
          </w:p>
        </w:tc>
        <w:tc>
          <w:tcPr>
            <w:tcW w:w="1603" w:type="dxa"/>
            <w:gridSpan w:val="3"/>
            <w:vAlign w:val="center"/>
          </w:tcPr>
          <w:p>
            <w:pPr>
              <w:spacing w:line="320" w:lineRule="exact"/>
              <w:ind w:firstLine="200"/>
              <w:jc w:val="center"/>
              <w:rPr>
                <w:rFonts w:ascii="宋体" w:hAnsi="宋体"/>
                <w:szCs w:val="21"/>
              </w:rPr>
            </w:pPr>
          </w:p>
        </w:tc>
        <w:tc>
          <w:tcPr>
            <w:tcW w:w="3012" w:type="dxa"/>
            <w:gridSpan w:val="2"/>
            <w:vAlign w:val="center"/>
          </w:tcPr>
          <w:p>
            <w:pPr>
              <w:spacing w:line="320" w:lineRule="exact"/>
              <w:ind w:firstLine="200"/>
              <w:jc w:val="center"/>
              <w:rPr>
                <w:rFonts w:ascii="宋体" w:hAnsi="宋体"/>
                <w:szCs w:val="21"/>
              </w:rPr>
            </w:pPr>
          </w:p>
        </w:tc>
        <w:tc>
          <w:tcPr>
            <w:tcW w:w="1205" w:type="dxa"/>
            <w:gridSpan w:val="2"/>
            <w:vAlign w:val="center"/>
          </w:tcPr>
          <w:p>
            <w:pPr>
              <w:spacing w:line="320" w:lineRule="exact"/>
              <w:ind w:firstLine="200"/>
              <w:jc w:val="center"/>
              <w:rPr>
                <w:rFonts w:ascii="宋体" w:hAnsi="宋体"/>
                <w:szCs w:val="21"/>
              </w:rPr>
            </w:pPr>
          </w:p>
        </w:tc>
        <w:tc>
          <w:tcPr>
            <w:tcW w:w="955" w:type="dxa"/>
            <w:vAlign w:val="center"/>
          </w:tcPr>
          <w:p>
            <w:pPr>
              <w:spacing w:line="320" w:lineRule="exact"/>
              <w:ind w:firstLine="200"/>
              <w:jc w:val="center"/>
              <w:rPr>
                <w:rFonts w:ascii="宋体" w:hAnsi="宋体"/>
                <w:szCs w:val="21"/>
              </w:rPr>
            </w:pPr>
          </w:p>
        </w:tc>
        <w:tc>
          <w:tcPr>
            <w:tcW w:w="2400" w:type="dxa"/>
            <w:gridSpan w:val="2"/>
            <w:vAlign w:val="center"/>
          </w:tcPr>
          <w:p>
            <w:pPr>
              <w:spacing w:line="320" w:lineRule="exact"/>
              <w:ind w:firstLine="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845" w:type="dxa"/>
            <w:vAlign w:val="center"/>
          </w:tcPr>
          <w:p>
            <w:pPr>
              <w:spacing w:line="320" w:lineRule="exact"/>
              <w:ind w:firstLine="200"/>
              <w:jc w:val="center"/>
              <w:rPr>
                <w:rFonts w:ascii="宋体" w:hAnsi="宋体"/>
                <w:szCs w:val="21"/>
              </w:rPr>
            </w:pPr>
          </w:p>
        </w:tc>
        <w:tc>
          <w:tcPr>
            <w:tcW w:w="1603" w:type="dxa"/>
            <w:gridSpan w:val="3"/>
            <w:vAlign w:val="center"/>
          </w:tcPr>
          <w:p>
            <w:pPr>
              <w:spacing w:line="320" w:lineRule="exact"/>
              <w:ind w:firstLine="200"/>
              <w:jc w:val="center"/>
              <w:rPr>
                <w:rFonts w:ascii="宋体" w:hAnsi="宋体"/>
                <w:szCs w:val="21"/>
              </w:rPr>
            </w:pPr>
          </w:p>
        </w:tc>
        <w:tc>
          <w:tcPr>
            <w:tcW w:w="3012" w:type="dxa"/>
            <w:gridSpan w:val="2"/>
            <w:vAlign w:val="center"/>
          </w:tcPr>
          <w:p>
            <w:pPr>
              <w:spacing w:line="320" w:lineRule="exact"/>
              <w:ind w:firstLine="200"/>
              <w:jc w:val="center"/>
              <w:rPr>
                <w:rFonts w:ascii="宋体" w:hAnsi="宋体"/>
                <w:szCs w:val="21"/>
              </w:rPr>
            </w:pPr>
          </w:p>
        </w:tc>
        <w:tc>
          <w:tcPr>
            <w:tcW w:w="1205" w:type="dxa"/>
            <w:gridSpan w:val="2"/>
            <w:vAlign w:val="center"/>
          </w:tcPr>
          <w:p>
            <w:pPr>
              <w:spacing w:line="320" w:lineRule="exact"/>
              <w:ind w:firstLine="200"/>
              <w:jc w:val="center"/>
              <w:rPr>
                <w:rFonts w:ascii="宋体" w:hAnsi="宋体"/>
                <w:szCs w:val="21"/>
              </w:rPr>
            </w:pPr>
          </w:p>
        </w:tc>
        <w:tc>
          <w:tcPr>
            <w:tcW w:w="955" w:type="dxa"/>
            <w:vAlign w:val="center"/>
          </w:tcPr>
          <w:p>
            <w:pPr>
              <w:spacing w:line="320" w:lineRule="exact"/>
              <w:ind w:firstLine="200"/>
              <w:jc w:val="center"/>
              <w:rPr>
                <w:rFonts w:ascii="宋体" w:hAnsi="宋体"/>
                <w:szCs w:val="21"/>
              </w:rPr>
            </w:pPr>
          </w:p>
        </w:tc>
        <w:tc>
          <w:tcPr>
            <w:tcW w:w="2400" w:type="dxa"/>
            <w:gridSpan w:val="2"/>
            <w:vAlign w:val="center"/>
          </w:tcPr>
          <w:p>
            <w:pPr>
              <w:spacing w:line="320" w:lineRule="exact"/>
              <w:ind w:firstLine="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5" w:type="dxa"/>
            <w:vAlign w:val="center"/>
          </w:tcPr>
          <w:p>
            <w:pPr>
              <w:spacing w:line="320" w:lineRule="exact"/>
              <w:ind w:firstLine="200"/>
              <w:jc w:val="center"/>
              <w:rPr>
                <w:rFonts w:ascii="宋体" w:hAnsi="宋体"/>
                <w:szCs w:val="21"/>
              </w:rPr>
            </w:pPr>
          </w:p>
        </w:tc>
        <w:tc>
          <w:tcPr>
            <w:tcW w:w="1603" w:type="dxa"/>
            <w:gridSpan w:val="3"/>
            <w:vAlign w:val="center"/>
          </w:tcPr>
          <w:p>
            <w:pPr>
              <w:spacing w:line="320" w:lineRule="exact"/>
              <w:ind w:firstLine="200"/>
              <w:jc w:val="center"/>
              <w:rPr>
                <w:rFonts w:ascii="宋体" w:hAnsi="宋体"/>
                <w:szCs w:val="21"/>
              </w:rPr>
            </w:pPr>
          </w:p>
        </w:tc>
        <w:tc>
          <w:tcPr>
            <w:tcW w:w="3012" w:type="dxa"/>
            <w:gridSpan w:val="2"/>
            <w:vAlign w:val="center"/>
          </w:tcPr>
          <w:p>
            <w:pPr>
              <w:spacing w:line="320" w:lineRule="exact"/>
              <w:ind w:firstLine="200"/>
              <w:jc w:val="center"/>
              <w:rPr>
                <w:rFonts w:ascii="宋体" w:hAnsi="宋体"/>
                <w:szCs w:val="21"/>
              </w:rPr>
            </w:pPr>
          </w:p>
        </w:tc>
        <w:tc>
          <w:tcPr>
            <w:tcW w:w="1205" w:type="dxa"/>
            <w:gridSpan w:val="2"/>
            <w:vAlign w:val="center"/>
          </w:tcPr>
          <w:p>
            <w:pPr>
              <w:spacing w:line="320" w:lineRule="exact"/>
              <w:ind w:firstLine="200"/>
              <w:jc w:val="center"/>
              <w:rPr>
                <w:rFonts w:ascii="宋体" w:hAnsi="宋体"/>
                <w:szCs w:val="21"/>
              </w:rPr>
            </w:pPr>
          </w:p>
        </w:tc>
        <w:tc>
          <w:tcPr>
            <w:tcW w:w="955" w:type="dxa"/>
            <w:vAlign w:val="center"/>
          </w:tcPr>
          <w:p>
            <w:pPr>
              <w:spacing w:line="320" w:lineRule="exact"/>
              <w:ind w:firstLine="200"/>
              <w:jc w:val="center"/>
              <w:rPr>
                <w:rFonts w:ascii="宋体" w:hAnsi="宋体"/>
                <w:szCs w:val="21"/>
              </w:rPr>
            </w:pPr>
          </w:p>
        </w:tc>
        <w:tc>
          <w:tcPr>
            <w:tcW w:w="2400" w:type="dxa"/>
            <w:gridSpan w:val="2"/>
            <w:vAlign w:val="center"/>
          </w:tcPr>
          <w:p>
            <w:pPr>
              <w:spacing w:line="320" w:lineRule="exact"/>
              <w:ind w:firstLine="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845" w:type="dxa"/>
            <w:vAlign w:val="center"/>
          </w:tcPr>
          <w:p>
            <w:pPr>
              <w:spacing w:line="320" w:lineRule="exact"/>
              <w:ind w:firstLine="200"/>
              <w:jc w:val="center"/>
              <w:rPr>
                <w:rFonts w:ascii="宋体" w:hAnsi="宋体"/>
                <w:szCs w:val="21"/>
              </w:rPr>
            </w:pPr>
          </w:p>
        </w:tc>
        <w:tc>
          <w:tcPr>
            <w:tcW w:w="1603" w:type="dxa"/>
            <w:gridSpan w:val="3"/>
            <w:vAlign w:val="center"/>
          </w:tcPr>
          <w:p>
            <w:pPr>
              <w:spacing w:line="320" w:lineRule="exact"/>
              <w:ind w:firstLine="200"/>
              <w:jc w:val="center"/>
              <w:rPr>
                <w:rFonts w:ascii="宋体" w:hAnsi="宋体"/>
                <w:szCs w:val="21"/>
              </w:rPr>
            </w:pPr>
          </w:p>
        </w:tc>
        <w:tc>
          <w:tcPr>
            <w:tcW w:w="3012" w:type="dxa"/>
            <w:gridSpan w:val="2"/>
            <w:vAlign w:val="center"/>
          </w:tcPr>
          <w:p>
            <w:pPr>
              <w:spacing w:line="320" w:lineRule="exact"/>
              <w:ind w:firstLine="200"/>
              <w:jc w:val="center"/>
              <w:rPr>
                <w:rFonts w:ascii="宋体" w:hAnsi="宋体"/>
                <w:szCs w:val="21"/>
              </w:rPr>
            </w:pPr>
          </w:p>
        </w:tc>
        <w:tc>
          <w:tcPr>
            <w:tcW w:w="1205" w:type="dxa"/>
            <w:gridSpan w:val="2"/>
            <w:vAlign w:val="center"/>
          </w:tcPr>
          <w:p>
            <w:pPr>
              <w:spacing w:line="320" w:lineRule="exact"/>
              <w:ind w:firstLine="200"/>
              <w:jc w:val="center"/>
              <w:rPr>
                <w:rFonts w:ascii="宋体" w:hAnsi="宋体"/>
                <w:szCs w:val="21"/>
              </w:rPr>
            </w:pPr>
          </w:p>
        </w:tc>
        <w:tc>
          <w:tcPr>
            <w:tcW w:w="955" w:type="dxa"/>
            <w:vAlign w:val="center"/>
          </w:tcPr>
          <w:p>
            <w:pPr>
              <w:spacing w:line="320" w:lineRule="exact"/>
              <w:ind w:firstLine="200"/>
              <w:jc w:val="center"/>
              <w:rPr>
                <w:rFonts w:ascii="宋体" w:hAnsi="宋体"/>
                <w:szCs w:val="21"/>
              </w:rPr>
            </w:pPr>
          </w:p>
        </w:tc>
        <w:tc>
          <w:tcPr>
            <w:tcW w:w="2400" w:type="dxa"/>
            <w:gridSpan w:val="2"/>
            <w:vAlign w:val="center"/>
          </w:tcPr>
          <w:p>
            <w:pPr>
              <w:spacing w:line="320" w:lineRule="exact"/>
              <w:ind w:firstLine="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45" w:type="dxa"/>
            <w:vAlign w:val="center"/>
          </w:tcPr>
          <w:p>
            <w:pPr>
              <w:spacing w:line="320" w:lineRule="exact"/>
              <w:ind w:firstLine="200"/>
              <w:jc w:val="center"/>
              <w:rPr>
                <w:rFonts w:ascii="宋体" w:hAnsi="宋体"/>
                <w:szCs w:val="21"/>
              </w:rPr>
            </w:pPr>
          </w:p>
        </w:tc>
        <w:tc>
          <w:tcPr>
            <w:tcW w:w="1603" w:type="dxa"/>
            <w:gridSpan w:val="3"/>
            <w:vAlign w:val="center"/>
          </w:tcPr>
          <w:p>
            <w:pPr>
              <w:spacing w:line="320" w:lineRule="exact"/>
              <w:ind w:firstLine="200"/>
              <w:jc w:val="center"/>
              <w:rPr>
                <w:rFonts w:ascii="宋体" w:hAnsi="宋体"/>
                <w:szCs w:val="21"/>
              </w:rPr>
            </w:pPr>
          </w:p>
        </w:tc>
        <w:tc>
          <w:tcPr>
            <w:tcW w:w="3012" w:type="dxa"/>
            <w:gridSpan w:val="2"/>
            <w:vAlign w:val="center"/>
          </w:tcPr>
          <w:p>
            <w:pPr>
              <w:spacing w:line="320" w:lineRule="exact"/>
              <w:ind w:firstLine="200"/>
              <w:jc w:val="center"/>
              <w:rPr>
                <w:rFonts w:ascii="宋体" w:hAnsi="宋体"/>
                <w:szCs w:val="21"/>
              </w:rPr>
            </w:pPr>
          </w:p>
        </w:tc>
        <w:tc>
          <w:tcPr>
            <w:tcW w:w="1205" w:type="dxa"/>
            <w:gridSpan w:val="2"/>
            <w:vAlign w:val="center"/>
          </w:tcPr>
          <w:p>
            <w:pPr>
              <w:spacing w:line="320" w:lineRule="exact"/>
              <w:ind w:firstLine="200"/>
              <w:jc w:val="center"/>
              <w:rPr>
                <w:rFonts w:ascii="宋体" w:hAnsi="宋体"/>
                <w:szCs w:val="21"/>
              </w:rPr>
            </w:pPr>
          </w:p>
        </w:tc>
        <w:tc>
          <w:tcPr>
            <w:tcW w:w="955" w:type="dxa"/>
            <w:vAlign w:val="center"/>
          </w:tcPr>
          <w:p>
            <w:pPr>
              <w:spacing w:line="320" w:lineRule="exact"/>
              <w:ind w:firstLine="200"/>
              <w:jc w:val="center"/>
              <w:rPr>
                <w:rFonts w:ascii="宋体" w:hAnsi="宋体"/>
                <w:szCs w:val="21"/>
              </w:rPr>
            </w:pPr>
          </w:p>
        </w:tc>
        <w:tc>
          <w:tcPr>
            <w:tcW w:w="2400" w:type="dxa"/>
            <w:gridSpan w:val="2"/>
            <w:vAlign w:val="center"/>
          </w:tcPr>
          <w:p>
            <w:pPr>
              <w:spacing w:line="320" w:lineRule="exact"/>
              <w:ind w:firstLine="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845" w:type="dxa"/>
            <w:vAlign w:val="center"/>
          </w:tcPr>
          <w:p>
            <w:pPr>
              <w:spacing w:line="320" w:lineRule="exact"/>
              <w:ind w:firstLine="200"/>
              <w:jc w:val="center"/>
              <w:rPr>
                <w:rFonts w:ascii="宋体" w:hAnsi="宋体"/>
                <w:szCs w:val="21"/>
              </w:rPr>
            </w:pPr>
          </w:p>
        </w:tc>
        <w:tc>
          <w:tcPr>
            <w:tcW w:w="1603" w:type="dxa"/>
            <w:gridSpan w:val="3"/>
            <w:vAlign w:val="center"/>
          </w:tcPr>
          <w:p>
            <w:pPr>
              <w:spacing w:line="320" w:lineRule="exact"/>
              <w:ind w:firstLine="200"/>
              <w:jc w:val="center"/>
              <w:rPr>
                <w:rFonts w:ascii="宋体" w:hAnsi="宋体"/>
                <w:szCs w:val="21"/>
              </w:rPr>
            </w:pPr>
          </w:p>
        </w:tc>
        <w:tc>
          <w:tcPr>
            <w:tcW w:w="3012" w:type="dxa"/>
            <w:gridSpan w:val="2"/>
            <w:vAlign w:val="center"/>
          </w:tcPr>
          <w:p>
            <w:pPr>
              <w:spacing w:line="320" w:lineRule="exact"/>
              <w:ind w:firstLine="200"/>
              <w:jc w:val="center"/>
              <w:rPr>
                <w:rFonts w:ascii="宋体" w:hAnsi="宋体"/>
                <w:szCs w:val="21"/>
              </w:rPr>
            </w:pPr>
          </w:p>
        </w:tc>
        <w:tc>
          <w:tcPr>
            <w:tcW w:w="1205" w:type="dxa"/>
            <w:gridSpan w:val="2"/>
            <w:vAlign w:val="center"/>
          </w:tcPr>
          <w:p>
            <w:pPr>
              <w:spacing w:line="320" w:lineRule="exact"/>
              <w:ind w:firstLine="200"/>
              <w:jc w:val="center"/>
              <w:rPr>
                <w:rFonts w:ascii="宋体" w:hAnsi="宋体"/>
                <w:szCs w:val="21"/>
              </w:rPr>
            </w:pPr>
          </w:p>
        </w:tc>
        <w:tc>
          <w:tcPr>
            <w:tcW w:w="955" w:type="dxa"/>
            <w:vAlign w:val="center"/>
          </w:tcPr>
          <w:p>
            <w:pPr>
              <w:spacing w:line="320" w:lineRule="exact"/>
              <w:ind w:firstLine="200"/>
              <w:jc w:val="center"/>
              <w:rPr>
                <w:rFonts w:ascii="宋体" w:hAnsi="宋体"/>
                <w:szCs w:val="21"/>
              </w:rPr>
            </w:pPr>
          </w:p>
        </w:tc>
        <w:tc>
          <w:tcPr>
            <w:tcW w:w="2400" w:type="dxa"/>
            <w:gridSpan w:val="2"/>
            <w:vAlign w:val="center"/>
          </w:tcPr>
          <w:p>
            <w:pPr>
              <w:spacing w:line="320" w:lineRule="exact"/>
              <w:ind w:firstLine="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845" w:type="dxa"/>
            <w:vAlign w:val="center"/>
          </w:tcPr>
          <w:p>
            <w:pPr>
              <w:spacing w:line="320" w:lineRule="exact"/>
              <w:ind w:firstLine="200"/>
              <w:jc w:val="center"/>
              <w:rPr>
                <w:rFonts w:ascii="宋体" w:hAnsi="宋体"/>
                <w:szCs w:val="21"/>
              </w:rPr>
            </w:pPr>
          </w:p>
        </w:tc>
        <w:tc>
          <w:tcPr>
            <w:tcW w:w="1603" w:type="dxa"/>
            <w:gridSpan w:val="3"/>
            <w:vAlign w:val="center"/>
          </w:tcPr>
          <w:p>
            <w:pPr>
              <w:spacing w:line="320" w:lineRule="exact"/>
              <w:ind w:firstLine="200"/>
              <w:jc w:val="center"/>
              <w:rPr>
                <w:rFonts w:ascii="宋体" w:hAnsi="宋体"/>
                <w:szCs w:val="21"/>
              </w:rPr>
            </w:pPr>
          </w:p>
        </w:tc>
        <w:tc>
          <w:tcPr>
            <w:tcW w:w="3012" w:type="dxa"/>
            <w:gridSpan w:val="2"/>
            <w:vAlign w:val="center"/>
          </w:tcPr>
          <w:p>
            <w:pPr>
              <w:spacing w:line="320" w:lineRule="exact"/>
              <w:ind w:firstLine="200"/>
              <w:jc w:val="center"/>
              <w:rPr>
                <w:rFonts w:ascii="宋体" w:hAnsi="宋体"/>
                <w:szCs w:val="21"/>
              </w:rPr>
            </w:pPr>
          </w:p>
        </w:tc>
        <w:tc>
          <w:tcPr>
            <w:tcW w:w="1205" w:type="dxa"/>
            <w:gridSpan w:val="2"/>
            <w:vAlign w:val="center"/>
          </w:tcPr>
          <w:p>
            <w:pPr>
              <w:spacing w:line="320" w:lineRule="exact"/>
              <w:ind w:firstLine="200"/>
              <w:jc w:val="center"/>
              <w:rPr>
                <w:rFonts w:ascii="宋体" w:hAnsi="宋体"/>
                <w:szCs w:val="21"/>
              </w:rPr>
            </w:pPr>
          </w:p>
        </w:tc>
        <w:tc>
          <w:tcPr>
            <w:tcW w:w="955" w:type="dxa"/>
            <w:vAlign w:val="center"/>
          </w:tcPr>
          <w:p>
            <w:pPr>
              <w:spacing w:line="320" w:lineRule="exact"/>
              <w:ind w:firstLine="200"/>
              <w:jc w:val="center"/>
              <w:rPr>
                <w:rFonts w:ascii="宋体" w:hAnsi="宋体"/>
                <w:szCs w:val="21"/>
              </w:rPr>
            </w:pPr>
          </w:p>
        </w:tc>
        <w:tc>
          <w:tcPr>
            <w:tcW w:w="2400" w:type="dxa"/>
            <w:gridSpan w:val="2"/>
            <w:vAlign w:val="center"/>
          </w:tcPr>
          <w:p>
            <w:pPr>
              <w:spacing w:line="320" w:lineRule="exact"/>
              <w:ind w:firstLine="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845" w:type="dxa"/>
            <w:vAlign w:val="center"/>
          </w:tcPr>
          <w:p>
            <w:pPr>
              <w:spacing w:line="320" w:lineRule="exact"/>
              <w:ind w:firstLine="200"/>
              <w:jc w:val="center"/>
              <w:rPr>
                <w:rFonts w:ascii="宋体" w:hAnsi="宋体"/>
                <w:szCs w:val="21"/>
              </w:rPr>
            </w:pPr>
          </w:p>
        </w:tc>
        <w:tc>
          <w:tcPr>
            <w:tcW w:w="1603" w:type="dxa"/>
            <w:gridSpan w:val="3"/>
            <w:vAlign w:val="center"/>
          </w:tcPr>
          <w:p>
            <w:pPr>
              <w:spacing w:line="320" w:lineRule="exact"/>
              <w:ind w:firstLine="200"/>
              <w:jc w:val="center"/>
              <w:rPr>
                <w:rFonts w:ascii="宋体" w:hAnsi="宋体"/>
                <w:szCs w:val="21"/>
              </w:rPr>
            </w:pPr>
          </w:p>
        </w:tc>
        <w:tc>
          <w:tcPr>
            <w:tcW w:w="3012" w:type="dxa"/>
            <w:gridSpan w:val="2"/>
            <w:vAlign w:val="center"/>
          </w:tcPr>
          <w:p>
            <w:pPr>
              <w:spacing w:line="320" w:lineRule="exact"/>
              <w:ind w:firstLine="200"/>
              <w:jc w:val="center"/>
              <w:rPr>
                <w:rFonts w:ascii="宋体" w:hAnsi="宋体"/>
                <w:szCs w:val="21"/>
              </w:rPr>
            </w:pPr>
          </w:p>
        </w:tc>
        <w:tc>
          <w:tcPr>
            <w:tcW w:w="1205" w:type="dxa"/>
            <w:gridSpan w:val="2"/>
            <w:vAlign w:val="center"/>
          </w:tcPr>
          <w:p>
            <w:pPr>
              <w:spacing w:line="320" w:lineRule="exact"/>
              <w:ind w:firstLine="200"/>
              <w:jc w:val="center"/>
              <w:rPr>
                <w:rFonts w:ascii="宋体" w:hAnsi="宋体"/>
                <w:szCs w:val="21"/>
              </w:rPr>
            </w:pPr>
          </w:p>
        </w:tc>
        <w:tc>
          <w:tcPr>
            <w:tcW w:w="955" w:type="dxa"/>
            <w:vAlign w:val="center"/>
          </w:tcPr>
          <w:p>
            <w:pPr>
              <w:spacing w:line="320" w:lineRule="exact"/>
              <w:ind w:firstLine="200"/>
              <w:jc w:val="center"/>
              <w:rPr>
                <w:rFonts w:ascii="宋体" w:hAnsi="宋体"/>
                <w:szCs w:val="21"/>
              </w:rPr>
            </w:pPr>
          </w:p>
        </w:tc>
        <w:tc>
          <w:tcPr>
            <w:tcW w:w="2400" w:type="dxa"/>
            <w:gridSpan w:val="2"/>
            <w:vAlign w:val="center"/>
          </w:tcPr>
          <w:p>
            <w:pPr>
              <w:spacing w:line="320" w:lineRule="exact"/>
              <w:ind w:firstLine="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45" w:type="dxa"/>
            <w:vAlign w:val="center"/>
          </w:tcPr>
          <w:p>
            <w:pPr>
              <w:spacing w:line="320" w:lineRule="exact"/>
              <w:ind w:firstLine="200"/>
              <w:jc w:val="center"/>
              <w:rPr>
                <w:rFonts w:ascii="宋体" w:hAnsi="宋体"/>
                <w:szCs w:val="21"/>
              </w:rPr>
            </w:pPr>
          </w:p>
        </w:tc>
        <w:tc>
          <w:tcPr>
            <w:tcW w:w="1603" w:type="dxa"/>
            <w:gridSpan w:val="3"/>
            <w:vAlign w:val="center"/>
          </w:tcPr>
          <w:p>
            <w:pPr>
              <w:spacing w:line="320" w:lineRule="exact"/>
              <w:ind w:firstLine="200"/>
              <w:jc w:val="center"/>
              <w:rPr>
                <w:rFonts w:ascii="宋体" w:hAnsi="宋体"/>
                <w:szCs w:val="21"/>
              </w:rPr>
            </w:pPr>
          </w:p>
        </w:tc>
        <w:tc>
          <w:tcPr>
            <w:tcW w:w="3012" w:type="dxa"/>
            <w:gridSpan w:val="2"/>
            <w:vAlign w:val="center"/>
          </w:tcPr>
          <w:p>
            <w:pPr>
              <w:spacing w:line="320" w:lineRule="exact"/>
              <w:ind w:firstLine="200"/>
              <w:jc w:val="center"/>
              <w:rPr>
                <w:rFonts w:ascii="宋体" w:hAnsi="宋体"/>
                <w:szCs w:val="21"/>
              </w:rPr>
            </w:pPr>
          </w:p>
        </w:tc>
        <w:tc>
          <w:tcPr>
            <w:tcW w:w="1205" w:type="dxa"/>
            <w:gridSpan w:val="2"/>
            <w:vAlign w:val="center"/>
          </w:tcPr>
          <w:p>
            <w:pPr>
              <w:spacing w:line="320" w:lineRule="exact"/>
              <w:ind w:firstLine="200"/>
              <w:jc w:val="center"/>
              <w:rPr>
                <w:rFonts w:ascii="宋体" w:hAnsi="宋体"/>
                <w:szCs w:val="21"/>
              </w:rPr>
            </w:pPr>
          </w:p>
        </w:tc>
        <w:tc>
          <w:tcPr>
            <w:tcW w:w="955" w:type="dxa"/>
            <w:vAlign w:val="center"/>
          </w:tcPr>
          <w:p>
            <w:pPr>
              <w:spacing w:line="320" w:lineRule="exact"/>
              <w:ind w:firstLine="200"/>
              <w:jc w:val="center"/>
              <w:rPr>
                <w:rFonts w:ascii="宋体" w:hAnsi="宋体"/>
                <w:szCs w:val="21"/>
              </w:rPr>
            </w:pPr>
          </w:p>
        </w:tc>
        <w:tc>
          <w:tcPr>
            <w:tcW w:w="2400" w:type="dxa"/>
            <w:gridSpan w:val="2"/>
            <w:vAlign w:val="center"/>
          </w:tcPr>
          <w:p>
            <w:pPr>
              <w:spacing w:line="320" w:lineRule="exact"/>
              <w:ind w:firstLine="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845" w:type="dxa"/>
            <w:vAlign w:val="center"/>
          </w:tcPr>
          <w:p>
            <w:pPr>
              <w:spacing w:line="320" w:lineRule="exact"/>
              <w:ind w:firstLine="200"/>
              <w:jc w:val="center"/>
              <w:rPr>
                <w:rFonts w:ascii="宋体" w:hAnsi="宋体"/>
                <w:szCs w:val="21"/>
              </w:rPr>
            </w:pPr>
          </w:p>
        </w:tc>
        <w:tc>
          <w:tcPr>
            <w:tcW w:w="1603" w:type="dxa"/>
            <w:gridSpan w:val="3"/>
            <w:vAlign w:val="center"/>
          </w:tcPr>
          <w:p>
            <w:pPr>
              <w:spacing w:line="320" w:lineRule="exact"/>
              <w:ind w:firstLine="200"/>
              <w:jc w:val="center"/>
              <w:rPr>
                <w:rFonts w:ascii="宋体" w:hAnsi="宋体"/>
                <w:szCs w:val="21"/>
              </w:rPr>
            </w:pPr>
          </w:p>
        </w:tc>
        <w:tc>
          <w:tcPr>
            <w:tcW w:w="3012" w:type="dxa"/>
            <w:gridSpan w:val="2"/>
            <w:vAlign w:val="center"/>
          </w:tcPr>
          <w:p>
            <w:pPr>
              <w:spacing w:line="320" w:lineRule="exact"/>
              <w:ind w:firstLine="200"/>
              <w:jc w:val="center"/>
              <w:rPr>
                <w:rFonts w:ascii="宋体" w:hAnsi="宋体"/>
                <w:szCs w:val="21"/>
              </w:rPr>
            </w:pPr>
          </w:p>
        </w:tc>
        <w:tc>
          <w:tcPr>
            <w:tcW w:w="1205" w:type="dxa"/>
            <w:gridSpan w:val="2"/>
            <w:vAlign w:val="center"/>
          </w:tcPr>
          <w:p>
            <w:pPr>
              <w:spacing w:line="320" w:lineRule="exact"/>
              <w:ind w:firstLine="200"/>
              <w:jc w:val="center"/>
              <w:rPr>
                <w:rFonts w:ascii="宋体" w:hAnsi="宋体"/>
                <w:szCs w:val="21"/>
              </w:rPr>
            </w:pPr>
          </w:p>
        </w:tc>
        <w:tc>
          <w:tcPr>
            <w:tcW w:w="955" w:type="dxa"/>
            <w:vAlign w:val="center"/>
          </w:tcPr>
          <w:p>
            <w:pPr>
              <w:spacing w:line="320" w:lineRule="exact"/>
              <w:ind w:firstLine="200"/>
              <w:jc w:val="center"/>
              <w:rPr>
                <w:rFonts w:ascii="宋体" w:hAnsi="宋体"/>
                <w:szCs w:val="21"/>
              </w:rPr>
            </w:pPr>
          </w:p>
        </w:tc>
        <w:tc>
          <w:tcPr>
            <w:tcW w:w="2400" w:type="dxa"/>
            <w:gridSpan w:val="2"/>
            <w:vAlign w:val="center"/>
          </w:tcPr>
          <w:p>
            <w:pPr>
              <w:spacing w:line="320" w:lineRule="exact"/>
              <w:ind w:firstLine="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845" w:type="dxa"/>
            <w:vAlign w:val="center"/>
          </w:tcPr>
          <w:p>
            <w:pPr>
              <w:spacing w:line="320" w:lineRule="exact"/>
              <w:ind w:firstLine="200"/>
              <w:jc w:val="center"/>
              <w:rPr>
                <w:rFonts w:ascii="宋体" w:hAnsi="宋体"/>
                <w:szCs w:val="21"/>
              </w:rPr>
            </w:pPr>
          </w:p>
        </w:tc>
        <w:tc>
          <w:tcPr>
            <w:tcW w:w="1603" w:type="dxa"/>
            <w:gridSpan w:val="3"/>
            <w:vAlign w:val="center"/>
          </w:tcPr>
          <w:p>
            <w:pPr>
              <w:spacing w:line="320" w:lineRule="exact"/>
              <w:ind w:firstLine="200"/>
              <w:jc w:val="center"/>
              <w:rPr>
                <w:rFonts w:ascii="宋体" w:hAnsi="宋体"/>
                <w:szCs w:val="21"/>
              </w:rPr>
            </w:pPr>
          </w:p>
        </w:tc>
        <w:tc>
          <w:tcPr>
            <w:tcW w:w="3012" w:type="dxa"/>
            <w:gridSpan w:val="2"/>
            <w:vAlign w:val="center"/>
          </w:tcPr>
          <w:p>
            <w:pPr>
              <w:spacing w:line="320" w:lineRule="exact"/>
              <w:ind w:firstLine="200"/>
              <w:jc w:val="center"/>
              <w:rPr>
                <w:rFonts w:ascii="宋体" w:hAnsi="宋体"/>
                <w:szCs w:val="21"/>
              </w:rPr>
            </w:pPr>
          </w:p>
        </w:tc>
        <w:tc>
          <w:tcPr>
            <w:tcW w:w="1205" w:type="dxa"/>
            <w:gridSpan w:val="2"/>
            <w:vAlign w:val="center"/>
          </w:tcPr>
          <w:p>
            <w:pPr>
              <w:spacing w:line="320" w:lineRule="exact"/>
              <w:ind w:firstLine="200"/>
              <w:jc w:val="center"/>
              <w:rPr>
                <w:rFonts w:ascii="宋体" w:hAnsi="宋体"/>
                <w:szCs w:val="21"/>
              </w:rPr>
            </w:pPr>
          </w:p>
        </w:tc>
        <w:tc>
          <w:tcPr>
            <w:tcW w:w="955" w:type="dxa"/>
            <w:vAlign w:val="center"/>
          </w:tcPr>
          <w:p>
            <w:pPr>
              <w:spacing w:line="320" w:lineRule="exact"/>
              <w:ind w:firstLine="200"/>
              <w:jc w:val="center"/>
              <w:rPr>
                <w:rFonts w:ascii="宋体" w:hAnsi="宋体"/>
                <w:szCs w:val="21"/>
              </w:rPr>
            </w:pPr>
          </w:p>
        </w:tc>
        <w:tc>
          <w:tcPr>
            <w:tcW w:w="2400" w:type="dxa"/>
            <w:gridSpan w:val="2"/>
            <w:vAlign w:val="center"/>
          </w:tcPr>
          <w:p>
            <w:pPr>
              <w:spacing w:line="320" w:lineRule="exact"/>
              <w:ind w:firstLine="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845" w:type="dxa"/>
            <w:vAlign w:val="center"/>
          </w:tcPr>
          <w:p>
            <w:pPr>
              <w:spacing w:line="320" w:lineRule="exact"/>
              <w:ind w:firstLine="200"/>
              <w:jc w:val="center"/>
              <w:rPr>
                <w:rFonts w:ascii="宋体" w:hAnsi="宋体"/>
                <w:szCs w:val="21"/>
              </w:rPr>
            </w:pPr>
          </w:p>
        </w:tc>
        <w:tc>
          <w:tcPr>
            <w:tcW w:w="1603" w:type="dxa"/>
            <w:gridSpan w:val="3"/>
            <w:vAlign w:val="center"/>
          </w:tcPr>
          <w:p>
            <w:pPr>
              <w:spacing w:line="320" w:lineRule="exact"/>
              <w:ind w:firstLine="200"/>
              <w:jc w:val="center"/>
              <w:rPr>
                <w:rFonts w:ascii="宋体" w:hAnsi="宋体"/>
                <w:szCs w:val="21"/>
              </w:rPr>
            </w:pPr>
          </w:p>
        </w:tc>
        <w:tc>
          <w:tcPr>
            <w:tcW w:w="3012" w:type="dxa"/>
            <w:gridSpan w:val="2"/>
            <w:vAlign w:val="center"/>
          </w:tcPr>
          <w:p>
            <w:pPr>
              <w:spacing w:line="320" w:lineRule="exact"/>
              <w:ind w:firstLine="200"/>
              <w:jc w:val="center"/>
              <w:rPr>
                <w:rFonts w:ascii="宋体" w:hAnsi="宋体"/>
                <w:szCs w:val="21"/>
              </w:rPr>
            </w:pPr>
          </w:p>
        </w:tc>
        <w:tc>
          <w:tcPr>
            <w:tcW w:w="1205" w:type="dxa"/>
            <w:gridSpan w:val="2"/>
            <w:vAlign w:val="center"/>
          </w:tcPr>
          <w:p>
            <w:pPr>
              <w:spacing w:line="320" w:lineRule="exact"/>
              <w:ind w:firstLine="200"/>
              <w:jc w:val="center"/>
              <w:rPr>
                <w:rFonts w:ascii="宋体" w:hAnsi="宋体"/>
                <w:szCs w:val="21"/>
              </w:rPr>
            </w:pPr>
          </w:p>
        </w:tc>
        <w:tc>
          <w:tcPr>
            <w:tcW w:w="955" w:type="dxa"/>
            <w:vAlign w:val="center"/>
          </w:tcPr>
          <w:p>
            <w:pPr>
              <w:spacing w:line="320" w:lineRule="exact"/>
              <w:ind w:firstLine="200"/>
              <w:jc w:val="center"/>
              <w:rPr>
                <w:rFonts w:ascii="宋体" w:hAnsi="宋体"/>
                <w:szCs w:val="21"/>
              </w:rPr>
            </w:pPr>
          </w:p>
        </w:tc>
        <w:tc>
          <w:tcPr>
            <w:tcW w:w="2400" w:type="dxa"/>
            <w:gridSpan w:val="2"/>
            <w:vAlign w:val="center"/>
          </w:tcPr>
          <w:p>
            <w:pPr>
              <w:spacing w:line="320" w:lineRule="exact"/>
              <w:ind w:firstLine="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845" w:type="dxa"/>
            <w:vAlign w:val="center"/>
          </w:tcPr>
          <w:p>
            <w:pPr>
              <w:spacing w:line="320" w:lineRule="exact"/>
              <w:ind w:firstLine="200"/>
              <w:jc w:val="center"/>
              <w:rPr>
                <w:rFonts w:ascii="宋体" w:hAnsi="宋体"/>
                <w:szCs w:val="21"/>
              </w:rPr>
            </w:pPr>
          </w:p>
        </w:tc>
        <w:tc>
          <w:tcPr>
            <w:tcW w:w="1603" w:type="dxa"/>
            <w:gridSpan w:val="3"/>
            <w:vAlign w:val="center"/>
          </w:tcPr>
          <w:p>
            <w:pPr>
              <w:spacing w:line="320" w:lineRule="exact"/>
              <w:ind w:firstLine="200"/>
              <w:jc w:val="center"/>
              <w:rPr>
                <w:rFonts w:ascii="宋体" w:hAnsi="宋体"/>
                <w:szCs w:val="21"/>
              </w:rPr>
            </w:pPr>
          </w:p>
        </w:tc>
        <w:tc>
          <w:tcPr>
            <w:tcW w:w="3012" w:type="dxa"/>
            <w:gridSpan w:val="2"/>
            <w:vAlign w:val="center"/>
          </w:tcPr>
          <w:p>
            <w:pPr>
              <w:spacing w:line="320" w:lineRule="exact"/>
              <w:ind w:firstLine="200"/>
              <w:jc w:val="center"/>
              <w:rPr>
                <w:rFonts w:ascii="宋体" w:hAnsi="宋体"/>
                <w:szCs w:val="21"/>
              </w:rPr>
            </w:pPr>
          </w:p>
        </w:tc>
        <w:tc>
          <w:tcPr>
            <w:tcW w:w="1205" w:type="dxa"/>
            <w:gridSpan w:val="2"/>
            <w:vAlign w:val="center"/>
          </w:tcPr>
          <w:p>
            <w:pPr>
              <w:spacing w:line="320" w:lineRule="exact"/>
              <w:ind w:firstLine="200"/>
              <w:jc w:val="center"/>
              <w:rPr>
                <w:rFonts w:ascii="宋体" w:hAnsi="宋体"/>
                <w:szCs w:val="21"/>
              </w:rPr>
            </w:pPr>
          </w:p>
        </w:tc>
        <w:tc>
          <w:tcPr>
            <w:tcW w:w="955" w:type="dxa"/>
            <w:vAlign w:val="center"/>
          </w:tcPr>
          <w:p>
            <w:pPr>
              <w:spacing w:line="320" w:lineRule="exact"/>
              <w:ind w:firstLine="200"/>
              <w:jc w:val="center"/>
              <w:rPr>
                <w:rFonts w:ascii="宋体" w:hAnsi="宋体"/>
                <w:szCs w:val="21"/>
              </w:rPr>
            </w:pPr>
          </w:p>
        </w:tc>
        <w:tc>
          <w:tcPr>
            <w:tcW w:w="2400" w:type="dxa"/>
            <w:gridSpan w:val="2"/>
            <w:vAlign w:val="center"/>
          </w:tcPr>
          <w:p>
            <w:pPr>
              <w:spacing w:line="320" w:lineRule="exact"/>
              <w:ind w:firstLine="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845" w:type="dxa"/>
            <w:vAlign w:val="center"/>
          </w:tcPr>
          <w:p>
            <w:pPr>
              <w:spacing w:line="320" w:lineRule="exact"/>
              <w:ind w:firstLine="200"/>
              <w:jc w:val="center"/>
              <w:rPr>
                <w:rFonts w:ascii="宋体" w:hAnsi="宋体"/>
                <w:szCs w:val="21"/>
              </w:rPr>
            </w:pPr>
          </w:p>
        </w:tc>
        <w:tc>
          <w:tcPr>
            <w:tcW w:w="1603" w:type="dxa"/>
            <w:gridSpan w:val="3"/>
            <w:vAlign w:val="center"/>
          </w:tcPr>
          <w:p>
            <w:pPr>
              <w:spacing w:line="320" w:lineRule="exact"/>
              <w:ind w:firstLine="200"/>
              <w:jc w:val="center"/>
              <w:rPr>
                <w:rFonts w:ascii="宋体" w:hAnsi="宋体"/>
                <w:szCs w:val="21"/>
              </w:rPr>
            </w:pPr>
          </w:p>
        </w:tc>
        <w:tc>
          <w:tcPr>
            <w:tcW w:w="3012" w:type="dxa"/>
            <w:gridSpan w:val="2"/>
            <w:vAlign w:val="center"/>
          </w:tcPr>
          <w:p>
            <w:pPr>
              <w:spacing w:line="320" w:lineRule="exact"/>
              <w:ind w:firstLine="200"/>
              <w:jc w:val="center"/>
              <w:rPr>
                <w:rFonts w:ascii="宋体" w:hAnsi="宋体"/>
                <w:szCs w:val="21"/>
              </w:rPr>
            </w:pPr>
          </w:p>
        </w:tc>
        <w:tc>
          <w:tcPr>
            <w:tcW w:w="1205" w:type="dxa"/>
            <w:gridSpan w:val="2"/>
            <w:vAlign w:val="center"/>
          </w:tcPr>
          <w:p>
            <w:pPr>
              <w:spacing w:line="320" w:lineRule="exact"/>
              <w:ind w:firstLine="200"/>
              <w:jc w:val="center"/>
              <w:rPr>
                <w:rFonts w:ascii="宋体" w:hAnsi="宋体"/>
                <w:szCs w:val="21"/>
              </w:rPr>
            </w:pPr>
          </w:p>
        </w:tc>
        <w:tc>
          <w:tcPr>
            <w:tcW w:w="955" w:type="dxa"/>
            <w:vAlign w:val="center"/>
          </w:tcPr>
          <w:p>
            <w:pPr>
              <w:spacing w:line="320" w:lineRule="exact"/>
              <w:ind w:firstLine="200"/>
              <w:jc w:val="center"/>
              <w:rPr>
                <w:rFonts w:ascii="宋体" w:hAnsi="宋体"/>
                <w:szCs w:val="21"/>
              </w:rPr>
            </w:pPr>
          </w:p>
        </w:tc>
        <w:tc>
          <w:tcPr>
            <w:tcW w:w="2400" w:type="dxa"/>
            <w:gridSpan w:val="2"/>
            <w:vAlign w:val="center"/>
          </w:tcPr>
          <w:p>
            <w:pPr>
              <w:spacing w:line="320" w:lineRule="exact"/>
              <w:ind w:firstLine="200"/>
              <w:jc w:val="center"/>
              <w:rPr>
                <w:rFonts w:ascii="宋体" w:hAnsi="宋体"/>
                <w:szCs w:val="21"/>
              </w:rPr>
            </w:pPr>
          </w:p>
        </w:tc>
      </w:tr>
    </w:tbl>
    <w:p>
      <w:pPr>
        <w:pStyle w:val="19"/>
        <w:spacing w:line="360" w:lineRule="auto"/>
        <w:ind w:firstLine="420" w:firstLineChars="200"/>
        <w:rPr>
          <w:rFonts w:hAnsi="宋体"/>
          <w:szCs w:val="21"/>
        </w:rPr>
      </w:pPr>
      <w:r>
        <w:rPr>
          <w:rFonts w:hint="eastAsia" w:hAnsi="宋体"/>
          <w:szCs w:val="21"/>
        </w:rPr>
        <w:t>填表时间：                     施工单位（盖章）：</w:t>
      </w:r>
    </w:p>
    <w:p>
      <w:pPr>
        <w:pStyle w:val="19"/>
        <w:spacing w:line="360" w:lineRule="auto"/>
        <w:ind w:firstLine="420" w:firstLineChars="200"/>
        <w:rPr>
          <w:rFonts w:hAnsi="宋体"/>
          <w:szCs w:val="21"/>
        </w:rPr>
      </w:pPr>
    </w:p>
    <w:p>
      <w:pPr>
        <w:ind w:firstLine="200"/>
        <w:jc w:val="center"/>
        <w:rPr>
          <w:rFonts w:ascii="宋体" w:hAnsi="宋体"/>
          <w:b/>
          <w:sz w:val="32"/>
          <w:szCs w:val="32"/>
        </w:rPr>
      </w:pPr>
      <w:r>
        <w:rPr>
          <w:rFonts w:ascii="宋体" w:hAnsi="宋体"/>
          <w:b/>
          <w:sz w:val="32"/>
          <w:szCs w:val="32"/>
        </w:rPr>
        <w:t>工程质量终身责任制</w:t>
      </w:r>
      <w:r>
        <w:rPr>
          <w:rFonts w:hint="eastAsia" w:ascii="宋体" w:hAnsi="宋体"/>
          <w:b/>
          <w:sz w:val="32"/>
          <w:szCs w:val="32"/>
        </w:rPr>
        <w:t>登记表</w:t>
      </w:r>
    </w:p>
    <w:p>
      <w:pPr>
        <w:spacing w:line="320" w:lineRule="exact"/>
        <w:rPr>
          <w:rFonts w:ascii="宋体" w:hAnsi="宋体"/>
          <w:szCs w:val="21"/>
        </w:rPr>
      </w:pPr>
    </w:p>
    <w:tbl>
      <w:tblPr>
        <w:tblStyle w:val="39"/>
        <w:tblW w:w="10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605"/>
        <w:gridCol w:w="809"/>
        <w:gridCol w:w="189"/>
        <w:gridCol w:w="1616"/>
        <w:gridCol w:w="1396"/>
        <w:gridCol w:w="194"/>
        <w:gridCol w:w="1011"/>
        <w:gridCol w:w="955"/>
        <w:gridCol w:w="1190"/>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450" w:type="dxa"/>
            <w:gridSpan w:val="2"/>
            <w:vAlign w:val="center"/>
          </w:tcPr>
          <w:p>
            <w:pPr>
              <w:spacing w:line="320" w:lineRule="exact"/>
              <w:jc w:val="center"/>
              <w:rPr>
                <w:rFonts w:ascii="宋体" w:hAnsi="宋体"/>
                <w:szCs w:val="21"/>
              </w:rPr>
            </w:pPr>
            <w:r>
              <w:rPr>
                <w:rFonts w:hint="eastAsia" w:ascii="宋体" w:hAnsi="宋体"/>
                <w:szCs w:val="21"/>
              </w:rPr>
              <w:t>项目名称</w:t>
            </w:r>
          </w:p>
        </w:tc>
        <w:tc>
          <w:tcPr>
            <w:tcW w:w="2614" w:type="dxa"/>
            <w:gridSpan w:val="3"/>
            <w:vAlign w:val="center"/>
          </w:tcPr>
          <w:p>
            <w:pPr>
              <w:spacing w:line="320" w:lineRule="exact"/>
              <w:ind w:left="-161" w:leftChars="-77"/>
              <w:jc w:val="center"/>
              <w:rPr>
                <w:rFonts w:ascii="宋体" w:hAnsi="宋体"/>
                <w:szCs w:val="21"/>
              </w:rPr>
            </w:pPr>
          </w:p>
        </w:tc>
        <w:tc>
          <w:tcPr>
            <w:tcW w:w="1590" w:type="dxa"/>
            <w:gridSpan w:val="2"/>
            <w:vAlign w:val="center"/>
          </w:tcPr>
          <w:p>
            <w:pPr>
              <w:spacing w:line="320" w:lineRule="exact"/>
              <w:jc w:val="center"/>
              <w:rPr>
                <w:rFonts w:ascii="宋体" w:hAnsi="宋体"/>
                <w:szCs w:val="21"/>
              </w:rPr>
            </w:pPr>
            <w:r>
              <w:rPr>
                <w:rFonts w:hint="eastAsia" w:ascii="宋体" w:hAnsi="宋体"/>
                <w:szCs w:val="21"/>
              </w:rPr>
              <w:t>起讫桩号</w:t>
            </w:r>
          </w:p>
        </w:tc>
        <w:tc>
          <w:tcPr>
            <w:tcW w:w="1966" w:type="dxa"/>
            <w:gridSpan w:val="2"/>
            <w:vAlign w:val="center"/>
          </w:tcPr>
          <w:p>
            <w:pPr>
              <w:spacing w:line="320" w:lineRule="exact"/>
              <w:ind w:firstLine="200"/>
              <w:jc w:val="center"/>
              <w:rPr>
                <w:rFonts w:ascii="宋体" w:hAnsi="宋体"/>
                <w:szCs w:val="21"/>
              </w:rPr>
            </w:pPr>
          </w:p>
        </w:tc>
        <w:tc>
          <w:tcPr>
            <w:tcW w:w="1190" w:type="dxa"/>
            <w:vMerge w:val="restart"/>
            <w:vAlign w:val="center"/>
          </w:tcPr>
          <w:p>
            <w:pPr>
              <w:spacing w:line="320" w:lineRule="exact"/>
              <w:jc w:val="center"/>
              <w:rPr>
                <w:rFonts w:ascii="宋体" w:hAnsi="宋体"/>
                <w:szCs w:val="21"/>
              </w:rPr>
            </w:pPr>
            <w:r>
              <w:rPr>
                <w:rFonts w:hint="eastAsia" w:ascii="宋体" w:hAnsi="宋体"/>
                <w:szCs w:val="21"/>
              </w:rPr>
              <w:t>项目负责人相片</w:t>
            </w:r>
          </w:p>
        </w:tc>
        <w:tc>
          <w:tcPr>
            <w:tcW w:w="1210" w:type="dxa"/>
            <w:vMerge w:val="restart"/>
            <w:vAlign w:val="center"/>
          </w:tcPr>
          <w:p>
            <w:pPr>
              <w:spacing w:line="320" w:lineRule="exact"/>
              <w:jc w:val="center"/>
              <w:rPr>
                <w:rFonts w:ascii="宋体" w:hAnsi="宋体"/>
                <w:szCs w:val="21"/>
              </w:rPr>
            </w:pPr>
            <w:r>
              <w:rPr>
                <w:rFonts w:hint="eastAsia" w:ascii="宋体" w:hAnsi="宋体"/>
                <w:szCs w:val="21"/>
              </w:rPr>
              <w:t>技术负责人相片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450" w:type="dxa"/>
            <w:gridSpan w:val="2"/>
            <w:vAlign w:val="center"/>
          </w:tcPr>
          <w:p>
            <w:pPr>
              <w:spacing w:line="320" w:lineRule="exact"/>
              <w:jc w:val="center"/>
              <w:rPr>
                <w:rFonts w:ascii="宋体" w:hAnsi="宋体"/>
                <w:szCs w:val="21"/>
              </w:rPr>
            </w:pPr>
            <w:r>
              <w:rPr>
                <w:rFonts w:hint="eastAsia" w:ascii="宋体" w:hAnsi="宋体"/>
                <w:szCs w:val="21"/>
              </w:rPr>
              <w:t>施工单位</w:t>
            </w:r>
          </w:p>
        </w:tc>
        <w:tc>
          <w:tcPr>
            <w:tcW w:w="2614" w:type="dxa"/>
            <w:gridSpan w:val="3"/>
            <w:vAlign w:val="center"/>
          </w:tcPr>
          <w:p>
            <w:pPr>
              <w:spacing w:line="320" w:lineRule="exact"/>
              <w:ind w:firstLine="200"/>
              <w:jc w:val="center"/>
              <w:rPr>
                <w:rFonts w:ascii="宋体" w:hAnsi="宋体"/>
                <w:szCs w:val="21"/>
              </w:rPr>
            </w:pPr>
          </w:p>
        </w:tc>
        <w:tc>
          <w:tcPr>
            <w:tcW w:w="1590" w:type="dxa"/>
            <w:gridSpan w:val="2"/>
            <w:vAlign w:val="center"/>
          </w:tcPr>
          <w:p>
            <w:pPr>
              <w:spacing w:line="320" w:lineRule="exact"/>
              <w:rPr>
                <w:rFonts w:ascii="宋体" w:hAnsi="宋体"/>
                <w:szCs w:val="21"/>
              </w:rPr>
            </w:pPr>
            <w:r>
              <w:rPr>
                <w:rFonts w:hint="eastAsia" w:ascii="宋体" w:hAnsi="宋体"/>
                <w:szCs w:val="21"/>
              </w:rPr>
              <w:t>上级主管</w:t>
            </w:r>
          </w:p>
        </w:tc>
        <w:tc>
          <w:tcPr>
            <w:tcW w:w="1966" w:type="dxa"/>
            <w:gridSpan w:val="2"/>
            <w:vAlign w:val="center"/>
          </w:tcPr>
          <w:p>
            <w:pPr>
              <w:spacing w:line="320" w:lineRule="exact"/>
              <w:ind w:firstLine="200"/>
              <w:jc w:val="center"/>
              <w:rPr>
                <w:rFonts w:ascii="宋体" w:hAnsi="宋体"/>
                <w:szCs w:val="21"/>
              </w:rPr>
            </w:pPr>
          </w:p>
        </w:tc>
        <w:tc>
          <w:tcPr>
            <w:tcW w:w="1190" w:type="dxa"/>
            <w:vMerge w:val="continue"/>
            <w:vAlign w:val="center"/>
          </w:tcPr>
          <w:p>
            <w:pPr>
              <w:spacing w:line="320" w:lineRule="exact"/>
              <w:ind w:firstLine="200"/>
              <w:jc w:val="center"/>
              <w:rPr>
                <w:rFonts w:ascii="宋体" w:hAnsi="宋体"/>
                <w:szCs w:val="21"/>
              </w:rPr>
            </w:pPr>
          </w:p>
        </w:tc>
        <w:tc>
          <w:tcPr>
            <w:tcW w:w="1210" w:type="dxa"/>
            <w:vMerge w:val="continue"/>
            <w:vAlign w:val="center"/>
          </w:tcPr>
          <w:p>
            <w:pPr>
              <w:spacing w:line="320" w:lineRule="exact"/>
              <w:ind w:firstLine="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2259" w:type="dxa"/>
            <w:gridSpan w:val="3"/>
            <w:vAlign w:val="center"/>
          </w:tcPr>
          <w:p>
            <w:pPr>
              <w:spacing w:line="320" w:lineRule="exact"/>
              <w:jc w:val="center"/>
              <w:rPr>
                <w:rFonts w:ascii="宋体" w:hAnsi="宋体"/>
                <w:szCs w:val="21"/>
              </w:rPr>
            </w:pPr>
            <w:r>
              <w:rPr>
                <w:rFonts w:hint="eastAsia" w:ascii="宋体" w:hAnsi="宋体"/>
                <w:szCs w:val="21"/>
              </w:rPr>
              <w:t>项目负责人姓名</w:t>
            </w:r>
          </w:p>
        </w:tc>
        <w:tc>
          <w:tcPr>
            <w:tcW w:w="1805" w:type="dxa"/>
            <w:gridSpan w:val="2"/>
            <w:vAlign w:val="center"/>
          </w:tcPr>
          <w:p>
            <w:pPr>
              <w:spacing w:line="320" w:lineRule="exact"/>
              <w:rPr>
                <w:rFonts w:ascii="宋体" w:hAnsi="宋体"/>
                <w:szCs w:val="21"/>
              </w:rPr>
            </w:pPr>
          </w:p>
        </w:tc>
        <w:tc>
          <w:tcPr>
            <w:tcW w:w="1590" w:type="dxa"/>
            <w:gridSpan w:val="2"/>
            <w:vAlign w:val="center"/>
          </w:tcPr>
          <w:p>
            <w:pPr>
              <w:spacing w:line="320" w:lineRule="exact"/>
              <w:rPr>
                <w:rFonts w:ascii="宋体" w:hAnsi="宋体"/>
                <w:szCs w:val="21"/>
              </w:rPr>
            </w:pPr>
            <w:r>
              <w:rPr>
                <w:rFonts w:hint="eastAsia" w:ascii="宋体" w:hAnsi="宋体"/>
                <w:szCs w:val="21"/>
              </w:rPr>
              <w:t>身份证号码</w:t>
            </w:r>
          </w:p>
        </w:tc>
        <w:tc>
          <w:tcPr>
            <w:tcW w:w="1966" w:type="dxa"/>
            <w:gridSpan w:val="2"/>
            <w:vAlign w:val="center"/>
          </w:tcPr>
          <w:p>
            <w:pPr>
              <w:spacing w:line="320" w:lineRule="exact"/>
              <w:ind w:firstLine="200"/>
              <w:jc w:val="center"/>
              <w:rPr>
                <w:rFonts w:ascii="宋体" w:hAnsi="宋体"/>
                <w:szCs w:val="21"/>
              </w:rPr>
            </w:pPr>
          </w:p>
        </w:tc>
        <w:tc>
          <w:tcPr>
            <w:tcW w:w="1190" w:type="dxa"/>
            <w:vMerge w:val="continue"/>
            <w:vAlign w:val="center"/>
          </w:tcPr>
          <w:p>
            <w:pPr>
              <w:spacing w:line="320" w:lineRule="exact"/>
              <w:ind w:firstLine="200"/>
              <w:jc w:val="center"/>
              <w:rPr>
                <w:rFonts w:ascii="宋体" w:hAnsi="宋体"/>
                <w:szCs w:val="21"/>
              </w:rPr>
            </w:pPr>
          </w:p>
        </w:tc>
        <w:tc>
          <w:tcPr>
            <w:tcW w:w="1210" w:type="dxa"/>
            <w:vMerge w:val="continue"/>
            <w:vAlign w:val="center"/>
          </w:tcPr>
          <w:p>
            <w:pPr>
              <w:spacing w:line="320" w:lineRule="exact"/>
              <w:ind w:firstLine="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2259" w:type="dxa"/>
            <w:gridSpan w:val="3"/>
            <w:vAlign w:val="center"/>
          </w:tcPr>
          <w:p>
            <w:pPr>
              <w:spacing w:line="320" w:lineRule="exact"/>
              <w:jc w:val="center"/>
              <w:rPr>
                <w:rFonts w:ascii="宋体" w:hAnsi="宋体"/>
                <w:szCs w:val="21"/>
              </w:rPr>
            </w:pPr>
            <w:r>
              <w:rPr>
                <w:rFonts w:hint="eastAsia" w:ascii="宋体" w:hAnsi="宋体"/>
                <w:szCs w:val="21"/>
              </w:rPr>
              <w:t>技术负责人姓名</w:t>
            </w:r>
          </w:p>
        </w:tc>
        <w:tc>
          <w:tcPr>
            <w:tcW w:w="1805" w:type="dxa"/>
            <w:gridSpan w:val="2"/>
            <w:vAlign w:val="center"/>
          </w:tcPr>
          <w:p>
            <w:pPr>
              <w:spacing w:line="320" w:lineRule="exact"/>
              <w:rPr>
                <w:rFonts w:ascii="宋体" w:hAnsi="宋体"/>
                <w:szCs w:val="21"/>
              </w:rPr>
            </w:pPr>
          </w:p>
        </w:tc>
        <w:tc>
          <w:tcPr>
            <w:tcW w:w="1590" w:type="dxa"/>
            <w:gridSpan w:val="2"/>
            <w:vAlign w:val="center"/>
          </w:tcPr>
          <w:p>
            <w:pPr>
              <w:spacing w:line="320" w:lineRule="exact"/>
              <w:rPr>
                <w:rFonts w:ascii="宋体" w:hAnsi="宋体"/>
                <w:szCs w:val="21"/>
              </w:rPr>
            </w:pPr>
            <w:r>
              <w:rPr>
                <w:rFonts w:hint="eastAsia" w:ascii="宋体" w:hAnsi="宋体"/>
                <w:szCs w:val="21"/>
              </w:rPr>
              <w:t>身份证号码</w:t>
            </w:r>
          </w:p>
        </w:tc>
        <w:tc>
          <w:tcPr>
            <w:tcW w:w="1966" w:type="dxa"/>
            <w:gridSpan w:val="2"/>
            <w:vAlign w:val="center"/>
          </w:tcPr>
          <w:p>
            <w:pPr>
              <w:spacing w:line="320" w:lineRule="exact"/>
              <w:ind w:firstLine="200"/>
              <w:jc w:val="center"/>
              <w:rPr>
                <w:rFonts w:ascii="宋体" w:hAnsi="宋体"/>
                <w:szCs w:val="21"/>
              </w:rPr>
            </w:pPr>
          </w:p>
        </w:tc>
        <w:tc>
          <w:tcPr>
            <w:tcW w:w="1190" w:type="dxa"/>
            <w:vMerge w:val="continue"/>
            <w:vAlign w:val="center"/>
          </w:tcPr>
          <w:p>
            <w:pPr>
              <w:spacing w:line="320" w:lineRule="exact"/>
              <w:ind w:firstLine="200"/>
              <w:jc w:val="center"/>
              <w:rPr>
                <w:rFonts w:ascii="宋体" w:hAnsi="宋体"/>
                <w:szCs w:val="21"/>
              </w:rPr>
            </w:pPr>
          </w:p>
        </w:tc>
        <w:tc>
          <w:tcPr>
            <w:tcW w:w="1210" w:type="dxa"/>
            <w:vMerge w:val="continue"/>
            <w:vAlign w:val="center"/>
          </w:tcPr>
          <w:p>
            <w:pPr>
              <w:spacing w:line="320" w:lineRule="exact"/>
              <w:ind w:firstLine="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10020" w:type="dxa"/>
            <w:gridSpan w:val="11"/>
            <w:vAlign w:val="center"/>
          </w:tcPr>
          <w:p>
            <w:pPr>
              <w:spacing w:line="320" w:lineRule="exact"/>
              <w:ind w:firstLine="200"/>
              <w:jc w:val="center"/>
              <w:rPr>
                <w:rFonts w:ascii="宋体" w:hAnsi="宋体"/>
                <w:szCs w:val="21"/>
              </w:rPr>
            </w:pPr>
            <w:r>
              <w:rPr>
                <w:rFonts w:hint="eastAsia" w:ascii="宋体" w:hAnsi="宋体"/>
                <w:szCs w:val="21"/>
              </w:rPr>
              <w:t>施工单位人员情况记录表1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5" w:type="dxa"/>
            <w:vAlign w:val="center"/>
          </w:tcPr>
          <w:p>
            <w:pPr>
              <w:spacing w:line="320" w:lineRule="exact"/>
              <w:jc w:val="center"/>
              <w:rPr>
                <w:rFonts w:ascii="宋体" w:hAnsi="宋体"/>
                <w:szCs w:val="21"/>
              </w:rPr>
            </w:pPr>
            <w:r>
              <w:rPr>
                <w:rFonts w:hint="eastAsia" w:ascii="宋体" w:hAnsi="宋体"/>
                <w:szCs w:val="21"/>
              </w:rPr>
              <w:t>序号</w:t>
            </w:r>
          </w:p>
        </w:tc>
        <w:tc>
          <w:tcPr>
            <w:tcW w:w="1603" w:type="dxa"/>
            <w:gridSpan w:val="3"/>
            <w:vAlign w:val="center"/>
          </w:tcPr>
          <w:p>
            <w:pPr>
              <w:spacing w:line="320" w:lineRule="exact"/>
              <w:jc w:val="center"/>
              <w:rPr>
                <w:rFonts w:ascii="宋体" w:hAnsi="宋体"/>
                <w:szCs w:val="21"/>
              </w:rPr>
            </w:pPr>
            <w:r>
              <w:rPr>
                <w:rFonts w:hint="eastAsia" w:ascii="宋体" w:hAnsi="宋体"/>
                <w:szCs w:val="21"/>
              </w:rPr>
              <w:t>姓名</w:t>
            </w:r>
          </w:p>
        </w:tc>
        <w:tc>
          <w:tcPr>
            <w:tcW w:w="3012" w:type="dxa"/>
            <w:gridSpan w:val="2"/>
            <w:vAlign w:val="center"/>
          </w:tcPr>
          <w:p>
            <w:pPr>
              <w:spacing w:line="320" w:lineRule="exact"/>
              <w:ind w:firstLine="200"/>
              <w:jc w:val="center"/>
              <w:rPr>
                <w:rFonts w:ascii="宋体" w:hAnsi="宋体"/>
                <w:szCs w:val="21"/>
              </w:rPr>
            </w:pPr>
            <w:r>
              <w:rPr>
                <w:rFonts w:hint="eastAsia" w:ascii="宋体" w:hAnsi="宋体"/>
                <w:szCs w:val="21"/>
              </w:rPr>
              <w:t>身份证号码</w:t>
            </w:r>
          </w:p>
        </w:tc>
        <w:tc>
          <w:tcPr>
            <w:tcW w:w="1205" w:type="dxa"/>
            <w:gridSpan w:val="2"/>
            <w:vAlign w:val="center"/>
          </w:tcPr>
          <w:p>
            <w:pPr>
              <w:spacing w:line="320" w:lineRule="exact"/>
              <w:jc w:val="center"/>
              <w:rPr>
                <w:rFonts w:ascii="宋体" w:hAnsi="宋体"/>
                <w:szCs w:val="21"/>
              </w:rPr>
            </w:pPr>
            <w:r>
              <w:rPr>
                <w:rFonts w:hint="eastAsia" w:ascii="宋体" w:hAnsi="宋体"/>
                <w:szCs w:val="21"/>
              </w:rPr>
              <w:t>职称</w:t>
            </w:r>
          </w:p>
        </w:tc>
        <w:tc>
          <w:tcPr>
            <w:tcW w:w="955" w:type="dxa"/>
            <w:vAlign w:val="center"/>
          </w:tcPr>
          <w:p>
            <w:pPr>
              <w:spacing w:line="320" w:lineRule="exact"/>
              <w:jc w:val="center"/>
              <w:rPr>
                <w:rFonts w:ascii="宋体" w:hAnsi="宋体"/>
                <w:szCs w:val="21"/>
              </w:rPr>
            </w:pPr>
            <w:r>
              <w:rPr>
                <w:rFonts w:hint="eastAsia" w:ascii="宋体" w:hAnsi="宋体"/>
                <w:szCs w:val="21"/>
              </w:rPr>
              <w:t>职务</w:t>
            </w:r>
          </w:p>
        </w:tc>
        <w:tc>
          <w:tcPr>
            <w:tcW w:w="2400" w:type="dxa"/>
            <w:gridSpan w:val="2"/>
            <w:vAlign w:val="center"/>
          </w:tcPr>
          <w:p>
            <w:pPr>
              <w:spacing w:line="320" w:lineRule="exact"/>
              <w:jc w:val="center"/>
              <w:rPr>
                <w:rFonts w:ascii="宋体" w:hAnsi="宋体"/>
                <w:szCs w:val="21"/>
              </w:rPr>
            </w:pPr>
            <w:r>
              <w:rPr>
                <w:rFonts w:hint="eastAsia" w:ascii="宋体" w:hAnsi="宋体"/>
                <w:szCs w:val="21"/>
              </w:rPr>
              <w:t>责任范围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5" w:type="dxa"/>
            <w:vAlign w:val="center"/>
          </w:tcPr>
          <w:p>
            <w:pPr>
              <w:spacing w:line="320" w:lineRule="exact"/>
              <w:ind w:firstLine="200"/>
              <w:jc w:val="center"/>
              <w:rPr>
                <w:rFonts w:ascii="宋体" w:hAnsi="宋体"/>
                <w:szCs w:val="21"/>
              </w:rPr>
            </w:pPr>
          </w:p>
        </w:tc>
        <w:tc>
          <w:tcPr>
            <w:tcW w:w="1603" w:type="dxa"/>
            <w:gridSpan w:val="3"/>
            <w:vAlign w:val="center"/>
          </w:tcPr>
          <w:p>
            <w:pPr>
              <w:spacing w:line="320" w:lineRule="exact"/>
              <w:ind w:firstLine="200"/>
              <w:jc w:val="center"/>
              <w:rPr>
                <w:rFonts w:ascii="宋体" w:hAnsi="宋体"/>
                <w:szCs w:val="21"/>
              </w:rPr>
            </w:pPr>
          </w:p>
        </w:tc>
        <w:tc>
          <w:tcPr>
            <w:tcW w:w="3012" w:type="dxa"/>
            <w:gridSpan w:val="2"/>
            <w:vAlign w:val="center"/>
          </w:tcPr>
          <w:p>
            <w:pPr>
              <w:spacing w:line="320" w:lineRule="exact"/>
              <w:ind w:firstLine="200"/>
              <w:jc w:val="center"/>
              <w:rPr>
                <w:rFonts w:ascii="宋体" w:hAnsi="宋体"/>
                <w:szCs w:val="21"/>
              </w:rPr>
            </w:pPr>
          </w:p>
        </w:tc>
        <w:tc>
          <w:tcPr>
            <w:tcW w:w="1205" w:type="dxa"/>
            <w:gridSpan w:val="2"/>
            <w:vAlign w:val="center"/>
          </w:tcPr>
          <w:p>
            <w:pPr>
              <w:spacing w:line="320" w:lineRule="exact"/>
              <w:ind w:firstLine="200"/>
              <w:jc w:val="center"/>
              <w:rPr>
                <w:rFonts w:ascii="宋体" w:hAnsi="宋体"/>
                <w:szCs w:val="21"/>
              </w:rPr>
            </w:pPr>
          </w:p>
        </w:tc>
        <w:tc>
          <w:tcPr>
            <w:tcW w:w="955" w:type="dxa"/>
            <w:vAlign w:val="center"/>
          </w:tcPr>
          <w:p>
            <w:pPr>
              <w:spacing w:line="320" w:lineRule="exact"/>
              <w:ind w:firstLine="200"/>
              <w:jc w:val="center"/>
              <w:rPr>
                <w:rFonts w:ascii="宋体" w:hAnsi="宋体"/>
                <w:szCs w:val="21"/>
              </w:rPr>
            </w:pPr>
          </w:p>
        </w:tc>
        <w:tc>
          <w:tcPr>
            <w:tcW w:w="2400" w:type="dxa"/>
            <w:gridSpan w:val="2"/>
            <w:vAlign w:val="center"/>
          </w:tcPr>
          <w:p>
            <w:pPr>
              <w:spacing w:line="320" w:lineRule="exact"/>
              <w:ind w:firstLine="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845" w:type="dxa"/>
            <w:vAlign w:val="center"/>
          </w:tcPr>
          <w:p>
            <w:pPr>
              <w:spacing w:line="320" w:lineRule="exact"/>
              <w:ind w:firstLine="200"/>
              <w:jc w:val="center"/>
              <w:rPr>
                <w:rFonts w:ascii="宋体" w:hAnsi="宋体"/>
                <w:szCs w:val="21"/>
              </w:rPr>
            </w:pPr>
          </w:p>
        </w:tc>
        <w:tc>
          <w:tcPr>
            <w:tcW w:w="1603" w:type="dxa"/>
            <w:gridSpan w:val="3"/>
            <w:vAlign w:val="center"/>
          </w:tcPr>
          <w:p>
            <w:pPr>
              <w:spacing w:line="320" w:lineRule="exact"/>
              <w:ind w:firstLine="200"/>
              <w:jc w:val="center"/>
              <w:rPr>
                <w:rFonts w:ascii="宋体" w:hAnsi="宋体"/>
                <w:szCs w:val="21"/>
              </w:rPr>
            </w:pPr>
          </w:p>
        </w:tc>
        <w:tc>
          <w:tcPr>
            <w:tcW w:w="3012" w:type="dxa"/>
            <w:gridSpan w:val="2"/>
            <w:vAlign w:val="center"/>
          </w:tcPr>
          <w:p>
            <w:pPr>
              <w:spacing w:line="320" w:lineRule="exact"/>
              <w:ind w:firstLine="200"/>
              <w:jc w:val="center"/>
              <w:rPr>
                <w:rFonts w:ascii="宋体" w:hAnsi="宋体"/>
                <w:szCs w:val="21"/>
              </w:rPr>
            </w:pPr>
          </w:p>
        </w:tc>
        <w:tc>
          <w:tcPr>
            <w:tcW w:w="1205" w:type="dxa"/>
            <w:gridSpan w:val="2"/>
            <w:vAlign w:val="center"/>
          </w:tcPr>
          <w:p>
            <w:pPr>
              <w:spacing w:line="320" w:lineRule="exact"/>
              <w:ind w:firstLine="200"/>
              <w:jc w:val="center"/>
              <w:rPr>
                <w:rFonts w:ascii="宋体" w:hAnsi="宋体"/>
                <w:szCs w:val="21"/>
              </w:rPr>
            </w:pPr>
          </w:p>
        </w:tc>
        <w:tc>
          <w:tcPr>
            <w:tcW w:w="955" w:type="dxa"/>
            <w:vAlign w:val="center"/>
          </w:tcPr>
          <w:p>
            <w:pPr>
              <w:spacing w:line="320" w:lineRule="exact"/>
              <w:ind w:firstLine="200"/>
              <w:jc w:val="center"/>
              <w:rPr>
                <w:rFonts w:ascii="宋体" w:hAnsi="宋体"/>
                <w:szCs w:val="21"/>
              </w:rPr>
            </w:pPr>
          </w:p>
        </w:tc>
        <w:tc>
          <w:tcPr>
            <w:tcW w:w="2400" w:type="dxa"/>
            <w:gridSpan w:val="2"/>
            <w:vAlign w:val="center"/>
          </w:tcPr>
          <w:p>
            <w:pPr>
              <w:spacing w:line="320" w:lineRule="exact"/>
              <w:ind w:firstLine="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845" w:type="dxa"/>
            <w:vAlign w:val="center"/>
          </w:tcPr>
          <w:p>
            <w:pPr>
              <w:spacing w:line="320" w:lineRule="exact"/>
              <w:ind w:firstLine="200"/>
              <w:jc w:val="center"/>
              <w:rPr>
                <w:rFonts w:ascii="宋体" w:hAnsi="宋体"/>
                <w:szCs w:val="21"/>
              </w:rPr>
            </w:pPr>
          </w:p>
        </w:tc>
        <w:tc>
          <w:tcPr>
            <w:tcW w:w="1603" w:type="dxa"/>
            <w:gridSpan w:val="3"/>
            <w:vAlign w:val="center"/>
          </w:tcPr>
          <w:p>
            <w:pPr>
              <w:spacing w:line="320" w:lineRule="exact"/>
              <w:ind w:firstLine="200"/>
              <w:jc w:val="center"/>
              <w:rPr>
                <w:rFonts w:ascii="宋体" w:hAnsi="宋体"/>
                <w:szCs w:val="21"/>
              </w:rPr>
            </w:pPr>
          </w:p>
        </w:tc>
        <w:tc>
          <w:tcPr>
            <w:tcW w:w="3012" w:type="dxa"/>
            <w:gridSpan w:val="2"/>
            <w:vAlign w:val="center"/>
          </w:tcPr>
          <w:p>
            <w:pPr>
              <w:spacing w:line="320" w:lineRule="exact"/>
              <w:ind w:firstLine="200"/>
              <w:jc w:val="center"/>
              <w:rPr>
                <w:rFonts w:ascii="宋体" w:hAnsi="宋体"/>
                <w:szCs w:val="21"/>
              </w:rPr>
            </w:pPr>
          </w:p>
        </w:tc>
        <w:tc>
          <w:tcPr>
            <w:tcW w:w="1205" w:type="dxa"/>
            <w:gridSpan w:val="2"/>
            <w:vAlign w:val="center"/>
          </w:tcPr>
          <w:p>
            <w:pPr>
              <w:spacing w:line="320" w:lineRule="exact"/>
              <w:ind w:firstLine="200"/>
              <w:jc w:val="center"/>
              <w:rPr>
                <w:rFonts w:ascii="宋体" w:hAnsi="宋体"/>
                <w:szCs w:val="21"/>
              </w:rPr>
            </w:pPr>
          </w:p>
        </w:tc>
        <w:tc>
          <w:tcPr>
            <w:tcW w:w="955" w:type="dxa"/>
            <w:vAlign w:val="center"/>
          </w:tcPr>
          <w:p>
            <w:pPr>
              <w:spacing w:line="320" w:lineRule="exact"/>
              <w:ind w:firstLine="200"/>
              <w:jc w:val="center"/>
              <w:rPr>
                <w:rFonts w:ascii="宋体" w:hAnsi="宋体"/>
                <w:szCs w:val="21"/>
              </w:rPr>
            </w:pPr>
          </w:p>
        </w:tc>
        <w:tc>
          <w:tcPr>
            <w:tcW w:w="2400" w:type="dxa"/>
            <w:gridSpan w:val="2"/>
            <w:vAlign w:val="center"/>
          </w:tcPr>
          <w:p>
            <w:pPr>
              <w:spacing w:line="320" w:lineRule="exact"/>
              <w:ind w:firstLine="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845" w:type="dxa"/>
            <w:vAlign w:val="center"/>
          </w:tcPr>
          <w:p>
            <w:pPr>
              <w:spacing w:line="320" w:lineRule="exact"/>
              <w:ind w:firstLine="200"/>
              <w:jc w:val="center"/>
              <w:rPr>
                <w:rFonts w:ascii="宋体" w:hAnsi="宋体"/>
                <w:szCs w:val="21"/>
              </w:rPr>
            </w:pPr>
          </w:p>
        </w:tc>
        <w:tc>
          <w:tcPr>
            <w:tcW w:w="1603" w:type="dxa"/>
            <w:gridSpan w:val="3"/>
            <w:vAlign w:val="center"/>
          </w:tcPr>
          <w:p>
            <w:pPr>
              <w:spacing w:line="320" w:lineRule="exact"/>
              <w:ind w:firstLine="200"/>
              <w:jc w:val="center"/>
              <w:rPr>
                <w:rFonts w:ascii="宋体" w:hAnsi="宋体"/>
                <w:szCs w:val="21"/>
              </w:rPr>
            </w:pPr>
          </w:p>
        </w:tc>
        <w:tc>
          <w:tcPr>
            <w:tcW w:w="3012" w:type="dxa"/>
            <w:gridSpan w:val="2"/>
            <w:vAlign w:val="center"/>
          </w:tcPr>
          <w:p>
            <w:pPr>
              <w:spacing w:line="320" w:lineRule="exact"/>
              <w:ind w:firstLine="200"/>
              <w:jc w:val="center"/>
              <w:rPr>
                <w:rFonts w:ascii="宋体" w:hAnsi="宋体"/>
                <w:szCs w:val="21"/>
              </w:rPr>
            </w:pPr>
          </w:p>
        </w:tc>
        <w:tc>
          <w:tcPr>
            <w:tcW w:w="1205" w:type="dxa"/>
            <w:gridSpan w:val="2"/>
            <w:vAlign w:val="center"/>
          </w:tcPr>
          <w:p>
            <w:pPr>
              <w:spacing w:line="320" w:lineRule="exact"/>
              <w:ind w:firstLine="200"/>
              <w:jc w:val="center"/>
              <w:rPr>
                <w:rFonts w:ascii="宋体" w:hAnsi="宋体"/>
                <w:szCs w:val="21"/>
              </w:rPr>
            </w:pPr>
          </w:p>
        </w:tc>
        <w:tc>
          <w:tcPr>
            <w:tcW w:w="955" w:type="dxa"/>
            <w:vAlign w:val="center"/>
          </w:tcPr>
          <w:p>
            <w:pPr>
              <w:spacing w:line="320" w:lineRule="exact"/>
              <w:ind w:firstLine="200"/>
              <w:jc w:val="center"/>
              <w:rPr>
                <w:rFonts w:ascii="宋体" w:hAnsi="宋体"/>
                <w:szCs w:val="21"/>
              </w:rPr>
            </w:pPr>
          </w:p>
        </w:tc>
        <w:tc>
          <w:tcPr>
            <w:tcW w:w="2400" w:type="dxa"/>
            <w:gridSpan w:val="2"/>
            <w:vAlign w:val="center"/>
          </w:tcPr>
          <w:p>
            <w:pPr>
              <w:spacing w:line="320" w:lineRule="exact"/>
              <w:ind w:firstLine="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45" w:type="dxa"/>
            <w:vAlign w:val="center"/>
          </w:tcPr>
          <w:p>
            <w:pPr>
              <w:spacing w:line="320" w:lineRule="exact"/>
              <w:ind w:firstLine="200"/>
              <w:jc w:val="center"/>
              <w:rPr>
                <w:rFonts w:ascii="宋体" w:hAnsi="宋体"/>
                <w:szCs w:val="21"/>
              </w:rPr>
            </w:pPr>
          </w:p>
        </w:tc>
        <w:tc>
          <w:tcPr>
            <w:tcW w:w="1603" w:type="dxa"/>
            <w:gridSpan w:val="3"/>
            <w:vAlign w:val="center"/>
          </w:tcPr>
          <w:p>
            <w:pPr>
              <w:spacing w:line="320" w:lineRule="exact"/>
              <w:ind w:firstLine="200"/>
              <w:jc w:val="center"/>
              <w:rPr>
                <w:rFonts w:ascii="宋体" w:hAnsi="宋体"/>
                <w:szCs w:val="21"/>
              </w:rPr>
            </w:pPr>
          </w:p>
        </w:tc>
        <w:tc>
          <w:tcPr>
            <w:tcW w:w="3012" w:type="dxa"/>
            <w:gridSpan w:val="2"/>
            <w:vAlign w:val="center"/>
          </w:tcPr>
          <w:p>
            <w:pPr>
              <w:spacing w:line="320" w:lineRule="exact"/>
              <w:ind w:firstLine="200"/>
              <w:jc w:val="center"/>
              <w:rPr>
                <w:rFonts w:ascii="宋体" w:hAnsi="宋体"/>
                <w:szCs w:val="21"/>
              </w:rPr>
            </w:pPr>
          </w:p>
        </w:tc>
        <w:tc>
          <w:tcPr>
            <w:tcW w:w="1205" w:type="dxa"/>
            <w:gridSpan w:val="2"/>
            <w:vAlign w:val="center"/>
          </w:tcPr>
          <w:p>
            <w:pPr>
              <w:spacing w:line="320" w:lineRule="exact"/>
              <w:ind w:firstLine="200"/>
              <w:jc w:val="center"/>
              <w:rPr>
                <w:rFonts w:ascii="宋体" w:hAnsi="宋体"/>
                <w:szCs w:val="21"/>
              </w:rPr>
            </w:pPr>
          </w:p>
        </w:tc>
        <w:tc>
          <w:tcPr>
            <w:tcW w:w="955" w:type="dxa"/>
            <w:vAlign w:val="center"/>
          </w:tcPr>
          <w:p>
            <w:pPr>
              <w:spacing w:line="320" w:lineRule="exact"/>
              <w:ind w:firstLine="200"/>
              <w:jc w:val="center"/>
              <w:rPr>
                <w:rFonts w:ascii="宋体" w:hAnsi="宋体"/>
                <w:szCs w:val="21"/>
              </w:rPr>
            </w:pPr>
          </w:p>
        </w:tc>
        <w:tc>
          <w:tcPr>
            <w:tcW w:w="2400" w:type="dxa"/>
            <w:gridSpan w:val="2"/>
            <w:vAlign w:val="center"/>
          </w:tcPr>
          <w:p>
            <w:pPr>
              <w:spacing w:line="320" w:lineRule="exact"/>
              <w:ind w:firstLine="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845" w:type="dxa"/>
            <w:vAlign w:val="center"/>
          </w:tcPr>
          <w:p>
            <w:pPr>
              <w:spacing w:line="320" w:lineRule="exact"/>
              <w:ind w:firstLine="200"/>
              <w:jc w:val="center"/>
              <w:rPr>
                <w:rFonts w:ascii="宋体" w:hAnsi="宋体"/>
                <w:szCs w:val="21"/>
              </w:rPr>
            </w:pPr>
          </w:p>
        </w:tc>
        <w:tc>
          <w:tcPr>
            <w:tcW w:w="1603" w:type="dxa"/>
            <w:gridSpan w:val="3"/>
            <w:vAlign w:val="center"/>
          </w:tcPr>
          <w:p>
            <w:pPr>
              <w:spacing w:line="320" w:lineRule="exact"/>
              <w:ind w:firstLine="200"/>
              <w:jc w:val="center"/>
              <w:rPr>
                <w:rFonts w:ascii="宋体" w:hAnsi="宋体"/>
                <w:szCs w:val="21"/>
              </w:rPr>
            </w:pPr>
          </w:p>
        </w:tc>
        <w:tc>
          <w:tcPr>
            <w:tcW w:w="3012" w:type="dxa"/>
            <w:gridSpan w:val="2"/>
            <w:vAlign w:val="center"/>
          </w:tcPr>
          <w:p>
            <w:pPr>
              <w:spacing w:line="320" w:lineRule="exact"/>
              <w:ind w:firstLine="200"/>
              <w:jc w:val="center"/>
              <w:rPr>
                <w:rFonts w:ascii="宋体" w:hAnsi="宋体"/>
                <w:szCs w:val="21"/>
              </w:rPr>
            </w:pPr>
          </w:p>
        </w:tc>
        <w:tc>
          <w:tcPr>
            <w:tcW w:w="1205" w:type="dxa"/>
            <w:gridSpan w:val="2"/>
            <w:vAlign w:val="center"/>
          </w:tcPr>
          <w:p>
            <w:pPr>
              <w:spacing w:line="320" w:lineRule="exact"/>
              <w:ind w:firstLine="200"/>
              <w:jc w:val="center"/>
              <w:rPr>
                <w:rFonts w:ascii="宋体" w:hAnsi="宋体"/>
                <w:szCs w:val="21"/>
              </w:rPr>
            </w:pPr>
          </w:p>
        </w:tc>
        <w:tc>
          <w:tcPr>
            <w:tcW w:w="955" w:type="dxa"/>
            <w:vAlign w:val="center"/>
          </w:tcPr>
          <w:p>
            <w:pPr>
              <w:spacing w:line="320" w:lineRule="exact"/>
              <w:ind w:firstLine="200"/>
              <w:jc w:val="center"/>
              <w:rPr>
                <w:rFonts w:ascii="宋体" w:hAnsi="宋体"/>
                <w:szCs w:val="21"/>
              </w:rPr>
            </w:pPr>
          </w:p>
        </w:tc>
        <w:tc>
          <w:tcPr>
            <w:tcW w:w="2400" w:type="dxa"/>
            <w:gridSpan w:val="2"/>
            <w:vAlign w:val="center"/>
          </w:tcPr>
          <w:p>
            <w:pPr>
              <w:spacing w:line="320" w:lineRule="exact"/>
              <w:ind w:firstLine="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845" w:type="dxa"/>
            <w:vAlign w:val="center"/>
          </w:tcPr>
          <w:p>
            <w:pPr>
              <w:spacing w:line="320" w:lineRule="exact"/>
              <w:ind w:firstLine="200"/>
              <w:jc w:val="center"/>
              <w:rPr>
                <w:rFonts w:ascii="宋体" w:hAnsi="宋体"/>
                <w:szCs w:val="21"/>
              </w:rPr>
            </w:pPr>
          </w:p>
        </w:tc>
        <w:tc>
          <w:tcPr>
            <w:tcW w:w="1603" w:type="dxa"/>
            <w:gridSpan w:val="3"/>
            <w:vAlign w:val="center"/>
          </w:tcPr>
          <w:p>
            <w:pPr>
              <w:spacing w:line="320" w:lineRule="exact"/>
              <w:ind w:firstLine="200"/>
              <w:jc w:val="center"/>
              <w:rPr>
                <w:rFonts w:ascii="宋体" w:hAnsi="宋体"/>
                <w:szCs w:val="21"/>
              </w:rPr>
            </w:pPr>
          </w:p>
        </w:tc>
        <w:tc>
          <w:tcPr>
            <w:tcW w:w="3012" w:type="dxa"/>
            <w:gridSpan w:val="2"/>
            <w:vAlign w:val="center"/>
          </w:tcPr>
          <w:p>
            <w:pPr>
              <w:spacing w:line="320" w:lineRule="exact"/>
              <w:ind w:firstLine="200"/>
              <w:jc w:val="center"/>
              <w:rPr>
                <w:rFonts w:ascii="宋体" w:hAnsi="宋体"/>
                <w:szCs w:val="21"/>
              </w:rPr>
            </w:pPr>
          </w:p>
        </w:tc>
        <w:tc>
          <w:tcPr>
            <w:tcW w:w="1205" w:type="dxa"/>
            <w:gridSpan w:val="2"/>
            <w:vAlign w:val="center"/>
          </w:tcPr>
          <w:p>
            <w:pPr>
              <w:spacing w:line="320" w:lineRule="exact"/>
              <w:ind w:firstLine="200"/>
              <w:jc w:val="center"/>
              <w:rPr>
                <w:rFonts w:ascii="宋体" w:hAnsi="宋体"/>
                <w:szCs w:val="21"/>
              </w:rPr>
            </w:pPr>
          </w:p>
        </w:tc>
        <w:tc>
          <w:tcPr>
            <w:tcW w:w="955" w:type="dxa"/>
            <w:vAlign w:val="center"/>
          </w:tcPr>
          <w:p>
            <w:pPr>
              <w:spacing w:line="320" w:lineRule="exact"/>
              <w:ind w:firstLine="200"/>
              <w:jc w:val="center"/>
              <w:rPr>
                <w:rFonts w:ascii="宋体" w:hAnsi="宋体"/>
                <w:szCs w:val="21"/>
              </w:rPr>
            </w:pPr>
          </w:p>
        </w:tc>
        <w:tc>
          <w:tcPr>
            <w:tcW w:w="2400" w:type="dxa"/>
            <w:gridSpan w:val="2"/>
            <w:vAlign w:val="center"/>
          </w:tcPr>
          <w:p>
            <w:pPr>
              <w:spacing w:line="320" w:lineRule="exact"/>
              <w:ind w:firstLine="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5" w:type="dxa"/>
            <w:vAlign w:val="center"/>
          </w:tcPr>
          <w:p>
            <w:pPr>
              <w:spacing w:line="320" w:lineRule="exact"/>
              <w:ind w:firstLine="200"/>
              <w:jc w:val="center"/>
              <w:rPr>
                <w:rFonts w:ascii="宋体" w:hAnsi="宋体"/>
                <w:szCs w:val="21"/>
              </w:rPr>
            </w:pPr>
          </w:p>
        </w:tc>
        <w:tc>
          <w:tcPr>
            <w:tcW w:w="1603" w:type="dxa"/>
            <w:gridSpan w:val="3"/>
            <w:vAlign w:val="center"/>
          </w:tcPr>
          <w:p>
            <w:pPr>
              <w:spacing w:line="320" w:lineRule="exact"/>
              <w:ind w:firstLine="200"/>
              <w:jc w:val="center"/>
              <w:rPr>
                <w:rFonts w:ascii="宋体" w:hAnsi="宋体"/>
                <w:szCs w:val="21"/>
              </w:rPr>
            </w:pPr>
          </w:p>
        </w:tc>
        <w:tc>
          <w:tcPr>
            <w:tcW w:w="3012" w:type="dxa"/>
            <w:gridSpan w:val="2"/>
            <w:vAlign w:val="center"/>
          </w:tcPr>
          <w:p>
            <w:pPr>
              <w:spacing w:line="320" w:lineRule="exact"/>
              <w:ind w:firstLine="200"/>
              <w:jc w:val="center"/>
              <w:rPr>
                <w:rFonts w:ascii="宋体" w:hAnsi="宋体"/>
                <w:szCs w:val="21"/>
              </w:rPr>
            </w:pPr>
          </w:p>
        </w:tc>
        <w:tc>
          <w:tcPr>
            <w:tcW w:w="1205" w:type="dxa"/>
            <w:gridSpan w:val="2"/>
            <w:vAlign w:val="center"/>
          </w:tcPr>
          <w:p>
            <w:pPr>
              <w:spacing w:line="320" w:lineRule="exact"/>
              <w:ind w:firstLine="200"/>
              <w:jc w:val="center"/>
              <w:rPr>
                <w:rFonts w:ascii="宋体" w:hAnsi="宋体"/>
                <w:szCs w:val="21"/>
              </w:rPr>
            </w:pPr>
          </w:p>
        </w:tc>
        <w:tc>
          <w:tcPr>
            <w:tcW w:w="955" w:type="dxa"/>
            <w:vAlign w:val="center"/>
          </w:tcPr>
          <w:p>
            <w:pPr>
              <w:spacing w:line="320" w:lineRule="exact"/>
              <w:ind w:firstLine="200"/>
              <w:jc w:val="center"/>
              <w:rPr>
                <w:rFonts w:ascii="宋体" w:hAnsi="宋体"/>
                <w:szCs w:val="21"/>
              </w:rPr>
            </w:pPr>
          </w:p>
        </w:tc>
        <w:tc>
          <w:tcPr>
            <w:tcW w:w="2400" w:type="dxa"/>
            <w:gridSpan w:val="2"/>
            <w:vAlign w:val="center"/>
          </w:tcPr>
          <w:p>
            <w:pPr>
              <w:spacing w:line="320" w:lineRule="exact"/>
              <w:ind w:firstLine="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845" w:type="dxa"/>
            <w:vAlign w:val="center"/>
          </w:tcPr>
          <w:p>
            <w:pPr>
              <w:spacing w:line="320" w:lineRule="exact"/>
              <w:ind w:firstLine="200"/>
              <w:jc w:val="center"/>
              <w:rPr>
                <w:rFonts w:ascii="宋体" w:hAnsi="宋体"/>
                <w:szCs w:val="21"/>
              </w:rPr>
            </w:pPr>
          </w:p>
        </w:tc>
        <w:tc>
          <w:tcPr>
            <w:tcW w:w="1603" w:type="dxa"/>
            <w:gridSpan w:val="3"/>
            <w:vAlign w:val="center"/>
          </w:tcPr>
          <w:p>
            <w:pPr>
              <w:spacing w:line="320" w:lineRule="exact"/>
              <w:ind w:firstLine="200"/>
              <w:jc w:val="center"/>
              <w:rPr>
                <w:rFonts w:ascii="宋体" w:hAnsi="宋体"/>
                <w:szCs w:val="21"/>
              </w:rPr>
            </w:pPr>
          </w:p>
        </w:tc>
        <w:tc>
          <w:tcPr>
            <w:tcW w:w="3012" w:type="dxa"/>
            <w:gridSpan w:val="2"/>
            <w:vAlign w:val="center"/>
          </w:tcPr>
          <w:p>
            <w:pPr>
              <w:spacing w:line="320" w:lineRule="exact"/>
              <w:ind w:firstLine="200"/>
              <w:jc w:val="center"/>
              <w:rPr>
                <w:rFonts w:ascii="宋体" w:hAnsi="宋体"/>
                <w:szCs w:val="21"/>
              </w:rPr>
            </w:pPr>
          </w:p>
        </w:tc>
        <w:tc>
          <w:tcPr>
            <w:tcW w:w="1205" w:type="dxa"/>
            <w:gridSpan w:val="2"/>
            <w:vAlign w:val="center"/>
          </w:tcPr>
          <w:p>
            <w:pPr>
              <w:spacing w:line="320" w:lineRule="exact"/>
              <w:ind w:firstLine="200"/>
              <w:jc w:val="center"/>
              <w:rPr>
                <w:rFonts w:ascii="宋体" w:hAnsi="宋体"/>
                <w:szCs w:val="21"/>
              </w:rPr>
            </w:pPr>
          </w:p>
        </w:tc>
        <w:tc>
          <w:tcPr>
            <w:tcW w:w="955" w:type="dxa"/>
            <w:vAlign w:val="center"/>
          </w:tcPr>
          <w:p>
            <w:pPr>
              <w:spacing w:line="320" w:lineRule="exact"/>
              <w:ind w:firstLine="200"/>
              <w:jc w:val="center"/>
              <w:rPr>
                <w:rFonts w:ascii="宋体" w:hAnsi="宋体"/>
                <w:szCs w:val="21"/>
              </w:rPr>
            </w:pPr>
          </w:p>
        </w:tc>
        <w:tc>
          <w:tcPr>
            <w:tcW w:w="2400" w:type="dxa"/>
            <w:gridSpan w:val="2"/>
            <w:vAlign w:val="center"/>
          </w:tcPr>
          <w:p>
            <w:pPr>
              <w:spacing w:line="320" w:lineRule="exact"/>
              <w:ind w:firstLine="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45" w:type="dxa"/>
            <w:vAlign w:val="center"/>
          </w:tcPr>
          <w:p>
            <w:pPr>
              <w:spacing w:line="320" w:lineRule="exact"/>
              <w:ind w:firstLine="200"/>
              <w:jc w:val="center"/>
              <w:rPr>
                <w:rFonts w:ascii="宋体" w:hAnsi="宋体"/>
                <w:szCs w:val="21"/>
              </w:rPr>
            </w:pPr>
          </w:p>
        </w:tc>
        <w:tc>
          <w:tcPr>
            <w:tcW w:w="1603" w:type="dxa"/>
            <w:gridSpan w:val="3"/>
            <w:vAlign w:val="center"/>
          </w:tcPr>
          <w:p>
            <w:pPr>
              <w:spacing w:line="320" w:lineRule="exact"/>
              <w:ind w:firstLine="200"/>
              <w:jc w:val="center"/>
              <w:rPr>
                <w:rFonts w:ascii="宋体" w:hAnsi="宋体"/>
                <w:szCs w:val="21"/>
              </w:rPr>
            </w:pPr>
          </w:p>
        </w:tc>
        <w:tc>
          <w:tcPr>
            <w:tcW w:w="3012" w:type="dxa"/>
            <w:gridSpan w:val="2"/>
            <w:vAlign w:val="center"/>
          </w:tcPr>
          <w:p>
            <w:pPr>
              <w:spacing w:line="320" w:lineRule="exact"/>
              <w:ind w:firstLine="200"/>
              <w:jc w:val="center"/>
              <w:rPr>
                <w:rFonts w:ascii="宋体" w:hAnsi="宋体"/>
                <w:szCs w:val="21"/>
              </w:rPr>
            </w:pPr>
          </w:p>
        </w:tc>
        <w:tc>
          <w:tcPr>
            <w:tcW w:w="1205" w:type="dxa"/>
            <w:gridSpan w:val="2"/>
            <w:vAlign w:val="center"/>
          </w:tcPr>
          <w:p>
            <w:pPr>
              <w:spacing w:line="320" w:lineRule="exact"/>
              <w:ind w:firstLine="200"/>
              <w:jc w:val="center"/>
              <w:rPr>
                <w:rFonts w:ascii="宋体" w:hAnsi="宋体"/>
                <w:szCs w:val="21"/>
              </w:rPr>
            </w:pPr>
          </w:p>
        </w:tc>
        <w:tc>
          <w:tcPr>
            <w:tcW w:w="955" w:type="dxa"/>
            <w:vAlign w:val="center"/>
          </w:tcPr>
          <w:p>
            <w:pPr>
              <w:spacing w:line="320" w:lineRule="exact"/>
              <w:ind w:firstLine="200"/>
              <w:jc w:val="center"/>
              <w:rPr>
                <w:rFonts w:ascii="宋体" w:hAnsi="宋体"/>
                <w:szCs w:val="21"/>
              </w:rPr>
            </w:pPr>
          </w:p>
        </w:tc>
        <w:tc>
          <w:tcPr>
            <w:tcW w:w="2400" w:type="dxa"/>
            <w:gridSpan w:val="2"/>
            <w:vAlign w:val="center"/>
          </w:tcPr>
          <w:p>
            <w:pPr>
              <w:spacing w:line="320" w:lineRule="exact"/>
              <w:ind w:firstLine="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845" w:type="dxa"/>
            <w:vAlign w:val="center"/>
          </w:tcPr>
          <w:p>
            <w:pPr>
              <w:spacing w:line="320" w:lineRule="exact"/>
              <w:ind w:firstLine="200"/>
              <w:jc w:val="center"/>
              <w:rPr>
                <w:rFonts w:ascii="宋体" w:hAnsi="宋体"/>
                <w:szCs w:val="21"/>
              </w:rPr>
            </w:pPr>
          </w:p>
        </w:tc>
        <w:tc>
          <w:tcPr>
            <w:tcW w:w="1603" w:type="dxa"/>
            <w:gridSpan w:val="3"/>
            <w:vAlign w:val="center"/>
          </w:tcPr>
          <w:p>
            <w:pPr>
              <w:spacing w:line="320" w:lineRule="exact"/>
              <w:ind w:firstLine="200"/>
              <w:jc w:val="center"/>
              <w:rPr>
                <w:rFonts w:ascii="宋体" w:hAnsi="宋体"/>
                <w:szCs w:val="21"/>
              </w:rPr>
            </w:pPr>
          </w:p>
        </w:tc>
        <w:tc>
          <w:tcPr>
            <w:tcW w:w="3012" w:type="dxa"/>
            <w:gridSpan w:val="2"/>
            <w:vAlign w:val="center"/>
          </w:tcPr>
          <w:p>
            <w:pPr>
              <w:spacing w:line="320" w:lineRule="exact"/>
              <w:ind w:firstLine="200"/>
              <w:jc w:val="center"/>
              <w:rPr>
                <w:rFonts w:ascii="宋体" w:hAnsi="宋体"/>
                <w:szCs w:val="21"/>
              </w:rPr>
            </w:pPr>
          </w:p>
        </w:tc>
        <w:tc>
          <w:tcPr>
            <w:tcW w:w="1205" w:type="dxa"/>
            <w:gridSpan w:val="2"/>
            <w:vAlign w:val="center"/>
          </w:tcPr>
          <w:p>
            <w:pPr>
              <w:spacing w:line="320" w:lineRule="exact"/>
              <w:ind w:firstLine="200"/>
              <w:jc w:val="center"/>
              <w:rPr>
                <w:rFonts w:ascii="宋体" w:hAnsi="宋体"/>
                <w:szCs w:val="21"/>
              </w:rPr>
            </w:pPr>
          </w:p>
        </w:tc>
        <w:tc>
          <w:tcPr>
            <w:tcW w:w="955" w:type="dxa"/>
            <w:vAlign w:val="center"/>
          </w:tcPr>
          <w:p>
            <w:pPr>
              <w:spacing w:line="320" w:lineRule="exact"/>
              <w:ind w:firstLine="200"/>
              <w:jc w:val="center"/>
              <w:rPr>
                <w:rFonts w:ascii="宋体" w:hAnsi="宋体"/>
                <w:szCs w:val="21"/>
              </w:rPr>
            </w:pPr>
          </w:p>
        </w:tc>
        <w:tc>
          <w:tcPr>
            <w:tcW w:w="2400" w:type="dxa"/>
            <w:gridSpan w:val="2"/>
            <w:vAlign w:val="center"/>
          </w:tcPr>
          <w:p>
            <w:pPr>
              <w:spacing w:line="320" w:lineRule="exact"/>
              <w:ind w:firstLine="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845" w:type="dxa"/>
            <w:vAlign w:val="center"/>
          </w:tcPr>
          <w:p>
            <w:pPr>
              <w:spacing w:line="320" w:lineRule="exact"/>
              <w:ind w:firstLine="200"/>
              <w:jc w:val="center"/>
              <w:rPr>
                <w:rFonts w:ascii="宋体" w:hAnsi="宋体"/>
                <w:szCs w:val="21"/>
              </w:rPr>
            </w:pPr>
          </w:p>
        </w:tc>
        <w:tc>
          <w:tcPr>
            <w:tcW w:w="1603" w:type="dxa"/>
            <w:gridSpan w:val="3"/>
            <w:vAlign w:val="center"/>
          </w:tcPr>
          <w:p>
            <w:pPr>
              <w:spacing w:line="320" w:lineRule="exact"/>
              <w:ind w:firstLine="200"/>
              <w:jc w:val="center"/>
              <w:rPr>
                <w:rFonts w:ascii="宋体" w:hAnsi="宋体"/>
                <w:szCs w:val="21"/>
              </w:rPr>
            </w:pPr>
          </w:p>
        </w:tc>
        <w:tc>
          <w:tcPr>
            <w:tcW w:w="3012" w:type="dxa"/>
            <w:gridSpan w:val="2"/>
            <w:vAlign w:val="center"/>
          </w:tcPr>
          <w:p>
            <w:pPr>
              <w:spacing w:line="320" w:lineRule="exact"/>
              <w:ind w:firstLine="200"/>
              <w:jc w:val="center"/>
              <w:rPr>
                <w:rFonts w:ascii="宋体" w:hAnsi="宋体"/>
                <w:szCs w:val="21"/>
              </w:rPr>
            </w:pPr>
          </w:p>
        </w:tc>
        <w:tc>
          <w:tcPr>
            <w:tcW w:w="1205" w:type="dxa"/>
            <w:gridSpan w:val="2"/>
            <w:vAlign w:val="center"/>
          </w:tcPr>
          <w:p>
            <w:pPr>
              <w:spacing w:line="320" w:lineRule="exact"/>
              <w:ind w:firstLine="200"/>
              <w:jc w:val="center"/>
              <w:rPr>
                <w:rFonts w:ascii="宋体" w:hAnsi="宋体"/>
                <w:szCs w:val="21"/>
              </w:rPr>
            </w:pPr>
          </w:p>
        </w:tc>
        <w:tc>
          <w:tcPr>
            <w:tcW w:w="955" w:type="dxa"/>
            <w:vAlign w:val="center"/>
          </w:tcPr>
          <w:p>
            <w:pPr>
              <w:spacing w:line="320" w:lineRule="exact"/>
              <w:ind w:firstLine="200"/>
              <w:jc w:val="center"/>
              <w:rPr>
                <w:rFonts w:ascii="宋体" w:hAnsi="宋体"/>
                <w:szCs w:val="21"/>
              </w:rPr>
            </w:pPr>
          </w:p>
        </w:tc>
        <w:tc>
          <w:tcPr>
            <w:tcW w:w="2400" w:type="dxa"/>
            <w:gridSpan w:val="2"/>
            <w:vAlign w:val="center"/>
          </w:tcPr>
          <w:p>
            <w:pPr>
              <w:spacing w:line="320" w:lineRule="exact"/>
              <w:ind w:firstLine="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845" w:type="dxa"/>
            <w:vAlign w:val="center"/>
          </w:tcPr>
          <w:p>
            <w:pPr>
              <w:spacing w:line="320" w:lineRule="exact"/>
              <w:ind w:firstLine="200"/>
              <w:jc w:val="center"/>
              <w:rPr>
                <w:rFonts w:ascii="宋体" w:hAnsi="宋体"/>
                <w:szCs w:val="21"/>
              </w:rPr>
            </w:pPr>
          </w:p>
        </w:tc>
        <w:tc>
          <w:tcPr>
            <w:tcW w:w="1603" w:type="dxa"/>
            <w:gridSpan w:val="3"/>
            <w:vAlign w:val="center"/>
          </w:tcPr>
          <w:p>
            <w:pPr>
              <w:spacing w:line="320" w:lineRule="exact"/>
              <w:ind w:firstLine="200"/>
              <w:jc w:val="center"/>
              <w:rPr>
                <w:rFonts w:ascii="宋体" w:hAnsi="宋体"/>
                <w:szCs w:val="21"/>
              </w:rPr>
            </w:pPr>
          </w:p>
        </w:tc>
        <w:tc>
          <w:tcPr>
            <w:tcW w:w="3012" w:type="dxa"/>
            <w:gridSpan w:val="2"/>
            <w:vAlign w:val="center"/>
          </w:tcPr>
          <w:p>
            <w:pPr>
              <w:spacing w:line="320" w:lineRule="exact"/>
              <w:ind w:firstLine="200"/>
              <w:jc w:val="center"/>
              <w:rPr>
                <w:rFonts w:ascii="宋体" w:hAnsi="宋体"/>
                <w:szCs w:val="21"/>
              </w:rPr>
            </w:pPr>
          </w:p>
        </w:tc>
        <w:tc>
          <w:tcPr>
            <w:tcW w:w="1205" w:type="dxa"/>
            <w:gridSpan w:val="2"/>
            <w:vAlign w:val="center"/>
          </w:tcPr>
          <w:p>
            <w:pPr>
              <w:spacing w:line="320" w:lineRule="exact"/>
              <w:ind w:firstLine="200"/>
              <w:jc w:val="center"/>
              <w:rPr>
                <w:rFonts w:ascii="宋体" w:hAnsi="宋体"/>
                <w:szCs w:val="21"/>
              </w:rPr>
            </w:pPr>
          </w:p>
        </w:tc>
        <w:tc>
          <w:tcPr>
            <w:tcW w:w="955" w:type="dxa"/>
            <w:vAlign w:val="center"/>
          </w:tcPr>
          <w:p>
            <w:pPr>
              <w:spacing w:line="320" w:lineRule="exact"/>
              <w:ind w:firstLine="200"/>
              <w:jc w:val="center"/>
              <w:rPr>
                <w:rFonts w:ascii="宋体" w:hAnsi="宋体"/>
                <w:szCs w:val="21"/>
              </w:rPr>
            </w:pPr>
          </w:p>
        </w:tc>
        <w:tc>
          <w:tcPr>
            <w:tcW w:w="2400" w:type="dxa"/>
            <w:gridSpan w:val="2"/>
            <w:vAlign w:val="center"/>
          </w:tcPr>
          <w:p>
            <w:pPr>
              <w:spacing w:line="320" w:lineRule="exact"/>
              <w:ind w:firstLine="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45" w:type="dxa"/>
            <w:vAlign w:val="center"/>
          </w:tcPr>
          <w:p>
            <w:pPr>
              <w:spacing w:line="320" w:lineRule="exact"/>
              <w:ind w:firstLine="200"/>
              <w:jc w:val="center"/>
              <w:rPr>
                <w:rFonts w:ascii="宋体" w:hAnsi="宋体"/>
                <w:szCs w:val="21"/>
              </w:rPr>
            </w:pPr>
          </w:p>
        </w:tc>
        <w:tc>
          <w:tcPr>
            <w:tcW w:w="1603" w:type="dxa"/>
            <w:gridSpan w:val="3"/>
            <w:vAlign w:val="center"/>
          </w:tcPr>
          <w:p>
            <w:pPr>
              <w:spacing w:line="320" w:lineRule="exact"/>
              <w:ind w:firstLine="200"/>
              <w:jc w:val="center"/>
              <w:rPr>
                <w:rFonts w:ascii="宋体" w:hAnsi="宋体"/>
                <w:szCs w:val="21"/>
              </w:rPr>
            </w:pPr>
          </w:p>
        </w:tc>
        <w:tc>
          <w:tcPr>
            <w:tcW w:w="3012" w:type="dxa"/>
            <w:gridSpan w:val="2"/>
            <w:vAlign w:val="center"/>
          </w:tcPr>
          <w:p>
            <w:pPr>
              <w:spacing w:line="320" w:lineRule="exact"/>
              <w:ind w:firstLine="200"/>
              <w:jc w:val="center"/>
              <w:rPr>
                <w:rFonts w:ascii="宋体" w:hAnsi="宋体"/>
                <w:szCs w:val="21"/>
              </w:rPr>
            </w:pPr>
          </w:p>
        </w:tc>
        <w:tc>
          <w:tcPr>
            <w:tcW w:w="1205" w:type="dxa"/>
            <w:gridSpan w:val="2"/>
            <w:vAlign w:val="center"/>
          </w:tcPr>
          <w:p>
            <w:pPr>
              <w:spacing w:line="320" w:lineRule="exact"/>
              <w:ind w:firstLine="200"/>
              <w:jc w:val="center"/>
              <w:rPr>
                <w:rFonts w:ascii="宋体" w:hAnsi="宋体"/>
                <w:szCs w:val="21"/>
              </w:rPr>
            </w:pPr>
          </w:p>
        </w:tc>
        <w:tc>
          <w:tcPr>
            <w:tcW w:w="955" w:type="dxa"/>
            <w:vAlign w:val="center"/>
          </w:tcPr>
          <w:p>
            <w:pPr>
              <w:spacing w:line="320" w:lineRule="exact"/>
              <w:ind w:firstLine="200"/>
              <w:jc w:val="center"/>
              <w:rPr>
                <w:rFonts w:ascii="宋体" w:hAnsi="宋体"/>
                <w:szCs w:val="21"/>
              </w:rPr>
            </w:pPr>
          </w:p>
        </w:tc>
        <w:tc>
          <w:tcPr>
            <w:tcW w:w="2400" w:type="dxa"/>
            <w:gridSpan w:val="2"/>
            <w:vAlign w:val="center"/>
          </w:tcPr>
          <w:p>
            <w:pPr>
              <w:spacing w:line="320" w:lineRule="exact"/>
              <w:ind w:firstLine="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845" w:type="dxa"/>
            <w:vAlign w:val="center"/>
          </w:tcPr>
          <w:p>
            <w:pPr>
              <w:spacing w:line="320" w:lineRule="exact"/>
              <w:ind w:firstLine="200"/>
              <w:jc w:val="center"/>
              <w:rPr>
                <w:rFonts w:ascii="宋体" w:hAnsi="宋体"/>
                <w:szCs w:val="21"/>
              </w:rPr>
            </w:pPr>
          </w:p>
        </w:tc>
        <w:tc>
          <w:tcPr>
            <w:tcW w:w="1603" w:type="dxa"/>
            <w:gridSpan w:val="3"/>
            <w:vAlign w:val="center"/>
          </w:tcPr>
          <w:p>
            <w:pPr>
              <w:spacing w:line="320" w:lineRule="exact"/>
              <w:ind w:firstLine="200"/>
              <w:jc w:val="center"/>
              <w:rPr>
                <w:rFonts w:ascii="宋体" w:hAnsi="宋体"/>
                <w:szCs w:val="21"/>
              </w:rPr>
            </w:pPr>
          </w:p>
        </w:tc>
        <w:tc>
          <w:tcPr>
            <w:tcW w:w="3012" w:type="dxa"/>
            <w:gridSpan w:val="2"/>
            <w:vAlign w:val="center"/>
          </w:tcPr>
          <w:p>
            <w:pPr>
              <w:spacing w:line="320" w:lineRule="exact"/>
              <w:ind w:firstLine="200"/>
              <w:jc w:val="center"/>
              <w:rPr>
                <w:rFonts w:ascii="宋体" w:hAnsi="宋体"/>
                <w:szCs w:val="21"/>
              </w:rPr>
            </w:pPr>
          </w:p>
        </w:tc>
        <w:tc>
          <w:tcPr>
            <w:tcW w:w="1205" w:type="dxa"/>
            <w:gridSpan w:val="2"/>
            <w:vAlign w:val="center"/>
          </w:tcPr>
          <w:p>
            <w:pPr>
              <w:spacing w:line="320" w:lineRule="exact"/>
              <w:ind w:firstLine="200"/>
              <w:jc w:val="center"/>
              <w:rPr>
                <w:rFonts w:ascii="宋体" w:hAnsi="宋体"/>
                <w:szCs w:val="21"/>
              </w:rPr>
            </w:pPr>
          </w:p>
        </w:tc>
        <w:tc>
          <w:tcPr>
            <w:tcW w:w="955" w:type="dxa"/>
            <w:vAlign w:val="center"/>
          </w:tcPr>
          <w:p>
            <w:pPr>
              <w:spacing w:line="320" w:lineRule="exact"/>
              <w:ind w:firstLine="200"/>
              <w:jc w:val="center"/>
              <w:rPr>
                <w:rFonts w:ascii="宋体" w:hAnsi="宋体"/>
                <w:szCs w:val="21"/>
              </w:rPr>
            </w:pPr>
          </w:p>
        </w:tc>
        <w:tc>
          <w:tcPr>
            <w:tcW w:w="2400" w:type="dxa"/>
            <w:gridSpan w:val="2"/>
            <w:vAlign w:val="center"/>
          </w:tcPr>
          <w:p>
            <w:pPr>
              <w:spacing w:line="320" w:lineRule="exact"/>
              <w:ind w:firstLine="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845" w:type="dxa"/>
            <w:vAlign w:val="center"/>
          </w:tcPr>
          <w:p>
            <w:pPr>
              <w:spacing w:line="320" w:lineRule="exact"/>
              <w:ind w:firstLine="200"/>
              <w:jc w:val="center"/>
              <w:rPr>
                <w:rFonts w:ascii="宋体" w:hAnsi="宋体"/>
                <w:szCs w:val="21"/>
              </w:rPr>
            </w:pPr>
          </w:p>
        </w:tc>
        <w:tc>
          <w:tcPr>
            <w:tcW w:w="1603" w:type="dxa"/>
            <w:gridSpan w:val="3"/>
            <w:vAlign w:val="center"/>
          </w:tcPr>
          <w:p>
            <w:pPr>
              <w:spacing w:line="320" w:lineRule="exact"/>
              <w:ind w:firstLine="200"/>
              <w:jc w:val="center"/>
              <w:rPr>
                <w:rFonts w:ascii="宋体" w:hAnsi="宋体"/>
                <w:szCs w:val="21"/>
              </w:rPr>
            </w:pPr>
          </w:p>
        </w:tc>
        <w:tc>
          <w:tcPr>
            <w:tcW w:w="3012" w:type="dxa"/>
            <w:gridSpan w:val="2"/>
            <w:vAlign w:val="center"/>
          </w:tcPr>
          <w:p>
            <w:pPr>
              <w:spacing w:line="320" w:lineRule="exact"/>
              <w:ind w:firstLine="200"/>
              <w:jc w:val="center"/>
              <w:rPr>
                <w:rFonts w:ascii="宋体" w:hAnsi="宋体"/>
                <w:szCs w:val="21"/>
              </w:rPr>
            </w:pPr>
          </w:p>
        </w:tc>
        <w:tc>
          <w:tcPr>
            <w:tcW w:w="1205" w:type="dxa"/>
            <w:gridSpan w:val="2"/>
            <w:vAlign w:val="center"/>
          </w:tcPr>
          <w:p>
            <w:pPr>
              <w:spacing w:line="320" w:lineRule="exact"/>
              <w:ind w:firstLine="200"/>
              <w:jc w:val="center"/>
              <w:rPr>
                <w:rFonts w:ascii="宋体" w:hAnsi="宋体"/>
                <w:szCs w:val="21"/>
              </w:rPr>
            </w:pPr>
          </w:p>
        </w:tc>
        <w:tc>
          <w:tcPr>
            <w:tcW w:w="955" w:type="dxa"/>
            <w:vAlign w:val="center"/>
          </w:tcPr>
          <w:p>
            <w:pPr>
              <w:spacing w:line="320" w:lineRule="exact"/>
              <w:ind w:firstLine="200"/>
              <w:jc w:val="center"/>
              <w:rPr>
                <w:rFonts w:ascii="宋体" w:hAnsi="宋体"/>
                <w:szCs w:val="21"/>
              </w:rPr>
            </w:pPr>
          </w:p>
        </w:tc>
        <w:tc>
          <w:tcPr>
            <w:tcW w:w="2400" w:type="dxa"/>
            <w:gridSpan w:val="2"/>
            <w:vAlign w:val="center"/>
          </w:tcPr>
          <w:p>
            <w:pPr>
              <w:spacing w:line="320" w:lineRule="exact"/>
              <w:ind w:firstLine="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845" w:type="dxa"/>
            <w:vAlign w:val="center"/>
          </w:tcPr>
          <w:p>
            <w:pPr>
              <w:spacing w:line="320" w:lineRule="exact"/>
              <w:ind w:firstLine="200"/>
              <w:jc w:val="center"/>
              <w:rPr>
                <w:rFonts w:ascii="宋体" w:hAnsi="宋体"/>
                <w:szCs w:val="21"/>
              </w:rPr>
            </w:pPr>
          </w:p>
        </w:tc>
        <w:tc>
          <w:tcPr>
            <w:tcW w:w="1603" w:type="dxa"/>
            <w:gridSpan w:val="3"/>
            <w:vAlign w:val="center"/>
          </w:tcPr>
          <w:p>
            <w:pPr>
              <w:spacing w:line="320" w:lineRule="exact"/>
              <w:ind w:firstLine="200"/>
              <w:jc w:val="center"/>
              <w:rPr>
                <w:rFonts w:ascii="宋体" w:hAnsi="宋体"/>
                <w:szCs w:val="21"/>
              </w:rPr>
            </w:pPr>
          </w:p>
        </w:tc>
        <w:tc>
          <w:tcPr>
            <w:tcW w:w="3012" w:type="dxa"/>
            <w:gridSpan w:val="2"/>
            <w:vAlign w:val="center"/>
          </w:tcPr>
          <w:p>
            <w:pPr>
              <w:spacing w:line="320" w:lineRule="exact"/>
              <w:ind w:firstLine="200"/>
              <w:jc w:val="center"/>
              <w:rPr>
                <w:rFonts w:ascii="宋体" w:hAnsi="宋体"/>
                <w:szCs w:val="21"/>
              </w:rPr>
            </w:pPr>
          </w:p>
        </w:tc>
        <w:tc>
          <w:tcPr>
            <w:tcW w:w="1205" w:type="dxa"/>
            <w:gridSpan w:val="2"/>
            <w:vAlign w:val="center"/>
          </w:tcPr>
          <w:p>
            <w:pPr>
              <w:spacing w:line="320" w:lineRule="exact"/>
              <w:ind w:firstLine="200"/>
              <w:jc w:val="center"/>
              <w:rPr>
                <w:rFonts w:ascii="宋体" w:hAnsi="宋体"/>
                <w:szCs w:val="21"/>
              </w:rPr>
            </w:pPr>
          </w:p>
        </w:tc>
        <w:tc>
          <w:tcPr>
            <w:tcW w:w="955" w:type="dxa"/>
            <w:vAlign w:val="center"/>
          </w:tcPr>
          <w:p>
            <w:pPr>
              <w:spacing w:line="320" w:lineRule="exact"/>
              <w:ind w:firstLine="200"/>
              <w:jc w:val="center"/>
              <w:rPr>
                <w:rFonts w:ascii="宋体" w:hAnsi="宋体"/>
                <w:szCs w:val="21"/>
              </w:rPr>
            </w:pPr>
          </w:p>
        </w:tc>
        <w:tc>
          <w:tcPr>
            <w:tcW w:w="2400" w:type="dxa"/>
            <w:gridSpan w:val="2"/>
            <w:vAlign w:val="center"/>
          </w:tcPr>
          <w:p>
            <w:pPr>
              <w:spacing w:line="320" w:lineRule="exact"/>
              <w:ind w:firstLine="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845" w:type="dxa"/>
            <w:vAlign w:val="center"/>
          </w:tcPr>
          <w:p>
            <w:pPr>
              <w:spacing w:line="320" w:lineRule="exact"/>
              <w:ind w:firstLine="200"/>
              <w:jc w:val="center"/>
              <w:rPr>
                <w:rFonts w:ascii="宋体" w:hAnsi="宋体"/>
                <w:szCs w:val="21"/>
              </w:rPr>
            </w:pPr>
          </w:p>
        </w:tc>
        <w:tc>
          <w:tcPr>
            <w:tcW w:w="1603" w:type="dxa"/>
            <w:gridSpan w:val="3"/>
            <w:vAlign w:val="center"/>
          </w:tcPr>
          <w:p>
            <w:pPr>
              <w:spacing w:line="320" w:lineRule="exact"/>
              <w:ind w:firstLine="200"/>
              <w:jc w:val="center"/>
              <w:rPr>
                <w:rFonts w:ascii="宋体" w:hAnsi="宋体"/>
                <w:szCs w:val="21"/>
              </w:rPr>
            </w:pPr>
          </w:p>
        </w:tc>
        <w:tc>
          <w:tcPr>
            <w:tcW w:w="3012" w:type="dxa"/>
            <w:gridSpan w:val="2"/>
            <w:vAlign w:val="center"/>
          </w:tcPr>
          <w:p>
            <w:pPr>
              <w:spacing w:line="320" w:lineRule="exact"/>
              <w:ind w:firstLine="200"/>
              <w:jc w:val="center"/>
              <w:rPr>
                <w:rFonts w:ascii="宋体" w:hAnsi="宋体"/>
                <w:szCs w:val="21"/>
              </w:rPr>
            </w:pPr>
          </w:p>
        </w:tc>
        <w:tc>
          <w:tcPr>
            <w:tcW w:w="1205" w:type="dxa"/>
            <w:gridSpan w:val="2"/>
            <w:vAlign w:val="center"/>
          </w:tcPr>
          <w:p>
            <w:pPr>
              <w:spacing w:line="320" w:lineRule="exact"/>
              <w:ind w:firstLine="200"/>
              <w:jc w:val="center"/>
              <w:rPr>
                <w:rFonts w:ascii="宋体" w:hAnsi="宋体"/>
                <w:szCs w:val="21"/>
              </w:rPr>
            </w:pPr>
          </w:p>
        </w:tc>
        <w:tc>
          <w:tcPr>
            <w:tcW w:w="955" w:type="dxa"/>
            <w:vAlign w:val="center"/>
          </w:tcPr>
          <w:p>
            <w:pPr>
              <w:spacing w:line="320" w:lineRule="exact"/>
              <w:ind w:firstLine="200"/>
              <w:jc w:val="center"/>
              <w:rPr>
                <w:rFonts w:ascii="宋体" w:hAnsi="宋体"/>
                <w:szCs w:val="21"/>
              </w:rPr>
            </w:pPr>
          </w:p>
        </w:tc>
        <w:tc>
          <w:tcPr>
            <w:tcW w:w="2400" w:type="dxa"/>
            <w:gridSpan w:val="2"/>
            <w:vAlign w:val="center"/>
          </w:tcPr>
          <w:p>
            <w:pPr>
              <w:spacing w:line="320" w:lineRule="exact"/>
              <w:ind w:firstLine="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845" w:type="dxa"/>
            <w:vAlign w:val="center"/>
          </w:tcPr>
          <w:p>
            <w:pPr>
              <w:spacing w:line="320" w:lineRule="exact"/>
              <w:ind w:firstLine="200"/>
              <w:jc w:val="center"/>
              <w:rPr>
                <w:rFonts w:ascii="宋体" w:hAnsi="宋体"/>
                <w:szCs w:val="21"/>
              </w:rPr>
            </w:pPr>
          </w:p>
        </w:tc>
        <w:tc>
          <w:tcPr>
            <w:tcW w:w="1603" w:type="dxa"/>
            <w:gridSpan w:val="3"/>
            <w:vAlign w:val="center"/>
          </w:tcPr>
          <w:p>
            <w:pPr>
              <w:spacing w:line="320" w:lineRule="exact"/>
              <w:ind w:firstLine="200"/>
              <w:jc w:val="center"/>
              <w:rPr>
                <w:rFonts w:ascii="宋体" w:hAnsi="宋体"/>
                <w:szCs w:val="21"/>
              </w:rPr>
            </w:pPr>
          </w:p>
        </w:tc>
        <w:tc>
          <w:tcPr>
            <w:tcW w:w="3012" w:type="dxa"/>
            <w:gridSpan w:val="2"/>
            <w:vAlign w:val="center"/>
          </w:tcPr>
          <w:p>
            <w:pPr>
              <w:spacing w:line="320" w:lineRule="exact"/>
              <w:ind w:firstLine="200"/>
              <w:jc w:val="center"/>
              <w:rPr>
                <w:rFonts w:ascii="宋体" w:hAnsi="宋体"/>
                <w:szCs w:val="21"/>
              </w:rPr>
            </w:pPr>
          </w:p>
        </w:tc>
        <w:tc>
          <w:tcPr>
            <w:tcW w:w="1205" w:type="dxa"/>
            <w:gridSpan w:val="2"/>
            <w:vAlign w:val="center"/>
          </w:tcPr>
          <w:p>
            <w:pPr>
              <w:spacing w:line="320" w:lineRule="exact"/>
              <w:ind w:firstLine="200"/>
              <w:jc w:val="center"/>
              <w:rPr>
                <w:rFonts w:ascii="宋体" w:hAnsi="宋体"/>
                <w:szCs w:val="21"/>
              </w:rPr>
            </w:pPr>
          </w:p>
        </w:tc>
        <w:tc>
          <w:tcPr>
            <w:tcW w:w="955" w:type="dxa"/>
            <w:vAlign w:val="center"/>
          </w:tcPr>
          <w:p>
            <w:pPr>
              <w:spacing w:line="320" w:lineRule="exact"/>
              <w:ind w:firstLine="200"/>
              <w:jc w:val="center"/>
              <w:rPr>
                <w:rFonts w:ascii="宋体" w:hAnsi="宋体"/>
                <w:szCs w:val="21"/>
              </w:rPr>
            </w:pPr>
          </w:p>
        </w:tc>
        <w:tc>
          <w:tcPr>
            <w:tcW w:w="2400" w:type="dxa"/>
            <w:gridSpan w:val="2"/>
            <w:vAlign w:val="center"/>
          </w:tcPr>
          <w:p>
            <w:pPr>
              <w:spacing w:line="320" w:lineRule="exact"/>
              <w:ind w:firstLine="200"/>
              <w:jc w:val="center"/>
              <w:rPr>
                <w:rFonts w:ascii="宋体" w:hAnsi="宋体"/>
                <w:szCs w:val="21"/>
              </w:rPr>
            </w:pPr>
          </w:p>
        </w:tc>
      </w:tr>
    </w:tbl>
    <w:p>
      <w:pPr>
        <w:pStyle w:val="19"/>
        <w:spacing w:line="360" w:lineRule="auto"/>
        <w:ind w:firstLine="420" w:firstLineChars="200"/>
        <w:rPr>
          <w:rFonts w:hAnsi="宋体"/>
          <w:szCs w:val="21"/>
        </w:rPr>
      </w:pPr>
      <w:r>
        <w:rPr>
          <w:rFonts w:hint="eastAsia" w:hAnsi="宋体"/>
          <w:szCs w:val="21"/>
        </w:rPr>
        <w:t>填表时间：                     施工单位（盖章）：</w:t>
      </w:r>
    </w:p>
    <w:p>
      <w:pPr>
        <w:pStyle w:val="19"/>
        <w:spacing w:line="360" w:lineRule="auto"/>
        <w:ind w:firstLine="420" w:firstLineChars="200"/>
        <w:rPr>
          <w:rFonts w:hAnsi="宋体"/>
          <w:szCs w:val="21"/>
        </w:rPr>
      </w:pPr>
    </w:p>
    <w:p>
      <w:pPr>
        <w:pStyle w:val="19"/>
        <w:spacing w:line="360" w:lineRule="auto"/>
        <w:ind w:firstLine="420" w:firstLineChars="200"/>
        <w:rPr>
          <w:rFonts w:hAnsi="宋体"/>
          <w:szCs w:val="21"/>
        </w:rPr>
      </w:pPr>
    </w:p>
    <w:p>
      <w:pPr>
        <w:spacing w:line="572" w:lineRule="exact"/>
        <w:jc w:val="center"/>
        <w:rPr>
          <w:rFonts w:eastAsia="方正小标宋简体"/>
          <w:color w:val="auto"/>
          <w:sz w:val="44"/>
          <w:szCs w:val="32"/>
        </w:rPr>
      </w:pPr>
      <w:r>
        <w:rPr>
          <w:rFonts w:hint="eastAsia" w:eastAsia="方正小标宋简体"/>
          <w:color w:val="auto"/>
          <w:sz w:val="44"/>
          <w:szCs w:val="32"/>
        </w:rPr>
        <w:t>广州市水务工程建设项目从业单位</w:t>
      </w:r>
    </w:p>
    <w:p>
      <w:pPr>
        <w:adjustRightInd w:val="0"/>
        <w:snapToGrid w:val="0"/>
        <w:spacing w:line="572" w:lineRule="exact"/>
        <w:jc w:val="center"/>
        <w:rPr>
          <w:rFonts w:eastAsia="方正小标宋简体"/>
          <w:color w:val="auto"/>
          <w:sz w:val="44"/>
          <w:szCs w:val="32"/>
        </w:rPr>
      </w:pPr>
      <w:r>
        <w:rPr>
          <w:rFonts w:hint="eastAsia" w:eastAsia="方正小标宋简体"/>
          <w:color w:val="auto"/>
          <w:sz w:val="44"/>
          <w:szCs w:val="32"/>
        </w:rPr>
        <w:t>法定代表人授权书</w:t>
      </w:r>
    </w:p>
    <w:p>
      <w:pPr>
        <w:adjustRightInd w:val="0"/>
        <w:snapToGrid w:val="0"/>
        <w:spacing w:line="572" w:lineRule="exact"/>
        <w:jc w:val="center"/>
        <w:rPr>
          <w:rFonts w:eastAsia="方正小标宋简体"/>
          <w:color w:val="auto"/>
          <w:szCs w:val="32"/>
        </w:rPr>
      </w:pPr>
      <w:r>
        <w:rPr>
          <w:rFonts w:hint="eastAsia" w:eastAsia="方正小标宋简体"/>
          <w:color w:val="auto"/>
          <w:sz w:val="44"/>
          <w:szCs w:val="32"/>
        </w:rPr>
        <w:t>（</w:t>
      </w:r>
      <w:r>
        <w:rPr>
          <w:rFonts w:hint="eastAsia" w:eastAsia="方正小标宋简体"/>
          <w:color w:val="auto"/>
          <w:sz w:val="44"/>
          <w:szCs w:val="32"/>
          <w:lang w:eastAsia="zh-CN"/>
        </w:rPr>
        <w:t>设计</w:t>
      </w:r>
      <w:r>
        <w:rPr>
          <w:rFonts w:hint="eastAsia" w:eastAsia="方正小标宋简体"/>
          <w:color w:val="auto"/>
          <w:sz w:val="44"/>
          <w:szCs w:val="32"/>
        </w:rPr>
        <w:t>单位）</w:t>
      </w:r>
    </w:p>
    <w:p>
      <w:pPr>
        <w:spacing w:before="312" w:beforeLines="100" w:line="572" w:lineRule="exact"/>
        <w:ind w:firstLine="420" w:firstLineChars="200"/>
        <w:rPr>
          <w:rFonts w:ascii="仿宋_GB2312"/>
          <w:color w:val="auto"/>
          <w:szCs w:val="32"/>
        </w:rPr>
      </w:pPr>
      <w:r>
        <w:rPr>
          <w:rFonts w:hint="eastAsia" w:ascii="仿宋_GB2312"/>
          <w:color w:val="auto"/>
          <w:szCs w:val="32"/>
        </w:rPr>
        <w:t>兹授权我单位</w:t>
      </w:r>
      <w:r>
        <w:rPr>
          <w:rFonts w:ascii="仿宋_GB2312"/>
          <w:color w:val="auto"/>
          <w:sz w:val="28"/>
          <w:szCs w:val="32"/>
          <w:u w:val="single"/>
        </w:rPr>
        <w:t xml:space="preserve"> </w:t>
      </w:r>
      <w:r>
        <w:rPr>
          <w:rFonts w:hint="eastAsia" w:ascii="仿宋_GB2312"/>
          <w:color w:val="auto"/>
          <w:szCs w:val="32"/>
          <w:u w:val="single"/>
          <w:lang w:val="en-US" w:eastAsia="zh-CN"/>
        </w:rPr>
        <w:t xml:space="preserve"> </w:t>
      </w:r>
      <w:r>
        <w:rPr>
          <w:rFonts w:hint="eastAsia" w:ascii="仿宋_GB2312"/>
          <w:color w:val="auto"/>
          <w:szCs w:val="32"/>
          <w:u w:val="single"/>
        </w:rPr>
        <w:t xml:space="preserve">  </w:t>
      </w:r>
      <w:r>
        <w:rPr>
          <w:rFonts w:hint="eastAsia" w:ascii="仿宋_GB2312"/>
          <w:color w:val="auto"/>
          <w:szCs w:val="32"/>
        </w:rPr>
        <w:t>担任</w:t>
      </w:r>
      <w:r>
        <w:rPr>
          <w:rFonts w:hint="eastAsia" w:ascii="仿宋_GB2312"/>
          <w:color w:val="auto"/>
          <w:szCs w:val="32"/>
          <w:u w:val="single"/>
          <w:lang w:val="en-US" w:eastAsia="zh-CN"/>
        </w:rPr>
        <w:t xml:space="preserve">         </w:t>
      </w:r>
      <w:r>
        <w:rPr>
          <w:rFonts w:hint="eastAsia" w:ascii="仿宋_GB2312"/>
          <w:color w:val="auto"/>
          <w:szCs w:val="32"/>
          <w:u w:val="single"/>
        </w:rPr>
        <w:t>工程</w:t>
      </w:r>
      <w:r>
        <w:rPr>
          <w:rFonts w:hint="eastAsia" w:ascii="仿宋_GB2312"/>
          <w:color w:val="auto"/>
          <w:szCs w:val="32"/>
        </w:rPr>
        <w:t>项目负责人，对该工程项目的</w:t>
      </w:r>
      <w:r>
        <w:rPr>
          <w:rFonts w:hint="eastAsia" w:ascii="仿宋_GB2312"/>
          <w:color w:val="auto"/>
          <w:szCs w:val="32"/>
          <w:lang w:eastAsia="zh-CN"/>
        </w:rPr>
        <w:t>设计</w:t>
      </w:r>
      <w:r>
        <w:rPr>
          <w:rFonts w:hint="eastAsia" w:ascii="仿宋_GB2312"/>
          <w:color w:val="auto"/>
          <w:szCs w:val="32"/>
        </w:rPr>
        <w:t>工作实施组织管理，依据国家有关法律法规及标准规范履行职责，并依法对设计使用年限内的工程质量承担相应终身责任。</w:t>
      </w:r>
    </w:p>
    <w:p>
      <w:pPr>
        <w:spacing w:line="572" w:lineRule="exact"/>
        <w:ind w:firstLine="420" w:firstLineChars="200"/>
        <w:rPr>
          <w:rFonts w:ascii="仿宋_GB2312"/>
          <w:color w:val="auto"/>
          <w:szCs w:val="32"/>
        </w:rPr>
      </w:pPr>
      <w:r>
        <w:rPr>
          <w:rFonts w:hint="eastAsia" w:ascii="仿宋_GB2312"/>
          <w:color w:val="auto"/>
          <w:szCs w:val="32"/>
        </w:rPr>
        <w:t>本授权书自授权之日起生效。</w:t>
      </w:r>
    </w:p>
    <w:p>
      <w:pPr>
        <w:spacing w:line="572" w:lineRule="exact"/>
        <w:ind w:firstLine="420" w:firstLineChars="200"/>
        <w:rPr>
          <w:rFonts w:ascii="仿宋_GB2312"/>
          <w:color w:val="auto"/>
          <w:szCs w:val="32"/>
        </w:rPr>
      </w:pPr>
    </w:p>
    <w:tbl>
      <w:tblPr>
        <w:tblStyle w:val="39"/>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9"/>
        <w:gridCol w:w="1665"/>
        <w:gridCol w:w="1984"/>
        <w:gridCol w:w="2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4"/>
            <w:tcBorders>
              <w:top w:val="single" w:color="auto" w:sz="4" w:space="0"/>
              <w:left w:val="single" w:color="auto" w:sz="4" w:space="0"/>
              <w:bottom w:val="single" w:color="auto" w:sz="4" w:space="0"/>
              <w:right w:val="single" w:color="auto" w:sz="4" w:space="0"/>
            </w:tcBorders>
          </w:tcPr>
          <w:p>
            <w:pPr>
              <w:spacing w:line="572" w:lineRule="exact"/>
              <w:jc w:val="center"/>
              <w:rPr>
                <w:rFonts w:ascii="方正小标宋_GBK" w:hAnsi="宋体" w:eastAsia="方正小标宋_GBK"/>
                <w:color w:val="auto"/>
                <w:szCs w:val="32"/>
              </w:rPr>
            </w:pPr>
            <w:r>
              <w:rPr>
                <w:rFonts w:hint="eastAsia" w:ascii="方正小标宋_GBK" w:hAnsi="宋体" w:eastAsia="方正小标宋_GBK"/>
                <w:bCs/>
                <w:color w:val="auto"/>
                <w:szCs w:val="32"/>
              </w:rPr>
              <w:t>被授权人基本情况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Borders>
              <w:top w:val="single" w:color="auto" w:sz="4" w:space="0"/>
              <w:left w:val="single" w:color="auto" w:sz="4" w:space="0"/>
              <w:bottom w:val="single" w:color="auto" w:sz="4" w:space="0"/>
              <w:right w:val="single" w:color="auto" w:sz="4" w:space="0"/>
            </w:tcBorders>
          </w:tcPr>
          <w:p>
            <w:pPr>
              <w:spacing w:line="572" w:lineRule="exact"/>
              <w:jc w:val="center"/>
              <w:rPr>
                <w:rFonts w:ascii="宋体" w:hAnsi="宋体"/>
                <w:color w:val="auto"/>
                <w:szCs w:val="32"/>
              </w:rPr>
            </w:pPr>
            <w:r>
              <w:rPr>
                <w:rFonts w:hint="eastAsia" w:ascii="宋体" w:hAnsi="宋体"/>
                <w:color w:val="auto"/>
                <w:szCs w:val="32"/>
              </w:rPr>
              <w:t>姓名</w:t>
            </w:r>
          </w:p>
        </w:tc>
        <w:tc>
          <w:tcPr>
            <w:tcW w:w="1665" w:type="dxa"/>
            <w:tcBorders>
              <w:top w:val="single" w:color="auto" w:sz="4" w:space="0"/>
              <w:left w:val="single" w:color="auto" w:sz="4" w:space="0"/>
              <w:bottom w:val="single" w:color="auto" w:sz="4" w:space="0"/>
              <w:right w:val="single" w:color="auto" w:sz="4" w:space="0"/>
            </w:tcBorders>
          </w:tcPr>
          <w:p>
            <w:pPr>
              <w:spacing w:line="572" w:lineRule="exact"/>
              <w:jc w:val="center"/>
              <w:rPr>
                <w:rFonts w:ascii="宋体" w:hAnsi="宋体"/>
                <w:color w:val="auto"/>
                <w:szCs w:val="32"/>
              </w:rPr>
            </w:pPr>
          </w:p>
        </w:tc>
        <w:tc>
          <w:tcPr>
            <w:tcW w:w="1984" w:type="dxa"/>
            <w:tcBorders>
              <w:top w:val="single" w:color="auto" w:sz="4" w:space="0"/>
              <w:left w:val="single" w:color="auto" w:sz="4" w:space="0"/>
              <w:bottom w:val="single" w:color="auto" w:sz="4" w:space="0"/>
              <w:right w:val="single" w:color="auto" w:sz="4" w:space="0"/>
            </w:tcBorders>
          </w:tcPr>
          <w:p>
            <w:pPr>
              <w:spacing w:line="572" w:lineRule="exact"/>
              <w:jc w:val="center"/>
              <w:rPr>
                <w:rFonts w:ascii="宋体" w:hAnsi="宋体"/>
                <w:color w:val="auto"/>
                <w:szCs w:val="32"/>
              </w:rPr>
            </w:pPr>
            <w:r>
              <w:rPr>
                <w:rFonts w:hint="eastAsia" w:ascii="宋体" w:hAnsi="宋体"/>
                <w:color w:val="auto"/>
              </w:rPr>
              <w:t>身份证号</w:t>
            </w:r>
          </w:p>
        </w:tc>
        <w:tc>
          <w:tcPr>
            <w:tcW w:w="2742" w:type="dxa"/>
            <w:tcBorders>
              <w:top w:val="single" w:color="auto" w:sz="4" w:space="0"/>
              <w:left w:val="single" w:color="auto" w:sz="4" w:space="0"/>
              <w:bottom w:val="single" w:color="auto" w:sz="4" w:space="0"/>
              <w:right w:val="single" w:color="auto" w:sz="4" w:space="0"/>
            </w:tcBorders>
          </w:tcPr>
          <w:p>
            <w:pPr>
              <w:spacing w:line="572" w:lineRule="exact"/>
              <w:rPr>
                <w:rFonts w:ascii="宋体" w:hAnsi="宋体"/>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Borders>
              <w:top w:val="single" w:color="auto" w:sz="4" w:space="0"/>
              <w:left w:val="single" w:color="auto" w:sz="4" w:space="0"/>
              <w:bottom w:val="single" w:color="auto" w:sz="4" w:space="0"/>
              <w:right w:val="single" w:color="auto" w:sz="4" w:space="0"/>
            </w:tcBorders>
          </w:tcPr>
          <w:p>
            <w:pPr>
              <w:spacing w:line="572" w:lineRule="exact"/>
              <w:jc w:val="center"/>
              <w:rPr>
                <w:rFonts w:ascii="宋体" w:hAnsi="宋体"/>
                <w:color w:val="auto"/>
                <w:szCs w:val="32"/>
              </w:rPr>
            </w:pPr>
            <w:r>
              <w:rPr>
                <w:rFonts w:hint="eastAsia" w:ascii="宋体" w:hAnsi="宋体"/>
                <w:color w:val="auto"/>
                <w:szCs w:val="32"/>
              </w:rPr>
              <w:t>注册执业资格</w:t>
            </w:r>
          </w:p>
        </w:tc>
        <w:tc>
          <w:tcPr>
            <w:tcW w:w="1665" w:type="dxa"/>
            <w:tcBorders>
              <w:top w:val="single" w:color="auto" w:sz="4" w:space="0"/>
              <w:left w:val="single" w:color="auto" w:sz="4" w:space="0"/>
              <w:bottom w:val="single" w:color="auto" w:sz="4" w:space="0"/>
              <w:right w:val="single" w:color="auto" w:sz="4" w:space="0"/>
            </w:tcBorders>
          </w:tcPr>
          <w:p>
            <w:pPr>
              <w:spacing w:line="572" w:lineRule="exact"/>
              <w:jc w:val="center"/>
              <w:rPr>
                <w:rFonts w:ascii="宋体" w:hAnsi="宋体"/>
                <w:color w:val="auto"/>
                <w:szCs w:val="32"/>
              </w:rPr>
            </w:pPr>
          </w:p>
        </w:tc>
        <w:tc>
          <w:tcPr>
            <w:tcW w:w="1984" w:type="dxa"/>
            <w:tcBorders>
              <w:top w:val="single" w:color="auto" w:sz="4" w:space="0"/>
              <w:left w:val="single" w:color="auto" w:sz="4" w:space="0"/>
              <w:bottom w:val="single" w:color="auto" w:sz="4" w:space="0"/>
              <w:right w:val="single" w:color="auto" w:sz="4" w:space="0"/>
            </w:tcBorders>
          </w:tcPr>
          <w:p>
            <w:pPr>
              <w:spacing w:line="572" w:lineRule="exact"/>
              <w:jc w:val="center"/>
              <w:rPr>
                <w:rFonts w:ascii="宋体" w:hAnsi="宋体" w:eastAsia="宋体"/>
                <w:color w:val="auto"/>
                <w:szCs w:val="32"/>
              </w:rPr>
            </w:pPr>
            <w:r>
              <w:rPr>
                <w:rFonts w:hint="eastAsia" w:ascii="宋体" w:hAnsi="宋体"/>
                <w:color w:val="auto"/>
              </w:rPr>
              <w:t>注册执业证号</w:t>
            </w:r>
          </w:p>
        </w:tc>
        <w:tc>
          <w:tcPr>
            <w:tcW w:w="2742" w:type="dxa"/>
            <w:tcBorders>
              <w:top w:val="single" w:color="auto" w:sz="4" w:space="0"/>
              <w:left w:val="single" w:color="auto" w:sz="4" w:space="0"/>
              <w:bottom w:val="single" w:color="auto" w:sz="4" w:space="0"/>
              <w:right w:val="single" w:color="auto" w:sz="4" w:space="0"/>
            </w:tcBorders>
          </w:tcPr>
          <w:p>
            <w:pPr>
              <w:spacing w:line="572" w:lineRule="exact"/>
              <w:rPr>
                <w:rFonts w:ascii="宋体" w:hAnsi="宋体"/>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9" w:type="dxa"/>
            <w:tcBorders>
              <w:top w:val="single" w:color="auto" w:sz="4" w:space="0"/>
              <w:left w:val="single" w:color="auto" w:sz="4" w:space="0"/>
              <w:bottom w:val="single" w:color="auto" w:sz="4" w:space="0"/>
              <w:right w:val="single" w:color="auto" w:sz="4" w:space="0"/>
            </w:tcBorders>
            <w:vAlign w:val="center"/>
          </w:tcPr>
          <w:p>
            <w:pPr>
              <w:spacing w:line="572" w:lineRule="exact"/>
              <w:jc w:val="center"/>
              <w:rPr>
                <w:rFonts w:ascii="宋体" w:hAnsi="宋体" w:eastAsia="宋体"/>
                <w:color w:val="auto"/>
                <w:szCs w:val="32"/>
              </w:rPr>
            </w:pPr>
            <w:r>
              <w:rPr>
                <w:rFonts w:hint="eastAsia" w:ascii="宋体" w:hAnsi="宋体"/>
                <w:color w:val="auto"/>
                <w:szCs w:val="32"/>
              </w:rPr>
              <w:t>职称</w:t>
            </w:r>
          </w:p>
        </w:tc>
        <w:tc>
          <w:tcPr>
            <w:tcW w:w="1665" w:type="dxa"/>
            <w:tcBorders>
              <w:top w:val="single" w:color="auto" w:sz="4" w:space="0"/>
              <w:left w:val="single" w:color="auto" w:sz="4" w:space="0"/>
              <w:bottom w:val="single" w:color="auto" w:sz="4" w:space="0"/>
              <w:right w:val="single" w:color="auto" w:sz="4" w:space="0"/>
            </w:tcBorders>
          </w:tcPr>
          <w:p>
            <w:pPr>
              <w:spacing w:line="572" w:lineRule="exact"/>
              <w:jc w:val="center"/>
              <w:rPr>
                <w:rFonts w:ascii="宋体" w:hAnsi="宋体"/>
                <w:color w:val="auto"/>
                <w:szCs w:val="32"/>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572" w:lineRule="exact"/>
              <w:jc w:val="center"/>
              <w:rPr>
                <w:rFonts w:ascii="宋体" w:hAnsi="宋体" w:eastAsia="宋体"/>
                <w:color w:val="auto"/>
                <w:szCs w:val="32"/>
              </w:rPr>
            </w:pPr>
            <w:r>
              <w:rPr>
                <w:rFonts w:hint="eastAsia" w:ascii="宋体" w:hAnsi="宋体"/>
                <w:color w:val="auto"/>
              </w:rPr>
              <w:t>专业</w:t>
            </w:r>
          </w:p>
        </w:tc>
        <w:tc>
          <w:tcPr>
            <w:tcW w:w="2742" w:type="dxa"/>
            <w:tcBorders>
              <w:top w:val="single" w:color="auto" w:sz="4" w:space="0"/>
              <w:left w:val="single" w:color="auto" w:sz="4" w:space="0"/>
              <w:bottom w:val="single" w:color="auto" w:sz="4" w:space="0"/>
              <w:right w:val="single" w:color="auto" w:sz="4" w:space="0"/>
            </w:tcBorders>
            <w:vAlign w:val="center"/>
          </w:tcPr>
          <w:p>
            <w:pPr>
              <w:spacing w:line="572" w:lineRule="exact"/>
              <w:rPr>
                <w:rFonts w:ascii="宋体" w:hAnsi="宋体"/>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4"/>
            <w:tcBorders>
              <w:top w:val="single" w:color="auto" w:sz="4" w:space="0"/>
              <w:left w:val="single" w:color="auto" w:sz="4" w:space="0"/>
              <w:bottom w:val="single" w:color="auto" w:sz="4" w:space="0"/>
              <w:right w:val="single" w:color="auto" w:sz="4" w:space="0"/>
            </w:tcBorders>
          </w:tcPr>
          <w:p>
            <w:pPr>
              <w:spacing w:line="572" w:lineRule="exact"/>
              <w:rPr>
                <w:rFonts w:ascii="宋体" w:hAnsi="宋体" w:eastAsia="宋体"/>
                <w:color w:val="auto"/>
                <w:szCs w:val="32"/>
              </w:rPr>
            </w:pPr>
            <w:r>
              <w:rPr>
                <w:rFonts w:hint="eastAsia" w:ascii="宋体" w:hAnsi="宋体"/>
                <w:color w:val="auto"/>
                <w:szCs w:val="32"/>
              </w:rPr>
              <w:t>被授权人签字：</w:t>
            </w:r>
          </w:p>
        </w:tc>
      </w:tr>
    </w:tbl>
    <w:p>
      <w:pPr>
        <w:spacing w:line="572" w:lineRule="exact"/>
        <w:ind w:firstLine="420" w:firstLineChars="200"/>
        <w:rPr>
          <w:rFonts w:eastAsia="仿宋"/>
          <w:color w:val="auto"/>
          <w:szCs w:val="32"/>
        </w:rPr>
      </w:pPr>
    </w:p>
    <w:p>
      <w:pPr>
        <w:spacing w:line="572" w:lineRule="exact"/>
        <w:jc w:val="center"/>
        <w:rPr>
          <w:rFonts w:ascii="仿宋_GB2312"/>
          <w:color w:val="auto"/>
          <w:szCs w:val="32"/>
          <w:u w:val="single"/>
        </w:rPr>
      </w:pPr>
      <w:r>
        <w:rPr>
          <w:rFonts w:hint="eastAsia" w:ascii="仿宋_GB2312"/>
          <w:color w:val="auto"/>
          <w:spacing w:val="21"/>
          <w:szCs w:val="32"/>
        </w:rPr>
        <w:t>授权单位（盖章）</w:t>
      </w:r>
      <w:r>
        <w:rPr>
          <w:rFonts w:hint="eastAsia" w:ascii="仿宋_GB2312"/>
          <w:color w:val="auto"/>
          <w:szCs w:val="32"/>
        </w:rPr>
        <w:t>：</w:t>
      </w:r>
    </w:p>
    <w:p>
      <w:pPr>
        <w:spacing w:line="572" w:lineRule="exact"/>
        <w:jc w:val="center"/>
        <w:rPr>
          <w:rFonts w:ascii="仿宋_GB2312"/>
          <w:color w:val="auto"/>
          <w:szCs w:val="32"/>
          <w:u w:val="single"/>
        </w:rPr>
      </w:pPr>
      <w:r>
        <w:rPr>
          <w:rFonts w:hint="eastAsia" w:ascii="仿宋_GB2312"/>
          <w:color w:val="auto"/>
          <w:szCs w:val="32"/>
        </w:rPr>
        <w:t>法定代表人（签字）：</w:t>
      </w:r>
    </w:p>
    <w:p>
      <w:pPr>
        <w:spacing w:line="572" w:lineRule="exact"/>
        <w:jc w:val="center"/>
        <w:rPr>
          <w:rFonts w:ascii="仿宋_GB2312"/>
          <w:color w:val="auto"/>
          <w:szCs w:val="32"/>
        </w:rPr>
      </w:pPr>
      <w:r>
        <w:rPr>
          <w:rFonts w:hint="eastAsia" w:ascii="仿宋_GB2312"/>
          <w:color w:val="auto"/>
          <w:spacing w:val="21"/>
          <w:szCs w:val="32"/>
        </w:rPr>
        <w:t xml:space="preserve">    授权日期：</w:t>
      </w:r>
      <w:r>
        <w:rPr>
          <w:rFonts w:ascii="仿宋_GB2312"/>
          <w:color w:val="auto"/>
          <w:spacing w:val="21"/>
          <w:szCs w:val="32"/>
        </w:rPr>
        <w:t xml:space="preserve">   </w:t>
      </w:r>
      <w:r>
        <w:rPr>
          <w:rFonts w:hint="eastAsia" w:ascii="仿宋_GB2312"/>
          <w:color w:val="auto"/>
          <w:szCs w:val="32"/>
        </w:rPr>
        <w:t>年</w:t>
      </w:r>
      <w:r>
        <w:rPr>
          <w:rFonts w:ascii="仿宋_GB2312"/>
          <w:color w:val="auto"/>
          <w:szCs w:val="32"/>
        </w:rPr>
        <w:t xml:space="preserve">  </w:t>
      </w:r>
      <w:r>
        <w:rPr>
          <w:rFonts w:hint="eastAsia" w:ascii="仿宋_GB2312"/>
          <w:color w:val="auto"/>
          <w:szCs w:val="32"/>
        </w:rPr>
        <w:t>月</w:t>
      </w:r>
      <w:r>
        <w:rPr>
          <w:rFonts w:ascii="仿宋_GB2312"/>
          <w:color w:val="auto"/>
          <w:szCs w:val="32"/>
        </w:rPr>
        <w:t xml:space="preserve">  </w:t>
      </w:r>
      <w:r>
        <w:rPr>
          <w:rFonts w:hint="eastAsia" w:ascii="仿宋_GB2312"/>
          <w:color w:val="auto"/>
          <w:szCs w:val="32"/>
        </w:rPr>
        <w:t>日</w:t>
      </w:r>
    </w:p>
    <w:p>
      <w:pPr>
        <w:pStyle w:val="2"/>
        <w:widowControl/>
        <w:spacing w:before="156" w:after="156"/>
        <w:ind w:firstLine="551"/>
        <w:jc w:val="left"/>
        <w:rPr>
          <w:rFonts w:ascii="仿宋_GB2312"/>
          <w:color w:val="auto"/>
          <w:szCs w:val="32"/>
        </w:rPr>
      </w:pPr>
      <w:r>
        <w:rPr>
          <w:color w:val="auto"/>
        </w:rPr>
        <w:br w:type="page"/>
      </w:r>
    </w:p>
    <w:p>
      <w:pPr>
        <w:pStyle w:val="2"/>
        <w:spacing w:before="156" w:after="156"/>
        <w:ind w:firstLine="551"/>
        <w:rPr>
          <w:color w:val="auto"/>
        </w:rPr>
      </w:pPr>
    </w:p>
    <w:p>
      <w:pPr>
        <w:adjustRightInd w:val="0"/>
        <w:snapToGrid w:val="0"/>
        <w:spacing w:line="572" w:lineRule="exact"/>
        <w:jc w:val="center"/>
        <w:rPr>
          <w:rFonts w:hint="eastAsia" w:ascii="方正小标宋_GBK" w:hAnsi="黑体" w:eastAsia="方正小标宋_GBK" w:cs="黑体"/>
          <w:color w:val="auto"/>
          <w:sz w:val="44"/>
          <w:szCs w:val="44"/>
        </w:rPr>
      </w:pPr>
      <w:r>
        <w:rPr>
          <w:rFonts w:hint="eastAsia" w:ascii="方正小标宋_GBK" w:hAnsi="黑体" w:eastAsia="方正小标宋_GBK" w:cs="黑体"/>
          <w:color w:val="auto"/>
          <w:sz w:val="44"/>
          <w:szCs w:val="44"/>
        </w:rPr>
        <w:t>工程质量终身责任承诺书</w:t>
      </w:r>
    </w:p>
    <w:p>
      <w:pPr>
        <w:adjustRightInd w:val="0"/>
        <w:snapToGrid w:val="0"/>
        <w:spacing w:line="572" w:lineRule="exact"/>
        <w:jc w:val="center"/>
        <w:rPr>
          <w:rFonts w:hint="eastAsia" w:ascii="方正小标宋_GBK" w:hAnsi="黑体" w:eastAsia="方正小标宋_GBK" w:cs="黑体"/>
          <w:color w:val="auto"/>
          <w:sz w:val="44"/>
          <w:szCs w:val="44"/>
        </w:rPr>
      </w:pPr>
      <w:r>
        <w:rPr>
          <w:rFonts w:hint="eastAsia" w:ascii="方正小标宋_GBK" w:hAnsi="黑体" w:eastAsia="方正小标宋_GBK" w:cs="黑体"/>
          <w:color w:val="auto"/>
          <w:sz w:val="44"/>
          <w:szCs w:val="44"/>
        </w:rPr>
        <w:t>（</w:t>
      </w:r>
      <w:r>
        <w:rPr>
          <w:rFonts w:hint="eastAsia" w:ascii="方正小标宋_GBK" w:hAnsi="黑体" w:eastAsia="方正小标宋_GBK" w:cs="黑体"/>
          <w:color w:val="auto"/>
          <w:sz w:val="44"/>
          <w:szCs w:val="44"/>
          <w:lang w:eastAsia="zh-CN"/>
        </w:rPr>
        <w:t>设计</w:t>
      </w:r>
      <w:r>
        <w:rPr>
          <w:rFonts w:hint="eastAsia" w:ascii="方正小标宋_GBK" w:hAnsi="黑体" w:eastAsia="方正小标宋_GBK" w:cs="黑体"/>
          <w:color w:val="auto"/>
          <w:sz w:val="44"/>
          <w:szCs w:val="44"/>
        </w:rPr>
        <w:t>单位）</w:t>
      </w:r>
    </w:p>
    <w:p>
      <w:pPr>
        <w:jc w:val="center"/>
        <w:rPr>
          <w:rFonts w:hint="eastAsia" w:ascii="方正小标宋_GBK" w:hAnsi="黑体" w:eastAsia="方正小标宋_GBK" w:cs="黑体"/>
          <w:color w:val="auto"/>
          <w:sz w:val="44"/>
          <w:szCs w:val="44"/>
        </w:rPr>
      </w:pPr>
    </w:p>
    <w:p>
      <w:pPr>
        <w:jc w:val="both"/>
        <w:rPr>
          <w:rFonts w:hint="eastAsia" w:ascii="方正小标宋_GBK" w:hAnsi="黑体" w:eastAsia="方正小标宋_GBK" w:cs="黑体"/>
          <w:color w:val="auto"/>
          <w:sz w:val="44"/>
          <w:szCs w:val="44"/>
        </w:rPr>
      </w:pPr>
    </w:p>
    <w:p>
      <w:pPr>
        <w:adjustRightInd w:val="0"/>
        <w:snapToGrid w:val="0"/>
        <w:spacing w:line="572" w:lineRule="exact"/>
        <w:ind w:firstLine="640" w:firstLineChars="200"/>
        <w:rPr>
          <w:color w:val="auto"/>
          <w:szCs w:val="32"/>
        </w:rPr>
      </w:pPr>
      <w:r>
        <w:rPr>
          <w:rFonts w:hint="eastAsia" w:ascii="仿宋_GB2312" w:hAnsi="仿宋" w:eastAsia="仿宋_GB2312"/>
          <w:color w:val="auto"/>
          <w:sz w:val="32"/>
          <w:szCs w:val="32"/>
        </w:rPr>
        <w:t>本人受</w:t>
      </w:r>
      <w:r>
        <w:rPr>
          <w:rFonts w:hint="eastAsia" w:ascii="仿宋_GB2312" w:hAnsi="仿宋" w:eastAsia="仿宋_GB2312"/>
          <w:color w:val="auto"/>
          <w:sz w:val="32"/>
          <w:szCs w:val="32"/>
          <w:u w:val="single"/>
          <w:lang w:val="en-US" w:eastAsia="zh-CN"/>
        </w:rPr>
        <w:t xml:space="preserve">        </w:t>
      </w:r>
      <w:r>
        <w:rPr>
          <w:rFonts w:hint="eastAsia" w:ascii="仿宋_GB2312" w:hAnsi="仿宋" w:eastAsia="仿宋_GB2312"/>
          <w:color w:val="auto"/>
          <w:sz w:val="32"/>
          <w:szCs w:val="32"/>
        </w:rPr>
        <w:t>（法定代表人</w:t>
      </w:r>
      <w:r>
        <w:rPr>
          <w:rFonts w:hint="eastAsia" w:ascii="仿宋_GB2312" w:hAnsi="仿宋" w:eastAsia="仿宋_GB2312"/>
          <w:color w:val="auto"/>
          <w:sz w:val="32"/>
          <w:szCs w:val="32"/>
          <w:u w:val="single"/>
          <w:lang w:val="en-US" w:eastAsia="zh-CN"/>
        </w:rPr>
        <w:t xml:space="preserve">  </w:t>
      </w:r>
      <w:r>
        <w:rPr>
          <w:rFonts w:hint="eastAsia" w:ascii="仿宋_GB2312" w:hAnsi="仿宋" w:eastAsia="仿宋_GB2312"/>
          <w:color w:val="auto"/>
          <w:sz w:val="32"/>
          <w:szCs w:val="32"/>
          <w:u w:val="single"/>
        </w:rPr>
        <w:t xml:space="preserve"> </w:t>
      </w:r>
      <w:r>
        <w:rPr>
          <w:rFonts w:hint="eastAsia" w:ascii="仿宋_GB2312" w:hAnsi="仿宋" w:eastAsia="仿宋_GB2312"/>
          <w:color w:val="auto"/>
          <w:sz w:val="32"/>
          <w:szCs w:val="32"/>
        </w:rPr>
        <w:t>）授权，担任</w:t>
      </w:r>
      <w:r>
        <w:rPr>
          <w:rFonts w:hint="eastAsia" w:ascii="仿宋_GB2312" w:hAnsi="仿宋" w:eastAsia="仿宋_GB2312"/>
          <w:color w:val="auto"/>
          <w:sz w:val="32"/>
          <w:szCs w:val="32"/>
          <w:u w:val="single"/>
          <w:lang w:val="en-US" w:eastAsia="zh-CN"/>
        </w:rPr>
        <w:t xml:space="preserve">           </w:t>
      </w:r>
      <w:r>
        <w:rPr>
          <w:rFonts w:hint="eastAsia" w:ascii="仿宋_GB2312" w:hAnsi="仿宋" w:eastAsia="仿宋_GB2312"/>
          <w:color w:val="auto"/>
          <w:sz w:val="32"/>
          <w:szCs w:val="32"/>
          <w:u w:val="single"/>
        </w:rPr>
        <w:t>工程</w:t>
      </w:r>
      <w:r>
        <w:rPr>
          <w:rFonts w:hint="eastAsia" w:ascii="仿宋_GB2312" w:hAnsi="仿宋" w:eastAsia="仿宋_GB2312"/>
          <w:color w:val="auto"/>
          <w:sz w:val="32"/>
          <w:szCs w:val="32"/>
        </w:rPr>
        <w:t>的</w:t>
      </w:r>
      <w:r>
        <w:rPr>
          <w:rFonts w:hint="eastAsia" w:ascii="仿宋_GB2312" w:hAnsi="仿宋" w:eastAsia="仿宋_GB2312"/>
          <w:color w:val="auto"/>
          <w:sz w:val="32"/>
          <w:szCs w:val="32"/>
          <w:lang w:eastAsia="zh-CN"/>
        </w:rPr>
        <w:t>设计</w:t>
      </w:r>
      <w:r>
        <w:rPr>
          <w:rFonts w:hint="eastAsia" w:ascii="仿宋_GB2312" w:hAnsi="仿宋" w:eastAsia="仿宋_GB2312"/>
          <w:color w:val="auto"/>
          <w:sz w:val="32"/>
          <w:szCs w:val="32"/>
        </w:rPr>
        <w:t>项目负责人，对该工程</w:t>
      </w:r>
      <w:bookmarkStart w:id="400" w:name="_GoBack"/>
      <w:bookmarkEnd w:id="400"/>
      <w:r>
        <w:rPr>
          <w:rFonts w:hint="eastAsia" w:ascii="仿宋_GB2312" w:hAnsi="仿宋" w:eastAsia="仿宋_GB2312"/>
          <w:color w:val="auto"/>
          <w:sz w:val="32"/>
          <w:szCs w:val="32"/>
        </w:rPr>
        <w:t>项目的</w:t>
      </w:r>
      <w:r>
        <w:rPr>
          <w:rFonts w:hint="eastAsia" w:ascii="仿宋_GB2312" w:hAnsi="仿宋" w:eastAsia="仿宋_GB2312"/>
          <w:color w:val="auto"/>
          <w:sz w:val="32"/>
          <w:szCs w:val="32"/>
          <w:lang w:eastAsia="zh-CN"/>
        </w:rPr>
        <w:t>设计</w:t>
      </w:r>
      <w:r>
        <w:rPr>
          <w:rFonts w:hint="eastAsia" w:ascii="仿宋_GB2312" w:hAnsi="仿宋" w:eastAsia="仿宋_GB2312"/>
          <w:color w:val="auto"/>
          <w:sz w:val="32"/>
          <w:szCs w:val="32"/>
        </w:rPr>
        <w:t>工作实施组织管理。本人承诺严格依据国家有关法律法规及标准规范履行职责，并对设计使用年限内的工程质量承担相应终身责任。</w:t>
      </w:r>
    </w:p>
    <w:p>
      <w:pPr>
        <w:pStyle w:val="2"/>
        <w:spacing w:before="156" w:after="156"/>
        <w:ind w:firstLine="551"/>
        <w:rPr>
          <w:color w:val="auto"/>
        </w:rPr>
      </w:pPr>
    </w:p>
    <w:p>
      <w:pPr>
        <w:rPr>
          <w:color w:val="auto"/>
        </w:rPr>
      </w:pPr>
    </w:p>
    <w:p>
      <w:pPr>
        <w:pStyle w:val="2"/>
        <w:spacing w:before="156" w:after="156"/>
        <w:ind w:firstLine="551"/>
        <w:rPr>
          <w:color w:val="auto"/>
        </w:rPr>
      </w:pPr>
    </w:p>
    <w:p>
      <w:pPr>
        <w:tabs>
          <w:tab w:val="left" w:pos="3420"/>
        </w:tabs>
        <w:adjustRightInd w:val="0"/>
        <w:snapToGrid w:val="0"/>
        <w:spacing w:line="572" w:lineRule="exact"/>
        <w:ind w:firstLine="1995" w:firstLineChars="950"/>
        <w:rPr>
          <w:color w:val="auto"/>
          <w:szCs w:val="32"/>
          <w:u w:val="single"/>
        </w:rPr>
      </w:pPr>
      <w:r>
        <w:rPr>
          <w:rFonts w:hint="eastAsia"/>
          <w:color w:val="auto"/>
          <w:szCs w:val="32"/>
        </w:rPr>
        <w:t>承诺人（签字）：</w:t>
      </w:r>
    </w:p>
    <w:p>
      <w:pPr>
        <w:adjustRightInd w:val="0"/>
        <w:snapToGrid w:val="0"/>
        <w:spacing w:line="572" w:lineRule="exact"/>
        <w:ind w:firstLine="1995" w:firstLineChars="950"/>
        <w:rPr>
          <w:rFonts w:hint="eastAsia" w:eastAsia="宋体"/>
          <w:color w:val="auto"/>
          <w:szCs w:val="32"/>
          <w:u w:val="single"/>
          <w:lang w:eastAsia="zh-CN"/>
        </w:rPr>
      </w:pPr>
      <w:r>
        <w:rPr>
          <w:rFonts w:hint="eastAsia"/>
          <w:color w:val="auto"/>
          <w:szCs w:val="32"/>
        </w:rPr>
        <w:t>身份证号：</w:t>
      </w:r>
      <w:r>
        <w:rPr>
          <w:rFonts w:hint="eastAsia" w:ascii="宋体" w:hAnsi="宋体"/>
          <w:color w:val="auto"/>
          <w:lang w:val="en-US" w:eastAsia="zh-CN"/>
        </w:rPr>
        <w:t xml:space="preserve"> </w:t>
      </w:r>
    </w:p>
    <w:p>
      <w:pPr>
        <w:adjustRightInd w:val="0"/>
        <w:snapToGrid w:val="0"/>
        <w:spacing w:line="572" w:lineRule="exact"/>
        <w:ind w:firstLine="1995" w:firstLineChars="950"/>
        <w:rPr>
          <w:rFonts w:hint="eastAsia" w:eastAsia="宋体"/>
          <w:color w:val="auto"/>
          <w:szCs w:val="32"/>
          <w:u w:val="single"/>
          <w:lang w:eastAsia="zh-CN"/>
        </w:rPr>
      </w:pPr>
      <w:r>
        <w:rPr>
          <w:rFonts w:hint="eastAsia"/>
          <w:color w:val="auto"/>
          <w:szCs w:val="32"/>
        </w:rPr>
        <w:t>注册执业资格：</w:t>
      </w:r>
      <w:r>
        <w:rPr>
          <w:rFonts w:hint="eastAsia"/>
          <w:color w:val="auto"/>
          <w:szCs w:val="32"/>
          <w:lang w:val="en-US" w:eastAsia="zh-CN"/>
        </w:rPr>
        <w:t xml:space="preserve"> </w:t>
      </w:r>
    </w:p>
    <w:p>
      <w:pPr>
        <w:adjustRightInd w:val="0"/>
        <w:snapToGrid w:val="0"/>
        <w:spacing w:line="572" w:lineRule="exact"/>
        <w:ind w:firstLine="1995" w:firstLineChars="950"/>
        <w:rPr>
          <w:rFonts w:hint="eastAsia" w:eastAsia="宋体"/>
          <w:color w:val="auto"/>
          <w:szCs w:val="32"/>
          <w:u w:val="single"/>
          <w:lang w:eastAsia="zh-CN"/>
        </w:rPr>
      </w:pPr>
      <w:r>
        <w:rPr>
          <w:rFonts w:hint="eastAsia"/>
          <w:color w:val="auto"/>
          <w:szCs w:val="32"/>
        </w:rPr>
        <w:t>注册执业证号：</w:t>
      </w:r>
      <w:r>
        <w:rPr>
          <w:rFonts w:hint="eastAsia"/>
          <w:color w:val="auto"/>
          <w:szCs w:val="32"/>
          <w:lang w:val="en-US" w:eastAsia="zh-CN"/>
        </w:rPr>
        <w:t xml:space="preserve"> </w:t>
      </w:r>
    </w:p>
    <w:p>
      <w:pPr>
        <w:adjustRightInd w:val="0"/>
        <w:snapToGrid w:val="0"/>
        <w:spacing w:line="572" w:lineRule="exact"/>
        <w:ind w:firstLine="1995" w:firstLineChars="950"/>
        <w:rPr>
          <w:rFonts w:hint="eastAsia" w:eastAsia="宋体"/>
          <w:color w:val="auto"/>
          <w:szCs w:val="32"/>
          <w:u w:val="single"/>
          <w:lang w:eastAsia="zh-CN"/>
        </w:rPr>
      </w:pPr>
      <w:r>
        <w:rPr>
          <w:rFonts w:hint="eastAsia"/>
          <w:color w:val="auto"/>
          <w:szCs w:val="32"/>
        </w:rPr>
        <w:t>职称及专业：</w:t>
      </w:r>
      <w:r>
        <w:rPr>
          <w:rFonts w:hint="eastAsia"/>
          <w:color w:val="auto"/>
          <w:szCs w:val="32"/>
          <w:lang w:val="en-US" w:eastAsia="zh-CN"/>
        </w:rPr>
        <w:t xml:space="preserve"> </w:t>
      </w:r>
    </w:p>
    <w:p>
      <w:pPr>
        <w:adjustRightInd w:val="0"/>
        <w:snapToGrid w:val="0"/>
        <w:spacing w:line="572" w:lineRule="exact"/>
        <w:ind w:firstLine="1995" w:firstLineChars="950"/>
        <w:rPr>
          <w:color w:val="auto"/>
          <w:szCs w:val="32"/>
        </w:rPr>
      </w:pPr>
      <w:r>
        <w:rPr>
          <w:rFonts w:hint="eastAsia"/>
          <w:color w:val="auto"/>
          <w:szCs w:val="32"/>
        </w:rPr>
        <w:t>签字日期：</w:t>
      </w:r>
      <w:r>
        <w:rPr>
          <w:color w:val="auto"/>
          <w:szCs w:val="32"/>
        </w:rPr>
        <w:t xml:space="preserve">  </w:t>
      </w:r>
      <w:r>
        <w:rPr>
          <w:rFonts w:hint="eastAsia"/>
          <w:color w:val="auto"/>
          <w:szCs w:val="32"/>
        </w:rPr>
        <w:t>年</w:t>
      </w:r>
      <w:r>
        <w:rPr>
          <w:color w:val="auto"/>
          <w:szCs w:val="32"/>
        </w:rPr>
        <w:t xml:space="preserve">  </w:t>
      </w:r>
      <w:r>
        <w:rPr>
          <w:rFonts w:hint="eastAsia"/>
          <w:color w:val="auto"/>
          <w:szCs w:val="32"/>
        </w:rPr>
        <w:t>月</w:t>
      </w:r>
      <w:r>
        <w:rPr>
          <w:color w:val="auto"/>
          <w:szCs w:val="32"/>
        </w:rPr>
        <w:t xml:space="preserve">  </w:t>
      </w:r>
      <w:r>
        <w:rPr>
          <w:rFonts w:hint="eastAsia"/>
          <w:color w:val="auto"/>
          <w:szCs w:val="32"/>
        </w:rPr>
        <w:t>日</w:t>
      </w:r>
    </w:p>
    <w:p>
      <w:pPr>
        <w:pStyle w:val="19"/>
        <w:spacing w:line="360" w:lineRule="auto"/>
        <w:ind w:firstLine="420" w:firstLineChars="200"/>
        <w:rPr>
          <w:rFonts w:hint="eastAsia" w:hAnsi="宋体"/>
          <w:szCs w:val="21"/>
        </w:rPr>
      </w:pPr>
    </w:p>
    <w:p>
      <w:pPr>
        <w:pStyle w:val="19"/>
        <w:spacing w:line="360" w:lineRule="auto"/>
        <w:ind w:firstLine="420" w:firstLineChars="200"/>
        <w:rPr>
          <w:rFonts w:hint="eastAsia" w:hAnsi="宋体"/>
          <w:szCs w:val="21"/>
        </w:rPr>
      </w:pPr>
    </w:p>
    <w:p>
      <w:pPr>
        <w:pStyle w:val="19"/>
        <w:spacing w:line="360" w:lineRule="auto"/>
        <w:ind w:firstLine="420" w:firstLineChars="200"/>
        <w:rPr>
          <w:rFonts w:hint="eastAsia" w:hAnsi="宋体"/>
          <w:szCs w:val="21"/>
        </w:rPr>
      </w:pPr>
    </w:p>
    <w:p>
      <w:pPr>
        <w:pStyle w:val="19"/>
        <w:spacing w:line="360" w:lineRule="auto"/>
        <w:ind w:firstLine="420" w:firstLineChars="200"/>
        <w:rPr>
          <w:rFonts w:hint="eastAsia" w:hAnsi="宋体"/>
          <w:szCs w:val="21"/>
        </w:rPr>
      </w:pPr>
    </w:p>
    <w:p>
      <w:pPr>
        <w:pStyle w:val="19"/>
        <w:spacing w:line="360" w:lineRule="auto"/>
        <w:ind w:firstLine="420" w:firstLineChars="200"/>
        <w:rPr>
          <w:rFonts w:hint="eastAsia" w:hAnsi="宋体"/>
          <w:szCs w:val="21"/>
        </w:rPr>
      </w:pPr>
    </w:p>
    <w:p>
      <w:pPr>
        <w:pStyle w:val="19"/>
        <w:spacing w:line="360" w:lineRule="auto"/>
        <w:ind w:firstLine="420" w:firstLineChars="200"/>
        <w:rPr>
          <w:rFonts w:hint="eastAsia" w:hAnsi="宋体"/>
          <w:szCs w:val="21"/>
        </w:rPr>
      </w:pPr>
    </w:p>
    <w:p>
      <w:pPr>
        <w:pStyle w:val="19"/>
        <w:spacing w:line="360" w:lineRule="auto"/>
        <w:ind w:firstLine="420" w:firstLineChars="200"/>
        <w:rPr>
          <w:rFonts w:hint="eastAsia" w:hAnsi="宋体"/>
          <w:szCs w:val="21"/>
        </w:rPr>
      </w:pPr>
    </w:p>
    <w:p>
      <w:pPr>
        <w:pStyle w:val="19"/>
        <w:spacing w:line="360" w:lineRule="auto"/>
        <w:ind w:firstLine="420" w:firstLineChars="200"/>
        <w:rPr>
          <w:rFonts w:hint="eastAsia" w:hAnsi="宋体"/>
          <w:szCs w:val="21"/>
        </w:rPr>
      </w:pPr>
    </w:p>
    <w:p>
      <w:pPr>
        <w:pStyle w:val="19"/>
        <w:spacing w:line="360" w:lineRule="auto"/>
        <w:ind w:firstLine="420" w:firstLineChars="200"/>
        <w:rPr>
          <w:rFonts w:hint="eastAsia" w:hAnsi="宋体"/>
          <w:szCs w:val="21"/>
        </w:rPr>
      </w:pPr>
    </w:p>
    <w:p>
      <w:pPr>
        <w:spacing w:line="572" w:lineRule="exact"/>
        <w:jc w:val="center"/>
        <w:rPr>
          <w:rFonts w:eastAsia="方正小标宋简体"/>
          <w:color w:val="auto"/>
          <w:sz w:val="44"/>
          <w:szCs w:val="32"/>
        </w:rPr>
      </w:pPr>
      <w:r>
        <w:rPr>
          <w:rFonts w:hint="eastAsia" w:eastAsia="方正小标宋简体"/>
          <w:color w:val="auto"/>
          <w:sz w:val="44"/>
          <w:szCs w:val="32"/>
        </w:rPr>
        <w:t>广州市水务工程建设项目从业单位</w:t>
      </w:r>
    </w:p>
    <w:p>
      <w:pPr>
        <w:adjustRightInd w:val="0"/>
        <w:snapToGrid w:val="0"/>
        <w:spacing w:line="572" w:lineRule="exact"/>
        <w:jc w:val="center"/>
        <w:rPr>
          <w:rFonts w:eastAsia="方正小标宋简体"/>
          <w:color w:val="auto"/>
          <w:sz w:val="44"/>
          <w:szCs w:val="32"/>
        </w:rPr>
      </w:pPr>
      <w:r>
        <w:rPr>
          <w:rFonts w:hint="eastAsia" w:eastAsia="方正小标宋简体"/>
          <w:color w:val="auto"/>
          <w:sz w:val="44"/>
          <w:szCs w:val="32"/>
        </w:rPr>
        <w:t>法定代表人授权书</w:t>
      </w:r>
    </w:p>
    <w:p>
      <w:pPr>
        <w:adjustRightInd w:val="0"/>
        <w:snapToGrid w:val="0"/>
        <w:spacing w:line="572" w:lineRule="exact"/>
        <w:jc w:val="center"/>
        <w:rPr>
          <w:rFonts w:eastAsia="方正小标宋简体"/>
          <w:color w:val="auto"/>
          <w:szCs w:val="32"/>
        </w:rPr>
      </w:pPr>
      <w:r>
        <w:rPr>
          <w:rFonts w:hint="eastAsia" w:eastAsia="方正小标宋简体"/>
          <w:color w:val="auto"/>
          <w:sz w:val="44"/>
          <w:szCs w:val="32"/>
        </w:rPr>
        <w:t>（</w:t>
      </w:r>
      <w:r>
        <w:rPr>
          <w:rFonts w:hint="eastAsia" w:eastAsia="方正小标宋简体"/>
          <w:color w:val="auto"/>
          <w:sz w:val="44"/>
          <w:szCs w:val="32"/>
          <w:lang w:eastAsia="zh-CN"/>
        </w:rPr>
        <w:t>施工</w:t>
      </w:r>
      <w:r>
        <w:rPr>
          <w:rFonts w:hint="eastAsia" w:eastAsia="方正小标宋简体"/>
          <w:color w:val="auto"/>
          <w:sz w:val="44"/>
          <w:szCs w:val="32"/>
        </w:rPr>
        <w:t>单位）</w:t>
      </w:r>
    </w:p>
    <w:p>
      <w:pPr>
        <w:spacing w:before="312" w:beforeLines="100" w:line="572" w:lineRule="exact"/>
        <w:ind w:firstLine="420" w:firstLineChars="200"/>
        <w:rPr>
          <w:rFonts w:ascii="仿宋_GB2312"/>
          <w:color w:val="auto"/>
          <w:szCs w:val="32"/>
        </w:rPr>
      </w:pPr>
      <w:r>
        <w:rPr>
          <w:rFonts w:hint="eastAsia" w:ascii="仿宋_GB2312"/>
          <w:color w:val="auto"/>
          <w:szCs w:val="32"/>
        </w:rPr>
        <w:t>兹授权我单位</w:t>
      </w:r>
      <w:r>
        <w:rPr>
          <w:rFonts w:ascii="仿宋_GB2312"/>
          <w:color w:val="auto"/>
          <w:sz w:val="28"/>
          <w:szCs w:val="32"/>
          <w:u w:val="single"/>
        </w:rPr>
        <w:t xml:space="preserve"> </w:t>
      </w:r>
      <w:r>
        <w:rPr>
          <w:rFonts w:hint="eastAsia" w:ascii="仿宋_GB2312"/>
          <w:color w:val="auto"/>
          <w:szCs w:val="32"/>
          <w:u w:val="single"/>
          <w:lang w:val="en-US" w:eastAsia="zh-CN"/>
        </w:rPr>
        <w:t xml:space="preserve"> </w:t>
      </w:r>
      <w:r>
        <w:rPr>
          <w:rFonts w:hint="eastAsia" w:ascii="仿宋_GB2312"/>
          <w:color w:val="auto"/>
          <w:szCs w:val="32"/>
          <w:u w:val="single"/>
        </w:rPr>
        <w:t xml:space="preserve">  </w:t>
      </w:r>
      <w:r>
        <w:rPr>
          <w:rFonts w:hint="eastAsia" w:ascii="仿宋_GB2312"/>
          <w:color w:val="auto"/>
          <w:szCs w:val="32"/>
        </w:rPr>
        <w:t>担任</w:t>
      </w:r>
      <w:r>
        <w:rPr>
          <w:rFonts w:hint="eastAsia" w:ascii="仿宋_GB2312"/>
          <w:color w:val="auto"/>
          <w:szCs w:val="32"/>
          <w:u w:val="single"/>
          <w:lang w:val="en-US" w:eastAsia="zh-CN"/>
        </w:rPr>
        <w:t xml:space="preserve">         </w:t>
      </w:r>
      <w:r>
        <w:rPr>
          <w:rFonts w:hint="eastAsia" w:ascii="仿宋_GB2312"/>
          <w:color w:val="auto"/>
          <w:szCs w:val="32"/>
          <w:u w:val="single"/>
        </w:rPr>
        <w:t>工程</w:t>
      </w:r>
      <w:r>
        <w:rPr>
          <w:rFonts w:hint="eastAsia" w:ascii="仿宋_GB2312"/>
          <w:color w:val="auto"/>
          <w:szCs w:val="32"/>
        </w:rPr>
        <w:t>项目负责人，对该工程项目的</w:t>
      </w:r>
      <w:r>
        <w:rPr>
          <w:rFonts w:hint="eastAsia" w:ascii="仿宋_GB2312"/>
          <w:color w:val="auto"/>
          <w:szCs w:val="32"/>
          <w:lang w:eastAsia="zh-CN"/>
        </w:rPr>
        <w:t>施工</w:t>
      </w:r>
      <w:r>
        <w:rPr>
          <w:rFonts w:hint="eastAsia" w:ascii="仿宋_GB2312"/>
          <w:color w:val="auto"/>
          <w:szCs w:val="32"/>
        </w:rPr>
        <w:t>工作实施组织管理，依据国家有关法律法规及标准规范履行职责，并依法对设计使用年限内的工程质量承担相应终身责任。</w:t>
      </w:r>
    </w:p>
    <w:p>
      <w:pPr>
        <w:spacing w:line="572" w:lineRule="exact"/>
        <w:ind w:firstLine="420" w:firstLineChars="200"/>
        <w:rPr>
          <w:rFonts w:ascii="仿宋_GB2312"/>
          <w:color w:val="auto"/>
          <w:szCs w:val="32"/>
        </w:rPr>
      </w:pPr>
      <w:r>
        <w:rPr>
          <w:rFonts w:hint="eastAsia" w:ascii="仿宋_GB2312"/>
          <w:color w:val="auto"/>
          <w:szCs w:val="32"/>
        </w:rPr>
        <w:t>本授权书自授权之日起生效。</w:t>
      </w:r>
    </w:p>
    <w:p>
      <w:pPr>
        <w:spacing w:line="572" w:lineRule="exact"/>
        <w:ind w:firstLine="420" w:firstLineChars="200"/>
        <w:rPr>
          <w:rFonts w:ascii="仿宋_GB2312"/>
          <w:color w:val="auto"/>
          <w:szCs w:val="32"/>
        </w:rPr>
      </w:pPr>
    </w:p>
    <w:tbl>
      <w:tblPr>
        <w:tblStyle w:val="39"/>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9"/>
        <w:gridCol w:w="1665"/>
        <w:gridCol w:w="1984"/>
        <w:gridCol w:w="2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4"/>
            <w:tcBorders>
              <w:top w:val="single" w:color="auto" w:sz="4" w:space="0"/>
              <w:left w:val="single" w:color="auto" w:sz="4" w:space="0"/>
              <w:bottom w:val="single" w:color="auto" w:sz="4" w:space="0"/>
              <w:right w:val="single" w:color="auto" w:sz="4" w:space="0"/>
            </w:tcBorders>
          </w:tcPr>
          <w:p>
            <w:pPr>
              <w:spacing w:line="572" w:lineRule="exact"/>
              <w:jc w:val="center"/>
              <w:rPr>
                <w:rFonts w:ascii="方正小标宋_GBK" w:hAnsi="宋体" w:eastAsia="方正小标宋_GBK"/>
                <w:color w:val="auto"/>
                <w:szCs w:val="32"/>
              </w:rPr>
            </w:pPr>
            <w:r>
              <w:rPr>
                <w:rFonts w:hint="eastAsia" w:ascii="方正小标宋_GBK" w:hAnsi="宋体" w:eastAsia="方正小标宋_GBK"/>
                <w:bCs/>
                <w:color w:val="auto"/>
                <w:szCs w:val="32"/>
              </w:rPr>
              <w:t>被授权人基本情况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Borders>
              <w:top w:val="single" w:color="auto" w:sz="4" w:space="0"/>
              <w:left w:val="single" w:color="auto" w:sz="4" w:space="0"/>
              <w:bottom w:val="single" w:color="auto" w:sz="4" w:space="0"/>
              <w:right w:val="single" w:color="auto" w:sz="4" w:space="0"/>
            </w:tcBorders>
          </w:tcPr>
          <w:p>
            <w:pPr>
              <w:spacing w:line="572" w:lineRule="exact"/>
              <w:jc w:val="center"/>
              <w:rPr>
                <w:rFonts w:ascii="宋体" w:hAnsi="宋体"/>
                <w:color w:val="auto"/>
                <w:szCs w:val="32"/>
              </w:rPr>
            </w:pPr>
            <w:r>
              <w:rPr>
                <w:rFonts w:hint="eastAsia" w:ascii="宋体" w:hAnsi="宋体"/>
                <w:color w:val="auto"/>
                <w:szCs w:val="32"/>
              </w:rPr>
              <w:t>姓名</w:t>
            </w:r>
          </w:p>
        </w:tc>
        <w:tc>
          <w:tcPr>
            <w:tcW w:w="1665" w:type="dxa"/>
            <w:tcBorders>
              <w:top w:val="single" w:color="auto" w:sz="4" w:space="0"/>
              <w:left w:val="single" w:color="auto" w:sz="4" w:space="0"/>
              <w:bottom w:val="single" w:color="auto" w:sz="4" w:space="0"/>
              <w:right w:val="single" w:color="auto" w:sz="4" w:space="0"/>
            </w:tcBorders>
          </w:tcPr>
          <w:p>
            <w:pPr>
              <w:spacing w:line="572" w:lineRule="exact"/>
              <w:jc w:val="center"/>
              <w:rPr>
                <w:rFonts w:ascii="宋体" w:hAnsi="宋体"/>
                <w:color w:val="auto"/>
                <w:szCs w:val="32"/>
              </w:rPr>
            </w:pPr>
          </w:p>
        </w:tc>
        <w:tc>
          <w:tcPr>
            <w:tcW w:w="1984" w:type="dxa"/>
            <w:tcBorders>
              <w:top w:val="single" w:color="auto" w:sz="4" w:space="0"/>
              <w:left w:val="single" w:color="auto" w:sz="4" w:space="0"/>
              <w:bottom w:val="single" w:color="auto" w:sz="4" w:space="0"/>
              <w:right w:val="single" w:color="auto" w:sz="4" w:space="0"/>
            </w:tcBorders>
          </w:tcPr>
          <w:p>
            <w:pPr>
              <w:spacing w:line="572" w:lineRule="exact"/>
              <w:jc w:val="center"/>
              <w:rPr>
                <w:rFonts w:ascii="宋体" w:hAnsi="宋体"/>
                <w:color w:val="auto"/>
                <w:szCs w:val="32"/>
              </w:rPr>
            </w:pPr>
            <w:r>
              <w:rPr>
                <w:rFonts w:hint="eastAsia" w:ascii="宋体" w:hAnsi="宋体"/>
                <w:color w:val="auto"/>
              </w:rPr>
              <w:t>身份证号</w:t>
            </w:r>
          </w:p>
        </w:tc>
        <w:tc>
          <w:tcPr>
            <w:tcW w:w="2742" w:type="dxa"/>
            <w:tcBorders>
              <w:top w:val="single" w:color="auto" w:sz="4" w:space="0"/>
              <w:left w:val="single" w:color="auto" w:sz="4" w:space="0"/>
              <w:bottom w:val="single" w:color="auto" w:sz="4" w:space="0"/>
              <w:right w:val="single" w:color="auto" w:sz="4" w:space="0"/>
            </w:tcBorders>
          </w:tcPr>
          <w:p>
            <w:pPr>
              <w:spacing w:line="572" w:lineRule="exact"/>
              <w:rPr>
                <w:rFonts w:ascii="宋体" w:hAnsi="宋体"/>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Borders>
              <w:top w:val="single" w:color="auto" w:sz="4" w:space="0"/>
              <w:left w:val="single" w:color="auto" w:sz="4" w:space="0"/>
              <w:bottom w:val="single" w:color="auto" w:sz="4" w:space="0"/>
              <w:right w:val="single" w:color="auto" w:sz="4" w:space="0"/>
            </w:tcBorders>
          </w:tcPr>
          <w:p>
            <w:pPr>
              <w:spacing w:line="572" w:lineRule="exact"/>
              <w:jc w:val="center"/>
              <w:rPr>
                <w:rFonts w:ascii="宋体" w:hAnsi="宋体"/>
                <w:color w:val="auto"/>
                <w:szCs w:val="32"/>
              </w:rPr>
            </w:pPr>
            <w:r>
              <w:rPr>
                <w:rFonts w:hint="eastAsia" w:ascii="宋体" w:hAnsi="宋体"/>
                <w:color w:val="auto"/>
                <w:szCs w:val="32"/>
              </w:rPr>
              <w:t>注册执业资格</w:t>
            </w:r>
          </w:p>
        </w:tc>
        <w:tc>
          <w:tcPr>
            <w:tcW w:w="1665" w:type="dxa"/>
            <w:tcBorders>
              <w:top w:val="single" w:color="auto" w:sz="4" w:space="0"/>
              <w:left w:val="single" w:color="auto" w:sz="4" w:space="0"/>
              <w:bottom w:val="single" w:color="auto" w:sz="4" w:space="0"/>
              <w:right w:val="single" w:color="auto" w:sz="4" w:space="0"/>
            </w:tcBorders>
          </w:tcPr>
          <w:p>
            <w:pPr>
              <w:spacing w:line="572" w:lineRule="exact"/>
              <w:jc w:val="center"/>
              <w:rPr>
                <w:rFonts w:ascii="宋体" w:hAnsi="宋体"/>
                <w:color w:val="auto"/>
                <w:szCs w:val="32"/>
              </w:rPr>
            </w:pPr>
          </w:p>
        </w:tc>
        <w:tc>
          <w:tcPr>
            <w:tcW w:w="1984" w:type="dxa"/>
            <w:tcBorders>
              <w:top w:val="single" w:color="auto" w:sz="4" w:space="0"/>
              <w:left w:val="single" w:color="auto" w:sz="4" w:space="0"/>
              <w:bottom w:val="single" w:color="auto" w:sz="4" w:space="0"/>
              <w:right w:val="single" w:color="auto" w:sz="4" w:space="0"/>
            </w:tcBorders>
          </w:tcPr>
          <w:p>
            <w:pPr>
              <w:spacing w:line="572" w:lineRule="exact"/>
              <w:jc w:val="center"/>
              <w:rPr>
                <w:rFonts w:ascii="宋体" w:hAnsi="宋体" w:eastAsia="宋体"/>
                <w:color w:val="auto"/>
                <w:szCs w:val="32"/>
              </w:rPr>
            </w:pPr>
            <w:r>
              <w:rPr>
                <w:rFonts w:hint="eastAsia" w:ascii="宋体" w:hAnsi="宋体"/>
                <w:color w:val="auto"/>
              </w:rPr>
              <w:t>注册执业证号</w:t>
            </w:r>
          </w:p>
        </w:tc>
        <w:tc>
          <w:tcPr>
            <w:tcW w:w="2742" w:type="dxa"/>
            <w:tcBorders>
              <w:top w:val="single" w:color="auto" w:sz="4" w:space="0"/>
              <w:left w:val="single" w:color="auto" w:sz="4" w:space="0"/>
              <w:bottom w:val="single" w:color="auto" w:sz="4" w:space="0"/>
              <w:right w:val="single" w:color="auto" w:sz="4" w:space="0"/>
            </w:tcBorders>
          </w:tcPr>
          <w:p>
            <w:pPr>
              <w:spacing w:line="572" w:lineRule="exact"/>
              <w:rPr>
                <w:rFonts w:ascii="宋体" w:hAnsi="宋体"/>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9" w:type="dxa"/>
            <w:tcBorders>
              <w:top w:val="single" w:color="auto" w:sz="4" w:space="0"/>
              <w:left w:val="single" w:color="auto" w:sz="4" w:space="0"/>
              <w:bottom w:val="single" w:color="auto" w:sz="4" w:space="0"/>
              <w:right w:val="single" w:color="auto" w:sz="4" w:space="0"/>
            </w:tcBorders>
            <w:vAlign w:val="center"/>
          </w:tcPr>
          <w:p>
            <w:pPr>
              <w:spacing w:line="572" w:lineRule="exact"/>
              <w:jc w:val="center"/>
              <w:rPr>
                <w:rFonts w:ascii="宋体" w:hAnsi="宋体" w:eastAsia="宋体"/>
                <w:color w:val="auto"/>
                <w:szCs w:val="32"/>
              </w:rPr>
            </w:pPr>
            <w:r>
              <w:rPr>
                <w:rFonts w:hint="eastAsia" w:ascii="宋体" w:hAnsi="宋体"/>
                <w:color w:val="auto"/>
                <w:szCs w:val="32"/>
              </w:rPr>
              <w:t>职称</w:t>
            </w:r>
          </w:p>
        </w:tc>
        <w:tc>
          <w:tcPr>
            <w:tcW w:w="1665" w:type="dxa"/>
            <w:tcBorders>
              <w:top w:val="single" w:color="auto" w:sz="4" w:space="0"/>
              <w:left w:val="single" w:color="auto" w:sz="4" w:space="0"/>
              <w:bottom w:val="single" w:color="auto" w:sz="4" w:space="0"/>
              <w:right w:val="single" w:color="auto" w:sz="4" w:space="0"/>
            </w:tcBorders>
          </w:tcPr>
          <w:p>
            <w:pPr>
              <w:spacing w:line="572" w:lineRule="exact"/>
              <w:jc w:val="center"/>
              <w:rPr>
                <w:rFonts w:ascii="宋体" w:hAnsi="宋体"/>
                <w:color w:val="auto"/>
                <w:szCs w:val="32"/>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572" w:lineRule="exact"/>
              <w:jc w:val="center"/>
              <w:rPr>
                <w:rFonts w:ascii="宋体" w:hAnsi="宋体" w:eastAsia="宋体"/>
                <w:color w:val="auto"/>
                <w:szCs w:val="32"/>
              </w:rPr>
            </w:pPr>
            <w:r>
              <w:rPr>
                <w:rFonts w:hint="eastAsia" w:ascii="宋体" w:hAnsi="宋体"/>
                <w:color w:val="auto"/>
              </w:rPr>
              <w:t>专业</w:t>
            </w:r>
          </w:p>
        </w:tc>
        <w:tc>
          <w:tcPr>
            <w:tcW w:w="2742" w:type="dxa"/>
            <w:tcBorders>
              <w:top w:val="single" w:color="auto" w:sz="4" w:space="0"/>
              <w:left w:val="single" w:color="auto" w:sz="4" w:space="0"/>
              <w:bottom w:val="single" w:color="auto" w:sz="4" w:space="0"/>
              <w:right w:val="single" w:color="auto" w:sz="4" w:space="0"/>
            </w:tcBorders>
            <w:vAlign w:val="center"/>
          </w:tcPr>
          <w:p>
            <w:pPr>
              <w:spacing w:line="572" w:lineRule="exact"/>
              <w:rPr>
                <w:rFonts w:ascii="宋体" w:hAnsi="宋体"/>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4"/>
            <w:tcBorders>
              <w:top w:val="single" w:color="auto" w:sz="4" w:space="0"/>
              <w:left w:val="single" w:color="auto" w:sz="4" w:space="0"/>
              <w:bottom w:val="single" w:color="auto" w:sz="4" w:space="0"/>
              <w:right w:val="single" w:color="auto" w:sz="4" w:space="0"/>
            </w:tcBorders>
          </w:tcPr>
          <w:p>
            <w:pPr>
              <w:spacing w:line="572" w:lineRule="exact"/>
              <w:rPr>
                <w:rFonts w:ascii="宋体" w:hAnsi="宋体" w:eastAsia="宋体"/>
                <w:color w:val="auto"/>
                <w:szCs w:val="32"/>
              </w:rPr>
            </w:pPr>
            <w:r>
              <w:rPr>
                <w:rFonts w:hint="eastAsia" w:ascii="宋体" w:hAnsi="宋体"/>
                <w:color w:val="auto"/>
                <w:szCs w:val="32"/>
              </w:rPr>
              <w:t>被授权人签字：</w:t>
            </w:r>
          </w:p>
        </w:tc>
      </w:tr>
    </w:tbl>
    <w:p>
      <w:pPr>
        <w:spacing w:line="572" w:lineRule="exact"/>
        <w:ind w:firstLine="420" w:firstLineChars="200"/>
        <w:rPr>
          <w:rFonts w:eastAsia="仿宋"/>
          <w:color w:val="auto"/>
          <w:szCs w:val="32"/>
        </w:rPr>
      </w:pPr>
    </w:p>
    <w:p>
      <w:pPr>
        <w:spacing w:line="572" w:lineRule="exact"/>
        <w:jc w:val="center"/>
        <w:rPr>
          <w:rFonts w:ascii="仿宋_GB2312"/>
          <w:color w:val="auto"/>
          <w:szCs w:val="32"/>
          <w:u w:val="single"/>
        </w:rPr>
      </w:pPr>
      <w:r>
        <w:rPr>
          <w:rFonts w:hint="eastAsia" w:ascii="仿宋_GB2312"/>
          <w:color w:val="auto"/>
          <w:spacing w:val="21"/>
          <w:szCs w:val="32"/>
        </w:rPr>
        <w:t>授权单位（盖章）</w:t>
      </w:r>
      <w:r>
        <w:rPr>
          <w:rFonts w:hint="eastAsia" w:ascii="仿宋_GB2312"/>
          <w:color w:val="auto"/>
          <w:szCs w:val="32"/>
        </w:rPr>
        <w:t>：</w:t>
      </w:r>
    </w:p>
    <w:p>
      <w:pPr>
        <w:spacing w:line="572" w:lineRule="exact"/>
        <w:jc w:val="center"/>
        <w:rPr>
          <w:rFonts w:ascii="仿宋_GB2312"/>
          <w:color w:val="auto"/>
          <w:szCs w:val="32"/>
          <w:u w:val="single"/>
        </w:rPr>
      </w:pPr>
      <w:r>
        <w:rPr>
          <w:rFonts w:hint="eastAsia" w:ascii="仿宋_GB2312"/>
          <w:color w:val="auto"/>
          <w:szCs w:val="32"/>
        </w:rPr>
        <w:t>法定代表人（签字）：</w:t>
      </w:r>
    </w:p>
    <w:p>
      <w:pPr>
        <w:spacing w:line="572" w:lineRule="exact"/>
        <w:jc w:val="center"/>
        <w:rPr>
          <w:rFonts w:ascii="仿宋_GB2312"/>
          <w:color w:val="auto"/>
          <w:szCs w:val="32"/>
        </w:rPr>
      </w:pPr>
      <w:r>
        <w:rPr>
          <w:rFonts w:hint="eastAsia" w:ascii="仿宋_GB2312"/>
          <w:color w:val="auto"/>
          <w:spacing w:val="21"/>
          <w:szCs w:val="32"/>
        </w:rPr>
        <w:t xml:space="preserve">    授权日期：</w:t>
      </w:r>
      <w:r>
        <w:rPr>
          <w:rFonts w:ascii="仿宋_GB2312"/>
          <w:color w:val="auto"/>
          <w:spacing w:val="21"/>
          <w:szCs w:val="32"/>
        </w:rPr>
        <w:t xml:space="preserve">   </w:t>
      </w:r>
      <w:r>
        <w:rPr>
          <w:rFonts w:hint="eastAsia" w:ascii="仿宋_GB2312"/>
          <w:color w:val="auto"/>
          <w:szCs w:val="32"/>
        </w:rPr>
        <w:t>年</w:t>
      </w:r>
      <w:r>
        <w:rPr>
          <w:rFonts w:ascii="仿宋_GB2312"/>
          <w:color w:val="auto"/>
          <w:szCs w:val="32"/>
        </w:rPr>
        <w:t xml:space="preserve">  </w:t>
      </w:r>
      <w:r>
        <w:rPr>
          <w:rFonts w:hint="eastAsia" w:ascii="仿宋_GB2312"/>
          <w:color w:val="auto"/>
          <w:szCs w:val="32"/>
        </w:rPr>
        <w:t>月</w:t>
      </w:r>
      <w:r>
        <w:rPr>
          <w:rFonts w:ascii="仿宋_GB2312"/>
          <w:color w:val="auto"/>
          <w:szCs w:val="32"/>
        </w:rPr>
        <w:t xml:space="preserve">  </w:t>
      </w:r>
      <w:r>
        <w:rPr>
          <w:rFonts w:hint="eastAsia" w:ascii="仿宋_GB2312"/>
          <w:color w:val="auto"/>
          <w:szCs w:val="32"/>
        </w:rPr>
        <w:t>日</w:t>
      </w:r>
    </w:p>
    <w:p>
      <w:pPr>
        <w:pStyle w:val="2"/>
        <w:widowControl/>
        <w:spacing w:before="156" w:after="156"/>
        <w:ind w:firstLine="551"/>
        <w:jc w:val="left"/>
        <w:rPr>
          <w:rFonts w:ascii="仿宋_GB2312"/>
          <w:color w:val="auto"/>
          <w:szCs w:val="32"/>
        </w:rPr>
      </w:pPr>
      <w:r>
        <w:rPr>
          <w:color w:val="auto"/>
        </w:rPr>
        <w:br w:type="page"/>
      </w:r>
    </w:p>
    <w:p>
      <w:pPr>
        <w:pStyle w:val="2"/>
        <w:spacing w:before="156" w:after="156"/>
        <w:ind w:firstLine="551"/>
        <w:rPr>
          <w:color w:val="auto"/>
        </w:rPr>
      </w:pPr>
    </w:p>
    <w:p>
      <w:pPr>
        <w:jc w:val="center"/>
        <w:rPr>
          <w:rFonts w:hint="eastAsia" w:ascii="方正小标宋_GBK" w:hAnsi="黑体" w:eastAsia="方正小标宋_GBK" w:cs="黑体"/>
          <w:color w:val="auto"/>
          <w:sz w:val="44"/>
          <w:szCs w:val="44"/>
        </w:rPr>
      </w:pPr>
      <w:r>
        <w:rPr>
          <w:rFonts w:hint="eastAsia" w:ascii="方正小标宋_GBK" w:hAnsi="黑体" w:eastAsia="方正小标宋_GBK" w:cs="黑体"/>
          <w:color w:val="auto"/>
          <w:sz w:val="44"/>
          <w:szCs w:val="44"/>
        </w:rPr>
        <w:t>工程质量终身责任承诺书</w:t>
      </w:r>
    </w:p>
    <w:p>
      <w:pPr>
        <w:jc w:val="center"/>
        <w:rPr>
          <w:rFonts w:hint="eastAsia" w:ascii="方正小标宋_GBK" w:hAnsi="黑体" w:eastAsia="方正小标宋_GBK" w:cs="黑体"/>
          <w:color w:val="auto"/>
          <w:sz w:val="44"/>
          <w:szCs w:val="44"/>
        </w:rPr>
      </w:pPr>
      <w:r>
        <w:rPr>
          <w:rFonts w:hint="eastAsia" w:ascii="方正小标宋_GBK" w:hAnsi="黑体" w:eastAsia="方正小标宋_GBK" w:cs="黑体"/>
          <w:color w:val="auto"/>
          <w:sz w:val="44"/>
          <w:szCs w:val="44"/>
        </w:rPr>
        <w:t>（</w:t>
      </w:r>
      <w:r>
        <w:rPr>
          <w:rFonts w:hint="eastAsia" w:ascii="方正小标宋_GBK" w:hAnsi="黑体" w:eastAsia="方正小标宋_GBK" w:cs="黑体"/>
          <w:color w:val="auto"/>
          <w:sz w:val="44"/>
          <w:szCs w:val="44"/>
          <w:lang w:eastAsia="zh-CN"/>
        </w:rPr>
        <w:t>施工</w:t>
      </w:r>
      <w:r>
        <w:rPr>
          <w:rFonts w:hint="eastAsia" w:ascii="方正小标宋_GBK" w:hAnsi="黑体" w:eastAsia="方正小标宋_GBK" w:cs="黑体"/>
          <w:color w:val="auto"/>
          <w:sz w:val="44"/>
          <w:szCs w:val="44"/>
        </w:rPr>
        <w:t>单位）</w:t>
      </w:r>
    </w:p>
    <w:p>
      <w:pPr>
        <w:jc w:val="both"/>
        <w:rPr>
          <w:rFonts w:hint="eastAsia" w:ascii="方正小标宋_GBK" w:hAnsi="黑体" w:eastAsia="方正小标宋_GBK" w:cs="黑体"/>
          <w:color w:val="auto"/>
          <w:sz w:val="44"/>
          <w:szCs w:val="44"/>
        </w:rPr>
      </w:pPr>
    </w:p>
    <w:p>
      <w:pPr>
        <w:adjustRightInd w:val="0"/>
        <w:snapToGrid w:val="0"/>
        <w:spacing w:line="572" w:lineRule="exact"/>
        <w:ind w:firstLine="640" w:firstLineChars="200"/>
        <w:rPr>
          <w:color w:val="auto"/>
          <w:szCs w:val="32"/>
        </w:rPr>
      </w:pPr>
      <w:r>
        <w:rPr>
          <w:rFonts w:hint="eastAsia" w:ascii="仿宋_GB2312" w:hAnsi="仿宋" w:eastAsia="仿宋_GB2312"/>
          <w:color w:val="auto"/>
          <w:sz w:val="32"/>
          <w:szCs w:val="32"/>
        </w:rPr>
        <w:t>本人受</w:t>
      </w:r>
      <w:r>
        <w:rPr>
          <w:rFonts w:hint="eastAsia" w:ascii="仿宋_GB2312" w:hAnsi="仿宋" w:eastAsia="仿宋_GB2312"/>
          <w:color w:val="auto"/>
          <w:sz w:val="32"/>
          <w:szCs w:val="32"/>
          <w:u w:val="single"/>
          <w:lang w:val="en-US" w:eastAsia="zh-CN"/>
        </w:rPr>
        <w:t xml:space="preserve">        </w:t>
      </w:r>
      <w:r>
        <w:rPr>
          <w:rFonts w:hint="eastAsia" w:ascii="仿宋_GB2312" w:hAnsi="仿宋" w:eastAsia="仿宋_GB2312"/>
          <w:color w:val="auto"/>
          <w:sz w:val="32"/>
          <w:szCs w:val="32"/>
        </w:rPr>
        <w:t>（法定代表人</w:t>
      </w:r>
      <w:r>
        <w:rPr>
          <w:rFonts w:hint="eastAsia" w:ascii="仿宋_GB2312" w:hAnsi="仿宋" w:eastAsia="仿宋_GB2312"/>
          <w:color w:val="auto"/>
          <w:sz w:val="32"/>
          <w:szCs w:val="32"/>
          <w:u w:val="single"/>
          <w:lang w:val="en-US" w:eastAsia="zh-CN"/>
        </w:rPr>
        <w:t xml:space="preserve"> </w:t>
      </w:r>
      <w:r>
        <w:rPr>
          <w:rFonts w:hint="eastAsia" w:ascii="仿宋_GB2312" w:hAnsi="仿宋" w:eastAsia="仿宋_GB2312"/>
          <w:color w:val="auto"/>
          <w:sz w:val="32"/>
          <w:szCs w:val="32"/>
          <w:u w:val="single"/>
        </w:rPr>
        <w:t xml:space="preserve"> </w:t>
      </w:r>
      <w:r>
        <w:rPr>
          <w:rFonts w:hint="eastAsia" w:ascii="仿宋_GB2312" w:hAnsi="仿宋" w:eastAsia="仿宋_GB2312"/>
          <w:color w:val="auto"/>
          <w:sz w:val="32"/>
          <w:szCs w:val="32"/>
        </w:rPr>
        <w:t>）授权，担任</w:t>
      </w:r>
      <w:r>
        <w:rPr>
          <w:rFonts w:hint="eastAsia" w:ascii="仿宋_GB2312" w:hAnsi="仿宋" w:eastAsia="仿宋_GB2312"/>
          <w:color w:val="auto"/>
          <w:sz w:val="32"/>
          <w:szCs w:val="32"/>
          <w:u w:val="single"/>
          <w:lang w:val="en-US" w:eastAsia="zh-CN"/>
        </w:rPr>
        <w:t xml:space="preserve">           </w:t>
      </w:r>
      <w:r>
        <w:rPr>
          <w:rFonts w:hint="eastAsia" w:ascii="仿宋_GB2312" w:hAnsi="仿宋" w:eastAsia="仿宋_GB2312"/>
          <w:color w:val="auto"/>
          <w:sz w:val="32"/>
          <w:szCs w:val="32"/>
          <w:u w:val="single"/>
        </w:rPr>
        <w:t>工程</w:t>
      </w:r>
      <w:r>
        <w:rPr>
          <w:rFonts w:hint="eastAsia" w:ascii="仿宋_GB2312" w:hAnsi="仿宋" w:eastAsia="仿宋_GB2312"/>
          <w:color w:val="auto"/>
          <w:sz w:val="32"/>
          <w:szCs w:val="32"/>
        </w:rPr>
        <w:t>的</w:t>
      </w:r>
      <w:r>
        <w:rPr>
          <w:rFonts w:hint="eastAsia" w:ascii="仿宋_GB2312" w:hAnsi="仿宋" w:eastAsia="仿宋_GB2312"/>
          <w:color w:val="auto"/>
          <w:sz w:val="32"/>
          <w:szCs w:val="32"/>
          <w:lang w:eastAsia="zh-CN"/>
        </w:rPr>
        <w:t>勘察</w:t>
      </w:r>
      <w:r>
        <w:rPr>
          <w:rFonts w:hint="eastAsia" w:ascii="仿宋_GB2312" w:hAnsi="仿宋" w:eastAsia="仿宋_GB2312"/>
          <w:color w:val="auto"/>
          <w:sz w:val="32"/>
          <w:szCs w:val="32"/>
        </w:rPr>
        <w:t>项目负责人，对该工程项目的</w:t>
      </w:r>
      <w:r>
        <w:rPr>
          <w:rFonts w:hint="eastAsia" w:ascii="仿宋_GB2312" w:hAnsi="仿宋" w:eastAsia="仿宋_GB2312"/>
          <w:color w:val="auto"/>
          <w:sz w:val="32"/>
          <w:szCs w:val="32"/>
          <w:lang w:eastAsia="zh-CN"/>
        </w:rPr>
        <w:t>施工</w:t>
      </w:r>
      <w:r>
        <w:rPr>
          <w:rFonts w:hint="eastAsia" w:ascii="仿宋_GB2312" w:hAnsi="仿宋" w:eastAsia="仿宋_GB2312"/>
          <w:color w:val="auto"/>
          <w:sz w:val="32"/>
          <w:szCs w:val="32"/>
        </w:rPr>
        <w:t>工作实施组织管理。本人承诺严格依据国家有关法律法规及标准规范履行职责，并对设计使用年限内的工程质量承担相应终身责任。</w:t>
      </w:r>
    </w:p>
    <w:p>
      <w:pPr>
        <w:pStyle w:val="2"/>
        <w:spacing w:before="156" w:after="156"/>
        <w:ind w:firstLine="551"/>
        <w:rPr>
          <w:color w:val="auto"/>
        </w:rPr>
      </w:pPr>
    </w:p>
    <w:p>
      <w:pPr>
        <w:rPr>
          <w:color w:val="auto"/>
        </w:rPr>
      </w:pPr>
    </w:p>
    <w:p>
      <w:pPr>
        <w:pStyle w:val="2"/>
        <w:spacing w:before="156" w:after="156"/>
        <w:ind w:firstLine="551"/>
        <w:rPr>
          <w:color w:val="auto"/>
        </w:rPr>
      </w:pPr>
    </w:p>
    <w:p>
      <w:pPr>
        <w:tabs>
          <w:tab w:val="left" w:pos="3420"/>
        </w:tabs>
        <w:adjustRightInd w:val="0"/>
        <w:snapToGrid w:val="0"/>
        <w:spacing w:line="572" w:lineRule="exact"/>
        <w:ind w:firstLine="1995" w:firstLineChars="950"/>
        <w:rPr>
          <w:color w:val="auto"/>
          <w:szCs w:val="32"/>
          <w:u w:val="single"/>
        </w:rPr>
      </w:pPr>
      <w:r>
        <w:rPr>
          <w:rFonts w:hint="eastAsia"/>
          <w:color w:val="auto"/>
          <w:szCs w:val="32"/>
        </w:rPr>
        <w:t>承诺人（签字）：</w:t>
      </w:r>
    </w:p>
    <w:p>
      <w:pPr>
        <w:adjustRightInd w:val="0"/>
        <w:snapToGrid w:val="0"/>
        <w:spacing w:line="572" w:lineRule="exact"/>
        <w:ind w:firstLine="1995" w:firstLineChars="950"/>
        <w:rPr>
          <w:rFonts w:hint="eastAsia" w:eastAsia="宋体"/>
          <w:color w:val="auto"/>
          <w:szCs w:val="32"/>
          <w:u w:val="single"/>
          <w:lang w:eastAsia="zh-CN"/>
        </w:rPr>
      </w:pPr>
      <w:r>
        <w:rPr>
          <w:rFonts w:hint="eastAsia"/>
          <w:color w:val="auto"/>
          <w:szCs w:val="32"/>
        </w:rPr>
        <w:t>身份证号：</w:t>
      </w:r>
      <w:r>
        <w:rPr>
          <w:rFonts w:hint="eastAsia" w:ascii="宋体" w:hAnsi="宋体"/>
          <w:color w:val="auto"/>
          <w:lang w:val="en-US" w:eastAsia="zh-CN"/>
        </w:rPr>
        <w:t xml:space="preserve"> </w:t>
      </w:r>
    </w:p>
    <w:p>
      <w:pPr>
        <w:adjustRightInd w:val="0"/>
        <w:snapToGrid w:val="0"/>
        <w:spacing w:line="572" w:lineRule="exact"/>
        <w:ind w:firstLine="1995" w:firstLineChars="950"/>
        <w:rPr>
          <w:rFonts w:hint="eastAsia" w:eastAsia="宋体"/>
          <w:color w:val="auto"/>
          <w:szCs w:val="32"/>
          <w:u w:val="single"/>
          <w:lang w:eastAsia="zh-CN"/>
        </w:rPr>
      </w:pPr>
      <w:r>
        <w:rPr>
          <w:rFonts w:hint="eastAsia"/>
          <w:color w:val="auto"/>
          <w:szCs w:val="32"/>
        </w:rPr>
        <w:t>注册执业资格：</w:t>
      </w:r>
      <w:r>
        <w:rPr>
          <w:rFonts w:hint="eastAsia"/>
          <w:color w:val="auto"/>
          <w:szCs w:val="32"/>
          <w:lang w:val="en-US" w:eastAsia="zh-CN"/>
        </w:rPr>
        <w:t xml:space="preserve"> </w:t>
      </w:r>
    </w:p>
    <w:p>
      <w:pPr>
        <w:adjustRightInd w:val="0"/>
        <w:snapToGrid w:val="0"/>
        <w:spacing w:line="572" w:lineRule="exact"/>
        <w:ind w:firstLine="1995" w:firstLineChars="950"/>
        <w:rPr>
          <w:rFonts w:hint="eastAsia" w:eastAsia="宋体"/>
          <w:color w:val="auto"/>
          <w:szCs w:val="32"/>
          <w:u w:val="single"/>
          <w:lang w:eastAsia="zh-CN"/>
        </w:rPr>
      </w:pPr>
      <w:r>
        <w:rPr>
          <w:rFonts w:hint="eastAsia"/>
          <w:color w:val="auto"/>
          <w:szCs w:val="32"/>
        </w:rPr>
        <w:t>注册执业证号：</w:t>
      </w:r>
      <w:r>
        <w:rPr>
          <w:rFonts w:hint="eastAsia"/>
          <w:color w:val="auto"/>
          <w:szCs w:val="32"/>
          <w:lang w:val="en-US" w:eastAsia="zh-CN"/>
        </w:rPr>
        <w:t xml:space="preserve"> </w:t>
      </w:r>
    </w:p>
    <w:p>
      <w:pPr>
        <w:adjustRightInd w:val="0"/>
        <w:snapToGrid w:val="0"/>
        <w:spacing w:line="572" w:lineRule="exact"/>
        <w:ind w:firstLine="1995" w:firstLineChars="950"/>
        <w:rPr>
          <w:rFonts w:hint="eastAsia" w:eastAsia="宋体"/>
          <w:color w:val="auto"/>
          <w:szCs w:val="32"/>
          <w:u w:val="single"/>
          <w:lang w:eastAsia="zh-CN"/>
        </w:rPr>
      </w:pPr>
      <w:r>
        <w:rPr>
          <w:rFonts w:hint="eastAsia"/>
          <w:color w:val="auto"/>
          <w:szCs w:val="32"/>
        </w:rPr>
        <w:t>职称及专业：</w:t>
      </w:r>
      <w:r>
        <w:rPr>
          <w:rFonts w:hint="eastAsia"/>
          <w:color w:val="auto"/>
          <w:szCs w:val="32"/>
          <w:lang w:val="en-US" w:eastAsia="zh-CN"/>
        </w:rPr>
        <w:t xml:space="preserve"> </w:t>
      </w:r>
    </w:p>
    <w:p>
      <w:pPr>
        <w:adjustRightInd w:val="0"/>
        <w:snapToGrid w:val="0"/>
        <w:spacing w:line="572" w:lineRule="exact"/>
        <w:ind w:firstLine="1995" w:firstLineChars="950"/>
        <w:rPr>
          <w:color w:val="auto"/>
          <w:szCs w:val="32"/>
        </w:rPr>
      </w:pPr>
      <w:r>
        <w:rPr>
          <w:rFonts w:hint="eastAsia"/>
          <w:color w:val="auto"/>
          <w:szCs w:val="32"/>
        </w:rPr>
        <w:t>签字日期：</w:t>
      </w:r>
      <w:r>
        <w:rPr>
          <w:color w:val="auto"/>
          <w:szCs w:val="32"/>
        </w:rPr>
        <w:t xml:space="preserve">  </w:t>
      </w:r>
      <w:r>
        <w:rPr>
          <w:rFonts w:hint="eastAsia"/>
          <w:color w:val="auto"/>
          <w:szCs w:val="32"/>
        </w:rPr>
        <w:t>年</w:t>
      </w:r>
      <w:r>
        <w:rPr>
          <w:color w:val="auto"/>
          <w:szCs w:val="32"/>
        </w:rPr>
        <w:t xml:space="preserve">  </w:t>
      </w:r>
      <w:r>
        <w:rPr>
          <w:rFonts w:hint="eastAsia"/>
          <w:color w:val="auto"/>
          <w:szCs w:val="32"/>
        </w:rPr>
        <w:t>月</w:t>
      </w:r>
      <w:r>
        <w:rPr>
          <w:color w:val="auto"/>
          <w:szCs w:val="32"/>
        </w:rPr>
        <w:t xml:space="preserve">  </w:t>
      </w:r>
      <w:r>
        <w:rPr>
          <w:rFonts w:hint="eastAsia"/>
          <w:color w:val="auto"/>
          <w:szCs w:val="32"/>
        </w:rPr>
        <w:t>日</w:t>
      </w:r>
    </w:p>
    <w:p>
      <w:pPr>
        <w:pStyle w:val="19"/>
        <w:spacing w:line="360" w:lineRule="auto"/>
        <w:ind w:firstLine="420" w:firstLineChars="200"/>
        <w:rPr>
          <w:rFonts w:hint="eastAsia" w:hAnsi="宋体"/>
          <w:szCs w:val="21"/>
        </w:rPr>
      </w:pPr>
    </w:p>
    <w:p>
      <w:pPr>
        <w:pStyle w:val="2"/>
        <w:widowControl/>
        <w:spacing w:before="156" w:after="156"/>
        <w:jc w:val="left"/>
        <w:rPr>
          <w:highlight w:val="yellow"/>
        </w:rPr>
      </w:pPr>
    </w:p>
    <w:permEnd w:id="19"/>
    <w:p>
      <w:pPr>
        <w:pStyle w:val="3"/>
        <w:pageBreakBefore/>
        <w:spacing w:before="120" w:after="0" w:line="240" w:lineRule="auto"/>
        <w:rPr>
          <w:rFonts w:ascii="宋体" w:hAnsi="宋体"/>
          <w:sz w:val="28"/>
          <w:szCs w:val="28"/>
        </w:rPr>
      </w:pPr>
      <w:bookmarkStart w:id="130" w:name="_Toc257471553"/>
      <w:bookmarkStart w:id="131" w:name="_Toc484108913"/>
      <w:bookmarkStart w:id="132" w:name="_Toc258336795"/>
      <w:bookmarkStart w:id="133" w:name="_Toc3188_WPSOffice_Level1"/>
      <w:bookmarkStart w:id="134" w:name="_Toc399756566"/>
      <w:bookmarkStart w:id="135" w:name="_Toc484108968"/>
      <w:bookmarkStart w:id="136" w:name="_Toc484082396"/>
      <w:bookmarkStart w:id="137" w:name="_Toc259462344"/>
      <w:bookmarkStart w:id="138" w:name="_Toc478303280"/>
      <w:bookmarkStart w:id="139" w:name="_Toc477982307"/>
      <w:bookmarkStart w:id="140" w:name="_Toc258336739"/>
      <w:bookmarkStart w:id="141" w:name="_Toc477970722"/>
      <w:bookmarkStart w:id="142" w:name="_Toc484082722"/>
      <w:bookmarkStart w:id="143" w:name="_Toc369188651"/>
      <w:bookmarkStart w:id="144" w:name="_Toc478424894"/>
      <w:bookmarkStart w:id="145" w:name="_Toc289454021"/>
      <w:r>
        <w:rPr>
          <w:rFonts w:hint="eastAsia" w:ascii="宋体" w:hAnsi="宋体"/>
          <w:sz w:val="28"/>
          <w:szCs w:val="28"/>
        </w:rPr>
        <w:t>附件3：工程承包廉洁协议</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bookmarkEnd w:id="42"/>
    <w:bookmarkEnd w:id="43"/>
    <w:bookmarkEnd w:id="44"/>
    <w:bookmarkEnd w:id="45"/>
    <w:bookmarkEnd w:id="46"/>
    <w:bookmarkEnd w:id="47"/>
    <w:p>
      <w:pPr>
        <w:pStyle w:val="80"/>
        <w:spacing w:line="400" w:lineRule="exact"/>
        <w:jc w:val="center"/>
        <w:rPr>
          <w:rFonts w:ascii="宋体" w:hAnsi="宋体"/>
          <w:sz w:val="28"/>
          <w:szCs w:val="28"/>
        </w:rPr>
      </w:pPr>
      <w:bookmarkStart w:id="146" w:name="_Toc484082723"/>
      <w:bookmarkStart w:id="147" w:name="_Toc484082397"/>
      <w:bookmarkStart w:id="148" w:name="_Toc484108969"/>
      <w:bookmarkStart w:id="149" w:name="_Toc484108914"/>
      <w:r>
        <w:rPr>
          <w:rFonts w:hint="eastAsia" w:ascii="宋体" w:hAnsi="宋体"/>
          <w:sz w:val="28"/>
          <w:szCs w:val="28"/>
        </w:rPr>
        <w:t>工程承包廉洁协议</w:t>
      </w:r>
    </w:p>
    <w:p>
      <w:pPr>
        <w:pStyle w:val="80"/>
        <w:spacing w:line="400" w:lineRule="exact"/>
        <w:rPr>
          <w:sz w:val="24"/>
        </w:rPr>
      </w:pPr>
    </w:p>
    <w:p>
      <w:pPr>
        <w:pStyle w:val="80"/>
        <w:spacing w:line="400" w:lineRule="exact"/>
        <w:rPr>
          <w:sz w:val="24"/>
        </w:rPr>
      </w:pPr>
      <w:permStart w:id="20" w:edGrp="everyone"/>
      <w:r>
        <w:rPr>
          <w:rFonts w:hint="eastAsia"/>
          <w:sz w:val="24"/>
        </w:rPr>
        <w:t xml:space="preserve">发包人:（全称） </w:t>
      </w:r>
    </w:p>
    <w:p>
      <w:pPr>
        <w:pStyle w:val="80"/>
        <w:spacing w:line="400" w:lineRule="exact"/>
        <w:rPr>
          <w:sz w:val="24"/>
        </w:rPr>
      </w:pPr>
      <w:r>
        <w:rPr>
          <w:rFonts w:hint="eastAsia"/>
          <w:sz w:val="24"/>
        </w:rPr>
        <w:t xml:space="preserve"> 承包人:（全称） </w:t>
      </w:r>
    </w:p>
    <w:permEnd w:id="20"/>
    <w:p/>
    <w:p>
      <w:pPr>
        <w:pStyle w:val="161"/>
        <w:spacing w:line="400" w:lineRule="exact"/>
        <w:rPr>
          <w:sz w:val="24"/>
        </w:rPr>
      </w:pPr>
      <w:r>
        <w:rPr>
          <w:rFonts w:hint="eastAsia"/>
          <w:sz w:val="24"/>
        </w:rPr>
        <w:t xml:space="preserve">    根据国家、省有关廉政建设的规定，为做好合同工程的廉政建设，保证工程质量与施工安 全，提高建设资金的有效使用和投资效益，合同三方当事人就加强合同工程的廉政建设，订立本合同。</w:t>
      </w:r>
    </w:p>
    <w:p>
      <w:pPr>
        <w:pStyle w:val="161"/>
        <w:spacing w:line="400" w:lineRule="exact"/>
        <w:rPr>
          <w:sz w:val="24"/>
        </w:rPr>
      </w:pPr>
      <w:r>
        <w:rPr>
          <w:rFonts w:hint="eastAsia"/>
          <w:sz w:val="24"/>
        </w:rPr>
        <w:t xml:space="preserve"> 1 双方权利和义务</w:t>
      </w:r>
    </w:p>
    <w:p>
      <w:pPr>
        <w:pStyle w:val="161"/>
        <w:spacing w:line="400" w:lineRule="exact"/>
        <w:rPr>
          <w:sz w:val="24"/>
        </w:rPr>
      </w:pPr>
      <w:r>
        <w:rPr>
          <w:rFonts w:hint="eastAsia"/>
          <w:sz w:val="24"/>
        </w:rPr>
        <w:t xml:space="preserve"> 1.1 严格遵守国家、省有关法律法规的规定。</w:t>
      </w:r>
    </w:p>
    <w:p>
      <w:pPr>
        <w:pStyle w:val="161"/>
        <w:spacing w:line="400" w:lineRule="exact"/>
        <w:rPr>
          <w:sz w:val="24"/>
        </w:rPr>
      </w:pPr>
      <w:r>
        <w:rPr>
          <w:rFonts w:hint="eastAsia"/>
          <w:sz w:val="24"/>
        </w:rPr>
        <w:t xml:space="preserve"> 1.2 严格执行合同工程一切合同文件，自觉按合同办事。</w:t>
      </w:r>
    </w:p>
    <w:p>
      <w:pPr>
        <w:pStyle w:val="161"/>
        <w:spacing w:line="400" w:lineRule="exact"/>
        <w:rPr>
          <w:sz w:val="24"/>
        </w:rPr>
      </w:pPr>
      <w:r>
        <w:rPr>
          <w:rFonts w:hint="eastAsia"/>
          <w:sz w:val="24"/>
        </w:rPr>
        <w:t xml:space="preserve"> 1.3 合同双方当事人的业务活动应坚持公平、公开、公正和诚信的原则（法律认定的商业 秘密和合同文件另有规定除外），不得损害国家和集体利益，不得违反工程建设管理规章制度。</w:t>
      </w:r>
    </w:p>
    <w:p>
      <w:pPr>
        <w:pStyle w:val="161"/>
        <w:spacing w:line="400" w:lineRule="exact"/>
        <w:rPr>
          <w:sz w:val="24"/>
        </w:rPr>
      </w:pPr>
      <w:r>
        <w:rPr>
          <w:rFonts w:hint="eastAsia"/>
          <w:sz w:val="24"/>
        </w:rPr>
        <w:t xml:space="preserve"> 1.4 建立健全廉政制度，开展廉政教育，设立廉政告示牌，公布举报电话，监督并认真查处违法违纪行为。</w:t>
      </w:r>
    </w:p>
    <w:p>
      <w:pPr>
        <w:pStyle w:val="161"/>
        <w:spacing w:line="400" w:lineRule="exact"/>
        <w:rPr>
          <w:sz w:val="24"/>
        </w:rPr>
      </w:pPr>
      <w:r>
        <w:rPr>
          <w:rFonts w:hint="eastAsia"/>
          <w:sz w:val="24"/>
        </w:rPr>
        <w:t xml:space="preserve"> 1.5 发现对方在业务活动中有违反廉政建设规定的行为，应及时给予提醒和纠正。</w:t>
      </w:r>
    </w:p>
    <w:p>
      <w:pPr>
        <w:pStyle w:val="161"/>
        <w:spacing w:line="400" w:lineRule="exact"/>
        <w:rPr>
          <w:sz w:val="24"/>
        </w:rPr>
      </w:pPr>
      <w:r>
        <w:rPr>
          <w:rFonts w:hint="eastAsia"/>
          <w:sz w:val="24"/>
        </w:rPr>
        <w:t xml:space="preserve"> 1.6 发现对方严重违反合同的行为，有向其上级部门举报、建议给予处理并要求告知处理结果的权利。</w:t>
      </w:r>
    </w:p>
    <w:p>
      <w:pPr>
        <w:pStyle w:val="161"/>
        <w:spacing w:line="400" w:lineRule="exact"/>
        <w:rPr>
          <w:sz w:val="24"/>
        </w:rPr>
      </w:pPr>
      <w:r>
        <w:rPr>
          <w:rFonts w:hint="eastAsia"/>
          <w:sz w:val="24"/>
        </w:rPr>
        <w:t xml:space="preserve"> 2 发包人义务</w:t>
      </w:r>
    </w:p>
    <w:p>
      <w:pPr>
        <w:pStyle w:val="161"/>
        <w:spacing w:line="400" w:lineRule="exact"/>
        <w:rPr>
          <w:sz w:val="24"/>
        </w:rPr>
      </w:pPr>
      <w:r>
        <w:rPr>
          <w:rFonts w:hint="eastAsia"/>
          <w:sz w:val="24"/>
        </w:rPr>
        <w:t xml:space="preserve"> 2.1 发包人及其工作人员不得索取或接受承包人的礼金、有价证券和贵重物品，不得在承包人报销任何应由发包人或建设管理单位或其工作人员个人支付的费用。</w:t>
      </w:r>
    </w:p>
    <w:p>
      <w:pPr>
        <w:pStyle w:val="161"/>
        <w:spacing w:line="400" w:lineRule="exact"/>
        <w:rPr>
          <w:sz w:val="24"/>
        </w:rPr>
      </w:pPr>
      <w:r>
        <w:rPr>
          <w:rFonts w:hint="eastAsia"/>
          <w:sz w:val="24"/>
        </w:rPr>
        <w:t xml:space="preserve"> 2.2 发包人及其工作人员不得参加承包人安排的宴请（工作餐除外）和娱乐活动，不得接受承包人提供的通讯、交通工具和高档办公用品等物品。</w:t>
      </w:r>
    </w:p>
    <w:p>
      <w:pPr>
        <w:pStyle w:val="161"/>
        <w:spacing w:line="400" w:lineRule="exact"/>
        <w:rPr>
          <w:sz w:val="24"/>
        </w:rPr>
      </w:pPr>
      <w:r>
        <w:rPr>
          <w:rFonts w:hint="eastAsia"/>
          <w:sz w:val="24"/>
        </w:rPr>
        <w:t>2.3 发包人及其工作人员不得要求或者接受承包人为其住房装修、婚丧嫁娶活动、配偶子女工作安排以及出国出境、旅游等提供方便。</w:t>
      </w:r>
    </w:p>
    <w:p>
      <w:pPr>
        <w:pStyle w:val="161"/>
        <w:spacing w:line="400" w:lineRule="exact"/>
        <w:rPr>
          <w:sz w:val="24"/>
        </w:rPr>
      </w:pPr>
      <w:r>
        <w:rPr>
          <w:rFonts w:hint="eastAsia"/>
          <w:sz w:val="24"/>
        </w:rPr>
        <w:t xml:space="preserve"> 2.4 发包人及其工作人员不得以任何理由向承包人推荐分包人、推销材料和工程设备，不得要求承包人购买合同以外的材料和工程设备。</w:t>
      </w:r>
    </w:p>
    <w:p>
      <w:pPr>
        <w:pStyle w:val="161"/>
        <w:spacing w:line="400" w:lineRule="exact"/>
        <w:rPr>
          <w:sz w:val="24"/>
        </w:rPr>
      </w:pPr>
      <w:r>
        <w:rPr>
          <w:rFonts w:hint="eastAsia"/>
          <w:sz w:val="24"/>
        </w:rPr>
        <w:t xml:space="preserve"> 2.5 发包人及其工作人员要秉公办事，不准营私舞弊，不准利用职权私自为合同工程安排施工队伍，也不得从事与合同工程有关的各种有偿中介活动。</w:t>
      </w:r>
    </w:p>
    <w:p>
      <w:pPr>
        <w:pStyle w:val="161"/>
        <w:spacing w:line="400" w:lineRule="exact"/>
        <w:rPr>
          <w:sz w:val="24"/>
        </w:rPr>
      </w:pPr>
      <w:r>
        <w:rPr>
          <w:rFonts w:hint="eastAsia"/>
          <w:sz w:val="24"/>
        </w:rPr>
        <w:t xml:space="preserve"> 2.6 发包人及其工作人员（含其配偶、子女）不得从事与合同工程有关的材料和工程设备供应、工程分包、劳务等经济活动。</w:t>
      </w:r>
    </w:p>
    <w:p>
      <w:pPr>
        <w:pStyle w:val="161"/>
        <w:spacing w:line="400" w:lineRule="exact"/>
        <w:rPr>
          <w:sz w:val="24"/>
        </w:rPr>
      </w:pPr>
      <w:r>
        <w:rPr>
          <w:rFonts w:hint="eastAsia"/>
          <w:sz w:val="24"/>
        </w:rPr>
        <w:t xml:space="preserve"> 3 承包人义务</w:t>
      </w:r>
    </w:p>
    <w:p>
      <w:pPr>
        <w:pStyle w:val="161"/>
        <w:spacing w:line="400" w:lineRule="exact"/>
        <w:rPr>
          <w:sz w:val="24"/>
        </w:rPr>
      </w:pPr>
      <w:r>
        <w:rPr>
          <w:rFonts w:hint="eastAsia"/>
          <w:sz w:val="24"/>
        </w:rPr>
        <w:t xml:space="preserve"> 3.1 承包人不得以任何理由向发包人及其工作人员行贿或馈赠礼金、有价证券、贵重礼品。</w:t>
      </w:r>
    </w:p>
    <w:p>
      <w:pPr>
        <w:pStyle w:val="161"/>
        <w:spacing w:line="400" w:lineRule="exact"/>
        <w:rPr>
          <w:sz w:val="24"/>
        </w:rPr>
      </w:pPr>
      <w:r>
        <w:rPr>
          <w:rFonts w:hint="eastAsia"/>
          <w:sz w:val="24"/>
        </w:rPr>
        <w:t xml:space="preserve"> 3.2 承包人不得以任何名义为发包人及其工作人员报销应由发包人或其工作人员个人支付的任何费用。</w:t>
      </w:r>
    </w:p>
    <w:p>
      <w:pPr>
        <w:pStyle w:val="161"/>
        <w:spacing w:line="400" w:lineRule="exact"/>
        <w:rPr>
          <w:sz w:val="24"/>
        </w:rPr>
      </w:pPr>
      <w:r>
        <w:rPr>
          <w:rFonts w:hint="eastAsia"/>
          <w:sz w:val="24"/>
        </w:rPr>
        <w:t xml:space="preserve"> 3.3 承包人不得以任何理由安排发包人及其工作人员参加宴请（工作餐除外）及娱乐活动。</w:t>
      </w:r>
    </w:p>
    <w:p>
      <w:pPr>
        <w:pStyle w:val="161"/>
        <w:spacing w:line="400" w:lineRule="exact"/>
        <w:rPr>
          <w:sz w:val="24"/>
        </w:rPr>
      </w:pPr>
      <w:r>
        <w:rPr>
          <w:rFonts w:hint="eastAsia"/>
          <w:sz w:val="24"/>
        </w:rPr>
        <w:t xml:space="preserve"> 3.4 承包人不得为发包人和个人购置或提供通讯、交通工具和高档办公用品等物品。</w:t>
      </w:r>
    </w:p>
    <w:p>
      <w:pPr>
        <w:pStyle w:val="161"/>
        <w:spacing w:line="400" w:lineRule="exact"/>
        <w:rPr>
          <w:sz w:val="24"/>
        </w:rPr>
      </w:pPr>
      <w:r>
        <w:rPr>
          <w:rFonts w:hint="eastAsia"/>
          <w:sz w:val="24"/>
        </w:rPr>
        <w:t xml:space="preserve"> 3.5 承包人不得为发包人及其工作人员的住房装修、婚丧嫁娶活动、配偶子女工作安排以及出国出境、旅游等提供方便。</w:t>
      </w:r>
    </w:p>
    <w:p>
      <w:pPr>
        <w:pStyle w:val="161"/>
        <w:spacing w:line="400" w:lineRule="exact"/>
        <w:rPr>
          <w:sz w:val="24"/>
        </w:rPr>
      </w:pPr>
      <w:r>
        <w:rPr>
          <w:rFonts w:hint="eastAsia"/>
          <w:sz w:val="24"/>
        </w:rPr>
        <w:t xml:space="preserve"> 4 违约责任</w:t>
      </w:r>
    </w:p>
    <w:p>
      <w:pPr>
        <w:pStyle w:val="161"/>
        <w:spacing w:line="400" w:lineRule="exact"/>
        <w:rPr>
          <w:sz w:val="24"/>
        </w:rPr>
      </w:pPr>
      <w:r>
        <w:rPr>
          <w:rFonts w:hint="eastAsia"/>
          <w:sz w:val="24"/>
        </w:rPr>
        <w:t xml:space="preserve"> 4.1 发包人及其工作人员违反本合同第1 条和第2 条规定，应按照廉政建设的有关规定给予处分；涉嫌犯罪的，移交司法机关追究刑事责任；给承包人造成损失的，应予赔偿。</w:t>
      </w:r>
    </w:p>
    <w:p>
      <w:pPr>
        <w:pStyle w:val="161"/>
        <w:spacing w:line="400" w:lineRule="exact"/>
        <w:rPr>
          <w:sz w:val="24"/>
        </w:rPr>
      </w:pPr>
      <w:r>
        <w:rPr>
          <w:rFonts w:hint="eastAsia"/>
          <w:sz w:val="24"/>
        </w:rPr>
        <w:t xml:space="preserve"> 4.2 承包人及其工作人员违反本合同第1 条和第3 条规定，应按照廉政建设的有关规定给予处分；情节严重的，给予承包人1～3 年内不得进入工程建设市场的处罚；涉嫌犯罪的，移交司法机关追究刑事责任；给发包人造成损失的，应予赔偿；</w:t>
      </w:r>
    </w:p>
    <w:p>
      <w:pPr>
        <w:pStyle w:val="161"/>
        <w:spacing w:line="400" w:lineRule="exact"/>
        <w:rPr>
          <w:sz w:val="24"/>
        </w:rPr>
      </w:pPr>
      <w:r>
        <w:rPr>
          <w:rFonts w:hint="eastAsia"/>
          <w:sz w:val="24"/>
        </w:rPr>
        <w:t xml:space="preserve"> 5 双方约定</w:t>
      </w:r>
    </w:p>
    <w:p>
      <w:pPr>
        <w:pStyle w:val="161"/>
        <w:spacing w:line="400" w:lineRule="exact"/>
        <w:ind w:left="480"/>
        <w:rPr>
          <w:sz w:val="24"/>
        </w:rPr>
      </w:pPr>
      <w:r>
        <w:rPr>
          <w:rFonts w:hint="eastAsia"/>
          <w:sz w:val="24"/>
        </w:rPr>
        <w:t>本合同由合同本方当事人或其上级部门负责监督执行，并由合同本方当事人</w:t>
      </w:r>
    </w:p>
    <w:p>
      <w:pPr>
        <w:pStyle w:val="161"/>
        <w:spacing w:line="400" w:lineRule="exact"/>
        <w:rPr>
          <w:sz w:val="24"/>
        </w:rPr>
      </w:pPr>
      <w:r>
        <w:rPr>
          <w:rFonts w:hint="eastAsia"/>
          <w:sz w:val="24"/>
        </w:rPr>
        <w:t>或其上级部门相互约请对本合同执行情况进行检查。</w:t>
      </w:r>
    </w:p>
    <w:p>
      <w:pPr>
        <w:pStyle w:val="161"/>
        <w:spacing w:line="400" w:lineRule="exact"/>
        <w:rPr>
          <w:sz w:val="24"/>
        </w:rPr>
      </w:pPr>
      <w:r>
        <w:rPr>
          <w:rFonts w:hint="eastAsia"/>
          <w:sz w:val="24"/>
        </w:rPr>
        <w:t xml:space="preserve"> 6 合同法律效力</w:t>
      </w:r>
    </w:p>
    <w:p>
      <w:pPr>
        <w:pStyle w:val="161"/>
        <w:spacing w:line="400" w:lineRule="exact"/>
        <w:rPr>
          <w:sz w:val="24"/>
        </w:rPr>
      </w:pPr>
      <w:r>
        <w:rPr>
          <w:rFonts w:hint="eastAsia"/>
          <w:sz w:val="24"/>
        </w:rPr>
        <w:t xml:space="preserve"> 本合同作为施工合同的附件，与施工合同具有同等的法律效力。</w:t>
      </w:r>
    </w:p>
    <w:p>
      <w:pPr>
        <w:pStyle w:val="161"/>
        <w:spacing w:line="400" w:lineRule="exact"/>
        <w:rPr>
          <w:sz w:val="24"/>
        </w:rPr>
      </w:pPr>
      <w:r>
        <w:rPr>
          <w:rFonts w:hint="eastAsia"/>
          <w:sz w:val="24"/>
        </w:rPr>
        <w:t xml:space="preserve"> 7 合同生效</w:t>
      </w:r>
    </w:p>
    <w:p>
      <w:pPr>
        <w:pStyle w:val="161"/>
        <w:spacing w:line="400" w:lineRule="exact"/>
        <w:rPr>
          <w:sz w:val="24"/>
        </w:rPr>
      </w:pPr>
      <w:r>
        <w:rPr>
          <w:rFonts w:hint="eastAsia"/>
          <w:sz w:val="24"/>
        </w:rPr>
        <w:t xml:space="preserve">     本合同自合同当事人签署之日起生效，至合同工程竣工验收合格之日后失效。</w:t>
      </w:r>
    </w:p>
    <w:p>
      <w:pPr>
        <w:pStyle w:val="161"/>
        <w:spacing w:line="400" w:lineRule="exact"/>
        <w:rPr>
          <w:sz w:val="24"/>
        </w:rPr>
      </w:pPr>
    </w:p>
    <w:tbl>
      <w:tblPr>
        <w:tblStyle w:val="39"/>
        <w:tblW w:w="9513" w:type="dxa"/>
        <w:tblInd w:w="93" w:type="dxa"/>
        <w:tblLayout w:type="fixed"/>
        <w:tblCellMar>
          <w:top w:w="15" w:type="dxa"/>
          <w:left w:w="108" w:type="dxa"/>
          <w:bottom w:w="15" w:type="dxa"/>
          <w:right w:w="108" w:type="dxa"/>
        </w:tblCellMar>
      </w:tblPr>
      <w:tblGrid>
        <w:gridCol w:w="4860"/>
        <w:gridCol w:w="4653"/>
      </w:tblGrid>
      <w:tr>
        <w:tblPrEx>
          <w:tblCellMar>
            <w:top w:w="15" w:type="dxa"/>
            <w:left w:w="108" w:type="dxa"/>
            <w:bottom w:w="15" w:type="dxa"/>
            <w:right w:w="108" w:type="dxa"/>
          </w:tblCellMar>
        </w:tblPrEx>
        <w:trPr>
          <w:trHeight w:val="1020" w:hRule="atLeast"/>
        </w:trPr>
        <w:tc>
          <w:tcPr>
            <w:tcW w:w="4860" w:type="dxa"/>
            <w:vAlign w:val="center"/>
          </w:tcPr>
          <w:p>
            <w:pPr>
              <w:widowControl/>
              <w:jc w:val="left"/>
              <w:rPr>
                <w:rFonts w:ascii="宋体" w:hAnsi="宋体" w:cs="宋体"/>
                <w:color w:val="000000"/>
                <w:kern w:val="0"/>
                <w:szCs w:val="21"/>
              </w:rPr>
            </w:pPr>
            <w:permStart w:id="21" w:edGrp="everyone"/>
            <w:r>
              <w:rPr>
                <w:rFonts w:hint="eastAsia" w:ascii="宋体" w:hAnsi="宋体" w:cs="宋体"/>
                <w:color w:val="000000"/>
                <w:kern w:val="0"/>
                <w:szCs w:val="21"/>
              </w:rPr>
              <w:t>发包人： 广州市白云区水务工程建设管理中心</w:t>
            </w:r>
            <w:r>
              <w:rPr>
                <w:rFonts w:hint="eastAsia" w:ascii="宋体" w:hAnsi="宋体" w:cs="宋体"/>
                <w:color w:val="000000"/>
                <w:kern w:val="0"/>
                <w:szCs w:val="21"/>
              </w:rPr>
              <w:br w:type="textWrapping"/>
            </w:r>
            <w:r>
              <w:rPr>
                <w:rFonts w:hint="eastAsia" w:ascii="宋体" w:hAnsi="宋体" w:cs="宋体"/>
                <w:color w:val="000000"/>
                <w:kern w:val="0"/>
                <w:szCs w:val="21"/>
              </w:rPr>
              <w:t xml:space="preserve">        （盖章）</w:t>
            </w:r>
          </w:p>
        </w:tc>
        <w:tc>
          <w:tcPr>
            <w:tcW w:w="4653" w:type="dxa"/>
            <w:vAlign w:val="center"/>
          </w:tcPr>
          <w:p>
            <w:pPr>
              <w:widowControl/>
              <w:ind w:right="-3395" w:rightChars="-1617"/>
              <w:jc w:val="left"/>
              <w:rPr>
                <w:rFonts w:ascii="宋体" w:hAnsi="宋体" w:cs="宋体"/>
                <w:color w:val="000000"/>
                <w:kern w:val="0"/>
                <w:sz w:val="22"/>
                <w:szCs w:val="22"/>
              </w:rPr>
            </w:pPr>
            <w:r>
              <w:rPr>
                <w:rFonts w:hint="eastAsia" w:ascii="宋体" w:hAnsi="宋体" w:cs="宋体"/>
                <w:color w:val="000000"/>
                <w:kern w:val="0"/>
                <w:sz w:val="22"/>
                <w:szCs w:val="22"/>
              </w:rPr>
              <w:t>承包人（主）</w:t>
            </w:r>
            <w:r>
              <w:rPr>
                <w:rFonts w:hint="eastAsia" w:ascii="宋体" w:hAnsi="宋体" w:cs="宋体"/>
                <w:color w:val="000000"/>
                <w:kern w:val="0"/>
                <w:szCs w:val="21"/>
              </w:rPr>
              <w:t>：</w:t>
            </w:r>
            <w:r>
              <w:rPr>
                <w:rFonts w:hint="eastAsia" w:ascii="宋体" w:hAnsi="宋体" w:cs="宋体"/>
                <w:color w:val="000000"/>
                <w:kern w:val="0"/>
                <w:sz w:val="22"/>
                <w:szCs w:val="22"/>
              </w:rPr>
              <w:t>XXX</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      （盖章）</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法定代表人：</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法定代表人：</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或委托代理人：</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或委托代理人：</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经办人：</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经办人：</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地址：广州市白云区大金钟路19号金景大厦二楼</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地址：</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电话：</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电话：</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传真：</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传真：</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开户银行：</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开户银行：</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账号：</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账号：</w:t>
            </w:r>
          </w:p>
        </w:tc>
      </w:tr>
      <w:tr>
        <w:tblPrEx>
          <w:tblCellMar>
            <w:top w:w="15" w:type="dxa"/>
            <w:left w:w="108" w:type="dxa"/>
            <w:bottom w:w="15" w:type="dxa"/>
            <w:right w:w="108" w:type="dxa"/>
          </w:tblCellMar>
        </w:tblPrEx>
        <w:trPr>
          <w:trHeight w:val="286" w:hRule="atLeast"/>
        </w:trPr>
        <w:tc>
          <w:tcPr>
            <w:tcW w:w="4860" w:type="dxa"/>
            <w:vAlign w:val="center"/>
          </w:tcPr>
          <w:p>
            <w:pPr>
              <w:widowControl/>
              <w:rPr>
                <w:rFonts w:ascii="宋体" w:hAnsi="宋体" w:cs="宋体"/>
                <w:color w:val="000000"/>
                <w:kern w:val="0"/>
                <w:szCs w:val="21"/>
              </w:rPr>
            </w:pPr>
            <w:r>
              <w:rPr>
                <w:rFonts w:hint="eastAsia" w:ascii="宋体" w:hAnsi="宋体" w:cs="宋体"/>
                <w:color w:val="000000"/>
                <w:kern w:val="0"/>
                <w:szCs w:val="21"/>
              </w:rPr>
              <w:t>邮政编码：</w:t>
            </w:r>
          </w:p>
        </w:tc>
        <w:tc>
          <w:tcPr>
            <w:tcW w:w="4653" w:type="dxa"/>
            <w:vAlign w:val="center"/>
          </w:tcPr>
          <w:p>
            <w:pPr>
              <w:widowControl/>
              <w:rPr>
                <w:rFonts w:ascii="宋体" w:hAnsi="宋体" w:cs="宋体"/>
                <w:color w:val="000000"/>
                <w:kern w:val="0"/>
                <w:szCs w:val="21"/>
              </w:rPr>
            </w:pPr>
            <w:r>
              <w:rPr>
                <w:rFonts w:hint="eastAsia" w:ascii="宋体" w:hAnsi="宋体" w:cs="宋体"/>
                <w:color w:val="000000"/>
                <w:kern w:val="0"/>
                <w:szCs w:val="21"/>
              </w:rPr>
              <w:t>邮政编码：</w:t>
            </w:r>
          </w:p>
        </w:tc>
      </w:tr>
    </w:tbl>
    <w:p>
      <w:pPr>
        <w:keepNext/>
        <w:keepLines/>
        <w:spacing w:before="120" w:after="120" w:line="416" w:lineRule="auto"/>
        <w:outlineLvl w:val="1"/>
        <w:rPr>
          <w:b/>
          <w:bCs/>
          <w:sz w:val="32"/>
          <w:szCs w:val="21"/>
        </w:rPr>
      </w:pPr>
    </w:p>
    <w:tbl>
      <w:tblPr>
        <w:tblStyle w:val="39"/>
        <w:tblW w:w="9513" w:type="dxa"/>
        <w:tblInd w:w="93" w:type="dxa"/>
        <w:tblLayout w:type="fixed"/>
        <w:tblCellMar>
          <w:top w:w="15" w:type="dxa"/>
          <w:left w:w="108" w:type="dxa"/>
          <w:bottom w:w="15" w:type="dxa"/>
          <w:right w:w="108" w:type="dxa"/>
        </w:tblCellMar>
      </w:tblPr>
      <w:tblGrid>
        <w:gridCol w:w="4860"/>
        <w:gridCol w:w="4653"/>
      </w:tblGrid>
      <w:tr>
        <w:tblPrEx>
          <w:tblCellMar>
            <w:top w:w="15" w:type="dxa"/>
            <w:left w:w="108" w:type="dxa"/>
            <w:bottom w:w="15" w:type="dxa"/>
            <w:right w:w="108" w:type="dxa"/>
          </w:tblCellMar>
        </w:tblPrEx>
        <w:trPr>
          <w:trHeight w:val="1020"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 w:val="22"/>
                <w:szCs w:val="22"/>
              </w:rPr>
              <w:t>承包人（成）</w:t>
            </w:r>
            <w:r>
              <w:rPr>
                <w:rFonts w:hint="eastAsia" w:ascii="宋体" w:hAnsi="宋体" w:cs="宋体"/>
                <w:color w:val="000000"/>
                <w:kern w:val="0"/>
                <w:szCs w:val="21"/>
              </w:rPr>
              <w:t>：</w:t>
            </w:r>
            <w:r>
              <w:rPr>
                <w:rFonts w:hint="eastAsia" w:ascii="宋体" w:hAnsi="宋体" w:cs="宋体"/>
                <w:color w:val="000000"/>
                <w:kern w:val="0"/>
                <w:sz w:val="22"/>
                <w:szCs w:val="22"/>
              </w:rPr>
              <w:t>XXX</w:t>
            </w:r>
            <w:r>
              <w:rPr>
                <w:rFonts w:hint="eastAsia" w:ascii="宋体" w:hAnsi="宋体" w:cs="宋体"/>
                <w:color w:val="000000"/>
                <w:kern w:val="0"/>
                <w:szCs w:val="21"/>
              </w:rPr>
              <w:br w:type="textWrapping"/>
            </w:r>
            <w:r>
              <w:rPr>
                <w:rFonts w:hint="eastAsia" w:ascii="宋体" w:hAnsi="宋体" w:cs="宋体"/>
                <w:color w:val="000000"/>
                <w:kern w:val="0"/>
                <w:szCs w:val="21"/>
              </w:rPr>
              <w:t xml:space="preserve">      （盖章）</w:t>
            </w:r>
          </w:p>
        </w:tc>
        <w:tc>
          <w:tcPr>
            <w:tcW w:w="4653" w:type="dxa"/>
            <w:vAlign w:val="center"/>
          </w:tcPr>
          <w:p>
            <w:pPr>
              <w:widowControl/>
              <w:ind w:right="-3395" w:rightChars="-1617"/>
              <w:jc w:val="left"/>
              <w:rPr>
                <w:rFonts w:ascii="宋体" w:hAnsi="宋体" w:cs="宋体"/>
                <w:color w:val="000000"/>
                <w:kern w:val="0"/>
                <w:sz w:val="22"/>
                <w:szCs w:val="22"/>
              </w:rPr>
            </w:pPr>
            <w:r>
              <w:rPr>
                <w:rFonts w:hint="eastAsia" w:ascii="宋体" w:hAnsi="宋体" w:cs="宋体"/>
                <w:color w:val="000000"/>
                <w:kern w:val="0"/>
                <w:sz w:val="22"/>
                <w:szCs w:val="22"/>
              </w:rPr>
              <w:t>承包人（成）</w:t>
            </w:r>
            <w:r>
              <w:rPr>
                <w:rFonts w:hint="eastAsia" w:ascii="宋体" w:hAnsi="宋体" w:cs="宋体"/>
                <w:color w:val="000000"/>
                <w:kern w:val="0"/>
                <w:szCs w:val="21"/>
              </w:rPr>
              <w:t>：</w:t>
            </w:r>
            <w:r>
              <w:rPr>
                <w:rFonts w:hint="eastAsia" w:ascii="宋体" w:hAnsi="宋体" w:cs="宋体"/>
                <w:color w:val="000000"/>
                <w:kern w:val="0"/>
                <w:sz w:val="22"/>
                <w:szCs w:val="22"/>
              </w:rPr>
              <w:t>XXX</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      （盖章）</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法定代表人：</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法定代表人：</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或委托代理人：</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或委托代理人：</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经办人：</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经办人：</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地址：</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地址：</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电话：</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电话：</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传真：</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传真：</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开户银行：</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开户银行：</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账号：</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账号：</w:t>
            </w:r>
          </w:p>
        </w:tc>
      </w:tr>
      <w:tr>
        <w:tblPrEx>
          <w:tblCellMar>
            <w:top w:w="15" w:type="dxa"/>
            <w:left w:w="108" w:type="dxa"/>
            <w:bottom w:w="15" w:type="dxa"/>
            <w:right w:w="108" w:type="dxa"/>
          </w:tblCellMar>
        </w:tblPrEx>
        <w:trPr>
          <w:trHeight w:val="286" w:hRule="atLeast"/>
        </w:trPr>
        <w:tc>
          <w:tcPr>
            <w:tcW w:w="4860" w:type="dxa"/>
            <w:vAlign w:val="center"/>
          </w:tcPr>
          <w:p>
            <w:pPr>
              <w:widowControl/>
              <w:rPr>
                <w:rFonts w:ascii="宋体" w:hAnsi="宋体" w:cs="宋体"/>
                <w:color w:val="000000"/>
                <w:kern w:val="0"/>
                <w:szCs w:val="21"/>
              </w:rPr>
            </w:pPr>
            <w:r>
              <w:rPr>
                <w:rFonts w:hint="eastAsia" w:ascii="宋体" w:hAnsi="宋体" w:cs="宋体"/>
                <w:color w:val="000000"/>
                <w:kern w:val="0"/>
                <w:szCs w:val="21"/>
              </w:rPr>
              <w:t>邮政编码：</w:t>
            </w:r>
          </w:p>
        </w:tc>
        <w:tc>
          <w:tcPr>
            <w:tcW w:w="4653" w:type="dxa"/>
            <w:vAlign w:val="center"/>
          </w:tcPr>
          <w:p>
            <w:pPr>
              <w:widowControl/>
              <w:rPr>
                <w:rFonts w:ascii="宋体" w:hAnsi="宋体" w:cs="宋体"/>
                <w:color w:val="000000"/>
                <w:kern w:val="0"/>
                <w:szCs w:val="21"/>
              </w:rPr>
            </w:pPr>
            <w:r>
              <w:rPr>
                <w:rFonts w:hint="eastAsia" w:ascii="宋体" w:hAnsi="宋体" w:cs="宋体"/>
                <w:color w:val="000000"/>
                <w:kern w:val="0"/>
                <w:szCs w:val="21"/>
              </w:rPr>
              <w:t>邮政编码：</w:t>
            </w:r>
          </w:p>
        </w:tc>
      </w:tr>
    </w:tbl>
    <w:p>
      <w:pPr>
        <w:pStyle w:val="161"/>
        <w:spacing w:line="400" w:lineRule="exact"/>
        <w:rPr>
          <w:sz w:val="24"/>
        </w:rPr>
      </w:pPr>
    </w:p>
    <w:permEnd w:id="21"/>
    <w:p>
      <w:pPr>
        <w:pStyle w:val="161"/>
        <w:spacing w:line="400" w:lineRule="exact"/>
        <w:rPr>
          <w:sz w:val="24"/>
        </w:rPr>
      </w:pPr>
    </w:p>
    <w:p>
      <w:pPr>
        <w:pStyle w:val="3"/>
        <w:pageBreakBefore/>
        <w:spacing w:before="120" w:after="0" w:line="240" w:lineRule="auto"/>
        <w:rPr>
          <w:rFonts w:ascii="宋体" w:hAnsi="宋体"/>
          <w:sz w:val="28"/>
          <w:szCs w:val="28"/>
        </w:rPr>
      </w:pPr>
      <w:bookmarkStart w:id="150" w:name="_Toc11791_WPSOffice_Level1"/>
      <w:permStart w:id="22" w:edGrp="everyone"/>
      <w:r>
        <w:rPr>
          <w:rFonts w:hint="eastAsia" w:ascii="宋体" w:hAnsi="宋体"/>
          <w:sz w:val="28"/>
          <w:szCs w:val="28"/>
        </w:rPr>
        <w:t>附件4：</w:t>
      </w:r>
      <w:r>
        <w:rPr>
          <w:rFonts w:ascii="宋体" w:hAnsi="宋体"/>
          <w:sz w:val="28"/>
          <w:szCs w:val="28"/>
        </w:rPr>
        <w:t>安健环管理协议</w:t>
      </w:r>
      <w:bookmarkEnd w:id="146"/>
      <w:bookmarkEnd w:id="147"/>
      <w:bookmarkEnd w:id="148"/>
      <w:bookmarkEnd w:id="149"/>
      <w:bookmarkEnd w:id="150"/>
    </w:p>
    <w:p>
      <w:pPr>
        <w:pStyle w:val="52"/>
        <w:adjustRightInd w:val="0"/>
        <w:snapToGrid w:val="0"/>
        <w:spacing w:line="480" w:lineRule="atLeast"/>
        <w:rPr>
          <w:sz w:val="32"/>
          <w:szCs w:val="32"/>
        </w:rPr>
      </w:pPr>
      <w:r>
        <w:rPr>
          <w:rFonts w:hAnsi="宋体"/>
          <w:sz w:val="32"/>
          <w:szCs w:val="32"/>
        </w:rPr>
        <w:t>目录</w:t>
      </w:r>
    </w:p>
    <w:p>
      <w:pPr>
        <w:pStyle w:val="26"/>
        <w:tabs>
          <w:tab w:val="right" w:leader="dot" w:pos="8777"/>
        </w:tabs>
        <w:rPr>
          <w:b w:val="0"/>
          <w:bCs w:val="0"/>
          <w:caps w:val="0"/>
          <w:sz w:val="21"/>
          <w:szCs w:val="24"/>
        </w:rPr>
      </w:pPr>
      <w:r>
        <w:rPr>
          <w:sz w:val="21"/>
          <w:szCs w:val="21"/>
        </w:rPr>
        <w:fldChar w:fldCharType="begin"/>
      </w:r>
      <w:r>
        <w:rPr>
          <w:sz w:val="21"/>
          <w:szCs w:val="21"/>
        </w:rPr>
        <w:instrText xml:space="preserve"> TOC \o "1-3" \u </w:instrText>
      </w:r>
      <w:r>
        <w:rPr>
          <w:sz w:val="21"/>
          <w:szCs w:val="21"/>
        </w:rPr>
        <w:fldChar w:fldCharType="separate"/>
      </w:r>
    </w:p>
    <w:p>
      <w:pPr>
        <w:pStyle w:val="26"/>
        <w:tabs>
          <w:tab w:val="right" w:leader="dot" w:pos="8777"/>
        </w:tabs>
        <w:rPr>
          <w:b w:val="0"/>
          <w:bCs w:val="0"/>
          <w:caps w:val="0"/>
          <w:sz w:val="21"/>
          <w:szCs w:val="24"/>
        </w:rPr>
      </w:pPr>
      <w:r>
        <w:rPr>
          <w:rFonts w:hint="eastAsia" w:hAnsi="宋体"/>
        </w:rPr>
        <w:t>一、协议有效期限</w:t>
      </w:r>
      <w:r>
        <w:tab/>
      </w:r>
      <w:r>
        <w:fldChar w:fldCharType="begin"/>
      </w:r>
      <w:r>
        <w:instrText xml:space="preserve"> PAGEREF _Toc484108970 \h </w:instrText>
      </w:r>
      <w:r>
        <w:fldChar w:fldCharType="separate"/>
      </w:r>
      <w:r>
        <w:t>106</w:t>
      </w:r>
      <w:r>
        <w:fldChar w:fldCharType="end"/>
      </w:r>
    </w:p>
    <w:p>
      <w:pPr>
        <w:pStyle w:val="26"/>
        <w:tabs>
          <w:tab w:val="right" w:leader="dot" w:pos="8777"/>
        </w:tabs>
        <w:rPr>
          <w:b w:val="0"/>
          <w:bCs w:val="0"/>
          <w:caps w:val="0"/>
          <w:sz w:val="21"/>
          <w:szCs w:val="24"/>
        </w:rPr>
      </w:pPr>
      <w:r>
        <w:rPr>
          <w:rFonts w:hint="eastAsia" w:hAnsi="宋体"/>
        </w:rPr>
        <w:t>二、管理目标</w:t>
      </w:r>
      <w:r>
        <w:tab/>
      </w:r>
      <w:r>
        <w:fldChar w:fldCharType="begin"/>
      </w:r>
      <w:r>
        <w:instrText xml:space="preserve"> PAGEREF _Toc484108971 \h </w:instrText>
      </w:r>
      <w:r>
        <w:fldChar w:fldCharType="separate"/>
      </w:r>
      <w:r>
        <w:t>106</w:t>
      </w:r>
      <w:r>
        <w:fldChar w:fldCharType="end"/>
      </w:r>
    </w:p>
    <w:p>
      <w:pPr>
        <w:pStyle w:val="26"/>
        <w:tabs>
          <w:tab w:val="right" w:leader="dot" w:pos="8777"/>
        </w:tabs>
        <w:rPr>
          <w:b w:val="0"/>
          <w:bCs w:val="0"/>
          <w:caps w:val="0"/>
          <w:sz w:val="21"/>
          <w:szCs w:val="24"/>
        </w:rPr>
      </w:pPr>
      <w:r>
        <w:rPr>
          <w:rFonts w:hint="eastAsia" w:hAnsi="宋体"/>
        </w:rPr>
        <w:t>三、本工程安健环责任</w:t>
      </w:r>
      <w:r>
        <w:tab/>
      </w:r>
      <w:r>
        <w:fldChar w:fldCharType="begin"/>
      </w:r>
      <w:r>
        <w:instrText xml:space="preserve"> PAGEREF _Toc484108972 \h </w:instrText>
      </w:r>
      <w:r>
        <w:fldChar w:fldCharType="separate"/>
      </w:r>
      <w:r>
        <w:t>107</w:t>
      </w:r>
      <w:r>
        <w:fldChar w:fldCharType="end"/>
      </w:r>
    </w:p>
    <w:p>
      <w:pPr>
        <w:pStyle w:val="26"/>
        <w:tabs>
          <w:tab w:val="right" w:leader="dot" w:pos="8777"/>
        </w:tabs>
        <w:rPr>
          <w:b w:val="0"/>
          <w:bCs w:val="0"/>
          <w:caps w:val="0"/>
          <w:sz w:val="21"/>
          <w:szCs w:val="24"/>
        </w:rPr>
      </w:pPr>
      <w:r>
        <w:rPr>
          <w:rFonts w:hint="eastAsia" w:hAnsi="宋体"/>
        </w:rPr>
        <w:t>四、接口协调与安健环协议</w:t>
      </w:r>
      <w:r>
        <w:tab/>
      </w:r>
      <w:r>
        <w:fldChar w:fldCharType="begin"/>
      </w:r>
      <w:r>
        <w:instrText xml:space="preserve"> PAGEREF _Toc484108973 \h </w:instrText>
      </w:r>
      <w:r>
        <w:fldChar w:fldCharType="separate"/>
      </w:r>
      <w:r>
        <w:t>109</w:t>
      </w:r>
      <w:r>
        <w:fldChar w:fldCharType="end"/>
      </w:r>
    </w:p>
    <w:p>
      <w:pPr>
        <w:pStyle w:val="26"/>
        <w:tabs>
          <w:tab w:val="right" w:leader="dot" w:pos="8777"/>
        </w:tabs>
        <w:rPr>
          <w:b w:val="0"/>
          <w:bCs w:val="0"/>
          <w:caps w:val="0"/>
          <w:sz w:val="21"/>
          <w:szCs w:val="24"/>
        </w:rPr>
      </w:pPr>
      <w:r>
        <w:rPr>
          <w:rFonts w:hint="eastAsia" w:hAnsi="宋体"/>
        </w:rPr>
        <w:t>五、安健环体系审查</w:t>
      </w:r>
      <w:r>
        <w:tab/>
      </w:r>
      <w:r>
        <w:fldChar w:fldCharType="begin"/>
      </w:r>
      <w:r>
        <w:instrText xml:space="preserve"> PAGEREF _Toc484108974 \h </w:instrText>
      </w:r>
      <w:r>
        <w:fldChar w:fldCharType="separate"/>
      </w:r>
      <w:r>
        <w:t>109</w:t>
      </w:r>
      <w:r>
        <w:fldChar w:fldCharType="end"/>
      </w:r>
    </w:p>
    <w:p>
      <w:pPr>
        <w:pStyle w:val="26"/>
        <w:tabs>
          <w:tab w:val="right" w:leader="dot" w:pos="8777"/>
        </w:tabs>
        <w:rPr>
          <w:b w:val="0"/>
          <w:bCs w:val="0"/>
          <w:caps w:val="0"/>
          <w:sz w:val="21"/>
          <w:szCs w:val="24"/>
        </w:rPr>
      </w:pPr>
      <w:r>
        <w:rPr>
          <w:rFonts w:hint="eastAsia" w:hAnsi="宋体"/>
        </w:rPr>
        <w:t>六、人员基本素质</w:t>
      </w:r>
      <w:r>
        <w:tab/>
      </w:r>
      <w:r>
        <w:fldChar w:fldCharType="begin"/>
      </w:r>
      <w:r>
        <w:instrText xml:space="preserve"> PAGEREF _Toc484108975 \h </w:instrText>
      </w:r>
      <w:r>
        <w:fldChar w:fldCharType="separate"/>
      </w:r>
      <w:r>
        <w:t>110</w:t>
      </w:r>
      <w:r>
        <w:fldChar w:fldCharType="end"/>
      </w:r>
    </w:p>
    <w:p>
      <w:pPr>
        <w:pStyle w:val="26"/>
        <w:tabs>
          <w:tab w:val="right" w:leader="dot" w:pos="8777"/>
        </w:tabs>
        <w:rPr>
          <w:b w:val="0"/>
          <w:bCs w:val="0"/>
          <w:caps w:val="0"/>
          <w:sz w:val="21"/>
          <w:szCs w:val="24"/>
        </w:rPr>
      </w:pPr>
      <w:r>
        <w:rPr>
          <w:rFonts w:hint="eastAsia" w:hAnsi="宋体"/>
        </w:rPr>
        <w:t>七、劳动保护</w:t>
      </w:r>
      <w:r>
        <w:tab/>
      </w:r>
      <w:r>
        <w:fldChar w:fldCharType="begin"/>
      </w:r>
      <w:r>
        <w:instrText xml:space="preserve"> PAGEREF _Toc484108976 \h </w:instrText>
      </w:r>
      <w:r>
        <w:fldChar w:fldCharType="separate"/>
      </w:r>
      <w:r>
        <w:t>110</w:t>
      </w:r>
      <w:r>
        <w:fldChar w:fldCharType="end"/>
      </w:r>
    </w:p>
    <w:p>
      <w:pPr>
        <w:pStyle w:val="26"/>
        <w:tabs>
          <w:tab w:val="right" w:leader="dot" w:pos="8777"/>
        </w:tabs>
        <w:rPr>
          <w:b w:val="0"/>
          <w:bCs w:val="0"/>
          <w:caps w:val="0"/>
          <w:sz w:val="21"/>
          <w:szCs w:val="24"/>
        </w:rPr>
      </w:pPr>
      <w:r>
        <w:rPr>
          <w:rFonts w:hint="eastAsia" w:hAnsi="宋体"/>
        </w:rPr>
        <w:t>八、开工前安健环检查条件</w:t>
      </w:r>
      <w:r>
        <w:tab/>
      </w:r>
      <w:r>
        <w:fldChar w:fldCharType="begin"/>
      </w:r>
      <w:r>
        <w:instrText xml:space="preserve"> PAGEREF _Toc484108977 \h </w:instrText>
      </w:r>
      <w:r>
        <w:fldChar w:fldCharType="separate"/>
      </w:r>
      <w:r>
        <w:t>111</w:t>
      </w:r>
      <w:r>
        <w:fldChar w:fldCharType="end"/>
      </w:r>
    </w:p>
    <w:p>
      <w:pPr>
        <w:pStyle w:val="26"/>
        <w:tabs>
          <w:tab w:val="right" w:leader="dot" w:pos="8777"/>
        </w:tabs>
        <w:rPr>
          <w:b w:val="0"/>
          <w:bCs w:val="0"/>
          <w:caps w:val="0"/>
          <w:sz w:val="21"/>
          <w:szCs w:val="24"/>
        </w:rPr>
      </w:pPr>
      <w:r>
        <w:rPr>
          <w:rFonts w:hint="eastAsia" w:hAnsi="宋体"/>
        </w:rPr>
        <w:t>九、安健环监督</w:t>
      </w:r>
      <w:r>
        <w:tab/>
      </w:r>
      <w:r>
        <w:fldChar w:fldCharType="begin"/>
      </w:r>
      <w:r>
        <w:instrText xml:space="preserve"> PAGEREF _Toc484108978 \h </w:instrText>
      </w:r>
      <w:r>
        <w:fldChar w:fldCharType="separate"/>
      </w:r>
      <w:r>
        <w:t>111</w:t>
      </w:r>
      <w:r>
        <w:fldChar w:fldCharType="end"/>
      </w:r>
    </w:p>
    <w:p>
      <w:pPr>
        <w:pStyle w:val="26"/>
        <w:tabs>
          <w:tab w:val="right" w:leader="dot" w:pos="8777"/>
        </w:tabs>
        <w:rPr>
          <w:b w:val="0"/>
          <w:bCs w:val="0"/>
          <w:caps w:val="0"/>
          <w:sz w:val="21"/>
          <w:szCs w:val="24"/>
        </w:rPr>
      </w:pPr>
      <w:r>
        <w:rPr>
          <w:rFonts w:hint="eastAsia" w:hAnsi="宋体"/>
        </w:rPr>
        <w:t>十、安健环培训与要求</w:t>
      </w:r>
      <w:r>
        <w:tab/>
      </w:r>
      <w:r>
        <w:fldChar w:fldCharType="begin"/>
      </w:r>
      <w:r>
        <w:instrText xml:space="preserve"> PAGEREF _Toc484108979 \h </w:instrText>
      </w:r>
      <w:r>
        <w:fldChar w:fldCharType="separate"/>
      </w:r>
      <w:r>
        <w:t>111</w:t>
      </w:r>
      <w:r>
        <w:fldChar w:fldCharType="end"/>
      </w:r>
    </w:p>
    <w:p>
      <w:pPr>
        <w:pStyle w:val="26"/>
        <w:tabs>
          <w:tab w:val="right" w:leader="dot" w:pos="8777"/>
        </w:tabs>
        <w:rPr>
          <w:b w:val="0"/>
          <w:bCs w:val="0"/>
          <w:caps w:val="0"/>
          <w:sz w:val="21"/>
          <w:szCs w:val="24"/>
        </w:rPr>
      </w:pPr>
      <w:r>
        <w:rPr>
          <w:rFonts w:hint="eastAsia" w:hAnsi="宋体"/>
        </w:rPr>
        <w:t>十一、职业健康、卫生防疫</w:t>
      </w:r>
      <w:r>
        <w:tab/>
      </w:r>
      <w:r>
        <w:fldChar w:fldCharType="begin"/>
      </w:r>
      <w:r>
        <w:instrText xml:space="preserve"> PAGEREF _Toc484108980 \h </w:instrText>
      </w:r>
      <w:r>
        <w:fldChar w:fldCharType="separate"/>
      </w:r>
      <w:r>
        <w:t>112</w:t>
      </w:r>
      <w:r>
        <w:fldChar w:fldCharType="end"/>
      </w:r>
    </w:p>
    <w:p>
      <w:pPr>
        <w:pStyle w:val="26"/>
        <w:tabs>
          <w:tab w:val="right" w:leader="dot" w:pos="8777"/>
        </w:tabs>
        <w:rPr>
          <w:b w:val="0"/>
          <w:bCs w:val="0"/>
          <w:caps w:val="0"/>
          <w:sz w:val="21"/>
          <w:szCs w:val="24"/>
        </w:rPr>
      </w:pPr>
      <w:r>
        <w:rPr>
          <w:rFonts w:hint="eastAsia" w:hAnsi="宋体"/>
        </w:rPr>
        <w:t>十二、文明施工与环境保护要求</w:t>
      </w:r>
      <w:r>
        <w:tab/>
      </w:r>
      <w:r>
        <w:fldChar w:fldCharType="begin"/>
      </w:r>
      <w:r>
        <w:instrText xml:space="preserve"> PAGEREF _Toc484108981 \h </w:instrText>
      </w:r>
      <w:r>
        <w:fldChar w:fldCharType="separate"/>
      </w:r>
      <w:r>
        <w:t>112</w:t>
      </w:r>
      <w:r>
        <w:fldChar w:fldCharType="end"/>
      </w:r>
    </w:p>
    <w:p>
      <w:pPr>
        <w:pStyle w:val="26"/>
        <w:tabs>
          <w:tab w:val="right" w:leader="dot" w:pos="8777"/>
        </w:tabs>
        <w:rPr>
          <w:b w:val="0"/>
          <w:bCs w:val="0"/>
          <w:caps w:val="0"/>
          <w:sz w:val="21"/>
          <w:szCs w:val="24"/>
        </w:rPr>
      </w:pPr>
      <w:r>
        <w:rPr>
          <w:rFonts w:hint="eastAsia" w:hAnsi="宋体"/>
        </w:rPr>
        <w:t>十三、工程风险管理与事故预防</w:t>
      </w:r>
      <w:r>
        <w:tab/>
      </w:r>
      <w:r>
        <w:fldChar w:fldCharType="begin"/>
      </w:r>
      <w:r>
        <w:instrText xml:space="preserve"> PAGEREF _Toc484108982 \h </w:instrText>
      </w:r>
      <w:r>
        <w:fldChar w:fldCharType="separate"/>
      </w:r>
      <w:r>
        <w:t>112</w:t>
      </w:r>
      <w:r>
        <w:fldChar w:fldCharType="end"/>
      </w:r>
    </w:p>
    <w:p>
      <w:pPr>
        <w:pStyle w:val="26"/>
        <w:tabs>
          <w:tab w:val="right" w:leader="dot" w:pos="8777"/>
        </w:tabs>
        <w:rPr>
          <w:b w:val="0"/>
          <w:bCs w:val="0"/>
          <w:caps w:val="0"/>
          <w:sz w:val="21"/>
          <w:szCs w:val="24"/>
        </w:rPr>
      </w:pPr>
      <w:r>
        <w:rPr>
          <w:rFonts w:hint="eastAsia" w:hAnsi="宋体"/>
        </w:rPr>
        <w:t>十四、事故报告与应急救援</w:t>
      </w:r>
      <w:r>
        <w:tab/>
      </w:r>
      <w:r>
        <w:fldChar w:fldCharType="begin"/>
      </w:r>
      <w:r>
        <w:instrText xml:space="preserve"> PAGEREF _Toc484108983 \h </w:instrText>
      </w:r>
      <w:r>
        <w:fldChar w:fldCharType="separate"/>
      </w:r>
      <w:r>
        <w:t>114</w:t>
      </w:r>
      <w:r>
        <w:fldChar w:fldCharType="end"/>
      </w:r>
    </w:p>
    <w:p>
      <w:pPr>
        <w:pStyle w:val="26"/>
        <w:tabs>
          <w:tab w:val="right" w:leader="dot" w:pos="8777"/>
        </w:tabs>
        <w:rPr>
          <w:b w:val="0"/>
          <w:bCs w:val="0"/>
          <w:caps w:val="0"/>
          <w:sz w:val="21"/>
          <w:szCs w:val="24"/>
        </w:rPr>
      </w:pPr>
      <w:r>
        <w:rPr>
          <w:rFonts w:hint="eastAsia" w:hAnsi="宋体"/>
        </w:rPr>
        <w:t>十五、安健环业绩考核</w:t>
      </w:r>
      <w:r>
        <w:tab/>
      </w:r>
      <w:r>
        <w:fldChar w:fldCharType="begin"/>
      </w:r>
      <w:r>
        <w:instrText xml:space="preserve"> PAGEREF _Toc484108984 \h </w:instrText>
      </w:r>
      <w:r>
        <w:fldChar w:fldCharType="separate"/>
      </w:r>
      <w:r>
        <w:t>114</w:t>
      </w:r>
      <w:r>
        <w:fldChar w:fldCharType="end"/>
      </w:r>
    </w:p>
    <w:p>
      <w:pPr>
        <w:pStyle w:val="26"/>
        <w:tabs>
          <w:tab w:val="right" w:leader="dot" w:pos="8777"/>
        </w:tabs>
        <w:rPr>
          <w:b w:val="0"/>
          <w:bCs w:val="0"/>
          <w:caps w:val="0"/>
          <w:sz w:val="21"/>
          <w:szCs w:val="24"/>
        </w:rPr>
      </w:pPr>
      <w:r>
        <w:rPr>
          <w:rFonts w:hint="eastAsia" w:hAnsi="宋体"/>
        </w:rPr>
        <w:t>十六、附则</w:t>
      </w:r>
      <w:r>
        <w:tab/>
      </w:r>
      <w:r>
        <w:fldChar w:fldCharType="begin"/>
      </w:r>
      <w:r>
        <w:instrText xml:space="preserve"> PAGEREF _Toc484108985 \h </w:instrText>
      </w:r>
      <w:r>
        <w:fldChar w:fldCharType="separate"/>
      </w:r>
      <w:r>
        <w:t>114</w:t>
      </w:r>
      <w:r>
        <w:fldChar w:fldCharType="end"/>
      </w:r>
    </w:p>
    <w:p>
      <w:pPr>
        <w:pStyle w:val="53"/>
        <w:adjustRightInd w:val="0"/>
        <w:snapToGrid w:val="0"/>
        <w:spacing w:line="480" w:lineRule="atLeast"/>
        <w:ind w:firstLine="420"/>
      </w:pPr>
      <w:r>
        <w:rPr>
          <w:sz w:val="21"/>
          <w:szCs w:val="21"/>
        </w:rPr>
        <w:fldChar w:fldCharType="end"/>
      </w:r>
      <w:permEnd w:id="22"/>
    </w:p>
    <w:p>
      <w:pPr>
        <w:pageBreakBefore/>
        <w:snapToGrid w:val="0"/>
        <w:spacing w:line="400" w:lineRule="atLeast"/>
        <w:rPr>
          <w:rFonts w:ascii="宋体" w:hAnsi="宋体"/>
          <w:b/>
          <w:szCs w:val="21"/>
        </w:rPr>
      </w:pPr>
      <w:permStart w:id="23" w:edGrp="everyone"/>
      <w:r>
        <w:rPr>
          <w:rFonts w:hint="eastAsia" w:ascii="宋体" w:hAnsi="宋体"/>
          <w:b/>
          <w:szCs w:val="21"/>
        </w:rPr>
        <w:t>发包单位：（以下简称发包人）</w:t>
      </w:r>
    </w:p>
    <w:p>
      <w:pPr>
        <w:adjustRightInd w:val="0"/>
        <w:snapToGrid w:val="0"/>
        <w:spacing w:line="480" w:lineRule="atLeast"/>
        <w:rPr>
          <w:rFonts w:ascii="宋体" w:hAnsi="宋体"/>
          <w:b/>
          <w:szCs w:val="21"/>
        </w:rPr>
      </w:pPr>
      <w:r>
        <w:rPr>
          <w:rFonts w:hint="eastAsia" w:ascii="宋体" w:hAnsi="宋体"/>
          <w:b/>
          <w:szCs w:val="21"/>
        </w:rPr>
        <w:t>承包单位：（以下简称承包人）</w:t>
      </w:r>
    </w:p>
    <w:p>
      <w:pPr>
        <w:adjustRightInd w:val="0"/>
        <w:snapToGrid w:val="0"/>
        <w:spacing w:before="156" w:beforeLines="50" w:after="156" w:afterLines="50" w:line="360" w:lineRule="auto"/>
        <w:ind w:firstLine="420" w:firstLineChars="200"/>
        <w:rPr>
          <w:rFonts w:hAnsi="宋体"/>
          <w:szCs w:val="21"/>
        </w:rPr>
      </w:pPr>
    </w:p>
    <w:permEnd w:id="23"/>
    <w:p>
      <w:pPr>
        <w:adjustRightInd w:val="0"/>
        <w:snapToGrid w:val="0"/>
        <w:spacing w:before="156" w:beforeLines="50" w:after="156" w:afterLines="50" w:line="360" w:lineRule="auto"/>
        <w:ind w:firstLine="420" w:firstLineChars="200"/>
        <w:rPr>
          <w:szCs w:val="21"/>
        </w:rPr>
      </w:pPr>
      <w:r>
        <w:rPr>
          <w:rFonts w:hAnsi="宋体"/>
          <w:szCs w:val="21"/>
        </w:rPr>
        <w:t>为了</w:t>
      </w:r>
      <w:r>
        <w:rPr>
          <w:rFonts w:hint="eastAsia" w:hAnsi="宋体"/>
          <w:szCs w:val="21"/>
        </w:rPr>
        <w:t>加强项目施工合同（以下简称“施工合同”）管理，</w:t>
      </w:r>
      <w:r>
        <w:rPr>
          <w:rFonts w:hAnsi="宋体"/>
          <w:szCs w:val="21"/>
        </w:rPr>
        <w:t>确保实现</w:t>
      </w:r>
      <w:r>
        <w:rPr>
          <w:rFonts w:hAnsi="宋体"/>
          <w:spacing w:val="6"/>
          <w:szCs w:val="21"/>
        </w:rPr>
        <w:t>本</w:t>
      </w:r>
      <w:r>
        <w:rPr>
          <w:rFonts w:hint="eastAsia" w:hAnsi="宋体"/>
          <w:spacing w:val="6"/>
          <w:szCs w:val="21"/>
        </w:rPr>
        <w:t>工程</w:t>
      </w:r>
      <w:r>
        <w:rPr>
          <w:rFonts w:hAnsi="宋体"/>
          <w:spacing w:val="6"/>
          <w:szCs w:val="21"/>
        </w:rPr>
        <w:t>项目</w:t>
      </w:r>
      <w:r>
        <w:rPr>
          <w:rFonts w:hAnsi="宋体"/>
          <w:szCs w:val="21"/>
        </w:rPr>
        <w:t>的安全生产、职业健康及环境保护管理目标的实现，进一步明确发包人与承包人的安健环</w:t>
      </w:r>
      <w:r>
        <w:rPr>
          <w:szCs w:val="21"/>
        </w:rPr>
        <w:t>（</w:t>
      </w:r>
      <w:r>
        <w:rPr>
          <w:rFonts w:hAnsi="宋体"/>
          <w:szCs w:val="21"/>
        </w:rPr>
        <w:t>安全生产、职业健康及环境保护，下同</w:t>
      </w:r>
      <w:r>
        <w:rPr>
          <w:szCs w:val="21"/>
        </w:rPr>
        <w:t>）</w:t>
      </w:r>
      <w:r>
        <w:rPr>
          <w:rFonts w:hAnsi="宋体"/>
          <w:szCs w:val="21"/>
        </w:rPr>
        <w:t>管理责任，加强安健环工作的</w:t>
      </w:r>
      <w:r>
        <w:rPr>
          <w:rFonts w:hint="eastAsia" w:hAnsi="宋体"/>
          <w:szCs w:val="21"/>
        </w:rPr>
        <w:t>统一</w:t>
      </w:r>
      <w:r>
        <w:rPr>
          <w:rFonts w:hAnsi="宋体"/>
          <w:szCs w:val="21"/>
        </w:rPr>
        <w:t>协调、管理，发包人与承包人依据国家</w:t>
      </w:r>
      <w:r>
        <w:rPr>
          <w:rFonts w:hint="eastAsia" w:hAnsi="宋体"/>
          <w:szCs w:val="21"/>
        </w:rPr>
        <w:t>相</w:t>
      </w:r>
      <w:r>
        <w:rPr>
          <w:rFonts w:hAnsi="宋体"/>
          <w:szCs w:val="21"/>
        </w:rPr>
        <w:t>关</w:t>
      </w:r>
      <w:r>
        <w:rPr>
          <w:rFonts w:hint="eastAsia" w:hAnsi="宋体"/>
          <w:szCs w:val="21"/>
        </w:rPr>
        <w:t>的</w:t>
      </w:r>
      <w:r>
        <w:rPr>
          <w:rFonts w:hAnsi="宋体"/>
          <w:szCs w:val="21"/>
        </w:rPr>
        <w:t>安健环法律、法规以及强制性标准或行业标准</w:t>
      </w:r>
      <w:r>
        <w:rPr>
          <w:rFonts w:hint="eastAsia" w:hAnsi="宋体"/>
          <w:szCs w:val="21"/>
        </w:rPr>
        <w:t>要求</w:t>
      </w:r>
      <w:r>
        <w:rPr>
          <w:rFonts w:hAnsi="宋体"/>
          <w:szCs w:val="21"/>
        </w:rPr>
        <w:t>，</w:t>
      </w:r>
      <w:r>
        <w:rPr>
          <w:rFonts w:hint="eastAsia" w:hAnsi="宋体"/>
          <w:szCs w:val="21"/>
        </w:rPr>
        <w:t>本着平等、自愿的原则，</w:t>
      </w:r>
      <w:r>
        <w:rPr>
          <w:rFonts w:hAnsi="宋体"/>
          <w:szCs w:val="21"/>
        </w:rPr>
        <w:t>签订本协议</w:t>
      </w:r>
      <w:r>
        <w:rPr>
          <w:rFonts w:hint="eastAsia" w:hAnsi="宋体"/>
          <w:szCs w:val="21"/>
        </w:rPr>
        <w:t>书</w:t>
      </w:r>
      <w:r>
        <w:rPr>
          <w:rFonts w:hAnsi="宋体"/>
          <w:szCs w:val="21"/>
        </w:rPr>
        <w:t>。具体条款如下：</w:t>
      </w:r>
    </w:p>
    <w:p>
      <w:pPr>
        <w:pStyle w:val="3"/>
        <w:keepNext w:val="0"/>
        <w:keepLines w:val="0"/>
        <w:tabs>
          <w:tab w:val="left" w:pos="432"/>
        </w:tabs>
        <w:topLinePunct/>
        <w:adjustRightInd w:val="0"/>
        <w:snapToGrid w:val="0"/>
        <w:spacing w:before="156" w:beforeLines="50" w:after="156" w:afterLines="50" w:line="360" w:lineRule="auto"/>
        <w:textAlignment w:val="center"/>
        <w:rPr>
          <w:sz w:val="21"/>
          <w:szCs w:val="21"/>
        </w:rPr>
      </w:pPr>
      <w:bookmarkStart w:id="151" w:name="_Toc483991664"/>
      <w:bookmarkStart w:id="152" w:name="_Toc482889943"/>
      <w:bookmarkStart w:id="153" w:name="_Toc483122176"/>
      <w:bookmarkStart w:id="154" w:name="_Toc484108915"/>
      <w:bookmarkStart w:id="155" w:name="_Toc484108970"/>
      <w:bookmarkStart w:id="156" w:name="_Toc483596392"/>
      <w:bookmarkStart w:id="157" w:name="_Toc483601178"/>
      <w:bookmarkStart w:id="158" w:name="_Toc478424895"/>
      <w:bookmarkStart w:id="159" w:name="_Toc477982308"/>
      <w:bookmarkStart w:id="160" w:name="_Toc477970723"/>
      <w:bookmarkStart w:id="161" w:name="_Toc478303281"/>
      <w:bookmarkStart w:id="162" w:name="_Toc482903427"/>
      <w:bookmarkStart w:id="163" w:name="_Toc484082700"/>
      <w:bookmarkStart w:id="164" w:name="_Toc482906030"/>
      <w:bookmarkStart w:id="165" w:name="_Toc483086402"/>
      <w:r>
        <w:rPr>
          <w:rFonts w:hAnsi="宋体"/>
          <w:sz w:val="21"/>
          <w:szCs w:val="21"/>
        </w:rPr>
        <w:t>一、协议有效期限</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pPr>
        <w:spacing w:before="156" w:beforeLines="50" w:after="156" w:afterLines="50" w:line="360" w:lineRule="auto"/>
        <w:ind w:firstLine="420" w:firstLineChars="200"/>
        <w:rPr>
          <w:rFonts w:ascii="宋体" w:hAnsi="宋体"/>
          <w:szCs w:val="21"/>
        </w:rPr>
      </w:pPr>
      <w:r>
        <w:rPr>
          <w:rFonts w:hAnsi="宋体"/>
          <w:szCs w:val="21"/>
        </w:rPr>
        <w:t>本协议中所涉及的安健环管理责任</w:t>
      </w:r>
      <w:r>
        <w:rPr>
          <w:rFonts w:hint="eastAsia" w:hAnsi="宋体"/>
          <w:szCs w:val="21"/>
        </w:rPr>
        <w:t>与施工合同同日生效和</w:t>
      </w:r>
      <w:r>
        <w:rPr>
          <w:rFonts w:hAnsi="宋体"/>
          <w:szCs w:val="21"/>
        </w:rPr>
        <w:t>终止。</w:t>
      </w:r>
      <w:r>
        <w:rPr>
          <w:rFonts w:hint="eastAsia" w:hAnsi="宋体"/>
          <w:szCs w:val="21"/>
        </w:rPr>
        <w:t>质保期有现场服务的，安健环管理协议由双方另行补充，没有补充协议的，参照本协议执行。</w:t>
      </w:r>
    </w:p>
    <w:p>
      <w:pPr>
        <w:pStyle w:val="3"/>
        <w:keepNext w:val="0"/>
        <w:keepLines w:val="0"/>
        <w:tabs>
          <w:tab w:val="left" w:pos="432"/>
        </w:tabs>
        <w:topLinePunct/>
        <w:adjustRightInd w:val="0"/>
        <w:snapToGrid w:val="0"/>
        <w:spacing w:before="156" w:beforeLines="50" w:after="156" w:afterLines="50" w:line="360" w:lineRule="auto"/>
        <w:textAlignment w:val="center"/>
        <w:rPr>
          <w:rFonts w:hAnsi="宋体"/>
          <w:sz w:val="21"/>
          <w:szCs w:val="21"/>
        </w:rPr>
      </w:pPr>
      <w:bookmarkStart w:id="166" w:name="_Toc483991665"/>
      <w:bookmarkStart w:id="167" w:name="_Toc483596393"/>
      <w:bookmarkStart w:id="168" w:name="_Toc484082701"/>
      <w:bookmarkStart w:id="169" w:name="_Toc484108916"/>
      <w:bookmarkStart w:id="170" w:name="_Toc477982309"/>
      <w:bookmarkStart w:id="171" w:name="_Toc478303282"/>
      <w:bookmarkStart w:id="172" w:name="_Toc478424896"/>
      <w:bookmarkStart w:id="173" w:name="_Toc482903428"/>
      <w:bookmarkStart w:id="174" w:name="_Toc477970724"/>
      <w:bookmarkStart w:id="175" w:name="_Toc484108971"/>
      <w:bookmarkStart w:id="176" w:name="_Toc483086403"/>
      <w:bookmarkStart w:id="177" w:name="_Toc482889944"/>
      <w:bookmarkStart w:id="178" w:name="_Toc483601179"/>
      <w:bookmarkStart w:id="179" w:name="_Toc483122177"/>
      <w:bookmarkStart w:id="180" w:name="_Toc482906031"/>
      <w:r>
        <w:rPr>
          <w:rFonts w:hAnsi="宋体"/>
          <w:sz w:val="21"/>
          <w:szCs w:val="21"/>
        </w:rPr>
        <w:t>二、管理目标</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pPr>
        <w:numPr>
          <w:ilvl w:val="0"/>
          <w:numId w:val="4"/>
        </w:numPr>
        <w:adjustRightInd w:val="0"/>
        <w:snapToGrid w:val="0"/>
        <w:spacing w:line="360" w:lineRule="auto"/>
        <w:rPr>
          <w:szCs w:val="21"/>
        </w:rPr>
      </w:pPr>
      <w:r>
        <w:rPr>
          <w:rFonts w:hAnsi="宋体"/>
          <w:szCs w:val="21"/>
        </w:rPr>
        <w:t>本</w:t>
      </w:r>
      <w:r>
        <w:rPr>
          <w:rFonts w:hint="eastAsia" w:hAnsi="宋体"/>
          <w:szCs w:val="21"/>
        </w:rPr>
        <w:t>工程</w:t>
      </w:r>
      <w:r>
        <w:rPr>
          <w:rFonts w:hAnsi="宋体"/>
          <w:szCs w:val="21"/>
        </w:rPr>
        <w:t>安全</w:t>
      </w:r>
      <w:r>
        <w:rPr>
          <w:rFonts w:hint="eastAsia" w:hAnsi="宋体"/>
          <w:szCs w:val="21"/>
        </w:rPr>
        <w:t>生产</w:t>
      </w:r>
      <w:r>
        <w:rPr>
          <w:rFonts w:hAnsi="宋体"/>
          <w:szCs w:val="21"/>
        </w:rPr>
        <w:t>目标为：</w:t>
      </w:r>
    </w:p>
    <w:p>
      <w:pPr>
        <w:numPr>
          <w:ilvl w:val="0"/>
          <w:numId w:val="5"/>
        </w:numPr>
        <w:adjustRightInd w:val="0"/>
        <w:snapToGrid w:val="0"/>
        <w:spacing w:line="360" w:lineRule="auto"/>
        <w:rPr>
          <w:rFonts w:hAnsi="宋体"/>
          <w:szCs w:val="21"/>
        </w:rPr>
      </w:pPr>
      <w:r>
        <w:rPr>
          <w:rFonts w:hint="eastAsia" w:hAnsi="宋体"/>
          <w:szCs w:val="21"/>
        </w:rPr>
        <w:t>不发生因工人身重伤及以上事故；</w:t>
      </w:r>
    </w:p>
    <w:p>
      <w:pPr>
        <w:numPr>
          <w:ilvl w:val="0"/>
          <w:numId w:val="5"/>
        </w:numPr>
        <w:adjustRightInd w:val="0"/>
        <w:snapToGrid w:val="0"/>
        <w:spacing w:line="360" w:lineRule="auto"/>
        <w:rPr>
          <w:rFonts w:hAnsi="宋体"/>
          <w:szCs w:val="21"/>
        </w:rPr>
      </w:pPr>
      <w:r>
        <w:rPr>
          <w:rFonts w:hint="eastAsia" w:hAnsi="宋体"/>
          <w:szCs w:val="21"/>
        </w:rPr>
        <w:t>不发生一般及以上火灾、爆炸事故；</w:t>
      </w:r>
    </w:p>
    <w:p>
      <w:pPr>
        <w:numPr>
          <w:ilvl w:val="0"/>
          <w:numId w:val="5"/>
        </w:numPr>
        <w:adjustRightInd w:val="0"/>
        <w:snapToGrid w:val="0"/>
        <w:spacing w:line="360" w:lineRule="auto"/>
        <w:rPr>
          <w:rFonts w:hAnsi="宋体"/>
          <w:szCs w:val="21"/>
        </w:rPr>
      </w:pPr>
      <w:r>
        <w:rPr>
          <w:rFonts w:hint="eastAsia" w:hAnsi="宋体"/>
          <w:szCs w:val="21"/>
        </w:rPr>
        <w:t>不发生一般及以上机械、设备损坏事故；</w:t>
      </w:r>
    </w:p>
    <w:p>
      <w:pPr>
        <w:numPr>
          <w:ilvl w:val="0"/>
          <w:numId w:val="5"/>
        </w:numPr>
        <w:adjustRightInd w:val="0"/>
        <w:snapToGrid w:val="0"/>
        <w:spacing w:line="360" w:lineRule="auto"/>
        <w:rPr>
          <w:rFonts w:hAnsi="宋体"/>
          <w:szCs w:val="21"/>
        </w:rPr>
      </w:pPr>
      <w:r>
        <w:rPr>
          <w:rFonts w:hint="eastAsia" w:hAnsi="宋体"/>
          <w:szCs w:val="21"/>
        </w:rPr>
        <w:t>不发生负同等及以上责任的一般生产性交通事故；</w:t>
      </w:r>
    </w:p>
    <w:p>
      <w:pPr>
        <w:numPr>
          <w:ilvl w:val="0"/>
          <w:numId w:val="5"/>
        </w:numPr>
        <w:adjustRightInd w:val="0"/>
        <w:snapToGrid w:val="0"/>
        <w:spacing w:line="360" w:lineRule="auto"/>
        <w:rPr>
          <w:rFonts w:hAnsi="宋体"/>
          <w:szCs w:val="21"/>
        </w:rPr>
      </w:pPr>
      <w:r>
        <w:rPr>
          <w:rFonts w:hint="eastAsia" w:hAnsi="宋体"/>
          <w:szCs w:val="21"/>
        </w:rPr>
        <w:t>不发生重大垮（坍）塌事故；</w:t>
      </w:r>
    </w:p>
    <w:p>
      <w:pPr>
        <w:numPr>
          <w:ilvl w:val="0"/>
          <w:numId w:val="5"/>
        </w:numPr>
        <w:adjustRightInd w:val="0"/>
        <w:snapToGrid w:val="0"/>
        <w:spacing w:line="360" w:lineRule="auto"/>
        <w:rPr>
          <w:rFonts w:hAnsi="宋体"/>
          <w:szCs w:val="21"/>
        </w:rPr>
      </w:pPr>
      <w:r>
        <w:rPr>
          <w:rFonts w:hint="eastAsia" w:hAnsi="宋体"/>
          <w:szCs w:val="21"/>
        </w:rPr>
        <w:t>不发生群伤恶性事故；</w:t>
      </w:r>
    </w:p>
    <w:p>
      <w:pPr>
        <w:numPr>
          <w:ilvl w:val="0"/>
          <w:numId w:val="5"/>
        </w:numPr>
        <w:adjustRightInd w:val="0"/>
        <w:snapToGrid w:val="0"/>
        <w:spacing w:line="360" w:lineRule="auto"/>
        <w:rPr>
          <w:rFonts w:hAnsi="宋体"/>
          <w:szCs w:val="21"/>
        </w:rPr>
      </w:pPr>
      <w:r>
        <w:rPr>
          <w:rFonts w:hint="eastAsia" w:hAnsi="宋体"/>
          <w:szCs w:val="21"/>
        </w:rPr>
        <w:t>不发生一般及以上电网事故；</w:t>
      </w:r>
    </w:p>
    <w:p>
      <w:pPr>
        <w:numPr>
          <w:ilvl w:val="0"/>
          <w:numId w:val="5"/>
        </w:numPr>
        <w:adjustRightInd w:val="0"/>
        <w:snapToGrid w:val="0"/>
        <w:spacing w:line="360" w:lineRule="auto"/>
        <w:rPr>
          <w:rFonts w:hAnsi="宋体"/>
          <w:szCs w:val="21"/>
        </w:rPr>
      </w:pPr>
      <w:r>
        <w:rPr>
          <w:rFonts w:hint="eastAsia" w:hAnsi="宋体"/>
          <w:szCs w:val="21"/>
        </w:rPr>
        <w:t>不发生恶性电气误操作事故；</w:t>
      </w:r>
    </w:p>
    <w:p>
      <w:pPr>
        <w:numPr>
          <w:ilvl w:val="0"/>
          <w:numId w:val="5"/>
        </w:numPr>
        <w:adjustRightInd w:val="0"/>
        <w:snapToGrid w:val="0"/>
        <w:spacing w:line="360" w:lineRule="auto"/>
        <w:rPr>
          <w:rFonts w:hAnsi="宋体"/>
          <w:szCs w:val="21"/>
        </w:rPr>
      </w:pPr>
      <w:r>
        <w:rPr>
          <w:rFonts w:hint="eastAsia" w:hAnsi="宋体"/>
          <w:szCs w:val="21"/>
        </w:rPr>
        <w:t>人身轻伤事故率</w:t>
      </w:r>
      <w:r>
        <w:rPr>
          <w:rFonts w:hint="eastAsia" w:ascii="宋体" w:hAnsi="宋体"/>
          <w:szCs w:val="21"/>
        </w:rPr>
        <w:t>≤4‰</w:t>
      </w:r>
      <w:r>
        <w:rPr>
          <w:rFonts w:hint="eastAsia" w:hAnsi="宋体"/>
          <w:szCs w:val="21"/>
        </w:rPr>
        <w:t>。</w:t>
      </w:r>
    </w:p>
    <w:p>
      <w:pPr>
        <w:numPr>
          <w:ilvl w:val="0"/>
          <w:numId w:val="4"/>
        </w:numPr>
        <w:adjustRightInd w:val="0"/>
        <w:snapToGrid w:val="0"/>
        <w:spacing w:line="360" w:lineRule="auto"/>
        <w:rPr>
          <w:rFonts w:hAnsi="宋体"/>
          <w:bCs/>
          <w:szCs w:val="21"/>
        </w:rPr>
      </w:pPr>
      <w:r>
        <w:rPr>
          <w:rFonts w:hAnsi="宋体"/>
          <w:bCs/>
          <w:szCs w:val="21"/>
        </w:rPr>
        <w:t>本</w:t>
      </w:r>
      <w:r>
        <w:rPr>
          <w:rFonts w:hint="eastAsia" w:hAnsi="宋体"/>
          <w:bCs/>
          <w:szCs w:val="21"/>
        </w:rPr>
        <w:t>工程</w:t>
      </w:r>
      <w:r>
        <w:rPr>
          <w:rFonts w:hAnsi="宋体"/>
          <w:bCs/>
          <w:szCs w:val="21"/>
        </w:rPr>
        <w:t>职业健康目标为：</w:t>
      </w:r>
    </w:p>
    <w:p>
      <w:pPr>
        <w:numPr>
          <w:ilvl w:val="0"/>
          <w:numId w:val="6"/>
        </w:numPr>
        <w:adjustRightInd w:val="0"/>
        <w:snapToGrid w:val="0"/>
        <w:spacing w:line="360" w:lineRule="auto"/>
        <w:rPr>
          <w:rFonts w:hAnsi="宋体"/>
          <w:szCs w:val="21"/>
        </w:rPr>
      </w:pPr>
      <w:r>
        <w:rPr>
          <w:rFonts w:hint="eastAsia" w:hAnsi="宋体"/>
          <w:szCs w:val="21"/>
        </w:rPr>
        <w:t>不发生</w:t>
      </w:r>
      <w:r>
        <w:rPr>
          <w:rFonts w:hint="eastAsia" w:ascii="宋体" w:hAnsi="宋体"/>
          <w:szCs w:val="21"/>
        </w:rPr>
        <w:t>一般及以上职业病危害事故</w:t>
      </w:r>
      <w:r>
        <w:rPr>
          <w:rFonts w:hint="eastAsia" w:hAnsi="宋体"/>
          <w:szCs w:val="21"/>
        </w:rPr>
        <w:t>和职业中毒事故；</w:t>
      </w:r>
    </w:p>
    <w:p>
      <w:pPr>
        <w:numPr>
          <w:ilvl w:val="0"/>
          <w:numId w:val="6"/>
        </w:numPr>
        <w:adjustRightInd w:val="0"/>
        <w:snapToGrid w:val="0"/>
        <w:spacing w:line="360" w:lineRule="auto"/>
        <w:rPr>
          <w:rFonts w:hAnsi="宋体"/>
          <w:szCs w:val="21"/>
        </w:rPr>
      </w:pPr>
      <w:r>
        <w:rPr>
          <w:rFonts w:hint="eastAsia" w:hAnsi="宋体"/>
          <w:szCs w:val="21"/>
        </w:rPr>
        <w:t>不发生群体食物中毒事故；</w:t>
      </w:r>
    </w:p>
    <w:p>
      <w:pPr>
        <w:numPr>
          <w:ilvl w:val="0"/>
          <w:numId w:val="6"/>
        </w:numPr>
        <w:adjustRightInd w:val="0"/>
        <w:snapToGrid w:val="0"/>
        <w:spacing w:line="360" w:lineRule="auto"/>
        <w:rPr>
          <w:rFonts w:hAnsi="宋体"/>
          <w:szCs w:val="21"/>
        </w:rPr>
      </w:pPr>
      <w:r>
        <w:rPr>
          <w:rFonts w:hAnsi="宋体"/>
          <w:szCs w:val="21"/>
        </w:rPr>
        <w:t>不发生流行性传染病传播（传染病未形成三人及以上同时患病）</w:t>
      </w:r>
      <w:r>
        <w:rPr>
          <w:rFonts w:hint="eastAsia" w:hAnsi="宋体"/>
          <w:szCs w:val="21"/>
        </w:rPr>
        <w:t>；</w:t>
      </w:r>
    </w:p>
    <w:p>
      <w:pPr>
        <w:numPr>
          <w:ilvl w:val="0"/>
          <w:numId w:val="6"/>
        </w:numPr>
        <w:adjustRightInd w:val="0"/>
        <w:snapToGrid w:val="0"/>
        <w:spacing w:line="360" w:lineRule="auto"/>
        <w:rPr>
          <w:rFonts w:hAnsi="宋体"/>
          <w:szCs w:val="21"/>
        </w:rPr>
      </w:pPr>
      <w:r>
        <w:rPr>
          <w:rFonts w:ascii="宋体" w:hAnsi="宋体"/>
          <w:szCs w:val="21"/>
        </w:rPr>
        <w:t>职业病</w:t>
      </w:r>
      <w:r>
        <w:rPr>
          <w:rFonts w:hint="eastAsia" w:ascii="宋体" w:hAnsi="宋体"/>
          <w:szCs w:val="21"/>
        </w:rPr>
        <w:t>危害因素检测合格率</w:t>
      </w:r>
      <w:r>
        <w:rPr>
          <w:rFonts w:hint="eastAsia" w:ascii="宋体" w:hAnsi="宋体"/>
          <w:bCs/>
          <w:szCs w:val="21"/>
        </w:rPr>
        <w:t>≥</w:t>
      </w:r>
      <w:r>
        <w:rPr>
          <w:rFonts w:hint="eastAsia" w:ascii="宋体" w:hAnsi="宋体"/>
          <w:szCs w:val="21"/>
        </w:rPr>
        <w:t>95%</w:t>
      </w:r>
      <w:r>
        <w:rPr>
          <w:rFonts w:hint="eastAsia" w:hAnsi="宋体"/>
          <w:szCs w:val="21"/>
        </w:rPr>
        <w:t>。</w:t>
      </w:r>
    </w:p>
    <w:p>
      <w:pPr>
        <w:numPr>
          <w:ilvl w:val="0"/>
          <w:numId w:val="4"/>
        </w:numPr>
        <w:adjustRightInd w:val="0"/>
        <w:snapToGrid w:val="0"/>
        <w:spacing w:line="360" w:lineRule="auto"/>
        <w:rPr>
          <w:rFonts w:hAnsi="宋体"/>
          <w:bCs/>
          <w:szCs w:val="21"/>
        </w:rPr>
      </w:pPr>
      <w:r>
        <w:rPr>
          <w:rFonts w:hAnsi="宋体"/>
          <w:bCs/>
          <w:szCs w:val="21"/>
        </w:rPr>
        <w:t>本</w:t>
      </w:r>
      <w:r>
        <w:rPr>
          <w:rFonts w:hint="eastAsia" w:hAnsi="宋体"/>
          <w:bCs/>
          <w:szCs w:val="21"/>
        </w:rPr>
        <w:t>工程</w:t>
      </w:r>
      <w:r>
        <w:rPr>
          <w:rFonts w:hAnsi="宋体"/>
          <w:bCs/>
          <w:szCs w:val="21"/>
        </w:rPr>
        <w:t>环境管理目标为：</w:t>
      </w:r>
    </w:p>
    <w:p>
      <w:pPr>
        <w:numPr>
          <w:ilvl w:val="0"/>
          <w:numId w:val="7"/>
        </w:numPr>
        <w:adjustRightInd w:val="0"/>
        <w:snapToGrid w:val="0"/>
        <w:spacing w:line="360" w:lineRule="auto"/>
        <w:rPr>
          <w:rFonts w:hAnsi="宋体"/>
          <w:szCs w:val="21"/>
        </w:rPr>
      </w:pPr>
      <w:r>
        <w:rPr>
          <w:rFonts w:hint="eastAsia" w:ascii="宋体" w:hAnsi="宋体"/>
          <w:szCs w:val="21"/>
        </w:rPr>
        <w:t>不发生一般</w:t>
      </w:r>
      <w:r>
        <w:rPr>
          <w:rFonts w:ascii="宋体" w:hAnsi="宋体"/>
          <w:szCs w:val="21"/>
        </w:rPr>
        <w:t>（</w:t>
      </w:r>
      <w:r>
        <w:rPr>
          <w:rFonts w:hint="eastAsia" w:ascii="宋体" w:hAnsi="宋体"/>
          <w:szCs w:val="21"/>
        </w:rPr>
        <w:t>Ⅳ</w:t>
      </w:r>
      <w:r>
        <w:rPr>
          <w:rFonts w:ascii="宋体" w:hAnsi="宋体"/>
          <w:szCs w:val="21"/>
        </w:rPr>
        <w:t>级）</w:t>
      </w:r>
      <w:r>
        <w:rPr>
          <w:rFonts w:hint="eastAsia" w:ascii="宋体" w:hAnsi="宋体"/>
          <w:szCs w:val="21"/>
        </w:rPr>
        <w:t>及以上</w:t>
      </w:r>
      <w:r>
        <w:rPr>
          <w:rFonts w:ascii="宋体" w:hAnsi="宋体"/>
          <w:szCs w:val="21"/>
        </w:rPr>
        <w:t>突发</w:t>
      </w:r>
      <w:r>
        <w:rPr>
          <w:rFonts w:hint="eastAsia" w:ascii="宋体" w:hAnsi="宋体"/>
          <w:szCs w:val="21"/>
        </w:rPr>
        <w:t>性</w:t>
      </w:r>
      <w:r>
        <w:rPr>
          <w:rFonts w:ascii="宋体" w:hAnsi="宋体"/>
          <w:szCs w:val="21"/>
        </w:rPr>
        <w:t>环境</w:t>
      </w:r>
      <w:r>
        <w:rPr>
          <w:rFonts w:hint="eastAsia" w:ascii="宋体" w:hAnsi="宋体"/>
          <w:szCs w:val="21"/>
        </w:rPr>
        <w:t>污染</w:t>
      </w:r>
      <w:r>
        <w:rPr>
          <w:rFonts w:ascii="宋体" w:hAnsi="宋体"/>
          <w:szCs w:val="21"/>
        </w:rPr>
        <w:t>事</w:t>
      </w:r>
      <w:r>
        <w:rPr>
          <w:rFonts w:hint="eastAsia" w:ascii="宋体" w:hAnsi="宋体"/>
          <w:szCs w:val="21"/>
        </w:rPr>
        <w:t>故</w:t>
      </w:r>
      <w:r>
        <w:rPr>
          <w:rFonts w:hint="eastAsia" w:hAnsi="宋体"/>
          <w:szCs w:val="21"/>
        </w:rPr>
        <w:t>；</w:t>
      </w:r>
    </w:p>
    <w:p>
      <w:pPr>
        <w:numPr>
          <w:ilvl w:val="0"/>
          <w:numId w:val="7"/>
        </w:numPr>
        <w:adjustRightInd w:val="0"/>
        <w:snapToGrid w:val="0"/>
        <w:spacing w:line="360" w:lineRule="auto"/>
        <w:rPr>
          <w:rFonts w:hAnsi="宋体"/>
          <w:szCs w:val="21"/>
        </w:rPr>
      </w:pPr>
      <w:r>
        <w:rPr>
          <w:rFonts w:hint="eastAsia" w:hAnsi="宋体"/>
          <w:szCs w:val="21"/>
        </w:rPr>
        <w:t>不发生放射源失控事故；</w:t>
      </w:r>
    </w:p>
    <w:p>
      <w:pPr>
        <w:numPr>
          <w:ilvl w:val="0"/>
          <w:numId w:val="7"/>
        </w:numPr>
        <w:adjustRightInd w:val="0"/>
        <w:snapToGrid w:val="0"/>
        <w:spacing w:line="360" w:lineRule="auto"/>
        <w:rPr>
          <w:rFonts w:hAnsi="宋体"/>
          <w:szCs w:val="21"/>
        </w:rPr>
      </w:pPr>
      <w:r>
        <w:rPr>
          <w:rFonts w:hint="eastAsia" w:hAnsi="宋体"/>
          <w:szCs w:val="21"/>
        </w:rPr>
        <w:t>不发生</w:t>
      </w:r>
      <w:r>
        <w:rPr>
          <w:rFonts w:hAnsi="宋体"/>
          <w:szCs w:val="21"/>
        </w:rPr>
        <w:t>环境污染处罚事件</w:t>
      </w:r>
      <w:r>
        <w:rPr>
          <w:rFonts w:hint="eastAsia" w:hAnsi="宋体"/>
          <w:szCs w:val="21"/>
        </w:rPr>
        <w:t>；</w:t>
      </w:r>
    </w:p>
    <w:p>
      <w:pPr>
        <w:numPr>
          <w:ilvl w:val="0"/>
          <w:numId w:val="7"/>
        </w:numPr>
        <w:adjustRightInd w:val="0"/>
        <w:snapToGrid w:val="0"/>
        <w:spacing w:line="360" w:lineRule="auto"/>
        <w:ind w:left="0" w:firstLine="420" w:firstLineChars="200"/>
        <w:rPr>
          <w:rFonts w:hAnsi="宋体"/>
          <w:szCs w:val="21"/>
        </w:rPr>
      </w:pPr>
      <w:r>
        <w:rPr>
          <w:rFonts w:hint="eastAsia" w:ascii="宋体" w:hAnsi="宋体"/>
          <w:szCs w:val="21"/>
        </w:rPr>
        <w:t>工业“三废”</w:t>
      </w:r>
      <w:r>
        <w:rPr>
          <w:rFonts w:ascii="宋体" w:hAnsi="宋体"/>
          <w:szCs w:val="21"/>
        </w:rPr>
        <w:t>的容许排放量</w:t>
      </w:r>
      <w:r>
        <w:rPr>
          <w:rFonts w:hint="eastAsia" w:ascii="宋体" w:hAnsi="宋体"/>
          <w:szCs w:val="21"/>
        </w:rPr>
        <w:t>和</w:t>
      </w:r>
      <w:r>
        <w:rPr>
          <w:rFonts w:ascii="宋体" w:hAnsi="宋体"/>
          <w:szCs w:val="21"/>
        </w:rPr>
        <w:t>排放浓度</w:t>
      </w:r>
      <w:r>
        <w:rPr>
          <w:rFonts w:hint="eastAsia" w:ascii="宋体" w:hAnsi="宋体"/>
          <w:szCs w:val="21"/>
        </w:rPr>
        <w:t>达标率100%</w:t>
      </w:r>
      <w:r>
        <w:rPr>
          <w:rFonts w:hAnsi="宋体"/>
          <w:szCs w:val="21"/>
        </w:rPr>
        <w:t>；</w:t>
      </w:r>
    </w:p>
    <w:p>
      <w:pPr>
        <w:numPr>
          <w:ilvl w:val="0"/>
          <w:numId w:val="7"/>
        </w:numPr>
        <w:adjustRightInd w:val="0"/>
        <w:snapToGrid w:val="0"/>
        <w:spacing w:line="360" w:lineRule="auto"/>
        <w:ind w:left="0" w:firstLine="420" w:firstLineChars="200"/>
        <w:rPr>
          <w:rFonts w:hAnsi="宋体"/>
          <w:szCs w:val="21"/>
        </w:rPr>
      </w:pPr>
      <w:r>
        <w:rPr>
          <w:rFonts w:hint="eastAsia" w:ascii="宋体" w:hAnsi="宋体"/>
          <w:szCs w:val="21"/>
        </w:rPr>
        <w:t>噪声排放达标率100%</w:t>
      </w:r>
      <w:r>
        <w:rPr>
          <w:rFonts w:hAnsi="宋体"/>
          <w:szCs w:val="21"/>
        </w:rPr>
        <w:t>；</w:t>
      </w:r>
    </w:p>
    <w:p>
      <w:pPr>
        <w:numPr>
          <w:ilvl w:val="0"/>
          <w:numId w:val="7"/>
        </w:numPr>
        <w:adjustRightInd w:val="0"/>
        <w:snapToGrid w:val="0"/>
        <w:spacing w:line="360" w:lineRule="auto"/>
        <w:ind w:left="0" w:firstLine="420" w:firstLineChars="200"/>
        <w:rPr>
          <w:rFonts w:hAnsi="宋体"/>
          <w:szCs w:val="21"/>
        </w:rPr>
      </w:pPr>
      <w:r>
        <w:rPr>
          <w:rFonts w:hint="eastAsia" w:ascii="宋体" w:hAnsi="宋体"/>
          <w:szCs w:val="21"/>
        </w:rPr>
        <w:t>危险废弃物合法处理合格率100%</w:t>
      </w:r>
      <w:r>
        <w:rPr>
          <w:rFonts w:hAnsi="宋体"/>
          <w:szCs w:val="21"/>
        </w:rPr>
        <w:t>；</w:t>
      </w:r>
    </w:p>
    <w:p>
      <w:pPr>
        <w:numPr>
          <w:ilvl w:val="0"/>
          <w:numId w:val="7"/>
        </w:numPr>
        <w:adjustRightInd w:val="0"/>
        <w:snapToGrid w:val="0"/>
        <w:spacing w:line="360" w:lineRule="auto"/>
        <w:ind w:left="0" w:firstLine="420" w:firstLineChars="200"/>
        <w:rPr>
          <w:rFonts w:hAnsi="宋体"/>
          <w:szCs w:val="21"/>
        </w:rPr>
      </w:pPr>
      <w:r>
        <w:rPr>
          <w:rFonts w:hAnsi="宋体"/>
          <w:szCs w:val="21"/>
        </w:rPr>
        <w:t>大力推广运用科学技术，采取有效措施，节约资源消耗；</w:t>
      </w:r>
    </w:p>
    <w:p>
      <w:pPr>
        <w:numPr>
          <w:ilvl w:val="0"/>
          <w:numId w:val="7"/>
        </w:numPr>
        <w:adjustRightInd w:val="0"/>
        <w:snapToGrid w:val="0"/>
        <w:spacing w:line="360" w:lineRule="auto"/>
        <w:ind w:left="0" w:firstLine="420" w:firstLineChars="200"/>
        <w:rPr>
          <w:rFonts w:hAnsi="宋体"/>
          <w:szCs w:val="21"/>
        </w:rPr>
      </w:pPr>
      <w:r>
        <w:rPr>
          <w:rFonts w:hAnsi="宋体"/>
          <w:szCs w:val="21"/>
        </w:rPr>
        <w:t>保护自然生态环境，不乱砍滥伐，不破坏物质文化遗产，不伤害珍稀保护动植物。</w:t>
      </w:r>
    </w:p>
    <w:p>
      <w:pPr>
        <w:pStyle w:val="3"/>
        <w:keepNext w:val="0"/>
        <w:keepLines w:val="0"/>
        <w:tabs>
          <w:tab w:val="left" w:pos="432"/>
        </w:tabs>
        <w:topLinePunct/>
        <w:adjustRightInd w:val="0"/>
        <w:snapToGrid w:val="0"/>
        <w:spacing w:before="156" w:beforeLines="50" w:after="156" w:afterLines="50" w:line="360" w:lineRule="auto"/>
        <w:textAlignment w:val="center"/>
        <w:rPr>
          <w:rFonts w:hAnsi="宋体"/>
          <w:sz w:val="21"/>
          <w:szCs w:val="21"/>
        </w:rPr>
      </w:pPr>
      <w:bookmarkStart w:id="181" w:name="_Toc482906032"/>
      <w:bookmarkStart w:id="182" w:name="_Toc483991666"/>
      <w:bookmarkStart w:id="183" w:name="_Toc483601180"/>
      <w:bookmarkStart w:id="184" w:name="_Toc484108972"/>
      <w:bookmarkStart w:id="185" w:name="_Toc482889945"/>
      <w:bookmarkStart w:id="186" w:name="_Toc483086404"/>
      <w:bookmarkStart w:id="187" w:name="_Toc484108917"/>
      <w:bookmarkStart w:id="188" w:name="_Toc478424897"/>
      <w:bookmarkStart w:id="189" w:name="_Toc483596394"/>
      <w:bookmarkStart w:id="190" w:name="_Toc484082702"/>
      <w:bookmarkStart w:id="191" w:name="_Toc483122178"/>
      <w:bookmarkStart w:id="192" w:name="_Toc478303283"/>
      <w:bookmarkStart w:id="193" w:name="_Toc477970725"/>
      <w:bookmarkStart w:id="194" w:name="_Toc482903429"/>
      <w:bookmarkStart w:id="195" w:name="_Toc477982310"/>
      <w:r>
        <w:rPr>
          <w:rFonts w:hAnsi="宋体"/>
          <w:sz w:val="21"/>
          <w:szCs w:val="21"/>
        </w:rPr>
        <w:t>三、本工程安健环责任</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pPr>
        <w:numPr>
          <w:ilvl w:val="0"/>
          <w:numId w:val="8"/>
        </w:numPr>
        <w:adjustRightInd w:val="0"/>
        <w:snapToGrid w:val="0"/>
        <w:spacing w:line="360" w:lineRule="auto"/>
        <w:rPr>
          <w:bCs/>
          <w:szCs w:val="21"/>
        </w:rPr>
      </w:pPr>
      <w:r>
        <w:rPr>
          <w:rFonts w:hAnsi="宋体"/>
          <w:bCs/>
          <w:szCs w:val="21"/>
        </w:rPr>
        <w:t>双方共同承诺以下安健环责任：</w:t>
      </w:r>
    </w:p>
    <w:p>
      <w:pPr>
        <w:adjustRightInd w:val="0"/>
        <w:snapToGrid w:val="0"/>
        <w:spacing w:line="360" w:lineRule="auto"/>
        <w:ind w:firstLine="420" w:firstLineChars="200"/>
        <w:rPr>
          <w:rFonts w:hAnsi="宋体"/>
          <w:szCs w:val="21"/>
        </w:rPr>
      </w:pPr>
      <w:r>
        <w:rPr>
          <w:rFonts w:hint="eastAsia" w:hAnsi="宋体"/>
          <w:szCs w:val="21"/>
        </w:rPr>
        <w:t>1、</w:t>
      </w:r>
      <w:r>
        <w:rPr>
          <w:rFonts w:hAnsi="宋体"/>
          <w:szCs w:val="21"/>
        </w:rPr>
        <w:t>必须认真贯彻执行国家安全生产、环境保护、职业健康法律、法规</w:t>
      </w:r>
      <w:r>
        <w:rPr>
          <w:rFonts w:hint="eastAsia" w:hAnsi="宋体"/>
          <w:szCs w:val="21"/>
        </w:rPr>
        <w:t>、条例</w:t>
      </w:r>
      <w:r>
        <w:rPr>
          <w:rFonts w:hAnsi="宋体"/>
          <w:szCs w:val="21"/>
        </w:rPr>
        <w:t>，严格执行相关行业安全技术标准</w:t>
      </w:r>
      <w:r>
        <w:rPr>
          <w:rFonts w:hint="eastAsia" w:hAnsi="宋体"/>
          <w:szCs w:val="21"/>
        </w:rPr>
        <w:t>及强制性标准</w:t>
      </w:r>
      <w:r>
        <w:rPr>
          <w:rFonts w:hAnsi="宋体"/>
          <w:szCs w:val="21"/>
        </w:rPr>
        <w:t>。</w:t>
      </w:r>
    </w:p>
    <w:p>
      <w:pPr>
        <w:adjustRightInd w:val="0"/>
        <w:snapToGrid w:val="0"/>
        <w:spacing w:line="360" w:lineRule="auto"/>
        <w:ind w:firstLine="420" w:firstLineChars="200"/>
        <w:rPr>
          <w:rFonts w:hAnsi="宋体"/>
          <w:szCs w:val="21"/>
        </w:rPr>
      </w:pPr>
      <w:r>
        <w:rPr>
          <w:rFonts w:hint="eastAsia" w:hAnsi="宋体"/>
          <w:szCs w:val="21"/>
        </w:rPr>
        <w:t>2、</w:t>
      </w:r>
      <w:r>
        <w:rPr>
          <w:rFonts w:hAnsi="宋体"/>
          <w:szCs w:val="21"/>
        </w:rPr>
        <w:t>应建立健全工程项目的职业健康安全、环境管理体系</w:t>
      </w:r>
      <w:r>
        <w:rPr>
          <w:rFonts w:hint="eastAsia" w:hAnsi="宋体"/>
          <w:szCs w:val="21"/>
        </w:rPr>
        <w:t>，健全</w:t>
      </w:r>
      <w:r>
        <w:rPr>
          <w:rFonts w:hAnsi="宋体"/>
          <w:szCs w:val="21"/>
        </w:rPr>
        <w:t>责任</w:t>
      </w:r>
      <w:r>
        <w:rPr>
          <w:rFonts w:hint="eastAsia" w:hAnsi="宋体"/>
          <w:szCs w:val="21"/>
        </w:rPr>
        <w:t>体制</w:t>
      </w:r>
      <w:r>
        <w:rPr>
          <w:rFonts w:hAnsi="宋体"/>
          <w:szCs w:val="21"/>
        </w:rPr>
        <w:t>，编</w:t>
      </w:r>
      <w:r>
        <w:rPr>
          <w:rFonts w:hint="eastAsia" w:hAnsi="宋体"/>
          <w:szCs w:val="21"/>
        </w:rPr>
        <w:t>制</w:t>
      </w:r>
      <w:r>
        <w:rPr>
          <w:rFonts w:hAnsi="宋体"/>
          <w:szCs w:val="21"/>
        </w:rPr>
        <w:t>安健环过程控制程序和安健环工作规程。</w:t>
      </w:r>
    </w:p>
    <w:p>
      <w:pPr>
        <w:adjustRightInd w:val="0"/>
        <w:snapToGrid w:val="0"/>
        <w:spacing w:line="360" w:lineRule="auto"/>
        <w:ind w:firstLine="420" w:firstLineChars="200"/>
        <w:rPr>
          <w:rFonts w:hAnsi="宋体"/>
          <w:szCs w:val="21"/>
        </w:rPr>
      </w:pPr>
      <w:r>
        <w:rPr>
          <w:rFonts w:hint="eastAsia" w:hAnsi="宋体"/>
          <w:szCs w:val="21"/>
        </w:rPr>
        <w:t>3、</w:t>
      </w:r>
      <w:r>
        <w:rPr>
          <w:rFonts w:hAnsi="宋体"/>
          <w:szCs w:val="21"/>
        </w:rPr>
        <w:t>适合本工程安健环管理需要的安</w:t>
      </w:r>
      <w:r>
        <w:rPr>
          <w:rFonts w:hint="eastAsia" w:hAnsi="宋体"/>
          <w:szCs w:val="21"/>
        </w:rPr>
        <w:t>全监督</w:t>
      </w:r>
      <w:r>
        <w:rPr>
          <w:rFonts w:hAnsi="宋体"/>
          <w:szCs w:val="21"/>
        </w:rPr>
        <w:t>管理人员。</w:t>
      </w:r>
    </w:p>
    <w:p>
      <w:pPr>
        <w:adjustRightInd w:val="0"/>
        <w:snapToGrid w:val="0"/>
        <w:spacing w:line="360" w:lineRule="auto"/>
        <w:ind w:firstLine="420" w:firstLineChars="200"/>
        <w:rPr>
          <w:rFonts w:hAnsi="宋体"/>
          <w:szCs w:val="21"/>
        </w:rPr>
      </w:pPr>
      <w:r>
        <w:rPr>
          <w:rFonts w:hint="eastAsia" w:hAnsi="宋体"/>
          <w:szCs w:val="21"/>
        </w:rPr>
        <w:t>4、</w:t>
      </w:r>
      <w:r>
        <w:rPr>
          <w:rFonts w:hAnsi="宋体"/>
          <w:szCs w:val="21"/>
        </w:rPr>
        <w:t>必须对本单位职工进行教育，增强法制观念，提高职工的安全生产意识和自我保护的能力，确保每名员工在施工现场能自觉遵守安全生产纪律、制度。</w:t>
      </w:r>
    </w:p>
    <w:p>
      <w:pPr>
        <w:adjustRightInd w:val="0"/>
        <w:snapToGrid w:val="0"/>
        <w:spacing w:line="360" w:lineRule="auto"/>
        <w:ind w:firstLine="420" w:firstLineChars="200"/>
        <w:rPr>
          <w:rFonts w:hAnsi="宋体"/>
          <w:szCs w:val="21"/>
        </w:rPr>
      </w:pPr>
      <w:r>
        <w:rPr>
          <w:rFonts w:hint="eastAsia" w:hAnsi="宋体"/>
          <w:szCs w:val="21"/>
        </w:rPr>
        <w:t>5、双方在施工前要认真勘察本工程施工现场，承包人按发包人的要求自行编制施工组织设计，其中必须包括有针对性的安全技术措施和有关安健环施工要求。在施工前，发包人应对承包人的管理及主要施工人员进行安全生产现场教育，组织其对发包人相关安健环管理制度学习；承包人应组织召开管理、施工人员安全生产会议（通知发包人有关人员出席会议），介绍施工中有关安健环规章制度及要求；承包人必须检查、督促施工人员严格遵守、认真执行。</w:t>
      </w:r>
    </w:p>
    <w:p>
      <w:pPr>
        <w:adjustRightInd w:val="0"/>
        <w:snapToGrid w:val="0"/>
        <w:spacing w:line="360" w:lineRule="auto"/>
        <w:ind w:firstLine="420" w:firstLineChars="200"/>
        <w:rPr>
          <w:rFonts w:hAnsi="宋体"/>
          <w:szCs w:val="21"/>
        </w:rPr>
      </w:pPr>
      <w:r>
        <w:rPr>
          <w:rFonts w:hint="eastAsia" w:hAnsi="宋体"/>
          <w:szCs w:val="21"/>
        </w:rPr>
        <w:t>6、</w:t>
      </w:r>
      <w:r>
        <w:rPr>
          <w:rFonts w:hAnsi="宋体"/>
          <w:szCs w:val="21"/>
        </w:rPr>
        <w:t>产过程中的个人防护用品，双方自理，双方均应督促各自人员自觉穿戴好防护用品。</w:t>
      </w:r>
    </w:p>
    <w:p>
      <w:pPr>
        <w:adjustRightInd w:val="0"/>
        <w:snapToGrid w:val="0"/>
        <w:spacing w:line="360" w:lineRule="auto"/>
        <w:ind w:firstLine="420" w:firstLineChars="200"/>
        <w:rPr>
          <w:rFonts w:hAnsi="宋体"/>
          <w:szCs w:val="21"/>
        </w:rPr>
      </w:pPr>
      <w:r>
        <w:rPr>
          <w:rFonts w:hint="eastAsia" w:hAnsi="宋体"/>
          <w:szCs w:val="21"/>
        </w:rPr>
        <w:t>7、</w:t>
      </w:r>
      <w:r>
        <w:rPr>
          <w:rFonts w:hAnsi="宋体"/>
          <w:szCs w:val="21"/>
        </w:rPr>
        <w:t>应指派符合国家规定并满足项目安健环管理要求的安</w:t>
      </w:r>
      <w:r>
        <w:rPr>
          <w:rFonts w:hint="eastAsia" w:hAnsi="宋体"/>
          <w:szCs w:val="21"/>
        </w:rPr>
        <w:t>全监督</w:t>
      </w:r>
      <w:r>
        <w:rPr>
          <w:rFonts w:hAnsi="宋体"/>
          <w:szCs w:val="21"/>
        </w:rPr>
        <w:t>管理人员，具体负责日常安全事务的沟通与联系。</w:t>
      </w:r>
    </w:p>
    <w:p>
      <w:pPr>
        <w:numPr>
          <w:ilvl w:val="0"/>
          <w:numId w:val="8"/>
        </w:numPr>
        <w:adjustRightInd w:val="0"/>
        <w:snapToGrid w:val="0"/>
        <w:spacing w:line="360" w:lineRule="auto"/>
        <w:rPr>
          <w:bCs/>
          <w:szCs w:val="21"/>
        </w:rPr>
      </w:pPr>
      <w:r>
        <w:rPr>
          <w:bCs/>
          <w:szCs w:val="21"/>
        </w:rPr>
        <w:t>发包人承诺以下安健环责任：</w:t>
      </w:r>
    </w:p>
    <w:p>
      <w:pPr>
        <w:numPr>
          <w:ilvl w:val="0"/>
          <w:numId w:val="9"/>
        </w:numPr>
        <w:tabs>
          <w:tab w:val="left" w:pos="735"/>
          <w:tab w:val="clear" w:pos="1155"/>
        </w:tabs>
        <w:adjustRightInd w:val="0"/>
        <w:snapToGrid w:val="0"/>
        <w:spacing w:line="360" w:lineRule="auto"/>
        <w:ind w:left="0" w:firstLine="367" w:firstLineChars="175"/>
        <w:rPr>
          <w:rFonts w:hAnsi="宋体"/>
          <w:szCs w:val="21"/>
        </w:rPr>
      </w:pPr>
      <w:r>
        <w:rPr>
          <w:rFonts w:hint="eastAsia" w:hAnsi="宋体"/>
          <w:szCs w:val="21"/>
        </w:rPr>
        <w:t>发包人有权协调解决现场承包人与其他供应商、承包人或者其他第三方之间（但不包括承包人内的各分包商、供应商之间）出现的安健环事件。</w:t>
      </w:r>
    </w:p>
    <w:p>
      <w:pPr>
        <w:numPr>
          <w:ilvl w:val="0"/>
          <w:numId w:val="9"/>
        </w:numPr>
        <w:tabs>
          <w:tab w:val="left" w:pos="735"/>
          <w:tab w:val="clear" w:pos="1155"/>
        </w:tabs>
        <w:adjustRightInd w:val="0"/>
        <w:snapToGrid w:val="0"/>
        <w:spacing w:line="360" w:lineRule="auto"/>
        <w:ind w:left="0" w:firstLine="367" w:firstLineChars="175"/>
        <w:rPr>
          <w:rFonts w:hAnsi="宋体"/>
          <w:szCs w:val="21"/>
        </w:rPr>
      </w:pPr>
      <w:r>
        <w:rPr>
          <w:rFonts w:hint="eastAsia" w:hAnsi="宋体"/>
          <w:szCs w:val="21"/>
        </w:rPr>
        <w:t>发包人不得对承包人提出不符合建设工程安全生产法律、法规和强制性标准规定的要求。</w:t>
      </w:r>
    </w:p>
    <w:p>
      <w:pPr>
        <w:numPr>
          <w:ilvl w:val="0"/>
          <w:numId w:val="9"/>
        </w:numPr>
        <w:tabs>
          <w:tab w:val="left" w:pos="735"/>
          <w:tab w:val="clear" w:pos="1155"/>
        </w:tabs>
        <w:adjustRightInd w:val="0"/>
        <w:snapToGrid w:val="0"/>
        <w:spacing w:line="360" w:lineRule="auto"/>
        <w:ind w:left="0" w:firstLine="367" w:firstLineChars="175"/>
        <w:rPr>
          <w:rFonts w:hAnsi="宋体"/>
          <w:szCs w:val="21"/>
        </w:rPr>
      </w:pPr>
      <w:r>
        <w:rPr>
          <w:rFonts w:hint="eastAsia" w:hAnsi="宋体"/>
          <w:szCs w:val="21"/>
        </w:rPr>
        <w:t>发包人不得明示或者暗示承包人购买、租赁、使用不符合安全施工要求的安全防护用具、机械设备、施工机具及配件、消防设施和器材。</w:t>
      </w:r>
    </w:p>
    <w:p>
      <w:pPr>
        <w:numPr>
          <w:ilvl w:val="0"/>
          <w:numId w:val="9"/>
        </w:numPr>
        <w:tabs>
          <w:tab w:val="left" w:pos="735"/>
          <w:tab w:val="clear" w:pos="1155"/>
        </w:tabs>
        <w:adjustRightInd w:val="0"/>
        <w:snapToGrid w:val="0"/>
        <w:spacing w:line="360" w:lineRule="auto"/>
        <w:ind w:left="0" w:firstLine="367" w:firstLineChars="175"/>
        <w:rPr>
          <w:rFonts w:hAnsi="宋体"/>
          <w:szCs w:val="21"/>
        </w:rPr>
      </w:pPr>
      <w:r>
        <w:rPr>
          <w:rFonts w:hAnsi="宋体"/>
          <w:szCs w:val="21"/>
        </w:rPr>
        <w:t>由于现场第三方原因造成的事故、事件，发包人应负责事故、事件的协调处理，</w:t>
      </w:r>
      <w:r>
        <w:rPr>
          <w:rFonts w:hint="eastAsia" w:hAnsi="宋体"/>
          <w:szCs w:val="21"/>
        </w:rPr>
        <w:t>保护</w:t>
      </w:r>
      <w:r>
        <w:rPr>
          <w:rFonts w:hAnsi="宋体"/>
          <w:szCs w:val="21"/>
        </w:rPr>
        <w:t>承包人的正当权益不受损失。</w:t>
      </w:r>
    </w:p>
    <w:p>
      <w:pPr>
        <w:numPr>
          <w:ilvl w:val="0"/>
          <w:numId w:val="9"/>
        </w:numPr>
        <w:tabs>
          <w:tab w:val="left" w:pos="735"/>
          <w:tab w:val="clear" w:pos="1155"/>
        </w:tabs>
        <w:adjustRightInd w:val="0"/>
        <w:snapToGrid w:val="0"/>
        <w:spacing w:line="360" w:lineRule="auto"/>
        <w:ind w:left="0" w:firstLine="367" w:firstLineChars="175"/>
        <w:rPr>
          <w:rFonts w:hAnsi="宋体"/>
          <w:szCs w:val="21"/>
        </w:rPr>
      </w:pPr>
      <w:r>
        <w:rPr>
          <w:rFonts w:hint="eastAsia" w:hAnsi="宋体"/>
          <w:szCs w:val="21"/>
        </w:rPr>
        <w:t>发包人要求承包人在开工前组织学习发包人有关安健环规章制度和管理规定等文件；发包人应及时审查承包人报送的各种重大技术措施及方案</w:t>
      </w:r>
      <w:r>
        <w:rPr>
          <w:rFonts w:hAnsi="宋体"/>
          <w:szCs w:val="21"/>
        </w:rPr>
        <w:t>。</w:t>
      </w:r>
    </w:p>
    <w:p>
      <w:pPr>
        <w:numPr>
          <w:ilvl w:val="0"/>
          <w:numId w:val="9"/>
        </w:numPr>
        <w:tabs>
          <w:tab w:val="left" w:pos="735"/>
          <w:tab w:val="clear" w:pos="1155"/>
        </w:tabs>
        <w:adjustRightInd w:val="0"/>
        <w:snapToGrid w:val="0"/>
        <w:spacing w:line="360" w:lineRule="auto"/>
        <w:ind w:left="0" w:firstLine="367" w:firstLineChars="175"/>
        <w:rPr>
          <w:rFonts w:hAnsi="宋体"/>
          <w:szCs w:val="21"/>
        </w:rPr>
      </w:pPr>
      <w:r>
        <w:rPr>
          <w:rFonts w:hAnsi="宋体"/>
          <w:szCs w:val="21"/>
        </w:rPr>
        <w:t>发包人有权定期或不定期地对承包人实施安全生产</w:t>
      </w:r>
      <w:r>
        <w:rPr>
          <w:rFonts w:hint="eastAsia" w:hAnsi="宋体"/>
          <w:szCs w:val="21"/>
        </w:rPr>
        <w:t>、文明施工或标准化工地建设监督检查，对查出的违章或事故隐患督促限期整改，对整改不力或情节严重的有权对承包人进行包括工程款抵扣、履约保证金扣款。发包人行使监督、检查权并不免除承包人因违反法律规定、施工合同及本协议约定的义务时应当承担的任何责任。</w:t>
      </w:r>
    </w:p>
    <w:p>
      <w:pPr>
        <w:numPr>
          <w:ilvl w:val="0"/>
          <w:numId w:val="9"/>
        </w:numPr>
        <w:tabs>
          <w:tab w:val="left" w:pos="735"/>
          <w:tab w:val="clear" w:pos="1155"/>
        </w:tabs>
        <w:adjustRightInd w:val="0"/>
        <w:snapToGrid w:val="0"/>
        <w:spacing w:line="360" w:lineRule="auto"/>
        <w:ind w:left="0" w:firstLine="367" w:firstLineChars="175"/>
        <w:rPr>
          <w:rFonts w:hAnsi="宋体"/>
          <w:szCs w:val="21"/>
        </w:rPr>
      </w:pPr>
      <w:r>
        <w:rPr>
          <w:rFonts w:hAnsi="宋体"/>
          <w:szCs w:val="21"/>
        </w:rPr>
        <w:t>发包人</w:t>
      </w:r>
      <w:r>
        <w:rPr>
          <w:rFonts w:hint="eastAsia" w:hAnsi="宋体"/>
          <w:szCs w:val="21"/>
        </w:rPr>
        <w:t>有权</w:t>
      </w:r>
      <w:r>
        <w:rPr>
          <w:rFonts w:hAnsi="宋体"/>
          <w:szCs w:val="21"/>
        </w:rPr>
        <w:t>对承包人提交的相关</w:t>
      </w:r>
      <w:r>
        <w:rPr>
          <w:rFonts w:hint="eastAsia" w:hAnsi="宋体"/>
          <w:szCs w:val="21"/>
        </w:rPr>
        <w:t>机械、人员</w:t>
      </w:r>
      <w:r>
        <w:rPr>
          <w:rFonts w:hAnsi="宋体"/>
          <w:szCs w:val="21"/>
        </w:rPr>
        <w:t>资料进行审查，并</w:t>
      </w:r>
      <w:r>
        <w:rPr>
          <w:rFonts w:hint="eastAsia" w:hAnsi="宋体"/>
          <w:szCs w:val="21"/>
        </w:rPr>
        <w:t>制作</w:t>
      </w:r>
      <w:r>
        <w:rPr>
          <w:rFonts w:hAnsi="宋体"/>
          <w:szCs w:val="21"/>
        </w:rPr>
        <w:t>发放</w:t>
      </w:r>
      <w:r>
        <w:rPr>
          <w:rFonts w:hint="eastAsia" w:hAnsi="宋体"/>
          <w:szCs w:val="21"/>
        </w:rPr>
        <w:t>相关机械、人员准入</w:t>
      </w:r>
      <w:r>
        <w:rPr>
          <w:rFonts w:hAnsi="宋体"/>
          <w:szCs w:val="21"/>
        </w:rPr>
        <w:t>证</w:t>
      </w:r>
      <w:r>
        <w:rPr>
          <w:rFonts w:hint="eastAsia" w:hAnsi="宋体"/>
          <w:szCs w:val="21"/>
        </w:rPr>
        <w:t>件</w:t>
      </w:r>
      <w:r>
        <w:rPr>
          <w:rFonts w:hAnsi="宋体"/>
          <w:szCs w:val="21"/>
        </w:rPr>
        <w:t>。</w:t>
      </w:r>
    </w:p>
    <w:p>
      <w:pPr>
        <w:numPr>
          <w:ilvl w:val="0"/>
          <w:numId w:val="8"/>
        </w:numPr>
        <w:adjustRightInd w:val="0"/>
        <w:snapToGrid w:val="0"/>
        <w:spacing w:line="360" w:lineRule="auto"/>
        <w:rPr>
          <w:bCs/>
          <w:szCs w:val="21"/>
        </w:rPr>
      </w:pPr>
      <w:r>
        <w:rPr>
          <w:bCs/>
          <w:szCs w:val="21"/>
        </w:rPr>
        <w:t>承包人承诺承担以下安健环责任：</w:t>
      </w:r>
    </w:p>
    <w:p>
      <w:pPr>
        <w:numPr>
          <w:ilvl w:val="0"/>
          <w:numId w:val="10"/>
        </w:numPr>
        <w:tabs>
          <w:tab w:val="left" w:pos="540"/>
          <w:tab w:val="left" w:pos="630"/>
        </w:tabs>
        <w:adjustRightInd w:val="0"/>
        <w:snapToGrid w:val="0"/>
        <w:spacing w:line="360" w:lineRule="auto"/>
        <w:ind w:left="0" w:firstLine="420" w:firstLineChars="200"/>
        <w:rPr>
          <w:rFonts w:hAnsi="宋体"/>
          <w:szCs w:val="21"/>
        </w:rPr>
      </w:pPr>
      <w:r>
        <w:rPr>
          <w:rFonts w:hAnsi="宋体"/>
          <w:szCs w:val="21"/>
        </w:rPr>
        <w:t>承包人项目经理</w:t>
      </w:r>
      <w:r>
        <w:rPr>
          <w:rFonts w:hint="eastAsia" w:hAnsi="宋体"/>
          <w:szCs w:val="21"/>
        </w:rPr>
        <w:t>应当由取得相应执业资格的人员担任，依法</w:t>
      </w:r>
      <w:r>
        <w:rPr>
          <w:rFonts w:hAnsi="宋体"/>
          <w:szCs w:val="21"/>
        </w:rPr>
        <w:t>全面负责本项目的安健环工作</w:t>
      </w:r>
      <w:r>
        <w:rPr>
          <w:rFonts w:hint="eastAsia" w:hAnsi="宋体"/>
          <w:szCs w:val="21"/>
        </w:rPr>
        <w:t>，应执行国家、政府和发包人规定的建设项目安健环或标准化工地建设等管理要求，确保安全生产费用的有效使用，并根据工程的特点组织制定安全施工措施，消除安全事故隐患，及时、如实报告生产安全事故。</w:t>
      </w:r>
    </w:p>
    <w:p>
      <w:pPr>
        <w:numPr>
          <w:ilvl w:val="0"/>
          <w:numId w:val="10"/>
        </w:numPr>
        <w:tabs>
          <w:tab w:val="left" w:pos="540"/>
          <w:tab w:val="left" w:pos="630"/>
          <w:tab w:val="left" w:pos="7305"/>
        </w:tabs>
        <w:adjustRightInd w:val="0"/>
        <w:snapToGrid w:val="0"/>
        <w:spacing w:line="360" w:lineRule="auto"/>
        <w:ind w:left="0" w:firstLine="420" w:firstLineChars="200"/>
        <w:rPr>
          <w:rFonts w:hAnsi="宋体"/>
          <w:szCs w:val="21"/>
        </w:rPr>
      </w:pPr>
      <w:r>
        <w:rPr>
          <w:rFonts w:hint="eastAsia" w:hAnsi="宋体"/>
          <w:szCs w:val="21"/>
        </w:rPr>
        <w:t>承包人保证指派主管施工的项目副经理及以上管理人员参加发包人组建的安全生产委员会，积极参与工程项目的安健环管理。参加由发包人牵头，有监理方、承包方三方组建的日常安健环管理，必须是取得专业证书的专职管理人员。</w:t>
      </w:r>
    </w:p>
    <w:p>
      <w:pPr>
        <w:numPr>
          <w:ilvl w:val="0"/>
          <w:numId w:val="10"/>
        </w:numPr>
        <w:tabs>
          <w:tab w:val="left" w:pos="540"/>
          <w:tab w:val="left" w:pos="630"/>
        </w:tabs>
        <w:adjustRightInd w:val="0"/>
        <w:snapToGrid w:val="0"/>
        <w:spacing w:line="360" w:lineRule="auto"/>
        <w:ind w:left="0" w:firstLine="420" w:firstLineChars="200"/>
        <w:rPr>
          <w:rFonts w:hAnsi="宋体"/>
          <w:szCs w:val="21"/>
        </w:rPr>
      </w:pPr>
      <w:r>
        <w:rPr>
          <w:rFonts w:hint="eastAsia" w:hAnsi="宋体"/>
          <w:szCs w:val="21"/>
        </w:rPr>
        <w:t>承包人应当建立健全并严格落实安全生产责任制度和安全生产教育培训制度，制定安健环规章制度和操作规程，保证本单位安全生产条件所需资金的投入，对所承担的建设工程进行定期和专项安全检查，并做好安全检查记录。</w:t>
      </w:r>
    </w:p>
    <w:p>
      <w:pPr>
        <w:numPr>
          <w:ilvl w:val="0"/>
          <w:numId w:val="10"/>
        </w:numPr>
        <w:tabs>
          <w:tab w:val="left" w:pos="540"/>
          <w:tab w:val="left" w:pos="630"/>
        </w:tabs>
        <w:adjustRightInd w:val="0"/>
        <w:snapToGrid w:val="0"/>
        <w:spacing w:line="360" w:lineRule="auto"/>
        <w:ind w:left="0" w:firstLine="420" w:firstLineChars="200"/>
        <w:rPr>
          <w:rFonts w:hAnsi="宋体"/>
          <w:szCs w:val="21"/>
        </w:rPr>
      </w:pPr>
      <w:r>
        <w:rPr>
          <w:rFonts w:hint="eastAsia" w:hAnsi="宋体"/>
          <w:szCs w:val="21"/>
        </w:rPr>
        <w:t>承包人对列入本工程项目的安全作业环境及安全施工措施所需费用，应当用于施工安全防护用具及设施的采购和更新、安全施工措施的落实、安全生产条件的改善，不得挪作他用。</w:t>
      </w:r>
    </w:p>
    <w:p>
      <w:pPr>
        <w:numPr>
          <w:ilvl w:val="0"/>
          <w:numId w:val="10"/>
        </w:numPr>
        <w:tabs>
          <w:tab w:val="left" w:pos="540"/>
          <w:tab w:val="left" w:pos="630"/>
        </w:tabs>
        <w:adjustRightInd w:val="0"/>
        <w:snapToGrid w:val="0"/>
        <w:spacing w:line="360" w:lineRule="auto"/>
        <w:ind w:left="0" w:firstLine="420" w:firstLineChars="200"/>
        <w:rPr>
          <w:rFonts w:hAnsi="宋体"/>
          <w:szCs w:val="21"/>
        </w:rPr>
      </w:pPr>
      <w:r>
        <w:rPr>
          <w:rFonts w:hint="eastAsia" w:hAnsi="宋体"/>
          <w:szCs w:val="21"/>
        </w:rPr>
        <w:t>承包人应当在施工现场入口处、施工起重机械、临时用电设施、脚手架、出入通道口、楼梯口、电梯井口、孔洞口、桥梁口、隧道口、基坑边沿、爆破物及有害危险气体和液体存放处等危险部位，设置明显的安全警示标志。安全警示标志必须符合国家标准。</w:t>
      </w:r>
    </w:p>
    <w:p>
      <w:pPr>
        <w:numPr>
          <w:ilvl w:val="0"/>
          <w:numId w:val="10"/>
        </w:numPr>
        <w:tabs>
          <w:tab w:val="left" w:pos="540"/>
          <w:tab w:val="left" w:pos="630"/>
        </w:tabs>
        <w:adjustRightInd w:val="0"/>
        <w:snapToGrid w:val="0"/>
        <w:spacing w:line="360" w:lineRule="auto"/>
        <w:ind w:left="0" w:firstLine="420" w:firstLineChars="200"/>
        <w:rPr>
          <w:rFonts w:hAnsi="宋体"/>
          <w:szCs w:val="21"/>
        </w:rPr>
      </w:pPr>
      <w:r>
        <w:rPr>
          <w:rFonts w:hint="eastAsia" w:hAnsi="宋体"/>
          <w:szCs w:val="21"/>
        </w:rPr>
        <w:t>承包人应当根据不同施工阶段和周围环境及季节、气候的变化，在施工现场采取相应的安全施工措施。施工现场暂时停止施工的，承包人应当做好现场防护。</w:t>
      </w:r>
    </w:p>
    <w:p>
      <w:pPr>
        <w:numPr>
          <w:ilvl w:val="0"/>
          <w:numId w:val="10"/>
        </w:numPr>
        <w:tabs>
          <w:tab w:val="left" w:pos="540"/>
          <w:tab w:val="left" w:pos="630"/>
        </w:tabs>
        <w:adjustRightInd w:val="0"/>
        <w:snapToGrid w:val="0"/>
        <w:spacing w:line="360" w:lineRule="auto"/>
        <w:ind w:left="0" w:firstLine="420" w:firstLineChars="200"/>
        <w:rPr>
          <w:rFonts w:hAnsi="宋体"/>
          <w:szCs w:val="21"/>
        </w:rPr>
      </w:pPr>
      <w:r>
        <w:rPr>
          <w:rFonts w:hint="eastAsia" w:hAnsi="宋体"/>
          <w:szCs w:val="21"/>
        </w:rPr>
        <w:t>承包人应当将施工现场的办公、生活区与作业区分开设置，并保持安全距离；办公、生活区的选址应当符合安全性要求。职工的膳食、饮水、休息场所等应当符合卫生标准。承包人不得在尚未竣工的建筑物内设置员工集体宿舍。施工现场临时搭建的建筑物应当符合安全使用要求。施工现场使用的装配式活动房屋应当具有产品合格证。</w:t>
      </w:r>
    </w:p>
    <w:p>
      <w:pPr>
        <w:numPr>
          <w:ilvl w:val="0"/>
          <w:numId w:val="10"/>
        </w:numPr>
        <w:tabs>
          <w:tab w:val="left" w:pos="540"/>
          <w:tab w:val="left" w:pos="630"/>
        </w:tabs>
        <w:adjustRightInd w:val="0"/>
        <w:snapToGrid w:val="0"/>
        <w:spacing w:line="360" w:lineRule="auto"/>
        <w:ind w:left="0" w:firstLine="420" w:firstLineChars="200"/>
        <w:rPr>
          <w:rFonts w:hAnsi="宋体"/>
          <w:szCs w:val="21"/>
        </w:rPr>
      </w:pPr>
      <w:r>
        <w:rPr>
          <w:rFonts w:hint="eastAsia" w:hAnsi="宋体"/>
          <w:szCs w:val="21"/>
        </w:rPr>
        <w:t>承包人对因建设工程施工可能造成损害的毗邻建筑物、构筑物和地下管线等，应当采取专项防护措施。应当遵守有关环境保护法律、法规的规定，在施工现场采取措施，防止或者减少粉尘、废气、废水、固体废物、噪声、振动和施工照明对人和环境的危害和污染。</w:t>
      </w:r>
    </w:p>
    <w:p>
      <w:pPr>
        <w:numPr>
          <w:ilvl w:val="0"/>
          <w:numId w:val="10"/>
        </w:numPr>
        <w:tabs>
          <w:tab w:val="left" w:pos="540"/>
          <w:tab w:val="left" w:pos="630"/>
        </w:tabs>
        <w:adjustRightInd w:val="0"/>
        <w:snapToGrid w:val="0"/>
        <w:spacing w:line="360" w:lineRule="auto"/>
        <w:ind w:left="0" w:firstLine="420" w:firstLineChars="200"/>
        <w:rPr>
          <w:rFonts w:hAnsi="宋体"/>
          <w:szCs w:val="21"/>
        </w:rPr>
      </w:pPr>
      <w:r>
        <w:rPr>
          <w:rFonts w:hint="eastAsia" w:hAnsi="宋体"/>
          <w:szCs w:val="21"/>
        </w:rPr>
        <w:t>承包人应当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numPr>
          <w:ilvl w:val="0"/>
          <w:numId w:val="10"/>
        </w:numPr>
        <w:tabs>
          <w:tab w:val="left" w:pos="540"/>
          <w:tab w:val="left" w:pos="630"/>
        </w:tabs>
        <w:adjustRightInd w:val="0"/>
        <w:snapToGrid w:val="0"/>
        <w:spacing w:line="360" w:lineRule="auto"/>
        <w:ind w:left="0" w:firstLine="420" w:firstLineChars="200"/>
        <w:rPr>
          <w:rFonts w:hAnsi="宋体"/>
          <w:szCs w:val="21"/>
        </w:rPr>
      </w:pPr>
      <w:r>
        <w:rPr>
          <w:rFonts w:hint="eastAsia" w:hAnsi="宋体"/>
          <w:szCs w:val="21"/>
        </w:rPr>
        <w:t>承包人采购、租赁的安全防护用具、机械设备、施工机具及配件，应当具有生产（制造）许可证、产品合格证，并在进入施工现场前进行查验。并必须由专人管理，定期进行检查、维修和保养，建立相应的资料档案，并按照国家有关规定及时报废。</w:t>
      </w:r>
    </w:p>
    <w:p>
      <w:pPr>
        <w:numPr>
          <w:ilvl w:val="0"/>
          <w:numId w:val="10"/>
        </w:numPr>
        <w:tabs>
          <w:tab w:val="left" w:pos="540"/>
          <w:tab w:val="left" w:pos="630"/>
        </w:tabs>
        <w:adjustRightInd w:val="0"/>
        <w:snapToGrid w:val="0"/>
        <w:spacing w:line="360" w:lineRule="auto"/>
        <w:ind w:left="0" w:firstLine="420" w:firstLineChars="200"/>
        <w:rPr>
          <w:szCs w:val="21"/>
        </w:rPr>
      </w:pPr>
      <w:r>
        <w:rPr>
          <w:rFonts w:hAnsi="宋体"/>
          <w:szCs w:val="21"/>
        </w:rPr>
        <w:t>承包人应对带入现场的特种设备按照国家法规和标准进行检测、试验，并持有法定部门出具的检验证书。</w:t>
      </w:r>
    </w:p>
    <w:p>
      <w:pPr>
        <w:numPr>
          <w:ilvl w:val="0"/>
          <w:numId w:val="10"/>
        </w:numPr>
        <w:tabs>
          <w:tab w:val="left" w:pos="540"/>
          <w:tab w:val="left" w:pos="630"/>
        </w:tabs>
        <w:adjustRightInd w:val="0"/>
        <w:snapToGrid w:val="0"/>
        <w:spacing w:line="360" w:lineRule="auto"/>
        <w:ind w:left="0" w:firstLine="420" w:firstLineChars="200"/>
        <w:rPr>
          <w:rFonts w:hAnsi="宋体"/>
          <w:szCs w:val="21"/>
        </w:rPr>
      </w:pPr>
      <w:r>
        <w:rPr>
          <w:rFonts w:hint="eastAsia" w:hAnsi="宋体"/>
          <w:szCs w:val="21"/>
        </w:rPr>
        <w:t>承包人在使用施工起重机械和整体提升脚手架、模板等自升式架设设施前，应当组织有关单位进行验收，也可以委托具有相应资质的检验检测机构进行验收；使用承租的机械设备和施工机具及配件的，由承包人、出租单位和安装单位共同进行验收。验收合格的方可使用。</w:t>
      </w:r>
    </w:p>
    <w:p>
      <w:pPr>
        <w:numPr>
          <w:ilvl w:val="0"/>
          <w:numId w:val="10"/>
        </w:numPr>
        <w:tabs>
          <w:tab w:val="left" w:pos="540"/>
          <w:tab w:val="left" w:pos="630"/>
        </w:tabs>
        <w:adjustRightInd w:val="0"/>
        <w:snapToGrid w:val="0"/>
        <w:spacing w:line="360" w:lineRule="auto"/>
        <w:ind w:left="0" w:firstLine="420" w:firstLineChars="200"/>
        <w:rPr>
          <w:rFonts w:hAnsi="宋体"/>
          <w:szCs w:val="21"/>
        </w:rPr>
      </w:pPr>
      <w:r>
        <w:rPr>
          <w:rFonts w:hAnsi="宋体"/>
          <w:szCs w:val="21"/>
        </w:rPr>
        <w:t>承包人保证执行“谁施工、谁负责”施工安全的原则。</w:t>
      </w:r>
      <w:r>
        <w:rPr>
          <w:rFonts w:hint="eastAsia" w:hAnsi="宋体"/>
          <w:szCs w:val="21"/>
        </w:rPr>
        <w:t>同时承包人保证执行发包人相关建设工程安健环管理文件规定，以工程分包管理责任不分包为原则。</w:t>
      </w:r>
    </w:p>
    <w:p>
      <w:pPr>
        <w:numPr>
          <w:ilvl w:val="0"/>
          <w:numId w:val="10"/>
        </w:numPr>
        <w:tabs>
          <w:tab w:val="left" w:pos="540"/>
          <w:tab w:val="left" w:pos="630"/>
        </w:tabs>
        <w:adjustRightInd w:val="0"/>
        <w:snapToGrid w:val="0"/>
        <w:spacing w:line="360" w:lineRule="auto"/>
        <w:ind w:left="0" w:firstLine="420" w:firstLineChars="200"/>
        <w:rPr>
          <w:rFonts w:hAnsi="宋体"/>
          <w:szCs w:val="21"/>
        </w:rPr>
      </w:pPr>
      <w:r>
        <w:rPr>
          <w:rFonts w:hAnsi="宋体"/>
          <w:szCs w:val="21"/>
        </w:rPr>
        <w:t>承包人应为现场所有工作人员</w:t>
      </w:r>
      <w:r>
        <w:rPr>
          <w:szCs w:val="21"/>
        </w:rPr>
        <w:t>（</w:t>
      </w:r>
      <w:r>
        <w:rPr>
          <w:rFonts w:hAnsi="宋体"/>
          <w:szCs w:val="21"/>
        </w:rPr>
        <w:t>含劳务合作人员</w:t>
      </w:r>
      <w:r>
        <w:rPr>
          <w:szCs w:val="21"/>
        </w:rPr>
        <w:t>）</w:t>
      </w:r>
      <w:r>
        <w:rPr>
          <w:rFonts w:hAnsi="宋体"/>
          <w:szCs w:val="21"/>
        </w:rPr>
        <w:t>配备符合国家标准的个人基本劳动保护用品</w:t>
      </w:r>
      <w:r>
        <w:rPr>
          <w:rFonts w:hint="eastAsia" w:hAnsi="宋体"/>
          <w:szCs w:val="21"/>
        </w:rPr>
        <w:t>和必要的安全防护用具，并书面告知危险岗位的操作规程和违章操作的危害</w:t>
      </w:r>
      <w:r>
        <w:rPr>
          <w:rFonts w:hAnsi="宋体"/>
          <w:szCs w:val="21"/>
        </w:rPr>
        <w:t>。</w:t>
      </w:r>
    </w:p>
    <w:p>
      <w:pPr>
        <w:numPr>
          <w:ilvl w:val="0"/>
          <w:numId w:val="10"/>
        </w:numPr>
        <w:tabs>
          <w:tab w:val="left" w:pos="540"/>
          <w:tab w:val="left" w:pos="630"/>
        </w:tabs>
        <w:adjustRightInd w:val="0"/>
        <w:snapToGrid w:val="0"/>
        <w:spacing w:line="360" w:lineRule="auto"/>
        <w:ind w:left="0" w:firstLine="420" w:firstLineChars="200"/>
        <w:rPr>
          <w:rFonts w:hAnsi="宋体"/>
          <w:szCs w:val="21"/>
        </w:rPr>
      </w:pPr>
      <w:r>
        <w:rPr>
          <w:rFonts w:hAnsi="宋体"/>
          <w:szCs w:val="21"/>
        </w:rPr>
        <w:t>承包人应按照国家法律规定为</w:t>
      </w:r>
      <w:r>
        <w:rPr>
          <w:rFonts w:hint="eastAsia" w:hAnsi="宋体"/>
          <w:szCs w:val="21"/>
        </w:rPr>
        <w:t>本单位</w:t>
      </w:r>
      <w:r>
        <w:rPr>
          <w:rFonts w:hAnsi="宋体"/>
          <w:szCs w:val="21"/>
        </w:rPr>
        <w:t>现场所有工作人员（含劳务合作人员）购买工伤保险</w:t>
      </w:r>
      <w:r>
        <w:rPr>
          <w:rFonts w:hint="eastAsia" w:hAnsi="宋体"/>
          <w:szCs w:val="21"/>
        </w:rPr>
        <w:t>及由当地政府规定的“平安卡”</w:t>
      </w:r>
      <w:r>
        <w:rPr>
          <w:rFonts w:hAnsi="宋体"/>
          <w:szCs w:val="21"/>
        </w:rPr>
        <w:t>。</w:t>
      </w:r>
      <w:r>
        <w:rPr>
          <w:rFonts w:hint="eastAsia" w:hAnsi="宋体"/>
          <w:szCs w:val="21"/>
        </w:rPr>
        <w:t>承包人应当为施工现场从事危险作业的人员办理意外伤害保险，意外伤害保险费由承包人自行支付，意外伤害保险期限自建设工程开工之日起至竣工验收合格止。</w:t>
      </w:r>
    </w:p>
    <w:p>
      <w:pPr>
        <w:numPr>
          <w:ilvl w:val="0"/>
          <w:numId w:val="10"/>
        </w:numPr>
        <w:tabs>
          <w:tab w:val="left" w:pos="540"/>
          <w:tab w:val="left" w:pos="630"/>
        </w:tabs>
        <w:adjustRightInd w:val="0"/>
        <w:snapToGrid w:val="0"/>
        <w:spacing w:line="360" w:lineRule="auto"/>
        <w:ind w:left="0" w:firstLine="420" w:firstLineChars="200"/>
        <w:rPr>
          <w:szCs w:val="21"/>
        </w:rPr>
      </w:pPr>
      <w:r>
        <w:rPr>
          <w:rFonts w:hAnsi="宋体"/>
          <w:szCs w:val="21"/>
        </w:rPr>
        <w:t>承包人应保证施工生活营地</w:t>
      </w:r>
      <w:r>
        <w:rPr>
          <w:szCs w:val="21"/>
        </w:rPr>
        <w:t>（</w:t>
      </w:r>
      <w:r>
        <w:rPr>
          <w:rFonts w:hAnsi="宋体"/>
          <w:szCs w:val="21"/>
        </w:rPr>
        <w:t>包括自建的和租用的营地</w:t>
      </w:r>
      <w:r>
        <w:rPr>
          <w:szCs w:val="21"/>
        </w:rPr>
        <w:t>）</w:t>
      </w:r>
      <w:r>
        <w:rPr>
          <w:rFonts w:hAnsi="宋体"/>
          <w:szCs w:val="21"/>
        </w:rPr>
        <w:t>满足消防、安全用电、卫生防疫、防暴雨、防雷击等方面的安全要求。</w:t>
      </w:r>
    </w:p>
    <w:p>
      <w:pPr>
        <w:numPr>
          <w:ilvl w:val="0"/>
          <w:numId w:val="10"/>
        </w:numPr>
        <w:tabs>
          <w:tab w:val="left" w:pos="540"/>
          <w:tab w:val="left" w:pos="630"/>
        </w:tabs>
        <w:adjustRightInd w:val="0"/>
        <w:snapToGrid w:val="0"/>
        <w:spacing w:line="360" w:lineRule="auto"/>
        <w:ind w:left="0" w:firstLine="420" w:firstLineChars="200"/>
        <w:rPr>
          <w:szCs w:val="21"/>
        </w:rPr>
      </w:pPr>
      <w:r>
        <w:rPr>
          <w:rFonts w:hAnsi="宋体"/>
          <w:szCs w:val="21"/>
        </w:rPr>
        <w:t>承包人保证制订施工现场的文明施工措施，保持施工现场的良好秩序和整洁的作业环境。</w:t>
      </w:r>
    </w:p>
    <w:p>
      <w:pPr>
        <w:numPr>
          <w:ilvl w:val="0"/>
          <w:numId w:val="10"/>
        </w:numPr>
        <w:tabs>
          <w:tab w:val="left" w:pos="540"/>
          <w:tab w:val="left" w:pos="630"/>
        </w:tabs>
        <w:adjustRightInd w:val="0"/>
        <w:snapToGrid w:val="0"/>
        <w:spacing w:line="360" w:lineRule="auto"/>
        <w:ind w:left="0" w:firstLine="420" w:firstLineChars="200"/>
        <w:rPr>
          <w:szCs w:val="21"/>
        </w:rPr>
      </w:pPr>
      <w:r>
        <w:rPr>
          <w:rFonts w:hAnsi="宋体"/>
          <w:szCs w:val="21"/>
        </w:rPr>
        <w:t>承包人在施工过程中应与当地政府、周边群众及现场其他承包人保持良好的沟通和交流。</w:t>
      </w:r>
    </w:p>
    <w:p>
      <w:pPr>
        <w:pStyle w:val="3"/>
        <w:keepNext w:val="0"/>
        <w:keepLines w:val="0"/>
        <w:tabs>
          <w:tab w:val="left" w:pos="432"/>
        </w:tabs>
        <w:topLinePunct/>
        <w:adjustRightInd w:val="0"/>
        <w:snapToGrid w:val="0"/>
        <w:spacing w:before="156" w:beforeLines="50" w:after="156" w:afterLines="50" w:line="360" w:lineRule="auto"/>
        <w:textAlignment w:val="center"/>
        <w:rPr>
          <w:rFonts w:hAnsi="宋体"/>
          <w:sz w:val="21"/>
          <w:szCs w:val="21"/>
        </w:rPr>
      </w:pPr>
      <w:bookmarkStart w:id="196" w:name="_Toc483122179"/>
      <w:bookmarkStart w:id="197" w:name="_Toc484082703"/>
      <w:bookmarkStart w:id="198" w:name="_Toc482906033"/>
      <w:bookmarkStart w:id="199" w:name="_Toc483601181"/>
      <w:bookmarkStart w:id="200" w:name="_Toc482889946"/>
      <w:bookmarkStart w:id="201" w:name="_Toc483596395"/>
      <w:bookmarkStart w:id="202" w:name="_Toc484108918"/>
      <w:bookmarkStart w:id="203" w:name="_Toc477970726"/>
      <w:bookmarkStart w:id="204" w:name="_Toc483991667"/>
      <w:bookmarkStart w:id="205" w:name="_Toc477982311"/>
      <w:bookmarkStart w:id="206" w:name="_Toc482903430"/>
      <w:bookmarkStart w:id="207" w:name="_Toc478424898"/>
      <w:bookmarkStart w:id="208" w:name="_Toc484108973"/>
      <w:bookmarkStart w:id="209" w:name="_Toc478303284"/>
      <w:bookmarkStart w:id="210" w:name="_Toc483086405"/>
      <w:r>
        <w:rPr>
          <w:rFonts w:hAnsi="宋体"/>
          <w:sz w:val="21"/>
          <w:szCs w:val="21"/>
        </w:rPr>
        <w:t>四、接口协调与安</w:t>
      </w:r>
      <w:r>
        <w:rPr>
          <w:rFonts w:hint="eastAsia" w:hAnsi="宋体"/>
          <w:sz w:val="21"/>
          <w:szCs w:val="21"/>
        </w:rPr>
        <w:t>健环</w:t>
      </w:r>
      <w:r>
        <w:rPr>
          <w:rFonts w:hAnsi="宋体"/>
          <w:sz w:val="21"/>
          <w:szCs w:val="21"/>
        </w:rPr>
        <w:t>协议</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pPr>
        <w:numPr>
          <w:ilvl w:val="0"/>
          <w:numId w:val="11"/>
        </w:numPr>
        <w:tabs>
          <w:tab w:val="left" w:pos="420"/>
          <w:tab w:val="clear" w:pos="630"/>
        </w:tabs>
        <w:adjustRightInd w:val="0"/>
        <w:snapToGrid w:val="0"/>
        <w:spacing w:line="360" w:lineRule="auto"/>
        <w:ind w:left="0" w:firstLine="367" w:firstLineChars="175"/>
        <w:rPr>
          <w:rFonts w:hAnsi="宋体"/>
          <w:szCs w:val="21"/>
        </w:rPr>
      </w:pPr>
      <w:r>
        <w:rPr>
          <w:rFonts w:hAnsi="宋体"/>
          <w:szCs w:val="21"/>
        </w:rPr>
        <w:t>承包人应指定专职</w:t>
      </w:r>
      <w:r>
        <w:rPr>
          <w:rFonts w:hint="eastAsia" w:hAnsi="宋体"/>
          <w:szCs w:val="21"/>
        </w:rPr>
        <w:t>安健环</w:t>
      </w:r>
      <w:r>
        <w:rPr>
          <w:rFonts w:hAnsi="宋体"/>
          <w:szCs w:val="21"/>
        </w:rPr>
        <w:t>管理人员与发包人相应部门接口，参与安健环协调和管理。安健环协调和管理的内容包括职业健康、工业安全、消防安全、卫生防疫、交通安全、环境保护、治安保卫等各方面。</w:t>
      </w:r>
    </w:p>
    <w:p>
      <w:pPr>
        <w:numPr>
          <w:ilvl w:val="0"/>
          <w:numId w:val="11"/>
        </w:numPr>
        <w:tabs>
          <w:tab w:val="left" w:pos="420"/>
          <w:tab w:val="clear" w:pos="630"/>
        </w:tabs>
        <w:adjustRightInd w:val="0"/>
        <w:snapToGrid w:val="0"/>
        <w:spacing w:line="360" w:lineRule="auto"/>
        <w:ind w:left="0" w:firstLine="367" w:firstLineChars="175"/>
        <w:rPr>
          <w:rFonts w:hAnsi="宋体"/>
          <w:szCs w:val="21"/>
        </w:rPr>
      </w:pPr>
      <w:r>
        <w:rPr>
          <w:rFonts w:hAnsi="宋体"/>
          <w:szCs w:val="21"/>
        </w:rPr>
        <w:t>合同签订后，承包人应积极</w:t>
      </w:r>
      <w:r>
        <w:rPr>
          <w:rFonts w:hint="eastAsia" w:hAnsi="宋体"/>
          <w:szCs w:val="21"/>
        </w:rPr>
        <w:t>参与</w:t>
      </w:r>
      <w:r>
        <w:rPr>
          <w:rFonts w:hAnsi="宋体"/>
          <w:szCs w:val="21"/>
        </w:rPr>
        <w:t>配合发包人建立</w:t>
      </w:r>
      <w:r>
        <w:rPr>
          <w:rFonts w:hint="eastAsia" w:hAnsi="宋体"/>
          <w:szCs w:val="21"/>
        </w:rPr>
        <w:t>健全安全监督网络和安委会的日常工作</w:t>
      </w:r>
      <w:r>
        <w:rPr>
          <w:rFonts w:hAnsi="宋体"/>
          <w:szCs w:val="21"/>
        </w:rPr>
        <w:t>。</w:t>
      </w:r>
    </w:p>
    <w:p>
      <w:pPr>
        <w:numPr>
          <w:ilvl w:val="0"/>
          <w:numId w:val="11"/>
        </w:numPr>
        <w:tabs>
          <w:tab w:val="left" w:pos="420"/>
          <w:tab w:val="clear" w:pos="630"/>
        </w:tabs>
        <w:adjustRightInd w:val="0"/>
        <w:snapToGrid w:val="0"/>
        <w:spacing w:line="360" w:lineRule="auto"/>
        <w:ind w:left="0" w:firstLine="367" w:firstLineChars="175"/>
        <w:rPr>
          <w:rFonts w:hAnsi="宋体"/>
          <w:szCs w:val="21"/>
        </w:rPr>
      </w:pPr>
      <w:r>
        <w:rPr>
          <w:rFonts w:hAnsi="宋体"/>
          <w:szCs w:val="21"/>
        </w:rPr>
        <w:t>承包人应按照</w:t>
      </w:r>
      <w:r>
        <w:rPr>
          <w:rFonts w:hint="eastAsia" w:hAnsi="宋体"/>
          <w:szCs w:val="21"/>
        </w:rPr>
        <w:t>发包人相关</w:t>
      </w:r>
      <w:r>
        <w:rPr>
          <w:rFonts w:hAnsi="宋体"/>
          <w:szCs w:val="21"/>
        </w:rPr>
        <w:t>要求及时整理、编写相关信息，报送安健环月报及安全生产事故等信息报表。</w:t>
      </w:r>
    </w:p>
    <w:p>
      <w:pPr>
        <w:numPr>
          <w:ilvl w:val="0"/>
          <w:numId w:val="11"/>
        </w:numPr>
        <w:tabs>
          <w:tab w:val="left" w:pos="420"/>
          <w:tab w:val="clear" w:pos="630"/>
        </w:tabs>
        <w:adjustRightInd w:val="0"/>
        <w:snapToGrid w:val="0"/>
        <w:spacing w:line="360" w:lineRule="auto"/>
        <w:ind w:left="0" w:firstLine="367" w:firstLineChars="175"/>
        <w:rPr>
          <w:rFonts w:hAnsi="宋体"/>
          <w:szCs w:val="21"/>
        </w:rPr>
      </w:pPr>
      <w:r>
        <w:rPr>
          <w:rFonts w:hAnsi="宋体"/>
          <w:szCs w:val="21"/>
        </w:rPr>
        <w:t>承包人现场</w:t>
      </w:r>
      <w:r>
        <w:rPr>
          <w:rFonts w:hint="eastAsia" w:hAnsi="宋体"/>
          <w:szCs w:val="21"/>
        </w:rPr>
        <w:t>的</w:t>
      </w:r>
      <w:r>
        <w:rPr>
          <w:rFonts w:hAnsi="宋体"/>
          <w:szCs w:val="21"/>
        </w:rPr>
        <w:t>施工须符合发包人现场</w:t>
      </w:r>
      <w:r>
        <w:rPr>
          <w:rFonts w:hint="eastAsia" w:hAnsi="宋体"/>
          <w:szCs w:val="21"/>
        </w:rPr>
        <w:t>安健环</w:t>
      </w:r>
      <w:r>
        <w:rPr>
          <w:rFonts w:hAnsi="宋体"/>
          <w:szCs w:val="21"/>
        </w:rPr>
        <w:t>管理的基本要求。</w:t>
      </w:r>
    </w:p>
    <w:p>
      <w:pPr>
        <w:pStyle w:val="3"/>
        <w:keepNext w:val="0"/>
        <w:keepLines w:val="0"/>
        <w:tabs>
          <w:tab w:val="left" w:pos="432"/>
        </w:tabs>
        <w:topLinePunct/>
        <w:adjustRightInd w:val="0"/>
        <w:snapToGrid w:val="0"/>
        <w:spacing w:before="156" w:beforeLines="50" w:after="156" w:afterLines="50" w:line="360" w:lineRule="auto"/>
        <w:textAlignment w:val="center"/>
        <w:rPr>
          <w:rFonts w:hAnsi="宋体"/>
          <w:sz w:val="21"/>
          <w:szCs w:val="21"/>
        </w:rPr>
      </w:pPr>
      <w:bookmarkStart w:id="211" w:name="_Toc483596396"/>
      <w:bookmarkStart w:id="212" w:name="_Toc478303285"/>
      <w:bookmarkStart w:id="213" w:name="_Toc477982312"/>
      <w:bookmarkStart w:id="214" w:name="_Toc482889947"/>
      <w:bookmarkStart w:id="215" w:name="_Toc482906034"/>
      <w:bookmarkStart w:id="216" w:name="_Toc478424899"/>
      <w:bookmarkStart w:id="217" w:name="_Toc484108974"/>
      <w:bookmarkStart w:id="218" w:name="_Toc477970727"/>
      <w:bookmarkStart w:id="219" w:name="_Toc484082704"/>
      <w:bookmarkStart w:id="220" w:name="_Toc483122180"/>
      <w:bookmarkStart w:id="221" w:name="_Toc484108919"/>
      <w:bookmarkStart w:id="222" w:name="_Toc483601182"/>
      <w:bookmarkStart w:id="223" w:name="_Toc482903431"/>
      <w:bookmarkStart w:id="224" w:name="_Toc483086406"/>
      <w:bookmarkStart w:id="225" w:name="_Toc483991668"/>
      <w:r>
        <w:rPr>
          <w:rFonts w:hAnsi="宋体"/>
          <w:sz w:val="21"/>
          <w:szCs w:val="21"/>
        </w:rPr>
        <w:t>五、安健环体系审查</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pPr>
        <w:adjustRightInd w:val="0"/>
        <w:snapToGrid w:val="0"/>
        <w:spacing w:line="360" w:lineRule="auto"/>
        <w:ind w:firstLine="420" w:firstLineChars="200"/>
        <w:rPr>
          <w:rFonts w:hAnsi="宋体"/>
          <w:szCs w:val="21"/>
        </w:rPr>
      </w:pPr>
      <w:r>
        <w:rPr>
          <w:rFonts w:hint="eastAsia" w:hAnsi="宋体"/>
          <w:szCs w:val="21"/>
        </w:rPr>
        <w:t>承包人应严格遵循国家及发包人有关建设工程安健环法律、法规及管理文件规定，向发包人</w:t>
      </w:r>
      <w:r>
        <w:rPr>
          <w:rFonts w:hAnsi="宋体"/>
          <w:szCs w:val="21"/>
        </w:rPr>
        <w:t>安健环</w:t>
      </w:r>
      <w:r>
        <w:rPr>
          <w:rFonts w:hint="eastAsia" w:hAnsi="宋体"/>
          <w:szCs w:val="21"/>
        </w:rPr>
        <w:t>部门提供以下安健环资料供审查和存档。若承包人在本协议生效之日起30天内未向发包人提供以下资料或者提供的资料经发包人审查不符合上述规定要求的，发包人有权书面通知承包人解除项目施工合同以及本协议，一切责任由承包人承担：</w:t>
      </w:r>
    </w:p>
    <w:p>
      <w:pPr>
        <w:numPr>
          <w:ilvl w:val="0"/>
          <w:numId w:val="12"/>
        </w:numPr>
        <w:tabs>
          <w:tab w:val="left" w:pos="840"/>
          <w:tab w:val="clear" w:pos="630"/>
        </w:tabs>
        <w:adjustRightInd w:val="0"/>
        <w:snapToGrid w:val="0"/>
        <w:spacing w:line="360" w:lineRule="auto"/>
        <w:ind w:left="-2" w:leftChars="-1" w:firstLine="367" w:firstLineChars="175"/>
        <w:rPr>
          <w:rFonts w:hAnsi="宋体"/>
          <w:szCs w:val="21"/>
        </w:rPr>
      </w:pPr>
      <w:r>
        <w:rPr>
          <w:rFonts w:hint="eastAsia" w:hAnsi="宋体"/>
          <w:szCs w:val="21"/>
        </w:rPr>
        <w:t>有关部门颁发的营业执照和施工资质证书。</w:t>
      </w:r>
    </w:p>
    <w:p>
      <w:pPr>
        <w:numPr>
          <w:ilvl w:val="0"/>
          <w:numId w:val="12"/>
        </w:numPr>
        <w:tabs>
          <w:tab w:val="left" w:pos="840"/>
          <w:tab w:val="clear" w:pos="630"/>
        </w:tabs>
        <w:adjustRightInd w:val="0"/>
        <w:snapToGrid w:val="0"/>
        <w:spacing w:line="360" w:lineRule="auto"/>
        <w:ind w:left="-2" w:leftChars="-1" w:firstLine="367" w:firstLineChars="175"/>
        <w:rPr>
          <w:rFonts w:hAnsi="宋体"/>
          <w:szCs w:val="21"/>
        </w:rPr>
      </w:pPr>
      <w:r>
        <w:rPr>
          <w:rFonts w:hint="eastAsia" w:hAnsi="宋体"/>
          <w:szCs w:val="21"/>
        </w:rPr>
        <w:t>有关部门颁发的“安全施工合格证”、施工简历和近三年安全施工纪录。</w:t>
      </w:r>
    </w:p>
    <w:p>
      <w:pPr>
        <w:numPr>
          <w:ilvl w:val="0"/>
          <w:numId w:val="12"/>
        </w:numPr>
        <w:tabs>
          <w:tab w:val="left" w:pos="840"/>
          <w:tab w:val="clear" w:pos="630"/>
        </w:tabs>
        <w:adjustRightInd w:val="0"/>
        <w:snapToGrid w:val="0"/>
        <w:spacing w:line="360" w:lineRule="auto"/>
        <w:ind w:left="-2" w:leftChars="-1" w:firstLine="367" w:firstLineChars="175"/>
        <w:rPr>
          <w:rFonts w:hAnsi="宋体"/>
          <w:szCs w:val="21"/>
        </w:rPr>
      </w:pPr>
      <w:r>
        <w:rPr>
          <w:rFonts w:hint="eastAsia" w:hAnsi="宋体"/>
          <w:szCs w:val="21"/>
        </w:rPr>
        <w:t>上年度和上一工程发包单位对分包单位安全施工的结论。</w:t>
      </w:r>
    </w:p>
    <w:p>
      <w:pPr>
        <w:numPr>
          <w:ilvl w:val="0"/>
          <w:numId w:val="12"/>
        </w:numPr>
        <w:tabs>
          <w:tab w:val="left" w:pos="840"/>
          <w:tab w:val="clear" w:pos="630"/>
        </w:tabs>
        <w:adjustRightInd w:val="0"/>
        <w:snapToGrid w:val="0"/>
        <w:spacing w:line="360" w:lineRule="auto"/>
        <w:ind w:left="-2" w:leftChars="-1" w:firstLine="367" w:firstLineChars="175"/>
        <w:rPr>
          <w:rFonts w:hAnsi="宋体"/>
          <w:szCs w:val="21"/>
        </w:rPr>
      </w:pPr>
      <w:r>
        <w:rPr>
          <w:rFonts w:hAnsi="宋体"/>
          <w:szCs w:val="21"/>
        </w:rPr>
        <w:t>项目安健环组织机构及</w:t>
      </w:r>
      <w:r>
        <w:rPr>
          <w:rFonts w:hint="eastAsia" w:hAnsi="宋体"/>
          <w:szCs w:val="21"/>
        </w:rPr>
        <w:t>其人员配备、持证情况</w:t>
      </w:r>
      <w:r>
        <w:rPr>
          <w:rFonts w:hAnsi="宋体"/>
          <w:szCs w:val="21"/>
        </w:rPr>
        <w:t>。</w:t>
      </w:r>
    </w:p>
    <w:p>
      <w:pPr>
        <w:numPr>
          <w:ilvl w:val="0"/>
          <w:numId w:val="12"/>
        </w:numPr>
        <w:tabs>
          <w:tab w:val="left" w:pos="840"/>
          <w:tab w:val="clear" w:pos="630"/>
        </w:tabs>
        <w:adjustRightInd w:val="0"/>
        <w:snapToGrid w:val="0"/>
        <w:spacing w:line="360" w:lineRule="auto"/>
        <w:ind w:left="-2" w:leftChars="-1" w:firstLine="367" w:firstLineChars="175"/>
        <w:rPr>
          <w:rFonts w:hAnsi="宋体"/>
          <w:szCs w:val="21"/>
        </w:rPr>
      </w:pPr>
      <w:r>
        <w:rPr>
          <w:rFonts w:hint="eastAsia" w:hAnsi="宋体"/>
          <w:szCs w:val="21"/>
        </w:rPr>
        <w:t>安全施工的人力投入计划及特种作业人员取证情况。</w:t>
      </w:r>
    </w:p>
    <w:p>
      <w:pPr>
        <w:numPr>
          <w:ilvl w:val="0"/>
          <w:numId w:val="12"/>
        </w:numPr>
        <w:tabs>
          <w:tab w:val="left" w:pos="840"/>
          <w:tab w:val="clear" w:pos="630"/>
        </w:tabs>
        <w:adjustRightInd w:val="0"/>
        <w:snapToGrid w:val="0"/>
        <w:spacing w:line="360" w:lineRule="auto"/>
        <w:ind w:left="-2" w:leftChars="-1" w:firstLine="367" w:firstLineChars="175"/>
        <w:rPr>
          <w:rFonts w:hAnsi="宋体"/>
          <w:szCs w:val="21"/>
        </w:rPr>
      </w:pPr>
      <w:r>
        <w:rPr>
          <w:rFonts w:hint="eastAsia" w:hAnsi="宋体"/>
          <w:szCs w:val="21"/>
        </w:rPr>
        <w:t>安全施工的技术素质（包括负责人、工程技术人员和工人情况名册）及特种作业人员取证情况。</w:t>
      </w:r>
    </w:p>
    <w:p>
      <w:pPr>
        <w:numPr>
          <w:ilvl w:val="0"/>
          <w:numId w:val="12"/>
        </w:numPr>
        <w:tabs>
          <w:tab w:val="left" w:pos="840"/>
          <w:tab w:val="clear" w:pos="630"/>
        </w:tabs>
        <w:adjustRightInd w:val="0"/>
        <w:snapToGrid w:val="0"/>
        <w:spacing w:line="360" w:lineRule="auto"/>
        <w:ind w:left="-2" w:leftChars="-1" w:firstLine="367" w:firstLineChars="175"/>
        <w:rPr>
          <w:rFonts w:hAnsi="宋体"/>
          <w:szCs w:val="21"/>
        </w:rPr>
      </w:pPr>
      <w:r>
        <w:rPr>
          <w:rFonts w:hint="eastAsia" w:hAnsi="宋体"/>
          <w:szCs w:val="21"/>
        </w:rPr>
        <w:t>保证安全施工的机械、工器具及安全防护设施、用具的配备情况。</w:t>
      </w:r>
    </w:p>
    <w:p>
      <w:pPr>
        <w:numPr>
          <w:ilvl w:val="0"/>
          <w:numId w:val="12"/>
        </w:numPr>
        <w:tabs>
          <w:tab w:val="left" w:pos="840"/>
          <w:tab w:val="clear" w:pos="630"/>
        </w:tabs>
        <w:adjustRightInd w:val="0"/>
        <w:snapToGrid w:val="0"/>
        <w:spacing w:line="360" w:lineRule="auto"/>
        <w:ind w:left="-2" w:leftChars="-1" w:firstLine="367" w:firstLineChars="175"/>
        <w:rPr>
          <w:rFonts w:hAnsi="宋体"/>
          <w:szCs w:val="21"/>
        </w:rPr>
      </w:pPr>
      <w:r>
        <w:rPr>
          <w:rFonts w:hAnsi="宋体"/>
          <w:szCs w:val="21"/>
        </w:rPr>
        <w:t>适用于本项目的安健环过程管理的程序和安全工作规程。</w:t>
      </w:r>
    </w:p>
    <w:p>
      <w:pPr>
        <w:pStyle w:val="3"/>
        <w:keepNext w:val="0"/>
        <w:keepLines w:val="0"/>
        <w:tabs>
          <w:tab w:val="left" w:pos="432"/>
        </w:tabs>
        <w:topLinePunct/>
        <w:adjustRightInd w:val="0"/>
        <w:snapToGrid w:val="0"/>
        <w:spacing w:before="156" w:beforeLines="50" w:after="156" w:afterLines="50" w:line="360" w:lineRule="auto"/>
        <w:textAlignment w:val="center"/>
        <w:rPr>
          <w:rFonts w:hAnsi="宋体"/>
          <w:sz w:val="21"/>
          <w:szCs w:val="21"/>
        </w:rPr>
      </w:pPr>
      <w:bookmarkStart w:id="226" w:name="_Toc483596397"/>
      <w:bookmarkStart w:id="227" w:name="_Toc482906035"/>
      <w:bookmarkStart w:id="228" w:name="_Toc483086407"/>
      <w:bookmarkStart w:id="229" w:name="_Toc484108975"/>
      <w:bookmarkStart w:id="230" w:name="_Toc477970728"/>
      <w:bookmarkStart w:id="231" w:name="_Toc483122181"/>
      <w:bookmarkStart w:id="232" w:name="_Toc478303286"/>
      <w:bookmarkStart w:id="233" w:name="_Toc482889948"/>
      <w:bookmarkStart w:id="234" w:name="_Toc484082705"/>
      <w:bookmarkStart w:id="235" w:name="_Toc484108920"/>
      <w:bookmarkStart w:id="236" w:name="_Toc477982313"/>
      <w:bookmarkStart w:id="237" w:name="_Toc478424900"/>
      <w:bookmarkStart w:id="238" w:name="_Toc483601183"/>
      <w:bookmarkStart w:id="239" w:name="_Toc482903432"/>
      <w:bookmarkStart w:id="240" w:name="_Toc483991669"/>
      <w:r>
        <w:rPr>
          <w:rFonts w:hAnsi="宋体"/>
          <w:sz w:val="21"/>
          <w:szCs w:val="21"/>
        </w:rPr>
        <w:t>六、人员基本素质</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pPr>
        <w:adjustRightInd w:val="0"/>
        <w:snapToGrid w:val="0"/>
        <w:spacing w:line="360" w:lineRule="auto"/>
        <w:ind w:firstLine="420" w:firstLineChars="200"/>
        <w:rPr>
          <w:szCs w:val="21"/>
        </w:rPr>
      </w:pPr>
      <w:r>
        <w:rPr>
          <w:rFonts w:hAnsi="宋体"/>
          <w:szCs w:val="21"/>
        </w:rPr>
        <w:t>发包人提供的人员必须满足下列要求：</w:t>
      </w:r>
    </w:p>
    <w:p>
      <w:pPr>
        <w:numPr>
          <w:ilvl w:val="0"/>
          <w:numId w:val="13"/>
        </w:numPr>
        <w:tabs>
          <w:tab w:val="left" w:pos="840"/>
          <w:tab w:val="clear" w:pos="630"/>
        </w:tabs>
        <w:adjustRightInd w:val="0"/>
        <w:snapToGrid w:val="0"/>
        <w:spacing w:line="360" w:lineRule="auto"/>
        <w:ind w:left="0" w:firstLine="420"/>
        <w:rPr>
          <w:rFonts w:hAnsi="宋体"/>
          <w:szCs w:val="21"/>
        </w:rPr>
      </w:pPr>
      <w:r>
        <w:rPr>
          <w:rFonts w:hAnsi="宋体"/>
          <w:szCs w:val="21"/>
        </w:rPr>
        <w:t>发包人应确保雇用的人员（包括间接雇用的人员）</w:t>
      </w:r>
      <w:r>
        <w:rPr>
          <w:rFonts w:hint="eastAsia" w:hAnsi="宋体"/>
          <w:szCs w:val="21"/>
        </w:rPr>
        <w:t>提供</w:t>
      </w:r>
      <w:r>
        <w:rPr>
          <w:rFonts w:hAnsi="宋体"/>
          <w:szCs w:val="21"/>
        </w:rPr>
        <w:t>一年内的体检证明，所有人员应无影响工作的精神疾病、传染病和其他重大疾病。</w:t>
      </w:r>
    </w:p>
    <w:p>
      <w:pPr>
        <w:numPr>
          <w:ilvl w:val="0"/>
          <w:numId w:val="13"/>
        </w:numPr>
        <w:tabs>
          <w:tab w:val="left" w:pos="840"/>
          <w:tab w:val="clear" w:pos="630"/>
        </w:tabs>
        <w:adjustRightInd w:val="0"/>
        <w:snapToGrid w:val="0"/>
        <w:spacing w:line="360" w:lineRule="auto"/>
        <w:ind w:left="0" w:firstLine="420"/>
        <w:rPr>
          <w:rFonts w:hAnsi="宋体"/>
          <w:szCs w:val="21"/>
        </w:rPr>
      </w:pPr>
      <w:r>
        <w:rPr>
          <w:rFonts w:hint="eastAsia" w:hAnsi="宋体"/>
          <w:szCs w:val="21"/>
        </w:rPr>
        <w:t>发包人有权要求发包人更换涉嫌刑事犯罪、违反治安管理处罚法或存在下列行为的人员：</w:t>
      </w:r>
      <w:r>
        <w:rPr>
          <w:rFonts w:hAnsi="宋体"/>
          <w:szCs w:val="21"/>
        </w:rPr>
        <w:t>违法乱纪行为</w:t>
      </w:r>
      <w:r>
        <w:rPr>
          <w:rFonts w:hint="eastAsia" w:hAnsi="宋体"/>
          <w:szCs w:val="21"/>
        </w:rPr>
        <w:t>人员、</w:t>
      </w:r>
      <w:r>
        <w:rPr>
          <w:rFonts w:hAnsi="宋体"/>
          <w:szCs w:val="21"/>
        </w:rPr>
        <w:t>刑事案件牵连</w:t>
      </w:r>
      <w:r>
        <w:rPr>
          <w:rFonts w:hint="eastAsia" w:hAnsi="宋体"/>
          <w:szCs w:val="21"/>
        </w:rPr>
        <w:t>人员等</w:t>
      </w:r>
      <w:r>
        <w:rPr>
          <w:rFonts w:hAnsi="宋体"/>
          <w:szCs w:val="21"/>
        </w:rPr>
        <w:t>。</w:t>
      </w:r>
    </w:p>
    <w:p>
      <w:pPr>
        <w:numPr>
          <w:ilvl w:val="0"/>
          <w:numId w:val="13"/>
        </w:numPr>
        <w:tabs>
          <w:tab w:val="left" w:pos="840"/>
          <w:tab w:val="clear" w:pos="630"/>
        </w:tabs>
        <w:adjustRightInd w:val="0"/>
        <w:snapToGrid w:val="0"/>
        <w:spacing w:line="360" w:lineRule="auto"/>
        <w:ind w:left="0" w:firstLine="420"/>
        <w:rPr>
          <w:rFonts w:hAnsi="宋体"/>
          <w:szCs w:val="21"/>
        </w:rPr>
      </w:pPr>
      <w:r>
        <w:rPr>
          <w:rFonts w:hAnsi="宋体"/>
          <w:szCs w:val="21"/>
        </w:rPr>
        <w:t>现场作业人员应有阅读现场安全指示</w:t>
      </w:r>
      <w:r>
        <w:rPr>
          <w:rFonts w:hint="eastAsia" w:hAnsi="宋体"/>
          <w:szCs w:val="21"/>
        </w:rPr>
        <w:t>的</w:t>
      </w:r>
      <w:r>
        <w:rPr>
          <w:rFonts w:hAnsi="宋体"/>
          <w:szCs w:val="21"/>
        </w:rPr>
        <w:t>基本文化水平。</w:t>
      </w:r>
    </w:p>
    <w:p>
      <w:pPr>
        <w:numPr>
          <w:ilvl w:val="0"/>
          <w:numId w:val="13"/>
        </w:numPr>
        <w:tabs>
          <w:tab w:val="left" w:pos="840"/>
          <w:tab w:val="clear" w:pos="630"/>
        </w:tabs>
        <w:adjustRightInd w:val="0"/>
        <w:snapToGrid w:val="0"/>
        <w:spacing w:line="360" w:lineRule="auto"/>
        <w:ind w:left="0" w:firstLine="420"/>
        <w:rPr>
          <w:rFonts w:hAnsi="宋体"/>
          <w:szCs w:val="21"/>
        </w:rPr>
      </w:pPr>
      <w:r>
        <w:rPr>
          <w:rFonts w:hAnsi="宋体"/>
          <w:szCs w:val="21"/>
        </w:rPr>
        <w:t>现场作业人员应符合国家法定工作年龄。</w:t>
      </w:r>
    </w:p>
    <w:p>
      <w:pPr>
        <w:pStyle w:val="3"/>
        <w:keepNext w:val="0"/>
        <w:keepLines w:val="0"/>
        <w:tabs>
          <w:tab w:val="left" w:pos="432"/>
        </w:tabs>
        <w:topLinePunct/>
        <w:adjustRightInd w:val="0"/>
        <w:snapToGrid w:val="0"/>
        <w:spacing w:before="156" w:beforeLines="50" w:after="156" w:afterLines="50" w:line="360" w:lineRule="auto"/>
        <w:textAlignment w:val="center"/>
        <w:rPr>
          <w:rFonts w:hAnsi="宋体"/>
          <w:sz w:val="21"/>
          <w:szCs w:val="21"/>
        </w:rPr>
      </w:pPr>
      <w:bookmarkStart w:id="241" w:name="_Toc478424901"/>
      <w:bookmarkStart w:id="242" w:name="_Toc484082706"/>
      <w:bookmarkStart w:id="243" w:name="_Toc483601184"/>
      <w:bookmarkStart w:id="244" w:name="_Toc483596398"/>
      <w:bookmarkStart w:id="245" w:name="_Toc478303287"/>
      <w:bookmarkStart w:id="246" w:name="_Toc483991670"/>
      <w:bookmarkStart w:id="247" w:name="_Toc482903433"/>
      <w:bookmarkStart w:id="248" w:name="_Toc483122182"/>
      <w:bookmarkStart w:id="249" w:name="_Toc484108921"/>
      <w:bookmarkStart w:id="250" w:name="_Toc477970729"/>
      <w:bookmarkStart w:id="251" w:name="_Toc483086408"/>
      <w:bookmarkStart w:id="252" w:name="_Toc482889949"/>
      <w:bookmarkStart w:id="253" w:name="_Toc482906036"/>
      <w:bookmarkStart w:id="254" w:name="_Toc484108976"/>
      <w:bookmarkStart w:id="255" w:name="_Toc477982314"/>
      <w:r>
        <w:rPr>
          <w:rFonts w:hAnsi="宋体"/>
          <w:sz w:val="21"/>
          <w:szCs w:val="21"/>
        </w:rPr>
        <w:t>七、劳动保护</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pPr>
        <w:adjustRightInd w:val="0"/>
        <w:snapToGrid w:val="0"/>
        <w:spacing w:line="360" w:lineRule="auto"/>
        <w:ind w:firstLine="420" w:firstLineChars="200"/>
        <w:rPr>
          <w:bCs/>
          <w:szCs w:val="21"/>
        </w:rPr>
      </w:pPr>
      <w:r>
        <w:rPr>
          <w:bCs/>
          <w:szCs w:val="21"/>
        </w:rPr>
        <w:t>（</w:t>
      </w:r>
      <w:r>
        <w:rPr>
          <w:rFonts w:hAnsi="宋体"/>
          <w:bCs/>
          <w:szCs w:val="21"/>
        </w:rPr>
        <w:t>一</w:t>
      </w:r>
      <w:r>
        <w:rPr>
          <w:bCs/>
          <w:szCs w:val="21"/>
        </w:rPr>
        <w:t>）</w:t>
      </w:r>
      <w:r>
        <w:rPr>
          <w:rFonts w:hAnsi="宋体"/>
          <w:bCs/>
          <w:szCs w:val="21"/>
        </w:rPr>
        <w:t>个人劳动保护</w:t>
      </w:r>
    </w:p>
    <w:p>
      <w:pPr>
        <w:numPr>
          <w:ilvl w:val="0"/>
          <w:numId w:val="14"/>
        </w:numPr>
        <w:tabs>
          <w:tab w:val="left" w:pos="0"/>
          <w:tab w:val="clear" w:pos="630"/>
        </w:tabs>
        <w:adjustRightInd w:val="0"/>
        <w:snapToGrid w:val="0"/>
        <w:spacing w:line="360" w:lineRule="auto"/>
        <w:ind w:left="0" w:firstLine="420"/>
        <w:rPr>
          <w:rFonts w:hAnsi="宋体"/>
          <w:szCs w:val="21"/>
        </w:rPr>
      </w:pPr>
      <w:r>
        <w:rPr>
          <w:rFonts w:hint="eastAsia" w:hAnsi="宋体"/>
          <w:szCs w:val="21"/>
        </w:rPr>
        <w:t>发包人负责包括其内部、分包商和供应商在内的所有个人劳动保护。</w:t>
      </w:r>
    </w:p>
    <w:p>
      <w:pPr>
        <w:numPr>
          <w:ilvl w:val="0"/>
          <w:numId w:val="14"/>
        </w:numPr>
        <w:tabs>
          <w:tab w:val="left" w:pos="0"/>
          <w:tab w:val="clear" w:pos="630"/>
        </w:tabs>
        <w:adjustRightInd w:val="0"/>
        <w:snapToGrid w:val="0"/>
        <w:spacing w:line="360" w:lineRule="auto"/>
        <w:ind w:left="0" w:firstLine="420"/>
        <w:rPr>
          <w:rFonts w:hAnsi="宋体"/>
          <w:szCs w:val="21"/>
        </w:rPr>
      </w:pPr>
      <w:r>
        <w:rPr>
          <w:rFonts w:hAnsi="宋体"/>
          <w:szCs w:val="21"/>
        </w:rPr>
        <w:t>发包人应负责为任何用工形式员工配备个人劳动保护用品（包括工作服、安全帽、安全带、安全鞋、工作手套等）</w:t>
      </w:r>
      <w:r>
        <w:rPr>
          <w:rFonts w:hint="eastAsia" w:hAnsi="宋体"/>
          <w:szCs w:val="21"/>
        </w:rPr>
        <w:t>，发包人应穿着本单位统一的工作服装。</w:t>
      </w:r>
    </w:p>
    <w:p>
      <w:pPr>
        <w:numPr>
          <w:ilvl w:val="0"/>
          <w:numId w:val="14"/>
        </w:numPr>
        <w:tabs>
          <w:tab w:val="left" w:pos="0"/>
          <w:tab w:val="clear" w:pos="630"/>
        </w:tabs>
        <w:adjustRightInd w:val="0"/>
        <w:snapToGrid w:val="0"/>
        <w:spacing w:line="360" w:lineRule="auto"/>
        <w:ind w:left="0" w:firstLine="420"/>
        <w:rPr>
          <w:rFonts w:hAnsi="宋体"/>
          <w:szCs w:val="21"/>
        </w:rPr>
      </w:pPr>
      <w:r>
        <w:rPr>
          <w:rFonts w:hAnsi="宋体"/>
          <w:szCs w:val="21"/>
        </w:rPr>
        <w:t>发包人应负责向特殊工种的员工提供特殊劳动保护，否则不得在现场从事特殊工种作业。</w:t>
      </w:r>
    </w:p>
    <w:p>
      <w:pPr>
        <w:numPr>
          <w:ilvl w:val="0"/>
          <w:numId w:val="14"/>
        </w:numPr>
        <w:tabs>
          <w:tab w:val="left" w:pos="0"/>
          <w:tab w:val="clear" w:pos="630"/>
        </w:tabs>
        <w:adjustRightInd w:val="0"/>
        <w:snapToGrid w:val="0"/>
        <w:spacing w:line="360" w:lineRule="auto"/>
        <w:ind w:left="0" w:firstLine="420"/>
        <w:rPr>
          <w:rFonts w:hAnsi="宋体"/>
          <w:szCs w:val="21"/>
        </w:rPr>
      </w:pPr>
      <w:r>
        <w:rPr>
          <w:rFonts w:hAnsi="宋体"/>
          <w:szCs w:val="21"/>
        </w:rPr>
        <w:t>发包人有权检查承包人施工现场的个人劳动保护用品是否符合国家的相应标准，承包人应提前将个人劳动保护用品合格证明材料交发包人的安</w:t>
      </w:r>
      <w:r>
        <w:rPr>
          <w:rFonts w:hint="eastAsia" w:hAnsi="宋体"/>
          <w:szCs w:val="21"/>
        </w:rPr>
        <w:t>健环</w:t>
      </w:r>
      <w:r>
        <w:rPr>
          <w:rFonts w:hAnsi="宋体"/>
          <w:szCs w:val="21"/>
        </w:rPr>
        <w:t>部门认可。</w:t>
      </w:r>
    </w:p>
    <w:p>
      <w:pPr>
        <w:numPr>
          <w:ilvl w:val="0"/>
          <w:numId w:val="14"/>
        </w:numPr>
        <w:tabs>
          <w:tab w:val="left" w:pos="0"/>
          <w:tab w:val="clear" w:pos="630"/>
        </w:tabs>
        <w:adjustRightInd w:val="0"/>
        <w:snapToGrid w:val="0"/>
        <w:spacing w:line="360" w:lineRule="auto"/>
        <w:ind w:left="0" w:firstLine="420"/>
        <w:rPr>
          <w:rFonts w:hAnsi="宋体"/>
          <w:szCs w:val="21"/>
        </w:rPr>
      </w:pPr>
      <w:r>
        <w:rPr>
          <w:rFonts w:hAnsi="宋体"/>
          <w:szCs w:val="21"/>
        </w:rPr>
        <w:t>承包人在特殊风险场所作业而需要特殊防护用品或安全仪表时，必须在上述防护用品全部到位后才能开工。</w:t>
      </w:r>
    </w:p>
    <w:p>
      <w:pPr>
        <w:adjustRightInd w:val="0"/>
        <w:snapToGrid w:val="0"/>
        <w:spacing w:line="360" w:lineRule="auto"/>
        <w:ind w:firstLine="420" w:firstLineChars="200"/>
        <w:rPr>
          <w:bCs/>
          <w:szCs w:val="21"/>
        </w:rPr>
      </w:pPr>
      <w:r>
        <w:rPr>
          <w:bCs/>
          <w:szCs w:val="21"/>
        </w:rPr>
        <w:t>（</w:t>
      </w:r>
      <w:r>
        <w:rPr>
          <w:rFonts w:hAnsi="宋体"/>
          <w:bCs/>
          <w:szCs w:val="21"/>
        </w:rPr>
        <w:t>二</w:t>
      </w:r>
      <w:r>
        <w:rPr>
          <w:bCs/>
          <w:szCs w:val="21"/>
        </w:rPr>
        <w:t>）</w:t>
      </w:r>
      <w:r>
        <w:rPr>
          <w:rFonts w:hAnsi="宋体"/>
          <w:bCs/>
          <w:szCs w:val="21"/>
        </w:rPr>
        <w:t>集体劳动保护</w:t>
      </w:r>
    </w:p>
    <w:p>
      <w:pPr>
        <w:numPr>
          <w:ilvl w:val="0"/>
          <w:numId w:val="15"/>
        </w:numPr>
        <w:adjustRightInd w:val="0"/>
        <w:snapToGrid w:val="0"/>
        <w:spacing w:line="360" w:lineRule="auto"/>
        <w:rPr>
          <w:rFonts w:hAnsi="宋体"/>
          <w:szCs w:val="21"/>
        </w:rPr>
      </w:pPr>
      <w:r>
        <w:rPr>
          <w:rFonts w:hint="eastAsia" w:hAnsi="宋体"/>
          <w:szCs w:val="21"/>
        </w:rPr>
        <w:t>承包人负责包括其内部、分包商和供应商在内的集体劳动保护。</w:t>
      </w:r>
    </w:p>
    <w:p>
      <w:pPr>
        <w:numPr>
          <w:ilvl w:val="0"/>
          <w:numId w:val="15"/>
        </w:numPr>
        <w:adjustRightInd w:val="0"/>
        <w:snapToGrid w:val="0"/>
        <w:spacing w:line="360" w:lineRule="auto"/>
        <w:rPr>
          <w:szCs w:val="21"/>
        </w:rPr>
      </w:pPr>
      <w:r>
        <w:rPr>
          <w:rFonts w:hAnsi="宋体"/>
          <w:szCs w:val="21"/>
        </w:rPr>
        <w:t>承包人应配备临时安全围栏、警示带、警告标志、防火布及必备的消防器材等集体</w:t>
      </w:r>
    </w:p>
    <w:p>
      <w:pPr>
        <w:adjustRightInd w:val="0"/>
        <w:snapToGrid w:val="0"/>
        <w:spacing w:line="360" w:lineRule="auto"/>
        <w:rPr>
          <w:szCs w:val="21"/>
        </w:rPr>
      </w:pPr>
      <w:r>
        <w:rPr>
          <w:rFonts w:hAnsi="宋体"/>
          <w:szCs w:val="21"/>
        </w:rPr>
        <w:t>防护用品。防</w:t>
      </w:r>
      <w:r>
        <w:rPr>
          <w:rFonts w:hint="eastAsia" w:hAnsi="宋体"/>
          <w:szCs w:val="21"/>
        </w:rPr>
        <w:t>风</w:t>
      </w:r>
      <w:r>
        <w:rPr>
          <w:rFonts w:hAnsi="宋体"/>
          <w:szCs w:val="21"/>
        </w:rPr>
        <w:t>防汛物资如需发包人支持，必须及时向发包人提出申请，发包人根据资源的情况，提供力所能及的帮助。</w:t>
      </w:r>
    </w:p>
    <w:p>
      <w:pPr>
        <w:adjustRightInd w:val="0"/>
        <w:snapToGrid w:val="0"/>
        <w:spacing w:line="360" w:lineRule="auto"/>
        <w:ind w:firstLine="420" w:firstLineChars="200"/>
        <w:rPr>
          <w:rFonts w:hAnsi="宋体"/>
          <w:bCs/>
          <w:szCs w:val="21"/>
        </w:rPr>
      </w:pPr>
      <w:r>
        <w:rPr>
          <w:bCs/>
          <w:szCs w:val="21"/>
        </w:rPr>
        <w:t>（</w:t>
      </w:r>
      <w:r>
        <w:rPr>
          <w:rFonts w:hAnsi="宋体"/>
          <w:bCs/>
          <w:szCs w:val="21"/>
        </w:rPr>
        <w:t>三</w:t>
      </w:r>
      <w:r>
        <w:rPr>
          <w:bCs/>
          <w:szCs w:val="21"/>
        </w:rPr>
        <w:t>）</w:t>
      </w:r>
      <w:r>
        <w:rPr>
          <w:rFonts w:hAnsi="宋体"/>
          <w:bCs/>
          <w:szCs w:val="21"/>
        </w:rPr>
        <w:t>施工机具与材料</w:t>
      </w:r>
    </w:p>
    <w:p>
      <w:pPr>
        <w:numPr>
          <w:ilvl w:val="0"/>
          <w:numId w:val="16"/>
        </w:numPr>
        <w:tabs>
          <w:tab w:val="left" w:pos="0"/>
          <w:tab w:val="clear" w:pos="630"/>
        </w:tabs>
        <w:adjustRightInd w:val="0"/>
        <w:snapToGrid w:val="0"/>
        <w:spacing w:line="360" w:lineRule="auto"/>
        <w:ind w:left="0" w:firstLine="420"/>
        <w:rPr>
          <w:rFonts w:hAnsi="宋体"/>
          <w:szCs w:val="21"/>
        </w:rPr>
      </w:pPr>
      <w:r>
        <w:rPr>
          <w:rFonts w:hint="eastAsia" w:hAnsi="宋体"/>
          <w:szCs w:val="21"/>
        </w:rPr>
        <w:t>承包人负责包括其内部、分包商和供应商在内的施工机具与材料的管理。</w:t>
      </w:r>
    </w:p>
    <w:p>
      <w:pPr>
        <w:numPr>
          <w:ilvl w:val="0"/>
          <w:numId w:val="16"/>
        </w:numPr>
        <w:tabs>
          <w:tab w:val="left" w:pos="0"/>
          <w:tab w:val="clear" w:pos="630"/>
        </w:tabs>
        <w:adjustRightInd w:val="0"/>
        <w:snapToGrid w:val="0"/>
        <w:spacing w:line="360" w:lineRule="auto"/>
        <w:ind w:left="0" w:firstLine="420"/>
        <w:rPr>
          <w:rFonts w:hAnsi="宋体"/>
          <w:szCs w:val="21"/>
        </w:rPr>
      </w:pPr>
      <w:r>
        <w:rPr>
          <w:rFonts w:hAnsi="宋体"/>
          <w:szCs w:val="21"/>
        </w:rPr>
        <w:t>承包人对</w:t>
      </w:r>
      <w:r>
        <w:rPr>
          <w:rFonts w:hint="eastAsia" w:hAnsi="宋体"/>
          <w:szCs w:val="21"/>
        </w:rPr>
        <w:t>其</w:t>
      </w:r>
      <w:r>
        <w:rPr>
          <w:rFonts w:hAnsi="宋体"/>
          <w:szCs w:val="21"/>
        </w:rPr>
        <w:t>带入施工现场的施工机械和工器具的安全负责。</w:t>
      </w:r>
    </w:p>
    <w:p>
      <w:pPr>
        <w:numPr>
          <w:ilvl w:val="0"/>
          <w:numId w:val="16"/>
        </w:numPr>
        <w:tabs>
          <w:tab w:val="left" w:pos="0"/>
          <w:tab w:val="clear" w:pos="630"/>
        </w:tabs>
        <w:adjustRightInd w:val="0"/>
        <w:snapToGrid w:val="0"/>
        <w:spacing w:line="360" w:lineRule="auto"/>
        <w:ind w:left="0" w:firstLine="420"/>
        <w:rPr>
          <w:rFonts w:hAnsi="宋体"/>
          <w:szCs w:val="21"/>
        </w:rPr>
      </w:pPr>
      <w:r>
        <w:rPr>
          <w:rFonts w:hAnsi="宋体"/>
          <w:szCs w:val="21"/>
        </w:rPr>
        <w:t>对于承包人带入施工现场的特殊工器具，如起重</w:t>
      </w:r>
      <w:r>
        <w:rPr>
          <w:rFonts w:hint="eastAsia" w:hAnsi="宋体"/>
          <w:szCs w:val="21"/>
        </w:rPr>
        <w:t>机械</w:t>
      </w:r>
      <w:r>
        <w:rPr>
          <w:rFonts w:hAnsi="宋体"/>
          <w:szCs w:val="21"/>
        </w:rPr>
        <w:t>、锁具、机动车辆、压缩气瓶、必备的消防器材等，承包人应按国家</w:t>
      </w:r>
      <w:r>
        <w:rPr>
          <w:rFonts w:hint="eastAsia" w:hAnsi="宋体"/>
          <w:szCs w:val="21"/>
        </w:rPr>
        <w:t>相关</w:t>
      </w:r>
      <w:r>
        <w:rPr>
          <w:rFonts w:hAnsi="宋体"/>
          <w:szCs w:val="21"/>
        </w:rPr>
        <w:t>法规和标准进行检测、试验，并持有法定部门出具的检验证书，并将这些证书的复印件提交发包人。</w:t>
      </w:r>
    </w:p>
    <w:p>
      <w:pPr>
        <w:numPr>
          <w:ilvl w:val="0"/>
          <w:numId w:val="16"/>
        </w:numPr>
        <w:tabs>
          <w:tab w:val="left" w:pos="0"/>
          <w:tab w:val="clear" w:pos="630"/>
        </w:tabs>
        <w:adjustRightInd w:val="0"/>
        <w:snapToGrid w:val="0"/>
        <w:spacing w:line="360" w:lineRule="auto"/>
        <w:ind w:left="0" w:firstLine="420"/>
        <w:rPr>
          <w:rFonts w:hAnsi="宋体"/>
          <w:szCs w:val="21"/>
        </w:rPr>
      </w:pPr>
      <w:r>
        <w:rPr>
          <w:rFonts w:hAnsi="宋体"/>
          <w:szCs w:val="21"/>
        </w:rPr>
        <w:t>对于不属于法定检测的工器具，承包人</w:t>
      </w:r>
      <w:r>
        <w:rPr>
          <w:rFonts w:hint="eastAsia" w:hAnsi="宋体"/>
          <w:szCs w:val="21"/>
        </w:rPr>
        <w:t>应</w:t>
      </w:r>
      <w:r>
        <w:rPr>
          <w:rFonts w:hAnsi="宋体"/>
          <w:szCs w:val="21"/>
        </w:rPr>
        <w:t>建立并实施相应的管理、检测制度，这些工器具包括登高工具、脚手架材料、电动工具等。</w:t>
      </w:r>
    </w:p>
    <w:p>
      <w:pPr>
        <w:pStyle w:val="3"/>
        <w:keepNext w:val="0"/>
        <w:keepLines w:val="0"/>
        <w:tabs>
          <w:tab w:val="left" w:pos="432"/>
        </w:tabs>
        <w:topLinePunct/>
        <w:adjustRightInd w:val="0"/>
        <w:snapToGrid w:val="0"/>
        <w:spacing w:before="156" w:beforeLines="50" w:after="156" w:afterLines="50" w:line="360" w:lineRule="auto"/>
        <w:textAlignment w:val="center"/>
        <w:rPr>
          <w:rFonts w:hAnsi="宋体"/>
          <w:sz w:val="21"/>
          <w:szCs w:val="21"/>
        </w:rPr>
      </w:pPr>
      <w:bookmarkStart w:id="256" w:name="_Toc484082707"/>
      <w:bookmarkStart w:id="257" w:name="_Toc482906037"/>
      <w:bookmarkStart w:id="258" w:name="_Toc477982315"/>
      <w:bookmarkStart w:id="259" w:name="_Toc482903434"/>
      <w:bookmarkStart w:id="260" w:name="_Toc478424902"/>
      <w:bookmarkStart w:id="261" w:name="_Toc484108977"/>
      <w:bookmarkStart w:id="262" w:name="_Toc477970730"/>
      <w:bookmarkStart w:id="263" w:name="_Toc482889950"/>
      <w:bookmarkStart w:id="264" w:name="_Toc483596399"/>
      <w:bookmarkStart w:id="265" w:name="_Toc483086409"/>
      <w:bookmarkStart w:id="266" w:name="_Toc483991671"/>
      <w:bookmarkStart w:id="267" w:name="_Toc483122183"/>
      <w:bookmarkStart w:id="268" w:name="_Toc484108922"/>
      <w:bookmarkStart w:id="269" w:name="_Toc483601185"/>
      <w:bookmarkStart w:id="270" w:name="_Toc478303288"/>
      <w:r>
        <w:rPr>
          <w:rFonts w:hAnsi="宋体"/>
          <w:sz w:val="21"/>
          <w:szCs w:val="21"/>
        </w:rPr>
        <w:t>八、开工前安</w:t>
      </w:r>
      <w:r>
        <w:rPr>
          <w:rFonts w:hint="eastAsia" w:hAnsi="宋体"/>
          <w:sz w:val="21"/>
          <w:szCs w:val="21"/>
        </w:rPr>
        <w:t>健环</w:t>
      </w:r>
      <w:r>
        <w:rPr>
          <w:rFonts w:hAnsi="宋体"/>
          <w:sz w:val="21"/>
          <w:szCs w:val="21"/>
        </w:rPr>
        <w:t>检查条件</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pPr>
        <w:numPr>
          <w:ilvl w:val="0"/>
          <w:numId w:val="17"/>
        </w:numPr>
        <w:tabs>
          <w:tab w:val="left" w:pos="0"/>
          <w:tab w:val="clear" w:pos="630"/>
        </w:tabs>
        <w:adjustRightInd w:val="0"/>
        <w:snapToGrid w:val="0"/>
        <w:spacing w:line="360" w:lineRule="auto"/>
        <w:ind w:left="0" w:firstLine="420"/>
        <w:rPr>
          <w:rFonts w:hAnsi="宋体"/>
          <w:szCs w:val="21"/>
        </w:rPr>
      </w:pPr>
      <w:r>
        <w:rPr>
          <w:rFonts w:hAnsi="宋体"/>
          <w:szCs w:val="21"/>
        </w:rPr>
        <w:t>承包人应对现场作业人员进厂证及施工准入证进行</w:t>
      </w:r>
      <w:r>
        <w:rPr>
          <w:rFonts w:hint="eastAsia" w:hAnsi="宋体"/>
          <w:szCs w:val="21"/>
        </w:rPr>
        <w:t>严格管理</w:t>
      </w:r>
      <w:r>
        <w:rPr>
          <w:rFonts w:hAnsi="宋体"/>
          <w:szCs w:val="21"/>
        </w:rPr>
        <w:t>。</w:t>
      </w:r>
    </w:p>
    <w:p>
      <w:pPr>
        <w:numPr>
          <w:ilvl w:val="0"/>
          <w:numId w:val="17"/>
        </w:numPr>
        <w:tabs>
          <w:tab w:val="left" w:pos="0"/>
          <w:tab w:val="clear" w:pos="630"/>
        </w:tabs>
        <w:adjustRightInd w:val="0"/>
        <w:snapToGrid w:val="0"/>
        <w:spacing w:line="360" w:lineRule="auto"/>
        <w:ind w:left="0" w:firstLine="420"/>
        <w:rPr>
          <w:rFonts w:hAnsi="宋体"/>
          <w:szCs w:val="21"/>
        </w:rPr>
      </w:pPr>
      <w:r>
        <w:rPr>
          <w:rFonts w:hAnsi="宋体"/>
          <w:szCs w:val="21"/>
        </w:rPr>
        <w:t>开工前</w:t>
      </w:r>
      <w:r>
        <w:rPr>
          <w:rFonts w:hint="eastAsia" w:hAnsi="宋体"/>
          <w:szCs w:val="21"/>
        </w:rPr>
        <w:t>，承包人</w:t>
      </w:r>
      <w:r>
        <w:rPr>
          <w:rFonts w:hAnsi="宋体"/>
          <w:szCs w:val="21"/>
        </w:rPr>
        <w:t>安健环条件检查的基本内容包括：安健环管理体系和安健环责任制建立、安健环管理程序、安健环资金投入、工程危险源辨识</w:t>
      </w:r>
      <w:r>
        <w:rPr>
          <w:rFonts w:hint="eastAsia" w:hAnsi="宋体"/>
          <w:szCs w:val="21"/>
        </w:rPr>
        <w:t>（危害因素、环境因素识别）</w:t>
      </w:r>
      <w:r>
        <w:rPr>
          <w:rFonts w:hAnsi="宋体"/>
          <w:szCs w:val="21"/>
        </w:rPr>
        <w:t>和生产安全事故风险分析报告、施工机械的安全状况、安全工器具和材料、安健环</w:t>
      </w:r>
      <w:r>
        <w:rPr>
          <w:rFonts w:hint="eastAsia" w:hAnsi="宋体"/>
          <w:szCs w:val="21"/>
        </w:rPr>
        <w:t>教育</w:t>
      </w:r>
      <w:r>
        <w:rPr>
          <w:rFonts w:hAnsi="宋体"/>
          <w:szCs w:val="21"/>
        </w:rPr>
        <w:t>培训、专职安全人员的到岗情况、培训的有效性、人员控制、个人劳动保护用品的发放等内容。</w:t>
      </w:r>
    </w:p>
    <w:p>
      <w:pPr>
        <w:numPr>
          <w:ilvl w:val="0"/>
          <w:numId w:val="17"/>
        </w:numPr>
        <w:tabs>
          <w:tab w:val="left" w:pos="0"/>
          <w:tab w:val="clear" w:pos="630"/>
        </w:tabs>
        <w:adjustRightInd w:val="0"/>
        <w:snapToGrid w:val="0"/>
        <w:spacing w:line="360" w:lineRule="auto"/>
        <w:ind w:left="0" w:firstLine="420"/>
        <w:rPr>
          <w:rFonts w:hAnsi="宋体"/>
          <w:szCs w:val="21"/>
        </w:rPr>
      </w:pPr>
      <w:r>
        <w:rPr>
          <w:rFonts w:hint="eastAsia" w:hAnsi="宋体"/>
          <w:szCs w:val="21"/>
        </w:rPr>
        <w:t>施工前，承包人负责项目管理的技术人员应当对有关安全施工的技术要求向施工作业班组、作业人员作出详细说明，并由双方签字确认。</w:t>
      </w:r>
    </w:p>
    <w:p>
      <w:pPr>
        <w:pStyle w:val="3"/>
        <w:keepNext w:val="0"/>
        <w:keepLines w:val="0"/>
        <w:tabs>
          <w:tab w:val="left" w:pos="432"/>
        </w:tabs>
        <w:topLinePunct/>
        <w:adjustRightInd w:val="0"/>
        <w:snapToGrid w:val="0"/>
        <w:spacing w:before="0" w:after="0" w:line="360" w:lineRule="auto"/>
        <w:textAlignment w:val="center"/>
        <w:rPr>
          <w:rFonts w:hAnsi="宋体"/>
          <w:sz w:val="21"/>
          <w:szCs w:val="21"/>
        </w:rPr>
      </w:pPr>
      <w:bookmarkStart w:id="271" w:name="_Toc482906038"/>
      <w:bookmarkStart w:id="272" w:name="_Toc483086410"/>
      <w:bookmarkStart w:id="273" w:name="_Toc483991672"/>
      <w:bookmarkStart w:id="274" w:name="_Toc477970731"/>
      <w:bookmarkStart w:id="275" w:name="_Toc483601186"/>
      <w:bookmarkStart w:id="276" w:name="_Toc483596400"/>
      <w:bookmarkStart w:id="277" w:name="_Toc484108923"/>
      <w:bookmarkStart w:id="278" w:name="_Toc478424903"/>
      <w:bookmarkStart w:id="279" w:name="_Toc484082708"/>
      <w:bookmarkStart w:id="280" w:name="_Toc477982316"/>
      <w:bookmarkStart w:id="281" w:name="_Toc482903435"/>
      <w:bookmarkStart w:id="282" w:name="_Toc482889951"/>
      <w:bookmarkStart w:id="283" w:name="_Toc483122184"/>
      <w:bookmarkStart w:id="284" w:name="_Toc478303289"/>
      <w:bookmarkStart w:id="285" w:name="_Toc484108978"/>
      <w:r>
        <w:rPr>
          <w:rFonts w:hAnsi="宋体"/>
          <w:sz w:val="21"/>
          <w:szCs w:val="21"/>
        </w:rPr>
        <w:t>九、安</w:t>
      </w:r>
      <w:r>
        <w:rPr>
          <w:rFonts w:hint="eastAsia" w:hAnsi="宋体"/>
          <w:sz w:val="21"/>
          <w:szCs w:val="21"/>
        </w:rPr>
        <w:t>健环</w:t>
      </w:r>
      <w:r>
        <w:rPr>
          <w:rFonts w:hAnsi="宋体"/>
          <w:sz w:val="21"/>
          <w:szCs w:val="21"/>
        </w:rPr>
        <w:t>监督</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pPr>
        <w:numPr>
          <w:ilvl w:val="0"/>
          <w:numId w:val="18"/>
        </w:numPr>
        <w:adjustRightInd w:val="0"/>
        <w:snapToGrid w:val="0"/>
        <w:spacing w:line="360" w:lineRule="auto"/>
        <w:ind w:left="0" w:firstLine="420" w:firstLineChars="200"/>
        <w:rPr>
          <w:rFonts w:hAnsi="宋体"/>
          <w:szCs w:val="21"/>
        </w:rPr>
      </w:pPr>
      <w:r>
        <w:rPr>
          <w:rFonts w:hAnsi="宋体"/>
          <w:szCs w:val="21"/>
        </w:rPr>
        <w:t>承包人施工现场应</w:t>
      </w:r>
      <w:r>
        <w:rPr>
          <w:rFonts w:hint="eastAsia" w:hAnsi="宋体"/>
          <w:szCs w:val="21"/>
        </w:rPr>
        <w:t>按照《建筑施工企业安全生产管理机构设置及专职安全生产管理人员配备办法》（建质[2008]91号）等国家相关规定，</w:t>
      </w:r>
      <w:r>
        <w:rPr>
          <w:rFonts w:hAnsi="宋体"/>
          <w:szCs w:val="21"/>
        </w:rPr>
        <w:t>配备足够数量的专</w:t>
      </w:r>
      <w:r>
        <w:rPr>
          <w:szCs w:val="21"/>
        </w:rPr>
        <w:t>（</w:t>
      </w:r>
      <w:r>
        <w:rPr>
          <w:rFonts w:hAnsi="宋体"/>
          <w:szCs w:val="21"/>
        </w:rPr>
        <w:t>兼</w:t>
      </w:r>
      <w:r>
        <w:rPr>
          <w:szCs w:val="21"/>
        </w:rPr>
        <w:t>）</w:t>
      </w:r>
      <w:r>
        <w:rPr>
          <w:rFonts w:hAnsi="宋体"/>
          <w:szCs w:val="21"/>
        </w:rPr>
        <w:t>职安全</w:t>
      </w:r>
      <w:r>
        <w:rPr>
          <w:rFonts w:hint="eastAsia" w:hAnsi="宋体"/>
          <w:szCs w:val="21"/>
        </w:rPr>
        <w:t>监督</w:t>
      </w:r>
      <w:r>
        <w:rPr>
          <w:rFonts w:hAnsi="宋体"/>
          <w:szCs w:val="21"/>
        </w:rPr>
        <w:t>管理人员。</w:t>
      </w:r>
      <w:r>
        <w:rPr>
          <w:rFonts w:hint="eastAsia" w:hAnsi="宋体"/>
          <w:szCs w:val="21"/>
        </w:rPr>
        <w:t>专（兼）职安全监督管理人员须携带标志上岗，负责对施工安全进行现场监督检查。发现安全事故隐患，应当及时向项目负责人和安健环部门报告；对违章指挥、违章操作和违反劳动纪律的，应当立即制止。</w:t>
      </w:r>
    </w:p>
    <w:p>
      <w:pPr>
        <w:numPr>
          <w:ilvl w:val="0"/>
          <w:numId w:val="18"/>
        </w:numPr>
        <w:adjustRightInd w:val="0"/>
        <w:snapToGrid w:val="0"/>
        <w:spacing w:line="360" w:lineRule="auto"/>
        <w:ind w:left="0" w:firstLine="420" w:firstLineChars="200"/>
        <w:rPr>
          <w:rFonts w:hAnsi="宋体"/>
          <w:szCs w:val="21"/>
        </w:rPr>
      </w:pPr>
      <w:r>
        <w:rPr>
          <w:rFonts w:hint="eastAsia" w:hAnsi="宋体"/>
          <w:szCs w:val="21"/>
        </w:rPr>
        <w:t>承包人负责包括其内部、分包商和供应商在内的</w:t>
      </w:r>
      <w:r>
        <w:rPr>
          <w:rFonts w:hAnsi="宋体"/>
          <w:szCs w:val="21"/>
        </w:rPr>
        <w:t>安健环</w:t>
      </w:r>
      <w:r>
        <w:rPr>
          <w:rFonts w:hint="eastAsia" w:hAnsi="宋体"/>
          <w:szCs w:val="21"/>
        </w:rPr>
        <w:t>监督。</w:t>
      </w:r>
    </w:p>
    <w:p>
      <w:pPr>
        <w:numPr>
          <w:ilvl w:val="0"/>
          <w:numId w:val="18"/>
        </w:numPr>
        <w:adjustRightInd w:val="0"/>
        <w:snapToGrid w:val="0"/>
        <w:spacing w:line="360" w:lineRule="auto"/>
        <w:ind w:left="0" w:firstLine="420" w:firstLineChars="200"/>
        <w:rPr>
          <w:szCs w:val="21"/>
        </w:rPr>
      </w:pPr>
      <w:r>
        <w:rPr>
          <w:rFonts w:hAnsi="宋体"/>
          <w:szCs w:val="21"/>
        </w:rPr>
        <w:t>承包人的安全监督管理专职人员必须持</w:t>
      </w:r>
      <w:r>
        <w:rPr>
          <w:rFonts w:hint="eastAsia" w:hAnsi="宋体"/>
          <w:szCs w:val="21"/>
        </w:rPr>
        <w:t>符合国家或行业要求的</w:t>
      </w:r>
      <w:r>
        <w:rPr>
          <w:rFonts w:hAnsi="宋体"/>
          <w:szCs w:val="21"/>
        </w:rPr>
        <w:t>安全资格证书。</w:t>
      </w:r>
    </w:p>
    <w:p>
      <w:pPr>
        <w:numPr>
          <w:ilvl w:val="0"/>
          <w:numId w:val="18"/>
        </w:numPr>
        <w:adjustRightInd w:val="0"/>
        <w:snapToGrid w:val="0"/>
        <w:spacing w:line="360" w:lineRule="auto"/>
        <w:ind w:left="0" w:firstLine="420" w:firstLineChars="200"/>
        <w:rPr>
          <w:szCs w:val="21"/>
        </w:rPr>
      </w:pPr>
      <w:r>
        <w:rPr>
          <w:rFonts w:hAnsi="宋体"/>
          <w:szCs w:val="21"/>
        </w:rPr>
        <w:t>承包人的专职安全监督</w:t>
      </w:r>
      <w:r>
        <w:rPr>
          <w:rFonts w:hint="eastAsia" w:hAnsi="宋体"/>
          <w:szCs w:val="21"/>
        </w:rPr>
        <w:t>管理</w:t>
      </w:r>
      <w:r>
        <w:rPr>
          <w:rFonts w:hAnsi="宋体"/>
          <w:szCs w:val="21"/>
        </w:rPr>
        <w:t>人员在业务上接受发包人安健环部门的协调和指导。</w:t>
      </w:r>
    </w:p>
    <w:p>
      <w:pPr>
        <w:numPr>
          <w:ilvl w:val="0"/>
          <w:numId w:val="18"/>
        </w:numPr>
        <w:adjustRightInd w:val="0"/>
        <w:snapToGrid w:val="0"/>
        <w:spacing w:line="360" w:lineRule="auto"/>
        <w:ind w:left="0" w:firstLine="420" w:firstLineChars="200"/>
        <w:rPr>
          <w:rFonts w:hAnsi="宋体"/>
          <w:szCs w:val="21"/>
        </w:rPr>
      </w:pPr>
      <w:r>
        <w:rPr>
          <w:rFonts w:hAnsi="宋体"/>
          <w:szCs w:val="21"/>
        </w:rPr>
        <w:t>承包人应建立安全监督管理网络，建立诸如安全</w:t>
      </w:r>
      <w:r>
        <w:rPr>
          <w:rFonts w:hint="eastAsia" w:hAnsi="宋体"/>
          <w:szCs w:val="21"/>
        </w:rPr>
        <w:t>生产</w:t>
      </w:r>
      <w:r>
        <w:rPr>
          <w:rFonts w:hAnsi="宋体"/>
          <w:szCs w:val="21"/>
        </w:rPr>
        <w:t>委员会或其他形式的安全协调机构。并建立每日安全议题制度或班前安全交底制度。在施工期间坚持日常安全监督和安全检查，每月进行一次施工现场安全文明施工大检查。</w:t>
      </w:r>
    </w:p>
    <w:p>
      <w:pPr>
        <w:numPr>
          <w:ilvl w:val="0"/>
          <w:numId w:val="18"/>
        </w:numPr>
        <w:adjustRightInd w:val="0"/>
        <w:snapToGrid w:val="0"/>
        <w:spacing w:line="360" w:lineRule="auto"/>
        <w:ind w:left="0" w:firstLine="420" w:firstLineChars="200"/>
        <w:rPr>
          <w:szCs w:val="21"/>
        </w:rPr>
      </w:pPr>
      <w:r>
        <w:rPr>
          <w:rFonts w:hAnsi="宋体"/>
          <w:szCs w:val="21"/>
        </w:rPr>
        <w:t>承包人在接到发包人发出的整改通知后，应在整改期限内完成整改，并于整改完次日将情况书面反馈发包人检查部门。</w:t>
      </w:r>
    </w:p>
    <w:p>
      <w:pPr>
        <w:numPr>
          <w:ilvl w:val="0"/>
          <w:numId w:val="18"/>
        </w:numPr>
        <w:adjustRightInd w:val="0"/>
        <w:snapToGrid w:val="0"/>
        <w:spacing w:line="360" w:lineRule="auto"/>
        <w:ind w:left="0" w:firstLine="420" w:firstLineChars="200"/>
        <w:rPr>
          <w:szCs w:val="21"/>
        </w:rPr>
      </w:pPr>
      <w:r>
        <w:rPr>
          <w:rFonts w:hAnsi="宋体"/>
          <w:szCs w:val="21"/>
        </w:rPr>
        <w:t>承包人应接受和配合发包人专业部门和安健环部门的监督</w:t>
      </w:r>
      <w:r>
        <w:rPr>
          <w:rFonts w:hint="eastAsia" w:hAnsi="宋体"/>
          <w:szCs w:val="21"/>
        </w:rPr>
        <w:t>考核</w:t>
      </w:r>
      <w:r>
        <w:rPr>
          <w:rFonts w:hAnsi="宋体"/>
          <w:szCs w:val="21"/>
        </w:rPr>
        <w:t>与安全评价。</w:t>
      </w:r>
    </w:p>
    <w:p>
      <w:pPr>
        <w:pStyle w:val="3"/>
        <w:keepNext w:val="0"/>
        <w:keepLines w:val="0"/>
        <w:tabs>
          <w:tab w:val="left" w:pos="432"/>
        </w:tabs>
        <w:topLinePunct/>
        <w:adjustRightInd w:val="0"/>
        <w:snapToGrid w:val="0"/>
        <w:spacing w:before="156" w:beforeLines="50" w:after="156" w:afterLines="50" w:line="360" w:lineRule="auto"/>
        <w:textAlignment w:val="center"/>
        <w:rPr>
          <w:rFonts w:hAnsi="宋体"/>
          <w:sz w:val="21"/>
          <w:szCs w:val="21"/>
        </w:rPr>
      </w:pPr>
      <w:bookmarkStart w:id="286" w:name="_Toc483596401"/>
      <w:bookmarkStart w:id="287" w:name="_Toc483601187"/>
      <w:bookmarkStart w:id="288" w:name="_Toc484108979"/>
      <w:bookmarkStart w:id="289" w:name="_Toc483122185"/>
      <w:bookmarkStart w:id="290" w:name="_Toc484108924"/>
      <w:bookmarkStart w:id="291" w:name="_Toc484082709"/>
      <w:bookmarkStart w:id="292" w:name="_Toc483991673"/>
      <w:bookmarkStart w:id="293" w:name="_Toc482889952"/>
      <w:bookmarkStart w:id="294" w:name="_Toc483086411"/>
      <w:bookmarkStart w:id="295" w:name="_Toc477970732"/>
      <w:bookmarkStart w:id="296" w:name="_Toc478303290"/>
      <w:bookmarkStart w:id="297" w:name="_Toc477982317"/>
      <w:bookmarkStart w:id="298" w:name="_Toc482906039"/>
      <w:bookmarkStart w:id="299" w:name="_Toc482903436"/>
      <w:bookmarkStart w:id="300" w:name="_Toc478424904"/>
      <w:r>
        <w:rPr>
          <w:rFonts w:hAnsi="宋体"/>
          <w:sz w:val="21"/>
          <w:szCs w:val="21"/>
        </w:rPr>
        <w:t>十、安</w:t>
      </w:r>
      <w:r>
        <w:rPr>
          <w:rFonts w:hint="eastAsia" w:hAnsi="宋体"/>
          <w:sz w:val="21"/>
          <w:szCs w:val="21"/>
        </w:rPr>
        <w:t>健环</w:t>
      </w:r>
      <w:r>
        <w:rPr>
          <w:rFonts w:hAnsi="宋体"/>
          <w:sz w:val="21"/>
          <w:szCs w:val="21"/>
        </w:rPr>
        <w:t>培训与要求</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pPr>
        <w:numPr>
          <w:ilvl w:val="0"/>
          <w:numId w:val="19"/>
        </w:numPr>
        <w:adjustRightInd w:val="0"/>
        <w:snapToGrid w:val="0"/>
        <w:spacing w:line="360" w:lineRule="auto"/>
        <w:ind w:left="0" w:firstLine="420" w:firstLineChars="200"/>
        <w:rPr>
          <w:rFonts w:hAnsi="宋体"/>
          <w:szCs w:val="21"/>
        </w:rPr>
      </w:pPr>
      <w:r>
        <w:rPr>
          <w:rFonts w:hint="eastAsia" w:hAnsi="宋体"/>
          <w:szCs w:val="21"/>
        </w:rPr>
        <w:t>承包人负责包括其内部、分包商和供应商在内的</w:t>
      </w:r>
      <w:r>
        <w:rPr>
          <w:rFonts w:hAnsi="宋体"/>
          <w:szCs w:val="21"/>
        </w:rPr>
        <w:t>安健环</w:t>
      </w:r>
      <w:r>
        <w:rPr>
          <w:rFonts w:hint="eastAsia" w:hAnsi="宋体"/>
          <w:szCs w:val="21"/>
        </w:rPr>
        <w:t>教育培训。</w:t>
      </w:r>
    </w:p>
    <w:p>
      <w:pPr>
        <w:numPr>
          <w:ilvl w:val="0"/>
          <w:numId w:val="19"/>
        </w:numPr>
        <w:adjustRightInd w:val="0"/>
        <w:snapToGrid w:val="0"/>
        <w:spacing w:line="360" w:lineRule="auto"/>
        <w:ind w:left="0" w:firstLine="420" w:firstLineChars="200"/>
        <w:rPr>
          <w:szCs w:val="21"/>
        </w:rPr>
      </w:pPr>
      <w:r>
        <w:rPr>
          <w:rFonts w:hAnsi="宋体"/>
          <w:szCs w:val="21"/>
        </w:rPr>
        <w:t>承包人应积极配合发包人相关部门进行进场施工人员的岗位资格和安全技能审查。</w:t>
      </w:r>
    </w:p>
    <w:p>
      <w:pPr>
        <w:numPr>
          <w:ilvl w:val="0"/>
          <w:numId w:val="19"/>
        </w:numPr>
        <w:adjustRightInd w:val="0"/>
        <w:snapToGrid w:val="0"/>
        <w:spacing w:line="360" w:lineRule="auto"/>
        <w:ind w:left="0" w:firstLine="420" w:firstLineChars="200"/>
        <w:rPr>
          <w:rFonts w:hAnsi="宋体"/>
          <w:szCs w:val="21"/>
        </w:rPr>
      </w:pPr>
      <w:r>
        <w:rPr>
          <w:rFonts w:hAnsi="宋体"/>
          <w:szCs w:val="21"/>
        </w:rPr>
        <w:t>承包人应组织人员的入场培训，严格执行“三级安全教育”制度和安全交底工作，</w:t>
      </w:r>
      <w:r>
        <w:rPr>
          <w:rFonts w:hint="eastAsia" w:hAnsi="宋体"/>
          <w:szCs w:val="21"/>
        </w:rPr>
        <w:t>未经教育培训或者教育培训考核不合格的人员，不得上岗作业。</w:t>
      </w:r>
      <w:r>
        <w:rPr>
          <w:rFonts w:hAnsi="宋体"/>
          <w:szCs w:val="21"/>
        </w:rPr>
        <w:t>发包人有权监督培训、考核情况或组织抽查考核。</w:t>
      </w:r>
    </w:p>
    <w:p>
      <w:pPr>
        <w:numPr>
          <w:ilvl w:val="0"/>
          <w:numId w:val="19"/>
        </w:numPr>
        <w:adjustRightInd w:val="0"/>
        <w:snapToGrid w:val="0"/>
        <w:spacing w:line="360" w:lineRule="auto"/>
        <w:ind w:left="0" w:firstLine="420" w:firstLineChars="200"/>
        <w:rPr>
          <w:szCs w:val="21"/>
        </w:rPr>
      </w:pPr>
      <w:r>
        <w:rPr>
          <w:rFonts w:hAnsi="宋体"/>
          <w:szCs w:val="21"/>
        </w:rPr>
        <w:t>承包人</w:t>
      </w:r>
      <w:r>
        <w:rPr>
          <w:rFonts w:hint="eastAsia" w:hAnsi="宋体"/>
          <w:szCs w:val="21"/>
        </w:rPr>
        <w:t>的</w:t>
      </w:r>
      <w:r>
        <w:rPr>
          <w:rFonts w:hAnsi="宋体"/>
          <w:szCs w:val="21"/>
        </w:rPr>
        <w:t>所有特殊工种人员</w:t>
      </w:r>
      <w:r>
        <w:rPr>
          <w:rFonts w:hint="eastAsia" w:hAnsi="宋体"/>
          <w:szCs w:val="21"/>
        </w:rPr>
        <w:t>必须按照国家有关规定经过专门的安全作业培训，并取得特种作业操作资格证书后，方可上岗作业</w:t>
      </w:r>
      <w:r>
        <w:rPr>
          <w:rFonts w:hAnsi="宋体"/>
          <w:szCs w:val="21"/>
        </w:rPr>
        <w:t>，发包人有权对其进行抽查考核。</w:t>
      </w:r>
    </w:p>
    <w:p>
      <w:pPr>
        <w:numPr>
          <w:ilvl w:val="0"/>
          <w:numId w:val="19"/>
        </w:numPr>
        <w:adjustRightInd w:val="0"/>
        <w:snapToGrid w:val="0"/>
        <w:spacing w:line="360" w:lineRule="auto"/>
        <w:ind w:left="0" w:firstLine="420" w:firstLineChars="200"/>
        <w:rPr>
          <w:szCs w:val="21"/>
        </w:rPr>
      </w:pPr>
      <w:r>
        <w:rPr>
          <w:rFonts w:hAnsi="宋体"/>
          <w:szCs w:val="21"/>
        </w:rPr>
        <w:t>承包人应对施工人员、管理人员建立安全档案，主要包括体检情况、安</w:t>
      </w:r>
      <w:r>
        <w:rPr>
          <w:rFonts w:hint="eastAsia" w:hAnsi="宋体"/>
          <w:szCs w:val="21"/>
        </w:rPr>
        <w:t>健环</w:t>
      </w:r>
      <w:r>
        <w:rPr>
          <w:rFonts w:hAnsi="宋体"/>
          <w:szCs w:val="21"/>
        </w:rPr>
        <w:t>考试成绩、身份证复印件、联系电话等相关资料。</w:t>
      </w:r>
    </w:p>
    <w:p>
      <w:pPr>
        <w:pStyle w:val="3"/>
        <w:keepNext w:val="0"/>
        <w:keepLines w:val="0"/>
        <w:tabs>
          <w:tab w:val="left" w:pos="432"/>
        </w:tabs>
        <w:topLinePunct/>
        <w:adjustRightInd w:val="0"/>
        <w:snapToGrid w:val="0"/>
        <w:spacing w:before="156" w:beforeLines="50" w:after="156" w:afterLines="50" w:line="360" w:lineRule="auto"/>
        <w:textAlignment w:val="center"/>
        <w:rPr>
          <w:rFonts w:hAnsi="宋体"/>
          <w:sz w:val="21"/>
          <w:szCs w:val="21"/>
        </w:rPr>
      </w:pPr>
      <w:bookmarkStart w:id="301" w:name="_Toc484108925"/>
      <w:bookmarkStart w:id="302" w:name="_Toc477982318"/>
      <w:bookmarkStart w:id="303" w:name="_Toc482889953"/>
      <w:bookmarkStart w:id="304" w:name="_Toc478424905"/>
      <w:bookmarkStart w:id="305" w:name="_Toc483596402"/>
      <w:bookmarkStart w:id="306" w:name="_Toc483991674"/>
      <w:bookmarkStart w:id="307" w:name="_Toc482906040"/>
      <w:bookmarkStart w:id="308" w:name="_Toc484082710"/>
      <w:bookmarkStart w:id="309" w:name="_Toc482903437"/>
      <w:bookmarkStart w:id="310" w:name="_Toc478303291"/>
      <w:bookmarkStart w:id="311" w:name="_Toc483122186"/>
      <w:bookmarkStart w:id="312" w:name="_Toc483086412"/>
      <w:bookmarkStart w:id="313" w:name="_Toc483601188"/>
      <w:bookmarkStart w:id="314" w:name="_Toc477970733"/>
      <w:bookmarkStart w:id="315" w:name="_Toc484108980"/>
      <w:r>
        <w:rPr>
          <w:rFonts w:hAnsi="宋体"/>
          <w:sz w:val="21"/>
          <w:szCs w:val="21"/>
        </w:rPr>
        <w:t>十一、职业健康、卫生防疫</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pPr>
        <w:numPr>
          <w:ilvl w:val="0"/>
          <w:numId w:val="20"/>
        </w:numPr>
        <w:tabs>
          <w:tab w:val="left" w:pos="315"/>
          <w:tab w:val="left" w:pos="987"/>
          <w:tab w:val="clear" w:pos="360"/>
        </w:tabs>
        <w:adjustRightInd w:val="0"/>
        <w:snapToGrid w:val="0"/>
        <w:spacing w:line="360" w:lineRule="auto"/>
        <w:ind w:left="0" w:firstLine="527"/>
        <w:rPr>
          <w:rFonts w:hAnsi="宋体"/>
          <w:szCs w:val="21"/>
        </w:rPr>
      </w:pPr>
      <w:r>
        <w:rPr>
          <w:rFonts w:hint="eastAsia" w:hAnsi="宋体"/>
          <w:szCs w:val="21"/>
        </w:rPr>
        <w:t>承包人负责包括其内部、分包商和供应商在内的职业健康、卫生防疫。</w:t>
      </w:r>
    </w:p>
    <w:p>
      <w:pPr>
        <w:numPr>
          <w:ilvl w:val="0"/>
          <w:numId w:val="20"/>
        </w:numPr>
        <w:tabs>
          <w:tab w:val="left" w:pos="315"/>
          <w:tab w:val="left" w:pos="987"/>
          <w:tab w:val="clear" w:pos="360"/>
        </w:tabs>
        <w:adjustRightInd w:val="0"/>
        <w:snapToGrid w:val="0"/>
        <w:spacing w:line="360" w:lineRule="auto"/>
        <w:ind w:left="0" w:firstLine="527"/>
        <w:rPr>
          <w:rFonts w:hAnsi="宋体"/>
          <w:szCs w:val="21"/>
        </w:rPr>
      </w:pPr>
      <w:r>
        <w:rPr>
          <w:rFonts w:hAnsi="宋体"/>
          <w:szCs w:val="21"/>
        </w:rPr>
        <w:t>承包人应实施特殊健康检查制度，预防有禁忌症患者从事有关职业，如恐高症、癫痫病、高血压、心脏病患者不得从事高空作业，患有心血管疾病的人员不得从事繁重的体力劳动，特殊工种人员的体检应符合国家的规定。</w:t>
      </w:r>
    </w:p>
    <w:p>
      <w:pPr>
        <w:numPr>
          <w:ilvl w:val="0"/>
          <w:numId w:val="20"/>
        </w:numPr>
        <w:tabs>
          <w:tab w:val="left" w:pos="315"/>
          <w:tab w:val="left" w:pos="987"/>
          <w:tab w:val="clear" w:pos="360"/>
        </w:tabs>
        <w:adjustRightInd w:val="0"/>
        <w:snapToGrid w:val="0"/>
        <w:spacing w:line="360" w:lineRule="auto"/>
        <w:ind w:left="0" w:firstLine="527"/>
        <w:rPr>
          <w:rFonts w:hAnsi="宋体"/>
          <w:szCs w:val="21"/>
        </w:rPr>
      </w:pPr>
      <w:r>
        <w:rPr>
          <w:rFonts w:hAnsi="宋体"/>
          <w:szCs w:val="21"/>
        </w:rPr>
        <w:t>承包人应保证卫生防疫基本设施的投入，以满足医疗、急救的要求，建立外部医疗支持渠道。</w:t>
      </w:r>
    </w:p>
    <w:p>
      <w:pPr>
        <w:numPr>
          <w:ilvl w:val="0"/>
          <w:numId w:val="20"/>
        </w:numPr>
        <w:tabs>
          <w:tab w:val="left" w:pos="315"/>
          <w:tab w:val="left" w:pos="987"/>
          <w:tab w:val="clear" w:pos="360"/>
        </w:tabs>
        <w:adjustRightInd w:val="0"/>
        <w:snapToGrid w:val="0"/>
        <w:spacing w:line="360" w:lineRule="auto"/>
        <w:ind w:left="0" w:firstLine="527"/>
        <w:rPr>
          <w:rFonts w:hAnsi="宋体"/>
          <w:szCs w:val="21"/>
        </w:rPr>
      </w:pPr>
      <w:r>
        <w:rPr>
          <w:rFonts w:hAnsi="宋体"/>
          <w:szCs w:val="21"/>
        </w:rPr>
        <w:t>承包人应建立卫生防病措施计划，做好生活区和施工区的卫生防疫工作；制定和执行保证饮水卫生、饮食卫生、环境卫生和预防集体食物中毒的措施；有灭蚊、灭鼠和消毒的专项工作计划；有针对性地制订预防SARS、</w:t>
      </w:r>
      <w:r>
        <w:rPr>
          <w:rFonts w:hint="eastAsia" w:hAnsi="宋体"/>
          <w:szCs w:val="21"/>
        </w:rPr>
        <w:t>登革热、</w:t>
      </w:r>
      <w:r>
        <w:rPr>
          <w:rFonts w:hAnsi="宋体"/>
          <w:szCs w:val="21"/>
        </w:rPr>
        <w:t>禽流感、疟疾、霍乱、肠道传染病，肝炎等疾</w:t>
      </w:r>
      <w:r>
        <w:rPr>
          <w:rFonts w:hint="eastAsia" w:hAnsi="宋体"/>
          <w:szCs w:val="21"/>
        </w:rPr>
        <w:t>患</w:t>
      </w:r>
      <w:r>
        <w:rPr>
          <w:rFonts w:hAnsi="宋体"/>
          <w:szCs w:val="21"/>
        </w:rPr>
        <w:t>措施。</w:t>
      </w:r>
    </w:p>
    <w:p>
      <w:pPr>
        <w:pStyle w:val="3"/>
        <w:keepNext w:val="0"/>
        <w:keepLines w:val="0"/>
        <w:tabs>
          <w:tab w:val="left" w:pos="432"/>
        </w:tabs>
        <w:topLinePunct/>
        <w:adjustRightInd w:val="0"/>
        <w:snapToGrid w:val="0"/>
        <w:spacing w:before="156" w:beforeLines="50" w:after="156" w:afterLines="50" w:line="360" w:lineRule="auto"/>
        <w:textAlignment w:val="center"/>
        <w:rPr>
          <w:rFonts w:hAnsi="宋体"/>
          <w:sz w:val="21"/>
          <w:szCs w:val="21"/>
        </w:rPr>
      </w:pPr>
      <w:bookmarkStart w:id="316" w:name="_Toc478424906"/>
      <w:bookmarkStart w:id="317" w:name="_Toc477970734"/>
      <w:bookmarkStart w:id="318" w:name="_Toc483601189"/>
      <w:bookmarkStart w:id="319" w:name="_Toc483596403"/>
      <w:bookmarkStart w:id="320" w:name="_Toc482906041"/>
      <w:bookmarkStart w:id="321" w:name="_Toc482903438"/>
      <w:bookmarkStart w:id="322" w:name="_Toc483991675"/>
      <w:bookmarkStart w:id="323" w:name="_Toc484082711"/>
      <w:bookmarkStart w:id="324" w:name="_Toc478303292"/>
      <w:bookmarkStart w:id="325" w:name="_Toc483086413"/>
      <w:bookmarkStart w:id="326" w:name="_Toc482889954"/>
      <w:bookmarkStart w:id="327" w:name="_Toc484108981"/>
      <w:bookmarkStart w:id="328" w:name="_Toc484108926"/>
      <w:bookmarkStart w:id="329" w:name="_Toc477982319"/>
      <w:bookmarkStart w:id="330" w:name="_Toc483122187"/>
      <w:r>
        <w:rPr>
          <w:rFonts w:hAnsi="宋体"/>
          <w:sz w:val="21"/>
          <w:szCs w:val="21"/>
        </w:rPr>
        <w:t>十二、文明施工与环</w:t>
      </w:r>
      <w:r>
        <w:rPr>
          <w:rFonts w:hint="eastAsia" w:hAnsi="宋体"/>
          <w:sz w:val="21"/>
          <w:szCs w:val="21"/>
        </w:rPr>
        <w:t>境</w:t>
      </w:r>
      <w:r>
        <w:rPr>
          <w:rFonts w:hAnsi="宋体"/>
          <w:sz w:val="21"/>
          <w:szCs w:val="21"/>
        </w:rPr>
        <w:t>保</w:t>
      </w:r>
      <w:r>
        <w:rPr>
          <w:rFonts w:hint="eastAsia" w:hAnsi="宋体"/>
          <w:sz w:val="21"/>
          <w:szCs w:val="21"/>
        </w:rPr>
        <w:t>护</w:t>
      </w:r>
      <w:r>
        <w:rPr>
          <w:rFonts w:hAnsi="宋体"/>
          <w:sz w:val="21"/>
          <w:szCs w:val="21"/>
        </w:rPr>
        <w:t>要求</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pPr>
        <w:numPr>
          <w:ilvl w:val="0"/>
          <w:numId w:val="21"/>
        </w:numPr>
        <w:tabs>
          <w:tab w:val="clear" w:pos="840"/>
        </w:tabs>
        <w:adjustRightInd w:val="0"/>
        <w:snapToGrid w:val="0"/>
        <w:spacing w:line="360" w:lineRule="auto"/>
        <w:ind w:left="0" w:firstLine="527"/>
        <w:rPr>
          <w:rFonts w:hAnsi="宋体"/>
          <w:szCs w:val="21"/>
        </w:rPr>
      </w:pPr>
      <w:r>
        <w:rPr>
          <w:rFonts w:hint="eastAsia" w:hAnsi="宋体"/>
          <w:szCs w:val="21"/>
        </w:rPr>
        <w:t>承包人负责包括其内部、分包商和供应商在内的文明施工与环境保护工作。</w:t>
      </w:r>
    </w:p>
    <w:p>
      <w:pPr>
        <w:numPr>
          <w:ilvl w:val="0"/>
          <w:numId w:val="21"/>
        </w:numPr>
        <w:tabs>
          <w:tab w:val="clear" w:pos="840"/>
        </w:tabs>
        <w:adjustRightInd w:val="0"/>
        <w:snapToGrid w:val="0"/>
        <w:spacing w:line="360" w:lineRule="auto"/>
        <w:ind w:left="0" w:firstLine="527"/>
        <w:rPr>
          <w:rFonts w:hAnsi="宋体"/>
          <w:szCs w:val="21"/>
        </w:rPr>
      </w:pPr>
      <w:r>
        <w:rPr>
          <w:rFonts w:hAnsi="宋体"/>
          <w:szCs w:val="21"/>
        </w:rPr>
        <w:t>承包人需制订施工现场的文明施工措施，保持良好的施工现场秩序。施工现场的物料堆放要整齐，安全标志和宣传标志要清楚醒目，废料、废物要分类收集，安全通道要畅通。</w:t>
      </w:r>
    </w:p>
    <w:p>
      <w:pPr>
        <w:numPr>
          <w:ilvl w:val="0"/>
          <w:numId w:val="21"/>
        </w:numPr>
        <w:tabs>
          <w:tab w:val="clear" w:pos="840"/>
        </w:tabs>
        <w:adjustRightInd w:val="0"/>
        <w:snapToGrid w:val="0"/>
        <w:spacing w:line="360" w:lineRule="auto"/>
        <w:ind w:left="0" w:firstLine="527"/>
        <w:rPr>
          <w:rFonts w:hAnsi="宋体"/>
          <w:szCs w:val="21"/>
        </w:rPr>
      </w:pPr>
      <w:r>
        <w:rPr>
          <w:rFonts w:hAnsi="宋体"/>
          <w:szCs w:val="21"/>
        </w:rPr>
        <w:t>承包人应在作业时避免建筑材料抛洒、飞扬、流淌；应降低噪音、震动。</w:t>
      </w:r>
    </w:p>
    <w:p>
      <w:pPr>
        <w:numPr>
          <w:ilvl w:val="0"/>
          <w:numId w:val="21"/>
        </w:numPr>
        <w:tabs>
          <w:tab w:val="clear" w:pos="840"/>
        </w:tabs>
        <w:adjustRightInd w:val="0"/>
        <w:snapToGrid w:val="0"/>
        <w:spacing w:line="360" w:lineRule="auto"/>
        <w:ind w:left="0" w:firstLine="527"/>
        <w:rPr>
          <w:rFonts w:hAnsi="宋体"/>
          <w:szCs w:val="21"/>
        </w:rPr>
      </w:pPr>
      <w:r>
        <w:rPr>
          <w:rFonts w:hAnsi="宋体"/>
          <w:szCs w:val="21"/>
        </w:rPr>
        <w:t>承包人应根据实际需要，在施工现场布置临时卫生设施（洗手间），施工作业不破坏环境卫生，不污染现场环境。</w:t>
      </w:r>
    </w:p>
    <w:p>
      <w:pPr>
        <w:numPr>
          <w:ilvl w:val="0"/>
          <w:numId w:val="21"/>
        </w:numPr>
        <w:tabs>
          <w:tab w:val="clear" w:pos="840"/>
        </w:tabs>
        <w:adjustRightInd w:val="0"/>
        <w:snapToGrid w:val="0"/>
        <w:spacing w:line="360" w:lineRule="auto"/>
        <w:ind w:left="0" w:firstLine="527"/>
        <w:rPr>
          <w:rFonts w:hAnsi="宋体"/>
          <w:szCs w:val="21"/>
        </w:rPr>
      </w:pPr>
      <w:r>
        <w:rPr>
          <w:rFonts w:hAnsi="宋体"/>
          <w:szCs w:val="21"/>
        </w:rPr>
        <w:t>承包人在施工中应充分重视对环境的保护，保护绿色植被。</w:t>
      </w:r>
    </w:p>
    <w:p>
      <w:pPr>
        <w:numPr>
          <w:ilvl w:val="0"/>
          <w:numId w:val="21"/>
        </w:numPr>
        <w:tabs>
          <w:tab w:val="clear" w:pos="840"/>
        </w:tabs>
        <w:adjustRightInd w:val="0"/>
        <w:snapToGrid w:val="0"/>
        <w:spacing w:line="360" w:lineRule="auto"/>
        <w:ind w:left="0" w:firstLine="527"/>
        <w:rPr>
          <w:rFonts w:hAnsi="宋体"/>
          <w:szCs w:val="21"/>
        </w:rPr>
      </w:pPr>
      <w:r>
        <w:rPr>
          <w:rFonts w:hAnsi="宋体"/>
          <w:szCs w:val="21"/>
        </w:rPr>
        <w:t>承包人应及时清理现场废物和垃圾。现场废料与生活垃圾必须分开，有害废物与普通废物必须分开（如油品废物、电池灯管等，必须单独收集、存放）；禁止在非指定场所乱倒、乱堆垃圾。禁止违章处理危险化学品和工业垃圾。</w:t>
      </w:r>
    </w:p>
    <w:p>
      <w:pPr>
        <w:numPr>
          <w:ilvl w:val="0"/>
          <w:numId w:val="21"/>
        </w:numPr>
        <w:tabs>
          <w:tab w:val="clear" w:pos="840"/>
        </w:tabs>
        <w:adjustRightInd w:val="0"/>
        <w:snapToGrid w:val="0"/>
        <w:spacing w:line="360" w:lineRule="auto"/>
        <w:ind w:left="0" w:firstLine="527"/>
        <w:rPr>
          <w:rFonts w:hAnsi="宋体"/>
          <w:szCs w:val="21"/>
        </w:rPr>
      </w:pPr>
      <w:r>
        <w:rPr>
          <w:rFonts w:hAnsi="宋体"/>
          <w:szCs w:val="21"/>
        </w:rPr>
        <w:t>承包人应在施工中禁止向周边环境排放工业污水、生活污水、废油或其他有害物质。</w:t>
      </w:r>
    </w:p>
    <w:p>
      <w:pPr>
        <w:numPr>
          <w:ilvl w:val="0"/>
          <w:numId w:val="21"/>
        </w:numPr>
        <w:tabs>
          <w:tab w:val="clear" w:pos="840"/>
        </w:tabs>
        <w:adjustRightInd w:val="0"/>
        <w:snapToGrid w:val="0"/>
        <w:spacing w:line="360" w:lineRule="auto"/>
        <w:ind w:left="0" w:firstLine="527"/>
        <w:rPr>
          <w:rFonts w:hAnsi="宋体"/>
          <w:szCs w:val="21"/>
        </w:rPr>
      </w:pPr>
      <w:r>
        <w:rPr>
          <w:rFonts w:hAnsi="宋体"/>
          <w:szCs w:val="21"/>
        </w:rPr>
        <w:t>承包人应在施工中充分重视防止水土流失，应及时对裸露的地基、边坡、开挖出来的沙/土以及砂、石、水泥等建筑材料予以保护，防止风刮扬尘、雨水冲刷、流入</w:t>
      </w:r>
      <w:r>
        <w:rPr>
          <w:rFonts w:hint="eastAsia" w:hAnsi="宋体"/>
          <w:szCs w:val="21"/>
        </w:rPr>
        <w:t>河流</w:t>
      </w:r>
      <w:r>
        <w:rPr>
          <w:rFonts w:hAnsi="宋体"/>
          <w:szCs w:val="21"/>
        </w:rPr>
        <w:t>或下水道、排洪沟。</w:t>
      </w:r>
    </w:p>
    <w:p>
      <w:pPr>
        <w:numPr>
          <w:ilvl w:val="0"/>
          <w:numId w:val="21"/>
        </w:numPr>
        <w:tabs>
          <w:tab w:val="clear" w:pos="840"/>
        </w:tabs>
        <w:adjustRightInd w:val="0"/>
        <w:snapToGrid w:val="0"/>
        <w:spacing w:line="360" w:lineRule="auto"/>
        <w:ind w:left="0" w:firstLine="527"/>
        <w:rPr>
          <w:rFonts w:hAnsi="宋体"/>
          <w:szCs w:val="21"/>
        </w:rPr>
      </w:pPr>
      <w:r>
        <w:rPr>
          <w:rFonts w:hAnsi="宋体"/>
          <w:szCs w:val="21"/>
        </w:rPr>
        <w:t>禁止承包人在施工中破坏山林，并应遵守山林防火规定。</w:t>
      </w:r>
    </w:p>
    <w:p>
      <w:pPr>
        <w:numPr>
          <w:ilvl w:val="0"/>
          <w:numId w:val="21"/>
        </w:numPr>
        <w:tabs>
          <w:tab w:val="clear" w:pos="840"/>
        </w:tabs>
        <w:adjustRightInd w:val="0"/>
        <w:snapToGrid w:val="0"/>
        <w:spacing w:line="360" w:lineRule="auto"/>
        <w:ind w:left="0" w:firstLine="527"/>
        <w:rPr>
          <w:rFonts w:hAnsi="宋体"/>
          <w:szCs w:val="21"/>
        </w:rPr>
      </w:pPr>
      <w:r>
        <w:rPr>
          <w:rFonts w:hint="eastAsia" w:hAnsi="宋体"/>
          <w:szCs w:val="21"/>
        </w:rPr>
        <w:t>承包人应配备采取必要的措施，对施工区域内的临时道路作降尘处理；工程车辆驶入社会道路前应对车辆进行冲洗，防止污染物、泥土、粉尘等带出工地。</w:t>
      </w:r>
    </w:p>
    <w:p>
      <w:pPr>
        <w:pStyle w:val="3"/>
        <w:keepNext w:val="0"/>
        <w:keepLines w:val="0"/>
        <w:tabs>
          <w:tab w:val="left" w:pos="432"/>
        </w:tabs>
        <w:topLinePunct/>
        <w:adjustRightInd w:val="0"/>
        <w:snapToGrid w:val="0"/>
        <w:spacing w:before="156" w:beforeLines="50" w:after="156" w:afterLines="50" w:line="360" w:lineRule="auto"/>
        <w:textAlignment w:val="center"/>
        <w:rPr>
          <w:rFonts w:hAnsi="宋体"/>
          <w:sz w:val="21"/>
          <w:szCs w:val="21"/>
        </w:rPr>
      </w:pPr>
      <w:bookmarkStart w:id="331" w:name="_Toc478424907"/>
      <w:bookmarkStart w:id="332" w:name="_Toc482903439"/>
      <w:bookmarkStart w:id="333" w:name="_Toc482889955"/>
      <w:bookmarkStart w:id="334" w:name="_Toc483086414"/>
      <w:bookmarkStart w:id="335" w:name="_Toc483122188"/>
      <w:bookmarkStart w:id="336" w:name="_Toc483601190"/>
      <w:bookmarkStart w:id="337" w:name="_Toc477982320"/>
      <w:bookmarkStart w:id="338" w:name="_Toc482906042"/>
      <w:bookmarkStart w:id="339" w:name="_Toc484082712"/>
      <w:bookmarkStart w:id="340" w:name="_Toc483596404"/>
      <w:bookmarkStart w:id="341" w:name="_Toc478303293"/>
      <w:bookmarkStart w:id="342" w:name="_Toc484108927"/>
      <w:bookmarkStart w:id="343" w:name="_Toc483991676"/>
      <w:bookmarkStart w:id="344" w:name="_Toc484108982"/>
      <w:bookmarkStart w:id="345" w:name="_Toc477970735"/>
      <w:r>
        <w:rPr>
          <w:rFonts w:hAnsi="宋体"/>
          <w:sz w:val="21"/>
          <w:szCs w:val="21"/>
        </w:rPr>
        <w:t>十三、工程风险管理与事故预防</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pPr>
        <w:pStyle w:val="19"/>
        <w:adjustRightInd w:val="0"/>
        <w:snapToGrid w:val="0"/>
        <w:spacing w:line="360" w:lineRule="auto"/>
        <w:ind w:firstLine="420" w:firstLineChars="200"/>
        <w:rPr>
          <w:rFonts w:ascii="Times New Roman" w:hAnsi="Times New Roman"/>
          <w:bCs/>
          <w:szCs w:val="21"/>
        </w:rPr>
      </w:pPr>
      <w:r>
        <w:rPr>
          <w:rFonts w:hint="eastAsia" w:ascii="Times New Roman" w:hAnsi="Times New Roman"/>
          <w:bCs/>
          <w:szCs w:val="21"/>
        </w:rPr>
        <w:t>承包人负责包括其内部、分包商和供应商在内的工程风险管理与事故预防。</w:t>
      </w:r>
    </w:p>
    <w:p>
      <w:pPr>
        <w:pStyle w:val="19"/>
        <w:adjustRightInd w:val="0"/>
        <w:snapToGrid w:val="0"/>
        <w:spacing w:line="360" w:lineRule="auto"/>
        <w:ind w:firstLine="420" w:firstLineChars="200"/>
        <w:rPr>
          <w:rFonts w:ascii="Times New Roman" w:hAnsi="Times New Roman"/>
          <w:bCs/>
          <w:szCs w:val="21"/>
        </w:rPr>
      </w:pPr>
      <w:r>
        <w:rPr>
          <w:rFonts w:ascii="Times New Roman" w:hAnsi="Times New Roman"/>
          <w:bCs/>
          <w:szCs w:val="21"/>
        </w:rPr>
        <w:t>（一）基本要求</w:t>
      </w:r>
    </w:p>
    <w:p>
      <w:pPr>
        <w:numPr>
          <w:ilvl w:val="0"/>
          <w:numId w:val="22"/>
        </w:numPr>
        <w:tabs>
          <w:tab w:val="left" w:pos="630"/>
          <w:tab w:val="clear" w:pos="840"/>
        </w:tabs>
        <w:adjustRightInd w:val="0"/>
        <w:snapToGrid w:val="0"/>
        <w:spacing w:line="360" w:lineRule="auto"/>
        <w:ind w:left="0" w:firstLine="476"/>
        <w:rPr>
          <w:rFonts w:hAnsi="宋体"/>
          <w:szCs w:val="21"/>
        </w:rPr>
      </w:pPr>
      <w:r>
        <w:rPr>
          <w:rFonts w:hAnsi="宋体"/>
          <w:szCs w:val="21"/>
        </w:rPr>
        <w:t>承包人应对施工过程进行全面、深入的</w:t>
      </w:r>
      <w:r>
        <w:rPr>
          <w:rFonts w:hint="eastAsia" w:hAnsi="宋体"/>
          <w:szCs w:val="21"/>
        </w:rPr>
        <w:t>危险源、</w:t>
      </w:r>
      <w:r>
        <w:rPr>
          <w:rFonts w:hAnsi="宋体"/>
          <w:szCs w:val="21"/>
        </w:rPr>
        <w:t>危害</w:t>
      </w:r>
      <w:r>
        <w:rPr>
          <w:rFonts w:hint="eastAsia" w:hAnsi="宋体"/>
          <w:szCs w:val="21"/>
        </w:rPr>
        <w:t>因素、环境因素辨识、</w:t>
      </w:r>
      <w:r>
        <w:rPr>
          <w:rFonts w:hAnsi="宋体"/>
          <w:szCs w:val="21"/>
        </w:rPr>
        <w:t>识别和风险分析</w:t>
      </w:r>
      <w:r>
        <w:rPr>
          <w:rFonts w:hint="eastAsia" w:hAnsi="宋体"/>
          <w:szCs w:val="21"/>
        </w:rPr>
        <w:t>、评价</w:t>
      </w:r>
      <w:r>
        <w:rPr>
          <w:rFonts w:hAnsi="宋体"/>
          <w:szCs w:val="21"/>
        </w:rPr>
        <w:t>，在施工安全组织设计中提供“工程</w:t>
      </w:r>
      <w:r>
        <w:rPr>
          <w:rFonts w:hint="eastAsia" w:hAnsi="宋体"/>
          <w:szCs w:val="21"/>
        </w:rPr>
        <w:t>危险源、</w:t>
      </w:r>
      <w:r>
        <w:rPr>
          <w:rFonts w:hAnsi="宋体"/>
          <w:szCs w:val="21"/>
        </w:rPr>
        <w:t>危害</w:t>
      </w:r>
      <w:r>
        <w:rPr>
          <w:rFonts w:hint="eastAsia" w:hAnsi="宋体"/>
          <w:szCs w:val="21"/>
        </w:rPr>
        <w:t>因素、环境因素辨识、</w:t>
      </w:r>
      <w:r>
        <w:rPr>
          <w:rFonts w:hAnsi="宋体"/>
          <w:szCs w:val="21"/>
        </w:rPr>
        <w:t>识别和生产安全事故风险分析报告”，该报告应包括（但不限于）如下信息：</w:t>
      </w:r>
    </w:p>
    <w:p>
      <w:pPr>
        <w:pStyle w:val="19"/>
        <w:numPr>
          <w:ilvl w:val="0"/>
          <w:numId w:val="23"/>
        </w:numPr>
        <w:tabs>
          <w:tab w:val="left" w:pos="900"/>
        </w:tabs>
        <w:adjustRightInd w:val="0"/>
        <w:snapToGrid w:val="0"/>
        <w:spacing w:line="360" w:lineRule="auto"/>
        <w:ind w:left="0" w:firstLine="420" w:firstLineChars="200"/>
        <w:rPr>
          <w:rFonts w:ascii="Times New Roman" w:hAnsi="Times New Roman"/>
          <w:szCs w:val="21"/>
        </w:rPr>
      </w:pPr>
      <w:r>
        <w:rPr>
          <w:rFonts w:ascii="Times New Roman" w:hAnsi="宋体"/>
          <w:szCs w:val="21"/>
        </w:rPr>
        <w:t>高风险作业和工种清单作业名称，这些作业工种的类别和数量、主要事故风险。</w:t>
      </w:r>
    </w:p>
    <w:p>
      <w:pPr>
        <w:pStyle w:val="19"/>
        <w:numPr>
          <w:ilvl w:val="0"/>
          <w:numId w:val="23"/>
        </w:numPr>
        <w:tabs>
          <w:tab w:val="left" w:pos="900"/>
        </w:tabs>
        <w:adjustRightInd w:val="0"/>
        <w:snapToGrid w:val="0"/>
        <w:spacing w:line="360" w:lineRule="auto"/>
        <w:ind w:left="0" w:firstLine="420" w:firstLineChars="200"/>
        <w:rPr>
          <w:rFonts w:ascii="Times New Roman" w:hAnsi="Times New Roman"/>
          <w:szCs w:val="21"/>
        </w:rPr>
      </w:pPr>
      <w:r>
        <w:rPr>
          <w:rFonts w:ascii="Times New Roman" w:hAnsi="宋体"/>
          <w:szCs w:val="21"/>
        </w:rPr>
        <w:t>施工能源和机械的种类、数量和主要事故风险。</w:t>
      </w:r>
    </w:p>
    <w:p>
      <w:pPr>
        <w:pStyle w:val="19"/>
        <w:numPr>
          <w:ilvl w:val="0"/>
          <w:numId w:val="23"/>
        </w:numPr>
        <w:tabs>
          <w:tab w:val="left" w:pos="900"/>
        </w:tabs>
        <w:adjustRightInd w:val="0"/>
        <w:snapToGrid w:val="0"/>
        <w:spacing w:line="360" w:lineRule="auto"/>
        <w:ind w:left="0" w:firstLine="403" w:firstLineChars="192"/>
        <w:rPr>
          <w:rFonts w:ascii="Times New Roman" w:hAnsi="Times New Roman"/>
          <w:szCs w:val="21"/>
        </w:rPr>
      </w:pPr>
      <w:r>
        <w:rPr>
          <w:rFonts w:ascii="Times New Roman" w:hAnsi="宋体"/>
          <w:szCs w:val="21"/>
        </w:rPr>
        <w:t>施工作业条件的类型和主要事故风险。</w:t>
      </w:r>
    </w:p>
    <w:p>
      <w:pPr>
        <w:pStyle w:val="19"/>
        <w:numPr>
          <w:ilvl w:val="0"/>
          <w:numId w:val="23"/>
        </w:numPr>
        <w:tabs>
          <w:tab w:val="left" w:pos="900"/>
        </w:tabs>
        <w:adjustRightInd w:val="0"/>
        <w:snapToGrid w:val="0"/>
        <w:spacing w:line="360" w:lineRule="auto"/>
        <w:ind w:left="0" w:firstLine="403" w:firstLineChars="192"/>
        <w:rPr>
          <w:rFonts w:ascii="Times New Roman" w:hAnsi="Times New Roman"/>
          <w:szCs w:val="21"/>
        </w:rPr>
      </w:pPr>
      <w:r>
        <w:rPr>
          <w:rFonts w:ascii="Times New Roman" w:hAnsi="宋体"/>
          <w:szCs w:val="21"/>
        </w:rPr>
        <w:t>主要工艺过程</w:t>
      </w:r>
      <w:r>
        <w:rPr>
          <w:rFonts w:ascii="Times New Roman" w:hAnsi="Times New Roman"/>
          <w:szCs w:val="21"/>
        </w:rPr>
        <w:t>（</w:t>
      </w:r>
      <w:r>
        <w:rPr>
          <w:rFonts w:ascii="Times New Roman" w:hAnsi="宋体"/>
          <w:szCs w:val="21"/>
        </w:rPr>
        <w:t>或施工活动</w:t>
      </w:r>
      <w:r>
        <w:rPr>
          <w:rFonts w:ascii="Times New Roman" w:hAnsi="Times New Roman"/>
          <w:szCs w:val="21"/>
        </w:rPr>
        <w:t>）</w:t>
      </w:r>
      <w:r>
        <w:rPr>
          <w:rFonts w:ascii="Times New Roman" w:hAnsi="宋体"/>
          <w:szCs w:val="21"/>
        </w:rPr>
        <w:t>的类别及其相关的事故风险。</w:t>
      </w:r>
    </w:p>
    <w:p>
      <w:pPr>
        <w:pStyle w:val="19"/>
        <w:numPr>
          <w:ilvl w:val="0"/>
          <w:numId w:val="23"/>
        </w:numPr>
        <w:tabs>
          <w:tab w:val="left" w:pos="900"/>
        </w:tabs>
        <w:adjustRightInd w:val="0"/>
        <w:snapToGrid w:val="0"/>
        <w:spacing w:line="360" w:lineRule="auto"/>
        <w:ind w:left="0" w:firstLine="403" w:firstLineChars="192"/>
        <w:rPr>
          <w:rFonts w:ascii="Times New Roman" w:hAnsi="Times New Roman"/>
          <w:szCs w:val="21"/>
        </w:rPr>
      </w:pPr>
      <w:r>
        <w:rPr>
          <w:rFonts w:ascii="Times New Roman" w:hAnsi="宋体"/>
          <w:szCs w:val="21"/>
        </w:rPr>
        <w:t>主要火灾危险</w:t>
      </w:r>
      <w:r>
        <w:rPr>
          <w:rFonts w:ascii="Times New Roman" w:hAnsi="Times New Roman"/>
          <w:szCs w:val="21"/>
        </w:rPr>
        <w:t>（</w:t>
      </w:r>
      <w:r>
        <w:rPr>
          <w:rFonts w:ascii="Times New Roman" w:hAnsi="宋体"/>
          <w:szCs w:val="21"/>
        </w:rPr>
        <w:t>可燃物、点火源</w:t>
      </w:r>
      <w:r>
        <w:rPr>
          <w:rFonts w:ascii="Times New Roman" w:hAnsi="Times New Roman"/>
          <w:szCs w:val="21"/>
        </w:rPr>
        <w:t>）</w:t>
      </w:r>
      <w:r>
        <w:rPr>
          <w:rFonts w:ascii="Times New Roman" w:hAnsi="宋体"/>
          <w:szCs w:val="21"/>
        </w:rPr>
        <w:t>。</w:t>
      </w:r>
    </w:p>
    <w:p>
      <w:pPr>
        <w:pStyle w:val="19"/>
        <w:numPr>
          <w:ilvl w:val="0"/>
          <w:numId w:val="23"/>
        </w:numPr>
        <w:tabs>
          <w:tab w:val="left" w:pos="900"/>
        </w:tabs>
        <w:adjustRightInd w:val="0"/>
        <w:snapToGrid w:val="0"/>
        <w:spacing w:line="360" w:lineRule="auto"/>
        <w:ind w:left="0" w:firstLine="403" w:firstLineChars="192"/>
        <w:rPr>
          <w:rFonts w:ascii="Times New Roman" w:hAnsi="Times New Roman"/>
          <w:szCs w:val="21"/>
        </w:rPr>
      </w:pPr>
      <w:r>
        <w:rPr>
          <w:rFonts w:ascii="Times New Roman" w:hAnsi="宋体"/>
          <w:szCs w:val="21"/>
        </w:rPr>
        <w:t>主要自然灾害</w:t>
      </w:r>
      <w:r>
        <w:rPr>
          <w:rFonts w:ascii="Times New Roman" w:hAnsi="Times New Roman"/>
          <w:szCs w:val="21"/>
        </w:rPr>
        <w:t>（</w:t>
      </w:r>
      <w:r>
        <w:rPr>
          <w:rFonts w:ascii="Times New Roman" w:hAnsi="宋体"/>
          <w:szCs w:val="21"/>
        </w:rPr>
        <w:t>台风、雷暴、暴雨、地质灾害等</w:t>
      </w:r>
      <w:r>
        <w:rPr>
          <w:rFonts w:ascii="Times New Roman" w:hAnsi="Times New Roman"/>
          <w:szCs w:val="21"/>
        </w:rPr>
        <w:t>）</w:t>
      </w:r>
      <w:r>
        <w:rPr>
          <w:rFonts w:ascii="Times New Roman" w:hAnsi="宋体"/>
          <w:szCs w:val="21"/>
        </w:rPr>
        <w:t>。</w:t>
      </w:r>
    </w:p>
    <w:p>
      <w:pPr>
        <w:pStyle w:val="19"/>
        <w:numPr>
          <w:ilvl w:val="0"/>
          <w:numId w:val="23"/>
        </w:numPr>
        <w:tabs>
          <w:tab w:val="left" w:pos="900"/>
        </w:tabs>
        <w:adjustRightInd w:val="0"/>
        <w:snapToGrid w:val="0"/>
        <w:spacing w:line="360" w:lineRule="auto"/>
        <w:ind w:left="0" w:firstLine="403" w:firstLineChars="192"/>
        <w:rPr>
          <w:rFonts w:ascii="Times New Roman" w:hAnsi="Times New Roman"/>
          <w:szCs w:val="21"/>
        </w:rPr>
      </w:pPr>
      <w:r>
        <w:rPr>
          <w:rFonts w:ascii="Times New Roman" w:hAnsi="宋体"/>
          <w:szCs w:val="21"/>
        </w:rPr>
        <w:t>主要环境保护事件</w:t>
      </w:r>
      <w:r>
        <w:rPr>
          <w:rFonts w:ascii="Times New Roman" w:hAnsi="Times New Roman"/>
          <w:szCs w:val="21"/>
        </w:rPr>
        <w:t>（</w:t>
      </w:r>
      <w:r>
        <w:rPr>
          <w:rFonts w:ascii="Times New Roman" w:hAnsi="宋体"/>
          <w:szCs w:val="21"/>
        </w:rPr>
        <w:t>有害垃圾、机械的跑冒滴漏、原材料流失、水土流失等</w:t>
      </w:r>
      <w:r>
        <w:rPr>
          <w:rFonts w:ascii="Times New Roman" w:hAnsi="Times New Roman"/>
          <w:szCs w:val="21"/>
        </w:rPr>
        <w:t>）</w:t>
      </w:r>
      <w:r>
        <w:rPr>
          <w:rFonts w:ascii="Times New Roman" w:hAnsi="宋体"/>
          <w:szCs w:val="21"/>
        </w:rPr>
        <w:t>。</w:t>
      </w:r>
    </w:p>
    <w:p>
      <w:pPr>
        <w:pStyle w:val="19"/>
        <w:numPr>
          <w:ilvl w:val="0"/>
          <w:numId w:val="23"/>
        </w:numPr>
        <w:tabs>
          <w:tab w:val="left" w:pos="900"/>
        </w:tabs>
        <w:adjustRightInd w:val="0"/>
        <w:snapToGrid w:val="0"/>
        <w:spacing w:line="360" w:lineRule="auto"/>
        <w:ind w:left="0" w:firstLine="403" w:firstLineChars="192"/>
        <w:rPr>
          <w:rFonts w:ascii="Times New Roman" w:hAnsi="Times New Roman"/>
          <w:szCs w:val="21"/>
        </w:rPr>
      </w:pPr>
      <w:r>
        <w:rPr>
          <w:rFonts w:ascii="Times New Roman" w:hAnsi="宋体"/>
          <w:szCs w:val="21"/>
        </w:rPr>
        <w:t>其他。</w:t>
      </w:r>
    </w:p>
    <w:p>
      <w:pPr>
        <w:pStyle w:val="19"/>
        <w:tabs>
          <w:tab w:val="left" w:pos="900"/>
        </w:tabs>
        <w:adjustRightInd w:val="0"/>
        <w:snapToGrid w:val="0"/>
        <w:spacing w:line="360" w:lineRule="auto"/>
        <w:ind w:left="462" w:leftChars="220" w:firstLine="420" w:firstLineChars="200"/>
        <w:rPr>
          <w:rFonts w:ascii="Times New Roman" w:hAnsi="Times New Roman"/>
          <w:szCs w:val="21"/>
        </w:rPr>
      </w:pPr>
      <w:r>
        <w:rPr>
          <w:rFonts w:hAnsi="宋体"/>
          <w:szCs w:val="21"/>
        </w:rPr>
        <w:t>承包人应对以上风险制定有针对性事故预防措施（反事故措施），</w:t>
      </w:r>
      <w:r>
        <w:rPr>
          <w:rFonts w:hint="eastAsia" w:hAnsi="宋体"/>
          <w:szCs w:val="21"/>
        </w:rPr>
        <w:t>必要时针对事故预防措施进行演练，</w:t>
      </w:r>
      <w:r>
        <w:rPr>
          <w:rFonts w:hAnsi="宋体"/>
          <w:szCs w:val="21"/>
        </w:rPr>
        <w:t>并建立落实这些措施的组织管理系统。</w:t>
      </w:r>
    </w:p>
    <w:p>
      <w:pPr>
        <w:numPr>
          <w:ilvl w:val="0"/>
          <w:numId w:val="22"/>
        </w:numPr>
        <w:tabs>
          <w:tab w:val="left" w:pos="630"/>
          <w:tab w:val="clear" w:pos="840"/>
        </w:tabs>
        <w:adjustRightInd w:val="0"/>
        <w:snapToGrid w:val="0"/>
        <w:spacing w:line="360" w:lineRule="auto"/>
        <w:ind w:left="0" w:firstLine="462"/>
        <w:rPr>
          <w:rFonts w:hAnsi="宋体"/>
          <w:szCs w:val="21"/>
        </w:rPr>
      </w:pPr>
      <w:r>
        <w:rPr>
          <w:rFonts w:hint="eastAsia" w:hAnsi="宋体"/>
          <w:szCs w:val="21"/>
        </w:rPr>
        <w:t>承包人应当在施工组织设计中编制安全技术措施和施工现场临时用电方案，对下列达到一定规模的危险性较大的分部分项工程编制专项施工方案，并附具安全验算结果，经承包人技术负责人、总监理工程师签字后实施，由专职安全监督管理人员进行现场监督：</w:t>
      </w:r>
    </w:p>
    <w:p>
      <w:pPr>
        <w:pStyle w:val="107"/>
        <w:spacing w:before="0" w:line="360" w:lineRule="auto"/>
        <w:ind w:left="426"/>
        <w:rPr>
          <w:rFonts w:ascii="Times New Roman" w:eastAsia="宋体"/>
          <w:color w:val="auto"/>
          <w:kern w:val="2"/>
        </w:rPr>
      </w:pPr>
      <w:r>
        <w:rPr>
          <w:rFonts w:hint="eastAsia" w:ascii="Times New Roman" w:eastAsia="宋体"/>
          <w:color w:val="auto"/>
          <w:kern w:val="2"/>
        </w:rPr>
        <w:t>（一）基坑支护与降水工程；</w:t>
      </w:r>
    </w:p>
    <w:p>
      <w:pPr>
        <w:pStyle w:val="107"/>
        <w:spacing w:before="0" w:line="360" w:lineRule="auto"/>
        <w:ind w:left="426"/>
        <w:rPr>
          <w:rFonts w:ascii="Times New Roman" w:eastAsia="宋体"/>
          <w:color w:val="auto"/>
          <w:kern w:val="2"/>
        </w:rPr>
      </w:pPr>
      <w:r>
        <w:rPr>
          <w:rFonts w:hint="eastAsia" w:ascii="Times New Roman" w:eastAsia="宋体"/>
          <w:color w:val="auto"/>
          <w:kern w:val="2"/>
        </w:rPr>
        <w:t>（二）土方开挖工程；</w:t>
      </w:r>
    </w:p>
    <w:p>
      <w:pPr>
        <w:pStyle w:val="107"/>
        <w:tabs>
          <w:tab w:val="left" w:pos="2350"/>
        </w:tabs>
        <w:spacing w:before="0" w:line="360" w:lineRule="auto"/>
        <w:ind w:left="426"/>
        <w:rPr>
          <w:rFonts w:ascii="Times New Roman" w:eastAsia="宋体"/>
          <w:color w:val="auto"/>
          <w:kern w:val="2"/>
        </w:rPr>
      </w:pPr>
      <w:r>
        <w:rPr>
          <w:rFonts w:hint="eastAsia" w:ascii="Times New Roman" w:eastAsia="宋体"/>
          <w:color w:val="auto"/>
          <w:kern w:val="2"/>
        </w:rPr>
        <w:t>（三）模板工程；</w:t>
      </w:r>
      <w:r>
        <w:rPr>
          <w:rFonts w:ascii="Times New Roman" w:eastAsia="宋体"/>
          <w:color w:val="auto"/>
          <w:kern w:val="2"/>
        </w:rPr>
        <w:tab/>
      </w:r>
    </w:p>
    <w:p>
      <w:pPr>
        <w:pStyle w:val="107"/>
        <w:spacing w:before="0" w:line="360" w:lineRule="auto"/>
        <w:ind w:left="426"/>
        <w:rPr>
          <w:rFonts w:ascii="Times New Roman" w:eastAsia="宋体"/>
          <w:color w:val="auto"/>
          <w:kern w:val="2"/>
        </w:rPr>
      </w:pPr>
      <w:r>
        <w:rPr>
          <w:rFonts w:hint="eastAsia" w:ascii="Times New Roman" w:eastAsia="宋体"/>
          <w:color w:val="auto"/>
          <w:kern w:val="2"/>
        </w:rPr>
        <w:t>（四）起重吊装工程；</w:t>
      </w:r>
    </w:p>
    <w:p>
      <w:pPr>
        <w:pStyle w:val="107"/>
        <w:spacing w:before="0" w:line="360" w:lineRule="auto"/>
        <w:ind w:left="426"/>
        <w:rPr>
          <w:rFonts w:ascii="Times New Roman" w:eastAsia="宋体"/>
          <w:color w:val="auto"/>
          <w:kern w:val="2"/>
        </w:rPr>
      </w:pPr>
      <w:r>
        <w:rPr>
          <w:rFonts w:hint="eastAsia" w:ascii="Times New Roman" w:eastAsia="宋体"/>
          <w:color w:val="auto"/>
          <w:kern w:val="2"/>
        </w:rPr>
        <w:t>（五）脚手架工程；</w:t>
      </w:r>
    </w:p>
    <w:p>
      <w:pPr>
        <w:pStyle w:val="107"/>
        <w:spacing w:before="0" w:line="360" w:lineRule="auto"/>
        <w:ind w:left="426"/>
        <w:rPr>
          <w:rFonts w:ascii="Times New Roman" w:eastAsia="宋体"/>
          <w:color w:val="auto"/>
          <w:kern w:val="2"/>
        </w:rPr>
      </w:pPr>
      <w:r>
        <w:rPr>
          <w:rFonts w:hint="eastAsia" w:ascii="Times New Roman" w:eastAsia="宋体"/>
          <w:color w:val="auto"/>
          <w:kern w:val="2"/>
        </w:rPr>
        <w:t>（六）拆除、爆破工程；</w:t>
      </w:r>
    </w:p>
    <w:p>
      <w:pPr>
        <w:pStyle w:val="107"/>
        <w:spacing w:before="0" w:line="360" w:lineRule="auto"/>
        <w:ind w:left="426"/>
        <w:rPr>
          <w:rFonts w:ascii="Times New Roman" w:eastAsia="宋体"/>
          <w:color w:val="auto"/>
          <w:kern w:val="2"/>
        </w:rPr>
      </w:pPr>
      <w:r>
        <w:rPr>
          <w:rFonts w:hint="eastAsia" w:ascii="Times New Roman" w:eastAsia="宋体"/>
          <w:color w:val="auto"/>
          <w:kern w:val="2"/>
        </w:rPr>
        <w:t>（七）国务院建设行政主管部门或者其他有关部门规定的其他危险性较大的工程。</w:t>
      </w:r>
    </w:p>
    <w:p>
      <w:pPr>
        <w:pStyle w:val="19"/>
        <w:tabs>
          <w:tab w:val="left" w:pos="900"/>
        </w:tabs>
        <w:adjustRightInd w:val="0"/>
        <w:snapToGrid w:val="0"/>
        <w:spacing w:line="360" w:lineRule="auto"/>
        <w:ind w:firstLine="403" w:firstLineChars="192"/>
        <w:rPr>
          <w:rFonts w:hAnsi="宋体"/>
          <w:szCs w:val="21"/>
        </w:rPr>
      </w:pPr>
      <w:r>
        <w:rPr>
          <w:rFonts w:hint="eastAsia" w:hAnsi="宋体"/>
          <w:szCs w:val="21"/>
        </w:rPr>
        <w:t>对前款所列工程中涉及深基坑、地下暗挖工程、高大模板工程的专项施工方案，承包人还应当组织专家进行论证、审查。</w:t>
      </w:r>
    </w:p>
    <w:p>
      <w:pPr>
        <w:numPr>
          <w:ilvl w:val="0"/>
          <w:numId w:val="22"/>
        </w:numPr>
        <w:tabs>
          <w:tab w:val="left" w:pos="630"/>
          <w:tab w:val="clear" w:pos="840"/>
        </w:tabs>
        <w:adjustRightInd w:val="0"/>
        <w:snapToGrid w:val="0"/>
        <w:spacing w:line="360" w:lineRule="auto"/>
        <w:ind w:left="0" w:firstLine="462"/>
        <w:rPr>
          <w:rFonts w:hAnsi="宋体"/>
          <w:szCs w:val="21"/>
        </w:rPr>
      </w:pPr>
      <w:r>
        <w:rPr>
          <w:rFonts w:hAnsi="宋体"/>
          <w:szCs w:val="21"/>
        </w:rPr>
        <w:t>承包人应建立日常施工活动的作业风险分析和安全组织（技术措施）交底制度。该制度应明确规定风险分析的方法、责任和交底的内容、时间及记录。</w:t>
      </w:r>
    </w:p>
    <w:p>
      <w:pPr>
        <w:pStyle w:val="19"/>
        <w:adjustRightInd w:val="0"/>
        <w:snapToGrid w:val="0"/>
        <w:spacing w:before="156" w:beforeLines="50" w:after="156" w:afterLines="50" w:line="360" w:lineRule="auto"/>
        <w:ind w:firstLine="420" w:firstLineChars="200"/>
        <w:rPr>
          <w:rFonts w:ascii="Times New Roman" w:hAnsi="Times New Roman"/>
          <w:bCs/>
          <w:szCs w:val="21"/>
        </w:rPr>
      </w:pPr>
      <w:r>
        <w:rPr>
          <w:rFonts w:ascii="Times New Roman" w:hAnsi="Times New Roman"/>
          <w:bCs/>
          <w:szCs w:val="21"/>
        </w:rPr>
        <w:t>（</w:t>
      </w:r>
      <w:r>
        <w:rPr>
          <w:rFonts w:ascii="Times New Roman" w:hAnsi="宋体"/>
          <w:bCs/>
          <w:szCs w:val="21"/>
        </w:rPr>
        <w:t>二</w:t>
      </w:r>
      <w:r>
        <w:rPr>
          <w:rFonts w:ascii="Times New Roman" w:hAnsi="Times New Roman"/>
          <w:bCs/>
          <w:szCs w:val="21"/>
        </w:rPr>
        <w:t>）</w:t>
      </w:r>
      <w:r>
        <w:rPr>
          <w:rFonts w:ascii="Times New Roman" w:hAnsi="宋体"/>
          <w:bCs/>
          <w:szCs w:val="21"/>
        </w:rPr>
        <w:t>现场作业基本安全条件</w:t>
      </w:r>
    </w:p>
    <w:p>
      <w:pPr>
        <w:pStyle w:val="19"/>
        <w:adjustRightInd w:val="0"/>
        <w:snapToGrid w:val="0"/>
        <w:spacing w:before="156" w:beforeLines="50" w:after="156" w:afterLines="50" w:line="360" w:lineRule="auto"/>
        <w:ind w:firstLine="420" w:firstLineChars="200"/>
        <w:rPr>
          <w:rFonts w:ascii="Times New Roman" w:hAnsi="Times New Roman"/>
          <w:szCs w:val="21"/>
        </w:rPr>
      </w:pPr>
      <w:r>
        <w:rPr>
          <w:rFonts w:ascii="Times New Roman" w:hAnsi="宋体"/>
          <w:szCs w:val="21"/>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pPr>
        <w:pStyle w:val="3"/>
        <w:keepNext w:val="0"/>
        <w:keepLines w:val="0"/>
        <w:tabs>
          <w:tab w:val="left" w:pos="432"/>
        </w:tabs>
        <w:topLinePunct/>
        <w:adjustRightInd w:val="0"/>
        <w:snapToGrid w:val="0"/>
        <w:spacing w:before="156" w:beforeLines="50" w:after="156" w:afterLines="50" w:line="360" w:lineRule="auto"/>
        <w:textAlignment w:val="center"/>
        <w:rPr>
          <w:rFonts w:hAnsi="宋体"/>
          <w:sz w:val="21"/>
          <w:szCs w:val="21"/>
        </w:rPr>
      </w:pPr>
      <w:bookmarkStart w:id="346" w:name="_Toc482889956"/>
      <w:bookmarkStart w:id="347" w:name="_Toc484082713"/>
      <w:bookmarkStart w:id="348" w:name="_Toc483596405"/>
      <w:bookmarkStart w:id="349" w:name="_Toc483086415"/>
      <w:bookmarkStart w:id="350" w:name="_Toc482906043"/>
      <w:bookmarkStart w:id="351" w:name="_Toc478424908"/>
      <w:bookmarkStart w:id="352" w:name="_Toc477970736"/>
      <w:bookmarkStart w:id="353" w:name="_Toc484108928"/>
      <w:bookmarkStart w:id="354" w:name="_Toc484108983"/>
      <w:bookmarkStart w:id="355" w:name="_Toc478303294"/>
      <w:bookmarkStart w:id="356" w:name="_Toc483991677"/>
      <w:bookmarkStart w:id="357" w:name="_Toc483601191"/>
      <w:bookmarkStart w:id="358" w:name="_Toc482903440"/>
      <w:bookmarkStart w:id="359" w:name="_Toc477982321"/>
      <w:bookmarkStart w:id="360" w:name="_Toc483122189"/>
      <w:r>
        <w:rPr>
          <w:rFonts w:hAnsi="宋体"/>
          <w:sz w:val="21"/>
          <w:szCs w:val="21"/>
        </w:rPr>
        <w:t>十四、事故报告与应急救援</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pPr>
        <w:pStyle w:val="19"/>
        <w:numPr>
          <w:ilvl w:val="1"/>
          <w:numId w:val="24"/>
        </w:numPr>
        <w:adjustRightInd w:val="0"/>
        <w:snapToGrid w:val="0"/>
        <w:spacing w:line="360" w:lineRule="auto"/>
        <w:ind w:left="0" w:firstLine="420" w:firstLineChars="200"/>
        <w:rPr>
          <w:rFonts w:ascii="Times New Roman" w:hAnsi="宋体"/>
          <w:szCs w:val="21"/>
        </w:rPr>
      </w:pPr>
      <w:r>
        <w:rPr>
          <w:rFonts w:hint="eastAsia" w:ascii="Times New Roman" w:hAnsi="宋体"/>
          <w:szCs w:val="21"/>
        </w:rPr>
        <w:t>承包人负责包括其内部、分包商和供应商在内的事故报告与应急救援。</w:t>
      </w:r>
    </w:p>
    <w:p>
      <w:pPr>
        <w:pStyle w:val="19"/>
        <w:numPr>
          <w:ilvl w:val="1"/>
          <w:numId w:val="24"/>
        </w:numPr>
        <w:adjustRightInd w:val="0"/>
        <w:snapToGrid w:val="0"/>
        <w:spacing w:line="360" w:lineRule="auto"/>
        <w:ind w:left="0" w:firstLine="420" w:firstLineChars="200"/>
        <w:rPr>
          <w:rFonts w:ascii="Times New Roman" w:hAnsi="Times New Roman"/>
          <w:szCs w:val="21"/>
        </w:rPr>
      </w:pPr>
      <w:r>
        <w:rPr>
          <w:rFonts w:ascii="Times New Roman" w:hAnsi="宋体"/>
          <w:szCs w:val="21"/>
        </w:rPr>
        <w:t>承包人现场人员应熟悉施工现场应急响应流程和各种应急通讯方法</w:t>
      </w:r>
      <w:r>
        <w:rPr>
          <w:rFonts w:ascii="Times New Roman" w:hAnsi="Times New Roman"/>
          <w:szCs w:val="21"/>
        </w:rPr>
        <w:t>（</w:t>
      </w:r>
      <w:r>
        <w:rPr>
          <w:rFonts w:ascii="Times New Roman" w:hAnsi="宋体"/>
          <w:szCs w:val="21"/>
        </w:rPr>
        <w:t>火警电话、保卫电话</w:t>
      </w:r>
      <w:r>
        <w:rPr>
          <w:rFonts w:ascii="Times New Roman" w:hAnsi="Times New Roman"/>
          <w:szCs w:val="21"/>
        </w:rPr>
        <w:t>）</w:t>
      </w:r>
      <w:r>
        <w:rPr>
          <w:rFonts w:ascii="Times New Roman" w:hAnsi="宋体"/>
          <w:szCs w:val="21"/>
        </w:rPr>
        <w:t>要求，编制应急预案并进行演练。</w:t>
      </w:r>
    </w:p>
    <w:p>
      <w:pPr>
        <w:pStyle w:val="19"/>
        <w:numPr>
          <w:ilvl w:val="1"/>
          <w:numId w:val="24"/>
        </w:numPr>
        <w:adjustRightInd w:val="0"/>
        <w:snapToGrid w:val="0"/>
        <w:spacing w:line="360" w:lineRule="auto"/>
        <w:ind w:left="0" w:firstLine="420" w:firstLineChars="200"/>
        <w:rPr>
          <w:rFonts w:ascii="Times New Roman" w:hAnsi="Times New Roman"/>
          <w:szCs w:val="21"/>
        </w:rPr>
      </w:pPr>
      <w:r>
        <w:rPr>
          <w:rFonts w:ascii="Times New Roman" w:hAnsi="宋体"/>
          <w:szCs w:val="21"/>
        </w:rPr>
        <w:t>承包人应参照发包人的</w:t>
      </w:r>
      <w:r>
        <w:rPr>
          <w:rFonts w:hint="eastAsia" w:ascii="Times New Roman" w:hAnsi="宋体"/>
          <w:szCs w:val="21"/>
        </w:rPr>
        <w:t>事故、事件报告和调查处理程序规定</w:t>
      </w:r>
      <w:r>
        <w:rPr>
          <w:rFonts w:ascii="Times New Roman" w:hAnsi="宋体"/>
          <w:szCs w:val="21"/>
        </w:rPr>
        <w:t>，对于各种安健环事件和事故，按照发包人相关管理规定，及时报送各种报告等。</w:t>
      </w:r>
    </w:p>
    <w:p>
      <w:pPr>
        <w:pStyle w:val="19"/>
        <w:numPr>
          <w:ilvl w:val="1"/>
          <w:numId w:val="24"/>
        </w:numPr>
        <w:adjustRightInd w:val="0"/>
        <w:snapToGrid w:val="0"/>
        <w:spacing w:line="360" w:lineRule="auto"/>
        <w:ind w:left="0" w:firstLine="420" w:firstLineChars="200"/>
        <w:rPr>
          <w:rFonts w:ascii="Times New Roman" w:hAnsi="Times New Roman"/>
          <w:szCs w:val="21"/>
        </w:rPr>
      </w:pPr>
      <w:r>
        <w:rPr>
          <w:rFonts w:ascii="Times New Roman" w:hAnsi="宋体"/>
          <w:szCs w:val="21"/>
        </w:rPr>
        <w:t>承包人发生安健环事故后，禁止隐瞒、谎报或拖延报告事故。</w:t>
      </w:r>
    </w:p>
    <w:p>
      <w:pPr>
        <w:pStyle w:val="19"/>
        <w:numPr>
          <w:ilvl w:val="1"/>
          <w:numId w:val="24"/>
        </w:numPr>
        <w:adjustRightInd w:val="0"/>
        <w:snapToGrid w:val="0"/>
        <w:spacing w:line="360" w:lineRule="auto"/>
        <w:ind w:left="0" w:firstLine="420" w:firstLineChars="200"/>
        <w:rPr>
          <w:rFonts w:ascii="Times New Roman" w:hAnsi="Times New Roman"/>
          <w:szCs w:val="21"/>
        </w:rPr>
      </w:pPr>
      <w:r>
        <w:rPr>
          <w:rFonts w:ascii="Times New Roman" w:hAnsi="宋体"/>
          <w:szCs w:val="21"/>
        </w:rPr>
        <w:t>承包人现场应建立安健环事故统计记录、未遂事故统计记录、违章统计记录，对统计情况进行分析，并就分析结果制定相应的预防措施。</w:t>
      </w:r>
    </w:p>
    <w:p>
      <w:pPr>
        <w:pStyle w:val="19"/>
        <w:numPr>
          <w:ilvl w:val="1"/>
          <w:numId w:val="24"/>
        </w:numPr>
        <w:adjustRightInd w:val="0"/>
        <w:snapToGrid w:val="0"/>
        <w:spacing w:line="360" w:lineRule="auto"/>
        <w:ind w:left="0" w:firstLine="420" w:firstLineChars="200"/>
        <w:rPr>
          <w:rFonts w:ascii="Times New Roman" w:hAnsi="Times New Roman"/>
          <w:szCs w:val="21"/>
        </w:rPr>
      </w:pPr>
      <w:r>
        <w:rPr>
          <w:rFonts w:ascii="Times New Roman" w:hAnsi="宋体"/>
          <w:szCs w:val="21"/>
        </w:rPr>
        <w:t>承包人负责组织事故调查，发包人有权参与调查。在事故调查结束后发包人规定的工作日内，承包人应向发包人递交正式的事故调查处理报告。</w:t>
      </w:r>
    </w:p>
    <w:p>
      <w:pPr>
        <w:pStyle w:val="19"/>
        <w:numPr>
          <w:ilvl w:val="1"/>
          <w:numId w:val="24"/>
        </w:numPr>
        <w:adjustRightInd w:val="0"/>
        <w:snapToGrid w:val="0"/>
        <w:spacing w:line="360" w:lineRule="auto"/>
        <w:ind w:left="0" w:firstLine="420" w:firstLineChars="200"/>
        <w:rPr>
          <w:rFonts w:ascii="Times New Roman" w:hAnsi="Times New Roman"/>
          <w:szCs w:val="21"/>
        </w:rPr>
      </w:pPr>
      <w:r>
        <w:rPr>
          <w:rFonts w:ascii="Times New Roman" w:hAnsi="宋体"/>
          <w:szCs w:val="21"/>
        </w:rPr>
        <w:t>承包人应建立事故应急救援机制，明确事故处置的基本原则，即现场发生事故时，首先抢救生命，向救援组织报警，并采取措施限制事故扩大。</w:t>
      </w:r>
    </w:p>
    <w:p>
      <w:pPr>
        <w:pStyle w:val="19"/>
        <w:numPr>
          <w:ilvl w:val="1"/>
          <w:numId w:val="24"/>
        </w:numPr>
        <w:adjustRightInd w:val="0"/>
        <w:snapToGrid w:val="0"/>
        <w:spacing w:line="360" w:lineRule="auto"/>
        <w:ind w:left="0" w:firstLine="420" w:firstLineChars="200"/>
        <w:rPr>
          <w:rFonts w:ascii="Times New Roman" w:hAnsi="Times New Roman"/>
          <w:szCs w:val="21"/>
        </w:rPr>
      </w:pPr>
      <w:r>
        <w:rPr>
          <w:rFonts w:ascii="Times New Roman" w:hAnsi="宋体"/>
          <w:szCs w:val="21"/>
        </w:rPr>
        <w:t>承包人应建立相应的应急响应组织，以便能迅速处理突发意外。</w:t>
      </w:r>
    </w:p>
    <w:p>
      <w:pPr>
        <w:pStyle w:val="19"/>
        <w:numPr>
          <w:ilvl w:val="1"/>
          <w:numId w:val="24"/>
        </w:numPr>
        <w:adjustRightInd w:val="0"/>
        <w:snapToGrid w:val="0"/>
        <w:spacing w:line="360" w:lineRule="auto"/>
        <w:ind w:left="0" w:firstLine="420" w:firstLineChars="200"/>
        <w:rPr>
          <w:rFonts w:ascii="Times New Roman" w:hAnsi="Times New Roman"/>
          <w:szCs w:val="21"/>
        </w:rPr>
      </w:pPr>
      <w:r>
        <w:rPr>
          <w:rFonts w:ascii="Times New Roman" w:hAnsi="宋体"/>
          <w:szCs w:val="21"/>
        </w:rPr>
        <w:t>承包人应建立综合应急响应预案，建立各专项预案</w:t>
      </w:r>
      <w:r>
        <w:rPr>
          <w:rFonts w:hint="eastAsia" w:ascii="Times New Roman" w:hAnsi="宋体"/>
          <w:szCs w:val="21"/>
        </w:rPr>
        <w:t>及现场处置方案</w:t>
      </w:r>
      <w:r>
        <w:rPr>
          <w:rFonts w:ascii="Times New Roman" w:hAnsi="宋体"/>
          <w:szCs w:val="21"/>
        </w:rPr>
        <w:t>。</w:t>
      </w:r>
    </w:p>
    <w:p>
      <w:pPr>
        <w:pStyle w:val="19"/>
        <w:numPr>
          <w:ilvl w:val="1"/>
          <w:numId w:val="24"/>
        </w:numPr>
        <w:adjustRightInd w:val="0"/>
        <w:snapToGrid w:val="0"/>
        <w:spacing w:line="360" w:lineRule="auto"/>
        <w:ind w:left="0" w:firstLine="420" w:firstLineChars="200"/>
        <w:rPr>
          <w:rFonts w:ascii="Times New Roman" w:hAnsi="Times New Roman"/>
          <w:szCs w:val="21"/>
        </w:rPr>
      </w:pPr>
      <w:r>
        <w:rPr>
          <w:rFonts w:ascii="Times New Roman" w:hAnsi="宋体"/>
          <w:szCs w:val="21"/>
        </w:rPr>
        <w:t>承包人应对应急预案进行演练，保证应急预案的可操作性</w:t>
      </w:r>
      <w:r>
        <w:rPr>
          <w:rFonts w:hint="eastAsia" w:ascii="Times New Roman" w:hAnsi="宋体"/>
          <w:szCs w:val="21"/>
        </w:rPr>
        <w:t>和实战管用</w:t>
      </w:r>
      <w:r>
        <w:rPr>
          <w:rFonts w:ascii="Times New Roman" w:hAnsi="宋体"/>
          <w:szCs w:val="21"/>
        </w:rPr>
        <w:t>。</w:t>
      </w:r>
    </w:p>
    <w:p>
      <w:pPr>
        <w:pStyle w:val="3"/>
        <w:keepNext w:val="0"/>
        <w:keepLines w:val="0"/>
        <w:tabs>
          <w:tab w:val="left" w:pos="432"/>
        </w:tabs>
        <w:topLinePunct/>
        <w:adjustRightInd w:val="0"/>
        <w:snapToGrid w:val="0"/>
        <w:spacing w:before="156" w:beforeLines="50" w:after="156" w:afterLines="50" w:line="360" w:lineRule="auto"/>
        <w:textAlignment w:val="center"/>
        <w:rPr>
          <w:rFonts w:hAnsi="宋体"/>
          <w:sz w:val="21"/>
          <w:szCs w:val="21"/>
        </w:rPr>
      </w:pPr>
      <w:bookmarkStart w:id="361" w:name="_Toc478424909"/>
      <w:bookmarkStart w:id="362" w:name="_Toc478303295"/>
      <w:bookmarkStart w:id="363" w:name="_Toc482906044"/>
      <w:bookmarkStart w:id="364" w:name="_Toc477982322"/>
      <w:bookmarkStart w:id="365" w:name="_Toc484108929"/>
      <w:bookmarkStart w:id="366" w:name="_Toc483601192"/>
      <w:bookmarkStart w:id="367" w:name="_Toc482903441"/>
      <w:bookmarkStart w:id="368" w:name="_Toc484108984"/>
      <w:bookmarkStart w:id="369" w:name="_Toc484082714"/>
      <w:bookmarkStart w:id="370" w:name="_Toc482889957"/>
      <w:bookmarkStart w:id="371" w:name="_Toc477970737"/>
      <w:bookmarkStart w:id="372" w:name="_Toc483991678"/>
      <w:bookmarkStart w:id="373" w:name="_Toc483086416"/>
      <w:bookmarkStart w:id="374" w:name="_Toc483596406"/>
      <w:bookmarkStart w:id="375" w:name="_Toc483122190"/>
      <w:r>
        <w:rPr>
          <w:rFonts w:hAnsi="宋体"/>
          <w:sz w:val="21"/>
          <w:szCs w:val="21"/>
        </w:rPr>
        <w:t>十五、安健环业绩考核</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pPr>
        <w:numPr>
          <w:ilvl w:val="0"/>
          <w:numId w:val="25"/>
        </w:numPr>
        <w:tabs>
          <w:tab w:val="left" w:pos="315"/>
          <w:tab w:val="clear" w:pos="1224"/>
        </w:tabs>
        <w:adjustRightInd w:val="0"/>
        <w:snapToGrid w:val="0"/>
        <w:spacing w:line="360" w:lineRule="auto"/>
        <w:ind w:left="0" w:firstLine="527"/>
        <w:rPr>
          <w:rFonts w:hAnsi="宋体"/>
          <w:szCs w:val="21"/>
        </w:rPr>
      </w:pPr>
      <w:r>
        <w:rPr>
          <w:rFonts w:hAnsi="宋体"/>
          <w:szCs w:val="21"/>
        </w:rPr>
        <w:t>为了落实安健环管理责任，</w:t>
      </w:r>
      <w:r>
        <w:rPr>
          <w:rFonts w:hint="eastAsia" w:hAnsi="宋体"/>
          <w:szCs w:val="21"/>
        </w:rPr>
        <w:t>保证项目安健环管理目标顺利实现，开工前，由发包人项目指挥部制定相关安健环考核制度，在整个项目建设过程中实施</w:t>
      </w:r>
      <w:r>
        <w:rPr>
          <w:rFonts w:hAnsi="宋体"/>
          <w:szCs w:val="21"/>
        </w:rPr>
        <w:t>。对于满足</w:t>
      </w:r>
      <w:r>
        <w:rPr>
          <w:rFonts w:hint="eastAsia" w:hAnsi="宋体"/>
          <w:szCs w:val="21"/>
        </w:rPr>
        <w:t>发包人标准要求</w:t>
      </w:r>
      <w:r>
        <w:rPr>
          <w:rFonts w:hAnsi="宋体"/>
          <w:szCs w:val="21"/>
        </w:rPr>
        <w:t>的承包人，进行奖励</w:t>
      </w:r>
      <w:r>
        <w:rPr>
          <w:rFonts w:hint="eastAsia" w:hAnsi="宋体"/>
          <w:szCs w:val="21"/>
        </w:rPr>
        <w:t>；</w:t>
      </w:r>
      <w:r>
        <w:rPr>
          <w:rFonts w:hAnsi="宋体"/>
          <w:szCs w:val="21"/>
        </w:rPr>
        <w:t>同时对违约行为进行处罚。</w:t>
      </w:r>
    </w:p>
    <w:p>
      <w:pPr>
        <w:numPr>
          <w:ilvl w:val="0"/>
          <w:numId w:val="25"/>
        </w:numPr>
        <w:tabs>
          <w:tab w:val="left" w:pos="315"/>
          <w:tab w:val="clear" w:pos="1224"/>
        </w:tabs>
        <w:adjustRightInd w:val="0"/>
        <w:snapToGrid w:val="0"/>
        <w:spacing w:line="360" w:lineRule="auto"/>
        <w:ind w:left="0" w:firstLine="527"/>
        <w:rPr>
          <w:rFonts w:hAnsi="宋体"/>
          <w:szCs w:val="21"/>
        </w:rPr>
      </w:pPr>
      <w:r>
        <w:rPr>
          <w:rFonts w:hAnsi="宋体"/>
          <w:szCs w:val="21"/>
        </w:rPr>
        <w:t>承包人应建立</w:t>
      </w:r>
      <w:r>
        <w:rPr>
          <w:rFonts w:hint="eastAsia" w:hAnsi="宋体"/>
          <w:szCs w:val="21"/>
        </w:rPr>
        <w:t>内部安健环考核实施细则</w:t>
      </w:r>
      <w:r>
        <w:rPr>
          <w:rFonts w:hAnsi="宋体"/>
          <w:szCs w:val="21"/>
        </w:rPr>
        <w:t>，</w:t>
      </w:r>
      <w:r>
        <w:rPr>
          <w:rFonts w:hint="eastAsia" w:hAnsi="宋体"/>
          <w:szCs w:val="21"/>
        </w:rPr>
        <w:t>实施重奖重罚，同时</w:t>
      </w:r>
      <w:r>
        <w:rPr>
          <w:rFonts w:hAnsi="宋体"/>
          <w:szCs w:val="21"/>
        </w:rPr>
        <w:t>遵循奖励施工现场员</w:t>
      </w:r>
      <w:r>
        <w:rPr>
          <w:rFonts w:hint="eastAsia" w:hAnsi="宋体"/>
          <w:szCs w:val="21"/>
        </w:rPr>
        <w:t>工</w:t>
      </w:r>
      <w:r>
        <w:rPr>
          <w:rFonts w:hAnsi="宋体"/>
          <w:szCs w:val="21"/>
        </w:rPr>
        <w:t>为主的原则，重点奖励在施工现场对安全文明施工有突出贡献的管理人员及从业人员，同时将奖励人员的名单抄送发包人备案。</w:t>
      </w:r>
    </w:p>
    <w:p>
      <w:pPr>
        <w:pStyle w:val="3"/>
        <w:keepNext w:val="0"/>
        <w:keepLines w:val="0"/>
        <w:tabs>
          <w:tab w:val="left" w:pos="432"/>
        </w:tabs>
        <w:topLinePunct/>
        <w:adjustRightInd w:val="0"/>
        <w:snapToGrid w:val="0"/>
        <w:spacing w:before="156" w:beforeLines="50" w:after="156" w:afterLines="50" w:line="360" w:lineRule="auto"/>
        <w:textAlignment w:val="center"/>
        <w:rPr>
          <w:rFonts w:hAnsi="宋体"/>
          <w:sz w:val="21"/>
          <w:szCs w:val="21"/>
        </w:rPr>
      </w:pPr>
      <w:bookmarkStart w:id="376" w:name="_Toc483601193"/>
      <w:bookmarkStart w:id="377" w:name="_Toc483086417"/>
      <w:bookmarkStart w:id="378" w:name="_Toc478303296"/>
      <w:bookmarkStart w:id="379" w:name="_Toc478424910"/>
      <w:bookmarkStart w:id="380" w:name="_Toc482906045"/>
      <w:bookmarkStart w:id="381" w:name="_Toc482903442"/>
      <w:bookmarkStart w:id="382" w:name="_Toc483991679"/>
      <w:bookmarkStart w:id="383" w:name="_Toc484108985"/>
      <w:bookmarkStart w:id="384" w:name="_Toc477970738"/>
      <w:bookmarkStart w:id="385" w:name="_Toc484108930"/>
      <w:bookmarkStart w:id="386" w:name="_Toc482889958"/>
      <w:bookmarkStart w:id="387" w:name="_Toc483596407"/>
      <w:bookmarkStart w:id="388" w:name="_Toc483122191"/>
      <w:bookmarkStart w:id="389" w:name="_Toc477982323"/>
      <w:bookmarkStart w:id="390" w:name="_Toc484082715"/>
      <w:r>
        <w:rPr>
          <w:rFonts w:hAnsi="宋体"/>
          <w:sz w:val="21"/>
          <w:szCs w:val="21"/>
        </w:rPr>
        <w:t>十</w:t>
      </w:r>
      <w:r>
        <w:rPr>
          <w:rFonts w:hint="eastAsia" w:hAnsi="宋体"/>
          <w:sz w:val="21"/>
          <w:szCs w:val="21"/>
        </w:rPr>
        <w:t>六</w:t>
      </w:r>
      <w:r>
        <w:rPr>
          <w:rFonts w:hAnsi="宋体"/>
          <w:sz w:val="21"/>
          <w:szCs w:val="21"/>
        </w:rPr>
        <w:t>、</w:t>
      </w:r>
      <w:r>
        <w:rPr>
          <w:rFonts w:hint="eastAsia" w:hAnsi="宋体"/>
          <w:sz w:val="21"/>
          <w:szCs w:val="21"/>
        </w:rPr>
        <w:t>附则</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pPr>
        <w:pStyle w:val="19"/>
        <w:numPr>
          <w:ilvl w:val="1"/>
          <w:numId w:val="26"/>
        </w:numPr>
        <w:adjustRightInd w:val="0"/>
        <w:snapToGrid w:val="0"/>
        <w:spacing w:line="360" w:lineRule="auto"/>
        <w:ind w:left="0" w:firstLine="420" w:firstLineChars="200"/>
        <w:rPr>
          <w:rFonts w:ascii="Times New Roman" w:hAnsi="宋体"/>
          <w:szCs w:val="21"/>
        </w:rPr>
      </w:pPr>
      <w:r>
        <w:rPr>
          <w:rFonts w:hint="eastAsia" w:ascii="Times New Roman" w:hAnsi="宋体"/>
          <w:szCs w:val="21"/>
        </w:rPr>
        <w:t>本协议如存在与法律冲突的内容，应按法律规定执行。</w:t>
      </w:r>
    </w:p>
    <w:p>
      <w:pPr>
        <w:pStyle w:val="19"/>
        <w:numPr>
          <w:ilvl w:val="1"/>
          <w:numId w:val="26"/>
        </w:numPr>
        <w:adjustRightInd w:val="0"/>
        <w:snapToGrid w:val="0"/>
        <w:spacing w:line="360" w:lineRule="auto"/>
        <w:ind w:left="0" w:firstLine="420" w:firstLineChars="200"/>
        <w:rPr>
          <w:rFonts w:ascii="Times New Roman" w:hAnsi="宋体"/>
          <w:szCs w:val="21"/>
        </w:rPr>
      </w:pPr>
      <w:r>
        <w:rPr>
          <w:rFonts w:hint="eastAsia" w:ascii="Times New Roman" w:hAnsi="宋体"/>
          <w:szCs w:val="21"/>
        </w:rPr>
        <w:t>本协议作为项目施工合同的附件，系对双方签订的项目施工合同中关于安健环内容的补充，双方在签订施工合同的同时，签订本安健环协议。安全保证金的预留与支付以及施工安全、文明措施补贴费的支付，按施工合同中相关费用支付条款执行。其他内容应与施工合同保持一致，若两者内容存在冲突时，以施工合同内容为准</w:t>
      </w:r>
      <w:r>
        <w:rPr>
          <w:rFonts w:ascii="Times New Roman" w:hAnsi="宋体"/>
          <w:szCs w:val="21"/>
        </w:rPr>
        <w:t>。</w:t>
      </w:r>
    </w:p>
    <w:p>
      <w:pPr>
        <w:pStyle w:val="19"/>
        <w:numPr>
          <w:ilvl w:val="1"/>
          <w:numId w:val="26"/>
        </w:numPr>
        <w:adjustRightInd w:val="0"/>
        <w:snapToGrid w:val="0"/>
        <w:spacing w:line="360" w:lineRule="auto"/>
        <w:ind w:left="0" w:firstLine="420" w:firstLineChars="200"/>
        <w:rPr>
          <w:rFonts w:ascii="Times New Roman" w:hAnsi="宋体"/>
          <w:szCs w:val="21"/>
        </w:rPr>
      </w:pPr>
      <w:r>
        <w:rPr>
          <w:rFonts w:hint="eastAsia" w:ascii="Times New Roman" w:hAnsi="宋体"/>
          <w:szCs w:val="21"/>
        </w:rPr>
        <w:t>本协议经双方签字、盖章后有效。本协议份数与主合同等同，均具有同等法律效力。</w:t>
      </w:r>
    </w:p>
    <w:p>
      <w:pPr>
        <w:tabs>
          <w:tab w:val="left" w:pos="315"/>
        </w:tabs>
        <w:adjustRightInd w:val="0"/>
        <w:snapToGrid w:val="0"/>
        <w:spacing w:line="480" w:lineRule="atLeast"/>
        <w:rPr>
          <w:rFonts w:hAnsi="宋体"/>
          <w:szCs w:val="21"/>
        </w:rPr>
      </w:pPr>
    </w:p>
    <w:p>
      <w:pPr>
        <w:tabs>
          <w:tab w:val="left" w:pos="315"/>
        </w:tabs>
        <w:adjustRightInd w:val="0"/>
        <w:snapToGrid w:val="0"/>
        <w:spacing w:line="480" w:lineRule="atLeast"/>
        <w:rPr>
          <w:rFonts w:hAnsi="宋体"/>
          <w:szCs w:val="21"/>
        </w:rPr>
      </w:pPr>
    </w:p>
    <w:p>
      <w:pPr>
        <w:spacing w:line="336" w:lineRule="auto"/>
        <w:rPr>
          <w:rFonts w:ascii="宋体" w:hAnsi="宋体"/>
          <w:kern w:val="0"/>
          <w:szCs w:val="21"/>
        </w:rPr>
      </w:pPr>
      <w:permStart w:id="24" w:edGrp="everyone"/>
      <w:r>
        <w:rPr>
          <w:rFonts w:hint="eastAsia" w:ascii="宋体" w:hAnsi="宋体"/>
          <w:kern w:val="0"/>
          <w:szCs w:val="21"/>
        </w:rPr>
        <w:t>（此页无正文）</w:t>
      </w:r>
    </w:p>
    <w:tbl>
      <w:tblPr>
        <w:tblStyle w:val="39"/>
        <w:tblW w:w="9513" w:type="dxa"/>
        <w:tblInd w:w="93" w:type="dxa"/>
        <w:tblLayout w:type="fixed"/>
        <w:tblCellMar>
          <w:top w:w="15" w:type="dxa"/>
          <w:left w:w="108" w:type="dxa"/>
          <w:bottom w:w="15" w:type="dxa"/>
          <w:right w:w="108" w:type="dxa"/>
        </w:tblCellMar>
      </w:tblPr>
      <w:tblGrid>
        <w:gridCol w:w="4860"/>
        <w:gridCol w:w="4653"/>
      </w:tblGrid>
      <w:tr>
        <w:tblPrEx>
          <w:tblCellMar>
            <w:top w:w="15" w:type="dxa"/>
            <w:left w:w="108" w:type="dxa"/>
            <w:bottom w:w="15" w:type="dxa"/>
            <w:right w:w="108" w:type="dxa"/>
          </w:tblCellMar>
        </w:tblPrEx>
        <w:trPr>
          <w:trHeight w:val="1020"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发包人： 广州市白云区水务工程建设管理中心</w:t>
            </w:r>
            <w:r>
              <w:rPr>
                <w:rFonts w:hint="eastAsia" w:ascii="宋体" w:hAnsi="宋体" w:cs="宋体"/>
                <w:color w:val="000000"/>
                <w:kern w:val="0"/>
                <w:szCs w:val="21"/>
              </w:rPr>
              <w:br w:type="textWrapping"/>
            </w:r>
            <w:r>
              <w:rPr>
                <w:rFonts w:hint="eastAsia" w:ascii="宋体" w:hAnsi="宋体" w:cs="宋体"/>
                <w:color w:val="000000"/>
                <w:kern w:val="0"/>
                <w:szCs w:val="21"/>
              </w:rPr>
              <w:t xml:space="preserve">        （盖章）</w:t>
            </w:r>
          </w:p>
        </w:tc>
        <w:tc>
          <w:tcPr>
            <w:tcW w:w="4653" w:type="dxa"/>
            <w:vAlign w:val="center"/>
          </w:tcPr>
          <w:p>
            <w:pPr>
              <w:widowControl/>
              <w:ind w:right="-3395" w:rightChars="-1617"/>
              <w:jc w:val="left"/>
              <w:rPr>
                <w:rFonts w:ascii="宋体" w:hAnsi="宋体" w:cs="宋体"/>
                <w:color w:val="000000"/>
                <w:kern w:val="0"/>
                <w:sz w:val="22"/>
                <w:szCs w:val="22"/>
              </w:rPr>
            </w:pPr>
            <w:r>
              <w:rPr>
                <w:rFonts w:hint="eastAsia" w:ascii="宋体" w:hAnsi="宋体" w:cs="宋体"/>
                <w:color w:val="000000"/>
                <w:kern w:val="0"/>
                <w:sz w:val="22"/>
                <w:szCs w:val="22"/>
              </w:rPr>
              <w:t>承包人（主）</w:t>
            </w:r>
            <w:r>
              <w:rPr>
                <w:rFonts w:hint="eastAsia" w:ascii="宋体" w:hAnsi="宋体" w:cs="宋体"/>
                <w:color w:val="000000"/>
                <w:kern w:val="0"/>
                <w:szCs w:val="21"/>
              </w:rPr>
              <w:t>：</w:t>
            </w:r>
            <w:r>
              <w:rPr>
                <w:rFonts w:hint="eastAsia" w:ascii="宋体" w:hAnsi="宋体" w:cs="宋体"/>
                <w:color w:val="000000"/>
                <w:kern w:val="0"/>
                <w:sz w:val="22"/>
                <w:szCs w:val="22"/>
              </w:rPr>
              <w:t>XXX</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      （盖章）</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法定代表人：</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法定代表人：</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或委托代理人：</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或委托代理人：</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经办人：</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经办人：</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地址：广州市白云区大金钟路19号金景大厦二楼</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地址：</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电话：</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电话：</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传真：</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传真：</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开户银行：</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开户银行：</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账号：</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账号：</w:t>
            </w:r>
          </w:p>
        </w:tc>
      </w:tr>
      <w:tr>
        <w:tblPrEx>
          <w:tblCellMar>
            <w:top w:w="15" w:type="dxa"/>
            <w:left w:w="108" w:type="dxa"/>
            <w:bottom w:w="15" w:type="dxa"/>
            <w:right w:w="108" w:type="dxa"/>
          </w:tblCellMar>
        </w:tblPrEx>
        <w:trPr>
          <w:trHeight w:val="286" w:hRule="atLeast"/>
        </w:trPr>
        <w:tc>
          <w:tcPr>
            <w:tcW w:w="4860" w:type="dxa"/>
            <w:vAlign w:val="center"/>
          </w:tcPr>
          <w:p>
            <w:pPr>
              <w:widowControl/>
              <w:rPr>
                <w:rFonts w:ascii="宋体" w:hAnsi="宋体" w:cs="宋体"/>
                <w:color w:val="000000"/>
                <w:kern w:val="0"/>
                <w:szCs w:val="21"/>
              </w:rPr>
            </w:pPr>
            <w:r>
              <w:rPr>
                <w:rFonts w:hint="eastAsia" w:ascii="宋体" w:hAnsi="宋体" w:cs="宋体"/>
                <w:color w:val="000000"/>
                <w:kern w:val="0"/>
                <w:szCs w:val="21"/>
              </w:rPr>
              <w:t>邮政编码：</w:t>
            </w:r>
          </w:p>
        </w:tc>
        <w:tc>
          <w:tcPr>
            <w:tcW w:w="4653" w:type="dxa"/>
            <w:vAlign w:val="center"/>
          </w:tcPr>
          <w:p>
            <w:pPr>
              <w:widowControl/>
              <w:rPr>
                <w:rFonts w:ascii="宋体" w:hAnsi="宋体" w:cs="宋体"/>
                <w:color w:val="000000"/>
                <w:kern w:val="0"/>
                <w:szCs w:val="21"/>
              </w:rPr>
            </w:pPr>
            <w:r>
              <w:rPr>
                <w:rFonts w:hint="eastAsia" w:ascii="宋体" w:hAnsi="宋体" w:cs="宋体"/>
                <w:color w:val="000000"/>
                <w:kern w:val="0"/>
                <w:szCs w:val="21"/>
              </w:rPr>
              <w:t>邮政编码：</w:t>
            </w:r>
          </w:p>
        </w:tc>
      </w:tr>
    </w:tbl>
    <w:p>
      <w:pPr>
        <w:keepNext/>
        <w:keepLines/>
        <w:spacing w:before="120" w:after="120" w:line="416" w:lineRule="auto"/>
        <w:outlineLvl w:val="1"/>
        <w:rPr>
          <w:b/>
          <w:bCs/>
          <w:sz w:val="32"/>
          <w:szCs w:val="21"/>
        </w:rPr>
      </w:pPr>
    </w:p>
    <w:tbl>
      <w:tblPr>
        <w:tblStyle w:val="39"/>
        <w:tblW w:w="9513" w:type="dxa"/>
        <w:tblInd w:w="93" w:type="dxa"/>
        <w:tblLayout w:type="fixed"/>
        <w:tblCellMar>
          <w:top w:w="15" w:type="dxa"/>
          <w:left w:w="108" w:type="dxa"/>
          <w:bottom w:w="15" w:type="dxa"/>
          <w:right w:w="108" w:type="dxa"/>
        </w:tblCellMar>
      </w:tblPr>
      <w:tblGrid>
        <w:gridCol w:w="4860"/>
        <w:gridCol w:w="4653"/>
      </w:tblGrid>
      <w:tr>
        <w:tblPrEx>
          <w:tblCellMar>
            <w:top w:w="15" w:type="dxa"/>
            <w:left w:w="108" w:type="dxa"/>
            <w:bottom w:w="15" w:type="dxa"/>
            <w:right w:w="108" w:type="dxa"/>
          </w:tblCellMar>
        </w:tblPrEx>
        <w:trPr>
          <w:trHeight w:val="1020"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 w:val="22"/>
                <w:szCs w:val="22"/>
              </w:rPr>
              <w:t>承包人（成）</w:t>
            </w:r>
            <w:r>
              <w:rPr>
                <w:rFonts w:hint="eastAsia" w:ascii="宋体" w:hAnsi="宋体" w:cs="宋体"/>
                <w:color w:val="000000"/>
                <w:kern w:val="0"/>
                <w:szCs w:val="21"/>
              </w:rPr>
              <w:t>：</w:t>
            </w:r>
            <w:r>
              <w:rPr>
                <w:rFonts w:hint="eastAsia" w:ascii="宋体" w:hAnsi="宋体" w:cs="宋体"/>
                <w:color w:val="000000"/>
                <w:kern w:val="0"/>
                <w:sz w:val="22"/>
                <w:szCs w:val="22"/>
              </w:rPr>
              <w:t>XXX</w:t>
            </w:r>
            <w:r>
              <w:rPr>
                <w:rFonts w:hint="eastAsia" w:ascii="宋体" w:hAnsi="宋体" w:cs="宋体"/>
                <w:color w:val="000000"/>
                <w:kern w:val="0"/>
                <w:szCs w:val="21"/>
              </w:rPr>
              <w:br w:type="textWrapping"/>
            </w:r>
            <w:r>
              <w:rPr>
                <w:rFonts w:hint="eastAsia" w:ascii="宋体" w:hAnsi="宋体" w:cs="宋体"/>
                <w:color w:val="000000"/>
                <w:kern w:val="0"/>
                <w:szCs w:val="21"/>
              </w:rPr>
              <w:t xml:space="preserve">      （盖章）</w:t>
            </w:r>
          </w:p>
        </w:tc>
        <w:tc>
          <w:tcPr>
            <w:tcW w:w="4653" w:type="dxa"/>
            <w:vAlign w:val="center"/>
          </w:tcPr>
          <w:p>
            <w:pPr>
              <w:widowControl/>
              <w:ind w:right="-3395" w:rightChars="-1617"/>
              <w:jc w:val="left"/>
              <w:rPr>
                <w:rFonts w:ascii="宋体" w:hAnsi="宋体" w:cs="宋体"/>
                <w:color w:val="000000"/>
                <w:kern w:val="0"/>
                <w:sz w:val="22"/>
                <w:szCs w:val="22"/>
              </w:rPr>
            </w:pPr>
            <w:r>
              <w:rPr>
                <w:rFonts w:hint="eastAsia" w:ascii="宋体" w:hAnsi="宋体" w:cs="宋体"/>
                <w:color w:val="000000"/>
                <w:kern w:val="0"/>
                <w:sz w:val="22"/>
                <w:szCs w:val="22"/>
              </w:rPr>
              <w:t>承包人（成）</w:t>
            </w:r>
            <w:r>
              <w:rPr>
                <w:rFonts w:hint="eastAsia" w:ascii="宋体" w:hAnsi="宋体" w:cs="宋体"/>
                <w:color w:val="000000"/>
                <w:kern w:val="0"/>
                <w:szCs w:val="21"/>
              </w:rPr>
              <w:t>：</w:t>
            </w:r>
            <w:r>
              <w:rPr>
                <w:rFonts w:hint="eastAsia" w:ascii="宋体" w:hAnsi="宋体" w:cs="宋体"/>
                <w:color w:val="000000"/>
                <w:kern w:val="0"/>
                <w:sz w:val="22"/>
                <w:szCs w:val="22"/>
              </w:rPr>
              <w:t>XXX</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      （盖章）</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法定代表人：</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法定代表人：</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或委托代理人：</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或委托代理人：</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经办人：</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经办人：</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地址：</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地址：</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电话：</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电话：</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传真：</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传真：</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开户银行：</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开户银行：</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账号：</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账号：</w:t>
            </w:r>
          </w:p>
        </w:tc>
      </w:tr>
      <w:tr>
        <w:tblPrEx>
          <w:tblCellMar>
            <w:top w:w="15" w:type="dxa"/>
            <w:left w:w="108" w:type="dxa"/>
            <w:bottom w:w="15" w:type="dxa"/>
            <w:right w:w="108" w:type="dxa"/>
          </w:tblCellMar>
        </w:tblPrEx>
        <w:trPr>
          <w:trHeight w:val="286" w:hRule="atLeast"/>
        </w:trPr>
        <w:tc>
          <w:tcPr>
            <w:tcW w:w="4860" w:type="dxa"/>
            <w:vAlign w:val="center"/>
          </w:tcPr>
          <w:p>
            <w:pPr>
              <w:widowControl/>
              <w:rPr>
                <w:rFonts w:ascii="宋体" w:hAnsi="宋体" w:cs="宋体"/>
                <w:color w:val="000000"/>
                <w:kern w:val="0"/>
                <w:szCs w:val="21"/>
              </w:rPr>
            </w:pPr>
            <w:r>
              <w:rPr>
                <w:rFonts w:hint="eastAsia" w:ascii="宋体" w:hAnsi="宋体" w:cs="宋体"/>
                <w:color w:val="000000"/>
                <w:kern w:val="0"/>
                <w:szCs w:val="21"/>
              </w:rPr>
              <w:t>邮政编码：</w:t>
            </w:r>
          </w:p>
        </w:tc>
        <w:tc>
          <w:tcPr>
            <w:tcW w:w="4653" w:type="dxa"/>
            <w:vAlign w:val="center"/>
          </w:tcPr>
          <w:p>
            <w:pPr>
              <w:widowControl/>
              <w:rPr>
                <w:rFonts w:ascii="宋体" w:hAnsi="宋体" w:cs="宋体"/>
                <w:color w:val="000000"/>
                <w:kern w:val="0"/>
                <w:szCs w:val="21"/>
              </w:rPr>
            </w:pPr>
            <w:r>
              <w:rPr>
                <w:rFonts w:hint="eastAsia" w:ascii="宋体" w:hAnsi="宋体" w:cs="宋体"/>
                <w:color w:val="000000"/>
                <w:kern w:val="0"/>
                <w:szCs w:val="21"/>
              </w:rPr>
              <w:t>邮政编码：</w:t>
            </w:r>
          </w:p>
        </w:tc>
      </w:tr>
    </w:tbl>
    <w:p>
      <w:pPr>
        <w:pStyle w:val="2"/>
        <w:spacing w:before="156" w:after="156" w:line="336" w:lineRule="auto"/>
      </w:pPr>
    </w:p>
    <w:p/>
    <w:permEnd w:id="24"/>
    <w:p>
      <w:pPr>
        <w:pStyle w:val="3"/>
        <w:pageBreakBefore/>
        <w:spacing w:before="120" w:after="0" w:line="240" w:lineRule="auto"/>
        <w:rPr>
          <w:rFonts w:ascii="宋体" w:hAnsi="宋体"/>
          <w:sz w:val="28"/>
          <w:szCs w:val="28"/>
        </w:rPr>
      </w:pPr>
      <w:bookmarkStart w:id="391" w:name="_Toc484108931"/>
      <w:bookmarkStart w:id="392" w:name="_Toc484108986"/>
      <w:bookmarkStart w:id="393" w:name="_Toc484082414"/>
      <w:bookmarkStart w:id="394" w:name="_Toc8939_WPSOffice_Level1"/>
      <w:bookmarkStart w:id="395" w:name="_Toc484082740"/>
      <w:r>
        <w:rPr>
          <w:rFonts w:hint="eastAsia" w:ascii="宋体" w:hAnsi="宋体"/>
          <w:sz w:val="28"/>
          <w:szCs w:val="28"/>
        </w:rPr>
        <w:t>附件5：安全文明施工管理</w:t>
      </w:r>
      <w:bookmarkEnd w:id="391"/>
      <w:bookmarkEnd w:id="392"/>
      <w:bookmarkEnd w:id="393"/>
      <w:bookmarkEnd w:id="394"/>
      <w:bookmarkEnd w:id="395"/>
    </w:p>
    <w:p>
      <w:pPr>
        <w:ind w:firstLine="197"/>
        <w:jc w:val="center"/>
        <w:rPr>
          <w:b/>
          <w:sz w:val="30"/>
          <w:szCs w:val="30"/>
        </w:rPr>
      </w:pPr>
      <w:r>
        <w:rPr>
          <w:rFonts w:hint="eastAsia"/>
          <w:b/>
          <w:sz w:val="30"/>
          <w:szCs w:val="30"/>
        </w:rPr>
        <w:t>安全文明施工管理专项条款</w:t>
      </w:r>
    </w:p>
    <w:p>
      <w:pPr>
        <w:ind w:firstLine="197"/>
        <w:jc w:val="center"/>
        <w:rPr>
          <w:b/>
          <w:szCs w:val="21"/>
        </w:rPr>
      </w:pPr>
    </w:p>
    <w:p>
      <w:pPr>
        <w:pStyle w:val="151"/>
        <w:numPr>
          <w:ilvl w:val="0"/>
          <w:numId w:val="27"/>
        </w:numPr>
        <w:spacing w:line="360" w:lineRule="auto"/>
        <w:rPr>
          <w:b/>
          <w:sz w:val="21"/>
          <w:szCs w:val="21"/>
        </w:rPr>
      </w:pPr>
      <w:r>
        <w:rPr>
          <w:rFonts w:hint="eastAsia"/>
          <w:b/>
          <w:sz w:val="21"/>
          <w:szCs w:val="21"/>
        </w:rPr>
        <w:t>安全文明施工措施费</w:t>
      </w:r>
    </w:p>
    <w:p>
      <w:pPr>
        <w:pStyle w:val="151"/>
        <w:widowControl/>
        <w:numPr>
          <w:ilvl w:val="0"/>
          <w:numId w:val="28"/>
        </w:numPr>
        <w:spacing w:line="360" w:lineRule="auto"/>
        <w:jc w:val="left"/>
        <w:rPr>
          <w:sz w:val="21"/>
          <w:szCs w:val="21"/>
        </w:rPr>
      </w:pPr>
      <w:r>
        <w:rPr>
          <w:rFonts w:hint="eastAsia"/>
          <w:sz w:val="21"/>
          <w:szCs w:val="21"/>
        </w:rPr>
        <w:t>安全文明施工措施费由承包人单独报价并计入合同总价，并按招标文件中的表格填写子目及单价等。（在合同谈判时发包人有权对所有不合理子目及报价进行调整，可周转使用的设施单价按摊销计列）；结算时，此部分费用据实结算，超出单独报价部分由承包人自行承担。</w:t>
      </w:r>
    </w:p>
    <w:p>
      <w:pPr>
        <w:pStyle w:val="151"/>
        <w:widowControl/>
        <w:numPr>
          <w:ilvl w:val="0"/>
          <w:numId w:val="28"/>
        </w:numPr>
        <w:spacing w:line="360" w:lineRule="auto"/>
        <w:jc w:val="left"/>
        <w:rPr>
          <w:sz w:val="21"/>
          <w:szCs w:val="21"/>
        </w:rPr>
      </w:pPr>
      <w:r>
        <w:rPr>
          <w:rFonts w:hint="eastAsia"/>
          <w:sz w:val="21"/>
          <w:szCs w:val="21"/>
        </w:rPr>
        <w:t>安全文明施工措施费项目包括以下类别，具体项目见附表《安全文明施工措施费项目表》</w:t>
      </w:r>
    </w:p>
    <w:p>
      <w:pPr>
        <w:widowControl/>
        <w:numPr>
          <w:ilvl w:val="0"/>
          <w:numId w:val="29"/>
        </w:numPr>
        <w:spacing w:line="360" w:lineRule="auto"/>
        <w:jc w:val="left"/>
        <w:rPr>
          <w:rFonts w:cs="宋体"/>
          <w:szCs w:val="21"/>
        </w:rPr>
      </w:pPr>
      <w:r>
        <w:rPr>
          <w:rFonts w:hint="eastAsia" w:cs="宋体"/>
          <w:szCs w:val="21"/>
        </w:rPr>
        <w:t>标准化施工用电；</w:t>
      </w:r>
    </w:p>
    <w:p>
      <w:pPr>
        <w:widowControl/>
        <w:numPr>
          <w:ilvl w:val="0"/>
          <w:numId w:val="29"/>
        </w:numPr>
        <w:spacing w:line="360" w:lineRule="auto"/>
        <w:jc w:val="left"/>
        <w:rPr>
          <w:rFonts w:cs="宋体"/>
          <w:szCs w:val="21"/>
        </w:rPr>
      </w:pPr>
      <w:r>
        <w:rPr>
          <w:rFonts w:hint="eastAsia" w:cs="宋体"/>
          <w:szCs w:val="21"/>
        </w:rPr>
        <w:t>安全标志、安全宣传栏及标牌；</w:t>
      </w:r>
    </w:p>
    <w:p>
      <w:pPr>
        <w:widowControl/>
        <w:numPr>
          <w:ilvl w:val="0"/>
          <w:numId w:val="29"/>
        </w:numPr>
        <w:spacing w:line="360" w:lineRule="auto"/>
        <w:jc w:val="left"/>
        <w:rPr>
          <w:rFonts w:cs="宋体"/>
          <w:szCs w:val="21"/>
        </w:rPr>
      </w:pPr>
      <w:r>
        <w:rPr>
          <w:rFonts w:hint="eastAsia" w:cs="宋体"/>
          <w:szCs w:val="21"/>
        </w:rPr>
        <w:t>场地硬地临时化（全厂区的主干道路除外）、高处临时厕所、垃圾通道、垃圾箱、吸烟室、物料定置化标识牌、地下管线标识牌、临时饮水点、卷扬机机棚、空压机棚；</w:t>
      </w:r>
    </w:p>
    <w:p>
      <w:pPr>
        <w:widowControl/>
        <w:numPr>
          <w:ilvl w:val="0"/>
          <w:numId w:val="29"/>
        </w:numPr>
        <w:spacing w:line="360" w:lineRule="auto"/>
        <w:jc w:val="left"/>
        <w:rPr>
          <w:rFonts w:cs="宋体"/>
          <w:szCs w:val="21"/>
        </w:rPr>
      </w:pPr>
      <w:r>
        <w:rPr>
          <w:rFonts w:hint="eastAsia" w:cs="宋体"/>
          <w:szCs w:val="21"/>
        </w:rPr>
        <w:t>标准化防护围栏（包括定型制作围栏及各功能区隔离用固定式围栏和临时护栏）、安全立网（必须全新采购并在本项目不得周转使用）、挡脚板；</w:t>
      </w:r>
    </w:p>
    <w:p>
      <w:pPr>
        <w:widowControl/>
        <w:numPr>
          <w:ilvl w:val="0"/>
          <w:numId w:val="29"/>
        </w:numPr>
        <w:spacing w:line="360" w:lineRule="auto"/>
        <w:jc w:val="left"/>
        <w:rPr>
          <w:rFonts w:cs="宋体"/>
          <w:szCs w:val="21"/>
        </w:rPr>
      </w:pPr>
      <w:r>
        <w:rPr>
          <w:rFonts w:hint="eastAsia" w:cs="宋体"/>
          <w:szCs w:val="21"/>
        </w:rPr>
        <w:t>扣件箱、氧气乙炔笼、孔洞盖板；</w:t>
      </w:r>
    </w:p>
    <w:p>
      <w:pPr>
        <w:widowControl/>
        <w:numPr>
          <w:ilvl w:val="0"/>
          <w:numId w:val="29"/>
        </w:numPr>
        <w:spacing w:line="360" w:lineRule="auto"/>
        <w:jc w:val="left"/>
        <w:rPr>
          <w:rFonts w:cs="宋体"/>
          <w:szCs w:val="21"/>
        </w:rPr>
      </w:pPr>
      <w:r>
        <w:rPr>
          <w:rFonts w:hint="eastAsia" w:cs="宋体"/>
          <w:szCs w:val="21"/>
        </w:rPr>
        <w:t>防护通道防护棚、各层电梯防护门；</w:t>
      </w:r>
    </w:p>
    <w:p>
      <w:pPr>
        <w:widowControl/>
        <w:numPr>
          <w:ilvl w:val="0"/>
          <w:numId w:val="29"/>
        </w:numPr>
        <w:spacing w:line="360" w:lineRule="auto"/>
        <w:jc w:val="left"/>
        <w:rPr>
          <w:rFonts w:cs="宋体"/>
          <w:szCs w:val="21"/>
        </w:rPr>
      </w:pPr>
      <w:r>
        <w:rPr>
          <w:rFonts w:hint="eastAsia" w:cs="宋体"/>
          <w:szCs w:val="21"/>
        </w:rPr>
        <w:t>场地、作业区、道路的日常维护；</w:t>
      </w:r>
    </w:p>
    <w:p>
      <w:pPr>
        <w:widowControl/>
        <w:numPr>
          <w:ilvl w:val="0"/>
          <w:numId w:val="29"/>
        </w:numPr>
        <w:spacing w:line="360" w:lineRule="auto"/>
        <w:jc w:val="left"/>
        <w:rPr>
          <w:rFonts w:cs="宋体"/>
          <w:szCs w:val="21"/>
        </w:rPr>
      </w:pPr>
      <w:r>
        <w:rPr>
          <w:rFonts w:hint="eastAsia" w:cs="宋体"/>
          <w:szCs w:val="21"/>
        </w:rPr>
        <w:t>电焊机集装箱、电焊机二次线快速插头布设等；</w:t>
      </w:r>
    </w:p>
    <w:p>
      <w:pPr>
        <w:widowControl/>
        <w:numPr>
          <w:ilvl w:val="0"/>
          <w:numId w:val="29"/>
        </w:numPr>
        <w:spacing w:line="360" w:lineRule="auto"/>
        <w:jc w:val="left"/>
        <w:rPr>
          <w:rFonts w:cs="宋体"/>
          <w:szCs w:val="21"/>
        </w:rPr>
      </w:pPr>
      <w:r>
        <w:rPr>
          <w:rFonts w:hint="eastAsia" w:cs="宋体"/>
          <w:szCs w:val="21"/>
        </w:rPr>
        <w:t>个人劳保、安全防护用品。</w:t>
      </w:r>
    </w:p>
    <w:p>
      <w:pPr>
        <w:pStyle w:val="151"/>
        <w:widowControl/>
        <w:numPr>
          <w:ilvl w:val="0"/>
          <w:numId w:val="28"/>
        </w:numPr>
        <w:spacing w:line="360" w:lineRule="auto"/>
        <w:jc w:val="left"/>
        <w:rPr>
          <w:rFonts w:cs="宋体"/>
          <w:sz w:val="21"/>
          <w:szCs w:val="21"/>
        </w:rPr>
      </w:pPr>
      <w:r>
        <w:rPr>
          <w:rFonts w:hint="eastAsia" w:cs="宋体"/>
          <w:sz w:val="21"/>
          <w:szCs w:val="21"/>
        </w:rPr>
        <w:t>费用申请、支付办法：</w:t>
      </w:r>
    </w:p>
    <w:p>
      <w:pPr>
        <w:pStyle w:val="151"/>
        <w:widowControl/>
        <w:numPr>
          <w:ilvl w:val="0"/>
          <w:numId w:val="30"/>
        </w:numPr>
        <w:spacing w:line="360" w:lineRule="auto"/>
        <w:jc w:val="left"/>
        <w:rPr>
          <w:rFonts w:cs="宋体"/>
          <w:sz w:val="21"/>
          <w:szCs w:val="21"/>
        </w:rPr>
      </w:pPr>
      <w:r>
        <w:rPr>
          <w:rFonts w:hint="eastAsia" w:cs="宋体"/>
          <w:sz w:val="21"/>
          <w:szCs w:val="21"/>
        </w:rPr>
        <w:t>承包人应</w:t>
      </w:r>
      <w:r>
        <w:rPr>
          <w:rFonts w:hint="eastAsia"/>
          <w:sz w:val="21"/>
          <w:szCs w:val="21"/>
        </w:rPr>
        <w:t>在</w:t>
      </w:r>
      <w:r>
        <w:rPr>
          <w:rFonts w:hint="eastAsia" w:cs="宋体"/>
          <w:sz w:val="21"/>
          <w:szCs w:val="21"/>
        </w:rPr>
        <w:t>工程开工15日内，</w:t>
      </w:r>
      <w:r>
        <w:rPr>
          <w:rFonts w:hint="eastAsia"/>
          <w:sz w:val="21"/>
          <w:szCs w:val="21"/>
        </w:rPr>
        <w:t>制定</w:t>
      </w:r>
      <w:r>
        <w:rPr>
          <w:rFonts w:hint="eastAsia" w:cs="宋体"/>
          <w:sz w:val="21"/>
          <w:szCs w:val="21"/>
        </w:rPr>
        <w:t>本标段工程安全文明施工措施费投入总体计划（清单），并报送监理人和发包人审批同意、备案后，发包人预先支付50%比例安全文明施工措施费给承包人；对于因承包人总体投入计划报送不及时、报送不合格而导致费用未能按时支付的后果，由承包人自行承担。</w:t>
      </w:r>
    </w:p>
    <w:p>
      <w:pPr>
        <w:pStyle w:val="151"/>
        <w:widowControl/>
        <w:numPr>
          <w:ilvl w:val="0"/>
          <w:numId w:val="30"/>
        </w:numPr>
        <w:spacing w:line="360" w:lineRule="auto"/>
        <w:jc w:val="left"/>
        <w:rPr>
          <w:rFonts w:cs="宋体"/>
          <w:sz w:val="21"/>
          <w:szCs w:val="21"/>
        </w:rPr>
      </w:pPr>
      <w:r>
        <w:rPr>
          <w:rFonts w:hint="eastAsia" w:cs="宋体"/>
          <w:sz w:val="21"/>
          <w:szCs w:val="21"/>
        </w:rPr>
        <w:t>每月（或工程节点）工程款支付前，承包人应汇总实际发生且经监理人、发包人确认的安全文明施工措施费，上报发包人并经核实后确定抵扣金额，待抵扣金额达到</w:t>
      </w:r>
      <w:r>
        <w:rPr>
          <w:rFonts w:cs="宋体"/>
          <w:sz w:val="21"/>
          <w:szCs w:val="21"/>
        </w:rPr>
        <w:t>50%</w:t>
      </w:r>
      <w:r>
        <w:rPr>
          <w:rFonts w:hint="eastAsia" w:cs="宋体"/>
          <w:sz w:val="21"/>
          <w:szCs w:val="21"/>
        </w:rPr>
        <w:t>预付比例后，再开始审核并支付剩余</w:t>
      </w:r>
      <w:r>
        <w:rPr>
          <w:rFonts w:cs="宋体"/>
          <w:sz w:val="21"/>
          <w:szCs w:val="21"/>
        </w:rPr>
        <w:t>40%</w:t>
      </w:r>
      <w:r>
        <w:rPr>
          <w:rFonts w:hint="eastAsia" w:cs="宋体"/>
          <w:sz w:val="21"/>
          <w:szCs w:val="21"/>
        </w:rPr>
        <w:t>的措施费用，最后剩余的</w:t>
      </w:r>
      <w:r>
        <w:rPr>
          <w:rFonts w:cs="宋体"/>
          <w:sz w:val="21"/>
          <w:szCs w:val="21"/>
        </w:rPr>
        <w:t>10%</w:t>
      </w:r>
      <w:r>
        <w:rPr>
          <w:rFonts w:hint="eastAsia" w:cs="宋体"/>
          <w:sz w:val="21"/>
          <w:szCs w:val="21"/>
        </w:rPr>
        <w:t>的措施费用在工程竣工且实现本工程安全生产目标后由发包人确认并支付。</w:t>
      </w:r>
    </w:p>
    <w:p>
      <w:pPr>
        <w:pStyle w:val="151"/>
        <w:widowControl/>
        <w:numPr>
          <w:ilvl w:val="0"/>
          <w:numId w:val="30"/>
        </w:numPr>
        <w:spacing w:line="360" w:lineRule="auto"/>
        <w:jc w:val="left"/>
        <w:rPr>
          <w:rFonts w:cs="宋体"/>
          <w:sz w:val="21"/>
          <w:szCs w:val="21"/>
        </w:rPr>
      </w:pPr>
      <w:r>
        <w:rPr>
          <w:rFonts w:hint="eastAsia" w:cs="宋体"/>
          <w:sz w:val="21"/>
          <w:szCs w:val="21"/>
        </w:rPr>
        <w:t>每月月末，承包人向发包人申报下月安全文明施工措施项目实施计划，由发包人审核后实施。措施项目实施计划完成后，承包人应及时报监理、发包人现场核实确认。</w:t>
      </w:r>
    </w:p>
    <w:p>
      <w:pPr>
        <w:pStyle w:val="151"/>
        <w:widowControl/>
        <w:numPr>
          <w:ilvl w:val="0"/>
          <w:numId w:val="28"/>
        </w:numPr>
        <w:spacing w:line="360" w:lineRule="auto"/>
        <w:jc w:val="left"/>
        <w:rPr>
          <w:rFonts w:cs="宋体"/>
          <w:sz w:val="21"/>
          <w:szCs w:val="21"/>
        </w:rPr>
      </w:pPr>
      <w:r>
        <w:rPr>
          <w:rFonts w:hint="eastAsia" w:cs="宋体"/>
          <w:sz w:val="21"/>
          <w:szCs w:val="21"/>
        </w:rPr>
        <w:t>费用管理要求：</w:t>
      </w:r>
    </w:p>
    <w:p>
      <w:pPr>
        <w:pStyle w:val="151"/>
        <w:numPr>
          <w:ilvl w:val="0"/>
          <w:numId w:val="31"/>
        </w:numPr>
        <w:spacing w:line="360" w:lineRule="auto"/>
        <w:rPr>
          <w:sz w:val="21"/>
          <w:szCs w:val="21"/>
        </w:rPr>
      </w:pPr>
      <w:r>
        <w:rPr>
          <w:rFonts w:hint="eastAsia"/>
          <w:sz w:val="21"/>
          <w:szCs w:val="21"/>
        </w:rPr>
        <w:t>承包人根据本工程特点及发包人管理相关要求，提前策划，确保投入及时、到位。</w:t>
      </w:r>
    </w:p>
    <w:p>
      <w:pPr>
        <w:pStyle w:val="151"/>
        <w:numPr>
          <w:ilvl w:val="0"/>
          <w:numId w:val="31"/>
        </w:numPr>
        <w:spacing w:line="360" w:lineRule="auto"/>
        <w:rPr>
          <w:sz w:val="21"/>
          <w:szCs w:val="21"/>
        </w:rPr>
      </w:pPr>
      <w:r>
        <w:rPr>
          <w:rFonts w:hint="eastAsia"/>
          <w:sz w:val="21"/>
          <w:szCs w:val="21"/>
        </w:rPr>
        <w:t>承包人应建立安全文明施工措施费的使用明细台帐，确保安全文明施工费专款专用。</w:t>
      </w:r>
    </w:p>
    <w:p>
      <w:pPr>
        <w:pStyle w:val="151"/>
        <w:widowControl/>
        <w:numPr>
          <w:ilvl w:val="0"/>
          <w:numId w:val="31"/>
        </w:numPr>
        <w:spacing w:line="360" w:lineRule="auto"/>
        <w:jc w:val="left"/>
        <w:rPr>
          <w:rFonts w:cs="宋体"/>
          <w:sz w:val="21"/>
          <w:szCs w:val="21"/>
        </w:rPr>
      </w:pPr>
      <w:r>
        <w:rPr>
          <w:rFonts w:hint="eastAsia" w:cs="宋体"/>
          <w:sz w:val="21"/>
          <w:szCs w:val="21"/>
        </w:rPr>
        <w:t>发包人有权对承包人申报的安全文明施工措施费用的发票、现场使用实际数量等情况进行核实，核实过程中承包人须积极配合。</w:t>
      </w:r>
    </w:p>
    <w:p>
      <w:pPr>
        <w:pStyle w:val="151"/>
        <w:widowControl/>
        <w:numPr>
          <w:ilvl w:val="0"/>
          <w:numId w:val="31"/>
        </w:numPr>
        <w:spacing w:line="360" w:lineRule="auto"/>
        <w:jc w:val="left"/>
        <w:rPr>
          <w:rFonts w:cs="宋体"/>
          <w:sz w:val="21"/>
          <w:szCs w:val="21"/>
        </w:rPr>
      </w:pPr>
      <w:r>
        <w:rPr>
          <w:rFonts w:hint="eastAsia" w:cs="宋体"/>
          <w:sz w:val="21"/>
          <w:szCs w:val="21"/>
        </w:rPr>
        <w:t>对于承包人虚报、谎报安全文明施工措施费的情况，发包人按虚报、谎报金额的两倍处罚，罚款从当期工程应付款中扣除。</w:t>
      </w:r>
    </w:p>
    <w:p>
      <w:pPr>
        <w:pStyle w:val="151"/>
        <w:numPr>
          <w:ilvl w:val="0"/>
          <w:numId w:val="27"/>
        </w:numPr>
        <w:spacing w:line="360" w:lineRule="auto"/>
        <w:rPr>
          <w:b/>
          <w:sz w:val="21"/>
          <w:szCs w:val="21"/>
        </w:rPr>
      </w:pPr>
      <w:r>
        <w:rPr>
          <w:rFonts w:hint="eastAsia"/>
          <w:b/>
          <w:sz w:val="21"/>
          <w:szCs w:val="21"/>
        </w:rPr>
        <w:t>安全文明施工处罚：</w:t>
      </w:r>
    </w:p>
    <w:p>
      <w:pPr>
        <w:pStyle w:val="151"/>
        <w:numPr>
          <w:ilvl w:val="0"/>
          <w:numId w:val="32"/>
        </w:numPr>
        <w:spacing w:line="360" w:lineRule="auto"/>
        <w:ind w:left="426" w:hanging="426"/>
        <w:rPr>
          <w:sz w:val="21"/>
          <w:szCs w:val="21"/>
        </w:rPr>
      </w:pPr>
      <w:r>
        <w:rPr>
          <w:rFonts w:hint="eastAsia"/>
          <w:sz w:val="21"/>
          <w:szCs w:val="21"/>
        </w:rPr>
        <w:t>发包人将制定项目安健环奖惩制度，承包人必须严格遵守执行。</w:t>
      </w:r>
    </w:p>
    <w:p>
      <w:pPr>
        <w:pStyle w:val="151"/>
        <w:numPr>
          <w:ilvl w:val="0"/>
          <w:numId w:val="32"/>
        </w:numPr>
        <w:spacing w:line="360" w:lineRule="auto"/>
        <w:ind w:left="426" w:hanging="426"/>
        <w:rPr>
          <w:sz w:val="21"/>
          <w:szCs w:val="21"/>
        </w:rPr>
      </w:pPr>
      <w:r>
        <w:rPr>
          <w:rFonts w:hint="eastAsia"/>
          <w:sz w:val="21"/>
          <w:szCs w:val="21"/>
        </w:rPr>
        <w:t>发包人有权对承包人的违章行为进行处罚，处罚原则为：</w:t>
      </w:r>
    </w:p>
    <w:p>
      <w:pPr>
        <w:numPr>
          <w:ilvl w:val="0"/>
          <w:numId w:val="33"/>
        </w:numPr>
        <w:spacing w:line="360" w:lineRule="auto"/>
        <w:ind w:left="426" w:hanging="426"/>
        <w:rPr>
          <w:szCs w:val="21"/>
        </w:rPr>
      </w:pPr>
      <w:r>
        <w:rPr>
          <w:rFonts w:hint="eastAsia"/>
          <w:szCs w:val="21"/>
        </w:rPr>
        <w:t>一般性违章视情节可处以100到1000元罚款。</w:t>
      </w:r>
    </w:p>
    <w:p>
      <w:pPr>
        <w:numPr>
          <w:ilvl w:val="0"/>
          <w:numId w:val="33"/>
        </w:numPr>
        <w:spacing w:line="360" w:lineRule="auto"/>
        <w:ind w:left="426" w:hanging="426"/>
        <w:rPr>
          <w:szCs w:val="21"/>
        </w:rPr>
      </w:pPr>
      <w:r>
        <w:rPr>
          <w:rFonts w:hint="eastAsia"/>
          <w:szCs w:val="21"/>
        </w:rPr>
        <w:t>对严重性违章、反复性违章视情节可处以3000到10000元罚款。</w:t>
      </w:r>
    </w:p>
    <w:p>
      <w:pPr>
        <w:pStyle w:val="151"/>
        <w:numPr>
          <w:ilvl w:val="0"/>
          <w:numId w:val="32"/>
        </w:numPr>
        <w:spacing w:line="360" w:lineRule="auto"/>
        <w:ind w:left="426" w:hanging="426"/>
        <w:rPr>
          <w:sz w:val="21"/>
          <w:szCs w:val="21"/>
        </w:rPr>
      </w:pPr>
      <w:r>
        <w:rPr>
          <w:rFonts w:hint="eastAsia"/>
          <w:sz w:val="21"/>
          <w:szCs w:val="21"/>
        </w:rPr>
        <w:t>对于承包人发生的安全生产事故，发包人有权对承包人进行事故责任处罚，处罚原则为：</w:t>
      </w:r>
    </w:p>
    <w:p>
      <w:pPr>
        <w:pStyle w:val="151"/>
        <w:numPr>
          <w:ilvl w:val="0"/>
          <w:numId w:val="34"/>
        </w:numPr>
        <w:adjustRightInd w:val="0"/>
        <w:snapToGrid w:val="0"/>
        <w:spacing w:line="360" w:lineRule="auto"/>
        <w:rPr>
          <w:rFonts w:ascii="宋体" w:hAnsi="宋体"/>
          <w:sz w:val="21"/>
          <w:szCs w:val="21"/>
        </w:rPr>
      </w:pPr>
      <w:r>
        <w:rPr>
          <w:rFonts w:hint="eastAsia" w:ascii="宋体" w:hAnsi="宋体"/>
          <w:sz w:val="21"/>
          <w:szCs w:val="21"/>
        </w:rPr>
        <w:t>人身伤亡事故</w:t>
      </w:r>
    </w:p>
    <w:p>
      <w:pPr>
        <w:numPr>
          <w:ilvl w:val="0"/>
          <w:numId w:val="35"/>
        </w:numPr>
        <w:adjustRightInd w:val="0"/>
        <w:snapToGrid w:val="0"/>
        <w:spacing w:line="360" w:lineRule="auto"/>
        <w:rPr>
          <w:rFonts w:ascii="宋体" w:hAnsi="宋体"/>
          <w:szCs w:val="21"/>
        </w:rPr>
      </w:pPr>
      <w:r>
        <w:rPr>
          <w:rFonts w:hint="eastAsia" w:ascii="宋体" w:hAnsi="宋体"/>
          <w:szCs w:val="21"/>
        </w:rPr>
        <w:t>发生1起人身轻伤及以下事故，由事发单位自行依据本单位的奖惩细则对相关单位进行处罚。</w:t>
      </w:r>
    </w:p>
    <w:p>
      <w:pPr>
        <w:numPr>
          <w:ilvl w:val="0"/>
          <w:numId w:val="35"/>
        </w:numPr>
        <w:adjustRightInd w:val="0"/>
        <w:snapToGrid w:val="0"/>
        <w:spacing w:line="360" w:lineRule="auto"/>
        <w:rPr>
          <w:rFonts w:ascii="宋体" w:hAnsi="宋体"/>
          <w:szCs w:val="21"/>
        </w:rPr>
      </w:pPr>
      <w:r>
        <w:rPr>
          <w:rFonts w:hint="eastAsia" w:ascii="宋体" w:hAnsi="宋体"/>
          <w:szCs w:val="21"/>
        </w:rPr>
        <w:t>发生轻伤事故（单次或多次）导致人身轻伤事故率不达标，按事故性质处以2万元以上10万元以下罚款。</w:t>
      </w:r>
    </w:p>
    <w:p>
      <w:pPr>
        <w:numPr>
          <w:ilvl w:val="0"/>
          <w:numId w:val="35"/>
        </w:numPr>
        <w:adjustRightInd w:val="0"/>
        <w:snapToGrid w:val="0"/>
        <w:spacing w:line="360" w:lineRule="auto"/>
        <w:rPr>
          <w:rFonts w:ascii="宋体" w:hAnsi="宋体"/>
          <w:szCs w:val="21"/>
        </w:rPr>
      </w:pPr>
      <w:r>
        <w:rPr>
          <w:rFonts w:hint="eastAsia" w:ascii="宋体" w:hAnsi="宋体"/>
          <w:szCs w:val="21"/>
        </w:rPr>
        <w:t>发生1-2人人身重伤及以上人身事故，并处以20万元以上50万元以下的罚款。</w:t>
      </w:r>
    </w:p>
    <w:p>
      <w:pPr>
        <w:numPr>
          <w:ilvl w:val="0"/>
          <w:numId w:val="35"/>
        </w:numPr>
        <w:adjustRightInd w:val="0"/>
        <w:snapToGrid w:val="0"/>
        <w:spacing w:line="360" w:lineRule="auto"/>
        <w:rPr>
          <w:rFonts w:ascii="宋体" w:hAnsi="宋体"/>
          <w:szCs w:val="21"/>
        </w:rPr>
      </w:pPr>
      <w:r>
        <w:rPr>
          <w:rFonts w:hint="eastAsia" w:ascii="宋体" w:hAnsi="宋体"/>
          <w:szCs w:val="21"/>
        </w:rPr>
        <w:t>发生3人及以上重伤或死亡事故，处以50万元以上100万元以下的罚款。</w:t>
      </w:r>
    </w:p>
    <w:p>
      <w:pPr>
        <w:pStyle w:val="151"/>
        <w:numPr>
          <w:ilvl w:val="0"/>
          <w:numId w:val="34"/>
        </w:numPr>
        <w:adjustRightInd w:val="0"/>
        <w:snapToGrid w:val="0"/>
        <w:spacing w:line="360" w:lineRule="auto"/>
        <w:rPr>
          <w:rFonts w:ascii="宋体" w:hAnsi="宋体"/>
          <w:sz w:val="21"/>
          <w:szCs w:val="21"/>
        </w:rPr>
      </w:pPr>
      <w:r>
        <w:rPr>
          <w:rFonts w:hint="eastAsia" w:ascii="宋体" w:hAnsi="宋体"/>
          <w:sz w:val="21"/>
          <w:szCs w:val="21"/>
        </w:rPr>
        <w:t>机械设备事故、火灾事故、生产性交通事故等其他造成一定经济损失的生产安全事故</w:t>
      </w:r>
    </w:p>
    <w:p>
      <w:pPr>
        <w:numPr>
          <w:ilvl w:val="0"/>
          <w:numId w:val="36"/>
        </w:numPr>
        <w:adjustRightInd w:val="0"/>
        <w:snapToGrid w:val="0"/>
        <w:spacing w:line="360" w:lineRule="auto"/>
        <w:rPr>
          <w:rFonts w:ascii="宋体" w:hAnsi="宋体"/>
          <w:szCs w:val="21"/>
        </w:rPr>
      </w:pPr>
      <w:r>
        <w:rPr>
          <w:rFonts w:hint="eastAsia" w:ascii="宋体" w:hAnsi="宋体"/>
          <w:szCs w:val="21"/>
        </w:rPr>
        <w:t>发生一般以下机械设备事故，或发生轻微的火灾事故、5万元以下其他经济损失事故，由事发单位自行依据本单位的奖惩细则对相关单位进行处罚。</w:t>
      </w:r>
    </w:p>
    <w:p>
      <w:pPr>
        <w:numPr>
          <w:ilvl w:val="0"/>
          <w:numId w:val="36"/>
        </w:numPr>
        <w:adjustRightInd w:val="0"/>
        <w:snapToGrid w:val="0"/>
        <w:spacing w:line="360" w:lineRule="auto"/>
        <w:rPr>
          <w:rFonts w:ascii="宋体" w:hAnsi="宋体"/>
          <w:szCs w:val="21"/>
        </w:rPr>
      </w:pPr>
      <w:r>
        <w:rPr>
          <w:rFonts w:hint="eastAsia" w:ascii="宋体" w:hAnsi="宋体"/>
          <w:szCs w:val="21"/>
        </w:rPr>
        <w:t>发生一般以上机械设备事故、</w:t>
      </w:r>
      <w:r>
        <w:rPr>
          <w:rFonts w:hint="eastAsia" w:hAnsi="宋体"/>
          <w:szCs w:val="21"/>
        </w:rPr>
        <w:t>火灾、爆炸事故、负同等及以上责任的生产性交通事故，</w:t>
      </w:r>
      <w:r>
        <w:rPr>
          <w:rFonts w:hint="eastAsia" w:ascii="宋体" w:hAnsi="宋体"/>
          <w:szCs w:val="21"/>
        </w:rPr>
        <w:t>处以5万元以上20万元以下的罚款。</w:t>
      </w:r>
    </w:p>
    <w:p>
      <w:pPr>
        <w:numPr>
          <w:ilvl w:val="0"/>
          <w:numId w:val="36"/>
        </w:numPr>
        <w:adjustRightInd w:val="0"/>
        <w:snapToGrid w:val="0"/>
        <w:spacing w:line="360" w:lineRule="auto"/>
        <w:rPr>
          <w:rFonts w:ascii="宋体" w:hAnsi="宋体"/>
          <w:szCs w:val="21"/>
        </w:rPr>
      </w:pPr>
      <w:r>
        <w:rPr>
          <w:rFonts w:hint="eastAsia" w:ascii="宋体" w:hAnsi="宋体"/>
          <w:szCs w:val="21"/>
        </w:rPr>
        <w:t>发生较大、重大和特别重大生产安全事故，根据事故调查结论和处理意见或依据国家安全生产监督管理总局发布的《生产安全事故罚款处罚规定》（试行）扣罚。</w:t>
      </w:r>
    </w:p>
    <w:p>
      <w:pPr>
        <w:pStyle w:val="151"/>
        <w:numPr>
          <w:ilvl w:val="0"/>
          <w:numId w:val="34"/>
        </w:numPr>
        <w:adjustRightInd w:val="0"/>
        <w:snapToGrid w:val="0"/>
        <w:spacing w:line="360" w:lineRule="auto"/>
        <w:rPr>
          <w:rFonts w:ascii="宋体" w:hAnsi="宋体"/>
          <w:sz w:val="21"/>
          <w:szCs w:val="21"/>
        </w:rPr>
      </w:pPr>
      <w:r>
        <w:rPr>
          <w:rFonts w:hint="eastAsia" w:ascii="宋体" w:hAnsi="宋体"/>
          <w:sz w:val="21"/>
          <w:szCs w:val="21"/>
        </w:rPr>
        <w:t>环境污染事故</w:t>
      </w:r>
    </w:p>
    <w:p>
      <w:pPr>
        <w:numPr>
          <w:ilvl w:val="0"/>
          <w:numId w:val="37"/>
        </w:numPr>
        <w:adjustRightInd w:val="0"/>
        <w:snapToGrid w:val="0"/>
        <w:spacing w:line="360" w:lineRule="auto"/>
        <w:rPr>
          <w:rFonts w:ascii="宋体" w:hAnsi="宋体"/>
          <w:szCs w:val="21"/>
        </w:rPr>
      </w:pPr>
      <w:r>
        <w:rPr>
          <w:rFonts w:hint="eastAsia" w:ascii="宋体" w:hAnsi="宋体"/>
          <w:szCs w:val="21"/>
        </w:rPr>
        <w:t>发生一般以下环境污染事故，由事发单位自行依据本单位的奖惩细则对相关单位进行处罚。</w:t>
      </w:r>
    </w:p>
    <w:p>
      <w:pPr>
        <w:numPr>
          <w:ilvl w:val="0"/>
          <w:numId w:val="37"/>
        </w:numPr>
        <w:adjustRightInd w:val="0"/>
        <w:snapToGrid w:val="0"/>
        <w:spacing w:line="360" w:lineRule="auto"/>
        <w:rPr>
          <w:rFonts w:ascii="宋体" w:hAnsi="宋体"/>
          <w:szCs w:val="21"/>
        </w:rPr>
      </w:pPr>
      <w:r>
        <w:rPr>
          <w:rFonts w:hint="eastAsia" w:ascii="宋体" w:hAnsi="宋体"/>
          <w:szCs w:val="21"/>
        </w:rPr>
        <w:t>发生一般及以上环境污染事故，根据事故调查结论和处理意见，处以5万元以上20万元以下的罚款；或依据当地环境保护主管部门的处罚意见实施落实。</w:t>
      </w:r>
    </w:p>
    <w:p>
      <w:pPr>
        <w:numPr>
          <w:ilvl w:val="0"/>
          <w:numId w:val="37"/>
        </w:numPr>
        <w:adjustRightInd w:val="0"/>
        <w:snapToGrid w:val="0"/>
        <w:spacing w:line="360" w:lineRule="auto"/>
        <w:rPr>
          <w:rFonts w:ascii="宋体" w:hAnsi="宋体"/>
          <w:szCs w:val="21"/>
        </w:rPr>
      </w:pPr>
      <w:r>
        <w:rPr>
          <w:rFonts w:hint="eastAsia" w:ascii="宋体" w:hAnsi="宋体"/>
          <w:szCs w:val="21"/>
        </w:rPr>
        <w:t>超过污染物排放标准或者超过重点污染物排放总量控制指标排放污染物的，处以10万元以上20万元以下的罚款。</w:t>
      </w:r>
    </w:p>
    <w:p>
      <w:pPr>
        <w:pStyle w:val="151"/>
        <w:numPr>
          <w:ilvl w:val="0"/>
          <w:numId w:val="34"/>
        </w:numPr>
        <w:adjustRightInd w:val="0"/>
        <w:snapToGrid w:val="0"/>
        <w:spacing w:line="360" w:lineRule="auto"/>
        <w:rPr>
          <w:rFonts w:ascii="宋体" w:hAnsi="宋体"/>
          <w:sz w:val="21"/>
          <w:szCs w:val="21"/>
        </w:rPr>
      </w:pPr>
      <w:r>
        <w:rPr>
          <w:rFonts w:hint="eastAsia" w:ascii="宋体" w:hAnsi="宋体"/>
          <w:sz w:val="21"/>
          <w:szCs w:val="21"/>
        </w:rPr>
        <w:t>其他类事故：诸如</w:t>
      </w:r>
      <w:r>
        <w:rPr>
          <w:rFonts w:hint="eastAsia" w:hAnsi="宋体"/>
          <w:sz w:val="21"/>
          <w:szCs w:val="21"/>
        </w:rPr>
        <w:t>垮（坍）塌事故、群伤恶性事故、一般及以上电网事故、恶性电气误操作事故、</w:t>
      </w:r>
      <w:r>
        <w:rPr>
          <w:rFonts w:hint="eastAsia" w:ascii="宋体" w:hAnsi="宋体"/>
          <w:sz w:val="21"/>
          <w:szCs w:val="21"/>
        </w:rPr>
        <w:t>一般及以上职业病危害事故</w:t>
      </w:r>
      <w:r>
        <w:rPr>
          <w:rFonts w:hint="eastAsia" w:hAnsi="宋体"/>
          <w:sz w:val="21"/>
          <w:szCs w:val="21"/>
        </w:rPr>
        <w:t>和职业中毒事故、群体食物中毒事故</w:t>
      </w:r>
      <w:r>
        <w:rPr>
          <w:rFonts w:hint="eastAsia" w:ascii="宋体" w:hAnsi="宋体"/>
          <w:sz w:val="21"/>
          <w:szCs w:val="21"/>
        </w:rPr>
        <w:t>和造成不良影响的安全生产事件，参照上述条款执行。</w:t>
      </w:r>
    </w:p>
    <w:p>
      <w:pPr>
        <w:pStyle w:val="151"/>
        <w:numPr>
          <w:ilvl w:val="0"/>
          <w:numId w:val="34"/>
        </w:numPr>
        <w:adjustRightInd w:val="0"/>
        <w:snapToGrid w:val="0"/>
        <w:spacing w:line="360" w:lineRule="auto"/>
        <w:rPr>
          <w:rFonts w:ascii="宋体" w:hAnsi="宋体"/>
          <w:sz w:val="21"/>
          <w:szCs w:val="21"/>
        </w:rPr>
      </w:pPr>
      <w:r>
        <w:rPr>
          <w:rFonts w:hint="eastAsia" w:ascii="宋体" w:hAnsi="宋体"/>
          <w:sz w:val="21"/>
          <w:szCs w:val="21"/>
        </w:rPr>
        <w:t>对隐瞒事故的责任单位，按照相应事故等级加倍扣罚。</w:t>
      </w:r>
    </w:p>
    <w:p>
      <w:pPr>
        <w:pStyle w:val="151"/>
        <w:numPr>
          <w:ilvl w:val="0"/>
          <w:numId w:val="32"/>
        </w:numPr>
        <w:spacing w:line="360" w:lineRule="auto"/>
        <w:ind w:left="426" w:hanging="426"/>
        <w:rPr>
          <w:sz w:val="21"/>
          <w:szCs w:val="21"/>
        </w:rPr>
      </w:pPr>
      <w:r>
        <w:rPr>
          <w:rFonts w:hint="eastAsia"/>
          <w:sz w:val="21"/>
          <w:szCs w:val="21"/>
        </w:rPr>
        <w:t>对于发包人签发的安健环罚款通知单，将在当期工程款中直接扣除。</w:t>
      </w:r>
    </w:p>
    <w:p>
      <w:pPr>
        <w:pStyle w:val="151"/>
        <w:numPr>
          <w:ilvl w:val="0"/>
          <w:numId w:val="32"/>
        </w:numPr>
        <w:spacing w:line="360" w:lineRule="auto"/>
        <w:ind w:left="426" w:hanging="426"/>
        <w:rPr>
          <w:sz w:val="21"/>
          <w:szCs w:val="21"/>
        </w:rPr>
      </w:pPr>
      <w:r>
        <w:rPr>
          <w:rFonts w:hint="eastAsia"/>
          <w:sz w:val="21"/>
          <w:szCs w:val="21"/>
        </w:rPr>
        <w:t>安全文明施工处罚具体内容详见发包人《建设项目安健环奖惩管理规定》及相关管理制度。</w:t>
      </w:r>
    </w:p>
    <w:p>
      <w:pPr>
        <w:pStyle w:val="151"/>
        <w:numPr>
          <w:ilvl w:val="0"/>
          <w:numId w:val="32"/>
        </w:numPr>
        <w:spacing w:line="360" w:lineRule="auto"/>
        <w:ind w:left="426" w:hanging="426"/>
        <w:rPr>
          <w:sz w:val="21"/>
          <w:szCs w:val="21"/>
        </w:rPr>
      </w:pPr>
      <w:r>
        <w:rPr>
          <w:rFonts w:hint="eastAsia"/>
          <w:sz w:val="21"/>
          <w:szCs w:val="21"/>
        </w:rPr>
        <w:t>承包人在收到发包人安全文明施工整改要求后，一个工作日内无明显行动时，发包人有权委派其他单位进行整改作业，由此产生的相关费用，发包人将在承包人的工程款中双倍扣除，且发包人委派的作业队伍在实施作业时承包人须提供必要的配合，不得有干扰行为，否则发包人将视情节对承包人处以每次1~5万元罚款。</w:t>
      </w:r>
    </w:p>
    <w:p>
      <w:pPr>
        <w:pStyle w:val="151"/>
        <w:numPr>
          <w:ilvl w:val="0"/>
          <w:numId w:val="32"/>
        </w:numPr>
        <w:spacing w:line="360" w:lineRule="auto"/>
        <w:ind w:left="426" w:hanging="426"/>
        <w:rPr>
          <w:sz w:val="21"/>
          <w:szCs w:val="21"/>
        </w:rPr>
      </w:pPr>
      <w:r>
        <w:rPr>
          <w:rFonts w:hint="eastAsia"/>
          <w:sz w:val="21"/>
          <w:szCs w:val="21"/>
        </w:rPr>
        <w:t>由承包人原因导致的安全事故、火灾事故、责任交通事故、环境污染事故的处理费用由承包人承担，发包人由此遭受的损失，将在承包人工程款中双倍扣除。</w:t>
      </w:r>
    </w:p>
    <w:p>
      <w:pPr>
        <w:pStyle w:val="151"/>
        <w:numPr>
          <w:ilvl w:val="0"/>
          <w:numId w:val="32"/>
        </w:numPr>
        <w:spacing w:line="360" w:lineRule="auto"/>
        <w:ind w:left="426" w:hanging="426"/>
        <w:rPr>
          <w:sz w:val="21"/>
          <w:szCs w:val="21"/>
        </w:rPr>
      </w:pPr>
      <w:r>
        <w:rPr>
          <w:rFonts w:hint="eastAsia"/>
          <w:sz w:val="21"/>
          <w:szCs w:val="21"/>
        </w:rPr>
        <w:t>发包人有权对承包人与安全相关的管理人员、作业人员的专业技能、工作态度、管理能力等方面进行考核，有权对其认为不合格人员进行清退。</w:t>
      </w:r>
    </w:p>
    <w:p>
      <w:pPr>
        <w:pStyle w:val="151"/>
        <w:numPr>
          <w:ilvl w:val="0"/>
          <w:numId w:val="27"/>
        </w:numPr>
        <w:spacing w:line="360" w:lineRule="auto"/>
        <w:rPr>
          <w:b/>
          <w:sz w:val="21"/>
          <w:szCs w:val="21"/>
        </w:rPr>
      </w:pPr>
      <w:r>
        <w:rPr>
          <w:rFonts w:hint="eastAsia"/>
          <w:b/>
          <w:sz w:val="21"/>
          <w:szCs w:val="21"/>
        </w:rPr>
        <w:t>有关说明</w:t>
      </w:r>
    </w:p>
    <w:p>
      <w:pPr>
        <w:snapToGrid w:val="0"/>
        <w:spacing w:line="360" w:lineRule="auto"/>
        <w:ind w:firstLine="420" w:firstLineChars="200"/>
        <w:rPr>
          <w:szCs w:val="21"/>
        </w:rPr>
      </w:pPr>
      <w:r>
        <w:rPr>
          <w:rFonts w:hint="eastAsia"/>
          <w:szCs w:val="21"/>
        </w:rPr>
        <w:t>发包人有权对项目各项管理制度进行升级换版，承包人须无条件接受发包人现场各项管理制度的相关规定，确保发包人各项管理制度对承包人实施有效。</w:t>
      </w:r>
    </w:p>
    <w:p>
      <w:pPr>
        <w:pStyle w:val="52"/>
        <w:adjustRightInd w:val="0"/>
        <w:snapToGrid w:val="0"/>
        <w:spacing w:line="480" w:lineRule="atLeast"/>
        <w:jc w:val="both"/>
        <w:rPr>
          <w:b w:val="0"/>
          <w:sz w:val="21"/>
          <w:szCs w:val="21"/>
        </w:rPr>
      </w:pPr>
      <w:r>
        <w:rPr>
          <w:rFonts w:hint="eastAsia"/>
          <w:b w:val="0"/>
          <w:sz w:val="21"/>
          <w:szCs w:val="21"/>
        </w:rPr>
        <w:t>附表安全文明施工措施费项目表：</w:t>
      </w:r>
    </w:p>
    <w:p>
      <w:pPr>
        <w:pStyle w:val="52"/>
        <w:adjustRightInd w:val="0"/>
        <w:snapToGrid w:val="0"/>
        <w:spacing w:line="480" w:lineRule="atLeast"/>
        <w:jc w:val="both"/>
        <w:rPr>
          <w:b w:val="0"/>
          <w:sz w:val="21"/>
          <w:szCs w:val="21"/>
        </w:rPr>
        <w:sectPr>
          <w:pgSz w:w="11907" w:h="16840"/>
          <w:pgMar w:top="1559" w:right="1418" w:bottom="1247" w:left="1440" w:header="851" w:footer="992" w:gutter="0"/>
          <w:cols w:space="720" w:num="1"/>
          <w:docGrid w:type="linesAndChars" w:linePitch="312" w:charSpace="0"/>
        </w:sectPr>
      </w:pPr>
    </w:p>
    <w:p>
      <w:pPr>
        <w:snapToGrid w:val="0"/>
        <w:spacing w:line="360" w:lineRule="auto"/>
        <w:ind w:firstLine="422" w:firstLineChars="200"/>
        <w:rPr>
          <w:b/>
          <w:szCs w:val="21"/>
        </w:rPr>
      </w:pPr>
      <w:r>
        <w:rPr>
          <w:rFonts w:hint="eastAsia"/>
          <w:b/>
          <w:szCs w:val="21"/>
        </w:rPr>
        <w:t>附表安全文明施工措施费项目表</w:t>
      </w:r>
    </w:p>
    <w:tbl>
      <w:tblPr>
        <w:tblStyle w:val="39"/>
        <w:tblW w:w="13041" w:type="dxa"/>
        <w:tblInd w:w="250" w:type="dxa"/>
        <w:shd w:val="clear" w:color="auto" w:fill="FFFFFF"/>
        <w:tblLayout w:type="fixed"/>
        <w:tblCellMar>
          <w:top w:w="0" w:type="dxa"/>
          <w:left w:w="108" w:type="dxa"/>
          <w:bottom w:w="0" w:type="dxa"/>
          <w:right w:w="108" w:type="dxa"/>
        </w:tblCellMar>
      </w:tblPr>
      <w:tblGrid>
        <w:gridCol w:w="709"/>
        <w:gridCol w:w="3544"/>
        <w:gridCol w:w="3543"/>
        <w:gridCol w:w="5245"/>
      </w:tblGrid>
      <w:tr>
        <w:tblPrEx>
          <w:shd w:val="clear" w:color="auto" w:fill="FFFFFF"/>
          <w:tblCellMar>
            <w:top w:w="0" w:type="dxa"/>
            <w:left w:w="108" w:type="dxa"/>
            <w:bottom w:w="0" w:type="dxa"/>
            <w:right w:w="108" w:type="dxa"/>
          </w:tblCellMar>
        </w:tblPrEx>
        <w:trPr>
          <w:trHeight w:val="315" w:hRule="atLeast"/>
        </w:trPr>
        <w:tc>
          <w:tcPr>
            <w:tcW w:w="7796" w:type="dxa"/>
            <w:gridSpan w:val="3"/>
            <w:tcBorders>
              <w:top w:val="nil"/>
              <w:left w:val="nil"/>
              <w:bottom w:val="single" w:color="auto" w:sz="4" w:space="0"/>
              <w:right w:val="nil"/>
            </w:tcBorders>
            <w:shd w:val="clear" w:color="auto" w:fill="FFFFFF"/>
            <w:vAlign w:val="center"/>
          </w:tcPr>
          <w:p>
            <w:pPr>
              <w:widowControl/>
              <w:jc w:val="left"/>
              <w:rPr>
                <w:rFonts w:ascii="宋体" w:hAnsi="宋体" w:cs="宋体"/>
                <w:kern w:val="0"/>
                <w:sz w:val="20"/>
                <w:szCs w:val="20"/>
              </w:rPr>
            </w:pPr>
            <w:permStart w:id="25" w:edGrp="everyone"/>
          </w:p>
        </w:tc>
        <w:tc>
          <w:tcPr>
            <w:tcW w:w="5245" w:type="dxa"/>
            <w:tcBorders>
              <w:top w:val="nil"/>
              <w:left w:val="nil"/>
              <w:bottom w:val="single" w:color="auto" w:sz="4"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shd w:val="clear" w:color="auto" w:fill="FFFFFF"/>
          <w:tblCellMar>
            <w:top w:w="0" w:type="dxa"/>
            <w:left w:w="108" w:type="dxa"/>
            <w:bottom w:w="0" w:type="dxa"/>
            <w:right w:w="108" w:type="dxa"/>
          </w:tblCellMar>
        </w:tblPrEx>
        <w:trPr>
          <w:trHeight w:val="525" w:hRule="atLeast"/>
        </w:trPr>
        <w:tc>
          <w:tcPr>
            <w:tcW w:w="70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序号</w:t>
            </w:r>
          </w:p>
        </w:tc>
        <w:tc>
          <w:tcPr>
            <w:tcW w:w="3544"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项目</w:t>
            </w:r>
          </w:p>
        </w:tc>
        <w:tc>
          <w:tcPr>
            <w:tcW w:w="3543"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子项目</w:t>
            </w:r>
          </w:p>
        </w:tc>
        <w:tc>
          <w:tcPr>
            <w:tcW w:w="52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要求</w:t>
            </w:r>
          </w:p>
        </w:tc>
      </w:tr>
      <w:tr>
        <w:tblPrEx>
          <w:shd w:val="clear" w:color="auto" w:fill="FFFFFF"/>
          <w:tblCellMar>
            <w:top w:w="0" w:type="dxa"/>
            <w:left w:w="108" w:type="dxa"/>
            <w:bottom w:w="0" w:type="dxa"/>
            <w:right w:w="108" w:type="dxa"/>
          </w:tblCellMar>
        </w:tblPrEx>
        <w:trPr>
          <w:trHeight w:val="390" w:hRule="atLeast"/>
        </w:trPr>
        <w:tc>
          <w:tcPr>
            <w:tcW w:w="709" w:type="dxa"/>
            <w:tcBorders>
              <w:top w:val="nil"/>
              <w:left w:val="single" w:color="auto" w:sz="4" w:space="0"/>
              <w:bottom w:val="single" w:color="auto" w:sz="4" w:space="0"/>
              <w:right w:val="single" w:color="auto" w:sz="4" w:space="0"/>
            </w:tcBorders>
            <w:shd w:val="clear" w:color="auto" w:fill="FFFFFF"/>
            <w:vAlign w:val="center"/>
          </w:tcPr>
          <w:p>
            <w:pPr>
              <w:widowControl/>
              <w:jc w:val="center"/>
              <w:rPr>
                <w:kern w:val="0"/>
                <w:sz w:val="20"/>
                <w:szCs w:val="20"/>
              </w:rPr>
            </w:pPr>
            <w:r>
              <w:rPr>
                <w:kern w:val="0"/>
                <w:sz w:val="20"/>
                <w:szCs w:val="20"/>
              </w:rPr>
              <w:t>1</w:t>
            </w:r>
          </w:p>
        </w:tc>
        <w:tc>
          <w:tcPr>
            <w:tcW w:w="3544"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标准化施工用电</w:t>
            </w:r>
          </w:p>
        </w:tc>
        <w:tc>
          <w:tcPr>
            <w:tcW w:w="354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二级低压配电盘（固定式）</w:t>
            </w:r>
          </w:p>
        </w:tc>
        <w:tc>
          <w:tcPr>
            <w:tcW w:w="524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要求标识、样式统一，安全可靠，防雨加锁管理</w:t>
            </w:r>
          </w:p>
        </w:tc>
      </w:tr>
      <w:tr>
        <w:tblPrEx>
          <w:shd w:val="clear" w:color="auto" w:fill="FFFFFF"/>
          <w:tblCellMar>
            <w:top w:w="0" w:type="dxa"/>
            <w:left w:w="108" w:type="dxa"/>
            <w:bottom w:w="0" w:type="dxa"/>
            <w:right w:w="108" w:type="dxa"/>
          </w:tblCellMar>
        </w:tblPrEx>
        <w:trPr>
          <w:trHeight w:val="390" w:hRule="atLeast"/>
        </w:trPr>
        <w:tc>
          <w:tcPr>
            <w:tcW w:w="709" w:type="dxa"/>
            <w:tcBorders>
              <w:top w:val="nil"/>
              <w:left w:val="single" w:color="auto" w:sz="4" w:space="0"/>
              <w:bottom w:val="single" w:color="auto" w:sz="4" w:space="0"/>
              <w:right w:val="single" w:color="auto" w:sz="4" w:space="0"/>
            </w:tcBorders>
            <w:shd w:val="clear" w:color="auto" w:fill="FFFFFF"/>
            <w:vAlign w:val="center"/>
          </w:tcPr>
          <w:p>
            <w:pPr>
              <w:widowControl/>
              <w:jc w:val="center"/>
              <w:rPr>
                <w:kern w:val="0"/>
                <w:sz w:val="20"/>
                <w:szCs w:val="20"/>
              </w:rPr>
            </w:pPr>
            <w:r>
              <w:rPr>
                <w:kern w:val="0"/>
                <w:sz w:val="20"/>
                <w:szCs w:val="20"/>
              </w:rPr>
              <w:t>　</w:t>
            </w:r>
          </w:p>
        </w:tc>
        <w:tc>
          <w:tcPr>
            <w:tcW w:w="3544"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54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三级低压配电盘（固定式）</w:t>
            </w:r>
          </w:p>
        </w:tc>
        <w:tc>
          <w:tcPr>
            <w:tcW w:w="524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要求标识、样式统一，防雨，安全可靠</w:t>
            </w:r>
          </w:p>
        </w:tc>
      </w:tr>
      <w:tr>
        <w:tblPrEx>
          <w:shd w:val="clear" w:color="auto" w:fill="FFFFFF"/>
          <w:tblCellMar>
            <w:top w:w="0" w:type="dxa"/>
            <w:left w:w="108" w:type="dxa"/>
            <w:bottom w:w="0" w:type="dxa"/>
            <w:right w:w="108" w:type="dxa"/>
          </w:tblCellMar>
        </w:tblPrEx>
        <w:trPr>
          <w:trHeight w:val="390" w:hRule="atLeast"/>
        </w:trPr>
        <w:tc>
          <w:tcPr>
            <w:tcW w:w="709" w:type="dxa"/>
            <w:tcBorders>
              <w:top w:val="nil"/>
              <w:left w:val="single" w:color="auto" w:sz="4" w:space="0"/>
              <w:bottom w:val="single" w:color="auto" w:sz="4" w:space="0"/>
              <w:right w:val="single" w:color="auto" w:sz="4" w:space="0"/>
            </w:tcBorders>
            <w:shd w:val="clear" w:color="auto" w:fill="FFFFFF"/>
            <w:vAlign w:val="center"/>
          </w:tcPr>
          <w:p>
            <w:pPr>
              <w:widowControl/>
              <w:jc w:val="center"/>
              <w:rPr>
                <w:kern w:val="0"/>
                <w:sz w:val="20"/>
                <w:szCs w:val="20"/>
              </w:rPr>
            </w:pPr>
            <w:r>
              <w:rPr>
                <w:kern w:val="0"/>
                <w:sz w:val="20"/>
                <w:szCs w:val="20"/>
              </w:rPr>
              <w:t>　</w:t>
            </w:r>
          </w:p>
        </w:tc>
        <w:tc>
          <w:tcPr>
            <w:tcW w:w="3544"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54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线轴（便携式）</w:t>
            </w:r>
          </w:p>
        </w:tc>
        <w:tc>
          <w:tcPr>
            <w:tcW w:w="524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要求标识、样式统一，安全可靠</w:t>
            </w:r>
          </w:p>
        </w:tc>
      </w:tr>
      <w:tr>
        <w:tblPrEx>
          <w:shd w:val="clear" w:color="auto" w:fill="FFFFFF"/>
          <w:tblCellMar>
            <w:top w:w="0" w:type="dxa"/>
            <w:left w:w="108" w:type="dxa"/>
            <w:bottom w:w="0" w:type="dxa"/>
            <w:right w:w="108" w:type="dxa"/>
          </w:tblCellMar>
        </w:tblPrEx>
        <w:trPr>
          <w:trHeight w:val="390" w:hRule="atLeast"/>
        </w:trPr>
        <w:tc>
          <w:tcPr>
            <w:tcW w:w="709" w:type="dxa"/>
            <w:tcBorders>
              <w:top w:val="nil"/>
              <w:left w:val="single" w:color="auto" w:sz="4" w:space="0"/>
              <w:bottom w:val="single" w:color="auto" w:sz="4" w:space="0"/>
              <w:right w:val="single" w:color="auto" w:sz="4" w:space="0"/>
            </w:tcBorders>
            <w:shd w:val="clear" w:color="auto" w:fill="FFFFFF"/>
            <w:vAlign w:val="center"/>
          </w:tcPr>
          <w:p>
            <w:pPr>
              <w:widowControl/>
              <w:jc w:val="center"/>
              <w:rPr>
                <w:kern w:val="0"/>
                <w:sz w:val="20"/>
                <w:szCs w:val="20"/>
              </w:rPr>
            </w:pPr>
            <w:r>
              <w:rPr>
                <w:kern w:val="0"/>
                <w:sz w:val="20"/>
                <w:szCs w:val="20"/>
              </w:rPr>
              <w:t>　</w:t>
            </w:r>
          </w:p>
        </w:tc>
        <w:tc>
          <w:tcPr>
            <w:tcW w:w="3544"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54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电源箱内外标识</w:t>
            </w:r>
          </w:p>
        </w:tc>
        <w:tc>
          <w:tcPr>
            <w:tcW w:w="52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样式统一</w:t>
            </w:r>
          </w:p>
        </w:tc>
      </w:tr>
      <w:tr>
        <w:tblPrEx>
          <w:shd w:val="clear" w:color="auto" w:fill="FFFFFF"/>
          <w:tblCellMar>
            <w:top w:w="0" w:type="dxa"/>
            <w:left w:w="108" w:type="dxa"/>
            <w:bottom w:w="0" w:type="dxa"/>
            <w:right w:w="108" w:type="dxa"/>
          </w:tblCellMar>
        </w:tblPrEx>
        <w:trPr>
          <w:trHeight w:val="390" w:hRule="atLeast"/>
        </w:trPr>
        <w:tc>
          <w:tcPr>
            <w:tcW w:w="709" w:type="dxa"/>
            <w:tcBorders>
              <w:top w:val="nil"/>
              <w:left w:val="single" w:color="auto" w:sz="4" w:space="0"/>
              <w:bottom w:val="single" w:color="auto" w:sz="4" w:space="0"/>
              <w:right w:val="single" w:color="auto" w:sz="4" w:space="0"/>
            </w:tcBorders>
            <w:shd w:val="clear" w:color="auto" w:fill="FFFFFF"/>
            <w:vAlign w:val="center"/>
          </w:tcPr>
          <w:p>
            <w:pPr>
              <w:widowControl/>
              <w:jc w:val="center"/>
              <w:rPr>
                <w:kern w:val="0"/>
                <w:sz w:val="20"/>
                <w:szCs w:val="20"/>
              </w:rPr>
            </w:pPr>
            <w:r>
              <w:rPr>
                <w:kern w:val="0"/>
                <w:sz w:val="20"/>
                <w:szCs w:val="20"/>
              </w:rPr>
              <w:t>　</w:t>
            </w:r>
          </w:p>
        </w:tc>
        <w:tc>
          <w:tcPr>
            <w:tcW w:w="3544"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54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施工现场固定式灯塔</w:t>
            </w:r>
          </w:p>
        </w:tc>
        <w:tc>
          <w:tcPr>
            <w:tcW w:w="52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样式统一</w:t>
            </w:r>
          </w:p>
        </w:tc>
      </w:tr>
      <w:tr>
        <w:tblPrEx>
          <w:shd w:val="clear" w:color="auto" w:fill="FFFFFF"/>
          <w:tblCellMar>
            <w:top w:w="0" w:type="dxa"/>
            <w:left w:w="108" w:type="dxa"/>
            <w:bottom w:w="0" w:type="dxa"/>
            <w:right w:w="108" w:type="dxa"/>
          </w:tblCellMar>
        </w:tblPrEx>
        <w:trPr>
          <w:trHeight w:val="390" w:hRule="atLeast"/>
        </w:trPr>
        <w:tc>
          <w:tcPr>
            <w:tcW w:w="709" w:type="dxa"/>
            <w:tcBorders>
              <w:top w:val="nil"/>
              <w:left w:val="single" w:color="auto" w:sz="4" w:space="0"/>
              <w:bottom w:val="single" w:color="auto" w:sz="4" w:space="0"/>
              <w:right w:val="single" w:color="auto" w:sz="4" w:space="0"/>
            </w:tcBorders>
            <w:shd w:val="clear" w:color="auto" w:fill="FFFFFF"/>
            <w:vAlign w:val="center"/>
          </w:tcPr>
          <w:p>
            <w:pPr>
              <w:widowControl/>
              <w:jc w:val="center"/>
              <w:rPr>
                <w:kern w:val="0"/>
                <w:sz w:val="20"/>
                <w:szCs w:val="20"/>
              </w:rPr>
            </w:pPr>
            <w:r>
              <w:rPr>
                <w:kern w:val="0"/>
                <w:sz w:val="20"/>
                <w:szCs w:val="20"/>
              </w:rPr>
              <w:t>　</w:t>
            </w:r>
          </w:p>
        </w:tc>
        <w:tc>
          <w:tcPr>
            <w:tcW w:w="3544"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54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固定式灯塔灯具</w:t>
            </w:r>
          </w:p>
        </w:tc>
        <w:tc>
          <w:tcPr>
            <w:tcW w:w="52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防雨型，编号管理</w:t>
            </w:r>
          </w:p>
        </w:tc>
      </w:tr>
      <w:tr>
        <w:tblPrEx>
          <w:shd w:val="clear" w:color="auto" w:fill="FFFFFF"/>
          <w:tblCellMar>
            <w:top w:w="0" w:type="dxa"/>
            <w:left w:w="108" w:type="dxa"/>
            <w:bottom w:w="0" w:type="dxa"/>
            <w:right w:w="108" w:type="dxa"/>
          </w:tblCellMar>
        </w:tblPrEx>
        <w:trPr>
          <w:trHeight w:val="390" w:hRule="atLeast"/>
        </w:trPr>
        <w:tc>
          <w:tcPr>
            <w:tcW w:w="709" w:type="dxa"/>
            <w:tcBorders>
              <w:top w:val="nil"/>
              <w:left w:val="single" w:color="auto" w:sz="4" w:space="0"/>
              <w:bottom w:val="single" w:color="auto" w:sz="4" w:space="0"/>
              <w:right w:val="single" w:color="auto" w:sz="4" w:space="0"/>
            </w:tcBorders>
            <w:shd w:val="clear" w:color="auto" w:fill="FFFFFF"/>
            <w:vAlign w:val="center"/>
          </w:tcPr>
          <w:p>
            <w:pPr>
              <w:widowControl/>
              <w:jc w:val="center"/>
              <w:rPr>
                <w:kern w:val="0"/>
                <w:sz w:val="20"/>
                <w:szCs w:val="20"/>
              </w:rPr>
            </w:pPr>
            <w:r>
              <w:rPr>
                <w:kern w:val="0"/>
                <w:sz w:val="20"/>
                <w:szCs w:val="20"/>
              </w:rPr>
              <w:t>　</w:t>
            </w:r>
          </w:p>
        </w:tc>
        <w:tc>
          <w:tcPr>
            <w:tcW w:w="3544"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54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施工现场移动式灯塔</w:t>
            </w:r>
          </w:p>
        </w:tc>
        <w:tc>
          <w:tcPr>
            <w:tcW w:w="52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样式统一，编号管理</w:t>
            </w:r>
          </w:p>
        </w:tc>
      </w:tr>
      <w:tr>
        <w:tblPrEx>
          <w:shd w:val="clear" w:color="auto" w:fill="FFFFFF"/>
          <w:tblCellMar>
            <w:top w:w="0" w:type="dxa"/>
            <w:left w:w="108" w:type="dxa"/>
            <w:bottom w:w="0" w:type="dxa"/>
            <w:right w:w="108" w:type="dxa"/>
          </w:tblCellMar>
        </w:tblPrEx>
        <w:trPr>
          <w:trHeight w:val="390" w:hRule="atLeast"/>
        </w:trPr>
        <w:tc>
          <w:tcPr>
            <w:tcW w:w="709" w:type="dxa"/>
            <w:tcBorders>
              <w:top w:val="nil"/>
              <w:left w:val="single" w:color="auto" w:sz="4" w:space="0"/>
              <w:bottom w:val="single" w:color="auto" w:sz="4" w:space="0"/>
              <w:right w:val="single" w:color="auto" w:sz="4" w:space="0"/>
            </w:tcBorders>
            <w:shd w:val="clear" w:color="auto" w:fill="FFFFFF"/>
            <w:vAlign w:val="center"/>
          </w:tcPr>
          <w:p>
            <w:pPr>
              <w:widowControl/>
              <w:jc w:val="center"/>
              <w:rPr>
                <w:kern w:val="0"/>
                <w:sz w:val="20"/>
                <w:szCs w:val="20"/>
              </w:rPr>
            </w:pPr>
            <w:r>
              <w:rPr>
                <w:kern w:val="0"/>
                <w:sz w:val="20"/>
                <w:szCs w:val="20"/>
              </w:rPr>
              <w:t>　</w:t>
            </w:r>
          </w:p>
        </w:tc>
        <w:tc>
          <w:tcPr>
            <w:tcW w:w="3544"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54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小型落地式照明架</w:t>
            </w:r>
          </w:p>
        </w:tc>
        <w:tc>
          <w:tcPr>
            <w:tcW w:w="52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样式统一，编号管理</w:t>
            </w:r>
          </w:p>
        </w:tc>
      </w:tr>
      <w:tr>
        <w:tblPrEx>
          <w:shd w:val="clear" w:color="auto" w:fill="FFFFFF"/>
          <w:tblCellMar>
            <w:top w:w="0" w:type="dxa"/>
            <w:left w:w="108" w:type="dxa"/>
            <w:bottom w:w="0" w:type="dxa"/>
            <w:right w:w="108" w:type="dxa"/>
          </w:tblCellMar>
        </w:tblPrEx>
        <w:trPr>
          <w:trHeight w:val="390" w:hRule="atLeast"/>
        </w:trPr>
        <w:tc>
          <w:tcPr>
            <w:tcW w:w="709" w:type="dxa"/>
            <w:tcBorders>
              <w:top w:val="nil"/>
              <w:left w:val="single" w:color="auto" w:sz="4" w:space="0"/>
              <w:bottom w:val="single" w:color="auto" w:sz="4" w:space="0"/>
              <w:right w:val="single" w:color="auto" w:sz="4" w:space="0"/>
            </w:tcBorders>
            <w:shd w:val="clear" w:color="auto" w:fill="FFFFFF"/>
            <w:vAlign w:val="center"/>
          </w:tcPr>
          <w:p>
            <w:pPr>
              <w:widowControl/>
              <w:jc w:val="center"/>
              <w:rPr>
                <w:kern w:val="0"/>
                <w:sz w:val="20"/>
                <w:szCs w:val="20"/>
              </w:rPr>
            </w:pPr>
            <w:r>
              <w:rPr>
                <w:kern w:val="0"/>
                <w:sz w:val="20"/>
                <w:szCs w:val="20"/>
              </w:rPr>
              <w:t>　</w:t>
            </w:r>
          </w:p>
        </w:tc>
        <w:tc>
          <w:tcPr>
            <w:tcW w:w="3544"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54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接地线</w:t>
            </w:r>
          </w:p>
        </w:tc>
        <w:tc>
          <w:tcPr>
            <w:tcW w:w="52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p>
        </w:tc>
      </w:tr>
      <w:tr>
        <w:tblPrEx>
          <w:shd w:val="clear" w:color="auto" w:fill="FFFFFF"/>
          <w:tblCellMar>
            <w:top w:w="0" w:type="dxa"/>
            <w:left w:w="108" w:type="dxa"/>
            <w:bottom w:w="0" w:type="dxa"/>
            <w:right w:w="108" w:type="dxa"/>
          </w:tblCellMar>
        </w:tblPrEx>
        <w:trPr>
          <w:trHeight w:val="390" w:hRule="atLeast"/>
        </w:trPr>
        <w:tc>
          <w:tcPr>
            <w:tcW w:w="709" w:type="dxa"/>
            <w:tcBorders>
              <w:top w:val="nil"/>
              <w:left w:val="single" w:color="auto" w:sz="4" w:space="0"/>
              <w:bottom w:val="single" w:color="auto" w:sz="4" w:space="0"/>
              <w:right w:val="single" w:color="auto" w:sz="4" w:space="0"/>
            </w:tcBorders>
            <w:shd w:val="clear" w:color="auto" w:fill="FFFFFF"/>
            <w:vAlign w:val="center"/>
          </w:tcPr>
          <w:p>
            <w:pPr>
              <w:widowControl/>
              <w:jc w:val="center"/>
              <w:rPr>
                <w:kern w:val="0"/>
                <w:sz w:val="20"/>
                <w:szCs w:val="20"/>
              </w:rPr>
            </w:pPr>
            <w:r>
              <w:rPr>
                <w:kern w:val="0"/>
                <w:sz w:val="20"/>
                <w:szCs w:val="20"/>
              </w:rPr>
              <w:t>　</w:t>
            </w:r>
          </w:p>
        </w:tc>
        <w:tc>
          <w:tcPr>
            <w:tcW w:w="3544"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54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绝缘杆</w:t>
            </w:r>
          </w:p>
        </w:tc>
        <w:tc>
          <w:tcPr>
            <w:tcW w:w="52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shd w:val="clear" w:color="auto" w:fill="FFFFFF"/>
          <w:tblCellMar>
            <w:top w:w="0" w:type="dxa"/>
            <w:left w:w="108" w:type="dxa"/>
            <w:bottom w:w="0" w:type="dxa"/>
            <w:right w:w="108" w:type="dxa"/>
          </w:tblCellMar>
        </w:tblPrEx>
        <w:trPr>
          <w:trHeight w:val="390" w:hRule="atLeast"/>
        </w:trPr>
        <w:tc>
          <w:tcPr>
            <w:tcW w:w="709" w:type="dxa"/>
            <w:tcBorders>
              <w:top w:val="nil"/>
              <w:left w:val="single" w:color="auto" w:sz="4" w:space="0"/>
              <w:bottom w:val="single" w:color="auto" w:sz="4" w:space="0"/>
              <w:right w:val="single" w:color="auto" w:sz="4" w:space="0"/>
            </w:tcBorders>
            <w:shd w:val="clear" w:color="auto" w:fill="FFFFFF"/>
            <w:vAlign w:val="center"/>
          </w:tcPr>
          <w:p>
            <w:pPr>
              <w:widowControl/>
              <w:jc w:val="center"/>
              <w:rPr>
                <w:kern w:val="0"/>
                <w:sz w:val="20"/>
                <w:szCs w:val="20"/>
              </w:rPr>
            </w:pPr>
            <w:r>
              <w:rPr>
                <w:kern w:val="0"/>
                <w:sz w:val="20"/>
                <w:szCs w:val="20"/>
              </w:rPr>
              <w:t>　</w:t>
            </w:r>
          </w:p>
        </w:tc>
        <w:tc>
          <w:tcPr>
            <w:tcW w:w="3544"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54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高压验电器</w:t>
            </w:r>
          </w:p>
        </w:tc>
        <w:tc>
          <w:tcPr>
            <w:tcW w:w="52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shd w:val="clear" w:color="auto" w:fill="FFFFFF"/>
          <w:tblCellMar>
            <w:top w:w="0" w:type="dxa"/>
            <w:left w:w="108" w:type="dxa"/>
            <w:bottom w:w="0" w:type="dxa"/>
            <w:right w:w="108" w:type="dxa"/>
          </w:tblCellMar>
        </w:tblPrEx>
        <w:trPr>
          <w:trHeight w:val="390" w:hRule="atLeast"/>
        </w:trPr>
        <w:tc>
          <w:tcPr>
            <w:tcW w:w="709" w:type="dxa"/>
            <w:tcBorders>
              <w:top w:val="nil"/>
              <w:left w:val="single" w:color="auto" w:sz="4" w:space="0"/>
              <w:bottom w:val="single" w:color="auto" w:sz="4" w:space="0"/>
              <w:right w:val="single" w:color="auto" w:sz="4" w:space="0"/>
            </w:tcBorders>
            <w:shd w:val="clear" w:color="auto" w:fill="FFFFFF"/>
            <w:vAlign w:val="center"/>
          </w:tcPr>
          <w:p>
            <w:pPr>
              <w:widowControl/>
              <w:jc w:val="center"/>
              <w:rPr>
                <w:kern w:val="0"/>
                <w:sz w:val="20"/>
                <w:szCs w:val="20"/>
              </w:rPr>
            </w:pPr>
            <w:r>
              <w:rPr>
                <w:kern w:val="0"/>
                <w:sz w:val="20"/>
                <w:szCs w:val="20"/>
              </w:rPr>
              <w:t>　</w:t>
            </w:r>
          </w:p>
        </w:tc>
        <w:tc>
          <w:tcPr>
            <w:tcW w:w="3544"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54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多功能皮线挂钩</w:t>
            </w:r>
          </w:p>
        </w:tc>
        <w:tc>
          <w:tcPr>
            <w:tcW w:w="52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shd w:val="clear" w:color="auto" w:fill="FFFFFF"/>
          <w:tblCellMar>
            <w:top w:w="0" w:type="dxa"/>
            <w:left w:w="108" w:type="dxa"/>
            <w:bottom w:w="0" w:type="dxa"/>
            <w:right w:w="108" w:type="dxa"/>
          </w:tblCellMar>
        </w:tblPrEx>
        <w:trPr>
          <w:trHeight w:val="390" w:hRule="atLeast"/>
        </w:trPr>
        <w:tc>
          <w:tcPr>
            <w:tcW w:w="709" w:type="dxa"/>
            <w:tcBorders>
              <w:top w:val="nil"/>
              <w:left w:val="single" w:color="auto" w:sz="4" w:space="0"/>
              <w:bottom w:val="single" w:color="auto" w:sz="4" w:space="0"/>
              <w:right w:val="single" w:color="auto" w:sz="4" w:space="0"/>
            </w:tcBorders>
            <w:shd w:val="clear" w:color="auto" w:fill="FFFFFF"/>
            <w:vAlign w:val="center"/>
          </w:tcPr>
          <w:p>
            <w:pPr>
              <w:widowControl/>
              <w:jc w:val="center"/>
              <w:rPr>
                <w:kern w:val="0"/>
                <w:sz w:val="20"/>
                <w:szCs w:val="20"/>
              </w:rPr>
            </w:pPr>
            <w:r>
              <w:rPr>
                <w:kern w:val="0"/>
                <w:sz w:val="20"/>
                <w:szCs w:val="20"/>
              </w:rPr>
              <w:t>　</w:t>
            </w:r>
          </w:p>
        </w:tc>
        <w:tc>
          <w:tcPr>
            <w:tcW w:w="3544"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54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电源箱围蔽</w:t>
            </w:r>
          </w:p>
        </w:tc>
        <w:tc>
          <w:tcPr>
            <w:tcW w:w="52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p>
        </w:tc>
      </w:tr>
      <w:tr>
        <w:tblPrEx>
          <w:shd w:val="clear" w:color="auto" w:fill="FFFFFF"/>
          <w:tblCellMar>
            <w:top w:w="0" w:type="dxa"/>
            <w:left w:w="108" w:type="dxa"/>
            <w:bottom w:w="0" w:type="dxa"/>
            <w:right w:w="108" w:type="dxa"/>
          </w:tblCellMar>
        </w:tblPrEx>
        <w:trPr>
          <w:trHeight w:val="390" w:hRule="atLeast"/>
        </w:trPr>
        <w:tc>
          <w:tcPr>
            <w:tcW w:w="709" w:type="dxa"/>
            <w:tcBorders>
              <w:top w:val="nil"/>
              <w:left w:val="single" w:color="auto" w:sz="4" w:space="0"/>
              <w:bottom w:val="single" w:color="auto" w:sz="4" w:space="0"/>
              <w:right w:val="single" w:color="auto" w:sz="4" w:space="0"/>
            </w:tcBorders>
            <w:shd w:val="clear" w:color="auto" w:fill="FFFFFF"/>
            <w:vAlign w:val="center"/>
          </w:tcPr>
          <w:p>
            <w:pPr>
              <w:widowControl/>
              <w:jc w:val="center"/>
              <w:rPr>
                <w:kern w:val="0"/>
                <w:sz w:val="20"/>
                <w:szCs w:val="20"/>
              </w:rPr>
            </w:pPr>
            <w:r>
              <w:rPr>
                <w:kern w:val="0"/>
                <w:sz w:val="20"/>
                <w:szCs w:val="20"/>
              </w:rPr>
              <w:t>2</w:t>
            </w:r>
          </w:p>
        </w:tc>
        <w:tc>
          <w:tcPr>
            <w:tcW w:w="3544"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安全标志、安全宣传栏及标牌</w:t>
            </w:r>
          </w:p>
        </w:tc>
        <w:tc>
          <w:tcPr>
            <w:tcW w:w="354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企业标志</w:t>
            </w:r>
          </w:p>
        </w:tc>
        <w:tc>
          <w:tcPr>
            <w:tcW w:w="52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现场大门出入口应设企业标识</w:t>
            </w:r>
          </w:p>
        </w:tc>
      </w:tr>
      <w:tr>
        <w:tblPrEx>
          <w:shd w:val="clear" w:color="auto" w:fill="FFFFFF"/>
          <w:tblCellMar>
            <w:top w:w="0" w:type="dxa"/>
            <w:left w:w="108" w:type="dxa"/>
            <w:bottom w:w="0" w:type="dxa"/>
            <w:right w:w="108" w:type="dxa"/>
          </w:tblCellMar>
        </w:tblPrEx>
        <w:trPr>
          <w:trHeight w:val="390" w:hRule="atLeast"/>
        </w:trPr>
        <w:tc>
          <w:tcPr>
            <w:tcW w:w="709" w:type="dxa"/>
            <w:tcBorders>
              <w:top w:val="nil"/>
              <w:left w:val="single" w:color="auto" w:sz="4" w:space="0"/>
              <w:bottom w:val="single" w:color="auto" w:sz="4" w:space="0"/>
              <w:right w:val="single" w:color="auto" w:sz="4" w:space="0"/>
            </w:tcBorders>
            <w:shd w:val="clear" w:color="auto" w:fill="FFFFFF"/>
            <w:vAlign w:val="center"/>
          </w:tcPr>
          <w:p>
            <w:pPr>
              <w:widowControl/>
              <w:jc w:val="center"/>
              <w:rPr>
                <w:kern w:val="0"/>
                <w:sz w:val="20"/>
                <w:szCs w:val="20"/>
              </w:rPr>
            </w:pPr>
          </w:p>
        </w:tc>
        <w:tc>
          <w:tcPr>
            <w:tcW w:w="3544"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p>
        </w:tc>
        <w:tc>
          <w:tcPr>
            <w:tcW w:w="354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Arial" w:hAnsi="宋体" w:eastAsia="宋体 ，Arial" w:cs="宋体"/>
                <w:kern w:val="0"/>
                <w:sz w:val="20"/>
                <w:szCs w:val="20"/>
              </w:rPr>
              <w:t>五板一图</w:t>
            </w:r>
          </w:p>
        </w:tc>
        <w:tc>
          <w:tcPr>
            <w:tcW w:w="524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Arial" w:hAnsi="宋体" w:eastAsia="宋体 ，Arial" w:cs="宋体"/>
                <w:kern w:val="0"/>
                <w:sz w:val="20"/>
                <w:szCs w:val="20"/>
              </w:rPr>
              <w:t>在进门处悬挂工程概况、管理人员名单及监督电话、安全生产、文明施工、消防保卫五板；施工现场总平面图。</w:t>
            </w:r>
          </w:p>
        </w:tc>
      </w:tr>
      <w:tr>
        <w:tblPrEx>
          <w:shd w:val="clear" w:color="auto" w:fill="FFFFFF"/>
          <w:tblCellMar>
            <w:top w:w="0" w:type="dxa"/>
            <w:left w:w="108" w:type="dxa"/>
            <w:bottom w:w="0" w:type="dxa"/>
            <w:right w:w="108" w:type="dxa"/>
          </w:tblCellMar>
        </w:tblPrEx>
        <w:trPr>
          <w:trHeight w:val="390" w:hRule="atLeast"/>
        </w:trPr>
        <w:tc>
          <w:tcPr>
            <w:tcW w:w="709" w:type="dxa"/>
            <w:tcBorders>
              <w:top w:val="nil"/>
              <w:left w:val="single" w:color="auto" w:sz="4" w:space="0"/>
              <w:bottom w:val="single" w:color="auto" w:sz="4" w:space="0"/>
              <w:right w:val="single" w:color="auto" w:sz="4" w:space="0"/>
            </w:tcBorders>
            <w:shd w:val="clear" w:color="auto" w:fill="FFFFFF"/>
            <w:vAlign w:val="center"/>
          </w:tcPr>
          <w:p>
            <w:pPr>
              <w:widowControl/>
              <w:jc w:val="center"/>
              <w:rPr>
                <w:kern w:val="0"/>
                <w:sz w:val="20"/>
                <w:szCs w:val="20"/>
              </w:rPr>
            </w:pPr>
          </w:p>
        </w:tc>
        <w:tc>
          <w:tcPr>
            <w:tcW w:w="3544"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p>
        </w:tc>
        <w:tc>
          <w:tcPr>
            <w:tcW w:w="354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现场围挡</w:t>
            </w:r>
          </w:p>
        </w:tc>
        <w:tc>
          <w:tcPr>
            <w:tcW w:w="5245" w:type="dxa"/>
            <w:tcBorders>
              <w:top w:val="nil"/>
              <w:left w:val="nil"/>
              <w:bottom w:val="single" w:color="auto" w:sz="4" w:space="0"/>
              <w:right w:val="single" w:color="auto" w:sz="4" w:space="0"/>
            </w:tcBorders>
            <w:shd w:val="clear" w:color="auto" w:fill="FFFFFF"/>
            <w:vAlign w:val="center"/>
          </w:tcPr>
          <w:p>
            <w:pPr>
              <w:widowControl/>
              <w:spacing w:line="270" w:lineRule="atLeast"/>
              <w:jc w:val="left"/>
              <w:rPr>
                <w:rFonts w:ascii="宋体 ，Arial" w:hAnsi="宋体" w:eastAsia="宋体 ，Arial" w:cs="宋体"/>
                <w:kern w:val="0"/>
                <w:sz w:val="20"/>
                <w:szCs w:val="20"/>
              </w:rPr>
            </w:pPr>
            <w:r>
              <w:rPr>
                <w:rFonts w:hint="eastAsia" w:ascii="宋体 ，Arial" w:hAnsi="宋体" w:eastAsia="宋体 ，Arial" w:cs="宋体"/>
                <w:kern w:val="0"/>
                <w:sz w:val="20"/>
                <w:szCs w:val="20"/>
              </w:rPr>
              <w:t>（1）现场采用封闭围挡，高度不小于1.8 m；</w:t>
            </w:r>
          </w:p>
          <w:p>
            <w:pPr>
              <w:widowControl/>
              <w:jc w:val="left"/>
              <w:rPr>
                <w:rFonts w:ascii="宋体" w:hAnsi="宋体" w:cs="宋体"/>
                <w:kern w:val="0"/>
                <w:sz w:val="20"/>
                <w:szCs w:val="20"/>
              </w:rPr>
            </w:pPr>
            <w:r>
              <w:rPr>
                <w:rFonts w:hint="eastAsia" w:ascii="宋体 ，Arial" w:hAnsi="宋体" w:eastAsia="宋体 ，Arial" w:cs="宋体"/>
                <w:kern w:val="0"/>
                <w:sz w:val="20"/>
                <w:szCs w:val="20"/>
              </w:rPr>
              <w:t>（2）围挡材料可采用彩色、定型钢板，砖、砼砌块等墙体。</w:t>
            </w:r>
            <w:r>
              <w:rPr>
                <w:rFonts w:hint="eastAsia" w:ascii="宋体" w:hAnsi="宋体" w:cs="宋体"/>
                <w:kern w:val="0"/>
                <w:sz w:val="20"/>
                <w:szCs w:val="20"/>
              </w:rPr>
              <w:t>　</w:t>
            </w:r>
          </w:p>
        </w:tc>
      </w:tr>
      <w:tr>
        <w:tblPrEx>
          <w:shd w:val="clear" w:color="auto" w:fill="FFFFFF"/>
          <w:tblCellMar>
            <w:top w:w="0" w:type="dxa"/>
            <w:left w:w="108" w:type="dxa"/>
            <w:bottom w:w="0" w:type="dxa"/>
            <w:right w:w="108" w:type="dxa"/>
          </w:tblCellMar>
        </w:tblPrEx>
        <w:trPr>
          <w:trHeight w:val="390" w:hRule="atLeast"/>
        </w:trPr>
        <w:tc>
          <w:tcPr>
            <w:tcW w:w="709" w:type="dxa"/>
            <w:tcBorders>
              <w:top w:val="nil"/>
              <w:left w:val="single" w:color="auto" w:sz="4" w:space="0"/>
              <w:bottom w:val="single" w:color="auto" w:sz="4" w:space="0"/>
              <w:right w:val="single" w:color="auto" w:sz="4" w:space="0"/>
            </w:tcBorders>
            <w:shd w:val="clear" w:color="auto" w:fill="FFFFFF"/>
            <w:vAlign w:val="center"/>
          </w:tcPr>
          <w:p>
            <w:pPr>
              <w:widowControl/>
              <w:jc w:val="center"/>
              <w:rPr>
                <w:kern w:val="0"/>
                <w:sz w:val="20"/>
                <w:szCs w:val="20"/>
              </w:rPr>
            </w:pPr>
            <w:r>
              <w:rPr>
                <w:kern w:val="0"/>
                <w:sz w:val="20"/>
                <w:szCs w:val="20"/>
              </w:rPr>
              <w:t>　</w:t>
            </w:r>
          </w:p>
        </w:tc>
        <w:tc>
          <w:tcPr>
            <w:tcW w:w="3544"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54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安全宣传栏</w:t>
            </w:r>
          </w:p>
        </w:tc>
        <w:tc>
          <w:tcPr>
            <w:tcW w:w="52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单幅约2m2</w:t>
            </w:r>
          </w:p>
        </w:tc>
      </w:tr>
      <w:tr>
        <w:tblPrEx>
          <w:shd w:val="clear" w:color="auto" w:fill="FFFFFF"/>
          <w:tblCellMar>
            <w:top w:w="0" w:type="dxa"/>
            <w:left w:w="108" w:type="dxa"/>
            <w:bottom w:w="0" w:type="dxa"/>
            <w:right w:w="108" w:type="dxa"/>
          </w:tblCellMar>
        </w:tblPrEx>
        <w:trPr>
          <w:trHeight w:val="390"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 w:val="20"/>
                <w:szCs w:val="20"/>
              </w:rPr>
            </w:pPr>
          </w:p>
        </w:tc>
        <w:tc>
          <w:tcPr>
            <w:tcW w:w="3544"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p>
        </w:tc>
        <w:tc>
          <w:tcPr>
            <w:tcW w:w="3543"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Arial" w:hAnsi="宋体" w:eastAsia="宋体 ，Arial" w:cs="宋体"/>
                <w:kern w:val="0"/>
                <w:sz w:val="20"/>
                <w:szCs w:val="20"/>
              </w:rPr>
              <w:t>安全警示标志牌</w:t>
            </w:r>
          </w:p>
        </w:tc>
        <w:tc>
          <w:tcPr>
            <w:tcW w:w="5245"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Arial" w:hAnsi="宋体" w:eastAsia="宋体 ，Arial" w:cs="宋体"/>
                <w:kern w:val="0"/>
                <w:sz w:val="20"/>
                <w:szCs w:val="20"/>
              </w:rPr>
              <w:t>在易发伤亡事故（或危险）处设置明显的、符合国家标准要求的安全警示标志牌</w:t>
            </w:r>
          </w:p>
        </w:tc>
      </w:tr>
      <w:tr>
        <w:tblPrEx>
          <w:shd w:val="clear" w:color="auto" w:fill="FFFFFF"/>
          <w:tblCellMar>
            <w:top w:w="0" w:type="dxa"/>
            <w:left w:w="108" w:type="dxa"/>
            <w:bottom w:w="0" w:type="dxa"/>
            <w:right w:w="108" w:type="dxa"/>
          </w:tblCellMar>
        </w:tblPrEx>
        <w:trPr>
          <w:trHeight w:val="390" w:hRule="atLeast"/>
        </w:trPr>
        <w:tc>
          <w:tcPr>
            <w:tcW w:w="709" w:type="dxa"/>
            <w:tcBorders>
              <w:top w:val="nil"/>
              <w:left w:val="single" w:color="auto" w:sz="4" w:space="0"/>
              <w:bottom w:val="single" w:color="auto" w:sz="4" w:space="0"/>
              <w:right w:val="single" w:color="auto" w:sz="4" w:space="0"/>
            </w:tcBorders>
            <w:shd w:val="clear" w:color="auto" w:fill="FFFFFF"/>
            <w:vAlign w:val="center"/>
          </w:tcPr>
          <w:p>
            <w:pPr>
              <w:widowControl/>
              <w:jc w:val="center"/>
              <w:rPr>
                <w:kern w:val="0"/>
                <w:sz w:val="20"/>
                <w:szCs w:val="20"/>
              </w:rPr>
            </w:pPr>
            <w:r>
              <w:rPr>
                <w:kern w:val="0"/>
                <w:sz w:val="20"/>
                <w:szCs w:val="20"/>
              </w:rPr>
              <w:t>　</w:t>
            </w:r>
          </w:p>
        </w:tc>
        <w:tc>
          <w:tcPr>
            <w:tcW w:w="3544"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54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安全标识牌</w:t>
            </w:r>
          </w:p>
        </w:tc>
        <w:tc>
          <w:tcPr>
            <w:tcW w:w="52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长边或直径为50厘米以上</w:t>
            </w:r>
          </w:p>
        </w:tc>
      </w:tr>
      <w:tr>
        <w:tblPrEx>
          <w:shd w:val="clear" w:color="auto" w:fill="FFFFFF"/>
          <w:tblCellMar>
            <w:top w:w="0" w:type="dxa"/>
            <w:left w:w="108" w:type="dxa"/>
            <w:bottom w:w="0" w:type="dxa"/>
            <w:right w:w="108" w:type="dxa"/>
          </w:tblCellMar>
        </w:tblPrEx>
        <w:trPr>
          <w:trHeight w:val="390" w:hRule="atLeast"/>
        </w:trPr>
        <w:tc>
          <w:tcPr>
            <w:tcW w:w="709" w:type="dxa"/>
            <w:tcBorders>
              <w:top w:val="nil"/>
              <w:left w:val="single" w:color="auto" w:sz="4" w:space="0"/>
              <w:bottom w:val="single" w:color="auto" w:sz="4" w:space="0"/>
              <w:right w:val="single" w:color="auto" w:sz="4" w:space="0"/>
            </w:tcBorders>
            <w:shd w:val="clear" w:color="auto" w:fill="FFFFFF"/>
            <w:vAlign w:val="center"/>
          </w:tcPr>
          <w:p>
            <w:pPr>
              <w:widowControl/>
              <w:jc w:val="center"/>
              <w:rPr>
                <w:kern w:val="0"/>
                <w:sz w:val="20"/>
                <w:szCs w:val="20"/>
              </w:rPr>
            </w:pPr>
          </w:p>
        </w:tc>
        <w:tc>
          <w:tcPr>
            <w:tcW w:w="3544"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p>
        </w:tc>
        <w:tc>
          <w:tcPr>
            <w:tcW w:w="354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安全宣传标语</w:t>
            </w:r>
          </w:p>
        </w:tc>
        <w:tc>
          <w:tcPr>
            <w:tcW w:w="52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p>
        </w:tc>
      </w:tr>
      <w:tr>
        <w:tblPrEx>
          <w:shd w:val="clear" w:color="auto" w:fill="FFFFFF"/>
          <w:tblCellMar>
            <w:top w:w="0" w:type="dxa"/>
            <w:left w:w="108" w:type="dxa"/>
            <w:bottom w:w="0" w:type="dxa"/>
            <w:right w:w="108" w:type="dxa"/>
          </w:tblCellMar>
        </w:tblPrEx>
        <w:trPr>
          <w:trHeight w:val="1305" w:hRule="atLeast"/>
        </w:trPr>
        <w:tc>
          <w:tcPr>
            <w:tcW w:w="709" w:type="dxa"/>
            <w:tcBorders>
              <w:top w:val="nil"/>
              <w:left w:val="single" w:color="auto" w:sz="4" w:space="0"/>
              <w:bottom w:val="single" w:color="auto" w:sz="4" w:space="0"/>
              <w:right w:val="single" w:color="auto" w:sz="4" w:space="0"/>
            </w:tcBorders>
            <w:shd w:val="clear" w:color="auto" w:fill="FFFFFF"/>
            <w:vAlign w:val="center"/>
          </w:tcPr>
          <w:p>
            <w:pPr>
              <w:widowControl/>
              <w:jc w:val="center"/>
              <w:rPr>
                <w:kern w:val="0"/>
                <w:sz w:val="20"/>
                <w:szCs w:val="20"/>
              </w:rPr>
            </w:pPr>
            <w:r>
              <w:rPr>
                <w:kern w:val="0"/>
                <w:sz w:val="20"/>
                <w:szCs w:val="20"/>
              </w:rPr>
              <w:t>3</w:t>
            </w:r>
          </w:p>
        </w:tc>
        <w:tc>
          <w:tcPr>
            <w:tcW w:w="3544"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场地硬地临时化、高处临时厕所、垃圾通道、垃圾箱、吸烟室、物料定置化标识牌、地下管线标识牌、临时饮水点、卷扬机机棚、空压机棚</w:t>
            </w:r>
          </w:p>
        </w:tc>
        <w:tc>
          <w:tcPr>
            <w:tcW w:w="354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场地硬地临时化</w:t>
            </w:r>
          </w:p>
        </w:tc>
        <w:tc>
          <w:tcPr>
            <w:tcW w:w="52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按合同附件是的要求硬化</w:t>
            </w:r>
          </w:p>
        </w:tc>
      </w:tr>
      <w:tr>
        <w:tblPrEx>
          <w:shd w:val="clear" w:color="auto" w:fill="FFFFFF"/>
          <w:tblCellMar>
            <w:top w:w="0" w:type="dxa"/>
            <w:left w:w="108" w:type="dxa"/>
            <w:bottom w:w="0" w:type="dxa"/>
            <w:right w:w="108" w:type="dxa"/>
          </w:tblCellMar>
        </w:tblPrEx>
        <w:trPr>
          <w:trHeight w:val="390" w:hRule="atLeast"/>
        </w:trPr>
        <w:tc>
          <w:tcPr>
            <w:tcW w:w="709" w:type="dxa"/>
            <w:tcBorders>
              <w:top w:val="nil"/>
              <w:left w:val="single" w:color="auto" w:sz="4" w:space="0"/>
              <w:bottom w:val="single" w:color="auto" w:sz="4" w:space="0"/>
              <w:right w:val="single" w:color="auto" w:sz="4" w:space="0"/>
            </w:tcBorders>
            <w:shd w:val="clear" w:color="auto" w:fill="FFFFFF"/>
            <w:vAlign w:val="center"/>
          </w:tcPr>
          <w:p>
            <w:pPr>
              <w:widowControl/>
              <w:jc w:val="center"/>
              <w:rPr>
                <w:kern w:val="0"/>
                <w:sz w:val="20"/>
                <w:szCs w:val="20"/>
              </w:rPr>
            </w:pPr>
            <w:r>
              <w:rPr>
                <w:kern w:val="0"/>
                <w:sz w:val="20"/>
                <w:szCs w:val="20"/>
              </w:rPr>
              <w:t>　</w:t>
            </w:r>
          </w:p>
        </w:tc>
        <w:tc>
          <w:tcPr>
            <w:tcW w:w="3544"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54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高处临时厕所</w:t>
            </w:r>
          </w:p>
        </w:tc>
        <w:tc>
          <w:tcPr>
            <w:tcW w:w="52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p>
        </w:tc>
      </w:tr>
      <w:tr>
        <w:tblPrEx>
          <w:shd w:val="clear" w:color="auto" w:fill="FFFFFF"/>
          <w:tblCellMar>
            <w:top w:w="0" w:type="dxa"/>
            <w:left w:w="108" w:type="dxa"/>
            <w:bottom w:w="0" w:type="dxa"/>
            <w:right w:w="108" w:type="dxa"/>
          </w:tblCellMar>
        </w:tblPrEx>
        <w:trPr>
          <w:trHeight w:val="390" w:hRule="atLeast"/>
        </w:trPr>
        <w:tc>
          <w:tcPr>
            <w:tcW w:w="709" w:type="dxa"/>
            <w:tcBorders>
              <w:top w:val="nil"/>
              <w:left w:val="single" w:color="auto" w:sz="4" w:space="0"/>
              <w:bottom w:val="single" w:color="auto" w:sz="4" w:space="0"/>
              <w:right w:val="single" w:color="auto" w:sz="4" w:space="0"/>
            </w:tcBorders>
            <w:shd w:val="clear" w:color="auto" w:fill="FFFFFF"/>
            <w:vAlign w:val="center"/>
          </w:tcPr>
          <w:p>
            <w:pPr>
              <w:widowControl/>
              <w:jc w:val="center"/>
              <w:rPr>
                <w:kern w:val="0"/>
                <w:sz w:val="20"/>
                <w:szCs w:val="20"/>
              </w:rPr>
            </w:pPr>
            <w:r>
              <w:rPr>
                <w:kern w:val="0"/>
                <w:sz w:val="20"/>
                <w:szCs w:val="20"/>
              </w:rPr>
              <w:t>　</w:t>
            </w:r>
          </w:p>
        </w:tc>
        <w:tc>
          <w:tcPr>
            <w:tcW w:w="3544"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54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垃圾通道</w:t>
            </w:r>
          </w:p>
        </w:tc>
        <w:tc>
          <w:tcPr>
            <w:tcW w:w="52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p>
        </w:tc>
      </w:tr>
      <w:tr>
        <w:tblPrEx>
          <w:shd w:val="clear" w:color="auto" w:fill="FFFFFF"/>
          <w:tblCellMar>
            <w:top w:w="0" w:type="dxa"/>
            <w:left w:w="108" w:type="dxa"/>
            <w:bottom w:w="0" w:type="dxa"/>
            <w:right w:w="108" w:type="dxa"/>
          </w:tblCellMar>
        </w:tblPrEx>
        <w:trPr>
          <w:trHeight w:val="390" w:hRule="atLeast"/>
        </w:trPr>
        <w:tc>
          <w:tcPr>
            <w:tcW w:w="709" w:type="dxa"/>
            <w:tcBorders>
              <w:top w:val="nil"/>
              <w:left w:val="single" w:color="auto" w:sz="4" w:space="0"/>
              <w:bottom w:val="single" w:color="auto" w:sz="4" w:space="0"/>
              <w:right w:val="single" w:color="auto" w:sz="4" w:space="0"/>
            </w:tcBorders>
            <w:shd w:val="clear" w:color="auto" w:fill="FFFFFF"/>
            <w:vAlign w:val="center"/>
          </w:tcPr>
          <w:p>
            <w:pPr>
              <w:widowControl/>
              <w:jc w:val="center"/>
              <w:rPr>
                <w:kern w:val="0"/>
                <w:sz w:val="20"/>
                <w:szCs w:val="20"/>
              </w:rPr>
            </w:pPr>
            <w:r>
              <w:rPr>
                <w:kern w:val="0"/>
                <w:sz w:val="20"/>
                <w:szCs w:val="20"/>
              </w:rPr>
              <w:t>　</w:t>
            </w:r>
          </w:p>
        </w:tc>
        <w:tc>
          <w:tcPr>
            <w:tcW w:w="3544"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54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吸烟室</w:t>
            </w:r>
          </w:p>
        </w:tc>
        <w:tc>
          <w:tcPr>
            <w:tcW w:w="52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shd w:val="clear" w:color="auto" w:fill="FFFFFF"/>
          <w:tblCellMar>
            <w:top w:w="0" w:type="dxa"/>
            <w:left w:w="108" w:type="dxa"/>
            <w:bottom w:w="0" w:type="dxa"/>
            <w:right w:w="108" w:type="dxa"/>
          </w:tblCellMar>
        </w:tblPrEx>
        <w:trPr>
          <w:trHeight w:val="390" w:hRule="atLeast"/>
        </w:trPr>
        <w:tc>
          <w:tcPr>
            <w:tcW w:w="709" w:type="dxa"/>
            <w:tcBorders>
              <w:top w:val="nil"/>
              <w:left w:val="single" w:color="auto" w:sz="4" w:space="0"/>
              <w:bottom w:val="single" w:color="auto" w:sz="4" w:space="0"/>
              <w:right w:val="single" w:color="auto" w:sz="4" w:space="0"/>
            </w:tcBorders>
            <w:shd w:val="clear" w:color="auto" w:fill="FFFFFF"/>
            <w:vAlign w:val="center"/>
          </w:tcPr>
          <w:p>
            <w:pPr>
              <w:widowControl/>
              <w:jc w:val="center"/>
              <w:rPr>
                <w:kern w:val="0"/>
                <w:sz w:val="20"/>
                <w:szCs w:val="20"/>
              </w:rPr>
            </w:pPr>
            <w:r>
              <w:rPr>
                <w:kern w:val="0"/>
                <w:sz w:val="20"/>
                <w:szCs w:val="20"/>
              </w:rPr>
              <w:t>　</w:t>
            </w:r>
          </w:p>
        </w:tc>
        <w:tc>
          <w:tcPr>
            <w:tcW w:w="3544"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54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垃圾箱</w:t>
            </w:r>
          </w:p>
        </w:tc>
        <w:tc>
          <w:tcPr>
            <w:tcW w:w="52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要求标识、样式统一</w:t>
            </w:r>
          </w:p>
        </w:tc>
      </w:tr>
      <w:tr>
        <w:tblPrEx>
          <w:shd w:val="clear" w:color="auto" w:fill="FFFFFF"/>
          <w:tblCellMar>
            <w:top w:w="0" w:type="dxa"/>
            <w:left w:w="108" w:type="dxa"/>
            <w:bottom w:w="0" w:type="dxa"/>
            <w:right w:w="108" w:type="dxa"/>
          </w:tblCellMar>
        </w:tblPrEx>
        <w:trPr>
          <w:trHeight w:val="390" w:hRule="atLeast"/>
        </w:trPr>
        <w:tc>
          <w:tcPr>
            <w:tcW w:w="709" w:type="dxa"/>
            <w:tcBorders>
              <w:top w:val="nil"/>
              <w:left w:val="single" w:color="auto" w:sz="4" w:space="0"/>
              <w:bottom w:val="single" w:color="auto" w:sz="4" w:space="0"/>
              <w:right w:val="single" w:color="auto" w:sz="4" w:space="0"/>
            </w:tcBorders>
            <w:shd w:val="clear" w:color="auto" w:fill="FFFFFF"/>
            <w:vAlign w:val="center"/>
          </w:tcPr>
          <w:p>
            <w:pPr>
              <w:widowControl/>
              <w:jc w:val="center"/>
              <w:rPr>
                <w:kern w:val="0"/>
                <w:sz w:val="20"/>
                <w:szCs w:val="20"/>
              </w:rPr>
            </w:pPr>
            <w:r>
              <w:rPr>
                <w:kern w:val="0"/>
                <w:sz w:val="20"/>
                <w:szCs w:val="20"/>
              </w:rPr>
              <w:t>　</w:t>
            </w:r>
          </w:p>
        </w:tc>
        <w:tc>
          <w:tcPr>
            <w:tcW w:w="3544"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54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物料定置化标识牌</w:t>
            </w:r>
          </w:p>
        </w:tc>
        <w:tc>
          <w:tcPr>
            <w:tcW w:w="52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shd w:val="clear" w:color="auto" w:fill="FFFFFF"/>
          <w:tblCellMar>
            <w:top w:w="0" w:type="dxa"/>
            <w:left w:w="108" w:type="dxa"/>
            <w:bottom w:w="0" w:type="dxa"/>
            <w:right w:w="108" w:type="dxa"/>
          </w:tblCellMar>
        </w:tblPrEx>
        <w:trPr>
          <w:trHeight w:val="390" w:hRule="atLeast"/>
        </w:trPr>
        <w:tc>
          <w:tcPr>
            <w:tcW w:w="709" w:type="dxa"/>
            <w:tcBorders>
              <w:top w:val="nil"/>
              <w:left w:val="single" w:color="auto" w:sz="4" w:space="0"/>
              <w:bottom w:val="single" w:color="auto" w:sz="4" w:space="0"/>
              <w:right w:val="single" w:color="auto" w:sz="4" w:space="0"/>
            </w:tcBorders>
            <w:shd w:val="clear" w:color="auto" w:fill="FFFFFF"/>
            <w:vAlign w:val="center"/>
          </w:tcPr>
          <w:p>
            <w:pPr>
              <w:widowControl/>
              <w:jc w:val="center"/>
              <w:rPr>
                <w:kern w:val="0"/>
                <w:sz w:val="20"/>
                <w:szCs w:val="20"/>
              </w:rPr>
            </w:pPr>
            <w:r>
              <w:rPr>
                <w:kern w:val="0"/>
                <w:sz w:val="20"/>
                <w:szCs w:val="20"/>
              </w:rPr>
              <w:t>　</w:t>
            </w:r>
          </w:p>
        </w:tc>
        <w:tc>
          <w:tcPr>
            <w:tcW w:w="3544"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54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地下管线标识牌</w:t>
            </w:r>
          </w:p>
        </w:tc>
        <w:tc>
          <w:tcPr>
            <w:tcW w:w="52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shd w:val="clear" w:color="auto" w:fill="FFFFFF"/>
          <w:tblCellMar>
            <w:top w:w="0" w:type="dxa"/>
            <w:left w:w="108" w:type="dxa"/>
            <w:bottom w:w="0" w:type="dxa"/>
            <w:right w:w="108" w:type="dxa"/>
          </w:tblCellMar>
        </w:tblPrEx>
        <w:trPr>
          <w:trHeight w:val="390" w:hRule="atLeast"/>
        </w:trPr>
        <w:tc>
          <w:tcPr>
            <w:tcW w:w="709" w:type="dxa"/>
            <w:tcBorders>
              <w:top w:val="nil"/>
              <w:left w:val="single" w:color="auto" w:sz="4" w:space="0"/>
              <w:bottom w:val="single" w:color="auto" w:sz="4" w:space="0"/>
              <w:right w:val="single" w:color="auto" w:sz="4" w:space="0"/>
            </w:tcBorders>
            <w:shd w:val="clear" w:color="auto" w:fill="FFFFFF"/>
            <w:vAlign w:val="center"/>
          </w:tcPr>
          <w:p>
            <w:pPr>
              <w:widowControl/>
              <w:jc w:val="center"/>
              <w:rPr>
                <w:kern w:val="0"/>
                <w:sz w:val="20"/>
                <w:szCs w:val="20"/>
              </w:rPr>
            </w:pPr>
            <w:r>
              <w:rPr>
                <w:kern w:val="0"/>
                <w:sz w:val="20"/>
                <w:szCs w:val="20"/>
              </w:rPr>
              <w:t>　</w:t>
            </w:r>
          </w:p>
        </w:tc>
        <w:tc>
          <w:tcPr>
            <w:tcW w:w="3544"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54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临时饮水点</w:t>
            </w:r>
          </w:p>
        </w:tc>
        <w:tc>
          <w:tcPr>
            <w:tcW w:w="52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shd w:val="clear" w:color="auto" w:fill="FFFFFF"/>
          <w:tblCellMar>
            <w:top w:w="0" w:type="dxa"/>
            <w:left w:w="108" w:type="dxa"/>
            <w:bottom w:w="0" w:type="dxa"/>
            <w:right w:w="108" w:type="dxa"/>
          </w:tblCellMar>
        </w:tblPrEx>
        <w:trPr>
          <w:trHeight w:val="390" w:hRule="atLeast"/>
        </w:trPr>
        <w:tc>
          <w:tcPr>
            <w:tcW w:w="709" w:type="dxa"/>
            <w:tcBorders>
              <w:top w:val="nil"/>
              <w:left w:val="single" w:color="auto" w:sz="4" w:space="0"/>
              <w:bottom w:val="single" w:color="auto" w:sz="4" w:space="0"/>
              <w:right w:val="single" w:color="auto" w:sz="4" w:space="0"/>
            </w:tcBorders>
            <w:shd w:val="clear" w:color="auto" w:fill="FFFFFF"/>
            <w:vAlign w:val="center"/>
          </w:tcPr>
          <w:p>
            <w:pPr>
              <w:widowControl/>
              <w:jc w:val="center"/>
              <w:rPr>
                <w:kern w:val="0"/>
                <w:sz w:val="20"/>
                <w:szCs w:val="20"/>
              </w:rPr>
            </w:pPr>
            <w:r>
              <w:rPr>
                <w:kern w:val="0"/>
                <w:sz w:val="20"/>
                <w:szCs w:val="20"/>
              </w:rPr>
              <w:t>　</w:t>
            </w:r>
          </w:p>
        </w:tc>
        <w:tc>
          <w:tcPr>
            <w:tcW w:w="3544"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54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卷扬机机棚</w:t>
            </w:r>
          </w:p>
        </w:tc>
        <w:tc>
          <w:tcPr>
            <w:tcW w:w="52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shd w:val="clear" w:color="auto" w:fill="FFFFFF"/>
          <w:tblCellMar>
            <w:top w:w="0" w:type="dxa"/>
            <w:left w:w="108" w:type="dxa"/>
            <w:bottom w:w="0" w:type="dxa"/>
            <w:right w:w="108" w:type="dxa"/>
          </w:tblCellMar>
        </w:tblPrEx>
        <w:trPr>
          <w:trHeight w:val="390" w:hRule="atLeast"/>
        </w:trPr>
        <w:tc>
          <w:tcPr>
            <w:tcW w:w="709" w:type="dxa"/>
            <w:tcBorders>
              <w:top w:val="nil"/>
              <w:left w:val="single" w:color="auto" w:sz="4" w:space="0"/>
              <w:bottom w:val="single" w:color="auto" w:sz="4" w:space="0"/>
              <w:right w:val="single" w:color="auto" w:sz="4" w:space="0"/>
            </w:tcBorders>
            <w:shd w:val="clear" w:color="auto" w:fill="FFFFFF"/>
            <w:vAlign w:val="center"/>
          </w:tcPr>
          <w:p>
            <w:pPr>
              <w:widowControl/>
              <w:jc w:val="center"/>
              <w:rPr>
                <w:kern w:val="0"/>
                <w:sz w:val="20"/>
                <w:szCs w:val="20"/>
              </w:rPr>
            </w:pPr>
            <w:r>
              <w:rPr>
                <w:kern w:val="0"/>
                <w:sz w:val="20"/>
                <w:szCs w:val="20"/>
              </w:rPr>
              <w:t>　</w:t>
            </w:r>
          </w:p>
        </w:tc>
        <w:tc>
          <w:tcPr>
            <w:tcW w:w="3544"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54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空压机棚</w:t>
            </w:r>
          </w:p>
        </w:tc>
        <w:tc>
          <w:tcPr>
            <w:tcW w:w="52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shd w:val="clear" w:color="auto" w:fill="FFFFFF"/>
          <w:tblCellMar>
            <w:top w:w="0" w:type="dxa"/>
            <w:left w:w="108" w:type="dxa"/>
            <w:bottom w:w="0" w:type="dxa"/>
            <w:right w:w="108" w:type="dxa"/>
          </w:tblCellMar>
        </w:tblPrEx>
        <w:trPr>
          <w:trHeight w:val="1335" w:hRule="atLeast"/>
        </w:trPr>
        <w:tc>
          <w:tcPr>
            <w:tcW w:w="709" w:type="dxa"/>
            <w:tcBorders>
              <w:top w:val="nil"/>
              <w:left w:val="single" w:color="auto" w:sz="4" w:space="0"/>
              <w:bottom w:val="single" w:color="auto" w:sz="4" w:space="0"/>
              <w:right w:val="single" w:color="auto" w:sz="4" w:space="0"/>
            </w:tcBorders>
            <w:shd w:val="clear" w:color="auto" w:fill="FFFFFF"/>
            <w:vAlign w:val="center"/>
          </w:tcPr>
          <w:p>
            <w:pPr>
              <w:widowControl/>
              <w:jc w:val="center"/>
              <w:rPr>
                <w:kern w:val="0"/>
                <w:sz w:val="20"/>
                <w:szCs w:val="20"/>
              </w:rPr>
            </w:pPr>
            <w:r>
              <w:rPr>
                <w:kern w:val="0"/>
                <w:sz w:val="20"/>
                <w:szCs w:val="20"/>
              </w:rPr>
              <w:t>4</w:t>
            </w:r>
          </w:p>
        </w:tc>
        <w:tc>
          <w:tcPr>
            <w:tcW w:w="3544"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标准化防护围栏（包括定型制作围栏及各功能区隔离用固定式围栏和临时护栏）、安全立网（必须全新采购并在本项目不得周转使用）、挡脚板、水平安全扶绳</w:t>
            </w:r>
          </w:p>
        </w:tc>
        <w:tc>
          <w:tcPr>
            <w:tcW w:w="354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标准化防护围栏</w:t>
            </w:r>
          </w:p>
        </w:tc>
        <w:tc>
          <w:tcPr>
            <w:tcW w:w="52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p>
        </w:tc>
      </w:tr>
      <w:tr>
        <w:tblPrEx>
          <w:shd w:val="clear" w:color="auto" w:fill="FFFFFF"/>
          <w:tblCellMar>
            <w:top w:w="0" w:type="dxa"/>
            <w:left w:w="108" w:type="dxa"/>
            <w:bottom w:w="0" w:type="dxa"/>
            <w:right w:w="108" w:type="dxa"/>
          </w:tblCellMar>
        </w:tblPrEx>
        <w:trPr>
          <w:trHeight w:val="390" w:hRule="atLeast"/>
        </w:trPr>
        <w:tc>
          <w:tcPr>
            <w:tcW w:w="709" w:type="dxa"/>
            <w:tcBorders>
              <w:top w:val="nil"/>
              <w:left w:val="single" w:color="auto" w:sz="4" w:space="0"/>
              <w:bottom w:val="single" w:color="auto" w:sz="4" w:space="0"/>
              <w:right w:val="single" w:color="auto" w:sz="4" w:space="0"/>
            </w:tcBorders>
            <w:shd w:val="clear" w:color="auto" w:fill="FFFFFF"/>
            <w:vAlign w:val="center"/>
          </w:tcPr>
          <w:p>
            <w:pPr>
              <w:widowControl/>
              <w:jc w:val="center"/>
              <w:rPr>
                <w:kern w:val="0"/>
                <w:sz w:val="20"/>
                <w:szCs w:val="20"/>
              </w:rPr>
            </w:pPr>
            <w:r>
              <w:rPr>
                <w:kern w:val="0"/>
                <w:sz w:val="20"/>
                <w:szCs w:val="20"/>
              </w:rPr>
              <w:t>　</w:t>
            </w:r>
          </w:p>
        </w:tc>
        <w:tc>
          <w:tcPr>
            <w:tcW w:w="3544"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54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临时护栏</w:t>
            </w:r>
          </w:p>
        </w:tc>
        <w:tc>
          <w:tcPr>
            <w:tcW w:w="52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shd w:val="clear" w:color="auto" w:fill="FFFFFF"/>
          <w:tblCellMar>
            <w:top w:w="0" w:type="dxa"/>
            <w:left w:w="108" w:type="dxa"/>
            <w:bottom w:w="0" w:type="dxa"/>
            <w:right w:w="108" w:type="dxa"/>
          </w:tblCellMar>
        </w:tblPrEx>
        <w:trPr>
          <w:trHeight w:val="825"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 w:val="20"/>
                <w:szCs w:val="20"/>
              </w:rPr>
            </w:pPr>
            <w:r>
              <w:rPr>
                <w:kern w:val="0"/>
                <w:sz w:val="20"/>
                <w:szCs w:val="20"/>
              </w:rPr>
              <w:t>　</w:t>
            </w:r>
          </w:p>
        </w:tc>
        <w:tc>
          <w:tcPr>
            <w:tcW w:w="3544"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543"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孔洞防护网</w:t>
            </w:r>
          </w:p>
        </w:tc>
        <w:tc>
          <w:tcPr>
            <w:tcW w:w="5245"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Arial" w:hAnsi="宋体" w:eastAsia="宋体 ，Arial" w:cs="宋体"/>
                <w:kern w:val="0"/>
                <w:sz w:val="20"/>
                <w:szCs w:val="20"/>
              </w:rPr>
              <w:t>用花纹钢板全封闭；短边超过1.5m长的洞口，除封闭外四周还应设有防护栏杆。</w:t>
            </w:r>
          </w:p>
        </w:tc>
      </w:tr>
      <w:tr>
        <w:tblPrEx>
          <w:shd w:val="clear" w:color="auto" w:fill="FFFFFF"/>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FFFFFF"/>
            <w:vAlign w:val="center"/>
          </w:tcPr>
          <w:p>
            <w:pPr>
              <w:widowControl/>
              <w:jc w:val="center"/>
              <w:rPr>
                <w:kern w:val="0"/>
                <w:sz w:val="20"/>
                <w:szCs w:val="20"/>
              </w:rPr>
            </w:pPr>
            <w:r>
              <w:rPr>
                <w:kern w:val="0"/>
                <w:sz w:val="20"/>
                <w:szCs w:val="20"/>
              </w:rPr>
              <w:t>　</w:t>
            </w:r>
          </w:p>
        </w:tc>
        <w:tc>
          <w:tcPr>
            <w:tcW w:w="3544"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54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建筑安全立网</w:t>
            </w:r>
          </w:p>
        </w:tc>
        <w:tc>
          <w:tcPr>
            <w:tcW w:w="524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Arial" w:hAnsi="宋体" w:eastAsia="宋体 ，Arial" w:cs="宋体"/>
                <w:kern w:val="0"/>
                <w:sz w:val="20"/>
                <w:szCs w:val="20"/>
              </w:rPr>
              <w:t>用密目式安全立网全封闭，作业层另加两边防护栏杆和18㎝高的踢脚板。</w:t>
            </w:r>
          </w:p>
        </w:tc>
      </w:tr>
      <w:tr>
        <w:tblPrEx>
          <w:shd w:val="clear" w:color="auto" w:fill="FFFFFF"/>
          <w:tblCellMar>
            <w:top w:w="0" w:type="dxa"/>
            <w:left w:w="108" w:type="dxa"/>
            <w:bottom w:w="0" w:type="dxa"/>
            <w:right w:w="108" w:type="dxa"/>
          </w:tblCellMar>
        </w:tblPrEx>
        <w:trPr>
          <w:trHeight w:val="480" w:hRule="atLeast"/>
        </w:trPr>
        <w:tc>
          <w:tcPr>
            <w:tcW w:w="709" w:type="dxa"/>
            <w:tcBorders>
              <w:top w:val="nil"/>
              <w:left w:val="single" w:color="auto" w:sz="4" w:space="0"/>
              <w:bottom w:val="single" w:color="auto" w:sz="4" w:space="0"/>
              <w:right w:val="single" w:color="auto" w:sz="4" w:space="0"/>
            </w:tcBorders>
            <w:shd w:val="clear" w:color="auto" w:fill="FFFFFF"/>
            <w:vAlign w:val="center"/>
          </w:tcPr>
          <w:p>
            <w:pPr>
              <w:widowControl/>
              <w:jc w:val="center"/>
              <w:rPr>
                <w:kern w:val="0"/>
                <w:sz w:val="20"/>
                <w:szCs w:val="20"/>
              </w:rPr>
            </w:pPr>
            <w:r>
              <w:rPr>
                <w:kern w:val="0"/>
                <w:sz w:val="20"/>
                <w:szCs w:val="20"/>
              </w:rPr>
              <w:t>　</w:t>
            </w:r>
          </w:p>
        </w:tc>
        <w:tc>
          <w:tcPr>
            <w:tcW w:w="3544"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54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水平安全扶绳</w:t>
            </w:r>
          </w:p>
        </w:tc>
        <w:tc>
          <w:tcPr>
            <w:tcW w:w="524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shd w:val="clear" w:color="auto" w:fill="FFFFFF"/>
          <w:tblCellMar>
            <w:top w:w="0" w:type="dxa"/>
            <w:left w:w="108" w:type="dxa"/>
            <w:bottom w:w="0" w:type="dxa"/>
            <w:right w:w="108" w:type="dxa"/>
          </w:tblCellMar>
        </w:tblPrEx>
        <w:trPr>
          <w:trHeight w:val="390" w:hRule="atLeast"/>
        </w:trPr>
        <w:tc>
          <w:tcPr>
            <w:tcW w:w="709" w:type="dxa"/>
            <w:tcBorders>
              <w:top w:val="nil"/>
              <w:left w:val="single" w:color="auto" w:sz="4" w:space="0"/>
              <w:bottom w:val="single" w:color="auto" w:sz="4" w:space="0"/>
              <w:right w:val="single" w:color="auto" w:sz="4" w:space="0"/>
            </w:tcBorders>
            <w:shd w:val="clear" w:color="auto" w:fill="FFFFFF"/>
            <w:vAlign w:val="center"/>
          </w:tcPr>
          <w:p>
            <w:pPr>
              <w:widowControl/>
              <w:jc w:val="center"/>
              <w:rPr>
                <w:kern w:val="0"/>
                <w:sz w:val="20"/>
                <w:szCs w:val="20"/>
              </w:rPr>
            </w:pPr>
            <w:r>
              <w:rPr>
                <w:kern w:val="0"/>
                <w:sz w:val="20"/>
                <w:szCs w:val="20"/>
              </w:rPr>
              <w:t>　</w:t>
            </w:r>
          </w:p>
        </w:tc>
        <w:tc>
          <w:tcPr>
            <w:tcW w:w="3544"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54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挡脚板</w:t>
            </w:r>
          </w:p>
        </w:tc>
        <w:tc>
          <w:tcPr>
            <w:tcW w:w="52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Arial" w:hAnsi="宋体" w:eastAsia="宋体 ，Arial" w:cs="宋体"/>
                <w:kern w:val="0"/>
                <w:sz w:val="20"/>
                <w:szCs w:val="20"/>
              </w:rPr>
              <w:t>18㎝高的踢脚板，涂黄黑相间条纹。</w:t>
            </w:r>
          </w:p>
        </w:tc>
      </w:tr>
      <w:tr>
        <w:tblPrEx>
          <w:shd w:val="clear" w:color="auto" w:fill="FFFFFF"/>
          <w:tblCellMar>
            <w:top w:w="0" w:type="dxa"/>
            <w:left w:w="108" w:type="dxa"/>
            <w:bottom w:w="0" w:type="dxa"/>
            <w:right w:w="108" w:type="dxa"/>
          </w:tblCellMar>
        </w:tblPrEx>
        <w:trPr>
          <w:trHeight w:val="255" w:hRule="atLeast"/>
        </w:trPr>
        <w:tc>
          <w:tcPr>
            <w:tcW w:w="709" w:type="dxa"/>
            <w:tcBorders>
              <w:top w:val="nil"/>
              <w:left w:val="single" w:color="auto" w:sz="4" w:space="0"/>
              <w:bottom w:val="single" w:color="auto" w:sz="4" w:space="0"/>
              <w:right w:val="single" w:color="auto" w:sz="4" w:space="0"/>
            </w:tcBorders>
            <w:shd w:val="clear" w:color="auto" w:fill="FFFFFF"/>
            <w:vAlign w:val="center"/>
          </w:tcPr>
          <w:p>
            <w:pPr>
              <w:widowControl/>
              <w:jc w:val="center"/>
              <w:rPr>
                <w:kern w:val="0"/>
                <w:sz w:val="20"/>
                <w:szCs w:val="20"/>
              </w:rPr>
            </w:pPr>
            <w:r>
              <w:rPr>
                <w:kern w:val="0"/>
                <w:sz w:val="20"/>
                <w:szCs w:val="20"/>
              </w:rPr>
              <w:t>5</w:t>
            </w:r>
          </w:p>
        </w:tc>
        <w:tc>
          <w:tcPr>
            <w:tcW w:w="3544"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扣件箱、氧气乙炔笼、孔洞盖板</w:t>
            </w:r>
          </w:p>
        </w:tc>
        <w:tc>
          <w:tcPr>
            <w:tcW w:w="354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洞口盖板</w:t>
            </w:r>
          </w:p>
        </w:tc>
        <w:tc>
          <w:tcPr>
            <w:tcW w:w="52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Arial" w:hAnsi="宋体" w:eastAsia="宋体 ，Arial" w:cs="宋体"/>
                <w:kern w:val="0"/>
                <w:sz w:val="20"/>
                <w:szCs w:val="20"/>
              </w:rPr>
              <w:t>用花纹钢板全封闭</w:t>
            </w:r>
          </w:p>
        </w:tc>
      </w:tr>
      <w:tr>
        <w:tblPrEx>
          <w:shd w:val="clear" w:color="auto" w:fill="FFFFFF"/>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shd w:val="clear" w:color="auto" w:fill="FFFFFF"/>
            <w:vAlign w:val="center"/>
          </w:tcPr>
          <w:p>
            <w:pPr>
              <w:widowControl/>
              <w:jc w:val="center"/>
              <w:rPr>
                <w:kern w:val="0"/>
                <w:sz w:val="20"/>
                <w:szCs w:val="20"/>
              </w:rPr>
            </w:pPr>
            <w:r>
              <w:rPr>
                <w:kern w:val="0"/>
                <w:sz w:val="20"/>
                <w:szCs w:val="20"/>
              </w:rPr>
              <w:t>　</w:t>
            </w:r>
          </w:p>
        </w:tc>
        <w:tc>
          <w:tcPr>
            <w:tcW w:w="3544"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54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扣件箱</w:t>
            </w:r>
          </w:p>
        </w:tc>
        <w:tc>
          <w:tcPr>
            <w:tcW w:w="52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shd w:val="clear" w:color="auto" w:fill="FFFFFF"/>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FFFFFF"/>
            <w:vAlign w:val="center"/>
          </w:tcPr>
          <w:p>
            <w:pPr>
              <w:widowControl/>
              <w:jc w:val="center"/>
              <w:rPr>
                <w:kern w:val="0"/>
                <w:sz w:val="20"/>
                <w:szCs w:val="20"/>
              </w:rPr>
            </w:pPr>
            <w:r>
              <w:rPr>
                <w:kern w:val="0"/>
                <w:sz w:val="20"/>
                <w:szCs w:val="20"/>
              </w:rPr>
              <w:t>6</w:t>
            </w:r>
          </w:p>
        </w:tc>
        <w:tc>
          <w:tcPr>
            <w:tcW w:w="3544"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防护通道防护棚、各层电梯防护门</w:t>
            </w:r>
          </w:p>
        </w:tc>
        <w:tc>
          <w:tcPr>
            <w:tcW w:w="354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防护通道</w:t>
            </w:r>
          </w:p>
        </w:tc>
        <w:tc>
          <w:tcPr>
            <w:tcW w:w="52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p>
        </w:tc>
      </w:tr>
      <w:tr>
        <w:tblPrEx>
          <w:shd w:val="clear" w:color="auto" w:fill="FFFFFF"/>
          <w:tblCellMar>
            <w:top w:w="0" w:type="dxa"/>
            <w:left w:w="108" w:type="dxa"/>
            <w:bottom w:w="0" w:type="dxa"/>
            <w:right w:w="108" w:type="dxa"/>
          </w:tblCellMar>
        </w:tblPrEx>
        <w:trPr>
          <w:trHeight w:val="405" w:hRule="atLeast"/>
        </w:trPr>
        <w:tc>
          <w:tcPr>
            <w:tcW w:w="709" w:type="dxa"/>
            <w:tcBorders>
              <w:top w:val="nil"/>
              <w:left w:val="single" w:color="auto" w:sz="4" w:space="0"/>
              <w:bottom w:val="single" w:color="auto" w:sz="4" w:space="0"/>
              <w:right w:val="single" w:color="auto" w:sz="4" w:space="0"/>
            </w:tcBorders>
            <w:shd w:val="clear" w:color="auto" w:fill="FFFFFF"/>
            <w:vAlign w:val="center"/>
          </w:tcPr>
          <w:p>
            <w:pPr>
              <w:widowControl/>
              <w:jc w:val="center"/>
              <w:rPr>
                <w:kern w:val="0"/>
                <w:sz w:val="20"/>
                <w:szCs w:val="20"/>
              </w:rPr>
            </w:pPr>
            <w:r>
              <w:rPr>
                <w:kern w:val="0"/>
                <w:sz w:val="20"/>
                <w:szCs w:val="20"/>
              </w:rPr>
              <w:t>　</w:t>
            </w:r>
          </w:p>
        </w:tc>
        <w:tc>
          <w:tcPr>
            <w:tcW w:w="3544"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54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防护棚</w:t>
            </w:r>
          </w:p>
        </w:tc>
        <w:tc>
          <w:tcPr>
            <w:tcW w:w="524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shd w:val="clear" w:color="auto" w:fill="FFFFFF"/>
          <w:tblCellMar>
            <w:top w:w="0" w:type="dxa"/>
            <w:left w:w="108" w:type="dxa"/>
            <w:bottom w:w="0" w:type="dxa"/>
            <w:right w:w="108" w:type="dxa"/>
          </w:tblCellMar>
        </w:tblPrEx>
        <w:trPr>
          <w:trHeight w:val="465" w:hRule="atLeast"/>
        </w:trPr>
        <w:tc>
          <w:tcPr>
            <w:tcW w:w="709" w:type="dxa"/>
            <w:tcBorders>
              <w:top w:val="nil"/>
              <w:left w:val="single" w:color="auto" w:sz="4" w:space="0"/>
              <w:bottom w:val="single" w:color="auto" w:sz="4" w:space="0"/>
              <w:right w:val="single" w:color="auto" w:sz="4" w:space="0"/>
            </w:tcBorders>
            <w:shd w:val="clear" w:color="auto" w:fill="FFFFFF"/>
            <w:vAlign w:val="center"/>
          </w:tcPr>
          <w:p>
            <w:pPr>
              <w:widowControl/>
              <w:jc w:val="center"/>
              <w:rPr>
                <w:kern w:val="0"/>
                <w:sz w:val="20"/>
                <w:szCs w:val="20"/>
              </w:rPr>
            </w:pPr>
            <w:r>
              <w:rPr>
                <w:kern w:val="0"/>
                <w:sz w:val="20"/>
                <w:szCs w:val="20"/>
              </w:rPr>
              <w:t>　</w:t>
            </w:r>
          </w:p>
        </w:tc>
        <w:tc>
          <w:tcPr>
            <w:tcW w:w="3544"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54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电梯防护门</w:t>
            </w:r>
          </w:p>
        </w:tc>
        <w:tc>
          <w:tcPr>
            <w:tcW w:w="524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shd w:val="clear" w:color="auto" w:fill="FFFFFF"/>
          <w:tblCellMar>
            <w:top w:w="0" w:type="dxa"/>
            <w:left w:w="108" w:type="dxa"/>
            <w:bottom w:w="0" w:type="dxa"/>
            <w:right w:w="108" w:type="dxa"/>
          </w:tblCellMar>
        </w:tblPrEx>
        <w:trPr>
          <w:trHeight w:val="630" w:hRule="atLeast"/>
        </w:trPr>
        <w:tc>
          <w:tcPr>
            <w:tcW w:w="709" w:type="dxa"/>
            <w:tcBorders>
              <w:top w:val="nil"/>
              <w:left w:val="single" w:color="auto" w:sz="4" w:space="0"/>
              <w:bottom w:val="single" w:color="auto" w:sz="4" w:space="0"/>
              <w:right w:val="single" w:color="auto" w:sz="4" w:space="0"/>
            </w:tcBorders>
            <w:shd w:val="clear" w:color="auto" w:fill="FFFFFF"/>
            <w:vAlign w:val="center"/>
          </w:tcPr>
          <w:p>
            <w:pPr>
              <w:widowControl/>
              <w:jc w:val="center"/>
              <w:rPr>
                <w:kern w:val="0"/>
                <w:sz w:val="20"/>
                <w:szCs w:val="20"/>
              </w:rPr>
            </w:pPr>
            <w:r>
              <w:rPr>
                <w:kern w:val="0"/>
                <w:sz w:val="20"/>
                <w:szCs w:val="20"/>
              </w:rPr>
              <w:t>7</w:t>
            </w:r>
          </w:p>
        </w:tc>
        <w:tc>
          <w:tcPr>
            <w:tcW w:w="3544"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场地、作业区、道路的日常维护</w:t>
            </w:r>
          </w:p>
        </w:tc>
        <w:tc>
          <w:tcPr>
            <w:tcW w:w="354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场地、作业区、道路、</w:t>
            </w:r>
            <w:r>
              <w:rPr>
                <w:rFonts w:hint="eastAsia" w:ascii="宋体 ，Arial" w:hAnsi="宋体" w:eastAsia="宋体 ，Arial" w:cs="宋体"/>
                <w:kern w:val="0"/>
                <w:sz w:val="20"/>
                <w:szCs w:val="20"/>
              </w:rPr>
              <w:t>排水沟、</w:t>
            </w:r>
            <w:r>
              <w:rPr>
                <w:rFonts w:hint="eastAsia" w:ascii="宋体" w:hAnsi="宋体" w:cs="宋体"/>
                <w:kern w:val="0"/>
                <w:sz w:val="20"/>
                <w:szCs w:val="20"/>
              </w:rPr>
              <w:t>施工厕所的日常维护</w:t>
            </w:r>
          </w:p>
        </w:tc>
        <w:tc>
          <w:tcPr>
            <w:tcW w:w="52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shd w:val="clear" w:color="auto" w:fill="FFFFFF"/>
          <w:tblCellMar>
            <w:top w:w="0" w:type="dxa"/>
            <w:left w:w="108" w:type="dxa"/>
            <w:bottom w:w="0" w:type="dxa"/>
            <w:right w:w="108" w:type="dxa"/>
          </w:tblCellMar>
        </w:tblPrEx>
        <w:trPr>
          <w:trHeight w:val="735" w:hRule="atLeast"/>
        </w:trPr>
        <w:tc>
          <w:tcPr>
            <w:tcW w:w="709" w:type="dxa"/>
            <w:tcBorders>
              <w:top w:val="nil"/>
              <w:left w:val="single" w:color="auto" w:sz="4" w:space="0"/>
              <w:bottom w:val="single" w:color="auto" w:sz="4" w:space="0"/>
              <w:right w:val="single" w:color="auto" w:sz="4" w:space="0"/>
            </w:tcBorders>
            <w:shd w:val="clear" w:color="auto" w:fill="FFFFFF"/>
            <w:vAlign w:val="center"/>
          </w:tcPr>
          <w:p>
            <w:pPr>
              <w:widowControl/>
              <w:jc w:val="center"/>
              <w:rPr>
                <w:kern w:val="0"/>
                <w:sz w:val="20"/>
                <w:szCs w:val="20"/>
              </w:rPr>
            </w:pPr>
            <w:r>
              <w:rPr>
                <w:kern w:val="0"/>
                <w:sz w:val="20"/>
                <w:szCs w:val="20"/>
              </w:rPr>
              <w:t>8</w:t>
            </w:r>
          </w:p>
        </w:tc>
        <w:tc>
          <w:tcPr>
            <w:tcW w:w="3544"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电焊机集装箱、电焊机二次线快速插头布设等</w:t>
            </w:r>
          </w:p>
        </w:tc>
        <w:tc>
          <w:tcPr>
            <w:tcW w:w="354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电焊机集装箱</w:t>
            </w:r>
          </w:p>
        </w:tc>
        <w:tc>
          <w:tcPr>
            <w:tcW w:w="52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p>
        </w:tc>
      </w:tr>
      <w:tr>
        <w:tblPrEx>
          <w:shd w:val="clear" w:color="auto" w:fill="FFFFFF"/>
          <w:tblCellMar>
            <w:top w:w="0" w:type="dxa"/>
            <w:left w:w="108" w:type="dxa"/>
            <w:bottom w:w="0" w:type="dxa"/>
            <w:right w:w="108" w:type="dxa"/>
          </w:tblCellMar>
        </w:tblPrEx>
        <w:trPr>
          <w:trHeight w:val="390" w:hRule="atLeast"/>
        </w:trPr>
        <w:tc>
          <w:tcPr>
            <w:tcW w:w="709" w:type="dxa"/>
            <w:tcBorders>
              <w:top w:val="nil"/>
              <w:left w:val="single" w:color="auto" w:sz="4" w:space="0"/>
              <w:bottom w:val="single" w:color="auto" w:sz="4" w:space="0"/>
              <w:right w:val="single" w:color="auto" w:sz="4" w:space="0"/>
            </w:tcBorders>
            <w:shd w:val="clear" w:color="auto" w:fill="FFFFFF"/>
            <w:vAlign w:val="center"/>
          </w:tcPr>
          <w:p>
            <w:pPr>
              <w:widowControl/>
              <w:jc w:val="center"/>
              <w:rPr>
                <w:kern w:val="0"/>
                <w:sz w:val="20"/>
                <w:szCs w:val="20"/>
              </w:rPr>
            </w:pPr>
            <w:r>
              <w:rPr>
                <w:kern w:val="0"/>
                <w:sz w:val="20"/>
                <w:szCs w:val="20"/>
              </w:rPr>
              <w:t>　</w:t>
            </w:r>
          </w:p>
        </w:tc>
        <w:tc>
          <w:tcPr>
            <w:tcW w:w="3544"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54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电焊机二次线快速插头及通道</w:t>
            </w:r>
          </w:p>
        </w:tc>
        <w:tc>
          <w:tcPr>
            <w:tcW w:w="52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p>
        </w:tc>
      </w:tr>
      <w:tr>
        <w:tblPrEx>
          <w:shd w:val="clear" w:color="auto" w:fill="FFFFFF"/>
          <w:tblCellMar>
            <w:top w:w="0" w:type="dxa"/>
            <w:left w:w="108" w:type="dxa"/>
            <w:bottom w:w="0" w:type="dxa"/>
            <w:right w:w="108" w:type="dxa"/>
          </w:tblCellMar>
        </w:tblPrEx>
        <w:trPr>
          <w:trHeight w:val="390" w:hRule="atLeast"/>
        </w:trPr>
        <w:tc>
          <w:tcPr>
            <w:tcW w:w="709" w:type="dxa"/>
            <w:tcBorders>
              <w:top w:val="nil"/>
              <w:left w:val="single" w:color="auto" w:sz="4" w:space="0"/>
              <w:bottom w:val="single" w:color="auto" w:sz="4" w:space="0"/>
              <w:right w:val="single" w:color="auto" w:sz="4" w:space="0"/>
            </w:tcBorders>
            <w:shd w:val="clear" w:color="auto" w:fill="FFFFFF"/>
            <w:vAlign w:val="center"/>
          </w:tcPr>
          <w:p>
            <w:pPr>
              <w:widowControl/>
              <w:jc w:val="center"/>
              <w:rPr>
                <w:kern w:val="0"/>
                <w:sz w:val="20"/>
                <w:szCs w:val="20"/>
              </w:rPr>
            </w:pPr>
            <w:r>
              <w:rPr>
                <w:kern w:val="0"/>
                <w:sz w:val="20"/>
                <w:szCs w:val="20"/>
              </w:rPr>
              <w:t>　</w:t>
            </w:r>
          </w:p>
        </w:tc>
        <w:tc>
          <w:tcPr>
            <w:tcW w:w="3544"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54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氧气、乙炔供气口及防雨罩</w:t>
            </w:r>
          </w:p>
        </w:tc>
        <w:tc>
          <w:tcPr>
            <w:tcW w:w="52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p>
        </w:tc>
      </w:tr>
      <w:tr>
        <w:tblPrEx>
          <w:shd w:val="clear" w:color="auto" w:fill="FFFFFF"/>
          <w:tblCellMar>
            <w:top w:w="0" w:type="dxa"/>
            <w:left w:w="108" w:type="dxa"/>
            <w:bottom w:w="0" w:type="dxa"/>
            <w:right w:w="108" w:type="dxa"/>
          </w:tblCellMar>
        </w:tblPrEx>
        <w:trPr>
          <w:trHeight w:val="405" w:hRule="atLeast"/>
        </w:trPr>
        <w:tc>
          <w:tcPr>
            <w:tcW w:w="709" w:type="dxa"/>
            <w:tcBorders>
              <w:top w:val="nil"/>
              <w:left w:val="single" w:color="auto" w:sz="4" w:space="0"/>
              <w:bottom w:val="single" w:color="auto" w:sz="4" w:space="0"/>
              <w:right w:val="single" w:color="auto" w:sz="4" w:space="0"/>
            </w:tcBorders>
            <w:shd w:val="clear" w:color="auto" w:fill="FFFFFF"/>
            <w:vAlign w:val="center"/>
          </w:tcPr>
          <w:p>
            <w:pPr>
              <w:widowControl/>
              <w:jc w:val="center"/>
              <w:rPr>
                <w:kern w:val="0"/>
                <w:sz w:val="20"/>
                <w:szCs w:val="20"/>
              </w:rPr>
            </w:pPr>
            <w:r>
              <w:rPr>
                <w:kern w:val="0"/>
                <w:sz w:val="20"/>
                <w:szCs w:val="20"/>
              </w:rPr>
              <w:t>　</w:t>
            </w:r>
          </w:p>
        </w:tc>
        <w:tc>
          <w:tcPr>
            <w:tcW w:w="3544"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54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氧气、乙炔笼及托架</w:t>
            </w:r>
          </w:p>
        </w:tc>
        <w:tc>
          <w:tcPr>
            <w:tcW w:w="52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p>
        </w:tc>
      </w:tr>
      <w:tr>
        <w:tblPrEx>
          <w:shd w:val="clear" w:color="auto" w:fill="FFFFFF"/>
          <w:tblCellMar>
            <w:top w:w="0" w:type="dxa"/>
            <w:left w:w="108" w:type="dxa"/>
            <w:bottom w:w="0" w:type="dxa"/>
            <w:right w:w="108" w:type="dxa"/>
          </w:tblCellMar>
        </w:tblPrEx>
        <w:trPr>
          <w:trHeight w:val="390" w:hRule="atLeast"/>
        </w:trPr>
        <w:tc>
          <w:tcPr>
            <w:tcW w:w="709" w:type="dxa"/>
            <w:tcBorders>
              <w:top w:val="nil"/>
              <w:left w:val="single" w:color="auto" w:sz="4" w:space="0"/>
              <w:bottom w:val="single" w:color="auto" w:sz="4" w:space="0"/>
              <w:right w:val="single" w:color="auto" w:sz="4" w:space="0"/>
            </w:tcBorders>
            <w:shd w:val="clear" w:color="auto" w:fill="FFFFFF"/>
            <w:vAlign w:val="center"/>
          </w:tcPr>
          <w:p>
            <w:pPr>
              <w:widowControl/>
              <w:jc w:val="center"/>
              <w:rPr>
                <w:kern w:val="0"/>
                <w:sz w:val="20"/>
                <w:szCs w:val="20"/>
              </w:rPr>
            </w:pPr>
            <w:r>
              <w:rPr>
                <w:kern w:val="0"/>
                <w:sz w:val="20"/>
                <w:szCs w:val="20"/>
              </w:rPr>
              <w:t>　</w:t>
            </w:r>
          </w:p>
        </w:tc>
        <w:tc>
          <w:tcPr>
            <w:tcW w:w="3544"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54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氧气、乙炔临时存放点</w:t>
            </w:r>
          </w:p>
        </w:tc>
        <w:tc>
          <w:tcPr>
            <w:tcW w:w="52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p>
        </w:tc>
      </w:tr>
      <w:tr>
        <w:tblPrEx>
          <w:shd w:val="clear" w:color="auto" w:fill="FFFFFF"/>
          <w:tblCellMar>
            <w:top w:w="0" w:type="dxa"/>
            <w:left w:w="108" w:type="dxa"/>
            <w:bottom w:w="0" w:type="dxa"/>
            <w:right w:w="108" w:type="dxa"/>
          </w:tblCellMar>
        </w:tblPrEx>
        <w:trPr>
          <w:trHeight w:val="390" w:hRule="atLeast"/>
        </w:trPr>
        <w:tc>
          <w:tcPr>
            <w:tcW w:w="709" w:type="dxa"/>
            <w:tcBorders>
              <w:top w:val="nil"/>
              <w:left w:val="single" w:color="auto" w:sz="4" w:space="0"/>
              <w:bottom w:val="single" w:color="auto" w:sz="4" w:space="0"/>
              <w:right w:val="single" w:color="auto" w:sz="4" w:space="0"/>
            </w:tcBorders>
            <w:shd w:val="clear" w:color="auto" w:fill="FFFFFF"/>
            <w:vAlign w:val="center"/>
          </w:tcPr>
          <w:p>
            <w:pPr>
              <w:widowControl/>
              <w:jc w:val="center"/>
              <w:rPr>
                <w:kern w:val="0"/>
                <w:sz w:val="20"/>
                <w:szCs w:val="20"/>
              </w:rPr>
            </w:pPr>
            <w:r>
              <w:rPr>
                <w:kern w:val="0"/>
                <w:sz w:val="20"/>
                <w:szCs w:val="20"/>
              </w:rPr>
              <w:t>　</w:t>
            </w:r>
          </w:p>
        </w:tc>
        <w:tc>
          <w:tcPr>
            <w:tcW w:w="3544"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54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氧气、乙炔瓶吊篮</w:t>
            </w:r>
          </w:p>
        </w:tc>
        <w:tc>
          <w:tcPr>
            <w:tcW w:w="52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p>
        </w:tc>
      </w:tr>
      <w:tr>
        <w:tblPrEx>
          <w:shd w:val="clear" w:color="auto" w:fill="FFFFFF"/>
          <w:tblCellMar>
            <w:top w:w="0" w:type="dxa"/>
            <w:left w:w="108" w:type="dxa"/>
            <w:bottom w:w="0" w:type="dxa"/>
            <w:right w:w="108" w:type="dxa"/>
          </w:tblCellMar>
        </w:tblPrEx>
        <w:trPr>
          <w:trHeight w:val="390" w:hRule="atLeast"/>
        </w:trPr>
        <w:tc>
          <w:tcPr>
            <w:tcW w:w="709" w:type="dxa"/>
            <w:tcBorders>
              <w:top w:val="nil"/>
              <w:left w:val="single" w:color="auto" w:sz="4" w:space="0"/>
              <w:bottom w:val="single" w:color="auto" w:sz="4" w:space="0"/>
              <w:right w:val="single" w:color="auto" w:sz="4" w:space="0"/>
            </w:tcBorders>
            <w:shd w:val="clear" w:color="auto" w:fill="FFFFFF"/>
            <w:vAlign w:val="center"/>
          </w:tcPr>
          <w:p>
            <w:pPr>
              <w:widowControl/>
              <w:jc w:val="center"/>
              <w:rPr>
                <w:kern w:val="0"/>
                <w:sz w:val="20"/>
                <w:szCs w:val="20"/>
              </w:rPr>
            </w:pPr>
            <w:r>
              <w:rPr>
                <w:kern w:val="0"/>
                <w:sz w:val="20"/>
                <w:szCs w:val="20"/>
              </w:rPr>
              <w:t>9</w:t>
            </w:r>
          </w:p>
        </w:tc>
        <w:tc>
          <w:tcPr>
            <w:tcW w:w="3544"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特殊个人防护用品</w:t>
            </w:r>
          </w:p>
        </w:tc>
        <w:tc>
          <w:tcPr>
            <w:tcW w:w="354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荧光服</w:t>
            </w:r>
          </w:p>
        </w:tc>
        <w:tc>
          <w:tcPr>
            <w:tcW w:w="5245" w:type="dxa"/>
            <w:tcBorders>
              <w:top w:val="nil"/>
              <w:left w:val="nil"/>
              <w:bottom w:val="single" w:color="auto" w:sz="4" w:space="0"/>
              <w:right w:val="single" w:color="auto" w:sz="4" w:space="0"/>
            </w:tcBorders>
            <w:shd w:val="clear" w:color="auto" w:fill="FFFFFF"/>
            <w:vAlign w:val="center"/>
          </w:tcPr>
          <w:p>
            <w:pPr>
              <w:widowControl/>
              <w:jc w:val="left"/>
              <w:rPr>
                <w:kern w:val="0"/>
                <w:sz w:val="20"/>
                <w:szCs w:val="20"/>
              </w:rPr>
            </w:pPr>
            <w:r>
              <w:rPr>
                <w:kern w:val="0"/>
                <w:sz w:val="20"/>
                <w:szCs w:val="20"/>
              </w:rPr>
              <w:t>　</w:t>
            </w:r>
          </w:p>
        </w:tc>
      </w:tr>
      <w:tr>
        <w:tblPrEx>
          <w:shd w:val="clear" w:color="auto" w:fill="FFFFFF"/>
          <w:tblCellMar>
            <w:top w:w="0" w:type="dxa"/>
            <w:left w:w="108" w:type="dxa"/>
            <w:bottom w:w="0" w:type="dxa"/>
            <w:right w:w="108" w:type="dxa"/>
          </w:tblCellMar>
        </w:tblPrEx>
        <w:trPr>
          <w:trHeight w:val="390"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 w:val="20"/>
                <w:szCs w:val="20"/>
              </w:rPr>
            </w:pPr>
            <w:r>
              <w:rPr>
                <w:kern w:val="0"/>
                <w:sz w:val="20"/>
                <w:szCs w:val="20"/>
              </w:rPr>
              <w:t>　</w:t>
            </w:r>
          </w:p>
        </w:tc>
        <w:tc>
          <w:tcPr>
            <w:tcW w:w="3544"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543"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速差自控器</w:t>
            </w:r>
          </w:p>
        </w:tc>
        <w:tc>
          <w:tcPr>
            <w:tcW w:w="5245" w:type="dxa"/>
            <w:tcBorders>
              <w:top w:val="single" w:color="auto" w:sz="4" w:space="0"/>
              <w:left w:val="nil"/>
              <w:bottom w:val="single" w:color="auto" w:sz="4" w:space="0"/>
              <w:right w:val="single" w:color="auto" w:sz="4" w:space="0"/>
            </w:tcBorders>
            <w:shd w:val="clear" w:color="auto" w:fill="FFFFFF"/>
            <w:vAlign w:val="center"/>
          </w:tcPr>
          <w:p>
            <w:pPr>
              <w:widowControl/>
              <w:jc w:val="left"/>
              <w:rPr>
                <w:kern w:val="0"/>
                <w:sz w:val="20"/>
                <w:szCs w:val="20"/>
              </w:rPr>
            </w:pPr>
            <w:r>
              <w:rPr>
                <w:kern w:val="0"/>
                <w:sz w:val="20"/>
                <w:szCs w:val="20"/>
              </w:rPr>
              <w:t>　</w:t>
            </w:r>
          </w:p>
        </w:tc>
      </w:tr>
      <w:tr>
        <w:tblPrEx>
          <w:shd w:val="clear" w:color="auto" w:fill="FFFFFF"/>
          <w:tblCellMar>
            <w:top w:w="0" w:type="dxa"/>
            <w:left w:w="108" w:type="dxa"/>
            <w:bottom w:w="0" w:type="dxa"/>
            <w:right w:w="108" w:type="dxa"/>
          </w:tblCellMar>
        </w:tblPrEx>
        <w:trPr>
          <w:trHeight w:val="390" w:hRule="atLeast"/>
        </w:trPr>
        <w:tc>
          <w:tcPr>
            <w:tcW w:w="709" w:type="dxa"/>
            <w:tcBorders>
              <w:top w:val="nil"/>
              <w:left w:val="single" w:color="auto" w:sz="4" w:space="0"/>
              <w:bottom w:val="single" w:color="auto" w:sz="4" w:space="0"/>
              <w:right w:val="single" w:color="auto" w:sz="4" w:space="0"/>
            </w:tcBorders>
            <w:shd w:val="clear" w:color="auto" w:fill="FFFFFF"/>
            <w:vAlign w:val="center"/>
          </w:tcPr>
          <w:p>
            <w:pPr>
              <w:widowControl/>
              <w:jc w:val="center"/>
              <w:rPr>
                <w:kern w:val="0"/>
                <w:sz w:val="20"/>
                <w:szCs w:val="20"/>
              </w:rPr>
            </w:pPr>
            <w:r>
              <w:rPr>
                <w:kern w:val="0"/>
                <w:sz w:val="20"/>
                <w:szCs w:val="20"/>
              </w:rPr>
              <w:t>　</w:t>
            </w:r>
          </w:p>
        </w:tc>
        <w:tc>
          <w:tcPr>
            <w:tcW w:w="3544"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p>
        </w:tc>
        <w:tc>
          <w:tcPr>
            <w:tcW w:w="354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煤气报警器</w:t>
            </w:r>
          </w:p>
        </w:tc>
        <w:tc>
          <w:tcPr>
            <w:tcW w:w="5245" w:type="dxa"/>
            <w:tcBorders>
              <w:top w:val="nil"/>
              <w:left w:val="nil"/>
              <w:bottom w:val="single" w:color="auto" w:sz="4" w:space="0"/>
              <w:right w:val="single" w:color="auto" w:sz="4" w:space="0"/>
            </w:tcBorders>
            <w:shd w:val="clear" w:color="auto" w:fill="FFFFFF"/>
            <w:vAlign w:val="center"/>
          </w:tcPr>
          <w:p>
            <w:pPr>
              <w:widowControl/>
              <w:jc w:val="left"/>
              <w:rPr>
                <w:kern w:val="0"/>
                <w:sz w:val="20"/>
                <w:szCs w:val="20"/>
              </w:rPr>
            </w:pPr>
            <w:r>
              <w:rPr>
                <w:kern w:val="0"/>
                <w:sz w:val="20"/>
                <w:szCs w:val="20"/>
              </w:rPr>
              <w:t>　</w:t>
            </w:r>
          </w:p>
        </w:tc>
      </w:tr>
      <w:tr>
        <w:tblPrEx>
          <w:shd w:val="clear" w:color="auto" w:fill="FFFFFF"/>
          <w:tblCellMar>
            <w:top w:w="0" w:type="dxa"/>
            <w:left w:w="108" w:type="dxa"/>
            <w:bottom w:w="0" w:type="dxa"/>
            <w:right w:w="108" w:type="dxa"/>
          </w:tblCellMar>
        </w:tblPrEx>
        <w:trPr>
          <w:trHeight w:val="390" w:hRule="atLeast"/>
        </w:trPr>
        <w:tc>
          <w:tcPr>
            <w:tcW w:w="709" w:type="dxa"/>
            <w:tcBorders>
              <w:top w:val="nil"/>
              <w:left w:val="single" w:color="auto" w:sz="4" w:space="0"/>
              <w:bottom w:val="single" w:color="auto" w:sz="4" w:space="0"/>
              <w:right w:val="single" w:color="auto" w:sz="4" w:space="0"/>
            </w:tcBorders>
            <w:shd w:val="clear" w:color="auto" w:fill="FFFFFF"/>
            <w:vAlign w:val="center"/>
          </w:tcPr>
          <w:p>
            <w:pPr>
              <w:widowControl/>
              <w:jc w:val="center"/>
              <w:rPr>
                <w:kern w:val="0"/>
                <w:sz w:val="20"/>
                <w:szCs w:val="20"/>
              </w:rPr>
            </w:pPr>
            <w:r>
              <w:rPr>
                <w:kern w:val="0"/>
                <w:sz w:val="20"/>
                <w:szCs w:val="20"/>
              </w:rPr>
              <w:t>10</w:t>
            </w:r>
          </w:p>
        </w:tc>
        <w:tc>
          <w:tcPr>
            <w:tcW w:w="3544" w:type="dxa"/>
            <w:tcBorders>
              <w:top w:val="nil"/>
              <w:left w:val="nil"/>
              <w:bottom w:val="single" w:color="auto" w:sz="4" w:space="0"/>
              <w:right w:val="single" w:color="auto" w:sz="4" w:space="0"/>
            </w:tcBorders>
            <w:shd w:val="clear" w:color="auto" w:fill="FFFFFF"/>
            <w:vAlign w:val="center"/>
          </w:tcPr>
          <w:p>
            <w:pPr>
              <w:widowControl/>
              <w:rPr>
                <w:rFonts w:ascii="宋体" w:hAnsi="宋体" w:cs="宋体"/>
                <w:kern w:val="0"/>
                <w:sz w:val="20"/>
                <w:szCs w:val="20"/>
              </w:rPr>
            </w:pPr>
            <w:r>
              <w:rPr>
                <w:rFonts w:hint="eastAsia" w:ascii="宋体 ，Arial" w:hAnsi="宋体" w:eastAsia="宋体 ，Arial" w:cs="宋体"/>
                <w:kern w:val="0"/>
                <w:sz w:val="20"/>
                <w:szCs w:val="20"/>
              </w:rPr>
              <w:t>现场防火防雨</w:t>
            </w:r>
          </w:p>
        </w:tc>
        <w:tc>
          <w:tcPr>
            <w:tcW w:w="354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防火布</w:t>
            </w:r>
          </w:p>
        </w:tc>
        <w:tc>
          <w:tcPr>
            <w:tcW w:w="52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p>
        </w:tc>
      </w:tr>
      <w:tr>
        <w:tblPrEx>
          <w:shd w:val="clear" w:color="auto" w:fill="FFFFFF"/>
          <w:tblCellMar>
            <w:top w:w="0" w:type="dxa"/>
            <w:left w:w="108" w:type="dxa"/>
            <w:bottom w:w="0" w:type="dxa"/>
            <w:right w:w="108" w:type="dxa"/>
          </w:tblCellMar>
        </w:tblPrEx>
        <w:trPr>
          <w:trHeight w:val="390" w:hRule="atLeast"/>
        </w:trPr>
        <w:tc>
          <w:tcPr>
            <w:tcW w:w="709" w:type="dxa"/>
            <w:tcBorders>
              <w:top w:val="nil"/>
              <w:left w:val="single" w:color="auto" w:sz="4" w:space="0"/>
              <w:bottom w:val="single" w:color="auto" w:sz="4" w:space="0"/>
              <w:right w:val="single" w:color="auto" w:sz="4" w:space="0"/>
            </w:tcBorders>
            <w:shd w:val="clear" w:color="auto" w:fill="FFFFFF"/>
            <w:vAlign w:val="center"/>
          </w:tcPr>
          <w:p>
            <w:pPr>
              <w:widowControl/>
              <w:jc w:val="center"/>
              <w:rPr>
                <w:kern w:val="0"/>
                <w:sz w:val="20"/>
                <w:szCs w:val="20"/>
              </w:rPr>
            </w:pPr>
          </w:p>
        </w:tc>
        <w:tc>
          <w:tcPr>
            <w:tcW w:w="3544"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p>
        </w:tc>
        <w:tc>
          <w:tcPr>
            <w:tcW w:w="3543" w:type="dxa"/>
            <w:tcBorders>
              <w:top w:val="nil"/>
              <w:left w:val="nil"/>
              <w:bottom w:val="single" w:color="auto" w:sz="4" w:space="0"/>
              <w:right w:val="single" w:color="auto" w:sz="4" w:space="0"/>
            </w:tcBorders>
            <w:shd w:val="clear" w:color="auto" w:fill="FFFFFF"/>
            <w:vAlign w:val="center"/>
          </w:tcPr>
          <w:p>
            <w:pPr>
              <w:widowControl/>
              <w:rPr>
                <w:rFonts w:ascii="宋体" w:hAnsi="宋体" w:cs="宋体"/>
                <w:kern w:val="0"/>
                <w:sz w:val="20"/>
                <w:szCs w:val="20"/>
              </w:rPr>
            </w:pPr>
            <w:r>
              <w:rPr>
                <w:rFonts w:hint="eastAsia" w:ascii="宋体 ，Arial" w:hAnsi="宋体" w:eastAsia="宋体 ，Arial" w:cs="宋体"/>
                <w:kern w:val="0"/>
                <w:sz w:val="20"/>
                <w:szCs w:val="20"/>
              </w:rPr>
              <w:t>消防器材</w:t>
            </w:r>
          </w:p>
        </w:tc>
        <w:tc>
          <w:tcPr>
            <w:tcW w:w="5245" w:type="dxa"/>
            <w:tcBorders>
              <w:top w:val="nil"/>
              <w:left w:val="nil"/>
              <w:bottom w:val="single" w:color="auto" w:sz="4" w:space="0"/>
              <w:right w:val="single" w:color="auto" w:sz="4" w:space="0"/>
            </w:tcBorders>
            <w:shd w:val="clear" w:color="auto" w:fill="FFFFFF"/>
            <w:vAlign w:val="center"/>
          </w:tcPr>
          <w:p>
            <w:pPr>
              <w:widowControl/>
              <w:jc w:val="center"/>
              <w:rPr>
                <w:rFonts w:ascii="宋体 ，Arial" w:hAnsi="宋体" w:eastAsia="宋体 ，Arial" w:cs="宋体"/>
                <w:kern w:val="0"/>
                <w:sz w:val="20"/>
                <w:szCs w:val="20"/>
              </w:rPr>
            </w:pPr>
            <w:r>
              <w:rPr>
                <w:rFonts w:hint="eastAsia" w:ascii="宋体 ，Arial" w:hAnsi="宋体" w:eastAsia="宋体 ，Arial" w:cs="宋体"/>
                <w:kern w:val="0"/>
                <w:sz w:val="20"/>
                <w:szCs w:val="20"/>
              </w:rPr>
              <w:t>消防器材配置合理，符合消防要求</w:t>
            </w:r>
          </w:p>
        </w:tc>
      </w:tr>
      <w:tr>
        <w:tblPrEx>
          <w:shd w:val="clear" w:color="auto" w:fill="FFFFFF"/>
          <w:tblCellMar>
            <w:top w:w="0" w:type="dxa"/>
            <w:left w:w="108" w:type="dxa"/>
            <w:bottom w:w="0" w:type="dxa"/>
            <w:right w:w="108" w:type="dxa"/>
          </w:tblCellMar>
        </w:tblPrEx>
        <w:trPr>
          <w:trHeight w:val="390" w:hRule="atLeast"/>
        </w:trPr>
        <w:tc>
          <w:tcPr>
            <w:tcW w:w="709" w:type="dxa"/>
            <w:tcBorders>
              <w:top w:val="nil"/>
              <w:left w:val="single" w:color="auto" w:sz="4" w:space="0"/>
              <w:bottom w:val="single" w:color="auto" w:sz="4" w:space="0"/>
              <w:right w:val="single" w:color="auto" w:sz="4" w:space="0"/>
            </w:tcBorders>
            <w:shd w:val="clear" w:color="auto" w:fill="FFFFFF"/>
            <w:vAlign w:val="center"/>
          </w:tcPr>
          <w:p>
            <w:pPr>
              <w:widowControl/>
              <w:jc w:val="center"/>
              <w:rPr>
                <w:kern w:val="0"/>
                <w:sz w:val="20"/>
                <w:szCs w:val="20"/>
              </w:rPr>
            </w:pPr>
            <w:r>
              <w:rPr>
                <w:kern w:val="0"/>
                <w:sz w:val="20"/>
                <w:szCs w:val="20"/>
              </w:rPr>
              <w:t>　</w:t>
            </w:r>
          </w:p>
        </w:tc>
        <w:tc>
          <w:tcPr>
            <w:tcW w:w="3544"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p>
        </w:tc>
        <w:tc>
          <w:tcPr>
            <w:tcW w:w="354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彩条布</w:t>
            </w:r>
          </w:p>
        </w:tc>
        <w:tc>
          <w:tcPr>
            <w:tcW w:w="52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p>
        </w:tc>
      </w:tr>
      <w:tr>
        <w:tblPrEx>
          <w:shd w:val="clear" w:color="auto" w:fill="FFFFFF"/>
          <w:tblCellMar>
            <w:top w:w="0" w:type="dxa"/>
            <w:left w:w="108" w:type="dxa"/>
            <w:bottom w:w="0" w:type="dxa"/>
            <w:right w:w="108" w:type="dxa"/>
          </w:tblCellMar>
        </w:tblPrEx>
        <w:trPr>
          <w:trHeight w:val="390" w:hRule="atLeast"/>
        </w:trPr>
        <w:tc>
          <w:tcPr>
            <w:tcW w:w="709" w:type="dxa"/>
            <w:tcBorders>
              <w:top w:val="nil"/>
              <w:left w:val="single" w:color="auto" w:sz="4" w:space="0"/>
              <w:bottom w:val="single" w:color="auto" w:sz="4" w:space="0"/>
              <w:right w:val="single" w:color="auto" w:sz="4" w:space="0"/>
            </w:tcBorders>
            <w:shd w:val="clear" w:color="auto" w:fill="FFFFFF"/>
            <w:vAlign w:val="center"/>
          </w:tcPr>
          <w:p>
            <w:pPr>
              <w:widowControl/>
              <w:jc w:val="center"/>
              <w:rPr>
                <w:kern w:val="0"/>
                <w:sz w:val="20"/>
                <w:szCs w:val="20"/>
              </w:rPr>
            </w:pPr>
          </w:p>
        </w:tc>
        <w:tc>
          <w:tcPr>
            <w:tcW w:w="3544"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p>
        </w:tc>
        <w:tc>
          <w:tcPr>
            <w:tcW w:w="354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三防雨布</w:t>
            </w:r>
          </w:p>
        </w:tc>
        <w:tc>
          <w:tcPr>
            <w:tcW w:w="52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390" w:hRule="atLeast"/>
        </w:trPr>
        <w:tc>
          <w:tcPr>
            <w:tcW w:w="709" w:type="dxa"/>
            <w:tcBorders>
              <w:top w:val="nil"/>
              <w:left w:val="single" w:color="auto" w:sz="4" w:space="0"/>
              <w:bottom w:val="single" w:color="auto" w:sz="4" w:space="0"/>
              <w:right w:val="single" w:color="auto" w:sz="4" w:space="0"/>
            </w:tcBorders>
            <w:shd w:val="clear" w:color="auto" w:fill="FFFFFF"/>
            <w:vAlign w:val="center"/>
          </w:tcPr>
          <w:p>
            <w:pPr>
              <w:widowControl/>
              <w:jc w:val="center"/>
              <w:rPr>
                <w:kern w:val="0"/>
                <w:sz w:val="20"/>
                <w:szCs w:val="20"/>
              </w:rPr>
            </w:pPr>
            <w:r>
              <w:rPr>
                <w:rFonts w:hint="eastAsia"/>
                <w:kern w:val="0"/>
                <w:sz w:val="20"/>
                <w:szCs w:val="20"/>
              </w:rPr>
              <w:t>11</w:t>
            </w:r>
          </w:p>
        </w:tc>
        <w:tc>
          <w:tcPr>
            <w:tcW w:w="3544"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个人劳保、安全防护用品</w:t>
            </w:r>
          </w:p>
        </w:tc>
        <w:tc>
          <w:tcPr>
            <w:tcW w:w="354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劳保鞋、防护手套、安全帽、安全带、速差自控器、攀登自锁器、面罩等</w:t>
            </w:r>
          </w:p>
        </w:tc>
        <w:tc>
          <w:tcPr>
            <w:tcW w:w="52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390" w:hRule="atLeast"/>
        </w:trPr>
        <w:tc>
          <w:tcPr>
            <w:tcW w:w="709" w:type="dxa"/>
            <w:tcBorders>
              <w:top w:val="nil"/>
              <w:left w:val="single" w:color="auto" w:sz="4" w:space="0"/>
              <w:bottom w:val="single" w:color="auto" w:sz="4" w:space="0"/>
              <w:right w:val="single" w:color="auto" w:sz="4" w:space="0"/>
            </w:tcBorders>
            <w:shd w:val="clear" w:color="auto" w:fill="FFFFFF"/>
            <w:vAlign w:val="center"/>
          </w:tcPr>
          <w:p>
            <w:pPr>
              <w:widowControl/>
              <w:jc w:val="center"/>
              <w:rPr>
                <w:kern w:val="0"/>
                <w:sz w:val="20"/>
                <w:szCs w:val="20"/>
              </w:rPr>
            </w:pPr>
            <w:r>
              <w:rPr>
                <w:kern w:val="0"/>
                <w:sz w:val="20"/>
                <w:szCs w:val="20"/>
              </w:rPr>
              <w:t>　</w:t>
            </w:r>
            <w:r>
              <w:rPr>
                <w:rFonts w:hint="eastAsia"/>
                <w:kern w:val="0"/>
                <w:sz w:val="20"/>
                <w:szCs w:val="20"/>
              </w:rPr>
              <w:t>12</w:t>
            </w:r>
          </w:p>
        </w:tc>
        <w:tc>
          <w:tcPr>
            <w:tcW w:w="3544"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其它</w:t>
            </w:r>
          </w:p>
        </w:tc>
        <w:tc>
          <w:tcPr>
            <w:tcW w:w="354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p>
        </w:tc>
        <w:tc>
          <w:tcPr>
            <w:tcW w:w="52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p>
        </w:tc>
      </w:tr>
      <w:permEnd w:id="25"/>
    </w:tbl>
    <w:p>
      <w:pPr>
        <w:snapToGrid w:val="0"/>
        <w:spacing w:line="360" w:lineRule="auto"/>
        <w:ind w:firstLine="420" w:firstLineChars="200"/>
        <w:rPr>
          <w:rFonts w:ascii="宋体 ，Arial" w:hAnsi="宋体" w:eastAsia="宋体 ，Arial" w:cs="宋体"/>
          <w:kern w:val="0"/>
          <w:szCs w:val="21"/>
        </w:rPr>
      </w:pPr>
      <w:r>
        <w:rPr>
          <w:rFonts w:hint="eastAsia" w:ascii="宋体 ，Arial" w:hAnsi="宋体" w:eastAsia="宋体 ，Arial" w:cs="宋体"/>
          <w:kern w:val="0"/>
          <w:szCs w:val="21"/>
        </w:rPr>
        <w:t>注：1、本表所列安全文明施工措施项目，是依据现行法律法规及标准规范确定。如修订法律法规和标准规范，本表所列项目应按照修订后的法律法规和标准规范进行调整。</w:t>
      </w:r>
    </w:p>
    <w:p>
      <w:pPr>
        <w:numPr>
          <w:ilvl w:val="0"/>
          <w:numId w:val="38"/>
        </w:numPr>
        <w:snapToGrid w:val="0"/>
        <w:spacing w:line="360" w:lineRule="auto"/>
        <w:ind w:firstLine="735" w:firstLineChars="350"/>
        <w:rPr>
          <w:rFonts w:ascii="宋体 ，Arial" w:hAnsi="宋体" w:eastAsia="宋体 ，Arial" w:cs="宋体"/>
          <w:kern w:val="0"/>
          <w:szCs w:val="21"/>
        </w:rPr>
      </w:pPr>
      <w:r>
        <w:rPr>
          <w:rFonts w:hint="eastAsia" w:ascii="宋体 ，Arial" w:hAnsi="宋体" w:eastAsia="宋体 ，Arial" w:cs="宋体"/>
          <w:kern w:val="0"/>
          <w:szCs w:val="21"/>
        </w:rPr>
        <w:t>“其它”子项目是指符合国家及地方电力、建筑行业相关安全文明施工措施费用规定范围，且经发包人审核确认同意增加的安全文明施工相关投入项目。</w:t>
      </w:r>
    </w:p>
    <w:p>
      <w:pPr>
        <w:snapToGrid w:val="0"/>
        <w:spacing w:line="360" w:lineRule="auto"/>
        <w:rPr>
          <w:rFonts w:ascii="宋体 ，Arial" w:hAnsi="宋体" w:eastAsia="宋体 ，Arial" w:cs="宋体"/>
          <w:kern w:val="0"/>
          <w:szCs w:val="21"/>
        </w:rPr>
      </w:pPr>
    </w:p>
    <w:p>
      <w:pPr>
        <w:snapToGrid w:val="0"/>
        <w:spacing w:line="360" w:lineRule="auto"/>
        <w:rPr>
          <w:rFonts w:ascii="宋体 ，Arial" w:hAnsi="宋体" w:eastAsia="宋体 ，Arial" w:cs="宋体"/>
          <w:kern w:val="0"/>
          <w:szCs w:val="21"/>
        </w:rPr>
      </w:pPr>
    </w:p>
    <w:p>
      <w:pPr>
        <w:snapToGrid w:val="0"/>
        <w:spacing w:line="360" w:lineRule="auto"/>
        <w:rPr>
          <w:rFonts w:ascii="宋体 ，Arial" w:hAnsi="宋体" w:eastAsia="宋体 ，Arial" w:cs="宋体"/>
          <w:kern w:val="0"/>
          <w:szCs w:val="21"/>
        </w:rPr>
      </w:pPr>
    </w:p>
    <w:p>
      <w:pPr>
        <w:snapToGrid w:val="0"/>
        <w:spacing w:line="360" w:lineRule="auto"/>
        <w:rPr>
          <w:rFonts w:ascii="宋体 ，Arial" w:hAnsi="宋体" w:eastAsia="宋体 ，Arial" w:cs="宋体"/>
          <w:kern w:val="0"/>
          <w:szCs w:val="21"/>
        </w:rPr>
      </w:pPr>
    </w:p>
    <w:p>
      <w:pPr>
        <w:snapToGrid w:val="0"/>
        <w:spacing w:line="360" w:lineRule="auto"/>
        <w:rPr>
          <w:rFonts w:ascii="宋体 ，Arial" w:hAnsi="宋体" w:eastAsia="宋体 ，Arial" w:cs="宋体"/>
          <w:kern w:val="0"/>
          <w:szCs w:val="21"/>
        </w:rPr>
      </w:pPr>
    </w:p>
    <w:p>
      <w:pPr>
        <w:snapToGrid w:val="0"/>
        <w:spacing w:line="360" w:lineRule="auto"/>
        <w:rPr>
          <w:rFonts w:ascii="宋体 ，Arial" w:hAnsi="宋体" w:eastAsia="宋体 ，Arial" w:cs="宋体"/>
          <w:kern w:val="0"/>
          <w:szCs w:val="21"/>
        </w:rPr>
      </w:pPr>
    </w:p>
    <w:p>
      <w:pPr>
        <w:snapToGrid w:val="0"/>
        <w:spacing w:line="360" w:lineRule="auto"/>
        <w:rPr>
          <w:rFonts w:ascii="宋体 ，Arial" w:hAnsi="宋体" w:eastAsia="宋体 ，Arial" w:cs="宋体"/>
          <w:kern w:val="0"/>
          <w:szCs w:val="21"/>
        </w:rPr>
      </w:pPr>
    </w:p>
    <w:p>
      <w:pPr>
        <w:snapToGrid w:val="0"/>
        <w:spacing w:line="360" w:lineRule="auto"/>
        <w:rPr>
          <w:rFonts w:ascii="宋体 ，Arial" w:hAnsi="宋体" w:eastAsia="宋体 ，Arial" w:cs="宋体"/>
          <w:kern w:val="0"/>
          <w:szCs w:val="21"/>
        </w:rPr>
      </w:pPr>
    </w:p>
    <w:p>
      <w:pPr>
        <w:snapToGrid w:val="0"/>
        <w:spacing w:line="360" w:lineRule="auto"/>
        <w:rPr>
          <w:rFonts w:ascii="宋体 ，Arial" w:hAnsi="宋体" w:eastAsia="宋体 ，Arial" w:cs="宋体"/>
          <w:kern w:val="0"/>
          <w:szCs w:val="21"/>
        </w:rPr>
      </w:pPr>
    </w:p>
    <w:p>
      <w:pPr>
        <w:snapToGrid w:val="0"/>
        <w:spacing w:line="360" w:lineRule="auto"/>
        <w:rPr>
          <w:rFonts w:ascii="宋体 ，Arial" w:hAnsi="宋体" w:eastAsia="宋体 ，Arial" w:cs="宋体"/>
          <w:kern w:val="0"/>
          <w:szCs w:val="21"/>
        </w:rPr>
        <w:sectPr>
          <w:footerReference r:id="rId4" w:type="default"/>
          <w:pgSz w:w="16838" w:h="11906" w:orient="landscape"/>
          <w:pgMar w:top="1701" w:right="1418" w:bottom="1418" w:left="1418" w:header="851" w:footer="680" w:gutter="0"/>
          <w:cols w:space="720" w:num="1"/>
          <w:docGrid w:type="lines" w:linePitch="312" w:charSpace="0"/>
        </w:sectPr>
      </w:pPr>
    </w:p>
    <w:p>
      <w:pPr>
        <w:pStyle w:val="3"/>
        <w:pageBreakBefore/>
        <w:spacing w:before="120" w:after="0" w:line="240" w:lineRule="auto"/>
        <w:rPr>
          <w:rFonts w:ascii="宋体" w:hAnsi="宋体"/>
          <w:sz w:val="28"/>
          <w:szCs w:val="28"/>
        </w:rPr>
      </w:pPr>
      <w:bookmarkStart w:id="396" w:name="_Toc16447_WPSOffice_Level1"/>
      <w:r>
        <w:rPr>
          <w:rFonts w:hint="eastAsia" w:ascii="宋体" w:hAnsi="宋体"/>
          <w:sz w:val="28"/>
          <w:szCs w:val="28"/>
        </w:rPr>
        <w:t>附件6：民工权益保障承诺书</w:t>
      </w:r>
      <w:bookmarkEnd w:id="396"/>
    </w:p>
    <w:p>
      <w:pPr>
        <w:pStyle w:val="110"/>
        <w:jc w:val="center"/>
        <w:rPr>
          <w:rFonts w:ascii="宋体" w:hAnsi="宋体" w:eastAsia="宋体"/>
          <w:b/>
          <w:sz w:val="28"/>
          <w:szCs w:val="28"/>
        </w:rPr>
      </w:pPr>
      <w:bookmarkStart w:id="397" w:name="_Toc6588_WPSOffice_Level1"/>
      <w:r>
        <w:rPr>
          <w:rFonts w:hint="eastAsia" w:ascii="宋体" w:hAnsi="宋体" w:eastAsia="宋体"/>
          <w:b/>
          <w:sz w:val="28"/>
          <w:szCs w:val="28"/>
        </w:rPr>
        <w:t>民工权益保障承诺书</w:t>
      </w:r>
      <w:bookmarkEnd w:id="397"/>
    </w:p>
    <w:p>
      <w:pPr>
        <w:pStyle w:val="119"/>
        <w:spacing w:line="360" w:lineRule="auto"/>
        <w:jc w:val="center"/>
        <w:rPr>
          <w:rFonts w:ascii="宋体" w:hAnsi="宋体"/>
        </w:rPr>
      </w:pPr>
    </w:p>
    <w:p>
      <w:pPr>
        <w:pStyle w:val="119"/>
        <w:spacing w:line="360" w:lineRule="auto"/>
        <w:rPr>
          <w:rFonts w:ascii="宋体" w:hAnsi="宋体"/>
          <w:b/>
          <w:sz w:val="24"/>
          <w:u w:val="single"/>
        </w:rPr>
      </w:pPr>
      <w:r>
        <w:rPr>
          <w:rFonts w:hint="eastAsia" w:ascii="宋体" w:hAnsi="宋体"/>
          <w:b/>
          <w:sz w:val="24"/>
        </w:rPr>
        <w:t>致</w:t>
      </w:r>
      <w:r>
        <w:rPr>
          <w:rFonts w:hint="eastAsia" w:ascii="宋体" w:hAnsi="宋体"/>
          <w:b/>
          <w:sz w:val="24"/>
          <w:u w:val="single"/>
        </w:rPr>
        <w:t>广州市白云区水务工程建设管理中心:</w:t>
      </w:r>
    </w:p>
    <w:p>
      <w:pPr>
        <w:pStyle w:val="119"/>
        <w:spacing w:line="360" w:lineRule="auto"/>
        <w:ind w:firstLine="480" w:firstLineChars="200"/>
        <w:rPr>
          <w:rFonts w:ascii="宋体" w:hAnsi="宋体"/>
          <w:sz w:val="24"/>
        </w:rPr>
      </w:pPr>
      <w:r>
        <w:rPr>
          <w:rFonts w:hint="eastAsia" w:ascii="宋体" w:hAnsi="宋体"/>
          <w:sz w:val="24"/>
        </w:rPr>
        <w:t>我司同意在合同履行过程中，向贵单位就民工权益保障工作做出如下承诺，并作为本工程施工合同的附件，与其具有同等法律效力。</w:t>
      </w:r>
    </w:p>
    <w:p>
      <w:pPr>
        <w:pStyle w:val="119"/>
        <w:spacing w:line="360" w:lineRule="auto"/>
        <w:ind w:firstLine="480" w:firstLineChars="200"/>
        <w:rPr>
          <w:rFonts w:ascii="宋体" w:hAnsi="宋体"/>
          <w:sz w:val="24"/>
        </w:rPr>
      </w:pPr>
      <w:r>
        <w:rPr>
          <w:rFonts w:hint="eastAsia" w:ascii="宋体" w:hAnsi="宋体"/>
          <w:sz w:val="24"/>
        </w:rPr>
        <w:t>1、我司承诺成立专人负责的民工权益保障专职部门，部门人员由项目经理、预算部经理、财务部经理、民工权益保障专员组成；项目经理兼任部门经理，与贵办负责民工权益保障的部门工作对接。</w:t>
      </w:r>
    </w:p>
    <w:p>
      <w:pPr>
        <w:pStyle w:val="119"/>
        <w:spacing w:line="360" w:lineRule="auto"/>
        <w:ind w:firstLine="480" w:firstLineChars="200"/>
        <w:rPr>
          <w:rFonts w:ascii="宋体" w:hAnsi="宋体"/>
          <w:sz w:val="24"/>
        </w:rPr>
      </w:pPr>
      <w:r>
        <w:rPr>
          <w:rFonts w:hint="eastAsia" w:ascii="宋体" w:hAnsi="宋体"/>
          <w:sz w:val="24"/>
        </w:rPr>
        <w:t>2、我司承诺严格遵守国家、省、市劳务用工制度和有关</w:t>
      </w:r>
      <w:r>
        <w:rPr>
          <w:rFonts w:hint="eastAsia" w:ascii="宋体" w:hAnsi="宋体"/>
          <w:bCs/>
          <w:smallCaps/>
          <w:sz w:val="24"/>
        </w:rPr>
        <w:t>农民工工资支付管理暂行办法，</w:t>
      </w:r>
      <w:r>
        <w:rPr>
          <w:rFonts w:hint="eastAsia" w:ascii="宋体" w:hAnsi="宋体"/>
          <w:sz w:val="24"/>
        </w:rPr>
        <w:t>认真履行职责，做好本公司在贵办承建的施工项目的民工用工和管理工作，确保按时、足额支付劳务分包单位的劳务款，确保按时、足额将民工工资发放到民工本人，安排好本公司民工的生活，做好本公司民工的安全教育和管理工作，发放劳保和安全用品。</w:t>
      </w:r>
    </w:p>
    <w:p>
      <w:pPr>
        <w:pStyle w:val="119"/>
        <w:spacing w:line="360" w:lineRule="auto"/>
        <w:ind w:firstLine="480" w:firstLineChars="200"/>
        <w:rPr>
          <w:rFonts w:ascii="宋体" w:hAnsi="宋体"/>
          <w:sz w:val="24"/>
        </w:rPr>
      </w:pPr>
      <w:r>
        <w:rPr>
          <w:rFonts w:hint="eastAsia" w:ascii="宋体" w:hAnsi="宋体"/>
          <w:sz w:val="24"/>
        </w:rPr>
        <w:t>3、我司承诺按贵办要求按时如实填报有关民工权益保障资料（包括如实记录支付单位、支付时间、支付对象、支付数额等工资支付情况的农民工工资支付凭证），并作为工程款支付依据之一（工程进度款支付申请资料除应附确认的形象进度资料外，同时应附确认的民工权益保障合格资料）。若未按贵办要求及时提供完整的相关资料和凭证的，同意贵单位延期或不予支付相应的进度款。合同履行过程中，如贵单位接到我司拖欠民工工资的投诉，且经核实为事实的，则贵单位有权按照本工程施工合同中的相关条款进行处理，并有权将我司拖欠的金额从应付工程款中直接支付给被拖欠方。</w:t>
      </w:r>
    </w:p>
    <w:p>
      <w:pPr>
        <w:pStyle w:val="119"/>
        <w:spacing w:line="360" w:lineRule="auto"/>
        <w:ind w:firstLine="480" w:firstLineChars="200"/>
        <w:rPr>
          <w:rFonts w:ascii="宋体" w:hAnsi="宋体"/>
          <w:sz w:val="24"/>
        </w:rPr>
      </w:pPr>
      <w:r>
        <w:rPr>
          <w:rFonts w:hint="eastAsia" w:ascii="宋体" w:hAnsi="宋体"/>
          <w:sz w:val="24"/>
        </w:rPr>
        <w:t>特此承诺！</w:t>
      </w:r>
    </w:p>
    <w:p>
      <w:pPr>
        <w:pStyle w:val="120"/>
        <w:spacing w:line="360" w:lineRule="auto"/>
      </w:pPr>
      <w:permStart w:id="26" w:edGrp="everyone"/>
    </w:p>
    <w:p>
      <w:pPr>
        <w:pStyle w:val="120"/>
        <w:spacing w:line="360" w:lineRule="auto"/>
      </w:pPr>
    </w:p>
    <w:p>
      <w:pPr>
        <w:pStyle w:val="120"/>
        <w:spacing w:line="360" w:lineRule="auto"/>
      </w:pPr>
    </w:p>
    <w:p>
      <w:pPr>
        <w:pStyle w:val="120"/>
        <w:spacing w:line="360" w:lineRule="auto"/>
      </w:pPr>
    </w:p>
    <w:p>
      <w:pPr>
        <w:pStyle w:val="120"/>
        <w:spacing w:line="360" w:lineRule="auto"/>
      </w:pPr>
    </w:p>
    <w:p>
      <w:pPr>
        <w:pStyle w:val="120"/>
        <w:spacing w:line="360" w:lineRule="auto"/>
      </w:pPr>
    </w:p>
    <w:p>
      <w:pPr>
        <w:pStyle w:val="120"/>
        <w:spacing w:line="360" w:lineRule="auto"/>
      </w:pPr>
    </w:p>
    <w:p>
      <w:pPr>
        <w:pStyle w:val="120"/>
        <w:spacing w:line="360" w:lineRule="auto"/>
      </w:pPr>
    </w:p>
    <w:p>
      <w:pPr>
        <w:pStyle w:val="120"/>
        <w:spacing w:line="360" w:lineRule="auto"/>
      </w:pPr>
    </w:p>
    <w:p>
      <w:pPr>
        <w:pStyle w:val="120"/>
        <w:spacing w:line="360" w:lineRule="auto"/>
      </w:pPr>
      <w:r>
        <w:rPr>
          <w:rFonts w:hint="eastAsia"/>
        </w:rPr>
        <w:t>（此页无正文）</w:t>
      </w:r>
    </w:p>
    <w:p>
      <w:pPr>
        <w:pStyle w:val="120"/>
        <w:spacing w:line="360" w:lineRule="auto"/>
        <w:ind w:firstLine="0" w:firstLineChars="0"/>
        <w:rPr>
          <w:rFonts w:ascii="宋体" w:hAnsi="宋体"/>
          <w:sz w:val="24"/>
        </w:rPr>
      </w:pPr>
    </w:p>
    <w:tbl>
      <w:tblPr>
        <w:tblStyle w:val="39"/>
        <w:tblW w:w="9513" w:type="dxa"/>
        <w:tblInd w:w="93" w:type="dxa"/>
        <w:tblLayout w:type="fixed"/>
        <w:tblCellMar>
          <w:top w:w="15" w:type="dxa"/>
          <w:left w:w="108" w:type="dxa"/>
          <w:bottom w:w="15" w:type="dxa"/>
          <w:right w:w="108" w:type="dxa"/>
        </w:tblCellMar>
      </w:tblPr>
      <w:tblGrid>
        <w:gridCol w:w="4860"/>
        <w:gridCol w:w="4653"/>
      </w:tblGrid>
      <w:tr>
        <w:tblPrEx>
          <w:tblCellMar>
            <w:top w:w="15" w:type="dxa"/>
            <w:left w:w="108" w:type="dxa"/>
            <w:bottom w:w="15" w:type="dxa"/>
            <w:right w:w="108" w:type="dxa"/>
          </w:tblCellMar>
        </w:tblPrEx>
        <w:trPr>
          <w:trHeight w:val="1020"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 w:val="22"/>
              </w:rPr>
              <w:t>承包人（主）</w:t>
            </w:r>
            <w:r>
              <w:rPr>
                <w:rFonts w:hint="eastAsia" w:ascii="宋体" w:hAnsi="宋体" w:cs="宋体"/>
                <w:color w:val="000000"/>
                <w:kern w:val="0"/>
                <w:szCs w:val="21"/>
              </w:rPr>
              <w:t>：</w:t>
            </w:r>
            <w:r>
              <w:rPr>
                <w:rFonts w:hint="eastAsia" w:ascii="宋体" w:hAnsi="宋体" w:cs="宋体"/>
                <w:color w:val="000000"/>
                <w:kern w:val="0"/>
                <w:sz w:val="22"/>
              </w:rPr>
              <w:t>XXX</w:t>
            </w:r>
            <w:r>
              <w:rPr>
                <w:rFonts w:hint="eastAsia" w:ascii="宋体" w:hAnsi="宋体" w:cs="宋体"/>
                <w:color w:val="000000"/>
                <w:kern w:val="0"/>
                <w:szCs w:val="21"/>
              </w:rPr>
              <w:br w:type="textWrapping"/>
            </w:r>
            <w:r>
              <w:rPr>
                <w:rFonts w:hint="eastAsia" w:ascii="宋体" w:hAnsi="宋体" w:cs="宋体"/>
                <w:color w:val="000000"/>
                <w:kern w:val="0"/>
                <w:szCs w:val="21"/>
              </w:rPr>
              <w:t xml:space="preserve">      （盖章）</w:t>
            </w:r>
          </w:p>
        </w:tc>
        <w:tc>
          <w:tcPr>
            <w:tcW w:w="4653" w:type="dxa"/>
            <w:vAlign w:val="center"/>
          </w:tcPr>
          <w:p>
            <w:pPr>
              <w:widowControl/>
              <w:ind w:right="-3396" w:rightChars="-1617"/>
              <w:jc w:val="left"/>
              <w:rPr>
                <w:rFonts w:ascii="宋体" w:hAnsi="宋体" w:cs="宋体"/>
                <w:color w:val="000000"/>
                <w:kern w:val="0"/>
                <w:sz w:val="22"/>
              </w:rPr>
            </w:pPr>
            <w:r>
              <w:rPr>
                <w:rFonts w:hint="eastAsia" w:ascii="宋体" w:hAnsi="宋体" w:cs="宋体"/>
                <w:color w:val="000000"/>
                <w:kern w:val="0"/>
                <w:sz w:val="22"/>
              </w:rPr>
              <w:t>承包人（成）</w:t>
            </w:r>
            <w:r>
              <w:rPr>
                <w:rFonts w:hint="eastAsia" w:ascii="宋体" w:hAnsi="宋体" w:cs="宋体"/>
                <w:color w:val="000000"/>
                <w:kern w:val="0"/>
                <w:szCs w:val="21"/>
              </w:rPr>
              <w:t>：</w:t>
            </w:r>
            <w:r>
              <w:rPr>
                <w:rFonts w:hint="eastAsia" w:ascii="宋体" w:hAnsi="宋体" w:cs="宋体"/>
                <w:color w:val="000000"/>
                <w:kern w:val="0"/>
                <w:sz w:val="22"/>
              </w:rPr>
              <w:t>XXX</w:t>
            </w:r>
            <w:r>
              <w:rPr>
                <w:rFonts w:hint="eastAsia" w:ascii="宋体" w:hAnsi="宋体" w:cs="宋体"/>
                <w:color w:val="000000"/>
                <w:kern w:val="0"/>
                <w:sz w:val="22"/>
              </w:rPr>
              <w:br w:type="textWrapping"/>
            </w:r>
            <w:r>
              <w:rPr>
                <w:rFonts w:hint="eastAsia" w:ascii="宋体" w:hAnsi="宋体" w:cs="宋体"/>
                <w:color w:val="000000"/>
                <w:kern w:val="0"/>
                <w:sz w:val="22"/>
              </w:rPr>
              <w:t xml:space="preserve">      （盖章）</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法定代表人：</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法定代表人：</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或委托代理人：</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或委托代理人：</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经办人：</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经办人：</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地址：</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地址：</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电话：</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电话：</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传真：</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传真：</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开户银行：</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开户银行：</w:t>
            </w:r>
          </w:p>
        </w:tc>
      </w:tr>
      <w:tr>
        <w:tblPrEx>
          <w:tblCellMar>
            <w:top w:w="15" w:type="dxa"/>
            <w:left w:w="108" w:type="dxa"/>
            <w:bottom w:w="15" w:type="dxa"/>
            <w:right w:w="108" w:type="dxa"/>
          </w:tblCellMar>
        </w:tblPrEx>
        <w:trPr>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账号：</w:t>
            </w:r>
          </w:p>
        </w:tc>
        <w:tc>
          <w:tcPr>
            <w:tcW w:w="46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账号：</w:t>
            </w:r>
          </w:p>
        </w:tc>
      </w:tr>
      <w:tr>
        <w:tblPrEx>
          <w:tblCellMar>
            <w:top w:w="15" w:type="dxa"/>
            <w:left w:w="108" w:type="dxa"/>
            <w:bottom w:w="15" w:type="dxa"/>
            <w:right w:w="108" w:type="dxa"/>
          </w:tblCellMar>
        </w:tblPrEx>
        <w:trPr>
          <w:trHeight w:val="286" w:hRule="atLeast"/>
        </w:trPr>
        <w:tc>
          <w:tcPr>
            <w:tcW w:w="4860" w:type="dxa"/>
            <w:vAlign w:val="center"/>
          </w:tcPr>
          <w:p>
            <w:pPr>
              <w:widowControl/>
              <w:rPr>
                <w:rFonts w:ascii="宋体" w:hAnsi="宋体" w:cs="宋体"/>
                <w:color w:val="000000"/>
                <w:kern w:val="0"/>
                <w:szCs w:val="21"/>
              </w:rPr>
            </w:pPr>
            <w:r>
              <w:rPr>
                <w:rFonts w:hint="eastAsia" w:ascii="宋体" w:hAnsi="宋体" w:cs="宋体"/>
                <w:color w:val="000000"/>
                <w:kern w:val="0"/>
                <w:szCs w:val="21"/>
              </w:rPr>
              <w:t>邮政编码：</w:t>
            </w:r>
          </w:p>
        </w:tc>
        <w:tc>
          <w:tcPr>
            <w:tcW w:w="4653" w:type="dxa"/>
            <w:vAlign w:val="center"/>
          </w:tcPr>
          <w:p>
            <w:pPr>
              <w:widowControl/>
              <w:rPr>
                <w:rFonts w:ascii="宋体" w:hAnsi="宋体" w:cs="宋体"/>
                <w:color w:val="000000"/>
                <w:kern w:val="0"/>
                <w:szCs w:val="21"/>
              </w:rPr>
            </w:pPr>
            <w:r>
              <w:rPr>
                <w:rFonts w:hint="eastAsia" w:ascii="宋体" w:hAnsi="宋体" w:cs="宋体"/>
                <w:color w:val="000000"/>
                <w:kern w:val="0"/>
                <w:szCs w:val="21"/>
              </w:rPr>
              <w:t>邮政编码：</w:t>
            </w:r>
          </w:p>
        </w:tc>
      </w:tr>
    </w:tbl>
    <w:p>
      <w:pPr>
        <w:spacing w:line="336" w:lineRule="auto"/>
        <w:rPr>
          <w:rFonts w:ascii="宋体" w:hAnsi="宋体"/>
          <w:szCs w:val="21"/>
        </w:rPr>
      </w:pPr>
    </w:p>
    <w:tbl>
      <w:tblPr>
        <w:tblStyle w:val="39"/>
        <w:tblW w:w="9513" w:type="dxa"/>
        <w:tblInd w:w="93" w:type="dxa"/>
        <w:tblLayout w:type="fixed"/>
        <w:tblCellMar>
          <w:top w:w="15" w:type="dxa"/>
          <w:left w:w="108" w:type="dxa"/>
          <w:bottom w:w="15" w:type="dxa"/>
          <w:right w:w="108" w:type="dxa"/>
        </w:tblCellMar>
      </w:tblPr>
      <w:tblGrid>
        <w:gridCol w:w="4860"/>
        <w:gridCol w:w="4653"/>
      </w:tblGrid>
      <w:tr>
        <w:tblPrEx>
          <w:tblCellMar>
            <w:top w:w="15" w:type="dxa"/>
            <w:left w:w="108" w:type="dxa"/>
            <w:bottom w:w="15" w:type="dxa"/>
            <w:right w:w="108" w:type="dxa"/>
          </w:tblCellMar>
        </w:tblPrEx>
        <w:trPr>
          <w:gridAfter w:val="1"/>
          <w:wAfter w:w="4653" w:type="dxa"/>
          <w:trHeight w:val="1020"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 w:val="22"/>
              </w:rPr>
              <w:t>承包人（成）</w:t>
            </w:r>
            <w:r>
              <w:rPr>
                <w:rFonts w:hint="eastAsia" w:ascii="宋体" w:hAnsi="宋体" w:cs="宋体"/>
                <w:color w:val="000000"/>
                <w:kern w:val="0"/>
                <w:szCs w:val="21"/>
              </w:rPr>
              <w:t>：</w:t>
            </w:r>
            <w:r>
              <w:rPr>
                <w:rFonts w:hint="eastAsia" w:ascii="宋体" w:hAnsi="宋体" w:cs="宋体"/>
                <w:color w:val="000000"/>
                <w:kern w:val="0"/>
                <w:sz w:val="22"/>
              </w:rPr>
              <w:t>XXX</w:t>
            </w:r>
            <w:r>
              <w:rPr>
                <w:rFonts w:hint="eastAsia" w:ascii="宋体" w:hAnsi="宋体" w:cs="宋体"/>
                <w:color w:val="000000"/>
                <w:kern w:val="0"/>
                <w:szCs w:val="21"/>
              </w:rPr>
              <w:br w:type="textWrapping"/>
            </w:r>
            <w:r>
              <w:rPr>
                <w:rFonts w:hint="eastAsia" w:ascii="宋体" w:hAnsi="宋体" w:cs="宋体"/>
                <w:color w:val="000000"/>
                <w:kern w:val="0"/>
                <w:szCs w:val="21"/>
              </w:rPr>
              <w:t xml:space="preserve">      （盖章）</w:t>
            </w:r>
          </w:p>
        </w:tc>
      </w:tr>
      <w:tr>
        <w:tblPrEx>
          <w:tblCellMar>
            <w:top w:w="15" w:type="dxa"/>
            <w:left w:w="108" w:type="dxa"/>
            <w:bottom w:w="15" w:type="dxa"/>
            <w:right w:w="108" w:type="dxa"/>
          </w:tblCellMar>
        </w:tblPrEx>
        <w:trPr>
          <w:gridAfter w:val="1"/>
          <w:wAfter w:w="4653" w:type="dxa"/>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法定代表人：</w:t>
            </w:r>
          </w:p>
        </w:tc>
      </w:tr>
      <w:tr>
        <w:tblPrEx>
          <w:tblCellMar>
            <w:top w:w="15" w:type="dxa"/>
            <w:left w:w="108" w:type="dxa"/>
            <w:bottom w:w="15" w:type="dxa"/>
            <w:right w:w="108" w:type="dxa"/>
          </w:tblCellMar>
        </w:tblPrEx>
        <w:trPr>
          <w:gridAfter w:val="1"/>
          <w:wAfter w:w="4653" w:type="dxa"/>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或委托代理人：</w:t>
            </w:r>
          </w:p>
        </w:tc>
      </w:tr>
      <w:tr>
        <w:tblPrEx>
          <w:tblCellMar>
            <w:top w:w="15" w:type="dxa"/>
            <w:left w:w="108" w:type="dxa"/>
            <w:bottom w:w="15" w:type="dxa"/>
            <w:right w:w="108" w:type="dxa"/>
          </w:tblCellMar>
        </w:tblPrEx>
        <w:trPr>
          <w:gridAfter w:val="1"/>
          <w:wAfter w:w="4653" w:type="dxa"/>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地址：</w:t>
            </w:r>
          </w:p>
        </w:tc>
      </w:tr>
      <w:tr>
        <w:tblPrEx>
          <w:tblCellMar>
            <w:top w:w="15" w:type="dxa"/>
            <w:left w:w="108" w:type="dxa"/>
            <w:bottom w:w="15" w:type="dxa"/>
            <w:right w:w="108" w:type="dxa"/>
          </w:tblCellMar>
        </w:tblPrEx>
        <w:trPr>
          <w:gridAfter w:val="1"/>
          <w:wAfter w:w="4653" w:type="dxa"/>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电话：</w:t>
            </w:r>
          </w:p>
        </w:tc>
      </w:tr>
      <w:tr>
        <w:tblPrEx>
          <w:tblCellMar>
            <w:top w:w="15" w:type="dxa"/>
            <w:left w:w="108" w:type="dxa"/>
            <w:bottom w:w="15" w:type="dxa"/>
            <w:right w:w="108" w:type="dxa"/>
          </w:tblCellMar>
        </w:tblPrEx>
        <w:trPr>
          <w:gridAfter w:val="1"/>
          <w:wAfter w:w="4653" w:type="dxa"/>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传真：</w:t>
            </w:r>
          </w:p>
        </w:tc>
      </w:tr>
      <w:tr>
        <w:tblPrEx>
          <w:tblCellMar>
            <w:top w:w="15" w:type="dxa"/>
            <w:left w:w="108" w:type="dxa"/>
            <w:bottom w:w="15" w:type="dxa"/>
            <w:right w:w="108" w:type="dxa"/>
          </w:tblCellMar>
        </w:tblPrEx>
        <w:trPr>
          <w:gridAfter w:val="1"/>
          <w:wAfter w:w="4653" w:type="dxa"/>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开户银行：</w:t>
            </w:r>
          </w:p>
        </w:tc>
      </w:tr>
      <w:tr>
        <w:tblPrEx>
          <w:tblCellMar>
            <w:top w:w="15" w:type="dxa"/>
            <w:left w:w="108" w:type="dxa"/>
            <w:bottom w:w="15" w:type="dxa"/>
            <w:right w:w="108" w:type="dxa"/>
          </w:tblCellMar>
        </w:tblPrEx>
        <w:trPr>
          <w:gridAfter w:val="1"/>
          <w:wAfter w:w="4653" w:type="dxa"/>
          <w:trHeight w:val="286" w:hRule="atLeast"/>
        </w:trPr>
        <w:tc>
          <w:tcPr>
            <w:tcW w:w="486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账号：</w:t>
            </w:r>
          </w:p>
        </w:tc>
      </w:tr>
      <w:tr>
        <w:tblPrEx>
          <w:tblCellMar>
            <w:top w:w="15" w:type="dxa"/>
            <w:left w:w="108" w:type="dxa"/>
            <w:bottom w:w="15" w:type="dxa"/>
            <w:right w:w="108" w:type="dxa"/>
          </w:tblCellMar>
        </w:tblPrEx>
        <w:trPr>
          <w:trHeight w:val="286" w:hRule="atLeast"/>
        </w:trPr>
        <w:tc>
          <w:tcPr>
            <w:tcW w:w="4860" w:type="dxa"/>
            <w:vAlign w:val="center"/>
          </w:tcPr>
          <w:p>
            <w:pPr>
              <w:widowControl/>
              <w:rPr>
                <w:rFonts w:ascii="宋体" w:hAnsi="宋体" w:cs="宋体"/>
                <w:color w:val="000000"/>
                <w:kern w:val="0"/>
                <w:szCs w:val="21"/>
              </w:rPr>
            </w:pPr>
            <w:r>
              <w:rPr>
                <w:rFonts w:hint="eastAsia" w:ascii="宋体" w:hAnsi="宋体" w:cs="宋体"/>
                <w:color w:val="000000"/>
                <w:kern w:val="0"/>
                <w:szCs w:val="21"/>
              </w:rPr>
              <w:t>邮政编码：</w:t>
            </w:r>
          </w:p>
        </w:tc>
        <w:tc>
          <w:tcPr>
            <w:tcW w:w="4653" w:type="dxa"/>
            <w:vAlign w:val="center"/>
          </w:tcPr>
          <w:p>
            <w:pPr>
              <w:widowControl/>
              <w:rPr>
                <w:rFonts w:ascii="宋体" w:hAnsi="宋体" w:cs="宋体"/>
                <w:color w:val="000000"/>
                <w:kern w:val="0"/>
                <w:szCs w:val="21"/>
              </w:rPr>
            </w:pPr>
          </w:p>
        </w:tc>
      </w:tr>
      <w:permEnd w:id="26"/>
    </w:tbl>
    <w:p>
      <w:pPr>
        <w:spacing w:line="336" w:lineRule="auto"/>
        <w:rPr>
          <w:rFonts w:ascii="宋体" w:hAnsi="宋体"/>
          <w:sz w:val="24"/>
        </w:rPr>
        <w:sectPr>
          <w:pgSz w:w="11906" w:h="16838"/>
          <w:pgMar w:top="1418" w:right="1418" w:bottom="1418" w:left="1701" w:header="851" w:footer="680" w:gutter="0"/>
          <w:cols w:space="720" w:num="1"/>
          <w:docGrid w:type="lines" w:linePitch="312" w:charSpace="0"/>
        </w:sectPr>
      </w:pPr>
    </w:p>
    <w:bookmarkEnd w:id="48"/>
    <w:bookmarkEnd w:id="49"/>
    <w:bookmarkEnd w:id="50"/>
    <w:bookmarkEnd w:id="51"/>
    <w:bookmarkEnd w:id="52"/>
    <w:p>
      <w:pPr>
        <w:ind w:right="160"/>
        <w:jc w:val="left"/>
        <w:rPr>
          <w:rFonts w:ascii="黑体" w:hAnsi="黑体" w:eastAsia="黑体"/>
        </w:rPr>
      </w:pPr>
    </w:p>
    <w:p>
      <w:pPr>
        <w:jc w:val="left"/>
        <w:rPr>
          <w:rFonts w:ascii="宋体" w:hAnsi="宋体"/>
          <w:b/>
          <w:bCs/>
          <w:sz w:val="28"/>
          <w:szCs w:val="28"/>
        </w:rPr>
      </w:pPr>
      <w:bookmarkStart w:id="398" w:name="_Toc18760_WPSOffice_Level1"/>
      <w:r>
        <w:rPr>
          <w:rFonts w:hint="eastAsia" w:ascii="宋体" w:hAnsi="宋体"/>
          <w:b/>
          <w:bCs/>
          <w:sz w:val="28"/>
          <w:szCs w:val="28"/>
        </w:rPr>
        <w:t>附件7：环保承诺书</w:t>
      </w:r>
      <w:bookmarkEnd w:id="398"/>
    </w:p>
    <w:p>
      <w:pPr>
        <w:jc w:val="center"/>
        <w:rPr>
          <w:rFonts w:ascii="宋体" w:hAnsi="宋体" w:cs="宋体"/>
          <w:b/>
          <w:bCs/>
          <w:sz w:val="44"/>
          <w:szCs w:val="44"/>
        </w:rPr>
      </w:pPr>
      <w:bookmarkStart w:id="399" w:name="_Toc21834_WPSOffice_Level1"/>
      <w:r>
        <w:rPr>
          <w:rFonts w:hint="eastAsia" w:ascii="宋体" w:hAnsi="宋体" w:cs="宋体"/>
          <w:b/>
          <w:bCs/>
          <w:sz w:val="44"/>
          <w:szCs w:val="44"/>
        </w:rPr>
        <w:t>环保承诺书</w:t>
      </w:r>
      <w:bookmarkEnd w:id="399"/>
    </w:p>
    <w:p>
      <w:pPr>
        <w:ind w:firstLine="883" w:firstLineChars="200"/>
        <w:jc w:val="center"/>
        <w:rPr>
          <w:rFonts w:ascii="宋体" w:hAnsi="宋体" w:cs="宋体"/>
          <w:b/>
          <w:bCs/>
          <w:sz w:val="44"/>
          <w:szCs w:val="44"/>
        </w:rPr>
      </w:pPr>
    </w:p>
    <w:p>
      <w:pPr>
        <w:rPr>
          <w:rFonts w:hAnsi="仿宋" w:cs="仿宋"/>
        </w:rPr>
      </w:pPr>
      <w:permStart w:id="27" w:edGrp="everyone"/>
      <w:r>
        <w:rPr>
          <w:rFonts w:hint="eastAsia" w:hAnsi="仿宋" w:cs="仿宋"/>
        </w:rPr>
        <w:t>项目名称:          项目地址：</w:t>
      </w:r>
    </w:p>
    <w:p>
      <w:pPr>
        <w:rPr>
          <w:rFonts w:hAnsi="仿宋" w:cs="仿宋"/>
        </w:rPr>
      </w:pPr>
      <w:r>
        <w:rPr>
          <w:rFonts w:hint="eastAsia" w:hAnsi="仿宋" w:cs="仿宋"/>
        </w:rPr>
        <w:t>承包范围：          承包方式：</w:t>
      </w:r>
    </w:p>
    <w:p>
      <w:pPr>
        <w:rPr>
          <w:rFonts w:hAnsi="仿宋" w:cs="仿宋"/>
        </w:rPr>
      </w:pPr>
      <w:r>
        <w:rPr>
          <w:rFonts w:hint="eastAsia" w:hAnsi="仿宋" w:cs="仿宋"/>
        </w:rPr>
        <w:t>项目合同编号：</w:t>
      </w:r>
    </w:p>
    <w:p>
      <w:pPr>
        <w:rPr>
          <w:rFonts w:hAnsi="仿宋" w:cs="仿宋"/>
        </w:rPr>
      </w:pPr>
      <w:r>
        <w:rPr>
          <w:rFonts w:hint="eastAsia" w:hAnsi="仿宋" w:cs="仿宋"/>
        </w:rPr>
        <w:t>项目期限：年月日起开工至年月日完工</w:t>
      </w:r>
    </w:p>
    <w:permEnd w:id="27"/>
    <w:p>
      <w:pPr>
        <w:ind w:firstLine="420" w:firstLineChars="200"/>
        <w:rPr>
          <w:rFonts w:hAnsi="仿宋" w:cs="仿宋"/>
        </w:rPr>
      </w:pPr>
      <w:r>
        <w:rPr>
          <w:rFonts w:hint="eastAsia" w:hAnsi="仿宋" w:cs="仿宋"/>
        </w:rPr>
        <w:t>为确保项目的顺利实施，特向发包人和各级主管部门作出如下承诺：</w:t>
      </w:r>
    </w:p>
    <w:p>
      <w:pPr>
        <w:ind w:firstLine="420" w:firstLineChars="200"/>
        <w:rPr>
          <w:rFonts w:hAnsi="仿宋" w:cs="仿宋"/>
        </w:rPr>
      </w:pPr>
      <w:r>
        <w:rPr>
          <w:rFonts w:hint="eastAsia" w:hAnsi="仿宋" w:cs="仿宋"/>
        </w:rPr>
        <w:t>一、项目实施期间我方将严格遵守国家、省市相关环保法律、法规。</w:t>
      </w:r>
    </w:p>
    <w:p>
      <w:pPr>
        <w:ind w:firstLine="420" w:firstLineChars="200"/>
        <w:rPr>
          <w:rFonts w:hAnsi="仿宋" w:cs="仿宋"/>
        </w:rPr>
      </w:pPr>
      <w:r>
        <w:rPr>
          <w:rFonts w:hint="eastAsia" w:hAnsi="仿宋" w:cs="仿宋"/>
        </w:rPr>
        <w:t>二、作为责任主体，我方对项目实施期间造成的环境侵权事故、不良环境影响及由此产生的所有费用及损失承担全部责任（包括给第三人造成损害导致的赔偿责任）。</w:t>
      </w:r>
    </w:p>
    <w:p>
      <w:pPr>
        <w:ind w:firstLine="420" w:firstLineChars="200"/>
        <w:rPr>
          <w:rFonts w:hAnsi="仿宋" w:cs="仿宋"/>
        </w:rPr>
      </w:pPr>
      <w:r>
        <w:rPr>
          <w:rFonts w:hint="eastAsia" w:hAnsi="仿宋" w:cs="仿宋"/>
        </w:rPr>
        <w:t>三、做好人员的环保教育培训，对经考核合格的人员，发放上岗证。承包人不定期对工作人员进行安全教育培训。</w:t>
      </w:r>
    </w:p>
    <w:p>
      <w:pPr>
        <w:ind w:firstLine="420" w:firstLineChars="200"/>
        <w:rPr>
          <w:rFonts w:hAnsi="仿宋" w:cs="仿宋"/>
        </w:rPr>
      </w:pPr>
      <w:r>
        <w:rPr>
          <w:rFonts w:hint="eastAsia" w:hAnsi="仿宋" w:cs="仿宋"/>
        </w:rPr>
        <w:t>四、作业之前，负责项目管理的技术人员对有关环保施工的技术要求向项目作业班组、作业人员作出详细说明。项目实施期间，我方采取必要的环境保护措施，作业人员严格遵守环保规章制度与环保操作规程。</w:t>
      </w:r>
    </w:p>
    <w:p>
      <w:pPr>
        <w:ind w:firstLine="420" w:firstLineChars="200"/>
        <w:rPr>
          <w:rFonts w:hAnsi="仿宋" w:cs="仿宋"/>
        </w:rPr>
      </w:pPr>
      <w:r>
        <w:rPr>
          <w:rFonts w:hint="eastAsia" w:hAnsi="仿宋" w:cs="仿宋"/>
        </w:rPr>
        <w:t>五、我方将采取有效措施控制能源、资源消耗，杜绝排放物造成环境污染。</w:t>
      </w:r>
    </w:p>
    <w:p>
      <w:pPr>
        <w:ind w:firstLine="420" w:firstLineChars="200"/>
        <w:rPr>
          <w:rFonts w:hAnsi="仿宋" w:cs="仿宋"/>
        </w:rPr>
      </w:pPr>
      <w:r>
        <w:rPr>
          <w:rFonts w:hint="eastAsia" w:hAnsi="仿宋" w:cs="仿宋"/>
        </w:rPr>
        <w:t>六、项目废料按规定地点分类堆放和处理，特别是严格按要求堆放和处理危险废弃物，做到工完、料净、场地清，杜绝安全隐患和环境污染。</w:t>
      </w:r>
    </w:p>
    <w:p>
      <w:pPr>
        <w:ind w:firstLine="420" w:firstLineChars="200"/>
        <w:rPr>
          <w:rFonts w:hAnsi="仿宋" w:cs="仿宋"/>
        </w:rPr>
      </w:pPr>
      <w:r>
        <w:rPr>
          <w:rFonts w:hint="eastAsia" w:hAnsi="仿宋" w:cs="仿宋"/>
        </w:rPr>
        <w:t>七、其他承诺</w:t>
      </w:r>
    </w:p>
    <w:p>
      <w:pPr>
        <w:ind w:firstLine="420" w:firstLineChars="200"/>
        <w:rPr>
          <w:rFonts w:hAnsi="仿宋" w:cs="仿宋"/>
          <w:u w:val="single"/>
        </w:rPr>
      </w:pPr>
    </w:p>
    <w:p>
      <w:pPr>
        <w:ind w:firstLine="420" w:firstLineChars="200"/>
        <w:rPr>
          <w:rFonts w:hAnsi="仿宋" w:cs="仿宋"/>
          <w:u w:val="single"/>
        </w:rPr>
      </w:pPr>
    </w:p>
    <w:p>
      <w:pPr>
        <w:ind w:firstLine="420" w:firstLineChars="200"/>
        <w:rPr>
          <w:rFonts w:hAnsi="仿宋" w:cs="仿宋"/>
        </w:rPr>
      </w:pPr>
    </w:p>
    <w:p>
      <w:pPr>
        <w:ind w:firstLine="420" w:firstLineChars="200"/>
        <w:rPr>
          <w:rFonts w:hAnsi="仿宋" w:cs="仿宋"/>
        </w:rPr>
      </w:pPr>
      <w:r>
        <w:rPr>
          <w:rFonts w:hint="eastAsia" w:hAnsi="仿宋" w:cs="仿宋"/>
        </w:rPr>
        <w:t>本承诺书作为合同附件，与合同条款具有同等的法律效力。</w:t>
      </w:r>
    </w:p>
    <w:p>
      <w:pPr>
        <w:ind w:firstLine="420" w:firstLineChars="200"/>
        <w:rPr>
          <w:rFonts w:hAnsi="仿宋" w:cs="仿宋"/>
        </w:rPr>
      </w:pPr>
      <w:r>
        <w:rPr>
          <w:rFonts w:hint="eastAsia" w:hAnsi="仿宋" w:cs="仿宋"/>
        </w:rPr>
        <w:t>本承诺书一式两份，发包人执一份，承包人执一份。</w:t>
      </w:r>
    </w:p>
    <w:p>
      <w:pPr>
        <w:ind w:firstLine="420" w:firstLineChars="200"/>
        <w:rPr>
          <w:rFonts w:hAnsi="仿宋" w:cs="仿宋"/>
        </w:rPr>
      </w:pPr>
    </w:p>
    <w:p>
      <w:pPr>
        <w:ind w:firstLine="420" w:firstLineChars="200"/>
        <w:rPr>
          <w:rFonts w:hAnsi="仿宋" w:cs="仿宋"/>
        </w:rPr>
      </w:pPr>
      <w:permStart w:id="28" w:edGrp="everyone"/>
      <w:r>
        <w:rPr>
          <w:rFonts w:hint="eastAsia" w:hAnsi="仿宋" w:cs="仿宋"/>
        </w:rPr>
        <w:t xml:space="preserve">      承诺单位（盖章）：</w:t>
      </w:r>
    </w:p>
    <w:p>
      <w:pPr>
        <w:ind w:firstLine="420" w:firstLineChars="200"/>
        <w:rPr>
          <w:rFonts w:hAnsi="仿宋" w:cs="仿宋"/>
        </w:rPr>
      </w:pPr>
      <w:r>
        <w:rPr>
          <w:rFonts w:hint="eastAsia" w:hAnsi="仿宋" w:cs="仿宋"/>
        </w:rPr>
        <w:t xml:space="preserve">                               法定代表人：</w:t>
      </w:r>
    </w:p>
    <w:p>
      <w:pPr>
        <w:ind w:firstLine="420" w:firstLineChars="200"/>
        <w:rPr>
          <w:rFonts w:hAnsi="仿宋" w:cs="仿宋"/>
        </w:rPr>
      </w:pPr>
      <w:r>
        <w:rPr>
          <w:rFonts w:hint="eastAsia" w:hAnsi="仿宋" w:cs="仿宋"/>
        </w:rPr>
        <w:t xml:space="preserve">                               联系人：</w:t>
      </w:r>
    </w:p>
    <w:p>
      <w:pPr>
        <w:rPr>
          <w:rFonts w:hAnsi="仿宋" w:cs="仿宋"/>
        </w:rPr>
      </w:pPr>
      <w:r>
        <w:rPr>
          <w:rFonts w:hint="eastAsia" w:hAnsi="仿宋" w:cs="仿宋"/>
        </w:rPr>
        <w:t xml:space="preserve">                                    年    月    日</w:t>
      </w:r>
    </w:p>
    <w:p>
      <w:pPr>
        <w:rPr>
          <w:sz w:val="24"/>
        </w:rPr>
      </w:pPr>
    </w:p>
    <w:p>
      <w:pPr>
        <w:pStyle w:val="2"/>
        <w:spacing w:before="156" w:after="156"/>
        <w:ind w:firstLine="472"/>
        <w:rPr>
          <w:sz w:val="24"/>
        </w:rPr>
      </w:pPr>
    </w:p>
    <w:p>
      <w:pPr>
        <w:rPr>
          <w:sz w:val="24"/>
        </w:rPr>
      </w:pPr>
    </w:p>
    <w:p>
      <w:pPr>
        <w:pStyle w:val="2"/>
        <w:spacing w:before="156" w:after="156"/>
        <w:ind w:firstLine="472"/>
        <w:rPr>
          <w:sz w:val="24"/>
        </w:rPr>
      </w:pPr>
    </w:p>
    <w:p>
      <w:pPr>
        <w:rPr>
          <w:sz w:val="24"/>
        </w:rPr>
      </w:pPr>
    </w:p>
    <w:p>
      <w:pPr>
        <w:pStyle w:val="2"/>
        <w:spacing w:before="156" w:after="156"/>
        <w:ind w:firstLine="472"/>
        <w:rPr>
          <w:sz w:val="24"/>
        </w:rPr>
      </w:pPr>
    </w:p>
    <w:p>
      <w:pPr>
        <w:jc w:val="left"/>
        <w:rPr>
          <w:rFonts w:ascii="宋体" w:hAnsi="宋体"/>
          <w:b/>
          <w:bCs/>
          <w:sz w:val="28"/>
          <w:szCs w:val="28"/>
        </w:rPr>
      </w:pPr>
      <w:r>
        <w:rPr>
          <w:rFonts w:hint="eastAsia" w:ascii="宋体" w:hAnsi="宋体"/>
          <w:b/>
          <w:bCs/>
          <w:sz w:val="28"/>
          <w:szCs w:val="28"/>
        </w:rPr>
        <w:t>附件8：联合体协议</w:t>
      </w:r>
    </w:p>
    <w:p>
      <w:pPr>
        <w:pStyle w:val="2"/>
        <w:spacing w:before="156" w:after="156"/>
        <w:ind w:firstLine="551"/>
        <w:rPr>
          <w:rFonts w:ascii="宋体" w:hAnsi="宋体"/>
          <w:bCs/>
          <w:sz w:val="28"/>
          <w:szCs w:val="28"/>
        </w:rPr>
      </w:pPr>
    </w:p>
    <w:p>
      <w:pPr>
        <w:rPr>
          <w:rFonts w:ascii="宋体" w:hAnsi="宋体"/>
          <w:b/>
          <w:bCs/>
          <w:sz w:val="28"/>
          <w:szCs w:val="28"/>
        </w:rPr>
      </w:pPr>
    </w:p>
    <w:p>
      <w:pPr>
        <w:pStyle w:val="2"/>
        <w:spacing w:before="156" w:after="156"/>
        <w:ind w:firstLine="551"/>
        <w:rPr>
          <w:rFonts w:ascii="宋体" w:hAnsi="宋体"/>
          <w:bCs/>
          <w:sz w:val="28"/>
          <w:szCs w:val="28"/>
        </w:rPr>
      </w:pPr>
    </w:p>
    <w:p>
      <w:pPr>
        <w:rPr>
          <w:rFonts w:ascii="宋体" w:hAnsi="宋体"/>
          <w:b/>
          <w:bCs/>
          <w:sz w:val="28"/>
          <w:szCs w:val="28"/>
        </w:rPr>
      </w:pPr>
    </w:p>
    <w:p>
      <w:pPr>
        <w:pStyle w:val="2"/>
        <w:spacing w:before="156" w:after="156"/>
        <w:ind w:firstLine="551"/>
        <w:rPr>
          <w:rFonts w:ascii="宋体" w:hAnsi="宋体"/>
          <w:bCs/>
          <w:sz w:val="28"/>
          <w:szCs w:val="28"/>
        </w:rPr>
      </w:pPr>
    </w:p>
    <w:p>
      <w:pPr>
        <w:rPr>
          <w:rFonts w:ascii="宋体" w:hAnsi="宋体"/>
          <w:b/>
          <w:bCs/>
          <w:sz w:val="28"/>
          <w:szCs w:val="28"/>
        </w:rPr>
      </w:pPr>
    </w:p>
    <w:p>
      <w:pPr>
        <w:pStyle w:val="2"/>
        <w:spacing w:before="156" w:after="156"/>
        <w:ind w:firstLine="551"/>
        <w:rPr>
          <w:rFonts w:ascii="宋体" w:hAnsi="宋体"/>
          <w:bCs/>
          <w:sz w:val="28"/>
          <w:szCs w:val="28"/>
        </w:rPr>
      </w:pPr>
    </w:p>
    <w:p>
      <w:pPr>
        <w:rPr>
          <w:rFonts w:ascii="宋体" w:hAnsi="宋体"/>
          <w:b/>
          <w:bCs/>
          <w:sz w:val="28"/>
          <w:szCs w:val="28"/>
        </w:rPr>
      </w:pPr>
    </w:p>
    <w:p>
      <w:pPr>
        <w:pStyle w:val="2"/>
        <w:spacing w:before="156" w:after="156"/>
        <w:ind w:firstLine="551"/>
        <w:rPr>
          <w:rFonts w:ascii="宋体" w:hAnsi="宋体"/>
          <w:bCs/>
          <w:sz w:val="28"/>
          <w:szCs w:val="28"/>
        </w:rPr>
      </w:pPr>
    </w:p>
    <w:p>
      <w:pPr>
        <w:rPr>
          <w:rFonts w:ascii="宋体" w:hAnsi="宋体"/>
          <w:b/>
          <w:bCs/>
          <w:sz w:val="28"/>
          <w:szCs w:val="28"/>
        </w:rPr>
      </w:pPr>
    </w:p>
    <w:p>
      <w:pPr>
        <w:pStyle w:val="2"/>
        <w:spacing w:before="156" w:after="156"/>
        <w:ind w:firstLine="551"/>
        <w:rPr>
          <w:rFonts w:ascii="宋体" w:hAnsi="宋体"/>
          <w:bCs/>
          <w:sz w:val="28"/>
          <w:szCs w:val="28"/>
        </w:rPr>
      </w:pPr>
    </w:p>
    <w:p>
      <w:pPr>
        <w:rPr>
          <w:rFonts w:ascii="宋体" w:hAnsi="宋体"/>
          <w:b/>
          <w:bCs/>
          <w:sz w:val="28"/>
          <w:szCs w:val="28"/>
        </w:rPr>
      </w:pPr>
    </w:p>
    <w:p>
      <w:pPr>
        <w:pStyle w:val="2"/>
        <w:spacing w:before="156" w:after="156"/>
        <w:ind w:firstLine="551"/>
        <w:rPr>
          <w:rFonts w:ascii="宋体" w:hAnsi="宋体"/>
          <w:bCs/>
          <w:sz w:val="28"/>
          <w:szCs w:val="28"/>
        </w:rPr>
      </w:pPr>
    </w:p>
    <w:p>
      <w:pPr>
        <w:rPr>
          <w:rFonts w:ascii="宋体" w:hAnsi="宋体"/>
          <w:bCs/>
          <w:sz w:val="28"/>
          <w:szCs w:val="28"/>
        </w:rPr>
      </w:pPr>
    </w:p>
    <w:p>
      <w:pPr>
        <w:pStyle w:val="2"/>
        <w:spacing w:before="156" w:after="156"/>
        <w:ind w:firstLine="551"/>
        <w:rPr>
          <w:rFonts w:ascii="宋体" w:hAnsi="宋体"/>
          <w:bCs/>
          <w:sz w:val="28"/>
          <w:szCs w:val="28"/>
        </w:rPr>
      </w:pPr>
    </w:p>
    <w:p>
      <w:pPr>
        <w:rPr>
          <w:rFonts w:ascii="宋体" w:hAnsi="宋体"/>
          <w:bCs/>
          <w:sz w:val="28"/>
          <w:szCs w:val="28"/>
        </w:rPr>
      </w:pPr>
    </w:p>
    <w:p>
      <w:pPr>
        <w:pStyle w:val="2"/>
        <w:spacing w:before="156" w:after="156"/>
      </w:pPr>
    </w:p>
    <w:p>
      <w:pPr>
        <w:rPr>
          <w:rFonts w:ascii="宋体" w:hAnsi="宋体"/>
          <w:b/>
          <w:bCs/>
          <w:sz w:val="28"/>
          <w:szCs w:val="28"/>
        </w:rPr>
      </w:pPr>
      <w:r>
        <w:rPr>
          <w:rFonts w:hint="eastAsia" w:ascii="宋体" w:hAnsi="宋体"/>
          <w:b/>
          <w:bCs/>
          <w:sz w:val="28"/>
          <w:szCs w:val="28"/>
        </w:rPr>
        <w:t>附件9：联合体支付协议</w:t>
      </w:r>
    </w:p>
    <w:p>
      <w:pPr>
        <w:jc w:val="center"/>
        <w:rPr>
          <w:rFonts w:eastAsia="仿宋_GB2312"/>
          <w:sz w:val="32"/>
        </w:rPr>
      </w:pPr>
      <w:r>
        <w:rPr>
          <w:rFonts w:hint="eastAsia" w:ascii="方正小标宋简体" w:eastAsia="方正小标宋简体"/>
          <w:sz w:val="36"/>
          <w:szCs w:val="36"/>
        </w:rPr>
        <w:t>联合体支付协议</w:t>
      </w:r>
    </w:p>
    <w:p>
      <w:pPr>
        <w:adjustRightInd w:val="0"/>
        <w:snapToGrid w:val="0"/>
        <w:spacing w:line="360" w:lineRule="auto"/>
        <w:ind w:firstLine="630" w:firstLineChars="300"/>
        <w:rPr>
          <w:rFonts w:ascii="宋体" w:hAnsi="宋体"/>
          <w:szCs w:val="21"/>
        </w:rPr>
      </w:pPr>
      <w:r>
        <w:rPr>
          <w:rFonts w:hint="eastAsia" w:ascii="宋体" w:hAnsi="宋体"/>
          <w:szCs w:val="21"/>
        </w:rPr>
        <w:t>XXX（联合体</w:t>
      </w:r>
      <w:r>
        <w:rPr>
          <w:rFonts w:hint="eastAsia" w:ascii="宋体" w:hAnsi="宋体"/>
          <w:szCs w:val="21"/>
          <w:lang w:eastAsia="zh-CN"/>
        </w:rPr>
        <w:t>主办方</w:t>
      </w:r>
      <w:r>
        <w:rPr>
          <w:rFonts w:hint="eastAsia" w:ascii="宋体" w:hAnsi="宋体"/>
          <w:szCs w:val="21"/>
        </w:rPr>
        <w:t>）、XXX（成员方）组成联合体参与</w:t>
      </w:r>
      <w:r>
        <w:rPr>
          <w:rFonts w:hint="eastAsia" w:ascii="宋体" w:hAnsi="宋体"/>
          <w:szCs w:val="21"/>
          <w:u w:val="single"/>
        </w:rPr>
        <w:t>XXX工程施工图设计施工总承包（EPC）</w:t>
      </w:r>
      <w:r>
        <w:rPr>
          <w:rFonts w:hint="eastAsia" w:ascii="宋体" w:hAnsi="宋体"/>
        </w:rPr>
        <w:t>工程</w:t>
      </w:r>
      <w:r>
        <w:rPr>
          <w:rFonts w:hint="eastAsia" w:ascii="宋体" w:hAnsi="宋体"/>
          <w:szCs w:val="21"/>
        </w:rPr>
        <w:t>建设管理及履约达成如下协议：</w:t>
      </w:r>
    </w:p>
    <w:p>
      <w:pPr>
        <w:pStyle w:val="119"/>
        <w:adjustRightInd w:val="0"/>
        <w:snapToGrid w:val="0"/>
        <w:spacing w:line="360" w:lineRule="auto"/>
        <w:ind w:firstLine="420" w:firstLineChars="200"/>
        <w:rPr>
          <w:rFonts w:ascii="宋体" w:hAnsi="宋体"/>
          <w:szCs w:val="21"/>
        </w:rPr>
      </w:pPr>
      <w:r>
        <w:rPr>
          <w:rFonts w:hint="eastAsia" w:ascii="宋体" w:hAnsi="宋体"/>
          <w:szCs w:val="21"/>
        </w:rPr>
        <w:t>一、本项目的设计费的发票、收款相关事宜及结算事宜由XXX公司负责办理,银行账号为：XXX。</w:t>
      </w:r>
    </w:p>
    <w:p>
      <w:pPr>
        <w:pStyle w:val="119"/>
        <w:adjustRightInd w:val="0"/>
        <w:snapToGrid w:val="0"/>
        <w:spacing w:line="360" w:lineRule="auto"/>
        <w:ind w:firstLine="420" w:firstLineChars="200"/>
        <w:rPr>
          <w:rFonts w:ascii="宋体" w:hAnsi="宋体"/>
          <w:szCs w:val="21"/>
        </w:rPr>
      </w:pPr>
      <w:r>
        <w:rPr>
          <w:rFonts w:hint="eastAsia" w:ascii="宋体" w:hAnsi="宋体"/>
          <w:szCs w:val="21"/>
        </w:rPr>
        <w:t>二、本项目的施工费的发票、收款相关事宜及结算事宜由XXX负责办理，银行账号为：XXX。</w:t>
      </w:r>
    </w:p>
    <w:p>
      <w:pPr>
        <w:pStyle w:val="119"/>
        <w:adjustRightInd w:val="0"/>
        <w:snapToGrid w:val="0"/>
        <w:spacing w:line="360" w:lineRule="auto"/>
        <w:ind w:firstLine="420" w:firstLineChars="200"/>
        <w:rPr>
          <w:rFonts w:ascii="宋体" w:hAnsi="宋体"/>
          <w:szCs w:val="21"/>
        </w:rPr>
      </w:pPr>
      <w:r>
        <w:rPr>
          <w:rFonts w:hint="eastAsia" w:ascii="宋体" w:hAnsi="宋体"/>
          <w:szCs w:val="21"/>
        </w:rPr>
        <w:t>本协议在履行完毕XXX工程施工图设计施工总承包（EPC）合同全部内容后自然失效。</w:t>
      </w:r>
    </w:p>
    <w:p>
      <w:pPr>
        <w:pStyle w:val="120"/>
        <w:ind w:firstLine="0" w:firstLineChars="0"/>
        <w:rPr>
          <w:rFonts w:ascii="宋体" w:hAnsi="宋体"/>
          <w:szCs w:val="21"/>
        </w:rPr>
      </w:pPr>
    </w:p>
    <w:p>
      <w:pPr>
        <w:pStyle w:val="120"/>
        <w:ind w:firstLine="0" w:firstLineChars="0"/>
        <w:rPr>
          <w:rFonts w:ascii="宋体" w:hAnsi="宋体"/>
          <w:szCs w:val="21"/>
        </w:rPr>
      </w:pPr>
    </w:p>
    <w:p>
      <w:pPr>
        <w:pStyle w:val="120"/>
        <w:rPr>
          <w:rFonts w:ascii="宋体" w:hAnsi="宋体"/>
          <w:szCs w:val="21"/>
        </w:rPr>
      </w:pPr>
    </w:p>
    <w:p>
      <w:pPr>
        <w:pStyle w:val="119"/>
        <w:adjustRightInd w:val="0"/>
        <w:snapToGrid w:val="0"/>
        <w:spacing w:line="360" w:lineRule="auto"/>
        <w:ind w:firstLine="420" w:firstLineChars="200"/>
        <w:rPr>
          <w:rFonts w:ascii="宋体" w:hAnsi="宋体"/>
          <w:szCs w:val="21"/>
        </w:rPr>
      </w:pPr>
      <w:r>
        <w:rPr>
          <w:rFonts w:hint="eastAsia" w:ascii="宋体" w:hAnsi="宋体"/>
          <w:szCs w:val="21"/>
        </w:rPr>
        <w:t>XXX公司</w:t>
      </w:r>
    </w:p>
    <w:p>
      <w:pPr>
        <w:pStyle w:val="119"/>
        <w:adjustRightInd w:val="0"/>
        <w:snapToGrid w:val="0"/>
        <w:spacing w:line="360" w:lineRule="auto"/>
        <w:ind w:firstLine="420" w:firstLineChars="200"/>
        <w:rPr>
          <w:rFonts w:ascii="宋体" w:hAnsi="宋体"/>
          <w:szCs w:val="21"/>
        </w:rPr>
      </w:pPr>
      <w:r>
        <w:rPr>
          <w:rFonts w:hint="eastAsia" w:ascii="宋体" w:hAnsi="宋体"/>
          <w:szCs w:val="21"/>
        </w:rPr>
        <w:t xml:space="preserve">法定代表人或委托代理人：              （签章） </w:t>
      </w:r>
    </w:p>
    <w:p>
      <w:pPr>
        <w:pStyle w:val="119"/>
        <w:adjustRightInd w:val="0"/>
        <w:snapToGrid w:val="0"/>
        <w:spacing w:line="360" w:lineRule="auto"/>
        <w:ind w:firstLine="420" w:firstLineChars="200"/>
        <w:jc w:val="right"/>
        <w:rPr>
          <w:rFonts w:ascii="宋体" w:hAnsi="宋体"/>
          <w:szCs w:val="21"/>
        </w:rPr>
      </w:pPr>
    </w:p>
    <w:p>
      <w:pPr>
        <w:pStyle w:val="119"/>
        <w:adjustRightInd w:val="0"/>
        <w:snapToGrid w:val="0"/>
        <w:spacing w:line="360" w:lineRule="auto"/>
        <w:ind w:firstLine="420" w:firstLineChars="200"/>
        <w:jc w:val="right"/>
        <w:rPr>
          <w:rFonts w:ascii="宋体" w:hAnsi="宋体"/>
          <w:szCs w:val="21"/>
        </w:rPr>
      </w:pPr>
      <w:r>
        <w:rPr>
          <w:rFonts w:hint="eastAsia" w:ascii="宋体" w:hAnsi="宋体"/>
          <w:szCs w:val="21"/>
        </w:rPr>
        <w:t>2020年    月    日</w:t>
      </w:r>
    </w:p>
    <w:p>
      <w:pPr>
        <w:pStyle w:val="119"/>
        <w:adjustRightInd w:val="0"/>
        <w:snapToGrid w:val="0"/>
        <w:spacing w:line="360" w:lineRule="auto"/>
        <w:ind w:firstLine="420" w:firstLineChars="200"/>
        <w:rPr>
          <w:rFonts w:ascii="宋体" w:hAnsi="宋体"/>
          <w:szCs w:val="21"/>
        </w:rPr>
      </w:pPr>
    </w:p>
    <w:p>
      <w:pPr>
        <w:pStyle w:val="119"/>
        <w:adjustRightInd w:val="0"/>
        <w:snapToGrid w:val="0"/>
        <w:spacing w:line="360" w:lineRule="auto"/>
        <w:ind w:firstLine="420" w:firstLineChars="200"/>
        <w:rPr>
          <w:rFonts w:ascii="宋体" w:hAnsi="宋体"/>
          <w:szCs w:val="21"/>
        </w:rPr>
      </w:pPr>
    </w:p>
    <w:p>
      <w:pPr>
        <w:pStyle w:val="119"/>
        <w:adjustRightInd w:val="0"/>
        <w:snapToGrid w:val="0"/>
        <w:spacing w:line="360" w:lineRule="auto"/>
        <w:ind w:firstLine="420" w:firstLineChars="200"/>
        <w:rPr>
          <w:rFonts w:ascii="宋体" w:hAnsi="宋体"/>
          <w:szCs w:val="21"/>
        </w:rPr>
      </w:pPr>
    </w:p>
    <w:p>
      <w:pPr>
        <w:pStyle w:val="119"/>
        <w:adjustRightInd w:val="0"/>
        <w:snapToGrid w:val="0"/>
        <w:spacing w:line="360" w:lineRule="auto"/>
        <w:ind w:firstLine="420" w:firstLineChars="200"/>
        <w:rPr>
          <w:rFonts w:ascii="宋体" w:hAnsi="宋体"/>
          <w:szCs w:val="21"/>
        </w:rPr>
      </w:pPr>
      <w:r>
        <w:rPr>
          <w:rFonts w:hint="eastAsia" w:ascii="宋体" w:hAnsi="宋体"/>
          <w:szCs w:val="21"/>
        </w:rPr>
        <w:t>XXX公司</w:t>
      </w:r>
    </w:p>
    <w:p>
      <w:pPr>
        <w:pStyle w:val="119"/>
        <w:adjustRightInd w:val="0"/>
        <w:snapToGrid w:val="0"/>
        <w:spacing w:line="360" w:lineRule="auto"/>
        <w:ind w:firstLine="420" w:firstLineChars="200"/>
        <w:rPr>
          <w:rFonts w:ascii="宋体" w:hAnsi="宋体"/>
          <w:szCs w:val="21"/>
        </w:rPr>
      </w:pPr>
      <w:r>
        <w:rPr>
          <w:rFonts w:hint="eastAsia" w:ascii="宋体" w:hAnsi="宋体"/>
          <w:szCs w:val="21"/>
        </w:rPr>
        <w:t xml:space="preserve">法定代表人或委托代理人：              （签章） </w:t>
      </w:r>
    </w:p>
    <w:p>
      <w:pPr>
        <w:pStyle w:val="119"/>
        <w:adjustRightInd w:val="0"/>
        <w:snapToGrid w:val="0"/>
        <w:spacing w:line="360" w:lineRule="auto"/>
        <w:ind w:firstLine="420" w:firstLineChars="200"/>
        <w:jc w:val="right"/>
        <w:rPr>
          <w:rFonts w:ascii="宋体" w:hAnsi="宋体"/>
          <w:szCs w:val="21"/>
        </w:rPr>
      </w:pPr>
    </w:p>
    <w:p>
      <w:pPr>
        <w:pStyle w:val="119"/>
        <w:adjustRightInd w:val="0"/>
        <w:snapToGrid w:val="0"/>
        <w:spacing w:line="360" w:lineRule="auto"/>
        <w:ind w:firstLine="420" w:firstLineChars="200"/>
        <w:jc w:val="right"/>
        <w:rPr>
          <w:rFonts w:ascii="宋体" w:hAnsi="宋体"/>
          <w:szCs w:val="21"/>
        </w:rPr>
      </w:pPr>
      <w:r>
        <w:rPr>
          <w:rFonts w:hint="eastAsia" w:ascii="宋体" w:hAnsi="宋体"/>
          <w:szCs w:val="21"/>
        </w:rPr>
        <w:t xml:space="preserve">   2020年     月    日</w:t>
      </w:r>
    </w:p>
    <w:p>
      <w:pPr>
        <w:pStyle w:val="120"/>
      </w:pPr>
    </w:p>
    <w:p>
      <w:pPr>
        <w:pStyle w:val="2"/>
        <w:spacing w:before="156" w:after="156"/>
        <w:ind w:firstLine="551"/>
        <w:rPr>
          <w:rFonts w:ascii="宋体" w:hAnsi="宋体"/>
          <w:bCs/>
          <w:sz w:val="28"/>
          <w:szCs w:val="28"/>
        </w:rPr>
      </w:pPr>
    </w:p>
    <w:p>
      <w:pPr>
        <w:spacing w:before="156" w:after="156"/>
        <w:ind w:firstLine="551"/>
        <w:rPr>
          <w:rFonts w:ascii="宋体" w:hAnsi="宋体"/>
          <w:bCs/>
          <w:sz w:val="28"/>
          <w:szCs w:val="28"/>
        </w:rPr>
      </w:pPr>
    </w:p>
    <w:p>
      <w:pPr>
        <w:pStyle w:val="2"/>
        <w:spacing w:before="156" w:after="156"/>
        <w:ind w:firstLine="551"/>
        <w:rPr>
          <w:rFonts w:ascii="宋体" w:hAnsi="宋体"/>
          <w:bCs/>
          <w:sz w:val="28"/>
          <w:szCs w:val="28"/>
        </w:rPr>
      </w:pPr>
    </w:p>
    <w:p>
      <w:pPr>
        <w:spacing w:before="156" w:after="156"/>
        <w:rPr>
          <w:rFonts w:ascii="宋体" w:hAnsi="宋体"/>
          <w:bCs/>
          <w:sz w:val="28"/>
          <w:szCs w:val="28"/>
        </w:rPr>
      </w:pPr>
    </w:p>
    <w:permEnd w:id="28"/>
    <w:p>
      <w:pPr>
        <w:spacing w:before="156" w:after="156"/>
        <w:ind w:firstLine="551"/>
      </w:pPr>
    </w:p>
    <w:sectPr>
      <w:pgSz w:w="11906" w:h="16838"/>
      <w:pgMar w:top="1418" w:right="1418" w:bottom="1418" w:left="1701" w:header="851"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方正书宋简体">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幼圆">
    <w:panose1 w:val="0201050906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 ，Arial">
    <w:altName w:val="宋体"/>
    <w:panose1 w:val="00000000000000000000"/>
    <w:charset w:val="86"/>
    <w:family w:val="roman"/>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rPr>
        <w:rStyle w:val="44"/>
      </w:rPr>
      <w:instrText xml:space="preserve"> PAGE </w:instrText>
    </w:r>
    <w:r>
      <w:fldChar w:fldCharType="separate"/>
    </w:r>
    <w:r>
      <w:rPr>
        <w:rStyle w:val="44"/>
      </w:rPr>
      <w:t>109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rPr>
        <w:rStyle w:val="44"/>
      </w:rPr>
      <w:instrText xml:space="preserve"> PAGE </w:instrText>
    </w:r>
    <w:r>
      <w:fldChar w:fldCharType="separate"/>
    </w:r>
    <w:r>
      <w:rPr>
        <w:rStyle w:val="44"/>
      </w:rPr>
      <w:t>126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bullet"/>
      <w:lvlText w:val=""/>
      <w:lvlJc w:val="left"/>
      <w:pPr>
        <w:ind w:left="1060" w:hanging="420"/>
      </w:pPr>
      <w:rPr>
        <w:rFonts w:hint="default" w:ascii="Wingdings" w:hAnsi="Wingding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0000000C"/>
    <w:multiLevelType w:val="multilevel"/>
    <w:tmpl w:val="0000000C"/>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D"/>
    <w:multiLevelType w:val="multilevel"/>
    <w:tmpl w:val="0000000D"/>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E"/>
    <w:multiLevelType w:val="multilevel"/>
    <w:tmpl w:val="0000000E"/>
    <w:lvl w:ilvl="0" w:tentative="0">
      <w:start w:val="1"/>
      <w:numFmt w:val="decimal"/>
      <w:lvlText w:val="%1."/>
      <w:lvlJc w:val="left"/>
      <w:pPr>
        <w:tabs>
          <w:tab w:val="left" w:pos="630"/>
        </w:tabs>
        <w:ind w:left="630" w:hanging="420"/>
      </w:p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4">
    <w:nsid w:val="00000010"/>
    <w:multiLevelType w:val="multilevel"/>
    <w:tmpl w:val="00000010"/>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13"/>
    <w:multiLevelType w:val="multilevel"/>
    <w:tmpl w:val="00000013"/>
    <w:lvl w:ilvl="0" w:tentative="0">
      <w:start w:val="1"/>
      <w:numFmt w:val="decimal"/>
      <w:lvlText w:val="%1."/>
      <w:lvlJc w:val="left"/>
      <w:pPr>
        <w:ind w:left="840" w:hanging="420"/>
      </w:pPr>
    </w:lvl>
    <w:lvl w:ilvl="1" w:tentative="0">
      <w:start w:val="1"/>
      <w:numFmt w:val="decimal"/>
      <w:lvlText w:val="%2、"/>
      <w:lvlJc w:val="left"/>
      <w:pPr>
        <w:ind w:left="1515" w:hanging="675"/>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00000014"/>
    <w:multiLevelType w:val="multilevel"/>
    <w:tmpl w:val="00000014"/>
    <w:lvl w:ilvl="0" w:tentative="0">
      <w:start w:val="1"/>
      <w:numFmt w:val="decimal"/>
      <w:lvlText w:val="%1."/>
      <w:lvlJc w:val="left"/>
      <w:pPr>
        <w:tabs>
          <w:tab w:val="left" w:pos="630"/>
        </w:tabs>
        <w:ind w:left="630" w:hanging="420"/>
      </w:p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7">
    <w:nsid w:val="00000015"/>
    <w:multiLevelType w:val="multilevel"/>
    <w:tmpl w:val="00000015"/>
    <w:lvl w:ilvl="0" w:tentative="0">
      <w:start w:val="1"/>
      <w:numFmt w:val="decimal"/>
      <w:lvlText w:val="%1."/>
      <w:lvlJc w:val="left"/>
      <w:pPr>
        <w:tabs>
          <w:tab w:val="left" w:pos="630"/>
        </w:tabs>
        <w:ind w:left="630" w:hanging="420"/>
      </w:p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8">
    <w:nsid w:val="00000016"/>
    <w:multiLevelType w:val="multilevel"/>
    <w:tmpl w:val="00000016"/>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9">
    <w:nsid w:val="00000017"/>
    <w:multiLevelType w:val="multilevel"/>
    <w:tmpl w:val="00000017"/>
    <w:lvl w:ilvl="0" w:tentative="0">
      <w:start w:val="1"/>
      <w:numFmt w:val="bullet"/>
      <w:lvlText w:val=""/>
      <w:lvlJc w:val="left"/>
      <w:pPr>
        <w:ind w:left="1060" w:hanging="420"/>
      </w:pPr>
      <w:rPr>
        <w:rFonts w:hint="default" w:ascii="Wingdings" w:hAnsi="Wingding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0">
    <w:nsid w:val="00000018"/>
    <w:multiLevelType w:val="multilevel"/>
    <w:tmpl w:val="00000018"/>
    <w:lvl w:ilvl="0" w:tentative="0">
      <w:start w:val="1"/>
      <w:numFmt w:val="decimal"/>
      <w:lvlText w:val="%1)"/>
      <w:lvlJc w:val="left"/>
      <w:pPr>
        <w:ind w:left="943" w:hanging="420"/>
      </w:pPr>
    </w:lvl>
    <w:lvl w:ilvl="1" w:tentative="0">
      <w:start w:val="1"/>
      <w:numFmt w:val="lowerLetter"/>
      <w:lvlText w:val="%2)"/>
      <w:lvlJc w:val="left"/>
      <w:pPr>
        <w:ind w:left="1363" w:hanging="420"/>
      </w:pPr>
    </w:lvl>
    <w:lvl w:ilvl="2" w:tentative="0">
      <w:start w:val="1"/>
      <w:numFmt w:val="lowerRoman"/>
      <w:lvlText w:val="%3."/>
      <w:lvlJc w:val="right"/>
      <w:pPr>
        <w:ind w:left="1783" w:hanging="420"/>
      </w:pPr>
    </w:lvl>
    <w:lvl w:ilvl="3" w:tentative="0">
      <w:start w:val="1"/>
      <w:numFmt w:val="decimal"/>
      <w:lvlText w:val="%4."/>
      <w:lvlJc w:val="left"/>
      <w:pPr>
        <w:ind w:left="2203" w:hanging="420"/>
      </w:pPr>
    </w:lvl>
    <w:lvl w:ilvl="4" w:tentative="0">
      <w:start w:val="1"/>
      <w:numFmt w:val="lowerLetter"/>
      <w:lvlText w:val="%5)"/>
      <w:lvlJc w:val="left"/>
      <w:pPr>
        <w:ind w:left="2623" w:hanging="420"/>
      </w:pPr>
    </w:lvl>
    <w:lvl w:ilvl="5" w:tentative="0">
      <w:start w:val="1"/>
      <w:numFmt w:val="lowerRoman"/>
      <w:lvlText w:val="%6."/>
      <w:lvlJc w:val="right"/>
      <w:pPr>
        <w:ind w:left="3043" w:hanging="420"/>
      </w:pPr>
    </w:lvl>
    <w:lvl w:ilvl="6" w:tentative="0">
      <w:start w:val="1"/>
      <w:numFmt w:val="decimal"/>
      <w:lvlText w:val="%7."/>
      <w:lvlJc w:val="left"/>
      <w:pPr>
        <w:ind w:left="3463" w:hanging="420"/>
      </w:pPr>
    </w:lvl>
    <w:lvl w:ilvl="7" w:tentative="0">
      <w:start w:val="1"/>
      <w:numFmt w:val="lowerLetter"/>
      <w:lvlText w:val="%8)"/>
      <w:lvlJc w:val="left"/>
      <w:pPr>
        <w:ind w:left="3883" w:hanging="420"/>
      </w:pPr>
    </w:lvl>
    <w:lvl w:ilvl="8" w:tentative="0">
      <w:start w:val="1"/>
      <w:numFmt w:val="lowerRoman"/>
      <w:lvlText w:val="%9."/>
      <w:lvlJc w:val="right"/>
      <w:pPr>
        <w:ind w:left="4303" w:hanging="420"/>
      </w:pPr>
    </w:lvl>
  </w:abstractNum>
  <w:abstractNum w:abstractNumId="11">
    <w:nsid w:val="00000019"/>
    <w:multiLevelType w:val="multilevel"/>
    <w:tmpl w:val="0000001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00001A"/>
    <w:multiLevelType w:val="multilevel"/>
    <w:tmpl w:val="0000001A"/>
    <w:lvl w:ilvl="0" w:tentative="0">
      <w:start w:val="1"/>
      <w:numFmt w:val="decimal"/>
      <w:lvlText w:val="%1."/>
      <w:lvlJc w:val="left"/>
      <w:pPr>
        <w:tabs>
          <w:tab w:val="left" w:pos="630"/>
        </w:tabs>
        <w:ind w:left="630" w:hanging="420"/>
      </w:p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13">
    <w:nsid w:val="0000001B"/>
    <w:multiLevelType w:val="multilevel"/>
    <w:tmpl w:val="0000001B"/>
    <w:lvl w:ilvl="0" w:tentative="0">
      <w:start w:val="1"/>
      <w:numFmt w:val="decimal"/>
      <w:lvlText w:val="%1."/>
      <w:lvlJc w:val="left"/>
      <w:pPr>
        <w:tabs>
          <w:tab w:val="left" w:pos="846"/>
        </w:tabs>
        <w:ind w:left="846"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4">
    <w:nsid w:val="0000001C"/>
    <w:multiLevelType w:val="singleLevel"/>
    <w:tmpl w:val="0000001C"/>
    <w:lvl w:ilvl="0" w:tentative="0">
      <w:start w:val="2"/>
      <w:numFmt w:val="decimal"/>
      <w:suff w:val="nothing"/>
      <w:lvlText w:val="%1、"/>
      <w:lvlJc w:val="left"/>
    </w:lvl>
  </w:abstractNum>
  <w:abstractNum w:abstractNumId="15">
    <w:nsid w:val="0000001D"/>
    <w:multiLevelType w:val="multilevel"/>
    <w:tmpl w:val="0000001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0000001E"/>
    <w:multiLevelType w:val="multilevel"/>
    <w:tmpl w:val="0000001E"/>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0000001F"/>
    <w:multiLevelType w:val="multilevel"/>
    <w:tmpl w:val="0000001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0000020"/>
    <w:multiLevelType w:val="multilevel"/>
    <w:tmpl w:val="00000020"/>
    <w:lvl w:ilvl="0" w:tentative="0">
      <w:start w:val="1"/>
      <w:numFmt w:val="decimal"/>
      <w:lvlText w:val="%1)"/>
      <w:lvlJc w:val="left"/>
      <w:pPr>
        <w:tabs>
          <w:tab w:val="left" w:pos="943"/>
        </w:tabs>
        <w:ind w:left="943" w:hanging="420"/>
      </w:pPr>
      <w:rPr>
        <w:rFonts w:hint="default"/>
      </w:rPr>
    </w:lvl>
    <w:lvl w:ilvl="1" w:tentative="0">
      <w:start w:val="1"/>
      <w:numFmt w:val="bullet"/>
      <w:lvlText w:val=""/>
      <w:lvlJc w:val="left"/>
      <w:pPr>
        <w:tabs>
          <w:tab w:val="left" w:pos="1363"/>
        </w:tabs>
        <w:ind w:left="1363" w:hanging="420"/>
      </w:pPr>
      <w:rPr>
        <w:rFonts w:hint="default" w:ascii="Wingdings" w:hAnsi="Wingdings"/>
      </w:rPr>
    </w:lvl>
    <w:lvl w:ilvl="2" w:tentative="0">
      <w:start w:val="1"/>
      <w:numFmt w:val="bullet"/>
      <w:lvlText w:val=""/>
      <w:lvlJc w:val="left"/>
      <w:pPr>
        <w:tabs>
          <w:tab w:val="left" w:pos="1783"/>
        </w:tabs>
        <w:ind w:left="1783" w:hanging="420"/>
      </w:pPr>
      <w:rPr>
        <w:rFonts w:hint="default" w:ascii="Wingdings" w:hAnsi="Wingdings"/>
      </w:rPr>
    </w:lvl>
    <w:lvl w:ilvl="3" w:tentative="0">
      <w:start w:val="1"/>
      <w:numFmt w:val="bullet"/>
      <w:lvlText w:val=""/>
      <w:lvlJc w:val="left"/>
      <w:pPr>
        <w:tabs>
          <w:tab w:val="left" w:pos="2203"/>
        </w:tabs>
        <w:ind w:left="2203" w:hanging="420"/>
      </w:pPr>
      <w:rPr>
        <w:rFonts w:hint="default" w:ascii="Wingdings" w:hAnsi="Wingdings"/>
      </w:rPr>
    </w:lvl>
    <w:lvl w:ilvl="4" w:tentative="0">
      <w:start w:val="1"/>
      <w:numFmt w:val="bullet"/>
      <w:lvlText w:val=""/>
      <w:lvlJc w:val="left"/>
      <w:pPr>
        <w:tabs>
          <w:tab w:val="left" w:pos="2623"/>
        </w:tabs>
        <w:ind w:left="2623" w:hanging="420"/>
      </w:pPr>
      <w:rPr>
        <w:rFonts w:hint="default" w:ascii="Wingdings" w:hAnsi="Wingdings"/>
      </w:rPr>
    </w:lvl>
    <w:lvl w:ilvl="5" w:tentative="0">
      <w:start w:val="1"/>
      <w:numFmt w:val="bullet"/>
      <w:lvlText w:val=""/>
      <w:lvlJc w:val="left"/>
      <w:pPr>
        <w:tabs>
          <w:tab w:val="left" w:pos="3043"/>
        </w:tabs>
        <w:ind w:left="3043" w:hanging="420"/>
      </w:pPr>
      <w:rPr>
        <w:rFonts w:hint="default" w:ascii="Wingdings" w:hAnsi="Wingdings"/>
      </w:rPr>
    </w:lvl>
    <w:lvl w:ilvl="6" w:tentative="0">
      <w:start w:val="1"/>
      <w:numFmt w:val="bullet"/>
      <w:lvlText w:val=""/>
      <w:lvlJc w:val="left"/>
      <w:pPr>
        <w:tabs>
          <w:tab w:val="left" w:pos="3463"/>
        </w:tabs>
        <w:ind w:left="3463" w:hanging="420"/>
      </w:pPr>
      <w:rPr>
        <w:rFonts w:hint="default" w:ascii="Wingdings" w:hAnsi="Wingdings"/>
      </w:rPr>
    </w:lvl>
    <w:lvl w:ilvl="7" w:tentative="0">
      <w:start w:val="1"/>
      <w:numFmt w:val="bullet"/>
      <w:lvlText w:val=""/>
      <w:lvlJc w:val="left"/>
      <w:pPr>
        <w:tabs>
          <w:tab w:val="left" w:pos="3883"/>
        </w:tabs>
        <w:ind w:left="3883" w:hanging="420"/>
      </w:pPr>
      <w:rPr>
        <w:rFonts w:hint="default" w:ascii="Wingdings" w:hAnsi="Wingdings"/>
      </w:rPr>
    </w:lvl>
    <w:lvl w:ilvl="8" w:tentative="0">
      <w:start w:val="1"/>
      <w:numFmt w:val="bullet"/>
      <w:lvlText w:val=""/>
      <w:lvlJc w:val="left"/>
      <w:pPr>
        <w:tabs>
          <w:tab w:val="left" w:pos="4303"/>
        </w:tabs>
        <w:ind w:left="4303" w:hanging="420"/>
      </w:pPr>
      <w:rPr>
        <w:rFonts w:hint="default" w:ascii="Wingdings" w:hAnsi="Wingdings"/>
      </w:rPr>
    </w:lvl>
  </w:abstractNum>
  <w:abstractNum w:abstractNumId="19">
    <w:nsid w:val="00000021"/>
    <w:multiLevelType w:val="multilevel"/>
    <w:tmpl w:val="00000021"/>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0">
    <w:nsid w:val="00000022"/>
    <w:multiLevelType w:val="multilevel"/>
    <w:tmpl w:val="00000022"/>
    <w:lvl w:ilvl="0" w:tentative="0">
      <w:start w:val="1"/>
      <w:numFmt w:val="decimal"/>
      <w:lvlText w:val="%1)"/>
      <w:lvlJc w:val="left"/>
      <w:pPr>
        <w:ind w:left="943" w:hanging="420"/>
      </w:pPr>
    </w:lvl>
    <w:lvl w:ilvl="1" w:tentative="0">
      <w:start w:val="1"/>
      <w:numFmt w:val="lowerLetter"/>
      <w:lvlText w:val="%2)"/>
      <w:lvlJc w:val="left"/>
      <w:pPr>
        <w:ind w:left="1363" w:hanging="420"/>
      </w:pPr>
    </w:lvl>
    <w:lvl w:ilvl="2" w:tentative="0">
      <w:start w:val="1"/>
      <w:numFmt w:val="lowerRoman"/>
      <w:lvlText w:val="%3."/>
      <w:lvlJc w:val="right"/>
      <w:pPr>
        <w:ind w:left="1783" w:hanging="420"/>
      </w:pPr>
    </w:lvl>
    <w:lvl w:ilvl="3" w:tentative="0">
      <w:start w:val="1"/>
      <w:numFmt w:val="decimal"/>
      <w:lvlText w:val="%4."/>
      <w:lvlJc w:val="left"/>
      <w:pPr>
        <w:ind w:left="2203" w:hanging="420"/>
      </w:pPr>
    </w:lvl>
    <w:lvl w:ilvl="4" w:tentative="0">
      <w:start w:val="1"/>
      <w:numFmt w:val="lowerLetter"/>
      <w:lvlText w:val="%5)"/>
      <w:lvlJc w:val="left"/>
      <w:pPr>
        <w:ind w:left="2623" w:hanging="420"/>
      </w:pPr>
    </w:lvl>
    <w:lvl w:ilvl="5" w:tentative="0">
      <w:start w:val="1"/>
      <w:numFmt w:val="lowerRoman"/>
      <w:lvlText w:val="%6."/>
      <w:lvlJc w:val="right"/>
      <w:pPr>
        <w:ind w:left="3043" w:hanging="420"/>
      </w:pPr>
    </w:lvl>
    <w:lvl w:ilvl="6" w:tentative="0">
      <w:start w:val="1"/>
      <w:numFmt w:val="decimal"/>
      <w:lvlText w:val="%7."/>
      <w:lvlJc w:val="left"/>
      <w:pPr>
        <w:ind w:left="3463" w:hanging="420"/>
      </w:pPr>
    </w:lvl>
    <w:lvl w:ilvl="7" w:tentative="0">
      <w:start w:val="1"/>
      <w:numFmt w:val="lowerLetter"/>
      <w:lvlText w:val="%8)"/>
      <w:lvlJc w:val="left"/>
      <w:pPr>
        <w:ind w:left="3883" w:hanging="420"/>
      </w:pPr>
    </w:lvl>
    <w:lvl w:ilvl="8" w:tentative="0">
      <w:start w:val="1"/>
      <w:numFmt w:val="lowerRoman"/>
      <w:lvlText w:val="%9."/>
      <w:lvlJc w:val="right"/>
      <w:pPr>
        <w:ind w:left="4303" w:hanging="420"/>
      </w:pPr>
    </w:lvl>
  </w:abstractNum>
  <w:abstractNum w:abstractNumId="21">
    <w:nsid w:val="00000023"/>
    <w:multiLevelType w:val="multilevel"/>
    <w:tmpl w:val="00000023"/>
    <w:lvl w:ilvl="0" w:tentative="0">
      <w:start w:val="1"/>
      <w:numFmt w:val="chineseCountingThousand"/>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2">
    <w:nsid w:val="00000024"/>
    <w:multiLevelType w:val="multilevel"/>
    <w:tmpl w:val="00000024"/>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00000025"/>
    <w:multiLevelType w:val="multilevel"/>
    <w:tmpl w:val="00000025"/>
    <w:lvl w:ilvl="0" w:tentative="0">
      <w:start w:val="1"/>
      <w:numFmt w:val="decimal"/>
      <w:lvlText w:val="%1."/>
      <w:lvlJc w:val="left"/>
      <w:pPr>
        <w:ind w:left="804" w:hanging="420"/>
      </w:pPr>
    </w:lvl>
    <w:lvl w:ilvl="1" w:tentative="0">
      <w:start w:val="1"/>
      <w:numFmt w:val="decimal"/>
      <w:lvlText w:val="%2."/>
      <w:lvlJc w:val="left"/>
      <w:pPr>
        <w:ind w:left="846" w:hanging="420"/>
      </w:pPr>
    </w:lvl>
    <w:lvl w:ilvl="2" w:tentative="0">
      <w:start w:val="1"/>
      <w:numFmt w:val="lowerRoman"/>
      <w:lvlText w:val="%3."/>
      <w:lvlJc w:val="right"/>
      <w:pPr>
        <w:ind w:left="1644" w:hanging="420"/>
      </w:pPr>
    </w:lvl>
    <w:lvl w:ilvl="3" w:tentative="0">
      <w:start w:val="1"/>
      <w:numFmt w:val="decimal"/>
      <w:lvlText w:val="%4."/>
      <w:lvlJc w:val="left"/>
      <w:pPr>
        <w:ind w:left="2064" w:hanging="420"/>
      </w:pPr>
    </w:lvl>
    <w:lvl w:ilvl="4" w:tentative="0">
      <w:start w:val="1"/>
      <w:numFmt w:val="lowerLetter"/>
      <w:lvlText w:val="%5)"/>
      <w:lvlJc w:val="left"/>
      <w:pPr>
        <w:ind w:left="2484" w:hanging="420"/>
      </w:pPr>
    </w:lvl>
    <w:lvl w:ilvl="5" w:tentative="0">
      <w:start w:val="1"/>
      <w:numFmt w:val="lowerRoman"/>
      <w:lvlText w:val="%6."/>
      <w:lvlJc w:val="right"/>
      <w:pPr>
        <w:ind w:left="2904" w:hanging="420"/>
      </w:pPr>
    </w:lvl>
    <w:lvl w:ilvl="6" w:tentative="0">
      <w:start w:val="1"/>
      <w:numFmt w:val="decimal"/>
      <w:lvlText w:val="%7."/>
      <w:lvlJc w:val="left"/>
      <w:pPr>
        <w:ind w:left="3324" w:hanging="420"/>
      </w:pPr>
    </w:lvl>
    <w:lvl w:ilvl="7" w:tentative="0">
      <w:start w:val="1"/>
      <w:numFmt w:val="lowerLetter"/>
      <w:lvlText w:val="%8)"/>
      <w:lvlJc w:val="left"/>
      <w:pPr>
        <w:ind w:left="3744" w:hanging="420"/>
      </w:pPr>
    </w:lvl>
    <w:lvl w:ilvl="8" w:tentative="0">
      <w:start w:val="1"/>
      <w:numFmt w:val="lowerRoman"/>
      <w:lvlText w:val="%9."/>
      <w:lvlJc w:val="right"/>
      <w:pPr>
        <w:ind w:left="4164" w:hanging="420"/>
      </w:pPr>
    </w:lvl>
  </w:abstractNum>
  <w:abstractNum w:abstractNumId="24">
    <w:nsid w:val="00000026"/>
    <w:multiLevelType w:val="multilevel"/>
    <w:tmpl w:val="00000026"/>
    <w:lvl w:ilvl="0" w:tentative="0">
      <w:start w:val="1"/>
      <w:numFmt w:val="decimal"/>
      <w:lvlText w:val="2.%1"/>
      <w:lvlJc w:val="left"/>
      <w:pPr>
        <w:ind w:left="943" w:hanging="420"/>
      </w:pPr>
      <w:rPr>
        <w:rFonts w:hint="eastAsia"/>
      </w:rPr>
    </w:lvl>
    <w:lvl w:ilvl="1" w:tentative="0">
      <w:start w:val="1"/>
      <w:numFmt w:val="lowerLetter"/>
      <w:lvlText w:val="%2)"/>
      <w:lvlJc w:val="left"/>
      <w:pPr>
        <w:ind w:left="1363" w:hanging="420"/>
      </w:pPr>
    </w:lvl>
    <w:lvl w:ilvl="2" w:tentative="0">
      <w:start w:val="1"/>
      <w:numFmt w:val="lowerRoman"/>
      <w:lvlText w:val="%3."/>
      <w:lvlJc w:val="right"/>
      <w:pPr>
        <w:ind w:left="1783" w:hanging="420"/>
      </w:pPr>
    </w:lvl>
    <w:lvl w:ilvl="3" w:tentative="0">
      <w:start w:val="1"/>
      <w:numFmt w:val="decimal"/>
      <w:lvlText w:val="%4."/>
      <w:lvlJc w:val="left"/>
      <w:pPr>
        <w:ind w:left="2203" w:hanging="420"/>
      </w:pPr>
    </w:lvl>
    <w:lvl w:ilvl="4" w:tentative="0">
      <w:start w:val="1"/>
      <w:numFmt w:val="lowerLetter"/>
      <w:lvlText w:val="%5)"/>
      <w:lvlJc w:val="left"/>
      <w:pPr>
        <w:ind w:left="2623" w:hanging="420"/>
      </w:pPr>
    </w:lvl>
    <w:lvl w:ilvl="5" w:tentative="0">
      <w:start w:val="1"/>
      <w:numFmt w:val="lowerRoman"/>
      <w:lvlText w:val="%6."/>
      <w:lvlJc w:val="right"/>
      <w:pPr>
        <w:ind w:left="3043" w:hanging="420"/>
      </w:pPr>
    </w:lvl>
    <w:lvl w:ilvl="6" w:tentative="0">
      <w:start w:val="1"/>
      <w:numFmt w:val="decimal"/>
      <w:lvlText w:val="%7."/>
      <w:lvlJc w:val="left"/>
      <w:pPr>
        <w:ind w:left="3463" w:hanging="420"/>
      </w:pPr>
    </w:lvl>
    <w:lvl w:ilvl="7" w:tentative="0">
      <w:start w:val="1"/>
      <w:numFmt w:val="lowerLetter"/>
      <w:lvlText w:val="%8)"/>
      <w:lvlJc w:val="left"/>
      <w:pPr>
        <w:ind w:left="3883" w:hanging="420"/>
      </w:pPr>
    </w:lvl>
    <w:lvl w:ilvl="8" w:tentative="0">
      <w:start w:val="1"/>
      <w:numFmt w:val="lowerRoman"/>
      <w:lvlText w:val="%9."/>
      <w:lvlJc w:val="right"/>
      <w:pPr>
        <w:ind w:left="4303" w:hanging="420"/>
      </w:pPr>
    </w:lvl>
  </w:abstractNum>
  <w:abstractNum w:abstractNumId="25">
    <w:nsid w:val="00000027"/>
    <w:multiLevelType w:val="multilevel"/>
    <w:tmpl w:val="00000027"/>
    <w:lvl w:ilvl="0" w:tentative="0">
      <w:start w:val="1"/>
      <w:numFmt w:val="decimal"/>
      <w:lvlText w:val="%1."/>
      <w:lvlJc w:val="left"/>
      <w:pPr>
        <w:tabs>
          <w:tab w:val="left" w:pos="840"/>
        </w:tabs>
        <w:ind w:left="84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6">
    <w:nsid w:val="00000028"/>
    <w:multiLevelType w:val="multilevel"/>
    <w:tmpl w:val="00000028"/>
    <w:lvl w:ilvl="0" w:tentative="0">
      <w:start w:val="1"/>
      <w:numFmt w:val="bullet"/>
      <w:lvlText w:val=""/>
      <w:lvlJc w:val="left"/>
      <w:pPr>
        <w:tabs>
          <w:tab w:val="left" w:pos="1320"/>
        </w:tabs>
        <w:ind w:left="1320" w:hanging="420"/>
      </w:pPr>
      <w:rPr>
        <w:rFonts w:hint="default" w:ascii="Wingdings" w:hAnsi="Wingdings" w:eastAsia="宋体"/>
        <w:sz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7">
    <w:nsid w:val="00000029"/>
    <w:multiLevelType w:val="multilevel"/>
    <w:tmpl w:val="00000029"/>
    <w:lvl w:ilvl="0" w:tentative="0">
      <w:start w:val="1"/>
      <w:numFmt w:val="decimal"/>
      <w:lvlText w:val="%1."/>
      <w:lvlJc w:val="left"/>
      <w:pPr>
        <w:ind w:left="804" w:hanging="420"/>
      </w:pPr>
    </w:lvl>
    <w:lvl w:ilvl="1" w:tentative="0">
      <w:start w:val="1"/>
      <w:numFmt w:val="decimal"/>
      <w:lvlText w:val="%2."/>
      <w:lvlJc w:val="left"/>
      <w:pPr>
        <w:ind w:left="846" w:hanging="420"/>
      </w:pPr>
    </w:lvl>
    <w:lvl w:ilvl="2" w:tentative="0">
      <w:start w:val="1"/>
      <w:numFmt w:val="lowerRoman"/>
      <w:lvlText w:val="%3."/>
      <w:lvlJc w:val="right"/>
      <w:pPr>
        <w:ind w:left="1644" w:hanging="420"/>
      </w:pPr>
    </w:lvl>
    <w:lvl w:ilvl="3" w:tentative="0">
      <w:start w:val="1"/>
      <w:numFmt w:val="decimal"/>
      <w:lvlText w:val="%4."/>
      <w:lvlJc w:val="left"/>
      <w:pPr>
        <w:ind w:left="2064" w:hanging="420"/>
      </w:pPr>
    </w:lvl>
    <w:lvl w:ilvl="4" w:tentative="0">
      <w:start w:val="1"/>
      <w:numFmt w:val="lowerLetter"/>
      <w:lvlText w:val="%5)"/>
      <w:lvlJc w:val="left"/>
      <w:pPr>
        <w:ind w:left="2484" w:hanging="420"/>
      </w:pPr>
    </w:lvl>
    <w:lvl w:ilvl="5" w:tentative="0">
      <w:start w:val="1"/>
      <w:numFmt w:val="lowerRoman"/>
      <w:lvlText w:val="%6."/>
      <w:lvlJc w:val="right"/>
      <w:pPr>
        <w:ind w:left="2904" w:hanging="420"/>
      </w:pPr>
    </w:lvl>
    <w:lvl w:ilvl="6" w:tentative="0">
      <w:start w:val="1"/>
      <w:numFmt w:val="decimal"/>
      <w:lvlText w:val="%7."/>
      <w:lvlJc w:val="left"/>
      <w:pPr>
        <w:ind w:left="3324" w:hanging="420"/>
      </w:pPr>
    </w:lvl>
    <w:lvl w:ilvl="7" w:tentative="0">
      <w:start w:val="1"/>
      <w:numFmt w:val="lowerLetter"/>
      <w:lvlText w:val="%8)"/>
      <w:lvlJc w:val="left"/>
      <w:pPr>
        <w:ind w:left="3744" w:hanging="420"/>
      </w:pPr>
    </w:lvl>
    <w:lvl w:ilvl="8" w:tentative="0">
      <w:start w:val="1"/>
      <w:numFmt w:val="lowerRoman"/>
      <w:lvlText w:val="%9."/>
      <w:lvlJc w:val="right"/>
      <w:pPr>
        <w:ind w:left="4164" w:hanging="420"/>
      </w:pPr>
    </w:lvl>
  </w:abstractNum>
  <w:abstractNum w:abstractNumId="28">
    <w:nsid w:val="0000002A"/>
    <w:multiLevelType w:val="multilevel"/>
    <w:tmpl w:val="0000002A"/>
    <w:lvl w:ilvl="0" w:tentative="0">
      <w:start w:val="1"/>
      <w:numFmt w:val="decimal"/>
      <w:lvlText w:val="%1)"/>
      <w:lvlJc w:val="left"/>
      <w:pPr>
        <w:tabs>
          <w:tab w:val="left" w:pos="943"/>
        </w:tabs>
        <w:ind w:left="943" w:hanging="420"/>
      </w:pPr>
      <w:rPr>
        <w:rFonts w:hint="default"/>
      </w:rPr>
    </w:lvl>
    <w:lvl w:ilvl="1" w:tentative="0">
      <w:start w:val="1"/>
      <w:numFmt w:val="bullet"/>
      <w:lvlText w:val=""/>
      <w:lvlJc w:val="left"/>
      <w:pPr>
        <w:tabs>
          <w:tab w:val="left" w:pos="1363"/>
        </w:tabs>
        <w:ind w:left="1363" w:hanging="420"/>
      </w:pPr>
      <w:rPr>
        <w:rFonts w:hint="default" w:ascii="Wingdings" w:hAnsi="Wingdings"/>
      </w:rPr>
    </w:lvl>
    <w:lvl w:ilvl="2" w:tentative="0">
      <w:start w:val="1"/>
      <w:numFmt w:val="bullet"/>
      <w:lvlText w:val=""/>
      <w:lvlJc w:val="left"/>
      <w:pPr>
        <w:tabs>
          <w:tab w:val="left" w:pos="1783"/>
        </w:tabs>
        <w:ind w:left="1783" w:hanging="420"/>
      </w:pPr>
      <w:rPr>
        <w:rFonts w:hint="default" w:ascii="Wingdings" w:hAnsi="Wingdings"/>
      </w:rPr>
    </w:lvl>
    <w:lvl w:ilvl="3" w:tentative="0">
      <w:start w:val="1"/>
      <w:numFmt w:val="bullet"/>
      <w:lvlText w:val=""/>
      <w:lvlJc w:val="left"/>
      <w:pPr>
        <w:tabs>
          <w:tab w:val="left" w:pos="2203"/>
        </w:tabs>
        <w:ind w:left="2203" w:hanging="420"/>
      </w:pPr>
      <w:rPr>
        <w:rFonts w:hint="default" w:ascii="Wingdings" w:hAnsi="Wingdings"/>
      </w:rPr>
    </w:lvl>
    <w:lvl w:ilvl="4" w:tentative="0">
      <w:start w:val="1"/>
      <w:numFmt w:val="bullet"/>
      <w:lvlText w:val=""/>
      <w:lvlJc w:val="left"/>
      <w:pPr>
        <w:tabs>
          <w:tab w:val="left" w:pos="2623"/>
        </w:tabs>
        <w:ind w:left="2623" w:hanging="420"/>
      </w:pPr>
      <w:rPr>
        <w:rFonts w:hint="default" w:ascii="Wingdings" w:hAnsi="Wingdings"/>
      </w:rPr>
    </w:lvl>
    <w:lvl w:ilvl="5" w:tentative="0">
      <w:start w:val="1"/>
      <w:numFmt w:val="bullet"/>
      <w:lvlText w:val=""/>
      <w:lvlJc w:val="left"/>
      <w:pPr>
        <w:tabs>
          <w:tab w:val="left" w:pos="3043"/>
        </w:tabs>
        <w:ind w:left="3043" w:hanging="420"/>
      </w:pPr>
      <w:rPr>
        <w:rFonts w:hint="default" w:ascii="Wingdings" w:hAnsi="Wingdings"/>
      </w:rPr>
    </w:lvl>
    <w:lvl w:ilvl="6" w:tentative="0">
      <w:start w:val="1"/>
      <w:numFmt w:val="bullet"/>
      <w:lvlText w:val=""/>
      <w:lvlJc w:val="left"/>
      <w:pPr>
        <w:tabs>
          <w:tab w:val="left" w:pos="3463"/>
        </w:tabs>
        <w:ind w:left="3463" w:hanging="420"/>
      </w:pPr>
      <w:rPr>
        <w:rFonts w:hint="default" w:ascii="Wingdings" w:hAnsi="Wingdings"/>
      </w:rPr>
    </w:lvl>
    <w:lvl w:ilvl="7" w:tentative="0">
      <w:start w:val="1"/>
      <w:numFmt w:val="bullet"/>
      <w:lvlText w:val=""/>
      <w:lvlJc w:val="left"/>
      <w:pPr>
        <w:tabs>
          <w:tab w:val="left" w:pos="3883"/>
        </w:tabs>
        <w:ind w:left="3883" w:hanging="420"/>
      </w:pPr>
      <w:rPr>
        <w:rFonts w:hint="default" w:ascii="Wingdings" w:hAnsi="Wingdings"/>
      </w:rPr>
    </w:lvl>
    <w:lvl w:ilvl="8" w:tentative="0">
      <w:start w:val="1"/>
      <w:numFmt w:val="bullet"/>
      <w:lvlText w:val=""/>
      <w:lvlJc w:val="left"/>
      <w:pPr>
        <w:tabs>
          <w:tab w:val="left" w:pos="4303"/>
        </w:tabs>
        <w:ind w:left="4303" w:hanging="420"/>
      </w:pPr>
      <w:rPr>
        <w:rFonts w:hint="default" w:ascii="Wingdings" w:hAnsi="Wingdings"/>
      </w:rPr>
    </w:lvl>
  </w:abstractNum>
  <w:abstractNum w:abstractNumId="29">
    <w:nsid w:val="0000002B"/>
    <w:multiLevelType w:val="multilevel"/>
    <w:tmpl w:val="0000002B"/>
    <w:lvl w:ilvl="0" w:tentative="0">
      <w:start w:val="1"/>
      <w:numFmt w:val="chineseCountingThousand"/>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0000002C"/>
    <w:multiLevelType w:val="multilevel"/>
    <w:tmpl w:val="0000002C"/>
    <w:lvl w:ilvl="0" w:tentative="0">
      <w:start w:val="1"/>
      <w:numFmt w:val="decimal"/>
      <w:lvlText w:val="%1."/>
      <w:lvlJc w:val="left"/>
      <w:pPr>
        <w:tabs>
          <w:tab w:val="left" w:pos="1155"/>
        </w:tabs>
        <w:ind w:left="1155" w:hanging="420"/>
      </w:pPr>
    </w:lvl>
    <w:lvl w:ilvl="1" w:tentative="0">
      <w:start w:val="1"/>
      <w:numFmt w:val="lowerLetter"/>
      <w:lvlText w:val="%2)"/>
      <w:lvlJc w:val="left"/>
      <w:pPr>
        <w:tabs>
          <w:tab w:val="left" w:pos="1575"/>
        </w:tabs>
        <w:ind w:left="1575" w:hanging="420"/>
      </w:p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abstractNum w:abstractNumId="31">
    <w:nsid w:val="0000002D"/>
    <w:multiLevelType w:val="multilevel"/>
    <w:tmpl w:val="0000002D"/>
    <w:lvl w:ilvl="0" w:tentative="0">
      <w:start w:val="1"/>
      <w:numFmt w:val="decimal"/>
      <w:lvlText w:val="%1."/>
      <w:lvlJc w:val="left"/>
      <w:pPr>
        <w:tabs>
          <w:tab w:val="left" w:pos="1224"/>
        </w:tabs>
        <w:ind w:left="1224" w:hanging="420"/>
      </w:pPr>
    </w:lvl>
    <w:lvl w:ilvl="1" w:tentative="0">
      <w:start w:val="1"/>
      <w:numFmt w:val="lowerLetter"/>
      <w:lvlText w:val="%2)"/>
      <w:lvlJc w:val="left"/>
      <w:pPr>
        <w:tabs>
          <w:tab w:val="left" w:pos="1644"/>
        </w:tabs>
        <w:ind w:left="1644" w:hanging="420"/>
      </w:pPr>
    </w:lvl>
    <w:lvl w:ilvl="2" w:tentative="0">
      <w:start w:val="1"/>
      <w:numFmt w:val="lowerRoman"/>
      <w:lvlText w:val="%3."/>
      <w:lvlJc w:val="right"/>
      <w:pPr>
        <w:tabs>
          <w:tab w:val="left" w:pos="2064"/>
        </w:tabs>
        <w:ind w:left="2064" w:hanging="420"/>
      </w:pPr>
    </w:lvl>
    <w:lvl w:ilvl="3" w:tentative="0">
      <w:start w:val="1"/>
      <w:numFmt w:val="decimal"/>
      <w:lvlText w:val="%4."/>
      <w:lvlJc w:val="left"/>
      <w:pPr>
        <w:tabs>
          <w:tab w:val="left" w:pos="2484"/>
        </w:tabs>
        <w:ind w:left="2484" w:hanging="420"/>
      </w:pPr>
    </w:lvl>
    <w:lvl w:ilvl="4" w:tentative="0">
      <w:start w:val="1"/>
      <w:numFmt w:val="lowerLetter"/>
      <w:lvlText w:val="%5)"/>
      <w:lvlJc w:val="left"/>
      <w:pPr>
        <w:tabs>
          <w:tab w:val="left" w:pos="2904"/>
        </w:tabs>
        <w:ind w:left="2904" w:hanging="420"/>
      </w:pPr>
    </w:lvl>
    <w:lvl w:ilvl="5" w:tentative="0">
      <w:start w:val="1"/>
      <w:numFmt w:val="lowerRoman"/>
      <w:lvlText w:val="%6."/>
      <w:lvlJc w:val="right"/>
      <w:pPr>
        <w:tabs>
          <w:tab w:val="left" w:pos="3324"/>
        </w:tabs>
        <w:ind w:left="3324" w:hanging="420"/>
      </w:pPr>
    </w:lvl>
    <w:lvl w:ilvl="6" w:tentative="0">
      <w:start w:val="1"/>
      <w:numFmt w:val="decimal"/>
      <w:lvlText w:val="%7."/>
      <w:lvlJc w:val="left"/>
      <w:pPr>
        <w:tabs>
          <w:tab w:val="left" w:pos="3744"/>
        </w:tabs>
        <w:ind w:left="3744" w:hanging="420"/>
      </w:pPr>
    </w:lvl>
    <w:lvl w:ilvl="7" w:tentative="0">
      <w:start w:val="1"/>
      <w:numFmt w:val="lowerLetter"/>
      <w:lvlText w:val="%8)"/>
      <w:lvlJc w:val="left"/>
      <w:pPr>
        <w:tabs>
          <w:tab w:val="left" w:pos="4164"/>
        </w:tabs>
        <w:ind w:left="4164" w:hanging="420"/>
      </w:pPr>
    </w:lvl>
    <w:lvl w:ilvl="8" w:tentative="0">
      <w:start w:val="1"/>
      <w:numFmt w:val="lowerRoman"/>
      <w:lvlText w:val="%9."/>
      <w:lvlJc w:val="right"/>
      <w:pPr>
        <w:tabs>
          <w:tab w:val="left" w:pos="4584"/>
        </w:tabs>
        <w:ind w:left="4584" w:hanging="420"/>
      </w:pPr>
    </w:lvl>
  </w:abstractNum>
  <w:abstractNum w:abstractNumId="32">
    <w:nsid w:val="0000002E"/>
    <w:multiLevelType w:val="multilevel"/>
    <w:tmpl w:val="0000002E"/>
    <w:lvl w:ilvl="0" w:tentative="0">
      <w:start w:val="1"/>
      <w:numFmt w:val="decimal"/>
      <w:lvlText w:val="%1."/>
      <w:lvlJc w:val="left"/>
      <w:pPr>
        <w:tabs>
          <w:tab w:val="left" w:pos="630"/>
        </w:tabs>
        <w:ind w:left="630" w:hanging="420"/>
      </w:p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33">
    <w:nsid w:val="0000002F"/>
    <w:multiLevelType w:val="multilevel"/>
    <w:tmpl w:val="0000002F"/>
    <w:lvl w:ilvl="0" w:tentative="0">
      <w:start w:val="1"/>
      <w:numFmt w:val="decimal"/>
      <w:lvlText w:val="%1."/>
      <w:lvlJc w:val="left"/>
      <w:pPr>
        <w:tabs>
          <w:tab w:val="left" w:pos="630"/>
        </w:tabs>
        <w:ind w:left="630" w:hanging="420"/>
      </w:p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34">
    <w:nsid w:val="00000030"/>
    <w:multiLevelType w:val="multilevel"/>
    <w:tmpl w:val="00000030"/>
    <w:lvl w:ilvl="0" w:tentative="0">
      <w:start w:val="1"/>
      <w:numFmt w:val="bullet"/>
      <w:lvlText w:val=""/>
      <w:lvlJc w:val="left"/>
      <w:pPr>
        <w:ind w:left="1060" w:hanging="420"/>
      </w:pPr>
      <w:rPr>
        <w:rFonts w:hint="default" w:ascii="Wingdings" w:hAnsi="Wingding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5">
    <w:nsid w:val="00000031"/>
    <w:multiLevelType w:val="multilevel"/>
    <w:tmpl w:val="00000031"/>
    <w:lvl w:ilvl="0" w:tentative="0">
      <w:start w:val="6"/>
      <w:numFmt w:val="japaneseCounting"/>
      <w:pStyle w:val="12"/>
      <w:lvlText w:val="第%1章"/>
      <w:lvlJc w:val="left"/>
      <w:pPr>
        <w:tabs>
          <w:tab w:val="left" w:pos="1755"/>
        </w:tabs>
        <w:ind w:left="1755" w:hanging="1755"/>
      </w:pPr>
      <w:rPr>
        <w:rFonts w:hint="default"/>
      </w:rPr>
    </w:lvl>
    <w:lvl w:ilvl="1" w:tentative="0">
      <w:start w:val="1"/>
      <w:numFmt w:val="lowerLetter"/>
      <w:pStyle w:val="55"/>
      <w:lvlText w:val="%2)"/>
      <w:lvlJc w:val="left"/>
      <w:pPr>
        <w:tabs>
          <w:tab w:val="left" w:pos="840"/>
        </w:tabs>
        <w:ind w:left="840" w:hanging="420"/>
      </w:pPr>
    </w:lvl>
    <w:lvl w:ilvl="2" w:tentative="0">
      <w:start w:val="1"/>
      <w:numFmt w:val="lowerRoman"/>
      <w:pStyle w:val="82"/>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0F5959E1"/>
    <w:multiLevelType w:val="singleLevel"/>
    <w:tmpl w:val="0F5959E1"/>
    <w:lvl w:ilvl="0" w:tentative="0">
      <w:start w:val="1"/>
      <w:numFmt w:val="decimal"/>
      <w:suff w:val="nothing"/>
      <w:lvlText w:val="%1、"/>
      <w:lvlJc w:val="left"/>
    </w:lvl>
  </w:abstractNum>
  <w:abstractNum w:abstractNumId="37">
    <w:nsid w:val="7E8CEE42"/>
    <w:multiLevelType w:val="singleLevel"/>
    <w:tmpl w:val="7E8CEE42"/>
    <w:lvl w:ilvl="0" w:tentative="0">
      <w:start w:val="5"/>
      <w:numFmt w:val="chineseCounting"/>
      <w:suff w:val="nothing"/>
      <w:lvlText w:val="%1、"/>
      <w:lvlJc w:val="left"/>
      <w:rPr>
        <w:rFonts w:hint="eastAsia"/>
      </w:rPr>
    </w:lvl>
  </w:abstractNum>
  <w:num w:numId="1">
    <w:abstractNumId w:val="35"/>
  </w:num>
  <w:num w:numId="2">
    <w:abstractNumId w:val="37"/>
  </w:num>
  <w:num w:numId="3">
    <w:abstractNumId w:val="36"/>
  </w:num>
  <w:num w:numId="4">
    <w:abstractNumId w:val="29"/>
  </w:num>
  <w:num w:numId="5">
    <w:abstractNumId w:val="25"/>
    <w:lvlOverride w:ilvl="0">
      <w:startOverride w:val="1"/>
    </w:lvlOverride>
  </w:num>
  <w:num w:numId="6">
    <w:abstractNumId w:val="8"/>
  </w:num>
  <w:num w:numId="7">
    <w:abstractNumId w:val="4"/>
  </w:num>
  <w:num w:numId="8">
    <w:abstractNumId w:val="21"/>
  </w:num>
  <w:num w:numId="9">
    <w:abstractNumId w:val="30"/>
  </w:num>
  <w:num w:numId="10">
    <w:abstractNumId w:val="13"/>
  </w:num>
  <w:num w:numId="11">
    <w:abstractNumId w:val="33"/>
  </w:num>
  <w:num w:numId="12">
    <w:abstractNumId w:val="7"/>
  </w:num>
  <w:num w:numId="13">
    <w:abstractNumId w:val="32"/>
  </w:num>
  <w:num w:numId="14">
    <w:abstractNumId w:val="3"/>
  </w:num>
  <w:num w:numId="15">
    <w:abstractNumId w:val="16"/>
  </w:num>
  <w:num w:numId="16">
    <w:abstractNumId w:val="6"/>
  </w:num>
  <w:num w:numId="17">
    <w:abstractNumId w:val="12"/>
  </w:num>
  <w:num w:numId="18">
    <w:abstractNumId w:val="5"/>
  </w:num>
  <w:num w:numId="19">
    <w:abstractNumId w:val="15"/>
  </w:num>
  <w:num w:numId="20">
    <w:abstractNumId w:val="22"/>
  </w:num>
  <w:num w:numId="21">
    <w:abstractNumId w:val="1"/>
  </w:num>
  <w:num w:numId="22">
    <w:abstractNumId w:val="19"/>
  </w:num>
  <w:num w:numId="23">
    <w:abstractNumId w:val="26"/>
  </w:num>
  <w:num w:numId="24">
    <w:abstractNumId w:val="27"/>
  </w:num>
  <w:num w:numId="25">
    <w:abstractNumId w:val="31"/>
  </w:num>
  <w:num w:numId="26">
    <w:abstractNumId w:val="23"/>
  </w:num>
  <w:num w:numId="27">
    <w:abstractNumId w:val="11"/>
  </w:num>
  <w:num w:numId="28">
    <w:abstractNumId w:val="2"/>
  </w:num>
  <w:num w:numId="29">
    <w:abstractNumId w:val="18"/>
  </w:num>
  <w:num w:numId="30">
    <w:abstractNumId w:val="10"/>
  </w:num>
  <w:num w:numId="31">
    <w:abstractNumId w:val="20"/>
  </w:num>
  <w:num w:numId="32">
    <w:abstractNumId w:val="24"/>
  </w:num>
  <w:num w:numId="33">
    <w:abstractNumId w:val="28"/>
  </w:num>
  <w:num w:numId="34">
    <w:abstractNumId w:val="17"/>
  </w:num>
  <w:num w:numId="35">
    <w:abstractNumId w:val="9"/>
  </w:num>
  <w:num w:numId="36">
    <w:abstractNumId w:val="34"/>
  </w:num>
  <w:num w:numId="37">
    <w:abstractNumId w:val="0"/>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dit="readOnly"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4C8"/>
    <w:rsid w:val="0001118C"/>
    <w:rsid w:val="0002283F"/>
    <w:rsid w:val="00051D1A"/>
    <w:rsid w:val="00057734"/>
    <w:rsid w:val="00064990"/>
    <w:rsid w:val="00077C27"/>
    <w:rsid w:val="000A4A0F"/>
    <w:rsid w:val="000C136B"/>
    <w:rsid w:val="000C4225"/>
    <w:rsid w:val="000C6C7D"/>
    <w:rsid w:val="000D6E95"/>
    <w:rsid w:val="000E513C"/>
    <w:rsid w:val="000F19B6"/>
    <w:rsid w:val="001036F7"/>
    <w:rsid w:val="00112EF8"/>
    <w:rsid w:val="00132D4D"/>
    <w:rsid w:val="0013353A"/>
    <w:rsid w:val="00147FF1"/>
    <w:rsid w:val="001502E4"/>
    <w:rsid w:val="0015233E"/>
    <w:rsid w:val="00153313"/>
    <w:rsid w:val="00154E67"/>
    <w:rsid w:val="001621B1"/>
    <w:rsid w:val="00172A27"/>
    <w:rsid w:val="001801EF"/>
    <w:rsid w:val="001819C3"/>
    <w:rsid w:val="001850EE"/>
    <w:rsid w:val="001911CC"/>
    <w:rsid w:val="0019729E"/>
    <w:rsid w:val="001C4AD2"/>
    <w:rsid w:val="001E4F7F"/>
    <w:rsid w:val="00205007"/>
    <w:rsid w:val="002065B7"/>
    <w:rsid w:val="00213678"/>
    <w:rsid w:val="002355AD"/>
    <w:rsid w:val="00260171"/>
    <w:rsid w:val="002657C0"/>
    <w:rsid w:val="002723F4"/>
    <w:rsid w:val="00276CD7"/>
    <w:rsid w:val="00281D50"/>
    <w:rsid w:val="00282865"/>
    <w:rsid w:val="002A16A8"/>
    <w:rsid w:val="002A34FA"/>
    <w:rsid w:val="002A4B9C"/>
    <w:rsid w:val="002A54C9"/>
    <w:rsid w:val="002E4238"/>
    <w:rsid w:val="003242A9"/>
    <w:rsid w:val="00324ECA"/>
    <w:rsid w:val="00344BBD"/>
    <w:rsid w:val="003450C5"/>
    <w:rsid w:val="0036068E"/>
    <w:rsid w:val="00362760"/>
    <w:rsid w:val="00372753"/>
    <w:rsid w:val="00380BB2"/>
    <w:rsid w:val="003978F6"/>
    <w:rsid w:val="003C32D1"/>
    <w:rsid w:val="003D50C8"/>
    <w:rsid w:val="003D5AE1"/>
    <w:rsid w:val="003E6C52"/>
    <w:rsid w:val="00410138"/>
    <w:rsid w:val="00422E9E"/>
    <w:rsid w:val="00423EFE"/>
    <w:rsid w:val="00432A35"/>
    <w:rsid w:val="0043405D"/>
    <w:rsid w:val="00434A43"/>
    <w:rsid w:val="00435148"/>
    <w:rsid w:val="00435910"/>
    <w:rsid w:val="004364F2"/>
    <w:rsid w:val="004673B3"/>
    <w:rsid w:val="00480DF1"/>
    <w:rsid w:val="004A19C9"/>
    <w:rsid w:val="004B365C"/>
    <w:rsid w:val="004B637C"/>
    <w:rsid w:val="004C21CB"/>
    <w:rsid w:val="004E3AD1"/>
    <w:rsid w:val="004F4C23"/>
    <w:rsid w:val="00500429"/>
    <w:rsid w:val="0050333E"/>
    <w:rsid w:val="00503770"/>
    <w:rsid w:val="005204E7"/>
    <w:rsid w:val="00524034"/>
    <w:rsid w:val="0052493C"/>
    <w:rsid w:val="005505C3"/>
    <w:rsid w:val="00560809"/>
    <w:rsid w:val="005634AF"/>
    <w:rsid w:val="005657AA"/>
    <w:rsid w:val="005707D8"/>
    <w:rsid w:val="00596ABB"/>
    <w:rsid w:val="005A38AC"/>
    <w:rsid w:val="005C11A8"/>
    <w:rsid w:val="005D5841"/>
    <w:rsid w:val="005D67D2"/>
    <w:rsid w:val="005F02EB"/>
    <w:rsid w:val="005F2D3B"/>
    <w:rsid w:val="005F5F3D"/>
    <w:rsid w:val="00624818"/>
    <w:rsid w:val="0066078D"/>
    <w:rsid w:val="00662716"/>
    <w:rsid w:val="006857CA"/>
    <w:rsid w:val="00687D08"/>
    <w:rsid w:val="00690C7D"/>
    <w:rsid w:val="00691A17"/>
    <w:rsid w:val="006936F2"/>
    <w:rsid w:val="006A427F"/>
    <w:rsid w:val="006B5DF9"/>
    <w:rsid w:val="006C5FA0"/>
    <w:rsid w:val="006C663E"/>
    <w:rsid w:val="00700AAA"/>
    <w:rsid w:val="007020D2"/>
    <w:rsid w:val="00714B6B"/>
    <w:rsid w:val="007174DA"/>
    <w:rsid w:val="0072003A"/>
    <w:rsid w:val="00722969"/>
    <w:rsid w:val="00731003"/>
    <w:rsid w:val="00732655"/>
    <w:rsid w:val="00745BD7"/>
    <w:rsid w:val="007602F7"/>
    <w:rsid w:val="0076655F"/>
    <w:rsid w:val="007665B9"/>
    <w:rsid w:val="00787461"/>
    <w:rsid w:val="007B068A"/>
    <w:rsid w:val="007D5F09"/>
    <w:rsid w:val="007E4C76"/>
    <w:rsid w:val="007F26CA"/>
    <w:rsid w:val="008024B6"/>
    <w:rsid w:val="0083599D"/>
    <w:rsid w:val="00847A62"/>
    <w:rsid w:val="008544FD"/>
    <w:rsid w:val="00854BE3"/>
    <w:rsid w:val="0087049F"/>
    <w:rsid w:val="008740C6"/>
    <w:rsid w:val="00876436"/>
    <w:rsid w:val="008A1883"/>
    <w:rsid w:val="008B357A"/>
    <w:rsid w:val="008D0989"/>
    <w:rsid w:val="008D3A56"/>
    <w:rsid w:val="008D6948"/>
    <w:rsid w:val="008D7215"/>
    <w:rsid w:val="008E3646"/>
    <w:rsid w:val="008E58F3"/>
    <w:rsid w:val="00924592"/>
    <w:rsid w:val="00931FDF"/>
    <w:rsid w:val="00977801"/>
    <w:rsid w:val="00994D5D"/>
    <w:rsid w:val="009A71CD"/>
    <w:rsid w:val="009B2EBF"/>
    <w:rsid w:val="009D5230"/>
    <w:rsid w:val="009E2C9F"/>
    <w:rsid w:val="009E50FD"/>
    <w:rsid w:val="00A06E6F"/>
    <w:rsid w:val="00A11E99"/>
    <w:rsid w:val="00A14B97"/>
    <w:rsid w:val="00A23E45"/>
    <w:rsid w:val="00A266E5"/>
    <w:rsid w:val="00A31091"/>
    <w:rsid w:val="00A325F0"/>
    <w:rsid w:val="00A374B6"/>
    <w:rsid w:val="00A41BEB"/>
    <w:rsid w:val="00A6505D"/>
    <w:rsid w:val="00A7600B"/>
    <w:rsid w:val="00A7721B"/>
    <w:rsid w:val="00A84402"/>
    <w:rsid w:val="00AA28FF"/>
    <w:rsid w:val="00AA61F9"/>
    <w:rsid w:val="00AC40B1"/>
    <w:rsid w:val="00AC5AC5"/>
    <w:rsid w:val="00AD53CC"/>
    <w:rsid w:val="00AE6532"/>
    <w:rsid w:val="00AF2FDE"/>
    <w:rsid w:val="00B02C03"/>
    <w:rsid w:val="00B06824"/>
    <w:rsid w:val="00B20B8F"/>
    <w:rsid w:val="00B21743"/>
    <w:rsid w:val="00B234E2"/>
    <w:rsid w:val="00B2480B"/>
    <w:rsid w:val="00B26371"/>
    <w:rsid w:val="00B340BA"/>
    <w:rsid w:val="00B341C0"/>
    <w:rsid w:val="00B359A2"/>
    <w:rsid w:val="00B40A51"/>
    <w:rsid w:val="00B41B4C"/>
    <w:rsid w:val="00B703B1"/>
    <w:rsid w:val="00B75E95"/>
    <w:rsid w:val="00B921DD"/>
    <w:rsid w:val="00B92465"/>
    <w:rsid w:val="00B97303"/>
    <w:rsid w:val="00BA70A4"/>
    <w:rsid w:val="00BB0A23"/>
    <w:rsid w:val="00BB0BA5"/>
    <w:rsid w:val="00BC6F05"/>
    <w:rsid w:val="00BD3E59"/>
    <w:rsid w:val="00BF09CC"/>
    <w:rsid w:val="00C06CC3"/>
    <w:rsid w:val="00C27E37"/>
    <w:rsid w:val="00C319DB"/>
    <w:rsid w:val="00C3441E"/>
    <w:rsid w:val="00C60AD9"/>
    <w:rsid w:val="00C71343"/>
    <w:rsid w:val="00CA7A97"/>
    <w:rsid w:val="00CB2A85"/>
    <w:rsid w:val="00CB3DB2"/>
    <w:rsid w:val="00CC2CC6"/>
    <w:rsid w:val="00CD1BDD"/>
    <w:rsid w:val="00CD2B11"/>
    <w:rsid w:val="00CD4067"/>
    <w:rsid w:val="00D05586"/>
    <w:rsid w:val="00D2338F"/>
    <w:rsid w:val="00D53149"/>
    <w:rsid w:val="00D56B6B"/>
    <w:rsid w:val="00D700A0"/>
    <w:rsid w:val="00D740D8"/>
    <w:rsid w:val="00D763E2"/>
    <w:rsid w:val="00D81447"/>
    <w:rsid w:val="00D87C31"/>
    <w:rsid w:val="00D92C16"/>
    <w:rsid w:val="00D97537"/>
    <w:rsid w:val="00DB74D5"/>
    <w:rsid w:val="00DC0FB4"/>
    <w:rsid w:val="00DC5C85"/>
    <w:rsid w:val="00DD754E"/>
    <w:rsid w:val="00DE34BD"/>
    <w:rsid w:val="00DF01A0"/>
    <w:rsid w:val="00E14541"/>
    <w:rsid w:val="00E3422B"/>
    <w:rsid w:val="00E41D45"/>
    <w:rsid w:val="00E60010"/>
    <w:rsid w:val="00E65F31"/>
    <w:rsid w:val="00E6700C"/>
    <w:rsid w:val="00E71E4E"/>
    <w:rsid w:val="00E742F6"/>
    <w:rsid w:val="00E944DC"/>
    <w:rsid w:val="00EA1224"/>
    <w:rsid w:val="00EA5A06"/>
    <w:rsid w:val="00ED3E1A"/>
    <w:rsid w:val="00ED45E0"/>
    <w:rsid w:val="00EE296F"/>
    <w:rsid w:val="00EE4354"/>
    <w:rsid w:val="00F17C5C"/>
    <w:rsid w:val="00F347F3"/>
    <w:rsid w:val="00F36798"/>
    <w:rsid w:val="00F511E7"/>
    <w:rsid w:val="00F52C85"/>
    <w:rsid w:val="00F563D3"/>
    <w:rsid w:val="00F6335C"/>
    <w:rsid w:val="00F90898"/>
    <w:rsid w:val="00F935BC"/>
    <w:rsid w:val="00F9753E"/>
    <w:rsid w:val="00FA0119"/>
    <w:rsid w:val="00FB17A9"/>
    <w:rsid w:val="00FB607A"/>
    <w:rsid w:val="00FC39D9"/>
    <w:rsid w:val="00FC7E84"/>
    <w:rsid w:val="00FE1A4B"/>
    <w:rsid w:val="03392762"/>
    <w:rsid w:val="047F1EC6"/>
    <w:rsid w:val="07125C0C"/>
    <w:rsid w:val="086D66A1"/>
    <w:rsid w:val="08A4123D"/>
    <w:rsid w:val="099F0CBB"/>
    <w:rsid w:val="0A831A5D"/>
    <w:rsid w:val="0B155E10"/>
    <w:rsid w:val="0B915980"/>
    <w:rsid w:val="0BCC40B9"/>
    <w:rsid w:val="0C9D60AF"/>
    <w:rsid w:val="0EA042F4"/>
    <w:rsid w:val="0FD70391"/>
    <w:rsid w:val="0FF934C0"/>
    <w:rsid w:val="125C355B"/>
    <w:rsid w:val="12737D64"/>
    <w:rsid w:val="13363303"/>
    <w:rsid w:val="13426AAB"/>
    <w:rsid w:val="13431AEF"/>
    <w:rsid w:val="140B506D"/>
    <w:rsid w:val="19D25A50"/>
    <w:rsid w:val="1A607C00"/>
    <w:rsid w:val="1C752BA3"/>
    <w:rsid w:val="1DED2E0F"/>
    <w:rsid w:val="1FAF084B"/>
    <w:rsid w:val="1FD829E4"/>
    <w:rsid w:val="21864F61"/>
    <w:rsid w:val="21C917F4"/>
    <w:rsid w:val="22A10A1A"/>
    <w:rsid w:val="238A7A1C"/>
    <w:rsid w:val="25484CB9"/>
    <w:rsid w:val="2566023D"/>
    <w:rsid w:val="25F73DE8"/>
    <w:rsid w:val="28901F09"/>
    <w:rsid w:val="28F51B1E"/>
    <w:rsid w:val="2F2E7A06"/>
    <w:rsid w:val="302E3719"/>
    <w:rsid w:val="31C94901"/>
    <w:rsid w:val="32F31280"/>
    <w:rsid w:val="33247103"/>
    <w:rsid w:val="332650C8"/>
    <w:rsid w:val="33A102F9"/>
    <w:rsid w:val="38BE5A26"/>
    <w:rsid w:val="3B4349B3"/>
    <w:rsid w:val="3B4F78BA"/>
    <w:rsid w:val="3E5F5779"/>
    <w:rsid w:val="3E963D42"/>
    <w:rsid w:val="430463E1"/>
    <w:rsid w:val="43FA28F1"/>
    <w:rsid w:val="44065BCC"/>
    <w:rsid w:val="45815D8E"/>
    <w:rsid w:val="45D13E2C"/>
    <w:rsid w:val="486D3AD3"/>
    <w:rsid w:val="4978505B"/>
    <w:rsid w:val="4982656E"/>
    <w:rsid w:val="49CA18A5"/>
    <w:rsid w:val="4D19622C"/>
    <w:rsid w:val="4DC953EF"/>
    <w:rsid w:val="4DF70A9F"/>
    <w:rsid w:val="4ECE7F61"/>
    <w:rsid w:val="4FD42B5C"/>
    <w:rsid w:val="51F122F3"/>
    <w:rsid w:val="52FE4481"/>
    <w:rsid w:val="54E11B09"/>
    <w:rsid w:val="556D4E71"/>
    <w:rsid w:val="565916B6"/>
    <w:rsid w:val="567C0CCB"/>
    <w:rsid w:val="571737B8"/>
    <w:rsid w:val="577B09BF"/>
    <w:rsid w:val="5C740390"/>
    <w:rsid w:val="5CAD089A"/>
    <w:rsid w:val="5D3036E3"/>
    <w:rsid w:val="5FA91380"/>
    <w:rsid w:val="60251FBB"/>
    <w:rsid w:val="639058F4"/>
    <w:rsid w:val="640604DA"/>
    <w:rsid w:val="64D2792C"/>
    <w:rsid w:val="655A7148"/>
    <w:rsid w:val="66CA5274"/>
    <w:rsid w:val="67C710F1"/>
    <w:rsid w:val="68591EC7"/>
    <w:rsid w:val="6A0C6BF4"/>
    <w:rsid w:val="6A837DED"/>
    <w:rsid w:val="6C6A0780"/>
    <w:rsid w:val="6D0059D3"/>
    <w:rsid w:val="6D2067BB"/>
    <w:rsid w:val="6FA904E4"/>
    <w:rsid w:val="6FBC6DA3"/>
    <w:rsid w:val="702445F6"/>
    <w:rsid w:val="704321B0"/>
    <w:rsid w:val="71645E87"/>
    <w:rsid w:val="729E3AEA"/>
    <w:rsid w:val="72EB421E"/>
    <w:rsid w:val="748C727A"/>
    <w:rsid w:val="75630290"/>
    <w:rsid w:val="75E77315"/>
    <w:rsid w:val="78D8018E"/>
    <w:rsid w:val="7A4A63C2"/>
    <w:rsid w:val="7B897438"/>
    <w:rsid w:val="7C1713BE"/>
    <w:rsid w:val="7C3161AC"/>
    <w:rsid w:val="7D0F4D8B"/>
    <w:rsid w:val="7DEB3B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08"/>
    <w:qFormat/>
    <w:uiPriority w:val="0"/>
    <w:pPr>
      <w:keepNext/>
      <w:keepLines/>
      <w:spacing w:before="340" w:after="330" w:line="576" w:lineRule="auto"/>
      <w:outlineLvl w:val="0"/>
    </w:pPr>
    <w:rPr>
      <w:b/>
      <w:bCs/>
      <w:kern w:val="44"/>
      <w:sz w:val="44"/>
      <w:szCs w:val="44"/>
    </w:rPr>
  </w:style>
  <w:style w:type="paragraph" w:styleId="2">
    <w:name w:val="heading 2"/>
    <w:basedOn w:val="1"/>
    <w:next w:val="1"/>
    <w:link w:val="248"/>
    <w:qFormat/>
    <w:uiPriority w:val="0"/>
    <w:pPr>
      <w:spacing w:beforeLines="50" w:afterLines="50" w:line="360" w:lineRule="auto"/>
      <w:ind w:firstLine="413" w:firstLineChars="196"/>
      <w:outlineLvl w:val="1"/>
    </w:pPr>
    <w:rPr>
      <w:b/>
      <w:szCs w:val="21"/>
    </w:rPr>
  </w:style>
  <w:style w:type="paragraph" w:styleId="4">
    <w:name w:val="heading 3"/>
    <w:basedOn w:val="2"/>
    <w:next w:val="1"/>
    <w:link w:val="163"/>
    <w:qFormat/>
    <w:uiPriority w:val="0"/>
    <w:pPr>
      <w:outlineLvl w:val="2"/>
    </w:pPr>
  </w:style>
  <w:style w:type="paragraph" w:styleId="5">
    <w:name w:val="heading 4"/>
    <w:basedOn w:val="1"/>
    <w:next w:val="1"/>
    <w:link w:val="178"/>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278"/>
    <w:qFormat/>
    <w:uiPriority w:val="0"/>
    <w:pPr>
      <w:keepNext/>
      <w:keepLines/>
      <w:widowControl/>
      <w:tabs>
        <w:tab w:val="left" w:pos="4448"/>
      </w:tabs>
      <w:overflowPunct w:val="0"/>
      <w:autoSpaceDE w:val="0"/>
      <w:autoSpaceDN w:val="0"/>
      <w:adjustRightInd w:val="0"/>
      <w:spacing w:line="360" w:lineRule="auto"/>
      <w:ind w:left="4448" w:hanging="1008"/>
      <w:jc w:val="left"/>
      <w:textAlignment w:val="baseline"/>
      <w:outlineLvl w:val="4"/>
    </w:pPr>
    <w:rPr>
      <w:b/>
      <w:bCs/>
      <w:kern w:val="0"/>
      <w:sz w:val="28"/>
      <w:szCs w:val="28"/>
    </w:rPr>
  </w:style>
  <w:style w:type="paragraph" w:styleId="7">
    <w:name w:val="heading 6"/>
    <w:basedOn w:val="1"/>
    <w:next w:val="1"/>
    <w:link w:val="165"/>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223"/>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237"/>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284"/>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287"/>
    <w:qFormat/>
    <w:uiPriority w:val="0"/>
    <w:pPr>
      <w:ind w:firstLine="420" w:firstLineChars="200"/>
    </w:pPr>
  </w:style>
  <w:style w:type="paragraph" w:styleId="12">
    <w:name w:val="List Bullet"/>
    <w:basedOn w:val="1"/>
    <w:qFormat/>
    <w:uiPriority w:val="0"/>
    <w:pPr>
      <w:numPr>
        <w:ilvl w:val="0"/>
        <w:numId w:val="1"/>
      </w:numPr>
      <w:tabs>
        <w:tab w:val="left" w:pos="855"/>
        <w:tab w:val="clear" w:pos="1755"/>
      </w:tabs>
      <w:ind w:left="567" w:hanging="279"/>
    </w:pPr>
  </w:style>
  <w:style w:type="paragraph" w:styleId="13">
    <w:name w:val="Document Map"/>
    <w:basedOn w:val="1"/>
    <w:link w:val="225"/>
    <w:qFormat/>
    <w:uiPriority w:val="0"/>
    <w:pPr>
      <w:shd w:val="clear" w:color="auto" w:fill="000080"/>
    </w:pPr>
    <w:rPr>
      <w:shd w:val="clear" w:color="auto" w:fill="000080"/>
    </w:rPr>
  </w:style>
  <w:style w:type="paragraph" w:styleId="14">
    <w:name w:val="annotation text"/>
    <w:basedOn w:val="1"/>
    <w:link w:val="218"/>
    <w:qFormat/>
    <w:uiPriority w:val="0"/>
    <w:pPr>
      <w:jc w:val="left"/>
    </w:pPr>
  </w:style>
  <w:style w:type="paragraph" w:styleId="15">
    <w:name w:val="Body Text 3"/>
    <w:basedOn w:val="1"/>
    <w:link w:val="254"/>
    <w:qFormat/>
    <w:uiPriority w:val="0"/>
    <w:rPr>
      <w:rFonts w:ascii="宋体"/>
      <w:sz w:val="24"/>
    </w:rPr>
  </w:style>
  <w:style w:type="paragraph" w:styleId="16">
    <w:name w:val="Body Text"/>
    <w:basedOn w:val="1"/>
    <w:link w:val="170"/>
    <w:qFormat/>
    <w:uiPriority w:val="0"/>
    <w:pPr>
      <w:spacing w:after="120"/>
    </w:pPr>
  </w:style>
  <w:style w:type="paragraph" w:styleId="17">
    <w:name w:val="Body Text Indent"/>
    <w:basedOn w:val="1"/>
    <w:link w:val="286"/>
    <w:qFormat/>
    <w:uiPriority w:val="0"/>
    <w:pPr>
      <w:spacing w:after="120"/>
      <w:ind w:left="420" w:leftChars="200"/>
    </w:pPr>
  </w:style>
  <w:style w:type="paragraph" w:styleId="18">
    <w:name w:val="toc 3"/>
    <w:basedOn w:val="1"/>
    <w:next w:val="1"/>
    <w:qFormat/>
    <w:uiPriority w:val="0"/>
    <w:pPr>
      <w:ind w:left="840" w:leftChars="400"/>
    </w:pPr>
  </w:style>
  <w:style w:type="paragraph" w:styleId="19">
    <w:name w:val="Plain Text"/>
    <w:basedOn w:val="1"/>
    <w:link w:val="292"/>
    <w:qFormat/>
    <w:uiPriority w:val="0"/>
    <w:rPr>
      <w:rFonts w:ascii="宋体" w:hAnsi="Courier New"/>
    </w:rPr>
  </w:style>
  <w:style w:type="paragraph" w:styleId="20">
    <w:name w:val="Date"/>
    <w:basedOn w:val="1"/>
    <w:next w:val="1"/>
    <w:link w:val="205"/>
    <w:qFormat/>
    <w:uiPriority w:val="99"/>
    <w:rPr>
      <w:sz w:val="24"/>
    </w:rPr>
  </w:style>
  <w:style w:type="paragraph" w:styleId="21">
    <w:name w:val="Body Text Indent 2"/>
    <w:basedOn w:val="1"/>
    <w:link w:val="240"/>
    <w:qFormat/>
    <w:uiPriority w:val="0"/>
    <w:pPr>
      <w:spacing w:after="120" w:line="480" w:lineRule="auto"/>
      <w:ind w:left="420" w:leftChars="200"/>
    </w:pPr>
  </w:style>
  <w:style w:type="paragraph" w:styleId="22">
    <w:name w:val="endnote text"/>
    <w:basedOn w:val="1"/>
    <w:link w:val="271"/>
    <w:qFormat/>
    <w:uiPriority w:val="0"/>
    <w:pPr>
      <w:snapToGrid w:val="0"/>
      <w:jc w:val="left"/>
    </w:pPr>
    <w:rPr>
      <w:rFonts w:hint="eastAsia" w:ascii="宋体" w:hAnsi="宋体"/>
    </w:rPr>
  </w:style>
  <w:style w:type="paragraph" w:styleId="23">
    <w:name w:val="Balloon Text"/>
    <w:basedOn w:val="1"/>
    <w:link w:val="211"/>
    <w:qFormat/>
    <w:uiPriority w:val="0"/>
    <w:rPr>
      <w:sz w:val="18"/>
      <w:szCs w:val="18"/>
    </w:rPr>
  </w:style>
  <w:style w:type="paragraph" w:styleId="24">
    <w:name w:val="footer"/>
    <w:basedOn w:val="1"/>
    <w:link w:val="253"/>
    <w:qFormat/>
    <w:uiPriority w:val="0"/>
    <w:pPr>
      <w:tabs>
        <w:tab w:val="center" w:pos="4153"/>
        <w:tab w:val="right" w:pos="8306"/>
      </w:tabs>
      <w:snapToGrid w:val="0"/>
      <w:jc w:val="left"/>
    </w:pPr>
    <w:rPr>
      <w:sz w:val="18"/>
      <w:szCs w:val="18"/>
    </w:rPr>
  </w:style>
  <w:style w:type="paragraph" w:styleId="25">
    <w:name w:val="header"/>
    <w:basedOn w:val="1"/>
    <w:link w:val="256"/>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spacing w:before="120" w:after="120"/>
      <w:jc w:val="left"/>
    </w:pPr>
    <w:rPr>
      <w:b/>
      <w:bCs/>
      <w:caps/>
      <w:sz w:val="20"/>
      <w:szCs w:val="20"/>
    </w:rPr>
  </w:style>
  <w:style w:type="paragraph" w:styleId="27">
    <w:name w:val="List"/>
    <w:basedOn w:val="16"/>
    <w:qFormat/>
    <w:uiPriority w:val="0"/>
    <w:pPr>
      <w:suppressAutoHyphens/>
      <w:spacing w:after="0"/>
    </w:pPr>
    <w:rPr>
      <w:rFonts w:eastAsia="黑体"/>
      <w:sz w:val="24"/>
      <w:szCs w:val="20"/>
      <w:lang w:eastAsia="ar-SA"/>
    </w:rPr>
  </w:style>
  <w:style w:type="paragraph" w:styleId="28">
    <w:name w:val="footnote text"/>
    <w:basedOn w:val="1"/>
    <w:link w:val="262"/>
    <w:qFormat/>
    <w:uiPriority w:val="0"/>
    <w:pPr>
      <w:snapToGrid w:val="0"/>
      <w:jc w:val="left"/>
    </w:pPr>
    <w:rPr>
      <w:kern w:val="0"/>
      <w:sz w:val="20"/>
      <w:szCs w:val="20"/>
    </w:rPr>
  </w:style>
  <w:style w:type="paragraph" w:styleId="29">
    <w:name w:val="Body Text Indent 3"/>
    <w:basedOn w:val="1"/>
    <w:link w:val="245"/>
    <w:qFormat/>
    <w:uiPriority w:val="0"/>
    <w:pPr>
      <w:spacing w:after="120"/>
      <w:ind w:left="420" w:leftChars="200"/>
    </w:pPr>
    <w:rPr>
      <w:sz w:val="16"/>
      <w:szCs w:val="16"/>
    </w:rPr>
  </w:style>
  <w:style w:type="paragraph" w:styleId="30">
    <w:name w:val="toc 2"/>
    <w:basedOn w:val="1"/>
    <w:next w:val="1"/>
    <w:qFormat/>
    <w:uiPriority w:val="0"/>
    <w:pPr>
      <w:ind w:left="420" w:leftChars="200"/>
    </w:pPr>
  </w:style>
  <w:style w:type="paragraph" w:styleId="31">
    <w:name w:val="Body Text 2"/>
    <w:basedOn w:val="1"/>
    <w:link w:val="173"/>
    <w:qFormat/>
    <w:uiPriority w:val="0"/>
    <w:pPr>
      <w:spacing w:after="120" w:line="480" w:lineRule="auto"/>
    </w:pPr>
  </w:style>
  <w:style w:type="paragraph" w:styleId="32">
    <w:name w:val="HTML Preformatted"/>
    <w:basedOn w:val="1"/>
    <w:link w:val="206"/>
    <w:qFormat/>
    <w:uiPriority w:val="0"/>
    <w:rPr>
      <w:rFonts w:ascii="Courier New" w:hAnsi="Courier New" w:cs="Courier New"/>
    </w:rPr>
  </w:style>
  <w:style w:type="paragraph" w:styleId="33">
    <w:name w:val="Normal (Web)"/>
    <w:basedOn w:val="1"/>
    <w:qFormat/>
    <w:uiPriority w:val="0"/>
    <w:rPr>
      <w:sz w:val="24"/>
    </w:rPr>
  </w:style>
  <w:style w:type="paragraph" w:styleId="34">
    <w:name w:val="index 1"/>
    <w:basedOn w:val="1"/>
    <w:next w:val="1"/>
    <w:qFormat/>
    <w:uiPriority w:val="0"/>
  </w:style>
  <w:style w:type="paragraph" w:styleId="35">
    <w:name w:val="Title"/>
    <w:basedOn w:val="1"/>
    <w:link w:val="174"/>
    <w:qFormat/>
    <w:uiPriority w:val="0"/>
    <w:pPr>
      <w:adjustRightInd w:val="0"/>
      <w:spacing w:before="240" w:after="60" w:line="420" w:lineRule="atLeast"/>
      <w:jc w:val="center"/>
      <w:textAlignment w:val="baseline"/>
      <w:outlineLvl w:val="0"/>
    </w:pPr>
    <w:rPr>
      <w:rFonts w:ascii="Arial" w:hAnsi="Arial" w:eastAsia="楷体_GB2312" w:cs="Arial"/>
      <w:b/>
      <w:sz w:val="44"/>
    </w:rPr>
  </w:style>
  <w:style w:type="paragraph" w:styleId="36">
    <w:name w:val="annotation subject"/>
    <w:basedOn w:val="14"/>
    <w:next w:val="14"/>
    <w:link w:val="179"/>
    <w:qFormat/>
    <w:uiPriority w:val="0"/>
    <w:pPr>
      <w:jc w:val="both"/>
    </w:pPr>
    <w:rPr>
      <w:b/>
      <w:bCs/>
    </w:rPr>
  </w:style>
  <w:style w:type="paragraph" w:styleId="37">
    <w:name w:val="Body Text First Indent"/>
    <w:basedOn w:val="1"/>
    <w:link w:val="190"/>
    <w:qFormat/>
    <w:uiPriority w:val="0"/>
    <w:pPr>
      <w:spacing w:line="312" w:lineRule="auto"/>
      <w:ind w:firstLine="420"/>
    </w:pPr>
  </w:style>
  <w:style w:type="paragraph" w:styleId="38">
    <w:name w:val="Body Text First Indent 2"/>
    <w:basedOn w:val="17"/>
    <w:link w:val="176"/>
    <w:qFormat/>
    <w:uiPriority w:val="0"/>
    <w:pPr>
      <w:adjustRightInd w:val="0"/>
      <w:spacing w:line="360" w:lineRule="auto"/>
      <w:ind w:left="0" w:leftChars="0" w:firstLine="420"/>
      <w:textAlignment w:val="baseline"/>
    </w:pPr>
    <w:rPr>
      <w:color w:val="000000"/>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b/>
      <w:bCs/>
    </w:rPr>
  </w:style>
  <w:style w:type="character" w:styleId="43">
    <w:name w:val="endnote reference"/>
    <w:qFormat/>
    <w:uiPriority w:val="0"/>
    <w:rPr>
      <w:vertAlign w:val="superscript"/>
    </w:rPr>
  </w:style>
  <w:style w:type="character" w:styleId="44">
    <w:name w:val="page number"/>
    <w:basedOn w:val="41"/>
    <w:qFormat/>
    <w:uiPriority w:val="0"/>
  </w:style>
  <w:style w:type="character" w:styleId="45">
    <w:name w:val="Emphasis"/>
    <w:qFormat/>
    <w:uiPriority w:val="0"/>
    <w:rPr>
      <w:rFonts w:cs="Times New Roman"/>
      <w:color w:val="CC0000"/>
    </w:rPr>
  </w:style>
  <w:style w:type="character" w:styleId="46">
    <w:name w:val="Hyperlink"/>
    <w:qFormat/>
    <w:uiPriority w:val="0"/>
    <w:rPr>
      <w:color w:val="0000FF"/>
      <w:u w:val="single"/>
    </w:rPr>
  </w:style>
  <w:style w:type="character" w:styleId="47">
    <w:name w:val="annotation reference"/>
    <w:qFormat/>
    <w:uiPriority w:val="0"/>
    <w:rPr>
      <w:sz w:val="21"/>
      <w:szCs w:val="21"/>
    </w:rPr>
  </w:style>
  <w:style w:type="character" w:styleId="48">
    <w:name w:val="footnote reference"/>
    <w:qFormat/>
    <w:uiPriority w:val="0"/>
    <w:rPr>
      <w:vertAlign w:val="superscript"/>
    </w:rPr>
  </w:style>
  <w:style w:type="paragraph" w:customStyle="1" w:styleId="49">
    <w:name w:val="标题 #3"/>
    <w:basedOn w:val="1"/>
    <w:link w:val="298"/>
    <w:qFormat/>
    <w:uiPriority w:val="0"/>
    <w:pPr>
      <w:shd w:val="clear" w:color="auto" w:fill="FFFFFF"/>
      <w:spacing w:before="660" w:after="240" w:line="0" w:lineRule="atLeast"/>
      <w:jc w:val="center"/>
      <w:outlineLvl w:val="2"/>
    </w:pPr>
    <w:rPr>
      <w:rFonts w:ascii="MingLiU" w:hAnsi="MingLiU" w:eastAsia="MingLiU"/>
      <w:sz w:val="31"/>
      <w:szCs w:val="31"/>
      <w:shd w:val="clear" w:color="auto" w:fill="FFFFFF"/>
    </w:rPr>
  </w:style>
  <w:style w:type="paragraph" w:customStyle="1" w:styleId="50">
    <w:name w:val="xl83"/>
    <w:basedOn w:val="1"/>
    <w:qFormat/>
    <w:uiPriority w:val="0"/>
    <w:pPr>
      <w:widowControl/>
      <w:pBdr>
        <w:top w:val="single" w:color="auto" w:sz="8" w:space="0"/>
        <w:lef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51">
    <w:name w:val="公式"/>
    <w:basedOn w:val="1"/>
    <w:link w:val="270"/>
    <w:qFormat/>
    <w:uiPriority w:val="0"/>
    <w:pPr>
      <w:spacing w:line="360" w:lineRule="auto"/>
      <w:jc w:val="right"/>
    </w:pPr>
    <w:rPr>
      <w:sz w:val="24"/>
    </w:rPr>
  </w:style>
  <w:style w:type="paragraph" w:customStyle="1" w:styleId="52">
    <w:name w:val="“目录”"/>
    <w:basedOn w:val="53"/>
    <w:qFormat/>
    <w:uiPriority w:val="0"/>
    <w:pPr>
      <w:ind w:firstLine="0" w:firstLineChars="0"/>
      <w:jc w:val="center"/>
    </w:pPr>
    <w:rPr>
      <w:b/>
      <w:sz w:val="44"/>
    </w:rPr>
  </w:style>
  <w:style w:type="paragraph" w:customStyle="1" w:styleId="53">
    <w:name w:val="正文样式"/>
    <w:basedOn w:val="1"/>
    <w:link w:val="302"/>
    <w:qFormat/>
    <w:uiPriority w:val="0"/>
    <w:pPr>
      <w:spacing w:line="480" w:lineRule="exact"/>
      <w:ind w:firstLine="480" w:firstLineChars="200"/>
    </w:pPr>
    <w:rPr>
      <w:sz w:val="24"/>
    </w:rPr>
  </w:style>
  <w:style w:type="paragraph" w:customStyle="1" w:styleId="54">
    <w:name w:val="正文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55">
    <w:name w:val="标题2"/>
    <w:basedOn w:val="2"/>
    <w:link w:val="193"/>
    <w:qFormat/>
    <w:uiPriority w:val="0"/>
    <w:pPr>
      <w:numPr>
        <w:ilvl w:val="1"/>
        <w:numId w:val="1"/>
      </w:numPr>
      <w:adjustRightInd w:val="0"/>
      <w:snapToGrid w:val="0"/>
      <w:spacing w:beforeLines="0" w:afterLines="0"/>
    </w:pPr>
    <w:rPr>
      <w:rFonts w:ascii="黑体" w:hAnsi="黑体" w:eastAsia="黑体"/>
      <w:bCs/>
      <w:sz w:val="28"/>
      <w:szCs w:val="32"/>
    </w:rPr>
  </w:style>
  <w:style w:type="paragraph" w:customStyle="1" w:styleId="56">
    <w:name w:val="页脚 New New New"/>
    <w:basedOn w:val="1"/>
    <w:qFormat/>
    <w:uiPriority w:val="0"/>
    <w:pPr>
      <w:tabs>
        <w:tab w:val="center" w:pos="4153"/>
        <w:tab w:val="right" w:pos="8306"/>
      </w:tabs>
      <w:snapToGrid w:val="0"/>
      <w:jc w:val="left"/>
    </w:pPr>
    <w:rPr>
      <w:sz w:val="18"/>
      <w:szCs w:val="18"/>
    </w:rPr>
  </w:style>
  <w:style w:type="paragraph" w:customStyle="1" w:styleId="5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8">
    <w:name w:val="ÕýÎÄ"/>
    <w:qFormat/>
    <w:uiPriority w:val="0"/>
    <w:pPr>
      <w:widowControl w:val="0"/>
      <w:overflowPunct w:val="0"/>
      <w:autoSpaceDE w:val="0"/>
      <w:autoSpaceDN w:val="0"/>
      <w:adjustRightInd w:val="0"/>
      <w:textAlignment w:val="baseline"/>
    </w:pPr>
    <w:rPr>
      <w:rFonts w:ascii="Courier New" w:hAnsi="Courier New" w:eastAsia="宋体" w:cs="Times New Roman"/>
      <w:sz w:val="24"/>
      <w:lang w:val="en-US" w:eastAsia="zh-CN" w:bidi="ar-SA"/>
    </w:rPr>
  </w:style>
  <w:style w:type="paragraph" w:customStyle="1" w:styleId="5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60">
    <w:name w:val="xl70"/>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color w:val="000000"/>
      <w:kern w:val="0"/>
      <w:sz w:val="20"/>
      <w:szCs w:val="20"/>
    </w:rPr>
  </w:style>
  <w:style w:type="paragraph" w:customStyle="1" w:styleId="61">
    <w:name w:val="正题"/>
    <w:basedOn w:val="62"/>
    <w:next w:val="62"/>
    <w:qFormat/>
    <w:uiPriority w:val="0"/>
    <w:pPr>
      <w:ind w:firstLine="0" w:firstLineChars="0"/>
      <w:jc w:val="center"/>
    </w:pPr>
    <w:rPr>
      <w:rFonts w:eastAsia="黑体"/>
      <w:b/>
      <w:sz w:val="36"/>
      <w:szCs w:val="36"/>
    </w:rPr>
  </w:style>
  <w:style w:type="paragraph" w:customStyle="1" w:styleId="62">
    <w:name w:val="文一"/>
    <w:basedOn w:val="1"/>
    <w:link w:val="281"/>
    <w:qFormat/>
    <w:uiPriority w:val="0"/>
    <w:pPr>
      <w:topLinePunct/>
      <w:adjustRightInd w:val="0"/>
      <w:snapToGrid w:val="0"/>
      <w:spacing w:line="360" w:lineRule="auto"/>
      <w:ind w:firstLine="200" w:firstLineChars="200"/>
    </w:pPr>
    <w:rPr>
      <w:snapToGrid w:val="0"/>
      <w:spacing w:val="4"/>
      <w:kern w:val="0"/>
      <w:sz w:val="24"/>
    </w:rPr>
  </w:style>
  <w:style w:type="paragraph" w:customStyle="1" w:styleId="63">
    <w:name w:val="xl84"/>
    <w:basedOn w:val="1"/>
    <w:qFormat/>
    <w:uiPriority w:val="0"/>
    <w:pPr>
      <w:widowControl/>
      <w:pBdr>
        <w:top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64">
    <w:name w:val="列出段落1"/>
    <w:basedOn w:val="1"/>
    <w:qFormat/>
    <w:uiPriority w:val="99"/>
    <w:pPr>
      <w:ind w:firstLine="420" w:firstLineChars="200"/>
    </w:pPr>
  </w:style>
  <w:style w:type="paragraph" w:customStyle="1" w:styleId="65">
    <w:name w:val="xl78"/>
    <w:basedOn w:val="1"/>
    <w:qFormat/>
    <w:uiPriority w:val="0"/>
    <w:pPr>
      <w:widowControl/>
      <w:spacing w:before="100" w:beforeAutospacing="1" w:after="100" w:afterAutospacing="1"/>
      <w:jc w:val="center"/>
    </w:pPr>
    <w:rPr>
      <w:rFonts w:ascii="宋体" w:hAnsi="宋体" w:cs="宋体"/>
      <w:b/>
      <w:bCs/>
      <w:color w:val="000000"/>
      <w:kern w:val="0"/>
      <w:sz w:val="44"/>
      <w:szCs w:val="44"/>
    </w:rPr>
  </w:style>
  <w:style w:type="paragraph" w:customStyle="1" w:styleId="66">
    <w:name w:val="无间隔1"/>
    <w:link w:val="265"/>
    <w:qFormat/>
    <w:uiPriority w:val="1"/>
    <w:rPr>
      <w:rFonts w:ascii="Calibri" w:hAnsi="Calibri" w:eastAsia="宋体" w:cs="Times New Roman"/>
      <w:sz w:val="22"/>
      <w:szCs w:val="22"/>
      <w:lang w:val="en-US" w:eastAsia="zh-CN" w:bidi="ar-SA"/>
    </w:rPr>
  </w:style>
  <w:style w:type="paragraph" w:customStyle="1" w:styleId="67">
    <w:name w:val="新条文"/>
    <w:link w:val="263"/>
    <w:qFormat/>
    <w:uiPriority w:val="0"/>
    <w:pPr>
      <w:tabs>
        <w:tab w:val="left" w:pos="432"/>
        <w:tab w:val="left" w:pos="735"/>
      </w:tabs>
      <w:spacing w:line="400" w:lineRule="atLeast"/>
      <w:ind w:left="735" w:hanging="735"/>
    </w:pPr>
    <w:rPr>
      <w:rFonts w:ascii="Calibri" w:hAnsi="Calibri" w:eastAsia="Times New Roman" w:cs="Times New Roman"/>
      <w:kern w:val="2"/>
      <w:sz w:val="24"/>
      <w:szCs w:val="22"/>
      <w:lang w:val="en-US" w:eastAsia="zh-CN" w:bidi="ar-SA"/>
    </w:rPr>
  </w:style>
  <w:style w:type="paragraph" w:customStyle="1" w:styleId="68">
    <w:name w:val="xl69"/>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cs="宋体"/>
      <w:color w:val="000000"/>
      <w:kern w:val="0"/>
      <w:sz w:val="20"/>
      <w:szCs w:val="20"/>
    </w:rPr>
  </w:style>
  <w:style w:type="paragraph" w:customStyle="1" w:styleId="69">
    <w:name w:val="标题 #4 (2)"/>
    <w:basedOn w:val="1"/>
    <w:link w:val="272"/>
    <w:qFormat/>
    <w:uiPriority w:val="0"/>
    <w:pPr>
      <w:shd w:val="clear" w:color="auto" w:fill="FFFFFF"/>
      <w:spacing w:line="466" w:lineRule="exact"/>
      <w:ind w:hanging="420"/>
      <w:jc w:val="distribute"/>
      <w:outlineLvl w:val="3"/>
    </w:pPr>
    <w:rPr>
      <w:rFonts w:ascii="宋体" w:hAnsi="宋体"/>
      <w:shd w:val="clear" w:color="auto" w:fill="FFFFFF"/>
    </w:rPr>
  </w:style>
  <w:style w:type="paragraph" w:customStyle="1" w:styleId="70">
    <w:name w:val="修订2"/>
    <w:qFormat/>
    <w:uiPriority w:val="0"/>
    <w:rPr>
      <w:rFonts w:ascii="Times New Roman" w:hAnsi="Times New Roman" w:eastAsia="宋体" w:cs="Times New Roman"/>
      <w:kern w:val="2"/>
      <w:sz w:val="21"/>
      <w:szCs w:val="24"/>
      <w:lang w:val="en-US" w:eastAsia="zh-CN" w:bidi="ar-SA"/>
    </w:rPr>
  </w:style>
  <w:style w:type="paragraph" w:customStyle="1" w:styleId="71">
    <w:name w:val="正文 New New New New New New New New New New New New New New New New New New"/>
    <w:qFormat/>
    <w:uiPriority w:val="0"/>
    <w:pPr>
      <w:widowControl w:val="0"/>
      <w:jc w:val="both"/>
    </w:pPr>
    <w:rPr>
      <w:rFonts w:ascii="Times New Roman" w:hAnsi="Times New Roman" w:eastAsia="宋体" w:cs="黑体"/>
      <w:kern w:val="2"/>
      <w:sz w:val="21"/>
      <w:szCs w:val="24"/>
      <w:lang w:val="en-US" w:eastAsia="zh-CN" w:bidi="ar-SA"/>
    </w:rPr>
  </w:style>
  <w:style w:type="paragraph" w:customStyle="1" w:styleId="72">
    <w:name w:val="段落样式"/>
    <w:basedOn w:val="1"/>
    <w:link w:val="250"/>
    <w:qFormat/>
    <w:uiPriority w:val="0"/>
    <w:pPr>
      <w:spacing w:line="400" w:lineRule="exact"/>
      <w:ind w:firstLine="480" w:firstLineChars="200"/>
    </w:pPr>
    <w:rPr>
      <w:sz w:val="24"/>
    </w:rPr>
  </w:style>
  <w:style w:type="paragraph" w:customStyle="1" w:styleId="73">
    <w:name w:val="xl89"/>
    <w:basedOn w:val="1"/>
    <w:qFormat/>
    <w:uiPriority w:val="0"/>
    <w:pPr>
      <w:widowControl/>
      <w:pBdr>
        <w:left w:val="single" w:color="auto" w:sz="8" w:space="0"/>
        <w:bottom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74">
    <w:name w:val="Char Char Char1 Char"/>
    <w:basedOn w:val="13"/>
    <w:qFormat/>
    <w:uiPriority w:val="0"/>
    <w:rPr>
      <w:rFonts w:ascii="Tahoma" w:hAnsi="Tahoma"/>
      <w:sz w:val="24"/>
    </w:rPr>
  </w:style>
  <w:style w:type="paragraph" w:customStyle="1" w:styleId="75">
    <w:name w:val="标题 #2"/>
    <w:basedOn w:val="1"/>
    <w:link w:val="204"/>
    <w:qFormat/>
    <w:uiPriority w:val="0"/>
    <w:pPr>
      <w:shd w:val="clear" w:color="auto" w:fill="FFFFFF"/>
      <w:spacing w:after="600" w:line="0" w:lineRule="atLeast"/>
      <w:jc w:val="center"/>
      <w:outlineLvl w:val="1"/>
    </w:pPr>
    <w:rPr>
      <w:rFonts w:ascii="MingLiU" w:hAnsi="MingLiU" w:eastAsia="MingLiU"/>
      <w:sz w:val="36"/>
      <w:szCs w:val="36"/>
      <w:shd w:val="clear" w:color="auto" w:fill="FFFFFF"/>
    </w:rPr>
  </w:style>
  <w:style w:type="paragraph" w:customStyle="1" w:styleId="76">
    <w:name w:val="页脚 New New New New New New New New"/>
    <w:basedOn w:val="1"/>
    <w:qFormat/>
    <w:uiPriority w:val="0"/>
    <w:pPr>
      <w:tabs>
        <w:tab w:val="center" w:pos="4153"/>
        <w:tab w:val="right" w:pos="8306"/>
      </w:tabs>
      <w:snapToGrid w:val="0"/>
      <w:jc w:val="left"/>
    </w:pPr>
    <w:rPr>
      <w:sz w:val="18"/>
      <w:szCs w:val="18"/>
    </w:rPr>
  </w:style>
  <w:style w:type="paragraph" w:customStyle="1" w:styleId="77">
    <w:name w:val="WPSOffice手动目录 1"/>
    <w:qFormat/>
    <w:uiPriority w:val="0"/>
    <w:rPr>
      <w:rFonts w:ascii="Calibri" w:hAnsi="Calibri" w:eastAsia="宋体" w:cs="Times New Roman"/>
      <w:lang w:val="en-US" w:eastAsia="zh-CN" w:bidi="ar-SA"/>
    </w:rPr>
  </w:style>
  <w:style w:type="paragraph" w:customStyle="1" w:styleId="78">
    <w:name w:val="xl73"/>
    <w:basedOn w:val="1"/>
    <w:qFormat/>
    <w:uiPriority w:val="0"/>
    <w:pPr>
      <w:widowControl/>
      <w:pBdr>
        <w:bottom w:val="single" w:color="auto" w:sz="8" w:space="0"/>
        <w:right w:val="single" w:color="auto" w:sz="8" w:space="0"/>
      </w:pBdr>
      <w:spacing w:before="100" w:beforeAutospacing="1" w:after="100" w:afterAutospacing="1"/>
      <w:jc w:val="right"/>
    </w:pPr>
    <w:rPr>
      <w:rFonts w:ascii="宋体" w:hAnsi="宋体" w:cs="宋体"/>
      <w:color w:val="000000"/>
      <w:kern w:val="0"/>
      <w:sz w:val="20"/>
      <w:szCs w:val="20"/>
    </w:rPr>
  </w:style>
  <w:style w:type="paragraph" w:customStyle="1" w:styleId="79">
    <w:name w:val="图片标题"/>
    <w:basedOn w:val="1"/>
    <w:link w:val="175"/>
    <w:qFormat/>
    <w:uiPriority w:val="0"/>
    <w:pPr>
      <w:shd w:val="clear" w:color="auto" w:fill="FFFFFF"/>
      <w:spacing w:line="0" w:lineRule="atLeast"/>
      <w:jc w:val="distribute"/>
    </w:pPr>
    <w:rPr>
      <w:rFonts w:ascii="Arial Unicode MS" w:hAnsi="Arial Unicode MS" w:eastAsia="Arial Unicode MS"/>
      <w:shd w:val="clear" w:color="auto" w:fill="FFFFFF"/>
    </w:rPr>
  </w:style>
  <w:style w:type="paragraph" w:customStyle="1" w:styleId="80">
    <w:name w:val="正文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81">
    <w:name w:val="列表2"/>
    <w:basedOn w:val="1"/>
    <w:link w:val="230"/>
    <w:qFormat/>
    <w:uiPriority w:val="0"/>
    <w:pPr>
      <w:tabs>
        <w:tab w:val="left" w:pos="1755"/>
      </w:tabs>
      <w:adjustRightInd w:val="0"/>
      <w:snapToGrid w:val="0"/>
      <w:spacing w:line="360" w:lineRule="auto"/>
      <w:ind w:left="1755" w:hanging="1755"/>
    </w:pPr>
    <w:rPr>
      <w:rFonts w:ascii="宋体" w:hAnsi="宋体"/>
      <w:sz w:val="26"/>
    </w:rPr>
  </w:style>
  <w:style w:type="paragraph" w:customStyle="1" w:styleId="82">
    <w:name w:val="标题3"/>
    <w:basedOn w:val="4"/>
    <w:link w:val="232"/>
    <w:qFormat/>
    <w:uiPriority w:val="0"/>
    <w:pPr>
      <w:numPr>
        <w:ilvl w:val="2"/>
        <w:numId w:val="1"/>
      </w:numPr>
      <w:adjustRightInd w:val="0"/>
      <w:snapToGrid w:val="0"/>
      <w:spacing w:beforeLines="0" w:afterLines="0"/>
      <w:ind w:firstLine="0" w:firstLineChars="0"/>
    </w:pPr>
    <w:rPr>
      <w:rFonts w:ascii="黑体" w:hAnsi="黑体" w:eastAsia="黑体"/>
      <w:bCs/>
      <w:sz w:val="26"/>
      <w:szCs w:val="32"/>
    </w:rPr>
  </w:style>
  <w:style w:type="paragraph" w:customStyle="1" w:styleId="83">
    <w:name w:val="xl75"/>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84">
    <w:name w:val="！正文（四号字）"/>
    <w:link w:val="241"/>
    <w:qFormat/>
    <w:uiPriority w:val="0"/>
    <w:pPr>
      <w:snapToGrid w:val="0"/>
      <w:spacing w:line="360" w:lineRule="auto"/>
      <w:ind w:firstLine="200" w:firstLineChars="200"/>
      <w:jc w:val="both"/>
    </w:pPr>
    <w:rPr>
      <w:rFonts w:ascii="Calibri" w:hAnsi="Calibri" w:eastAsia="Times New Roman" w:cs="Times New Roman"/>
      <w:kern w:val="2"/>
      <w:sz w:val="24"/>
      <w:szCs w:val="28"/>
      <w:lang w:val="en-US" w:eastAsia="zh-CN" w:bidi="ar-SA"/>
    </w:rPr>
  </w:style>
  <w:style w:type="paragraph" w:customStyle="1" w:styleId="85">
    <w:name w:val="说明"/>
    <w:basedOn w:val="1"/>
    <w:link w:val="296"/>
    <w:qFormat/>
    <w:uiPriority w:val="0"/>
    <w:pPr>
      <w:spacing w:line="400" w:lineRule="atLeast"/>
    </w:pPr>
    <w:rPr>
      <w:rFonts w:ascii="楷体_GB2312" w:eastAsia="楷体_GB2312"/>
      <w:sz w:val="24"/>
    </w:rPr>
  </w:style>
  <w:style w:type="paragraph" w:customStyle="1" w:styleId="86">
    <w:name w:val="项目符号1"/>
    <w:basedOn w:val="1"/>
    <w:next w:val="1"/>
    <w:link w:val="212"/>
    <w:qFormat/>
    <w:uiPriority w:val="0"/>
    <w:pPr>
      <w:tabs>
        <w:tab w:val="left" w:pos="1755"/>
      </w:tabs>
      <w:adjustRightInd w:val="0"/>
      <w:snapToGrid w:val="0"/>
      <w:spacing w:line="360" w:lineRule="auto"/>
      <w:ind w:left="1755" w:hanging="1755"/>
    </w:pPr>
    <w:rPr>
      <w:rFonts w:ascii="宋体" w:hAnsi="宋体"/>
      <w:sz w:val="26"/>
    </w:rPr>
  </w:style>
  <w:style w:type="paragraph" w:customStyle="1" w:styleId="87">
    <w:name w:val="+正文"/>
    <w:basedOn w:val="1"/>
    <w:link w:val="171"/>
    <w:qFormat/>
    <w:uiPriority w:val="0"/>
    <w:pPr>
      <w:spacing w:line="360" w:lineRule="auto"/>
      <w:ind w:firstLine="200" w:firstLineChars="200"/>
    </w:pPr>
    <w:rPr>
      <w:sz w:val="24"/>
    </w:rPr>
  </w:style>
  <w:style w:type="paragraph" w:customStyle="1" w:styleId="88">
    <w:name w:val="正文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
    <w:name w:val="正文 New"/>
    <w:qFormat/>
    <w:uiPriority w:val="0"/>
    <w:pPr>
      <w:widowControl w:val="0"/>
      <w:jc w:val="both"/>
    </w:pPr>
    <w:rPr>
      <w:rFonts w:ascii="Times New Roman" w:hAnsi="Times New Roman" w:eastAsia="宋体" w:cs="黑体"/>
      <w:kern w:val="2"/>
      <w:sz w:val="21"/>
      <w:szCs w:val="24"/>
      <w:lang w:val="en-US" w:eastAsia="zh-CN" w:bidi="ar-SA"/>
    </w:rPr>
  </w:style>
  <w:style w:type="paragraph" w:customStyle="1" w:styleId="90">
    <w:name w:val="正文文本 (2)"/>
    <w:basedOn w:val="1"/>
    <w:link w:val="172"/>
    <w:qFormat/>
    <w:uiPriority w:val="0"/>
    <w:pPr>
      <w:shd w:val="clear" w:color="auto" w:fill="FFFFFF"/>
      <w:spacing w:line="0" w:lineRule="atLeast"/>
      <w:ind w:hanging="520"/>
      <w:jc w:val="left"/>
    </w:pPr>
    <w:rPr>
      <w:rFonts w:ascii="宋体" w:hAnsi="宋体"/>
      <w:shd w:val="clear" w:color="auto" w:fill="FFFFFF"/>
    </w:rPr>
  </w:style>
  <w:style w:type="paragraph" w:customStyle="1" w:styleId="91">
    <w:name w:val="正文文本 (5)"/>
    <w:basedOn w:val="1"/>
    <w:link w:val="166"/>
    <w:qFormat/>
    <w:uiPriority w:val="0"/>
    <w:pPr>
      <w:shd w:val="clear" w:color="auto" w:fill="FFFFFF"/>
      <w:spacing w:line="0" w:lineRule="atLeast"/>
      <w:jc w:val="left"/>
    </w:pPr>
    <w:rPr>
      <w:rFonts w:ascii="黑体" w:hAnsi="黑体" w:eastAsia="黑体"/>
      <w:spacing w:val="-40"/>
      <w:shd w:val="clear" w:color="auto" w:fill="FFFFFF"/>
    </w:rPr>
  </w:style>
  <w:style w:type="paragraph" w:customStyle="1" w:styleId="92">
    <w:name w:val="正文文本9"/>
    <w:basedOn w:val="1"/>
    <w:link w:val="213"/>
    <w:qFormat/>
    <w:uiPriority w:val="0"/>
    <w:pPr>
      <w:shd w:val="clear" w:color="auto" w:fill="FFFFFF"/>
      <w:spacing w:before="120" w:after="360" w:line="389" w:lineRule="exact"/>
      <w:ind w:hanging="780"/>
      <w:jc w:val="right"/>
    </w:pPr>
    <w:rPr>
      <w:rFonts w:ascii="Arial Unicode MS" w:hAnsi="Arial Unicode MS" w:eastAsia="Arial Unicode MS"/>
      <w:shd w:val="clear" w:color="auto" w:fill="FFFFFF"/>
    </w:rPr>
  </w:style>
  <w:style w:type="paragraph" w:customStyle="1" w:styleId="93">
    <w:name w:val="正文文本 (7)"/>
    <w:basedOn w:val="1"/>
    <w:link w:val="221"/>
    <w:qFormat/>
    <w:uiPriority w:val="0"/>
    <w:pPr>
      <w:shd w:val="clear" w:color="auto" w:fill="FFFFFF"/>
      <w:spacing w:before="120" w:line="466" w:lineRule="exact"/>
      <w:jc w:val="center"/>
    </w:pPr>
    <w:rPr>
      <w:rFonts w:ascii="宋体" w:hAnsi="宋体"/>
      <w:b/>
      <w:bCs/>
      <w:szCs w:val="21"/>
      <w:shd w:val="clear" w:color="auto" w:fill="FFFFFF"/>
    </w:rPr>
  </w:style>
  <w:style w:type="paragraph" w:customStyle="1" w:styleId="9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5">
    <w:name w:val="样式3"/>
    <w:basedOn w:val="1"/>
    <w:link w:val="308"/>
    <w:qFormat/>
    <w:uiPriority w:val="0"/>
    <w:pPr>
      <w:ind w:firstLine="420"/>
      <w:jc w:val="left"/>
    </w:pPr>
    <w:rPr>
      <w:rFonts w:ascii="宋体" w:hAnsi="宋体"/>
    </w:rPr>
  </w:style>
  <w:style w:type="paragraph" w:customStyle="1" w:styleId="96">
    <w:name w:val="xl8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97">
    <w:name w:val="注"/>
    <w:basedOn w:val="1"/>
    <w:link w:val="309"/>
    <w:qFormat/>
    <w:uiPriority w:val="0"/>
    <w:pPr>
      <w:ind w:left="788" w:leftChars="200" w:hanging="368" w:hangingChars="175"/>
    </w:pPr>
  </w:style>
  <w:style w:type="paragraph" w:customStyle="1" w:styleId="98">
    <w:name w:val="分条"/>
    <w:basedOn w:val="1"/>
    <w:link w:val="243"/>
    <w:qFormat/>
    <w:uiPriority w:val="0"/>
    <w:pPr>
      <w:spacing w:line="360" w:lineRule="auto"/>
      <w:ind w:firstLine="200" w:firstLineChars="200"/>
    </w:pPr>
    <w:rPr>
      <w:sz w:val="24"/>
    </w:rPr>
  </w:style>
  <w:style w:type="paragraph" w:customStyle="1" w:styleId="99">
    <w:name w:val="xl81"/>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100">
    <w:name w:val="标题 #7"/>
    <w:basedOn w:val="1"/>
    <w:link w:val="236"/>
    <w:qFormat/>
    <w:uiPriority w:val="0"/>
    <w:pPr>
      <w:shd w:val="clear" w:color="auto" w:fill="FFFFFF"/>
      <w:spacing w:before="120" w:after="120" w:line="0" w:lineRule="atLeast"/>
      <w:ind w:hanging="700"/>
      <w:jc w:val="distribute"/>
      <w:outlineLvl w:val="6"/>
    </w:pPr>
    <w:rPr>
      <w:rFonts w:ascii="Arial Unicode MS" w:hAnsi="Arial Unicode MS" w:eastAsia="Arial Unicode MS"/>
      <w:shd w:val="clear" w:color="auto" w:fill="FFFFFF"/>
    </w:rPr>
  </w:style>
  <w:style w:type="paragraph" w:customStyle="1" w:styleId="101">
    <w:name w:val="标题 #4"/>
    <w:basedOn w:val="1"/>
    <w:link w:val="238"/>
    <w:qFormat/>
    <w:uiPriority w:val="0"/>
    <w:pPr>
      <w:shd w:val="clear" w:color="auto" w:fill="FFFFFF"/>
      <w:spacing w:before="120" w:after="120" w:line="0" w:lineRule="atLeast"/>
      <w:jc w:val="center"/>
      <w:outlineLvl w:val="3"/>
    </w:pPr>
    <w:rPr>
      <w:rFonts w:ascii="黑体" w:hAnsi="黑体" w:eastAsia="黑体"/>
      <w:spacing w:val="40"/>
      <w:sz w:val="28"/>
      <w:szCs w:val="28"/>
      <w:shd w:val="clear" w:color="auto" w:fill="FFFFFF"/>
    </w:rPr>
  </w:style>
  <w:style w:type="paragraph" w:customStyle="1" w:styleId="102">
    <w:name w:val="页脚 New New New New New New New"/>
    <w:basedOn w:val="1"/>
    <w:qFormat/>
    <w:uiPriority w:val="0"/>
    <w:pPr>
      <w:tabs>
        <w:tab w:val="center" w:pos="4153"/>
        <w:tab w:val="right" w:pos="8306"/>
      </w:tabs>
      <w:snapToGrid w:val="0"/>
      <w:jc w:val="left"/>
    </w:pPr>
    <w:rPr>
      <w:sz w:val="18"/>
      <w:szCs w:val="18"/>
    </w:rPr>
  </w:style>
  <w:style w:type="paragraph" w:customStyle="1" w:styleId="103">
    <w:name w:val="xl74"/>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cs="宋体"/>
      <w:color w:val="000000"/>
      <w:kern w:val="0"/>
      <w:sz w:val="20"/>
      <w:szCs w:val="20"/>
    </w:rPr>
  </w:style>
  <w:style w:type="paragraph" w:customStyle="1" w:styleId="104">
    <w:name w:val="xl79"/>
    <w:basedOn w:val="1"/>
    <w:qFormat/>
    <w:uiPriority w:val="0"/>
    <w:pPr>
      <w:widowControl/>
      <w:pBdr>
        <w:bottom w:val="single" w:color="auto" w:sz="8" w:space="0"/>
      </w:pBdr>
      <w:spacing w:before="100" w:beforeAutospacing="1" w:after="100" w:afterAutospacing="1"/>
      <w:jc w:val="left"/>
    </w:pPr>
    <w:rPr>
      <w:rFonts w:ascii="宋体" w:hAnsi="宋体" w:cs="宋体"/>
      <w:color w:val="000000"/>
      <w:kern w:val="0"/>
      <w:sz w:val="20"/>
      <w:szCs w:val="20"/>
    </w:rPr>
  </w:style>
  <w:style w:type="paragraph" w:customStyle="1" w:styleId="105">
    <w:name w:val="页脚 New"/>
    <w:basedOn w:val="1"/>
    <w:qFormat/>
    <w:uiPriority w:val="0"/>
    <w:pPr>
      <w:tabs>
        <w:tab w:val="center" w:pos="4153"/>
        <w:tab w:val="right" w:pos="8306"/>
      </w:tabs>
      <w:snapToGrid w:val="0"/>
      <w:jc w:val="left"/>
    </w:pPr>
    <w:rPr>
      <w:sz w:val="18"/>
      <w:szCs w:val="18"/>
    </w:rPr>
  </w:style>
  <w:style w:type="paragraph" w:customStyle="1" w:styleId="106">
    <w:name w:val="修订1"/>
    <w:qFormat/>
    <w:uiPriority w:val="0"/>
    <w:rPr>
      <w:rFonts w:ascii="Times New Roman" w:hAnsi="Times New Roman" w:eastAsia="宋体" w:cs="Times New Roman"/>
      <w:kern w:val="2"/>
      <w:sz w:val="21"/>
      <w:szCs w:val="24"/>
      <w:lang w:val="en-US" w:eastAsia="zh-CN" w:bidi="ar-SA"/>
    </w:rPr>
  </w:style>
  <w:style w:type="paragraph" w:customStyle="1" w:styleId="107">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08">
    <w:name w:val="xl76"/>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109">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10">
    <w:name w:val="正文_1"/>
    <w:qFormat/>
    <w:uiPriority w:val="0"/>
    <w:pPr>
      <w:widowControl w:val="0"/>
      <w:jc w:val="both"/>
    </w:pPr>
    <w:rPr>
      <w:rFonts w:ascii="Calibri" w:hAnsi="Calibri" w:eastAsia="楷体_GB2312" w:cs="Times New Roman"/>
      <w:kern w:val="2"/>
      <w:sz w:val="21"/>
      <w:szCs w:val="22"/>
      <w:lang w:val="en-US" w:eastAsia="zh-CN" w:bidi="ar-SA"/>
    </w:rPr>
  </w:style>
  <w:style w:type="paragraph" w:customStyle="1" w:styleId="111">
    <w:name w:val="xl90"/>
    <w:basedOn w:val="1"/>
    <w:qFormat/>
    <w:uiPriority w:val="0"/>
    <w:pPr>
      <w:widowControl/>
      <w:pBdr>
        <w:bottom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112">
    <w:name w:val="封面一级标题文字"/>
    <w:basedOn w:val="53"/>
    <w:qFormat/>
    <w:uiPriority w:val="0"/>
    <w:pPr>
      <w:spacing w:line="640" w:lineRule="exact"/>
      <w:ind w:firstLine="0" w:firstLineChars="0"/>
      <w:jc w:val="center"/>
    </w:pPr>
    <w:rPr>
      <w:rFonts w:ascii="黑体" w:hAnsi="黑体" w:eastAsia="黑体"/>
      <w:b/>
      <w:bCs/>
      <w:sz w:val="52"/>
    </w:rPr>
  </w:style>
  <w:style w:type="paragraph" w:customStyle="1" w:styleId="113">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正文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5">
    <w:name w:val="手册文字"/>
    <w:qFormat/>
    <w:uiPriority w:val="0"/>
    <w:pPr>
      <w:spacing w:beforeLines="50" w:line="360" w:lineRule="auto"/>
      <w:ind w:right="-180" w:firstLine="538" w:firstLineChars="256"/>
      <w:jc w:val="both"/>
    </w:pPr>
    <w:rPr>
      <w:rFonts w:ascii="Times New Roman" w:hAnsi="Times New Roman" w:eastAsia="宋体" w:cs="Times New Roman"/>
      <w:sz w:val="21"/>
      <w:szCs w:val="21"/>
      <w:lang w:val="en-US" w:eastAsia="zh-CN" w:bidi="ar-SA"/>
    </w:rPr>
  </w:style>
  <w:style w:type="paragraph" w:customStyle="1" w:styleId="116">
    <w:name w:val="xl67"/>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color w:val="000000"/>
      <w:kern w:val="0"/>
      <w:sz w:val="20"/>
      <w:szCs w:val="20"/>
    </w:rPr>
  </w:style>
  <w:style w:type="paragraph" w:customStyle="1" w:styleId="117">
    <w:name w:val="正文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8">
    <w:name w:val="正文 New New New New New New New New New New New New New New New New New"/>
    <w:qFormat/>
    <w:uiPriority w:val="0"/>
    <w:pPr>
      <w:widowControl w:val="0"/>
      <w:jc w:val="both"/>
    </w:pPr>
    <w:rPr>
      <w:rFonts w:ascii="Times New Roman" w:hAnsi="Times New Roman" w:eastAsia="宋体" w:cs="黑体"/>
      <w:kern w:val="2"/>
      <w:sz w:val="21"/>
      <w:szCs w:val="24"/>
      <w:lang w:val="en-US" w:eastAsia="zh-CN" w:bidi="ar-SA"/>
    </w:rPr>
  </w:style>
  <w:style w:type="paragraph" w:customStyle="1" w:styleId="119">
    <w:name w:val="正文 New New New New New New New New New"/>
    <w:next w:val="12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0">
    <w:name w:val="正文缩进 New New"/>
    <w:basedOn w:val="119"/>
    <w:qFormat/>
    <w:uiPriority w:val="0"/>
    <w:pPr>
      <w:ind w:firstLine="420" w:firstLineChars="200"/>
    </w:pPr>
  </w:style>
  <w:style w:type="paragraph" w:customStyle="1" w:styleId="121">
    <w:name w:val="xl88"/>
    <w:basedOn w:val="1"/>
    <w:qFormat/>
    <w:uiPriority w:val="0"/>
    <w:pPr>
      <w:widowControl/>
      <w:pBdr>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122">
    <w:name w:val="页脚 New New New New New New"/>
    <w:basedOn w:val="1"/>
    <w:qFormat/>
    <w:uiPriority w:val="0"/>
    <w:pPr>
      <w:tabs>
        <w:tab w:val="center" w:pos="4153"/>
        <w:tab w:val="right" w:pos="8306"/>
      </w:tabs>
      <w:snapToGrid w:val="0"/>
      <w:jc w:val="left"/>
    </w:pPr>
    <w:rPr>
      <w:sz w:val="18"/>
      <w:szCs w:val="18"/>
    </w:rPr>
  </w:style>
  <w:style w:type="paragraph" w:customStyle="1" w:styleId="123">
    <w:name w:val="标题10"/>
    <w:qFormat/>
    <w:uiPriority w:val="0"/>
    <w:pPr>
      <w:spacing w:afterLines="100"/>
    </w:pPr>
    <w:rPr>
      <w:rFonts w:ascii="Times New Roman" w:hAnsi="Times New Roman" w:eastAsia="宋体" w:cs="Times New Roman"/>
      <w:b/>
      <w:sz w:val="32"/>
      <w:lang w:val="en-US" w:eastAsia="zh-CN" w:bidi="ar-SA"/>
    </w:rPr>
  </w:style>
  <w:style w:type="paragraph" w:customStyle="1" w:styleId="124">
    <w:name w:val="xl87"/>
    <w:basedOn w:val="1"/>
    <w:qFormat/>
    <w:uiPriority w:val="0"/>
    <w:pPr>
      <w:widowControl/>
      <w:spacing w:before="100" w:beforeAutospacing="1" w:after="100" w:afterAutospacing="1"/>
      <w:jc w:val="center"/>
    </w:pPr>
    <w:rPr>
      <w:rFonts w:ascii="宋体" w:hAnsi="宋体" w:cs="宋体"/>
      <w:color w:val="000000"/>
      <w:kern w:val="0"/>
      <w:sz w:val="20"/>
      <w:szCs w:val="20"/>
    </w:rPr>
  </w:style>
  <w:style w:type="paragraph" w:customStyle="1" w:styleId="125">
    <w:name w:val="xl68"/>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cs="宋体"/>
      <w:b/>
      <w:bCs/>
      <w:color w:val="000000"/>
      <w:kern w:val="0"/>
      <w:sz w:val="20"/>
      <w:szCs w:val="20"/>
    </w:rPr>
  </w:style>
  <w:style w:type="paragraph" w:customStyle="1" w:styleId="126">
    <w:name w:val="正文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7">
    <w:name w:val="页脚 New New"/>
    <w:basedOn w:val="1"/>
    <w:qFormat/>
    <w:uiPriority w:val="0"/>
    <w:pPr>
      <w:tabs>
        <w:tab w:val="center" w:pos="4153"/>
        <w:tab w:val="right" w:pos="8306"/>
      </w:tabs>
      <w:snapToGrid w:val="0"/>
      <w:jc w:val="left"/>
    </w:pPr>
    <w:rPr>
      <w:sz w:val="18"/>
      <w:szCs w:val="18"/>
    </w:rPr>
  </w:style>
  <w:style w:type="paragraph" w:customStyle="1" w:styleId="128">
    <w:name w:val="页脚 New New New New New"/>
    <w:basedOn w:val="1"/>
    <w:qFormat/>
    <w:uiPriority w:val="0"/>
    <w:pPr>
      <w:tabs>
        <w:tab w:val="center" w:pos="4153"/>
        <w:tab w:val="right" w:pos="8306"/>
      </w:tabs>
      <w:snapToGrid w:val="0"/>
      <w:jc w:val="left"/>
    </w:pPr>
    <w:rPr>
      <w:sz w:val="18"/>
      <w:szCs w:val="18"/>
    </w:rPr>
  </w:style>
  <w:style w:type="paragraph" w:customStyle="1" w:styleId="129">
    <w:name w:val="页脚 New New New New New New New New New"/>
    <w:basedOn w:val="1"/>
    <w:qFormat/>
    <w:uiPriority w:val="0"/>
    <w:pPr>
      <w:tabs>
        <w:tab w:val="center" w:pos="4153"/>
        <w:tab w:val="right" w:pos="8306"/>
      </w:tabs>
      <w:snapToGrid w:val="0"/>
      <w:jc w:val="left"/>
    </w:pPr>
    <w:rPr>
      <w:sz w:val="18"/>
      <w:szCs w:val="18"/>
    </w:rPr>
  </w:style>
  <w:style w:type="paragraph" w:customStyle="1" w:styleId="13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1">
    <w:name w:val="正文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2">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3">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34">
    <w:name w:val="标题 3 New"/>
    <w:basedOn w:val="114"/>
    <w:next w:val="114"/>
    <w:qFormat/>
    <w:uiPriority w:val="0"/>
    <w:pPr>
      <w:keepNext/>
      <w:keepLines/>
      <w:spacing w:beforeLines="50" w:afterLines="50" w:line="360" w:lineRule="auto"/>
      <w:jc w:val="center"/>
      <w:outlineLvl w:val="2"/>
    </w:pPr>
    <w:rPr>
      <w:bCs/>
      <w:sz w:val="24"/>
      <w:szCs w:val="32"/>
    </w:rPr>
  </w:style>
  <w:style w:type="paragraph" w:customStyle="1" w:styleId="135">
    <w:name w:val="正文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修订4"/>
    <w:qFormat/>
    <w:uiPriority w:val="0"/>
    <w:rPr>
      <w:rFonts w:ascii="Times New Roman" w:hAnsi="Times New Roman" w:eastAsia="宋体" w:cs="Times New Roman"/>
      <w:kern w:val="2"/>
      <w:sz w:val="21"/>
      <w:szCs w:val="24"/>
      <w:lang w:val="en-US" w:eastAsia="zh-CN" w:bidi="ar-SA"/>
    </w:rPr>
  </w:style>
  <w:style w:type="paragraph" w:customStyle="1" w:styleId="137">
    <w:name w:val="正文 New New New New New New New New"/>
    <w:next w:val="138"/>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正文缩进 New"/>
    <w:basedOn w:val="114"/>
    <w:qFormat/>
    <w:uiPriority w:val="0"/>
    <w:pPr>
      <w:ind w:firstLine="420"/>
    </w:pPr>
  </w:style>
  <w:style w:type="paragraph" w:customStyle="1" w:styleId="139">
    <w:name w:val="正文 New New New New New New New New New New New New New New New New New New New New New New New New New New New New New"/>
    <w:qFormat/>
    <w:uiPriority w:val="0"/>
    <w:pPr>
      <w:widowControl w:val="0"/>
      <w:adjustRightInd w:val="0"/>
      <w:spacing w:line="360" w:lineRule="atLeast"/>
      <w:textAlignment w:val="baseline"/>
    </w:pPr>
    <w:rPr>
      <w:rFonts w:ascii="Calibri" w:hAnsi="Calibri" w:eastAsia="宋体" w:cs="Times New Roman"/>
      <w:sz w:val="24"/>
      <w:lang w:val="en-US" w:eastAsia="zh-CN" w:bidi="ar-SA"/>
    </w:rPr>
  </w:style>
  <w:style w:type="paragraph" w:customStyle="1" w:styleId="140">
    <w:name w:val="文二"/>
    <w:basedOn w:val="1"/>
    <w:qFormat/>
    <w:uiPriority w:val="0"/>
    <w:pPr>
      <w:jc w:val="left"/>
    </w:pPr>
    <w:rPr>
      <w:rFonts w:ascii="宋体" w:hAnsi="宋体"/>
      <w:szCs w:val="21"/>
    </w:rPr>
  </w:style>
  <w:style w:type="paragraph" w:customStyle="1" w:styleId="141">
    <w:name w:val="xl86"/>
    <w:basedOn w:val="1"/>
    <w:qFormat/>
    <w:uiPriority w:val="0"/>
    <w:pPr>
      <w:widowControl/>
      <w:pBdr>
        <w:lef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142">
    <w:name w:val="正文（2）"/>
    <w:qFormat/>
    <w:uiPriority w:val="0"/>
    <w:pPr>
      <w:spacing w:line="560" w:lineRule="exact"/>
      <w:ind w:firstLine="200" w:firstLineChars="200"/>
    </w:pPr>
    <w:rPr>
      <w:rFonts w:ascii="宋体" w:hAnsi="Times New Roman" w:eastAsia="宋体" w:cs="Times New Roman"/>
      <w:snapToGrid w:val="0"/>
      <w:spacing w:val="10"/>
      <w:sz w:val="24"/>
      <w:lang w:val="en-US" w:eastAsia="zh-CN" w:bidi="ar-SA"/>
    </w:rPr>
  </w:style>
  <w:style w:type="paragraph" w:customStyle="1" w:styleId="143">
    <w:name w:val="xl77"/>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144">
    <w:name w:val="页脚 New New New New"/>
    <w:basedOn w:val="1"/>
    <w:qFormat/>
    <w:uiPriority w:val="0"/>
    <w:pPr>
      <w:tabs>
        <w:tab w:val="center" w:pos="4153"/>
        <w:tab w:val="right" w:pos="8306"/>
      </w:tabs>
      <w:snapToGrid w:val="0"/>
      <w:jc w:val="left"/>
    </w:pPr>
    <w:rPr>
      <w:sz w:val="18"/>
      <w:szCs w:val="18"/>
    </w:rPr>
  </w:style>
  <w:style w:type="paragraph" w:customStyle="1" w:styleId="145">
    <w:name w:val="正文文本 2 New"/>
    <w:basedOn w:val="146"/>
    <w:qFormat/>
    <w:uiPriority w:val="0"/>
    <w:rPr>
      <w:rFonts w:ascii="宋体" w:hAnsi="宋体" w:eastAsia="楷体_GB2312"/>
      <w:szCs w:val="24"/>
      <w:u w:val="single"/>
    </w:rPr>
  </w:style>
  <w:style w:type="paragraph" w:customStyle="1" w:styleId="146">
    <w:name w:val="正文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7">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48">
    <w:name w:val="正文 New New New New New New New New New New New New New New New New New New New"/>
    <w:qFormat/>
    <w:uiPriority w:val="0"/>
    <w:pPr>
      <w:widowControl w:val="0"/>
      <w:jc w:val="both"/>
    </w:pPr>
    <w:rPr>
      <w:rFonts w:ascii="Times New Roman" w:hAnsi="Times New Roman" w:eastAsia="宋体" w:cs="黑体"/>
      <w:kern w:val="2"/>
      <w:sz w:val="21"/>
      <w:szCs w:val="24"/>
      <w:lang w:val="en-US" w:eastAsia="zh-CN" w:bidi="ar-SA"/>
    </w:rPr>
  </w:style>
  <w:style w:type="paragraph" w:customStyle="1" w:styleId="149">
    <w:name w:val="正文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150">
    <w:name w:val="标题 2 New"/>
    <w:basedOn w:val="114"/>
    <w:next w:val="138"/>
    <w:qFormat/>
    <w:uiPriority w:val="0"/>
    <w:pPr>
      <w:keepNext/>
      <w:keepLines/>
      <w:spacing w:before="240" w:after="120" w:line="400" w:lineRule="exact"/>
      <w:ind w:left="454" w:hanging="454"/>
      <w:jc w:val="center"/>
      <w:outlineLvl w:val="1"/>
    </w:pPr>
    <w:rPr>
      <w:rFonts w:ascii="Arial" w:hAnsi="Arial"/>
      <w:b/>
      <w:color w:val="000000"/>
      <w:sz w:val="24"/>
    </w:rPr>
  </w:style>
  <w:style w:type="paragraph" w:customStyle="1" w:styleId="151">
    <w:name w:val="列出段落11"/>
    <w:basedOn w:val="1"/>
    <w:qFormat/>
    <w:uiPriority w:val="0"/>
    <w:rPr>
      <w:rFonts w:ascii="Calibri" w:hAnsi="Calibri"/>
      <w:sz w:val="20"/>
      <w:szCs w:val="20"/>
    </w:rPr>
  </w:style>
  <w:style w:type="paragraph" w:customStyle="1" w:styleId="152">
    <w:name w:val="xl71"/>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color w:val="000000"/>
      <w:kern w:val="0"/>
      <w:sz w:val="20"/>
      <w:szCs w:val="20"/>
    </w:rPr>
  </w:style>
  <w:style w:type="paragraph" w:customStyle="1" w:styleId="153">
    <w:name w:val="CM106"/>
    <w:qFormat/>
    <w:uiPriority w:val="0"/>
    <w:rPr>
      <w:rFonts w:ascii="Times New Roman" w:hAnsi="Times New Roman" w:eastAsia="宋体" w:cs="Times New Roman"/>
      <w:lang w:val="en-US" w:eastAsia="zh-CN" w:bidi="ar-SA"/>
    </w:rPr>
  </w:style>
  <w:style w:type="paragraph" w:customStyle="1" w:styleId="154">
    <w:name w:val="纯文本1"/>
    <w:basedOn w:val="89"/>
    <w:qFormat/>
    <w:uiPriority w:val="0"/>
    <w:rPr>
      <w:rFonts w:ascii="宋体" w:hAnsi="Courier New"/>
      <w:kern w:val="0"/>
      <w:sz w:val="20"/>
      <w:szCs w:val="20"/>
    </w:rPr>
  </w:style>
  <w:style w:type="paragraph" w:customStyle="1" w:styleId="155">
    <w:name w:val="_Style 114"/>
    <w:basedOn w:val="13"/>
    <w:qFormat/>
    <w:uiPriority w:val="0"/>
    <w:rPr>
      <w:rFonts w:ascii="Tahoma" w:hAnsi="Tahoma"/>
      <w:sz w:val="24"/>
    </w:rPr>
  </w:style>
  <w:style w:type="paragraph" w:customStyle="1" w:styleId="156">
    <w:name w:val="xl72"/>
    <w:basedOn w:val="1"/>
    <w:qFormat/>
    <w:uiPriority w:val="0"/>
    <w:pPr>
      <w:widowControl/>
      <w:pBdr>
        <w:bottom w:val="single" w:color="auto" w:sz="8" w:space="0"/>
        <w:right w:val="single" w:color="auto" w:sz="8" w:space="0"/>
      </w:pBdr>
      <w:spacing w:before="100" w:beforeAutospacing="1" w:after="100" w:afterAutospacing="1"/>
      <w:jc w:val="right"/>
    </w:pPr>
    <w:rPr>
      <w:rFonts w:ascii="宋体" w:hAnsi="宋体" w:cs="宋体"/>
      <w:b/>
      <w:bCs/>
      <w:color w:val="000000"/>
      <w:kern w:val="0"/>
      <w:sz w:val="20"/>
      <w:szCs w:val="20"/>
    </w:rPr>
  </w:style>
  <w:style w:type="paragraph" w:customStyle="1" w:styleId="157">
    <w:name w:val="xl82"/>
    <w:basedOn w:val="1"/>
    <w:qFormat/>
    <w:uiPriority w:val="0"/>
    <w:pPr>
      <w:widowControl/>
      <w:pBdr>
        <w:left w:val="single" w:color="auto" w:sz="8" w:space="0"/>
        <w:bottom w:val="single" w:color="000000"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158">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59">
    <w:name w:val="修订3"/>
    <w:qFormat/>
    <w:uiPriority w:val="0"/>
    <w:rPr>
      <w:rFonts w:ascii="Times New Roman" w:hAnsi="Times New Roman" w:eastAsia="宋体" w:cs="Times New Roman"/>
      <w:kern w:val="2"/>
      <w:sz w:val="21"/>
      <w:szCs w:val="24"/>
      <w:lang w:val="en-US" w:eastAsia="zh-CN" w:bidi="ar-SA"/>
    </w:rPr>
  </w:style>
  <w:style w:type="paragraph" w:customStyle="1" w:styleId="160">
    <w:name w:val="xl85"/>
    <w:basedOn w:val="1"/>
    <w:qFormat/>
    <w:uiPriority w:val="0"/>
    <w:pPr>
      <w:widowControl/>
      <w:pBdr>
        <w:top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161">
    <w:name w:val="正文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2">
    <w:name w:val="xl66"/>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character" w:customStyle="1" w:styleId="163">
    <w:name w:val="标题 3 字符"/>
    <w:link w:val="4"/>
    <w:qFormat/>
    <w:uiPriority w:val="0"/>
    <w:rPr>
      <w:rFonts w:ascii="Times New Roman" w:hAnsi="Times New Roman"/>
      <w:b/>
      <w:kern w:val="2"/>
      <w:sz w:val="21"/>
      <w:szCs w:val="21"/>
    </w:rPr>
  </w:style>
  <w:style w:type="character" w:customStyle="1" w:styleId="164">
    <w:name w:val="WW8Num15z1"/>
    <w:qFormat/>
    <w:uiPriority w:val="0"/>
    <w:rPr>
      <w:rFonts w:hint="default" w:ascii="Times New Roman" w:hAnsi="Times New Roman" w:cs="Times New Roman"/>
      <w:color w:val="auto"/>
    </w:rPr>
  </w:style>
  <w:style w:type="character" w:customStyle="1" w:styleId="165">
    <w:name w:val="标题 6 字符"/>
    <w:link w:val="7"/>
    <w:qFormat/>
    <w:uiPriority w:val="0"/>
    <w:rPr>
      <w:rFonts w:ascii="Arial" w:hAnsi="Arial" w:eastAsia="黑体" w:cs="Times New Roman"/>
      <w:b/>
      <w:bCs/>
      <w:kern w:val="0"/>
      <w:sz w:val="24"/>
      <w:szCs w:val="24"/>
    </w:rPr>
  </w:style>
  <w:style w:type="character" w:customStyle="1" w:styleId="166">
    <w:name w:val="正文文本 (5) Exact"/>
    <w:link w:val="91"/>
    <w:qFormat/>
    <w:uiPriority w:val="0"/>
    <w:rPr>
      <w:rFonts w:ascii="黑体" w:hAnsi="黑体" w:eastAsia="黑体"/>
      <w:spacing w:val="-40"/>
      <w:shd w:val="clear" w:color="auto" w:fill="FFFFFF"/>
    </w:rPr>
  </w:style>
  <w:style w:type="character" w:customStyle="1" w:styleId="167">
    <w:name w:val="textcontents1"/>
    <w:qFormat/>
    <w:uiPriority w:val="0"/>
    <w:rPr>
      <w:rFonts w:hint="eastAsia" w:ascii="宋体" w:hAnsi="宋体" w:eastAsia="宋体"/>
      <w:color w:val="000000"/>
      <w:kern w:val="2"/>
      <w:sz w:val="22"/>
      <w:szCs w:val="22"/>
      <w:lang w:val="en-US" w:eastAsia="zh-CN" w:bidi="ar-SA"/>
    </w:rPr>
  </w:style>
  <w:style w:type="character" w:customStyle="1" w:styleId="168">
    <w:name w:val="p9b"/>
    <w:qFormat/>
    <w:uiPriority w:val="0"/>
  </w:style>
  <w:style w:type="character" w:customStyle="1" w:styleId="169">
    <w:name w:val="正文首行缩进 字符"/>
    <w:basedOn w:val="170"/>
    <w:qFormat/>
    <w:uiPriority w:val="0"/>
    <w:rPr>
      <w:rFonts w:eastAsia="宋体"/>
      <w:szCs w:val="24"/>
    </w:rPr>
  </w:style>
  <w:style w:type="character" w:customStyle="1" w:styleId="170">
    <w:name w:val="正文文本 字符"/>
    <w:link w:val="16"/>
    <w:qFormat/>
    <w:uiPriority w:val="0"/>
    <w:rPr>
      <w:rFonts w:eastAsia="宋体"/>
      <w:szCs w:val="24"/>
    </w:rPr>
  </w:style>
  <w:style w:type="character" w:customStyle="1" w:styleId="171">
    <w:name w:val="+正文 Char1"/>
    <w:link w:val="87"/>
    <w:qFormat/>
    <w:uiPriority w:val="0"/>
    <w:rPr>
      <w:sz w:val="24"/>
    </w:rPr>
  </w:style>
  <w:style w:type="character" w:customStyle="1" w:styleId="172">
    <w:name w:val="正文文本 (2)_"/>
    <w:link w:val="90"/>
    <w:qFormat/>
    <w:uiPriority w:val="0"/>
    <w:rPr>
      <w:rFonts w:ascii="宋体" w:hAnsi="宋体"/>
      <w:shd w:val="clear" w:color="auto" w:fill="FFFFFF"/>
    </w:rPr>
  </w:style>
  <w:style w:type="character" w:customStyle="1" w:styleId="173">
    <w:name w:val="正文文本 2 字符"/>
    <w:link w:val="31"/>
    <w:qFormat/>
    <w:uiPriority w:val="0"/>
    <w:rPr>
      <w:szCs w:val="24"/>
    </w:rPr>
  </w:style>
  <w:style w:type="character" w:customStyle="1" w:styleId="174">
    <w:name w:val="标题 字符"/>
    <w:link w:val="35"/>
    <w:qFormat/>
    <w:uiPriority w:val="0"/>
    <w:rPr>
      <w:rFonts w:hint="default" w:ascii="Arial" w:hAnsi="Arial" w:eastAsia="楷体_GB2312" w:cs="Arial"/>
      <w:b/>
      <w:kern w:val="2"/>
      <w:sz w:val="44"/>
      <w:szCs w:val="24"/>
      <w:lang w:val="en-US" w:eastAsia="zh-CN" w:bidi="ar-SA"/>
    </w:rPr>
  </w:style>
  <w:style w:type="character" w:customStyle="1" w:styleId="175">
    <w:name w:val="图片标题_"/>
    <w:link w:val="79"/>
    <w:qFormat/>
    <w:uiPriority w:val="0"/>
    <w:rPr>
      <w:rFonts w:ascii="Arial Unicode MS" w:hAnsi="Arial Unicode MS" w:eastAsia="Arial Unicode MS"/>
      <w:shd w:val="clear" w:color="auto" w:fill="FFFFFF"/>
    </w:rPr>
  </w:style>
  <w:style w:type="character" w:customStyle="1" w:styleId="176">
    <w:name w:val="正文文本首行缩进 2 字符"/>
    <w:basedOn w:val="177"/>
    <w:link w:val="38"/>
    <w:qFormat/>
    <w:uiPriority w:val="0"/>
    <w:rPr>
      <w:rFonts w:ascii="Times New Roman" w:hAnsi="Times New Roman" w:eastAsia="宋体" w:cs="Times New Roman"/>
      <w:szCs w:val="24"/>
    </w:rPr>
  </w:style>
  <w:style w:type="character" w:customStyle="1" w:styleId="177">
    <w:name w:val="正文文本缩进 Char2"/>
    <w:qFormat/>
    <w:uiPriority w:val="0"/>
    <w:rPr>
      <w:rFonts w:ascii="Times New Roman" w:hAnsi="Times New Roman" w:eastAsia="宋体" w:cs="Times New Roman"/>
      <w:szCs w:val="24"/>
    </w:rPr>
  </w:style>
  <w:style w:type="character" w:customStyle="1" w:styleId="178">
    <w:name w:val="标题 4 字符"/>
    <w:link w:val="5"/>
    <w:qFormat/>
    <w:uiPriority w:val="0"/>
    <w:rPr>
      <w:rFonts w:ascii="Arial" w:hAnsi="Arial" w:eastAsia="黑体" w:cs="Times New Roman"/>
      <w:b/>
      <w:bCs/>
      <w:sz w:val="28"/>
      <w:szCs w:val="28"/>
    </w:rPr>
  </w:style>
  <w:style w:type="character" w:customStyle="1" w:styleId="179">
    <w:name w:val="批注主题 字符"/>
    <w:link w:val="36"/>
    <w:qFormat/>
    <w:uiPriority w:val="0"/>
    <w:rPr>
      <w:rFonts w:eastAsia="宋体"/>
      <w:b/>
      <w:bCs/>
      <w:szCs w:val="24"/>
    </w:rPr>
  </w:style>
  <w:style w:type="character" w:customStyle="1" w:styleId="180">
    <w:name w:val="正文文本1"/>
    <w:qFormat/>
    <w:uiPriority w:val="0"/>
    <w:rPr>
      <w:rFonts w:ascii="Arial Unicode MS" w:hAnsi="Arial Unicode MS" w:eastAsia="Arial Unicode MS" w:cs="Arial Unicode MS"/>
      <w:color w:val="000000"/>
      <w:spacing w:val="0"/>
      <w:w w:val="100"/>
      <w:position w:val="0"/>
      <w:sz w:val="20"/>
      <w:szCs w:val="20"/>
      <w:u w:val="single"/>
      <w:lang w:val="zh-CN" w:bidi="ar-SA"/>
    </w:rPr>
  </w:style>
  <w:style w:type="character" w:customStyle="1" w:styleId="181">
    <w:name w:val="纯文本 Char3"/>
    <w:qFormat/>
    <w:uiPriority w:val="0"/>
    <w:rPr>
      <w:rFonts w:ascii="宋体" w:hAnsi="Courier New" w:eastAsia="宋体" w:cs="Courier New"/>
      <w:szCs w:val="21"/>
    </w:rPr>
  </w:style>
  <w:style w:type="character" w:customStyle="1" w:styleId="182">
    <w:name w:val="正文首行缩进 2 字符"/>
    <w:qFormat/>
    <w:uiPriority w:val="0"/>
    <w:rPr>
      <w:color w:val="000000"/>
      <w:szCs w:val="24"/>
    </w:rPr>
  </w:style>
  <w:style w:type="character" w:customStyle="1" w:styleId="183">
    <w:name w:val="纯文本 Char2"/>
    <w:qFormat/>
    <w:uiPriority w:val="0"/>
    <w:rPr>
      <w:rFonts w:ascii="宋体" w:hAnsi="Courier New" w:eastAsia="宋体" w:cs="Courier New"/>
      <w:szCs w:val="21"/>
    </w:rPr>
  </w:style>
  <w:style w:type="character" w:customStyle="1" w:styleId="184">
    <w:name w:val="WW8Num8z0"/>
    <w:qFormat/>
    <w:uiPriority w:val="0"/>
    <w:rPr>
      <w:sz w:val="24"/>
    </w:rPr>
  </w:style>
  <w:style w:type="character" w:customStyle="1" w:styleId="185">
    <w:name w:val="line1"/>
    <w:qFormat/>
    <w:uiPriority w:val="0"/>
    <w:rPr>
      <w:spacing w:val="330"/>
      <w:sz w:val="18"/>
      <w:szCs w:val="18"/>
    </w:rPr>
  </w:style>
  <w:style w:type="character" w:customStyle="1" w:styleId="186">
    <w:name w:val="标题 2 Char Char"/>
    <w:qFormat/>
    <w:uiPriority w:val="0"/>
    <w:rPr>
      <w:rFonts w:ascii="Arial" w:hAnsi="Arial" w:eastAsia="黑体"/>
      <w:b/>
      <w:bCs/>
      <w:kern w:val="2"/>
      <w:sz w:val="32"/>
      <w:szCs w:val="32"/>
      <w:lang w:val="en-US" w:eastAsia="zh-CN" w:bidi="ar-SA"/>
    </w:rPr>
  </w:style>
  <w:style w:type="character" w:customStyle="1" w:styleId="187">
    <w:name w:val="HTML 预设格式 Char1"/>
    <w:qFormat/>
    <w:uiPriority w:val="0"/>
    <w:rPr>
      <w:rFonts w:ascii="Courier New" w:hAnsi="Courier New" w:eastAsia="宋体" w:cs="Courier New"/>
      <w:sz w:val="20"/>
      <w:szCs w:val="20"/>
    </w:rPr>
  </w:style>
  <w:style w:type="character" w:customStyle="1" w:styleId="188">
    <w:name w:val="默认段落字体1"/>
    <w:qFormat/>
    <w:uiPriority w:val="0"/>
  </w:style>
  <w:style w:type="character" w:customStyle="1" w:styleId="189">
    <w:name w:val="标题 #2 (2) + 间距 -1 pt"/>
    <w:qFormat/>
    <w:uiPriority w:val="0"/>
    <w:rPr>
      <w:rFonts w:ascii="宋体" w:hAnsi="宋体" w:eastAsia="宋体" w:cs="宋体"/>
      <w:color w:val="000000"/>
      <w:spacing w:val="-20"/>
      <w:w w:val="100"/>
      <w:position w:val="0"/>
      <w:sz w:val="33"/>
      <w:szCs w:val="33"/>
      <w:u w:val="none"/>
      <w:lang w:val="zh-CN"/>
    </w:rPr>
  </w:style>
  <w:style w:type="character" w:customStyle="1" w:styleId="190">
    <w:name w:val="正文文本首行缩进 字符"/>
    <w:basedOn w:val="191"/>
    <w:link w:val="37"/>
    <w:qFormat/>
    <w:uiPriority w:val="0"/>
    <w:rPr>
      <w:rFonts w:ascii="Times New Roman" w:hAnsi="Times New Roman" w:eastAsia="宋体" w:cs="Times New Roman"/>
      <w:szCs w:val="24"/>
    </w:rPr>
  </w:style>
  <w:style w:type="character" w:customStyle="1" w:styleId="191">
    <w:name w:val="正文文本 Char1"/>
    <w:qFormat/>
    <w:uiPriority w:val="0"/>
    <w:rPr>
      <w:rFonts w:ascii="Times New Roman" w:hAnsi="Times New Roman" w:eastAsia="宋体" w:cs="Times New Roman"/>
      <w:szCs w:val="24"/>
    </w:rPr>
  </w:style>
  <w:style w:type="character" w:customStyle="1" w:styleId="192">
    <w:name w:val="unnamed1"/>
    <w:qFormat/>
    <w:uiPriority w:val="0"/>
  </w:style>
  <w:style w:type="character" w:customStyle="1" w:styleId="193">
    <w:name w:val="标题2 Char Char"/>
    <w:link w:val="55"/>
    <w:qFormat/>
    <w:uiPriority w:val="0"/>
    <w:rPr>
      <w:rFonts w:ascii="黑体" w:hAnsi="黑体" w:eastAsia="黑体"/>
      <w:b/>
      <w:bCs/>
      <w:sz w:val="28"/>
      <w:szCs w:val="32"/>
    </w:rPr>
  </w:style>
  <w:style w:type="character" w:customStyle="1" w:styleId="194">
    <w:name w:val="标题 #7 + 间距 2 pt"/>
    <w:qFormat/>
    <w:uiPriority w:val="0"/>
    <w:rPr>
      <w:rFonts w:ascii="Arial Unicode MS" w:hAnsi="Arial Unicode MS" w:eastAsia="Arial Unicode MS"/>
      <w:color w:val="000000"/>
      <w:spacing w:val="40"/>
      <w:w w:val="100"/>
      <w:position w:val="0"/>
      <w:lang w:val="zh-CN" w:bidi="ar-SA"/>
    </w:rPr>
  </w:style>
  <w:style w:type="character" w:customStyle="1" w:styleId="195">
    <w:name w:val="Char Char9"/>
    <w:qFormat/>
    <w:uiPriority w:val="0"/>
    <w:rPr>
      <w:rFonts w:ascii="黑体" w:hAnsi="宋体" w:eastAsia="黑体"/>
      <w:bCs/>
      <w:kern w:val="2"/>
      <w:sz w:val="28"/>
      <w:szCs w:val="28"/>
      <w:lang w:val="en-US" w:eastAsia="zh-CN" w:bidi="ar-SA"/>
    </w:rPr>
  </w:style>
  <w:style w:type="character" w:customStyle="1" w:styleId="196">
    <w:name w:val="正 文 1 Char Char"/>
    <w:qFormat/>
    <w:uiPriority w:val="0"/>
    <w:rPr>
      <w:rFonts w:ascii="宋体" w:hAnsi="Courier New" w:eastAsia="宋体"/>
      <w:kern w:val="2"/>
      <w:sz w:val="21"/>
      <w:szCs w:val="24"/>
      <w:lang w:val="en-US" w:eastAsia="zh-CN" w:bidi="ar-SA"/>
    </w:rPr>
  </w:style>
  <w:style w:type="character" w:customStyle="1" w:styleId="197">
    <w:name w:val="apple-style-span"/>
    <w:qFormat/>
    <w:uiPriority w:val="0"/>
    <w:rPr>
      <w:rFonts w:eastAsia="宋体"/>
      <w:kern w:val="2"/>
      <w:sz w:val="24"/>
      <w:szCs w:val="24"/>
      <w:lang w:val="en-US" w:eastAsia="zh-CN" w:bidi="ar-SA"/>
    </w:rPr>
  </w:style>
  <w:style w:type="character" w:customStyle="1" w:styleId="198">
    <w:name w:val="不明显强调1"/>
    <w:qFormat/>
    <w:uiPriority w:val="0"/>
    <w:rPr>
      <w:i/>
      <w:iCs/>
      <w:color w:val="808080"/>
    </w:rPr>
  </w:style>
  <w:style w:type="character" w:customStyle="1" w:styleId="199">
    <w:name w:val="页眉 Char1"/>
    <w:qFormat/>
    <w:uiPriority w:val="0"/>
    <w:rPr>
      <w:rFonts w:ascii="Times New Roman" w:hAnsi="Times New Roman" w:eastAsia="宋体" w:cs="Times New Roman"/>
      <w:sz w:val="18"/>
      <w:szCs w:val="18"/>
    </w:rPr>
  </w:style>
  <w:style w:type="character" w:customStyle="1" w:styleId="200">
    <w:name w:val="style31"/>
    <w:qFormat/>
    <w:uiPriority w:val="0"/>
    <w:rPr>
      <w:color w:val="000000"/>
    </w:rPr>
  </w:style>
  <w:style w:type="character" w:customStyle="1" w:styleId="201">
    <w:name w:val="unnamed31"/>
    <w:qFormat/>
    <w:uiPriority w:val="0"/>
    <w:rPr>
      <w:rFonts w:hint="eastAsia" w:ascii="幼圆" w:eastAsia="幼圆"/>
      <w:spacing w:val="300"/>
      <w:sz w:val="21"/>
      <w:szCs w:val="21"/>
    </w:rPr>
  </w:style>
  <w:style w:type="character" w:customStyle="1" w:styleId="202">
    <w:name w:val="Comment Text Char"/>
    <w:qFormat/>
    <w:uiPriority w:val="0"/>
    <w:rPr>
      <w:sz w:val="24"/>
    </w:rPr>
  </w:style>
  <w:style w:type="character" w:customStyle="1" w:styleId="203">
    <w:name w:val="尾注文本 Char1"/>
    <w:qFormat/>
    <w:uiPriority w:val="0"/>
    <w:rPr>
      <w:kern w:val="2"/>
      <w:sz w:val="21"/>
    </w:rPr>
  </w:style>
  <w:style w:type="character" w:customStyle="1" w:styleId="204">
    <w:name w:val="标题 #2_"/>
    <w:link w:val="75"/>
    <w:qFormat/>
    <w:uiPriority w:val="0"/>
    <w:rPr>
      <w:rFonts w:ascii="MingLiU" w:hAnsi="MingLiU" w:eastAsia="MingLiU"/>
      <w:sz w:val="36"/>
      <w:szCs w:val="36"/>
      <w:shd w:val="clear" w:color="auto" w:fill="FFFFFF"/>
    </w:rPr>
  </w:style>
  <w:style w:type="character" w:customStyle="1" w:styleId="205">
    <w:name w:val="日期 字符"/>
    <w:link w:val="20"/>
    <w:qFormat/>
    <w:uiPriority w:val="99"/>
    <w:rPr>
      <w:sz w:val="24"/>
    </w:rPr>
  </w:style>
  <w:style w:type="character" w:customStyle="1" w:styleId="206">
    <w:name w:val="HTML 预设格式 字符"/>
    <w:link w:val="32"/>
    <w:qFormat/>
    <w:uiPriority w:val="0"/>
    <w:rPr>
      <w:rFonts w:ascii="Courier New" w:hAnsi="Courier New" w:cs="Courier New"/>
    </w:rPr>
  </w:style>
  <w:style w:type="character" w:customStyle="1" w:styleId="207">
    <w:name w:val="point_normal1"/>
    <w:qFormat/>
    <w:uiPriority w:val="0"/>
    <w:rPr>
      <w:rFonts w:hint="default" w:ascii="Arial" w:hAnsi="Arial" w:cs="Arial"/>
      <w:sz w:val="24"/>
      <w:szCs w:val="24"/>
    </w:rPr>
  </w:style>
  <w:style w:type="character" w:customStyle="1" w:styleId="208">
    <w:name w:val="标题 1 字符"/>
    <w:link w:val="3"/>
    <w:qFormat/>
    <w:uiPriority w:val="0"/>
    <w:rPr>
      <w:rFonts w:ascii="Times New Roman" w:hAnsi="Times New Roman" w:eastAsia="宋体" w:cs="Times New Roman"/>
      <w:b/>
      <w:bCs/>
      <w:kern w:val="44"/>
      <w:sz w:val="44"/>
      <w:szCs w:val="44"/>
    </w:rPr>
  </w:style>
  <w:style w:type="character" w:customStyle="1" w:styleId="209">
    <w:name w:val="标题 #3 + MS Mincho"/>
    <w:qFormat/>
    <w:uiPriority w:val="0"/>
    <w:rPr>
      <w:rFonts w:ascii="MS Mincho" w:hAnsi="MS Mincho" w:eastAsia="MS Mincho" w:cs="MS Mincho"/>
      <w:color w:val="000000"/>
      <w:spacing w:val="0"/>
      <w:w w:val="100"/>
      <w:position w:val="0"/>
      <w:sz w:val="31"/>
      <w:szCs w:val="31"/>
      <w:lang w:bidi="ar-SA"/>
    </w:rPr>
  </w:style>
  <w:style w:type="character" w:customStyle="1" w:styleId="210">
    <w:name w:val="WW8Num1z0"/>
    <w:qFormat/>
    <w:uiPriority w:val="0"/>
    <w:rPr>
      <w:sz w:val="24"/>
    </w:rPr>
  </w:style>
  <w:style w:type="character" w:customStyle="1" w:styleId="211">
    <w:name w:val="批注框文本 字符"/>
    <w:link w:val="23"/>
    <w:qFormat/>
    <w:uiPriority w:val="0"/>
    <w:rPr>
      <w:sz w:val="18"/>
      <w:szCs w:val="18"/>
    </w:rPr>
  </w:style>
  <w:style w:type="character" w:customStyle="1" w:styleId="212">
    <w:name w:val="项目符号1 Char Char"/>
    <w:link w:val="86"/>
    <w:qFormat/>
    <w:uiPriority w:val="0"/>
    <w:rPr>
      <w:rFonts w:ascii="宋体" w:hAnsi="宋体"/>
      <w:kern w:val="2"/>
      <w:sz w:val="26"/>
      <w:szCs w:val="24"/>
    </w:rPr>
  </w:style>
  <w:style w:type="character" w:customStyle="1" w:styleId="213">
    <w:name w:val="正文文本_"/>
    <w:link w:val="92"/>
    <w:qFormat/>
    <w:uiPriority w:val="0"/>
    <w:rPr>
      <w:rFonts w:ascii="Arial Unicode MS" w:hAnsi="Arial Unicode MS" w:eastAsia="Arial Unicode MS"/>
      <w:shd w:val="clear" w:color="auto" w:fill="FFFFFF"/>
    </w:rPr>
  </w:style>
  <w:style w:type="character" w:customStyle="1" w:styleId="214">
    <w:name w:val="批注主题 Char2"/>
    <w:qFormat/>
    <w:uiPriority w:val="0"/>
    <w:rPr>
      <w:rFonts w:ascii="Times New Roman" w:hAnsi="Times New Roman" w:eastAsia="宋体" w:cs="Times New Roman"/>
      <w:b/>
      <w:bCs/>
      <w:szCs w:val="24"/>
    </w:rPr>
  </w:style>
  <w:style w:type="character" w:customStyle="1" w:styleId="215">
    <w:name w:val="日期 Char1"/>
    <w:qFormat/>
    <w:uiPriority w:val="0"/>
    <w:rPr>
      <w:rFonts w:ascii="Times New Roman" w:hAnsi="Times New Roman" w:eastAsia="宋体" w:cs="Times New Roman"/>
      <w:szCs w:val="24"/>
    </w:rPr>
  </w:style>
  <w:style w:type="character" w:customStyle="1" w:styleId="216">
    <w:name w:val="正文文本缩进 Char"/>
    <w:qFormat/>
    <w:uiPriority w:val="0"/>
    <w:rPr>
      <w:kern w:val="2"/>
      <w:sz w:val="21"/>
    </w:rPr>
  </w:style>
  <w:style w:type="character" w:customStyle="1" w:styleId="217">
    <w:name w:val="+正文 Char Char"/>
    <w:qFormat/>
    <w:uiPriority w:val="0"/>
    <w:rPr>
      <w:rFonts w:eastAsia="宋体"/>
      <w:kern w:val="2"/>
      <w:sz w:val="24"/>
      <w:szCs w:val="28"/>
      <w:lang w:val="en-US" w:eastAsia="zh-CN" w:bidi="ar-SA"/>
    </w:rPr>
  </w:style>
  <w:style w:type="character" w:customStyle="1" w:styleId="218">
    <w:name w:val="批注文字 字符"/>
    <w:link w:val="14"/>
    <w:qFormat/>
    <w:uiPriority w:val="0"/>
    <w:rPr>
      <w:kern w:val="2"/>
      <w:sz w:val="21"/>
      <w:szCs w:val="24"/>
    </w:rPr>
  </w:style>
  <w:style w:type="character" w:customStyle="1" w:styleId="219">
    <w:name w:val="文档结构图 Char1"/>
    <w:qFormat/>
    <w:uiPriority w:val="0"/>
    <w:rPr>
      <w:rFonts w:ascii="宋体" w:hAnsi="Times New Roman" w:eastAsia="宋体" w:cs="Times New Roman"/>
      <w:sz w:val="18"/>
      <w:szCs w:val="18"/>
    </w:rPr>
  </w:style>
  <w:style w:type="character" w:customStyle="1" w:styleId="220">
    <w:name w:val="正文文本 Char2"/>
    <w:qFormat/>
    <w:uiPriority w:val="0"/>
    <w:rPr>
      <w:rFonts w:ascii="Times New Roman" w:hAnsi="Times New Roman" w:eastAsia="宋体" w:cs="Times New Roman"/>
      <w:szCs w:val="24"/>
    </w:rPr>
  </w:style>
  <w:style w:type="character" w:customStyle="1" w:styleId="221">
    <w:name w:val="正文文本 (7)_"/>
    <w:link w:val="93"/>
    <w:qFormat/>
    <w:uiPriority w:val="0"/>
    <w:rPr>
      <w:rFonts w:ascii="宋体" w:hAnsi="宋体"/>
      <w:b/>
      <w:bCs/>
      <w:szCs w:val="21"/>
      <w:shd w:val="clear" w:color="auto" w:fill="FFFFFF"/>
    </w:rPr>
  </w:style>
  <w:style w:type="character" w:customStyle="1" w:styleId="222">
    <w:name w:val="正文文本 3 Char1"/>
    <w:qFormat/>
    <w:uiPriority w:val="0"/>
    <w:rPr>
      <w:rFonts w:ascii="Times New Roman" w:hAnsi="Times New Roman" w:eastAsia="宋体" w:cs="Times New Roman"/>
      <w:sz w:val="16"/>
      <w:szCs w:val="16"/>
    </w:rPr>
  </w:style>
  <w:style w:type="character" w:customStyle="1" w:styleId="223">
    <w:name w:val="标题 7 字符"/>
    <w:link w:val="8"/>
    <w:qFormat/>
    <w:uiPriority w:val="0"/>
    <w:rPr>
      <w:rFonts w:ascii="Times New Roman" w:hAnsi="Times New Roman" w:eastAsia="宋体" w:cs="Times New Roman"/>
      <w:b/>
      <w:bCs/>
      <w:kern w:val="0"/>
      <w:sz w:val="24"/>
      <w:szCs w:val="24"/>
    </w:rPr>
  </w:style>
  <w:style w:type="character" w:customStyle="1" w:styleId="224">
    <w:name w:val="标题 #3 + SimSun"/>
    <w:qFormat/>
    <w:uiPriority w:val="0"/>
    <w:rPr>
      <w:rFonts w:ascii="宋体" w:hAnsi="宋体" w:eastAsia="宋体" w:cs="宋体"/>
      <w:color w:val="000000"/>
      <w:spacing w:val="0"/>
      <w:w w:val="100"/>
      <w:position w:val="0"/>
      <w:sz w:val="32"/>
      <w:szCs w:val="32"/>
      <w:lang w:bidi="ar-SA"/>
    </w:rPr>
  </w:style>
  <w:style w:type="character" w:customStyle="1" w:styleId="225">
    <w:name w:val="文档结构图 字符"/>
    <w:link w:val="13"/>
    <w:qFormat/>
    <w:uiPriority w:val="0"/>
    <w:rPr>
      <w:rFonts w:eastAsia="宋体"/>
      <w:szCs w:val="24"/>
      <w:shd w:val="clear" w:color="auto" w:fill="000080"/>
    </w:rPr>
  </w:style>
  <w:style w:type="character" w:customStyle="1" w:styleId="226">
    <w:name w:val="标题 #4 (2) + 10.5 pt"/>
    <w:qFormat/>
    <w:uiPriority w:val="0"/>
    <w:rPr>
      <w:rFonts w:ascii="宋体" w:hAnsi="宋体" w:eastAsia="宋体"/>
      <w:b/>
      <w:bCs/>
      <w:color w:val="000000"/>
      <w:spacing w:val="0"/>
      <w:w w:val="100"/>
      <w:position w:val="0"/>
      <w:sz w:val="21"/>
      <w:szCs w:val="21"/>
      <w:u w:val="single"/>
      <w:lang w:val="zh-CN" w:bidi="ar-SA"/>
    </w:rPr>
  </w:style>
  <w:style w:type="character" w:customStyle="1" w:styleId="227">
    <w:name w:val="尾注文本 Char2"/>
    <w:qFormat/>
    <w:uiPriority w:val="0"/>
    <w:rPr>
      <w:rFonts w:ascii="Times New Roman" w:hAnsi="Times New Roman" w:eastAsia="宋体" w:cs="Times New Roman"/>
      <w:szCs w:val="24"/>
    </w:rPr>
  </w:style>
  <w:style w:type="character" w:customStyle="1" w:styleId="228">
    <w:name w:val="纯文本 Char1"/>
    <w:qFormat/>
    <w:uiPriority w:val="0"/>
    <w:rPr>
      <w:rFonts w:ascii="宋体" w:hAnsi="Courier New" w:cs="Courier New"/>
      <w:kern w:val="2"/>
      <w:sz w:val="21"/>
      <w:szCs w:val="21"/>
    </w:rPr>
  </w:style>
  <w:style w:type="character" w:customStyle="1" w:styleId="229">
    <w:name w:val="font161"/>
    <w:qFormat/>
    <w:uiPriority w:val="0"/>
    <w:rPr>
      <w:b/>
      <w:bCs/>
      <w:sz w:val="32"/>
      <w:szCs w:val="32"/>
    </w:rPr>
  </w:style>
  <w:style w:type="character" w:customStyle="1" w:styleId="230">
    <w:name w:val="列表2 Char Char"/>
    <w:link w:val="81"/>
    <w:qFormat/>
    <w:uiPriority w:val="0"/>
    <w:rPr>
      <w:rFonts w:ascii="宋体" w:hAnsi="宋体"/>
      <w:kern w:val="2"/>
      <w:sz w:val="26"/>
      <w:szCs w:val="24"/>
    </w:rPr>
  </w:style>
  <w:style w:type="character" w:customStyle="1" w:styleId="231">
    <w:name w:val="Char Char24"/>
    <w:qFormat/>
    <w:uiPriority w:val="0"/>
    <w:rPr>
      <w:rFonts w:ascii="黑体" w:hAnsi="宋体" w:eastAsia="黑体" w:cs="Times New Roman"/>
      <w:bCs/>
      <w:sz w:val="28"/>
      <w:szCs w:val="28"/>
    </w:rPr>
  </w:style>
  <w:style w:type="character" w:customStyle="1" w:styleId="232">
    <w:name w:val="标题3 Char Char"/>
    <w:link w:val="82"/>
    <w:qFormat/>
    <w:uiPriority w:val="0"/>
    <w:rPr>
      <w:rFonts w:ascii="黑体" w:hAnsi="黑体" w:eastAsia="黑体"/>
      <w:b/>
      <w:bCs/>
      <w:sz w:val="26"/>
      <w:szCs w:val="32"/>
    </w:rPr>
  </w:style>
  <w:style w:type="character" w:customStyle="1" w:styleId="233">
    <w:name w:val="标题 Char2"/>
    <w:qFormat/>
    <w:uiPriority w:val="0"/>
    <w:rPr>
      <w:rFonts w:ascii="Arial" w:hAnsi="Arial" w:eastAsia="宋体" w:cs="Times New Roman"/>
      <w:b/>
      <w:kern w:val="2"/>
      <w:sz w:val="44"/>
      <w:lang w:val="en-US" w:eastAsia="zh-CN" w:bidi="ar-SA"/>
    </w:rPr>
  </w:style>
  <w:style w:type="character" w:customStyle="1" w:styleId="234">
    <w:name w:val="正文文本 + SimSun"/>
    <w:qFormat/>
    <w:uiPriority w:val="0"/>
    <w:rPr>
      <w:rFonts w:ascii="宋体" w:hAnsi="宋体" w:eastAsia="宋体" w:cs="宋体"/>
      <w:color w:val="000000"/>
      <w:spacing w:val="0"/>
      <w:w w:val="100"/>
      <w:position w:val="0"/>
      <w:sz w:val="20"/>
      <w:szCs w:val="20"/>
      <w:u w:val="none"/>
      <w:lang w:val="en-US" w:bidi="ar-SA"/>
    </w:rPr>
  </w:style>
  <w:style w:type="character" w:customStyle="1" w:styleId="235">
    <w:name w:val="Char Char Char"/>
    <w:qFormat/>
    <w:uiPriority w:val="0"/>
    <w:rPr>
      <w:rFonts w:hint="eastAsia" w:ascii="楷体_GB2312" w:eastAsia="楷体_GB2312"/>
      <w:b/>
      <w:kern w:val="2"/>
      <w:sz w:val="21"/>
    </w:rPr>
  </w:style>
  <w:style w:type="character" w:customStyle="1" w:styleId="236">
    <w:name w:val="标题 #7_"/>
    <w:link w:val="100"/>
    <w:qFormat/>
    <w:uiPriority w:val="0"/>
    <w:rPr>
      <w:rFonts w:ascii="Arial Unicode MS" w:hAnsi="Arial Unicode MS" w:eastAsia="Arial Unicode MS"/>
      <w:shd w:val="clear" w:color="auto" w:fill="FFFFFF"/>
    </w:rPr>
  </w:style>
  <w:style w:type="character" w:customStyle="1" w:styleId="237">
    <w:name w:val="标题 8 字符"/>
    <w:link w:val="9"/>
    <w:qFormat/>
    <w:uiPriority w:val="0"/>
    <w:rPr>
      <w:rFonts w:ascii="Arial" w:hAnsi="Arial" w:eastAsia="黑体" w:cs="Times New Roman"/>
      <w:kern w:val="0"/>
      <w:sz w:val="24"/>
      <w:szCs w:val="24"/>
    </w:rPr>
  </w:style>
  <w:style w:type="character" w:customStyle="1" w:styleId="238">
    <w:name w:val="标题 #4_"/>
    <w:link w:val="101"/>
    <w:qFormat/>
    <w:uiPriority w:val="0"/>
    <w:rPr>
      <w:rFonts w:ascii="黑体" w:hAnsi="黑体" w:eastAsia="黑体"/>
      <w:spacing w:val="40"/>
      <w:sz w:val="28"/>
      <w:szCs w:val="28"/>
      <w:shd w:val="clear" w:color="auto" w:fill="FFFFFF"/>
    </w:rPr>
  </w:style>
  <w:style w:type="character" w:customStyle="1" w:styleId="239">
    <w:name w:val="unnamed21"/>
    <w:qFormat/>
    <w:uiPriority w:val="0"/>
    <w:rPr>
      <w:rFonts w:hint="eastAsia" w:ascii="宋体" w:hAnsi="宋体" w:eastAsia="宋体"/>
      <w:spacing w:val="420"/>
      <w:sz w:val="24"/>
      <w:szCs w:val="24"/>
    </w:rPr>
  </w:style>
  <w:style w:type="character" w:customStyle="1" w:styleId="240">
    <w:name w:val="正文文本缩进 2 字符"/>
    <w:link w:val="21"/>
    <w:qFormat/>
    <w:uiPriority w:val="0"/>
    <w:rPr>
      <w:szCs w:val="24"/>
    </w:rPr>
  </w:style>
  <w:style w:type="character" w:customStyle="1" w:styleId="241">
    <w:name w:val="！正文（四号字） Char Char"/>
    <w:link w:val="84"/>
    <w:qFormat/>
    <w:uiPriority w:val="0"/>
    <w:rPr>
      <w:rFonts w:eastAsia="Times New Roman"/>
      <w:kern w:val="2"/>
      <w:sz w:val="24"/>
      <w:szCs w:val="28"/>
      <w:lang w:val="en-US" w:eastAsia="zh-CN" w:bidi="ar-SA"/>
    </w:rPr>
  </w:style>
  <w:style w:type="character" w:customStyle="1" w:styleId="242">
    <w:name w:val="标题 1 Char2"/>
    <w:qFormat/>
    <w:uiPriority w:val="0"/>
    <w:rPr>
      <w:rFonts w:ascii="Arial" w:hAnsi="Arial" w:eastAsia="宋体" w:cs="Times New Roman"/>
      <w:b/>
      <w:bCs/>
      <w:kern w:val="44"/>
      <w:sz w:val="36"/>
      <w:szCs w:val="36"/>
      <w:lang w:val="en-US" w:eastAsia="zh-CN" w:bidi="ar-SA"/>
    </w:rPr>
  </w:style>
  <w:style w:type="character" w:customStyle="1" w:styleId="243">
    <w:name w:val="分条 Char Char"/>
    <w:link w:val="98"/>
    <w:qFormat/>
    <w:uiPriority w:val="0"/>
    <w:rPr>
      <w:rFonts w:ascii="Times New Roman" w:hAnsi="Times New Roman"/>
      <w:sz w:val="24"/>
    </w:rPr>
  </w:style>
  <w:style w:type="character" w:customStyle="1" w:styleId="244">
    <w:name w:val="v151"/>
    <w:qFormat/>
    <w:uiPriority w:val="0"/>
    <w:rPr>
      <w:spacing w:val="280"/>
      <w:sz w:val="18"/>
      <w:szCs w:val="18"/>
    </w:rPr>
  </w:style>
  <w:style w:type="character" w:customStyle="1" w:styleId="245">
    <w:name w:val="正文文本缩进 3 字符"/>
    <w:link w:val="29"/>
    <w:qFormat/>
    <w:uiPriority w:val="0"/>
    <w:rPr>
      <w:sz w:val="16"/>
      <w:szCs w:val="16"/>
    </w:rPr>
  </w:style>
  <w:style w:type="character" w:customStyle="1" w:styleId="246">
    <w:name w:val="访问过的超链接1"/>
    <w:qFormat/>
    <w:uiPriority w:val="0"/>
    <w:rPr>
      <w:color w:val="800080"/>
      <w:u w:val="single"/>
    </w:rPr>
  </w:style>
  <w:style w:type="character" w:customStyle="1" w:styleId="247">
    <w:name w:val="批注主题 Char1"/>
    <w:qFormat/>
    <w:uiPriority w:val="0"/>
    <w:rPr>
      <w:rFonts w:ascii="Times New Roman" w:hAnsi="Times New Roman" w:eastAsia="宋体" w:cs="Times New Roman"/>
      <w:b/>
      <w:bCs/>
      <w:szCs w:val="24"/>
    </w:rPr>
  </w:style>
  <w:style w:type="character" w:customStyle="1" w:styleId="248">
    <w:name w:val="标题 2 字符"/>
    <w:link w:val="2"/>
    <w:qFormat/>
    <w:uiPriority w:val="0"/>
    <w:rPr>
      <w:rFonts w:ascii="Times New Roman" w:hAnsi="Times New Roman"/>
      <w:b/>
      <w:kern w:val="2"/>
      <w:sz w:val="21"/>
      <w:szCs w:val="21"/>
    </w:rPr>
  </w:style>
  <w:style w:type="character" w:customStyle="1" w:styleId="249">
    <w:name w:val="Char Char10"/>
    <w:qFormat/>
    <w:uiPriority w:val="0"/>
    <w:rPr>
      <w:rFonts w:ascii="Arial" w:hAnsi="Arial" w:eastAsia="黑体"/>
      <w:b/>
      <w:bCs/>
      <w:kern w:val="2"/>
      <w:sz w:val="32"/>
      <w:szCs w:val="32"/>
      <w:lang w:val="en-US" w:eastAsia="zh-CN" w:bidi="ar-SA"/>
    </w:rPr>
  </w:style>
  <w:style w:type="character" w:customStyle="1" w:styleId="250">
    <w:name w:val="段落样式 Char Char"/>
    <w:link w:val="72"/>
    <w:qFormat/>
    <w:uiPriority w:val="0"/>
    <w:rPr>
      <w:rFonts w:ascii="Times New Roman" w:hAnsi="Times New Roman"/>
      <w:sz w:val="24"/>
    </w:rPr>
  </w:style>
  <w:style w:type="character" w:customStyle="1" w:styleId="251">
    <w:name w:val="标题 Char3"/>
    <w:qFormat/>
    <w:uiPriority w:val="0"/>
    <w:rPr>
      <w:rFonts w:ascii="Cambria" w:hAnsi="Cambria" w:eastAsia="宋体" w:cs="Times New Roman"/>
      <w:b/>
      <w:bCs/>
      <w:sz w:val="32"/>
      <w:szCs w:val="32"/>
    </w:rPr>
  </w:style>
  <w:style w:type="character" w:customStyle="1" w:styleId="252">
    <w:name w:val="标题 2 Char1"/>
    <w:qFormat/>
    <w:uiPriority w:val="0"/>
    <w:rPr>
      <w:rFonts w:ascii="Arial" w:hAnsi="Arial" w:eastAsia="黑体"/>
      <w:b/>
      <w:bCs/>
      <w:kern w:val="2"/>
      <w:sz w:val="32"/>
      <w:szCs w:val="32"/>
      <w:lang w:val="en-US" w:eastAsia="zh-CN" w:bidi="ar-SA"/>
    </w:rPr>
  </w:style>
  <w:style w:type="character" w:customStyle="1" w:styleId="253">
    <w:name w:val="页脚 字符"/>
    <w:link w:val="24"/>
    <w:qFormat/>
    <w:uiPriority w:val="0"/>
    <w:rPr>
      <w:rFonts w:eastAsia="宋体"/>
      <w:sz w:val="18"/>
      <w:szCs w:val="18"/>
    </w:rPr>
  </w:style>
  <w:style w:type="character" w:customStyle="1" w:styleId="254">
    <w:name w:val="正文文本 3 字符"/>
    <w:link w:val="15"/>
    <w:qFormat/>
    <w:uiPriority w:val="0"/>
    <w:rPr>
      <w:rFonts w:ascii="宋体"/>
      <w:sz w:val="24"/>
    </w:rPr>
  </w:style>
  <w:style w:type="character" w:customStyle="1" w:styleId="255">
    <w:name w:val="批注文字 Char2"/>
    <w:qFormat/>
    <w:uiPriority w:val="0"/>
    <w:rPr>
      <w:rFonts w:ascii="Times New Roman" w:hAnsi="Times New Roman" w:eastAsia="宋体" w:cs="Times New Roman"/>
      <w:szCs w:val="24"/>
    </w:rPr>
  </w:style>
  <w:style w:type="character" w:customStyle="1" w:styleId="256">
    <w:name w:val="页眉 字符"/>
    <w:link w:val="25"/>
    <w:qFormat/>
    <w:uiPriority w:val="0"/>
    <w:rPr>
      <w:rFonts w:eastAsia="宋体"/>
      <w:sz w:val="18"/>
      <w:szCs w:val="18"/>
    </w:rPr>
  </w:style>
  <w:style w:type="character" w:customStyle="1" w:styleId="257">
    <w:name w:val="Char Char1"/>
    <w:qFormat/>
    <w:uiPriority w:val="0"/>
    <w:rPr>
      <w:rFonts w:ascii="楷体_GB2312" w:eastAsia="楷体_GB2312"/>
      <w:sz w:val="28"/>
      <w:lang w:val="en-US" w:eastAsia="zh-CN" w:bidi="ar-SA"/>
    </w:rPr>
  </w:style>
  <w:style w:type="character" w:customStyle="1" w:styleId="258">
    <w:name w:val="表格标题 + SimSun"/>
    <w:qFormat/>
    <w:uiPriority w:val="0"/>
    <w:rPr>
      <w:rFonts w:ascii="宋体" w:hAnsi="宋体" w:eastAsia="宋体" w:cs="宋体"/>
      <w:color w:val="000000"/>
      <w:spacing w:val="0"/>
      <w:w w:val="100"/>
      <w:position w:val="0"/>
      <w:sz w:val="20"/>
      <w:szCs w:val="20"/>
      <w:u w:val="single"/>
      <w:lang w:val="en-US" w:bidi="ar-SA"/>
    </w:rPr>
  </w:style>
  <w:style w:type="character" w:customStyle="1" w:styleId="259">
    <w:name w:val="WW8Num4z0"/>
    <w:qFormat/>
    <w:uiPriority w:val="0"/>
    <w:rPr>
      <w:rFonts w:hint="default" w:ascii="Courier New" w:hAnsi="Courier New" w:cs="Courier New"/>
      <w:sz w:val="22"/>
    </w:rPr>
  </w:style>
  <w:style w:type="character" w:customStyle="1" w:styleId="260">
    <w:name w:val="Char Char11"/>
    <w:qFormat/>
    <w:uiPriority w:val="0"/>
    <w:rPr>
      <w:rFonts w:eastAsia="宋体"/>
      <w:b/>
      <w:bCs/>
      <w:kern w:val="44"/>
      <w:sz w:val="44"/>
      <w:szCs w:val="44"/>
      <w:lang w:val="en-US" w:eastAsia="zh-CN" w:bidi="ar-SA"/>
    </w:rPr>
  </w:style>
  <w:style w:type="character" w:customStyle="1" w:styleId="261">
    <w:name w:val="WW8Num3z0"/>
    <w:qFormat/>
    <w:uiPriority w:val="0"/>
    <w:rPr>
      <w:sz w:val="24"/>
      <w:szCs w:val="24"/>
    </w:rPr>
  </w:style>
  <w:style w:type="character" w:customStyle="1" w:styleId="262">
    <w:name w:val="脚注文本 字符"/>
    <w:link w:val="28"/>
    <w:qFormat/>
    <w:uiPriority w:val="0"/>
    <w:rPr>
      <w:rFonts w:ascii="Times New Roman" w:hAnsi="Times New Roman" w:eastAsia="宋体" w:cs="Times New Roman"/>
      <w:kern w:val="0"/>
      <w:sz w:val="20"/>
      <w:szCs w:val="20"/>
      <w:lang w:val="en-US" w:eastAsia="zh-CN"/>
    </w:rPr>
  </w:style>
  <w:style w:type="character" w:customStyle="1" w:styleId="263">
    <w:name w:val="新条文 Char Char"/>
    <w:link w:val="67"/>
    <w:qFormat/>
    <w:uiPriority w:val="0"/>
    <w:rPr>
      <w:rFonts w:eastAsia="Times New Roman"/>
      <w:kern w:val="2"/>
      <w:sz w:val="24"/>
      <w:szCs w:val="22"/>
      <w:lang w:val="en-US" w:eastAsia="zh-CN" w:bidi="ar-SA"/>
    </w:rPr>
  </w:style>
  <w:style w:type="character" w:customStyle="1" w:styleId="264">
    <w:name w:val="目录 + SimSun"/>
    <w:qFormat/>
    <w:uiPriority w:val="0"/>
    <w:rPr>
      <w:rFonts w:ascii="宋体" w:hAnsi="宋体" w:eastAsia="宋体" w:cs="宋体"/>
      <w:color w:val="000000"/>
      <w:spacing w:val="0"/>
      <w:w w:val="100"/>
      <w:position w:val="0"/>
      <w:sz w:val="20"/>
      <w:szCs w:val="20"/>
      <w:u w:val="none"/>
      <w:lang w:val="zh-CN"/>
    </w:rPr>
  </w:style>
  <w:style w:type="character" w:customStyle="1" w:styleId="265">
    <w:name w:val="无间隔 Char"/>
    <w:link w:val="66"/>
    <w:qFormat/>
    <w:uiPriority w:val="1"/>
    <w:rPr>
      <w:sz w:val="22"/>
      <w:szCs w:val="22"/>
      <w:lang w:val="en-US" w:eastAsia="zh-CN" w:bidi="ar-SA"/>
    </w:rPr>
  </w:style>
  <w:style w:type="character" w:customStyle="1" w:styleId="266">
    <w:name w:val="Char Char25"/>
    <w:qFormat/>
    <w:uiPriority w:val="0"/>
    <w:rPr>
      <w:rFonts w:ascii="Arial" w:hAnsi="Arial" w:eastAsia="黑体" w:cs="Times New Roman"/>
      <w:b/>
      <w:bCs/>
      <w:sz w:val="32"/>
      <w:szCs w:val="32"/>
    </w:rPr>
  </w:style>
  <w:style w:type="character" w:customStyle="1" w:styleId="267">
    <w:name w:val="正文文本缩进 3 Char1"/>
    <w:qFormat/>
    <w:uiPriority w:val="0"/>
    <w:rPr>
      <w:rFonts w:ascii="Times New Roman" w:hAnsi="Times New Roman" w:eastAsia="宋体" w:cs="Times New Roman"/>
      <w:sz w:val="16"/>
      <w:szCs w:val="16"/>
    </w:rPr>
  </w:style>
  <w:style w:type="character" w:customStyle="1" w:styleId="268">
    <w:name w:val="页脚 Char1"/>
    <w:qFormat/>
    <w:uiPriority w:val="0"/>
    <w:rPr>
      <w:rFonts w:ascii="Times New Roman" w:hAnsi="Times New Roman" w:eastAsia="宋体" w:cs="Times New Roman"/>
      <w:sz w:val="18"/>
      <w:szCs w:val="18"/>
    </w:rPr>
  </w:style>
  <w:style w:type="character" w:customStyle="1" w:styleId="269">
    <w:name w:val="正文文本 + 间距 -1 pt"/>
    <w:qFormat/>
    <w:uiPriority w:val="0"/>
    <w:rPr>
      <w:rFonts w:ascii="MingLiU" w:hAnsi="MingLiU" w:eastAsia="MingLiU" w:cs="MingLiU"/>
      <w:color w:val="000000"/>
      <w:spacing w:val="-20"/>
      <w:w w:val="100"/>
      <w:position w:val="0"/>
      <w:sz w:val="28"/>
      <w:szCs w:val="28"/>
      <w:u w:val="none"/>
      <w:lang w:val="en-US" w:bidi="ar-SA"/>
    </w:rPr>
  </w:style>
  <w:style w:type="character" w:customStyle="1" w:styleId="270">
    <w:name w:val="公式 Char Char"/>
    <w:link w:val="51"/>
    <w:qFormat/>
    <w:uiPriority w:val="0"/>
    <w:rPr>
      <w:rFonts w:ascii="Times New Roman" w:hAnsi="Times New Roman"/>
      <w:sz w:val="24"/>
    </w:rPr>
  </w:style>
  <w:style w:type="character" w:customStyle="1" w:styleId="271">
    <w:name w:val="尾注文本 字符"/>
    <w:link w:val="22"/>
    <w:qFormat/>
    <w:uiPriority w:val="0"/>
    <w:rPr>
      <w:rFonts w:hint="eastAsia" w:ascii="宋体" w:hAnsi="宋体" w:eastAsia="宋体"/>
      <w:kern w:val="2"/>
      <w:sz w:val="21"/>
      <w:szCs w:val="24"/>
      <w:lang w:val="en-US" w:eastAsia="zh-CN" w:bidi="ar-SA"/>
    </w:rPr>
  </w:style>
  <w:style w:type="character" w:customStyle="1" w:styleId="272">
    <w:name w:val="标题 #4 (2)_"/>
    <w:link w:val="69"/>
    <w:qFormat/>
    <w:uiPriority w:val="0"/>
    <w:rPr>
      <w:rFonts w:ascii="宋体" w:hAnsi="宋体"/>
      <w:shd w:val="clear" w:color="auto" w:fill="FFFFFF"/>
    </w:rPr>
  </w:style>
  <w:style w:type="character" w:customStyle="1" w:styleId="273">
    <w:name w:val="正文文本 + 粗体"/>
    <w:qFormat/>
    <w:uiPriority w:val="0"/>
    <w:rPr>
      <w:rFonts w:ascii="Arial Unicode MS" w:hAnsi="Arial Unicode MS" w:eastAsia="Arial Unicode MS"/>
      <w:b/>
      <w:bCs/>
      <w:color w:val="000000"/>
      <w:spacing w:val="0"/>
      <w:w w:val="100"/>
      <w:position w:val="0"/>
      <w:lang w:val="en-US" w:bidi="ar-SA"/>
    </w:rPr>
  </w:style>
  <w:style w:type="character" w:customStyle="1" w:styleId="274">
    <w:name w:val="文档结构图 Char2"/>
    <w:qFormat/>
    <w:uiPriority w:val="0"/>
    <w:rPr>
      <w:rFonts w:ascii="宋体" w:hAnsi="Times New Roman" w:eastAsia="宋体" w:cs="Times New Roman"/>
      <w:sz w:val="18"/>
      <w:szCs w:val="18"/>
    </w:rPr>
  </w:style>
  <w:style w:type="character" w:customStyle="1" w:styleId="275">
    <w:name w:val="specifications1"/>
    <w:qFormat/>
    <w:uiPriority w:val="0"/>
    <w:rPr>
      <w:color w:val="FF3300"/>
      <w:u w:val="none"/>
    </w:rPr>
  </w:style>
  <w:style w:type="character" w:customStyle="1" w:styleId="276">
    <w:name w:val="Char2 Char1"/>
    <w:qFormat/>
    <w:uiPriority w:val="0"/>
    <w:rPr>
      <w:rFonts w:ascii="Arial" w:hAnsi="Arial" w:eastAsia="黑体"/>
      <w:b/>
      <w:bCs/>
      <w:kern w:val="2"/>
      <w:sz w:val="32"/>
      <w:szCs w:val="32"/>
      <w:lang w:val="en-US" w:eastAsia="zh-CN" w:bidi="ar-SA"/>
    </w:rPr>
  </w:style>
  <w:style w:type="character" w:customStyle="1" w:styleId="277">
    <w:name w:val="目录 (2) + Arial Unicode MS"/>
    <w:qFormat/>
    <w:uiPriority w:val="0"/>
    <w:rPr>
      <w:rFonts w:ascii="Arial Unicode MS" w:hAnsi="Arial Unicode MS" w:eastAsia="Arial Unicode MS" w:cs="Arial Unicode MS"/>
      <w:color w:val="000000"/>
      <w:spacing w:val="0"/>
      <w:w w:val="100"/>
      <w:position w:val="0"/>
      <w:sz w:val="20"/>
      <w:szCs w:val="20"/>
      <w:u w:val="none"/>
      <w:lang w:val="zh-CN"/>
    </w:rPr>
  </w:style>
  <w:style w:type="character" w:customStyle="1" w:styleId="278">
    <w:name w:val="标题 5 字符"/>
    <w:link w:val="6"/>
    <w:qFormat/>
    <w:uiPriority w:val="0"/>
    <w:rPr>
      <w:rFonts w:ascii="Times New Roman" w:hAnsi="Times New Roman" w:eastAsia="宋体" w:cs="Times New Roman"/>
      <w:b/>
      <w:bCs/>
      <w:kern w:val="0"/>
      <w:sz w:val="28"/>
      <w:szCs w:val="28"/>
    </w:rPr>
  </w:style>
  <w:style w:type="character" w:customStyle="1" w:styleId="279">
    <w:name w:val="正文文本 2 Char2"/>
    <w:qFormat/>
    <w:uiPriority w:val="0"/>
    <w:rPr>
      <w:rFonts w:ascii="Times New Roman" w:hAnsi="Times New Roman" w:eastAsia="宋体" w:cs="Times New Roman"/>
      <w:szCs w:val="24"/>
    </w:rPr>
  </w:style>
  <w:style w:type="character" w:customStyle="1" w:styleId="280">
    <w:name w:val="标题 1 Char1"/>
    <w:qFormat/>
    <w:uiPriority w:val="0"/>
    <w:rPr>
      <w:b/>
      <w:bCs/>
      <w:kern w:val="44"/>
      <w:sz w:val="44"/>
      <w:szCs w:val="44"/>
    </w:rPr>
  </w:style>
  <w:style w:type="character" w:customStyle="1" w:styleId="281">
    <w:name w:val="文一 Char Char"/>
    <w:link w:val="62"/>
    <w:qFormat/>
    <w:uiPriority w:val="0"/>
    <w:rPr>
      <w:rFonts w:ascii="Times New Roman" w:hAnsi="Times New Roman" w:eastAsia="宋体" w:cs="Times New Roman"/>
      <w:snapToGrid w:val="0"/>
      <w:spacing w:val="4"/>
      <w:kern w:val="0"/>
      <w:sz w:val="24"/>
      <w:szCs w:val="24"/>
    </w:rPr>
  </w:style>
  <w:style w:type="character" w:customStyle="1" w:styleId="282">
    <w:name w:val="正文1 Char Char"/>
    <w:qFormat/>
    <w:uiPriority w:val="0"/>
    <w:rPr>
      <w:rFonts w:ascii="宋体" w:hAnsi="宋体" w:eastAsia="宋体" w:cs="宋体"/>
      <w:kern w:val="44"/>
      <w:sz w:val="26"/>
      <w:lang w:val="en-US" w:eastAsia="zh-CN" w:bidi="ar-SA"/>
    </w:rPr>
  </w:style>
  <w:style w:type="character" w:customStyle="1" w:styleId="283">
    <w:name w:val="style261"/>
    <w:qFormat/>
    <w:uiPriority w:val="0"/>
    <w:rPr>
      <w:rFonts w:eastAsia="宋体"/>
      <w:kern w:val="2"/>
      <w:sz w:val="20"/>
      <w:szCs w:val="20"/>
      <w:lang w:val="en-US" w:eastAsia="zh-CN" w:bidi="ar-SA"/>
    </w:rPr>
  </w:style>
  <w:style w:type="character" w:customStyle="1" w:styleId="284">
    <w:name w:val="标题 9 字符"/>
    <w:link w:val="10"/>
    <w:qFormat/>
    <w:uiPriority w:val="0"/>
    <w:rPr>
      <w:rFonts w:ascii="Arial" w:hAnsi="Arial" w:eastAsia="黑体" w:cs="Times New Roman"/>
      <w:kern w:val="0"/>
      <w:szCs w:val="21"/>
    </w:rPr>
  </w:style>
  <w:style w:type="character" w:customStyle="1" w:styleId="285">
    <w:name w:val="页眉或页脚 + Arial Unicode MS"/>
    <w:qFormat/>
    <w:uiPriority w:val="0"/>
    <w:rPr>
      <w:rFonts w:ascii="Arial Unicode MS" w:hAnsi="Arial Unicode MS" w:eastAsia="Arial Unicode MS" w:cs="Arial Unicode MS"/>
      <w:color w:val="000000"/>
      <w:spacing w:val="10"/>
      <w:w w:val="100"/>
      <w:position w:val="0"/>
      <w:sz w:val="10"/>
      <w:szCs w:val="10"/>
      <w:u w:val="none"/>
    </w:rPr>
  </w:style>
  <w:style w:type="character" w:customStyle="1" w:styleId="286">
    <w:name w:val="正文文本缩进 字符"/>
    <w:link w:val="17"/>
    <w:qFormat/>
    <w:uiPriority w:val="0"/>
    <w:rPr>
      <w:szCs w:val="24"/>
    </w:rPr>
  </w:style>
  <w:style w:type="character" w:customStyle="1" w:styleId="287">
    <w:name w:val="正文缩进 字符"/>
    <w:link w:val="11"/>
    <w:qFormat/>
    <w:uiPriority w:val="0"/>
    <w:rPr>
      <w:szCs w:val="24"/>
    </w:rPr>
  </w:style>
  <w:style w:type="character" w:customStyle="1" w:styleId="288">
    <w:name w:val="正文文本 + MS Mincho"/>
    <w:qFormat/>
    <w:uiPriority w:val="0"/>
    <w:rPr>
      <w:rFonts w:ascii="MS Mincho" w:hAnsi="MS Mincho" w:eastAsia="MS Mincho" w:cs="MS Mincho"/>
      <w:color w:val="000000"/>
      <w:spacing w:val="0"/>
      <w:w w:val="100"/>
      <w:position w:val="0"/>
      <w:sz w:val="21"/>
      <w:szCs w:val="21"/>
      <w:lang w:val="en-US" w:bidi="ar-SA"/>
    </w:rPr>
  </w:style>
  <w:style w:type="character" w:customStyle="1" w:styleId="289">
    <w:name w:val="正文文本缩进 2 Char1"/>
    <w:qFormat/>
    <w:uiPriority w:val="0"/>
    <w:rPr>
      <w:rFonts w:ascii="Times New Roman" w:hAnsi="Times New Roman" w:eastAsia="宋体" w:cs="Times New Roman"/>
      <w:szCs w:val="24"/>
    </w:rPr>
  </w:style>
  <w:style w:type="character" w:customStyle="1" w:styleId="290">
    <w:name w:val="正文文本 2 Char1"/>
    <w:qFormat/>
    <w:uiPriority w:val="0"/>
    <w:rPr>
      <w:rFonts w:ascii="Times New Roman" w:hAnsi="Times New Roman" w:eastAsia="宋体" w:cs="Times New Roman"/>
      <w:szCs w:val="24"/>
    </w:rPr>
  </w:style>
  <w:style w:type="character" w:customStyle="1" w:styleId="291">
    <w:name w:val="huei12b1"/>
    <w:qFormat/>
    <w:uiPriority w:val="0"/>
    <w:rPr>
      <w:b/>
      <w:bCs/>
      <w:color w:val="333333"/>
      <w:sz w:val="18"/>
      <w:szCs w:val="18"/>
    </w:rPr>
  </w:style>
  <w:style w:type="character" w:customStyle="1" w:styleId="292">
    <w:name w:val="纯文本 字符"/>
    <w:link w:val="19"/>
    <w:qFormat/>
    <w:uiPriority w:val="0"/>
    <w:rPr>
      <w:rFonts w:ascii="宋体" w:hAnsi="Courier New"/>
    </w:rPr>
  </w:style>
  <w:style w:type="character" w:customStyle="1" w:styleId="293">
    <w:name w:val="big1"/>
    <w:qFormat/>
    <w:uiPriority w:val="0"/>
    <w:rPr>
      <w:sz w:val="30"/>
      <w:szCs w:val="30"/>
    </w:rPr>
  </w:style>
  <w:style w:type="character" w:customStyle="1" w:styleId="294">
    <w:name w:val="WW8Num9z0"/>
    <w:qFormat/>
    <w:uiPriority w:val="0"/>
    <w:rPr>
      <w:rFonts w:hint="default" w:ascii="Wingdings" w:hAnsi="Wingdings"/>
    </w:rPr>
  </w:style>
  <w:style w:type="character" w:customStyle="1" w:styleId="295">
    <w:name w:val="标题 #2 + 15.5 pt"/>
    <w:qFormat/>
    <w:uiPriority w:val="0"/>
    <w:rPr>
      <w:rFonts w:ascii="MingLiU" w:hAnsi="MingLiU" w:eastAsia="MingLiU" w:cs="MingLiU"/>
      <w:color w:val="000000"/>
      <w:spacing w:val="0"/>
      <w:w w:val="100"/>
      <w:position w:val="0"/>
      <w:sz w:val="31"/>
      <w:szCs w:val="31"/>
      <w:u w:val="none"/>
      <w:lang w:val="zh-CN" w:bidi="ar-SA"/>
    </w:rPr>
  </w:style>
  <w:style w:type="character" w:customStyle="1" w:styleId="296">
    <w:name w:val="说明 Char1"/>
    <w:link w:val="85"/>
    <w:qFormat/>
    <w:uiPriority w:val="0"/>
    <w:rPr>
      <w:rFonts w:ascii="楷体_GB2312" w:eastAsia="楷体_GB2312"/>
      <w:sz w:val="24"/>
    </w:rPr>
  </w:style>
  <w:style w:type="character" w:customStyle="1" w:styleId="297">
    <w:name w:val="批注框文本 Char1"/>
    <w:qFormat/>
    <w:uiPriority w:val="0"/>
    <w:rPr>
      <w:rFonts w:ascii="Times New Roman" w:hAnsi="Times New Roman" w:eastAsia="宋体" w:cs="Times New Roman"/>
      <w:sz w:val="18"/>
      <w:szCs w:val="18"/>
    </w:rPr>
  </w:style>
  <w:style w:type="character" w:customStyle="1" w:styleId="298">
    <w:name w:val="标题 #3_"/>
    <w:link w:val="49"/>
    <w:qFormat/>
    <w:uiPriority w:val="0"/>
    <w:rPr>
      <w:rFonts w:ascii="MingLiU" w:hAnsi="MingLiU" w:eastAsia="MingLiU"/>
      <w:sz w:val="31"/>
      <w:szCs w:val="31"/>
      <w:shd w:val="clear" w:color="auto" w:fill="FFFFFF"/>
    </w:rPr>
  </w:style>
  <w:style w:type="character" w:customStyle="1" w:styleId="299">
    <w:name w:val="Char Char15"/>
    <w:qFormat/>
    <w:uiPriority w:val="0"/>
    <w:rPr>
      <w:sz w:val="18"/>
      <w:szCs w:val="18"/>
    </w:rPr>
  </w:style>
  <w:style w:type="character" w:customStyle="1" w:styleId="300">
    <w:name w:val="图片标题 Exact"/>
    <w:qFormat/>
    <w:uiPriority w:val="0"/>
    <w:rPr>
      <w:rFonts w:ascii="Arial Unicode MS" w:hAnsi="Arial Unicode MS" w:eastAsia="Arial Unicode MS" w:cs="Arial Unicode MS"/>
      <w:spacing w:val="2"/>
      <w:sz w:val="18"/>
      <w:szCs w:val="18"/>
      <w:u w:val="none"/>
    </w:rPr>
  </w:style>
  <w:style w:type="character" w:customStyle="1" w:styleId="301">
    <w:name w:val="标题 #7 + 粗体"/>
    <w:qFormat/>
    <w:uiPriority w:val="0"/>
    <w:rPr>
      <w:rFonts w:ascii="Arial Unicode MS" w:hAnsi="Arial Unicode MS" w:eastAsia="Arial Unicode MS"/>
      <w:b/>
      <w:bCs/>
      <w:color w:val="000000"/>
      <w:spacing w:val="0"/>
      <w:w w:val="100"/>
      <w:position w:val="0"/>
      <w:lang w:bidi="ar-SA"/>
    </w:rPr>
  </w:style>
  <w:style w:type="character" w:customStyle="1" w:styleId="302">
    <w:name w:val="正文样式 Char Char"/>
    <w:link w:val="53"/>
    <w:qFormat/>
    <w:uiPriority w:val="0"/>
    <w:rPr>
      <w:sz w:val="24"/>
      <w:szCs w:val="24"/>
    </w:rPr>
  </w:style>
  <w:style w:type="character" w:customStyle="1" w:styleId="303">
    <w:name w:val="脚注文本 Char1"/>
    <w:qFormat/>
    <w:uiPriority w:val="0"/>
    <w:rPr>
      <w:rFonts w:ascii="Times New Roman" w:hAnsi="Times New Roman"/>
      <w:kern w:val="2"/>
      <w:sz w:val="18"/>
      <w:szCs w:val="18"/>
    </w:rPr>
  </w:style>
  <w:style w:type="character" w:customStyle="1" w:styleId="304">
    <w:name w:val="正文文本 (2) + Arial Unicode MS"/>
    <w:qFormat/>
    <w:uiPriority w:val="0"/>
    <w:rPr>
      <w:rFonts w:ascii="Arial Unicode MS" w:hAnsi="Arial Unicode MS" w:eastAsia="Arial Unicode MS" w:cs="Arial Unicode MS"/>
      <w:color w:val="000000"/>
      <w:spacing w:val="0"/>
      <w:w w:val="100"/>
      <w:position w:val="0"/>
      <w:lang w:val="zh-CN" w:bidi="ar-SA"/>
    </w:rPr>
  </w:style>
  <w:style w:type="character" w:customStyle="1" w:styleId="305">
    <w:name w:val="txt1"/>
    <w:qFormat/>
    <w:uiPriority w:val="0"/>
    <w:rPr>
      <w:color w:val="000099"/>
      <w:spacing w:val="400"/>
      <w:sz w:val="20"/>
      <w:szCs w:val="20"/>
      <w:u w:val="none"/>
    </w:rPr>
  </w:style>
  <w:style w:type="character" w:customStyle="1" w:styleId="306">
    <w:name w:val="+正文 Char4"/>
    <w:qFormat/>
    <w:uiPriority w:val="0"/>
    <w:rPr>
      <w:rFonts w:eastAsia="宋体"/>
      <w:kern w:val="2"/>
      <w:sz w:val="24"/>
      <w:szCs w:val="28"/>
      <w:lang w:val="en-US" w:eastAsia="zh-CN" w:bidi="ar-SA"/>
    </w:rPr>
  </w:style>
  <w:style w:type="character" w:customStyle="1" w:styleId="307">
    <w:name w:val="FtrF Char Char"/>
    <w:qFormat/>
    <w:uiPriority w:val="0"/>
    <w:rPr>
      <w:rFonts w:eastAsia="宋体"/>
      <w:kern w:val="2"/>
      <w:sz w:val="18"/>
      <w:lang w:val="en-US" w:eastAsia="zh-CN" w:bidi="ar-SA"/>
    </w:rPr>
  </w:style>
  <w:style w:type="character" w:customStyle="1" w:styleId="308">
    <w:name w:val="样式3 Char Char"/>
    <w:link w:val="95"/>
    <w:qFormat/>
    <w:uiPriority w:val="0"/>
    <w:rPr>
      <w:rFonts w:ascii="宋体" w:hAnsi="宋体"/>
    </w:rPr>
  </w:style>
  <w:style w:type="character" w:customStyle="1" w:styleId="309">
    <w:name w:val="注 Char Char"/>
    <w:link w:val="97"/>
    <w:qFormat/>
    <w:uiPriority w:val="0"/>
    <w:rPr>
      <w:rFonts w:ascii="Times New Roman" w:hAnsi="Times New Roman"/>
    </w:rPr>
  </w:style>
  <w:style w:type="character" w:customStyle="1" w:styleId="310">
    <w:name w:val="key_point"/>
    <w:qFormat/>
    <w:uiPriority w:val="0"/>
    <w:rPr>
      <w:rFonts w:eastAsia="宋体"/>
      <w:kern w:val="2"/>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7E753-9C59-4B17-B291-31F0DCF4D331}">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126</Pages>
  <Words>14420</Words>
  <Characters>82197</Characters>
  <Lines>684</Lines>
  <Paragraphs>192</Paragraphs>
  <TotalTime>0</TotalTime>
  <ScaleCrop>false</ScaleCrop>
  <LinksUpToDate>false</LinksUpToDate>
  <CharactersWithSpaces>96425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2020-12-01T07:42:00Z</dcterms:created>
  <dc:creator>唐春</dc:creator>
  <cp:lastModifiedBy>Clara</cp:lastModifiedBy>
  <cp:lastPrinted>2022-04-07T07:56:00Z</cp:lastPrinted>
  <dcterms:modified xsi:type="dcterms:W3CDTF">2024-01-07T09:39:27Z</dcterms:modified>
  <dc:title>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1906DFC6159B46288613FA8F95A0936A</vt:lpwstr>
  </property>
</Properties>
</file>