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3" w:lineRule="auto"/>
        <w:jc w:val="center"/>
        <w:rPr>
          <w:rFonts w:hint="eastAsia" w:ascii="宋体" w:hAnsi="宋体" w:eastAsia="宋体"/>
          <w:b/>
          <w:color w:val="auto"/>
          <w:sz w:val="48"/>
          <w:szCs w:val="48"/>
          <w:highlight w:val="none"/>
          <w:lang w:eastAsia="zh-CN"/>
        </w:rPr>
      </w:pPr>
      <w:bookmarkStart w:id="0" w:name="_Toc8330"/>
      <w:bookmarkStart w:id="1" w:name="_Toc152042286"/>
      <w:bookmarkStart w:id="2" w:name="_Toc247527532"/>
      <w:bookmarkStart w:id="3" w:name="_Toc505152684"/>
      <w:bookmarkStart w:id="4" w:name="_Toc367729707"/>
      <w:bookmarkStart w:id="5" w:name="_Toc300834926"/>
      <w:bookmarkStart w:id="6" w:name="_Toc144974478"/>
      <w:r>
        <w:rPr>
          <w:rFonts w:hint="eastAsia" w:ascii="宋体" w:hAnsi="宋体" w:cs="宋体"/>
          <w:b/>
          <w:color w:val="auto"/>
          <w:sz w:val="48"/>
          <w:szCs w:val="48"/>
          <w:highlight w:val="none"/>
          <w:lang w:eastAsia="zh-CN" w:bidi="ar"/>
        </w:rPr>
        <w:t>吉祥路46号办公楼相关维修改造工程勘察设计施工总承包</w:t>
      </w:r>
    </w:p>
    <w:p>
      <w:pPr>
        <w:spacing w:line="273" w:lineRule="auto"/>
        <w:jc w:val="center"/>
        <w:rPr>
          <w:rFonts w:ascii="宋体" w:hAnsi="宋体"/>
          <w:b/>
          <w:color w:val="auto"/>
          <w:sz w:val="48"/>
          <w:szCs w:val="48"/>
          <w:highlight w:val="none"/>
        </w:rPr>
      </w:pPr>
      <w:r>
        <w:rPr>
          <w:rFonts w:hint="eastAsia" w:ascii="宋体" w:hAnsi="宋体"/>
          <w:b/>
          <w:color w:val="auto"/>
          <w:sz w:val="48"/>
          <w:szCs w:val="48"/>
          <w:highlight w:val="none"/>
          <w:lang w:bidi="ar"/>
        </w:rPr>
        <w:t xml:space="preserve"> </w:t>
      </w:r>
    </w:p>
    <w:p>
      <w:pPr>
        <w:spacing w:line="273" w:lineRule="auto"/>
        <w:jc w:val="left"/>
        <w:rPr>
          <w:rFonts w:ascii="宋体" w:hAnsi="宋体"/>
          <w:b/>
          <w:color w:val="auto"/>
          <w:kern w:val="0"/>
          <w:sz w:val="96"/>
          <w:szCs w:val="96"/>
          <w:highlight w:val="none"/>
        </w:rPr>
      </w:pPr>
      <w:r>
        <w:rPr>
          <w:rFonts w:hint="eastAsia" w:ascii="宋体" w:hAnsi="宋体"/>
          <w:b/>
          <w:color w:val="auto"/>
          <w:sz w:val="52"/>
          <w:szCs w:val="52"/>
          <w:highlight w:val="none"/>
          <w:lang w:bidi="ar"/>
        </w:rPr>
        <w:t xml:space="preserve"> </w:t>
      </w:r>
      <w:r>
        <w:rPr>
          <w:rFonts w:hint="eastAsia" w:ascii="宋体" w:hAnsi="宋体"/>
          <w:b/>
          <w:color w:val="auto"/>
          <w:kern w:val="0"/>
          <w:sz w:val="96"/>
          <w:szCs w:val="96"/>
          <w:highlight w:val="none"/>
          <w:lang w:bidi="ar"/>
        </w:rPr>
        <w:t xml:space="preserve"> </w:t>
      </w:r>
    </w:p>
    <w:p>
      <w:pPr>
        <w:rPr>
          <w:rFonts w:ascii="宋体" w:hAnsi="宋体"/>
          <w:b/>
          <w:color w:val="auto"/>
          <w:kern w:val="0"/>
          <w:sz w:val="96"/>
          <w:szCs w:val="96"/>
          <w:highlight w:val="none"/>
        </w:rPr>
      </w:pPr>
      <w:r>
        <w:rPr>
          <w:rFonts w:hint="eastAsia" w:ascii="宋体" w:hAnsi="宋体"/>
          <w:b/>
          <w:color w:val="auto"/>
          <w:kern w:val="0"/>
          <w:sz w:val="96"/>
          <w:szCs w:val="96"/>
          <w:highlight w:val="none"/>
          <w:lang w:bidi="ar"/>
        </w:rPr>
        <w:t xml:space="preserve"> </w:t>
      </w:r>
    </w:p>
    <w:p>
      <w:pPr>
        <w:spacing w:line="273" w:lineRule="auto"/>
        <w:jc w:val="center"/>
        <w:rPr>
          <w:rFonts w:ascii="宋体" w:hAnsi="宋体"/>
          <w:b/>
          <w:color w:val="auto"/>
          <w:sz w:val="96"/>
          <w:szCs w:val="96"/>
          <w:highlight w:val="none"/>
        </w:rPr>
      </w:pPr>
      <w:r>
        <w:rPr>
          <w:rFonts w:hint="eastAsia" w:ascii="宋体" w:hAnsi="宋体" w:cs="宋体"/>
          <w:b/>
          <w:color w:val="auto"/>
          <w:sz w:val="96"/>
          <w:szCs w:val="96"/>
          <w:highlight w:val="none"/>
          <w:lang w:bidi="ar"/>
        </w:rPr>
        <w:t>招标文件</w:t>
      </w:r>
    </w:p>
    <w:p>
      <w:pPr>
        <w:spacing w:line="273" w:lineRule="auto"/>
        <w:jc w:val="left"/>
        <w:rPr>
          <w:rFonts w:ascii="宋体" w:hAnsi="宋体"/>
          <w:b/>
          <w:color w:val="auto"/>
          <w:sz w:val="24"/>
          <w:szCs w:val="24"/>
          <w:highlight w:val="none"/>
        </w:rPr>
      </w:pPr>
      <w:r>
        <w:rPr>
          <w:rFonts w:hint="eastAsia" w:ascii="宋体" w:hAnsi="宋体"/>
          <w:b/>
          <w:color w:val="auto"/>
          <w:sz w:val="24"/>
          <w:szCs w:val="24"/>
          <w:highlight w:val="none"/>
          <w:lang w:bidi="ar"/>
        </w:rPr>
        <w:t xml:space="preserve"> </w:t>
      </w:r>
    </w:p>
    <w:p>
      <w:pPr>
        <w:spacing w:line="273" w:lineRule="auto"/>
        <w:jc w:val="left"/>
        <w:rPr>
          <w:rFonts w:ascii="宋体" w:hAnsi="宋体"/>
          <w:b/>
          <w:color w:val="auto"/>
          <w:szCs w:val="21"/>
          <w:highlight w:val="none"/>
        </w:rPr>
      </w:pPr>
      <w:r>
        <w:rPr>
          <w:rFonts w:hint="eastAsia" w:ascii="宋体" w:hAnsi="宋体"/>
          <w:b/>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rPr>
          <w:color w:val="auto"/>
          <w:kern w:val="0"/>
          <w:sz w:val="20"/>
          <w:szCs w:val="20"/>
          <w:highlight w:val="none"/>
        </w:rPr>
      </w:pPr>
      <w:r>
        <w:rPr>
          <w:color w:val="auto"/>
          <w:kern w:val="0"/>
          <w:sz w:val="20"/>
          <w:szCs w:val="20"/>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ind w:firstLine="838" w:firstLineChars="261"/>
        <w:jc w:val="left"/>
        <w:rPr>
          <w:rFonts w:ascii="宋体" w:hAnsi="宋体"/>
          <w:b/>
          <w:color w:val="auto"/>
          <w:sz w:val="32"/>
          <w:szCs w:val="32"/>
          <w:highlight w:val="none"/>
        </w:rPr>
      </w:pPr>
      <w:r>
        <w:rPr>
          <w:rFonts w:hint="eastAsia" w:ascii="宋体" w:hAnsi="宋体" w:cs="宋体"/>
          <w:b/>
          <w:color w:val="auto"/>
          <w:sz w:val="32"/>
          <w:szCs w:val="32"/>
          <w:highlight w:val="none"/>
          <w:lang w:bidi="ar"/>
        </w:rPr>
        <w:t xml:space="preserve">招 </w:t>
      </w:r>
      <w:r>
        <w:rPr>
          <w:rFonts w:ascii="宋体" w:hAnsi="宋体" w:cs="宋体"/>
          <w:b/>
          <w:color w:val="auto"/>
          <w:sz w:val="32"/>
          <w:szCs w:val="32"/>
          <w:highlight w:val="none"/>
          <w:lang w:bidi="ar"/>
        </w:rPr>
        <w:t xml:space="preserve"> </w:t>
      </w:r>
      <w:r>
        <w:rPr>
          <w:rFonts w:hint="eastAsia" w:ascii="宋体" w:hAnsi="宋体" w:cs="宋体"/>
          <w:b/>
          <w:color w:val="auto"/>
          <w:sz w:val="32"/>
          <w:szCs w:val="32"/>
          <w:highlight w:val="none"/>
          <w:lang w:bidi="ar"/>
        </w:rPr>
        <w:t>标  人: 广州市重点公共建设项目管理中心</w:t>
      </w:r>
    </w:p>
    <w:p>
      <w:pPr>
        <w:spacing w:line="273" w:lineRule="auto"/>
        <w:ind w:firstLine="838" w:firstLineChars="261"/>
        <w:jc w:val="left"/>
        <w:rPr>
          <w:rFonts w:hint="eastAsia" w:ascii="宋体" w:hAnsi="宋体" w:eastAsia="宋体"/>
          <w:b/>
          <w:color w:val="auto"/>
          <w:sz w:val="32"/>
          <w:szCs w:val="32"/>
          <w:highlight w:val="none"/>
          <w:lang w:eastAsia="zh-CN"/>
        </w:rPr>
      </w:pPr>
      <w:r>
        <w:rPr>
          <w:rFonts w:hint="eastAsia" w:ascii="宋体" w:hAnsi="宋体" w:cs="宋体"/>
          <w:b/>
          <w:color w:val="auto"/>
          <w:sz w:val="32"/>
          <w:szCs w:val="32"/>
          <w:highlight w:val="none"/>
          <w:lang w:bidi="ar"/>
        </w:rPr>
        <w:t>招标代理机构：</w:t>
      </w:r>
      <w:r>
        <w:rPr>
          <w:rFonts w:hint="eastAsia" w:ascii="宋体" w:hAnsi="宋体" w:cs="宋体"/>
          <w:b/>
          <w:color w:val="auto"/>
          <w:sz w:val="32"/>
          <w:szCs w:val="32"/>
          <w:highlight w:val="none"/>
          <w:lang w:eastAsia="zh-CN" w:bidi="ar"/>
        </w:rPr>
        <w:t>广东建瀚工程管理有限公司</w:t>
      </w:r>
    </w:p>
    <w:p>
      <w:pPr>
        <w:spacing w:line="273" w:lineRule="auto"/>
        <w:jc w:val="center"/>
        <w:rPr>
          <w:rFonts w:ascii="Calibri" w:hAnsi="Calibri"/>
          <w:color w:val="auto"/>
          <w:highlight w:val="none"/>
        </w:rPr>
      </w:pPr>
      <w:r>
        <w:rPr>
          <w:rFonts w:hint="eastAsia" w:ascii="宋体" w:hAnsi="宋体" w:cs="宋体"/>
          <w:b/>
          <w:color w:val="auto"/>
          <w:sz w:val="32"/>
          <w:szCs w:val="32"/>
          <w:highlight w:val="none"/>
          <w:lang w:bidi="ar"/>
        </w:rPr>
        <w:t>日期：</w:t>
      </w:r>
      <w:r>
        <w:rPr>
          <w:rFonts w:hint="eastAsia" w:ascii="宋体" w:hAnsi="宋体" w:cs="宋体"/>
          <w:b/>
          <w:color w:val="auto"/>
          <w:sz w:val="32"/>
          <w:szCs w:val="32"/>
          <w:highlight w:val="none"/>
          <w:u w:val="single"/>
          <w:lang w:bidi="ar"/>
        </w:rPr>
        <w:t>2</w:t>
      </w:r>
      <w:r>
        <w:rPr>
          <w:rFonts w:hint="eastAsia" w:ascii="宋体" w:hAnsi="宋体"/>
          <w:b/>
          <w:color w:val="auto"/>
          <w:sz w:val="32"/>
          <w:szCs w:val="32"/>
          <w:highlight w:val="none"/>
          <w:u w:val="single"/>
          <w:lang w:bidi="ar"/>
        </w:rPr>
        <w:t>02</w:t>
      </w:r>
      <w:r>
        <w:rPr>
          <w:rFonts w:ascii="宋体" w:hAnsi="宋体" w:cs="宋体"/>
          <w:b/>
          <w:color w:val="auto"/>
          <w:sz w:val="32"/>
          <w:szCs w:val="32"/>
          <w:highlight w:val="none"/>
          <w:u w:val="single"/>
          <w:lang w:bidi="ar"/>
        </w:rPr>
        <w:t>4</w:t>
      </w:r>
      <w:r>
        <w:rPr>
          <w:rFonts w:hint="eastAsia" w:ascii="宋体" w:hAnsi="宋体" w:cs="宋体"/>
          <w:b/>
          <w:color w:val="auto"/>
          <w:sz w:val="32"/>
          <w:szCs w:val="32"/>
          <w:highlight w:val="none"/>
          <w:lang w:bidi="ar"/>
        </w:rPr>
        <w:t>年</w:t>
      </w:r>
      <w:r>
        <w:rPr>
          <w:rFonts w:hint="eastAsia" w:ascii="宋体" w:hAnsi="宋体" w:cs="宋体"/>
          <w:b/>
          <w:color w:val="auto"/>
          <w:sz w:val="32"/>
          <w:szCs w:val="32"/>
          <w:highlight w:val="none"/>
          <w:u w:val="single"/>
          <w:lang w:bidi="ar"/>
        </w:rPr>
        <w:t xml:space="preserve"> </w:t>
      </w:r>
      <w:r>
        <w:rPr>
          <w:rFonts w:hint="eastAsia" w:ascii="宋体" w:hAnsi="宋体" w:cs="宋体"/>
          <w:b/>
          <w:color w:val="auto"/>
          <w:sz w:val="32"/>
          <w:szCs w:val="32"/>
          <w:highlight w:val="none"/>
          <w:u w:val="single"/>
          <w:lang w:val="en-US" w:eastAsia="zh-CN" w:bidi="ar"/>
        </w:rPr>
        <w:t>6</w:t>
      </w:r>
      <w:r>
        <w:rPr>
          <w:rFonts w:ascii="宋体" w:hAnsi="宋体" w:cs="宋体"/>
          <w:b/>
          <w:color w:val="auto"/>
          <w:sz w:val="32"/>
          <w:szCs w:val="32"/>
          <w:highlight w:val="none"/>
          <w:u w:val="single"/>
          <w:lang w:bidi="ar"/>
        </w:rPr>
        <w:t xml:space="preserve"> </w:t>
      </w:r>
      <w:r>
        <w:rPr>
          <w:rFonts w:hint="eastAsia" w:ascii="宋体" w:hAnsi="宋体" w:cs="宋体"/>
          <w:b/>
          <w:color w:val="auto"/>
          <w:sz w:val="32"/>
          <w:szCs w:val="32"/>
          <w:highlight w:val="none"/>
          <w:lang w:bidi="ar"/>
        </w:rPr>
        <w:t>月</w:t>
      </w:r>
    </w:p>
    <w:p>
      <w:pPr>
        <w:spacing w:line="273" w:lineRule="auto"/>
        <w:rPr>
          <w:rFonts w:ascii="宋体" w:hAnsi="宋体"/>
          <w:b/>
          <w:color w:val="auto"/>
          <w:sz w:val="32"/>
          <w:szCs w:val="32"/>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2"/>
        <w:jc w:val="center"/>
        <w:rPr>
          <w:rFonts w:ascii="宋体" w:hAnsi="宋体"/>
          <w:color w:val="auto"/>
          <w:highlight w:val="none"/>
        </w:rPr>
      </w:pPr>
      <w:r>
        <w:rPr>
          <w:rFonts w:hint="eastAsia" w:ascii="宋体" w:hAnsi="宋体" w:cs="宋体"/>
          <w:color w:val="auto"/>
          <w:sz w:val="48"/>
          <w:szCs w:val="48"/>
          <w:highlight w:val="none"/>
        </w:rPr>
        <w:t>目     录</w:t>
      </w:r>
      <w:bookmarkEnd w:id="0"/>
      <w:bookmarkEnd w:id="1"/>
      <w:bookmarkEnd w:id="2"/>
      <w:bookmarkEnd w:id="3"/>
      <w:bookmarkEnd w:id="4"/>
      <w:bookmarkEnd w:id="5"/>
      <w:bookmarkEnd w:id="6"/>
    </w:p>
    <w:p>
      <w:pPr>
        <w:pStyle w:val="14"/>
        <w:tabs>
          <w:tab w:val="right" w:leader="dot" w:pos="9628"/>
        </w:tabs>
        <w:rPr>
          <w:rFonts w:hint="eastAsia" w:ascii="宋体" w:hAnsi="宋体" w:cs="宋体"/>
          <w:b w:val="0"/>
          <w:bCs w:val="0"/>
          <w:color w:val="auto"/>
          <w:sz w:val="28"/>
          <w:szCs w:val="28"/>
          <w:highlight w:val="none"/>
        </w:rPr>
      </w:pPr>
      <w:bookmarkStart w:id="7" w:name="_Toc144974479"/>
      <w:bookmarkStart w:id="8" w:name="_Toc247527533"/>
      <w:bookmarkStart w:id="9" w:name="_Toc247513932"/>
      <w:bookmarkStart w:id="10" w:name="_Toc152042287"/>
      <w:bookmarkStart w:id="11" w:name="_Toc152045511"/>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TOC \o "1-2" \h \z \u </w:instrText>
      </w:r>
      <w:r>
        <w:rPr>
          <w:rFonts w:hint="eastAsia" w:ascii="宋体" w:hAnsi="宋体" w:cs="宋体"/>
          <w:color w:val="auto"/>
          <w:sz w:val="24"/>
          <w:szCs w:val="24"/>
          <w:highlight w:val="none"/>
        </w:rPr>
        <w:fldChar w:fldCharType="separate"/>
      </w:r>
      <w:r>
        <w:rPr>
          <w:rFonts w:ascii="宋体" w:hAnsi="宋体"/>
          <w:color w:val="auto"/>
          <w:sz w:val="28"/>
          <w:szCs w:val="28"/>
          <w:highlight w:val="none"/>
        </w:rPr>
        <w:fldChar w:fldCharType="begin"/>
      </w:r>
      <w:r>
        <w:rPr>
          <w:rFonts w:ascii="宋体" w:hAnsi="宋体"/>
          <w:color w:val="auto"/>
          <w:sz w:val="28"/>
          <w:szCs w:val="28"/>
          <w:highlight w:val="none"/>
        </w:rPr>
        <w:instrText xml:space="preserve"> HYPERLINK \l "_Toc505152685" </w:instrText>
      </w:r>
      <w:r>
        <w:rPr>
          <w:rFonts w:ascii="宋体" w:hAnsi="宋体"/>
          <w:color w:val="auto"/>
          <w:sz w:val="28"/>
          <w:szCs w:val="28"/>
          <w:highlight w:val="none"/>
        </w:rPr>
        <w:fldChar w:fldCharType="separate"/>
      </w:r>
      <w:r>
        <w:rPr>
          <w:rFonts w:hint="eastAsia" w:ascii="宋体" w:hAnsi="宋体" w:cs="宋体"/>
          <w:color w:val="auto"/>
          <w:sz w:val="28"/>
          <w:szCs w:val="28"/>
          <w:highlight w:val="none"/>
        </w:rPr>
        <w:t>第一章 投标人</w:t>
      </w:r>
      <w:bookmarkStart w:id="12" w:name="_Hlt530900504"/>
      <w:r>
        <w:rPr>
          <w:rFonts w:hint="eastAsia" w:ascii="宋体" w:hAnsi="宋体" w:cs="宋体"/>
          <w:color w:val="auto"/>
          <w:sz w:val="28"/>
          <w:szCs w:val="28"/>
          <w:highlight w:val="none"/>
        </w:rPr>
        <w:t>须</w:t>
      </w:r>
      <w:bookmarkEnd w:id="12"/>
      <w:r>
        <w:rPr>
          <w:rFonts w:hint="eastAsia" w:ascii="宋体" w:hAnsi="宋体" w:cs="宋体"/>
          <w:color w:val="auto"/>
          <w:sz w:val="28"/>
          <w:szCs w:val="28"/>
          <w:highlight w:val="none"/>
        </w:rPr>
        <w:t>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_Toc505152685 \h </w:instrText>
      </w:r>
      <w:r>
        <w:rPr>
          <w:rFonts w:hint="eastAsia" w:ascii="宋体" w:hAnsi="宋体" w:cs="宋体"/>
          <w:color w:val="auto"/>
          <w:sz w:val="28"/>
          <w:szCs w:val="28"/>
          <w:highlight w:val="none"/>
        </w:rPr>
        <w:fldChar w:fldCharType="separate"/>
      </w:r>
      <w:r>
        <w:rPr>
          <w:rFonts w:ascii="宋体" w:hAnsi="宋体" w:cs="宋体"/>
          <w:color w:val="auto"/>
          <w:sz w:val="28"/>
          <w:szCs w:val="28"/>
          <w:highlight w:val="none"/>
        </w:rPr>
        <w:t>1</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4"/>
        <w:tabs>
          <w:tab w:val="right" w:leader="dot" w:pos="9628"/>
        </w:tabs>
        <w:rPr>
          <w:rFonts w:hint="eastAsia" w:ascii="宋体" w:hAnsi="宋体" w:cs="宋体"/>
          <w:b w:val="0"/>
          <w:bCs w:val="0"/>
          <w:color w:val="auto"/>
          <w:sz w:val="28"/>
          <w:szCs w:val="28"/>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HYPERLINK \l "_Toc505152699" </w:instrText>
      </w:r>
      <w:r>
        <w:rPr>
          <w:rFonts w:ascii="宋体" w:hAnsi="宋体"/>
          <w:color w:val="auto"/>
          <w:sz w:val="28"/>
          <w:szCs w:val="28"/>
          <w:highlight w:val="none"/>
        </w:rPr>
        <w:fldChar w:fldCharType="separate"/>
      </w:r>
      <w:r>
        <w:rPr>
          <w:rFonts w:hint="eastAsia" w:ascii="宋体" w:hAnsi="宋体" w:cs="宋体"/>
          <w:color w:val="auto"/>
          <w:sz w:val="28"/>
          <w:szCs w:val="28"/>
          <w:highlight w:val="none"/>
        </w:rPr>
        <w:t>第二章 评标办法（综</w:t>
      </w:r>
      <w:bookmarkStart w:id="13" w:name="_Hlt530900311"/>
      <w:bookmarkStart w:id="14" w:name="_Hlt530900310"/>
      <w:r>
        <w:rPr>
          <w:rFonts w:hint="eastAsia" w:ascii="宋体" w:hAnsi="宋体" w:cs="宋体"/>
          <w:color w:val="auto"/>
          <w:sz w:val="28"/>
          <w:szCs w:val="28"/>
          <w:highlight w:val="none"/>
        </w:rPr>
        <w:t>合</w:t>
      </w:r>
      <w:bookmarkEnd w:id="13"/>
      <w:bookmarkEnd w:id="14"/>
      <w:r>
        <w:rPr>
          <w:rFonts w:hint="eastAsia" w:ascii="宋体" w:hAnsi="宋体" w:cs="宋体"/>
          <w:color w:val="auto"/>
          <w:sz w:val="28"/>
          <w:szCs w:val="28"/>
          <w:highlight w:val="none"/>
        </w:rPr>
        <w:t>评分法）</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_Toc505152699 \h </w:instrText>
      </w:r>
      <w:r>
        <w:rPr>
          <w:rFonts w:hint="eastAsia" w:ascii="宋体" w:hAnsi="宋体" w:cs="宋体"/>
          <w:color w:val="auto"/>
          <w:sz w:val="28"/>
          <w:szCs w:val="28"/>
          <w:highlight w:val="none"/>
        </w:rPr>
        <w:fldChar w:fldCharType="separate"/>
      </w:r>
      <w:r>
        <w:rPr>
          <w:rFonts w:ascii="宋体" w:hAnsi="宋体" w:cs="宋体"/>
          <w:color w:val="auto"/>
          <w:sz w:val="28"/>
          <w:szCs w:val="28"/>
          <w:highlight w:val="none"/>
        </w:rPr>
        <w:t>18</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4"/>
        <w:tabs>
          <w:tab w:val="right" w:leader="dot" w:pos="9628"/>
        </w:tabs>
        <w:rPr>
          <w:rFonts w:ascii="宋体" w:hAnsi="宋体" w:cs="宋体"/>
          <w:b w:val="0"/>
          <w:bCs w:val="0"/>
          <w:color w:val="auto"/>
          <w:sz w:val="28"/>
          <w:szCs w:val="28"/>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HYPERLINK \l "_Toc505152705" </w:instrText>
      </w:r>
      <w:r>
        <w:rPr>
          <w:rFonts w:ascii="宋体" w:hAnsi="宋体"/>
          <w:color w:val="auto"/>
          <w:sz w:val="28"/>
          <w:szCs w:val="28"/>
          <w:highlight w:val="none"/>
        </w:rPr>
        <w:fldChar w:fldCharType="separate"/>
      </w:r>
      <w:r>
        <w:rPr>
          <w:rFonts w:hint="eastAsia" w:ascii="宋体" w:hAnsi="宋体" w:cs="宋体"/>
          <w:color w:val="auto"/>
          <w:sz w:val="28"/>
          <w:szCs w:val="28"/>
          <w:highlight w:val="none"/>
        </w:rPr>
        <w:t>第三章 合同条款及格式</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36</w:t>
      </w:r>
    </w:p>
    <w:p>
      <w:pPr>
        <w:pStyle w:val="14"/>
        <w:tabs>
          <w:tab w:val="right" w:leader="dot" w:pos="9628"/>
        </w:tabs>
        <w:rPr>
          <w:rFonts w:ascii="宋体" w:hAnsi="宋体" w:cs="宋体"/>
          <w:b w:val="0"/>
          <w:bCs w:val="0"/>
          <w:color w:val="auto"/>
          <w:sz w:val="28"/>
          <w:szCs w:val="28"/>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HYPERLINK \l "_Toc505152707" </w:instrText>
      </w:r>
      <w:r>
        <w:rPr>
          <w:rFonts w:ascii="宋体" w:hAnsi="宋体"/>
          <w:color w:val="auto"/>
          <w:sz w:val="28"/>
          <w:szCs w:val="28"/>
          <w:highlight w:val="none"/>
        </w:rPr>
        <w:fldChar w:fldCharType="separate"/>
      </w:r>
      <w:r>
        <w:rPr>
          <w:rFonts w:hint="eastAsia" w:ascii="宋体" w:hAnsi="宋体" w:cs="宋体"/>
          <w:color w:val="auto"/>
          <w:sz w:val="28"/>
          <w:szCs w:val="28"/>
          <w:highlight w:val="none"/>
        </w:rPr>
        <w:t>第四章  发</w:t>
      </w:r>
      <w:bookmarkStart w:id="15" w:name="_Hlt124420095"/>
      <w:r>
        <w:rPr>
          <w:rFonts w:hint="eastAsia" w:ascii="宋体" w:hAnsi="宋体" w:cs="宋体"/>
          <w:color w:val="auto"/>
          <w:sz w:val="28"/>
          <w:szCs w:val="28"/>
          <w:highlight w:val="none"/>
        </w:rPr>
        <w:t>包</w:t>
      </w:r>
      <w:bookmarkEnd w:id="15"/>
      <w:r>
        <w:rPr>
          <w:rFonts w:hint="eastAsia" w:ascii="宋体" w:hAnsi="宋体" w:cs="宋体"/>
          <w:color w:val="auto"/>
          <w:sz w:val="28"/>
          <w:szCs w:val="28"/>
          <w:highlight w:val="none"/>
        </w:rPr>
        <w:t>人要求</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37</w:t>
      </w:r>
    </w:p>
    <w:p>
      <w:pPr>
        <w:pStyle w:val="14"/>
        <w:tabs>
          <w:tab w:val="right" w:leader="dot" w:pos="9628"/>
        </w:tabs>
        <w:rPr>
          <w:rFonts w:ascii="宋体" w:hAnsi="宋体" w:cs="宋体"/>
          <w:color w:val="auto"/>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HYPERLINK \l "_Toc505152708" </w:instrText>
      </w:r>
      <w:r>
        <w:rPr>
          <w:rFonts w:ascii="宋体" w:hAnsi="宋体"/>
          <w:color w:val="auto"/>
          <w:sz w:val="28"/>
          <w:szCs w:val="28"/>
          <w:highlight w:val="none"/>
        </w:rPr>
        <w:fldChar w:fldCharType="separate"/>
      </w:r>
      <w:r>
        <w:rPr>
          <w:rFonts w:hint="eastAsia" w:ascii="宋体" w:hAnsi="宋体" w:cs="宋体"/>
          <w:color w:val="auto"/>
          <w:sz w:val="28"/>
          <w:szCs w:val="28"/>
          <w:highlight w:val="none"/>
        </w:rPr>
        <w:t>第五章  投标文件</w:t>
      </w:r>
      <w:bookmarkStart w:id="16" w:name="_Hlt124420090"/>
      <w:bookmarkStart w:id="17" w:name="_Hlt124420091"/>
      <w:r>
        <w:rPr>
          <w:rFonts w:hint="eastAsia" w:ascii="宋体" w:hAnsi="宋体" w:cs="宋体"/>
          <w:color w:val="auto"/>
          <w:sz w:val="28"/>
          <w:szCs w:val="28"/>
          <w:highlight w:val="none"/>
        </w:rPr>
        <w:t>格</w:t>
      </w:r>
      <w:bookmarkEnd w:id="16"/>
      <w:bookmarkEnd w:id="17"/>
      <w:r>
        <w:rPr>
          <w:rFonts w:hint="eastAsia" w:ascii="宋体" w:hAnsi="宋体" w:cs="宋体"/>
          <w:color w:val="auto"/>
          <w:sz w:val="28"/>
          <w:szCs w:val="28"/>
          <w:highlight w:val="none"/>
        </w:rPr>
        <w:t>式</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38</w:t>
      </w:r>
    </w:p>
    <w:p>
      <w:pPr>
        <w:rPr>
          <w:rFonts w:hint="eastAsia" w:ascii="宋体" w:hAnsi="宋体" w:cs="宋体"/>
          <w:color w:val="auto"/>
          <w:highlight w:val="none"/>
        </w:rPr>
      </w:pPr>
    </w:p>
    <w:p>
      <w:pPr>
        <w:pStyle w:val="2"/>
        <w:jc w:val="center"/>
        <w:rPr>
          <w:rFonts w:hint="eastAsia" w:ascii="宋体" w:hAnsi="宋体" w:cs="宋体"/>
          <w:color w:val="auto"/>
          <w:highlight w:val="none"/>
        </w:rPr>
        <w:sectPr>
          <w:headerReference r:id="rId5" w:type="default"/>
          <w:footerReference r:id="rId6" w:type="default"/>
          <w:footerReference r:id="rId7" w:type="even"/>
          <w:pgSz w:w="11906" w:h="16838"/>
          <w:pgMar w:top="1418" w:right="1134" w:bottom="1418" w:left="1134" w:header="851" w:footer="992" w:gutter="0"/>
          <w:pgNumType w:start="0"/>
          <w:cols w:space="720" w:num="1"/>
          <w:titlePg/>
          <w:docGrid w:type="lines" w:linePitch="312" w:charSpace="0"/>
        </w:sectPr>
      </w:pPr>
      <w:r>
        <w:rPr>
          <w:rFonts w:hint="eastAsia" w:ascii="宋体" w:hAnsi="宋体" w:cs="宋体"/>
          <w:color w:val="auto"/>
          <w:kern w:val="2"/>
          <w:sz w:val="24"/>
          <w:szCs w:val="24"/>
          <w:highlight w:val="none"/>
        </w:rPr>
        <w:fldChar w:fldCharType="end"/>
      </w:r>
    </w:p>
    <w:bookmarkEnd w:id="7"/>
    <w:bookmarkEnd w:id="8"/>
    <w:bookmarkEnd w:id="9"/>
    <w:bookmarkEnd w:id="10"/>
    <w:bookmarkEnd w:id="11"/>
    <w:p>
      <w:pPr>
        <w:pStyle w:val="2"/>
        <w:jc w:val="center"/>
        <w:rPr>
          <w:rFonts w:hint="eastAsia" w:ascii="宋体" w:hAnsi="宋体" w:cs="宋体"/>
          <w:color w:val="auto"/>
          <w:highlight w:val="none"/>
        </w:rPr>
      </w:pPr>
      <w:bookmarkStart w:id="18" w:name="_Toc247527551"/>
      <w:bookmarkStart w:id="19" w:name="_Toc29302"/>
      <w:bookmarkStart w:id="20" w:name="_Toc505152685"/>
      <w:bookmarkStart w:id="21" w:name="_Toc144974495"/>
      <w:bookmarkStart w:id="22" w:name="_Toc152042303"/>
      <w:bookmarkStart w:id="23" w:name="_Toc152045527"/>
      <w:bookmarkStart w:id="24" w:name="_Toc247513950"/>
      <w:r>
        <w:rPr>
          <w:rFonts w:hint="eastAsia" w:ascii="宋体" w:hAnsi="宋体" w:cs="宋体"/>
          <w:color w:val="auto"/>
          <w:highlight w:val="none"/>
        </w:rPr>
        <w:t>第一章 投标人须知</w:t>
      </w:r>
      <w:bookmarkEnd w:id="18"/>
      <w:bookmarkEnd w:id="19"/>
      <w:bookmarkEnd w:id="20"/>
      <w:bookmarkEnd w:id="21"/>
      <w:bookmarkEnd w:id="22"/>
      <w:bookmarkEnd w:id="23"/>
      <w:bookmarkEnd w:id="24"/>
    </w:p>
    <w:p>
      <w:pPr>
        <w:pStyle w:val="3"/>
        <w:jc w:val="center"/>
        <w:rPr>
          <w:rFonts w:hint="eastAsia" w:ascii="宋体" w:hAnsi="宋体" w:eastAsia="宋体" w:cs="宋体"/>
          <w:color w:val="auto"/>
          <w:highlight w:val="none"/>
        </w:rPr>
      </w:pPr>
      <w:bookmarkStart w:id="25" w:name="_Toc300834948"/>
      <w:bookmarkStart w:id="26" w:name="_Toc5627"/>
      <w:bookmarkStart w:id="27" w:name="_Toc247527552"/>
      <w:bookmarkStart w:id="28" w:name="_Toc357089510"/>
      <w:bookmarkStart w:id="29" w:name="_Toc144974496"/>
      <w:bookmarkStart w:id="30" w:name="_Toc152045528"/>
      <w:bookmarkStart w:id="31" w:name="_Toc152042304"/>
      <w:bookmarkStart w:id="32" w:name="_Toc362816479"/>
      <w:bookmarkStart w:id="33" w:name="_Toc247513951"/>
      <w:bookmarkStart w:id="34" w:name="_Toc443505821"/>
      <w:bookmarkStart w:id="35" w:name="_Toc505152686"/>
      <w:bookmarkStart w:id="36" w:name="_Toc480225647"/>
      <w:r>
        <w:rPr>
          <w:rFonts w:hint="eastAsia" w:ascii="宋体" w:hAnsi="宋体" w:eastAsia="宋体" w:cs="宋体"/>
          <w:color w:val="auto"/>
          <w:highlight w:val="none"/>
        </w:rPr>
        <w:t>投标人须知前附表</w:t>
      </w:r>
      <w:bookmarkEnd w:id="25"/>
      <w:bookmarkEnd w:id="26"/>
      <w:bookmarkEnd w:id="27"/>
      <w:bookmarkEnd w:id="28"/>
      <w:bookmarkEnd w:id="29"/>
      <w:bookmarkEnd w:id="30"/>
      <w:bookmarkEnd w:id="31"/>
      <w:bookmarkEnd w:id="32"/>
      <w:bookmarkEnd w:id="33"/>
      <w:bookmarkEnd w:id="34"/>
      <w:bookmarkEnd w:id="35"/>
      <w:bookmarkEnd w:id="36"/>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717"/>
        <w:gridCol w:w="519"/>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084" w:type="dxa"/>
            <w:noWrap w:val="0"/>
            <w:vAlign w:val="center"/>
          </w:tcPr>
          <w:p>
            <w:pPr>
              <w:snapToGrid w:val="0"/>
              <w:ind w:left="-134" w:leftChars="-64" w:right="-107" w:rightChars="-51"/>
              <w:jc w:val="center"/>
              <w:rPr>
                <w:rFonts w:hint="eastAsia" w:ascii="宋体" w:hAnsi="宋体" w:cs="宋体"/>
                <w:b/>
                <w:color w:val="auto"/>
                <w:szCs w:val="21"/>
                <w:highlight w:val="none"/>
              </w:rPr>
            </w:pPr>
            <w:r>
              <w:rPr>
                <w:rFonts w:hint="eastAsia" w:ascii="宋体" w:hAnsi="宋体" w:cs="宋体"/>
                <w:b/>
                <w:color w:val="auto"/>
                <w:szCs w:val="21"/>
                <w:highlight w:val="none"/>
              </w:rPr>
              <w:t>条款号</w:t>
            </w:r>
          </w:p>
        </w:tc>
        <w:tc>
          <w:tcPr>
            <w:tcW w:w="2717" w:type="dxa"/>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条  款  名  称</w:t>
            </w:r>
          </w:p>
        </w:tc>
        <w:tc>
          <w:tcPr>
            <w:tcW w:w="5979" w:type="dxa"/>
            <w:gridSpan w:val="2"/>
            <w:noWrap w:val="0"/>
            <w:vAlign w:val="center"/>
          </w:tcPr>
          <w:p>
            <w:pPr>
              <w:snapToGrid w:val="0"/>
              <w:jc w:val="center"/>
              <w:rPr>
                <w:rFonts w:hint="eastAsia" w:ascii="宋体" w:hAnsi="宋体" w:cs="宋体"/>
                <w:b/>
                <w:color w:val="auto"/>
                <w:szCs w:val="21"/>
                <w:highlight w:val="none"/>
              </w:rPr>
            </w:pPr>
            <w:r>
              <w:rPr>
                <w:rFonts w:hint="eastAsia" w:ascii="宋体" w:hAnsi="宋体" w:cs="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招标人</w:t>
            </w:r>
          </w:p>
        </w:tc>
        <w:tc>
          <w:tcPr>
            <w:tcW w:w="5979" w:type="dxa"/>
            <w:gridSpan w:val="2"/>
            <w:noWrap w:val="0"/>
            <w:vAlign w:val="center"/>
          </w:tcPr>
          <w:p>
            <w:pPr>
              <w:spacing w:line="276" w:lineRule="auto"/>
              <w:rPr>
                <w:rFonts w:hint="eastAsia" w:ascii="宋体" w:hAnsi="宋体" w:cs="宋体"/>
                <w:color w:val="auto"/>
                <w:szCs w:val="21"/>
                <w:highlight w:val="none"/>
                <w:u w:val="single"/>
              </w:rPr>
            </w:pPr>
            <w:r>
              <w:rPr>
                <w:rFonts w:hint="eastAsia" w:ascii="宋体" w:hAnsi="宋体" w:cs="宋体"/>
                <w:color w:val="auto"/>
                <w:szCs w:val="21"/>
                <w:highlight w:val="none"/>
              </w:rPr>
              <w:t>名称：</w:t>
            </w:r>
            <w:r>
              <w:rPr>
                <w:rFonts w:hint="eastAsia" w:ascii="宋体" w:hAnsi="宋体" w:cs="宋体"/>
                <w:color w:val="auto"/>
                <w:szCs w:val="21"/>
                <w:highlight w:val="none"/>
                <w:u w:val="single"/>
              </w:rPr>
              <w:t>广州市重点公共建设项目管理中心</w:t>
            </w:r>
          </w:p>
          <w:p>
            <w:pPr>
              <w:spacing w:line="276" w:lineRule="auto"/>
              <w:rPr>
                <w:rFonts w:hint="eastAsia"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广州市大学城内环东星运路1号</w:t>
            </w:r>
          </w:p>
          <w:p>
            <w:pPr>
              <w:widowControl/>
              <w:jc w:val="left"/>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single"/>
                <w:lang w:val="en-US" w:eastAsia="zh-CN"/>
              </w:rPr>
              <w:t>张</w:t>
            </w:r>
            <w:r>
              <w:rPr>
                <w:rFonts w:hint="eastAsia" w:ascii="宋体" w:hAnsi="宋体" w:cs="宋体"/>
                <w:color w:val="auto"/>
                <w:szCs w:val="21"/>
                <w:highlight w:val="none"/>
                <w:u w:val="single"/>
              </w:rPr>
              <w:t>工</w:t>
            </w:r>
            <w:r>
              <w:rPr>
                <w:rFonts w:hint="eastAsia" w:ascii="宋体" w:hAnsi="宋体" w:cs="宋体"/>
                <w:color w:val="auto"/>
                <w:szCs w:val="21"/>
                <w:highlight w:val="none"/>
              </w:rPr>
              <w:t xml:space="preserve"> </w:t>
            </w:r>
          </w:p>
          <w:p>
            <w:pPr>
              <w:widowControl/>
              <w:jc w:val="left"/>
              <w:rPr>
                <w:rFonts w:hint="eastAsia" w:ascii="宋体" w:hAnsi="宋体"/>
                <w:color w:val="auto"/>
                <w:highlight w:val="none"/>
              </w:rPr>
            </w:pPr>
            <w:r>
              <w:rPr>
                <w:rFonts w:hint="eastAsia" w:ascii="宋体" w:hAnsi="宋体" w:cs="宋体"/>
                <w:color w:val="auto"/>
                <w:szCs w:val="21"/>
                <w:highlight w:val="none"/>
              </w:rPr>
              <w:t>联系电话：</w:t>
            </w:r>
            <w:r>
              <w:rPr>
                <w:rFonts w:ascii="宋体" w:hAnsi="宋体" w:cs="宋体"/>
                <w:color w:val="auto"/>
                <w:szCs w:val="21"/>
                <w:highlight w:val="none"/>
                <w:u w:val="single"/>
              </w:rPr>
              <w:t>020-</w:t>
            </w:r>
            <w:r>
              <w:rPr>
                <w:rFonts w:hint="eastAsia" w:ascii="宋体" w:hAnsi="宋体" w:cs="宋体"/>
                <w:color w:val="auto"/>
                <w:szCs w:val="21"/>
                <w:highlight w:val="none"/>
                <w:u w:val="single"/>
              </w:rPr>
              <w:t>229056</w:t>
            </w:r>
            <w:r>
              <w:rPr>
                <w:rFonts w:ascii="宋体" w:hAnsi="宋体" w:cs="宋体"/>
                <w:color w:val="auto"/>
                <w:szCs w:val="21"/>
                <w:highlight w:val="none"/>
                <w:u w:val="singl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1.1.3</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招标代理机构</w:t>
            </w:r>
          </w:p>
        </w:tc>
        <w:tc>
          <w:tcPr>
            <w:tcW w:w="5979" w:type="dxa"/>
            <w:gridSpan w:val="2"/>
            <w:noWrap w:val="0"/>
            <w:vAlign w:val="center"/>
          </w:tcPr>
          <w:p>
            <w:pPr>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名称：</w:t>
            </w:r>
            <w:r>
              <w:rPr>
                <w:rFonts w:hint="eastAsia" w:ascii="宋体" w:hAnsi="宋体" w:cs="宋体"/>
                <w:color w:val="auto"/>
                <w:szCs w:val="21"/>
                <w:highlight w:val="none"/>
                <w:u w:val="single"/>
                <w:lang w:eastAsia="zh-CN"/>
              </w:rPr>
              <w:t>广东建瀚工程管理有限公司</w:t>
            </w:r>
          </w:p>
          <w:p>
            <w:pPr>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广州市越秀区白云路111-113 大厦16楼</w:t>
            </w:r>
          </w:p>
          <w:p>
            <w:pPr>
              <w:rPr>
                <w:rFonts w:ascii="宋体" w:hAnsi="宋体"/>
                <w:color w:val="auto"/>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single"/>
              </w:rPr>
              <w:t>薛工、邓工</w:t>
            </w:r>
          </w:p>
          <w:p>
            <w:pPr>
              <w:rPr>
                <w:rFonts w:ascii="宋体" w:hAnsi="宋体" w:cs="宋体"/>
                <w:color w:val="auto"/>
                <w:szCs w:val="21"/>
                <w:highlight w:val="none"/>
              </w:rPr>
            </w:pPr>
            <w:r>
              <w:rPr>
                <w:rFonts w:hint="eastAsia" w:ascii="宋体" w:hAnsi="宋体" w:cs="宋体"/>
                <w:color w:val="auto"/>
                <w:szCs w:val="21"/>
                <w:highlight w:val="none"/>
              </w:rPr>
              <w:t>联系</w:t>
            </w:r>
            <w:r>
              <w:rPr>
                <w:rFonts w:hint="eastAsia" w:ascii="宋体" w:hAnsi="宋体"/>
                <w:color w:val="auto"/>
                <w:highlight w:val="none"/>
              </w:rPr>
              <w:t>电话：</w:t>
            </w:r>
            <w:r>
              <w:rPr>
                <w:rFonts w:ascii="宋体" w:hAnsi="宋体"/>
                <w:color w:val="auto"/>
                <w:highlight w:val="none"/>
                <w:u w:val="single"/>
              </w:rPr>
              <w:t>020-83292716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1.1.4</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5979" w:type="dxa"/>
            <w:gridSpan w:val="2"/>
            <w:noWrap w:val="0"/>
            <w:vAlign w:val="center"/>
          </w:tcPr>
          <w:p>
            <w:pPr>
              <w:rPr>
                <w:rFonts w:hint="eastAsia" w:ascii="宋体" w:hAnsi="宋体" w:eastAsia="宋体" w:cs="宋体"/>
                <w:color w:val="auto"/>
                <w:szCs w:val="21"/>
                <w:highlight w:val="none"/>
                <w:lang w:eastAsia="zh-CN"/>
              </w:rPr>
            </w:pPr>
            <w:r>
              <w:rPr>
                <w:rFonts w:hint="eastAsia" w:ascii="宋体" w:hAnsi="宋体"/>
                <w:bCs/>
                <w:color w:val="auto"/>
                <w:szCs w:val="21"/>
                <w:highlight w:val="none"/>
                <w:u w:val="single"/>
                <w:lang w:eastAsia="zh-CN"/>
              </w:rPr>
              <w:t>吉祥路46号办公楼相关维修改造工程勘察设计施工总承包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1.1.5</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建设地点</w:t>
            </w:r>
          </w:p>
        </w:tc>
        <w:tc>
          <w:tcPr>
            <w:tcW w:w="5979" w:type="dxa"/>
            <w:gridSpan w:val="2"/>
            <w:noWrap w:val="0"/>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u w:val="single"/>
                <w:lang w:eastAsia="zh-CN"/>
              </w:rPr>
              <w:t>广州市越秀区吉祥路46号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1.2.1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资金来源及比例</w:t>
            </w:r>
          </w:p>
        </w:tc>
        <w:tc>
          <w:tcPr>
            <w:tcW w:w="5979" w:type="dxa"/>
            <w:gridSpan w:val="2"/>
            <w:noWrap w:val="0"/>
            <w:vAlign w:val="center"/>
          </w:tcPr>
          <w:p>
            <w:pPr>
              <w:rPr>
                <w:rFonts w:ascii="宋体" w:hAnsi="宋体" w:cs="宋体"/>
                <w:color w:val="auto"/>
                <w:szCs w:val="21"/>
                <w:highlight w:val="none"/>
              </w:rPr>
            </w:pPr>
            <w:r>
              <w:rPr>
                <w:rFonts w:hint="eastAsia" w:ascii="宋体" w:hAnsi="宋体"/>
                <w:color w:val="auto"/>
                <w:szCs w:val="21"/>
                <w:highlight w:val="none"/>
              </w:rPr>
              <w:t>广州市统筹资金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1.2.2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资金落实情况</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1.3.1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招标范围</w:t>
            </w:r>
          </w:p>
        </w:tc>
        <w:tc>
          <w:tcPr>
            <w:tcW w:w="5979" w:type="dxa"/>
            <w:gridSpan w:val="2"/>
            <w:noWrap w:val="0"/>
            <w:vAlign w:val="center"/>
          </w:tcPr>
          <w:p>
            <w:pPr>
              <w:jc w:val="left"/>
              <w:rPr>
                <w:rFonts w:ascii="宋体" w:hAnsi="宋体" w:cs="宋体"/>
                <w:color w:val="auto"/>
                <w:szCs w:val="21"/>
                <w:highlight w:val="none"/>
              </w:rPr>
            </w:pPr>
            <w:r>
              <w:rPr>
                <w:rFonts w:hint="eastAsia" w:ascii="宋体" w:hAnsi="宋体" w:cs="宋体"/>
                <w:color w:val="auto"/>
                <w:szCs w:val="21"/>
                <w:highlight w:val="none"/>
              </w:rPr>
              <w:t>见招标公告</w:t>
            </w:r>
          </w:p>
          <w:p>
            <w:pPr>
              <w:pStyle w:val="11"/>
              <w:rPr>
                <w:rFonts w:hint="eastAsia"/>
                <w:color w:val="auto"/>
                <w:highlight w:val="none"/>
              </w:rPr>
            </w:pPr>
            <w:r>
              <w:rPr>
                <w:rFonts w:hint="eastAsia" w:hAnsi="宋体" w:cs="宋体"/>
                <w:color w:val="auto"/>
                <w:kern w:val="2"/>
                <w:sz w:val="21"/>
                <w:szCs w:val="21"/>
                <w:highlight w:val="none"/>
              </w:rPr>
              <w:t>备注：招标人有权根据项目的实际情况增加和减少工作内容。承包人资质承包范围不能涵盖或不具备相应能力(该能力须保证进度和质量且须获得发包人认可)的部分专业工程，可委托具备相应专业资质和能力的单位实施，但该专业实施单位需获得发包人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1.3.2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计划工期</w:t>
            </w:r>
          </w:p>
        </w:tc>
        <w:tc>
          <w:tcPr>
            <w:tcW w:w="5979" w:type="dxa"/>
            <w:gridSpan w:val="2"/>
            <w:noWrap w:val="0"/>
            <w:vAlign w:val="center"/>
          </w:tcPr>
          <w:p>
            <w:pPr>
              <w:rPr>
                <w:color w:val="auto"/>
                <w:highlight w:val="none"/>
              </w:rPr>
            </w:pPr>
            <w:r>
              <w:rPr>
                <w:rFonts w:ascii="宋体" w:hAnsi="宋体" w:cs="宋体"/>
                <w:color w:val="auto"/>
                <w:szCs w:val="21"/>
                <w:highlight w:val="none"/>
              </w:rPr>
              <w:t>总工期：</w:t>
            </w:r>
            <w:r>
              <w:rPr>
                <w:rFonts w:hint="eastAsia" w:ascii="宋体" w:hAnsi="宋体" w:cs="宋体"/>
                <w:color w:val="auto"/>
                <w:szCs w:val="21"/>
                <w:highlight w:val="none"/>
                <w:u w:val="single"/>
                <w:lang w:eastAsia="zh-CN"/>
              </w:rPr>
              <w:t xml:space="preserve"> </w:t>
            </w:r>
            <w:r>
              <w:rPr>
                <w:rFonts w:hint="default" w:ascii="宋体" w:hAnsi="宋体" w:cs="宋体"/>
                <w:color w:val="auto"/>
                <w:szCs w:val="21"/>
                <w:highlight w:val="none"/>
                <w:u w:val="single"/>
                <w:lang w:eastAsia="zh-CN"/>
              </w:rPr>
              <w:t>437</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rPr>
              <w:t>个日历天（含勘察、设计、施工工期）</w:t>
            </w:r>
            <w:r>
              <w:rPr>
                <w:rFonts w:hint="eastAsia" w:ascii="宋体" w:hAnsi="宋体" w:cs="宋体"/>
                <w:color w:val="auto"/>
                <w:szCs w:val="21"/>
                <w:highlight w:val="none"/>
                <w:lang w:eastAsia="zh-CN"/>
              </w:rPr>
              <w:t>，</w:t>
            </w:r>
            <w:r>
              <w:rPr>
                <w:rFonts w:ascii="宋体" w:hAnsi="宋体" w:cs="宋体"/>
                <w:color w:val="auto"/>
                <w:szCs w:val="21"/>
                <w:highlight w:val="none"/>
              </w:rPr>
              <w:t>计划2024年</w:t>
            </w:r>
            <w:r>
              <w:rPr>
                <w:rFonts w:hint="eastAsia" w:ascii="宋体" w:hAnsi="宋体" w:cs="宋体"/>
                <w:color w:val="auto"/>
                <w:szCs w:val="21"/>
                <w:highlight w:val="none"/>
                <w:lang w:val="en-US" w:eastAsia="zh-CN"/>
              </w:rPr>
              <w:t>7</w:t>
            </w:r>
            <w:r>
              <w:rPr>
                <w:rFonts w:ascii="宋体" w:hAnsi="宋体" w:cs="宋体"/>
                <w:color w:val="auto"/>
                <w:szCs w:val="21"/>
                <w:highlight w:val="none"/>
              </w:rPr>
              <w:t>月20日开始勘察、设计等前期工作。其中，</w:t>
            </w:r>
            <w:r>
              <w:rPr>
                <w:rFonts w:hint="eastAsia" w:ascii="宋体" w:hAnsi="宋体" w:cs="宋体"/>
                <w:color w:val="auto"/>
                <w:szCs w:val="21"/>
                <w:highlight w:val="none"/>
              </w:rPr>
              <w:t>自2024年12月</w:t>
            </w:r>
            <w:r>
              <w:rPr>
                <w:rFonts w:hint="default" w:ascii="宋体" w:hAnsi="宋体" w:cs="宋体"/>
                <w:color w:val="auto"/>
                <w:szCs w:val="21"/>
                <w:highlight w:val="none"/>
              </w:rPr>
              <w:t>20</w:t>
            </w:r>
            <w:r>
              <w:rPr>
                <w:rFonts w:hint="eastAsia" w:ascii="宋体" w:hAnsi="宋体" w:cs="宋体"/>
                <w:color w:val="auto"/>
                <w:szCs w:val="21"/>
                <w:highlight w:val="none"/>
              </w:rPr>
              <w:t>日进场（具体开工日期以总监理工程师发出的开工令为准），至2025年7月30日完成实体工程，2025年9月30日完成竣工验收及移交工作。</w:t>
            </w:r>
            <w:r>
              <w:rPr>
                <w:rFonts w:ascii="宋体" w:hAnsi="宋体" w:cs="宋体"/>
                <w:color w:val="auto"/>
                <w:szCs w:val="21"/>
                <w:highlight w:val="none"/>
              </w:rPr>
              <w:t>施工</w:t>
            </w:r>
            <w:r>
              <w:rPr>
                <w:rFonts w:hint="eastAsia" w:ascii="宋体" w:hAnsi="宋体" w:cs="宋体"/>
                <w:color w:val="auto"/>
                <w:szCs w:val="21"/>
                <w:highlight w:val="none"/>
                <w:lang w:val="en-US" w:eastAsia="zh-CN"/>
              </w:rPr>
              <w:t>总</w:t>
            </w:r>
            <w:r>
              <w:rPr>
                <w:rFonts w:ascii="宋体" w:hAnsi="宋体" w:cs="宋体"/>
                <w:color w:val="auto"/>
                <w:szCs w:val="21"/>
                <w:highlight w:val="none"/>
              </w:rPr>
              <w:t>工期：</w:t>
            </w:r>
            <w:r>
              <w:rPr>
                <w:rFonts w:hint="eastAsia" w:ascii="宋体" w:hAnsi="宋体" w:cs="宋体"/>
                <w:color w:val="auto"/>
                <w:szCs w:val="21"/>
                <w:highlight w:val="none"/>
                <w:lang w:val="en-US" w:eastAsia="zh-CN"/>
              </w:rPr>
              <w:t>290</w:t>
            </w:r>
            <w:r>
              <w:rPr>
                <w:rFonts w:ascii="宋体" w:hAnsi="宋体" w:cs="宋体"/>
                <w:color w:val="auto"/>
                <w:szCs w:val="21"/>
                <w:highlight w:val="none"/>
              </w:rPr>
              <w:t>个日历天。</w:t>
            </w:r>
            <w:r>
              <w:rPr>
                <w:rFonts w:hint="eastAsia" w:ascii="宋体" w:hAnsi="宋体" w:cs="宋体"/>
                <w:color w:val="auto"/>
                <w:szCs w:val="21"/>
                <w:highlight w:val="none"/>
                <w:lang w:val="en-US" w:eastAsia="zh-CN"/>
              </w:rPr>
              <w:t>该项目施工总工期除因不可抗力原因外，其余因现场施工条件有限影响现场施工进度，以及周边居民投诉导致停工等不利场地因素，不作为工期延期调整依据。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1.3.3</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质量标准</w:t>
            </w:r>
          </w:p>
        </w:tc>
        <w:tc>
          <w:tcPr>
            <w:tcW w:w="5979" w:type="dxa"/>
            <w:gridSpan w:val="2"/>
            <w:noWrap w:val="0"/>
            <w:vAlign w:val="center"/>
          </w:tcPr>
          <w:p>
            <w:pPr>
              <w:adjustRightInd w:val="0"/>
              <w:snapToGrid w:val="0"/>
              <w:rPr>
                <w:rFonts w:ascii="宋体" w:hAnsi="宋体" w:cs="宋体"/>
                <w:bCs/>
                <w:color w:val="auto"/>
                <w:szCs w:val="21"/>
                <w:highlight w:val="none"/>
              </w:rPr>
            </w:pPr>
            <w:r>
              <w:rPr>
                <w:rFonts w:hint="eastAsia" w:ascii="宋体" w:hAnsi="宋体" w:cs="宋体"/>
                <w:bCs/>
                <w:color w:val="auto"/>
                <w:szCs w:val="21"/>
                <w:highlight w:val="none"/>
              </w:rPr>
              <w:t>1. 设计要求的质量标准：符合建设工程设计的技术规范及本项目设计任务书的要求。</w:t>
            </w:r>
          </w:p>
          <w:p>
            <w:pPr>
              <w:adjustRightInd w:val="0"/>
              <w:snapToGrid w:val="0"/>
              <w:rPr>
                <w:rFonts w:hint="eastAsia"/>
                <w:color w:val="auto"/>
                <w:highlight w:val="none"/>
              </w:rPr>
            </w:pPr>
            <w:r>
              <w:rPr>
                <w:rFonts w:hint="eastAsia" w:ascii="宋体" w:hAnsi="宋体" w:cs="宋体"/>
                <w:bCs/>
                <w:color w:val="auto"/>
                <w:szCs w:val="21"/>
                <w:highlight w:val="none"/>
              </w:rPr>
              <w:t>2.施工质量标准：</w:t>
            </w:r>
            <w:r>
              <w:rPr>
                <w:rFonts w:hint="eastAsia"/>
                <w:color w:val="auto"/>
                <w:highlight w:val="none"/>
              </w:rPr>
              <w:t>一次竣工验收合格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1.4.1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投标人资质条件、能力和信誉</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1.4.2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是否接受联合体投标</w:t>
            </w:r>
          </w:p>
        </w:tc>
        <w:tc>
          <w:tcPr>
            <w:tcW w:w="5979" w:type="dxa"/>
            <w:gridSpan w:val="2"/>
            <w:noWrap w:val="0"/>
            <w:vAlign w:val="center"/>
          </w:tcPr>
          <w:p>
            <w:pPr>
              <w:pStyle w:val="8"/>
              <w:topLinePun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□不接受</w:t>
            </w:r>
          </w:p>
          <w:p>
            <w:pPr>
              <w:pStyle w:val="8"/>
              <w:topLinePunct/>
              <w:rPr>
                <w:rFonts w:hint="eastAsia" w:ascii="宋体" w:hAnsi="宋体" w:cs="宋体"/>
                <w:color w:val="auto"/>
                <w:sz w:val="21"/>
                <w:szCs w:val="21"/>
                <w:highlight w:val="none"/>
              </w:rPr>
            </w:pPr>
            <w:r>
              <w:rPr>
                <w:rFonts w:hint="eastAsia" w:ascii="宋体" w:hAnsi="宋体" w:cs="宋体"/>
                <w:color w:val="auto"/>
                <w:kern w:val="2"/>
                <w:sz w:val="21"/>
                <w:szCs w:val="21"/>
                <w:highlight w:val="none"/>
              </w:rPr>
              <w:t>■接</w:t>
            </w:r>
            <w:r>
              <w:rPr>
                <w:rFonts w:hint="eastAsia" w:ascii="宋体" w:hAnsi="宋体" w:cs="宋体"/>
                <w:color w:val="auto"/>
                <w:sz w:val="21"/>
                <w:szCs w:val="21"/>
                <w:highlight w:val="none"/>
              </w:rPr>
              <w:t>受，应满足下列要求：</w:t>
            </w:r>
            <w:r>
              <w:rPr>
                <w:rFonts w:hint="eastAsia" w:ascii="宋体" w:hAnsi="宋体" w:cs="宋体"/>
                <w:color w:val="auto"/>
                <w:sz w:val="21"/>
                <w:szCs w:val="21"/>
                <w:highlight w:val="none"/>
                <w:u w:val="single"/>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1.5</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费用承担和设计成果补偿</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不补偿</w:t>
            </w:r>
          </w:p>
          <w:p>
            <w:pPr>
              <w:rPr>
                <w:rFonts w:hint="eastAsia" w:ascii="宋体" w:hAnsi="宋体" w:cs="宋体"/>
                <w:color w:val="auto"/>
                <w:szCs w:val="21"/>
                <w:highlight w:val="none"/>
              </w:rPr>
            </w:pPr>
            <w:r>
              <w:rPr>
                <w:rFonts w:hint="eastAsia" w:ascii="宋体" w:hAnsi="宋体" w:cs="宋体"/>
                <w:color w:val="auto"/>
                <w:szCs w:val="21"/>
                <w:highlight w:val="none"/>
              </w:rPr>
              <w:t>■补偿：见本项目招标公告要求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1.9.1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踏勘</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不组织：投标人可自行结合招标文件等对工程现场及周围环境进行踏勘，以便获取有关编制投标文件和签署合同所涉及现场的资料。考察期间所发生一切费用或意外由投标人自行负责。</w:t>
            </w:r>
          </w:p>
          <w:p>
            <w:pPr>
              <w:rPr>
                <w:rFonts w:hint="eastAsia" w:ascii="宋体" w:hAnsi="宋体" w:cs="宋体"/>
                <w:color w:val="auto"/>
                <w:szCs w:val="21"/>
                <w:highlight w:val="none"/>
              </w:rPr>
            </w:pPr>
            <w:r>
              <w:rPr>
                <w:rFonts w:hint="eastAsia" w:ascii="宋体" w:hAnsi="宋体" w:cs="宋体"/>
                <w:color w:val="auto"/>
                <w:szCs w:val="21"/>
                <w:highlight w:val="none"/>
              </w:rPr>
              <w:t>□组织，踏勘时间：</w:t>
            </w:r>
          </w:p>
          <w:p>
            <w:pPr>
              <w:rPr>
                <w:rFonts w:hint="eastAsia" w:ascii="宋体" w:hAnsi="宋体" w:cs="宋体"/>
                <w:color w:val="auto"/>
                <w:szCs w:val="21"/>
                <w:highlight w:val="none"/>
              </w:rPr>
            </w:pPr>
            <w:r>
              <w:rPr>
                <w:rFonts w:hint="eastAsia" w:ascii="宋体" w:hAnsi="宋体" w:cs="宋体"/>
                <w:color w:val="auto"/>
                <w:szCs w:val="21"/>
                <w:highlight w:val="none"/>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1.10.1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投标预备会</w:t>
            </w:r>
          </w:p>
        </w:tc>
        <w:tc>
          <w:tcPr>
            <w:tcW w:w="5979" w:type="dxa"/>
            <w:gridSpan w:val="2"/>
            <w:noWrap w:val="0"/>
            <w:vAlign w:val="center"/>
          </w:tcPr>
          <w:p>
            <w:pPr>
              <w:pStyle w:val="8"/>
              <w:topLinePun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■不召开</w:t>
            </w:r>
          </w:p>
          <w:p>
            <w:pPr>
              <w:widowControl/>
              <w:rPr>
                <w:rFonts w:hint="eastAsia" w:ascii="宋体" w:hAnsi="宋体" w:cs="宋体"/>
                <w:color w:val="auto"/>
                <w:kern w:val="0"/>
                <w:szCs w:val="21"/>
                <w:highlight w:val="none"/>
              </w:rPr>
            </w:pPr>
            <w:r>
              <w:rPr>
                <w:rFonts w:hint="eastAsia" w:ascii="宋体" w:hAnsi="宋体" w:cs="宋体"/>
                <w:color w:val="auto"/>
                <w:szCs w:val="21"/>
                <w:highlight w:val="none"/>
              </w:rPr>
              <w:t>□</w:t>
            </w:r>
            <w:r>
              <w:rPr>
                <w:rFonts w:hint="eastAsia" w:ascii="宋体" w:hAnsi="宋体" w:cs="宋体"/>
                <w:color w:val="auto"/>
                <w:kern w:val="0"/>
                <w:szCs w:val="21"/>
                <w:highlight w:val="none"/>
              </w:rPr>
              <w:t>召开，召开时间：</w:t>
            </w:r>
          </w:p>
          <w:p>
            <w:pPr>
              <w:ind w:firstLine="840" w:firstLineChars="400"/>
              <w:rPr>
                <w:rFonts w:hint="eastAsia" w:ascii="宋体" w:hAnsi="宋体" w:cs="宋体"/>
                <w:color w:val="auto"/>
                <w:szCs w:val="21"/>
                <w:highlight w:val="none"/>
              </w:rPr>
            </w:pPr>
            <w:r>
              <w:rPr>
                <w:rFonts w:hint="eastAsia" w:ascii="宋体" w:hAnsi="宋体" w:cs="宋体"/>
                <w:color w:val="auto"/>
                <w:kern w:val="0"/>
                <w:szCs w:val="21"/>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1.10.2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olor w:val="auto"/>
                <w:szCs w:val="21"/>
                <w:highlight w:val="none"/>
              </w:rPr>
              <w:t>投标人提出问题的截止时间</w:t>
            </w:r>
          </w:p>
        </w:tc>
        <w:tc>
          <w:tcPr>
            <w:tcW w:w="5979" w:type="dxa"/>
            <w:gridSpan w:val="2"/>
            <w:noWrap w:val="0"/>
            <w:vAlign w:val="center"/>
          </w:tcPr>
          <w:p>
            <w:pPr>
              <w:rPr>
                <w:rFonts w:hint="eastAsia" w:ascii="宋体" w:hAnsi="宋体" w:cs="宋体"/>
                <w:color w:val="auto"/>
                <w:kern w:val="0"/>
                <w:szCs w:val="21"/>
                <w:highlight w:val="none"/>
              </w:rPr>
            </w:pPr>
            <w:r>
              <w:rPr>
                <w:rFonts w:hint="eastAsia" w:ascii="宋体" w:hAnsi="宋体" w:cs="宋体"/>
                <w:color w:val="auto"/>
                <w:kern w:val="0"/>
                <w:szCs w:val="21"/>
                <w:highlight w:val="none"/>
              </w:rPr>
              <w:t>1.方式：网上答疑。</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2.投标人提出问题期限：在规定的时间前</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3.招标人澄清、修补或答疑期限：在递交投标文件截止日期前15日。</w:t>
            </w:r>
          </w:p>
          <w:p>
            <w:pPr>
              <w:rPr>
                <w:rFonts w:hint="eastAsia" w:ascii="宋体" w:hAnsi="宋体" w:cs="宋体"/>
                <w:color w:val="auto"/>
                <w:szCs w:val="21"/>
                <w:highlight w:val="none"/>
              </w:rPr>
            </w:pPr>
            <w:r>
              <w:rPr>
                <w:rFonts w:hint="eastAsia" w:ascii="宋体" w:hAnsi="宋体" w:cs="宋体"/>
                <w:color w:val="auto"/>
                <w:kern w:val="0"/>
                <w:szCs w:val="21"/>
                <w:highlight w:val="none"/>
              </w:rPr>
              <w:t>具体操作方法详见《</w:t>
            </w:r>
            <w:r>
              <w:rPr>
                <w:rFonts w:hint="eastAsia" w:ascii="宋体" w:hAnsi="宋体" w:cs="宋体"/>
                <w:b/>
                <w:color w:val="auto"/>
                <w:szCs w:val="21"/>
                <w:highlight w:val="none"/>
              </w:rPr>
              <w:t>建设工程全流程电子化项目操作指南</w:t>
            </w:r>
            <w:r>
              <w:rPr>
                <w:rFonts w:hint="eastAsia" w:ascii="宋体" w:hAnsi="宋体" w:cs="宋体"/>
                <w:color w:val="auto"/>
                <w:kern w:val="0"/>
                <w:szCs w:val="21"/>
                <w:highlight w:val="none"/>
              </w:rPr>
              <w:t>》</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1.10.3</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招标人书面澄清的时间</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szCs w:val="21"/>
                <w:highlight w:val="none"/>
              </w:rPr>
              <w:t>在递交投标文件截止日期前15日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1.11.1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招标人规定由分包人承担的工作</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1.11.2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投标人拟分包的工作</w:t>
            </w:r>
          </w:p>
        </w:tc>
        <w:tc>
          <w:tcPr>
            <w:tcW w:w="5979" w:type="dxa"/>
            <w:gridSpan w:val="2"/>
            <w:noWrap w:val="0"/>
            <w:vAlign w:val="center"/>
          </w:tcPr>
          <w:p>
            <w:pPr>
              <w:pStyle w:val="8"/>
              <w:topLinePun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□不允许</w:t>
            </w:r>
          </w:p>
          <w:p>
            <w:pPr>
              <w:keepNext w:val="0"/>
              <w:keepLines w:val="0"/>
              <w:suppressLineNumbers w:val="0"/>
              <w:spacing w:before="0" w:beforeAutospacing="0" w:after="0" w:afterAutospacing="0"/>
              <w:ind w:left="0" w:right="0" w:firstLine="0" w:firstLineChars="0"/>
              <w:rPr>
                <w:rFonts w:hint="default" w:ascii="Times New Roman" w:hAnsi="Times New Roman"/>
                <w:color w:val="auto"/>
                <w:kern w:val="0"/>
                <w:szCs w:val="21"/>
                <w:highlight w:val="none"/>
                <w:lang w:val="zh-CN"/>
              </w:rPr>
            </w:pPr>
            <w:r>
              <w:rPr>
                <w:rFonts w:hint="eastAsia" w:ascii="Times New Roman" w:hAnsi="Times New Roman" w:cs="宋体"/>
                <w:color w:val="auto"/>
                <w:kern w:val="0"/>
                <w:szCs w:val="21"/>
                <w:highlight w:val="none"/>
              </w:rPr>
              <w:t>■</w:t>
            </w:r>
            <w:r>
              <w:rPr>
                <w:rFonts w:hint="eastAsia" w:ascii="Times New Roman" w:hAnsi="Times New Roman"/>
                <w:color w:val="auto"/>
                <w:kern w:val="0"/>
                <w:szCs w:val="21"/>
                <w:highlight w:val="none"/>
                <w:lang w:val="zh-CN"/>
              </w:rPr>
              <w:t>允许：</w:t>
            </w:r>
          </w:p>
          <w:p>
            <w:pPr>
              <w:keepNext w:val="0"/>
              <w:keepLines w:val="0"/>
              <w:widowControl w:val="0"/>
              <w:suppressLineNumbers w:val="0"/>
              <w:spacing w:before="0" w:beforeAutospacing="0" w:after="0" w:afterAutospacing="0"/>
              <w:ind w:left="0" w:right="0" w:firstLine="0" w:firstLineChars="0"/>
              <w:jc w:val="both"/>
              <w:rPr>
                <w:rFonts w:hint="default" w:ascii="Times New Roman" w:hAnsi="Times New Roman" w:eastAsia="宋体" w:cs="Times New Roman"/>
                <w:color w:val="auto"/>
                <w:kern w:val="2"/>
                <w:sz w:val="21"/>
                <w:szCs w:val="21"/>
                <w:highlight w:val="none"/>
              </w:rPr>
            </w:pPr>
            <w:r>
              <w:rPr>
                <w:rFonts w:hint="default" w:ascii="宋体" w:hAnsi="宋体" w:eastAsia="宋体" w:cs="宋体"/>
                <w:color w:val="auto"/>
                <w:kern w:val="0"/>
                <w:sz w:val="21"/>
                <w:szCs w:val="21"/>
                <w:highlight w:val="none"/>
                <w:lang w:eastAsia="zh-CN" w:bidi="ar"/>
              </w:rPr>
              <w:t xml:space="preserve">  </w:t>
            </w:r>
            <w:r>
              <w:rPr>
                <w:rFonts w:hint="eastAsia" w:ascii="宋体" w:hAnsi="宋体" w:eastAsia="宋体" w:cs="宋体"/>
                <w:color w:val="auto"/>
                <w:kern w:val="0"/>
                <w:sz w:val="21"/>
                <w:szCs w:val="21"/>
                <w:highlight w:val="none"/>
                <w:lang w:val="en-US" w:eastAsia="zh-CN" w:bidi="ar"/>
              </w:rPr>
              <w:t>分包内容要求：</w:t>
            </w:r>
            <w:r>
              <w:rPr>
                <w:rFonts w:hint="eastAsia" w:ascii="宋体" w:hAnsi="宋体" w:eastAsia="宋体" w:cs="宋体"/>
                <w:color w:val="auto"/>
                <w:kern w:val="0"/>
                <w:sz w:val="21"/>
                <w:szCs w:val="21"/>
                <w:highlight w:val="none"/>
                <w:u w:val="single"/>
                <w:lang w:val="en-US" w:eastAsia="zh-CN" w:bidi="ar"/>
              </w:rPr>
              <w:t>非主体、非关键性工程。</w:t>
            </w:r>
          </w:p>
          <w:p>
            <w:pPr>
              <w:keepNext w:val="0"/>
              <w:keepLines w:val="0"/>
              <w:widowControl w:val="0"/>
              <w:suppressLineNumbers w:val="0"/>
              <w:spacing w:before="0" w:beforeAutospacing="0" w:after="0" w:afterAutospacing="0"/>
              <w:ind w:left="0" w:right="0" w:firstLine="0" w:firstLineChars="0"/>
              <w:jc w:val="both"/>
              <w:rPr>
                <w:rFonts w:hint="default" w:ascii="Times New Roman" w:hAnsi="Times New Roman" w:eastAsia="宋体" w:cs="Times New Roman"/>
                <w:color w:val="auto"/>
                <w:kern w:val="0"/>
                <w:sz w:val="21"/>
                <w:szCs w:val="21"/>
                <w:highlight w:val="none"/>
              </w:rPr>
            </w:pPr>
            <w:r>
              <w:rPr>
                <w:rFonts w:hint="default" w:ascii="宋体" w:hAnsi="宋体" w:eastAsia="宋体" w:cs="宋体"/>
                <w:color w:val="auto"/>
                <w:kern w:val="0"/>
                <w:sz w:val="21"/>
                <w:szCs w:val="21"/>
                <w:highlight w:val="none"/>
                <w:lang w:eastAsia="zh-CN" w:bidi="ar"/>
              </w:rPr>
              <w:t xml:space="preserve">  </w:t>
            </w:r>
            <w:r>
              <w:rPr>
                <w:rFonts w:hint="eastAsia" w:ascii="宋体" w:hAnsi="宋体" w:eastAsia="宋体" w:cs="宋体"/>
                <w:color w:val="auto"/>
                <w:kern w:val="0"/>
                <w:sz w:val="21"/>
                <w:szCs w:val="21"/>
                <w:highlight w:val="none"/>
                <w:lang w:val="en-US" w:eastAsia="zh-CN" w:bidi="ar"/>
              </w:rPr>
              <w:t>分包金额要求：为促进中小企业发展，本工程约定如下：</w:t>
            </w:r>
          </w:p>
          <w:p>
            <w:pPr>
              <w:keepNext w:val="0"/>
              <w:keepLines w:val="0"/>
              <w:widowControl w:val="0"/>
              <w:suppressLineNumbers w:val="0"/>
              <w:spacing w:before="0" w:beforeAutospacing="0" w:after="0" w:afterAutospacing="0"/>
              <w:ind w:left="0" w:right="0" w:firstLine="0" w:firstLineChars="0"/>
              <w:jc w:val="both"/>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eastAsia="zh-CN" w:bidi="ar"/>
              </w:rPr>
              <w:t xml:space="preserve">  </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承包人不属于中小企业的，必须将本项目合同分包给一家或者多家中小企业，或采购中小企业作为供应商提供的材料设备及将劳务分包给中小企业。前述各方式中，中小企业累计承担的合同份额占项目总投资额的比例达到</w:t>
            </w:r>
            <w:r>
              <w:rPr>
                <w:rFonts w:hint="default" w:ascii="Times New Roman" w:hAnsi="Times New Roman" w:eastAsia="宋体" w:cs="Times New Roman"/>
                <w:color w:val="auto"/>
                <w:kern w:val="0"/>
                <w:sz w:val="21"/>
                <w:szCs w:val="21"/>
                <w:highlight w:val="none"/>
                <w:lang w:val="en-US" w:eastAsia="zh-CN" w:bidi="ar"/>
              </w:rPr>
              <w:t>40%</w:t>
            </w:r>
            <w:r>
              <w:rPr>
                <w:rFonts w:hint="eastAsia" w:ascii="宋体" w:hAnsi="宋体" w:eastAsia="宋体" w:cs="宋体"/>
                <w:color w:val="auto"/>
                <w:kern w:val="0"/>
                <w:sz w:val="21"/>
                <w:szCs w:val="21"/>
                <w:highlight w:val="none"/>
                <w:lang w:val="en-US" w:eastAsia="zh-CN" w:bidi="ar"/>
              </w:rPr>
              <w:t>以上（其中预留给小微企业的部分不低于项目总投资额的</w:t>
            </w:r>
            <w:r>
              <w:rPr>
                <w:rFonts w:hint="default" w:ascii="Times New Roman" w:hAnsi="Times New Roman" w:eastAsia="宋体" w:cs="Times New Roman"/>
                <w:color w:val="auto"/>
                <w:kern w:val="0"/>
                <w:sz w:val="21"/>
                <w:szCs w:val="21"/>
                <w:highlight w:val="none"/>
                <w:lang w:val="en-US" w:eastAsia="zh-CN" w:bidi="ar"/>
              </w:rPr>
              <w:t>28%</w:t>
            </w:r>
            <w:r>
              <w:rPr>
                <w:rFonts w:hint="eastAsia" w:ascii="宋体" w:hAnsi="宋体" w:eastAsia="宋体" w:cs="宋体"/>
                <w:color w:val="auto"/>
                <w:kern w:val="0"/>
                <w:sz w:val="21"/>
                <w:szCs w:val="21"/>
                <w:highlight w:val="none"/>
                <w:lang w:val="en-US" w:eastAsia="zh-CN" w:bidi="ar"/>
              </w:rPr>
              <w:t>。最终比例以发包人审核确认为准），拟分包的中小企业与承包人之间不得存在直接控股、管理关系。</w:t>
            </w:r>
            <w:r>
              <w:rPr>
                <w:rFonts w:hint="eastAsia" w:ascii="Times New Roman" w:hAnsi="Times New Roman" w:eastAsia="宋体" w:cs="Times New Roman"/>
                <w:color w:val="auto"/>
                <w:kern w:val="0"/>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firstLine="0" w:firstLineChars="0"/>
              <w:jc w:val="both"/>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eastAsia="zh-CN" w:bidi="ar"/>
              </w:rPr>
              <w:t xml:space="preserve">  </w:t>
            </w:r>
            <w:r>
              <w:rPr>
                <w:rFonts w:hint="default" w:ascii="Times New Roman" w:hAnsi="Times New Roman" w:eastAsia="宋体" w:cs="Times New Roman"/>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承包人属于中型企业的，必须将本项目合同分包给一家或者多家小微企业，小微企业承担的合同份额不低于项目总投资额的</w:t>
            </w:r>
            <w:r>
              <w:rPr>
                <w:rFonts w:hint="default" w:ascii="Times New Roman" w:hAnsi="Times New Roman" w:eastAsia="宋体" w:cs="Times New Roman"/>
                <w:color w:val="auto"/>
                <w:kern w:val="0"/>
                <w:sz w:val="21"/>
                <w:szCs w:val="21"/>
                <w:highlight w:val="none"/>
                <w:lang w:val="en-US" w:eastAsia="zh-CN" w:bidi="ar"/>
              </w:rPr>
              <w:t>28%</w:t>
            </w:r>
            <w:r>
              <w:rPr>
                <w:rFonts w:hint="eastAsia" w:ascii="宋体" w:hAnsi="宋体" w:eastAsia="宋体" w:cs="宋体"/>
                <w:color w:val="auto"/>
                <w:kern w:val="0"/>
                <w:sz w:val="21"/>
                <w:szCs w:val="21"/>
                <w:highlight w:val="none"/>
                <w:lang w:val="en-US" w:eastAsia="zh-CN" w:bidi="ar"/>
              </w:rPr>
              <w:t>（最终比例以发包人审核确认为准），拟分包的中小企业与承包人之间不得存在直接控股、管理关系。</w:t>
            </w:r>
          </w:p>
          <w:p>
            <w:pPr>
              <w:keepNext w:val="0"/>
              <w:keepLines w:val="0"/>
              <w:widowControl w:val="0"/>
              <w:suppressLineNumbers w:val="0"/>
              <w:spacing w:before="0" w:beforeAutospacing="0" w:after="0" w:afterAutospacing="0"/>
              <w:ind w:left="0" w:right="0" w:firstLine="0" w:firstLineChars="0"/>
              <w:jc w:val="both"/>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eastAsia="zh-CN" w:bidi="ar"/>
              </w:rPr>
              <w:t xml:space="preserve">  </w:t>
            </w:r>
            <w:r>
              <w:rPr>
                <w:rFonts w:hint="default" w:ascii="Times New Roman" w:hAnsi="Times New Roman" w:eastAsia="宋体" w:cs="Times New Roman"/>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承包人属于小微企业的，是否采取分包不作强制要求。对分包人的资质要求：</w:t>
            </w:r>
            <w:r>
              <w:rPr>
                <w:rFonts w:hint="eastAsia" w:ascii="宋体" w:hAnsi="宋体" w:eastAsia="宋体" w:cs="宋体"/>
                <w:color w:val="auto"/>
                <w:kern w:val="0"/>
                <w:sz w:val="21"/>
                <w:szCs w:val="21"/>
                <w:highlight w:val="none"/>
                <w:u w:val="single"/>
                <w:lang w:val="en-US" w:eastAsia="zh-CN" w:bidi="ar"/>
              </w:rPr>
              <w:t>对于非主体、非关键性工程，需经发包人审核批准后依法分包给具有相应资质和能力的专业单位实施。</w:t>
            </w:r>
          </w:p>
          <w:p>
            <w:pPr>
              <w:rPr>
                <w:rFonts w:hint="eastAsia" w:ascii="宋体" w:hAnsi="宋体" w:cs="宋体"/>
                <w:color w:val="auto"/>
                <w:szCs w:val="21"/>
                <w:highlight w:val="none"/>
              </w:rPr>
            </w:pPr>
            <w:r>
              <w:rPr>
                <w:rFonts w:hint="default" w:ascii="宋体" w:hAnsi="宋体" w:eastAsia="宋体" w:cs="宋体"/>
                <w:color w:val="auto"/>
                <w:kern w:val="0"/>
                <w:sz w:val="21"/>
                <w:szCs w:val="21"/>
                <w:highlight w:val="none"/>
                <w:lang w:eastAsia="zh-CN" w:bidi="ar"/>
              </w:rPr>
              <w:t xml:space="preserve">  </w:t>
            </w:r>
            <w:r>
              <w:rPr>
                <w:rFonts w:hint="eastAsia" w:ascii="宋体" w:hAnsi="宋体" w:eastAsia="宋体" w:cs="宋体"/>
                <w:color w:val="auto"/>
                <w:kern w:val="0"/>
                <w:sz w:val="21"/>
                <w:szCs w:val="21"/>
                <w:highlight w:val="none"/>
                <w:lang w:val="en-US" w:eastAsia="zh-CN" w:bidi="ar"/>
              </w:rPr>
              <w:t>对分包人的其他要求：（详见合同约定）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1.12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偏离</w:t>
            </w:r>
          </w:p>
        </w:tc>
        <w:tc>
          <w:tcPr>
            <w:tcW w:w="5979" w:type="dxa"/>
            <w:gridSpan w:val="2"/>
            <w:noWrap w:val="0"/>
            <w:vAlign w:val="center"/>
          </w:tcPr>
          <w:p>
            <w:pPr>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■不允许</w:t>
            </w:r>
          </w:p>
          <w:p>
            <w:pPr>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□允许，允许偏离的内容、偏离范围和幅度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构成招标文件的其他资料</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u w:val="single"/>
              </w:rPr>
              <w:t>答疑纪要、澄清文件等（如有）</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投标人要求澄清招标文件的截止时间</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rPr>
              <w:t>同投标人提出问题的截止时间</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2.2.3</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投标人确认收到答疑纪要</w:t>
            </w:r>
          </w:p>
          <w:p>
            <w:pPr>
              <w:jc w:val="center"/>
              <w:rPr>
                <w:rFonts w:hint="eastAsia" w:ascii="宋体" w:hAnsi="宋体" w:cs="宋体"/>
                <w:color w:val="auto"/>
                <w:szCs w:val="21"/>
                <w:highlight w:val="none"/>
              </w:rPr>
            </w:pPr>
            <w:r>
              <w:rPr>
                <w:rFonts w:hint="eastAsia" w:ascii="宋体" w:hAnsi="宋体" w:cs="宋体"/>
                <w:color w:val="auto"/>
                <w:szCs w:val="21"/>
                <w:highlight w:val="none"/>
              </w:rPr>
              <w:t>或澄清的时间</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在广州公共资源交易中心网上答疑专区发布时视为投标人收到。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2.3.2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投标人确认收到招标文件修改的时间</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在广州公共资源交易中心网上答疑专区发布时视为投标人收到。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3.1.1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构成投标文件的其他资料</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见第五章《投标文件格式》要求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3.2.3</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最高投标限价</w:t>
            </w:r>
          </w:p>
        </w:tc>
        <w:tc>
          <w:tcPr>
            <w:tcW w:w="5979" w:type="dxa"/>
            <w:gridSpan w:val="2"/>
            <w:noWrap w:val="0"/>
            <w:vAlign w:val="center"/>
          </w:tcPr>
          <w:p>
            <w:pPr>
              <w:widowControl/>
              <w:jc w:val="left"/>
              <w:rPr>
                <w:rFonts w:hint="eastAsia" w:ascii="宋体" w:hAnsi="Calibri" w:cs="宋体"/>
                <w:color w:val="auto"/>
                <w:kern w:val="0"/>
                <w:szCs w:val="21"/>
                <w:highlight w:val="none"/>
              </w:rPr>
            </w:pPr>
            <w:r>
              <w:rPr>
                <w:rFonts w:hint="eastAsia" w:ascii="宋体" w:hAnsi="Calibri" w:cs="宋体"/>
                <w:color w:val="auto"/>
                <w:szCs w:val="21"/>
                <w:highlight w:val="none"/>
                <w:lang w:bidi="ar"/>
              </w:rPr>
              <w:t>本项目最高投标限价为：</w:t>
            </w:r>
            <w:r>
              <w:rPr>
                <w:rFonts w:hint="default" w:ascii="宋体" w:hAnsi="宋体"/>
                <w:color w:val="auto"/>
                <w:sz w:val="21"/>
                <w:szCs w:val="21"/>
                <w:highlight w:val="none"/>
              </w:rPr>
              <w:t>人民币57902040.2元，其中勘察费22500.00元（综合单价限价150元/米）；设计费1853640.20元；工程费53205900.00元；专项工程费2760000.00元；工程保险费60000.00元</w:t>
            </w:r>
            <w:r>
              <w:rPr>
                <w:rFonts w:hint="eastAsia" w:ascii="宋体" w:hAnsi="宋体"/>
                <w:color w:val="auto"/>
                <w:sz w:val="24"/>
                <w:szCs w:val="24"/>
                <w:highlight w:val="none"/>
              </w:rPr>
              <w:t>。</w:t>
            </w:r>
          </w:p>
          <w:p>
            <w:pPr>
              <w:widowControl/>
              <w:jc w:val="left"/>
              <w:rPr>
                <w:rFonts w:hint="eastAsia" w:ascii="宋体" w:hAnsi="宋体"/>
                <w:color w:val="auto"/>
                <w:highlight w:val="none"/>
              </w:rPr>
            </w:pPr>
            <w:r>
              <w:rPr>
                <w:rFonts w:hint="eastAsia" w:ascii="宋体" w:hAnsi="宋体" w:cs="宋体"/>
                <w:color w:val="auto"/>
                <w:szCs w:val="21"/>
                <w:highlight w:val="none"/>
                <w:lang w:bidi="ar"/>
              </w:rPr>
              <w:t>投标人的投标总价或勘察费或设计费</w:t>
            </w:r>
            <w:r>
              <w:rPr>
                <w:rFonts w:hint="eastAsia" w:ascii="宋体" w:hAnsi="宋体" w:cs="宋体"/>
                <w:color w:val="auto"/>
                <w:szCs w:val="21"/>
                <w:highlight w:val="none"/>
                <w:lang w:val="en-US" w:eastAsia="zh-CN" w:bidi="ar"/>
              </w:rPr>
              <w:t>或</w:t>
            </w:r>
            <w:r>
              <w:rPr>
                <w:rFonts w:hint="eastAsia" w:ascii="宋体" w:hAnsi="宋体" w:cs="宋体"/>
                <w:color w:val="auto"/>
                <w:szCs w:val="21"/>
                <w:highlight w:val="none"/>
                <w:lang w:bidi="ar"/>
              </w:rPr>
              <w:t>工程费或专项工程费超过上述最高投标限价的为无效标</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olor w:val="auto"/>
                <w:szCs w:val="21"/>
                <w:highlight w:val="none"/>
              </w:rPr>
              <w:t>3.2.5</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olor w:val="auto"/>
                <w:szCs w:val="21"/>
                <w:highlight w:val="none"/>
              </w:rPr>
              <w:t>投标报价的要求</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lang w:bidi="ar"/>
              </w:rPr>
              <w:t>1.投标报价由勘察费、设计费、工程费、专项工程费</w:t>
            </w:r>
            <w:r>
              <w:rPr>
                <w:rFonts w:ascii="宋体" w:hAnsi="宋体" w:cs="宋体"/>
                <w:color w:val="auto"/>
                <w:szCs w:val="21"/>
                <w:highlight w:val="none"/>
                <w:lang w:bidi="ar"/>
              </w:rPr>
              <w:t>、</w:t>
            </w:r>
            <w:r>
              <w:rPr>
                <w:rFonts w:hint="eastAsia" w:ascii="宋体" w:hAnsi="宋体" w:cs="宋体"/>
                <w:color w:val="auto"/>
                <w:szCs w:val="21"/>
                <w:highlight w:val="none"/>
                <w:lang w:bidi="ar"/>
              </w:rPr>
              <w:t>工程保险费等报价组成。</w:t>
            </w:r>
          </w:p>
          <w:p>
            <w:pPr>
              <w:rPr>
                <w:rFonts w:hint="eastAsia" w:ascii="宋体" w:hAnsi="宋体" w:cs="宋体"/>
                <w:color w:val="auto"/>
                <w:szCs w:val="21"/>
                <w:highlight w:val="none"/>
              </w:rPr>
            </w:pPr>
            <w:r>
              <w:rPr>
                <w:rFonts w:hint="eastAsia" w:ascii="宋体" w:hAnsi="宋体" w:cs="宋体"/>
                <w:color w:val="auto"/>
                <w:szCs w:val="21"/>
                <w:highlight w:val="none"/>
                <w:lang w:bidi="ar"/>
              </w:rPr>
              <w:t>（1）</w:t>
            </w:r>
            <w:r>
              <w:rPr>
                <w:rFonts w:hint="eastAsia" w:ascii="宋体" w:hAnsi="宋体" w:cs="宋体"/>
                <w:b/>
                <w:color w:val="auto"/>
                <w:szCs w:val="21"/>
                <w:highlight w:val="none"/>
                <w:lang w:bidi="ar"/>
              </w:rPr>
              <w:t>勘察费</w:t>
            </w:r>
            <w:r>
              <w:rPr>
                <w:rFonts w:hint="eastAsia" w:ascii="宋体" w:hAnsi="宋体" w:cs="宋体"/>
                <w:color w:val="auto"/>
                <w:szCs w:val="21"/>
                <w:highlight w:val="none"/>
                <w:lang w:bidi="ar"/>
              </w:rPr>
              <w:t>：投标报价不得高于</w:t>
            </w:r>
            <w:r>
              <w:rPr>
                <w:rFonts w:hint="eastAsia" w:ascii="宋体" w:hAnsi="Calibri" w:cs="宋体"/>
                <w:color w:val="auto"/>
                <w:kern w:val="0"/>
                <w:szCs w:val="21"/>
                <w:highlight w:val="none"/>
                <w:u w:val="single"/>
                <w:lang w:val="en-US" w:eastAsia="zh-CN" w:bidi="ar"/>
              </w:rPr>
              <w:t xml:space="preserve"> </w:t>
            </w:r>
            <w:r>
              <w:rPr>
                <w:rFonts w:hint="default" w:ascii="宋体" w:hAnsi="宋体"/>
                <w:color w:val="auto"/>
                <w:sz w:val="21"/>
                <w:szCs w:val="21"/>
                <w:highlight w:val="none"/>
                <w:u w:val="single"/>
              </w:rPr>
              <w:t>22500.00</w:t>
            </w:r>
            <w:r>
              <w:rPr>
                <w:rFonts w:hint="eastAsia" w:ascii="宋体" w:hAnsi="Calibri" w:cs="宋体"/>
                <w:color w:val="auto"/>
                <w:kern w:val="0"/>
                <w:szCs w:val="21"/>
                <w:highlight w:val="none"/>
                <w:u w:val="single"/>
                <w:lang w:val="en-US" w:eastAsia="zh-CN" w:bidi="ar"/>
              </w:rPr>
              <w:t xml:space="preserve"> </w:t>
            </w:r>
            <w:r>
              <w:rPr>
                <w:rFonts w:hint="eastAsia" w:ascii="宋体" w:hAnsi="Calibri" w:cs="宋体"/>
                <w:color w:val="auto"/>
                <w:kern w:val="0"/>
                <w:szCs w:val="21"/>
                <w:highlight w:val="none"/>
                <w:u w:val="single"/>
                <w:lang w:bidi="ar"/>
              </w:rPr>
              <w:t>元</w:t>
            </w:r>
            <w:r>
              <w:rPr>
                <w:rFonts w:hint="eastAsia" w:ascii="宋体" w:hAnsi="宋体" w:cs="宋体"/>
                <w:color w:val="auto"/>
                <w:szCs w:val="21"/>
                <w:highlight w:val="none"/>
                <w:lang w:bidi="ar"/>
              </w:rPr>
              <w:t>，勘察综合单价报价不得高于150元/米，由投标人根据招标文件要求以及企业自身情况填报报价，结算方式按照合同约定的相应条款执行。</w:t>
            </w:r>
          </w:p>
          <w:p>
            <w:pPr>
              <w:rPr>
                <w:rFonts w:hint="eastAsia" w:ascii="宋体" w:hAnsi="宋体" w:cs="宋体"/>
                <w:color w:val="auto"/>
                <w:szCs w:val="21"/>
                <w:highlight w:val="none"/>
              </w:rPr>
            </w:pPr>
            <w:r>
              <w:rPr>
                <w:rFonts w:hint="eastAsia" w:ascii="宋体" w:hAnsi="宋体" w:cs="宋体"/>
                <w:color w:val="auto"/>
                <w:szCs w:val="21"/>
                <w:highlight w:val="none"/>
                <w:lang w:bidi="ar"/>
              </w:rPr>
              <w:t>（2）</w:t>
            </w:r>
            <w:r>
              <w:rPr>
                <w:rFonts w:hint="eastAsia" w:ascii="宋体" w:hAnsi="宋体" w:cs="宋体"/>
                <w:b/>
                <w:color w:val="auto"/>
                <w:szCs w:val="21"/>
                <w:highlight w:val="none"/>
                <w:lang w:bidi="ar"/>
              </w:rPr>
              <w:t>设计费</w:t>
            </w:r>
            <w:r>
              <w:rPr>
                <w:rFonts w:hint="eastAsia" w:ascii="宋体" w:hAnsi="宋体" w:cs="宋体"/>
                <w:color w:val="auto"/>
                <w:szCs w:val="21"/>
                <w:highlight w:val="none"/>
                <w:lang w:bidi="ar"/>
              </w:rPr>
              <w:t>：投标报价不得高于</w:t>
            </w:r>
            <w:r>
              <w:rPr>
                <w:rFonts w:hint="eastAsia" w:ascii="宋体" w:hAnsi="宋体" w:cs="宋体"/>
                <w:color w:val="auto"/>
                <w:szCs w:val="21"/>
                <w:highlight w:val="none"/>
                <w:u w:val="single"/>
                <w:lang w:eastAsia="zh-CN" w:bidi="ar"/>
              </w:rPr>
              <w:t xml:space="preserve"> </w:t>
            </w:r>
            <w:r>
              <w:rPr>
                <w:rFonts w:hint="default" w:ascii="宋体" w:hAnsi="宋体"/>
                <w:color w:val="auto"/>
                <w:sz w:val="21"/>
                <w:szCs w:val="21"/>
                <w:highlight w:val="none"/>
                <w:u w:val="single"/>
              </w:rPr>
              <w:t>1853640.20</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元</w:t>
            </w:r>
            <w:r>
              <w:rPr>
                <w:rFonts w:hint="eastAsia" w:ascii="宋体" w:hAnsi="宋体" w:cs="宋体"/>
                <w:color w:val="auto"/>
                <w:szCs w:val="21"/>
                <w:highlight w:val="none"/>
                <w:lang w:bidi="ar"/>
              </w:rPr>
              <w:t>由投标人根据招标文件要求以及企业自身情况填报报价及下浮率。结算方式按照合同约定的相应条款执行。</w:t>
            </w:r>
          </w:p>
          <w:p>
            <w:pPr>
              <w:rPr>
                <w:rFonts w:hint="eastAsia" w:ascii="宋体" w:hAnsi="宋体" w:cs="宋体"/>
                <w:color w:val="auto"/>
                <w:highlight w:val="none"/>
              </w:rPr>
            </w:pP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3</w:t>
            </w:r>
            <w:r>
              <w:rPr>
                <w:rFonts w:hint="eastAsia" w:ascii="宋体" w:hAnsi="宋体" w:cs="宋体"/>
                <w:color w:val="auto"/>
                <w:szCs w:val="21"/>
                <w:highlight w:val="none"/>
                <w:lang w:bidi="ar"/>
              </w:rPr>
              <w:t>）</w:t>
            </w:r>
            <w:r>
              <w:rPr>
                <w:rFonts w:hint="eastAsia" w:ascii="宋体" w:hAnsi="宋体" w:cs="宋体"/>
                <w:b/>
                <w:color w:val="auto"/>
                <w:highlight w:val="none"/>
                <w:lang w:bidi="ar"/>
              </w:rPr>
              <w:t>工程费</w:t>
            </w:r>
            <w:r>
              <w:rPr>
                <w:rFonts w:hint="eastAsia" w:ascii="宋体" w:hAnsi="宋体" w:cs="宋体"/>
                <w:color w:val="auto"/>
                <w:highlight w:val="none"/>
                <w:lang w:bidi="ar"/>
              </w:rPr>
              <w:t>：投标报价不得高于</w:t>
            </w:r>
            <w:r>
              <w:rPr>
                <w:rFonts w:hint="eastAsia" w:ascii="宋体" w:hAnsi="宋体" w:cs="宋体"/>
                <w:color w:val="auto"/>
                <w:highlight w:val="none"/>
                <w:u w:val="single"/>
                <w:lang w:val="en-US" w:eastAsia="zh-CN" w:bidi="ar"/>
              </w:rPr>
              <w:t xml:space="preserve"> </w:t>
            </w:r>
            <w:r>
              <w:rPr>
                <w:rFonts w:hint="default" w:ascii="宋体" w:hAnsi="宋体"/>
                <w:color w:val="auto"/>
                <w:sz w:val="21"/>
                <w:szCs w:val="21"/>
                <w:highlight w:val="none"/>
                <w:u w:val="single"/>
              </w:rPr>
              <w:t>53205900.00</w:t>
            </w:r>
            <w:r>
              <w:rPr>
                <w:rFonts w:hint="eastAsia" w:ascii="宋体" w:hAnsi="宋体" w:cs="宋体"/>
                <w:color w:val="auto"/>
                <w:highlight w:val="none"/>
                <w:u w:val="single"/>
                <w:lang w:bidi="ar"/>
              </w:rPr>
              <w:t>元</w:t>
            </w:r>
            <w:r>
              <w:rPr>
                <w:rFonts w:hint="eastAsia" w:ascii="宋体" w:hAnsi="宋体" w:cs="宋体"/>
                <w:color w:val="auto"/>
                <w:highlight w:val="none"/>
                <w:lang w:bidi="ar"/>
              </w:rPr>
              <w:t>，由投标人根据招标文件要求以及企业自身情况填报报价及下浮率。结算方式按照合同相关约定执行。</w:t>
            </w:r>
          </w:p>
          <w:p>
            <w:pPr>
              <w:widowControl/>
              <w:jc w:val="left"/>
              <w:rPr>
                <w:rFonts w:hint="eastAsia" w:ascii="宋体" w:hAnsi="宋体"/>
                <w:color w:val="auto"/>
                <w:highlight w:val="none"/>
              </w:rPr>
            </w:pP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4</w:t>
            </w:r>
            <w:r>
              <w:rPr>
                <w:rFonts w:hint="eastAsia" w:ascii="宋体" w:hAnsi="宋体" w:cs="宋体"/>
                <w:color w:val="auto"/>
                <w:szCs w:val="21"/>
                <w:highlight w:val="none"/>
                <w:lang w:bidi="ar"/>
              </w:rPr>
              <w:t>）</w:t>
            </w:r>
            <w:r>
              <w:rPr>
                <w:rFonts w:hint="eastAsia" w:ascii="宋体" w:hAnsi="宋体" w:cs="Calibri"/>
                <w:b/>
                <w:color w:val="auto"/>
                <w:highlight w:val="none"/>
                <w:lang w:bidi="ar"/>
              </w:rPr>
              <w:t>专项工程费</w:t>
            </w:r>
            <w:r>
              <w:rPr>
                <w:rFonts w:hint="eastAsia" w:ascii="宋体" w:hAnsi="宋体" w:cs="Calibri"/>
                <w:color w:val="auto"/>
                <w:highlight w:val="none"/>
                <w:lang w:bidi="ar"/>
              </w:rPr>
              <w:t>：投标报价不得高于</w:t>
            </w:r>
            <w:r>
              <w:rPr>
                <w:rFonts w:hint="eastAsia" w:ascii="宋体" w:hAnsi="宋体" w:cs="Calibri"/>
                <w:color w:val="auto"/>
                <w:highlight w:val="none"/>
                <w:u w:val="single"/>
                <w:lang w:val="en-US" w:eastAsia="zh-CN" w:bidi="ar"/>
              </w:rPr>
              <w:t xml:space="preserve"> </w:t>
            </w:r>
            <w:r>
              <w:rPr>
                <w:rFonts w:hint="default" w:ascii="宋体" w:hAnsi="宋体"/>
                <w:color w:val="auto"/>
                <w:sz w:val="21"/>
                <w:szCs w:val="21"/>
                <w:highlight w:val="none"/>
                <w:u w:val="single"/>
              </w:rPr>
              <w:t>2760000.00</w:t>
            </w:r>
            <w:r>
              <w:rPr>
                <w:rFonts w:hint="eastAsia" w:ascii="宋体" w:hAnsi="宋体" w:cs="Calibri"/>
                <w:color w:val="auto"/>
                <w:highlight w:val="none"/>
                <w:u w:val="single"/>
                <w:lang w:val="en-US" w:eastAsia="zh-CN" w:bidi="ar"/>
              </w:rPr>
              <w:t xml:space="preserve">  </w:t>
            </w:r>
            <w:r>
              <w:rPr>
                <w:rFonts w:hint="eastAsia" w:ascii="宋体" w:hAnsi="宋体" w:cs="Calibri"/>
                <w:color w:val="auto"/>
                <w:highlight w:val="none"/>
                <w:u w:val="single"/>
                <w:lang w:bidi="ar"/>
              </w:rPr>
              <w:t>元</w:t>
            </w:r>
            <w:r>
              <w:rPr>
                <w:rFonts w:hint="eastAsia" w:ascii="宋体" w:hAnsi="宋体" w:cs="Calibri"/>
                <w:color w:val="auto"/>
                <w:highlight w:val="none"/>
                <w:lang w:bidi="ar"/>
              </w:rPr>
              <w:t>由投标人根据招标文件要求以及企业自身情况填报报价及下浮率。结算方式按照合同相关约定执行</w:t>
            </w:r>
            <w:r>
              <w:rPr>
                <w:rFonts w:hint="eastAsia" w:ascii="宋体" w:hAnsi="宋体"/>
                <w:color w:val="auto"/>
                <w:highlight w:val="none"/>
              </w:rPr>
              <w:t>。</w:t>
            </w:r>
          </w:p>
          <w:p>
            <w:pPr>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Calibri" w:cs="宋体"/>
                <w:b/>
                <w:bCs/>
                <w:color w:val="auto"/>
                <w:kern w:val="0"/>
                <w:szCs w:val="21"/>
                <w:highlight w:val="none"/>
                <w:lang w:bidi="ar"/>
              </w:rPr>
              <w:t>工程保险费</w:t>
            </w:r>
            <w:r>
              <w:rPr>
                <w:rFonts w:hint="eastAsia" w:ascii="宋体" w:hAnsi="Calibri" w:cs="宋体"/>
                <w:b/>
                <w:bCs/>
                <w:color w:val="auto"/>
                <w:kern w:val="0"/>
                <w:szCs w:val="21"/>
                <w:highlight w:val="none"/>
                <w:lang w:eastAsia="zh-CN" w:bidi="ar"/>
              </w:rPr>
              <w:t>：</w:t>
            </w:r>
            <w:r>
              <w:rPr>
                <w:rFonts w:hint="default" w:ascii="宋体" w:hAnsi="宋体"/>
                <w:color w:val="auto"/>
                <w:sz w:val="21"/>
                <w:szCs w:val="21"/>
                <w:highlight w:val="none"/>
                <w:u w:val="single"/>
              </w:rPr>
              <w:t>60000.00</w:t>
            </w:r>
            <w:r>
              <w:rPr>
                <w:rFonts w:hint="eastAsia" w:ascii="宋体" w:hAnsi="宋体" w:cs="Calibri"/>
                <w:color w:val="auto"/>
                <w:highlight w:val="none"/>
                <w:u w:val="single"/>
                <w:lang w:bidi="ar"/>
              </w:rPr>
              <w:t>元</w:t>
            </w:r>
            <w:r>
              <w:rPr>
                <w:rFonts w:hint="eastAsia" w:ascii="宋体" w:hAnsi="宋体" w:cs="Calibri"/>
                <w:color w:val="auto"/>
                <w:highlight w:val="none"/>
                <w:u w:val="single"/>
                <w:lang w:eastAsia="zh-CN" w:bidi="ar"/>
              </w:rPr>
              <w:t>，</w:t>
            </w:r>
            <w:r>
              <w:rPr>
                <w:rFonts w:hint="eastAsia" w:ascii="宋体" w:hAnsi="宋体" w:cs="宋体"/>
                <w:color w:val="auto"/>
                <w:kern w:val="0"/>
                <w:sz w:val="20"/>
                <w:szCs w:val="21"/>
                <w:highlight w:val="none"/>
                <w:lang w:bidi="ar"/>
              </w:rPr>
              <w:t>该费用</w:t>
            </w:r>
            <w:r>
              <w:rPr>
                <w:rFonts w:ascii="宋体" w:hAnsi="宋体" w:cs="宋体"/>
                <w:color w:val="auto"/>
                <w:kern w:val="0"/>
                <w:sz w:val="20"/>
                <w:szCs w:val="21"/>
                <w:highlight w:val="none"/>
                <w:lang w:bidi="ar"/>
              </w:rPr>
              <w:t>为</w:t>
            </w:r>
            <w:r>
              <w:rPr>
                <w:rFonts w:hint="eastAsia" w:ascii="宋体" w:hAnsi="宋体" w:cs="宋体"/>
                <w:color w:val="auto"/>
                <w:kern w:val="0"/>
                <w:sz w:val="20"/>
                <w:szCs w:val="21"/>
                <w:highlight w:val="none"/>
                <w:lang w:bidi="ar"/>
              </w:rPr>
              <w:t>固定金额</w:t>
            </w:r>
            <w:r>
              <w:rPr>
                <w:rFonts w:ascii="宋体" w:hAnsi="宋体" w:cs="宋体"/>
                <w:color w:val="auto"/>
                <w:kern w:val="0"/>
                <w:sz w:val="20"/>
                <w:szCs w:val="21"/>
                <w:highlight w:val="none"/>
                <w:lang w:bidi="ar"/>
              </w:rPr>
              <w:t>，</w:t>
            </w:r>
            <w:r>
              <w:rPr>
                <w:rFonts w:hint="eastAsia" w:ascii="宋体" w:hAnsi="宋体" w:cs="宋体"/>
                <w:color w:val="auto"/>
                <w:highlight w:val="none"/>
                <w:lang w:bidi="ar"/>
              </w:rPr>
              <w:t>由投标人根据招标文件要求</w:t>
            </w:r>
            <w:r>
              <w:rPr>
                <w:rFonts w:hint="eastAsia" w:ascii="宋体" w:hAnsi="宋体" w:cs="宋体"/>
                <w:color w:val="auto"/>
                <w:kern w:val="0"/>
                <w:sz w:val="20"/>
                <w:szCs w:val="21"/>
                <w:highlight w:val="none"/>
                <w:lang w:bidi="ar"/>
              </w:rPr>
              <w:t>进行填报</w:t>
            </w:r>
            <w:r>
              <w:rPr>
                <w:rFonts w:hint="eastAsia" w:ascii="宋体" w:hAnsi="宋体" w:cs="宋体"/>
                <w:color w:val="auto"/>
                <w:highlight w:val="none"/>
                <w:lang w:bidi="ar"/>
              </w:rPr>
              <w:t>。结算方式按照合同相关约定执行。</w:t>
            </w:r>
          </w:p>
          <w:p>
            <w:pPr>
              <w:pStyle w:val="15"/>
              <w:ind w:left="0"/>
              <w:rPr>
                <w:rFonts w:hint="eastAsia" w:ascii="宋体" w:hAnsi="宋体"/>
                <w:b/>
                <w:color w:val="auto"/>
                <w:highlight w:val="none"/>
              </w:rPr>
            </w:pPr>
          </w:p>
          <w:p>
            <w:pPr>
              <w:pStyle w:val="15"/>
              <w:rPr>
                <w:rFonts w:hint="eastAsia" w:ascii="宋体" w:hAnsi="宋体" w:cs="宋体"/>
                <w:b/>
                <w:color w:val="auto"/>
                <w:kern w:val="0"/>
                <w:szCs w:val="21"/>
                <w:highlight w:val="none"/>
              </w:rPr>
            </w:pPr>
            <w:r>
              <w:rPr>
                <w:rFonts w:hint="eastAsia" w:ascii="宋体" w:hAnsi="宋体"/>
                <w:b/>
                <w:color w:val="auto"/>
                <w:highlight w:val="none"/>
              </w:rPr>
              <w:t>本项目投标报价小数点后保留二位小数，第三位小数四舍五入。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3.3.1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szCs w:val="21"/>
                <w:highlight w:val="none"/>
                <w:u w:val="single"/>
              </w:rPr>
              <w:t>120日历天（从递交投标文件截止之日计起），如出现异议或投诉，则投标有效期自动延长至异议或投诉处理结束，确定中标人并发放中标通知书为止。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3.4.1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投标保证金</w:t>
            </w:r>
          </w:p>
        </w:tc>
        <w:tc>
          <w:tcPr>
            <w:tcW w:w="5979" w:type="dxa"/>
            <w:gridSpan w:val="2"/>
            <w:noWrap w:val="0"/>
            <w:vAlign w:val="center"/>
          </w:tcPr>
          <w:p>
            <w:pPr>
              <w:rPr>
                <w:rFonts w:ascii="宋体" w:hAnsi="宋体"/>
                <w:color w:val="auto"/>
                <w:highlight w:val="none"/>
              </w:rPr>
            </w:pPr>
            <w:r>
              <w:rPr>
                <w:rFonts w:hint="eastAsia" w:ascii="宋体" w:hAnsi="宋体"/>
                <w:color w:val="auto"/>
                <w:szCs w:val="21"/>
                <w:highlight w:val="none"/>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3.6</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是否允许递交备选投标方案</w:t>
            </w:r>
          </w:p>
        </w:tc>
        <w:tc>
          <w:tcPr>
            <w:tcW w:w="5979" w:type="dxa"/>
            <w:gridSpan w:val="2"/>
            <w:noWrap w:val="0"/>
            <w:vAlign w:val="center"/>
          </w:tcPr>
          <w:p>
            <w:pPr>
              <w:pStyle w:val="8"/>
              <w:topLinePunc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■不允许</w:t>
            </w:r>
          </w:p>
          <w:p>
            <w:pPr>
              <w:rPr>
                <w:rFonts w:hint="eastAsia" w:ascii="宋体" w:hAnsi="宋体" w:cs="宋体"/>
                <w:color w:val="auto"/>
                <w:szCs w:val="21"/>
                <w:highlight w:val="none"/>
              </w:rPr>
            </w:pPr>
            <w:r>
              <w:rPr>
                <w:rFonts w:hint="eastAsia" w:ascii="宋体" w:hAnsi="宋体" w:cs="宋体"/>
                <w:color w:val="auto"/>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3.7.3</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签字或盖章要求</w:t>
            </w:r>
          </w:p>
        </w:tc>
        <w:tc>
          <w:tcPr>
            <w:tcW w:w="5979" w:type="dxa"/>
            <w:gridSpan w:val="2"/>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u w:val="single"/>
              </w:rPr>
              <w:t>投标人采用单位数字证书，按招标文件要求在相应位置加盖电子印章。投标文件中需个人签字或盖章的，应在线下完成后扫描上传。按照交易平台关于建设工程全流程电子化项目的相关指南进行操作，联合体投标的，除联合体共同投标协议书需联合体各方同时签字或盖章外，法定代表人证明书及授权委托证明书可由联合体主办方出具，其中“单位”一栏可只填写联合体主办方名称外，其他内容及落款中的“投标人”应填写联合体各方的单位全称【参考格式表示为：(主)XXXX公司(成)XXXX公司】，由联合体主办方签字、盖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4.2.2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递交投标文件地点</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szCs w:val="21"/>
                <w:highlight w:val="none"/>
              </w:rPr>
              <w:t>投标人应在截止时间前通过电子招标投标交易平台递交电子投标文件。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4.2.3</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是否退还投标文件</w:t>
            </w:r>
          </w:p>
        </w:tc>
        <w:tc>
          <w:tcPr>
            <w:tcW w:w="5979" w:type="dxa"/>
            <w:gridSpan w:val="2"/>
            <w:noWrap w:val="0"/>
            <w:vAlign w:val="center"/>
          </w:tcPr>
          <w:p>
            <w:pPr>
              <w:widowControl/>
              <w:topLinePunct/>
              <w:rPr>
                <w:rFonts w:hint="eastAsia" w:ascii="宋体" w:hAnsi="宋体" w:cs="宋体"/>
                <w:color w:val="auto"/>
                <w:kern w:val="0"/>
                <w:szCs w:val="21"/>
                <w:highlight w:val="none"/>
              </w:rPr>
            </w:pPr>
            <w:r>
              <w:rPr>
                <w:rFonts w:hint="eastAsia" w:ascii="宋体" w:hAnsi="宋体" w:cs="宋体"/>
                <w:color w:val="auto"/>
                <w:kern w:val="0"/>
                <w:szCs w:val="21"/>
                <w:highlight w:val="none"/>
              </w:rPr>
              <w:t>■否</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5.1</w:t>
            </w:r>
          </w:p>
        </w:tc>
        <w:tc>
          <w:tcPr>
            <w:tcW w:w="271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开标时间和地点</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szCs w:val="21"/>
                <w:highlight w:val="none"/>
              </w:rPr>
              <w:t>开标时间同投标截止时间。在电子招标投标交易平台进行网上开标。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5.2</w:t>
            </w:r>
          </w:p>
        </w:tc>
        <w:tc>
          <w:tcPr>
            <w:tcW w:w="2717"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开标程序</w:t>
            </w:r>
          </w:p>
        </w:tc>
        <w:tc>
          <w:tcPr>
            <w:tcW w:w="5979" w:type="dxa"/>
            <w:gridSpan w:val="2"/>
            <w:noWrap w:val="0"/>
            <w:vAlign w:val="center"/>
          </w:tcPr>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主持人按下列程序进行开标：</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（1）宣布开标纪律；</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（2）公布在投标截止时间前递交投标文件的投标人名称；</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3）在投标截止时间后半小时内，投标人通过递交投标文件的交易平台对已递交的电子投标文件进行解密。投标人完成解密后，再由招标人进行解密（投标人只用执行一次解密，招标人执行解密次数根据招标文件开标次数确定）。</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（4）解密完成后，公布：a投标人名称；b投标文件递交情况；c投标文件解密情况；</w:t>
            </w:r>
            <w:r>
              <w:rPr>
                <w:rFonts w:hint="eastAsia" w:ascii="宋体" w:hAnsi="宋体" w:cs="宋体"/>
                <w:dstrike/>
                <w:color w:val="auto"/>
                <w:szCs w:val="21"/>
                <w:highlight w:val="none"/>
                <w:u w:val="single"/>
              </w:rPr>
              <w:t>d投标担保递交情况；</w:t>
            </w:r>
            <w:r>
              <w:rPr>
                <w:rFonts w:hint="eastAsia" w:ascii="宋体" w:hAnsi="宋体" w:cs="宋体"/>
                <w:color w:val="auto"/>
                <w:szCs w:val="21"/>
                <w:highlight w:val="none"/>
                <w:u w:val="single"/>
              </w:rPr>
              <w:t>e项目负责人(兼施工负责人)、设计负责人、技术负责人、专职安全员；f投标报价；g工期；h投标人的加密打包投标文件电脑机器特征码等主要内容，并记录在案。未在规定时间内解密的投标文件不参与开标、评标。</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（5）截标后，开标开始时间因故推迟的，相关评标信息仍以原定的开标开始时间的信息为准。</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（6）备用光盘的读取按“本须知第9条电子招标投标”第6点的规定执行。</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7）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8）参加现场开标的投标人对开标结果有异议的，应当在开标现场提出，同时出示本人身份证原件，招标人应当当场作出答复，并制作记录。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（9）投标人未参加开标或在规定的时间内未提出异议的，视为对开标无异议。</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（10）开标时，两个（含两个）以上的投标人加密打包投标文件电脑机器特征码一致的，不参与下一程序，并由评标委员会否决其投标。</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11）投标文件（设计方案）开标时不得开启，在评标时由交易平台随机编号后开启，交由评标委员会进行评审。编号所对应的投标人在设计方案评审结束前不得告知评标委员会、交易平台工作人员、招标人或招标代理机构。</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（12）投标人代表、招标人代表、监标人、记录人等有关人员在开标记录上签字确认；若有关人员不签字的，不影响开标程序；</w:t>
            </w:r>
          </w:p>
          <w:p>
            <w:pPr>
              <w:widowControl/>
              <w:rPr>
                <w:rFonts w:hint="eastAsia" w:ascii="宋体" w:hAnsi="宋体" w:cs="宋体"/>
                <w:color w:val="auto"/>
                <w:szCs w:val="21"/>
                <w:highlight w:val="none"/>
                <w:u w:val="single"/>
              </w:rPr>
            </w:pPr>
            <w:r>
              <w:rPr>
                <w:rFonts w:hint="eastAsia" w:ascii="宋体" w:hAnsi="宋体" w:cs="宋体"/>
                <w:color w:val="auto"/>
                <w:szCs w:val="21"/>
                <w:highlight w:val="none"/>
                <w:u w:val="single"/>
              </w:rPr>
              <w:t>（13）开标结束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6.1.1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评标委员会的组建</w:t>
            </w:r>
          </w:p>
        </w:tc>
        <w:tc>
          <w:tcPr>
            <w:tcW w:w="5979" w:type="dxa"/>
            <w:gridSpan w:val="2"/>
            <w:noWrap w:val="0"/>
            <w:vAlign w:val="center"/>
          </w:tcPr>
          <w:p>
            <w:pPr>
              <w:widowControl/>
              <w:jc w:val="left"/>
              <w:rPr>
                <w:rFonts w:hint="eastAsia" w:ascii="宋体" w:hAnsi="宋体" w:cs="宋体"/>
                <w:color w:val="auto"/>
                <w:highlight w:val="none"/>
              </w:rPr>
            </w:pPr>
            <w:r>
              <w:rPr>
                <w:rFonts w:hint="eastAsia" w:ascii="宋体" w:hAnsi="宋体" w:cs="宋体"/>
                <w:color w:val="auto"/>
                <w:kern w:val="0"/>
                <w:szCs w:val="21"/>
                <w:highlight w:val="none"/>
              </w:rPr>
              <w:t>评标委员会分为设计评审组、施工评审组</w:t>
            </w:r>
            <w:r>
              <w:rPr>
                <w:rFonts w:hint="eastAsia" w:ascii="宋体" w:hAnsi="宋体" w:cs="宋体"/>
                <w:color w:val="auto"/>
                <w:szCs w:val="21"/>
                <w:highlight w:val="none"/>
                <w:u w:val="single"/>
              </w:rPr>
              <w:t>（资格审查由施工评审组负责）</w:t>
            </w:r>
            <w:r>
              <w:rPr>
                <w:rFonts w:hint="eastAsia" w:ascii="宋体" w:hAnsi="宋体" w:cs="宋体"/>
                <w:color w:val="auto"/>
                <w:kern w:val="0"/>
                <w:szCs w:val="21"/>
                <w:highlight w:val="none"/>
              </w:rPr>
              <w:t>，由招标人</w:t>
            </w:r>
            <w:r>
              <w:rPr>
                <w:rFonts w:hint="eastAsia" w:ascii="宋体" w:hAnsi="宋体" w:cs="宋体"/>
                <w:color w:val="auto"/>
                <w:highlight w:val="none"/>
                <w:u w:val="single"/>
              </w:rPr>
              <w:t>在开标前</w:t>
            </w:r>
            <w:r>
              <w:rPr>
                <w:rFonts w:hint="eastAsia" w:ascii="宋体" w:hAnsi="宋体" w:cs="宋体"/>
                <w:color w:val="auto"/>
                <w:kern w:val="0"/>
                <w:szCs w:val="21"/>
                <w:highlight w:val="none"/>
              </w:rPr>
              <w:t>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7.1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是否授权评标委员会确定</w:t>
            </w:r>
          </w:p>
          <w:p>
            <w:pPr>
              <w:jc w:val="center"/>
              <w:rPr>
                <w:rFonts w:hint="eastAsia" w:ascii="宋体" w:hAnsi="宋体" w:cs="宋体"/>
                <w:color w:val="auto"/>
                <w:szCs w:val="21"/>
                <w:highlight w:val="none"/>
              </w:rPr>
            </w:pPr>
            <w:r>
              <w:rPr>
                <w:rFonts w:hint="eastAsia" w:ascii="宋体" w:hAnsi="宋体" w:cs="宋体"/>
                <w:color w:val="auto"/>
                <w:szCs w:val="21"/>
                <w:highlight w:val="none"/>
              </w:rPr>
              <w:t>中标人</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□是</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■否，推荐的中标候选人数：</w:t>
            </w:r>
            <w:r>
              <w:rPr>
                <w:rFonts w:hint="eastAsia" w:ascii="宋体" w:hAnsi="宋体" w:cs="宋体"/>
                <w:color w:val="auto"/>
                <w:kern w:val="0"/>
                <w:szCs w:val="21"/>
                <w:highlight w:val="none"/>
                <w:u w:val="single"/>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7.2</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中标候选人公示媒介</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广州公共资源交易中心网站、中国招标投标公共服务平台、广东省招标投标监管网。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7.4.1</w:t>
            </w: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履约担保</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履约担保的形式：以合同约定为准。</w:t>
            </w:r>
          </w:p>
          <w:p>
            <w:pPr>
              <w:widowControl/>
              <w:rPr>
                <w:rFonts w:hint="eastAsia"/>
                <w:color w:val="auto"/>
                <w:highlight w:val="none"/>
              </w:rPr>
            </w:pPr>
            <w:r>
              <w:rPr>
                <w:rFonts w:hint="eastAsia" w:ascii="宋体" w:hAnsi="宋体" w:cs="宋体"/>
                <w:color w:val="auto"/>
                <w:kern w:val="0"/>
                <w:szCs w:val="21"/>
                <w:highlight w:val="none"/>
              </w:rPr>
              <w:t>履约担保的金额：</w:t>
            </w:r>
            <w:r>
              <w:rPr>
                <w:rFonts w:hint="eastAsia" w:ascii="宋体" w:hAnsi="宋体" w:cs="宋体"/>
                <w:color w:val="auto"/>
                <w:szCs w:val="21"/>
                <w:highlight w:val="none"/>
                <w:u w:val="single"/>
              </w:rPr>
              <w:t>中标人提供的履约担保为建安工程费中标价款的10%（联合体投标的，由联合体主办方单位提供）</w:t>
            </w:r>
            <w:r>
              <w:rPr>
                <w:rFonts w:hint="eastAsia" w:ascii="宋体" w:hAnsi="宋体" w:cs="宋体"/>
                <w:color w:val="auto"/>
                <w:szCs w:val="21"/>
                <w:highlight w:val="none"/>
                <w:u w:val="single"/>
                <w:lang w:eastAsia="zh-CN"/>
              </w:rPr>
              <w:t>。</w:t>
            </w:r>
            <w:r>
              <w:rPr>
                <w:rFonts w:hint="eastAsia"/>
                <w:color w:val="auto"/>
                <w:szCs w:val="21"/>
                <w:highlight w:val="none"/>
                <w:u w:val="single"/>
              </w:rPr>
              <w:t>（</w:t>
            </w:r>
            <w:r>
              <w:rPr>
                <w:rFonts w:hint="eastAsia" w:ascii="宋体" w:hAnsi="宋体" w:eastAsia="宋体" w:cs="宋体"/>
                <w:color w:val="auto"/>
                <w:kern w:val="2"/>
                <w:sz w:val="21"/>
                <w:szCs w:val="21"/>
                <w:highlight w:val="none"/>
                <w:u w:val="single"/>
                <w:lang w:val="en-US" w:eastAsia="zh-CN" w:bidi="ar"/>
              </w:rPr>
              <w:t>注：如中标人为中小企业，履约保证金为中标价款的</w:t>
            </w:r>
            <w:r>
              <w:rPr>
                <w:rFonts w:hint="default" w:ascii="Calibri" w:hAnsi="Calibri" w:eastAsia="宋体" w:cs="Calibri"/>
                <w:color w:val="auto"/>
                <w:kern w:val="2"/>
                <w:sz w:val="21"/>
                <w:szCs w:val="21"/>
                <w:highlight w:val="none"/>
                <w:u w:val="single"/>
                <w:lang w:val="en-US" w:eastAsia="zh-CN" w:bidi="ar"/>
              </w:rPr>
              <w:t>5%</w:t>
            </w:r>
            <w:r>
              <w:rPr>
                <w:rFonts w:hint="eastAsia" w:ascii="宋体" w:hAnsi="宋体" w:eastAsia="宋体" w:cs="宋体"/>
                <w:color w:val="auto"/>
                <w:kern w:val="2"/>
                <w:sz w:val="21"/>
                <w:szCs w:val="21"/>
                <w:highlight w:val="none"/>
                <w:u w:val="single"/>
                <w:lang w:val="en-US" w:eastAsia="zh-CN" w:bidi="ar"/>
              </w:rPr>
              <w:t>。</w:t>
            </w:r>
            <w:r>
              <w:rPr>
                <w:rFonts w:hint="eastAsia"/>
                <w:color w:val="auto"/>
                <w:szCs w:val="21"/>
                <w:highlight w:val="none"/>
                <w:u w:val="single"/>
              </w:rPr>
              <w:t>具体形式详见合同）</w:t>
            </w:r>
            <w:r>
              <w:rPr>
                <w:rFonts w:hint="eastAsia" w:ascii="宋体" w:hAnsi="宋体" w:cs="宋体"/>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1084" w:type="dxa"/>
            <w:noWrap w:val="0"/>
            <w:vAlign w:val="center"/>
          </w:tcPr>
          <w:p>
            <w:pPr>
              <w:jc w:val="center"/>
              <w:rPr>
                <w:rFonts w:hint="eastAsia" w:ascii="宋体" w:hAnsi="宋体" w:cs="宋体"/>
                <w:color w:val="auto"/>
                <w:szCs w:val="21"/>
                <w:highlight w:val="none"/>
              </w:rPr>
            </w:pPr>
          </w:p>
        </w:tc>
        <w:tc>
          <w:tcPr>
            <w:tcW w:w="2717" w:type="dxa"/>
            <w:noWrap w:val="0"/>
            <w:vAlign w:val="center"/>
          </w:tcPr>
          <w:p>
            <w:pPr>
              <w:jc w:val="center"/>
              <w:rPr>
                <w:rFonts w:hint="eastAsia" w:ascii="宋体" w:hAnsi="宋体" w:cs="宋体"/>
                <w:color w:val="auto"/>
                <w:szCs w:val="21"/>
                <w:highlight w:val="none"/>
              </w:rPr>
            </w:pPr>
            <w:r>
              <w:rPr>
                <w:rFonts w:hint="eastAsia" w:ascii="宋体" w:hAnsi="宋体" w:eastAsia="Times New Roman" w:cs="宋体"/>
                <w:color w:val="auto"/>
                <w:szCs w:val="21"/>
                <w:highlight w:val="none"/>
              </w:rPr>
              <w:t>工程保险费（仅指建筑（安装）一切险、安全生产责任险中第三者人身伤亡和财产损失赔偿等保险及其他保险）</w:t>
            </w:r>
          </w:p>
        </w:tc>
        <w:tc>
          <w:tcPr>
            <w:tcW w:w="5979" w:type="dxa"/>
            <w:gridSpan w:val="2"/>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由招标人委托中标人购买的建筑（安装）工程一切险、安全生产责任险中的第三者人身伤亡和财产损失、赔偿以及因此造成的事故抢险救援、医疗救护、事故鉴定、法律服务和诉讼等相关保险及其他保险（为运至施工场地内用于工程的材料和待安装工程设备办理），不包含中标人为转移自身安全责任风险所发生的费用。该费用在投标报价时，以招标人正式公布的固定金额进行填报，计量支付、结算时，以合同计列的工程保险费为限额，按实际保费单据计量支付、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9</w:t>
            </w:r>
          </w:p>
        </w:tc>
        <w:tc>
          <w:tcPr>
            <w:tcW w:w="8696" w:type="dxa"/>
            <w:gridSpan w:val="3"/>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kern w:val="0"/>
                <w:szCs w:val="21"/>
                <w:highlight w:val="none"/>
              </w:rPr>
            </w:pPr>
            <w:r>
              <w:rPr>
                <w:rFonts w:hint="eastAsia" w:ascii="宋体" w:hAnsi="宋体"/>
                <w:color w:val="auto"/>
                <w:szCs w:val="21"/>
                <w:highlight w:val="none"/>
              </w:rPr>
              <w:t>9.1</w:t>
            </w:r>
          </w:p>
        </w:tc>
        <w:tc>
          <w:tcPr>
            <w:tcW w:w="8696" w:type="dxa"/>
            <w:gridSpan w:val="3"/>
            <w:noWrap w:val="0"/>
            <w:vAlign w:val="center"/>
          </w:tcPr>
          <w:p>
            <w:pPr>
              <w:rPr>
                <w:rFonts w:hint="eastAsia" w:ascii="宋体" w:hAnsi="宋体" w:cs="宋体"/>
                <w:color w:val="auto"/>
                <w:kern w:val="0"/>
                <w:szCs w:val="21"/>
                <w:highlight w:val="none"/>
              </w:rPr>
            </w:pPr>
            <w:r>
              <w:rPr>
                <w:rFonts w:hint="eastAsia" w:ascii="宋体" w:hAnsi="宋体" w:cs="宋体"/>
                <w:color w:val="auto"/>
                <w:kern w:val="0"/>
                <w:szCs w:val="21"/>
                <w:highlight w:val="none"/>
              </w:rPr>
              <w:t>建设工程质量检测单位：</w:t>
            </w:r>
          </w:p>
          <w:p>
            <w:pPr>
              <w:rPr>
                <w:rFonts w:hint="eastAsia" w:ascii="宋体" w:hAnsi="宋体" w:cs="宋体"/>
                <w:b/>
                <w:bCs/>
                <w:color w:val="auto"/>
                <w:kern w:val="0"/>
                <w:szCs w:val="21"/>
                <w:highlight w:val="none"/>
              </w:rPr>
            </w:pPr>
            <w:r>
              <w:rPr>
                <w:rFonts w:hint="eastAsia" w:ascii="宋体" w:hAnsi="宋体" w:cs="宋体"/>
                <w:color w:val="auto"/>
                <w:kern w:val="0"/>
                <w:szCs w:val="21"/>
                <w:highlight w:val="none"/>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kern w:val="0"/>
                <w:szCs w:val="21"/>
                <w:highlight w:val="none"/>
              </w:rPr>
            </w:pPr>
            <w:r>
              <w:rPr>
                <w:rFonts w:hint="eastAsia" w:ascii="宋体" w:hAnsi="宋体"/>
                <w:color w:val="auto"/>
                <w:szCs w:val="21"/>
                <w:highlight w:val="none"/>
              </w:rPr>
              <w:t>9.2</w:t>
            </w:r>
          </w:p>
        </w:tc>
        <w:tc>
          <w:tcPr>
            <w:tcW w:w="8696" w:type="dxa"/>
            <w:gridSpan w:val="3"/>
            <w:noWrap w:val="0"/>
            <w:vAlign w:val="center"/>
          </w:tcPr>
          <w:p>
            <w:pPr>
              <w:rPr>
                <w:rFonts w:hint="eastAsia" w:ascii="宋体" w:hAnsi="宋体"/>
                <w:color w:val="auto"/>
                <w:szCs w:val="21"/>
                <w:highlight w:val="none"/>
              </w:rPr>
            </w:pPr>
            <w:r>
              <w:rPr>
                <w:rFonts w:hint="eastAsia" w:ascii="宋体" w:hAnsi="宋体"/>
                <w:color w:val="auto"/>
                <w:szCs w:val="21"/>
                <w:highlight w:val="none"/>
              </w:rPr>
              <w:t>在招标和合同实施期间，业主要求投标人和承包人遵守最高的道德标准。</w:t>
            </w:r>
          </w:p>
          <w:p>
            <w:pPr>
              <w:rPr>
                <w:rFonts w:hint="eastAsia" w:ascii="宋体" w:hAnsi="宋体"/>
                <w:color w:val="auto"/>
                <w:szCs w:val="21"/>
                <w:highlight w:val="none"/>
              </w:rPr>
            </w:pPr>
            <w:r>
              <w:rPr>
                <w:rFonts w:hint="eastAsia" w:ascii="宋体" w:hAnsi="宋体"/>
                <w:color w:val="auto"/>
                <w:szCs w:val="21"/>
                <w:highlight w:val="none"/>
              </w:rPr>
              <w:t>1.对本条款的规定，特定义如下词汇：</w:t>
            </w:r>
          </w:p>
          <w:p>
            <w:pPr>
              <w:rPr>
                <w:rFonts w:hint="eastAsia" w:ascii="宋体" w:hAnsi="宋体"/>
                <w:color w:val="auto"/>
                <w:szCs w:val="21"/>
                <w:highlight w:val="none"/>
              </w:rPr>
            </w:pPr>
            <w:r>
              <w:rPr>
                <w:rFonts w:hint="eastAsia" w:ascii="宋体" w:hAnsi="宋体"/>
                <w:color w:val="auto"/>
                <w:szCs w:val="21"/>
                <w:highlight w:val="none"/>
              </w:rPr>
              <w:t>1）“腐败行为”是指在招标或合同执行期间，通过提供、给予、接受或索要任何有价值的东西，从而影响招标人有关人员工作的行为；</w:t>
            </w:r>
          </w:p>
          <w:p>
            <w:pPr>
              <w:rPr>
                <w:rFonts w:hint="eastAsia" w:ascii="宋体" w:hAnsi="宋体"/>
                <w:color w:val="auto"/>
                <w:szCs w:val="21"/>
                <w:highlight w:val="none"/>
              </w:rPr>
            </w:pPr>
            <w:r>
              <w:rPr>
                <w:rFonts w:hint="eastAsia" w:ascii="宋体" w:hAnsi="宋体"/>
                <w:color w:val="auto"/>
                <w:szCs w:val="21"/>
                <w:highlight w:val="none"/>
              </w:rPr>
              <w:t>2）“欺诈行为”是指通过提供伪证影响招标或合同执行，从而损害招标人利益的行为；也包括投标人之间串通（在提交投标书之前或之后），人为地使招标过程失去竞争性，从而使业主无法从公开的自由竞争中获得利益的行为。</w:t>
            </w:r>
          </w:p>
          <w:p>
            <w:pPr>
              <w:rPr>
                <w:rFonts w:hint="eastAsia" w:ascii="宋体" w:hAnsi="宋体" w:cs="宋体"/>
                <w:b/>
                <w:bCs/>
                <w:color w:val="auto"/>
                <w:kern w:val="0"/>
                <w:szCs w:val="21"/>
                <w:highlight w:val="none"/>
              </w:rPr>
            </w:pPr>
            <w:r>
              <w:rPr>
                <w:rFonts w:hint="eastAsia" w:ascii="宋体" w:hAnsi="宋体"/>
                <w:color w:val="auto"/>
                <w:szCs w:val="21"/>
                <w:highlight w:val="none"/>
              </w:rPr>
              <w:t>2.如果投标人被认定在本招标的竞争中有腐败或欺诈行为，则会被取消投标资格。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kern w:val="0"/>
                <w:szCs w:val="21"/>
                <w:highlight w:val="none"/>
              </w:rPr>
            </w:pPr>
            <w:r>
              <w:rPr>
                <w:rFonts w:hint="eastAsia" w:ascii="宋体" w:hAnsi="宋体"/>
                <w:color w:val="auto"/>
                <w:szCs w:val="21"/>
                <w:highlight w:val="none"/>
              </w:rPr>
              <w:t>9.3</w:t>
            </w:r>
          </w:p>
        </w:tc>
        <w:tc>
          <w:tcPr>
            <w:tcW w:w="8696" w:type="dxa"/>
            <w:gridSpan w:val="3"/>
            <w:noWrap w:val="0"/>
            <w:vAlign w:val="center"/>
          </w:tcPr>
          <w:p>
            <w:pPr>
              <w:rPr>
                <w:rFonts w:hint="eastAsia" w:ascii="宋体" w:hAnsi="宋体"/>
                <w:color w:val="auto"/>
                <w:szCs w:val="21"/>
                <w:highlight w:val="none"/>
              </w:rPr>
            </w:pPr>
            <w:r>
              <w:rPr>
                <w:rFonts w:hint="eastAsia" w:ascii="宋体" w:hAnsi="宋体"/>
                <w:color w:val="auto"/>
                <w:szCs w:val="21"/>
                <w:highlight w:val="none"/>
              </w:rPr>
              <w:t>项目管理目标：</w:t>
            </w:r>
          </w:p>
          <w:p>
            <w:pPr>
              <w:rPr>
                <w:rFonts w:hint="eastAsia" w:ascii="宋体" w:hAnsi="宋体"/>
                <w:color w:val="auto"/>
                <w:szCs w:val="21"/>
                <w:highlight w:val="none"/>
              </w:rPr>
            </w:pPr>
            <w:r>
              <w:rPr>
                <w:rFonts w:hint="eastAsia" w:ascii="宋体" w:hAnsi="宋体"/>
                <w:color w:val="auto"/>
                <w:szCs w:val="21"/>
                <w:highlight w:val="none"/>
              </w:rPr>
              <w:t>1.职业健康安全管理目标：杜绝发生一般事故等级以上的伤亡事故，且工伤责任事故死亡人数为零。</w:t>
            </w:r>
          </w:p>
          <w:p>
            <w:pPr>
              <w:rPr>
                <w:rFonts w:hint="eastAsia" w:ascii="宋体" w:hAnsi="宋体" w:cs="宋体"/>
                <w:color w:val="auto"/>
                <w:kern w:val="0"/>
                <w:szCs w:val="21"/>
                <w:highlight w:val="none"/>
              </w:rPr>
            </w:pPr>
            <w:r>
              <w:rPr>
                <w:rFonts w:hint="eastAsia" w:ascii="宋体" w:hAnsi="宋体"/>
                <w:color w:val="auto"/>
                <w:szCs w:val="21"/>
                <w:highlight w:val="none"/>
              </w:rPr>
              <w:t>2.环境管理目标：严格执行《广州市重点公共建设项目管理办公室建设项目环境管理规定》、《广州市重点公共建设项目管理办公室建设项目环境管理文明施工标准》、《广州市建设工程现场文明施工管理办法》（穗建质〔2008〕937号）、《广州市城乡建设委员会关于印发广州市加强建筑工地环保管理工作方案的通知》(穗建质〔2014〕754号)、《广州市提升建设工程安全文明施工管理水平的工作指引》（穗建质[2017]815号）、《危险性较大的分部分项工程安全管理规定》(中华人民共和国住房和城乡建设部令第37号)、《广州市住房和城乡建设局关于印发加强建设工程安全生产管理落实建设各方主体责任的暂行规定的通知》（穗建规字〔2020〕34号）、《广州市住房和城乡建设委员会关于印发建设工程扬尘防治“6个100%”管理标准细化措施的通知》（穗建质〔2018〕1394号）、《广州市住房和城乡建设局等8部门关于印发广州市建设工程扬尘防治“6个100%”管理标准图集（V2.0版）的通知》、《广州市住房和城乡建设局关于印发广州市房屋建筑工程安全防护指导图集（防高坠篇）的通知》、广州市住房和城乡建设局关于印发广州市建设工程安全文明施工规程（试行版）的通知（穗建质〔2021) 316 号）和《广州市建设工程绿色施工围蔽指导图集（V2.0版）》（穗建质〔2020〕1号）等国家、省、市现行标准、规定和文件要求。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4</w:t>
            </w:r>
          </w:p>
        </w:tc>
        <w:tc>
          <w:tcPr>
            <w:tcW w:w="8696" w:type="dxa"/>
            <w:gridSpan w:val="3"/>
            <w:noWrap w:val="0"/>
            <w:vAlign w:val="center"/>
          </w:tcPr>
          <w:p>
            <w:pPr>
              <w:rPr>
                <w:rFonts w:hint="eastAsia" w:ascii="宋体" w:hAnsi="宋体"/>
                <w:color w:val="auto"/>
                <w:szCs w:val="21"/>
                <w:highlight w:val="none"/>
              </w:rPr>
            </w:pPr>
            <w:r>
              <w:rPr>
                <w:rFonts w:hint="eastAsia" w:ascii="宋体" w:hAnsi="宋体"/>
                <w:color w:val="auto"/>
                <w:szCs w:val="21"/>
                <w:highlight w:val="none"/>
              </w:rPr>
              <w:t>保修期限：按照《建设工程质量管理条例》规定。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5</w:t>
            </w:r>
          </w:p>
        </w:tc>
        <w:tc>
          <w:tcPr>
            <w:tcW w:w="8696" w:type="dxa"/>
            <w:gridSpan w:val="3"/>
            <w:noWrap w:val="0"/>
            <w:vAlign w:val="center"/>
          </w:tcPr>
          <w:p>
            <w:pPr>
              <w:rPr>
                <w:rFonts w:hint="eastAsia" w:ascii="宋体" w:hAnsi="宋体"/>
                <w:bCs/>
                <w:snapToGrid w:val="0"/>
                <w:color w:val="auto"/>
                <w:kern w:val="0"/>
                <w:szCs w:val="21"/>
                <w:highlight w:val="none"/>
              </w:rPr>
            </w:pPr>
            <w:r>
              <w:rPr>
                <w:rFonts w:hint="eastAsia" w:ascii="宋体" w:hAnsi="宋体"/>
                <w:color w:val="auto"/>
                <w:szCs w:val="21"/>
                <w:highlight w:val="none"/>
              </w:rPr>
              <w:t>承包方式：</w:t>
            </w:r>
            <w:r>
              <w:rPr>
                <w:rFonts w:hint="eastAsia" w:ascii="宋体" w:hAnsi="宋体"/>
                <w:bCs/>
                <w:snapToGrid w:val="0"/>
                <w:color w:val="auto"/>
                <w:kern w:val="0"/>
                <w:szCs w:val="21"/>
                <w:highlight w:val="none"/>
              </w:rPr>
              <w:t>承包人根据招标文件、合同文件、有关资料及说明等对本项目实施工程总承包：包勘察，包设计，包施工[包括但不限于包工、包料、包质量、包安全生产、包文明施工、包工期、包承包范围内工程验收通过、包通水、包通电、包通燃气、包通讯、包移交、包结算、包创优工程（如有）的组织实施工作和资料整理、包竣工资料收集整理及移交档案、包保修、包保险、包竣工图编制（须满足规划等各专项验收要求）等]，包控制投资、包报批报建等。合同价款根据招标文件和本合同约定的计价方式进行计价和结算。结算方式具体按合同条款规定。</w:t>
            </w:r>
          </w:p>
          <w:p>
            <w:pPr>
              <w:rPr>
                <w:rFonts w:hint="eastAsia" w:ascii="宋体" w:hAnsi="宋体"/>
                <w:color w:val="auto"/>
                <w:szCs w:val="21"/>
                <w:highlight w:val="none"/>
              </w:rPr>
            </w:pPr>
            <w:r>
              <w:rPr>
                <w:rFonts w:hint="eastAsia" w:ascii="宋体" w:hAnsi="宋体"/>
                <w:bCs/>
                <w:snapToGrid w:val="0"/>
                <w:color w:val="auto"/>
                <w:kern w:val="0"/>
                <w:szCs w:val="21"/>
                <w:highlight w:val="none"/>
              </w:rPr>
              <w:t>本工程实行全过程限额设计施工，限额投资。工程变更需经过建设单位审定后方</w:t>
            </w:r>
            <w:bookmarkStart w:id="37" w:name="OLE_LINK2"/>
            <w:bookmarkStart w:id="38" w:name="OLE_LINK17"/>
            <w:bookmarkStart w:id="39" w:name="OLE_LINK14"/>
            <w:r>
              <w:rPr>
                <w:rFonts w:hint="eastAsia" w:ascii="宋体" w:hAnsi="宋体"/>
                <w:bCs/>
                <w:snapToGrid w:val="0"/>
                <w:color w:val="auto"/>
                <w:kern w:val="0"/>
                <w:szCs w:val="21"/>
                <w:highlight w:val="none"/>
              </w:rPr>
              <w:t>可实施。</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kern w:val="0"/>
                <w:szCs w:val="21"/>
                <w:highlight w:val="none"/>
              </w:rPr>
            </w:pPr>
            <w:r>
              <w:rPr>
                <w:rFonts w:hint="eastAsia" w:ascii="宋体" w:hAnsi="宋体"/>
                <w:color w:val="auto"/>
                <w:szCs w:val="21"/>
                <w:highlight w:val="none"/>
              </w:rPr>
              <w:t>9.</w:t>
            </w:r>
            <w:r>
              <w:rPr>
                <w:rFonts w:ascii="宋体" w:hAnsi="宋体"/>
                <w:color w:val="auto"/>
                <w:szCs w:val="21"/>
                <w:highlight w:val="none"/>
              </w:rPr>
              <w:t>6</w:t>
            </w:r>
          </w:p>
        </w:tc>
        <w:tc>
          <w:tcPr>
            <w:tcW w:w="8696" w:type="dxa"/>
            <w:gridSpan w:val="3"/>
            <w:noWrap w:val="0"/>
            <w:vAlign w:val="center"/>
          </w:tcPr>
          <w:p>
            <w:pPr>
              <w:rPr>
                <w:rFonts w:hint="eastAsia" w:ascii="宋体" w:hAnsi="宋体" w:cs="宋体"/>
                <w:bCs/>
                <w:color w:val="auto"/>
                <w:highlight w:val="none"/>
              </w:rPr>
            </w:pPr>
            <w:r>
              <w:rPr>
                <w:rFonts w:hint="eastAsia" w:ascii="宋体" w:hAnsi="宋体"/>
                <w:bCs/>
                <w:color w:val="auto"/>
                <w:highlight w:val="none"/>
              </w:rPr>
              <w:t>投标文件中需同时填写大写和小写的，大写和小写不一致时以大写为准。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7</w:t>
            </w:r>
          </w:p>
        </w:tc>
        <w:tc>
          <w:tcPr>
            <w:tcW w:w="8696" w:type="dxa"/>
            <w:gridSpan w:val="3"/>
            <w:noWrap w:val="0"/>
            <w:vAlign w:val="center"/>
          </w:tcPr>
          <w:p>
            <w:pPr>
              <w:rPr>
                <w:rFonts w:hint="eastAsia" w:ascii="宋体" w:hAnsi="宋体"/>
                <w:bCs/>
                <w:color w:val="auto"/>
                <w:highlight w:val="none"/>
              </w:rPr>
            </w:pPr>
            <w:r>
              <w:rPr>
                <w:rFonts w:hint="eastAsia" w:ascii="宋体" w:hAnsi="宋体"/>
                <w:bCs/>
                <w:color w:val="auto"/>
                <w:highlight w:val="none"/>
              </w:rPr>
              <w:t>项目的监理、施工图审查、第三方检测工作、节能评估服务不列入本次招标范围。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10.1</w:t>
            </w:r>
          </w:p>
        </w:tc>
        <w:tc>
          <w:tcPr>
            <w:tcW w:w="3236"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电子招标投标</w:t>
            </w:r>
          </w:p>
        </w:tc>
        <w:tc>
          <w:tcPr>
            <w:tcW w:w="5460"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□否</w:t>
            </w:r>
          </w:p>
          <w:p>
            <w:pPr>
              <w:rPr>
                <w:rFonts w:hint="eastAsia" w:ascii="宋体" w:hAnsi="宋体" w:cs="宋体"/>
                <w:color w:val="auto"/>
                <w:szCs w:val="21"/>
                <w:highlight w:val="none"/>
              </w:rPr>
            </w:pPr>
            <w:r>
              <w:rPr>
                <w:rFonts w:hint="eastAsia" w:ascii="宋体" w:hAnsi="宋体" w:cs="宋体"/>
                <w:color w:val="auto"/>
                <w:szCs w:val="21"/>
                <w:highlight w:val="none"/>
              </w:rPr>
              <w:t>■是，具体要求：</w:t>
            </w:r>
          </w:p>
          <w:p>
            <w:pPr>
              <w:rPr>
                <w:rFonts w:hint="eastAsia" w:ascii="宋体" w:hAnsi="宋体" w:cs="宋体"/>
                <w:color w:val="auto"/>
                <w:szCs w:val="21"/>
                <w:highlight w:val="none"/>
              </w:rPr>
            </w:pPr>
            <w:r>
              <w:rPr>
                <w:rFonts w:hint="eastAsia" w:ascii="宋体" w:hAnsi="宋体" w:cs="宋体"/>
                <w:color w:val="auto"/>
                <w:szCs w:val="21"/>
                <w:highlight w:val="none"/>
              </w:rPr>
              <w:t>1、投标文件形式：投标文件全部采用电子文档，投标文件应按交易平台相关操作指南编制。如不按上述要求编制引起系统无法检索、读取相关信息的，其后果由投标人承担。投标文件所附证书证件均为原件扫描件，并采用单位数字证书，按招标文件要求在相应位置加盖电子印章。投标文件中需个人签字或盖章的，应在线下完成后扫描上传。具体操作详见交易平台相关操作指南。</w:t>
            </w:r>
          </w:p>
          <w:p>
            <w:pPr>
              <w:rPr>
                <w:rFonts w:hint="eastAsia" w:ascii="宋体" w:hAnsi="宋体" w:cs="宋体"/>
                <w:color w:val="auto"/>
                <w:szCs w:val="21"/>
                <w:highlight w:val="none"/>
              </w:rPr>
            </w:pPr>
            <w:r>
              <w:rPr>
                <w:rFonts w:hint="eastAsia" w:ascii="宋体" w:hAnsi="宋体" w:cs="宋体"/>
                <w:color w:val="auto"/>
                <w:szCs w:val="21"/>
                <w:highlight w:val="none"/>
              </w:rPr>
              <w:t>2、投标文件的修改与撤回：投标人修改或撤回已递交的投标文件，需在交易平台发出撤回通知，并按要求加盖电子印章。电子招标投标交易平台收到通知后，即时向投标人发出确认回执通知。</w:t>
            </w:r>
          </w:p>
          <w:p>
            <w:pPr>
              <w:rPr>
                <w:rFonts w:hint="eastAsia" w:ascii="宋体" w:hAnsi="宋体" w:cs="宋体"/>
                <w:color w:val="auto"/>
                <w:szCs w:val="21"/>
                <w:highlight w:val="none"/>
              </w:rPr>
            </w:pPr>
            <w:r>
              <w:rPr>
                <w:rFonts w:hint="eastAsia" w:ascii="宋体" w:hAnsi="宋体" w:cs="宋体"/>
                <w:color w:val="auto"/>
                <w:szCs w:val="21"/>
                <w:highlight w:val="none"/>
              </w:rPr>
              <w:t>3、提交投标文件光盘备用：投标人将按《建设工程全流程电子化项目操作指南》的操作方法制作的非加密的电子投标文件刻入光盘（设计方案投标文件、工程总承包实施方案（含资格审查）投标文件、揭晓文件（揭晓文件指：附与设计方案投标文件一致的效果图一页，效果图需为加盖投标人（主办方）公章的扫描件，用于分辨投标文件对应的投标人身份）应分别刻录在不同的光盘），在规定的时间、地点提交备用。刻录好的投标文件光盘密封在密封袋中，并在封口处加盖投标人单位公章（设计方案投标文件备用光盘及揭晓文件除外）。密封袋上应写明（项目名称）投标文件（设计方案投标文件/工程总承包实施方案（含资格审查）投标文件/揭晓文件）。递交的投标文件光盘不得加密。投标文件光盘无法读取或导入的，则视为未提交备用投标文件光盘。如果投标人没有按规定通过交易平台网上递交电子投标文件的，不再接受提交的光盘。投标人也可不提交投标文件光盘(备用)。</w:t>
            </w:r>
          </w:p>
          <w:p>
            <w:pPr>
              <w:rPr>
                <w:rFonts w:hint="eastAsia" w:ascii="宋体" w:hAnsi="宋体" w:cs="宋体"/>
                <w:color w:val="auto"/>
                <w:szCs w:val="21"/>
                <w:highlight w:val="none"/>
              </w:rPr>
            </w:pPr>
            <w:r>
              <w:rPr>
                <w:rFonts w:hint="eastAsia" w:ascii="宋体" w:hAnsi="宋体" w:cs="宋体"/>
                <w:color w:val="auto"/>
                <w:szCs w:val="21"/>
                <w:highlight w:val="none"/>
              </w:rPr>
              <w:t>4、投标文件的递交：</w:t>
            </w:r>
          </w:p>
          <w:p>
            <w:pPr>
              <w:rPr>
                <w:rFonts w:hint="eastAsia" w:ascii="宋体" w:hAnsi="宋体" w:cs="宋体"/>
                <w:color w:val="auto"/>
                <w:szCs w:val="21"/>
                <w:highlight w:val="none"/>
              </w:rPr>
            </w:pPr>
            <w:r>
              <w:rPr>
                <w:rFonts w:hint="eastAsia" w:ascii="宋体" w:hAnsi="宋体" w:cs="宋体"/>
                <w:color w:val="auto"/>
                <w:szCs w:val="21"/>
                <w:highlight w:val="none"/>
              </w:rPr>
              <w:t>见招标公告。</w:t>
            </w:r>
          </w:p>
          <w:p>
            <w:pPr>
              <w:rPr>
                <w:rFonts w:hint="eastAsia" w:ascii="宋体" w:hAnsi="宋体" w:cs="宋体"/>
                <w:color w:val="auto"/>
                <w:szCs w:val="21"/>
                <w:highlight w:val="none"/>
              </w:rPr>
            </w:pPr>
            <w:r>
              <w:rPr>
                <w:rFonts w:hint="eastAsia" w:ascii="宋体" w:hAnsi="宋体" w:cs="宋体"/>
                <w:color w:val="auto"/>
                <w:szCs w:val="21"/>
                <w:highlight w:val="none"/>
              </w:rPr>
              <w:t>5、投标文件加密要求：</w:t>
            </w:r>
          </w:p>
          <w:p>
            <w:pPr>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1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①</w:t>
            </w:r>
            <w:r>
              <w:rPr>
                <w:rFonts w:hint="eastAsia" w:ascii="宋体" w:hAnsi="宋体" w:cs="宋体"/>
                <w:color w:val="auto"/>
                <w:szCs w:val="21"/>
                <w:highlight w:val="none"/>
              </w:rPr>
              <w:fldChar w:fldCharType="end"/>
            </w:r>
            <w:r>
              <w:rPr>
                <w:rFonts w:hint="eastAsia" w:ascii="宋体" w:hAnsi="宋体" w:cs="宋体"/>
                <w:color w:val="auto"/>
                <w:szCs w:val="21"/>
                <w:highlight w:val="none"/>
              </w:rPr>
              <w:t>网上递交的电子投标文件须进行加密。具体操作详见交易平台相关操作指南。</w:t>
            </w:r>
          </w:p>
          <w:p>
            <w:pPr>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2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②</w:t>
            </w:r>
            <w:r>
              <w:rPr>
                <w:rFonts w:hint="eastAsia" w:ascii="宋体" w:hAnsi="宋体" w:cs="宋体"/>
                <w:color w:val="auto"/>
                <w:szCs w:val="21"/>
                <w:highlight w:val="none"/>
              </w:rPr>
              <w:fldChar w:fldCharType="end"/>
            </w:r>
            <w:r>
              <w:rPr>
                <w:rFonts w:hint="eastAsia" w:ascii="宋体" w:hAnsi="宋体" w:cs="宋体"/>
                <w:color w:val="auto"/>
                <w:szCs w:val="21"/>
                <w:highlight w:val="none"/>
              </w:rPr>
              <w:t>未按要求加密的投标文件，招标人将予以拒收。</w:t>
            </w:r>
          </w:p>
          <w:p>
            <w:pPr>
              <w:rPr>
                <w:rFonts w:hint="eastAsia" w:ascii="宋体" w:hAnsi="宋体" w:cs="宋体"/>
                <w:color w:val="auto"/>
                <w:szCs w:val="21"/>
                <w:highlight w:val="none"/>
              </w:rPr>
            </w:pPr>
            <w:r>
              <w:rPr>
                <w:rFonts w:hint="eastAsia" w:ascii="宋体" w:hAnsi="宋体" w:cs="宋体"/>
                <w:color w:val="auto"/>
                <w:szCs w:val="21"/>
                <w:highlight w:val="none"/>
              </w:rPr>
              <w:t>6、投标文件解密失败的补救方案：</w:t>
            </w:r>
          </w:p>
          <w:p>
            <w:pPr>
              <w:rPr>
                <w:rFonts w:hint="eastAsia" w:ascii="宋体" w:hAnsi="宋体" w:cs="宋体"/>
                <w:color w:val="auto"/>
                <w:szCs w:val="21"/>
                <w:highlight w:val="none"/>
              </w:rPr>
            </w:pPr>
            <w:r>
              <w:rPr>
                <w:rFonts w:hint="eastAsia" w:ascii="宋体" w:hAnsi="宋体" w:cs="宋体"/>
                <w:color w:val="auto"/>
                <w:szCs w:val="21"/>
                <w:highlight w:val="none"/>
              </w:rPr>
              <w:t>在规定时间内，因投标人之外原因(指网络瘫痪、服务器损坏、交易系统故障短期无法恢复)导致的电子投标文件解密失败，在开标现场读取光盘内容，继续开标程序。若出现招标人无法正常解密或导入开标系统的情况，在开标现场读取已成功解密、以及因投标人之外的原因导致电子投标文件解密失败的投标人递交的电子光盘内容。出现上述情况的，评标委员会对其投标文件的评审以光盘内容为准。因投标人之外原因解密失败且未递交电子光盘的，视为撤回投标文件。</w:t>
            </w:r>
          </w:p>
          <w:p>
            <w:pPr>
              <w:rPr>
                <w:rFonts w:hint="eastAsia" w:ascii="宋体" w:hAnsi="宋体" w:cs="宋体"/>
                <w:color w:val="auto"/>
                <w:szCs w:val="21"/>
                <w:highlight w:val="none"/>
              </w:rPr>
            </w:pPr>
            <w:r>
              <w:rPr>
                <w:rFonts w:hint="eastAsia" w:ascii="宋体" w:hAnsi="宋体" w:cs="宋体"/>
                <w:color w:val="auto"/>
                <w:szCs w:val="21"/>
                <w:highlight w:val="none"/>
              </w:rPr>
              <w:t>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0</w:t>
            </w:r>
            <w:r>
              <w:rPr>
                <w:rFonts w:hint="eastAsia" w:ascii="宋体" w:hAnsi="宋体" w:cs="宋体"/>
                <w:color w:val="auto"/>
                <w:szCs w:val="21"/>
                <w:highlight w:val="none"/>
              </w:rPr>
              <w:t>.2</w:t>
            </w:r>
          </w:p>
        </w:tc>
        <w:tc>
          <w:tcPr>
            <w:tcW w:w="3236"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u w:val="single"/>
              </w:rPr>
              <w:t>中标公示后中标单位提交投标文件要求</w:t>
            </w:r>
          </w:p>
        </w:tc>
        <w:tc>
          <w:tcPr>
            <w:tcW w:w="5460"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中标候选人公示后3天内中标人需将在广州公共资源交易中心网站下载的投标文件打印，投标文件需与中标人在广州公共资源交易中心网站提交的投标文件一致，中标人加盖公章，一正</w:t>
            </w:r>
            <w:r>
              <w:rPr>
                <w:rFonts w:hint="eastAsia" w:ascii="宋体" w:hAnsi="宋体" w:cs="宋体"/>
                <w:color w:val="auto"/>
                <w:szCs w:val="21"/>
                <w:highlight w:val="none"/>
                <w:lang w:eastAsia="zh-CN"/>
              </w:rPr>
              <w:t>6</w:t>
            </w:r>
            <w:r>
              <w:rPr>
                <w:rFonts w:hint="eastAsia" w:ascii="宋体" w:hAnsi="宋体" w:cs="宋体"/>
                <w:color w:val="auto"/>
                <w:szCs w:val="21"/>
                <w:highlight w:val="none"/>
              </w:rPr>
              <w:t>副（加盖公章），合共</w:t>
            </w:r>
            <w:r>
              <w:rPr>
                <w:rFonts w:hint="eastAsia" w:ascii="宋体" w:hAnsi="宋体" w:cs="宋体"/>
                <w:color w:val="auto"/>
                <w:szCs w:val="21"/>
                <w:highlight w:val="none"/>
                <w:lang w:eastAsia="zh-CN"/>
              </w:rPr>
              <w:t>7</w:t>
            </w:r>
            <w:r>
              <w:rPr>
                <w:rFonts w:hint="eastAsia" w:ascii="宋体" w:hAnsi="宋体" w:cs="宋体"/>
                <w:color w:val="auto"/>
                <w:szCs w:val="21"/>
                <w:highlight w:val="none"/>
              </w:rPr>
              <w:t>套投标文件提供给招标人，相关费用由投标人自行承担。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1</w:t>
            </w:r>
          </w:p>
        </w:tc>
        <w:tc>
          <w:tcPr>
            <w:tcW w:w="8696" w:type="dxa"/>
            <w:gridSpan w:val="3"/>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承包人负责编制的</w:t>
            </w:r>
            <w:r>
              <w:rPr>
                <w:rFonts w:ascii="宋体" w:hAnsi="宋体" w:cs="宋体"/>
                <w:color w:val="auto"/>
                <w:szCs w:val="21"/>
                <w:highlight w:val="none"/>
              </w:rPr>
              <w:t>概算、</w:t>
            </w:r>
            <w:r>
              <w:rPr>
                <w:rFonts w:hint="eastAsia" w:ascii="宋体" w:hAnsi="宋体" w:cs="宋体"/>
                <w:color w:val="auto"/>
                <w:szCs w:val="21"/>
                <w:highlight w:val="none"/>
              </w:rPr>
              <w:t>预算、结算文件以及过程中的签证、变更费用将统一报送到发包人或发包人委派的造价咨询单位先行审核，经发包人同意后再报审，最终以有权审核部门批复为准。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80" w:type="dxa"/>
            <w:gridSpan w:val="4"/>
            <w:noWrap w:val="0"/>
            <w:vAlign w:val="center"/>
          </w:tcPr>
          <w:p>
            <w:pPr>
              <w:rPr>
                <w:rFonts w:hint="eastAsia" w:ascii="宋体" w:hAnsi="宋体"/>
                <w:b/>
                <w:color w:val="auto"/>
                <w:szCs w:val="21"/>
                <w:highlight w:val="none"/>
              </w:rPr>
            </w:pPr>
            <w:r>
              <w:rPr>
                <w:rFonts w:hint="eastAsia" w:ascii="宋体" w:hAnsi="宋体"/>
                <w:b/>
                <w:color w:val="auto"/>
                <w:szCs w:val="21"/>
                <w:highlight w:val="none"/>
              </w:rPr>
              <w:t>需要补充的其他内容：</w:t>
            </w:r>
          </w:p>
          <w:p>
            <w:pPr>
              <w:widowControl/>
              <w:rPr>
                <w:rFonts w:hint="eastAsia" w:ascii="宋体" w:hAnsi="宋体" w:cs="宋体"/>
                <w:color w:val="auto"/>
                <w:kern w:val="0"/>
                <w:szCs w:val="21"/>
                <w:highlight w:val="none"/>
              </w:rPr>
            </w:pPr>
            <w:r>
              <w:rPr>
                <w:rFonts w:hint="eastAsia" w:ascii="宋体" w:hAnsi="宋体"/>
                <w:color w:val="auto"/>
                <w:szCs w:val="21"/>
                <w:highlight w:val="none"/>
              </w:rPr>
              <w:t>1.关于联合体投标人评标的相关规定：如组成联合体投标的，勘察、设计部分评分以承接勘察、设计任务的单位为准；施工部分评分以承接施工任务的单位为准。</w:t>
            </w:r>
          </w:p>
        </w:tc>
      </w:tr>
    </w:tbl>
    <w:p>
      <w:pPr>
        <w:spacing w:line="400" w:lineRule="exact"/>
        <w:rPr>
          <w:rFonts w:hint="eastAsia" w:ascii="宋体" w:hAnsi="宋体" w:cs="宋体"/>
          <w:color w:val="auto"/>
          <w:highlight w:val="none"/>
        </w:rPr>
      </w:pPr>
    </w:p>
    <w:p>
      <w:pPr>
        <w:pStyle w:val="3"/>
        <w:spacing w:before="0" w:after="0" w:line="276" w:lineRule="auto"/>
        <w:rPr>
          <w:rFonts w:hint="eastAsia" w:ascii="宋体" w:hAnsi="宋体" w:eastAsia="宋体" w:cs="宋体"/>
          <w:color w:val="auto"/>
          <w:highlight w:val="none"/>
        </w:rPr>
      </w:pPr>
      <w:bookmarkStart w:id="40" w:name="_Toc247513952"/>
      <w:bookmarkStart w:id="41" w:name="_Toc29282"/>
      <w:bookmarkStart w:id="42" w:name="_Toc300834949"/>
      <w:bookmarkStart w:id="43" w:name="_Toc505152687"/>
      <w:bookmarkStart w:id="44" w:name="_Toc443505822"/>
      <w:bookmarkStart w:id="45" w:name="_Toc144974497"/>
      <w:bookmarkStart w:id="46" w:name="_Toc357089511"/>
      <w:bookmarkStart w:id="47" w:name="_Toc480225648"/>
      <w:bookmarkStart w:id="48" w:name="_Toc362816480"/>
      <w:bookmarkStart w:id="49" w:name="_Toc152042305"/>
      <w:bookmarkStart w:id="50" w:name="_Toc247527553"/>
      <w:bookmarkStart w:id="51" w:name="_Toc152045529"/>
      <w:r>
        <w:rPr>
          <w:rFonts w:ascii="宋体" w:hAnsi="宋体" w:eastAsia="宋体" w:cs="宋体"/>
          <w:color w:val="auto"/>
          <w:highlight w:val="none"/>
        </w:rPr>
        <w:br w:type="page"/>
      </w:r>
      <w:r>
        <w:rPr>
          <w:rFonts w:hint="eastAsia" w:ascii="宋体" w:hAnsi="宋体" w:eastAsia="宋体" w:cs="宋体"/>
          <w:color w:val="auto"/>
          <w:sz w:val="28"/>
          <w:szCs w:val="28"/>
          <w:highlight w:val="none"/>
        </w:rPr>
        <w:t>1. 总则</w:t>
      </w:r>
      <w:bookmarkEnd w:id="40"/>
      <w:bookmarkEnd w:id="41"/>
      <w:bookmarkEnd w:id="42"/>
      <w:bookmarkEnd w:id="43"/>
      <w:bookmarkEnd w:id="44"/>
      <w:bookmarkEnd w:id="45"/>
      <w:bookmarkEnd w:id="46"/>
      <w:bookmarkEnd w:id="47"/>
      <w:bookmarkEnd w:id="48"/>
      <w:bookmarkEnd w:id="49"/>
      <w:bookmarkEnd w:id="50"/>
      <w:bookmarkEnd w:id="51"/>
      <w:bookmarkStart w:id="52" w:name="_Toc152042306"/>
      <w:bookmarkStart w:id="53" w:name="_Toc362816481"/>
      <w:bookmarkStart w:id="54" w:name="_Toc247513953"/>
      <w:bookmarkStart w:id="55" w:name="_Toc357089512"/>
      <w:bookmarkStart w:id="56" w:name="_Toc356469178"/>
      <w:bookmarkStart w:id="57" w:name="_Toc144974498"/>
      <w:bookmarkStart w:id="58" w:name="_Toc300834950"/>
      <w:bookmarkStart w:id="59" w:name="_Toc247527554"/>
      <w:bookmarkStart w:id="60" w:name="_Toc152045530"/>
    </w:p>
    <w:p>
      <w:pPr>
        <w:pStyle w:val="3"/>
        <w:spacing w:before="0" w:after="0" w:line="276" w:lineRule="auto"/>
        <w:rPr>
          <w:rFonts w:hint="eastAsia" w:ascii="宋体" w:hAnsi="宋体" w:eastAsia="宋体" w:cs="宋体"/>
          <w:bCs w:val="0"/>
          <w:color w:val="auto"/>
          <w:sz w:val="21"/>
          <w:szCs w:val="21"/>
          <w:highlight w:val="none"/>
        </w:rPr>
      </w:pPr>
      <w:bookmarkStart w:id="61" w:name="_Toc31995"/>
      <w:r>
        <w:rPr>
          <w:rFonts w:hint="eastAsia" w:ascii="宋体" w:hAnsi="宋体" w:eastAsia="宋体" w:cs="宋体"/>
          <w:bCs w:val="0"/>
          <w:color w:val="auto"/>
          <w:sz w:val="21"/>
          <w:szCs w:val="21"/>
          <w:highlight w:val="none"/>
        </w:rPr>
        <w:t>1.1 项目概况</w:t>
      </w:r>
      <w:bookmarkEnd w:id="52"/>
      <w:bookmarkEnd w:id="53"/>
      <w:bookmarkEnd w:id="54"/>
      <w:bookmarkEnd w:id="55"/>
      <w:bookmarkEnd w:id="56"/>
      <w:bookmarkEnd w:id="57"/>
      <w:bookmarkEnd w:id="58"/>
      <w:bookmarkEnd w:id="59"/>
      <w:bookmarkEnd w:id="60"/>
      <w:bookmarkEnd w:id="61"/>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1.1.1 根据《中华人民共和国招标投标法》等有关法律、法规和规章的规定，本招标项目已具备招标条件，现对本项目设计施工进行总承包招标。</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1.1.2 招标人：见投标人须知前附表。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1.1.3 招标代理机构：见投标人须知前附表。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1.1.4 招标项目名称：见投标人须知前附表。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1.1.5 项目建设地点：见投标人须知前附表。</w:t>
      </w:r>
    </w:p>
    <w:p>
      <w:pPr>
        <w:pStyle w:val="4"/>
        <w:spacing w:before="0" w:after="0" w:line="276" w:lineRule="auto"/>
        <w:ind w:firstLine="103"/>
        <w:rPr>
          <w:rFonts w:hAnsi="宋体" w:cs="宋体"/>
          <w:bCs w:val="0"/>
          <w:color w:val="auto"/>
          <w:sz w:val="21"/>
          <w:szCs w:val="21"/>
          <w:highlight w:val="none"/>
        </w:rPr>
      </w:pPr>
      <w:bookmarkStart w:id="62" w:name="_Toc356469179"/>
      <w:bookmarkStart w:id="63" w:name="_Toc152042307"/>
      <w:bookmarkStart w:id="64" w:name="_Toc362816482"/>
      <w:bookmarkStart w:id="65" w:name="_Toc152045531"/>
      <w:bookmarkStart w:id="66" w:name="_Toc247527555"/>
      <w:bookmarkStart w:id="67" w:name="_Toc357089513"/>
      <w:bookmarkStart w:id="68" w:name="_Toc24499"/>
      <w:bookmarkStart w:id="69" w:name="_Toc300834951"/>
      <w:bookmarkStart w:id="70" w:name="_Toc247513954"/>
      <w:bookmarkStart w:id="71" w:name="_Toc144974499"/>
      <w:r>
        <w:rPr>
          <w:rFonts w:hint="eastAsia" w:hAnsi="宋体" w:cs="宋体"/>
          <w:bCs w:val="0"/>
          <w:color w:val="auto"/>
          <w:sz w:val="21"/>
          <w:szCs w:val="21"/>
          <w:highlight w:val="none"/>
        </w:rPr>
        <w:t>1.2 项目的资金来源和落实情况</w:t>
      </w:r>
      <w:bookmarkEnd w:id="62"/>
      <w:bookmarkEnd w:id="63"/>
      <w:bookmarkEnd w:id="64"/>
      <w:bookmarkEnd w:id="65"/>
      <w:bookmarkEnd w:id="66"/>
      <w:bookmarkEnd w:id="67"/>
      <w:bookmarkEnd w:id="68"/>
      <w:bookmarkEnd w:id="69"/>
      <w:bookmarkEnd w:id="70"/>
      <w:bookmarkEnd w:id="71"/>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1.2.1 资金来源及比例：见投标人须知前附表。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1.2.2 资金落实情况：见投标人须知前附表。</w:t>
      </w:r>
    </w:p>
    <w:p>
      <w:pPr>
        <w:pStyle w:val="4"/>
        <w:spacing w:before="0" w:after="0" w:line="276" w:lineRule="auto"/>
        <w:ind w:firstLine="103"/>
        <w:rPr>
          <w:rFonts w:hAnsi="宋体" w:cs="宋体"/>
          <w:bCs w:val="0"/>
          <w:color w:val="auto"/>
          <w:sz w:val="21"/>
          <w:szCs w:val="21"/>
          <w:highlight w:val="none"/>
        </w:rPr>
      </w:pPr>
      <w:bookmarkStart w:id="72" w:name="_Toc152042308"/>
      <w:bookmarkStart w:id="73" w:name="_Toc144974500"/>
      <w:bookmarkStart w:id="74" w:name="_Toc247513955"/>
      <w:bookmarkStart w:id="75" w:name="_Toc152045532"/>
      <w:bookmarkStart w:id="76" w:name="_Toc247527556"/>
      <w:bookmarkStart w:id="77" w:name="_Toc356469180"/>
      <w:bookmarkStart w:id="78" w:name="_Toc19000"/>
      <w:bookmarkStart w:id="79" w:name="_Toc357089514"/>
      <w:bookmarkStart w:id="80" w:name="_Toc362816483"/>
      <w:bookmarkStart w:id="81" w:name="_Toc300834952"/>
      <w:r>
        <w:rPr>
          <w:rFonts w:hint="eastAsia" w:hAnsi="宋体" w:cs="宋体"/>
          <w:bCs w:val="0"/>
          <w:color w:val="auto"/>
          <w:sz w:val="21"/>
          <w:szCs w:val="21"/>
          <w:highlight w:val="none"/>
        </w:rPr>
        <w:t>1.3 招标范围、计划工期和</w:t>
      </w:r>
      <w:bookmarkEnd w:id="72"/>
      <w:bookmarkEnd w:id="73"/>
      <w:bookmarkEnd w:id="74"/>
      <w:bookmarkEnd w:id="75"/>
      <w:bookmarkEnd w:id="76"/>
      <w:r>
        <w:rPr>
          <w:rFonts w:hint="eastAsia" w:hAnsi="宋体" w:cs="宋体"/>
          <w:bCs w:val="0"/>
          <w:color w:val="auto"/>
          <w:sz w:val="21"/>
          <w:szCs w:val="21"/>
          <w:highlight w:val="none"/>
        </w:rPr>
        <w:t>质量标准</w:t>
      </w:r>
      <w:bookmarkEnd w:id="77"/>
      <w:bookmarkEnd w:id="78"/>
      <w:bookmarkEnd w:id="79"/>
      <w:bookmarkEnd w:id="80"/>
      <w:bookmarkEnd w:id="81"/>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1.3.1 招标范围：见投标人须知前附表。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1.3.2 计划工期：见投标人须知前附表。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1.3.3 质量标准：见投标人须知前附表。</w:t>
      </w:r>
    </w:p>
    <w:p>
      <w:pPr>
        <w:pStyle w:val="4"/>
        <w:spacing w:before="0" w:after="0" w:line="276" w:lineRule="auto"/>
        <w:ind w:firstLine="103"/>
        <w:rPr>
          <w:rFonts w:hAnsi="宋体" w:cs="宋体"/>
          <w:bCs w:val="0"/>
          <w:color w:val="auto"/>
          <w:sz w:val="21"/>
          <w:szCs w:val="21"/>
          <w:highlight w:val="none"/>
        </w:rPr>
      </w:pPr>
      <w:bookmarkStart w:id="82" w:name="_Toc17424"/>
      <w:bookmarkStart w:id="83" w:name="_Toc152045534"/>
      <w:bookmarkStart w:id="84" w:name="_Toc152042310"/>
      <w:bookmarkStart w:id="85" w:name="_Toc247513957"/>
      <w:bookmarkStart w:id="86" w:name="_Toc247527558"/>
      <w:bookmarkStart w:id="87" w:name="_Toc144974502"/>
      <w:bookmarkStart w:id="88" w:name="_Toc300834954"/>
      <w:r>
        <w:rPr>
          <w:rFonts w:hint="eastAsia" w:hAnsi="宋体" w:cs="宋体"/>
          <w:bCs w:val="0"/>
          <w:color w:val="auto"/>
          <w:sz w:val="21"/>
          <w:szCs w:val="21"/>
          <w:highlight w:val="none"/>
        </w:rPr>
        <w:t>1.4投标人资格要求（</w:t>
      </w:r>
      <w:r>
        <w:rPr>
          <w:rFonts w:hint="eastAsia" w:hAnsi="宋体" w:cs="宋体"/>
          <w:bCs w:val="0"/>
          <w:color w:val="auto"/>
          <w:sz w:val="21"/>
          <w:szCs w:val="21"/>
          <w:highlight w:val="none"/>
          <w:u w:val="single"/>
        </w:rPr>
        <w:t>详见招标公告要求</w:t>
      </w:r>
      <w:r>
        <w:rPr>
          <w:rFonts w:hint="eastAsia" w:hAnsi="宋体" w:cs="宋体"/>
          <w:bCs w:val="0"/>
          <w:color w:val="auto"/>
          <w:sz w:val="21"/>
          <w:szCs w:val="21"/>
          <w:highlight w:val="none"/>
        </w:rPr>
        <w:t>）</w:t>
      </w:r>
      <w:bookmarkEnd w:id="82"/>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rPr>
        <w:t xml:space="preserve">1.4.1 </w:t>
      </w:r>
      <w:r>
        <w:rPr>
          <w:rFonts w:hint="eastAsia" w:ascii="宋体" w:hAnsi="宋体" w:cs="宋体"/>
          <w:color w:val="auto"/>
          <w:highlight w:val="none"/>
          <w:u w:val="single"/>
        </w:rPr>
        <w:t>投标人应是按招标公告要求成功投标登记的单位。</w:t>
      </w:r>
      <w:bookmarkEnd w:id="83"/>
      <w:bookmarkEnd w:id="84"/>
      <w:bookmarkEnd w:id="85"/>
      <w:bookmarkEnd w:id="86"/>
      <w:bookmarkEnd w:id="87"/>
      <w:bookmarkEnd w:id="8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1.4.2 关于联合体投标：</w:t>
      </w:r>
      <w:r>
        <w:rPr>
          <w:rFonts w:hint="eastAsia" w:ascii="宋体" w:hAnsi="宋体" w:cs="宋体"/>
          <w:color w:val="auto"/>
          <w:highlight w:val="none"/>
          <w:u w:val="single"/>
        </w:rPr>
        <w:t>见投标人须知前附表。</w:t>
      </w:r>
    </w:p>
    <w:p>
      <w:pPr>
        <w:spacing w:line="276" w:lineRule="auto"/>
        <w:ind w:firstLine="420" w:firstLineChars="200"/>
        <w:rPr>
          <w:rFonts w:hint="eastAsia" w:ascii="宋体" w:hAnsi="宋体" w:cs="宋体"/>
          <w:color w:val="auto"/>
          <w:highlight w:val="none"/>
        </w:rPr>
      </w:pPr>
    </w:p>
    <w:p>
      <w:pPr>
        <w:pStyle w:val="4"/>
        <w:spacing w:before="0" w:after="0" w:line="276" w:lineRule="auto"/>
        <w:ind w:firstLine="103"/>
        <w:rPr>
          <w:rFonts w:hAnsi="宋体" w:cs="宋体"/>
          <w:bCs w:val="0"/>
          <w:color w:val="auto"/>
          <w:sz w:val="21"/>
          <w:szCs w:val="21"/>
          <w:highlight w:val="none"/>
        </w:rPr>
      </w:pPr>
      <w:bookmarkStart w:id="89" w:name="_Toc247513958"/>
      <w:bookmarkStart w:id="90" w:name="_Toc247527559"/>
      <w:bookmarkStart w:id="91" w:name="_Toc152042311"/>
      <w:bookmarkStart w:id="92" w:name="_Toc144974503"/>
      <w:bookmarkStart w:id="93" w:name="_Toc152045535"/>
      <w:bookmarkStart w:id="94" w:name="_Toc362816485"/>
      <w:bookmarkStart w:id="95" w:name="_Toc300834955"/>
      <w:bookmarkStart w:id="96" w:name="_Toc5634"/>
      <w:bookmarkStart w:id="97" w:name="_Toc357089516"/>
      <w:bookmarkStart w:id="98" w:name="_Toc356469182"/>
      <w:r>
        <w:rPr>
          <w:rFonts w:hint="eastAsia" w:hAnsi="宋体" w:cs="宋体"/>
          <w:bCs w:val="0"/>
          <w:color w:val="auto"/>
          <w:sz w:val="21"/>
          <w:szCs w:val="21"/>
          <w:highlight w:val="none"/>
        </w:rPr>
        <w:t>1.5 费用承担</w:t>
      </w:r>
      <w:bookmarkEnd w:id="89"/>
      <w:bookmarkEnd w:id="90"/>
      <w:bookmarkEnd w:id="91"/>
      <w:bookmarkEnd w:id="92"/>
      <w:bookmarkEnd w:id="93"/>
      <w:r>
        <w:rPr>
          <w:rFonts w:hint="eastAsia" w:hAnsi="宋体" w:cs="宋体"/>
          <w:bCs w:val="0"/>
          <w:color w:val="auto"/>
          <w:sz w:val="21"/>
          <w:szCs w:val="21"/>
          <w:highlight w:val="none"/>
        </w:rPr>
        <w:t>和设计成果补偿</w:t>
      </w:r>
      <w:bookmarkEnd w:id="94"/>
      <w:bookmarkEnd w:id="95"/>
      <w:bookmarkEnd w:id="96"/>
      <w:bookmarkEnd w:id="97"/>
      <w:bookmarkEnd w:id="9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1.5.1 投标人准备和参加投标活动发生的设计费用成果补偿参考招标文件前附表1.5点设定。</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1.5.2 </w:t>
      </w:r>
      <w:r>
        <w:rPr>
          <w:rFonts w:hint="eastAsia" w:ascii="宋体" w:hAnsi="宋体" w:cs="宋体"/>
          <w:color w:val="auto"/>
          <w:highlight w:val="none"/>
          <w:u w:val="single"/>
        </w:rPr>
        <w:t>招标人在征得未中标人的同意后有权免费使用未中标人设计成果。</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u w:val="single"/>
        </w:rPr>
        <w:t>1.5.3 中标人应根据政府有关规定，向广州公共资源交易中心交纳交易服务费。</w:t>
      </w:r>
    </w:p>
    <w:p>
      <w:pPr>
        <w:pStyle w:val="4"/>
        <w:spacing w:before="0" w:after="0" w:line="276" w:lineRule="auto"/>
        <w:ind w:firstLine="103"/>
        <w:rPr>
          <w:rFonts w:hAnsi="宋体" w:cs="宋体"/>
          <w:bCs w:val="0"/>
          <w:color w:val="auto"/>
          <w:sz w:val="21"/>
          <w:szCs w:val="21"/>
          <w:highlight w:val="none"/>
        </w:rPr>
      </w:pPr>
      <w:bookmarkStart w:id="99" w:name="_Toc357089517"/>
      <w:bookmarkStart w:id="100" w:name="_Toc362816486"/>
      <w:bookmarkStart w:id="101" w:name="_Toc356469183"/>
      <w:bookmarkStart w:id="102" w:name="_Toc152045536"/>
      <w:bookmarkStart w:id="103" w:name="_Toc144974504"/>
      <w:bookmarkStart w:id="104" w:name="_Toc247513959"/>
      <w:bookmarkStart w:id="105" w:name="_Toc24237"/>
      <w:bookmarkStart w:id="106" w:name="_Toc152042312"/>
      <w:bookmarkStart w:id="107" w:name="_Toc247527560"/>
      <w:bookmarkStart w:id="108" w:name="_Toc300834956"/>
      <w:r>
        <w:rPr>
          <w:rFonts w:hint="eastAsia" w:hAnsi="宋体" w:cs="宋体"/>
          <w:bCs w:val="0"/>
          <w:color w:val="auto"/>
          <w:sz w:val="21"/>
          <w:szCs w:val="21"/>
          <w:highlight w:val="none"/>
        </w:rPr>
        <w:t>1.6 保密</w:t>
      </w:r>
      <w:bookmarkEnd w:id="99"/>
      <w:bookmarkEnd w:id="100"/>
      <w:bookmarkEnd w:id="101"/>
      <w:bookmarkEnd w:id="102"/>
      <w:bookmarkEnd w:id="103"/>
      <w:bookmarkEnd w:id="104"/>
      <w:bookmarkEnd w:id="105"/>
      <w:bookmarkEnd w:id="106"/>
      <w:bookmarkEnd w:id="107"/>
      <w:bookmarkEnd w:id="10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1.6.1参与招标投标活动的各方应对招标文件和投标文件中的商业和技术等秘密保密，否则应承担相应的法律责任。</w:t>
      </w:r>
    </w:p>
    <w:p>
      <w:pPr>
        <w:pStyle w:val="4"/>
        <w:spacing w:before="0" w:after="0" w:line="276" w:lineRule="auto"/>
        <w:ind w:firstLine="103"/>
        <w:rPr>
          <w:rFonts w:hAnsi="宋体" w:cs="宋体"/>
          <w:bCs w:val="0"/>
          <w:color w:val="auto"/>
          <w:sz w:val="21"/>
          <w:szCs w:val="21"/>
          <w:highlight w:val="none"/>
        </w:rPr>
      </w:pPr>
      <w:bookmarkStart w:id="109" w:name="_Toc144974505"/>
      <w:bookmarkStart w:id="110" w:name="_Toc356469184"/>
      <w:bookmarkStart w:id="111" w:name="_Toc357089518"/>
      <w:bookmarkStart w:id="112" w:name="_Toc362816487"/>
      <w:bookmarkStart w:id="113" w:name="_Toc300834957"/>
      <w:bookmarkStart w:id="114" w:name="_Toc247527561"/>
      <w:bookmarkStart w:id="115" w:name="_Toc152042313"/>
      <w:bookmarkStart w:id="116" w:name="_Toc247513960"/>
      <w:bookmarkStart w:id="117" w:name="_Toc4697"/>
      <w:bookmarkStart w:id="118" w:name="_Toc152045537"/>
      <w:r>
        <w:rPr>
          <w:rFonts w:hint="eastAsia" w:hAnsi="宋体" w:cs="宋体"/>
          <w:bCs w:val="0"/>
          <w:color w:val="auto"/>
          <w:sz w:val="21"/>
          <w:szCs w:val="21"/>
          <w:highlight w:val="none"/>
        </w:rPr>
        <w:t>1.7 语言</w:t>
      </w:r>
      <w:bookmarkEnd w:id="109"/>
      <w:r>
        <w:rPr>
          <w:rFonts w:hint="eastAsia" w:hAnsi="宋体" w:cs="宋体"/>
          <w:bCs w:val="0"/>
          <w:color w:val="auto"/>
          <w:sz w:val="21"/>
          <w:szCs w:val="21"/>
          <w:highlight w:val="none"/>
        </w:rPr>
        <w:t>文字</w:t>
      </w:r>
      <w:bookmarkEnd w:id="110"/>
      <w:bookmarkEnd w:id="111"/>
      <w:bookmarkEnd w:id="112"/>
      <w:bookmarkEnd w:id="113"/>
      <w:bookmarkEnd w:id="114"/>
      <w:bookmarkEnd w:id="115"/>
      <w:bookmarkEnd w:id="116"/>
      <w:bookmarkEnd w:id="117"/>
      <w:bookmarkEnd w:id="11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1.7.1招标投标文件使用的语言文字为中文。专用术语使用外文的，应附有中文注释。</w:t>
      </w:r>
    </w:p>
    <w:p>
      <w:pPr>
        <w:pStyle w:val="4"/>
        <w:spacing w:before="0" w:after="0" w:line="276" w:lineRule="auto"/>
        <w:ind w:firstLine="103"/>
        <w:rPr>
          <w:rFonts w:hAnsi="宋体" w:cs="宋体"/>
          <w:bCs w:val="0"/>
          <w:color w:val="auto"/>
          <w:sz w:val="21"/>
          <w:szCs w:val="21"/>
          <w:highlight w:val="none"/>
        </w:rPr>
      </w:pPr>
      <w:bookmarkStart w:id="119" w:name="_Toc300834958"/>
      <w:bookmarkStart w:id="120" w:name="_Toc144974506"/>
      <w:bookmarkStart w:id="121" w:name="_Toc152045538"/>
      <w:bookmarkStart w:id="122" w:name="_Toc356469185"/>
      <w:bookmarkStart w:id="123" w:name="_Toc12986"/>
      <w:bookmarkStart w:id="124" w:name="_Toc357089519"/>
      <w:bookmarkStart w:id="125" w:name="_Toc247527562"/>
      <w:bookmarkStart w:id="126" w:name="_Toc362816488"/>
      <w:bookmarkStart w:id="127" w:name="_Toc152042314"/>
      <w:bookmarkStart w:id="128" w:name="_Toc247513961"/>
      <w:r>
        <w:rPr>
          <w:rFonts w:hint="eastAsia" w:hAnsi="宋体" w:cs="宋体"/>
          <w:bCs w:val="0"/>
          <w:color w:val="auto"/>
          <w:sz w:val="21"/>
          <w:szCs w:val="21"/>
          <w:highlight w:val="none"/>
        </w:rPr>
        <w:t>1.8 计量单位</w:t>
      </w:r>
      <w:bookmarkEnd w:id="119"/>
      <w:bookmarkEnd w:id="120"/>
      <w:bookmarkEnd w:id="121"/>
      <w:bookmarkEnd w:id="122"/>
      <w:bookmarkEnd w:id="123"/>
      <w:bookmarkEnd w:id="124"/>
      <w:bookmarkEnd w:id="125"/>
      <w:bookmarkEnd w:id="126"/>
      <w:bookmarkEnd w:id="127"/>
      <w:bookmarkEnd w:id="12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1.8.1 所有计量均采用中华人民共和国法定计量单位。</w:t>
      </w:r>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1.8.2 本工程投标报价采用的币种为人民币。</w:t>
      </w:r>
    </w:p>
    <w:p>
      <w:pPr>
        <w:pStyle w:val="4"/>
        <w:spacing w:before="0" w:after="0" w:line="276" w:lineRule="auto"/>
        <w:ind w:firstLine="103"/>
        <w:rPr>
          <w:rFonts w:hAnsi="宋体" w:cs="宋体"/>
          <w:bCs w:val="0"/>
          <w:color w:val="auto"/>
          <w:sz w:val="21"/>
          <w:szCs w:val="21"/>
          <w:highlight w:val="none"/>
        </w:rPr>
      </w:pPr>
      <w:bookmarkStart w:id="129" w:name="_Toc144974507"/>
      <w:bookmarkStart w:id="130" w:name="_Toc12824"/>
      <w:bookmarkStart w:id="131" w:name="_Toc300834959"/>
      <w:bookmarkStart w:id="132" w:name="_Toc362816489"/>
      <w:bookmarkStart w:id="133" w:name="_Toc356469186"/>
      <w:bookmarkStart w:id="134" w:name="_Toc247527563"/>
      <w:bookmarkStart w:id="135" w:name="_Toc152042315"/>
      <w:bookmarkStart w:id="136" w:name="_Toc247513962"/>
      <w:bookmarkStart w:id="137" w:name="_Toc152045539"/>
      <w:bookmarkStart w:id="138" w:name="_Toc357089520"/>
      <w:r>
        <w:rPr>
          <w:rFonts w:hint="eastAsia" w:hAnsi="宋体" w:cs="宋体"/>
          <w:bCs w:val="0"/>
          <w:color w:val="auto"/>
          <w:sz w:val="21"/>
          <w:szCs w:val="21"/>
          <w:highlight w:val="none"/>
        </w:rPr>
        <w:t>1.9 踏勘现场</w:t>
      </w:r>
      <w:bookmarkEnd w:id="129"/>
      <w:bookmarkEnd w:id="130"/>
      <w:bookmarkEnd w:id="131"/>
      <w:bookmarkEnd w:id="132"/>
      <w:bookmarkEnd w:id="133"/>
      <w:bookmarkEnd w:id="134"/>
      <w:bookmarkEnd w:id="135"/>
      <w:bookmarkEnd w:id="136"/>
      <w:bookmarkEnd w:id="137"/>
      <w:bookmarkEnd w:id="13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1.9.1 投标人须知前附表规定组织踏勘现场的，招标人按投标人须知前附表规定的时间、地点组织投标人踏勘项目现场。 </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1.9.2 投标人踏勘现场发生的费用自理。</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1.9.3 除招标人的原因外，投标人自行负责在踏勘现场中所发生的人员伤亡和财产损失。</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1.9.4</w:t>
      </w:r>
      <w:r>
        <w:rPr>
          <w:rFonts w:hint="eastAsia" w:ascii="宋体" w:hAnsi="宋体" w:cs="宋体"/>
          <w:color w:val="auto"/>
          <w:highlight w:val="none"/>
          <w:u w:val="single"/>
        </w:rPr>
        <w:t>现场由投标人自行踏勘，投标人不进行踏勘的，视为已熟知现场条件，自行承担相关风险。招标人不对投标人自行踏勘现场作出的判断和决策负责。</w:t>
      </w:r>
    </w:p>
    <w:p>
      <w:pPr>
        <w:pStyle w:val="4"/>
        <w:spacing w:before="0" w:after="0" w:line="276" w:lineRule="auto"/>
        <w:ind w:firstLine="103"/>
        <w:rPr>
          <w:rFonts w:hAnsi="宋体" w:cs="宋体"/>
          <w:bCs w:val="0"/>
          <w:color w:val="auto"/>
          <w:sz w:val="21"/>
          <w:szCs w:val="21"/>
          <w:highlight w:val="none"/>
        </w:rPr>
      </w:pPr>
      <w:bookmarkStart w:id="139" w:name="_Toc247527564"/>
      <w:bookmarkStart w:id="140" w:name="_Toc6764"/>
      <w:bookmarkStart w:id="141" w:name="_Toc152042316"/>
      <w:bookmarkStart w:id="142" w:name="_Toc247513963"/>
      <w:bookmarkStart w:id="143" w:name="_Toc362816490"/>
      <w:bookmarkStart w:id="144" w:name="_Toc356469187"/>
      <w:bookmarkStart w:id="145" w:name="_Toc144974508"/>
      <w:bookmarkStart w:id="146" w:name="_Toc152045540"/>
      <w:bookmarkStart w:id="147" w:name="_Toc300834960"/>
      <w:bookmarkStart w:id="148" w:name="_Toc357089521"/>
      <w:r>
        <w:rPr>
          <w:rFonts w:hint="eastAsia" w:hAnsi="宋体" w:cs="宋体"/>
          <w:bCs w:val="0"/>
          <w:color w:val="auto"/>
          <w:sz w:val="21"/>
          <w:szCs w:val="21"/>
          <w:highlight w:val="none"/>
        </w:rPr>
        <w:t>1.10 投标预备会</w:t>
      </w:r>
      <w:bookmarkEnd w:id="139"/>
      <w:bookmarkEnd w:id="140"/>
      <w:bookmarkEnd w:id="141"/>
      <w:bookmarkEnd w:id="142"/>
      <w:bookmarkEnd w:id="143"/>
      <w:bookmarkEnd w:id="144"/>
      <w:bookmarkEnd w:id="145"/>
      <w:bookmarkEnd w:id="146"/>
      <w:bookmarkEnd w:id="147"/>
      <w:bookmarkEnd w:id="14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1.10.1 投标人须知前附表规定召开投标预备会的，招标人按投标人须知前附表规定的时间和地点召开投标预备会，澄清投标人提出的问题。</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1.10.2 投标人应在投标人须知前附表规定的时间前，以书面形式将提出的问题送达招标人，以便招标人在会议期间澄清。</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1.10.3 投标预备会后，招标人在投标人须知前附表规定的时间内，将对投标人所提问题的澄清，以书面形式通知所有购买招标文件的投标人。该澄清内容为招标文件的组成部分。</w:t>
      </w:r>
    </w:p>
    <w:p>
      <w:pPr>
        <w:pStyle w:val="4"/>
        <w:spacing w:before="0" w:after="0" w:line="276" w:lineRule="auto"/>
        <w:ind w:firstLine="103"/>
        <w:rPr>
          <w:rFonts w:hAnsi="宋体" w:cs="宋体"/>
          <w:bCs w:val="0"/>
          <w:color w:val="auto"/>
          <w:sz w:val="21"/>
          <w:szCs w:val="21"/>
          <w:highlight w:val="none"/>
        </w:rPr>
      </w:pPr>
      <w:bookmarkStart w:id="149" w:name="_Toc247527565"/>
      <w:bookmarkStart w:id="150" w:name="_Toc152045541"/>
      <w:bookmarkStart w:id="151" w:name="_Toc144974509"/>
      <w:bookmarkStart w:id="152" w:name="_Toc22105"/>
      <w:bookmarkStart w:id="153" w:name="_Toc247513964"/>
      <w:bookmarkStart w:id="154" w:name="_Toc300834961"/>
      <w:bookmarkStart w:id="155" w:name="_Toc357089522"/>
      <w:bookmarkStart w:id="156" w:name="_Toc362816491"/>
      <w:bookmarkStart w:id="157" w:name="_Toc356469188"/>
      <w:bookmarkStart w:id="158" w:name="_Toc152042317"/>
      <w:r>
        <w:rPr>
          <w:rFonts w:hint="eastAsia" w:hAnsi="宋体" w:cs="宋体"/>
          <w:bCs w:val="0"/>
          <w:color w:val="auto"/>
          <w:sz w:val="21"/>
          <w:szCs w:val="21"/>
          <w:highlight w:val="none"/>
        </w:rPr>
        <w:t>1.11 分包</w:t>
      </w:r>
      <w:bookmarkEnd w:id="149"/>
      <w:bookmarkEnd w:id="150"/>
      <w:bookmarkEnd w:id="151"/>
      <w:bookmarkEnd w:id="152"/>
      <w:bookmarkEnd w:id="153"/>
      <w:bookmarkEnd w:id="154"/>
      <w:bookmarkEnd w:id="155"/>
      <w:bookmarkEnd w:id="156"/>
      <w:bookmarkEnd w:id="157"/>
      <w:bookmarkEnd w:id="15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1.11.1 投标人须知前附表规定应当由分包人实施的非主体、非关键性工作。</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1.11.2 招标人允许投标人在中标后将中标项目的部分非主体、非关键性工作进行分包的，应符合投标人须知前附表规定的分包内容、资质要求等限制性条件。</w:t>
      </w:r>
    </w:p>
    <w:p>
      <w:pPr>
        <w:pStyle w:val="4"/>
        <w:spacing w:before="0" w:after="0" w:line="276" w:lineRule="auto"/>
        <w:ind w:firstLine="103"/>
        <w:rPr>
          <w:rFonts w:hAnsi="宋体" w:cs="宋体"/>
          <w:bCs w:val="0"/>
          <w:color w:val="auto"/>
          <w:sz w:val="21"/>
          <w:szCs w:val="21"/>
          <w:highlight w:val="none"/>
        </w:rPr>
      </w:pPr>
      <w:bookmarkStart w:id="159" w:name="_Toc300834962"/>
      <w:bookmarkStart w:id="160" w:name="_Toc2881"/>
      <w:bookmarkStart w:id="161" w:name="_Toc247513965"/>
      <w:bookmarkStart w:id="162" w:name="_Toc357089523"/>
      <w:bookmarkStart w:id="163" w:name="_Toc362816492"/>
      <w:bookmarkStart w:id="164" w:name="_Toc247527566"/>
      <w:bookmarkStart w:id="165" w:name="_Toc356469189"/>
      <w:r>
        <w:rPr>
          <w:rFonts w:hint="eastAsia" w:hAnsi="宋体" w:cs="宋体"/>
          <w:bCs w:val="0"/>
          <w:color w:val="auto"/>
          <w:sz w:val="21"/>
          <w:szCs w:val="21"/>
          <w:highlight w:val="none"/>
        </w:rPr>
        <w:t>1.12 偏离</w:t>
      </w:r>
      <w:bookmarkEnd w:id="159"/>
      <w:bookmarkEnd w:id="160"/>
      <w:bookmarkEnd w:id="161"/>
      <w:bookmarkEnd w:id="162"/>
      <w:bookmarkEnd w:id="163"/>
      <w:bookmarkEnd w:id="164"/>
      <w:bookmarkEnd w:id="165"/>
    </w:p>
    <w:p>
      <w:pPr>
        <w:spacing w:line="276" w:lineRule="auto"/>
        <w:ind w:firstLine="359" w:firstLineChars="171"/>
        <w:rPr>
          <w:rFonts w:hint="eastAsia" w:ascii="宋体" w:hAnsi="宋体" w:cs="宋体"/>
          <w:color w:val="auto"/>
          <w:highlight w:val="none"/>
        </w:rPr>
      </w:pPr>
      <w:r>
        <w:rPr>
          <w:rFonts w:hint="eastAsia" w:ascii="宋体" w:hAnsi="宋体" w:cs="宋体"/>
          <w:color w:val="auto"/>
          <w:highlight w:val="none"/>
        </w:rPr>
        <w:t>1.12.1投标人须知前附表允许投标文件偏离招标文件某些要求的，偏离应当符合招标文件规定的偏离范围和幅度。</w:t>
      </w:r>
    </w:p>
    <w:p>
      <w:pPr>
        <w:pStyle w:val="3"/>
        <w:spacing w:before="0" w:after="0" w:line="276" w:lineRule="auto"/>
        <w:rPr>
          <w:rFonts w:hint="eastAsia" w:ascii="宋体" w:hAnsi="宋体" w:eastAsia="宋体" w:cs="宋体"/>
          <w:color w:val="auto"/>
          <w:sz w:val="24"/>
          <w:szCs w:val="24"/>
          <w:highlight w:val="none"/>
        </w:rPr>
      </w:pPr>
      <w:bookmarkStart w:id="166" w:name="_Toc152042318"/>
      <w:bookmarkStart w:id="167" w:name="_Toc300834963"/>
      <w:bookmarkStart w:id="168" w:name="_Toc357089524"/>
      <w:bookmarkStart w:id="169" w:name="_Toc7215"/>
      <w:bookmarkStart w:id="170" w:name="_Toc480225649"/>
      <w:bookmarkStart w:id="171" w:name="_Toc144974510"/>
      <w:bookmarkStart w:id="172" w:name="_Toc152045542"/>
      <w:bookmarkStart w:id="173" w:name="_Toc362816493"/>
      <w:bookmarkStart w:id="174" w:name="_Toc247513966"/>
      <w:bookmarkStart w:id="175" w:name="_Toc247527567"/>
      <w:bookmarkStart w:id="176" w:name="_Toc443505823"/>
      <w:bookmarkStart w:id="177" w:name="_Toc505152688"/>
      <w:r>
        <w:rPr>
          <w:rFonts w:hint="eastAsia" w:ascii="宋体" w:hAnsi="宋体" w:eastAsia="宋体" w:cs="宋体"/>
          <w:color w:val="auto"/>
          <w:sz w:val="24"/>
          <w:szCs w:val="24"/>
          <w:highlight w:val="none"/>
        </w:rPr>
        <w:t>2. 招标文件</w:t>
      </w:r>
      <w:bookmarkEnd w:id="166"/>
      <w:bookmarkEnd w:id="167"/>
      <w:bookmarkEnd w:id="168"/>
      <w:bookmarkEnd w:id="169"/>
      <w:bookmarkEnd w:id="170"/>
      <w:bookmarkEnd w:id="171"/>
      <w:bookmarkEnd w:id="172"/>
      <w:bookmarkEnd w:id="173"/>
      <w:bookmarkEnd w:id="174"/>
      <w:bookmarkEnd w:id="175"/>
      <w:bookmarkEnd w:id="176"/>
      <w:bookmarkEnd w:id="177"/>
    </w:p>
    <w:p>
      <w:pPr>
        <w:pStyle w:val="4"/>
        <w:spacing w:before="0" w:after="0" w:line="276" w:lineRule="auto"/>
        <w:ind w:firstLine="103"/>
        <w:rPr>
          <w:rFonts w:hAnsi="宋体" w:cs="宋体"/>
          <w:bCs w:val="0"/>
          <w:color w:val="auto"/>
          <w:sz w:val="21"/>
          <w:szCs w:val="21"/>
          <w:highlight w:val="none"/>
        </w:rPr>
      </w:pPr>
      <w:bookmarkStart w:id="178" w:name="_Toc247513967"/>
      <w:bookmarkStart w:id="179" w:name="_Toc152045543"/>
      <w:bookmarkStart w:id="180" w:name="_Toc356469191"/>
      <w:bookmarkStart w:id="181" w:name="_Toc357089525"/>
      <w:bookmarkStart w:id="182" w:name="_Toc300834964"/>
      <w:bookmarkStart w:id="183" w:name="_Toc23912"/>
      <w:bookmarkStart w:id="184" w:name="_Toc247527568"/>
      <w:bookmarkStart w:id="185" w:name="_Toc362816494"/>
      <w:bookmarkStart w:id="186" w:name="_Toc144974511"/>
      <w:bookmarkStart w:id="187" w:name="_Toc152042319"/>
      <w:r>
        <w:rPr>
          <w:rFonts w:hint="eastAsia" w:hAnsi="宋体" w:cs="宋体"/>
          <w:bCs w:val="0"/>
          <w:color w:val="auto"/>
          <w:sz w:val="21"/>
          <w:szCs w:val="21"/>
          <w:highlight w:val="none"/>
        </w:rPr>
        <w:t>2.1 招标文件的组成</w:t>
      </w:r>
      <w:bookmarkEnd w:id="178"/>
      <w:bookmarkEnd w:id="179"/>
      <w:bookmarkEnd w:id="180"/>
      <w:bookmarkEnd w:id="181"/>
      <w:bookmarkEnd w:id="182"/>
      <w:bookmarkEnd w:id="183"/>
      <w:bookmarkEnd w:id="184"/>
      <w:bookmarkEnd w:id="185"/>
      <w:bookmarkEnd w:id="186"/>
      <w:bookmarkEnd w:id="187"/>
    </w:p>
    <w:p>
      <w:pPr>
        <w:spacing w:line="276" w:lineRule="auto"/>
        <w:ind w:firstLine="359" w:firstLineChars="171"/>
        <w:rPr>
          <w:rFonts w:hint="eastAsia" w:ascii="宋体" w:hAnsi="宋体" w:cs="宋体"/>
          <w:color w:val="auto"/>
          <w:highlight w:val="none"/>
        </w:rPr>
      </w:pPr>
      <w:r>
        <w:rPr>
          <w:rFonts w:hint="eastAsia" w:ascii="宋体" w:hAnsi="宋体" w:cs="宋体"/>
          <w:color w:val="auto"/>
          <w:highlight w:val="none"/>
        </w:rPr>
        <w:t>2.1.1本招标文件包括：</w:t>
      </w:r>
    </w:p>
    <w:p>
      <w:pPr>
        <w:spacing w:line="276" w:lineRule="auto"/>
        <w:ind w:firstLine="359" w:firstLineChars="171"/>
        <w:rPr>
          <w:rFonts w:hint="eastAsia" w:ascii="宋体" w:hAnsi="宋体" w:cs="宋体"/>
          <w:color w:val="auto"/>
          <w:highlight w:val="none"/>
          <w:u w:val="single"/>
        </w:rPr>
      </w:pPr>
      <w:r>
        <w:rPr>
          <w:rFonts w:hint="eastAsia" w:ascii="宋体" w:hAnsi="宋体" w:cs="宋体"/>
          <w:color w:val="auto"/>
          <w:highlight w:val="none"/>
          <w:u w:val="single"/>
        </w:rPr>
        <w:t>（1）招标公告、投标人须知；</w:t>
      </w:r>
    </w:p>
    <w:p>
      <w:pPr>
        <w:spacing w:line="276" w:lineRule="auto"/>
        <w:ind w:firstLine="359" w:firstLineChars="171"/>
        <w:rPr>
          <w:rFonts w:hint="eastAsia" w:ascii="宋体" w:hAnsi="宋体" w:cs="宋体"/>
          <w:color w:val="auto"/>
          <w:highlight w:val="none"/>
          <w:u w:val="single"/>
        </w:rPr>
      </w:pPr>
      <w:r>
        <w:rPr>
          <w:rFonts w:hint="eastAsia" w:ascii="宋体" w:hAnsi="宋体" w:cs="宋体"/>
          <w:color w:val="auto"/>
          <w:highlight w:val="none"/>
          <w:u w:val="single"/>
        </w:rPr>
        <w:t>（2）评标办法；</w:t>
      </w:r>
    </w:p>
    <w:p>
      <w:pPr>
        <w:spacing w:line="276" w:lineRule="auto"/>
        <w:ind w:firstLine="359" w:firstLineChars="171"/>
        <w:rPr>
          <w:rFonts w:hint="eastAsia" w:ascii="宋体" w:hAnsi="宋体" w:cs="宋体"/>
          <w:color w:val="auto"/>
          <w:highlight w:val="none"/>
          <w:u w:val="single"/>
        </w:rPr>
      </w:pPr>
      <w:r>
        <w:rPr>
          <w:rFonts w:hint="eastAsia" w:ascii="宋体" w:hAnsi="宋体" w:cs="宋体"/>
          <w:color w:val="auto"/>
          <w:highlight w:val="none"/>
          <w:u w:val="single"/>
        </w:rPr>
        <w:t>（3）合同条款及格式；</w:t>
      </w:r>
    </w:p>
    <w:p>
      <w:pPr>
        <w:spacing w:line="276" w:lineRule="auto"/>
        <w:ind w:firstLine="359" w:firstLineChars="171"/>
        <w:rPr>
          <w:rFonts w:hint="eastAsia" w:ascii="宋体" w:hAnsi="宋体" w:cs="宋体"/>
          <w:color w:val="auto"/>
          <w:highlight w:val="none"/>
          <w:u w:val="single"/>
        </w:rPr>
      </w:pPr>
      <w:r>
        <w:rPr>
          <w:rFonts w:hint="eastAsia" w:ascii="宋体" w:hAnsi="宋体" w:cs="宋体"/>
          <w:color w:val="auto"/>
          <w:highlight w:val="none"/>
          <w:u w:val="single"/>
        </w:rPr>
        <w:t>（4）发包人要求；</w:t>
      </w:r>
    </w:p>
    <w:p>
      <w:pPr>
        <w:spacing w:line="276" w:lineRule="auto"/>
        <w:ind w:firstLine="359" w:firstLineChars="171"/>
        <w:rPr>
          <w:rFonts w:hint="eastAsia" w:ascii="宋体" w:hAnsi="宋体" w:cs="宋体"/>
          <w:color w:val="auto"/>
          <w:highlight w:val="none"/>
          <w:u w:val="single"/>
        </w:rPr>
      </w:pPr>
      <w:r>
        <w:rPr>
          <w:rFonts w:hint="eastAsia" w:ascii="宋体" w:hAnsi="宋体" w:cs="宋体"/>
          <w:color w:val="auto"/>
          <w:highlight w:val="none"/>
          <w:u w:val="single"/>
        </w:rPr>
        <w:t>（5）投标文件格式；</w:t>
      </w:r>
    </w:p>
    <w:p>
      <w:pPr>
        <w:spacing w:line="276" w:lineRule="auto"/>
        <w:ind w:firstLine="359" w:firstLineChars="171"/>
        <w:rPr>
          <w:rFonts w:hint="eastAsia" w:ascii="宋体" w:hAnsi="宋体" w:cs="宋体"/>
          <w:color w:val="auto"/>
          <w:highlight w:val="none"/>
        </w:rPr>
      </w:pPr>
      <w:r>
        <w:rPr>
          <w:rFonts w:hint="eastAsia" w:ascii="宋体" w:hAnsi="宋体" w:cs="宋体"/>
          <w:color w:val="auto"/>
          <w:highlight w:val="none"/>
          <w:u w:val="single"/>
        </w:rPr>
        <w:t>（6）投标人须知前附表规定的其他资料。</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2.1.2根据本章第1.10款、第2.2款和第2.3款对招标文件所作的澄清、修改，发布并构成招标文件的组成部分。当招标文件的澄清、修改等在同一内容的表述不一致时，以最后发出的书面文件为准。</w:t>
      </w:r>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2.1.3投标人获取招标文件后，应仔细检查招标文件的所有内容，认真审阅招标文件中所有的事项、格式、条款和规范要求等，若投标人的投标文件没有按招标文件要求递交全部资料，或投标文件实质上没有响应招标文件的要求，招标人将按评标办法的规定予以拒绝，并且不允许投标人通过修改或撤消其不符合要求的差异或保留使之成为具有响应性的投标文件。</w:t>
      </w:r>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2.1.4投标人一旦中标，招标文件的内容对招标人和中标人双方均有约束力。</w:t>
      </w:r>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2.1.5发布招标公告的同时，通过广州公共资源交易中心网站发布电子招标文件。</w:t>
      </w:r>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2.1.6招标文件一经在广州公共资源交易中心网站发布，视作已发放给所有投标人。</w:t>
      </w:r>
    </w:p>
    <w:p>
      <w:pPr>
        <w:pStyle w:val="4"/>
        <w:spacing w:before="0" w:after="0" w:line="276" w:lineRule="auto"/>
        <w:ind w:firstLine="103"/>
        <w:rPr>
          <w:rFonts w:hAnsi="宋体" w:cs="宋体"/>
          <w:bCs w:val="0"/>
          <w:color w:val="auto"/>
          <w:sz w:val="21"/>
          <w:szCs w:val="21"/>
          <w:highlight w:val="none"/>
        </w:rPr>
      </w:pPr>
      <w:bookmarkStart w:id="188" w:name="_Toc152045544"/>
      <w:bookmarkStart w:id="189" w:name="_Toc356469192"/>
      <w:bookmarkStart w:id="190" w:name="_Toc357089526"/>
      <w:bookmarkStart w:id="191" w:name="_Toc300834965"/>
      <w:bookmarkStart w:id="192" w:name="_Toc29920"/>
      <w:bookmarkStart w:id="193" w:name="_Toc144974512"/>
      <w:bookmarkStart w:id="194" w:name="_Toc362816495"/>
      <w:bookmarkStart w:id="195" w:name="_Toc247513968"/>
      <w:bookmarkStart w:id="196" w:name="_Toc247527569"/>
      <w:bookmarkStart w:id="197" w:name="_Toc152042320"/>
      <w:r>
        <w:rPr>
          <w:rFonts w:hint="eastAsia" w:hAnsi="宋体" w:cs="宋体"/>
          <w:bCs w:val="0"/>
          <w:color w:val="auto"/>
          <w:sz w:val="21"/>
          <w:szCs w:val="21"/>
          <w:highlight w:val="none"/>
        </w:rPr>
        <w:t>2.2 招标文件的澄清</w:t>
      </w:r>
      <w:bookmarkEnd w:id="188"/>
      <w:bookmarkEnd w:id="189"/>
      <w:bookmarkEnd w:id="190"/>
      <w:bookmarkEnd w:id="191"/>
      <w:bookmarkEnd w:id="192"/>
      <w:bookmarkEnd w:id="193"/>
      <w:bookmarkEnd w:id="194"/>
      <w:bookmarkEnd w:id="195"/>
      <w:bookmarkEnd w:id="196"/>
      <w:bookmarkEnd w:id="197"/>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2.2.1 投标人应仔细阅读和检查招标文件的全部内容。如发现缺页或附件不全，应及时向招标人提出，以便补齐。如有疑问，</w:t>
      </w:r>
      <w:r>
        <w:rPr>
          <w:rFonts w:hint="eastAsia" w:ascii="宋体" w:hAnsi="宋体" w:cs="宋体"/>
          <w:color w:val="auto"/>
          <w:szCs w:val="21"/>
          <w:highlight w:val="none"/>
          <w:u w:val="single"/>
        </w:rPr>
        <w:t>可在规定的时间内通过广州公共资源交易中心网站进入提问区域将问题提交给招标人或招标代理人，</w:t>
      </w:r>
      <w:r>
        <w:rPr>
          <w:rFonts w:hint="eastAsia" w:ascii="宋体" w:hAnsi="宋体" w:cs="宋体"/>
          <w:color w:val="auto"/>
          <w:highlight w:val="none"/>
          <w:u w:val="single"/>
        </w:rPr>
        <w:t>提交问题时一律不得署名</w:t>
      </w:r>
      <w:r>
        <w:rPr>
          <w:rFonts w:hint="eastAsia" w:ascii="宋体" w:hAnsi="宋体" w:cs="宋体"/>
          <w:color w:val="auto"/>
          <w:szCs w:val="21"/>
          <w:highlight w:val="none"/>
          <w:u w:val="single"/>
        </w:rPr>
        <w:t>。</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2.2.2招标人应在投标截止时间15日前解答投标人对招标文件提出的疑问，形成答疑纪要，在交易中心网站“项目答疑纪要”专区发布。</w:t>
      </w:r>
    </w:p>
    <w:p>
      <w:pPr>
        <w:pStyle w:val="17"/>
        <w:spacing w:after="0" w:line="276" w:lineRule="auto"/>
        <w:ind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2.2.3招标答疑纪要一经在广州公共资源交易中心网站发布，视作已发放给所有投标人。</w:t>
      </w:r>
    </w:p>
    <w:p>
      <w:pPr>
        <w:pStyle w:val="17"/>
        <w:spacing w:after="0" w:line="276" w:lineRule="auto"/>
        <w:ind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2.2.4招标答疑纪要为招标文件的一部分。投标人可在广州公共资源交易中心网站浏览、下载招标答疑纪要。</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2.2.5若招标答疑纪要与招标文件有矛盾时，以广州公共资源交易中心网站最后发布的答疑纪要为准。</w:t>
      </w:r>
    </w:p>
    <w:p>
      <w:pPr>
        <w:pStyle w:val="4"/>
        <w:spacing w:before="0" w:after="0" w:line="276" w:lineRule="auto"/>
        <w:ind w:firstLine="103"/>
        <w:rPr>
          <w:rFonts w:hAnsi="宋体" w:cs="宋体"/>
          <w:b w:val="0"/>
          <w:color w:val="auto"/>
          <w:sz w:val="21"/>
          <w:szCs w:val="21"/>
          <w:highlight w:val="none"/>
        </w:rPr>
      </w:pPr>
      <w:bookmarkStart w:id="198" w:name="_Toc357089527"/>
      <w:bookmarkStart w:id="199" w:name="_Toc247513969"/>
      <w:bookmarkStart w:id="200" w:name="_Toc152045545"/>
      <w:bookmarkStart w:id="201" w:name="_Toc247527570"/>
      <w:bookmarkStart w:id="202" w:name="_Toc356469193"/>
      <w:bookmarkStart w:id="203" w:name="_Toc152042321"/>
      <w:bookmarkStart w:id="204" w:name="_Toc144974513"/>
      <w:bookmarkStart w:id="205" w:name="_Toc362816496"/>
      <w:bookmarkStart w:id="206" w:name="_Toc14205"/>
      <w:bookmarkStart w:id="207" w:name="_Toc300834966"/>
      <w:r>
        <w:rPr>
          <w:rFonts w:hint="eastAsia" w:hAnsi="宋体" w:cs="宋体"/>
          <w:b w:val="0"/>
          <w:color w:val="auto"/>
          <w:sz w:val="21"/>
          <w:szCs w:val="21"/>
          <w:highlight w:val="none"/>
        </w:rPr>
        <w:t>2.3 招标文件的修改</w:t>
      </w:r>
      <w:bookmarkEnd w:id="198"/>
      <w:bookmarkEnd w:id="199"/>
      <w:bookmarkEnd w:id="200"/>
      <w:bookmarkEnd w:id="201"/>
      <w:bookmarkEnd w:id="202"/>
      <w:bookmarkEnd w:id="203"/>
      <w:bookmarkEnd w:id="204"/>
      <w:bookmarkEnd w:id="205"/>
      <w:bookmarkEnd w:id="206"/>
      <w:bookmarkEnd w:id="207"/>
    </w:p>
    <w:p>
      <w:pPr>
        <w:pStyle w:val="17"/>
        <w:spacing w:after="0" w:line="276" w:lineRule="auto"/>
        <w:ind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2.3.1招标文件发出后,在提交投标文件截止时间15日前，招标人可对招标文件进行必要的澄清或修改。</w:t>
      </w:r>
    </w:p>
    <w:p>
      <w:pPr>
        <w:pStyle w:val="17"/>
        <w:spacing w:after="0" w:line="276" w:lineRule="auto"/>
        <w:ind w:left="-1"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2.3.2招标文件的澄清或修改在广州公共资源交易中心网站发布。招标文件的澄清或修改一经在广州公共资源交易中心网站发布，视作已发放给所有投标人，招标文件的修改内容作为招标文件的组成部分，具有约束作用。</w:t>
      </w:r>
    </w:p>
    <w:p>
      <w:pPr>
        <w:pStyle w:val="17"/>
        <w:spacing w:after="0" w:line="276" w:lineRule="auto"/>
        <w:ind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2.3.3招标文件的澄清、修改均以广州公共资源交易中心网站发布的内容为准。当招标文件的澄清、修改在同一内容的表述不一致时，以广州公共资源交易中心网站最后发布的内容为准。</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2.3.4为使投标人在编制投标文件时有充分的时间对招标文件的澄清、修改、补充等内容考虑进去，招标人将酌情延长提交投标文件的截止时间，具体时间将在招标文件的修改、补充通知中予以明确。若通知中没有明确延长时间，即表示投标时间不延长。</w:t>
      </w:r>
    </w:p>
    <w:p>
      <w:pPr>
        <w:pStyle w:val="3"/>
        <w:spacing w:before="0" w:after="0" w:line="276" w:lineRule="auto"/>
        <w:rPr>
          <w:rFonts w:hint="eastAsia" w:ascii="宋体" w:hAnsi="宋体" w:eastAsia="宋体" w:cs="宋体"/>
          <w:color w:val="auto"/>
          <w:sz w:val="24"/>
          <w:szCs w:val="24"/>
          <w:highlight w:val="none"/>
        </w:rPr>
      </w:pPr>
      <w:bookmarkStart w:id="208" w:name="_Toc480225650"/>
      <w:bookmarkStart w:id="209" w:name="_Toc17736"/>
      <w:bookmarkStart w:id="210" w:name="_Toc375931087"/>
      <w:bookmarkStart w:id="211" w:name="_Toc443505825"/>
      <w:bookmarkStart w:id="212" w:name="_Toc505152689"/>
      <w:bookmarkStart w:id="213" w:name="_Toc247527571"/>
      <w:bookmarkStart w:id="214" w:name="_Toc144974514"/>
      <w:bookmarkStart w:id="215" w:name="_Toc152045546"/>
      <w:bookmarkStart w:id="216" w:name="_Toc152042322"/>
      <w:bookmarkStart w:id="217" w:name="_Toc410240234"/>
      <w:bookmarkStart w:id="218" w:name="_Toc247513970"/>
      <w:bookmarkStart w:id="219" w:name="_Toc300834967"/>
      <w:bookmarkStart w:id="220" w:name="_Toc362816497"/>
      <w:bookmarkStart w:id="221" w:name="_Toc357089528"/>
      <w:r>
        <w:rPr>
          <w:rFonts w:hint="eastAsia" w:ascii="宋体" w:hAnsi="宋体" w:eastAsia="宋体" w:cs="宋体"/>
          <w:color w:val="auto"/>
          <w:sz w:val="24"/>
          <w:szCs w:val="24"/>
          <w:highlight w:val="none"/>
        </w:rPr>
        <w:t>3. 投标文件</w:t>
      </w:r>
      <w:bookmarkEnd w:id="208"/>
      <w:bookmarkEnd w:id="209"/>
      <w:bookmarkEnd w:id="210"/>
      <w:bookmarkEnd w:id="211"/>
      <w:bookmarkEnd w:id="212"/>
    </w:p>
    <w:p>
      <w:pPr>
        <w:keepNext/>
        <w:keepLines/>
        <w:spacing w:line="276" w:lineRule="auto"/>
        <w:ind w:firstLine="103" w:firstLineChars="49"/>
        <w:outlineLvl w:val="2"/>
        <w:rPr>
          <w:rFonts w:hint="eastAsia" w:ascii="宋体" w:hAnsi="宋体" w:cs="宋体"/>
          <w:b/>
          <w:color w:val="auto"/>
          <w:kern w:val="0"/>
          <w:szCs w:val="21"/>
          <w:highlight w:val="none"/>
        </w:rPr>
      </w:pPr>
      <w:bookmarkStart w:id="222" w:name="_Toc152042323"/>
      <w:bookmarkStart w:id="223" w:name="_Toc300834968"/>
      <w:bookmarkStart w:id="224" w:name="_Toc247513971"/>
      <w:bookmarkStart w:id="225" w:name="_Toc144974515"/>
      <w:bookmarkStart w:id="226" w:name="_Toc152045547"/>
      <w:bookmarkStart w:id="227" w:name="_Toc356469195"/>
      <w:bookmarkStart w:id="228" w:name="_Toc2287"/>
      <w:bookmarkStart w:id="229" w:name="_Toc362816498"/>
      <w:bookmarkStart w:id="230" w:name="_Toc357089529"/>
      <w:bookmarkStart w:id="231" w:name="_Toc247527572"/>
      <w:r>
        <w:rPr>
          <w:rFonts w:hint="eastAsia" w:ascii="宋体" w:hAnsi="宋体" w:cs="宋体"/>
          <w:b/>
          <w:color w:val="auto"/>
          <w:kern w:val="0"/>
          <w:szCs w:val="21"/>
          <w:highlight w:val="none"/>
        </w:rPr>
        <w:t>3.1 投标文件的组成</w:t>
      </w:r>
      <w:bookmarkEnd w:id="222"/>
      <w:bookmarkEnd w:id="223"/>
      <w:bookmarkEnd w:id="224"/>
      <w:bookmarkEnd w:id="225"/>
      <w:bookmarkEnd w:id="226"/>
      <w:bookmarkEnd w:id="227"/>
      <w:bookmarkEnd w:id="228"/>
      <w:bookmarkEnd w:id="229"/>
      <w:bookmarkEnd w:id="230"/>
      <w:bookmarkEnd w:id="231"/>
    </w:p>
    <w:p>
      <w:pPr>
        <w:spacing w:line="276" w:lineRule="auto"/>
        <w:ind w:firstLine="420"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投标文件由</w:t>
      </w:r>
      <w:r>
        <w:rPr>
          <w:rFonts w:ascii="宋体" w:hAnsi="宋体" w:cs="宋体"/>
          <w:bCs/>
          <w:color w:val="auto"/>
          <w:szCs w:val="21"/>
          <w:highlight w:val="none"/>
          <w:u w:val="single"/>
        </w:rPr>
        <w:t>勘察</w:t>
      </w:r>
      <w:r>
        <w:rPr>
          <w:rFonts w:hint="eastAsia" w:ascii="宋体" w:hAnsi="宋体" w:cs="宋体"/>
          <w:bCs/>
          <w:color w:val="auto"/>
          <w:szCs w:val="21"/>
          <w:highlight w:val="none"/>
          <w:u w:val="single"/>
        </w:rPr>
        <w:t>设计方案投标文件、工程总承包实施方案（含资格审查文件）投标文件两部分组成。</w:t>
      </w:r>
    </w:p>
    <w:p>
      <w:pPr>
        <w:spacing w:line="276" w:lineRule="auto"/>
        <w:ind w:firstLine="420"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3.1.1</w:t>
      </w:r>
      <w:r>
        <w:rPr>
          <w:rFonts w:ascii="宋体" w:hAnsi="宋体" w:cs="宋体"/>
          <w:bCs/>
          <w:color w:val="auto"/>
          <w:szCs w:val="21"/>
          <w:highlight w:val="none"/>
          <w:u w:val="single"/>
        </w:rPr>
        <w:t>勘察</w:t>
      </w:r>
      <w:r>
        <w:rPr>
          <w:rFonts w:hint="eastAsia" w:ascii="宋体" w:hAnsi="宋体" w:cs="宋体"/>
          <w:bCs/>
          <w:color w:val="auto"/>
          <w:szCs w:val="21"/>
          <w:highlight w:val="none"/>
          <w:u w:val="single"/>
        </w:rPr>
        <w:t>设计方案投标文件</w:t>
      </w:r>
    </w:p>
    <w:p>
      <w:pPr>
        <w:spacing w:line="276" w:lineRule="auto"/>
        <w:ind w:firstLine="420" w:firstLineChars="200"/>
        <w:rPr>
          <w:rFonts w:hint="eastAsia" w:ascii="宋体" w:hAnsi="宋体" w:cs="宋体"/>
          <w:bCs/>
          <w:color w:val="auto"/>
          <w:szCs w:val="21"/>
          <w:highlight w:val="none"/>
          <w:u w:val="single"/>
        </w:rPr>
      </w:pPr>
      <w:r>
        <w:rPr>
          <w:rFonts w:ascii="宋体" w:hAnsi="宋体" w:cs="宋体"/>
          <w:bCs/>
          <w:color w:val="auto"/>
          <w:szCs w:val="21"/>
          <w:highlight w:val="none"/>
          <w:u w:val="single"/>
        </w:rPr>
        <w:t>勘察</w:t>
      </w:r>
      <w:r>
        <w:rPr>
          <w:rFonts w:hint="eastAsia" w:ascii="宋体" w:hAnsi="宋体" w:cs="宋体"/>
          <w:bCs/>
          <w:color w:val="auto"/>
          <w:szCs w:val="21"/>
          <w:highlight w:val="none"/>
          <w:u w:val="single"/>
        </w:rPr>
        <w:t>设计方案投标文件</w:t>
      </w:r>
      <w:r>
        <w:rPr>
          <w:rFonts w:hint="eastAsia" w:ascii="宋体" w:hAnsi="宋体" w:cs="宋体"/>
          <w:bCs/>
          <w:color w:val="auto"/>
          <w:highlight w:val="none"/>
          <w:u w:val="single"/>
        </w:rPr>
        <w:t>评审采用“暗标”形式，</w:t>
      </w:r>
      <w:r>
        <w:rPr>
          <w:rFonts w:ascii="宋体" w:hAnsi="宋体" w:cs="宋体"/>
          <w:bCs/>
          <w:color w:val="auto"/>
          <w:highlight w:val="none"/>
          <w:u w:val="single"/>
        </w:rPr>
        <w:t>勘察</w:t>
      </w:r>
      <w:r>
        <w:rPr>
          <w:rFonts w:hint="eastAsia" w:ascii="宋体" w:hAnsi="宋体" w:cs="宋体"/>
          <w:bCs/>
          <w:color w:val="auto"/>
          <w:szCs w:val="21"/>
          <w:highlight w:val="none"/>
          <w:u w:val="single"/>
        </w:rPr>
        <w:t>设计方案投标文件中不得出现可以辨认投标人及专业技术人员身份的名称、印章、商标、图形等。</w:t>
      </w:r>
      <w:r>
        <w:rPr>
          <w:rFonts w:ascii="宋体" w:hAnsi="宋体" w:cs="宋体"/>
          <w:bCs/>
          <w:color w:val="auto"/>
          <w:szCs w:val="21"/>
          <w:highlight w:val="none"/>
          <w:u w:val="single"/>
        </w:rPr>
        <w:t>勘察</w:t>
      </w:r>
      <w:r>
        <w:rPr>
          <w:rFonts w:hint="eastAsia" w:ascii="宋体" w:hAnsi="宋体" w:cs="宋体"/>
          <w:bCs/>
          <w:color w:val="auto"/>
          <w:szCs w:val="21"/>
          <w:highlight w:val="none"/>
          <w:u w:val="single"/>
        </w:rPr>
        <w:t>设计方案</w:t>
      </w:r>
      <w:r>
        <w:rPr>
          <w:rFonts w:hint="eastAsia" w:ascii="宋体" w:hAnsi="宋体" w:cs="宋体"/>
          <w:bCs/>
          <w:color w:val="auto"/>
          <w:highlight w:val="none"/>
          <w:u w:val="single"/>
        </w:rPr>
        <w:t>投标文件宜包含以下内容：</w:t>
      </w:r>
    </w:p>
    <w:p>
      <w:pPr>
        <w:topLinePunct/>
        <w:spacing w:line="276" w:lineRule="auto"/>
        <w:ind w:left="1079" w:leftChars="164" w:hanging="735" w:hangingChars="350"/>
        <w:jc w:val="left"/>
        <w:rPr>
          <w:rFonts w:ascii="宋体" w:hAnsi="宋体" w:cs="宋体"/>
          <w:color w:val="auto"/>
          <w:szCs w:val="21"/>
          <w:highlight w:val="none"/>
        </w:rPr>
      </w:pPr>
      <w:r>
        <w:rPr>
          <w:rFonts w:hint="eastAsia" w:ascii="宋体" w:hAnsi="宋体" w:cs="宋体"/>
          <w:color w:val="auto"/>
          <w:szCs w:val="21"/>
          <w:highlight w:val="none"/>
        </w:rPr>
        <w:t>（a）设计方案含封面、扉页和目录页</w:t>
      </w:r>
      <w:r>
        <w:rPr>
          <w:rFonts w:hint="eastAsia" w:ascii="宋体" w:hAnsi="宋体" w:cs="宋体"/>
          <w:bCs/>
          <w:color w:val="auto"/>
          <w:szCs w:val="21"/>
          <w:highlight w:val="none"/>
        </w:rPr>
        <w:t>。</w:t>
      </w:r>
    </w:p>
    <w:p>
      <w:pPr>
        <w:topLinePunct/>
        <w:spacing w:line="276" w:lineRule="auto"/>
        <w:ind w:left="659" w:leftChars="164" w:hanging="315" w:hangingChars="150"/>
        <w:jc w:val="left"/>
        <w:rPr>
          <w:rFonts w:hint="eastAsia" w:ascii="宋体" w:hAnsi="宋体" w:cs="宋体"/>
          <w:color w:val="auto"/>
          <w:szCs w:val="21"/>
          <w:highlight w:val="none"/>
        </w:rPr>
      </w:pPr>
      <w:r>
        <w:rPr>
          <w:rFonts w:hint="eastAsia" w:ascii="宋体" w:hAnsi="宋体" w:cs="宋体"/>
          <w:color w:val="auto"/>
          <w:szCs w:val="21"/>
          <w:highlight w:val="none"/>
        </w:rPr>
        <w:t>（b）设计方案文件内容：</w:t>
      </w:r>
    </w:p>
    <w:p>
      <w:pPr>
        <w:topLinePunct/>
        <w:spacing w:line="276" w:lineRule="auto"/>
        <w:ind w:left="945" w:hanging="945" w:hangingChars="450"/>
        <w:jc w:val="left"/>
        <w:rPr>
          <w:rFonts w:hint="eastAsia" w:ascii="宋体" w:hAnsi="宋体" w:cs="宋体"/>
          <w:color w:val="auto"/>
          <w:szCs w:val="21"/>
          <w:highlight w:val="none"/>
        </w:rPr>
      </w:pPr>
      <w:r>
        <w:rPr>
          <w:rFonts w:hint="eastAsia" w:ascii="宋体" w:hAnsi="宋体" w:cs="宋体"/>
          <w:color w:val="auto"/>
          <w:szCs w:val="21"/>
          <w:highlight w:val="none"/>
        </w:rPr>
        <w:t xml:space="preserve">      ☆ 封面：写明项目名称、“设计方案投标文件”字样、编制年月。</w:t>
      </w:r>
    </w:p>
    <w:p>
      <w:pPr>
        <w:topLinePunct/>
        <w:spacing w:line="276"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      ☆ 目录。</w:t>
      </w:r>
    </w:p>
    <w:p>
      <w:pPr>
        <w:topLinePunct/>
        <w:spacing w:line="276" w:lineRule="auto"/>
        <w:ind w:firstLine="105" w:firstLineChars="50"/>
        <w:jc w:val="left"/>
        <w:rPr>
          <w:rFonts w:ascii="宋体" w:hAnsi="宋体" w:cs="宋体"/>
          <w:color w:val="auto"/>
          <w:szCs w:val="21"/>
          <w:highlight w:val="none"/>
        </w:rPr>
      </w:pPr>
      <w:r>
        <w:rPr>
          <w:rFonts w:hint="eastAsia" w:ascii="宋体" w:hAnsi="宋体" w:cs="宋体"/>
          <w:color w:val="auto"/>
          <w:szCs w:val="21"/>
          <w:highlight w:val="none"/>
        </w:rPr>
        <w:t xml:space="preserve">     ☆ 设计说明：</w:t>
      </w:r>
      <w:r>
        <w:rPr>
          <w:rFonts w:hint="eastAsia" w:ascii="宋体" w:hAnsi="宋体" w:cs="Courier New"/>
          <w:color w:val="auto"/>
          <w:szCs w:val="21"/>
          <w:highlight w:val="none"/>
        </w:rPr>
        <w:t>目概况；现状及存在问题的分析；方案设计理念及推导；设计总说明；建筑方案，机电系统</w:t>
      </w:r>
      <w:r>
        <w:rPr>
          <w:rFonts w:hint="eastAsia" w:ascii="宋体" w:hAnsi="宋体" w:cs="Courier New"/>
          <w:color w:val="auto"/>
          <w:szCs w:val="21"/>
          <w:highlight w:val="none"/>
          <w:lang w:val="en-US" w:eastAsia="zh-CN"/>
        </w:rPr>
        <w:t>等</w:t>
      </w:r>
      <w:r>
        <w:rPr>
          <w:rFonts w:hint="eastAsia" w:ascii="宋体" w:hAnsi="宋体" w:cs="Courier New"/>
          <w:color w:val="auto"/>
          <w:szCs w:val="21"/>
          <w:highlight w:val="none"/>
        </w:rPr>
        <w:t>；相关技术难点说明；其他必要说明</w:t>
      </w:r>
      <w:r>
        <w:rPr>
          <w:rFonts w:hint="eastAsia" w:ascii="宋体" w:hAnsi="宋体" w:cs="宋体"/>
          <w:color w:val="auto"/>
          <w:szCs w:val="21"/>
          <w:highlight w:val="none"/>
        </w:rPr>
        <w:t>（含绿色建筑和节能专篇、海绵城市专篇、广州市城市树木保护专篇及“古树名木及大树保护”专篇内容 ）</w:t>
      </w:r>
      <w:r>
        <w:rPr>
          <w:rFonts w:hint="eastAsia" w:ascii="宋体" w:hAnsi="宋体" w:cs="Courier New"/>
          <w:color w:val="auto"/>
          <w:szCs w:val="21"/>
          <w:highlight w:val="none"/>
        </w:rPr>
        <w:t>；投资估算</w:t>
      </w:r>
      <w:r>
        <w:rPr>
          <w:rFonts w:hint="eastAsia" w:ascii="宋体" w:hAnsi="宋体" w:cs="宋体"/>
          <w:color w:val="auto"/>
          <w:szCs w:val="21"/>
          <w:highlight w:val="none"/>
        </w:rPr>
        <w:t>等。</w:t>
      </w:r>
    </w:p>
    <w:p>
      <w:pPr>
        <w:keepNext w:val="0"/>
        <w:keepLines w:val="0"/>
        <w:widowControl w:val="0"/>
        <w:suppressLineNumbers w:val="0"/>
        <w:topLinePunct/>
        <w:spacing w:before="0" w:beforeAutospacing="0" w:after="0" w:afterAutospacing="0" w:line="276" w:lineRule="auto"/>
        <w:ind w:left="0" w:right="0" w:firstLine="630" w:firstLineChars="300"/>
        <w:jc w:val="both"/>
        <w:rPr>
          <w:rFonts w:hint="eastAsia" w:ascii="宋体" w:hAnsi="宋体" w:cs="宋体"/>
          <w:color w:val="auto"/>
          <w:highlight w:val="none"/>
        </w:rPr>
      </w:pPr>
      <w:r>
        <w:rPr>
          <w:rFonts w:hint="eastAsia" w:ascii="宋体" w:hAnsi="宋体" w:cs="宋体"/>
          <w:color w:val="auto"/>
          <w:szCs w:val="21"/>
          <w:highlight w:val="none"/>
        </w:rPr>
        <w:t>☆ 设计图纸：包括效果图; 建筑平面图，</w:t>
      </w:r>
      <w:r>
        <w:rPr>
          <w:rFonts w:hint="eastAsia" w:ascii="宋体" w:hAnsi="宋体" w:eastAsia="宋体" w:cs="宋体"/>
          <w:bCs/>
          <w:color w:val="auto"/>
          <w:spacing w:val="-10"/>
          <w:kern w:val="0"/>
          <w:sz w:val="21"/>
          <w:szCs w:val="21"/>
          <w:highlight w:val="none"/>
          <w:lang w:val="en-US" w:eastAsia="zh-CN" w:bidi="ar"/>
        </w:rPr>
        <w:t>平面优化图</w:t>
      </w:r>
      <w:r>
        <w:rPr>
          <w:rFonts w:hint="default" w:ascii="宋体" w:hAnsi="宋体" w:eastAsia="宋体" w:cs="宋体"/>
          <w:bCs/>
          <w:color w:val="auto"/>
          <w:spacing w:val="-10"/>
          <w:kern w:val="0"/>
          <w:sz w:val="21"/>
          <w:szCs w:val="21"/>
          <w:highlight w:val="none"/>
          <w:lang w:eastAsia="zh-CN" w:bidi="ar"/>
        </w:rPr>
        <w:t>、</w:t>
      </w:r>
      <w:r>
        <w:rPr>
          <w:rFonts w:hint="eastAsia" w:ascii="宋体" w:hAnsi="宋体" w:cs="宋体"/>
          <w:color w:val="auto"/>
          <w:szCs w:val="21"/>
          <w:highlight w:val="none"/>
        </w:rPr>
        <w:t>主要位置剖、立面图</w:t>
      </w:r>
      <w:r>
        <w:rPr>
          <w:rFonts w:hint="default" w:ascii="宋体" w:hAnsi="宋体" w:cs="宋体"/>
          <w:color w:val="auto"/>
          <w:szCs w:val="21"/>
          <w:highlight w:val="none"/>
        </w:rPr>
        <w:t>、</w:t>
      </w:r>
      <w:r>
        <w:rPr>
          <w:rFonts w:hint="eastAsia" w:ascii="宋体" w:hAnsi="宋体" w:eastAsia="宋体" w:cs="宋体"/>
          <w:bCs/>
          <w:color w:val="auto"/>
          <w:spacing w:val="-10"/>
          <w:kern w:val="0"/>
          <w:sz w:val="21"/>
          <w:szCs w:val="21"/>
          <w:highlight w:val="none"/>
          <w:lang w:val="en-US" w:eastAsia="zh-CN" w:bidi="ar"/>
        </w:rPr>
        <w:t>结构加固方案</w:t>
      </w:r>
      <w:r>
        <w:rPr>
          <w:rFonts w:hint="default" w:ascii="宋体" w:hAnsi="宋体" w:eastAsia="宋体" w:cs="宋体"/>
          <w:bCs/>
          <w:color w:val="auto"/>
          <w:spacing w:val="-10"/>
          <w:kern w:val="0"/>
          <w:sz w:val="21"/>
          <w:szCs w:val="21"/>
          <w:highlight w:val="none"/>
          <w:lang w:eastAsia="zh-CN" w:bidi="ar"/>
        </w:rPr>
        <w:t>的</w:t>
      </w:r>
      <w:r>
        <w:rPr>
          <w:rFonts w:hint="eastAsia" w:ascii="宋体" w:hAnsi="宋体" w:eastAsia="宋体" w:cs="宋体"/>
          <w:bCs/>
          <w:color w:val="auto"/>
          <w:spacing w:val="-10"/>
          <w:kern w:val="0"/>
          <w:sz w:val="21"/>
          <w:szCs w:val="21"/>
          <w:highlight w:val="none"/>
          <w:lang w:val="en-US" w:eastAsia="zh-CN" w:bidi="ar"/>
        </w:rPr>
        <w:t>建模复核3D 模型截图</w:t>
      </w:r>
      <w:r>
        <w:rPr>
          <w:rFonts w:hint="default" w:ascii="宋体" w:hAnsi="宋体" w:eastAsia="宋体" w:cs="宋体"/>
          <w:bCs/>
          <w:color w:val="auto"/>
          <w:spacing w:val="-10"/>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三层厨房、饭堂进行二次深化</w:t>
      </w:r>
      <w:r>
        <w:rPr>
          <w:rFonts w:hint="default" w:ascii="宋体" w:hAnsi="宋体" w:eastAsia="宋体" w:cs="宋体"/>
          <w:color w:val="auto"/>
          <w:kern w:val="0"/>
          <w:sz w:val="21"/>
          <w:szCs w:val="21"/>
          <w:highlight w:val="none"/>
          <w:lang w:eastAsia="zh-CN" w:bidi="ar"/>
        </w:rPr>
        <w:t>图</w:t>
      </w:r>
      <w:r>
        <w:rPr>
          <w:rFonts w:hint="eastAsia" w:ascii="宋体" w:hAnsi="宋体" w:cs="宋体"/>
          <w:color w:val="auto"/>
          <w:szCs w:val="21"/>
          <w:highlight w:val="none"/>
        </w:rPr>
        <w:t>等</w:t>
      </w:r>
      <w:r>
        <w:rPr>
          <w:rFonts w:hint="eastAsia" w:ascii="宋体" w:hAnsi="宋体" w:cs="宋体"/>
          <w:color w:val="auto"/>
          <w:highlight w:val="none"/>
        </w:rPr>
        <w:t>。</w:t>
      </w:r>
    </w:p>
    <w:p>
      <w:pPr>
        <w:topLinePunct/>
        <w:spacing w:line="276" w:lineRule="auto"/>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 投标人认为有必要提供的其他资料。</w:t>
      </w:r>
    </w:p>
    <w:p>
      <w:pPr>
        <w:spacing w:line="276" w:lineRule="auto"/>
        <w:ind w:firstLine="420"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3.1.2工程总承包实施方案（含资格审查文件）投标文件</w:t>
      </w:r>
    </w:p>
    <w:p>
      <w:pPr>
        <w:spacing w:line="276" w:lineRule="auto"/>
        <w:ind w:firstLine="420" w:firstLineChars="200"/>
        <w:rPr>
          <w:rFonts w:hint="eastAsia" w:ascii="宋体" w:hAnsi="宋体" w:cs="宋体"/>
          <w:b/>
          <w:color w:val="auto"/>
          <w:szCs w:val="21"/>
          <w:highlight w:val="none"/>
          <w:u w:val="single"/>
        </w:rPr>
      </w:pPr>
      <w:r>
        <w:rPr>
          <w:rFonts w:hint="eastAsia" w:ascii="宋体" w:hAnsi="宋体" w:cs="宋体"/>
          <w:color w:val="auto"/>
          <w:highlight w:val="none"/>
          <w:u w:val="single"/>
        </w:rPr>
        <w:t>应包含但不限于以下内容</w:t>
      </w:r>
      <w:r>
        <w:rPr>
          <w:rFonts w:hint="eastAsia" w:ascii="宋体" w:hAnsi="宋体" w:cs="宋体"/>
          <w:b/>
          <w:color w:val="auto"/>
          <w:szCs w:val="21"/>
          <w:highlight w:val="none"/>
          <w:u w:val="single"/>
        </w:rPr>
        <w:t>：</w:t>
      </w:r>
    </w:p>
    <w:p>
      <w:pPr>
        <w:numPr>
          <w:ilvl w:val="0"/>
          <w:numId w:val="1"/>
        </w:num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技术投标书。</w:t>
      </w:r>
    </w:p>
    <w:p>
      <w:pPr>
        <w:numPr>
          <w:ilvl w:val="0"/>
          <w:numId w:val="1"/>
        </w:num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经济投标书。</w:t>
      </w:r>
    </w:p>
    <w:p>
      <w:pPr>
        <w:spacing w:line="276" w:lineRule="auto"/>
        <w:ind w:firstLine="420" w:firstLineChars="200"/>
        <w:rPr>
          <w:rFonts w:hint="eastAsia" w:ascii="宋体" w:hAnsi="宋体" w:cs="宋体"/>
          <w:strike/>
          <w:color w:val="auto"/>
          <w:szCs w:val="21"/>
          <w:highlight w:val="none"/>
          <w:u w:val="single"/>
        </w:rPr>
      </w:pPr>
      <w:r>
        <w:rPr>
          <w:rFonts w:hint="eastAsia" w:ascii="宋体" w:hAnsi="宋体" w:cs="宋体"/>
          <w:color w:val="auto"/>
          <w:kern w:val="0"/>
          <w:szCs w:val="21"/>
          <w:highlight w:val="none"/>
        </w:rPr>
        <w:t>（</w:t>
      </w:r>
      <w:r>
        <w:rPr>
          <w:rFonts w:ascii="宋体" w:hAnsi="宋体" w:cs="宋体"/>
          <w:color w:val="auto"/>
          <w:kern w:val="0"/>
          <w:szCs w:val="21"/>
          <w:highlight w:val="none"/>
        </w:rPr>
        <w:t>3</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资格审查文件。</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w:t>
      </w:r>
      <w:r>
        <w:rPr>
          <w:rFonts w:hint="eastAsia" w:ascii="宋体" w:hAnsi="宋体" w:cs="宋体"/>
          <w:color w:val="auto"/>
          <w:szCs w:val="21"/>
          <w:highlight w:val="none"/>
          <w:u w:val="single"/>
        </w:rPr>
        <w:t>投标承诺书。</w:t>
      </w:r>
    </w:p>
    <w:p>
      <w:pPr>
        <w:spacing w:line="276" w:lineRule="auto"/>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w:t>
      </w:r>
      <w:r>
        <w:rPr>
          <w:rFonts w:hint="eastAsia" w:ascii="宋体" w:hAnsi="宋体" w:cs="宋体"/>
          <w:color w:val="auto"/>
          <w:szCs w:val="21"/>
          <w:highlight w:val="none"/>
          <w:u w:val="single"/>
        </w:rPr>
        <w:t>投标人基本情况表。</w:t>
      </w:r>
    </w:p>
    <w:p>
      <w:pPr>
        <w:spacing w:line="276" w:lineRule="auto"/>
        <w:ind w:firstLine="420" w:firstLineChars="200"/>
        <w:rPr>
          <w:rFonts w:hint="eastAsia" w:ascii="宋体" w:hAnsi="宋体"/>
          <w:color w:val="auto"/>
          <w:szCs w:val="21"/>
          <w:highlight w:val="none"/>
          <w:u w:val="single"/>
        </w:rPr>
      </w:pPr>
      <w:r>
        <w:rPr>
          <w:rFonts w:hint="eastAsia" w:ascii="宋体" w:hAnsi="宋体" w:cs="宋体"/>
          <w:color w:val="auto"/>
          <w:szCs w:val="21"/>
          <w:highlight w:val="none"/>
        </w:rPr>
        <w:t>（</w:t>
      </w:r>
      <w:r>
        <w:rPr>
          <w:rFonts w:ascii="宋体" w:hAnsi="宋体" w:cs="宋体"/>
          <w:color w:val="auto"/>
          <w:szCs w:val="21"/>
          <w:highlight w:val="none"/>
        </w:rPr>
        <w:t>6</w:t>
      </w:r>
      <w:r>
        <w:rPr>
          <w:rFonts w:hint="eastAsia" w:ascii="宋体" w:hAnsi="宋体" w:cs="宋体"/>
          <w:color w:val="auto"/>
          <w:szCs w:val="21"/>
          <w:highlight w:val="none"/>
        </w:rPr>
        <w:t>）</w:t>
      </w:r>
      <w:r>
        <w:rPr>
          <w:rFonts w:hint="eastAsia" w:ascii="宋体" w:hAnsi="宋体"/>
          <w:color w:val="auto"/>
          <w:szCs w:val="21"/>
          <w:highlight w:val="none"/>
          <w:u w:val="single"/>
        </w:rPr>
        <w:t>工程总承包实施方案投标文件（资信部分）。</w:t>
      </w:r>
    </w:p>
    <w:p>
      <w:pPr>
        <w:spacing w:line="276"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w:t>
      </w:r>
      <w:r>
        <w:rPr>
          <w:rFonts w:hint="eastAsia" w:ascii="宋体" w:hAnsi="宋体"/>
          <w:color w:val="auto"/>
          <w:szCs w:val="21"/>
          <w:highlight w:val="none"/>
          <w:u w:val="single"/>
        </w:rPr>
        <w:t>工程总承包实施方案投标文件（技术部分）。</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w:t>
      </w:r>
      <w:r>
        <w:rPr>
          <w:rFonts w:ascii="宋体" w:hAnsi="宋体" w:cs="宋体"/>
          <w:color w:val="auto"/>
          <w:szCs w:val="21"/>
          <w:highlight w:val="none"/>
        </w:rPr>
        <w:t>8</w:t>
      </w:r>
      <w:r>
        <w:rPr>
          <w:rFonts w:hint="eastAsia" w:ascii="宋体" w:hAnsi="宋体" w:cs="宋体"/>
          <w:color w:val="auto"/>
          <w:szCs w:val="21"/>
          <w:highlight w:val="none"/>
        </w:rPr>
        <w:t>）</w:t>
      </w:r>
      <w:r>
        <w:rPr>
          <w:rFonts w:hint="eastAsia" w:ascii="宋体" w:hAnsi="宋体" w:cs="宋体"/>
          <w:color w:val="auto"/>
          <w:szCs w:val="21"/>
          <w:highlight w:val="none"/>
          <w:u w:val="single"/>
        </w:rPr>
        <w:t>投标人认为应该提供的其他资料</w:t>
      </w:r>
      <w:r>
        <w:rPr>
          <w:rFonts w:hint="eastAsia" w:ascii="宋体" w:hAnsi="宋体"/>
          <w:color w:val="auto"/>
          <w:szCs w:val="21"/>
          <w:highlight w:val="none"/>
          <w:u w:val="single"/>
        </w:rPr>
        <w:t>。</w:t>
      </w:r>
    </w:p>
    <w:p>
      <w:pPr>
        <w:keepNext/>
        <w:keepLines/>
        <w:spacing w:line="276" w:lineRule="auto"/>
        <w:ind w:firstLine="103" w:firstLineChars="49"/>
        <w:outlineLvl w:val="2"/>
        <w:rPr>
          <w:rFonts w:hint="eastAsia" w:ascii="宋体" w:hAnsi="宋体" w:cs="宋体"/>
          <w:b/>
          <w:color w:val="auto"/>
          <w:kern w:val="0"/>
          <w:szCs w:val="21"/>
          <w:highlight w:val="none"/>
        </w:rPr>
      </w:pPr>
      <w:bookmarkStart w:id="232" w:name="_Toc27924"/>
      <w:r>
        <w:rPr>
          <w:rFonts w:hint="eastAsia" w:ascii="宋体" w:hAnsi="宋体" w:cs="宋体"/>
          <w:b/>
          <w:color w:val="auto"/>
          <w:kern w:val="0"/>
          <w:szCs w:val="21"/>
          <w:highlight w:val="none"/>
        </w:rPr>
        <w:t>3.2 投标报价</w:t>
      </w:r>
      <w:bookmarkEnd w:id="232"/>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3.2.1 本工程的投标报价按照3.2.3.2项所规定的方式。</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3.2.2 投标人应充分了解施工场地的位置、周边环境、道路、装卸、保管、安装限制以及影响投标报价的其他要素。投标人根据投标设计，结合市场情况进行投标报价。</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3.2.3 招标人设有最高投标限价的，投标人的投标报价不得超过投标最高限价。见投标人须知前附表。其中，工程费用由投标人根据招标文件要求以及自身情况填报。</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3.2.3.1招标人按照招标需求制定招标控制价。此处的招标控制价有两个</w:t>
      </w:r>
      <w:r>
        <w:rPr>
          <w:rFonts w:ascii="宋体" w:hAnsi="宋体" w:cs="宋体"/>
          <w:color w:val="auto"/>
          <w:szCs w:val="21"/>
          <w:highlight w:val="none"/>
          <w:u w:val="single"/>
        </w:rPr>
        <w:t>内容</w:t>
      </w:r>
      <w:r>
        <w:rPr>
          <w:rFonts w:hint="eastAsia" w:ascii="宋体" w:hAnsi="宋体" w:cs="宋体"/>
          <w:color w:val="auto"/>
          <w:szCs w:val="21"/>
          <w:highlight w:val="none"/>
          <w:u w:val="single"/>
        </w:rPr>
        <w:t>，①招标控制总价，②勘察费最高投标限价、设计费最高投标限价、工程费最高投标限价、专项工程费最高投标限价等。</w:t>
      </w:r>
      <w:r>
        <w:rPr>
          <w:rFonts w:hint="eastAsia" w:ascii="宋体" w:hAnsi="宋体" w:cs="宋体"/>
          <w:color w:val="auto"/>
          <w:highlight w:val="none"/>
          <w:u w:val="single"/>
        </w:rPr>
        <w:t>投标人按照招标文件要求内容自行报价。</w:t>
      </w:r>
    </w:p>
    <w:p>
      <w:pPr>
        <w:spacing w:line="276" w:lineRule="auto"/>
        <w:ind w:firstLine="420" w:firstLineChars="200"/>
        <w:rPr>
          <w:rFonts w:hint="eastAsia" w:ascii="宋体" w:hAnsi="宋体" w:cs="宋体"/>
          <w:color w:val="auto"/>
          <w:sz w:val="24"/>
          <w:highlight w:val="none"/>
          <w:u w:val="single"/>
        </w:rPr>
      </w:pPr>
      <w:r>
        <w:rPr>
          <w:rFonts w:hint="eastAsia" w:ascii="宋体" w:hAnsi="宋体" w:cs="宋体"/>
          <w:color w:val="auto"/>
          <w:highlight w:val="none"/>
          <w:u w:val="single"/>
        </w:rPr>
        <w:t>3.2.3.1.1每一项费用只允许有一个报价，任何有选择的报价或未填报单价的投标文件将不予接受。</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3.2.3.2投标人的投标总报价，包括勘察费、设计费、工程费</w:t>
      </w:r>
      <w:r>
        <w:rPr>
          <w:rFonts w:hint="default" w:ascii="宋体" w:hAnsi="宋体" w:cs="宋体"/>
          <w:color w:val="auto"/>
          <w:szCs w:val="21"/>
          <w:highlight w:val="none"/>
          <w:u w:val="single"/>
        </w:rPr>
        <w:t>、</w:t>
      </w:r>
      <w:r>
        <w:rPr>
          <w:rFonts w:hint="eastAsia" w:ascii="宋体" w:hAnsi="宋体" w:cs="宋体"/>
          <w:color w:val="auto"/>
          <w:szCs w:val="21"/>
          <w:highlight w:val="none"/>
          <w:u w:val="single"/>
        </w:rPr>
        <w:t>专项工程费</w:t>
      </w:r>
      <w:r>
        <w:rPr>
          <w:rFonts w:hint="default" w:ascii="宋体" w:hAnsi="宋体" w:cs="宋体"/>
          <w:color w:val="auto"/>
          <w:szCs w:val="21"/>
          <w:highlight w:val="none"/>
          <w:u w:val="single"/>
        </w:rPr>
        <w:t>和工程保险费</w:t>
      </w:r>
      <w:r>
        <w:rPr>
          <w:rFonts w:hint="eastAsia" w:ascii="宋体" w:hAnsi="宋体" w:cs="宋体"/>
          <w:color w:val="auto"/>
          <w:szCs w:val="21"/>
          <w:highlight w:val="none"/>
          <w:u w:val="single"/>
        </w:rPr>
        <w:t>。投标人应按照投标人须知前附表第 1.3.2 项的工期要求，在投标人须知前附表第 1.1.5 项的建设地点，完成投标人须知前附表第 1.3.1项的招标范围列明工作的全部费用，包括但不限于完成全部勘察、设计、建安工程施工工作的成本、利润、税金、技术措施费、大型机械进出场费、风险费以及政策性文件规定费用等，不得以任何理由予以重复计算。</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3.2.4 投标报价的其他要求见投标人须知前附表。</w:t>
      </w:r>
    </w:p>
    <w:p>
      <w:pPr>
        <w:keepNext/>
        <w:keepLines/>
        <w:spacing w:line="276" w:lineRule="auto"/>
        <w:ind w:firstLine="103" w:firstLineChars="49"/>
        <w:outlineLvl w:val="2"/>
        <w:rPr>
          <w:rFonts w:hint="eastAsia" w:ascii="宋体" w:hAnsi="宋体" w:cs="宋体"/>
          <w:b/>
          <w:color w:val="auto"/>
          <w:kern w:val="0"/>
          <w:szCs w:val="21"/>
          <w:highlight w:val="none"/>
        </w:rPr>
      </w:pPr>
      <w:bookmarkStart w:id="233" w:name="_Toc4298"/>
      <w:r>
        <w:rPr>
          <w:rFonts w:hint="eastAsia" w:ascii="宋体" w:hAnsi="宋体" w:cs="宋体"/>
          <w:b/>
          <w:color w:val="auto"/>
          <w:kern w:val="0"/>
          <w:szCs w:val="21"/>
          <w:highlight w:val="none"/>
        </w:rPr>
        <w:t>3.3 投标有效期</w:t>
      </w:r>
      <w:bookmarkEnd w:id="233"/>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3.3.1</w:t>
      </w:r>
      <w:r>
        <w:rPr>
          <w:rFonts w:hint="eastAsia" w:ascii="宋体" w:hAnsi="宋体" w:cs="宋体"/>
          <w:color w:val="auto"/>
          <w:highlight w:val="none"/>
          <w:u w:val="single"/>
        </w:rPr>
        <w:t>投标有效期按须知前附表的规定。</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3.3.2 在投标有效期内，投标人撤销或修改其投标文件的，应承担招标文件和法律规定的责任。</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3.3.3 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keepNext/>
        <w:keepLines/>
        <w:spacing w:line="276" w:lineRule="auto"/>
        <w:ind w:firstLine="103" w:firstLineChars="49"/>
        <w:outlineLvl w:val="2"/>
        <w:rPr>
          <w:rFonts w:hint="eastAsia" w:ascii="宋体" w:hAnsi="宋体" w:cs="宋体"/>
          <w:b/>
          <w:color w:val="auto"/>
          <w:kern w:val="0"/>
          <w:szCs w:val="21"/>
          <w:highlight w:val="none"/>
        </w:rPr>
      </w:pPr>
      <w:bookmarkStart w:id="234" w:name="_Toc23783"/>
      <w:r>
        <w:rPr>
          <w:rFonts w:hint="eastAsia" w:ascii="宋体" w:hAnsi="宋体" w:cs="宋体"/>
          <w:b/>
          <w:color w:val="auto"/>
          <w:kern w:val="0"/>
          <w:szCs w:val="21"/>
          <w:highlight w:val="none"/>
        </w:rPr>
        <w:t>3.4 投标担保</w:t>
      </w:r>
      <w:bookmarkEnd w:id="234"/>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3.4.1 投标人在递交投标文件的同时，应按投标人须知前附表规定的金额、担保形式递交投标担保，并作为其投标文件的组成部分。联合体投标的，其投标担保由主办方递交，并应符合投标人须知前附表的规定。</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3.4.2 投标人不按本章第3.4.1项要求提交投标担保的，评标委员会将否决其投标。</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3.4.3未中标的投标担保将尽快退还，最迟不超过招标人与中标人签定合同后的5个工作日。中标人的投标担保，在签署合同并按要求提供了履约担保后予以退还。</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3.4.4有下列情形之一的，投标担保将不予退还： </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（1）投标人在规定的投标有效期内撤销或修改其投标文件；</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（2）投标人提供了虚假的证明材料；</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（3）中标候选人放弃中标；</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（4）中标人在收到中标通知书后，无正当理由拒签合同或未按招标文件规定提交履约担保。</w:t>
      </w:r>
    </w:p>
    <w:p>
      <w:pPr>
        <w:keepNext/>
        <w:keepLines/>
        <w:spacing w:line="276" w:lineRule="auto"/>
        <w:ind w:firstLine="103" w:firstLineChars="49"/>
        <w:outlineLvl w:val="2"/>
        <w:rPr>
          <w:rFonts w:hint="eastAsia" w:ascii="宋体" w:hAnsi="宋体" w:cs="宋体"/>
          <w:b/>
          <w:color w:val="auto"/>
          <w:kern w:val="0"/>
          <w:szCs w:val="21"/>
          <w:highlight w:val="none"/>
        </w:rPr>
      </w:pPr>
      <w:bookmarkStart w:id="235" w:name="_Toc7110"/>
      <w:r>
        <w:rPr>
          <w:rFonts w:hint="eastAsia" w:ascii="宋体" w:hAnsi="宋体" w:cs="宋体"/>
          <w:b/>
          <w:color w:val="auto"/>
          <w:kern w:val="0"/>
          <w:szCs w:val="21"/>
          <w:highlight w:val="none"/>
        </w:rPr>
        <w:t>3.5 资格审查</w:t>
      </w:r>
      <w:bookmarkEnd w:id="235"/>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shd w:val="clear" w:color="auto" w:fill="FFFFFF"/>
        </w:rPr>
        <w:t>本项目采用电子化资格后审，由评标委员会负责对投标人的资格进行审查，</w:t>
      </w:r>
      <w:r>
        <w:rPr>
          <w:rFonts w:hint="eastAsia" w:ascii="宋体" w:hAnsi="宋体" w:cs="宋体"/>
          <w:color w:val="auto"/>
          <w:szCs w:val="21"/>
          <w:highlight w:val="none"/>
          <w:u w:val="single"/>
        </w:rPr>
        <w:t>评标时只对通过资格审查的投标人进行下一阶段的评审。</w:t>
      </w:r>
    </w:p>
    <w:p>
      <w:pPr>
        <w:keepNext/>
        <w:keepLines/>
        <w:spacing w:line="276" w:lineRule="auto"/>
        <w:ind w:firstLine="103" w:firstLineChars="49"/>
        <w:outlineLvl w:val="2"/>
        <w:rPr>
          <w:rFonts w:hint="eastAsia" w:ascii="宋体" w:hAnsi="宋体" w:cs="宋体"/>
          <w:b/>
          <w:color w:val="auto"/>
          <w:kern w:val="0"/>
          <w:szCs w:val="21"/>
          <w:highlight w:val="none"/>
        </w:rPr>
      </w:pPr>
      <w:bookmarkStart w:id="236" w:name="_Toc23218"/>
      <w:r>
        <w:rPr>
          <w:rFonts w:hint="eastAsia" w:ascii="宋体" w:hAnsi="宋体" w:cs="宋体"/>
          <w:b/>
          <w:color w:val="auto"/>
          <w:kern w:val="0"/>
          <w:szCs w:val="21"/>
          <w:highlight w:val="none"/>
        </w:rPr>
        <w:t>3.6 备选投标方案</w:t>
      </w:r>
      <w:bookmarkEnd w:id="236"/>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除投标人须知前附表另有规定外，投标人不得递交备选投标方案。</w:t>
      </w:r>
    </w:p>
    <w:p>
      <w:pPr>
        <w:keepNext/>
        <w:keepLines/>
        <w:spacing w:line="276" w:lineRule="auto"/>
        <w:ind w:firstLine="103" w:firstLineChars="49"/>
        <w:outlineLvl w:val="2"/>
        <w:rPr>
          <w:rFonts w:hint="eastAsia" w:ascii="宋体" w:hAnsi="宋体" w:cs="宋体"/>
          <w:b/>
          <w:color w:val="auto"/>
          <w:kern w:val="0"/>
          <w:szCs w:val="21"/>
          <w:highlight w:val="none"/>
        </w:rPr>
      </w:pPr>
      <w:bookmarkStart w:id="237" w:name="_Toc15299"/>
      <w:r>
        <w:rPr>
          <w:rFonts w:hint="eastAsia" w:ascii="宋体" w:hAnsi="宋体" w:cs="宋体"/>
          <w:b/>
          <w:color w:val="auto"/>
          <w:kern w:val="0"/>
          <w:szCs w:val="21"/>
          <w:highlight w:val="none"/>
        </w:rPr>
        <w:t>3.7 投标文件的编制</w:t>
      </w:r>
      <w:bookmarkEnd w:id="237"/>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3.7.1</w:t>
      </w:r>
      <w:r>
        <w:rPr>
          <w:rFonts w:hint="eastAsia" w:ascii="宋体" w:hAnsi="宋体" w:cs="宋体"/>
          <w:color w:val="auto"/>
          <w:highlight w:val="none"/>
          <w:u w:val="single"/>
        </w:rPr>
        <w:t>投标文件应按第五章“投标文件格式”进行编写，如有必要，可以增加附页，作为投标文件的组成部分。</w:t>
      </w:r>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szCs w:val="21"/>
          <w:highlight w:val="none"/>
        </w:rPr>
        <w:t>3.7.2</w:t>
      </w:r>
      <w:r>
        <w:rPr>
          <w:rFonts w:hint="eastAsia" w:ascii="宋体" w:hAnsi="宋体" w:cs="宋体"/>
          <w:color w:val="auto"/>
          <w:highlight w:val="none"/>
          <w:u w:val="single"/>
        </w:rPr>
        <w:t>投标文件应当对招标文件有关招标范围、投标有效期、工期、质量标准、发包人要求等实质性内容作出响应。</w:t>
      </w:r>
    </w:p>
    <w:p>
      <w:pPr>
        <w:spacing w:line="276" w:lineRule="auto"/>
        <w:ind w:firstLine="420" w:firstLineChars="200"/>
        <w:rPr>
          <w:rFonts w:hint="eastAsia" w:ascii="宋体" w:hAnsi="宋体" w:cs="宋体"/>
          <w:bCs/>
          <w:color w:val="auto"/>
          <w:highlight w:val="none"/>
        </w:rPr>
      </w:pPr>
      <w:r>
        <w:rPr>
          <w:rFonts w:hint="eastAsia" w:ascii="宋体" w:hAnsi="宋体" w:cs="宋体"/>
          <w:bCs/>
          <w:color w:val="auto"/>
          <w:highlight w:val="none"/>
        </w:rPr>
        <w:t>3.7.3 投标文件编制要求：</w:t>
      </w:r>
    </w:p>
    <w:p>
      <w:pPr>
        <w:spacing w:line="276"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u w:val="single"/>
        </w:rPr>
        <w:t>投标人采用单位数字证书，按招标文件要求在相应位置加盖电子印章。投标文件中需个人签字或盖章的，应在线下完成后扫描上传。按照交易平台关于全流程电子化项目的相关指南进行操作，联合体投标的，除联合体共同投标协议书需联合体各方同时签字或盖章外，</w:t>
      </w:r>
      <w:r>
        <w:rPr>
          <w:rFonts w:hint="eastAsia" w:ascii="宋体" w:hAnsi="宋体" w:cs="宋体"/>
          <w:bCs/>
          <w:color w:val="auto"/>
          <w:highlight w:val="none"/>
          <w:u w:val="single"/>
        </w:rPr>
        <w:t>法定代表人证明书及授权委托证明书可由联合体主办方出具，其中“单位”一栏可只填写联合体主办方名称</w:t>
      </w:r>
      <w:r>
        <w:rPr>
          <w:rFonts w:hint="eastAsia" w:ascii="宋体" w:hAnsi="宋体" w:cs="宋体"/>
          <w:bCs/>
          <w:color w:val="auto"/>
          <w:szCs w:val="21"/>
          <w:highlight w:val="none"/>
          <w:u w:val="single"/>
        </w:rPr>
        <w:t>外，其他内容及落款中的“投标人”应填写联合体各方的单位全称【参考格式表示为：(主)XXXX公司(成)XXXX公司】，由联合体主办方签字、盖章即可。</w:t>
      </w:r>
    </w:p>
    <w:p>
      <w:pPr>
        <w:pStyle w:val="3"/>
        <w:spacing w:before="0" w:after="0" w:line="276" w:lineRule="auto"/>
        <w:rPr>
          <w:rFonts w:hint="eastAsia" w:ascii="宋体" w:hAnsi="宋体" w:eastAsia="宋体" w:cs="宋体"/>
          <w:bCs w:val="0"/>
          <w:color w:val="auto"/>
          <w:sz w:val="24"/>
          <w:szCs w:val="24"/>
          <w:highlight w:val="none"/>
        </w:rPr>
      </w:pPr>
      <w:bookmarkStart w:id="238" w:name="_Toc480225651"/>
      <w:bookmarkStart w:id="239" w:name="_Toc19908"/>
      <w:bookmarkStart w:id="240" w:name="_Toc443505826"/>
      <w:bookmarkStart w:id="241" w:name="_Toc505152690"/>
      <w:r>
        <w:rPr>
          <w:rFonts w:hint="eastAsia" w:ascii="宋体" w:hAnsi="宋体" w:eastAsia="宋体" w:cs="宋体"/>
          <w:bCs w:val="0"/>
          <w:color w:val="auto"/>
          <w:sz w:val="24"/>
          <w:szCs w:val="24"/>
          <w:highlight w:val="none"/>
        </w:rPr>
        <w:t>4. 投标</w:t>
      </w:r>
      <w:bookmarkEnd w:id="238"/>
      <w:bookmarkEnd w:id="239"/>
      <w:bookmarkEnd w:id="240"/>
      <w:bookmarkEnd w:id="241"/>
    </w:p>
    <w:p>
      <w:pPr>
        <w:pStyle w:val="4"/>
        <w:spacing w:before="0" w:after="0" w:line="276" w:lineRule="auto"/>
        <w:ind w:firstLine="103"/>
        <w:rPr>
          <w:rFonts w:hAnsi="宋体" w:cs="宋体"/>
          <w:bCs w:val="0"/>
          <w:color w:val="auto"/>
          <w:sz w:val="21"/>
          <w:szCs w:val="21"/>
          <w:highlight w:val="none"/>
        </w:rPr>
      </w:pPr>
      <w:bookmarkStart w:id="242" w:name="_Toc362816506"/>
      <w:bookmarkStart w:id="243" w:name="_Toc3091"/>
      <w:bookmarkStart w:id="244" w:name="_Toc357089537"/>
      <w:r>
        <w:rPr>
          <w:rFonts w:hint="eastAsia" w:hAnsi="宋体" w:cs="宋体"/>
          <w:bCs w:val="0"/>
          <w:color w:val="auto"/>
          <w:sz w:val="21"/>
          <w:szCs w:val="21"/>
          <w:highlight w:val="none"/>
        </w:rPr>
        <w:t>4.1 投标文件的密封和标记</w:t>
      </w:r>
      <w:bookmarkEnd w:id="242"/>
      <w:bookmarkEnd w:id="243"/>
      <w:bookmarkEnd w:id="244"/>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4.1.1</w:t>
      </w:r>
      <w:r>
        <w:rPr>
          <w:rFonts w:hint="eastAsia" w:ascii="宋体" w:hAnsi="宋体" w:cs="宋体"/>
          <w:color w:val="auto"/>
          <w:szCs w:val="21"/>
          <w:highlight w:val="none"/>
          <w:u w:val="single"/>
        </w:rPr>
        <w:t>投</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人</w:t>
      </w:r>
      <w:r>
        <w:rPr>
          <w:rFonts w:hint="eastAsia" w:ascii="宋体" w:hAnsi="宋体" w:cs="宋体"/>
          <w:color w:val="auto"/>
          <w:spacing w:val="-2"/>
          <w:szCs w:val="21"/>
          <w:highlight w:val="none"/>
          <w:u w:val="single"/>
        </w:rPr>
        <w:t>应</w:t>
      </w:r>
      <w:r>
        <w:rPr>
          <w:rFonts w:hint="eastAsia" w:ascii="宋体" w:hAnsi="宋体" w:cs="宋体"/>
          <w:color w:val="auto"/>
          <w:szCs w:val="21"/>
          <w:highlight w:val="none"/>
          <w:u w:val="single"/>
        </w:rPr>
        <w:t>当</w:t>
      </w:r>
      <w:r>
        <w:rPr>
          <w:rFonts w:hint="eastAsia" w:ascii="宋体" w:hAnsi="宋体" w:cs="宋体"/>
          <w:color w:val="auto"/>
          <w:spacing w:val="-2"/>
          <w:szCs w:val="21"/>
          <w:highlight w:val="none"/>
          <w:u w:val="single"/>
        </w:rPr>
        <w:t>按</w:t>
      </w:r>
      <w:r>
        <w:rPr>
          <w:rFonts w:hint="eastAsia" w:ascii="宋体" w:hAnsi="宋体" w:cs="宋体"/>
          <w:color w:val="auto"/>
          <w:szCs w:val="21"/>
          <w:highlight w:val="none"/>
          <w:u w:val="single"/>
        </w:rPr>
        <w:t>照招</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和</w:t>
      </w:r>
      <w:r>
        <w:rPr>
          <w:rFonts w:hint="eastAsia" w:ascii="宋体" w:hAnsi="宋体" w:cs="宋体"/>
          <w:color w:val="auto"/>
          <w:spacing w:val="-2"/>
          <w:szCs w:val="21"/>
          <w:highlight w:val="none"/>
          <w:u w:val="single"/>
        </w:rPr>
        <w:t>电</w:t>
      </w:r>
      <w:r>
        <w:rPr>
          <w:rFonts w:hint="eastAsia" w:ascii="宋体" w:hAnsi="宋体" w:cs="宋体"/>
          <w:color w:val="auto"/>
          <w:szCs w:val="21"/>
          <w:highlight w:val="none"/>
          <w:u w:val="single"/>
        </w:rPr>
        <w:t>子</w:t>
      </w:r>
      <w:r>
        <w:rPr>
          <w:rFonts w:hint="eastAsia" w:ascii="宋体" w:hAnsi="宋体" w:cs="宋体"/>
          <w:color w:val="auto"/>
          <w:spacing w:val="-2"/>
          <w:szCs w:val="21"/>
          <w:highlight w:val="none"/>
          <w:u w:val="single"/>
        </w:rPr>
        <w:t>招</w:t>
      </w:r>
      <w:r>
        <w:rPr>
          <w:rFonts w:hint="eastAsia" w:ascii="宋体" w:hAnsi="宋体" w:cs="宋体"/>
          <w:color w:val="auto"/>
          <w:szCs w:val="21"/>
          <w:highlight w:val="none"/>
          <w:u w:val="single"/>
        </w:rPr>
        <w:t>标</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标交</w:t>
      </w:r>
      <w:r>
        <w:rPr>
          <w:rFonts w:hint="eastAsia" w:ascii="宋体" w:hAnsi="宋体" w:cs="宋体"/>
          <w:color w:val="auto"/>
          <w:spacing w:val="-2"/>
          <w:szCs w:val="21"/>
          <w:highlight w:val="none"/>
          <w:u w:val="single"/>
        </w:rPr>
        <w:t>易</w:t>
      </w:r>
      <w:r>
        <w:rPr>
          <w:rFonts w:hint="eastAsia" w:ascii="宋体" w:hAnsi="宋体" w:cs="宋体"/>
          <w:color w:val="auto"/>
          <w:szCs w:val="21"/>
          <w:highlight w:val="none"/>
          <w:u w:val="single"/>
        </w:rPr>
        <w:t>平</w:t>
      </w:r>
      <w:r>
        <w:rPr>
          <w:rFonts w:hint="eastAsia" w:ascii="宋体" w:hAnsi="宋体" w:cs="宋体"/>
          <w:color w:val="auto"/>
          <w:spacing w:val="-2"/>
          <w:szCs w:val="21"/>
          <w:highlight w:val="none"/>
          <w:u w:val="single"/>
        </w:rPr>
        <w:t>台</w:t>
      </w:r>
      <w:r>
        <w:rPr>
          <w:rFonts w:hint="eastAsia" w:ascii="宋体" w:hAnsi="宋体" w:cs="宋体"/>
          <w:color w:val="auto"/>
          <w:szCs w:val="21"/>
          <w:highlight w:val="none"/>
          <w:u w:val="single"/>
        </w:rPr>
        <w:t>的</w:t>
      </w:r>
      <w:r>
        <w:rPr>
          <w:rFonts w:hint="eastAsia" w:ascii="宋体" w:hAnsi="宋体" w:cs="宋体"/>
          <w:color w:val="auto"/>
          <w:spacing w:val="-2"/>
          <w:szCs w:val="21"/>
          <w:highlight w:val="none"/>
          <w:u w:val="single"/>
        </w:rPr>
        <w:t>要</w:t>
      </w:r>
      <w:r>
        <w:rPr>
          <w:rFonts w:hint="eastAsia" w:ascii="宋体" w:hAnsi="宋体" w:cs="宋体"/>
          <w:color w:val="auto"/>
          <w:szCs w:val="21"/>
          <w:highlight w:val="none"/>
          <w:u w:val="single"/>
        </w:rPr>
        <w:t>求</w:t>
      </w:r>
      <w:r>
        <w:rPr>
          <w:rFonts w:hint="eastAsia" w:ascii="宋体" w:hAnsi="宋体" w:cs="宋体"/>
          <w:color w:val="auto"/>
          <w:spacing w:val="-2"/>
          <w:szCs w:val="21"/>
          <w:highlight w:val="none"/>
          <w:u w:val="single"/>
        </w:rPr>
        <w:t>加</w:t>
      </w:r>
      <w:r>
        <w:rPr>
          <w:rFonts w:hint="eastAsia" w:ascii="宋体" w:hAnsi="宋体" w:cs="宋体"/>
          <w:color w:val="auto"/>
          <w:szCs w:val="21"/>
          <w:highlight w:val="none"/>
          <w:u w:val="single"/>
        </w:rPr>
        <w:t>密</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具体操作详见《</w:t>
      </w:r>
      <w:r>
        <w:rPr>
          <w:rFonts w:hint="eastAsia" w:ascii="宋体" w:hAnsi="宋体" w:cs="宋体"/>
          <w:b/>
          <w:color w:val="auto"/>
          <w:szCs w:val="21"/>
          <w:highlight w:val="none"/>
          <w:u w:val="single"/>
        </w:rPr>
        <w:t>建设工程全流程电子化项目操作指南</w:t>
      </w:r>
      <w:r>
        <w:rPr>
          <w:rFonts w:hint="eastAsia" w:ascii="宋体" w:hAnsi="宋体" w:cs="宋体"/>
          <w:color w:val="auto"/>
          <w:szCs w:val="21"/>
          <w:highlight w:val="none"/>
          <w:u w:val="single"/>
        </w:rPr>
        <w:t>》</w:t>
      </w:r>
      <w:r>
        <w:rPr>
          <w:rFonts w:hint="eastAsia" w:ascii="宋体" w:hAnsi="宋体" w:cs="宋体"/>
          <w:color w:val="auto"/>
          <w:highlight w:val="none"/>
          <w:u w:val="single"/>
        </w:rPr>
        <w:t>。</w:t>
      </w:r>
    </w:p>
    <w:p>
      <w:pPr>
        <w:spacing w:line="276" w:lineRule="auto"/>
        <w:ind w:firstLine="420" w:firstLineChars="200"/>
        <w:rPr>
          <w:rFonts w:hint="eastAsia" w:ascii="宋体" w:hAnsi="宋体" w:cs="宋体"/>
          <w:color w:val="auto"/>
          <w:highlight w:val="none"/>
        </w:rPr>
      </w:pPr>
      <w:bookmarkStart w:id="245" w:name="_Toc40282137"/>
      <w:bookmarkStart w:id="246" w:name="_Toc77495127"/>
      <w:bookmarkStart w:id="247" w:name="_Toc6428"/>
      <w:r>
        <w:rPr>
          <w:rFonts w:hint="eastAsia" w:ascii="宋体" w:hAnsi="宋体" w:cs="宋体"/>
          <w:color w:val="auto"/>
          <w:highlight w:val="none"/>
        </w:rPr>
        <w:t>4.1.2 投标文件封套上应写明的内容见投标人须知前附表。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4.1.3 未按本章第4.1.1项或第4.1.2项要求密封和加写标记的投标文件，招标人不予受理。</w:t>
      </w:r>
    </w:p>
    <w:bookmarkEnd w:id="245"/>
    <w:bookmarkEnd w:id="246"/>
    <w:bookmarkEnd w:id="247"/>
    <w:p>
      <w:pPr>
        <w:pStyle w:val="4"/>
        <w:tabs>
          <w:tab w:val="left" w:pos="4200"/>
        </w:tabs>
        <w:spacing w:before="0" w:after="0" w:line="276" w:lineRule="auto"/>
        <w:ind w:firstLine="103"/>
        <w:rPr>
          <w:rFonts w:hAnsi="宋体" w:cs="宋体"/>
          <w:color w:val="auto"/>
          <w:sz w:val="21"/>
          <w:szCs w:val="21"/>
          <w:highlight w:val="none"/>
        </w:rPr>
      </w:pPr>
      <w:bookmarkStart w:id="248" w:name="_Toc362816507"/>
      <w:bookmarkStart w:id="249" w:name="_Toc357089538"/>
      <w:bookmarkStart w:id="250" w:name="_Toc30813"/>
      <w:r>
        <w:rPr>
          <w:rFonts w:hint="eastAsia" w:hAnsi="宋体" w:cs="宋体"/>
          <w:color w:val="auto"/>
          <w:sz w:val="21"/>
          <w:szCs w:val="21"/>
          <w:highlight w:val="none"/>
        </w:rPr>
        <w:t>4.2 投标文件的递交</w:t>
      </w:r>
      <w:bookmarkEnd w:id="248"/>
      <w:bookmarkEnd w:id="249"/>
      <w:r>
        <w:rPr>
          <w:rFonts w:hint="eastAsia" w:hAnsi="宋体" w:cs="宋体"/>
          <w:color w:val="auto"/>
          <w:sz w:val="21"/>
          <w:szCs w:val="21"/>
          <w:highlight w:val="none"/>
        </w:rPr>
        <w:t>、封存、投标登记</w:t>
      </w:r>
      <w:bookmarkEnd w:id="250"/>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4.2.1 投标人应在投标人须知前附表2.2.2项规定的投标截止时间前递交投标文件。</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4.2.2 投标人递交投标文件的地点：见投标人须知前附表。</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4.2.3 除投标人须知前附表另有规定外，投标人所递交的投标文件不予退还。</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4.2.4 </w:t>
      </w:r>
      <w:r>
        <w:rPr>
          <w:rFonts w:hint="eastAsia" w:ascii="宋体" w:hAnsi="宋体" w:cs="宋体"/>
          <w:color w:val="auto"/>
          <w:szCs w:val="21"/>
          <w:highlight w:val="none"/>
          <w:u w:val="single"/>
        </w:rPr>
        <w:t>投</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人</w:t>
      </w:r>
      <w:r>
        <w:rPr>
          <w:rFonts w:hint="eastAsia" w:ascii="宋体" w:hAnsi="宋体" w:cs="宋体"/>
          <w:color w:val="auto"/>
          <w:spacing w:val="-2"/>
          <w:szCs w:val="21"/>
          <w:highlight w:val="none"/>
          <w:u w:val="single"/>
        </w:rPr>
        <w:t>完</w:t>
      </w:r>
      <w:r>
        <w:rPr>
          <w:rFonts w:hint="eastAsia" w:ascii="宋体" w:hAnsi="宋体" w:cs="宋体"/>
          <w:color w:val="auto"/>
          <w:szCs w:val="21"/>
          <w:highlight w:val="none"/>
          <w:u w:val="single"/>
        </w:rPr>
        <w:t>成</w:t>
      </w:r>
      <w:r>
        <w:rPr>
          <w:rFonts w:hint="eastAsia" w:ascii="宋体" w:hAnsi="宋体" w:cs="宋体"/>
          <w:color w:val="auto"/>
          <w:spacing w:val="-2"/>
          <w:szCs w:val="21"/>
          <w:highlight w:val="none"/>
          <w:u w:val="single"/>
        </w:rPr>
        <w:t>电</w:t>
      </w:r>
      <w:r>
        <w:rPr>
          <w:rFonts w:hint="eastAsia" w:ascii="宋体" w:hAnsi="宋体" w:cs="宋体"/>
          <w:color w:val="auto"/>
          <w:szCs w:val="21"/>
          <w:highlight w:val="none"/>
          <w:u w:val="single"/>
        </w:rPr>
        <w:t>子投</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上</w:t>
      </w:r>
      <w:r>
        <w:rPr>
          <w:rFonts w:hint="eastAsia" w:ascii="宋体" w:hAnsi="宋体" w:cs="宋体"/>
          <w:color w:val="auto"/>
          <w:spacing w:val="-2"/>
          <w:szCs w:val="21"/>
          <w:highlight w:val="none"/>
          <w:u w:val="single"/>
        </w:rPr>
        <w:t>传</w:t>
      </w:r>
      <w:r>
        <w:rPr>
          <w:rFonts w:hint="eastAsia" w:ascii="宋体" w:hAnsi="宋体" w:cs="宋体"/>
          <w:color w:val="auto"/>
          <w:szCs w:val="21"/>
          <w:highlight w:val="none"/>
          <w:u w:val="single"/>
        </w:rPr>
        <w:t>后</w:t>
      </w:r>
      <w:r>
        <w:rPr>
          <w:rFonts w:hint="eastAsia" w:ascii="宋体" w:hAnsi="宋体" w:cs="宋体"/>
          <w:color w:val="auto"/>
          <w:spacing w:val="-5"/>
          <w:szCs w:val="21"/>
          <w:highlight w:val="none"/>
          <w:u w:val="single"/>
        </w:rPr>
        <w:t>，</w:t>
      </w:r>
      <w:r>
        <w:rPr>
          <w:rFonts w:hint="eastAsia" w:ascii="宋体" w:hAnsi="宋体" w:cs="宋体"/>
          <w:color w:val="auto"/>
          <w:szCs w:val="21"/>
          <w:highlight w:val="none"/>
          <w:u w:val="single"/>
        </w:rPr>
        <w:t>电</w:t>
      </w:r>
      <w:r>
        <w:rPr>
          <w:rFonts w:hint="eastAsia" w:ascii="宋体" w:hAnsi="宋体" w:cs="宋体"/>
          <w:color w:val="auto"/>
          <w:spacing w:val="-2"/>
          <w:szCs w:val="21"/>
          <w:highlight w:val="none"/>
          <w:u w:val="single"/>
        </w:rPr>
        <w:t>子</w:t>
      </w:r>
      <w:r>
        <w:rPr>
          <w:rFonts w:hint="eastAsia" w:ascii="宋体" w:hAnsi="宋体" w:cs="宋体"/>
          <w:color w:val="auto"/>
          <w:szCs w:val="21"/>
          <w:highlight w:val="none"/>
          <w:u w:val="single"/>
        </w:rPr>
        <w:t>招标</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w:t>
      </w:r>
      <w:r>
        <w:rPr>
          <w:rFonts w:hint="eastAsia" w:ascii="宋体" w:hAnsi="宋体" w:cs="宋体"/>
          <w:color w:val="auto"/>
          <w:spacing w:val="-2"/>
          <w:szCs w:val="21"/>
          <w:highlight w:val="none"/>
          <w:u w:val="single"/>
        </w:rPr>
        <w:t>交</w:t>
      </w:r>
      <w:r>
        <w:rPr>
          <w:rFonts w:hint="eastAsia" w:ascii="宋体" w:hAnsi="宋体" w:cs="宋体"/>
          <w:color w:val="auto"/>
          <w:szCs w:val="21"/>
          <w:highlight w:val="none"/>
          <w:u w:val="single"/>
        </w:rPr>
        <w:t>易</w:t>
      </w:r>
      <w:r>
        <w:rPr>
          <w:rFonts w:hint="eastAsia" w:ascii="宋体" w:hAnsi="宋体" w:cs="宋体"/>
          <w:color w:val="auto"/>
          <w:spacing w:val="-2"/>
          <w:szCs w:val="21"/>
          <w:highlight w:val="none"/>
          <w:u w:val="single"/>
        </w:rPr>
        <w:t>平</w:t>
      </w:r>
      <w:r>
        <w:rPr>
          <w:rFonts w:hint="eastAsia" w:ascii="宋体" w:hAnsi="宋体" w:cs="宋体"/>
          <w:color w:val="auto"/>
          <w:szCs w:val="21"/>
          <w:highlight w:val="none"/>
          <w:u w:val="single"/>
        </w:rPr>
        <w:t>台</w:t>
      </w:r>
      <w:r>
        <w:rPr>
          <w:rFonts w:hint="eastAsia" w:ascii="宋体" w:hAnsi="宋体" w:cs="宋体"/>
          <w:color w:val="auto"/>
          <w:spacing w:val="-2"/>
          <w:szCs w:val="21"/>
          <w:highlight w:val="none"/>
          <w:u w:val="single"/>
        </w:rPr>
        <w:t>即</w:t>
      </w:r>
      <w:r>
        <w:rPr>
          <w:rFonts w:hint="eastAsia" w:ascii="宋体" w:hAnsi="宋体" w:cs="宋体"/>
          <w:color w:val="auto"/>
          <w:szCs w:val="21"/>
          <w:highlight w:val="none"/>
          <w:u w:val="single"/>
        </w:rPr>
        <w:t>时</w:t>
      </w:r>
      <w:r>
        <w:rPr>
          <w:rFonts w:hint="eastAsia" w:ascii="宋体" w:hAnsi="宋体" w:cs="宋体"/>
          <w:color w:val="auto"/>
          <w:spacing w:val="-2"/>
          <w:szCs w:val="21"/>
          <w:highlight w:val="none"/>
          <w:u w:val="single"/>
        </w:rPr>
        <w:t>向</w:t>
      </w:r>
      <w:r>
        <w:rPr>
          <w:rFonts w:hint="eastAsia" w:ascii="宋体" w:hAnsi="宋体" w:cs="宋体"/>
          <w:color w:val="auto"/>
          <w:szCs w:val="21"/>
          <w:highlight w:val="none"/>
          <w:u w:val="single"/>
        </w:rPr>
        <w:t>投标</w:t>
      </w:r>
      <w:r>
        <w:rPr>
          <w:rFonts w:hint="eastAsia" w:ascii="宋体" w:hAnsi="宋体" w:cs="宋体"/>
          <w:color w:val="auto"/>
          <w:spacing w:val="-2"/>
          <w:szCs w:val="21"/>
          <w:highlight w:val="none"/>
          <w:u w:val="single"/>
        </w:rPr>
        <w:t>人</w:t>
      </w:r>
      <w:r>
        <w:rPr>
          <w:rFonts w:hint="eastAsia" w:ascii="宋体" w:hAnsi="宋体" w:cs="宋体"/>
          <w:color w:val="auto"/>
          <w:szCs w:val="21"/>
          <w:highlight w:val="none"/>
          <w:u w:val="single"/>
        </w:rPr>
        <w:t>发</w:t>
      </w:r>
      <w:r>
        <w:rPr>
          <w:rFonts w:hint="eastAsia" w:ascii="宋体" w:hAnsi="宋体" w:cs="宋体"/>
          <w:color w:val="auto"/>
          <w:spacing w:val="-2"/>
          <w:szCs w:val="21"/>
          <w:highlight w:val="none"/>
          <w:u w:val="single"/>
        </w:rPr>
        <w:t>出</w:t>
      </w:r>
      <w:r>
        <w:rPr>
          <w:rFonts w:hint="eastAsia" w:ascii="宋体" w:hAnsi="宋体" w:cs="宋体"/>
          <w:color w:val="auto"/>
          <w:szCs w:val="21"/>
          <w:highlight w:val="none"/>
          <w:u w:val="single"/>
        </w:rPr>
        <w:t>递交回</w:t>
      </w:r>
      <w:r>
        <w:rPr>
          <w:rFonts w:hint="eastAsia" w:ascii="宋体" w:hAnsi="宋体" w:cs="宋体"/>
          <w:color w:val="auto"/>
          <w:spacing w:val="-2"/>
          <w:szCs w:val="21"/>
          <w:highlight w:val="none"/>
          <w:u w:val="single"/>
        </w:rPr>
        <w:t>执</w:t>
      </w:r>
      <w:r>
        <w:rPr>
          <w:rFonts w:hint="eastAsia" w:ascii="宋体" w:hAnsi="宋体" w:cs="宋体"/>
          <w:color w:val="auto"/>
          <w:szCs w:val="21"/>
          <w:highlight w:val="none"/>
          <w:u w:val="single"/>
        </w:rPr>
        <w:t>通</w:t>
      </w:r>
      <w:r>
        <w:rPr>
          <w:rFonts w:hint="eastAsia" w:ascii="宋体" w:hAnsi="宋体" w:cs="宋体"/>
          <w:color w:val="auto"/>
          <w:spacing w:val="-3"/>
          <w:szCs w:val="21"/>
          <w:highlight w:val="none"/>
          <w:u w:val="single"/>
        </w:rPr>
        <w:t>知</w:t>
      </w:r>
      <w:r>
        <w:rPr>
          <w:rFonts w:hint="eastAsia" w:ascii="宋体" w:hAnsi="宋体" w:cs="宋体"/>
          <w:color w:val="auto"/>
          <w:szCs w:val="21"/>
          <w:highlight w:val="none"/>
          <w:u w:val="single"/>
        </w:rPr>
        <w:t>。</w:t>
      </w:r>
      <w:r>
        <w:rPr>
          <w:rFonts w:hint="eastAsia" w:ascii="宋体" w:hAnsi="宋体" w:cs="宋体"/>
          <w:color w:val="auto"/>
          <w:spacing w:val="-2"/>
          <w:szCs w:val="21"/>
          <w:highlight w:val="none"/>
          <w:u w:val="single"/>
        </w:rPr>
        <w:t>递</w:t>
      </w:r>
      <w:r>
        <w:rPr>
          <w:rFonts w:hint="eastAsia" w:ascii="宋体" w:hAnsi="宋体" w:cs="宋体"/>
          <w:color w:val="auto"/>
          <w:szCs w:val="21"/>
          <w:highlight w:val="none"/>
          <w:u w:val="single"/>
        </w:rPr>
        <w:t>交</w:t>
      </w:r>
      <w:r>
        <w:rPr>
          <w:rFonts w:hint="eastAsia" w:ascii="宋体" w:hAnsi="宋体" w:cs="宋体"/>
          <w:color w:val="auto"/>
          <w:spacing w:val="-2"/>
          <w:szCs w:val="21"/>
          <w:highlight w:val="none"/>
          <w:u w:val="single"/>
        </w:rPr>
        <w:t>时</w:t>
      </w:r>
      <w:r>
        <w:rPr>
          <w:rFonts w:hint="eastAsia" w:ascii="宋体" w:hAnsi="宋体" w:cs="宋体"/>
          <w:color w:val="auto"/>
          <w:szCs w:val="21"/>
          <w:highlight w:val="none"/>
          <w:u w:val="single"/>
        </w:rPr>
        <w:t>间</w:t>
      </w:r>
      <w:r>
        <w:rPr>
          <w:rFonts w:hint="eastAsia" w:ascii="宋体" w:hAnsi="宋体" w:cs="宋体"/>
          <w:color w:val="auto"/>
          <w:spacing w:val="-2"/>
          <w:szCs w:val="21"/>
          <w:highlight w:val="none"/>
          <w:u w:val="single"/>
        </w:rPr>
        <w:t>以</w:t>
      </w:r>
      <w:r>
        <w:rPr>
          <w:rFonts w:hint="eastAsia" w:ascii="宋体" w:hAnsi="宋体" w:cs="宋体"/>
          <w:color w:val="auto"/>
          <w:szCs w:val="21"/>
          <w:highlight w:val="none"/>
          <w:u w:val="single"/>
        </w:rPr>
        <w:t>递交</w:t>
      </w:r>
      <w:r>
        <w:rPr>
          <w:rFonts w:hint="eastAsia" w:ascii="宋体" w:hAnsi="宋体" w:cs="宋体"/>
          <w:color w:val="auto"/>
          <w:spacing w:val="-2"/>
          <w:szCs w:val="21"/>
          <w:highlight w:val="none"/>
          <w:u w:val="single"/>
        </w:rPr>
        <w:t>回</w:t>
      </w:r>
      <w:r>
        <w:rPr>
          <w:rFonts w:hint="eastAsia" w:ascii="宋体" w:hAnsi="宋体" w:cs="宋体"/>
          <w:color w:val="auto"/>
          <w:szCs w:val="21"/>
          <w:highlight w:val="none"/>
          <w:u w:val="single"/>
        </w:rPr>
        <w:t>执</w:t>
      </w:r>
      <w:r>
        <w:rPr>
          <w:rFonts w:hint="eastAsia" w:ascii="宋体" w:hAnsi="宋体" w:cs="宋体"/>
          <w:color w:val="auto"/>
          <w:spacing w:val="-2"/>
          <w:szCs w:val="21"/>
          <w:highlight w:val="none"/>
          <w:u w:val="single"/>
        </w:rPr>
        <w:t>通</w:t>
      </w:r>
      <w:r>
        <w:rPr>
          <w:rFonts w:hint="eastAsia" w:ascii="宋体" w:hAnsi="宋体" w:cs="宋体"/>
          <w:color w:val="auto"/>
          <w:szCs w:val="21"/>
          <w:highlight w:val="none"/>
          <w:u w:val="single"/>
        </w:rPr>
        <w:t>知</w:t>
      </w:r>
      <w:r>
        <w:rPr>
          <w:rFonts w:hint="eastAsia" w:ascii="宋体" w:hAnsi="宋体" w:cs="宋体"/>
          <w:color w:val="auto"/>
          <w:spacing w:val="-2"/>
          <w:szCs w:val="21"/>
          <w:highlight w:val="none"/>
          <w:u w:val="single"/>
        </w:rPr>
        <w:t>载</w:t>
      </w:r>
      <w:r>
        <w:rPr>
          <w:rFonts w:hint="eastAsia" w:ascii="宋体" w:hAnsi="宋体" w:cs="宋体"/>
          <w:color w:val="auto"/>
          <w:szCs w:val="21"/>
          <w:highlight w:val="none"/>
          <w:u w:val="single"/>
        </w:rPr>
        <w:t>明</w:t>
      </w:r>
      <w:r>
        <w:rPr>
          <w:rFonts w:hint="eastAsia" w:ascii="宋体" w:hAnsi="宋体" w:cs="宋体"/>
          <w:color w:val="auto"/>
          <w:spacing w:val="-2"/>
          <w:szCs w:val="21"/>
          <w:highlight w:val="none"/>
          <w:u w:val="single"/>
        </w:rPr>
        <w:t>的</w:t>
      </w:r>
      <w:r>
        <w:rPr>
          <w:rFonts w:hint="eastAsia" w:ascii="宋体" w:hAnsi="宋体" w:cs="宋体"/>
          <w:color w:val="auto"/>
          <w:szCs w:val="21"/>
          <w:highlight w:val="none"/>
          <w:u w:val="single"/>
        </w:rPr>
        <w:t>传</w:t>
      </w:r>
      <w:r>
        <w:rPr>
          <w:rFonts w:hint="eastAsia" w:ascii="宋体" w:hAnsi="宋体" w:cs="宋体"/>
          <w:color w:val="auto"/>
          <w:spacing w:val="-2"/>
          <w:szCs w:val="21"/>
          <w:highlight w:val="none"/>
          <w:u w:val="single"/>
        </w:rPr>
        <w:t>输</w:t>
      </w:r>
      <w:r>
        <w:rPr>
          <w:rFonts w:hint="eastAsia" w:ascii="宋体" w:hAnsi="宋体" w:cs="宋体"/>
          <w:color w:val="auto"/>
          <w:szCs w:val="21"/>
          <w:highlight w:val="none"/>
          <w:u w:val="single"/>
        </w:rPr>
        <w:t>完成</w:t>
      </w:r>
      <w:r>
        <w:rPr>
          <w:rFonts w:hint="eastAsia" w:ascii="宋体" w:hAnsi="宋体" w:cs="宋体"/>
          <w:color w:val="auto"/>
          <w:spacing w:val="-2"/>
          <w:szCs w:val="21"/>
          <w:highlight w:val="none"/>
          <w:u w:val="single"/>
        </w:rPr>
        <w:t>时</w:t>
      </w:r>
      <w:r>
        <w:rPr>
          <w:rFonts w:hint="eastAsia" w:ascii="宋体" w:hAnsi="宋体" w:cs="宋体"/>
          <w:color w:val="auto"/>
          <w:szCs w:val="21"/>
          <w:highlight w:val="none"/>
          <w:u w:val="single"/>
        </w:rPr>
        <w:t>间</w:t>
      </w:r>
      <w:r>
        <w:rPr>
          <w:rFonts w:hint="eastAsia" w:ascii="宋体" w:hAnsi="宋体" w:cs="宋体"/>
          <w:color w:val="auto"/>
          <w:spacing w:val="-2"/>
          <w:szCs w:val="21"/>
          <w:highlight w:val="none"/>
          <w:u w:val="single"/>
        </w:rPr>
        <w:t>为</w:t>
      </w:r>
      <w:r>
        <w:rPr>
          <w:rFonts w:hint="eastAsia" w:ascii="宋体" w:hAnsi="宋体" w:cs="宋体"/>
          <w:color w:val="auto"/>
          <w:szCs w:val="21"/>
          <w:highlight w:val="none"/>
          <w:u w:val="single"/>
        </w:rPr>
        <w:t>准</w:t>
      </w:r>
      <w:r>
        <w:rPr>
          <w:rFonts w:hint="eastAsia" w:ascii="宋体" w:hAnsi="宋体" w:cs="宋体"/>
          <w:color w:val="auto"/>
          <w:highlight w:val="none"/>
        </w:rPr>
        <w:t>。</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4.2.5 </w:t>
      </w:r>
      <w:r>
        <w:rPr>
          <w:rFonts w:hint="eastAsia" w:ascii="宋体" w:hAnsi="宋体" w:cs="宋体"/>
          <w:color w:val="auto"/>
          <w:spacing w:val="-2"/>
          <w:szCs w:val="21"/>
          <w:highlight w:val="none"/>
          <w:u w:val="single"/>
        </w:rPr>
        <w:t>逾</w:t>
      </w:r>
      <w:r>
        <w:rPr>
          <w:rFonts w:hint="eastAsia" w:ascii="宋体" w:hAnsi="宋体" w:cs="宋体"/>
          <w:color w:val="auto"/>
          <w:szCs w:val="21"/>
          <w:highlight w:val="none"/>
          <w:u w:val="single"/>
        </w:rPr>
        <w:t>期</w:t>
      </w:r>
      <w:r>
        <w:rPr>
          <w:rFonts w:hint="eastAsia" w:ascii="宋体" w:hAnsi="宋体" w:cs="宋体"/>
          <w:color w:val="auto"/>
          <w:spacing w:val="-2"/>
          <w:szCs w:val="21"/>
          <w:highlight w:val="none"/>
          <w:u w:val="single"/>
        </w:rPr>
        <w:t>送</w:t>
      </w:r>
      <w:r>
        <w:rPr>
          <w:rFonts w:hint="eastAsia" w:ascii="宋体" w:hAnsi="宋体" w:cs="宋体"/>
          <w:color w:val="auto"/>
          <w:szCs w:val="21"/>
          <w:highlight w:val="none"/>
          <w:u w:val="single"/>
        </w:rPr>
        <w:t>达</w:t>
      </w:r>
      <w:r>
        <w:rPr>
          <w:rFonts w:hint="eastAsia" w:ascii="宋体" w:hAnsi="宋体" w:cs="宋体"/>
          <w:color w:val="auto"/>
          <w:spacing w:val="-2"/>
          <w:szCs w:val="21"/>
          <w:highlight w:val="none"/>
          <w:u w:val="single"/>
        </w:rPr>
        <w:t>的投</w:t>
      </w:r>
      <w:r>
        <w:rPr>
          <w:rFonts w:hint="eastAsia" w:ascii="宋体" w:hAnsi="宋体" w:cs="宋体"/>
          <w:color w:val="auto"/>
          <w:szCs w:val="21"/>
          <w:highlight w:val="none"/>
          <w:u w:val="single"/>
        </w:rPr>
        <w:t>标文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w:t>
      </w:r>
      <w:r>
        <w:rPr>
          <w:rFonts w:hint="eastAsia" w:ascii="宋体" w:hAnsi="宋体" w:cs="宋体"/>
          <w:color w:val="auto"/>
          <w:spacing w:val="-2"/>
          <w:szCs w:val="21"/>
          <w:highlight w:val="none"/>
          <w:u w:val="single"/>
        </w:rPr>
        <w:t>电</w:t>
      </w:r>
      <w:r>
        <w:rPr>
          <w:rFonts w:hint="eastAsia" w:ascii="宋体" w:hAnsi="宋体" w:cs="宋体"/>
          <w:color w:val="auto"/>
          <w:szCs w:val="21"/>
          <w:highlight w:val="none"/>
          <w:u w:val="single"/>
        </w:rPr>
        <w:t>子</w:t>
      </w:r>
      <w:r>
        <w:rPr>
          <w:rFonts w:hint="eastAsia" w:ascii="宋体" w:hAnsi="宋体" w:cs="宋体"/>
          <w:color w:val="auto"/>
          <w:spacing w:val="-2"/>
          <w:szCs w:val="21"/>
          <w:highlight w:val="none"/>
          <w:u w:val="single"/>
        </w:rPr>
        <w:t>招</w:t>
      </w:r>
      <w:r>
        <w:rPr>
          <w:rFonts w:hint="eastAsia" w:ascii="宋体" w:hAnsi="宋体" w:cs="宋体"/>
          <w:color w:val="auto"/>
          <w:szCs w:val="21"/>
          <w:highlight w:val="none"/>
          <w:u w:val="single"/>
        </w:rPr>
        <w:t>标</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w:t>
      </w:r>
      <w:r>
        <w:rPr>
          <w:rFonts w:hint="eastAsia" w:ascii="宋体" w:hAnsi="宋体" w:cs="宋体"/>
          <w:color w:val="auto"/>
          <w:spacing w:val="-2"/>
          <w:szCs w:val="21"/>
          <w:highlight w:val="none"/>
          <w:u w:val="single"/>
        </w:rPr>
        <w:t>交</w:t>
      </w:r>
      <w:r>
        <w:rPr>
          <w:rFonts w:hint="eastAsia" w:ascii="宋体" w:hAnsi="宋体" w:cs="宋体"/>
          <w:color w:val="auto"/>
          <w:szCs w:val="21"/>
          <w:highlight w:val="none"/>
          <w:u w:val="single"/>
        </w:rPr>
        <w:t>易平</w:t>
      </w:r>
      <w:r>
        <w:rPr>
          <w:rFonts w:hint="eastAsia" w:ascii="宋体" w:hAnsi="宋体" w:cs="宋体"/>
          <w:color w:val="auto"/>
          <w:spacing w:val="-2"/>
          <w:szCs w:val="21"/>
          <w:highlight w:val="none"/>
          <w:u w:val="single"/>
        </w:rPr>
        <w:t>台</w:t>
      </w:r>
      <w:r>
        <w:rPr>
          <w:rFonts w:hint="eastAsia" w:ascii="宋体" w:hAnsi="宋体" w:cs="宋体"/>
          <w:color w:val="auto"/>
          <w:szCs w:val="21"/>
          <w:highlight w:val="none"/>
          <w:u w:val="single"/>
        </w:rPr>
        <w:t>将</w:t>
      </w:r>
      <w:r>
        <w:rPr>
          <w:rFonts w:hint="eastAsia" w:ascii="宋体" w:hAnsi="宋体" w:cs="宋体"/>
          <w:color w:val="auto"/>
          <w:spacing w:val="-2"/>
          <w:szCs w:val="21"/>
          <w:highlight w:val="none"/>
          <w:u w:val="single"/>
        </w:rPr>
        <w:t>予</w:t>
      </w:r>
      <w:r>
        <w:rPr>
          <w:rFonts w:hint="eastAsia" w:ascii="宋体" w:hAnsi="宋体" w:cs="宋体"/>
          <w:color w:val="auto"/>
          <w:szCs w:val="21"/>
          <w:highlight w:val="none"/>
          <w:u w:val="single"/>
        </w:rPr>
        <w:t>以</w:t>
      </w:r>
      <w:r>
        <w:rPr>
          <w:rFonts w:hint="eastAsia" w:ascii="宋体" w:hAnsi="宋体" w:cs="宋体"/>
          <w:color w:val="auto"/>
          <w:spacing w:val="-2"/>
          <w:szCs w:val="21"/>
          <w:highlight w:val="none"/>
          <w:u w:val="single"/>
        </w:rPr>
        <w:t>拒</w:t>
      </w:r>
      <w:r>
        <w:rPr>
          <w:rFonts w:hint="eastAsia" w:ascii="宋体" w:hAnsi="宋体" w:cs="宋体"/>
          <w:color w:val="auto"/>
          <w:szCs w:val="21"/>
          <w:highlight w:val="none"/>
          <w:u w:val="single"/>
        </w:rPr>
        <w:t>收</w:t>
      </w:r>
      <w:r>
        <w:rPr>
          <w:rFonts w:hint="eastAsia" w:ascii="宋体" w:hAnsi="宋体" w:cs="宋体"/>
          <w:color w:val="auto"/>
          <w:highlight w:val="none"/>
        </w:rPr>
        <w:t>。</w:t>
      </w:r>
    </w:p>
    <w:p>
      <w:pPr>
        <w:pStyle w:val="4"/>
        <w:spacing w:before="0" w:after="0" w:line="276" w:lineRule="auto"/>
        <w:ind w:firstLine="103"/>
        <w:rPr>
          <w:rFonts w:hAnsi="宋体" w:cs="宋体"/>
          <w:color w:val="auto"/>
          <w:sz w:val="21"/>
          <w:szCs w:val="21"/>
          <w:highlight w:val="none"/>
        </w:rPr>
      </w:pPr>
      <w:bookmarkStart w:id="251" w:name="_Toc362816508"/>
      <w:bookmarkStart w:id="252" w:name="_Toc29005"/>
      <w:bookmarkStart w:id="253" w:name="_Toc357089539"/>
      <w:r>
        <w:rPr>
          <w:rFonts w:hint="eastAsia" w:hAnsi="宋体" w:cs="宋体"/>
          <w:color w:val="auto"/>
          <w:sz w:val="21"/>
          <w:szCs w:val="21"/>
          <w:highlight w:val="none"/>
        </w:rPr>
        <w:t>4.3 投标文件的修改与撤回</w:t>
      </w:r>
      <w:bookmarkEnd w:id="251"/>
      <w:bookmarkEnd w:id="252"/>
      <w:bookmarkEnd w:id="253"/>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4.3.1 在投标人须知前附表第4.2.1项规定的投标截止时间前，投标人可以修改或撤回已递交的投标文件，但应以书面形式通知招标人。</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4.3.2</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w:t>
      </w:r>
      <w:r>
        <w:rPr>
          <w:rFonts w:hint="eastAsia" w:ascii="宋体" w:hAnsi="宋体" w:cs="宋体"/>
          <w:color w:val="auto"/>
          <w:spacing w:val="-2"/>
          <w:szCs w:val="21"/>
          <w:highlight w:val="none"/>
          <w:u w:val="single"/>
        </w:rPr>
        <w:t>人</w:t>
      </w:r>
      <w:r>
        <w:rPr>
          <w:rFonts w:hint="eastAsia" w:ascii="宋体" w:hAnsi="宋体" w:cs="宋体"/>
          <w:color w:val="auto"/>
          <w:szCs w:val="21"/>
          <w:highlight w:val="none"/>
          <w:u w:val="single"/>
        </w:rPr>
        <w:t>修</w:t>
      </w:r>
      <w:r>
        <w:rPr>
          <w:rFonts w:hint="eastAsia" w:ascii="宋体" w:hAnsi="宋体" w:cs="宋体"/>
          <w:color w:val="auto"/>
          <w:spacing w:val="-2"/>
          <w:szCs w:val="21"/>
          <w:highlight w:val="none"/>
          <w:u w:val="single"/>
        </w:rPr>
        <w:t>改或</w:t>
      </w:r>
      <w:r>
        <w:rPr>
          <w:rFonts w:hint="eastAsia" w:ascii="宋体" w:hAnsi="宋体" w:cs="宋体"/>
          <w:color w:val="auto"/>
          <w:szCs w:val="21"/>
          <w:highlight w:val="none"/>
          <w:u w:val="single"/>
        </w:rPr>
        <w:t>撤回</w:t>
      </w:r>
      <w:r>
        <w:rPr>
          <w:rFonts w:hint="eastAsia" w:ascii="宋体" w:hAnsi="宋体" w:cs="宋体"/>
          <w:color w:val="auto"/>
          <w:spacing w:val="-2"/>
          <w:szCs w:val="21"/>
          <w:highlight w:val="none"/>
          <w:u w:val="single"/>
        </w:rPr>
        <w:t>已</w:t>
      </w:r>
      <w:r>
        <w:rPr>
          <w:rFonts w:hint="eastAsia" w:ascii="宋体" w:hAnsi="宋体" w:cs="宋体"/>
          <w:color w:val="auto"/>
          <w:szCs w:val="21"/>
          <w:highlight w:val="none"/>
          <w:u w:val="single"/>
        </w:rPr>
        <w:t>递</w:t>
      </w:r>
      <w:r>
        <w:rPr>
          <w:rFonts w:hint="eastAsia" w:ascii="宋体" w:hAnsi="宋体" w:cs="宋体"/>
          <w:color w:val="auto"/>
          <w:spacing w:val="-2"/>
          <w:szCs w:val="21"/>
          <w:highlight w:val="none"/>
          <w:u w:val="single"/>
        </w:rPr>
        <w:t>交</w:t>
      </w:r>
      <w:r>
        <w:rPr>
          <w:rFonts w:hint="eastAsia" w:ascii="宋体" w:hAnsi="宋体" w:cs="宋体"/>
          <w:color w:val="auto"/>
          <w:szCs w:val="21"/>
          <w:highlight w:val="none"/>
          <w:u w:val="single"/>
        </w:rPr>
        <w:t>投</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文</w:t>
      </w:r>
      <w:r>
        <w:rPr>
          <w:rFonts w:hint="eastAsia" w:ascii="宋体" w:hAnsi="宋体" w:cs="宋体"/>
          <w:color w:val="auto"/>
          <w:spacing w:val="-2"/>
          <w:szCs w:val="21"/>
          <w:highlight w:val="none"/>
          <w:u w:val="single"/>
        </w:rPr>
        <w:t>件</w:t>
      </w:r>
      <w:r>
        <w:rPr>
          <w:rFonts w:hint="eastAsia" w:ascii="宋体" w:hAnsi="宋体" w:cs="宋体"/>
          <w:color w:val="auto"/>
          <w:szCs w:val="21"/>
          <w:highlight w:val="none"/>
          <w:u w:val="single"/>
        </w:rPr>
        <w:t>的</w:t>
      </w:r>
      <w:r>
        <w:rPr>
          <w:rFonts w:hint="eastAsia" w:ascii="宋体" w:hAnsi="宋体" w:cs="宋体"/>
          <w:color w:val="auto"/>
          <w:spacing w:val="-2"/>
          <w:szCs w:val="21"/>
          <w:highlight w:val="none"/>
          <w:u w:val="single"/>
        </w:rPr>
        <w:t>通</w:t>
      </w:r>
      <w:r>
        <w:rPr>
          <w:rFonts w:hint="eastAsia" w:ascii="宋体" w:hAnsi="宋体" w:cs="宋体"/>
          <w:color w:val="auto"/>
          <w:szCs w:val="21"/>
          <w:highlight w:val="none"/>
          <w:u w:val="single"/>
        </w:rPr>
        <w:t>知，</w:t>
      </w:r>
      <w:r>
        <w:rPr>
          <w:rFonts w:hint="eastAsia" w:ascii="宋体" w:hAnsi="宋体" w:cs="宋体"/>
          <w:color w:val="auto"/>
          <w:spacing w:val="-2"/>
          <w:szCs w:val="21"/>
          <w:highlight w:val="none"/>
          <w:u w:val="single"/>
        </w:rPr>
        <w:t>应</w:t>
      </w:r>
      <w:r>
        <w:rPr>
          <w:rFonts w:hint="eastAsia" w:ascii="宋体" w:hAnsi="宋体" w:cs="宋体"/>
          <w:color w:val="auto"/>
          <w:szCs w:val="21"/>
          <w:highlight w:val="none"/>
          <w:u w:val="single"/>
        </w:rPr>
        <w:t>按</w:t>
      </w:r>
      <w:r>
        <w:rPr>
          <w:rFonts w:hint="eastAsia" w:ascii="宋体" w:hAnsi="宋体" w:cs="宋体"/>
          <w:color w:val="auto"/>
          <w:spacing w:val="-2"/>
          <w:szCs w:val="21"/>
          <w:highlight w:val="none"/>
          <w:u w:val="single"/>
        </w:rPr>
        <w:t>照</w:t>
      </w:r>
      <w:r>
        <w:rPr>
          <w:rFonts w:hint="eastAsia" w:ascii="宋体" w:hAnsi="宋体" w:cs="宋体"/>
          <w:color w:val="auto"/>
          <w:szCs w:val="21"/>
          <w:highlight w:val="none"/>
          <w:u w:val="single"/>
        </w:rPr>
        <w:t>本</w:t>
      </w:r>
      <w:r>
        <w:rPr>
          <w:rFonts w:hint="eastAsia" w:ascii="宋体" w:hAnsi="宋体" w:cs="宋体"/>
          <w:color w:val="auto"/>
          <w:spacing w:val="-2"/>
          <w:szCs w:val="21"/>
          <w:highlight w:val="none"/>
          <w:u w:val="single"/>
        </w:rPr>
        <w:t>章</w:t>
      </w:r>
      <w:r>
        <w:rPr>
          <w:rFonts w:hint="eastAsia" w:ascii="宋体" w:hAnsi="宋体" w:cs="宋体"/>
          <w:color w:val="auto"/>
          <w:szCs w:val="21"/>
          <w:highlight w:val="none"/>
          <w:u w:val="single"/>
        </w:rPr>
        <w:t>第</w:t>
      </w:r>
      <w:r>
        <w:rPr>
          <w:rFonts w:hint="eastAsia" w:ascii="宋体" w:hAnsi="宋体" w:cs="宋体"/>
          <w:color w:val="auto"/>
          <w:spacing w:val="12"/>
          <w:szCs w:val="21"/>
          <w:highlight w:val="none"/>
          <w:u w:val="single"/>
        </w:rPr>
        <w:t xml:space="preserve"> </w:t>
      </w:r>
      <w:r>
        <w:rPr>
          <w:rFonts w:hint="eastAsia" w:ascii="宋体" w:hAnsi="宋体" w:cs="宋体"/>
          <w:color w:val="auto"/>
          <w:szCs w:val="21"/>
          <w:highlight w:val="none"/>
          <w:u w:val="single"/>
        </w:rPr>
        <w:t>3</w:t>
      </w:r>
      <w:r>
        <w:rPr>
          <w:rFonts w:hint="eastAsia" w:ascii="宋体" w:hAnsi="宋体" w:cs="宋体"/>
          <w:color w:val="auto"/>
          <w:spacing w:val="-2"/>
          <w:szCs w:val="21"/>
          <w:highlight w:val="none"/>
          <w:u w:val="single"/>
        </w:rPr>
        <w:t>.</w:t>
      </w:r>
      <w:r>
        <w:rPr>
          <w:rFonts w:hint="eastAsia" w:ascii="宋体" w:hAnsi="宋体" w:cs="宋体"/>
          <w:color w:val="auto"/>
          <w:szCs w:val="21"/>
          <w:highlight w:val="none"/>
          <w:u w:val="single"/>
        </w:rPr>
        <w:t>7.3项</w:t>
      </w:r>
      <w:r>
        <w:rPr>
          <w:rFonts w:hint="eastAsia" w:ascii="宋体" w:hAnsi="宋体" w:cs="宋体"/>
          <w:color w:val="auto"/>
          <w:spacing w:val="-2"/>
          <w:szCs w:val="21"/>
          <w:highlight w:val="none"/>
          <w:u w:val="single"/>
        </w:rPr>
        <w:t>的</w:t>
      </w:r>
      <w:r>
        <w:rPr>
          <w:rFonts w:hint="eastAsia" w:ascii="宋体" w:hAnsi="宋体" w:cs="宋体"/>
          <w:color w:val="auto"/>
          <w:szCs w:val="21"/>
          <w:highlight w:val="none"/>
          <w:u w:val="single"/>
        </w:rPr>
        <w:t>要求加盖</w:t>
      </w:r>
      <w:r>
        <w:rPr>
          <w:rFonts w:hint="eastAsia" w:ascii="宋体" w:hAnsi="宋体" w:cs="宋体"/>
          <w:color w:val="auto"/>
          <w:spacing w:val="-2"/>
          <w:szCs w:val="21"/>
          <w:highlight w:val="none"/>
          <w:u w:val="single"/>
        </w:rPr>
        <w:t>电</w:t>
      </w:r>
      <w:r>
        <w:rPr>
          <w:rFonts w:hint="eastAsia" w:ascii="宋体" w:hAnsi="宋体" w:cs="宋体"/>
          <w:color w:val="auto"/>
          <w:szCs w:val="21"/>
          <w:highlight w:val="none"/>
          <w:u w:val="single"/>
        </w:rPr>
        <w:t>子</w:t>
      </w:r>
      <w:r>
        <w:rPr>
          <w:rFonts w:hint="eastAsia" w:ascii="宋体" w:hAnsi="宋体" w:cs="宋体"/>
          <w:color w:val="auto"/>
          <w:spacing w:val="-2"/>
          <w:szCs w:val="21"/>
          <w:highlight w:val="none"/>
          <w:u w:val="single"/>
        </w:rPr>
        <w:t>印</w:t>
      </w:r>
      <w:r>
        <w:rPr>
          <w:rFonts w:hint="eastAsia" w:ascii="宋体" w:hAnsi="宋体" w:cs="宋体"/>
          <w:color w:val="auto"/>
          <w:szCs w:val="21"/>
          <w:highlight w:val="none"/>
          <w:u w:val="single"/>
        </w:rPr>
        <w:t>章</w:t>
      </w:r>
      <w:r>
        <w:rPr>
          <w:rFonts w:hint="eastAsia" w:ascii="宋体" w:hAnsi="宋体" w:cs="宋体"/>
          <w:color w:val="auto"/>
          <w:spacing w:val="-3"/>
          <w:szCs w:val="21"/>
          <w:highlight w:val="none"/>
          <w:u w:val="single"/>
        </w:rPr>
        <w:t>。</w:t>
      </w:r>
      <w:r>
        <w:rPr>
          <w:rFonts w:hint="eastAsia" w:ascii="宋体" w:hAnsi="宋体" w:cs="宋体"/>
          <w:color w:val="auto"/>
          <w:szCs w:val="21"/>
          <w:highlight w:val="none"/>
          <w:u w:val="single"/>
        </w:rPr>
        <w:t>电</w:t>
      </w:r>
      <w:r>
        <w:rPr>
          <w:rFonts w:hint="eastAsia" w:ascii="宋体" w:hAnsi="宋体" w:cs="宋体"/>
          <w:color w:val="auto"/>
          <w:spacing w:val="-2"/>
          <w:szCs w:val="21"/>
          <w:highlight w:val="none"/>
          <w:u w:val="single"/>
        </w:rPr>
        <w:t>子</w:t>
      </w:r>
      <w:r>
        <w:rPr>
          <w:rFonts w:hint="eastAsia" w:ascii="宋体" w:hAnsi="宋体" w:cs="宋体"/>
          <w:color w:val="auto"/>
          <w:szCs w:val="21"/>
          <w:highlight w:val="none"/>
          <w:u w:val="single"/>
        </w:rPr>
        <w:t>招</w:t>
      </w:r>
      <w:r>
        <w:rPr>
          <w:rFonts w:hint="eastAsia" w:ascii="宋体" w:hAnsi="宋体" w:cs="宋体"/>
          <w:color w:val="auto"/>
          <w:spacing w:val="-2"/>
          <w:szCs w:val="21"/>
          <w:highlight w:val="none"/>
          <w:u w:val="single"/>
        </w:rPr>
        <w:t>标</w:t>
      </w:r>
      <w:r>
        <w:rPr>
          <w:rFonts w:hint="eastAsia" w:ascii="宋体" w:hAnsi="宋体" w:cs="宋体"/>
          <w:color w:val="auto"/>
          <w:szCs w:val="21"/>
          <w:highlight w:val="none"/>
          <w:u w:val="single"/>
        </w:rPr>
        <w:t>投标</w:t>
      </w:r>
      <w:r>
        <w:rPr>
          <w:rFonts w:hint="eastAsia" w:ascii="宋体" w:hAnsi="宋体" w:cs="宋体"/>
          <w:color w:val="auto"/>
          <w:spacing w:val="-2"/>
          <w:szCs w:val="21"/>
          <w:highlight w:val="none"/>
          <w:u w:val="single"/>
        </w:rPr>
        <w:t>交</w:t>
      </w:r>
      <w:r>
        <w:rPr>
          <w:rFonts w:hint="eastAsia" w:ascii="宋体" w:hAnsi="宋体" w:cs="宋体"/>
          <w:color w:val="auto"/>
          <w:szCs w:val="21"/>
          <w:highlight w:val="none"/>
          <w:u w:val="single"/>
        </w:rPr>
        <w:t>易</w:t>
      </w:r>
      <w:r>
        <w:rPr>
          <w:rFonts w:hint="eastAsia" w:ascii="宋体" w:hAnsi="宋体" w:cs="宋体"/>
          <w:color w:val="auto"/>
          <w:spacing w:val="-2"/>
          <w:szCs w:val="21"/>
          <w:highlight w:val="none"/>
          <w:u w:val="single"/>
        </w:rPr>
        <w:t>平</w:t>
      </w:r>
      <w:r>
        <w:rPr>
          <w:rFonts w:hint="eastAsia" w:ascii="宋体" w:hAnsi="宋体" w:cs="宋体"/>
          <w:color w:val="auto"/>
          <w:szCs w:val="21"/>
          <w:highlight w:val="none"/>
          <w:u w:val="single"/>
        </w:rPr>
        <w:t>台</w:t>
      </w:r>
      <w:r>
        <w:rPr>
          <w:rFonts w:hint="eastAsia" w:ascii="宋体" w:hAnsi="宋体" w:cs="宋体"/>
          <w:color w:val="auto"/>
          <w:spacing w:val="-2"/>
          <w:szCs w:val="21"/>
          <w:highlight w:val="none"/>
          <w:u w:val="single"/>
        </w:rPr>
        <w:t>收</w:t>
      </w:r>
      <w:r>
        <w:rPr>
          <w:rFonts w:hint="eastAsia" w:ascii="宋体" w:hAnsi="宋体" w:cs="宋体"/>
          <w:color w:val="auto"/>
          <w:szCs w:val="21"/>
          <w:highlight w:val="none"/>
          <w:u w:val="single"/>
        </w:rPr>
        <w:t>到</w:t>
      </w:r>
      <w:r>
        <w:rPr>
          <w:rFonts w:hint="eastAsia" w:ascii="宋体" w:hAnsi="宋体" w:cs="宋体"/>
          <w:color w:val="auto"/>
          <w:spacing w:val="-2"/>
          <w:szCs w:val="21"/>
          <w:highlight w:val="none"/>
          <w:u w:val="single"/>
        </w:rPr>
        <w:t>通</w:t>
      </w:r>
      <w:r>
        <w:rPr>
          <w:rFonts w:hint="eastAsia" w:ascii="宋体" w:hAnsi="宋体" w:cs="宋体"/>
          <w:color w:val="auto"/>
          <w:szCs w:val="21"/>
          <w:highlight w:val="none"/>
          <w:u w:val="single"/>
        </w:rPr>
        <w:t>知</w:t>
      </w:r>
      <w:r>
        <w:rPr>
          <w:rFonts w:hint="eastAsia" w:ascii="宋体" w:hAnsi="宋体" w:cs="宋体"/>
          <w:color w:val="auto"/>
          <w:spacing w:val="-2"/>
          <w:szCs w:val="21"/>
          <w:highlight w:val="none"/>
          <w:u w:val="single"/>
        </w:rPr>
        <w:t>后</w:t>
      </w:r>
      <w:r>
        <w:rPr>
          <w:rFonts w:hint="eastAsia" w:ascii="宋体" w:hAnsi="宋体" w:cs="宋体"/>
          <w:color w:val="auto"/>
          <w:szCs w:val="21"/>
          <w:highlight w:val="none"/>
          <w:u w:val="single"/>
        </w:rPr>
        <w:t>，即</w:t>
      </w:r>
      <w:r>
        <w:rPr>
          <w:rFonts w:hint="eastAsia" w:ascii="宋体" w:hAnsi="宋体" w:cs="宋体"/>
          <w:color w:val="auto"/>
          <w:spacing w:val="-2"/>
          <w:szCs w:val="21"/>
          <w:highlight w:val="none"/>
          <w:u w:val="single"/>
        </w:rPr>
        <w:t>时</w:t>
      </w:r>
      <w:r>
        <w:rPr>
          <w:rFonts w:hint="eastAsia" w:ascii="宋体" w:hAnsi="宋体" w:cs="宋体"/>
          <w:color w:val="auto"/>
          <w:szCs w:val="21"/>
          <w:highlight w:val="none"/>
          <w:u w:val="single"/>
        </w:rPr>
        <w:t>向</w:t>
      </w:r>
      <w:r>
        <w:rPr>
          <w:rFonts w:hint="eastAsia" w:ascii="宋体" w:hAnsi="宋体" w:cs="宋体"/>
          <w:color w:val="auto"/>
          <w:spacing w:val="-2"/>
          <w:szCs w:val="21"/>
          <w:highlight w:val="none"/>
          <w:u w:val="single"/>
        </w:rPr>
        <w:t>投</w:t>
      </w:r>
      <w:r>
        <w:rPr>
          <w:rFonts w:hint="eastAsia" w:ascii="宋体" w:hAnsi="宋体" w:cs="宋体"/>
          <w:color w:val="auto"/>
          <w:szCs w:val="21"/>
          <w:highlight w:val="none"/>
          <w:u w:val="single"/>
        </w:rPr>
        <w:t>标</w:t>
      </w:r>
      <w:r>
        <w:rPr>
          <w:rFonts w:hint="eastAsia" w:ascii="宋体" w:hAnsi="宋体" w:cs="宋体"/>
          <w:color w:val="auto"/>
          <w:spacing w:val="-2"/>
          <w:szCs w:val="21"/>
          <w:highlight w:val="none"/>
          <w:u w:val="single"/>
        </w:rPr>
        <w:t>人</w:t>
      </w:r>
      <w:r>
        <w:rPr>
          <w:rFonts w:hint="eastAsia" w:ascii="宋体" w:hAnsi="宋体" w:cs="宋体"/>
          <w:color w:val="auto"/>
          <w:szCs w:val="21"/>
          <w:highlight w:val="none"/>
          <w:u w:val="single"/>
        </w:rPr>
        <w:t>发</w:t>
      </w:r>
      <w:r>
        <w:rPr>
          <w:rFonts w:hint="eastAsia" w:ascii="宋体" w:hAnsi="宋体" w:cs="宋体"/>
          <w:color w:val="auto"/>
          <w:spacing w:val="-2"/>
          <w:szCs w:val="21"/>
          <w:highlight w:val="none"/>
          <w:u w:val="single"/>
        </w:rPr>
        <w:t>出</w:t>
      </w:r>
      <w:r>
        <w:rPr>
          <w:rFonts w:hint="eastAsia" w:ascii="宋体" w:hAnsi="宋体" w:cs="宋体"/>
          <w:color w:val="auto"/>
          <w:szCs w:val="21"/>
          <w:highlight w:val="none"/>
          <w:u w:val="single"/>
        </w:rPr>
        <w:t>确</w:t>
      </w:r>
      <w:r>
        <w:rPr>
          <w:rFonts w:hint="eastAsia" w:ascii="宋体" w:hAnsi="宋体" w:cs="宋体"/>
          <w:color w:val="auto"/>
          <w:spacing w:val="-2"/>
          <w:szCs w:val="21"/>
          <w:highlight w:val="none"/>
          <w:u w:val="single"/>
        </w:rPr>
        <w:t>认</w:t>
      </w:r>
      <w:r>
        <w:rPr>
          <w:rFonts w:hint="eastAsia" w:ascii="宋体" w:hAnsi="宋体" w:cs="宋体"/>
          <w:color w:val="auto"/>
          <w:szCs w:val="21"/>
          <w:highlight w:val="none"/>
          <w:u w:val="single"/>
        </w:rPr>
        <w:t>回执</w:t>
      </w:r>
      <w:r>
        <w:rPr>
          <w:rFonts w:hint="eastAsia" w:ascii="宋体" w:hAnsi="宋体" w:cs="宋体"/>
          <w:color w:val="auto"/>
          <w:spacing w:val="-2"/>
          <w:szCs w:val="21"/>
          <w:highlight w:val="none"/>
          <w:u w:val="single"/>
        </w:rPr>
        <w:t>通</w:t>
      </w:r>
      <w:r>
        <w:rPr>
          <w:rFonts w:hint="eastAsia" w:ascii="宋体" w:hAnsi="宋体" w:cs="宋体"/>
          <w:color w:val="auto"/>
          <w:szCs w:val="21"/>
          <w:highlight w:val="none"/>
          <w:u w:val="single"/>
        </w:rPr>
        <w:t>知</w:t>
      </w:r>
      <w:r>
        <w:rPr>
          <w:rFonts w:hint="eastAsia" w:ascii="宋体" w:hAnsi="宋体" w:cs="宋体"/>
          <w:color w:val="auto"/>
          <w:highlight w:val="none"/>
        </w:rPr>
        <w:t>。</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4.3.</w:t>
      </w:r>
      <w:r>
        <w:rPr>
          <w:rFonts w:ascii="宋体" w:hAnsi="宋体" w:cs="宋体"/>
          <w:color w:val="auto"/>
          <w:highlight w:val="none"/>
        </w:rPr>
        <w:t>3</w:t>
      </w:r>
      <w:r>
        <w:rPr>
          <w:rFonts w:hint="eastAsia" w:ascii="宋体" w:hAnsi="宋体" w:cs="宋体"/>
          <w:color w:val="auto"/>
          <w:highlight w:val="none"/>
        </w:rPr>
        <w:t xml:space="preserve"> 修改的内容为投标文件的组成部分。修改的投标文件应按照本章第3条、第4条规定进行编制、密封、标记和递交，并标明“修改”字样。</w:t>
      </w:r>
    </w:p>
    <w:p>
      <w:pPr>
        <w:pStyle w:val="3"/>
        <w:spacing w:before="0" w:after="0" w:line="276" w:lineRule="auto"/>
        <w:rPr>
          <w:rFonts w:hint="eastAsia" w:ascii="宋体" w:hAnsi="宋体" w:eastAsia="宋体" w:cs="宋体"/>
          <w:color w:val="auto"/>
          <w:sz w:val="24"/>
          <w:szCs w:val="24"/>
          <w:highlight w:val="none"/>
        </w:rPr>
      </w:pPr>
      <w:bookmarkStart w:id="254" w:name="_Toc480225652"/>
      <w:bookmarkStart w:id="255" w:name="_Toc443505827"/>
      <w:bookmarkStart w:id="256" w:name="_Toc505152691"/>
      <w:bookmarkStart w:id="257" w:name="_Toc29380"/>
    </w:p>
    <w:p>
      <w:pPr>
        <w:pStyle w:val="3"/>
        <w:spacing w:before="0" w:after="0"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开标</w:t>
      </w:r>
      <w:bookmarkEnd w:id="254"/>
      <w:bookmarkEnd w:id="255"/>
      <w:bookmarkEnd w:id="256"/>
      <w:bookmarkEnd w:id="257"/>
    </w:p>
    <w:p>
      <w:pPr>
        <w:pStyle w:val="4"/>
        <w:spacing w:before="0" w:after="0" w:line="276" w:lineRule="auto"/>
        <w:ind w:firstLine="0" w:firstLineChars="0"/>
        <w:rPr>
          <w:rFonts w:hAnsi="宋体" w:cs="宋体"/>
          <w:color w:val="auto"/>
          <w:sz w:val="21"/>
          <w:szCs w:val="21"/>
          <w:highlight w:val="none"/>
        </w:rPr>
      </w:pPr>
      <w:bookmarkStart w:id="258" w:name="_Toc30842"/>
      <w:r>
        <w:rPr>
          <w:rFonts w:hint="eastAsia" w:hAnsi="宋体" w:cs="宋体"/>
          <w:color w:val="auto"/>
          <w:sz w:val="21"/>
          <w:szCs w:val="21"/>
          <w:highlight w:val="none"/>
        </w:rPr>
        <w:t>5.1 开标时间和地点</w:t>
      </w:r>
      <w:bookmarkEnd w:id="25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招标人在投标人须知前附表5.1规定的开标时间和地点公开开标，并邀请所有投标人的法定代表人或其委托代理人准时参加。投标人（法定代表人或其委托代理人）可自行决定是否参加开标。投标人不参加的，视为认可开标过程及结果。</w:t>
      </w:r>
    </w:p>
    <w:p>
      <w:pPr>
        <w:pStyle w:val="4"/>
        <w:spacing w:before="0" w:after="0" w:line="276" w:lineRule="auto"/>
        <w:ind w:firstLine="103"/>
        <w:rPr>
          <w:rFonts w:hAnsi="宋体" w:cs="宋体"/>
          <w:color w:val="auto"/>
          <w:sz w:val="21"/>
          <w:szCs w:val="21"/>
          <w:highlight w:val="none"/>
          <w:u w:val="single"/>
        </w:rPr>
      </w:pPr>
      <w:bookmarkStart w:id="259" w:name="_Toc7222"/>
      <w:r>
        <w:rPr>
          <w:rFonts w:hint="eastAsia" w:hAnsi="宋体" w:cs="宋体"/>
          <w:color w:val="auto"/>
          <w:sz w:val="21"/>
          <w:szCs w:val="21"/>
          <w:highlight w:val="none"/>
          <w:u w:val="single"/>
        </w:rPr>
        <w:t>5.2 开标和评标程序</w:t>
      </w:r>
      <w:bookmarkEnd w:id="259"/>
    </w:p>
    <w:p>
      <w:pPr>
        <w:spacing w:line="276" w:lineRule="auto"/>
        <w:ind w:firstLine="420" w:firstLineChars="200"/>
        <w:rPr>
          <w:rFonts w:hint="eastAsia" w:ascii="宋体" w:hAnsi="宋体" w:cs="宋体"/>
          <w:dstrike/>
          <w:color w:val="auto"/>
          <w:szCs w:val="21"/>
          <w:highlight w:val="none"/>
          <w:u w:val="single"/>
        </w:rPr>
      </w:pPr>
      <w:r>
        <w:rPr>
          <w:rFonts w:hint="eastAsia" w:ascii="宋体" w:hAnsi="宋体" w:cs="宋体"/>
          <w:color w:val="auto"/>
          <w:szCs w:val="21"/>
          <w:highlight w:val="none"/>
          <w:u w:val="single"/>
        </w:rPr>
        <w:t>见投标须知前附表。</w:t>
      </w:r>
    </w:p>
    <w:p>
      <w:pPr>
        <w:pStyle w:val="4"/>
        <w:spacing w:before="0" w:after="0" w:line="276" w:lineRule="auto"/>
        <w:ind w:firstLine="0" w:firstLineChars="0"/>
        <w:rPr>
          <w:rFonts w:hAnsi="宋体" w:cs="宋体"/>
          <w:color w:val="auto"/>
          <w:sz w:val="21"/>
          <w:szCs w:val="21"/>
          <w:highlight w:val="none"/>
        </w:rPr>
      </w:pPr>
      <w:bookmarkStart w:id="260" w:name="_Toc22744"/>
      <w:r>
        <w:rPr>
          <w:rFonts w:hint="eastAsia" w:hAnsi="宋体" w:cs="宋体"/>
          <w:color w:val="auto"/>
          <w:sz w:val="21"/>
          <w:szCs w:val="21"/>
          <w:highlight w:val="none"/>
        </w:rPr>
        <w:t>5.3 开标异议</w:t>
      </w:r>
      <w:bookmarkEnd w:id="260"/>
    </w:p>
    <w:p>
      <w:pPr>
        <w:spacing w:line="276" w:lineRule="auto"/>
        <w:ind w:firstLine="359" w:firstLineChars="171"/>
        <w:rPr>
          <w:rFonts w:hint="eastAsia" w:ascii="宋体" w:hAnsi="宋体" w:cs="宋体"/>
          <w:color w:val="auto"/>
          <w:szCs w:val="21"/>
          <w:highlight w:val="none"/>
        </w:rPr>
      </w:pPr>
      <w:r>
        <w:rPr>
          <w:rFonts w:hint="eastAsia" w:ascii="宋体" w:hAnsi="宋体" w:cs="宋体"/>
          <w:color w:val="auto"/>
          <w:szCs w:val="21"/>
          <w:highlight w:val="none"/>
        </w:rPr>
        <w:t>投标人对开标有异议的，应当在开标现场提出，招标人当场作出答复，并制作记录。</w:t>
      </w:r>
    </w:p>
    <w:p>
      <w:pPr>
        <w:pStyle w:val="3"/>
        <w:spacing w:before="0" w:after="0" w:line="276" w:lineRule="auto"/>
        <w:rPr>
          <w:rFonts w:hint="eastAsia" w:ascii="宋体" w:hAnsi="宋体" w:eastAsia="宋体" w:cs="宋体"/>
          <w:color w:val="auto"/>
          <w:sz w:val="24"/>
          <w:szCs w:val="24"/>
          <w:highlight w:val="none"/>
        </w:rPr>
      </w:pPr>
      <w:bookmarkStart w:id="261" w:name="_Toc505152692"/>
      <w:bookmarkStart w:id="262" w:name="_Toc6183"/>
      <w:bookmarkStart w:id="263" w:name="_Toc480225653"/>
      <w:bookmarkStart w:id="264" w:name="_Toc443505828"/>
      <w:r>
        <w:rPr>
          <w:rFonts w:hint="eastAsia" w:ascii="宋体" w:hAnsi="宋体" w:eastAsia="宋体" w:cs="宋体"/>
          <w:color w:val="auto"/>
          <w:sz w:val="24"/>
          <w:szCs w:val="24"/>
          <w:highlight w:val="none"/>
        </w:rPr>
        <w:t>6. 评标</w:t>
      </w:r>
      <w:bookmarkEnd w:id="261"/>
      <w:bookmarkEnd w:id="262"/>
      <w:bookmarkEnd w:id="263"/>
      <w:bookmarkEnd w:id="264"/>
    </w:p>
    <w:p>
      <w:pPr>
        <w:pStyle w:val="4"/>
        <w:spacing w:before="0" w:after="0" w:line="276" w:lineRule="auto"/>
        <w:ind w:firstLine="0" w:firstLineChars="0"/>
        <w:rPr>
          <w:rFonts w:hAnsi="宋体" w:cs="宋体"/>
          <w:color w:val="auto"/>
          <w:sz w:val="21"/>
          <w:szCs w:val="21"/>
          <w:highlight w:val="none"/>
        </w:rPr>
      </w:pPr>
      <w:bookmarkStart w:id="265" w:name="_Toc29831"/>
      <w:r>
        <w:rPr>
          <w:rFonts w:hint="eastAsia" w:hAnsi="宋体" w:cs="宋体"/>
          <w:color w:val="auto"/>
          <w:sz w:val="21"/>
          <w:szCs w:val="21"/>
          <w:highlight w:val="none"/>
        </w:rPr>
        <w:t>6.1 评标委员会</w:t>
      </w:r>
      <w:bookmarkEnd w:id="265"/>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6.1.1评标由招标人依法组建的评标委员会负责，分设计评审组、施工评审组，</w:t>
      </w:r>
      <w:r>
        <w:rPr>
          <w:rFonts w:hint="eastAsia" w:ascii="宋体" w:hAnsi="宋体" w:cs="宋体"/>
          <w:color w:val="auto"/>
          <w:szCs w:val="21"/>
          <w:highlight w:val="none"/>
          <w:u w:val="single"/>
        </w:rPr>
        <w:t>资格审查由施工评审组负责</w:t>
      </w:r>
      <w:r>
        <w:rPr>
          <w:rFonts w:hint="eastAsia" w:ascii="宋体" w:hAnsi="宋体" w:cs="宋体"/>
          <w:color w:val="auto"/>
          <w:szCs w:val="21"/>
          <w:highlight w:val="none"/>
        </w:rPr>
        <w:t>。</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6.1.2 评标委员会成员有下列情形之一的，应当回避：</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（1）投标人或投标人主要负责人的近亲属；</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（2）项目主管部门或者行政监督部门的人员；</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（3）与投标人有经济利益关系，可能影响对投标公正评审的；</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（4）曾因在招标、评标以及其他与招标投标有关活动中从事违法行为而受过行政处罚或刑事处罚的；</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（5）与投标人有其他利害关系。</w:t>
      </w:r>
    </w:p>
    <w:p>
      <w:pPr>
        <w:pStyle w:val="4"/>
        <w:spacing w:before="0" w:after="0" w:line="276" w:lineRule="auto"/>
        <w:ind w:firstLine="0" w:firstLineChars="0"/>
        <w:rPr>
          <w:rFonts w:hAnsi="宋体" w:cs="宋体"/>
          <w:color w:val="auto"/>
          <w:sz w:val="21"/>
          <w:szCs w:val="21"/>
          <w:highlight w:val="none"/>
        </w:rPr>
      </w:pPr>
      <w:bookmarkStart w:id="266" w:name="_Toc25260"/>
      <w:r>
        <w:rPr>
          <w:rFonts w:hint="eastAsia" w:hAnsi="宋体" w:cs="宋体"/>
          <w:color w:val="auto"/>
          <w:sz w:val="21"/>
          <w:szCs w:val="21"/>
          <w:highlight w:val="none"/>
        </w:rPr>
        <w:t>6.2 评标原则</w:t>
      </w:r>
      <w:bookmarkEnd w:id="266"/>
      <w:r>
        <w:rPr>
          <w:rFonts w:hint="eastAsia" w:hAnsi="宋体" w:cs="宋体"/>
          <w:color w:val="auto"/>
          <w:sz w:val="21"/>
          <w:szCs w:val="21"/>
          <w:highlight w:val="none"/>
        </w:rPr>
        <w:tab/>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评标活动遵循公平、公正、科学和择优的原则。</w:t>
      </w:r>
    </w:p>
    <w:p>
      <w:pPr>
        <w:pStyle w:val="4"/>
        <w:spacing w:before="0" w:after="0" w:line="276" w:lineRule="auto"/>
        <w:ind w:firstLine="0" w:firstLineChars="0"/>
        <w:rPr>
          <w:rFonts w:hAnsi="宋体" w:cs="宋体"/>
          <w:color w:val="auto"/>
          <w:sz w:val="21"/>
          <w:szCs w:val="21"/>
          <w:highlight w:val="none"/>
        </w:rPr>
      </w:pPr>
      <w:bookmarkStart w:id="267" w:name="_Toc22497"/>
      <w:r>
        <w:rPr>
          <w:rFonts w:hint="eastAsia" w:hAnsi="宋体" w:cs="宋体"/>
          <w:color w:val="auto"/>
          <w:sz w:val="21"/>
          <w:szCs w:val="21"/>
          <w:highlight w:val="none"/>
        </w:rPr>
        <w:t>6.3 评标</w:t>
      </w:r>
      <w:bookmarkEnd w:id="267"/>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评标委员会按照第二章“评标办法”规定的方法、评审因素、标准和程序对投标文件进行评审。第二章“评标办法”没有规定的方法、评审因素和标准，不作为评标依据。</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在评审过程中，评标委员会可以以书面形式要求投标人就资格审查文件和投标文件中含义不明确的内容进行书面说明并提供相关材料。</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评标委员会经评审，认为所有投标都不符合招标文件要求的，可以否决所有投标。所有投标被否决后，招标人应当依法重新招标。</w:t>
      </w:r>
    </w:p>
    <w:p>
      <w:pPr>
        <w:pStyle w:val="3"/>
        <w:spacing w:before="0" w:after="0" w:line="276" w:lineRule="auto"/>
        <w:rPr>
          <w:rFonts w:hint="eastAsia" w:ascii="宋体" w:hAnsi="宋体" w:eastAsia="宋体" w:cs="宋体"/>
          <w:color w:val="auto"/>
          <w:sz w:val="24"/>
          <w:szCs w:val="24"/>
          <w:highlight w:val="none"/>
        </w:rPr>
      </w:pPr>
      <w:bookmarkStart w:id="268" w:name="_Toc7427"/>
      <w:bookmarkStart w:id="269" w:name="_Toc480225654"/>
      <w:bookmarkStart w:id="270" w:name="_Toc505152693"/>
      <w:bookmarkStart w:id="271" w:name="_Toc443505829"/>
      <w:r>
        <w:rPr>
          <w:rFonts w:hint="eastAsia" w:ascii="宋体" w:hAnsi="宋体" w:eastAsia="宋体" w:cs="宋体"/>
          <w:color w:val="auto"/>
          <w:sz w:val="24"/>
          <w:szCs w:val="24"/>
          <w:highlight w:val="none"/>
        </w:rPr>
        <w:t>7. 合同授予</w:t>
      </w:r>
      <w:bookmarkEnd w:id="268"/>
      <w:bookmarkEnd w:id="269"/>
      <w:bookmarkEnd w:id="270"/>
      <w:bookmarkEnd w:id="271"/>
    </w:p>
    <w:p>
      <w:pPr>
        <w:pStyle w:val="4"/>
        <w:spacing w:before="0" w:after="0" w:line="276" w:lineRule="auto"/>
        <w:ind w:firstLine="0" w:firstLineChars="0"/>
        <w:rPr>
          <w:rFonts w:hAnsi="宋体" w:cs="宋体"/>
          <w:color w:val="auto"/>
          <w:sz w:val="21"/>
          <w:szCs w:val="21"/>
          <w:highlight w:val="none"/>
        </w:rPr>
      </w:pPr>
      <w:bookmarkStart w:id="272" w:name="_Toc29772"/>
      <w:r>
        <w:rPr>
          <w:rFonts w:hint="eastAsia" w:hAnsi="宋体" w:cs="宋体"/>
          <w:color w:val="auto"/>
          <w:sz w:val="21"/>
          <w:szCs w:val="21"/>
          <w:highlight w:val="none"/>
        </w:rPr>
        <w:t>7.1 定标方式</w:t>
      </w:r>
      <w:bookmarkEnd w:id="272"/>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7.1.1除投标人须知前附表规定评标委员会直接确定中标人外，招标人依据评标委员会推荐的中标候选人确定中标人，评标委员会推荐中标候选人的人数见投标人须知前附表。</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7.1.2 依法必须进行公开招标的项目，招标人应当确定排名第一的中标候选人为中标人。</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7.1.3</w:t>
      </w:r>
      <w:r>
        <w:rPr>
          <w:rFonts w:hint="eastAsia" w:ascii="宋体" w:hAnsi="宋体" w:cs="宋体"/>
          <w:color w:val="auto"/>
          <w:szCs w:val="21"/>
          <w:highlight w:val="none"/>
          <w:u w:val="singl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276"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7.1.4排名第二的中标候选人出现前款所列的情形的，招标人可以确定排名第三的中标候选人为中标人。如所有中标候选人均出现前款所列的情形，为招标失败，招标人依法重新招标。</w:t>
      </w:r>
    </w:p>
    <w:p>
      <w:pPr>
        <w:pStyle w:val="4"/>
        <w:spacing w:before="0" w:after="0" w:line="276" w:lineRule="auto"/>
        <w:ind w:firstLine="0" w:firstLineChars="0"/>
        <w:rPr>
          <w:rFonts w:hAnsi="宋体" w:cs="宋体"/>
          <w:color w:val="auto"/>
          <w:sz w:val="21"/>
          <w:szCs w:val="21"/>
          <w:highlight w:val="none"/>
        </w:rPr>
      </w:pPr>
      <w:bookmarkStart w:id="273" w:name="_Toc31638"/>
      <w:r>
        <w:rPr>
          <w:rFonts w:hint="eastAsia" w:hAnsi="宋体" w:cs="宋体"/>
          <w:color w:val="auto"/>
          <w:sz w:val="21"/>
          <w:szCs w:val="21"/>
          <w:highlight w:val="none"/>
        </w:rPr>
        <w:t>7.2 中标候选人公示</w:t>
      </w:r>
      <w:bookmarkEnd w:id="273"/>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7.2.1</w:t>
      </w:r>
      <w:r>
        <w:rPr>
          <w:rFonts w:hint="eastAsia" w:ascii="宋体" w:hAnsi="宋体" w:cs="宋体"/>
          <w:color w:val="auto"/>
          <w:highlight w:val="none"/>
        </w:rPr>
        <w:t>招标人在投标人须知前附表规定的媒介公示中标候选人</w:t>
      </w:r>
      <w:r>
        <w:rPr>
          <w:rFonts w:hint="eastAsia" w:ascii="宋体" w:hAnsi="宋体" w:cs="宋体"/>
          <w:color w:val="auto"/>
          <w:szCs w:val="21"/>
          <w:highlight w:val="none"/>
        </w:rPr>
        <w:t>。</w:t>
      </w:r>
    </w:p>
    <w:p>
      <w:pPr>
        <w:pStyle w:val="4"/>
        <w:spacing w:before="0" w:after="0" w:line="276" w:lineRule="auto"/>
        <w:ind w:firstLine="0" w:firstLineChars="0"/>
        <w:rPr>
          <w:rFonts w:hAnsi="宋体" w:cs="宋体"/>
          <w:color w:val="auto"/>
          <w:sz w:val="21"/>
          <w:szCs w:val="21"/>
          <w:highlight w:val="none"/>
        </w:rPr>
      </w:pPr>
      <w:bookmarkStart w:id="274" w:name="_Toc31419"/>
      <w:r>
        <w:rPr>
          <w:rFonts w:hint="eastAsia" w:hAnsi="宋体" w:cs="宋体"/>
          <w:color w:val="auto"/>
          <w:sz w:val="21"/>
          <w:szCs w:val="21"/>
          <w:highlight w:val="none"/>
        </w:rPr>
        <w:t>7.3 中标通知</w:t>
      </w:r>
      <w:bookmarkEnd w:id="274"/>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7.3.1 评标公示后，在本章第3.3 款规定的投标有效期内，</w:t>
      </w:r>
      <w:r>
        <w:rPr>
          <w:rFonts w:hint="eastAsia" w:ascii="宋体" w:hAnsi="宋体" w:cs="宋体"/>
          <w:color w:val="auto"/>
          <w:highlight w:val="none"/>
        </w:rPr>
        <w:t>招标人以书面形式向中标人发出中标通知书，</w:t>
      </w:r>
      <w:r>
        <w:rPr>
          <w:rFonts w:hint="eastAsia" w:ascii="宋体" w:hAnsi="宋体" w:cs="宋体"/>
          <w:color w:val="auto"/>
          <w:szCs w:val="21"/>
          <w:highlight w:val="none"/>
        </w:rPr>
        <w:t>中标通知书发出前须经广州公共资源交易中心（广州市天河区天润路333号）盖章确认。</w:t>
      </w:r>
    </w:p>
    <w:p>
      <w:pPr>
        <w:spacing w:line="276" w:lineRule="auto"/>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7.3.2 招标人应当自确定中标人后，向招投标监管机构提交招标投标情况的书面报告；经招投标监管机构备案后，方可发出中标通知书。中标通知书由招标人（或招标代理机构）颁发，并经广州公共资源交易中心确认。</w:t>
      </w:r>
    </w:p>
    <w:p>
      <w:pPr>
        <w:pStyle w:val="4"/>
        <w:spacing w:before="0" w:after="0" w:line="276" w:lineRule="auto"/>
        <w:ind w:firstLine="0" w:firstLineChars="0"/>
        <w:rPr>
          <w:rFonts w:hAnsi="宋体" w:cs="宋体"/>
          <w:color w:val="auto"/>
          <w:sz w:val="21"/>
          <w:szCs w:val="21"/>
          <w:highlight w:val="none"/>
        </w:rPr>
      </w:pPr>
      <w:bookmarkStart w:id="275" w:name="_Toc18673"/>
      <w:r>
        <w:rPr>
          <w:rFonts w:hint="eastAsia" w:hAnsi="宋体" w:cs="宋体"/>
          <w:color w:val="auto"/>
          <w:sz w:val="21"/>
          <w:szCs w:val="21"/>
          <w:highlight w:val="none"/>
        </w:rPr>
        <w:t>7.4 履约担保</w:t>
      </w:r>
      <w:bookmarkEnd w:id="275"/>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7.4.1 在签订合同前，中标人应按投标人须知前附表规定的担保形式向招标人提交履约担保。除投标人须知前附表另有规定外，履约担保金额为中标施工合同暂定价的10%。</w:t>
      </w:r>
    </w:p>
    <w:p>
      <w:pPr>
        <w:spacing w:line="276"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7.4.2 中标人不能按本章第7.4.1项要求提交履约担保的，视为放弃中标，其投标担保不予退还，给招标人造成的损失超过投标担保数额的，中标人还应当对超过部分予以赔偿。</w:t>
      </w:r>
    </w:p>
    <w:p>
      <w:pPr>
        <w:pStyle w:val="4"/>
        <w:spacing w:before="0" w:after="0" w:line="276" w:lineRule="auto"/>
        <w:ind w:firstLine="0" w:firstLineChars="0"/>
        <w:rPr>
          <w:rFonts w:hAnsi="宋体" w:cs="宋体"/>
          <w:color w:val="auto"/>
          <w:sz w:val="21"/>
          <w:szCs w:val="21"/>
          <w:highlight w:val="none"/>
        </w:rPr>
      </w:pPr>
      <w:bookmarkStart w:id="276" w:name="_Toc6987"/>
      <w:r>
        <w:rPr>
          <w:rFonts w:hint="eastAsia" w:hAnsi="宋体" w:cs="宋体"/>
          <w:color w:val="auto"/>
          <w:sz w:val="21"/>
          <w:szCs w:val="21"/>
          <w:highlight w:val="none"/>
        </w:rPr>
        <w:t>7.5 签订合同</w:t>
      </w:r>
      <w:bookmarkEnd w:id="276"/>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7.5.1 招标人和中标人应当自中标通知书发出之日起30天内，根据招标文件和中标人的投标文件订立书面合同。中标人无正当理由拒签合同的，招标人取消其中标资格，其投标担保不予退还；给招标人造成的损失超过投标担保数额的，中标人还应当对超过部分予以赔偿。 </w:t>
      </w:r>
    </w:p>
    <w:p>
      <w:pPr>
        <w:pStyle w:val="3"/>
        <w:spacing w:before="0" w:after="0" w:line="276" w:lineRule="auto"/>
        <w:ind w:firstLine="420" w:firstLineChars="200"/>
        <w:rPr>
          <w:rFonts w:hint="eastAsia" w:ascii="宋体" w:hAnsi="宋体" w:eastAsia="宋体" w:cs="宋体"/>
          <w:b w:val="0"/>
          <w:bCs w:val="0"/>
          <w:color w:val="auto"/>
          <w:sz w:val="21"/>
          <w:szCs w:val="22"/>
          <w:highlight w:val="none"/>
        </w:rPr>
      </w:pPr>
      <w:bookmarkStart w:id="277" w:name="_Toc505152694"/>
      <w:bookmarkStart w:id="278" w:name="_Toc443505830"/>
      <w:bookmarkStart w:id="279" w:name="_Toc19839"/>
      <w:bookmarkStart w:id="280" w:name="_Toc480225655"/>
      <w:r>
        <w:rPr>
          <w:rFonts w:hint="eastAsia" w:ascii="宋体" w:hAnsi="宋体" w:eastAsia="宋体" w:cs="宋体"/>
          <w:b w:val="0"/>
          <w:bCs w:val="0"/>
          <w:color w:val="auto"/>
          <w:sz w:val="21"/>
          <w:szCs w:val="22"/>
          <w:highlight w:val="none"/>
        </w:rPr>
        <w:t>7.5.2 发出中标通知书后，招标人无正当理由拒签合同的，招标人向中标人退还投标担保；给中标人造成损失的，还应当赔偿损失。</w:t>
      </w:r>
      <w:bookmarkEnd w:id="277"/>
      <w:bookmarkEnd w:id="278"/>
      <w:bookmarkEnd w:id="279"/>
      <w:bookmarkEnd w:id="280"/>
    </w:p>
    <w:p>
      <w:pPr>
        <w:pStyle w:val="3"/>
        <w:spacing w:before="0" w:after="0" w:line="276" w:lineRule="auto"/>
        <w:rPr>
          <w:rFonts w:hint="eastAsia" w:ascii="宋体" w:hAnsi="宋体" w:eastAsia="宋体" w:cs="宋体"/>
          <w:color w:val="auto"/>
          <w:sz w:val="24"/>
          <w:szCs w:val="24"/>
          <w:highlight w:val="none"/>
        </w:rPr>
      </w:pPr>
      <w:bookmarkStart w:id="281" w:name="_Toc480225656"/>
      <w:bookmarkStart w:id="282" w:name="_Toc443505831"/>
      <w:bookmarkStart w:id="283" w:name="_Toc23184"/>
      <w:bookmarkStart w:id="284" w:name="_Toc505152695"/>
      <w:r>
        <w:rPr>
          <w:rFonts w:hint="eastAsia" w:ascii="宋体" w:hAnsi="宋体" w:eastAsia="宋体" w:cs="宋体"/>
          <w:color w:val="auto"/>
          <w:sz w:val="24"/>
          <w:szCs w:val="24"/>
          <w:highlight w:val="none"/>
        </w:rPr>
        <w:t>8. 纪律和监督</w:t>
      </w:r>
      <w:bookmarkEnd w:id="281"/>
      <w:bookmarkEnd w:id="282"/>
      <w:bookmarkEnd w:id="283"/>
      <w:bookmarkEnd w:id="284"/>
    </w:p>
    <w:p>
      <w:pPr>
        <w:pStyle w:val="3"/>
        <w:spacing w:before="0" w:after="0" w:line="276" w:lineRule="auto"/>
        <w:rPr>
          <w:rFonts w:hint="eastAsia" w:ascii="宋体" w:hAnsi="宋体" w:eastAsia="宋体" w:cs="宋体"/>
          <w:b w:val="0"/>
          <w:color w:val="auto"/>
          <w:sz w:val="21"/>
          <w:szCs w:val="21"/>
          <w:highlight w:val="none"/>
        </w:rPr>
      </w:pPr>
      <w:bookmarkStart w:id="285" w:name="_Toc480225657"/>
      <w:bookmarkStart w:id="286" w:name="_Toc443505832"/>
      <w:bookmarkStart w:id="287" w:name="_Toc10758"/>
      <w:bookmarkStart w:id="288" w:name="_Toc505152696"/>
      <w:r>
        <w:rPr>
          <w:rFonts w:hint="eastAsia" w:ascii="宋体" w:hAnsi="宋体" w:eastAsia="宋体" w:cs="宋体"/>
          <w:b w:val="0"/>
          <w:color w:val="auto"/>
          <w:sz w:val="21"/>
          <w:szCs w:val="21"/>
          <w:highlight w:val="none"/>
        </w:rPr>
        <w:t>8.1 对招标人的纪律要求</w:t>
      </w:r>
      <w:bookmarkEnd w:id="285"/>
      <w:bookmarkEnd w:id="286"/>
      <w:bookmarkEnd w:id="287"/>
      <w:bookmarkEnd w:id="288"/>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招标人不得泄漏招标投标活动中应当保密的情况和资料，不得与投标人串通损害国家利益、社会公共利益或者他人合法权益。</w:t>
      </w:r>
    </w:p>
    <w:p>
      <w:pPr>
        <w:spacing w:line="276" w:lineRule="auto"/>
        <w:rPr>
          <w:rFonts w:hint="eastAsia" w:ascii="宋体" w:hAnsi="宋体" w:cs="宋体"/>
          <w:color w:val="auto"/>
          <w:highlight w:val="none"/>
        </w:rPr>
      </w:pPr>
      <w:r>
        <w:rPr>
          <w:rFonts w:hint="eastAsia" w:ascii="宋体" w:hAnsi="宋体" w:cs="宋体"/>
          <w:color w:val="auto"/>
          <w:szCs w:val="21"/>
          <w:highlight w:val="none"/>
        </w:rPr>
        <w:t>8.2 对投标人的纪律要求</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276" w:lineRule="auto"/>
        <w:rPr>
          <w:rFonts w:hint="eastAsia" w:ascii="宋体" w:hAnsi="宋体" w:cs="宋体"/>
          <w:color w:val="auto"/>
          <w:highlight w:val="none"/>
        </w:rPr>
      </w:pPr>
      <w:r>
        <w:rPr>
          <w:rFonts w:hint="eastAsia" w:ascii="宋体" w:hAnsi="宋体" w:cs="宋体"/>
          <w:bCs/>
          <w:color w:val="auto"/>
          <w:szCs w:val="21"/>
          <w:highlight w:val="none"/>
        </w:rPr>
        <w:t>8.3 对评标委员会成员的纪律要求</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二章“评标办法”没有规定的评审因素和标准进行评标。</w:t>
      </w:r>
    </w:p>
    <w:p>
      <w:pPr>
        <w:spacing w:line="276" w:lineRule="auto"/>
        <w:rPr>
          <w:rFonts w:hint="eastAsia" w:ascii="宋体" w:hAnsi="宋体" w:cs="宋体"/>
          <w:color w:val="auto"/>
          <w:highlight w:val="none"/>
        </w:rPr>
      </w:pPr>
      <w:r>
        <w:rPr>
          <w:rFonts w:hint="eastAsia" w:ascii="宋体" w:hAnsi="宋体" w:cs="宋体"/>
          <w:color w:val="auto"/>
          <w:szCs w:val="21"/>
          <w:highlight w:val="none"/>
        </w:rPr>
        <w:t>8.4 对与评标活动有关的工作人员的纪律要求</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276" w:lineRule="auto"/>
        <w:rPr>
          <w:rFonts w:hint="eastAsia" w:ascii="宋体" w:hAnsi="宋体" w:cs="宋体"/>
          <w:color w:val="auto"/>
          <w:highlight w:val="none"/>
        </w:rPr>
      </w:pPr>
      <w:r>
        <w:rPr>
          <w:rFonts w:hint="eastAsia" w:ascii="宋体" w:hAnsi="宋体" w:cs="宋体"/>
          <w:bCs/>
          <w:color w:val="auto"/>
          <w:szCs w:val="21"/>
          <w:highlight w:val="none"/>
        </w:rPr>
        <w:t>8.5 投诉</w:t>
      </w:r>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投标人和其他利害关系人认为本次招标活动违反法律、法规和规章规定的，有权向有关行政监督部门投诉。</w:t>
      </w:r>
    </w:p>
    <w:p>
      <w:pPr>
        <w:pStyle w:val="3"/>
        <w:spacing w:before="0" w:after="0" w:line="276" w:lineRule="auto"/>
        <w:rPr>
          <w:rFonts w:hint="eastAsia" w:ascii="宋体" w:hAnsi="宋体" w:eastAsia="宋体" w:cs="宋体"/>
          <w:color w:val="auto"/>
          <w:sz w:val="24"/>
          <w:szCs w:val="24"/>
          <w:highlight w:val="none"/>
        </w:rPr>
      </w:pPr>
      <w:bookmarkStart w:id="289" w:name="_Toc480225658"/>
      <w:bookmarkStart w:id="290" w:name="_Toc505152697"/>
      <w:bookmarkStart w:id="291" w:name="_Toc29334"/>
      <w:bookmarkStart w:id="292" w:name="_Toc443505833"/>
      <w:r>
        <w:rPr>
          <w:rFonts w:hint="eastAsia" w:ascii="宋体" w:hAnsi="宋体" w:eastAsia="宋体" w:cs="宋体"/>
          <w:color w:val="auto"/>
          <w:sz w:val="24"/>
          <w:szCs w:val="24"/>
          <w:highlight w:val="none"/>
        </w:rPr>
        <w:t>9. 需要补充的其他内容</w:t>
      </w:r>
      <w:bookmarkEnd w:id="289"/>
      <w:bookmarkEnd w:id="290"/>
      <w:bookmarkEnd w:id="291"/>
      <w:bookmarkEnd w:id="292"/>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需要补充的其他内容：见投标人须知前附表。</w:t>
      </w:r>
    </w:p>
    <w:p>
      <w:pPr>
        <w:pStyle w:val="3"/>
        <w:spacing w:before="0" w:after="0" w:line="276" w:lineRule="auto"/>
        <w:rPr>
          <w:rFonts w:hint="eastAsia" w:ascii="宋体" w:hAnsi="宋体" w:eastAsia="宋体" w:cs="宋体"/>
          <w:color w:val="auto"/>
          <w:sz w:val="24"/>
          <w:szCs w:val="24"/>
          <w:highlight w:val="none"/>
        </w:rPr>
      </w:pPr>
      <w:bookmarkStart w:id="293" w:name="_Toc480225659"/>
      <w:bookmarkStart w:id="294" w:name="_Toc443505834"/>
      <w:bookmarkStart w:id="295" w:name="_Toc505152698"/>
      <w:bookmarkStart w:id="296" w:name="_Toc25408"/>
      <w:r>
        <w:rPr>
          <w:rFonts w:hint="eastAsia" w:ascii="宋体" w:hAnsi="宋体" w:eastAsia="宋体" w:cs="宋体"/>
          <w:color w:val="auto"/>
          <w:sz w:val="24"/>
          <w:szCs w:val="24"/>
          <w:highlight w:val="none"/>
        </w:rPr>
        <w:t>10. 电子招标投标</w:t>
      </w:r>
      <w:bookmarkEnd w:id="293"/>
      <w:bookmarkEnd w:id="294"/>
      <w:bookmarkEnd w:id="295"/>
      <w:bookmarkEnd w:id="296"/>
    </w:p>
    <w:p>
      <w:pPr>
        <w:spacing w:line="276" w:lineRule="auto"/>
        <w:ind w:firstLine="420" w:firstLineChars="200"/>
        <w:rPr>
          <w:rFonts w:hint="eastAsia" w:ascii="宋体" w:hAnsi="宋体" w:cs="宋体"/>
          <w:color w:val="auto"/>
          <w:highlight w:val="none"/>
        </w:rPr>
      </w:pPr>
      <w:r>
        <w:rPr>
          <w:rFonts w:hint="eastAsia" w:ascii="宋体" w:hAnsi="宋体" w:cs="宋体"/>
          <w:color w:val="auto"/>
          <w:highlight w:val="none"/>
        </w:rPr>
        <w:t>采用电子招标投标，对投标文件的编制、密封和标记、递交、开标、评标等具体要求，见投标人须知前附表。</w:t>
      </w:r>
    </w:p>
    <w:p>
      <w:pPr>
        <w:spacing w:line="276" w:lineRule="auto"/>
        <w:ind w:firstLine="420" w:firstLineChars="200"/>
        <w:rPr>
          <w:rFonts w:hint="eastAsia" w:ascii="宋体" w:hAnsi="宋体" w:cs="宋体"/>
          <w:color w:val="auto"/>
          <w:highlight w:val="none"/>
        </w:rPr>
        <w:sectPr>
          <w:pgSz w:w="11906" w:h="16838"/>
          <w:pgMar w:top="1440" w:right="1800" w:bottom="1440" w:left="1800" w:header="851" w:footer="992" w:gutter="0"/>
          <w:cols w:space="720" w:num="1"/>
          <w:docGrid w:type="lines" w:linePitch="312" w:charSpace="0"/>
        </w:sectPr>
      </w:pPr>
    </w:p>
    <w:p>
      <w:pPr>
        <w:pStyle w:val="4"/>
        <w:ind w:firstLine="0" w:firstLineChars="0"/>
        <w:rPr>
          <w:rFonts w:hint="eastAsia" w:hAnsi="宋体" w:cs="宋体"/>
          <w:color w:val="auto"/>
          <w:highlight w:val="none"/>
        </w:rPr>
      </w:pPr>
      <w:bookmarkStart w:id="297" w:name="_Toc9379"/>
      <w:r>
        <w:rPr>
          <w:rFonts w:hint="eastAsia" w:hAnsi="宋体" w:cs="宋体"/>
          <w:color w:val="auto"/>
          <w:highlight w:val="none"/>
        </w:rPr>
        <w:t>附件一：开标记录表</w:t>
      </w:r>
      <w:bookmarkEnd w:id="297"/>
      <w:r>
        <w:rPr>
          <w:rFonts w:hint="eastAsia" w:hAnsi="宋体" w:cs="宋体"/>
          <w:color w:val="auto"/>
          <w:highlight w:val="none"/>
        </w:rPr>
        <w:t>（</w:t>
      </w:r>
      <w:r>
        <w:rPr>
          <w:rFonts w:hint="eastAsia" w:hAnsi="宋体" w:cs="宋体"/>
          <w:color w:val="auto"/>
          <w:highlight w:val="none"/>
          <w:lang w:val="en-US"/>
        </w:rPr>
        <w:t>具体以开标时交易系统记录格式为准</w:t>
      </w:r>
      <w:r>
        <w:rPr>
          <w:rFonts w:hint="eastAsia" w:hAnsi="宋体" w:cs="宋体"/>
          <w:color w:val="auto"/>
          <w:highlight w:val="none"/>
        </w:rPr>
        <w:t>）</w:t>
      </w:r>
    </w:p>
    <w:p>
      <w:pPr>
        <w:spacing w:line="400" w:lineRule="exact"/>
        <w:ind w:firstLine="5320" w:firstLineChars="1900"/>
        <w:rPr>
          <w:rFonts w:hint="eastAsia" w:ascii="宋体" w:hAnsi="宋体" w:cs="宋体"/>
          <w:color w:val="auto"/>
          <w:sz w:val="28"/>
          <w:szCs w:val="28"/>
          <w:highlight w:val="none"/>
        </w:rPr>
      </w:pPr>
      <w:r>
        <w:rPr>
          <w:rFonts w:hint="eastAsia" w:ascii="宋体" w:hAnsi="宋体" w:cs="宋体"/>
          <w:color w:val="auto"/>
          <w:sz w:val="28"/>
          <w:szCs w:val="28"/>
          <w:highlight w:val="none"/>
        </w:rPr>
        <w:t>开标记录表</w:t>
      </w:r>
    </w:p>
    <w:p>
      <w:pPr>
        <w:spacing w:line="400" w:lineRule="exact"/>
        <w:ind w:right="420"/>
        <w:jc w:val="right"/>
        <w:rPr>
          <w:rFonts w:hint="eastAsia" w:ascii="宋体" w:hAnsi="宋体" w:cs="宋体"/>
          <w:color w:val="auto"/>
          <w:highlight w:val="none"/>
        </w:rPr>
      </w:pPr>
      <w:r>
        <w:rPr>
          <w:rFonts w:hint="eastAsia" w:ascii="宋体" w:hAnsi="宋体" w:cs="宋体"/>
          <w:color w:val="auto"/>
          <w:highlight w:val="none"/>
        </w:rPr>
        <w:t>开标时间： 年 月 日 时 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701"/>
        <w:gridCol w:w="1134"/>
        <w:gridCol w:w="1276"/>
        <w:gridCol w:w="850"/>
        <w:gridCol w:w="709"/>
        <w:gridCol w:w="1417"/>
        <w:gridCol w:w="1103"/>
        <w:gridCol w:w="1072"/>
        <w:gridCol w:w="1709"/>
        <w:gridCol w:w="125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717"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序号</w:t>
            </w:r>
          </w:p>
        </w:tc>
        <w:tc>
          <w:tcPr>
            <w:tcW w:w="1701"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投标人名称</w:t>
            </w:r>
          </w:p>
        </w:tc>
        <w:tc>
          <w:tcPr>
            <w:tcW w:w="1134"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解密情况</w:t>
            </w:r>
          </w:p>
        </w:tc>
        <w:tc>
          <w:tcPr>
            <w:tcW w:w="1276"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有无法定代表人证明书及授权委托证明书</w:t>
            </w:r>
          </w:p>
        </w:tc>
        <w:tc>
          <w:tcPr>
            <w:tcW w:w="850"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总工期</w:t>
            </w:r>
          </w:p>
        </w:tc>
        <w:tc>
          <w:tcPr>
            <w:tcW w:w="709"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质量标准</w:t>
            </w:r>
          </w:p>
        </w:tc>
        <w:tc>
          <w:tcPr>
            <w:tcW w:w="1417"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项目负责人（兼施工负责人）</w:t>
            </w:r>
          </w:p>
        </w:tc>
        <w:tc>
          <w:tcPr>
            <w:tcW w:w="1103"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专职安全员</w:t>
            </w:r>
          </w:p>
        </w:tc>
        <w:tc>
          <w:tcPr>
            <w:tcW w:w="1072"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设计负责人</w:t>
            </w:r>
          </w:p>
        </w:tc>
        <w:tc>
          <w:tcPr>
            <w:tcW w:w="1709"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投标总报价</w:t>
            </w:r>
          </w:p>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（人民币：元）</w:t>
            </w:r>
          </w:p>
        </w:tc>
        <w:tc>
          <w:tcPr>
            <w:tcW w:w="1252"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投标人代表签名</w:t>
            </w:r>
          </w:p>
        </w:tc>
        <w:tc>
          <w:tcPr>
            <w:tcW w:w="818" w:type="dxa"/>
            <w:noWrap w:val="0"/>
            <w:vAlign w:val="center"/>
          </w:tcPr>
          <w:p>
            <w:pPr>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17" w:type="dxa"/>
            <w:noWrap w:val="0"/>
            <w:vAlign w:val="center"/>
          </w:tcPr>
          <w:p>
            <w:pPr>
              <w:spacing w:line="620" w:lineRule="exact"/>
              <w:jc w:val="center"/>
              <w:rPr>
                <w:rFonts w:hint="eastAsia" w:ascii="宋体" w:hAnsi="宋体" w:cs="宋体"/>
                <w:color w:val="auto"/>
                <w:szCs w:val="21"/>
                <w:highlight w:val="none"/>
              </w:rPr>
            </w:pPr>
          </w:p>
        </w:tc>
        <w:tc>
          <w:tcPr>
            <w:tcW w:w="1701" w:type="dxa"/>
            <w:noWrap w:val="0"/>
            <w:vAlign w:val="center"/>
          </w:tcPr>
          <w:p>
            <w:pPr>
              <w:spacing w:line="620" w:lineRule="exact"/>
              <w:jc w:val="center"/>
              <w:rPr>
                <w:rFonts w:hint="eastAsia" w:ascii="宋体" w:hAnsi="宋体" w:cs="宋体"/>
                <w:color w:val="auto"/>
                <w:szCs w:val="21"/>
                <w:highlight w:val="none"/>
              </w:rPr>
            </w:pPr>
          </w:p>
        </w:tc>
        <w:tc>
          <w:tcPr>
            <w:tcW w:w="1134" w:type="dxa"/>
            <w:noWrap w:val="0"/>
            <w:vAlign w:val="center"/>
          </w:tcPr>
          <w:p>
            <w:pPr>
              <w:spacing w:line="620" w:lineRule="exact"/>
              <w:jc w:val="center"/>
              <w:rPr>
                <w:rFonts w:hint="eastAsia" w:ascii="宋体" w:hAnsi="宋体" w:cs="宋体"/>
                <w:color w:val="auto"/>
                <w:szCs w:val="21"/>
                <w:highlight w:val="none"/>
              </w:rPr>
            </w:pPr>
          </w:p>
        </w:tc>
        <w:tc>
          <w:tcPr>
            <w:tcW w:w="1276" w:type="dxa"/>
            <w:noWrap w:val="0"/>
            <w:vAlign w:val="center"/>
          </w:tcPr>
          <w:p>
            <w:pPr>
              <w:spacing w:line="620" w:lineRule="exact"/>
              <w:jc w:val="center"/>
              <w:rPr>
                <w:rFonts w:hint="eastAsia" w:ascii="宋体" w:hAnsi="宋体" w:cs="宋体"/>
                <w:color w:val="auto"/>
                <w:szCs w:val="21"/>
                <w:highlight w:val="none"/>
              </w:rPr>
            </w:pPr>
          </w:p>
        </w:tc>
        <w:tc>
          <w:tcPr>
            <w:tcW w:w="850" w:type="dxa"/>
            <w:noWrap w:val="0"/>
            <w:vAlign w:val="center"/>
          </w:tcPr>
          <w:p>
            <w:pPr>
              <w:spacing w:line="620" w:lineRule="exact"/>
              <w:jc w:val="center"/>
              <w:rPr>
                <w:rFonts w:hint="eastAsia" w:ascii="宋体" w:hAnsi="宋体" w:cs="宋体"/>
                <w:color w:val="auto"/>
                <w:szCs w:val="21"/>
                <w:highlight w:val="none"/>
              </w:rPr>
            </w:pPr>
          </w:p>
        </w:tc>
        <w:tc>
          <w:tcPr>
            <w:tcW w:w="709" w:type="dxa"/>
            <w:noWrap w:val="0"/>
            <w:vAlign w:val="center"/>
          </w:tcPr>
          <w:p>
            <w:pPr>
              <w:spacing w:line="620" w:lineRule="exact"/>
              <w:jc w:val="center"/>
              <w:rPr>
                <w:rFonts w:hint="eastAsia" w:ascii="宋体" w:hAnsi="宋体" w:cs="宋体"/>
                <w:color w:val="auto"/>
                <w:szCs w:val="21"/>
                <w:highlight w:val="none"/>
              </w:rPr>
            </w:pPr>
          </w:p>
        </w:tc>
        <w:tc>
          <w:tcPr>
            <w:tcW w:w="1417" w:type="dxa"/>
            <w:noWrap w:val="0"/>
            <w:vAlign w:val="center"/>
          </w:tcPr>
          <w:p>
            <w:pPr>
              <w:spacing w:line="620" w:lineRule="exact"/>
              <w:jc w:val="center"/>
              <w:rPr>
                <w:rFonts w:hint="eastAsia" w:ascii="宋体" w:hAnsi="宋体" w:cs="宋体"/>
                <w:color w:val="auto"/>
                <w:szCs w:val="21"/>
                <w:highlight w:val="none"/>
              </w:rPr>
            </w:pPr>
          </w:p>
        </w:tc>
        <w:tc>
          <w:tcPr>
            <w:tcW w:w="1103" w:type="dxa"/>
            <w:noWrap w:val="0"/>
            <w:vAlign w:val="center"/>
          </w:tcPr>
          <w:p>
            <w:pPr>
              <w:spacing w:line="620" w:lineRule="exact"/>
              <w:jc w:val="center"/>
              <w:rPr>
                <w:rFonts w:hint="eastAsia" w:ascii="宋体" w:hAnsi="宋体" w:cs="宋体"/>
                <w:color w:val="auto"/>
                <w:szCs w:val="21"/>
                <w:highlight w:val="none"/>
              </w:rPr>
            </w:pPr>
          </w:p>
        </w:tc>
        <w:tc>
          <w:tcPr>
            <w:tcW w:w="1072" w:type="dxa"/>
            <w:noWrap w:val="0"/>
            <w:vAlign w:val="center"/>
          </w:tcPr>
          <w:p>
            <w:pPr>
              <w:spacing w:line="620" w:lineRule="exact"/>
              <w:jc w:val="center"/>
              <w:rPr>
                <w:rFonts w:hint="eastAsia" w:ascii="宋体" w:hAnsi="宋体" w:cs="宋体"/>
                <w:color w:val="auto"/>
                <w:szCs w:val="21"/>
                <w:highlight w:val="none"/>
              </w:rPr>
            </w:pPr>
          </w:p>
        </w:tc>
        <w:tc>
          <w:tcPr>
            <w:tcW w:w="1709" w:type="dxa"/>
            <w:noWrap w:val="0"/>
            <w:vAlign w:val="center"/>
          </w:tcPr>
          <w:p>
            <w:pPr>
              <w:spacing w:line="620" w:lineRule="exact"/>
              <w:jc w:val="center"/>
              <w:rPr>
                <w:rFonts w:hint="eastAsia" w:ascii="宋体" w:hAnsi="宋体" w:cs="宋体"/>
                <w:color w:val="auto"/>
                <w:szCs w:val="21"/>
                <w:highlight w:val="none"/>
              </w:rPr>
            </w:pPr>
          </w:p>
        </w:tc>
        <w:tc>
          <w:tcPr>
            <w:tcW w:w="1252" w:type="dxa"/>
            <w:noWrap w:val="0"/>
            <w:vAlign w:val="top"/>
          </w:tcPr>
          <w:p>
            <w:pPr>
              <w:spacing w:line="620" w:lineRule="exact"/>
              <w:jc w:val="center"/>
              <w:rPr>
                <w:rFonts w:hint="eastAsia" w:ascii="宋体" w:hAnsi="宋体" w:cs="宋体"/>
                <w:color w:val="auto"/>
                <w:szCs w:val="21"/>
                <w:highlight w:val="none"/>
              </w:rPr>
            </w:pPr>
          </w:p>
        </w:tc>
        <w:tc>
          <w:tcPr>
            <w:tcW w:w="818" w:type="dxa"/>
            <w:noWrap w:val="0"/>
            <w:vAlign w:val="top"/>
          </w:tcPr>
          <w:p>
            <w:pPr>
              <w:spacing w:line="62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17" w:type="dxa"/>
            <w:noWrap w:val="0"/>
            <w:vAlign w:val="center"/>
          </w:tcPr>
          <w:p>
            <w:pPr>
              <w:spacing w:line="620" w:lineRule="exact"/>
              <w:jc w:val="center"/>
              <w:rPr>
                <w:rFonts w:hint="eastAsia" w:ascii="宋体" w:hAnsi="宋体" w:cs="宋体"/>
                <w:color w:val="auto"/>
                <w:szCs w:val="21"/>
                <w:highlight w:val="none"/>
              </w:rPr>
            </w:pPr>
          </w:p>
        </w:tc>
        <w:tc>
          <w:tcPr>
            <w:tcW w:w="1701" w:type="dxa"/>
            <w:noWrap w:val="0"/>
            <w:vAlign w:val="center"/>
          </w:tcPr>
          <w:p>
            <w:pPr>
              <w:spacing w:line="620" w:lineRule="exact"/>
              <w:jc w:val="center"/>
              <w:rPr>
                <w:rFonts w:hint="eastAsia" w:ascii="宋体" w:hAnsi="宋体" w:cs="宋体"/>
                <w:color w:val="auto"/>
                <w:szCs w:val="21"/>
                <w:highlight w:val="none"/>
              </w:rPr>
            </w:pPr>
          </w:p>
        </w:tc>
        <w:tc>
          <w:tcPr>
            <w:tcW w:w="1134" w:type="dxa"/>
            <w:noWrap w:val="0"/>
            <w:vAlign w:val="center"/>
          </w:tcPr>
          <w:p>
            <w:pPr>
              <w:spacing w:line="620" w:lineRule="exact"/>
              <w:jc w:val="center"/>
              <w:rPr>
                <w:rFonts w:hint="eastAsia" w:ascii="宋体" w:hAnsi="宋体" w:cs="宋体"/>
                <w:color w:val="auto"/>
                <w:szCs w:val="21"/>
                <w:highlight w:val="none"/>
              </w:rPr>
            </w:pPr>
          </w:p>
        </w:tc>
        <w:tc>
          <w:tcPr>
            <w:tcW w:w="1276" w:type="dxa"/>
            <w:noWrap w:val="0"/>
            <w:vAlign w:val="center"/>
          </w:tcPr>
          <w:p>
            <w:pPr>
              <w:spacing w:line="620" w:lineRule="exact"/>
              <w:jc w:val="center"/>
              <w:rPr>
                <w:rFonts w:hint="eastAsia" w:ascii="宋体" w:hAnsi="宋体" w:cs="宋体"/>
                <w:color w:val="auto"/>
                <w:szCs w:val="21"/>
                <w:highlight w:val="none"/>
              </w:rPr>
            </w:pPr>
          </w:p>
        </w:tc>
        <w:tc>
          <w:tcPr>
            <w:tcW w:w="850" w:type="dxa"/>
            <w:noWrap w:val="0"/>
            <w:vAlign w:val="center"/>
          </w:tcPr>
          <w:p>
            <w:pPr>
              <w:spacing w:line="620" w:lineRule="exact"/>
              <w:jc w:val="center"/>
              <w:rPr>
                <w:rFonts w:hint="eastAsia" w:ascii="宋体" w:hAnsi="宋体" w:cs="宋体"/>
                <w:color w:val="auto"/>
                <w:szCs w:val="21"/>
                <w:highlight w:val="none"/>
              </w:rPr>
            </w:pPr>
          </w:p>
        </w:tc>
        <w:tc>
          <w:tcPr>
            <w:tcW w:w="709" w:type="dxa"/>
            <w:noWrap w:val="0"/>
            <w:vAlign w:val="center"/>
          </w:tcPr>
          <w:p>
            <w:pPr>
              <w:spacing w:line="620" w:lineRule="exact"/>
              <w:jc w:val="center"/>
              <w:rPr>
                <w:rFonts w:hint="eastAsia" w:ascii="宋体" w:hAnsi="宋体" w:cs="宋体"/>
                <w:color w:val="auto"/>
                <w:szCs w:val="21"/>
                <w:highlight w:val="none"/>
              </w:rPr>
            </w:pPr>
          </w:p>
        </w:tc>
        <w:tc>
          <w:tcPr>
            <w:tcW w:w="1417" w:type="dxa"/>
            <w:noWrap w:val="0"/>
            <w:vAlign w:val="center"/>
          </w:tcPr>
          <w:p>
            <w:pPr>
              <w:spacing w:line="620" w:lineRule="exact"/>
              <w:jc w:val="center"/>
              <w:rPr>
                <w:rFonts w:hint="eastAsia" w:ascii="宋体" w:hAnsi="宋体" w:cs="宋体"/>
                <w:color w:val="auto"/>
                <w:szCs w:val="21"/>
                <w:highlight w:val="none"/>
              </w:rPr>
            </w:pPr>
          </w:p>
        </w:tc>
        <w:tc>
          <w:tcPr>
            <w:tcW w:w="1103" w:type="dxa"/>
            <w:noWrap w:val="0"/>
            <w:vAlign w:val="center"/>
          </w:tcPr>
          <w:p>
            <w:pPr>
              <w:spacing w:line="620" w:lineRule="exact"/>
              <w:jc w:val="center"/>
              <w:rPr>
                <w:rFonts w:hint="eastAsia" w:ascii="宋体" w:hAnsi="宋体" w:cs="宋体"/>
                <w:color w:val="auto"/>
                <w:szCs w:val="21"/>
                <w:highlight w:val="none"/>
              </w:rPr>
            </w:pPr>
          </w:p>
        </w:tc>
        <w:tc>
          <w:tcPr>
            <w:tcW w:w="1072" w:type="dxa"/>
            <w:noWrap w:val="0"/>
            <w:vAlign w:val="center"/>
          </w:tcPr>
          <w:p>
            <w:pPr>
              <w:spacing w:line="620" w:lineRule="exact"/>
              <w:jc w:val="center"/>
              <w:rPr>
                <w:rFonts w:hint="eastAsia" w:ascii="宋体" w:hAnsi="宋体" w:cs="宋体"/>
                <w:color w:val="auto"/>
                <w:szCs w:val="21"/>
                <w:highlight w:val="none"/>
              </w:rPr>
            </w:pPr>
          </w:p>
        </w:tc>
        <w:tc>
          <w:tcPr>
            <w:tcW w:w="1709" w:type="dxa"/>
            <w:noWrap w:val="0"/>
            <w:vAlign w:val="center"/>
          </w:tcPr>
          <w:p>
            <w:pPr>
              <w:spacing w:line="620" w:lineRule="exact"/>
              <w:jc w:val="center"/>
              <w:rPr>
                <w:rFonts w:hint="eastAsia" w:ascii="宋体" w:hAnsi="宋体" w:cs="宋体"/>
                <w:color w:val="auto"/>
                <w:szCs w:val="21"/>
                <w:highlight w:val="none"/>
              </w:rPr>
            </w:pPr>
          </w:p>
        </w:tc>
        <w:tc>
          <w:tcPr>
            <w:tcW w:w="1252" w:type="dxa"/>
            <w:noWrap w:val="0"/>
            <w:vAlign w:val="top"/>
          </w:tcPr>
          <w:p>
            <w:pPr>
              <w:spacing w:line="620" w:lineRule="exact"/>
              <w:jc w:val="center"/>
              <w:rPr>
                <w:rFonts w:hint="eastAsia" w:ascii="宋体" w:hAnsi="宋体" w:cs="宋体"/>
                <w:color w:val="auto"/>
                <w:szCs w:val="21"/>
                <w:highlight w:val="none"/>
              </w:rPr>
            </w:pPr>
          </w:p>
        </w:tc>
        <w:tc>
          <w:tcPr>
            <w:tcW w:w="818" w:type="dxa"/>
            <w:noWrap w:val="0"/>
            <w:vAlign w:val="top"/>
          </w:tcPr>
          <w:p>
            <w:pPr>
              <w:spacing w:line="62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17" w:type="dxa"/>
            <w:noWrap w:val="0"/>
            <w:vAlign w:val="center"/>
          </w:tcPr>
          <w:p>
            <w:pPr>
              <w:spacing w:line="620" w:lineRule="exact"/>
              <w:jc w:val="center"/>
              <w:rPr>
                <w:rFonts w:hint="eastAsia" w:ascii="宋体" w:hAnsi="宋体" w:cs="宋体"/>
                <w:color w:val="auto"/>
                <w:szCs w:val="21"/>
                <w:highlight w:val="none"/>
              </w:rPr>
            </w:pPr>
          </w:p>
        </w:tc>
        <w:tc>
          <w:tcPr>
            <w:tcW w:w="1701" w:type="dxa"/>
            <w:noWrap w:val="0"/>
            <w:vAlign w:val="center"/>
          </w:tcPr>
          <w:p>
            <w:pPr>
              <w:spacing w:line="620" w:lineRule="exact"/>
              <w:jc w:val="center"/>
              <w:rPr>
                <w:rFonts w:hint="eastAsia" w:ascii="宋体" w:hAnsi="宋体" w:cs="宋体"/>
                <w:color w:val="auto"/>
                <w:szCs w:val="21"/>
                <w:highlight w:val="none"/>
              </w:rPr>
            </w:pPr>
          </w:p>
        </w:tc>
        <w:tc>
          <w:tcPr>
            <w:tcW w:w="1134" w:type="dxa"/>
            <w:noWrap w:val="0"/>
            <w:vAlign w:val="center"/>
          </w:tcPr>
          <w:p>
            <w:pPr>
              <w:spacing w:line="620" w:lineRule="exact"/>
              <w:jc w:val="center"/>
              <w:rPr>
                <w:rFonts w:hint="eastAsia" w:ascii="宋体" w:hAnsi="宋体" w:cs="宋体"/>
                <w:color w:val="auto"/>
                <w:szCs w:val="21"/>
                <w:highlight w:val="none"/>
              </w:rPr>
            </w:pPr>
          </w:p>
        </w:tc>
        <w:tc>
          <w:tcPr>
            <w:tcW w:w="1276" w:type="dxa"/>
            <w:noWrap w:val="0"/>
            <w:vAlign w:val="center"/>
          </w:tcPr>
          <w:p>
            <w:pPr>
              <w:spacing w:line="620" w:lineRule="exact"/>
              <w:jc w:val="center"/>
              <w:rPr>
                <w:rFonts w:hint="eastAsia" w:ascii="宋体" w:hAnsi="宋体" w:cs="宋体"/>
                <w:color w:val="auto"/>
                <w:szCs w:val="21"/>
                <w:highlight w:val="none"/>
              </w:rPr>
            </w:pPr>
          </w:p>
        </w:tc>
        <w:tc>
          <w:tcPr>
            <w:tcW w:w="850" w:type="dxa"/>
            <w:noWrap w:val="0"/>
            <w:vAlign w:val="center"/>
          </w:tcPr>
          <w:p>
            <w:pPr>
              <w:spacing w:line="620" w:lineRule="exact"/>
              <w:jc w:val="center"/>
              <w:rPr>
                <w:rFonts w:hint="eastAsia" w:ascii="宋体" w:hAnsi="宋体" w:cs="宋体"/>
                <w:color w:val="auto"/>
                <w:szCs w:val="21"/>
                <w:highlight w:val="none"/>
              </w:rPr>
            </w:pPr>
          </w:p>
        </w:tc>
        <w:tc>
          <w:tcPr>
            <w:tcW w:w="709" w:type="dxa"/>
            <w:noWrap w:val="0"/>
            <w:vAlign w:val="center"/>
          </w:tcPr>
          <w:p>
            <w:pPr>
              <w:spacing w:line="620" w:lineRule="exact"/>
              <w:jc w:val="center"/>
              <w:rPr>
                <w:rFonts w:hint="eastAsia" w:ascii="宋体" w:hAnsi="宋体" w:cs="宋体"/>
                <w:color w:val="auto"/>
                <w:szCs w:val="21"/>
                <w:highlight w:val="none"/>
              </w:rPr>
            </w:pPr>
          </w:p>
        </w:tc>
        <w:tc>
          <w:tcPr>
            <w:tcW w:w="1417" w:type="dxa"/>
            <w:noWrap w:val="0"/>
            <w:vAlign w:val="center"/>
          </w:tcPr>
          <w:p>
            <w:pPr>
              <w:spacing w:line="620" w:lineRule="exact"/>
              <w:jc w:val="center"/>
              <w:rPr>
                <w:rFonts w:hint="eastAsia" w:ascii="宋体" w:hAnsi="宋体" w:cs="宋体"/>
                <w:color w:val="auto"/>
                <w:szCs w:val="21"/>
                <w:highlight w:val="none"/>
              </w:rPr>
            </w:pPr>
          </w:p>
        </w:tc>
        <w:tc>
          <w:tcPr>
            <w:tcW w:w="1103" w:type="dxa"/>
            <w:noWrap w:val="0"/>
            <w:vAlign w:val="center"/>
          </w:tcPr>
          <w:p>
            <w:pPr>
              <w:spacing w:line="620" w:lineRule="exact"/>
              <w:jc w:val="center"/>
              <w:rPr>
                <w:rFonts w:hint="eastAsia" w:ascii="宋体" w:hAnsi="宋体" w:cs="宋体"/>
                <w:color w:val="auto"/>
                <w:szCs w:val="21"/>
                <w:highlight w:val="none"/>
              </w:rPr>
            </w:pPr>
          </w:p>
        </w:tc>
        <w:tc>
          <w:tcPr>
            <w:tcW w:w="1072" w:type="dxa"/>
            <w:noWrap w:val="0"/>
            <w:vAlign w:val="center"/>
          </w:tcPr>
          <w:p>
            <w:pPr>
              <w:spacing w:line="620" w:lineRule="exact"/>
              <w:jc w:val="center"/>
              <w:rPr>
                <w:rFonts w:hint="eastAsia" w:ascii="宋体" w:hAnsi="宋体" w:cs="宋体"/>
                <w:color w:val="auto"/>
                <w:szCs w:val="21"/>
                <w:highlight w:val="none"/>
              </w:rPr>
            </w:pPr>
          </w:p>
        </w:tc>
        <w:tc>
          <w:tcPr>
            <w:tcW w:w="1709" w:type="dxa"/>
            <w:noWrap w:val="0"/>
            <w:vAlign w:val="center"/>
          </w:tcPr>
          <w:p>
            <w:pPr>
              <w:spacing w:line="620" w:lineRule="exact"/>
              <w:jc w:val="center"/>
              <w:rPr>
                <w:rFonts w:hint="eastAsia" w:ascii="宋体" w:hAnsi="宋体" w:cs="宋体"/>
                <w:color w:val="auto"/>
                <w:szCs w:val="21"/>
                <w:highlight w:val="none"/>
              </w:rPr>
            </w:pPr>
          </w:p>
        </w:tc>
        <w:tc>
          <w:tcPr>
            <w:tcW w:w="1252" w:type="dxa"/>
            <w:noWrap w:val="0"/>
            <w:vAlign w:val="top"/>
          </w:tcPr>
          <w:p>
            <w:pPr>
              <w:spacing w:line="620" w:lineRule="exact"/>
              <w:jc w:val="center"/>
              <w:rPr>
                <w:rFonts w:hint="eastAsia" w:ascii="宋体" w:hAnsi="宋体" w:cs="宋体"/>
                <w:color w:val="auto"/>
                <w:szCs w:val="21"/>
                <w:highlight w:val="none"/>
              </w:rPr>
            </w:pPr>
          </w:p>
        </w:tc>
        <w:tc>
          <w:tcPr>
            <w:tcW w:w="818" w:type="dxa"/>
            <w:noWrap w:val="0"/>
            <w:vAlign w:val="top"/>
          </w:tcPr>
          <w:p>
            <w:pPr>
              <w:spacing w:line="62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17" w:type="dxa"/>
            <w:noWrap w:val="0"/>
            <w:vAlign w:val="center"/>
          </w:tcPr>
          <w:p>
            <w:pPr>
              <w:spacing w:line="620" w:lineRule="exact"/>
              <w:jc w:val="center"/>
              <w:rPr>
                <w:rFonts w:hint="eastAsia" w:ascii="宋体" w:hAnsi="宋体" w:cs="宋体"/>
                <w:color w:val="auto"/>
                <w:szCs w:val="21"/>
                <w:highlight w:val="none"/>
              </w:rPr>
            </w:pPr>
          </w:p>
        </w:tc>
        <w:tc>
          <w:tcPr>
            <w:tcW w:w="1701" w:type="dxa"/>
            <w:noWrap w:val="0"/>
            <w:vAlign w:val="center"/>
          </w:tcPr>
          <w:p>
            <w:pPr>
              <w:spacing w:line="620" w:lineRule="exact"/>
              <w:jc w:val="center"/>
              <w:rPr>
                <w:rFonts w:hint="eastAsia" w:ascii="宋体" w:hAnsi="宋体" w:cs="宋体"/>
                <w:color w:val="auto"/>
                <w:szCs w:val="21"/>
                <w:highlight w:val="none"/>
              </w:rPr>
            </w:pPr>
          </w:p>
        </w:tc>
        <w:tc>
          <w:tcPr>
            <w:tcW w:w="1134" w:type="dxa"/>
            <w:noWrap w:val="0"/>
            <w:vAlign w:val="center"/>
          </w:tcPr>
          <w:p>
            <w:pPr>
              <w:spacing w:line="620" w:lineRule="exact"/>
              <w:jc w:val="center"/>
              <w:rPr>
                <w:rFonts w:hint="eastAsia" w:ascii="宋体" w:hAnsi="宋体" w:cs="宋体"/>
                <w:color w:val="auto"/>
                <w:szCs w:val="21"/>
                <w:highlight w:val="none"/>
              </w:rPr>
            </w:pPr>
          </w:p>
        </w:tc>
        <w:tc>
          <w:tcPr>
            <w:tcW w:w="1276" w:type="dxa"/>
            <w:noWrap w:val="0"/>
            <w:vAlign w:val="center"/>
          </w:tcPr>
          <w:p>
            <w:pPr>
              <w:spacing w:line="620" w:lineRule="exact"/>
              <w:jc w:val="center"/>
              <w:rPr>
                <w:rFonts w:hint="eastAsia" w:ascii="宋体" w:hAnsi="宋体" w:cs="宋体"/>
                <w:color w:val="auto"/>
                <w:szCs w:val="21"/>
                <w:highlight w:val="none"/>
              </w:rPr>
            </w:pPr>
          </w:p>
        </w:tc>
        <w:tc>
          <w:tcPr>
            <w:tcW w:w="850" w:type="dxa"/>
            <w:noWrap w:val="0"/>
            <w:vAlign w:val="center"/>
          </w:tcPr>
          <w:p>
            <w:pPr>
              <w:spacing w:line="620" w:lineRule="exact"/>
              <w:jc w:val="center"/>
              <w:rPr>
                <w:rFonts w:hint="eastAsia" w:ascii="宋体" w:hAnsi="宋体" w:cs="宋体"/>
                <w:color w:val="auto"/>
                <w:szCs w:val="21"/>
                <w:highlight w:val="none"/>
              </w:rPr>
            </w:pPr>
          </w:p>
        </w:tc>
        <w:tc>
          <w:tcPr>
            <w:tcW w:w="709" w:type="dxa"/>
            <w:noWrap w:val="0"/>
            <w:vAlign w:val="center"/>
          </w:tcPr>
          <w:p>
            <w:pPr>
              <w:spacing w:line="620" w:lineRule="exact"/>
              <w:jc w:val="center"/>
              <w:rPr>
                <w:rFonts w:hint="eastAsia" w:ascii="宋体" w:hAnsi="宋体" w:cs="宋体"/>
                <w:color w:val="auto"/>
                <w:szCs w:val="21"/>
                <w:highlight w:val="none"/>
              </w:rPr>
            </w:pPr>
          </w:p>
        </w:tc>
        <w:tc>
          <w:tcPr>
            <w:tcW w:w="1417" w:type="dxa"/>
            <w:noWrap w:val="0"/>
            <w:vAlign w:val="center"/>
          </w:tcPr>
          <w:p>
            <w:pPr>
              <w:spacing w:line="620" w:lineRule="exact"/>
              <w:jc w:val="center"/>
              <w:rPr>
                <w:rFonts w:hint="eastAsia" w:ascii="宋体" w:hAnsi="宋体" w:cs="宋体"/>
                <w:color w:val="auto"/>
                <w:szCs w:val="21"/>
                <w:highlight w:val="none"/>
              </w:rPr>
            </w:pPr>
          </w:p>
        </w:tc>
        <w:tc>
          <w:tcPr>
            <w:tcW w:w="1103" w:type="dxa"/>
            <w:noWrap w:val="0"/>
            <w:vAlign w:val="center"/>
          </w:tcPr>
          <w:p>
            <w:pPr>
              <w:spacing w:line="620" w:lineRule="exact"/>
              <w:jc w:val="center"/>
              <w:rPr>
                <w:rFonts w:hint="eastAsia" w:ascii="宋体" w:hAnsi="宋体" w:cs="宋体"/>
                <w:color w:val="auto"/>
                <w:szCs w:val="21"/>
                <w:highlight w:val="none"/>
              </w:rPr>
            </w:pPr>
          </w:p>
        </w:tc>
        <w:tc>
          <w:tcPr>
            <w:tcW w:w="1072" w:type="dxa"/>
            <w:noWrap w:val="0"/>
            <w:vAlign w:val="center"/>
          </w:tcPr>
          <w:p>
            <w:pPr>
              <w:spacing w:line="620" w:lineRule="exact"/>
              <w:jc w:val="center"/>
              <w:rPr>
                <w:rFonts w:hint="eastAsia" w:ascii="宋体" w:hAnsi="宋体" w:cs="宋体"/>
                <w:color w:val="auto"/>
                <w:szCs w:val="21"/>
                <w:highlight w:val="none"/>
              </w:rPr>
            </w:pPr>
          </w:p>
        </w:tc>
        <w:tc>
          <w:tcPr>
            <w:tcW w:w="1709" w:type="dxa"/>
            <w:noWrap w:val="0"/>
            <w:vAlign w:val="center"/>
          </w:tcPr>
          <w:p>
            <w:pPr>
              <w:spacing w:line="620" w:lineRule="exact"/>
              <w:jc w:val="center"/>
              <w:rPr>
                <w:rFonts w:hint="eastAsia" w:ascii="宋体" w:hAnsi="宋体" w:cs="宋体"/>
                <w:color w:val="auto"/>
                <w:szCs w:val="21"/>
                <w:highlight w:val="none"/>
              </w:rPr>
            </w:pPr>
          </w:p>
        </w:tc>
        <w:tc>
          <w:tcPr>
            <w:tcW w:w="1252" w:type="dxa"/>
            <w:noWrap w:val="0"/>
            <w:vAlign w:val="top"/>
          </w:tcPr>
          <w:p>
            <w:pPr>
              <w:spacing w:line="620" w:lineRule="exact"/>
              <w:jc w:val="center"/>
              <w:rPr>
                <w:rFonts w:hint="eastAsia" w:ascii="宋体" w:hAnsi="宋体" w:cs="宋体"/>
                <w:color w:val="auto"/>
                <w:szCs w:val="21"/>
                <w:highlight w:val="none"/>
              </w:rPr>
            </w:pPr>
          </w:p>
        </w:tc>
        <w:tc>
          <w:tcPr>
            <w:tcW w:w="818" w:type="dxa"/>
            <w:noWrap w:val="0"/>
            <w:vAlign w:val="top"/>
          </w:tcPr>
          <w:p>
            <w:pPr>
              <w:spacing w:line="62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17" w:type="dxa"/>
            <w:noWrap w:val="0"/>
            <w:vAlign w:val="center"/>
          </w:tcPr>
          <w:p>
            <w:pPr>
              <w:spacing w:line="620" w:lineRule="exact"/>
              <w:jc w:val="center"/>
              <w:rPr>
                <w:rFonts w:hint="eastAsia" w:ascii="宋体" w:hAnsi="宋体" w:cs="宋体"/>
                <w:color w:val="auto"/>
                <w:szCs w:val="21"/>
                <w:highlight w:val="none"/>
              </w:rPr>
            </w:pPr>
          </w:p>
        </w:tc>
        <w:tc>
          <w:tcPr>
            <w:tcW w:w="1701" w:type="dxa"/>
            <w:noWrap w:val="0"/>
            <w:vAlign w:val="center"/>
          </w:tcPr>
          <w:p>
            <w:pPr>
              <w:spacing w:line="620" w:lineRule="exact"/>
              <w:jc w:val="center"/>
              <w:rPr>
                <w:rFonts w:hint="eastAsia" w:ascii="宋体" w:hAnsi="宋体" w:cs="宋体"/>
                <w:color w:val="auto"/>
                <w:szCs w:val="21"/>
                <w:highlight w:val="none"/>
              </w:rPr>
            </w:pPr>
          </w:p>
        </w:tc>
        <w:tc>
          <w:tcPr>
            <w:tcW w:w="1134" w:type="dxa"/>
            <w:noWrap w:val="0"/>
            <w:vAlign w:val="center"/>
          </w:tcPr>
          <w:p>
            <w:pPr>
              <w:spacing w:line="620" w:lineRule="exact"/>
              <w:jc w:val="center"/>
              <w:rPr>
                <w:rFonts w:hint="eastAsia" w:ascii="宋体" w:hAnsi="宋体" w:cs="宋体"/>
                <w:color w:val="auto"/>
                <w:szCs w:val="21"/>
                <w:highlight w:val="none"/>
              </w:rPr>
            </w:pPr>
          </w:p>
        </w:tc>
        <w:tc>
          <w:tcPr>
            <w:tcW w:w="1276" w:type="dxa"/>
            <w:noWrap w:val="0"/>
            <w:vAlign w:val="center"/>
          </w:tcPr>
          <w:p>
            <w:pPr>
              <w:spacing w:line="620" w:lineRule="exact"/>
              <w:jc w:val="center"/>
              <w:rPr>
                <w:rFonts w:hint="eastAsia" w:ascii="宋体" w:hAnsi="宋体" w:cs="宋体"/>
                <w:color w:val="auto"/>
                <w:szCs w:val="21"/>
                <w:highlight w:val="none"/>
              </w:rPr>
            </w:pPr>
          </w:p>
        </w:tc>
        <w:tc>
          <w:tcPr>
            <w:tcW w:w="850" w:type="dxa"/>
            <w:noWrap w:val="0"/>
            <w:vAlign w:val="center"/>
          </w:tcPr>
          <w:p>
            <w:pPr>
              <w:spacing w:line="620" w:lineRule="exact"/>
              <w:jc w:val="center"/>
              <w:rPr>
                <w:rFonts w:hint="eastAsia" w:ascii="宋体" w:hAnsi="宋体" w:cs="宋体"/>
                <w:color w:val="auto"/>
                <w:szCs w:val="21"/>
                <w:highlight w:val="none"/>
              </w:rPr>
            </w:pPr>
          </w:p>
        </w:tc>
        <w:tc>
          <w:tcPr>
            <w:tcW w:w="709" w:type="dxa"/>
            <w:noWrap w:val="0"/>
            <w:vAlign w:val="center"/>
          </w:tcPr>
          <w:p>
            <w:pPr>
              <w:spacing w:line="620" w:lineRule="exact"/>
              <w:jc w:val="center"/>
              <w:rPr>
                <w:rFonts w:hint="eastAsia" w:ascii="宋体" w:hAnsi="宋体" w:cs="宋体"/>
                <w:color w:val="auto"/>
                <w:szCs w:val="21"/>
                <w:highlight w:val="none"/>
              </w:rPr>
            </w:pPr>
          </w:p>
        </w:tc>
        <w:tc>
          <w:tcPr>
            <w:tcW w:w="1417" w:type="dxa"/>
            <w:noWrap w:val="0"/>
            <w:vAlign w:val="center"/>
          </w:tcPr>
          <w:p>
            <w:pPr>
              <w:spacing w:line="620" w:lineRule="exact"/>
              <w:jc w:val="center"/>
              <w:rPr>
                <w:rFonts w:hint="eastAsia" w:ascii="宋体" w:hAnsi="宋体" w:cs="宋体"/>
                <w:color w:val="auto"/>
                <w:szCs w:val="21"/>
                <w:highlight w:val="none"/>
              </w:rPr>
            </w:pPr>
          </w:p>
        </w:tc>
        <w:tc>
          <w:tcPr>
            <w:tcW w:w="1103" w:type="dxa"/>
            <w:noWrap w:val="0"/>
            <w:vAlign w:val="center"/>
          </w:tcPr>
          <w:p>
            <w:pPr>
              <w:spacing w:line="620" w:lineRule="exact"/>
              <w:jc w:val="center"/>
              <w:rPr>
                <w:rFonts w:hint="eastAsia" w:ascii="宋体" w:hAnsi="宋体" w:cs="宋体"/>
                <w:color w:val="auto"/>
                <w:szCs w:val="21"/>
                <w:highlight w:val="none"/>
              </w:rPr>
            </w:pPr>
          </w:p>
        </w:tc>
        <w:tc>
          <w:tcPr>
            <w:tcW w:w="1072" w:type="dxa"/>
            <w:noWrap w:val="0"/>
            <w:vAlign w:val="center"/>
          </w:tcPr>
          <w:p>
            <w:pPr>
              <w:spacing w:line="620" w:lineRule="exact"/>
              <w:jc w:val="center"/>
              <w:rPr>
                <w:rFonts w:hint="eastAsia" w:ascii="宋体" w:hAnsi="宋体" w:cs="宋体"/>
                <w:color w:val="auto"/>
                <w:szCs w:val="21"/>
                <w:highlight w:val="none"/>
              </w:rPr>
            </w:pPr>
          </w:p>
        </w:tc>
        <w:tc>
          <w:tcPr>
            <w:tcW w:w="1709" w:type="dxa"/>
            <w:noWrap w:val="0"/>
            <w:vAlign w:val="center"/>
          </w:tcPr>
          <w:p>
            <w:pPr>
              <w:spacing w:line="620" w:lineRule="exact"/>
              <w:jc w:val="center"/>
              <w:rPr>
                <w:rFonts w:hint="eastAsia" w:ascii="宋体" w:hAnsi="宋体" w:cs="宋体"/>
                <w:color w:val="auto"/>
                <w:szCs w:val="21"/>
                <w:highlight w:val="none"/>
              </w:rPr>
            </w:pPr>
          </w:p>
        </w:tc>
        <w:tc>
          <w:tcPr>
            <w:tcW w:w="1252" w:type="dxa"/>
            <w:noWrap w:val="0"/>
            <w:vAlign w:val="top"/>
          </w:tcPr>
          <w:p>
            <w:pPr>
              <w:spacing w:line="620" w:lineRule="exact"/>
              <w:jc w:val="center"/>
              <w:rPr>
                <w:rFonts w:hint="eastAsia" w:ascii="宋体" w:hAnsi="宋体" w:cs="宋体"/>
                <w:color w:val="auto"/>
                <w:szCs w:val="21"/>
                <w:highlight w:val="none"/>
              </w:rPr>
            </w:pPr>
          </w:p>
        </w:tc>
        <w:tc>
          <w:tcPr>
            <w:tcW w:w="818" w:type="dxa"/>
            <w:noWrap w:val="0"/>
            <w:vAlign w:val="top"/>
          </w:tcPr>
          <w:p>
            <w:pPr>
              <w:spacing w:line="620" w:lineRule="exact"/>
              <w:jc w:val="center"/>
              <w:rPr>
                <w:rFonts w:hint="eastAsia" w:ascii="宋体" w:hAnsi="宋体" w:cs="宋体"/>
                <w:color w:val="auto"/>
                <w:szCs w:val="21"/>
                <w:highlight w:val="none"/>
              </w:rPr>
            </w:pPr>
          </w:p>
        </w:tc>
      </w:tr>
    </w:tbl>
    <w:p>
      <w:pPr>
        <w:spacing w:line="620" w:lineRule="exact"/>
        <w:ind w:firstLine="1260" w:firstLineChars="600"/>
        <w:rPr>
          <w:rFonts w:hint="eastAsia" w:ascii="宋体" w:hAnsi="宋体" w:cs="宋体"/>
          <w:color w:val="auto"/>
          <w:szCs w:val="21"/>
          <w:highlight w:val="none"/>
        </w:rPr>
        <w:sectPr>
          <w:pgSz w:w="16840" w:h="11907" w:orient="landscape"/>
          <w:pgMar w:top="1797" w:right="1440" w:bottom="1797" w:left="1440" w:header="851" w:footer="992" w:gutter="0"/>
          <w:cols w:space="720" w:num="1"/>
          <w:docGrid w:linePitch="312" w:charSpace="0"/>
        </w:sectPr>
      </w:pPr>
      <w:r>
        <w:rPr>
          <w:rFonts w:hint="eastAsia" w:ascii="宋体" w:hAnsi="宋体" w:cs="宋体"/>
          <w:color w:val="auto"/>
          <w:szCs w:val="21"/>
          <w:highlight w:val="none"/>
        </w:rPr>
        <w:t>招标代理代表：                  招标人代表：               交易中心见证人：</w:t>
      </w:r>
    </w:p>
    <w:p>
      <w:pPr>
        <w:pStyle w:val="2"/>
        <w:spacing w:line="240" w:lineRule="auto"/>
        <w:jc w:val="center"/>
        <w:rPr>
          <w:rFonts w:hint="eastAsia" w:ascii="宋体" w:hAnsi="宋体" w:cs="宋体"/>
          <w:color w:val="auto"/>
          <w:highlight w:val="none"/>
        </w:rPr>
      </w:pPr>
      <w:bookmarkStart w:id="298" w:name="_Toc505152699"/>
      <w:bookmarkStart w:id="299" w:name="_Toc3845"/>
      <w:r>
        <w:rPr>
          <w:rFonts w:hint="eastAsia" w:ascii="宋体" w:hAnsi="宋体" w:cs="宋体"/>
          <w:color w:val="auto"/>
          <w:highlight w:val="none"/>
        </w:rPr>
        <w:t>第二章 评标办法（综合评分法）</w:t>
      </w:r>
      <w:bookmarkEnd w:id="298"/>
      <w:bookmarkEnd w:id="299"/>
    </w:p>
    <w:p>
      <w:pPr>
        <w:jc w:val="center"/>
        <w:rPr>
          <w:rFonts w:hint="eastAsia" w:ascii="宋体" w:hAnsi="宋体" w:cs="宋体"/>
          <w:b/>
          <w:color w:val="auto"/>
          <w:sz w:val="28"/>
          <w:highlight w:val="none"/>
        </w:rPr>
      </w:pPr>
      <w:r>
        <w:rPr>
          <w:rFonts w:hint="eastAsia" w:ascii="宋体" w:hAnsi="宋体" w:cs="宋体"/>
          <w:b/>
          <w:color w:val="auto"/>
          <w:sz w:val="28"/>
          <w:highlight w:val="none"/>
        </w:rPr>
        <w:t>评标办法前附表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1575"/>
        <w:gridCol w:w="50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tblHeader/>
        </w:trPr>
        <w:tc>
          <w:tcPr>
            <w:tcW w:w="2415" w:type="dxa"/>
            <w:gridSpan w:val="2"/>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条款号</w:t>
            </w:r>
          </w:p>
        </w:tc>
        <w:tc>
          <w:tcPr>
            <w:tcW w:w="1575" w:type="dxa"/>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评审因素</w:t>
            </w:r>
          </w:p>
        </w:tc>
        <w:tc>
          <w:tcPr>
            <w:tcW w:w="5038" w:type="dxa"/>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0" w:type="dxa"/>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2.1.1</w:t>
            </w:r>
          </w:p>
        </w:tc>
        <w:tc>
          <w:tcPr>
            <w:tcW w:w="1575" w:type="dxa"/>
            <w:noWrap w:val="0"/>
            <w:vAlign w:val="center"/>
          </w:tcPr>
          <w:p>
            <w:pPr>
              <w:spacing w:line="300" w:lineRule="exact"/>
              <w:jc w:val="center"/>
              <w:rPr>
                <w:rFonts w:hint="eastAsia" w:ascii="宋体" w:hAnsi="宋体" w:cs="宋体"/>
                <w:color w:val="auto"/>
                <w:szCs w:val="21"/>
                <w:highlight w:val="none"/>
                <w:u w:val="single"/>
              </w:rPr>
            </w:pPr>
            <w:r>
              <w:rPr>
                <w:rFonts w:hint="eastAsia" w:ascii="宋体" w:hAnsi="宋体"/>
                <w:color w:val="auto"/>
                <w:szCs w:val="21"/>
                <w:highlight w:val="none"/>
              </w:rPr>
              <w:t>资格审查</w:t>
            </w:r>
          </w:p>
        </w:tc>
        <w:tc>
          <w:tcPr>
            <w:tcW w:w="6613" w:type="dxa"/>
            <w:gridSpan w:val="2"/>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见附表1《资格审查表》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0" w:type="dxa"/>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2.1.2</w:t>
            </w:r>
          </w:p>
        </w:tc>
        <w:tc>
          <w:tcPr>
            <w:tcW w:w="1575" w:type="dxa"/>
            <w:noWrap w:val="0"/>
            <w:vAlign w:val="center"/>
          </w:tcPr>
          <w:p>
            <w:pPr>
              <w:spacing w:line="300" w:lineRule="exact"/>
              <w:jc w:val="center"/>
              <w:rPr>
                <w:rFonts w:hint="eastAsia" w:ascii="宋体" w:hAnsi="宋体" w:cs="宋体"/>
                <w:color w:val="auto"/>
                <w:szCs w:val="21"/>
                <w:highlight w:val="none"/>
                <w:u w:val="single"/>
              </w:rPr>
            </w:pPr>
            <w:r>
              <w:rPr>
                <w:rFonts w:hint="eastAsia" w:ascii="宋体" w:hAnsi="宋体"/>
                <w:color w:val="auto"/>
                <w:szCs w:val="21"/>
                <w:highlight w:val="none"/>
              </w:rPr>
              <w:t>设计方案投标文件有效性审查</w:t>
            </w:r>
          </w:p>
        </w:tc>
        <w:tc>
          <w:tcPr>
            <w:tcW w:w="6613" w:type="dxa"/>
            <w:gridSpan w:val="2"/>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见附表2《设计方案投标文件有效性审查表》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40" w:type="dxa"/>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2.1.3</w:t>
            </w:r>
          </w:p>
        </w:tc>
        <w:tc>
          <w:tcPr>
            <w:tcW w:w="1575" w:type="dxa"/>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工程总承包实施方案投标文件有效性审查</w:t>
            </w:r>
          </w:p>
        </w:tc>
        <w:tc>
          <w:tcPr>
            <w:tcW w:w="6613" w:type="dxa"/>
            <w:gridSpan w:val="2"/>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见附表3《工程总承包实施方案投标文件有效性审查表》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415" w:type="dxa"/>
            <w:gridSpan w:val="2"/>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条款号</w:t>
            </w:r>
          </w:p>
        </w:tc>
        <w:tc>
          <w:tcPr>
            <w:tcW w:w="1575" w:type="dxa"/>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条款内容</w:t>
            </w:r>
          </w:p>
        </w:tc>
        <w:tc>
          <w:tcPr>
            <w:tcW w:w="5038" w:type="dxa"/>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9" w:hRule="atLeast"/>
        </w:trPr>
        <w:tc>
          <w:tcPr>
            <w:tcW w:w="2415" w:type="dxa"/>
            <w:gridSpan w:val="2"/>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2.2.1</w:t>
            </w:r>
          </w:p>
        </w:tc>
        <w:tc>
          <w:tcPr>
            <w:tcW w:w="1575" w:type="dxa"/>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分值构成及权重</w:t>
            </w:r>
          </w:p>
        </w:tc>
        <w:tc>
          <w:tcPr>
            <w:tcW w:w="5038" w:type="dxa"/>
            <w:noWrap w:val="0"/>
            <w:vAlign w:val="center"/>
          </w:tcPr>
          <w:p>
            <w:pPr>
              <w:pStyle w:val="17"/>
              <w:spacing w:line="240" w:lineRule="auto"/>
              <w:ind w:firstLine="41"/>
              <w:rPr>
                <w:rFonts w:hint="eastAsia" w:ascii="宋体" w:hAnsi="宋体" w:cs="宋体"/>
                <w:color w:val="auto"/>
                <w:highlight w:val="none"/>
              </w:rPr>
            </w:pPr>
            <w:r>
              <w:rPr>
                <w:rFonts w:hint="eastAsia" w:ascii="宋体" w:hAnsi="宋体"/>
                <w:color w:val="auto"/>
                <w:kern w:val="2"/>
                <w:sz w:val="21"/>
                <w:szCs w:val="21"/>
                <w:highlight w:val="none"/>
              </w:rPr>
              <w:t>投标人总得分（满分为100分），</w:t>
            </w:r>
            <w:r>
              <w:rPr>
                <w:rFonts w:hint="eastAsia" w:ascii="宋体" w:hAnsi="宋体"/>
                <w:color w:val="auto"/>
                <w:kern w:val="2"/>
                <w:sz w:val="21"/>
                <w:szCs w:val="21"/>
                <w:highlight w:val="none"/>
                <w:u w:val="single"/>
              </w:rPr>
              <w:t>总分=设计方案得分（满分为100分）×权重</w:t>
            </w:r>
            <w:r>
              <w:rPr>
                <w:rFonts w:ascii="宋体" w:hAnsi="宋体"/>
                <w:color w:val="auto"/>
                <w:kern w:val="2"/>
                <w:sz w:val="21"/>
                <w:szCs w:val="21"/>
                <w:highlight w:val="none"/>
                <w:u w:val="single"/>
              </w:rPr>
              <w:t>3</w:t>
            </w:r>
            <w:r>
              <w:rPr>
                <w:rFonts w:hint="eastAsia" w:ascii="宋体" w:hAnsi="宋体"/>
                <w:color w:val="auto"/>
                <w:kern w:val="2"/>
                <w:sz w:val="21"/>
                <w:szCs w:val="21"/>
                <w:highlight w:val="none"/>
                <w:u w:val="single"/>
              </w:rPr>
              <w:t>0%</w:t>
            </w:r>
            <w:r>
              <w:rPr>
                <w:rFonts w:ascii="宋体" w:hAnsi="宋体"/>
                <w:color w:val="auto"/>
                <w:kern w:val="2"/>
                <w:sz w:val="21"/>
                <w:szCs w:val="21"/>
                <w:highlight w:val="none"/>
                <w:u w:val="single"/>
              </w:rPr>
              <w:t>+</w:t>
            </w:r>
            <w:r>
              <w:rPr>
                <w:rFonts w:hint="eastAsia" w:ascii="宋体" w:hAnsi="宋体"/>
                <w:color w:val="auto"/>
                <w:kern w:val="2"/>
                <w:sz w:val="21"/>
                <w:szCs w:val="21"/>
                <w:highlight w:val="none"/>
                <w:u w:val="single"/>
              </w:rPr>
              <w:t>工程总承包实施方案得分（满分为100分）×权重</w:t>
            </w:r>
            <w:r>
              <w:rPr>
                <w:rFonts w:hint="eastAsia" w:ascii="宋体" w:hAnsi="宋体"/>
                <w:color w:val="auto"/>
                <w:kern w:val="2"/>
                <w:sz w:val="21"/>
                <w:szCs w:val="21"/>
                <w:highlight w:val="none"/>
                <w:u w:val="single"/>
                <w:lang w:eastAsia="zh-CN"/>
              </w:rPr>
              <w:t>3</w:t>
            </w:r>
            <w:r>
              <w:rPr>
                <w:rFonts w:hint="eastAsia" w:ascii="宋体" w:hAnsi="宋体"/>
                <w:color w:val="auto"/>
                <w:kern w:val="2"/>
                <w:sz w:val="21"/>
                <w:szCs w:val="21"/>
                <w:highlight w:val="none"/>
                <w:u w:val="single"/>
                <w:lang w:val="en-US" w:eastAsia="zh-CN"/>
              </w:rPr>
              <w:t>5</w:t>
            </w:r>
            <w:r>
              <w:rPr>
                <w:rFonts w:hint="eastAsia" w:ascii="宋体" w:hAnsi="宋体"/>
                <w:color w:val="auto"/>
                <w:kern w:val="2"/>
                <w:sz w:val="21"/>
                <w:szCs w:val="21"/>
                <w:highlight w:val="none"/>
                <w:u w:val="single"/>
              </w:rPr>
              <w:t>%+投标报价得分（满分为100分）×权重</w:t>
            </w:r>
            <w:r>
              <w:rPr>
                <w:rFonts w:ascii="宋体" w:hAnsi="宋体"/>
                <w:color w:val="auto"/>
                <w:kern w:val="2"/>
                <w:sz w:val="21"/>
                <w:szCs w:val="21"/>
                <w:highlight w:val="none"/>
                <w:u w:val="single"/>
              </w:rPr>
              <w:t>3</w:t>
            </w:r>
            <w:r>
              <w:rPr>
                <w:rFonts w:hint="eastAsia" w:ascii="宋体" w:hAnsi="宋体"/>
                <w:color w:val="auto"/>
                <w:kern w:val="2"/>
                <w:sz w:val="21"/>
                <w:szCs w:val="21"/>
                <w:highlight w:val="none"/>
                <w:u w:val="single"/>
                <w:lang w:eastAsia="zh-CN"/>
              </w:rPr>
              <w:t>5</w:t>
            </w:r>
            <w:r>
              <w:rPr>
                <w:rFonts w:hint="eastAsia" w:ascii="宋体" w:hAnsi="宋体"/>
                <w:color w:val="auto"/>
                <w:kern w:val="2"/>
                <w:sz w:val="21"/>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2415" w:type="dxa"/>
            <w:gridSpan w:val="2"/>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b/>
                <w:color w:val="auto"/>
                <w:szCs w:val="21"/>
                <w:highlight w:val="none"/>
              </w:rPr>
              <w:t>条款号</w:t>
            </w:r>
          </w:p>
        </w:tc>
        <w:tc>
          <w:tcPr>
            <w:tcW w:w="1575" w:type="dxa"/>
            <w:tcBorders>
              <w:right w:val="single" w:color="auto" w:sz="4" w:space="0"/>
            </w:tcBorders>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评分因素</w:t>
            </w:r>
          </w:p>
        </w:tc>
        <w:tc>
          <w:tcPr>
            <w:tcW w:w="5038" w:type="dxa"/>
            <w:tcBorders>
              <w:lef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trPr>
        <w:tc>
          <w:tcPr>
            <w:tcW w:w="840" w:type="dxa"/>
            <w:tcBorders>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2.2.2（1）</w:t>
            </w:r>
          </w:p>
        </w:tc>
        <w:tc>
          <w:tcPr>
            <w:tcW w:w="1575" w:type="dxa"/>
            <w:tcBorders>
              <w:lef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设计方案投标文件详细审查评分</w:t>
            </w:r>
          </w:p>
        </w:tc>
        <w:tc>
          <w:tcPr>
            <w:tcW w:w="1575" w:type="dxa"/>
            <w:tcBorders>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设计方案</w:t>
            </w:r>
          </w:p>
        </w:tc>
        <w:tc>
          <w:tcPr>
            <w:tcW w:w="5038" w:type="dxa"/>
            <w:tcBorders>
              <w:lef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见附表4《设计方案投标文件详细审查评分表》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1" w:hRule="atLeast"/>
        </w:trPr>
        <w:tc>
          <w:tcPr>
            <w:tcW w:w="840" w:type="dxa"/>
            <w:tcBorders>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2.2.2</w:t>
            </w:r>
          </w:p>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575" w:type="dxa"/>
            <w:tcBorders>
              <w:lef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工程总承包实施方案投标文件详细审查评分</w:t>
            </w:r>
          </w:p>
        </w:tc>
        <w:tc>
          <w:tcPr>
            <w:tcW w:w="1575" w:type="dxa"/>
            <w:tcBorders>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olor w:val="auto"/>
                <w:szCs w:val="21"/>
                <w:highlight w:val="none"/>
              </w:rPr>
              <w:t>工程总承包实施方案</w:t>
            </w:r>
          </w:p>
        </w:tc>
        <w:tc>
          <w:tcPr>
            <w:tcW w:w="5038" w:type="dxa"/>
            <w:tcBorders>
              <w:left w:val="single" w:color="auto" w:sz="4" w:space="0"/>
            </w:tcBorders>
            <w:noWrap w:val="0"/>
            <w:vAlign w:val="center"/>
          </w:tcPr>
          <w:p>
            <w:pPr>
              <w:spacing w:line="300" w:lineRule="exact"/>
              <w:jc w:val="left"/>
              <w:rPr>
                <w:rFonts w:hint="eastAsia" w:ascii="宋体" w:hAnsi="宋体"/>
                <w:strike/>
                <w:color w:val="auto"/>
                <w:szCs w:val="21"/>
                <w:highlight w:val="none"/>
              </w:rPr>
            </w:pPr>
            <w:r>
              <w:rPr>
                <w:rFonts w:hint="eastAsia" w:ascii="宋体" w:hAnsi="宋体"/>
                <w:color w:val="auto"/>
                <w:szCs w:val="21"/>
                <w:highlight w:val="none"/>
              </w:rPr>
              <w:t>见附表5《工程总承包实施方案投标文件详细审查评分表》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trPr>
        <w:tc>
          <w:tcPr>
            <w:tcW w:w="840" w:type="dxa"/>
            <w:noWrap w:val="0"/>
            <w:vAlign w:val="center"/>
          </w:tcPr>
          <w:p>
            <w:pPr>
              <w:spacing w:line="300" w:lineRule="exact"/>
              <w:jc w:val="center"/>
              <w:rPr>
                <w:rFonts w:hint="eastAsia" w:ascii="宋体" w:hAnsi="宋体"/>
                <w:color w:val="auto"/>
                <w:szCs w:val="21"/>
                <w:highlight w:val="none"/>
              </w:rPr>
            </w:pPr>
            <w:r>
              <w:rPr>
                <w:rFonts w:hint="eastAsia" w:ascii="宋体" w:hAnsi="宋体"/>
                <w:color w:val="auto"/>
                <w:szCs w:val="21"/>
                <w:highlight w:val="none"/>
              </w:rPr>
              <w:t>2.2.2（3）</w:t>
            </w:r>
          </w:p>
        </w:tc>
        <w:tc>
          <w:tcPr>
            <w:tcW w:w="1575" w:type="dxa"/>
            <w:noWrap w:val="0"/>
            <w:vAlign w:val="center"/>
          </w:tcPr>
          <w:p>
            <w:pPr>
              <w:spacing w:line="300" w:lineRule="exact"/>
              <w:jc w:val="center"/>
              <w:rPr>
                <w:rFonts w:hint="eastAsia" w:ascii="宋体" w:hAnsi="宋体"/>
                <w:color w:val="auto"/>
                <w:szCs w:val="21"/>
                <w:highlight w:val="none"/>
              </w:rPr>
            </w:pPr>
            <w:r>
              <w:rPr>
                <w:rFonts w:hint="eastAsia" w:ascii="宋体" w:hAnsi="宋体"/>
                <w:color w:val="auto"/>
                <w:szCs w:val="21"/>
                <w:highlight w:val="none"/>
              </w:rPr>
              <w:t>经济标评分</w:t>
            </w:r>
          </w:p>
        </w:tc>
        <w:tc>
          <w:tcPr>
            <w:tcW w:w="1575" w:type="dxa"/>
            <w:noWrap w:val="0"/>
            <w:vAlign w:val="center"/>
          </w:tcPr>
          <w:p>
            <w:pPr>
              <w:spacing w:line="300" w:lineRule="exact"/>
              <w:jc w:val="center"/>
              <w:rPr>
                <w:rFonts w:hint="eastAsia" w:ascii="宋体" w:hAnsi="宋体"/>
                <w:color w:val="auto"/>
                <w:szCs w:val="21"/>
                <w:highlight w:val="none"/>
              </w:rPr>
            </w:pPr>
            <w:r>
              <w:rPr>
                <w:rFonts w:hint="eastAsia" w:ascii="宋体" w:hAnsi="宋体"/>
                <w:color w:val="auto"/>
                <w:szCs w:val="21"/>
                <w:highlight w:val="none"/>
              </w:rPr>
              <w:t>投标报价</w:t>
            </w:r>
          </w:p>
        </w:tc>
        <w:tc>
          <w:tcPr>
            <w:tcW w:w="5038" w:type="dxa"/>
            <w:noWrap w:val="0"/>
            <w:vAlign w:val="center"/>
          </w:tcPr>
          <w:p>
            <w:pPr>
              <w:spacing w:line="300" w:lineRule="exact"/>
              <w:rPr>
                <w:rFonts w:hint="eastAsia" w:ascii="宋体" w:hAnsi="宋体"/>
                <w:color w:val="auto"/>
                <w:szCs w:val="21"/>
                <w:highlight w:val="none"/>
              </w:rPr>
            </w:pPr>
            <w:r>
              <w:rPr>
                <w:rFonts w:hint="eastAsia" w:ascii="宋体" w:hAnsi="宋体"/>
                <w:color w:val="auto"/>
                <w:szCs w:val="21"/>
                <w:highlight w:val="none"/>
              </w:rPr>
              <w:t>见附表6《投标报价综合评分表》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trPr>
        <w:tc>
          <w:tcPr>
            <w:tcW w:w="9028" w:type="dxa"/>
            <w:gridSpan w:val="4"/>
            <w:noWrap w:val="0"/>
            <w:vAlign w:val="center"/>
          </w:tcPr>
          <w:p>
            <w:pPr>
              <w:spacing w:line="300" w:lineRule="exact"/>
              <w:rPr>
                <w:rFonts w:hint="eastAsia" w:ascii="宋体" w:hAnsi="宋体"/>
                <w:color w:val="auto"/>
                <w:szCs w:val="21"/>
                <w:highlight w:val="none"/>
              </w:rPr>
            </w:pPr>
            <w:r>
              <w:rPr>
                <w:rFonts w:hint="eastAsia" w:ascii="宋体" w:hAnsi="宋体" w:cs="宋体"/>
                <w:b/>
                <w:color w:val="auto"/>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trPr>
        <w:tc>
          <w:tcPr>
            <w:tcW w:w="9028" w:type="dxa"/>
            <w:gridSpan w:val="4"/>
            <w:noWrap w:val="0"/>
            <w:vAlign w:val="center"/>
          </w:tcPr>
          <w:p>
            <w:pPr>
              <w:spacing w:line="300" w:lineRule="exact"/>
              <w:rPr>
                <w:rFonts w:hint="eastAsia" w:ascii="宋体" w:hAnsi="宋体"/>
                <w:color w:val="auto"/>
                <w:szCs w:val="21"/>
                <w:highlight w:val="none"/>
              </w:rPr>
            </w:pPr>
            <w:r>
              <w:rPr>
                <w:rFonts w:hint="eastAsia" w:ascii="宋体" w:hAnsi="宋体" w:cs="Calibri"/>
                <w:color w:val="auto"/>
                <w:highlight w:val="none"/>
              </w:rPr>
              <w:t>关于联合体投标人评标的相关规定：如组成联合体投标的，设计部分评分以承接设计任务的单位为准；施工部分评分以承接施工任务的单位为准。</w:t>
            </w:r>
          </w:p>
        </w:tc>
      </w:tr>
    </w:tbl>
    <w:p>
      <w:pPr>
        <w:spacing w:line="400" w:lineRule="exact"/>
        <w:rPr>
          <w:rFonts w:hint="eastAsia" w:ascii="宋体" w:hAnsi="宋体" w:cs="宋体"/>
          <w:color w:val="auto"/>
          <w:highlight w:val="none"/>
        </w:rPr>
        <w:sectPr>
          <w:pgSz w:w="11907" w:h="16840"/>
          <w:pgMar w:top="1440" w:right="1797" w:bottom="1440" w:left="1797" w:header="851" w:footer="992" w:gutter="0"/>
          <w:cols w:space="720" w:num="1"/>
          <w:docGrid w:linePitch="312" w:charSpace="0"/>
        </w:sectPr>
      </w:pPr>
    </w:p>
    <w:p>
      <w:pPr>
        <w:pStyle w:val="3"/>
        <w:spacing w:before="100" w:after="100" w:line="360" w:lineRule="auto"/>
        <w:rPr>
          <w:rFonts w:hint="eastAsia" w:ascii="宋体" w:hAnsi="宋体" w:eastAsia="宋体" w:cs="宋体"/>
          <w:color w:val="auto"/>
          <w:sz w:val="24"/>
          <w:szCs w:val="24"/>
          <w:highlight w:val="none"/>
        </w:rPr>
      </w:pPr>
      <w:bookmarkStart w:id="300" w:name="_Toc18996"/>
      <w:bookmarkStart w:id="301" w:name="_Toc505152700"/>
      <w:bookmarkStart w:id="302" w:name="_Toc480225661"/>
      <w:bookmarkStart w:id="303" w:name="_Toc443505836"/>
      <w:r>
        <w:rPr>
          <w:rFonts w:hint="eastAsia" w:ascii="宋体" w:hAnsi="宋体" w:eastAsia="宋体" w:cs="宋体"/>
          <w:color w:val="auto"/>
          <w:sz w:val="24"/>
          <w:szCs w:val="24"/>
          <w:highlight w:val="none"/>
        </w:rPr>
        <w:t>1. 评标方法</w:t>
      </w:r>
      <w:bookmarkEnd w:id="300"/>
      <w:bookmarkEnd w:id="301"/>
      <w:bookmarkEnd w:id="302"/>
      <w:bookmarkEnd w:id="303"/>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本次评标采用综合评分法。评标委员会对满足招标文件实质性要求的投标文件，按照本章第2.2款规定的评分标准进行打分，并按得分由高到低顺序推荐中标候选人，但投标报价低于其成本的除外。</w:t>
      </w:r>
    </w:p>
    <w:p>
      <w:pPr>
        <w:spacing w:line="400" w:lineRule="exact"/>
        <w:ind w:firstLine="420" w:firstLineChars="200"/>
        <w:rPr>
          <w:rFonts w:hint="eastAsia" w:ascii="宋体" w:hAnsi="宋体" w:cs="宋体"/>
          <w:color w:val="auto"/>
          <w:highlight w:val="none"/>
        </w:rPr>
      </w:pPr>
    </w:p>
    <w:p>
      <w:pPr>
        <w:pStyle w:val="3"/>
        <w:spacing w:before="100" w:after="100" w:line="360" w:lineRule="auto"/>
        <w:rPr>
          <w:rFonts w:hint="eastAsia" w:ascii="宋体" w:hAnsi="宋体" w:eastAsia="宋体" w:cs="宋体"/>
          <w:color w:val="auto"/>
          <w:sz w:val="24"/>
          <w:szCs w:val="24"/>
          <w:highlight w:val="none"/>
        </w:rPr>
      </w:pPr>
      <w:bookmarkStart w:id="304" w:name="_Toc480225662"/>
      <w:bookmarkStart w:id="305" w:name="_Toc22485"/>
      <w:bookmarkStart w:id="306" w:name="_Toc443505837"/>
      <w:bookmarkStart w:id="307" w:name="_Toc505152701"/>
      <w:r>
        <w:rPr>
          <w:rFonts w:hint="eastAsia" w:ascii="宋体" w:hAnsi="宋体" w:eastAsia="宋体" w:cs="宋体"/>
          <w:color w:val="auto"/>
          <w:sz w:val="24"/>
          <w:szCs w:val="24"/>
          <w:highlight w:val="none"/>
        </w:rPr>
        <w:t>2. 评审标准</w:t>
      </w:r>
      <w:bookmarkEnd w:id="304"/>
      <w:bookmarkEnd w:id="305"/>
      <w:bookmarkEnd w:id="306"/>
      <w:bookmarkEnd w:id="307"/>
    </w:p>
    <w:p>
      <w:pPr>
        <w:pStyle w:val="3"/>
        <w:spacing w:before="100" w:after="100" w:line="360" w:lineRule="auto"/>
        <w:rPr>
          <w:rFonts w:hint="eastAsia" w:ascii="宋体" w:hAnsi="宋体" w:eastAsia="宋体" w:cs="宋体"/>
          <w:color w:val="auto"/>
          <w:sz w:val="24"/>
          <w:szCs w:val="24"/>
          <w:highlight w:val="none"/>
        </w:rPr>
      </w:pPr>
      <w:bookmarkStart w:id="308" w:name="_Toc443505838"/>
      <w:bookmarkStart w:id="309" w:name="_Toc9943"/>
      <w:bookmarkStart w:id="310" w:name="_Toc480225663"/>
      <w:bookmarkStart w:id="311" w:name="_Toc505152702"/>
      <w:r>
        <w:rPr>
          <w:rFonts w:hint="eastAsia" w:ascii="宋体" w:hAnsi="宋体" w:eastAsia="宋体" w:cs="宋体"/>
          <w:color w:val="auto"/>
          <w:sz w:val="21"/>
          <w:szCs w:val="24"/>
          <w:highlight w:val="none"/>
        </w:rPr>
        <w:t>2.1 初步评审标准</w:t>
      </w:r>
      <w:bookmarkEnd w:id="308"/>
      <w:bookmarkEnd w:id="309"/>
      <w:bookmarkEnd w:id="310"/>
      <w:bookmarkEnd w:id="311"/>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2.1.1 资格审查标准：见评标办法前附表。</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2.1.2设计方案投标文件有效性审查标准：见评标办法前附表。</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2.1.3</w:t>
      </w:r>
      <w:r>
        <w:rPr>
          <w:rFonts w:hint="eastAsia" w:ascii="宋体" w:hAnsi="宋体"/>
          <w:color w:val="auto"/>
          <w:szCs w:val="21"/>
          <w:highlight w:val="none"/>
          <w:u w:val="single"/>
        </w:rPr>
        <w:t>工程总承包实施方案</w:t>
      </w:r>
      <w:r>
        <w:rPr>
          <w:rFonts w:hint="eastAsia" w:ascii="宋体" w:hAnsi="宋体" w:cs="宋体"/>
          <w:color w:val="auto"/>
          <w:highlight w:val="none"/>
          <w:u w:val="single"/>
        </w:rPr>
        <w:t>投标文件有效性审查标准：见评标办法前附表。</w:t>
      </w:r>
    </w:p>
    <w:p>
      <w:pPr>
        <w:pStyle w:val="4"/>
        <w:spacing w:before="100" w:after="100" w:line="400" w:lineRule="exact"/>
        <w:ind w:firstLine="0" w:firstLineChars="0"/>
        <w:rPr>
          <w:rFonts w:hAnsi="宋体" w:cs="宋体"/>
          <w:bCs w:val="0"/>
          <w:color w:val="auto"/>
          <w:sz w:val="21"/>
          <w:highlight w:val="none"/>
        </w:rPr>
      </w:pPr>
      <w:bookmarkStart w:id="312" w:name="_Toc29138"/>
      <w:r>
        <w:rPr>
          <w:rFonts w:hint="eastAsia" w:hAnsi="宋体" w:cs="宋体"/>
          <w:bCs w:val="0"/>
          <w:color w:val="auto"/>
          <w:sz w:val="21"/>
          <w:highlight w:val="none"/>
        </w:rPr>
        <w:t>2.2 分值构成与评分标准</w:t>
      </w:r>
      <w:bookmarkEnd w:id="312"/>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 xml:space="preserve">2.2.1 </w:t>
      </w:r>
      <w:r>
        <w:rPr>
          <w:rFonts w:hint="eastAsia" w:ascii="宋体" w:hAnsi="宋体" w:cs="宋体"/>
          <w:color w:val="auto"/>
          <w:szCs w:val="21"/>
          <w:highlight w:val="none"/>
          <w:u w:val="single"/>
        </w:rPr>
        <w:t>分值构成及权重</w:t>
      </w:r>
      <w:r>
        <w:rPr>
          <w:rFonts w:hint="eastAsia" w:ascii="宋体" w:hAnsi="宋体" w:cs="宋体"/>
          <w:color w:val="auto"/>
          <w:highlight w:val="none"/>
          <w:u w:val="single"/>
        </w:rPr>
        <w:t>：见评标办法前附表。</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2.2.2 评分标准</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（1）设计方案投标文件详细审查评分标准：见评标办法前附表。</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（2）工程总承包实施方案投标文件详细审查评分标准：见评标办法前附表。</w:t>
      </w:r>
    </w:p>
    <w:p>
      <w:pPr>
        <w:pStyle w:val="3"/>
        <w:spacing w:before="100" w:after="100" w:line="360" w:lineRule="auto"/>
        <w:rPr>
          <w:rFonts w:hint="eastAsia" w:ascii="宋体" w:hAnsi="宋体" w:eastAsia="宋体" w:cs="宋体"/>
          <w:color w:val="auto"/>
          <w:sz w:val="24"/>
          <w:szCs w:val="24"/>
          <w:highlight w:val="none"/>
        </w:rPr>
      </w:pPr>
      <w:bookmarkStart w:id="313" w:name="_Toc505152703"/>
      <w:bookmarkStart w:id="314" w:name="_Toc480225664"/>
      <w:bookmarkStart w:id="315" w:name="_Toc18887"/>
      <w:bookmarkStart w:id="316" w:name="_Toc443505839"/>
      <w:r>
        <w:rPr>
          <w:rFonts w:hint="eastAsia" w:ascii="宋体" w:hAnsi="宋体" w:eastAsia="宋体" w:cs="宋体"/>
          <w:color w:val="auto"/>
          <w:sz w:val="24"/>
          <w:szCs w:val="24"/>
          <w:highlight w:val="none"/>
        </w:rPr>
        <w:t>3. 评标程序</w:t>
      </w:r>
      <w:bookmarkEnd w:id="313"/>
      <w:bookmarkEnd w:id="314"/>
      <w:bookmarkEnd w:id="315"/>
      <w:bookmarkEnd w:id="316"/>
    </w:p>
    <w:p>
      <w:pPr>
        <w:pStyle w:val="4"/>
        <w:spacing w:before="100" w:after="100" w:line="360" w:lineRule="auto"/>
        <w:ind w:firstLine="103"/>
        <w:rPr>
          <w:rFonts w:hAnsi="宋体" w:cs="宋体"/>
          <w:bCs w:val="0"/>
          <w:color w:val="auto"/>
          <w:sz w:val="21"/>
          <w:highlight w:val="none"/>
        </w:rPr>
      </w:pPr>
      <w:bookmarkStart w:id="317" w:name="_Toc13417"/>
      <w:r>
        <w:rPr>
          <w:rFonts w:hint="eastAsia" w:hAnsi="宋体" w:cs="宋体"/>
          <w:bCs w:val="0"/>
          <w:color w:val="auto"/>
          <w:sz w:val="21"/>
          <w:highlight w:val="none"/>
        </w:rPr>
        <w:t>3.1资格审查文件评审（由评标委员会施工评审组负责）</w:t>
      </w:r>
      <w:bookmarkEnd w:id="317"/>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（1）资格审查采用电子化审查方式进行，</w:t>
      </w:r>
      <w:r>
        <w:rPr>
          <w:rFonts w:hint="eastAsia" w:ascii="宋体" w:hAnsi="宋体" w:cs="宋体"/>
          <w:color w:val="auto"/>
          <w:kern w:val="0"/>
          <w:szCs w:val="21"/>
          <w:highlight w:val="none"/>
          <w:u w:val="single"/>
        </w:rPr>
        <w:t>投标单位的资格审查由施工组评标委员会负责</w:t>
      </w:r>
      <w:r>
        <w:rPr>
          <w:rFonts w:hint="eastAsia" w:ascii="宋体" w:hAnsi="宋体" w:cs="宋体"/>
          <w:color w:val="auto"/>
          <w:szCs w:val="21"/>
          <w:highlight w:val="none"/>
          <w:u w:val="single"/>
        </w:rPr>
        <w:t>。</w:t>
      </w:r>
    </w:p>
    <w:p>
      <w:pPr>
        <w:spacing w:line="360" w:lineRule="auto"/>
        <w:ind w:firstLine="420" w:firstLineChars="200"/>
        <w:rPr>
          <w:rFonts w:hint="eastAsia" w:ascii="宋体" w:hAnsi="宋体" w:cs="宋体"/>
          <w:color w:val="auto"/>
          <w:sz w:val="18"/>
          <w:szCs w:val="18"/>
          <w:highlight w:val="none"/>
          <w:u w:val="single"/>
        </w:rPr>
      </w:pPr>
      <w:r>
        <w:rPr>
          <w:rFonts w:hint="eastAsia" w:ascii="宋体" w:hAnsi="宋体" w:cs="宋体"/>
          <w:color w:val="auto"/>
          <w:szCs w:val="21"/>
          <w:highlight w:val="none"/>
          <w:u w:val="single"/>
        </w:rPr>
        <w:t>（2）资格审查文件中全部符合附表1《资格审查表》中情形的，为资格审查合格。否则为资格审查不合格，经评标委员会施工评审组认定后，其资格审查文件将被拒绝。如评标委员会施工评审组成员的评审意见不一致时，以评标委员会施工评审组过半数成员的意见作为评标委员会施工评审组对该情形的认定结论。评委发现资格审查文件中含义不明确、对同类问题表述不一致、有明显文字和计算错误的，应当要求投标人作必要的澄清、说明后再判定投标人是否通过资格审查，不得直接认定其不通过资格审查。只有通过资格审查的投标人方可进入下一阶段的评审</w:t>
      </w:r>
      <w:r>
        <w:rPr>
          <w:rFonts w:hint="eastAsia" w:ascii="宋体" w:hAnsi="宋体" w:cs="宋体"/>
          <w:b/>
          <w:color w:val="auto"/>
          <w:szCs w:val="21"/>
          <w:highlight w:val="none"/>
          <w:u w:val="single"/>
        </w:rPr>
        <w:t>。</w:t>
      </w: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（3）汇总资格审查情况，编写资格审查报告。</w:t>
      </w:r>
    </w:p>
    <w:p>
      <w:pPr>
        <w:pStyle w:val="17"/>
        <w:tabs>
          <w:tab w:val="left" w:pos="7380"/>
        </w:tabs>
        <w:spacing w:line="360" w:lineRule="auto"/>
        <w:ind w:firstLineChars="200"/>
        <w:rPr>
          <w:rFonts w:hint="eastAsia" w:ascii="宋体" w:hAnsi="宋体" w:cs="宋体"/>
          <w:color w:val="auto"/>
          <w:sz w:val="21"/>
          <w:szCs w:val="22"/>
          <w:highlight w:val="none"/>
          <w:u w:val="single"/>
        </w:rPr>
      </w:pPr>
      <w:r>
        <w:rPr>
          <w:rFonts w:hint="eastAsia" w:ascii="宋体" w:hAnsi="宋体" w:cs="宋体"/>
          <w:color w:val="auto"/>
          <w:sz w:val="21"/>
          <w:szCs w:val="22"/>
          <w:highlight w:val="none"/>
          <w:u w:val="single"/>
        </w:rPr>
        <w:t>（4）资格审查时，投标企业名称已经工商变更的，但企业及个人的资质证书未完成企业名称变更，仍然承认其有效；投标企业未及时办理变更手续的，招标人或招标代理机构应通报发证部门。资质证书、安全生产许可证之间登记的信息不一致，应当允许投标人澄清，不得直接否决其投标。</w:t>
      </w: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特别声明：资审合格后，投标人的资格发生变化而不满足投标人合格条件，在发出中标通知书前，资格问题仍未解决的，招标人将取消其中标资格。</w:t>
      </w:r>
    </w:p>
    <w:p>
      <w:pPr>
        <w:pStyle w:val="4"/>
        <w:spacing w:before="100" w:after="100" w:line="360" w:lineRule="auto"/>
        <w:ind w:firstLine="103"/>
        <w:rPr>
          <w:rFonts w:hAnsi="宋体" w:cs="宋体"/>
          <w:bCs w:val="0"/>
          <w:color w:val="auto"/>
          <w:sz w:val="21"/>
          <w:szCs w:val="21"/>
          <w:highlight w:val="none"/>
          <w:u w:val="single"/>
        </w:rPr>
      </w:pPr>
      <w:bookmarkStart w:id="318" w:name="_Toc1397"/>
      <w:r>
        <w:rPr>
          <w:rFonts w:hint="eastAsia" w:hAnsi="宋体" w:cs="宋体"/>
          <w:bCs w:val="0"/>
          <w:color w:val="auto"/>
          <w:sz w:val="21"/>
          <w:szCs w:val="21"/>
          <w:highlight w:val="none"/>
          <w:u w:val="single"/>
        </w:rPr>
        <w:t>3.2</w:t>
      </w:r>
      <w:r>
        <w:rPr>
          <w:rFonts w:hint="eastAsia" w:hAnsi="宋体" w:cs="宋体"/>
          <w:bCs w:val="0"/>
          <w:color w:val="auto"/>
          <w:sz w:val="21"/>
          <w:szCs w:val="21"/>
          <w:highlight w:val="none"/>
          <w:u w:val="single"/>
          <w:lang w:val="en-US"/>
        </w:rPr>
        <w:t>设计方案</w:t>
      </w:r>
      <w:r>
        <w:rPr>
          <w:rFonts w:hint="eastAsia" w:hAnsi="宋体" w:cs="宋体"/>
          <w:bCs w:val="0"/>
          <w:color w:val="auto"/>
          <w:sz w:val="21"/>
          <w:szCs w:val="21"/>
          <w:highlight w:val="none"/>
          <w:u w:val="single"/>
        </w:rPr>
        <w:t>部分评审（由</w:t>
      </w:r>
      <w:r>
        <w:rPr>
          <w:rFonts w:hint="eastAsia" w:hAnsi="宋体" w:cs="宋体"/>
          <w:bCs w:val="0"/>
          <w:color w:val="auto"/>
          <w:sz w:val="21"/>
          <w:highlight w:val="none"/>
          <w:u w:val="single"/>
        </w:rPr>
        <w:t>评标委员会</w:t>
      </w:r>
      <w:r>
        <w:rPr>
          <w:rFonts w:hint="eastAsia" w:hAnsi="宋体" w:cs="宋体"/>
          <w:bCs w:val="0"/>
          <w:color w:val="auto"/>
          <w:sz w:val="21"/>
          <w:szCs w:val="21"/>
          <w:highlight w:val="none"/>
          <w:u w:val="single"/>
        </w:rPr>
        <w:t>设计评审组负责）</w:t>
      </w:r>
      <w:bookmarkEnd w:id="318"/>
    </w:p>
    <w:p>
      <w:pPr>
        <w:spacing w:line="360" w:lineRule="auto"/>
        <w:ind w:firstLine="457" w:firstLineChars="218"/>
        <w:rPr>
          <w:rFonts w:hint="eastAsia" w:ascii="宋体" w:hAnsi="宋体"/>
          <w:color w:val="auto"/>
          <w:szCs w:val="21"/>
          <w:highlight w:val="none"/>
          <w:u w:val="single"/>
        </w:rPr>
      </w:pPr>
      <w:r>
        <w:rPr>
          <w:rFonts w:hint="eastAsia" w:ascii="宋体" w:hAnsi="宋体"/>
          <w:color w:val="auto"/>
          <w:szCs w:val="21"/>
          <w:highlight w:val="none"/>
          <w:u w:val="single"/>
        </w:rPr>
        <w:t>（1）设计组评委进行</w:t>
      </w:r>
      <w:r>
        <w:rPr>
          <w:rFonts w:ascii="宋体" w:hAnsi="宋体"/>
          <w:color w:val="auto"/>
          <w:szCs w:val="21"/>
          <w:highlight w:val="none"/>
          <w:u w:val="single"/>
        </w:rPr>
        <w:t>勘察</w:t>
      </w:r>
      <w:r>
        <w:rPr>
          <w:rFonts w:hint="eastAsia" w:hAnsi="宋体" w:cs="宋体"/>
          <w:color w:val="auto"/>
          <w:szCs w:val="21"/>
          <w:highlight w:val="none"/>
          <w:u w:val="single"/>
        </w:rPr>
        <w:t>设计方案</w:t>
      </w:r>
      <w:r>
        <w:rPr>
          <w:rFonts w:hint="eastAsia" w:ascii="宋体" w:hAnsi="宋体"/>
          <w:color w:val="auto"/>
          <w:szCs w:val="21"/>
          <w:highlight w:val="none"/>
          <w:u w:val="single"/>
        </w:rPr>
        <w:t>投标文件有效性审查，投标文件中没有任一种列于本办法附表2《</w:t>
      </w:r>
      <w:r>
        <w:rPr>
          <w:rFonts w:hint="eastAsia" w:hAnsi="宋体" w:cs="宋体"/>
          <w:color w:val="auto"/>
          <w:szCs w:val="21"/>
          <w:highlight w:val="none"/>
          <w:u w:val="single"/>
        </w:rPr>
        <w:t>设计方案</w:t>
      </w:r>
      <w:r>
        <w:rPr>
          <w:rFonts w:hint="eastAsia" w:ascii="宋体" w:hAnsi="宋体"/>
          <w:color w:val="auto"/>
          <w:szCs w:val="21"/>
          <w:highlight w:val="none"/>
          <w:u w:val="single"/>
        </w:rPr>
        <w:t>投标文件有效性审查表》中情形的，为有效标书。否则为无效标书，经评标委员会认定后，其投标文件将被拒绝。如评标委员会成员的评审意见不一致时，以评标委员会过半数成员的意见作为评标委员会对该情形的认定结论。</w:t>
      </w:r>
    </w:p>
    <w:p>
      <w:pPr>
        <w:spacing w:line="360" w:lineRule="auto"/>
        <w:ind w:firstLine="457" w:firstLineChars="218"/>
        <w:rPr>
          <w:rFonts w:hint="eastAsia" w:ascii="宋体" w:hAnsi="宋体"/>
          <w:color w:val="auto"/>
          <w:szCs w:val="21"/>
          <w:highlight w:val="none"/>
          <w:u w:val="single"/>
        </w:rPr>
      </w:pPr>
      <w:r>
        <w:rPr>
          <w:rFonts w:hint="eastAsia" w:ascii="宋体" w:hAnsi="宋体"/>
          <w:color w:val="auto"/>
          <w:szCs w:val="21"/>
          <w:highlight w:val="none"/>
          <w:u w:val="single"/>
        </w:rPr>
        <w:t>（2）</w:t>
      </w:r>
      <w:r>
        <w:rPr>
          <w:rFonts w:hint="eastAsia" w:hAnsi="宋体" w:cs="宋体"/>
          <w:color w:val="auto"/>
          <w:szCs w:val="21"/>
          <w:highlight w:val="none"/>
          <w:u w:val="single"/>
        </w:rPr>
        <w:t>设计方案</w:t>
      </w:r>
      <w:r>
        <w:rPr>
          <w:rFonts w:hint="eastAsia" w:ascii="宋体" w:hAnsi="宋体"/>
          <w:color w:val="auto"/>
          <w:szCs w:val="21"/>
          <w:highlight w:val="none"/>
          <w:u w:val="single"/>
        </w:rPr>
        <w:t>投标文件详细审查评分：评标委员会按照本办法附表4《</w:t>
      </w:r>
      <w:r>
        <w:rPr>
          <w:rFonts w:hint="eastAsia" w:hAnsi="宋体" w:cs="宋体"/>
          <w:color w:val="auto"/>
          <w:szCs w:val="21"/>
          <w:highlight w:val="none"/>
          <w:u w:val="single"/>
        </w:rPr>
        <w:t>设计方案</w:t>
      </w:r>
      <w:r>
        <w:rPr>
          <w:rFonts w:hint="eastAsia" w:ascii="宋体" w:hAnsi="宋体"/>
          <w:color w:val="auto"/>
          <w:szCs w:val="21"/>
          <w:highlight w:val="none"/>
          <w:u w:val="single"/>
        </w:rPr>
        <w:t>投标文件详细审查评分表》的标准，对通过有效性审查的投标文件进行详细审查评分，评出</w:t>
      </w:r>
      <w:r>
        <w:rPr>
          <w:rFonts w:hint="eastAsia" w:hAnsi="宋体" w:cs="宋体"/>
          <w:color w:val="auto"/>
          <w:szCs w:val="21"/>
          <w:highlight w:val="none"/>
          <w:u w:val="single"/>
        </w:rPr>
        <w:t>设计方案</w:t>
      </w:r>
      <w:r>
        <w:rPr>
          <w:rFonts w:hint="eastAsia" w:ascii="宋体" w:hAnsi="宋体"/>
          <w:color w:val="auto"/>
          <w:szCs w:val="21"/>
          <w:highlight w:val="none"/>
          <w:u w:val="single"/>
        </w:rPr>
        <w:t xml:space="preserve">得分（投标人的得分为各评委评分汇总后的算术平均值，若分数出现小数点时，保留小数点后二位，第三位小数四舍五入）； </w:t>
      </w:r>
    </w:p>
    <w:p>
      <w:pPr>
        <w:spacing w:line="360" w:lineRule="auto"/>
        <w:ind w:firstLine="457" w:firstLineChars="218"/>
        <w:rPr>
          <w:rFonts w:hint="eastAsia" w:ascii="宋体" w:hAnsi="宋体"/>
          <w:color w:val="auto"/>
          <w:szCs w:val="21"/>
          <w:highlight w:val="none"/>
          <w:u w:val="single"/>
        </w:rPr>
      </w:pPr>
      <w:r>
        <w:rPr>
          <w:rFonts w:hint="eastAsia" w:ascii="宋体" w:hAnsi="宋体"/>
          <w:color w:val="auto"/>
          <w:szCs w:val="21"/>
          <w:highlight w:val="none"/>
          <w:u w:val="single"/>
        </w:rPr>
        <w:t>（3）设计组评标委员会揭晓投标人身份。</w:t>
      </w:r>
    </w:p>
    <w:p>
      <w:pPr>
        <w:spacing w:line="360" w:lineRule="auto"/>
        <w:ind w:firstLine="457" w:firstLineChars="218"/>
        <w:rPr>
          <w:rFonts w:hint="eastAsia" w:ascii="宋体" w:hAnsi="宋体"/>
          <w:color w:val="auto"/>
          <w:szCs w:val="21"/>
          <w:highlight w:val="none"/>
          <w:u w:val="single"/>
        </w:rPr>
      </w:pPr>
      <w:r>
        <w:rPr>
          <w:rFonts w:hint="eastAsia" w:ascii="宋体" w:hAnsi="宋体"/>
          <w:color w:val="auto"/>
          <w:szCs w:val="21"/>
          <w:highlight w:val="none"/>
          <w:u w:val="single"/>
        </w:rPr>
        <w:t>（4）设计组评标委员会</w:t>
      </w:r>
      <w:r>
        <w:rPr>
          <w:rFonts w:hint="eastAsia" w:ascii="宋体" w:hAnsi="宋体"/>
          <w:color w:val="auto"/>
          <w:highlight w:val="none"/>
          <w:u w:val="single"/>
        </w:rPr>
        <w:t>编写</w:t>
      </w:r>
      <w:r>
        <w:rPr>
          <w:rFonts w:hint="eastAsia" w:ascii="宋体" w:hAnsi="宋体"/>
          <w:color w:val="auto"/>
          <w:szCs w:val="21"/>
          <w:highlight w:val="none"/>
          <w:u w:val="single"/>
        </w:rPr>
        <w:t>、签署评标报告。评标报告由评标委员会全体成员签字，对评标结论持有异议的评标委员会成员可以书面方式阐述其不同意见和理由。</w:t>
      </w:r>
    </w:p>
    <w:p>
      <w:pPr>
        <w:spacing w:line="360" w:lineRule="auto"/>
        <w:ind w:firstLine="457" w:firstLineChars="218"/>
        <w:rPr>
          <w:rFonts w:hint="eastAsia" w:ascii="宋体" w:hAnsi="宋体"/>
          <w:color w:val="auto"/>
          <w:szCs w:val="21"/>
          <w:highlight w:val="none"/>
          <w:u w:val="single"/>
        </w:rPr>
      </w:pPr>
      <w:r>
        <w:rPr>
          <w:rFonts w:hint="eastAsia" w:ascii="宋体" w:hAnsi="宋体"/>
          <w:color w:val="auto"/>
          <w:szCs w:val="21"/>
          <w:highlight w:val="none"/>
          <w:u w:val="single"/>
        </w:rPr>
        <w:t>（5）设计组评标委员会向招标人提交书面评标报告后即告解散，评标过程中使用的文件、表格以及其他资料应当即时归还招标人（招标代理机构）。</w:t>
      </w:r>
    </w:p>
    <w:p>
      <w:pPr>
        <w:spacing w:line="360" w:lineRule="auto"/>
        <w:ind w:firstLine="460" w:firstLineChars="218"/>
        <w:rPr>
          <w:rFonts w:hint="eastAsia" w:ascii="宋体" w:hAnsi="宋体" w:cs="宋体"/>
          <w:b/>
          <w:bCs/>
          <w:color w:val="auto"/>
          <w:szCs w:val="21"/>
          <w:highlight w:val="none"/>
          <w:u w:val="single"/>
        </w:rPr>
      </w:pPr>
    </w:p>
    <w:p>
      <w:pPr>
        <w:pStyle w:val="4"/>
        <w:spacing w:before="100" w:after="100" w:line="360" w:lineRule="auto"/>
        <w:ind w:firstLine="103"/>
        <w:rPr>
          <w:rFonts w:hAnsi="宋体" w:cs="宋体"/>
          <w:color w:val="auto"/>
          <w:sz w:val="21"/>
          <w:highlight w:val="none"/>
        </w:rPr>
      </w:pPr>
      <w:bookmarkStart w:id="319" w:name="_Toc26154"/>
      <w:r>
        <w:rPr>
          <w:rFonts w:hint="eastAsia" w:hAnsi="宋体" w:cs="宋体"/>
          <w:color w:val="auto"/>
          <w:sz w:val="21"/>
          <w:highlight w:val="none"/>
        </w:rPr>
        <w:t>3.3工程总承包实施方案投标文件部分评审（由评标委员会施工评审组负责）</w:t>
      </w:r>
      <w:bookmarkEnd w:id="319"/>
    </w:p>
    <w:p>
      <w:pPr>
        <w:spacing w:line="360" w:lineRule="auto"/>
        <w:ind w:firstLine="457" w:firstLineChars="218"/>
        <w:rPr>
          <w:rFonts w:hint="eastAsia" w:ascii="宋体" w:hAnsi="宋体"/>
          <w:color w:val="auto"/>
          <w:szCs w:val="24"/>
          <w:highlight w:val="none"/>
        </w:rPr>
      </w:pPr>
      <w:r>
        <w:rPr>
          <w:rFonts w:hint="eastAsia" w:ascii="宋体" w:hAnsi="宋体"/>
          <w:color w:val="auto"/>
          <w:szCs w:val="24"/>
          <w:highlight w:val="none"/>
        </w:rPr>
        <w:t xml:space="preserve">3.3.1 </w:t>
      </w:r>
      <w:r>
        <w:rPr>
          <w:rFonts w:hint="eastAsia" w:ascii="宋体" w:hAnsi="宋体"/>
          <w:color w:val="auto"/>
          <w:szCs w:val="24"/>
          <w:highlight w:val="none"/>
          <w:u w:val="single"/>
        </w:rPr>
        <w:t>通过</w:t>
      </w:r>
      <w:r>
        <w:rPr>
          <w:rFonts w:hint="eastAsia" w:ascii="宋体" w:hAnsi="宋体" w:cs="宋体"/>
          <w:color w:val="auto"/>
          <w:highlight w:val="none"/>
          <w:u w:val="single"/>
        </w:rPr>
        <w:t>资格审查的</w:t>
      </w:r>
      <w:r>
        <w:rPr>
          <w:rFonts w:hint="eastAsia" w:ascii="宋体" w:hAnsi="宋体"/>
          <w:color w:val="auto"/>
          <w:szCs w:val="24"/>
          <w:highlight w:val="none"/>
          <w:u w:val="single"/>
        </w:rPr>
        <w:t>工程总承包实施方案投标文件的有效性审查：投标文件中没有任一种列于本办法附表3《工程总承包实施方案投标文件有效性审查表》中情形的，为有效标书。否则为无效标书，经施工组评标委员会认定后，其投标文件将被拒绝。如施工组评标委员会成员的评审意见不一致时，以施工组评标委员会过半数成员的意见作为评标委员会对该情形的认定结论。评委发现投标文件中含义不明确、对同类问题表述不一致、有明显文字和计算错误的，应当要求投标人作必要的澄清、说明后再判定投标人是否通过有效性审查，不得直接否决投标。未通过有效性审查的，不得进入下一阶段评审。</w:t>
      </w:r>
    </w:p>
    <w:p>
      <w:pPr>
        <w:spacing w:line="360" w:lineRule="auto"/>
        <w:ind w:firstLine="457" w:firstLineChars="218"/>
        <w:rPr>
          <w:rFonts w:hint="eastAsia" w:ascii="宋体" w:hAnsi="宋体"/>
          <w:color w:val="auto"/>
          <w:szCs w:val="24"/>
          <w:highlight w:val="none"/>
        </w:rPr>
      </w:pPr>
      <w:r>
        <w:rPr>
          <w:rFonts w:hint="eastAsia" w:ascii="宋体" w:hAnsi="宋体"/>
          <w:color w:val="auto"/>
          <w:szCs w:val="24"/>
          <w:highlight w:val="none"/>
        </w:rPr>
        <w:t>3.3.2 评标委员会专家按附表5《工程总承包实施方案投标文件详细审查评分表》对通过工程总承包</w:t>
      </w:r>
      <w:r>
        <w:rPr>
          <w:rFonts w:hint="eastAsia" w:ascii="宋体" w:hAnsi="宋体"/>
          <w:color w:val="auto"/>
          <w:highlight w:val="none"/>
        </w:rPr>
        <w:t>实施方案投标文件有效性审查表</w:t>
      </w:r>
      <w:r>
        <w:rPr>
          <w:rFonts w:hint="eastAsia" w:ascii="宋体" w:hAnsi="宋体"/>
          <w:color w:val="auto"/>
          <w:szCs w:val="24"/>
          <w:highlight w:val="none"/>
        </w:rPr>
        <w:t>的投标文件进行综合评分。</w:t>
      </w:r>
    </w:p>
    <w:p>
      <w:pPr>
        <w:spacing w:line="360" w:lineRule="auto"/>
        <w:ind w:firstLine="457" w:firstLineChars="218"/>
        <w:rPr>
          <w:rFonts w:hint="eastAsia" w:ascii="宋体" w:hAnsi="宋体"/>
          <w:b/>
          <w:bCs/>
          <w:color w:val="auto"/>
          <w:szCs w:val="24"/>
          <w:highlight w:val="none"/>
        </w:rPr>
      </w:pPr>
      <w:r>
        <w:rPr>
          <w:rFonts w:hint="eastAsia" w:ascii="宋体" w:hAnsi="宋体"/>
          <w:color w:val="auto"/>
          <w:szCs w:val="24"/>
          <w:highlight w:val="none"/>
        </w:rPr>
        <w:t>3.3.3 计算各投标人的工程总承包实施方案</w:t>
      </w:r>
      <w:r>
        <w:rPr>
          <w:rFonts w:hint="eastAsia" w:ascii="宋体" w:hAnsi="宋体"/>
          <w:color w:val="auto"/>
          <w:szCs w:val="21"/>
          <w:highlight w:val="none"/>
        </w:rPr>
        <w:t>投标文件</w:t>
      </w:r>
      <w:r>
        <w:rPr>
          <w:rFonts w:hint="eastAsia" w:ascii="宋体" w:hAnsi="宋体"/>
          <w:color w:val="auto"/>
          <w:szCs w:val="24"/>
          <w:highlight w:val="none"/>
        </w:rPr>
        <w:t>部分得分（</w:t>
      </w:r>
      <w:r>
        <w:rPr>
          <w:rFonts w:hint="eastAsia" w:ascii="宋体" w:hAnsi="宋体"/>
          <w:color w:val="auto"/>
          <w:szCs w:val="21"/>
          <w:highlight w:val="none"/>
          <w:u w:val="single"/>
        </w:rPr>
        <w:t>投标人的得分为各评委评分汇总后的算术平均值（若分数出现小数点时，保留小数点后二位，第三位小数四舍五入）</w:t>
      </w:r>
      <w:r>
        <w:rPr>
          <w:rFonts w:hint="eastAsia" w:ascii="宋体" w:hAnsi="宋体"/>
          <w:color w:val="auto"/>
          <w:szCs w:val="24"/>
          <w:highlight w:val="none"/>
        </w:rPr>
        <w:t>。</w:t>
      </w:r>
    </w:p>
    <w:p>
      <w:pPr>
        <w:pStyle w:val="4"/>
        <w:spacing w:before="100" w:after="100" w:line="360" w:lineRule="auto"/>
        <w:ind w:firstLine="103"/>
        <w:rPr>
          <w:rFonts w:hAnsi="宋体" w:cs="宋体"/>
          <w:color w:val="auto"/>
          <w:sz w:val="21"/>
          <w:highlight w:val="none"/>
        </w:rPr>
      </w:pPr>
      <w:bookmarkStart w:id="320" w:name="_Toc29804"/>
      <w:r>
        <w:rPr>
          <w:rFonts w:hint="eastAsia" w:hAnsi="宋体" w:cs="宋体"/>
          <w:color w:val="auto"/>
          <w:sz w:val="21"/>
          <w:highlight w:val="none"/>
        </w:rPr>
        <w:t>3.4投标报价评审（由评标委员会施工评审组负责）</w:t>
      </w:r>
      <w:bookmarkEnd w:id="320"/>
    </w:p>
    <w:p>
      <w:pPr>
        <w:spacing w:line="360" w:lineRule="auto"/>
        <w:ind w:firstLine="457" w:firstLineChars="218"/>
        <w:rPr>
          <w:rFonts w:hint="eastAsia" w:ascii="宋体" w:hAnsi="宋体" w:cs="宋体"/>
          <w:color w:val="auto"/>
          <w:highlight w:val="none"/>
        </w:rPr>
      </w:pPr>
      <w:r>
        <w:rPr>
          <w:rFonts w:hint="eastAsia" w:ascii="宋体" w:hAnsi="宋体" w:cs="宋体"/>
          <w:color w:val="auto"/>
          <w:highlight w:val="none"/>
        </w:rPr>
        <w:t>评标委员会施工评审组对通过工程总承包实施方案投标文件有效性审查的投标人进行经济部分评审。</w:t>
      </w:r>
    </w:p>
    <w:p>
      <w:pPr>
        <w:snapToGrid w:val="0"/>
        <w:spacing w:line="360" w:lineRule="auto"/>
        <w:ind w:firstLine="457" w:firstLineChars="218"/>
        <w:rPr>
          <w:rFonts w:hint="eastAsia" w:ascii="宋体" w:hAnsi="宋体" w:cs="宋体"/>
          <w:color w:val="auto"/>
          <w:highlight w:val="none"/>
        </w:rPr>
      </w:pPr>
      <w:r>
        <w:rPr>
          <w:rFonts w:hint="eastAsia" w:ascii="宋体" w:hAnsi="宋体" w:cs="宋体"/>
          <w:color w:val="auto"/>
          <w:highlight w:val="none"/>
        </w:rPr>
        <w:t>3.4.1 投标报价的算术校核。评标委员会</w:t>
      </w:r>
      <w:r>
        <w:rPr>
          <w:rFonts w:hint="eastAsia" w:ascii="宋体" w:hAnsi="宋体" w:cs="宋体"/>
          <w:bCs/>
          <w:color w:val="auto"/>
          <w:szCs w:val="24"/>
          <w:highlight w:val="none"/>
        </w:rPr>
        <w:t>施工评审组</w:t>
      </w:r>
      <w:r>
        <w:rPr>
          <w:rFonts w:hint="eastAsia" w:ascii="宋体" w:hAnsi="宋体" w:cs="宋体"/>
          <w:color w:val="auto"/>
          <w:highlight w:val="none"/>
        </w:rPr>
        <w:t>对通过工程总承包实施方案投标文件有效性审查的投标文件投标报价进行算术校核，具体标准如下：</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（1）如果数字表示的金额和用文字表示的金额不一致时，应以文字表示的金额为准（有以下算术性错误需要修正的除外）；</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（2）如果费率与施工部分限价乘积不等于合价时，以费率为准修正合价（费率有明显的数量级错误的除外，此时应修正费率）</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（3）如果分项报价累加不等总价的，以分项报价累加为准，修正总价；</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w:t>
      </w:r>
      <w:r>
        <w:rPr>
          <w:rFonts w:hint="eastAsia" w:ascii="宋体" w:hAnsi="宋体" w:cs="宋体"/>
          <w:color w:val="auto"/>
          <w:highlight w:val="none"/>
          <w:u w:val="single"/>
        </w:rPr>
        <w:t>投标文件存在其他计算性错误的，按就低不就高计算并修正；</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（5）按上述修正错误的原则及方法调整或修正投标文件的投标报价，调整后的投标报价对投标人起约束作用。如果投标人不接受修正后的报价，则取消其投标资格，并且其投标担保也将被没收。</w:t>
      </w:r>
    </w:p>
    <w:p>
      <w:pPr>
        <w:snapToGrid w:val="0"/>
        <w:spacing w:line="360" w:lineRule="auto"/>
        <w:ind w:firstLine="457" w:firstLineChars="218"/>
        <w:rPr>
          <w:rFonts w:hint="eastAsia" w:ascii="宋体" w:hAnsi="宋体" w:cs="宋体"/>
          <w:color w:val="auto"/>
          <w:highlight w:val="none"/>
        </w:rPr>
      </w:pPr>
      <w:r>
        <w:rPr>
          <w:rFonts w:hint="eastAsia" w:ascii="宋体" w:hAnsi="宋体" w:cs="宋体"/>
          <w:color w:val="auto"/>
          <w:highlight w:val="none"/>
        </w:rPr>
        <w:t>3.4.2 投标报价评分</w:t>
      </w:r>
    </w:p>
    <w:p>
      <w:pPr>
        <w:snapToGrid w:val="0"/>
        <w:spacing w:line="400" w:lineRule="exact"/>
        <w:ind w:firstLine="457" w:firstLineChars="218"/>
        <w:rPr>
          <w:rFonts w:hint="eastAsia" w:ascii="宋体" w:hAnsi="宋体"/>
          <w:color w:val="auto"/>
          <w:szCs w:val="21"/>
          <w:highlight w:val="none"/>
          <w:u w:val="single"/>
        </w:rPr>
      </w:pPr>
      <w:r>
        <w:rPr>
          <w:rFonts w:hint="eastAsia" w:ascii="宋体" w:hAnsi="宋体"/>
          <w:color w:val="auto"/>
          <w:szCs w:val="21"/>
          <w:highlight w:val="none"/>
          <w:u w:val="single"/>
        </w:rPr>
        <w:fldChar w:fldCharType="begin"/>
      </w:r>
      <w:r>
        <w:rPr>
          <w:rFonts w:hint="eastAsia" w:ascii="宋体" w:hAnsi="宋体"/>
          <w:color w:val="auto"/>
          <w:szCs w:val="21"/>
          <w:highlight w:val="none"/>
          <w:u w:val="single"/>
        </w:rPr>
        <w:instrText xml:space="preserve">= 1 \* GB3</w:instrText>
      </w:r>
      <w:r>
        <w:rPr>
          <w:rFonts w:hint="eastAsia" w:ascii="宋体" w:hAnsi="宋体"/>
          <w:color w:val="auto"/>
          <w:szCs w:val="21"/>
          <w:highlight w:val="none"/>
          <w:u w:val="single"/>
        </w:rPr>
        <w:fldChar w:fldCharType="separate"/>
      </w:r>
      <w:r>
        <w:rPr>
          <w:rFonts w:hint="eastAsia" w:ascii="宋体" w:hAnsi="宋体"/>
          <w:color w:val="auto"/>
          <w:szCs w:val="21"/>
          <w:highlight w:val="none"/>
          <w:u w:val="single"/>
        </w:rPr>
        <w:t>①</w:t>
      </w:r>
      <w:r>
        <w:rPr>
          <w:rFonts w:hint="eastAsia" w:ascii="宋体" w:hAnsi="宋体"/>
          <w:color w:val="auto"/>
          <w:szCs w:val="21"/>
          <w:highlight w:val="none"/>
          <w:u w:val="single"/>
        </w:rPr>
        <w:fldChar w:fldCharType="end"/>
      </w:r>
      <w:r>
        <w:rPr>
          <w:rFonts w:hint="eastAsia" w:ascii="宋体" w:hAnsi="宋体"/>
          <w:color w:val="auto"/>
          <w:szCs w:val="21"/>
          <w:highlight w:val="none"/>
          <w:u w:val="single"/>
        </w:rPr>
        <w:t>确定评标参考价：通过</w:t>
      </w:r>
      <w:r>
        <w:rPr>
          <w:rFonts w:hint="eastAsia" w:ascii="宋体" w:hAnsi="宋体" w:cs="宋体"/>
          <w:color w:val="auto"/>
          <w:highlight w:val="none"/>
          <w:u w:val="single"/>
        </w:rPr>
        <w:t>工程总承包实施方案投标文件有效性审查</w:t>
      </w:r>
      <w:r>
        <w:rPr>
          <w:rFonts w:hint="eastAsia" w:ascii="宋体" w:hAnsi="宋体"/>
          <w:color w:val="auto"/>
          <w:szCs w:val="21"/>
          <w:highlight w:val="none"/>
          <w:u w:val="single"/>
        </w:rPr>
        <w:t>且投标总报价位于[最高投标限价×90%，最高投标限价]区间的投标人超过5家时，去掉一个最高价和一个最低价后，剩余报价的算术平均值为评标参考价；通过</w:t>
      </w:r>
      <w:r>
        <w:rPr>
          <w:rFonts w:hint="eastAsia" w:ascii="宋体" w:hAnsi="宋体" w:cs="宋体"/>
          <w:color w:val="auto"/>
          <w:highlight w:val="none"/>
          <w:u w:val="single"/>
        </w:rPr>
        <w:t>工程总承包实施方案投标文件有效性审查</w:t>
      </w:r>
      <w:r>
        <w:rPr>
          <w:rFonts w:hint="eastAsia" w:ascii="宋体" w:hAnsi="宋体"/>
          <w:color w:val="auto"/>
          <w:szCs w:val="21"/>
          <w:highlight w:val="none"/>
          <w:u w:val="single"/>
        </w:rPr>
        <w:t>且投标总报价位于[最高投标限价×90%，最高投标限价]区间的投标人为少于或等于5家时，</w:t>
      </w:r>
      <w:r>
        <w:rPr>
          <w:rFonts w:hint="eastAsia" w:ascii="宋体" w:hAnsi="宋体"/>
          <w:color w:val="auto"/>
          <w:highlight w:val="none"/>
          <w:u w:val="single"/>
        </w:rPr>
        <w:t>取区间中</w:t>
      </w:r>
      <w:r>
        <w:rPr>
          <w:rFonts w:hint="eastAsia" w:ascii="宋体" w:hAnsi="宋体"/>
          <w:color w:val="auto"/>
          <w:szCs w:val="21"/>
          <w:highlight w:val="none"/>
          <w:u w:val="single"/>
        </w:rPr>
        <w:t>投标人的投标总报价的算术平均值为评标参考价。若没有投标总报价位于[最高投标限价×90%，最高投标限价]区间，则以最高投标限价×90%为评标参考价；</w:t>
      </w:r>
    </w:p>
    <w:p>
      <w:pPr>
        <w:snapToGrid w:val="0"/>
        <w:spacing w:line="400" w:lineRule="exact"/>
        <w:ind w:firstLine="457" w:firstLineChars="218"/>
        <w:rPr>
          <w:rFonts w:hint="eastAsia" w:ascii="宋体" w:hAnsi="宋体"/>
          <w:color w:val="auto"/>
          <w:szCs w:val="21"/>
          <w:highlight w:val="none"/>
          <w:u w:val="single"/>
        </w:rPr>
      </w:pPr>
      <w:r>
        <w:rPr>
          <w:rFonts w:hint="eastAsia" w:ascii="宋体" w:hAnsi="宋体"/>
          <w:color w:val="auto"/>
          <w:szCs w:val="21"/>
          <w:highlight w:val="none"/>
          <w:u w:val="single"/>
        </w:rPr>
        <w:fldChar w:fldCharType="begin"/>
      </w:r>
      <w:r>
        <w:rPr>
          <w:rFonts w:hint="eastAsia" w:ascii="宋体" w:hAnsi="宋体"/>
          <w:color w:val="auto"/>
          <w:szCs w:val="21"/>
          <w:highlight w:val="none"/>
          <w:u w:val="single"/>
        </w:rPr>
        <w:instrText xml:space="preserve">= 2 \* GB3</w:instrText>
      </w:r>
      <w:r>
        <w:rPr>
          <w:rFonts w:hint="eastAsia" w:ascii="宋体" w:hAnsi="宋体"/>
          <w:color w:val="auto"/>
          <w:szCs w:val="21"/>
          <w:highlight w:val="none"/>
          <w:u w:val="single"/>
        </w:rPr>
        <w:fldChar w:fldCharType="separate"/>
      </w:r>
      <w:r>
        <w:rPr>
          <w:rFonts w:hint="eastAsia" w:ascii="宋体" w:hAnsi="宋体"/>
          <w:color w:val="auto"/>
          <w:szCs w:val="21"/>
          <w:highlight w:val="none"/>
          <w:u w:val="single"/>
        </w:rPr>
        <w:t>②</w:t>
      </w:r>
      <w:r>
        <w:rPr>
          <w:rFonts w:hint="eastAsia" w:ascii="宋体" w:hAnsi="宋体"/>
          <w:color w:val="auto"/>
          <w:szCs w:val="21"/>
          <w:highlight w:val="none"/>
          <w:u w:val="single"/>
        </w:rPr>
        <w:fldChar w:fldCharType="end"/>
      </w:r>
      <w:r>
        <w:rPr>
          <w:rFonts w:hint="eastAsia" w:ascii="宋体" w:hAnsi="宋体"/>
          <w:color w:val="auto"/>
          <w:szCs w:val="21"/>
          <w:highlight w:val="none"/>
          <w:u w:val="single"/>
        </w:rPr>
        <w:t>计算投标报价得分：当投标总报价等于评标参考价时得100分，投标总报价每高于评标参考价1%，扣</w:t>
      </w:r>
      <w:r>
        <w:rPr>
          <w:rFonts w:ascii="宋体" w:hAnsi="宋体"/>
          <w:color w:val="auto"/>
          <w:szCs w:val="21"/>
          <w:highlight w:val="none"/>
          <w:u w:val="single"/>
        </w:rPr>
        <w:t>1</w:t>
      </w:r>
      <w:r>
        <w:rPr>
          <w:rFonts w:hint="eastAsia" w:ascii="宋体" w:hAnsi="宋体"/>
          <w:color w:val="auto"/>
          <w:szCs w:val="21"/>
          <w:highlight w:val="none"/>
          <w:u w:val="single"/>
        </w:rPr>
        <w:t>分，每低于评标参考价1%，扣0.</w:t>
      </w:r>
      <w:r>
        <w:rPr>
          <w:rFonts w:ascii="宋体" w:hAnsi="宋体"/>
          <w:color w:val="auto"/>
          <w:szCs w:val="21"/>
          <w:highlight w:val="none"/>
          <w:u w:val="single"/>
        </w:rPr>
        <w:t>75</w:t>
      </w:r>
      <w:r>
        <w:rPr>
          <w:rFonts w:hint="eastAsia" w:ascii="宋体" w:hAnsi="宋体"/>
          <w:color w:val="auto"/>
          <w:szCs w:val="21"/>
          <w:highlight w:val="none"/>
          <w:u w:val="single"/>
        </w:rPr>
        <w:t>分，</w:t>
      </w:r>
      <w:r>
        <w:rPr>
          <w:rFonts w:hint="eastAsia" w:ascii="宋体" w:hAnsi="宋体"/>
          <w:color w:val="auto"/>
          <w:highlight w:val="none"/>
        </w:rPr>
        <w:t>扣至0分为止</w:t>
      </w:r>
      <w:r>
        <w:rPr>
          <w:rFonts w:hint="eastAsia" w:ascii="宋体" w:hAnsi="宋体"/>
          <w:color w:val="auto"/>
          <w:szCs w:val="21"/>
          <w:highlight w:val="none"/>
        </w:rPr>
        <w:t>，得出投标报价得分，</w:t>
      </w:r>
      <w:r>
        <w:rPr>
          <w:rFonts w:hint="eastAsia" w:ascii="宋体" w:hAnsi="宋体"/>
          <w:color w:val="auto"/>
          <w:szCs w:val="21"/>
          <w:highlight w:val="none"/>
          <w:u w:val="single"/>
        </w:rPr>
        <w:t>偏差率、报价得分精确到小数点后两位。</w:t>
      </w:r>
    </w:p>
    <w:p>
      <w:pPr>
        <w:pStyle w:val="4"/>
        <w:spacing w:before="100" w:after="100" w:line="400" w:lineRule="exact"/>
        <w:ind w:firstLine="103"/>
        <w:rPr>
          <w:rFonts w:hAnsi="宋体" w:cs="宋体"/>
          <w:bCs w:val="0"/>
          <w:color w:val="auto"/>
          <w:sz w:val="21"/>
          <w:highlight w:val="none"/>
        </w:rPr>
      </w:pPr>
      <w:bookmarkStart w:id="321" w:name="_Toc29875"/>
      <w:r>
        <w:rPr>
          <w:rFonts w:hint="eastAsia" w:hAnsi="宋体" w:cs="宋体"/>
          <w:bCs w:val="0"/>
          <w:color w:val="auto"/>
          <w:sz w:val="21"/>
          <w:highlight w:val="none"/>
        </w:rPr>
        <w:t>3.5评审汇总（由评标委员会施工评审组负责）</w:t>
      </w:r>
      <w:bookmarkEnd w:id="321"/>
    </w:p>
    <w:p>
      <w:pPr>
        <w:snapToGrid w:val="0"/>
        <w:spacing w:line="360" w:lineRule="auto"/>
        <w:ind w:firstLine="457" w:firstLineChars="218"/>
        <w:rPr>
          <w:rFonts w:hint="eastAsia" w:ascii="宋体" w:hAnsi="宋体" w:cs="宋体"/>
          <w:color w:val="auto"/>
          <w:szCs w:val="21"/>
          <w:highlight w:val="none"/>
          <w:u w:val="single"/>
        </w:rPr>
      </w:pPr>
      <w:r>
        <w:rPr>
          <w:rFonts w:hint="eastAsia" w:ascii="宋体" w:hAnsi="宋体" w:cs="宋体"/>
          <w:color w:val="auto"/>
          <w:szCs w:val="21"/>
          <w:highlight w:val="none"/>
          <w:u w:val="single"/>
        </w:rPr>
        <w:t>3.5.1 投标人总得分满分为100分，总得分权重分配见:评标办法前附表。</w:t>
      </w:r>
    </w:p>
    <w:p>
      <w:pPr>
        <w:spacing w:line="360" w:lineRule="auto"/>
        <w:ind w:firstLine="420" w:firstLineChars="200"/>
        <w:rPr>
          <w:rFonts w:ascii="宋体" w:hAnsi="宋体" w:cs="宋体"/>
          <w:color w:val="auto"/>
          <w:highlight w:val="none"/>
        </w:rPr>
      </w:pPr>
      <w:r>
        <w:rPr>
          <w:rFonts w:hint="eastAsia" w:ascii="宋体" w:hAnsi="宋体" w:cs="宋体"/>
          <w:bCs/>
          <w:color w:val="auto"/>
          <w:szCs w:val="21"/>
          <w:highlight w:val="none"/>
          <w:u w:val="single"/>
        </w:rPr>
        <w:t>3.5.2评标委员会按照“</w:t>
      </w:r>
      <w:r>
        <w:rPr>
          <w:rFonts w:hint="eastAsia" w:ascii="宋体" w:hAnsi="宋体"/>
          <w:color w:val="auto"/>
          <w:szCs w:val="21"/>
          <w:highlight w:val="none"/>
          <w:u w:val="single"/>
        </w:rPr>
        <w:t>投标人总得分（满分为100分），</w:t>
      </w:r>
      <w:r>
        <w:rPr>
          <w:rFonts w:hint="eastAsia" w:ascii="宋体" w:hAnsi="宋体"/>
          <w:b/>
          <w:color w:val="auto"/>
          <w:szCs w:val="21"/>
          <w:highlight w:val="none"/>
          <w:u w:val="single"/>
        </w:rPr>
        <w:t>总分=设计方案得分（满分为100分）×权重</w:t>
      </w:r>
      <w:r>
        <w:rPr>
          <w:rFonts w:ascii="宋体" w:hAnsi="宋体"/>
          <w:b/>
          <w:color w:val="auto"/>
          <w:szCs w:val="21"/>
          <w:highlight w:val="none"/>
          <w:u w:val="single"/>
        </w:rPr>
        <w:t>3</w:t>
      </w:r>
      <w:r>
        <w:rPr>
          <w:rFonts w:hint="eastAsia" w:ascii="宋体" w:hAnsi="宋体"/>
          <w:b/>
          <w:color w:val="auto"/>
          <w:szCs w:val="21"/>
          <w:highlight w:val="none"/>
          <w:u w:val="single"/>
        </w:rPr>
        <w:t>0%+工程总承包实施方案得分（满分为100分）×权重</w:t>
      </w:r>
      <w:r>
        <w:rPr>
          <w:rFonts w:hint="eastAsia" w:ascii="宋体" w:hAnsi="宋体"/>
          <w:b/>
          <w:color w:val="auto"/>
          <w:szCs w:val="21"/>
          <w:highlight w:val="none"/>
          <w:u w:val="single"/>
          <w:lang w:eastAsia="zh-CN"/>
        </w:rPr>
        <w:t>3</w:t>
      </w:r>
      <w:r>
        <w:rPr>
          <w:rFonts w:hint="eastAsia" w:ascii="宋体" w:hAnsi="宋体"/>
          <w:b/>
          <w:color w:val="auto"/>
          <w:szCs w:val="21"/>
          <w:highlight w:val="none"/>
          <w:u w:val="single"/>
          <w:lang w:val="en-US" w:eastAsia="zh-CN"/>
        </w:rPr>
        <w:t>5</w:t>
      </w:r>
      <w:r>
        <w:rPr>
          <w:rFonts w:hint="eastAsia" w:ascii="宋体" w:hAnsi="宋体"/>
          <w:b/>
          <w:color w:val="auto"/>
          <w:szCs w:val="21"/>
          <w:highlight w:val="none"/>
          <w:u w:val="single"/>
        </w:rPr>
        <w:t>%+投标报价得分（满分为100分）×权重</w:t>
      </w:r>
      <w:r>
        <w:rPr>
          <w:rFonts w:ascii="宋体" w:hAnsi="宋体"/>
          <w:b/>
          <w:color w:val="auto"/>
          <w:szCs w:val="21"/>
          <w:highlight w:val="none"/>
          <w:u w:val="single"/>
        </w:rPr>
        <w:t>3</w:t>
      </w:r>
      <w:r>
        <w:rPr>
          <w:rFonts w:hint="eastAsia" w:ascii="宋体" w:hAnsi="宋体"/>
          <w:b/>
          <w:color w:val="auto"/>
          <w:szCs w:val="21"/>
          <w:highlight w:val="none"/>
          <w:u w:val="single"/>
          <w:lang w:eastAsia="zh-CN"/>
        </w:rPr>
        <w:t>5</w:t>
      </w:r>
      <w:r>
        <w:rPr>
          <w:rFonts w:hint="eastAsia" w:ascii="宋体" w:hAnsi="宋体"/>
          <w:b/>
          <w:color w:val="auto"/>
          <w:szCs w:val="21"/>
          <w:highlight w:val="none"/>
          <w:u w:val="single"/>
        </w:rPr>
        <w:t>%。</w:t>
      </w:r>
      <w:r>
        <w:rPr>
          <w:rFonts w:hint="eastAsia" w:ascii="宋体" w:hAnsi="宋体"/>
          <w:color w:val="auto"/>
          <w:szCs w:val="21"/>
          <w:highlight w:val="none"/>
          <w:u w:val="single"/>
        </w:rPr>
        <w:t>”</w:t>
      </w:r>
      <w:r>
        <w:rPr>
          <w:rFonts w:hint="eastAsia" w:ascii="宋体" w:hAnsi="宋体" w:cs="宋体"/>
          <w:bCs/>
          <w:color w:val="auto"/>
          <w:szCs w:val="21"/>
          <w:highlight w:val="none"/>
          <w:u w:val="single"/>
        </w:rPr>
        <w:t>公式，</w:t>
      </w:r>
      <w:r>
        <w:rPr>
          <w:rFonts w:hint="eastAsia" w:ascii="宋体" w:hAnsi="宋体"/>
          <w:color w:val="auto"/>
          <w:highlight w:val="none"/>
        </w:rPr>
        <w:t>计算各有效投标文件的总得分，精确到小数点后两位，并按照总得分从高到低排列先后次序。总得分相同的，以</w:t>
      </w:r>
      <w:r>
        <w:rPr>
          <w:rFonts w:hint="eastAsia" w:ascii="宋体" w:hAnsi="宋体" w:cs="Calibri"/>
          <w:color w:val="auto"/>
          <w:highlight w:val="none"/>
        </w:rPr>
        <w:t>工程总承包实施方案得分</w:t>
      </w:r>
      <w:r>
        <w:rPr>
          <w:rFonts w:hint="eastAsia" w:ascii="宋体" w:hAnsi="宋体"/>
          <w:color w:val="auto"/>
          <w:highlight w:val="none"/>
        </w:rPr>
        <w:t>排名靠前的排前；总得分与</w:t>
      </w:r>
      <w:r>
        <w:rPr>
          <w:rFonts w:hint="eastAsia" w:ascii="宋体" w:hAnsi="宋体" w:cs="Calibri"/>
          <w:color w:val="auto"/>
          <w:highlight w:val="none"/>
        </w:rPr>
        <w:t>工程总承包实施方案得分</w:t>
      </w:r>
      <w:r>
        <w:rPr>
          <w:rFonts w:hint="eastAsia" w:ascii="宋体" w:hAnsi="宋体"/>
          <w:color w:val="auto"/>
          <w:highlight w:val="none"/>
        </w:rPr>
        <w:t>均相同的，以</w:t>
      </w:r>
      <w:r>
        <w:rPr>
          <w:rFonts w:hint="eastAsia" w:ascii="宋体"/>
          <w:color w:val="auto"/>
          <w:szCs w:val="21"/>
          <w:highlight w:val="none"/>
        </w:rPr>
        <w:t>设计方案</w:t>
      </w:r>
      <w:r>
        <w:rPr>
          <w:rFonts w:hint="eastAsia" w:ascii="宋体" w:hAnsi="宋体" w:cs="Calibri"/>
          <w:color w:val="auto"/>
          <w:highlight w:val="none"/>
        </w:rPr>
        <w:t>得分</w:t>
      </w:r>
      <w:r>
        <w:rPr>
          <w:rFonts w:hint="eastAsia" w:ascii="宋体" w:hAnsi="宋体"/>
          <w:color w:val="auto"/>
          <w:highlight w:val="none"/>
        </w:rPr>
        <w:t>排名靠前的排前；如仍存在相同情况，则对具有相同情况的投标人，按中标候选人数量规定，由评标委员会采用记名投票方式，确定中标候选人的排序。评标委员会应按排序先后，在投标文件有效的投标人中，向招标人推荐前3名投标人依次为第一中标候选人至第三中标候选人，并编写评标报告。</w:t>
      </w:r>
    </w:p>
    <w:p>
      <w:pPr>
        <w:snapToGrid w:val="0"/>
        <w:spacing w:line="400" w:lineRule="exact"/>
        <w:ind w:firstLine="457" w:firstLineChars="218"/>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3.5.3同时通过资格审查、</w:t>
      </w:r>
      <w:r>
        <w:rPr>
          <w:rFonts w:hint="eastAsia" w:hAnsi="宋体" w:cs="宋体"/>
          <w:color w:val="auto"/>
          <w:szCs w:val="21"/>
          <w:highlight w:val="none"/>
          <w:u w:val="single"/>
        </w:rPr>
        <w:t>设计方案</w:t>
      </w:r>
      <w:r>
        <w:rPr>
          <w:rFonts w:hint="eastAsia" w:ascii="宋体" w:hAnsi="宋体" w:cs="宋体"/>
          <w:bCs/>
          <w:color w:val="auto"/>
          <w:szCs w:val="21"/>
          <w:highlight w:val="none"/>
          <w:u w:val="single"/>
        </w:rPr>
        <w:t>投标文件有效性审查、</w:t>
      </w:r>
      <w:r>
        <w:rPr>
          <w:rFonts w:hint="eastAsia" w:ascii="宋体" w:hAnsi="宋体"/>
          <w:color w:val="auto"/>
          <w:szCs w:val="24"/>
          <w:highlight w:val="none"/>
          <w:u w:val="single"/>
        </w:rPr>
        <w:t>工程总承包</w:t>
      </w:r>
      <w:r>
        <w:rPr>
          <w:rFonts w:hint="eastAsia" w:ascii="宋体" w:hAnsi="宋体" w:cs="宋体"/>
          <w:color w:val="auto"/>
          <w:szCs w:val="21"/>
          <w:highlight w:val="none"/>
          <w:u w:val="single"/>
        </w:rPr>
        <w:t>实施方案投标文件</w:t>
      </w:r>
      <w:r>
        <w:rPr>
          <w:rFonts w:hint="eastAsia" w:ascii="宋体" w:hAnsi="宋体" w:cs="宋体"/>
          <w:bCs/>
          <w:color w:val="auto"/>
          <w:szCs w:val="21"/>
          <w:highlight w:val="none"/>
          <w:u w:val="single"/>
        </w:rPr>
        <w:t>有效性审查的投标人才可参与投标人总得分汇总。</w:t>
      </w:r>
    </w:p>
    <w:p>
      <w:pPr>
        <w:snapToGrid w:val="0"/>
        <w:spacing w:line="400" w:lineRule="exact"/>
        <w:ind w:firstLine="457" w:firstLineChars="218"/>
        <w:rPr>
          <w:rFonts w:hint="eastAsia" w:ascii="宋体" w:hAnsi="宋体" w:cs="宋体"/>
          <w:color w:val="auto"/>
          <w:szCs w:val="21"/>
          <w:highlight w:val="none"/>
          <w:u w:val="single"/>
        </w:rPr>
      </w:pPr>
      <w:r>
        <w:rPr>
          <w:rFonts w:hint="eastAsia" w:ascii="宋体" w:hAnsi="宋体" w:cs="宋体"/>
          <w:color w:val="auto"/>
          <w:szCs w:val="21"/>
          <w:highlight w:val="none"/>
          <w:u w:val="single"/>
        </w:rPr>
        <w:t>3.5.4</w:t>
      </w:r>
      <w:r>
        <w:rPr>
          <w:rFonts w:hint="eastAsia" w:ascii="宋体" w:hAnsi="宋体" w:cs="宋体"/>
          <w:color w:val="auto"/>
          <w:szCs w:val="21"/>
          <w:highlight w:val="none"/>
          <w:u w:val="single"/>
          <w:shd w:val="clear" w:color="auto" w:fill="FFFFFF"/>
        </w:rPr>
        <w:t>满足资格审查合格条件的投标人不足</w:t>
      </w:r>
      <w:r>
        <w:rPr>
          <w:rFonts w:hint="eastAsia" w:ascii="宋体" w:hAnsi="宋体" w:cs="宋体"/>
          <w:color w:val="auto"/>
          <w:szCs w:val="21"/>
          <w:highlight w:val="none"/>
          <w:u w:val="single"/>
        </w:rPr>
        <w:t>3名、或经评审有效的投标人不足3名时为招标失败，应当依法重新招标。</w:t>
      </w:r>
    </w:p>
    <w:p>
      <w:pPr>
        <w:pStyle w:val="4"/>
        <w:spacing w:before="100" w:after="100" w:line="400" w:lineRule="exact"/>
        <w:ind w:firstLine="103"/>
        <w:rPr>
          <w:rFonts w:hAnsi="宋体" w:cs="宋体"/>
          <w:bCs w:val="0"/>
          <w:color w:val="auto"/>
          <w:sz w:val="21"/>
          <w:highlight w:val="none"/>
        </w:rPr>
      </w:pPr>
      <w:bookmarkStart w:id="322" w:name="_Toc32298"/>
      <w:r>
        <w:rPr>
          <w:rFonts w:hint="eastAsia" w:hAnsi="宋体" w:cs="宋体"/>
          <w:bCs w:val="0"/>
          <w:color w:val="auto"/>
          <w:sz w:val="21"/>
          <w:highlight w:val="none"/>
        </w:rPr>
        <w:t>3.6投标文件的澄清和补正</w:t>
      </w:r>
      <w:bookmarkEnd w:id="322"/>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3.6.1 为有助于投标文件的审查、评价和比较，评标期间，经评标委员会中超过两人（含两人）的成员以书面形式提出动议，评标委员会应当书面发出澄清通知，要求投标人对投标文件含义不明确的内容作出澄清。</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3.6.2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相应评审的依据。</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3.6.3 评标委员会成员均应当阅读投标人的澄清，但应独立参考澄清对投标文件进行评审。</w:t>
      </w:r>
    </w:p>
    <w:p>
      <w:pPr>
        <w:spacing w:line="400" w:lineRule="exact"/>
        <w:ind w:firstLine="420" w:firstLineChars="200"/>
        <w:rPr>
          <w:rFonts w:hint="eastAsia" w:ascii="宋体" w:hAnsi="宋体" w:cs="宋体"/>
          <w:color w:val="auto"/>
          <w:highlight w:val="none"/>
          <w:u w:val="single"/>
        </w:rPr>
      </w:pPr>
      <w:r>
        <w:rPr>
          <w:rFonts w:hint="eastAsia" w:ascii="宋体" w:hAnsi="宋体" w:cs="宋体"/>
          <w:color w:val="auto"/>
          <w:highlight w:val="none"/>
          <w:u w:val="single"/>
        </w:rPr>
        <w:t>3.6.4 如果投标文件实质上不响应招标文件的各项要求，评标委员会相应评审将按照有效性审查标准予以拒绝，不接受投标人通过修改或撤销其不符合要求的差异或保留，使之成为具有响应性的投标。</w:t>
      </w:r>
    </w:p>
    <w:p>
      <w:pPr>
        <w:pStyle w:val="4"/>
        <w:spacing w:before="100" w:after="100" w:line="400" w:lineRule="exact"/>
        <w:ind w:firstLine="103"/>
        <w:rPr>
          <w:rFonts w:hAnsi="宋体" w:cs="宋体"/>
          <w:bCs w:val="0"/>
          <w:color w:val="auto"/>
          <w:sz w:val="21"/>
          <w:highlight w:val="none"/>
        </w:rPr>
      </w:pPr>
      <w:bookmarkStart w:id="323" w:name="_Toc24722"/>
      <w:r>
        <w:rPr>
          <w:rFonts w:hint="eastAsia" w:hAnsi="宋体" w:cs="宋体"/>
          <w:bCs w:val="0"/>
          <w:color w:val="auto"/>
          <w:sz w:val="21"/>
          <w:highlight w:val="none"/>
        </w:rPr>
        <w:t>3.7评标结果</w:t>
      </w:r>
      <w:bookmarkEnd w:id="323"/>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3.7.1 除第一章“投标人须知”前附表授权直接确定中标人外，评标委员会按照得分由高到低的顺序推荐中标候选人。</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3.7.2 评标委员会完成评标后，应当向招标人提交书面评标报告。</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3.7.3 投标人如在本项目中存在串通投标、弄虚作假、行贿情形且在评标过程中未被发现的，其投标不改变本项目评标结果排序。招标人按照《中华人民共和国招标投标法实施条例》第五十五条的规定确定中标人或重新招标。</w:t>
      </w:r>
    </w:p>
    <w:p>
      <w:pPr>
        <w:spacing w:line="400" w:lineRule="exact"/>
        <w:ind w:firstLine="420" w:firstLineChars="200"/>
        <w:rPr>
          <w:rFonts w:hint="eastAsia" w:ascii="宋体" w:hAnsi="宋体" w:cs="宋体"/>
          <w:color w:val="auto"/>
          <w:highlight w:val="none"/>
          <w:u w:val="single"/>
        </w:rPr>
      </w:pPr>
    </w:p>
    <w:p>
      <w:pPr>
        <w:pStyle w:val="3"/>
        <w:spacing w:before="100" w:after="100" w:line="360" w:lineRule="auto"/>
        <w:rPr>
          <w:rFonts w:hint="eastAsia" w:ascii="宋体" w:hAnsi="宋体" w:eastAsia="宋体" w:cs="宋体"/>
          <w:color w:val="auto"/>
          <w:sz w:val="24"/>
          <w:szCs w:val="24"/>
          <w:highlight w:val="none"/>
        </w:rPr>
      </w:pPr>
      <w:bookmarkStart w:id="324" w:name="_Toc443505840"/>
      <w:bookmarkStart w:id="325" w:name="_Toc9187"/>
      <w:bookmarkStart w:id="326" w:name="_Toc480225665"/>
      <w:bookmarkStart w:id="327" w:name="_Toc505152704"/>
      <w:r>
        <w:rPr>
          <w:rFonts w:hint="eastAsia" w:ascii="宋体" w:hAnsi="宋体" w:eastAsia="宋体" w:cs="宋体"/>
          <w:color w:val="auto"/>
          <w:sz w:val="24"/>
          <w:szCs w:val="24"/>
          <w:highlight w:val="none"/>
        </w:rPr>
        <w:t>4. 评标表格</w:t>
      </w:r>
      <w:bookmarkEnd w:id="324"/>
      <w:bookmarkEnd w:id="325"/>
      <w:bookmarkEnd w:id="326"/>
      <w:bookmarkEnd w:id="327"/>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见后附。</w:t>
      </w:r>
    </w:p>
    <w:p>
      <w:pPr>
        <w:spacing w:line="400" w:lineRule="exact"/>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br w:type="page"/>
      </w:r>
      <w:r>
        <w:rPr>
          <w:rFonts w:hint="eastAsia" w:ascii="宋体" w:hAnsi="宋体" w:cs="宋体"/>
          <w:b/>
          <w:color w:val="auto"/>
          <w:kern w:val="0"/>
          <w:sz w:val="24"/>
          <w:szCs w:val="24"/>
          <w:highlight w:val="none"/>
        </w:rPr>
        <w:t>附表1</w:t>
      </w:r>
    </w:p>
    <w:p>
      <w:pPr>
        <w:widowControl/>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资格审查表</w:t>
      </w:r>
    </w:p>
    <w:p>
      <w:pPr>
        <w:widowControl/>
        <w:spacing w:line="240" w:lineRule="atLeas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项目名称：</w:t>
      </w:r>
    </w:p>
    <w:p>
      <w:pPr>
        <w:widowControl/>
        <w:spacing w:line="240" w:lineRule="atLeas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投标人名称：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4008"/>
        <w:gridCol w:w="3941"/>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序号</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审查项目</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须审查的资料</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0"/>
                <w:szCs w:val="20"/>
                <w:highlight w:val="none"/>
              </w:rPr>
            </w:pPr>
            <w:r>
              <w:rPr>
                <w:rFonts w:hint="eastAsia" w:ascii="宋体" w:hAnsi="宋体" w:cs="宋体"/>
                <w:b/>
                <w:bCs/>
                <w:color w:val="auto"/>
                <w:kern w:val="0"/>
                <w:sz w:val="20"/>
                <w:szCs w:val="20"/>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投标人参加投标的意思表达清楚，投标人代表被授权有效</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法定代表人证明书；委托投标的还应提供法人授权委托证明书</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投标人（联合体各成员）均具有独立法人资格，按国家法律经营</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宋体" w:hAnsi="宋体"/>
                <w:color w:val="auto"/>
                <w:szCs w:val="21"/>
                <w:highlight w:val="none"/>
              </w:rPr>
            </w:pPr>
            <w:r>
              <w:rPr>
                <w:rFonts w:hint="eastAsia" w:ascii="宋体" w:hAnsi="宋体" w:cs="宋体"/>
                <w:color w:val="auto"/>
                <w:kern w:val="0"/>
                <w:szCs w:val="21"/>
                <w:highlight w:val="none"/>
              </w:rPr>
              <w:t>企业营业执照扫描件。</w:t>
            </w:r>
          </w:p>
          <w:p>
            <w:pPr>
              <w:pStyle w:val="24"/>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u w:val="single"/>
              </w:rPr>
              <w:t>设计单位为香港企业独立参加投标的，须提供在广东省住房和城乡建设主管部门备案证明扫描件。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投标人（联合体各成员）持有建设行政主管部门颁发的企业资质证书；投标人（联合体各成员）资质符合公告要求</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highlight w:val="none"/>
              </w:rPr>
            </w:pPr>
            <w:r>
              <w:rPr>
                <w:rFonts w:hint="eastAsia" w:ascii="宋体" w:hAnsi="宋体"/>
                <w:color w:val="auto"/>
                <w:szCs w:val="21"/>
                <w:highlight w:val="none"/>
              </w:rPr>
              <w:t>企业资质证书</w:t>
            </w:r>
            <w:r>
              <w:rPr>
                <w:rFonts w:hint="eastAsia" w:ascii="宋体" w:hAnsi="宋体"/>
                <w:color w:val="auto"/>
                <w:szCs w:val="21"/>
                <w:highlight w:val="none"/>
                <w:u w:val="single"/>
              </w:rPr>
              <w:t>扫描</w:t>
            </w:r>
            <w:r>
              <w:rPr>
                <w:rFonts w:hint="eastAsia" w:ascii="宋体" w:hAnsi="宋体"/>
                <w:color w:val="auto"/>
                <w:szCs w:val="21"/>
                <w:highlight w:val="none"/>
              </w:rPr>
              <w:t>件</w:t>
            </w:r>
          </w:p>
          <w:p>
            <w:pPr>
              <w:pStyle w:val="24"/>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u w:val="single"/>
              </w:rPr>
              <w:t>设计单位为香港企业独立参加投标的，须提供在广东省住房和城乡建设主管部门备案证明扫描件。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投标人（若为联合体投标，由主办方提供）持有建设行政主管部门颁发的</w:t>
            </w:r>
            <w:r>
              <w:rPr>
                <w:rFonts w:hint="eastAsia" w:ascii="宋体" w:hAnsi="宋体" w:cs="宋体"/>
                <w:bCs/>
                <w:color w:val="auto"/>
                <w:kern w:val="0"/>
                <w:szCs w:val="21"/>
                <w:highlight w:val="none"/>
              </w:rPr>
              <w:t>有效期内的</w:t>
            </w:r>
            <w:r>
              <w:rPr>
                <w:rFonts w:hint="eastAsia" w:ascii="宋体" w:hAnsi="宋体" w:cs="宋体"/>
                <w:color w:val="auto"/>
                <w:kern w:val="0"/>
                <w:szCs w:val="21"/>
                <w:highlight w:val="none"/>
              </w:rPr>
              <w:t>安全生产许可证；</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安全生产许可证（联合体主办方）扫描件。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highlight w:val="none"/>
              </w:rPr>
            </w:pPr>
            <w:r>
              <w:rPr>
                <w:rFonts w:hint="eastAsia" w:ascii="宋体" w:hAnsi="宋体"/>
                <w:color w:val="auto"/>
                <w:szCs w:val="21"/>
                <w:highlight w:val="none"/>
              </w:rPr>
              <w:t>投标人拟担任本工程项目负责人及设计负责人符合招标公告要求，设计负责人、项目负责人、技术负责人及专职安全员不能为同一人。</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auto"/>
                <w:szCs w:val="21"/>
                <w:highlight w:val="none"/>
              </w:rPr>
            </w:pPr>
            <w:r>
              <w:rPr>
                <w:rFonts w:hint="eastAsia" w:ascii="宋体" w:hAnsi="宋体"/>
                <w:color w:val="auto"/>
                <w:szCs w:val="21"/>
                <w:highlight w:val="none"/>
              </w:rPr>
              <w:t>提供相应证书扫描件。</w:t>
            </w:r>
          </w:p>
          <w:p>
            <w:pPr>
              <w:widowControl/>
              <w:rPr>
                <w:rFonts w:ascii="宋体" w:hAnsi="宋体"/>
                <w:color w:val="auto"/>
                <w:szCs w:val="21"/>
                <w:highlight w:val="none"/>
              </w:rPr>
            </w:pPr>
            <w:r>
              <w:rPr>
                <w:rFonts w:hint="eastAsia" w:ascii="宋体" w:hAnsi="宋体"/>
                <w:color w:val="auto"/>
                <w:szCs w:val="21"/>
                <w:highlight w:val="none"/>
                <w:u w:val="single"/>
              </w:rPr>
              <w:t>设计单位为香港企业独立参加投标的，香港专业人士须提供香港建筑师注册管理局注册的建筑师证书扫描件并提供在广东省住房和城乡建设主管部门备案证明扫描件。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投标人（联合体主办方）拟担任本工程</w:t>
            </w:r>
            <w:r>
              <w:rPr>
                <w:rFonts w:hint="eastAsia" w:ascii="宋体" w:hAnsi="宋体" w:cs="宋体"/>
                <w:color w:val="auto"/>
                <w:szCs w:val="21"/>
                <w:highlight w:val="none"/>
              </w:rPr>
              <w:t>项目负责人持有在有效期内的安全生产考核合格证（B类）或建筑施工企业项目负责人安全生产考核合格证书</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Cs w:val="21"/>
                <w:highlight w:val="none"/>
              </w:rPr>
            </w:pPr>
            <w:r>
              <w:rPr>
                <w:rFonts w:hint="eastAsia" w:ascii="宋体" w:hAnsi="宋体" w:cs="宋体"/>
                <w:color w:val="auto"/>
                <w:szCs w:val="21"/>
                <w:highlight w:val="none"/>
              </w:rPr>
              <w:t>项目负责人安全生产考核合格证（B类）或建筑施工企业项目负责人安全生产考核合格证书</w:t>
            </w:r>
            <w:r>
              <w:rPr>
                <w:rFonts w:hint="eastAsia" w:ascii="宋体" w:hAnsi="宋体"/>
                <w:color w:val="auto"/>
                <w:szCs w:val="21"/>
                <w:highlight w:val="none"/>
              </w:rPr>
              <w:t>在</w:t>
            </w:r>
            <w:r>
              <w:rPr>
                <w:rFonts w:hint="eastAsia" w:ascii="宋体" w:hAnsi="宋体" w:cs="宋体"/>
                <w:color w:val="auto"/>
                <w:kern w:val="0"/>
                <w:szCs w:val="21"/>
                <w:highlight w:val="none"/>
              </w:rPr>
              <w:t>广州市住建行业信用管理平台内上传件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Cs w:val="21"/>
                <w:highlight w:val="none"/>
              </w:rPr>
            </w:pPr>
            <w:r>
              <w:rPr>
                <w:rFonts w:hint="eastAsia" w:ascii="宋体" w:hAnsi="宋体" w:cs="宋体"/>
                <w:color w:val="auto"/>
                <w:kern w:val="0"/>
                <w:szCs w:val="21"/>
                <w:highlight w:val="none"/>
              </w:rPr>
              <w:t>投标人（联合体主办方）拟担任本工程</w:t>
            </w:r>
            <w:r>
              <w:rPr>
                <w:rFonts w:hint="eastAsia" w:ascii="宋体" w:hAnsi="宋体" w:cs="宋体"/>
                <w:color w:val="auto"/>
                <w:szCs w:val="21"/>
                <w:highlight w:val="none"/>
              </w:rPr>
              <w:t>专职安全人员持有在有效期内的安全生产考核合格证书（C类）或</w:t>
            </w:r>
            <w:r>
              <w:rPr>
                <w:rFonts w:hint="eastAsia" w:ascii="宋体" w:cs="宋体"/>
                <w:color w:val="auto"/>
                <w:szCs w:val="21"/>
                <w:highlight w:val="none"/>
              </w:rPr>
              <w:t>建筑施工企业专职安全生产管理人员安全生产考核合格证书（C3）</w:t>
            </w:r>
            <w:r>
              <w:rPr>
                <w:rFonts w:hint="eastAsia" w:ascii="宋体" w:hAnsi="宋体" w:cs="宋体"/>
                <w:color w:val="auto"/>
                <w:szCs w:val="21"/>
                <w:highlight w:val="none"/>
              </w:rPr>
              <w:t>。</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Cs w:val="21"/>
                <w:highlight w:val="none"/>
              </w:rPr>
            </w:pPr>
            <w:r>
              <w:rPr>
                <w:rFonts w:hint="eastAsia" w:ascii="宋体" w:hAnsi="宋体" w:cs="宋体"/>
                <w:color w:val="auto"/>
                <w:szCs w:val="21"/>
                <w:highlight w:val="none"/>
              </w:rPr>
              <w:t>专职安全人员安全生产考核合格证书（C类）或</w:t>
            </w:r>
            <w:r>
              <w:rPr>
                <w:rFonts w:hint="eastAsia" w:ascii="宋体" w:cs="宋体"/>
                <w:color w:val="auto"/>
                <w:szCs w:val="21"/>
                <w:highlight w:val="none"/>
              </w:rPr>
              <w:t>建筑施工企业专职安全生产管理人员安全生产考核合格证书（C3）</w:t>
            </w:r>
            <w:r>
              <w:rPr>
                <w:rFonts w:hint="eastAsia" w:ascii="宋体" w:hAnsi="宋体"/>
                <w:color w:val="auto"/>
                <w:szCs w:val="21"/>
                <w:highlight w:val="none"/>
              </w:rPr>
              <w:t>在</w:t>
            </w:r>
            <w:r>
              <w:rPr>
                <w:rFonts w:hint="eastAsia" w:ascii="宋体" w:hAnsi="宋体" w:cs="宋体"/>
                <w:color w:val="auto"/>
                <w:kern w:val="0"/>
                <w:szCs w:val="21"/>
                <w:highlight w:val="none"/>
              </w:rPr>
              <w:t>广州市住建行业信用管理平台内上传件</w:t>
            </w:r>
            <w:r>
              <w:rPr>
                <w:rFonts w:hint="eastAsia" w:ascii="宋体" w:hAnsi="宋体" w:cs="宋体"/>
                <w:color w:val="auto"/>
                <w:szCs w:val="21"/>
                <w:highlight w:val="none"/>
              </w:rPr>
              <w:t>。</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拟担任本工程技术负责人符合公告要求。</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szCs w:val="21"/>
                <w:highlight w:val="none"/>
              </w:rPr>
              <w:t>提供职称证书</w:t>
            </w:r>
            <w:r>
              <w:rPr>
                <w:rFonts w:hint="eastAsia" w:ascii="宋体" w:hAnsi="宋体"/>
                <w:color w:val="auto"/>
                <w:szCs w:val="21"/>
                <w:highlight w:val="none"/>
                <w:u w:val="single"/>
              </w:rPr>
              <w:t>扫描</w:t>
            </w:r>
            <w:r>
              <w:rPr>
                <w:rFonts w:hint="eastAsia" w:ascii="宋体" w:hAnsi="宋体"/>
                <w:color w:val="auto"/>
                <w:szCs w:val="21"/>
                <w:highlight w:val="none"/>
              </w:rPr>
              <w:t>件</w:t>
            </w:r>
            <w:r>
              <w:rPr>
                <w:rFonts w:hint="eastAsia" w:ascii="宋体" w:hAnsi="宋体" w:cs="宋体"/>
                <w:color w:val="auto"/>
                <w:kern w:val="0"/>
                <w:szCs w:val="21"/>
                <w:highlight w:val="none"/>
              </w:rPr>
              <w:t>。</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9</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48" w:after="48"/>
              <w:rPr>
                <w:rFonts w:hint="eastAsia" w:ascii="宋体" w:hAnsi="宋体" w:cs="宋体"/>
                <w:color w:val="auto"/>
                <w:kern w:val="0"/>
                <w:szCs w:val="21"/>
                <w:highlight w:val="none"/>
              </w:rPr>
            </w:pPr>
            <w:r>
              <w:rPr>
                <w:rFonts w:hint="eastAsia" w:ascii="宋体" w:hAnsi="宋体" w:cs="宋体"/>
                <w:color w:val="auto"/>
                <w:kern w:val="0"/>
                <w:szCs w:val="21"/>
                <w:highlight w:val="none"/>
              </w:rPr>
              <w:t>投标人已按照招标公告附件一的内容签署盖章的投标人声明。</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48" w:after="48"/>
              <w:rPr>
                <w:rFonts w:hint="eastAsia" w:ascii="宋体" w:hAnsi="宋体" w:cs="宋体"/>
                <w:color w:val="auto"/>
                <w:kern w:val="0"/>
                <w:szCs w:val="21"/>
                <w:highlight w:val="none"/>
              </w:rPr>
            </w:pPr>
            <w:r>
              <w:rPr>
                <w:rFonts w:hint="eastAsia" w:ascii="宋体" w:hAnsi="宋体" w:cs="宋体"/>
                <w:color w:val="auto"/>
                <w:kern w:val="0"/>
                <w:szCs w:val="21"/>
                <w:highlight w:val="none"/>
              </w:rPr>
              <w:t>投标人声明原件扫描件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联合体投标的提交联合体共同投标协议书，联合体组成符合招标公告要求</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提供联合体共同投标协议书原件</w:t>
            </w:r>
            <w:r>
              <w:rPr>
                <w:rFonts w:hint="eastAsia" w:ascii="宋体" w:hAnsi="宋体"/>
                <w:color w:val="auto"/>
                <w:szCs w:val="21"/>
                <w:highlight w:val="none"/>
                <w:u w:val="single"/>
              </w:rPr>
              <w:t>扫描件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szCs w:val="21"/>
                <w:highlight w:val="none"/>
              </w:rPr>
              <w:t>资格审查前，投标人（含联合体各方）须在</w:t>
            </w:r>
            <w:r>
              <w:rPr>
                <w:rFonts w:hint="eastAsia" w:ascii="宋体" w:hAnsi="宋体"/>
                <w:color w:val="auto"/>
                <w:szCs w:val="21"/>
                <w:highlight w:val="none"/>
              </w:rPr>
              <w:t>广州市住建行业信用管理平台建立企业信用档案</w:t>
            </w:r>
            <w:r>
              <w:rPr>
                <w:rFonts w:hint="eastAsia" w:ascii="宋体" w:hAnsi="宋体" w:cs="宋体"/>
                <w:color w:val="auto"/>
                <w:szCs w:val="21"/>
                <w:highlight w:val="none"/>
              </w:rPr>
              <w:t>，拟担任本工程项目负责人、专职安全员、设计负责人须是本企业</w:t>
            </w:r>
            <w:r>
              <w:rPr>
                <w:rFonts w:hint="eastAsia" w:ascii="宋体" w:hAnsi="宋体"/>
                <w:color w:val="auto"/>
                <w:szCs w:val="21"/>
                <w:highlight w:val="none"/>
              </w:rPr>
              <w:t>信用档案</w:t>
            </w:r>
            <w:r>
              <w:rPr>
                <w:rFonts w:hint="eastAsia" w:ascii="宋体" w:hAnsi="宋体" w:cs="宋体"/>
                <w:color w:val="auto"/>
                <w:szCs w:val="21"/>
                <w:highlight w:val="none"/>
              </w:rPr>
              <w:t>中的在册人员（联合体投标的，信用档案信息和人员在册情况为联合体共同投标协议书中分工对应在广州市住建行业信用管理平台内信息）</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Cs w:val="21"/>
                <w:highlight w:val="none"/>
              </w:rPr>
            </w:pPr>
            <w:r>
              <w:rPr>
                <w:rFonts w:hint="eastAsia" w:ascii="宋体" w:hAnsi="宋体" w:cs="宋体"/>
                <w:color w:val="auto"/>
                <w:szCs w:val="21"/>
                <w:highlight w:val="none"/>
              </w:rPr>
              <w:t>投标人</w:t>
            </w:r>
            <w:r>
              <w:rPr>
                <w:rFonts w:hint="eastAsia" w:ascii="宋体" w:hAnsi="宋体" w:cs="宋体"/>
                <w:color w:val="auto"/>
                <w:kern w:val="0"/>
                <w:szCs w:val="21"/>
                <w:highlight w:val="none"/>
              </w:rPr>
              <w:t>（含联合体各方）</w:t>
            </w:r>
            <w:r>
              <w:rPr>
                <w:rFonts w:hint="eastAsia" w:ascii="宋体" w:hAnsi="宋体" w:cs="宋体"/>
                <w:color w:val="auto"/>
                <w:szCs w:val="21"/>
                <w:highlight w:val="none"/>
              </w:rPr>
              <w:t>在广州市住建行业信用管理平台内</w:t>
            </w:r>
            <w:r>
              <w:rPr>
                <w:rFonts w:hint="eastAsia" w:ascii="宋体" w:hAnsi="宋体" w:cs="宋体"/>
                <w:color w:val="auto"/>
                <w:kern w:val="0"/>
                <w:szCs w:val="21"/>
                <w:highlight w:val="none"/>
              </w:rPr>
              <w:t>的相关信息页</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投标人（若为联合体投标，指联合体各方）未出现以下情形：与其它投标人（含联合体各方）的单位负责人为同一人或者存在控股、管理关系的（按投标人提供的《投标人声明》第八条内容进行评审）。</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按投标人提供的《投标人声明》内容进行评审</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rPr>
                <w:rFonts w:ascii="宋体" w:hAnsi="宋体" w:cs="宋体"/>
                <w:color w:val="auto"/>
                <w:kern w:val="0"/>
                <w:szCs w:val="21"/>
                <w:highlight w:val="none"/>
              </w:rPr>
            </w:pPr>
            <w:r>
              <w:rPr>
                <w:rFonts w:hint="eastAsia" w:ascii="宋体" w:hAnsi="宋体" w:cs="宋体"/>
                <w:color w:val="auto"/>
                <w:kern w:val="0"/>
                <w:szCs w:val="21"/>
                <w:highlight w:val="none"/>
              </w:rPr>
              <w:t>投标人（含联合体成员）未在以往工程中因不充分履约行为被本项目招标人书面拒绝投标的（详见公告附件三《被招标人拒绝投标的企业名单》）。</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按招标公告附件</w:t>
            </w:r>
            <w:r>
              <w:rPr>
                <w:rFonts w:ascii="宋体" w:hAnsi="宋体" w:cs="宋体"/>
                <w:color w:val="auto"/>
                <w:kern w:val="0"/>
                <w:szCs w:val="21"/>
                <w:highlight w:val="none"/>
              </w:rPr>
              <w:t>三</w:t>
            </w:r>
            <w:r>
              <w:rPr>
                <w:rFonts w:hint="eastAsia" w:ascii="宋体" w:hAnsi="宋体" w:cs="宋体"/>
                <w:color w:val="auto"/>
                <w:kern w:val="0"/>
                <w:szCs w:val="21"/>
                <w:highlight w:val="none"/>
              </w:rPr>
              <w:t>《被招标人拒绝投标的企业名单》进行评审</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4</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kern w:val="0"/>
                <w:szCs w:val="21"/>
                <w:highlight w:val="none"/>
              </w:rPr>
            </w:pPr>
            <w:r>
              <w:rPr>
                <w:rFonts w:hint="eastAsia" w:ascii="宋体" w:hAnsi="宋体" w:cs="宋体"/>
                <w:color w:val="auto"/>
                <w:kern w:val="0"/>
                <w:szCs w:val="21"/>
                <w:highlight w:val="none"/>
              </w:rPr>
              <w:t>投标人（含联合体各方）未被列入拖欠农民工工资失信联合惩戒对象名单</w:t>
            </w:r>
            <w:r>
              <w:rPr>
                <w:rFonts w:hint="eastAsia" w:ascii="宋体" w:hAnsi="宋体"/>
                <w:color w:val="auto"/>
                <w:szCs w:val="21"/>
                <w:highlight w:val="none"/>
              </w:rPr>
              <w:t>。</w:t>
            </w:r>
          </w:p>
        </w:tc>
        <w:tc>
          <w:tcPr>
            <w:tcW w:w="394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投标人无需提供资料，按交易系统比对的结果进行评审</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p>
        </w:tc>
      </w:tr>
    </w:tbl>
    <w:p>
      <w:pPr>
        <w:widowControl/>
        <w:jc w:val="left"/>
        <w:rPr>
          <w:rFonts w:hint="eastAsia" w:ascii="宋体" w:hAnsi="宋体" w:cs="宋体"/>
          <w:color w:val="auto"/>
          <w:szCs w:val="21"/>
          <w:highlight w:val="none"/>
          <w:u w:val="single"/>
          <w:shd w:val="clear" w:color="auto" w:fill="FFFFFF"/>
        </w:rPr>
      </w:pPr>
      <w:r>
        <w:rPr>
          <w:rFonts w:hint="eastAsia" w:ascii="宋体" w:hAnsi="宋体" w:cs="宋体"/>
          <w:color w:val="auto"/>
          <w:szCs w:val="21"/>
          <w:highlight w:val="none"/>
          <w:u w:val="single"/>
          <w:shd w:val="clear" w:color="auto" w:fill="FFFFFF"/>
        </w:rPr>
        <w:t xml:space="preserve">备注：1、每一项目符合的打“○”，不符合的打“×”； </w:t>
      </w:r>
    </w:p>
    <w:p>
      <w:pPr>
        <w:ind w:firstLine="420" w:firstLineChars="200"/>
        <w:rPr>
          <w:rFonts w:hint="eastAsia" w:ascii="宋体" w:hAnsi="宋体" w:cs="宋体"/>
          <w:color w:val="auto"/>
          <w:szCs w:val="21"/>
          <w:highlight w:val="none"/>
          <w:u w:val="single"/>
          <w:shd w:val="clear" w:color="auto" w:fill="FFFFFF"/>
        </w:rPr>
      </w:pPr>
      <w:r>
        <w:rPr>
          <w:rFonts w:hint="eastAsia" w:ascii="宋体" w:hAnsi="宋体" w:cs="宋体"/>
          <w:color w:val="auto"/>
          <w:szCs w:val="21"/>
          <w:highlight w:val="none"/>
          <w:u w:val="single"/>
          <w:shd w:val="clear" w:color="auto" w:fill="FFFFFF"/>
        </w:rPr>
        <w:t>2、若评委意见不一致时，则按少数服从多数的原则，作出评审结论。汇总后，出现一个“×”的结论为“不通过”。</w:t>
      </w:r>
    </w:p>
    <w:p>
      <w:pPr>
        <w:ind w:firstLine="420" w:firstLineChars="200"/>
        <w:rPr>
          <w:rFonts w:hint="eastAsia" w:ascii="宋体" w:hAnsi="宋体" w:cs="宋体"/>
          <w:color w:val="auto"/>
          <w:szCs w:val="21"/>
          <w:highlight w:val="none"/>
          <w:u w:val="single"/>
          <w:shd w:val="clear" w:color="auto" w:fill="FFFFFF"/>
        </w:rPr>
      </w:pPr>
      <w:r>
        <w:rPr>
          <w:rFonts w:hint="eastAsia" w:ascii="宋体" w:hAnsi="宋体" w:cs="宋体"/>
          <w:color w:val="auto"/>
          <w:szCs w:val="21"/>
          <w:highlight w:val="none"/>
          <w:u w:val="single"/>
          <w:shd w:val="clear" w:color="auto" w:fill="FFFFFF"/>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rPr>
          <w:rFonts w:hint="eastAsia" w:ascii="宋体" w:hAnsi="宋体" w:cs="宋体"/>
          <w:color w:val="auto"/>
          <w:szCs w:val="21"/>
          <w:highlight w:val="none"/>
        </w:rPr>
        <w:sectPr>
          <w:pgSz w:w="11907" w:h="16840"/>
          <w:pgMar w:top="1440" w:right="1797" w:bottom="1440" w:left="1797" w:header="851" w:footer="992" w:gutter="0"/>
          <w:cols w:space="720" w:num="1"/>
          <w:docGrid w:linePitch="312" w:charSpace="0"/>
        </w:sectPr>
      </w:pPr>
      <w:r>
        <w:rPr>
          <w:rFonts w:hint="eastAsia" w:ascii="宋体" w:hAnsi="宋体" w:cs="宋体"/>
          <w:color w:val="auto"/>
          <w:kern w:val="0"/>
          <w:szCs w:val="21"/>
          <w:highlight w:val="none"/>
        </w:rPr>
        <w:t xml:space="preserve">评委签名：                    日期：    </w:t>
      </w:r>
    </w:p>
    <w:p>
      <w:pPr>
        <w:spacing w:line="40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附表2</w:t>
      </w:r>
    </w:p>
    <w:p>
      <w:pPr>
        <w:jc w:val="left"/>
        <w:rPr>
          <w:rFonts w:hint="eastAsia" w:ascii="宋体" w:hAnsi="宋体" w:cs="宋体"/>
          <w:color w:val="auto"/>
          <w:sz w:val="24"/>
          <w:szCs w:val="24"/>
          <w:highlight w:val="none"/>
        </w:rPr>
      </w:pPr>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设计方案投标文件有效性审查表</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项目名称：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015"/>
        <w:gridCol w:w="1015"/>
        <w:gridCol w:w="1016"/>
        <w:gridCol w:w="1016"/>
        <w:gridCol w:w="1015"/>
        <w:gridCol w:w="101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0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7015" w:type="dxa"/>
            <w:tcBorders>
              <w:tl2br w:val="single" w:color="auto" w:sz="4" w:space="0"/>
            </w:tcBorders>
            <w:noWrap w:val="0"/>
            <w:vAlign w:val="center"/>
          </w:tcPr>
          <w:p>
            <w:pPr>
              <w:wordWrap w:val="0"/>
              <w:ind w:left="552" w:leftChars="263" w:firstLine="1260" w:firstLineChars="600"/>
              <w:jc w:val="right"/>
              <w:rPr>
                <w:rFonts w:hint="eastAsia" w:ascii="宋体" w:hAnsi="宋体" w:cs="宋体"/>
                <w:color w:val="auto"/>
                <w:szCs w:val="21"/>
                <w:highlight w:val="none"/>
              </w:rPr>
            </w:pPr>
            <w:r>
              <w:rPr>
                <w:rFonts w:hint="eastAsia" w:ascii="宋体" w:hAnsi="宋体" w:cs="宋体"/>
                <w:color w:val="auto"/>
                <w:szCs w:val="21"/>
                <w:highlight w:val="none"/>
              </w:rPr>
              <w:t xml:space="preserve">方案编号  </w:t>
            </w:r>
          </w:p>
          <w:p>
            <w:pPr>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审查项目</w:t>
            </w: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0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015" w:type="dxa"/>
            <w:noWrap w:val="0"/>
            <w:vAlign w:val="center"/>
          </w:tcPr>
          <w:p>
            <w:pPr>
              <w:spacing w:line="200" w:lineRule="atLeast"/>
              <w:rPr>
                <w:rFonts w:hint="eastAsia" w:ascii="宋体" w:hAnsi="宋体" w:cs="宋体"/>
                <w:color w:val="auto"/>
                <w:szCs w:val="21"/>
                <w:highlight w:val="none"/>
              </w:rPr>
            </w:pPr>
            <w:r>
              <w:rPr>
                <w:rFonts w:hint="eastAsia" w:ascii="宋体" w:hAnsi="宋体" w:cs="宋体"/>
                <w:color w:val="auto"/>
                <w:szCs w:val="21"/>
                <w:highlight w:val="none"/>
              </w:rPr>
              <w:t>投标人在设计方案投标文件内标注名称、印章、商标、图形等记认符号（或使人辨认出投标人或其专业技术人员的身份）的；</w:t>
            </w: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7015" w:type="dxa"/>
            <w:noWrap w:val="0"/>
            <w:vAlign w:val="center"/>
          </w:tcPr>
          <w:p>
            <w:pPr>
              <w:spacing w:line="200" w:lineRule="atLeast"/>
              <w:rPr>
                <w:rFonts w:hint="eastAsia" w:ascii="宋体" w:hAnsi="宋体" w:cs="宋体"/>
                <w:color w:val="auto"/>
                <w:szCs w:val="21"/>
                <w:highlight w:val="none"/>
              </w:rPr>
            </w:pPr>
            <w:r>
              <w:rPr>
                <w:rFonts w:hint="eastAsia" w:ascii="宋体" w:hAnsi="宋体" w:cs="宋体"/>
                <w:color w:val="auto"/>
                <w:szCs w:val="21"/>
                <w:highlight w:val="none"/>
              </w:rPr>
              <w:t>存在投标人与招标人、评标委员会成员或其他投标人串通投标情形的；</w:t>
            </w: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0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结论</w:t>
            </w:r>
          </w:p>
        </w:tc>
        <w:tc>
          <w:tcPr>
            <w:tcW w:w="7015" w:type="dxa"/>
            <w:noWrap w:val="0"/>
            <w:vAlign w:val="center"/>
          </w:tcPr>
          <w:p>
            <w:pPr>
              <w:spacing w:line="0" w:lineRule="atLeast"/>
              <w:rPr>
                <w:rFonts w:hint="eastAsia" w:ascii="宋体" w:hAnsi="宋体" w:cs="宋体"/>
                <w:color w:val="auto"/>
                <w:szCs w:val="21"/>
                <w:highlight w:val="none"/>
              </w:rPr>
            </w:pPr>
            <w:r>
              <w:rPr>
                <w:rFonts w:hint="eastAsia" w:ascii="宋体" w:hAnsi="宋体" w:cs="宋体"/>
                <w:color w:val="auto"/>
                <w:highlight w:val="none"/>
              </w:rPr>
              <w:t>结论（通过/不通过）</w:t>
            </w: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5"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c>
          <w:tcPr>
            <w:tcW w:w="1016" w:type="dxa"/>
            <w:noWrap w:val="0"/>
            <w:vAlign w:val="top"/>
          </w:tcPr>
          <w:p>
            <w:pPr>
              <w:ind w:left="552" w:hanging="73"/>
              <w:rPr>
                <w:rFonts w:hint="eastAsia" w:ascii="宋体" w:hAnsi="宋体" w:cs="宋体"/>
                <w:color w:val="auto"/>
                <w:szCs w:val="21"/>
                <w:highlight w:val="none"/>
              </w:rPr>
            </w:pPr>
          </w:p>
        </w:tc>
      </w:tr>
    </w:tbl>
    <w:p>
      <w:pPr>
        <w:ind w:left="630" w:hanging="630" w:hangingChars="300"/>
        <w:jc w:val="left"/>
        <w:rPr>
          <w:rFonts w:hint="eastAsia" w:ascii="宋体" w:hAnsi="宋体" w:cs="宋体"/>
          <w:color w:val="auto"/>
          <w:highlight w:val="none"/>
        </w:rPr>
      </w:pPr>
      <w:r>
        <w:rPr>
          <w:rFonts w:hint="eastAsia" w:ascii="宋体" w:hAnsi="宋体" w:cs="宋体"/>
          <w:color w:val="auto"/>
          <w:highlight w:val="none"/>
        </w:rPr>
        <w:t>注：1.凡出现以上任何一项情形，结论均为无效，否则就为有效。有效的记“○”无效的记“×”，全部审查项目均为有效的，结论为“通过”，否则为“不通过”。</w:t>
      </w:r>
    </w:p>
    <w:p>
      <w:pPr>
        <w:ind w:firstLine="420" w:firstLineChars="200"/>
        <w:jc w:val="left"/>
        <w:rPr>
          <w:rFonts w:hint="eastAsia" w:ascii="宋体" w:hAnsi="宋体" w:cs="宋体"/>
          <w:color w:val="auto"/>
          <w:highlight w:val="none"/>
        </w:rPr>
      </w:pPr>
      <w:r>
        <w:rPr>
          <w:rFonts w:hint="eastAsia" w:ascii="宋体" w:hAnsi="宋体" w:cs="宋体"/>
          <w:color w:val="auto"/>
          <w:highlight w:val="none"/>
        </w:rPr>
        <w:t>2.如对本表中某种情形的评审意见不一致时，以评审组过半数成员的意见作为评审组对该情形的认定结论。</w:t>
      </w:r>
    </w:p>
    <w:p>
      <w:pPr>
        <w:ind w:firstLine="420" w:firstLineChars="200"/>
        <w:jc w:val="left"/>
        <w:rPr>
          <w:rFonts w:hint="eastAsia"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u w:val="single"/>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r>
        <w:rPr>
          <w:rFonts w:hint="eastAsia" w:ascii="宋体" w:hAnsi="宋体" w:cs="宋体"/>
          <w:color w:val="auto"/>
          <w:highlight w:val="none"/>
        </w:rPr>
        <w:t>。</w:t>
      </w:r>
    </w:p>
    <w:p>
      <w:pPr>
        <w:jc w:val="left"/>
        <w:rPr>
          <w:rFonts w:hint="eastAsia" w:ascii="宋体" w:hAnsi="宋体" w:cs="宋体"/>
          <w:color w:val="auto"/>
          <w:highlight w:val="none"/>
        </w:rPr>
      </w:pPr>
    </w:p>
    <w:p>
      <w:pPr>
        <w:jc w:val="left"/>
        <w:rPr>
          <w:rFonts w:hint="eastAsia" w:ascii="宋体" w:hAnsi="宋体" w:cs="宋体"/>
          <w:color w:val="auto"/>
          <w:highlight w:val="none"/>
        </w:rPr>
      </w:pPr>
      <w:r>
        <w:rPr>
          <w:rFonts w:hint="eastAsia" w:ascii="宋体" w:hAnsi="宋体" w:cs="宋体"/>
          <w:color w:val="auto"/>
          <w:highlight w:val="none"/>
        </w:rPr>
        <w:t>评委签名：                               日期：</w:t>
      </w:r>
    </w:p>
    <w:p>
      <w:pPr>
        <w:jc w:val="left"/>
        <w:rPr>
          <w:rFonts w:hint="eastAsia" w:ascii="宋体" w:hAnsi="宋体" w:cs="宋体"/>
          <w:color w:val="auto"/>
          <w:highlight w:val="none"/>
        </w:rPr>
        <w:sectPr>
          <w:footerReference r:id="rId8" w:type="default"/>
          <w:footerReference r:id="rId9" w:type="even"/>
          <w:pgSz w:w="16840" w:h="11907" w:orient="landscape"/>
          <w:pgMar w:top="1797" w:right="1440" w:bottom="1246" w:left="1440" w:header="851" w:footer="992" w:gutter="0"/>
          <w:cols w:space="720" w:num="1"/>
          <w:docGrid w:linePitch="312" w:charSpace="0"/>
        </w:sectPr>
      </w:pPr>
    </w:p>
    <w:p>
      <w:pPr>
        <w:spacing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附表3</w:t>
      </w:r>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工程总承包实施方案投标文件有效性审查表</w:t>
      </w:r>
    </w:p>
    <w:p>
      <w:pPr>
        <w:jc w:val="left"/>
        <w:rPr>
          <w:rFonts w:hint="eastAsia" w:ascii="宋体" w:hAnsi="宋体" w:cs="宋体"/>
          <w:b/>
          <w:color w:val="auto"/>
          <w:sz w:val="28"/>
          <w:szCs w:val="28"/>
          <w:highlight w:val="none"/>
        </w:rPr>
      </w:pPr>
      <w:r>
        <w:rPr>
          <w:rFonts w:hint="eastAsia" w:ascii="宋体" w:hAnsi="宋体" w:cs="宋体"/>
          <w:b/>
          <w:color w:val="auto"/>
          <w:highlight w:val="none"/>
        </w:rPr>
        <w:t>项目名称：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138"/>
        <w:gridCol w:w="762"/>
        <w:gridCol w:w="763"/>
        <w:gridCol w:w="763"/>
        <w:gridCol w:w="762"/>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9138" w:type="dxa"/>
            <w:tcBorders>
              <w:tl2br w:val="single" w:color="auto" w:sz="4" w:space="0"/>
            </w:tcBorders>
            <w:noWrap w:val="0"/>
            <w:vAlign w:val="top"/>
          </w:tcPr>
          <w:p>
            <w:pPr>
              <w:wordWrap w:val="0"/>
              <w:jc w:val="right"/>
              <w:rPr>
                <w:rFonts w:hint="eastAsia" w:ascii="宋体" w:hAnsi="宋体" w:cs="宋体"/>
                <w:color w:val="auto"/>
                <w:szCs w:val="21"/>
                <w:highlight w:val="none"/>
              </w:rPr>
            </w:pPr>
            <w:r>
              <w:rPr>
                <w:rFonts w:hint="eastAsia" w:ascii="宋体" w:hAnsi="宋体" w:cs="宋体"/>
                <w:color w:val="auto"/>
                <w:szCs w:val="21"/>
                <w:highlight w:val="none"/>
              </w:rPr>
              <w:t xml:space="preserve">               投标人名称</w:t>
            </w:r>
          </w:p>
          <w:p>
            <w:pPr>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评审内容</w:t>
            </w: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913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投标书中工程质量标准不符合招标文件要求的；</w:t>
            </w: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913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投标书中工期不符合招标文件要求的；</w:t>
            </w: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913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对同一招标项目出现两个或以上的投标报价，且没有申明哪个有效；</w:t>
            </w: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913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投标总报价高于总投标限价或任一分项报价高于相应最高投标限价的。</w:t>
            </w: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75" w:type="dxa"/>
            <w:noWrap w:val="0"/>
            <w:vAlign w:val="center"/>
          </w:tcPr>
          <w:p>
            <w:pPr>
              <w:jc w:val="center"/>
              <w:rPr>
                <w:rFonts w:hint="eastAsia" w:ascii="宋体" w:hAnsi="宋体" w:cs="宋体"/>
                <w:color w:val="auto"/>
                <w:szCs w:val="21"/>
                <w:highlight w:val="none"/>
              </w:rPr>
            </w:pPr>
            <w:r>
              <w:rPr>
                <w:rFonts w:ascii="宋体" w:hAnsi="宋体" w:cs="宋体"/>
                <w:color w:val="auto"/>
                <w:szCs w:val="21"/>
                <w:highlight w:val="none"/>
              </w:rPr>
              <w:t>5</w:t>
            </w:r>
          </w:p>
        </w:tc>
        <w:tc>
          <w:tcPr>
            <w:tcW w:w="913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投标文件未按规定的格式填写（第五章格式1、格式2、格式5），或主要内容不全，或关键字迹模糊、无法辨认的；</w:t>
            </w: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noWrap w:val="0"/>
            <w:vAlign w:val="center"/>
          </w:tcPr>
          <w:p>
            <w:pPr>
              <w:jc w:val="center"/>
              <w:rPr>
                <w:rFonts w:hint="eastAsia" w:ascii="宋体" w:hAnsi="宋体" w:cs="宋体"/>
                <w:color w:val="auto"/>
                <w:szCs w:val="21"/>
                <w:highlight w:val="none"/>
              </w:rPr>
            </w:pPr>
            <w:r>
              <w:rPr>
                <w:rFonts w:ascii="宋体" w:hAnsi="宋体" w:cs="宋体"/>
                <w:color w:val="auto"/>
                <w:szCs w:val="21"/>
                <w:highlight w:val="none"/>
              </w:rPr>
              <w:t>6</w:t>
            </w:r>
          </w:p>
        </w:tc>
        <w:tc>
          <w:tcPr>
            <w:tcW w:w="9138" w:type="dxa"/>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存在串通投标情形（串通投标情形以《中华人民共和国招标投标法实施条例》的规定为准）；</w:t>
            </w: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2"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c>
          <w:tcPr>
            <w:tcW w:w="763"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ascii="宋体" w:hAnsi="宋体" w:cs="宋体"/>
                <w:color w:val="auto"/>
                <w:szCs w:val="21"/>
                <w:highlight w:val="none"/>
              </w:rPr>
              <w:t>7</w:t>
            </w:r>
          </w:p>
        </w:tc>
        <w:tc>
          <w:tcPr>
            <w:tcW w:w="91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rPr>
              <w:t>投标人与本项目其他投标人加密打包投标文件电脑机器特征码一致的</w:t>
            </w:r>
            <w:r>
              <w:rPr>
                <w:rFonts w:hint="eastAsia" w:ascii="宋体" w:hAnsi="宋体" w:cs="宋体"/>
                <w:color w:val="auto"/>
                <w:szCs w:val="21"/>
                <w:highlight w:val="none"/>
                <w:lang w:val="en-US"/>
              </w:rPr>
              <w:t>(</w:t>
            </w:r>
            <w:r>
              <w:rPr>
                <w:rFonts w:hint="eastAsia" w:ascii="宋体" w:hAnsi="宋体" w:cs="宋体"/>
                <w:color w:val="auto"/>
                <w:szCs w:val="21"/>
                <w:highlight w:val="none"/>
              </w:rPr>
              <w:t>以广州公共资源交易中心交易平台评标系统的检索信息为准</w:t>
            </w:r>
            <w:r>
              <w:rPr>
                <w:rFonts w:hint="eastAsia" w:ascii="宋体" w:hAnsi="宋体" w:cs="宋体"/>
                <w:color w:val="auto"/>
                <w:szCs w:val="21"/>
                <w:highlight w:val="none"/>
                <w:lang w:val="en-US"/>
              </w:rPr>
              <w:t>)</w:t>
            </w:r>
          </w:p>
        </w:tc>
        <w:tc>
          <w:tcPr>
            <w:tcW w:w="76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结论</w:t>
            </w:r>
          </w:p>
        </w:tc>
        <w:tc>
          <w:tcPr>
            <w:tcW w:w="91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szCs w:val="21"/>
                <w:highlight w:val="none"/>
              </w:rPr>
            </w:pPr>
            <w:r>
              <w:rPr>
                <w:rFonts w:hint="eastAsia" w:ascii="宋体" w:hAnsi="宋体" w:cs="宋体"/>
                <w:color w:val="auto"/>
                <w:szCs w:val="21"/>
                <w:highlight w:val="none"/>
              </w:rPr>
              <w:t>是否通过并进入下一阶段评审。</w:t>
            </w:r>
          </w:p>
        </w:tc>
        <w:tc>
          <w:tcPr>
            <w:tcW w:w="76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bl>
    <w:p>
      <w:pPr>
        <w:spacing w:line="192" w:lineRule="auto"/>
        <w:rPr>
          <w:rFonts w:hint="eastAsia" w:ascii="宋体" w:hAnsi="宋体" w:cs="宋体"/>
          <w:color w:val="auto"/>
          <w:sz w:val="18"/>
          <w:szCs w:val="18"/>
          <w:highlight w:val="none"/>
        </w:rPr>
      </w:pPr>
    </w:p>
    <w:p>
      <w:pPr>
        <w:ind w:left="630" w:hanging="630" w:hangingChars="300"/>
        <w:jc w:val="left"/>
        <w:rPr>
          <w:rFonts w:hint="eastAsia" w:ascii="宋体" w:hAnsi="宋体" w:cs="宋体"/>
          <w:color w:val="auto"/>
          <w:highlight w:val="none"/>
        </w:rPr>
      </w:pPr>
      <w:r>
        <w:rPr>
          <w:rFonts w:hint="eastAsia" w:ascii="宋体" w:hAnsi="宋体" w:cs="宋体"/>
          <w:color w:val="auto"/>
          <w:highlight w:val="none"/>
        </w:rPr>
        <w:t>注：1.凡出现以上任何一项情形，结论均为无效，否则就为有效。有效的记“○”无效的记“×”，全部审查项目均为有效的，结论为“通过”，否则为“不通过”。</w:t>
      </w:r>
    </w:p>
    <w:p>
      <w:pPr>
        <w:ind w:firstLine="420" w:firstLineChars="200"/>
        <w:jc w:val="left"/>
        <w:rPr>
          <w:rFonts w:hint="eastAsia" w:ascii="宋体" w:hAnsi="宋体" w:cs="宋体"/>
          <w:color w:val="auto"/>
          <w:highlight w:val="none"/>
        </w:rPr>
      </w:pPr>
      <w:r>
        <w:rPr>
          <w:rFonts w:hint="eastAsia" w:ascii="宋体" w:hAnsi="宋体" w:cs="宋体"/>
          <w:color w:val="auto"/>
          <w:highlight w:val="none"/>
        </w:rPr>
        <w:t>2.如对本表中某种情形的评审意见不一致时，以评审组过半数成员的意见作为评审组对该情形的认定结论。</w:t>
      </w:r>
    </w:p>
    <w:p>
      <w:pPr>
        <w:ind w:left="630" w:leftChars="200" w:hanging="210" w:hangingChars="100"/>
        <w:jc w:val="left"/>
        <w:rPr>
          <w:rFonts w:hint="eastAsia"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u w:val="single"/>
        </w:rPr>
        <w:t xml:space="preserve"> 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jc w:val="left"/>
        <w:rPr>
          <w:rFonts w:hint="eastAsia" w:ascii="宋体" w:hAnsi="宋体" w:cs="宋体"/>
          <w:color w:val="auto"/>
          <w:highlight w:val="none"/>
        </w:rPr>
      </w:pPr>
      <w:r>
        <w:rPr>
          <w:rFonts w:hint="eastAsia" w:ascii="宋体" w:hAnsi="宋体" w:cs="宋体"/>
          <w:color w:val="auto"/>
          <w:highlight w:val="none"/>
        </w:rPr>
        <w:t>评委签名：                               日期：</w:t>
      </w:r>
    </w:p>
    <w:p>
      <w:pPr>
        <w:jc w:val="left"/>
        <w:rPr>
          <w:rFonts w:hint="eastAsia" w:ascii="宋体" w:hAnsi="宋体" w:cs="宋体"/>
          <w:color w:val="auto"/>
          <w:highlight w:val="none"/>
        </w:rPr>
        <w:sectPr>
          <w:footerReference r:id="rId10" w:type="default"/>
          <w:footerReference r:id="rId11" w:type="even"/>
          <w:pgSz w:w="16840" w:h="11907" w:orient="landscape"/>
          <w:pgMar w:top="1797" w:right="1440" w:bottom="1246" w:left="1440" w:header="851" w:footer="992" w:gutter="0"/>
          <w:cols w:space="720" w:num="1"/>
          <w:docGrid w:linePitch="312" w:charSpace="0"/>
        </w:sectPr>
      </w:pPr>
    </w:p>
    <w:p>
      <w:pPr>
        <w:jc w:val="left"/>
        <w:rPr>
          <w:rFonts w:hint="eastAsia" w:ascii="宋体" w:hAnsi="宋体"/>
          <w:b/>
          <w:color w:val="auto"/>
          <w:sz w:val="28"/>
          <w:szCs w:val="28"/>
          <w:highlight w:val="none"/>
        </w:rPr>
      </w:pPr>
      <w:r>
        <w:rPr>
          <w:rFonts w:hint="eastAsia" w:ascii="宋体" w:hAnsi="宋体" w:cs="宋体"/>
          <w:b/>
          <w:color w:val="auto"/>
          <w:sz w:val="24"/>
          <w:szCs w:val="24"/>
          <w:highlight w:val="none"/>
        </w:rPr>
        <w:t>附表4</w:t>
      </w:r>
      <w:r>
        <w:rPr>
          <w:rFonts w:hint="eastAsia" w:ascii="宋体" w:hAnsi="宋体"/>
          <w:b/>
          <w:color w:val="auto"/>
          <w:sz w:val="28"/>
          <w:szCs w:val="28"/>
          <w:highlight w:val="none"/>
        </w:rPr>
        <w:t xml:space="preserve">                  </w:t>
      </w:r>
    </w:p>
    <w:tbl>
      <w:tblPr>
        <w:tblStyle w:val="19"/>
        <w:tblW w:w="0" w:type="auto"/>
        <w:tblInd w:w="0" w:type="dxa"/>
        <w:tblLayout w:type="fixed"/>
        <w:tblCellMar>
          <w:top w:w="0" w:type="dxa"/>
          <w:left w:w="108" w:type="dxa"/>
          <w:bottom w:w="0" w:type="dxa"/>
          <w:right w:w="108" w:type="dxa"/>
        </w:tblCellMar>
      </w:tblPr>
      <w:tblGrid>
        <w:gridCol w:w="898"/>
        <w:gridCol w:w="980"/>
        <w:gridCol w:w="2199"/>
        <w:gridCol w:w="10373"/>
        <w:gridCol w:w="450"/>
      </w:tblGrid>
      <w:tr>
        <w:tblPrEx>
          <w:tblCellMar>
            <w:top w:w="0" w:type="dxa"/>
            <w:left w:w="108" w:type="dxa"/>
            <w:bottom w:w="0" w:type="dxa"/>
            <w:right w:w="108" w:type="dxa"/>
          </w:tblCellMar>
        </w:tblPrEx>
        <w:trPr>
          <w:trHeight w:val="390" w:hRule="atLeast"/>
        </w:trPr>
        <w:tc>
          <w:tcPr>
            <w:tcW w:w="14900" w:type="dxa"/>
            <w:gridSpan w:val="5"/>
            <w:tcBorders>
              <w:top w:val="nil"/>
              <w:left w:val="nil"/>
              <w:bottom w:val="single" w:color="000000" w:sz="8" w:space="0"/>
              <w:right w:val="nil"/>
            </w:tcBorders>
            <w:noWrap/>
            <w:vAlign w:val="center"/>
          </w:tcPr>
          <w:p>
            <w:pPr>
              <w:rPr>
                <w:rFonts w:hint="eastAsia" w:ascii="宋体" w:hAnsi="宋体" w:cs="宋体"/>
                <w:color w:val="auto"/>
                <w:sz w:val="22"/>
                <w:highlight w:val="none"/>
              </w:rPr>
            </w:pPr>
            <w:r>
              <w:rPr>
                <w:rFonts w:hint="eastAsia" w:ascii="宋体" w:hAnsi="宋体" w:cs="宋体"/>
                <w:b/>
                <w:bCs/>
                <w:color w:val="auto"/>
                <w:kern w:val="0"/>
                <w:sz w:val="28"/>
                <w:szCs w:val="28"/>
                <w:highlight w:val="none"/>
                <w:lang w:bidi="ar"/>
              </w:rPr>
              <w:t xml:space="preserve">                               设计方案投标文件详细审查评分表</w:t>
            </w:r>
          </w:p>
        </w:tc>
      </w:tr>
      <w:tr>
        <w:tblPrEx>
          <w:tblCellMar>
            <w:top w:w="0" w:type="dxa"/>
            <w:left w:w="108" w:type="dxa"/>
            <w:bottom w:w="0" w:type="dxa"/>
            <w:right w:w="108" w:type="dxa"/>
          </w:tblCellMar>
        </w:tblPrEx>
        <w:trPr>
          <w:trHeight w:val="300" w:hRule="atLeast"/>
        </w:trPr>
        <w:tc>
          <w:tcPr>
            <w:tcW w:w="898" w:type="dxa"/>
            <w:tcBorders>
              <w:top w:val="single" w:color="000000" w:sz="8" w:space="0"/>
              <w:left w:val="single" w:color="000000" w:sz="8" w:space="0"/>
              <w:bottom w:val="single" w:color="auto" w:sz="4" w:space="0"/>
              <w:right w:val="single" w:color="000000" w:sz="8" w:space="0"/>
            </w:tcBorders>
            <w:noWrap w:val="0"/>
            <w:textDirection w:val="tbRlV"/>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序号</w:t>
            </w:r>
          </w:p>
        </w:tc>
        <w:tc>
          <w:tcPr>
            <w:tcW w:w="980" w:type="dxa"/>
            <w:tcBorders>
              <w:top w:val="single" w:color="000000" w:sz="8" w:space="0"/>
              <w:left w:val="nil"/>
              <w:bottom w:val="single" w:color="auto" w:sz="4" w:space="0"/>
              <w:right w:val="single" w:color="000000" w:sz="8"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项目</w:t>
            </w:r>
          </w:p>
        </w:tc>
        <w:tc>
          <w:tcPr>
            <w:tcW w:w="219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分值</w:t>
            </w:r>
          </w:p>
        </w:tc>
        <w:tc>
          <w:tcPr>
            <w:tcW w:w="10373"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内容</w:t>
            </w:r>
          </w:p>
        </w:tc>
        <w:tc>
          <w:tcPr>
            <w:tcW w:w="450"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得分</w:t>
            </w:r>
          </w:p>
          <w:p>
            <w:pPr>
              <w:pStyle w:val="15"/>
              <w:rPr>
                <w:rFonts w:hint="eastAsia"/>
                <w:color w:val="auto"/>
                <w:highlight w:val="none"/>
              </w:rPr>
            </w:pPr>
          </w:p>
        </w:tc>
      </w:tr>
      <w:tr>
        <w:tblPrEx>
          <w:tblCellMar>
            <w:top w:w="0" w:type="dxa"/>
            <w:left w:w="108" w:type="dxa"/>
            <w:bottom w:w="0" w:type="dxa"/>
            <w:right w:w="108" w:type="dxa"/>
          </w:tblCellMar>
        </w:tblPrEx>
        <w:trPr>
          <w:trHeight w:val="300" w:hRule="atLeast"/>
        </w:trPr>
        <w:tc>
          <w:tcPr>
            <w:tcW w:w="898" w:type="dxa"/>
            <w:vMerge w:val="restart"/>
            <w:tcBorders>
              <w:top w:val="single" w:color="000000" w:sz="8" w:space="0"/>
              <w:left w:val="single" w:color="000000" w:sz="8" w:space="0"/>
              <w:bottom w:val="single" w:color="auto" w:sz="4" w:space="0"/>
              <w:right w:val="single" w:color="000000" w:sz="8" w:space="0"/>
            </w:tcBorders>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1</w:t>
            </w:r>
          </w:p>
        </w:tc>
        <w:tc>
          <w:tcPr>
            <w:tcW w:w="980" w:type="dxa"/>
            <w:vMerge w:val="restart"/>
            <w:tcBorders>
              <w:top w:val="single" w:color="000000" w:sz="8" w:space="0"/>
              <w:left w:val="nil"/>
              <w:bottom w:val="single" w:color="auto" w:sz="4" w:space="0"/>
              <w:right w:val="single" w:color="000000" w:sz="8" w:space="0"/>
            </w:tcBorders>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宋体" w:hAnsi="宋体" w:cs="宋体"/>
                <w:color w:val="auto"/>
                <w:kern w:val="0"/>
                <w:szCs w:val="21"/>
                <w:highlight w:val="none"/>
                <w:lang w:bidi="ar"/>
              </w:rPr>
            </w:pPr>
            <w:r>
              <w:rPr>
                <w:rFonts w:hint="eastAsia" w:ascii="宋体" w:hAnsi="宋体" w:eastAsia="宋体" w:cs="宋体"/>
                <w:b/>
                <w:bCs w:val="0"/>
                <w:color w:val="auto"/>
                <w:kern w:val="2"/>
                <w:sz w:val="21"/>
                <w:szCs w:val="21"/>
                <w:highlight w:val="none"/>
                <w:lang w:val="en-US" w:eastAsia="zh-CN" w:bidi="ar"/>
              </w:rPr>
              <w:t>设计方案</w:t>
            </w:r>
          </w:p>
        </w:tc>
        <w:tc>
          <w:tcPr>
            <w:tcW w:w="2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lang w:bidi="ar"/>
              </w:rPr>
            </w:pPr>
            <w:r>
              <w:rPr>
                <w:rFonts w:hint="eastAsia" w:ascii="宋体" w:hAnsi="宋体" w:eastAsia="宋体" w:cs="宋体"/>
                <w:bCs/>
                <w:color w:val="auto"/>
                <w:spacing w:val="-10"/>
                <w:kern w:val="0"/>
                <w:sz w:val="21"/>
                <w:szCs w:val="21"/>
                <w:highlight w:val="none"/>
                <w:lang w:val="en-US" w:eastAsia="zh-CN"/>
              </w:rPr>
              <w:t>10</w:t>
            </w:r>
          </w:p>
        </w:tc>
        <w:tc>
          <w:tcPr>
            <w:tcW w:w="10373" w:type="dxa"/>
            <w:tcBorders>
              <w:top w:val="single" w:color="000000" w:sz="8" w:space="0"/>
              <w:left w:val="nil"/>
              <w:bottom w:val="single" w:color="000000" w:sz="8" w:space="0"/>
              <w:right w:val="single" w:color="000000" w:sz="8" w:space="0"/>
            </w:tcBorders>
            <w:noWrap w:val="0"/>
            <w:vAlign w:val="top"/>
          </w:tcPr>
          <w:p>
            <w:pPr>
              <w:pStyle w:val="11"/>
              <w:widowControl/>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针对本项目的设计说明</w:t>
            </w:r>
            <w:r>
              <w:rPr>
                <w:rFonts w:hint="eastAsia" w:ascii="宋体" w:hAnsi="宋体" w:eastAsia="宋体" w:cs="宋体"/>
                <w:color w:val="auto"/>
                <w:kern w:val="0"/>
                <w:sz w:val="21"/>
                <w:szCs w:val="21"/>
                <w:highlight w:val="none"/>
                <w:lang w:eastAsia="zh-CN"/>
              </w:rPr>
              <w:t>：</w:t>
            </w:r>
          </w:p>
          <w:p>
            <w:pPr>
              <w:wordWrap w:val="0"/>
              <w:topLinePunct/>
              <w:adjustRightInd w:val="0"/>
              <w:rPr>
                <w:rFonts w:ascii="宋体" w:hAnsi="宋体" w:cs="宋体"/>
                <w:color w:val="auto"/>
                <w:szCs w:val="21"/>
                <w:highlight w:val="none"/>
                <w:lang w:val="zh-CN"/>
              </w:rPr>
            </w:pPr>
            <w:r>
              <w:rPr>
                <w:rFonts w:hint="eastAsia" w:ascii="宋体" w:hAnsi="宋体" w:cs="宋体"/>
                <w:color w:val="auto"/>
                <w:szCs w:val="21"/>
                <w:highlight w:val="none"/>
                <w:lang w:val="zh-CN"/>
              </w:rPr>
              <w:t>整个设计</w:t>
            </w:r>
            <w:r>
              <w:rPr>
                <w:rFonts w:hint="eastAsia" w:ascii="宋体" w:hAnsi="宋体" w:cs="宋体"/>
                <w:color w:val="auto"/>
                <w:szCs w:val="21"/>
                <w:highlight w:val="none"/>
                <w:lang w:val="en-US" w:eastAsia="zh-CN"/>
              </w:rPr>
              <w:t>总说明</w:t>
            </w:r>
            <w:r>
              <w:rPr>
                <w:rFonts w:hint="eastAsia" w:ascii="宋体" w:hAnsi="宋体" w:cs="宋体"/>
                <w:color w:val="auto"/>
                <w:szCs w:val="21"/>
                <w:highlight w:val="none"/>
                <w:lang w:val="zh-CN"/>
              </w:rPr>
              <w:t>内容符合招标文件和设计任务书要求，内容全面，设计总说明书文字表达清楚、思路清晰、重点和难点突出、质量高。</w:t>
            </w:r>
          </w:p>
          <w:p>
            <w:pPr>
              <w:pStyle w:val="11"/>
              <w:widowControl/>
              <w:spacing w:line="360" w:lineRule="auto"/>
              <w:rPr>
                <w:rFonts w:hint="eastAsia" w:ascii="宋体" w:hAnsi="宋体" w:cs="宋体"/>
                <w:color w:val="auto"/>
                <w:kern w:val="0"/>
                <w:szCs w:val="21"/>
                <w:highlight w:val="none"/>
                <w:lang w:bidi="ar"/>
              </w:rPr>
            </w:pPr>
            <w:r>
              <w:rPr>
                <w:rFonts w:hint="eastAsia" w:hAnsi="宋体" w:cs="宋体"/>
                <w:color w:val="auto"/>
                <w:sz w:val="21"/>
                <w:szCs w:val="21"/>
                <w:highlight w:val="none"/>
                <w:lang w:val="zh-CN" w:eastAsia="zh-CN"/>
              </w:rPr>
              <w:t>优得[</w:t>
            </w:r>
            <w:r>
              <w:rPr>
                <w:rFonts w:hint="eastAsia" w:cs="宋体"/>
                <w:color w:val="auto"/>
                <w:sz w:val="21"/>
                <w:szCs w:val="21"/>
                <w:highlight w:val="none"/>
                <w:lang w:val="en-US" w:eastAsia="zh-CN"/>
              </w:rPr>
              <w:t>10</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7</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良得[</w:t>
            </w:r>
            <w:r>
              <w:rPr>
                <w:rFonts w:hint="eastAsia" w:cs="宋体"/>
                <w:color w:val="auto"/>
                <w:sz w:val="21"/>
                <w:szCs w:val="21"/>
                <w:highlight w:val="none"/>
                <w:lang w:val="en-US" w:eastAsia="zh-CN"/>
              </w:rPr>
              <w:t>7</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5</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中得[</w:t>
            </w:r>
            <w:r>
              <w:rPr>
                <w:rFonts w:hint="eastAsia" w:cs="宋体"/>
                <w:color w:val="auto"/>
                <w:sz w:val="21"/>
                <w:szCs w:val="21"/>
                <w:highlight w:val="none"/>
                <w:lang w:val="en-US" w:eastAsia="zh-CN"/>
              </w:rPr>
              <w:t>5</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3</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差得[</w:t>
            </w:r>
            <w:r>
              <w:rPr>
                <w:rFonts w:hint="eastAsia" w:cs="宋体"/>
                <w:color w:val="auto"/>
                <w:sz w:val="21"/>
                <w:szCs w:val="21"/>
                <w:highlight w:val="none"/>
                <w:lang w:val="en-US" w:eastAsia="zh-CN"/>
              </w:rPr>
              <w:t>3</w:t>
            </w:r>
            <w:r>
              <w:rPr>
                <w:rFonts w:hint="eastAsia" w:hAnsi="宋体" w:cs="宋体"/>
                <w:color w:val="auto"/>
                <w:sz w:val="21"/>
                <w:szCs w:val="21"/>
                <w:highlight w:val="none"/>
                <w:lang w:val="zh-CN" w:eastAsia="zh-CN"/>
              </w:rPr>
              <w:t>-</w:t>
            </w:r>
            <w:r>
              <w:rPr>
                <w:rFonts w:hint="eastAsia" w:hAnsi="宋体" w:cs="宋体"/>
                <w:color w:val="auto"/>
                <w:sz w:val="21"/>
                <w:szCs w:val="21"/>
                <w:highlight w:val="none"/>
                <w:lang w:val="en-US" w:eastAsia="zh-CN"/>
              </w:rPr>
              <w:t>0)</w:t>
            </w:r>
            <w:r>
              <w:rPr>
                <w:rFonts w:hint="eastAsia" w:hAnsi="宋体" w:cs="宋体"/>
                <w:color w:val="auto"/>
                <w:sz w:val="21"/>
                <w:szCs w:val="21"/>
                <w:highlight w:val="none"/>
                <w:lang w:val="zh-CN" w:eastAsia="zh-CN"/>
              </w:rPr>
              <w:t>分。</w:t>
            </w:r>
          </w:p>
        </w:tc>
        <w:tc>
          <w:tcPr>
            <w:tcW w:w="450" w:type="dxa"/>
            <w:tcBorders>
              <w:top w:val="single" w:color="000000" w:sz="8" w:space="0"/>
              <w:left w:val="nil"/>
              <w:bottom w:val="single" w:color="000000" w:sz="8" w:space="0"/>
              <w:right w:val="single" w:color="000000" w:sz="8" w:space="0"/>
            </w:tcBorders>
            <w:noWrap w:val="0"/>
            <w:vAlign w:val="center"/>
          </w:tcPr>
          <w:p>
            <w:pPr>
              <w:pStyle w:val="15"/>
              <w:rPr>
                <w:rFonts w:hint="eastAsia"/>
                <w:color w:val="auto"/>
                <w:highlight w:val="none"/>
              </w:rPr>
            </w:pPr>
          </w:p>
        </w:tc>
      </w:tr>
      <w:tr>
        <w:tblPrEx>
          <w:tblCellMar>
            <w:top w:w="0" w:type="dxa"/>
            <w:left w:w="108" w:type="dxa"/>
            <w:bottom w:w="0" w:type="dxa"/>
            <w:right w:w="108" w:type="dxa"/>
          </w:tblCellMar>
        </w:tblPrEx>
        <w:trPr>
          <w:trHeight w:val="300" w:hRule="atLeast"/>
        </w:trPr>
        <w:tc>
          <w:tcPr>
            <w:tcW w:w="898" w:type="dxa"/>
            <w:vMerge w:val="continue"/>
            <w:tcBorders>
              <w:top w:val="single" w:color="000000" w:sz="8" w:space="0"/>
              <w:left w:val="single" w:color="000000" w:sz="8" w:space="0"/>
              <w:bottom w:val="single" w:color="auto" w:sz="4" w:space="0"/>
              <w:right w:val="single" w:color="000000" w:sz="8" w:space="0"/>
            </w:tcBorders>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宋体" w:hAnsi="宋体" w:cs="宋体"/>
                <w:color w:val="auto"/>
                <w:kern w:val="0"/>
                <w:szCs w:val="21"/>
                <w:highlight w:val="none"/>
                <w:lang w:bidi="ar"/>
              </w:rPr>
            </w:pPr>
          </w:p>
        </w:tc>
        <w:tc>
          <w:tcPr>
            <w:tcW w:w="980" w:type="dxa"/>
            <w:vMerge w:val="continue"/>
            <w:tcBorders>
              <w:top w:val="single" w:color="000000" w:sz="8" w:space="0"/>
              <w:left w:val="nil"/>
              <w:bottom w:val="single" w:color="auto" w:sz="4" w:space="0"/>
              <w:right w:val="single" w:color="000000" w:sz="8" w:space="0"/>
            </w:tcBorders>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宋体" w:hAnsi="宋体" w:cs="宋体"/>
                <w:color w:val="auto"/>
                <w:kern w:val="0"/>
                <w:szCs w:val="21"/>
                <w:highlight w:val="none"/>
                <w:lang w:bidi="ar"/>
              </w:rPr>
            </w:pPr>
          </w:p>
        </w:tc>
        <w:tc>
          <w:tcPr>
            <w:tcW w:w="2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lang w:bidi="ar"/>
              </w:rPr>
            </w:pPr>
            <w:r>
              <w:rPr>
                <w:rFonts w:hint="eastAsia" w:ascii="宋体" w:hAnsi="宋体" w:eastAsia="宋体" w:cs="宋体"/>
                <w:bCs/>
                <w:color w:val="auto"/>
                <w:spacing w:val="-10"/>
                <w:kern w:val="0"/>
                <w:sz w:val="21"/>
                <w:szCs w:val="21"/>
                <w:highlight w:val="none"/>
                <w:lang w:val="en-US" w:eastAsia="zh-CN"/>
              </w:rPr>
              <w:t>15</w:t>
            </w:r>
          </w:p>
        </w:tc>
        <w:tc>
          <w:tcPr>
            <w:tcW w:w="10373" w:type="dxa"/>
            <w:tcBorders>
              <w:top w:val="single" w:color="000000" w:sz="8" w:space="0"/>
              <w:left w:val="nil"/>
              <w:bottom w:val="single" w:color="000000" w:sz="8" w:space="0"/>
              <w:right w:val="single" w:color="000000" w:sz="8" w:space="0"/>
            </w:tcBorders>
            <w:noWrap w:val="0"/>
            <w:vAlign w:val="top"/>
          </w:tcPr>
          <w:p>
            <w:pPr>
              <w:pStyle w:val="11"/>
              <w:widowControl/>
              <w:spacing w:line="360" w:lineRule="auto"/>
              <w:rPr>
                <w:rFonts w:hint="eastAsia" w:ascii="宋体" w:hAnsi="宋体" w:eastAsia="宋体" w:cs="宋体"/>
                <w:bCs/>
                <w:color w:val="auto"/>
                <w:spacing w:val="-10"/>
                <w:kern w:val="0"/>
                <w:sz w:val="21"/>
                <w:szCs w:val="21"/>
                <w:highlight w:val="none"/>
                <w:lang w:eastAsia="zh-CN"/>
              </w:rPr>
            </w:pPr>
            <w:r>
              <w:rPr>
                <w:rFonts w:hint="eastAsia" w:ascii="宋体" w:hAnsi="宋体" w:eastAsia="宋体" w:cs="宋体"/>
                <w:bCs/>
                <w:color w:val="auto"/>
                <w:spacing w:val="-10"/>
                <w:kern w:val="0"/>
                <w:sz w:val="21"/>
                <w:szCs w:val="21"/>
                <w:highlight w:val="none"/>
              </w:rPr>
              <w:t>对-2</w:t>
            </w:r>
            <w:r>
              <w:rPr>
                <w:rFonts w:hint="eastAsia" w:ascii="宋体" w:hAnsi="宋体" w:eastAsia="宋体" w:cs="宋体"/>
                <w:bCs/>
                <w:color w:val="auto"/>
                <w:spacing w:val="-10"/>
                <w:kern w:val="0"/>
                <w:sz w:val="21"/>
                <w:szCs w:val="21"/>
                <w:highlight w:val="none"/>
                <w:lang w:val="en-US" w:eastAsia="zh-CN"/>
              </w:rPr>
              <w:t>至</w:t>
            </w:r>
            <w:r>
              <w:rPr>
                <w:rFonts w:hint="eastAsia" w:ascii="宋体" w:hAnsi="宋体" w:eastAsia="宋体" w:cs="宋体"/>
                <w:bCs/>
                <w:color w:val="auto"/>
                <w:spacing w:val="-10"/>
                <w:kern w:val="0"/>
                <w:sz w:val="21"/>
                <w:szCs w:val="21"/>
                <w:highlight w:val="none"/>
              </w:rPr>
              <w:t>14层各层平面进行优化设计</w:t>
            </w:r>
            <w:r>
              <w:rPr>
                <w:rFonts w:hint="eastAsia" w:cs="宋体"/>
                <w:bCs/>
                <w:color w:val="auto"/>
                <w:spacing w:val="-10"/>
                <w:kern w:val="0"/>
                <w:sz w:val="21"/>
                <w:szCs w:val="21"/>
                <w:highlight w:val="none"/>
                <w:lang w:eastAsia="zh-CN"/>
              </w:rPr>
              <w:t>：</w:t>
            </w:r>
          </w:p>
          <w:p>
            <w:pPr>
              <w:pStyle w:val="11"/>
              <w:widowControl/>
              <w:spacing w:line="360" w:lineRule="auto"/>
              <w:rPr>
                <w:rFonts w:hint="eastAsia" w:ascii="宋体" w:hAnsi="宋体" w:cs="宋体"/>
                <w:color w:val="auto"/>
                <w:kern w:val="0"/>
                <w:szCs w:val="21"/>
                <w:highlight w:val="none"/>
                <w:lang w:bidi="ar"/>
              </w:rPr>
            </w:pPr>
            <w:r>
              <w:rPr>
                <w:rFonts w:hint="eastAsia" w:ascii="宋体" w:hAnsi="宋体" w:eastAsia="宋体" w:cs="宋体"/>
                <w:bCs/>
                <w:color w:val="auto"/>
                <w:spacing w:val="-10"/>
                <w:kern w:val="0"/>
                <w:sz w:val="21"/>
                <w:szCs w:val="21"/>
                <w:highlight w:val="none"/>
                <w:lang w:val="en-US" w:eastAsia="zh-CN"/>
              </w:rPr>
              <w:t>提供全部16层</w:t>
            </w:r>
            <w:r>
              <w:rPr>
                <w:rFonts w:hint="eastAsia" w:ascii="宋体" w:hAnsi="宋体" w:eastAsia="宋体" w:cs="宋体"/>
                <w:bCs/>
                <w:color w:val="auto"/>
                <w:spacing w:val="-10"/>
                <w:kern w:val="0"/>
                <w:sz w:val="21"/>
                <w:szCs w:val="21"/>
                <w:highlight w:val="none"/>
              </w:rPr>
              <w:t>平面优化图</w:t>
            </w:r>
            <w:r>
              <w:rPr>
                <w:rFonts w:hint="eastAsia" w:ascii="宋体" w:hAnsi="宋体" w:eastAsia="宋体" w:cs="宋体"/>
                <w:bCs/>
                <w:color w:val="auto"/>
                <w:spacing w:val="-10"/>
                <w:kern w:val="0"/>
                <w:sz w:val="21"/>
                <w:szCs w:val="21"/>
                <w:highlight w:val="none"/>
                <w:lang w:val="en-US" w:eastAsia="zh-CN"/>
              </w:rPr>
              <w:t>；平面优化布局合理，功能空间以人为本，功能齐全且具有一定的前瞻性；空间需满足使用要求并具有充分可实施性。</w:t>
            </w:r>
            <w:r>
              <w:rPr>
                <w:rFonts w:hint="eastAsia" w:hAnsi="宋体" w:cs="宋体"/>
                <w:color w:val="auto"/>
                <w:sz w:val="21"/>
                <w:szCs w:val="21"/>
                <w:highlight w:val="none"/>
                <w:lang w:val="zh-CN" w:eastAsia="zh-CN"/>
              </w:rPr>
              <w:t>优得</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15</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11</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良得</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11</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7</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中得</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7</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4</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差得</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4</w:t>
            </w:r>
            <w:r>
              <w:rPr>
                <w:rFonts w:hint="eastAsia" w:hAnsi="宋体" w:cs="宋体"/>
                <w:color w:val="auto"/>
                <w:sz w:val="21"/>
                <w:szCs w:val="21"/>
                <w:highlight w:val="none"/>
                <w:lang w:val="en-US" w:eastAsia="zh-CN"/>
              </w:rPr>
              <w:t>-0)</w:t>
            </w:r>
            <w:r>
              <w:rPr>
                <w:rFonts w:hint="eastAsia" w:hAnsi="宋体" w:cs="宋体"/>
                <w:color w:val="auto"/>
                <w:sz w:val="21"/>
                <w:szCs w:val="21"/>
                <w:highlight w:val="none"/>
                <w:lang w:val="zh-CN" w:eastAsia="zh-CN"/>
              </w:rPr>
              <w:t>分。</w:t>
            </w:r>
          </w:p>
        </w:tc>
        <w:tc>
          <w:tcPr>
            <w:tcW w:w="450" w:type="dxa"/>
            <w:tcBorders>
              <w:top w:val="single" w:color="000000" w:sz="8" w:space="0"/>
              <w:left w:val="nil"/>
              <w:bottom w:val="single" w:color="000000" w:sz="8" w:space="0"/>
              <w:right w:val="single" w:color="000000" w:sz="8" w:space="0"/>
            </w:tcBorders>
            <w:noWrap w:val="0"/>
            <w:vAlign w:val="center"/>
          </w:tcPr>
          <w:p>
            <w:pPr>
              <w:pStyle w:val="15"/>
              <w:rPr>
                <w:rFonts w:hint="eastAsia"/>
                <w:color w:val="auto"/>
                <w:highlight w:val="none"/>
              </w:rPr>
            </w:pPr>
          </w:p>
        </w:tc>
      </w:tr>
      <w:tr>
        <w:tblPrEx>
          <w:tblCellMar>
            <w:top w:w="0" w:type="dxa"/>
            <w:left w:w="108" w:type="dxa"/>
            <w:bottom w:w="0" w:type="dxa"/>
            <w:right w:w="108" w:type="dxa"/>
          </w:tblCellMar>
        </w:tblPrEx>
        <w:trPr>
          <w:trHeight w:val="300" w:hRule="atLeast"/>
        </w:trPr>
        <w:tc>
          <w:tcPr>
            <w:tcW w:w="898" w:type="dxa"/>
            <w:vMerge w:val="continue"/>
            <w:tcBorders>
              <w:top w:val="single" w:color="000000" w:sz="8" w:space="0"/>
              <w:left w:val="single" w:color="000000" w:sz="8" w:space="0"/>
              <w:bottom w:val="single" w:color="auto" w:sz="4" w:space="0"/>
              <w:right w:val="single" w:color="000000" w:sz="8" w:space="0"/>
            </w:tcBorders>
            <w:noWrap w:val="0"/>
            <w:vAlign w:val="center"/>
          </w:tcPr>
          <w:p>
            <w:pPr>
              <w:rPr>
                <w:rFonts w:hint="eastAsia" w:ascii="宋体" w:hAnsi="宋体" w:cs="宋体"/>
                <w:color w:val="auto"/>
                <w:kern w:val="0"/>
                <w:szCs w:val="21"/>
                <w:highlight w:val="none"/>
                <w:lang w:bidi="ar"/>
              </w:rPr>
            </w:pPr>
          </w:p>
        </w:tc>
        <w:tc>
          <w:tcPr>
            <w:tcW w:w="980" w:type="dxa"/>
            <w:vMerge w:val="continue"/>
            <w:tcBorders>
              <w:top w:val="single" w:color="000000" w:sz="8" w:space="0"/>
              <w:left w:val="nil"/>
              <w:bottom w:val="single" w:color="auto" w:sz="4" w:space="0"/>
              <w:right w:val="single" w:color="000000" w:sz="8" w:space="0"/>
            </w:tcBorders>
            <w:noWrap w:val="0"/>
            <w:vAlign w:val="center"/>
          </w:tcPr>
          <w:p>
            <w:pPr>
              <w:rPr>
                <w:rFonts w:hint="eastAsia" w:ascii="宋体" w:hAnsi="宋体" w:cs="宋体"/>
                <w:color w:val="auto"/>
                <w:kern w:val="0"/>
                <w:szCs w:val="21"/>
                <w:highlight w:val="none"/>
                <w:lang w:bidi="ar"/>
              </w:rPr>
            </w:pPr>
          </w:p>
        </w:tc>
        <w:tc>
          <w:tcPr>
            <w:tcW w:w="2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lang w:bidi="ar"/>
              </w:rPr>
            </w:pPr>
            <w:r>
              <w:rPr>
                <w:rFonts w:hint="eastAsia" w:ascii="宋体" w:hAnsi="宋体" w:eastAsia="宋体" w:cs="宋体"/>
                <w:bCs/>
                <w:color w:val="auto"/>
                <w:spacing w:val="-10"/>
                <w:kern w:val="0"/>
                <w:sz w:val="21"/>
                <w:szCs w:val="21"/>
                <w:highlight w:val="none"/>
                <w:lang w:val="en-US" w:eastAsia="zh-CN"/>
              </w:rPr>
              <w:t>25</w:t>
            </w:r>
          </w:p>
        </w:tc>
        <w:tc>
          <w:tcPr>
            <w:tcW w:w="10373" w:type="dxa"/>
            <w:tcBorders>
              <w:top w:val="single" w:color="000000" w:sz="8" w:space="0"/>
              <w:left w:val="nil"/>
              <w:bottom w:val="single" w:color="000000" w:sz="8" w:space="0"/>
              <w:right w:val="single" w:color="000000" w:sz="8" w:space="0"/>
            </w:tcBorders>
            <w:noWrap w:val="0"/>
            <w:vAlign w:val="top"/>
          </w:tcPr>
          <w:p>
            <w:pPr>
              <w:pStyle w:val="11"/>
              <w:widowControl/>
              <w:spacing w:line="360" w:lineRule="auto"/>
              <w:rPr>
                <w:rFonts w:hint="default" w:ascii="宋体" w:hAnsi="宋体" w:eastAsia="宋体" w:cs="宋体"/>
                <w:bCs/>
                <w:color w:val="auto"/>
                <w:spacing w:val="-10"/>
                <w:kern w:val="0"/>
                <w:sz w:val="21"/>
                <w:szCs w:val="21"/>
                <w:highlight w:val="none"/>
                <w:lang w:val="en-US" w:eastAsia="zh-CN"/>
              </w:rPr>
            </w:pPr>
            <w:r>
              <w:rPr>
                <w:rFonts w:hint="eastAsia" w:ascii="宋体" w:hAnsi="宋体" w:eastAsia="宋体" w:cs="宋体"/>
                <w:bCs/>
                <w:color w:val="auto"/>
                <w:spacing w:val="-10"/>
                <w:kern w:val="0"/>
                <w:sz w:val="21"/>
                <w:szCs w:val="21"/>
                <w:highlight w:val="none"/>
              </w:rPr>
              <w:t>根据优化方案对各主要功能空间进行效果渲染，提供能体现方案特点的效果图</w:t>
            </w:r>
            <w:r>
              <w:rPr>
                <w:rFonts w:hint="eastAsia" w:cs="宋体"/>
                <w:bCs/>
                <w:color w:val="auto"/>
                <w:spacing w:val="-10"/>
                <w:kern w:val="0"/>
                <w:sz w:val="21"/>
                <w:szCs w:val="21"/>
                <w:highlight w:val="none"/>
                <w:lang w:eastAsia="zh-CN"/>
              </w:rPr>
              <w:t>。</w:t>
            </w:r>
            <w:r>
              <w:rPr>
                <w:rFonts w:hint="eastAsia" w:cs="宋体"/>
                <w:bCs/>
                <w:color w:val="auto"/>
                <w:spacing w:val="-10"/>
                <w:kern w:val="0"/>
                <w:sz w:val="21"/>
                <w:szCs w:val="21"/>
                <w:highlight w:val="none"/>
                <w:lang w:val="en-US" w:eastAsia="zh-CN"/>
              </w:rPr>
              <w:t>效果图需体现本项目的各重要位置及节点的效果，具有充分的可落地性。</w:t>
            </w:r>
          </w:p>
          <w:p>
            <w:pPr>
              <w:pStyle w:val="11"/>
              <w:widowControl/>
              <w:spacing w:line="360" w:lineRule="auto"/>
              <w:rPr>
                <w:rFonts w:hint="eastAsia" w:ascii="宋体" w:hAnsi="宋体" w:cs="宋体"/>
                <w:color w:val="auto"/>
                <w:kern w:val="0"/>
                <w:szCs w:val="21"/>
                <w:highlight w:val="none"/>
                <w:lang w:bidi="ar"/>
              </w:rPr>
            </w:pPr>
            <w:r>
              <w:rPr>
                <w:rFonts w:hint="eastAsia" w:hAnsi="宋体" w:cs="宋体"/>
                <w:color w:val="auto"/>
                <w:sz w:val="21"/>
                <w:szCs w:val="21"/>
                <w:highlight w:val="none"/>
                <w:lang w:val="zh-CN" w:eastAsia="zh-CN"/>
              </w:rPr>
              <w:t>优得</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2</w:t>
            </w:r>
            <w:r>
              <w:rPr>
                <w:rFonts w:hint="eastAsia" w:hAnsi="宋体" w:cs="宋体"/>
                <w:color w:val="auto"/>
                <w:sz w:val="21"/>
                <w:szCs w:val="21"/>
                <w:highlight w:val="none"/>
                <w:lang w:val="en-US" w:eastAsia="zh-CN"/>
              </w:rPr>
              <w:t>5-</w:t>
            </w:r>
            <w:r>
              <w:rPr>
                <w:rFonts w:hint="eastAsia" w:cs="宋体"/>
                <w:color w:val="auto"/>
                <w:sz w:val="21"/>
                <w:szCs w:val="21"/>
                <w:highlight w:val="none"/>
                <w:lang w:val="en-US" w:eastAsia="zh-CN"/>
              </w:rPr>
              <w:t>19</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良得</w:t>
            </w:r>
            <w:r>
              <w:rPr>
                <w:rFonts w:hint="eastAsia" w:hAnsi="宋体" w:cs="宋体"/>
                <w:color w:val="auto"/>
                <w:sz w:val="21"/>
                <w:szCs w:val="21"/>
                <w:highlight w:val="none"/>
                <w:lang w:val="en-US" w:eastAsia="zh-CN"/>
              </w:rPr>
              <w:t>[1</w:t>
            </w:r>
            <w:r>
              <w:rPr>
                <w:rFonts w:hint="eastAsia" w:cs="宋体"/>
                <w:color w:val="auto"/>
                <w:sz w:val="21"/>
                <w:szCs w:val="21"/>
                <w:highlight w:val="none"/>
                <w:lang w:val="en-US" w:eastAsia="zh-CN"/>
              </w:rPr>
              <w:t>9</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12</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中得</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12</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6</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分</w:t>
            </w:r>
            <w:r>
              <w:rPr>
                <w:rFonts w:hint="eastAsia" w:hAnsi="宋体" w:cs="宋体"/>
                <w:color w:val="auto"/>
                <w:sz w:val="21"/>
                <w:szCs w:val="21"/>
                <w:highlight w:val="none"/>
                <w:lang w:val="en-US" w:eastAsia="zh-CN"/>
              </w:rPr>
              <w:t>，</w:t>
            </w:r>
            <w:r>
              <w:rPr>
                <w:rFonts w:hint="eastAsia" w:hAnsi="宋体" w:cs="宋体"/>
                <w:color w:val="auto"/>
                <w:sz w:val="21"/>
                <w:szCs w:val="21"/>
                <w:highlight w:val="none"/>
                <w:lang w:val="zh-CN" w:eastAsia="zh-CN"/>
              </w:rPr>
              <w:t>差得</w:t>
            </w:r>
            <w:r>
              <w:rPr>
                <w:rFonts w:hint="eastAsia" w:hAnsi="宋体" w:cs="宋体"/>
                <w:color w:val="auto"/>
                <w:sz w:val="21"/>
                <w:szCs w:val="21"/>
                <w:highlight w:val="none"/>
                <w:lang w:val="en-US" w:eastAsia="zh-CN"/>
              </w:rPr>
              <w:t>[</w:t>
            </w:r>
            <w:r>
              <w:rPr>
                <w:rFonts w:hint="eastAsia" w:cs="宋体"/>
                <w:color w:val="auto"/>
                <w:sz w:val="21"/>
                <w:szCs w:val="21"/>
                <w:highlight w:val="none"/>
                <w:lang w:val="en-US" w:eastAsia="zh-CN"/>
              </w:rPr>
              <w:t>6</w:t>
            </w:r>
            <w:r>
              <w:rPr>
                <w:rFonts w:hint="eastAsia" w:hAnsi="宋体" w:cs="宋体"/>
                <w:color w:val="auto"/>
                <w:sz w:val="21"/>
                <w:szCs w:val="21"/>
                <w:highlight w:val="none"/>
                <w:lang w:val="en-US" w:eastAsia="zh-CN"/>
              </w:rPr>
              <w:t>-0)</w:t>
            </w:r>
            <w:r>
              <w:rPr>
                <w:rFonts w:hint="eastAsia" w:hAnsi="宋体" w:cs="宋体"/>
                <w:color w:val="auto"/>
                <w:sz w:val="21"/>
                <w:szCs w:val="21"/>
                <w:highlight w:val="none"/>
                <w:lang w:val="zh-CN" w:eastAsia="zh-CN"/>
              </w:rPr>
              <w:t>分。</w:t>
            </w:r>
          </w:p>
        </w:tc>
        <w:tc>
          <w:tcPr>
            <w:tcW w:w="450" w:type="dxa"/>
            <w:tcBorders>
              <w:top w:val="single" w:color="000000" w:sz="8" w:space="0"/>
              <w:left w:val="nil"/>
              <w:bottom w:val="single" w:color="000000" w:sz="8" w:space="0"/>
              <w:right w:val="single" w:color="000000" w:sz="8" w:space="0"/>
            </w:tcBorders>
            <w:noWrap w:val="0"/>
            <w:vAlign w:val="center"/>
          </w:tcPr>
          <w:p>
            <w:pPr>
              <w:pStyle w:val="15"/>
              <w:rPr>
                <w:rFonts w:hint="eastAsia"/>
                <w:color w:val="auto"/>
                <w:highlight w:val="none"/>
              </w:rPr>
            </w:pPr>
          </w:p>
        </w:tc>
      </w:tr>
      <w:tr>
        <w:tblPrEx>
          <w:tblCellMar>
            <w:top w:w="0" w:type="dxa"/>
            <w:left w:w="108" w:type="dxa"/>
            <w:bottom w:w="0" w:type="dxa"/>
            <w:right w:w="108" w:type="dxa"/>
          </w:tblCellMar>
        </w:tblPrEx>
        <w:trPr>
          <w:trHeight w:val="300" w:hRule="atLeast"/>
        </w:trPr>
        <w:tc>
          <w:tcPr>
            <w:tcW w:w="898" w:type="dxa"/>
            <w:vMerge w:val="continue"/>
            <w:tcBorders>
              <w:top w:val="single" w:color="000000" w:sz="8" w:space="0"/>
              <w:left w:val="single" w:color="000000" w:sz="8" w:space="0"/>
              <w:bottom w:val="single" w:color="auto" w:sz="4" w:space="0"/>
              <w:right w:val="single" w:color="000000" w:sz="8" w:space="0"/>
            </w:tcBorders>
            <w:noWrap w:val="0"/>
            <w:vAlign w:val="center"/>
          </w:tcPr>
          <w:p>
            <w:pPr>
              <w:rPr>
                <w:rFonts w:hint="eastAsia" w:ascii="宋体" w:hAnsi="宋体" w:cs="宋体"/>
                <w:color w:val="auto"/>
                <w:kern w:val="0"/>
                <w:szCs w:val="21"/>
                <w:highlight w:val="none"/>
                <w:lang w:bidi="ar"/>
              </w:rPr>
            </w:pPr>
          </w:p>
        </w:tc>
        <w:tc>
          <w:tcPr>
            <w:tcW w:w="980" w:type="dxa"/>
            <w:vMerge w:val="continue"/>
            <w:tcBorders>
              <w:top w:val="single" w:color="000000" w:sz="8" w:space="0"/>
              <w:left w:val="nil"/>
              <w:bottom w:val="single" w:color="auto" w:sz="4" w:space="0"/>
              <w:right w:val="single" w:color="000000" w:sz="8" w:space="0"/>
            </w:tcBorders>
            <w:noWrap w:val="0"/>
            <w:vAlign w:val="center"/>
          </w:tcPr>
          <w:p>
            <w:pPr>
              <w:rPr>
                <w:rFonts w:hint="eastAsia" w:ascii="宋体" w:hAnsi="宋体" w:cs="宋体"/>
                <w:color w:val="auto"/>
                <w:kern w:val="0"/>
                <w:szCs w:val="21"/>
                <w:highlight w:val="none"/>
                <w:lang w:bidi="ar"/>
              </w:rPr>
            </w:pPr>
          </w:p>
        </w:tc>
        <w:tc>
          <w:tcPr>
            <w:tcW w:w="2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auto"/>
                <w:kern w:val="0"/>
                <w:szCs w:val="21"/>
                <w:highlight w:val="none"/>
                <w:lang w:bidi="ar"/>
              </w:rPr>
            </w:pPr>
            <w:r>
              <w:rPr>
                <w:rFonts w:hint="eastAsia" w:ascii="宋体" w:hAnsi="宋体" w:eastAsia="宋体" w:cs="宋体"/>
                <w:bCs/>
                <w:color w:val="auto"/>
                <w:spacing w:val="-10"/>
                <w:kern w:val="0"/>
                <w:sz w:val="21"/>
                <w:szCs w:val="21"/>
                <w:highlight w:val="none"/>
                <w:lang w:val="en-US" w:eastAsia="zh-CN"/>
              </w:rPr>
              <w:t>40</w:t>
            </w:r>
          </w:p>
        </w:tc>
        <w:tc>
          <w:tcPr>
            <w:tcW w:w="10373" w:type="dxa"/>
            <w:tcBorders>
              <w:top w:val="single" w:color="000000" w:sz="8" w:space="0"/>
              <w:left w:val="nil"/>
              <w:bottom w:val="single" w:color="000000" w:sz="8" w:space="0"/>
              <w:right w:val="single" w:color="000000" w:sz="8" w:space="0"/>
            </w:tcBorders>
            <w:noWrap w:val="0"/>
            <w:vAlign w:val="top"/>
          </w:tcPr>
          <w:p>
            <w:pPr>
              <w:pStyle w:val="11"/>
              <w:widowControl/>
              <w:spacing w:line="360" w:lineRule="auto"/>
              <w:rPr>
                <w:rFonts w:hint="eastAsia" w:ascii="宋体" w:hAnsi="宋体" w:eastAsia="宋体" w:cs="宋体"/>
                <w:bCs/>
                <w:color w:val="auto"/>
                <w:spacing w:val="-10"/>
                <w:kern w:val="0"/>
                <w:sz w:val="21"/>
                <w:szCs w:val="21"/>
                <w:highlight w:val="none"/>
              </w:rPr>
            </w:pPr>
            <w:r>
              <w:rPr>
                <w:rFonts w:hint="eastAsia" w:ascii="宋体" w:hAnsi="宋体" w:eastAsia="宋体" w:cs="宋体"/>
                <w:bCs/>
                <w:color w:val="auto"/>
                <w:spacing w:val="-10"/>
                <w:kern w:val="0"/>
                <w:sz w:val="21"/>
                <w:szCs w:val="21"/>
                <w:highlight w:val="none"/>
              </w:rPr>
              <w:t>对原结构加固方案进行可行性分析，并经过建模复核，出具带有完整数据支持的计算书(须附上建模后的 3D 模型截图)。</w:t>
            </w:r>
          </w:p>
          <w:p>
            <w:pPr>
              <w:pStyle w:val="11"/>
              <w:widowControl/>
              <w:spacing w:line="360" w:lineRule="auto"/>
              <w:rPr>
                <w:rFonts w:hint="eastAsia" w:ascii="宋体" w:hAnsi="宋体" w:cs="宋体"/>
                <w:color w:val="auto"/>
                <w:kern w:val="0"/>
                <w:szCs w:val="21"/>
                <w:highlight w:val="none"/>
                <w:lang w:bidi="ar"/>
              </w:rPr>
            </w:pPr>
            <w:r>
              <w:rPr>
                <w:rFonts w:hint="eastAsia" w:ascii="宋体" w:hAnsi="宋体" w:eastAsia="宋体" w:cs="宋体"/>
                <w:bCs/>
                <w:color w:val="auto"/>
                <w:spacing w:val="-10"/>
                <w:kern w:val="0"/>
                <w:sz w:val="21"/>
                <w:szCs w:val="21"/>
                <w:highlight w:val="none"/>
                <w:lang w:val="en-US" w:eastAsia="zh-CN"/>
              </w:rPr>
              <w:t>提供</w:t>
            </w:r>
            <w:r>
              <w:rPr>
                <w:rFonts w:hint="eastAsia" w:ascii="宋体" w:hAnsi="宋体" w:eastAsia="宋体" w:cs="宋体"/>
                <w:bCs/>
                <w:color w:val="auto"/>
                <w:spacing w:val="-10"/>
                <w:kern w:val="0"/>
                <w:sz w:val="21"/>
                <w:szCs w:val="21"/>
                <w:highlight w:val="none"/>
              </w:rPr>
              <w:t>完整</w:t>
            </w:r>
            <w:r>
              <w:rPr>
                <w:rFonts w:hint="eastAsia" w:ascii="宋体" w:hAnsi="宋体" w:eastAsia="宋体" w:cs="宋体"/>
                <w:bCs/>
                <w:color w:val="auto"/>
                <w:spacing w:val="-10"/>
                <w:kern w:val="0"/>
                <w:sz w:val="21"/>
                <w:szCs w:val="21"/>
                <w:highlight w:val="none"/>
                <w:lang w:val="en-US" w:eastAsia="zh-CN"/>
              </w:rPr>
              <w:t>结构加固方案</w:t>
            </w:r>
            <w:r>
              <w:rPr>
                <w:rFonts w:hint="eastAsia" w:ascii="宋体" w:hAnsi="宋体" w:eastAsia="宋体" w:cs="宋体"/>
                <w:bCs/>
                <w:color w:val="auto"/>
                <w:spacing w:val="-10"/>
                <w:kern w:val="0"/>
                <w:sz w:val="21"/>
                <w:szCs w:val="21"/>
                <w:highlight w:val="none"/>
              </w:rPr>
              <w:t>计算书</w:t>
            </w:r>
            <w:r>
              <w:rPr>
                <w:rFonts w:hint="eastAsia" w:ascii="宋体" w:hAnsi="宋体" w:eastAsia="宋体" w:cs="宋体"/>
                <w:bCs/>
                <w:color w:val="auto"/>
                <w:spacing w:val="-10"/>
                <w:kern w:val="0"/>
                <w:sz w:val="21"/>
                <w:szCs w:val="21"/>
                <w:highlight w:val="none"/>
                <w:lang w:eastAsia="zh-CN"/>
              </w:rPr>
              <w:t>、</w:t>
            </w:r>
            <w:r>
              <w:rPr>
                <w:rFonts w:hint="eastAsia" w:ascii="宋体" w:hAnsi="宋体" w:eastAsia="宋体" w:cs="宋体"/>
                <w:bCs/>
                <w:color w:val="auto"/>
                <w:spacing w:val="-10"/>
                <w:kern w:val="0"/>
                <w:sz w:val="21"/>
                <w:szCs w:val="21"/>
                <w:highlight w:val="none"/>
                <w:lang w:val="en-US" w:eastAsia="zh-CN"/>
              </w:rPr>
              <w:t>可行性分析</w:t>
            </w:r>
            <w:r>
              <w:rPr>
                <w:rFonts w:hint="eastAsia" w:ascii="宋体" w:hAnsi="宋体" w:eastAsia="宋体" w:cs="宋体"/>
                <w:bCs/>
                <w:color w:val="auto"/>
                <w:spacing w:val="-10"/>
                <w:kern w:val="0"/>
                <w:sz w:val="21"/>
                <w:szCs w:val="21"/>
                <w:highlight w:val="none"/>
              </w:rPr>
              <w:t>的</w:t>
            </w:r>
            <w:r>
              <w:rPr>
                <w:rFonts w:hint="eastAsia" w:ascii="宋体" w:hAnsi="宋体" w:eastAsia="宋体" w:cs="宋体"/>
                <w:bCs/>
                <w:color w:val="auto"/>
                <w:spacing w:val="-10"/>
                <w:kern w:val="0"/>
                <w:sz w:val="21"/>
                <w:szCs w:val="21"/>
                <w:highlight w:val="none"/>
                <w:lang w:eastAsia="zh-CN"/>
              </w:rPr>
              <w:t>，</w:t>
            </w:r>
            <w:r>
              <w:rPr>
                <w:rFonts w:hint="eastAsia" w:ascii="宋体" w:hAnsi="宋体" w:eastAsia="宋体" w:cs="宋体"/>
                <w:bCs/>
                <w:color w:val="auto"/>
                <w:spacing w:val="-10"/>
                <w:kern w:val="0"/>
                <w:sz w:val="21"/>
                <w:szCs w:val="21"/>
                <w:highlight w:val="none"/>
              </w:rPr>
              <w:t>得</w:t>
            </w:r>
            <w:r>
              <w:rPr>
                <w:rFonts w:hint="eastAsia" w:hAnsi="宋体" w:cs="宋体"/>
                <w:color w:val="auto"/>
                <w:sz w:val="21"/>
                <w:szCs w:val="21"/>
                <w:highlight w:val="none"/>
                <w:lang w:val="en-US" w:eastAsia="zh-CN"/>
              </w:rPr>
              <w:t>[</w:t>
            </w:r>
            <w:r>
              <w:rPr>
                <w:rFonts w:hint="eastAsia" w:ascii="宋体" w:hAnsi="宋体" w:eastAsia="宋体" w:cs="宋体"/>
                <w:bCs/>
                <w:color w:val="auto"/>
                <w:spacing w:val="-10"/>
                <w:kern w:val="0"/>
                <w:sz w:val="21"/>
                <w:szCs w:val="21"/>
                <w:highlight w:val="none"/>
                <w:lang w:val="en-US" w:eastAsia="zh-CN"/>
              </w:rPr>
              <w:t>40-27）</w:t>
            </w:r>
            <w:r>
              <w:rPr>
                <w:rFonts w:hint="eastAsia" w:ascii="宋体" w:hAnsi="宋体" w:eastAsia="宋体" w:cs="宋体"/>
                <w:bCs/>
                <w:color w:val="auto"/>
                <w:spacing w:val="-10"/>
                <w:kern w:val="0"/>
                <w:sz w:val="21"/>
                <w:szCs w:val="21"/>
                <w:highlight w:val="none"/>
              </w:rPr>
              <w:t>分；</w:t>
            </w:r>
            <w:r>
              <w:rPr>
                <w:rFonts w:hint="eastAsia" w:ascii="宋体" w:hAnsi="宋体" w:eastAsia="宋体" w:cs="宋体"/>
                <w:bCs/>
                <w:color w:val="auto"/>
                <w:spacing w:val="-10"/>
                <w:kern w:val="0"/>
                <w:sz w:val="21"/>
                <w:szCs w:val="21"/>
                <w:highlight w:val="none"/>
                <w:lang w:val="en-US" w:eastAsia="zh-CN"/>
              </w:rPr>
              <w:t>提供</w:t>
            </w:r>
            <w:r>
              <w:rPr>
                <w:rFonts w:hint="eastAsia" w:ascii="宋体" w:hAnsi="宋体" w:eastAsia="宋体" w:cs="宋体"/>
                <w:bCs/>
                <w:color w:val="auto"/>
                <w:spacing w:val="-10"/>
                <w:kern w:val="0"/>
                <w:sz w:val="21"/>
                <w:szCs w:val="21"/>
                <w:highlight w:val="none"/>
              </w:rPr>
              <w:t>完整</w:t>
            </w:r>
            <w:r>
              <w:rPr>
                <w:rFonts w:hint="eastAsia" w:ascii="宋体" w:hAnsi="宋体" w:eastAsia="宋体" w:cs="宋体"/>
                <w:bCs/>
                <w:color w:val="auto"/>
                <w:spacing w:val="-10"/>
                <w:kern w:val="0"/>
                <w:sz w:val="21"/>
                <w:szCs w:val="21"/>
                <w:highlight w:val="none"/>
                <w:lang w:val="en-US" w:eastAsia="zh-CN"/>
              </w:rPr>
              <w:t>结构加固方案</w:t>
            </w:r>
            <w:r>
              <w:rPr>
                <w:rFonts w:hint="eastAsia" w:ascii="宋体" w:hAnsi="宋体" w:eastAsia="宋体" w:cs="宋体"/>
                <w:bCs/>
                <w:color w:val="auto"/>
                <w:spacing w:val="-10"/>
                <w:kern w:val="0"/>
                <w:sz w:val="21"/>
                <w:szCs w:val="21"/>
                <w:highlight w:val="none"/>
              </w:rPr>
              <w:t>计算书</w:t>
            </w:r>
            <w:r>
              <w:rPr>
                <w:rFonts w:hint="eastAsia" w:ascii="宋体" w:hAnsi="宋体" w:eastAsia="宋体" w:cs="宋体"/>
                <w:bCs/>
                <w:color w:val="auto"/>
                <w:spacing w:val="-10"/>
                <w:kern w:val="0"/>
                <w:sz w:val="21"/>
                <w:szCs w:val="21"/>
                <w:highlight w:val="none"/>
                <w:lang w:val="en-US" w:eastAsia="zh-CN"/>
              </w:rPr>
              <w:t>的</w:t>
            </w:r>
            <w:r>
              <w:rPr>
                <w:rFonts w:hint="eastAsia" w:ascii="宋体" w:hAnsi="宋体" w:eastAsia="宋体" w:cs="宋体"/>
                <w:bCs/>
                <w:color w:val="auto"/>
                <w:spacing w:val="-10"/>
                <w:kern w:val="0"/>
                <w:sz w:val="21"/>
                <w:szCs w:val="21"/>
                <w:highlight w:val="none"/>
                <w:lang w:eastAsia="zh-CN"/>
              </w:rPr>
              <w:t>，</w:t>
            </w:r>
            <w:r>
              <w:rPr>
                <w:rFonts w:hint="eastAsia" w:ascii="宋体" w:hAnsi="宋体" w:eastAsia="宋体" w:cs="宋体"/>
                <w:bCs/>
                <w:color w:val="auto"/>
                <w:spacing w:val="-10"/>
                <w:kern w:val="0"/>
                <w:sz w:val="21"/>
                <w:szCs w:val="21"/>
                <w:highlight w:val="none"/>
              </w:rPr>
              <w:t>得</w:t>
            </w:r>
            <w:r>
              <w:rPr>
                <w:rFonts w:hint="eastAsia" w:hAnsi="宋体" w:cs="宋体"/>
                <w:color w:val="auto"/>
                <w:sz w:val="21"/>
                <w:szCs w:val="21"/>
                <w:highlight w:val="none"/>
                <w:lang w:val="en-US" w:eastAsia="zh-CN"/>
              </w:rPr>
              <w:t>[</w:t>
            </w:r>
            <w:r>
              <w:rPr>
                <w:rFonts w:hint="eastAsia" w:ascii="宋体" w:hAnsi="宋体" w:eastAsia="宋体" w:cs="宋体"/>
                <w:bCs/>
                <w:color w:val="auto"/>
                <w:spacing w:val="-10"/>
                <w:kern w:val="0"/>
                <w:sz w:val="21"/>
                <w:szCs w:val="21"/>
                <w:highlight w:val="none"/>
                <w:lang w:val="en-US" w:eastAsia="zh-CN"/>
              </w:rPr>
              <w:t>27-15）</w:t>
            </w:r>
            <w:r>
              <w:rPr>
                <w:rFonts w:hint="eastAsia" w:ascii="宋体" w:hAnsi="宋体" w:eastAsia="宋体" w:cs="宋体"/>
                <w:bCs/>
                <w:color w:val="auto"/>
                <w:spacing w:val="-10"/>
                <w:kern w:val="0"/>
                <w:sz w:val="21"/>
                <w:szCs w:val="21"/>
                <w:highlight w:val="none"/>
              </w:rPr>
              <w:t>分；</w:t>
            </w:r>
            <w:r>
              <w:rPr>
                <w:rFonts w:hint="eastAsia" w:ascii="宋体" w:hAnsi="宋体" w:eastAsia="宋体" w:cs="宋体"/>
                <w:bCs/>
                <w:color w:val="auto"/>
                <w:spacing w:val="-10"/>
                <w:kern w:val="0"/>
                <w:sz w:val="21"/>
                <w:szCs w:val="21"/>
                <w:highlight w:val="none"/>
                <w:lang w:val="en-US" w:eastAsia="zh-CN"/>
              </w:rPr>
              <w:t>提供结构加固方案</w:t>
            </w:r>
            <w:r>
              <w:rPr>
                <w:rFonts w:hint="eastAsia" w:ascii="宋体" w:hAnsi="宋体" w:eastAsia="宋体" w:cs="宋体"/>
                <w:bCs/>
                <w:color w:val="auto"/>
                <w:spacing w:val="-10"/>
                <w:kern w:val="0"/>
                <w:sz w:val="21"/>
                <w:szCs w:val="21"/>
                <w:highlight w:val="none"/>
              </w:rPr>
              <w:t>计算书</w:t>
            </w:r>
            <w:r>
              <w:rPr>
                <w:rFonts w:hint="eastAsia" w:ascii="宋体" w:hAnsi="宋体" w:eastAsia="宋体" w:cs="宋体"/>
                <w:bCs/>
                <w:color w:val="auto"/>
                <w:spacing w:val="-10"/>
                <w:kern w:val="0"/>
                <w:sz w:val="21"/>
                <w:szCs w:val="21"/>
                <w:highlight w:val="none"/>
                <w:lang w:val="en-US" w:eastAsia="zh-CN"/>
              </w:rPr>
              <w:t>的，但不完整的，</w:t>
            </w:r>
            <w:r>
              <w:rPr>
                <w:rFonts w:hint="eastAsia" w:ascii="宋体" w:hAnsi="宋体" w:eastAsia="宋体" w:cs="宋体"/>
                <w:bCs/>
                <w:color w:val="auto"/>
                <w:spacing w:val="-10"/>
                <w:kern w:val="0"/>
                <w:sz w:val="21"/>
                <w:szCs w:val="21"/>
                <w:highlight w:val="none"/>
              </w:rPr>
              <w:t>得</w:t>
            </w:r>
            <w:r>
              <w:rPr>
                <w:rFonts w:hint="eastAsia" w:hAnsi="宋体" w:cs="宋体"/>
                <w:color w:val="auto"/>
                <w:sz w:val="21"/>
                <w:szCs w:val="21"/>
                <w:highlight w:val="none"/>
                <w:lang w:val="en-US" w:eastAsia="zh-CN"/>
              </w:rPr>
              <w:t>[</w:t>
            </w:r>
            <w:r>
              <w:rPr>
                <w:rFonts w:hint="eastAsia" w:ascii="宋体" w:hAnsi="宋体" w:eastAsia="宋体" w:cs="宋体"/>
                <w:bCs/>
                <w:color w:val="auto"/>
                <w:spacing w:val="-10"/>
                <w:kern w:val="0"/>
                <w:sz w:val="21"/>
                <w:szCs w:val="21"/>
                <w:highlight w:val="none"/>
                <w:lang w:val="en-US" w:eastAsia="zh-CN"/>
              </w:rPr>
              <w:t>15-0）</w:t>
            </w:r>
            <w:r>
              <w:rPr>
                <w:rFonts w:hint="eastAsia" w:ascii="宋体" w:hAnsi="宋体" w:eastAsia="宋体" w:cs="宋体"/>
                <w:bCs/>
                <w:color w:val="auto"/>
                <w:spacing w:val="-10"/>
                <w:kern w:val="0"/>
                <w:sz w:val="21"/>
                <w:szCs w:val="21"/>
                <w:highlight w:val="none"/>
              </w:rPr>
              <w:t>分</w:t>
            </w:r>
            <w:r>
              <w:rPr>
                <w:rFonts w:hint="eastAsia" w:ascii="宋体" w:hAnsi="宋体" w:eastAsia="宋体" w:cs="宋体"/>
                <w:bCs/>
                <w:color w:val="auto"/>
                <w:spacing w:val="-10"/>
                <w:kern w:val="0"/>
                <w:sz w:val="21"/>
                <w:szCs w:val="21"/>
                <w:highlight w:val="none"/>
                <w:lang w:eastAsia="zh-CN"/>
              </w:rPr>
              <w:t>；</w:t>
            </w:r>
            <w:r>
              <w:rPr>
                <w:rFonts w:hint="eastAsia" w:ascii="宋体" w:hAnsi="宋体" w:eastAsia="宋体" w:cs="宋体"/>
                <w:bCs/>
                <w:color w:val="auto"/>
                <w:spacing w:val="-10"/>
                <w:kern w:val="0"/>
                <w:sz w:val="21"/>
                <w:szCs w:val="21"/>
                <w:highlight w:val="none"/>
                <w:lang w:val="en-US" w:eastAsia="zh-CN"/>
              </w:rPr>
              <w:t>未提供不得分</w:t>
            </w:r>
            <w:r>
              <w:rPr>
                <w:rFonts w:hint="eastAsia" w:ascii="宋体" w:hAnsi="宋体" w:eastAsia="宋体" w:cs="宋体"/>
                <w:bCs/>
                <w:color w:val="auto"/>
                <w:spacing w:val="-10"/>
                <w:kern w:val="0"/>
                <w:sz w:val="21"/>
                <w:szCs w:val="21"/>
                <w:highlight w:val="none"/>
              </w:rPr>
              <w:t>。</w:t>
            </w:r>
          </w:p>
        </w:tc>
        <w:tc>
          <w:tcPr>
            <w:tcW w:w="450" w:type="dxa"/>
            <w:tcBorders>
              <w:top w:val="single" w:color="000000" w:sz="8" w:space="0"/>
              <w:left w:val="nil"/>
              <w:bottom w:val="single" w:color="000000" w:sz="8" w:space="0"/>
              <w:right w:val="single" w:color="000000" w:sz="8" w:space="0"/>
            </w:tcBorders>
            <w:noWrap w:val="0"/>
            <w:vAlign w:val="center"/>
          </w:tcPr>
          <w:p>
            <w:pPr>
              <w:pStyle w:val="15"/>
              <w:rPr>
                <w:rFonts w:hint="eastAsia"/>
                <w:color w:val="auto"/>
                <w:highlight w:val="none"/>
              </w:rPr>
            </w:pPr>
          </w:p>
        </w:tc>
      </w:tr>
      <w:tr>
        <w:tblPrEx>
          <w:tblCellMar>
            <w:top w:w="0" w:type="dxa"/>
            <w:left w:w="108" w:type="dxa"/>
            <w:bottom w:w="0" w:type="dxa"/>
            <w:right w:w="108" w:type="dxa"/>
          </w:tblCellMar>
        </w:tblPrEx>
        <w:trPr>
          <w:trHeight w:val="300" w:hRule="atLeast"/>
        </w:trPr>
        <w:tc>
          <w:tcPr>
            <w:tcW w:w="898" w:type="dxa"/>
            <w:vMerge w:val="continue"/>
            <w:tcBorders>
              <w:top w:val="single" w:color="000000" w:sz="8" w:space="0"/>
              <w:left w:val="single" w:color="000000" w:sz="8" w:space="0"/>
              <w:bottom w:val="single" w:color="auto" w:sz="4" w:space="0"/>
              <w:right w:val="single" w:color="000000" w:sz="8" w:space="0"/>
            </w:tcBorders>
            <w:noWrap w:val="0"/>
            <w:vAlign w:val="center"/>
          </w:tcPr>
          <w:p>
            <w:pPr>
              <w:rPr>
                <w:rFonts w:hint="eastAsia" w:ascii="宋体" w:hAnsi="宋体" w:cs="宋体"/>
                <w:color w:val="auto"/>
                <w:kern w:val="0"/>
                <w:szCs w:val="21"/>
                <w:highlight w:val="none"/>
                <w:lang w:bidi="ar"/>
              </w:rPr>
            </w:pPr>
          </w:p>
        </w:tc>
        <w:tc>
          <w:tcPr>
            <w:tcW w:w="980" w:type="dxa"/>
            <w:vMerge w:val="continue"/>
            <w:tcBorders>
              <w:top w:val="single" w:color="000000" w:sz="8" w:space="0"/>
              <w:left w:val="nil"/>
              <w:bottom w:val="single" w:color="auto" w:sz="4" w:space="0"/>
              <w:right w:val="single" w:color="000000" w:sz="8" w:space="0"/>
            </w:tcBorders>
            <w:noWrap w:val="0"/>
            <w:vAlign w:val="center"/>
          </w:tcPr>
          <w:p>
            <w:pPr>
              <w:rPr>
                <w:rFonts w:hint="eastAsia" w:ascii="宋体" w:hAnsi="宋体" w:cs="宋体"/>
                <w:color w:val="auto"/>
                <w:kern w:val="0"/>
                <w:szCs w:val="21"/>
                <w:highlight w:val="none"/>
                <w:lang w:bidi="ar"/>
              </w:rPr>
            </w:pPr>
          </w:p>
        </w:tc>
        <w:tc>
          <w:tcPr>
            <w:tcW w:w="2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cs="宋体"/>
                <w:color w:val="auto"/>
                <w:kern w:val="0"/>
                <w:szCs w:val="21"/>
                <w:highlight w:val="none"/>
                <w:lang w:bidi="ar"/>
              </w:rPr>
            </w:pPr>
            <w:r>
              <w:rPr>
                <w:rFonts w:hint="eastAsia" w:ascii="宋体" w:hAnsi="宋体" w:eastAsia="宋体" w:cs="宋体"/>
                <w:bCs/>
                <w:color w:val="auto"/>
                <w:spacing w:val="-10"/>
                <w:kern w:val="0"/>
                <w:sz w:val="21"/>
                <w:szCs w:val="21"/>
                <w:highlight w:val="none"/>
                <w:lang w:val="en-US" w:eastAsia="zh-CN"/>
              </w:rPr>
              <w:t>10</w:t>
            </w:r>
          </w:p>
        </w:tc>
        <w:tc>
          <w:tcPr>
            <w:tcW w:w="10373" w:type="dxa"/>
            <w:tcBorders>
              <w:top w:val="single" w:color="000000" w:sz="8" w:space="0"/>
              <w:left w:val="nil"/>
              <w:bottom w:val="single" w:color="000000" w:sz="8" w:space="0"/>
              <w:right w:val="single" w:color="000000" w:sz="8" w:space="0"/>
            </w:tcBorders>
            <w:noWrap w:val="0"/>
            <w:vAlign w:val="top"/>
          </w:tcPr>
          <w:p>
            <w:pPr>
              <w:pStyle w:val="11"/>
              <w:widowControl/>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针对三层厨房、饭堂进行二次深化布置</w:t>
            </w:r>
            <w:r>
              <w:rPr>
                <w:rFonts w:hint="eastAsia" w:cs="宋体"/>
                <w:color w:val="auto"/>
                <w:kern w:val="0"/>
                <w:sz w:val="21"/>
                <w:szCs w:val="21"/>
                <w:highlight w:val="none"/>
                <w:lang w:eastAsia="zh-CN"/>
              </w:rPr>
              <w:t>：</w:t>
            </w:r>
          </w:p>
          <w:p>
            <w:pPr>
              <w:pStyle w:val="11"/>
              <w:widowControl/>
              <w:spacing w:line="360" w:lineRule="auto"/>
              <w:rPr>
                <w:rFonts w:hint="eastAsia" w:ascii="宋体" w:hAnsi="宋体" w:cs="宋体"/>
                <w:color w:val="auto"/>
                <w:kern w:val="0"/>
                <w:szCs w:val="21"/>
                <w:highlight w:val="none"/>
                <w:lang w:bidi="ar"/>
              </w:rPr>
            </w:pPr>
            <w:r>
              <w:rPr>
                <w:rFonts w:hint="eastAsia" w:cs="宋体"/>
                <w:color w:val="auto"/>
                <w:kern w:val="0"/>
                <w:sz w:val="21"/>
                <w:szCs w:val="21"/>
                <w:highlight w:val="none"/>
                <w:lang w:val="en-US" w:eastAsia="zh-CN"/>
              </w:rPr>
              <w:t>二次深化布置符合规范、动线合理，功能全面。优得</w:t>
            </w:r>
            <w:r>
              <w:rPr>
                <w:rFonts w:hint="eastAsia" w:hAnsi="宋体" w:cs="宋体"/>
                <w:color w:val="auto"/>
                <w:sz w:val="21"/>
                <w:szCs w:val="21"/>
                <w:highlight w:val="none"/>
                <w:lang w:val="en-US" w:eastAsia="zh-CN"/>
              </w:rPr>
              <w:t>[</w:t>
            </w:r>
            <w:r>
              <w:rPr>
                <w:rFonts w:hint="eastAsia" w:cs="宋体"/>
                <w:color w:val="auto"/>
                <w:kern w:val="0"/>
                <w:sz w:val="21"/>
                <w:szCs w:val="21"/>
                <w:highlight w:val="none"/>
                <w:lang w:val="en-US" w:eastAsia="zh-CN"/>
              </w:rPr>
              <w:t>10-7）分；良得</w:t>
            </w:r>
            <w:r>
              <w:rPr>
                <w:rFonts w:hint="eastAsia" w:hAnsi="宋体" w:cs="宋体"/>
                <w:color w:val="auto"/>
                <w:sz w:val="21"/>
                <w:szCs w:val="21"/>
                <w:highlight w:val="none"/>
                <w:lang w:val="en-US" w:eastAsia="zh-CN"/>
              </w:rPr>
              <w:t>[</w:t>
            </w:r>
            <w:r>
              <w:rPr>
                <w:rFonts w:hint="eastAsia" w:cs="宋体"/>
                <w:color w:val="auto"/>
                <w:kern w:val="0"/>
                <w:sz w:val="21"/>
                <w:szCs w:val="21"/>
                <w:highlight w:val="none"/>
                <w:lang w:val="en-US" w:eastAsia="zh-CN"/>
              </w:rPr>
              <w:t>7-5）分；中得</w:t>
            </w:r>
            <w:r>
              <w:rPr>
                <w:rFonts w:hint="eastAsia" w:hAnsi="宋体" w:cs="宋体"/>
                <w:color w:val="auto"/>
                <w:sz w:val="21"/>
                <w:szCs w:val="21"/>
                <w:highlight w:val="none"/>
                <w:lang w:val="en-US" w:eastAsia="zh-CN"/>
              </w:rPr>
              <w:t>[</w:t>
            </w:r>
            <w:r>
              <w:rPr>
                <w:rFonts w:hint="eastAsia" w:cs="宋体"/>
                <w:color w:val="auto"/>
                <w:kern w:val="0"/>
                <w:sz w:val="21"/>
                <w:szCs w:val="21"/>
                <w:highlight w:val="none"/>
                <w:lang w:val="en-US" w:eastAsia="zh-CN"/>
              </w:rPr>
              <w:t>5-3）分；</w:t>
            </w:r>
            <w:r>
              <w:rPr>
                <w:rFonts w:hint="eastAsia" w:ascii="宋体" w:hAnsi="宋体" w:eastAsia="宋体" w:cs="宋体"/>
                <w:bCs/>
                <w:color w:val="auto"/>
                <w:spacing w:val="-10"/>
                <w:kern w:val="0"/>
                <w:sz w:val="21"/>
                <w:szCs w:val="21"/>
                <w:highlight w:val="none"/>
                <w:lang w:val="en-US" w:eastAsia="zh-CN"/>
              </w:rPr>
              <w:t>差得</w:t>
            </w:r>
            <w:r>
              <w:rPr>
                <w:rFonts w:hint="eastAsia" w:hAnsi="宋体" w:cs="宋体"/>
                <w:color w:val="auto"/>
                <w:sz w:val="21"/>
                <w:szCs w:val="21"/>
                <w:highlight w:val="none"/>
                <w:lang w:val="en-US" w:eastAsia="zh-CN"/>
              </w:rPr>
              <w:t>[</w:t>
            </w:r>
            <w:r>
              <w:rPr>
                <w:rFonts w:hint="eastAsia" w:cs="宋体"/>
                <w:color w:val="auto"/>
                <w:kern w:val="0"/>
                <w:sz w:val="21"/>
                <w:szCs w:val="21"/>
                <w:highlight w:val="none"/>
                <w:lang w:val="en-US" w:eastAsia="zh-CN"/>
              </w:rPr>
              <w:t>3-0）</w:t>
            </w:r>
            <w:r>
              <w:rPr>
                <w:rFonts w:hint="eastAsia" w:ascii="宋体" w:hAnsi="宋体" w:eastAsia="宋体" w:cs="宋体"/>
                <w:bCs/>
                <w:color w:val="auto"/>
                <w:spacing w:val="-10"/>
                <w:kern w:val="0"/>
                <w:sz w:val="21"/>
                <w:szCs w:val="21"/>
                <w:highlight w:val="none"/>
                <w:lang w:val="en-US" w:eastAsia="zh-CN"/>
              </w:rPr>
              <w:t>分</w:t>
            </w:r>
            <w:r>
              <w:rPr>
                <w:rFonts w:hint="eastAsia" w:cs="宋体"/>
                <w:bCs/>
                <w:color w:val="auto"/>
                <w:spacing w:val="-10"/>
                <w:kern w:val="0"/>
                <w:sz w:val="21"/>
                <w:szCs w:val="21"/>
                <w:highlight w:val="none"/>
                <w:lang w:val="en-US" w:eastAsia="zh-CN"/>
              </w:rPr>
              <w:t>。</w:t>
            </w:r>
          </w:p>
        </w:tc>
        <w:tc>
          <w:tcPr>
            <w:tcW w:w="450" w:type="dxa"/>
            <w:tcBorders>
              <w:top w:val="single" w:color="000000" w:sz="8" w:space="0"/>
              <w:left w:val="nil"/>
              <w:bottom w:val="single" w:color="000000" w:sz="8" w:space="0"/>
              <w:right w:val="single" w:color="000000" w:sz="8" w:space="0"/>
            </w:tcBorders>
            <w:noWrap w:val="0"/>
            <w:vAlign w:val="center"/>
          </w:tcPr>
          <w:p>
            <w:pPr>
              <w:pStyle w:val="15"/>
              <w:rPr>
                <w:rFonts w:hint="eastAsia"/>
                <w:color w:val="auto"/>
                <w:highlight w:val="none"/>
              </w:rPr>
            </w:pPr>
          </w:p>
        </w:tc>
      </w:tr>
      <w:tr>
        <w:tblPrEx>
          <w:tblCellMar>
            <w:top w:w="0" w:type="dxa"/>
            <w:left w:w="108" w:type="dxa"/>
            <w:bottom w:w="0" w:type="dxa"/>
            <w:right w:w="108" w:type="dxa"/>
          </w:tblCellMar>
        </w:tblPrEx>
        <w:trPr>
          <w:trHeight w:val="285" w:hRule="atLeast"/>
        </w:trPr>
        <w:tc>
          <w:tcPr>
            <w:tcW w:w="1878"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总计</w:t>
            </w:r>
          </w:p>
        </w:tc>
        <w:tc>
          <w:tcPr>
            <w:tcW w:w="2199"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100</w:t>
            </w:r>
          </w:p>
        </w:tc>
        <w:tc>
          <w:tcPr>
            <w:tcW w:w="1037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auto"/>
                <w:szCs w:val="21"/>
                <w:highlight w:val="none"/>
              </w:rPr>
            </w:pPr>
          </w:p>
        </w:tc>
        <w:tc>
          <w:tcPr>
            <w:tcW w:w="450"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auto"/>
                <w:szCs w:val="21"/>
                <w:highlight w:val="none"/>
              </w:rPr>
            </w:pPr>
          </w:p>
        </w:tc>
      </w:tr>
    </w:tbl>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注：本表按百分制评分，所有评委总分汇总后的算术平均值为投标人的最终得分。分数出现小数点，保留小数点后二位小数，三位小数四舍五入。</w:t>
      </w:r>
    </w:p>
    <w:p>
      <w:pPr>
        <w:spacing w:line="480" w:lineRule="auto"/>
        <w:ind w:firstLine="630" w:firstLineChars="300"/>
        <w:rPr>
          <w:rFonts w:ascii="宋体" w:hAnsi="宋体"/>
          <w:color w:val="auto"/>
          <w:szCs w:val="21"/>
          <w:highlight w:val="none"/>
        </w:rPr>
      </w:pPr>
      <w:r>
        <w:rPr>
          <w:rFonts w:hint="eastAsia" w:ascii="宋体" w:hAnsi="宋体"/>
          <w:color w:val="auto"/>
          <w:szCs w:val="21"/>
          <w:highlight w:val="none"/>
        </w:rPr>
        <w:t>评委签名：                              日期：</w:t>
      </w:r>
    </w:p>
    <w:p>
      <w:pPr>
        <w:spacing w:line="360" w:lineRule="auto"/>
        <w:rPr>
          <w:rFonts w:hint="eastAsia" w:ascii="宋体" w:hAnsi="宋体" w:cs="宋体"/>
          <w:b/>
          <w:color w:val="auto"/>
          <w:kern w:val="1"/>
          <w:sz w:val="24"/>
          <w:highlight w:val="none"/>
        </w:rPr>
        <w:sectPr>
          <w:headerReference r:id="rId12" w:type="default"/>
          <w:footerReference r:id="rId13" w:type="default"/>
          <w:pgSz w:w="16838" w:h="11906" w:orient="landscape"/>
          <w:pgMar w:top="1134" w:right="1077" w:bottom="1134" w:left="1077" w:header="851" w:footer="992" w:gutter="0"/>
          <w:cols w:space="720" w:num="1"/>
          <w:docGrid w:type="lines" w:linePitch="312" w:charSpace="0"/>
        </w:sectPr>
      </w:pPr>
    </w:p>
    <w:p>
      <w:pPr>
        <w:spacing w:line="360" w:lineRule="auto"/>
        <w:rPr>
          <w:rFonts w:ascii="宋体" w:hAnsi="宋体" w:cs="宋体"/>
          <w:b/>
          <w:color w:val="auto"/>
          <w:kern w:val="1"/>
          <w:sz w:val="24"/>
          <w:highlight w:val="none"/>
        </w:rPr>
      </w:pPr>
      <w:r>
        <w:rPr>
          <w:rFonts w:hint="eastAsia" w:ascii="宋体" w:hAnsi="宋体" w:cs="宋体"/>
          <w:b/>
          <w:color w:val="auto"/>
          <w:kern w:val="1"/>
          <w:sz w:val="24"/>
          <w:highlight w:val="none"/>
        </w:rPr>
        <w:t>附表5</w:t>
      </w:r>
    </w:p>
    <w:p>
      <w:pPr>
        <w:jc w:val="center"/>
        <w:rPr>
          <w:rFonts w:ascii="宋体" w:hAnsi="宋体" w:cs="宋体"/>
          <w:b/>
          <w:color w:val="auto"/>
          <w:highlight w:val="none"/>
        </w:rPr>
      </w:pPr>
      <w:r>
        <w:rPr>
          <w:rFonts w:hint="eastAsia" w:ascii="宋体" w:hAnsi="宋体" w:cs="宋体"/>
          <w:b/>
          <w:color w:val="auto"/>
          <w:sz w:val="30"/>
          <w:szCs w:val="30"/>
          <w:highlight w:val="none"/>
        </w:rPr>
        <w:t>工程总承包实施方案投标文件详细审查评分表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9"/>
        <w:gridCol w:w="742"/>
        <w:gridCol w:w="898"/>
        <w:gridCol w:w="10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599" w:type="dxa"/>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序号</w:t>
            </w:r>
          </w:p>
        </w:tc>
        <w:tc>
          <w:tcPr>
            <w:tcW w:w="742" w:type="dxa"/>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评分内容</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分值</w:t>
            </w:r>
          </w:p>
        </w:tc>
        <w:tc>
          <w:tcPr>
            <w:tcW w:w="10733" w:type="dxa"/>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jc w:val="center"/>
        </w:trPr>
        <w:tc>
          <w:tcPr>
            <w:tcW w:w="1599" w:type="dxa"/>
            <w:vMerge w:val="restart"/>
            <w:noWrap w:val="0"/>
            <w:tcMar>
              <w:top w:w="15" w:type="dxa"/>
              <w:left w:w="37" w:type="dxa"/>
              <w:bottom w:w="0" w:type="dxa"/>
              <w:right w:w="37" w:type="dxa"/>
            </w:tcMar>
            <w:vAlign w:val="center"/>
          </w:tcPr>
          <w:p>
            <w:pPr>
              <w:snapToGrid w:val="0"/>
              <w:ind w:left="42" w:leftChars="20" w:right="42" w:rightChars="20"/>
              <w:jc w:val="left"/>
              <w:rPr>
                <w:rFonts w:ascii="宋体" w:hAnsi="宋体" w:cs="宋体"/>
                <w:bCs/>
                <w:strike/>
                <w:color w:val="auto"/>
                <w:szCs w:val="21"/>
                <w:highlight w:val="none"/>
                <w:lang w:val="zh-TW"/>
              </w:rPr>
            </w:pPr>
            <w:r>
              <w:rPr>
                <w:rFonts w:hint="eastAsia" w:ascii="宋体" w:hAnsi="宋体" w:cs="宋体"/>
                <w:bCs/>
                <w:color w:val="auto"/>
                <w:szCs w:val="21"/>
                <w:highlight w:val="none"/>
                <w:lang w:val="zh-TW"/>
              </w:rPr>
              <w:t>一、企业资信（</w:t>
            </w:r>
            <w:r>
              <w:rPr>
                <w:rFonts w:hint="eastAsia" w:ascii="宋体" w:hAnsi="宋体" w:cs="宋体"/>
                <w:bCs/>
                <w:color w:val="auto"/>
                <w:szCs w:val="21"/>
                <w:highlight w:val="none"/>
                <w:lang w:val="en-US" w:eastAsia="zh-CN"/>
              </w:rPr>
              <w:t>36</w:t>
            </w:r>
            <w:r>
              <w:rPr>
                <w:rFonts w:hint="eastAsia" w:ascii="宋体" w:hAnsi="宋体" w:cs="宋体"/>
                <w:bCs/>
                <w:color w:val="auto"/>
                <w:szCs w:val="21"/>
                <w:highlight w:val="none"/>
                <w:lang w:val="zh-TW"/>
              </w:rPr>
              <w:t>分）</w:t>
            </w:r>
          </w:p>
        </w:tc>
        <w:tc>
          <w:tcPr>
            <w:tcW w:w="742" w:type="dxa"/>
            <w:noWrap w:val="0"/>
            <w:tcMar>
              <w:top w:w="15" w:type="dxa"/>
              <w:left w:w="37" w:type="dxa"/>
              <w:bottom w:w="0" w:type="dxa"/>
              <w:right w:w="37" w:type="dxa"/>
            </w:tcMar>
            <w:vAlign w:val="center"/>
          </w:tcPr>
          <w:p>
            <w:pPr>
              <w:snapToGrid w:val="0"/>
              <w:ind w:left="42" w:leftChars="20" w:right="42" w:rightChars="20"/>
              <w:jc w:val="center"/>
              <w:rPr>
                <w:rFonts w:hint="eastAsia" w:ascii="宋体" w:hAnsi="宋体" w:cs="宋体"/>
                <w:bCs/>
                <w:color w:val="auto"/>
                <w:szCs w:val="21"/>
                <w:highlight w:val="none"/>
                <w:lang w:val="zh-TW"/>
              </w:rPr>
            </w:pPr>
            <w:r>
              <w:rPr>
                <w:rFonts w:hint="eastAsia" w:ascii="宋体" w:hAnsi="宋体" w:cs="宋体"/>
                <w:bCs/>
                <w:color w:val="auto"/>
                <w:szCs w:val="21"/>
                <w:highlight w:val="none"/>
                <w:lang w:val="zh-TW"/>
              </w:rPr>
              <w:t>企业获奖</w:t>
            </w:r>
            <w:r>
              <w:rPr>
                <w:rFonts w:hint="eastAsia" w:ascii="宋体" w:hAnsi="宋体" w:cs="宋体"/>
                <w:bCs/>
                <w:color w:val="auto"/>
                <w:szCs w:val="21"/>
                <w:highlight w:val="none"/>
                <w:lang w:val="zh-TW" w:eastAsia="zh-CN"/>
              </w:rPr>
              <w:t>（</w:t>
            </w:r>
            <w:r>
              <w:rPr>
                <w:rFonts w:hint="eastAsia" w:ascii="宋体" w:hAnsi="宋体" w:cs="宋体"/>
                <w:bCs/>
                <w:color w:val="auto"/>
                <w:szCs w:val="21"/>
                <w:highlight w:val="none"/>
                <w:lang w:val="en-US" w:eastAsia="zh-CN"/>
              </w:rPr>
              <w:t>设计企业</w:t>
            </w:r>
            <w:r>
              <w:rPr>
                <w:rFonts w:hint="eastAsia" w:ascii="宋体" w:hAnsi="宋体" w:cs="宋体"/>
                <w:bCs/>
                <w:color w:val="auto"/>
                <w:szCs w:val="21"/>
                <w:highlight w:val="none"/>
                <w:lang w:val="zh-TW" w:eastAsia="zh-CN"/>
              </w:rPr>
              <w:t>）</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hint="default" w:ascii="宋体" w:hAnsi="宋体" w:cs="宋体"/>
                <w:color w:val="auto"/>
                <w:szCs w:val="21"/>
                <w:highlight w:val="none"/>
                <w:lang w:eastAsia="zh-CN"/>
              </w:rPr>
            </w:pPr>
            <w:r>
              <w:rPr>
                <w:rFonts w:hint="default" w:ascii="宋体" w:hAnsi="宋体" w:cs="宋体"/>
                <w:color w:val="auto"/>
                <w:szCs w:val="21"/>
                <w:highlight w:val="none"/>
                <w:lang w:eastAsia="zh-CN"/>
              </w:rPr>
              <w:t>6</w:t>
            </w:r>
          </w:p>
        </w:tc>
        <w:tc>
          <w:tcPr>
            <w:tcW w:w="10733" w:type="dxa"/>
            <w:noWrap w:val="0"/>
            <w:tcMar>
              <w:top w:w="15" w:type="dxa"/>
              <w:left w:w="37" w:type="dxa"/>
              <w:bottom w:w="0" w:type="dxa"/>
              <w:right w:w="37" w:type="dxa"/>
            </w:tcMar>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Cs w:val="21"/>
                <w:highlight w:val="none"/>
                <w:lang w:val="zh-TW"/>
              </w:rPr>
            </w:pPr>
            <w:r>
              <w:rPr>
                <w:rFonts w:hint="eastAsia" w:ascii="宋体" w:hAnsi="宋体" w:eastAsia="宋体" w:cs="宋体"/>
                <w:color w:val="auto"/>
                <w:szCs w:val="21"/>
                <w:highlight w:val="none"/>
                <w:lang w:val="zh-TW"/>
              </w:rPr>
              <w:t>投标人（若为联合体，指联合体设计方）</w:t>
            </w:r>
            <w:r>
              <w:rPr>
                <w:rFonts w:hint="eastAsia" w:ascii="宋体" w:hAnsi="宋体" w:eastAsia="宋体" w:cs="宋体"/>
                <w:color w:val="auto"/>
                <w:szCs w:val="21"/>
                <w:highlight w:val="none"/>
                <w:lang w:val="zh-TW" w:eastAsia="zh-CN"/>
              </w:rPr>
              <w:t>：</w:t>
            </w:r>
            <w:r>
              <w:rPr>
                <w:rFonts w:hint="eastAsia" w:ascii="宋体" w:hAnsi="宋体" w:eastAsia="宋体" w:cs="宋体"/>
                <w:color w:val="auto"/>
                <w:szCs w:val="21"/>
                <w:highlight w:val="none"/>
                <w:lang w:val="zh-TW"/>
              </w:rPr>
              <w:t>自20</w:t>
            </w:r>
            <w:r>
              <w:rPr>
                <w:rFonts w:hint="eastAsia" w:ascii="宋体" w:hAnsi="宋体" w:eastAsia="宋体" w:cs="宋体"/>
                <w:color w:val="auto"/>
                <w:szCs w:val="21"/>
                <w:highlight w:val="none"/>
                <w:lang w:val="zh-TW" w:eastAsia="zh-CN"/>
              </w:rPr>
              <w:t>19</w:t>
            </w:r>
            <w:r>
              <w:rPr>
                <w:rFonts w:hint="eastAsia" w:ascii="宋体" w:hAnsi="宋体" w:eastAsia="宋体" w:cs="宋体"/>
                <w:color w:val="auto"/>
                <w:szCs w:val="21"/>
                <w:highlight w:val="none"/>
                <w:lang w:val="zh-TW"/>
              </w:rPr>
              <w:t>年1月1日起</w:t>
            </w:r>
            <w:r>
              <w:rPr>
                <w:rFonts w:hint="eastAsia" w:ascii="宋体" w:hAnsi="宋体" w:eastAsia="宋体" w:cs="宋体"/>
                <w:color w:val="auto"/>
                <w:kern w:val="2"/>
                <w:sz w:val="21"/>
                <w:szCs w:val="21"/>
                <w:highlight w:val="none"/>
                <w:lang w:val="en-US" w:eastAsia="zh-CN" w:bidi="ar"/>
              </w:rPr>
              <w:t>至投标截止时间，</w:t>
            </w:r>
            <w:r>
              <w:rPr>
                <w:rFonts w:hint="eastAsia" w:ascii="宋体" w:hAnsi="宋体" w:eastAsia="宋体" w:cs="宋体"/>
                <w:color w:val="auto"/>
                <w:szCs w:val="21"/>
                <w:highlight w:val="none"/>
                <w:lang w:val="zh-TW"/>
              </w:rPr>
              <w:t>承接的公共建筑项目设计获奖情况：</w:t>
            </w:r>
          </w:p>
          <w:p>
            <w:pPr>
              <w:widowControl/>
              <w:spacing w:line="360" w:lineRule="auto"/>
              <w:jc w:val="left"/>
              <w:rPr>
                <w:rFonts w:hint="eastAsia" w:ascii="宋体" w:hAnsi="宋体" w:eastAsia="宋体" w:cs="宋体"/>
                <w:color w:val="auto"/>
                <w:szCs w:val="21"/>
                <w:highlight w:val="none"/>
                <w:lang w:val="zh-TW"/>
              </w:rPr>
            </w:pPr>
            <w:r>
              <w:rPr>
                <w:rFonts w:hint="eastAsia" w:ascii="宋体" w:hAnsi="宋体" w:eastAsia="宋体" w:cs="宋体"/>
                <w:color w:val="auto"/>
                <w:szCs w:val="21"/>
                <w:highlight w:val="none"/>
                <w:lang w:val="zh-TW"/>
              </w:rPr>
              <w:t>（1）获得</w:t>
            </w:r>
            <w:r>
              <w:rPr>
                <w:rFonts w:hint="eastAsia" w:ascii="宋体" w:hAnsi="宋体" w:eastAsia="宋体" w:cs="宋体"/>
                <w:color w:val="auto"/>
                <w:szCs w:val="21"/>
                <w:highlight w:val="none"/>
                <w:lang w:val="zh-TW" w:eastAsia="zh-CN"/>
              </w:rPr>
              <w:t>国家级（或行业级）</w:t>
            </w:r>
            <w:r>
              <w:rPr>
                <w:rFonts w:hint="eastAsia" w:ascii="宋体" w:hAnsi="宋体" w:eastAsia="宋体" w:cs="宋体"/>
                <w:color w:val="auto"/>
                <w:szCs w:val="21"/>
                <w:highlight w:val="none"/>
                <w:lang w:val="zh-TW"/>
              </w:rPr>
              <w:t>设计奖项的，每项得</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lang w:val="zh-TW"/>
              </w:rPr>
              <w:t>分，最多得</w:t>
            </w:r>
            <w:r>
              <w:rPr>
                <w:rFonts w:hint="default" w:ascii="宋体" w:hAnsi="宋体" w:eastAsia="宋体" w:cs="宋体"/>
                <w:color w:val="auto"/>
                <w:szCs w:val="21"/>
                <w:highlight w:val="none"/>
              </w:rPr>
              <w:t>6</w:t>
            </w:r>
            <w:r>
              <w:rPr>
                <w:rFonts w:hint="eastAsia" w:ascii="宋体" w:hAnsi="宋体" w:eastAsia="宋体" w:cs="宋体"/>
                <w:color w:val="auto"/>
                <w:szCs w:val="21"/>
                <w:highlight w:val="none"/>
                <w:lang w:val="zh-TW"/>
              </w:rPr>
              <w:t>分；</w:t>
            </w:r>
          </w:p>
          <w:p>
            <w:pPr>
              <w:widowControl/>
              <w:spacing w:line="360" w:lineRule="auto"/>
              <w:jc w:val="left"/>
              <w:rPr>
                <w:rFonts w:hint="eastAsia" w:ascii="宋体" w:hAnsi="宋体" w:eastAsia="宋体" w:cs="宋体"/>
                <w:color w:val="auto"/>
                <w:szCs w:val="21"/>
                <w:highlight w:val="none"/>
                <w:lang w:val="zh-TW" w:eastAsia="zh-CN"/>
              </w:rPr>
            </w:pPr>
            <w:r>
              <w:rPr>
                <w:rFonts w:hint="eastAsia" w:ascii="宋体" w:hAnsi="宋体" w:eastAsia="宋体" w:cs="宋体"/>
                <w:color w:val="auto"/>
                <w:szCs w:val="21"/>
                <w:highlight w:val="none"/>
                <w:lang w:val="zh-TW" w:eastAsia="zh-CN"/>
              </w:rPr>
              <w:t>（2）</w:t>
            </w:r>
            <w:r>
              <w:rPr>
                <w:rFonts w:hint="eastAsia" w:ascii="宋体" w:hAnsi="宋体" w:eastAsia="宋体" w:cs="宋体"/>
                <w:color w:val="auto"/>
                <w:szCs w:val="21"/>
                <w:highlight w:val="none"/>
                <w:lang w:val="zh-TW"/>
              </w:rPr>
              <w:t>获得省级</w:t>
            </w:r>
            <w:r>
              <w:rPr>
                <w:rFonts w:hint="eastAsia" w:ascii="宋体" w:hAnsi="宋体" w:cs="宋体"/>
                <w:color w:val="auto"/>
                <w:szCs w:val="21"/>
                <w:highlight w:val="none"/>
                <w:lang w:val="en-US" w:eastAsia="zh-CN"/>
              </w:rPr>
              <w:t>或市级</w:t>
            </w:r>
            <w:r>
              <w:rPr>
                <w:rFonts w:hint="default" w:ascii="宋体" w:hAnsi="宋体" w:cs="宋体"/>
                <w:color w:val="auto"/>
                <w:szCs w:val="21"/>
                <w:highlight w:val="none"/>
                <w:lang w:eastAsia="zh-CN"/>
              </w:rPr>
              <w:t>（含副省级）</w:t>
            </w:r>
            <w:r>
              <w:rPr>
                <w:rFonts w:hint="eastAsia" w:ascii="宋体" w:hAnsi="宋体" w:eastAsia="宋体" w:cs="宋体"/>
                <w:color w:val="auto"/>
                <w:szCs w:val="21"/>
                <w:highlight w:val="none"/>
                <w:lang w:val="zh-TW"/>
              </w:rPr>
              <w:t>设计奖项的，每项得</w:t>
            </w:r>
            <w:r>
              <w:rPr>
                <w:rFonts w:hint="eastAsia" w:ascii="宋体" w:hAnsi="宋体" w:eastAsia="宋体" w:cs="宋体"/>
                <w:color w:val="auto"/>
                <w:szCs w:val="21"/>
                <w:highlight w:val="none"/>
                <w:lang w:val="en-US" w:eastAsia="zh-CN"/>
              </w:rPr>
              <w:t>0.5</w:t>
            </w:r>
            <w:r>
              <w:rPr>
                <w:rFonts w:hint="eastAsia" w:ascii="宋体" w:hAnsi="宋体" w:eastAsia="宋体" w:cs="宋体"/>
                <w:color w:val="auto"/>
                <w:szCs w:val="21"/>
                <w:highlight w:val="none"/>
                <w:lang w:val="zh-TW"/>
              </w:rPr>
              <w:t>分，最多得</w:t>
            </w:r>
            <w:r>
              <w:rPr>
                <w:rFonts w:hint="default" w:ascii="宋体" w:hAnsi="宋体" w:eastAsia="宋体" w:cs="宋体"/>
                <w:color w:val="auto"/>
                <w:szCs w:val="21"/>
                <w:highlight w:val="none"/>
              </w:rPr>
              <w:t>3</w:t>
            </w:r>
            <w:r>
              <w:rPr>
                <w:rFonts w:hint="eastAsia" w:ascii="宋体" w:hAnsi="宋体" w:eastAsia="宋体" w:cs="宋体"/>
                <w:color w:val="auto"/>
                <w:szCs w:val="21"/>
                <w:highlight w:val="none"/>
                <w:lang w:val="zh-TW"/>
              </w:rPr>
              <w:t>分</w:t>
            </w:r>
            <w:r>
              <w:rPr>
                <w:rFonts w:hint="eastAsia" w:ascii="宋体" w:hAnsi="宋体" w:eastAsia="宋体" w:cs="宋体"/>
                <w:color w:val="auto"/>
                <w:szCs w:val="21"/>
                <w:highlight w:val="none"/>
                <w:lang w:val="zh-TW" w:eastAsia="zh-CN"/>
              </w:rPr>
              <w:t>；</w:t>
            </w:r>
          </w:p>
          <w:p>
            <w:pPr>
              <w:rPr>
                <w:color w:val="auto"/>
                <w:highlight w:val="none"/>
              </w:rPr>
            </w:pPr>
            <w:r>
              <w:rPr>
                <w:rFonts w:hint="eastAsia" w:ascii="宋体" w:hAnsi="宋体" w:eastAsia="宋体" w:cs="宋体"/>
                <w:color w:val="auto"/>
                <w:szCs w:val="21"/>
                <w:highlight w:val="none"/>
                <w:lang w:val="zh-TW"/>
              </w:rPr>
              <w:t>本项合计最高得</w:t>
            </w:r>
            <w:r>
              <w:rPr>
                <w:rFonts w:hint="default" w:ascii="宋体" w:hAnsi="宋体" w:eastAsia="宋体" w:cs="宋体"/>
                <w:color w:val="auto"/>
                <w:szCs w:val="21"/>
                <w:highlight w:val="none"/>
              </w:rPr>
              <w:t>6</w:t>
            </w:r>
            <w:r>
              <w:rPr>
                <w:rFonts w:hint="eastAsia" w:ascii="宋体" w:hAnsi="宋体" w:eastAsia="宋体" w:cs="宋体"/>
                <w:color w:val="auto"/>
                <w:szCs w:val="21"/>
                <w:highlight w:val="none"/>
                <w:lang w:val="zh-TW"/>
              </w:rPr>
              <w:t>分。</w:t>
            </w:r>
          </w:p>
          <w:p>
            <w:pPr>
              <w:widowControl/>
              <w:spacing w:line="360" w:lineRule="auto"/>
              <w:jc w:val="left"/>
              <w:rPr>
                <w:rFonts w:hint="eastAsia" w:ascii="宋体" w:hAnsi="宋体" w:eastAsia="宋体" w:cs="宋体"/>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left"/>
              <w:rPr>
                <w:rFonts w:ascii="宋体" w:hAnsi="宋体" w:cs="宋体"/>
                <w:bCs/>
                <w:strike/>
                <w:color w:val="auto"/>
                <w:szCs w:val="21"/>
                <w:highlight w:val="none"/>
                <w:lang w:val="zh-TW"/>
              </w:rPr>
            </w:pPr>
          </w:p>
        </w:tc>
        <w:tc>
          <w:tcPr>
            <w:tcW w:w="742" w:type="dxa"/>
            <w:vMerge w:val="restart"/>
            <w:noWrap w:val="0"/>
            <w:tcMar>
              <w:top w:w="15" w:type="dxa"/>
              <w:left w:w="37" w:type="dxa"/>
              <w:bottom w:w="0" w:type="dxa"/>
              <w:right w:w="37" w:type="dxa"/>
            </w:tcMar>
            <w:vAlign w:val="center"/>
          </w:tcPr>
          <w:p>
            <w:pPr>
              <w:keepNext w:val="0"/>
              <w:keepLines w:val="0"/>
              <w:widowControl w:val="0"/>
              <w:suppressLineNumbers w:val="0"/>
              <w:snapToGrid w:val="0"/>
              <w:spacing w:before="0" w:beforeAutospacing="0" w:after="0" w:afterAutospacing="0"/>
              <w:ind w:left="42" w:leftChars="20" w:right="42" w:rightChars="20"/>
              <w:jc w:val="both"/>
              <w:rPr>
                <w:rFonts w:hint="eastAsia" w:ascii="宋体" w:hAnsi="宋体" w:eastAsia="宋体" w:cs="宋体"/>
                <w:bCs/>
                <w:strike/>
                <w:color w:val="auto"/>
                <w:szCs w:val="21"/>
                <w:highlight w:val="none"/>
                <w:lang w:val="zh-TW" w:eastAsia="zh-CN"/>
              </w:rPr>
            </w:pPr>
            <w:r>
              <w:rPr>
                <w:rFonts w:hint="eastAsia" w:ascii="宋体" w:hAnsi="宋体" w:eastAsia="宋体" w:cs="宋体"/>
                <w:color w:val="auto"/>
                <w:kern w:val="2"/>
                <w:sz w:val="21"/>
                <w:szCs w:val="21"/>
                <w:highlight w:val="none"/>
                <w:lang w:val="en-US" w:eastAsia="zh-CN" w:bidi="ar"/>
              </w:rPr>
              <w:t>研发创新能力</w:t>
            </w:r>
            <w:r>
              <w:rPr>
                <w:rFonts w:hint="eastAsia" w:ascii="宋体" w:hAnsi="宋体" w:eastAsia="宋体" w:cs="宋体"/>
                <w:bCs/>
                <w:color w:val="auto"/>
                <w:kern w:val="2"/>
                <w:sz w:val="21"/>
                <w:szCs w:val="21"/>
                <w:highlight w:val="none"/>
                <w:lang w:val="en-US" w:eastAsia="zh-CN" w:bidi="ar"/>
              </w:rPr>
              <w:t>（设计企业）</w:t>
            </w:r>
          </w:p>
        </w:tc>
        <w:tc>
          <w:tcPr>
            <w:tcW w:w="898" w:type="dxa"/>
            <w:vMerge w:val="restart"/>
            <w:noWrap w:val="0"/>
            <w:tcMar>
              <w:top w:w="15" w:type="dxa"/>
              <w:left w:w="37" w:type="dxa"/>
              <w:bottom w:w="0" w:type="dxa"/>
              <w:right w:w="37" w:type="dxa"/>
            </w:tcMar>
            <w:vAlign w:val="center"/>
          </w:tcPr>
          <w:p>
            <w:pPr>
              <w:keepNext w:val="0"/>
              <w:keepLines w:val="0"/>
              <w:widowControl/>
              <w:suppressLineNumbers w:val="0"/>
              <w:snapToGrid/>
              <w:spacing w:before="0" w:beforeAutospacing="0" w:after="0" w:afterAutospacing="0" w:line="360" w:lineRule="auto"/>
              <w:ind w:left="0" w:leftChars="0" w:right="0" w:rightChars="0"/>
              <w:jc w:val="center"/>
              <w:rPr>
                <w:rFonts w:hint="default" w:ascii="宋体" w:hAnsi="宋体" w:eastAsia="宋体" w:cs="宋体"/>
                <w:bCs w:val="0"/>
                <w:strike w:val="0"/>
                <w:color w:val="auto"/>
                <w:szCs w:val="21"/>
                <w:highlight w:val="none"/>
                <w:lang w:eastAsia="zh-CN"/>
              </w:rPr>
            </w:pPr>
            <w:r>
              <w:rPr>
                <w:rFonts w:hint="default" w:ascii="宋体" w:hAnsi="宋体" w:eastAsia="宋体" w:cs="宋体"/>
                <w:color w:val="auto"/>
                <w:szCs w:val="21"/>
                <w:highlight w:val="none"/>
                <w:lang w:eastAsia="zh-CN"/>
              </w:rPr>
              <w:t>6</w:t>
            </w:r>
          </w:p>
        </w:tc>
        <w:tc>
          <w:tcPr>
            <w:tcW w:w="10733" w:type="dxa"/>
            <w:noWrap w:val="0"/>
            <w:tcMar>
              <w:top w:w="15" w:type="dxa"/>
              <w:left w:w="37" w:type="dxa"/>
              <w:bottom w:w="0" w:type="dxa"/>
              <w:right w:w="37" w:type="dxa"/>
            </w:tcMar>
            <w:vAlign w:val="center"/>
          </w:tcPr>
          <w:p>
            <w:pPr>
              <w:widowControl/>
              <w:spacing w:line="360" w:lineRule="auto"/>
              <w:jc w:val="left"/>
              <w:rPr>
                <w:rFonts w:hint="eastAsia" w:ascii="宋体" w:hAnsi="宋体" w:eastAsia="宋体" w:cs="宋体"/>
                <w:bCs w:val="0"/>
                <w:strike w:val="0"/>
                <w:color w:val="auto"/>
                <w:szCs w:val="21"/>
                <w:highlight w:val="none"/>
                <w:lang w:val="zh-TW"/>
              </w:rPr>
            </w:pPr>
            <w:r>
              <w:rPr>
                <w:rFonts w:hint="default" w:ascii="宋体" w:hAnsi="宋体" w:eastAsia="宋体" w:cs="宋体"/>
                <w:color w:val="auto"/>
                <w:szCs w:val="21"/>
                <w:highlight w:val="none"/>
                <w:lang w:eastAsia="zh-CN"/>
              </w:rPr>
              <w:t>投标人（若为联合体，指联合体设计方）：自2019年1月1日至投标截止时间，获得过省级(或以上)建筑工程类科技创新企业类证书，得2分；没有不得分。</w:t>
            </w:r>
            <w:r>
              <w:rPr>
                <w:rFonts w:hint="eastAsia" w:ascii="宋体" w:hAnsi="宋体" w:cs="宋体"/>
                <w:color w:val="auto"/>
                <w:szCs w:val="21"/>
                <w:highlight w:val="none"/>
                <w:lang w:val="zh-TW"/>
              </w:rPr>
              <w:t>本</w:t>
            </w:r>
            <w:r>
              <w:rPr>
                <w:rFonts w:hint="default" w:ascii="宋体" w:hAnsi="宋体" w:cs="宋体"/>
                <w:color w:val="auto"/>
                <w:szCs w:val="21"/>
                <w:highlight w:val="none"/>
              </w:rPr>
              <w:t>小</w:t>
            </w:r>
            <w:r>
              <w:rPr>
                <w:rFonts w:hint="eastAsia" w:ascii="宋体" w:hAnsi="宋体" w:cs="宋体"/>
                <w:color w:val="auto"/>
                <w:szCs w:val="21"/>
                <w:highlight w:val="none"/>
                <w:lang w:val="zh-TW"/>
              </w:rPr>
              <w:t>项最高得</w:t>
            </w:r>
            <w:r>
              <w:rPr>
                <w:rFonts w:hint="default" w:ascii="宋体" w:hAnsi="宋体" w:cs="宋体"/>
                <w:color w:val="auto"/>
                <w:szCs w:val="21"/>
                <w:highlight w:val="none"/>
              </w:rPr>
              <w:t>2</w:t>
            </w:r>
            <w:r>
              <w:rPr>
                <w:rFonts w:hint="eastAsia" w:ascii="宋体" w:hAnsi="宋体" w:cs="宋体"/>
                <w:color w:val="auto"/>
                <w:szCs w:val="21"/>
                <w:highlight w:val="none"/>
                <w:lang w:val="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left"/>
              <w:rPr>
                <w:rFonts w:ascii="宋体" w:hAnsi="宋体" w:cs="宋体"/>
                <w:bCs/>
                <w:strike/>
                <w:color w:val="auto"/>
                <w:szCs w:val="21"/>
                <w:highlight w:val="none"/>
                <w:lang w:val="zh-TW"/>
              </w:rPr>
            </w:pPr>
          </w:p>
        </w:tc>
        <w:tc>
          <w:tcPr>
            <w:tcW w:w="742" w:type="dxa"/>
            <w:vMerge w:val="continue"/>
            <w:noWrap w:val="0"/>
            <w:tcMar>
              <w:top w:w="15" w:type="dxa"/>
              <w:left w:w="37" w:type="dxa"/>
              <w:bottom w:w="0" w:type="dxa"/>
              <w:right w:w="37" w:type="dxa"/>
            </w:tcMar>
            <w:vAlign w:val="center"/>
          </w:tcPr>
          <w:p>
            <w:pPr>
              <w:snapToGrid w:val="0"/>
              <w:ind w:left="42" w:leftChars="20" w:right="42" w:rightChars="20"/>
              <w:jc w:val="center"/>
              <w:rPr>
                <w:rFonts w:hint="eastAsia" w:ascii="宋体" w:hAnsi="宋体" w:cs="宋体"/>
                <w:bCs/>
                <w:color w:val="auto"/>
                <w:szCs w:val="21"/>
                <w:highlight w:val="none"/>
                <w:lang w:val="zh-TW"/>
              </w:rPr>
            </w:pPr>
          </w:p>
        </w:tc>
        <w:tc>
          <w:tcPr>
            <w:tcW w:w="898" w:type="dxa"/>
            <w:vMerge w:val="continue"/>
            <w:noWrap w:val="0"/>
            <w:tcMar>
              <w:top w:w="15" w:type="dxa"/>
              <w:left w:w="37" w:type="dxa"/>
              <w:bottom w:w="0" w:type="dxa"/>
              <w:right w:w="37" w:type="dxa"/>
            </w:tcMar>
            <w:vAlign w:val="center"/>
          </w:tcPr>
          <w:p>
            <w:pPr>
              <w:snapToGrid w:val="0"/>
              <w:ind w:left="42" w:leftChars="20" w:right="42" w:rightChars="20"/>
              <w:jc w:val="center"/>
              <w:rPr>
                <w:rFonts w:hint="eastAsia" w:ascii="宋体" w:hAnsi="宋体" w:cs="宋体"/>
                <w:color w:val="auto"/>
                <w:szCs w:val="21"/>
                <w:highlight w:val="none"/>
                <w:lang w:val="en-US" w:eastAsia="zh-CN"/>
              </w:rPr>
            </w:pPr>
          </w:p>
        </w:tc>
        <w:tc>
          <w:tcPr>
            <w:tcW w:w="10733" w:type="dxa"/>
            <w:noWrap w:val="0"/>
            <w:tcMar>
              <w:top w:w="15" w:type="dxa"/>
              <w:left w:w="37" w:type="dxa"/>
              <w:bottom w:w="0" w:type="dxa"/>
              <w:right w:w="37" w:type="dxa"/>
            </w:tcMar>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投标人（若为联合体，指联合体设计方）获得过科学技术进步奖或科学技术奖：</w:t>
            </w:r>
          </w:p>
          <w:p>
            <w:pPr>
              <w:keepNext w:val="0"/>
              <w:keepLines w:val="0"/>
              <w:widowControl/>
              <w:numPr>
                <w:ilvl w:val="0"/>
                <w:numId w:val="2"/>
              </w:numPr>
              <w:suppressLineNumbers w:val="0"/>
              <w:spacing w:before="0" w:beforeAutospacing="0" w:after="0" w:afterAutospacing="0" w:line="360" w:lineRule="auto"/>
              <w:ind w:left="0" w:right="0"/>
              <w:jc w:val="left"/>
              <w:rPr>
                <w:rFonts w:hint="eastAsia" w:ascii="Times New Roman"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获得过国家级“科学技术进步奖或科学技术奖”，每个得</w:t>
            </w:r>
            <w:r>
              <w:rPr>
                <w:rFonts w:hint="default" w:ascii="Times New Roman" w:hAnsi="Times New Roman" w:eastAsia="宋体" w:cs="Times New Roman"/>
                <w:color w:val="auto"/>
                <w:kern w:val="2"/>
                <w:sz w:val="21"/>
                <w:szCs w:val="21"/>
                <w:highlight w:val="none"/>
                <w:lang w:eastAsia="zh-CN" w:bidi="ar"/>
              </w:rPr>
              <w:t>2</w:t>
            </w:r>
            <w:r>
              <w:rPr>
                <w:rFonts w:hint="eastAsia" w:ascii="宋体" w:hAnsi="宋体" w:eastAsia="宋体" w:cs="宋体"/>
                <w:color w:val="auto"/>
                <w:kern w:val="2"/>
                <w:sz w:val="21"/>
                <w:szCs w:val="21"/>
                <w:highlight w:val="none"/>
                <w:lang w:val="en-US" w:eastAsia="zh-CN" w:bidi="ar"/>
              </w:rPr>
              <w:t>分</w:t>
            </w:r>
            <w:r>
              <w:rPr>
                <w:rFonts w:hint="default" w:ascii="宋体" w:hAnsi="宋体" w:eastAsia="宋体" w:cs="宋体"/>
                <w:color w:val="auto"/>
                <w:kern w:val="2"/>
                <w:sz w:val="21"/>
                <w:szCs w:val="21"/>
                <w:highlight w:val="none"/>
                <w:lang w:eastAsia="zh-CN" w:bidi="ar"/>
              </w:rPr>
              <w:t>，</w:t>
            </w:r>
            <w:r>
              <w:rPr>
                <w:rFonts w:hint="eastAsia" w:ascii="宋体" w:hAnsi="宋体" w:eastAsia="宋体" w:cs="宋体"/>
                <w:color w:val="auto"/>
                <w:kern w:val="2"/>
                <w:sz w:val="21"/>
                <w:szCs w:val="21"/>
                <w:highlight w:val="none"/>
                <w:lang w:val="en-US" w:eastAsia="zh-CN" w:bidi="ar"/>
              </w:rPr>
              <w:t>最多得</w:t>
            </w:r>
            <w:r>
              <w:rPr>
                <w:rFonts w:hint="default" w:ascii="宋体" w:hAnsi="宋体" w:eastAsia="宋体" w:cs="宋体"/>
                <w:color w:val="auto"/>
                <w:kern w:val="2"/>
                <w:sz w:val="21"/>
                <w:szCs w:val="21"/>
                <w:highlight w:val="none"/>
                <w:lang w:eastAsia="zh-CN" w:bidi="ar"/>
              </w:rPr>
              <w:t>4</w:t>
            </w:r>
            <w:r>
              <w:rPr>
                <w:rFonts w:hint="eastAsia" w:ascii="宋体" w:hAnsi="宋体" w:eastAsia="宋体" w:cs="宋体"/>
                <w:color w:val="auto"/>
                <w:kern w:val="2"/>
                <w:sz w:val="21"/>
                <w:szCs w:val="21"/>
                <w:highlight w:val="none"/>
                <w:lang w:val="en-US" w:eastAsia="zh-CN" w:bidi="ar"/>
              </w:rPr>
              <w:t>分；</w:t>
            </w:r>
          </w:p>
          <w:p>
            <w:pPr>
              <w:keepNext w:val="0"/>
              <w:keepLines w:val="0"/>
              <w:widowControl/>
              <w:numPr>
                <w:ilvl w:val="0"/>
                <w:numId w:val="2"/>
              </w:numPr>
              <w:suppressLineNumbers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获得过省级</w:t>
            </w:r>
            <w:r>
              <w:rPr>
                <w:rFonts w:hint="eastAsia" w:ascii="宋体" w:hAnsi="宋体" w:eastAsia="宋体" w:cs="宋体"/>
                <w:color w:val="auto"/>
                <w:szCs w:val="21"/>
                <w:highlight w:val="none"/>
                <w:lang w:val="en-US" w:eastAsia="zh-CN" w:bidi="ar"/>
              </w:rPr>
              <w:t>或市级</w:t>
            </w:r>
            <w:r>
              <w:rPr>
                <w:rFonts w:hint="eastAsia" w:ascii="宋体" w:hAnsi="宋体" w:eastAsia="宋体" w:cs="宋体"/>
                <w:color w:val="auto"/>
                <w:szCs w:val="21"/>
                <w:highlight w:val="none"/>
                <w:lang w:eastAsia="zh-CN" w:bidi="ar"/>
              </w:rPr>
              <w:t>（含副省级）</w:t>
            </w:r>
            <w:r>
              <w:rPr>
                <w:rFonts w:hint="eastAsia" w:ascii="宋体" w:hAnsi="宋体" w:eastAsia="宋体" w:cs="宋体"/>
                <w:color w:val="auto"/>
                <w:kern w:val="2"/>
                <w:sz w:val="21"/>
                <w:szCs w:val="21"/>
                <w:highlight w:val="none"/>
                <w:lang w:val="en-US" w:eastAsia="zh-CN" w:bidi="ar"/>
              </w:rPr>
              <w:t>“科学技术进步奖或科学技术奖”，每个得</w:t>
            </w:r>
            <w:r>
              <w:rPr>
                <w:rFonts w:hint="default" w:ascii="宋体" w:hAnsi="宋体" w:eastAsia="宋体" w:cs="宋体"/>
                <w:color w:val="auto"/>
                <w:kern w:val="2"/>
                <w:sz w:val="21"/>
                <w:szCs w:val="21"/>
                <w:highlight w:val="none"/>
                <w:lang w:eastAsia="zh-CN" w:bidi="ar"/>
              </w:rPr>
              <w:t>1</w:t>
            </w:r>
            <w:r>
              <w:rPr>
                <w:rFonts w:hint="eastAsia" w:ascii="宋体" w:hAnsi="宋体" w:eastAsia="宋体" w:cs="宋体"/>
                <w:color w:val="auto"/>
                <w:kern w:val="2"/>
                <w:sz w:val="21"/>
                <w:szCs w:val="21"/>
                <w:highlight w:val="none"/>
                <w:lang w:val="en-US" w:eastAsia="zh-CN" w:bidi="ar"/>
              </w:rPr>
              <w:t>分，最多得</w:t>
            </w:r>
            <w:r>
              <w:rPr>
                <w:rFonts w:hint="default" w:ascii="宋体" w:hAnsi="宋体" w:eastAsia="宋体" w:cs="宋体"/>
                <w:color w:val="auto"/>
                <w:kern w:val="2"/>
                <w:sz w:val="21"/>
                <w:szCs w:val="21"/>
                <w:highlight w:val="none"/>
                <w:lang w:eastAsia="zh-CN" w:bidi="ar"/>
              </w:rPr>
              <w:t>2</w:t>
            </w:r>
            <w:r>
              <w:rPr>
                <w:rFonts w:hint="eastAsia" w:ascii="宋体" w:hAnsi="宋体" w:eastAsia="宋体" w:cs="宋体"/>
                <w:color w:val="auto"/>
                <w:kern w:val="2"/>
                <w:sz w:val="21"/>
                <w:szCs w:val="21"/>
                <w:highlight w:val="none"/>
                <w:lang w:val="en-US" w:eastAsia="zh-CN" w:bidi="ar"/>
              </w:rPr>
              <w:t>分。</w:t>
            </w:r>
          </w:p>
          <w:p>
            <w:pPr>
              <w:keepNext w:val="0"/>
              <w:keepLines w:val="0"/>
              <w:widowControl w:val="0"/>
              <w:suppressLineNumbers w:val="0"/>
              <w:spacing w:before="0" w:beforeAutospacing="0" w:after="0" w:afterAutospacing="0"/>
              <w:ind w:left="0" w:right="0"/>
              <w:jc w:val="both"/>
              <w:rPr>
                <w:color w:val="auto"/>
                <w:highlight w:val="none"/>
              </w:rPr>
            </w:pPr>
            <w:r>
              <w:rPr>
                <w:rFonts w:hint="eastAsia" w:ascii="宋体" w:hAnsi="宋体" w:eastAsia="宋体" w:cs="宋体"/>
                <w:color w:val="auto"/>
                <w:kern w:val="2"/>
                <w:sz w:val="21"/>
                <w:szCs w:val="21"/>
                <w:highlight w:val="none"/>
                <w:lang w:val="en-US" w:eastAsia="zh-CN" w:bidi="ar"/>
              </w:rPr>
              <w:t>本项最高得</w:t>
            </w:r>
            <w:r>
              <w:rPr>
                <w:rFonts w:hint="default" w:ascii="宋体" w:hAnsi="宋体" w:eastAsia="宋体" w:cs="宋体"/>
                <w:color w:val="auto"/>
                <w:kern w:val="2"/>
                <w:sz w:val="21"/>
                <w:szCs w:val="21"/>
                <w:highlight w:val="none"/>
                <w:lang w:eastAsia="zh-CN" w:bidi="ar"/>
              </w:rPr>
              <w:t>4</w:t>
            </w:r>
            <w:r>
              <w:rPr>
                <w:rFonts w:hint="eastAsia" w:ascii="宋体" w:hAnsi="宋体" w:eastAsia="宋体" w:cs="宋体"/>
                <w:color w:val="auto"/>
                <w:kern w:val="2"/>
                <w:sz w:val="21"/>
                <w:szCs w:val="21"/>
                <w:highlight w:val="none"/>
                <w:lang w:val="en-US" w:eastAsia="zh-CN" w:bidi="ar"/>
              </w:rPr>
              <w:t>分。</w:t>
            </w:r>
          </w:p>
          <w:p>
            <w:pPr>
              <w:widowControl/>
              <w:spacing w:line="360" w:lineRule="auto"/>
              <w:jc w:val="left"/>
              <w:rPr>
                <w:rFonts w:hint="eastAsia" w:ascii="宋体" w:hAnsi="宋体" w:eastAsia="宋体" w:cs="宋体"/>
                <w:color w:val="auto"/>
                <w:szCs w:val="21"/>
                <w:highlight w:val="none"/>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strike/>
                <w:color w:val="auto"/>
                <w:szCs w:val="21"/>
                <w:highlight w:val="none"/>
                <w:lang w:val="zh-TW"/>
              </w:rPr>
            </w:pPr>
          </w:p>
        </w:tc>
        <w:tc>
          <w:tcPr>
            <w:tcW w:w="742" w:type="dxa"/>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strike/>
                <w:color w:val="auto"/>
                <w:szCs w:val="21"/>
                <w:highlight w:val="none"/>
                <w:lang w:val="zh-TW"/>
              </w:rPr>
            </w:pPr>
            <w:r>
              <w:rPr>
                <w:rFonts w:hint="eastAsia" w:ascii="宋体" w:hAnsi="宋体" w:cs="宋体"/>
                <w:color w:val="auto"/>
                <w:szCs w:val="21"/>
                <w:highlight w:val="none"/>
                <w:lang w:val="zh-TW" w:eastAsia="zh-TW"/>
              </w:rPr>
              <w:t>第三方评价</w:t>
            </w:r>
            <w:r>
              <w:rPr>
                <w:rFonts w:hint="eastAsia" w:ascii="宋体" w:hAnsi="宋体" w:cs="宋体"/>
                <w:bCs/>
                <w:color w:val="auto"/>
                <w:szCs w:val="21"/>
                <w:highlight w:val="none"/>
                <w:lang w:val="zh-TW" w:eastAsia="zh-CN"/>
              </w:rPr>
              <w:t>（</w:t>
            </w:r>
            <w:r>
              <w:rPr>
                <w:rFonts w:hint="eastAsia" w:ascii="宋体" w:hAnsi="宋体" w:cs="宋体"/>
                <w:bCs/>
                <w:color w:val="auto"/>
                <w:szCs w:val="21"/>
                <w:highlight w:val="none"/>
                <w:lang w:val="en-US" w:eastAsia="zh-CN"/>
              </w:rPr>
              <w:t>设计企业</w:t>
            </w:r>
            <w:r>
              <w:rPr>
                <w:rFonts w:hint="eastAsia" w:ascii="宋体" w:hAnsi="宋体" w:cs="宋体"/>
                <w:bCs/>
                <w:color w:val="auto"/>
                <w:szCs w:val="21"/>
                <w:highlight w:val="none"/>
                <w:lang w:val="zh-TW" w:eastAsia="zh-CN"/>
              </w:rPr>
              <w:t>）</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hint="eastAsia" w:ascii="宋体" w:hAnsi="宋体" w:eastAsia="宋体" w:cs="宋体"/>
                <w:bCs/>
                <w:strike/>
                <w:color w:val="auto"/>
                <w:szCs w:val="21"/>
                <w:highlight w:val="none"/>
                <w:lang w:val="en-US" w:eastAsia="zh-CN"/>
              </w:rPr>
            </w:pPr>
            <w:r>
              <w:rPr>
                <w:rFonts w:hint="default" w:ascii="宋体" w:hAnsi="宋体" w:cs="宋体"/>
                <w:bCs/>
                <w:color w:val="auto"/>
                <w:szCs w:val="21"/>
                <w:highlight w:val="none"/>
                <w:lang w:eastAsia="zh-CN"/>
              </w:rPr>
              <w:t>5</w:t>
            </w:r>
          </w:p>
        </w:tc>
        <w:tc>
          <w:tcPr>
            <w:tcW w:w="10733" w:type="dxa"/>
            <w:noWrap w:val="0"/>
            <w:tcMar>
              <w:top w:w="15" w:type="dxa"/>
              <w:left w:w="37" w:type="dxa"/>
              <w:bottom w:w="0" w:type="dxa"/>
              <w:right w:w="37" w:type="dxa"/>
            </w:tcMar>
            <w:vAlign w:val="center"/>
          </w:tcPr>
          <w:p>
            <w:pPr>
              <w:widowControl/>
              <w:spacing w:line="360" w:lineRule="auto"/>
              <w:jc w:val="left"/>
              <w:rPr>
                <w:rFonts w:hint="eastAsia" w:ascii="宋体" w:hAnsi="宋体" w:eastAsia="宋体" w:cs="宋体"/>
                <w:color w:val="auto"/>
                <w:szCs w:val="21"/>
                <w:highlight w:val="none"/>
                <w:lang w:val="zh-TW" w:eastAsia="zh-CN"/>
              </w:rPr>
            </w:pPr>
            <w:r>
              <w:rPr>
                <w:rFonts w:hint="eastAsia" w:ascii="宋体" w:hAnsi="宋体" w:cs="宋体"/>
                <w:color w:val="auto"/>
                <w:szCs w:val="21"/>
                <w:highlight w:val="none"/>
                <w:lang w:val="zh-TW" w:eastAsia="zh-TW"/>
              </w:rPr>
              <w:t>投标人（若为联合体，指联合体设计方）具有有效的质量管理体系认证证书、环境管理体系认证证书、职业健康安全管理体系认证证书、信息安全管理体系认证的，全部</w:t>
            </w:r>
            <w:r>
              <w:rPr>
                <w:rFonts w:hint="eastAsia" w:ascii="宋体" w:hAnsi="宋体" w:cs="宋体"/>
                <w:color w:val="auto"/>
                <w:szCs w:val="21"/>
                <w:highlight w:val="none"/>
                <w:lang w:val="en-US" w:eastAsia="zh-CN"/>
              </w:rPr>
              <w:t>满足得，</w:t>
            </w:r>
            <w:r>
              <w:rPr>
                <w:rFonts w:hint="eastAsia" w:ascii="宋体" w:hAnsi="宋体" w:cs="宋体"/>
                <w:color w:val="auto"/>
                <w:szCs w:val="21"/>
                <w:highlight w:val="none"/>
                <w:lang w:val="zh-TW" w:eastAsia="zh-TW"/>
              </w:rPr>
              <w:t>得</w:t>
            </w:r>
            <w:r>
              <w:rPr>
                <w:rFonts w:hint="default" w:ascii="宋体" w:hAnsi="宋体" w:cs="宋体"/>
                <w:color w:val="auto"/>
                <w:szCs w:val="21"/>
                <w:highlight w:val="none"/>
                <w:lang w:eastAsia="zh-TW"/>
              </w:rPr>
              <w:t>5</w:t>
            </w:r>
            <w:r>
              <w:rPr>
                <w:rFonts w:hint="eastAsia" w:ascii="宋体" w:hAnsi="宋体" w:cs="宋体"/>
                <w:color w:val="auto"/>
                <w:szCs w:val="21"/>
                <w:highlight w:val="none"/>
                <w:lang w:val="zh-TW" w:eastAsia="zh-TW"/>
              </w:rPr>
              <w:t>分</w:t>
            </w:r>
            <w:r>
              <w:rPr>
                <w:rFonts w:hint="eastAsia" w:ascii="宋体" w:hAnsi="宋体" w:cs="宋体"/>
                <w:color w:val="auto"/>
                <w:szCs w:val="21"/>
                <w:highlight w:val="none"/>
                <w:lang w:val="zh-TW" w:eastAsia="zh-CN"/>
              </w:rPr>
              <w:t>，</w:t>
            </w:r>
            <w:r>
              <w:rPr>
                <w:rFonts w:hint="default" w:ascii="宋体" w:hAnsi="宋体" w:cs="宋体"/>
                <w:color w:val="auto"/>
                <w:szCs w:val="21"/>
                <w:highlight w:val="none"/>
                <w:lang w:eastAsia="zh-CN"/>
              </w:rPr>
              <w:t>部分</w:t>
            </w:r>
            <w:r>
              <w:rPr>
                <w:rFonts w:hint="eastAsia" w:ascii="宋体" w:hAnsi="宋体" w:cs="宋体"/>
                <w:color w:val="auto"/>
                <w:szCs w:val="21"/>
                <w:highlight w:val="none"/>
                <w:lang w:val="en-US" w:eastAsia="zh-CN"/>
              </w:rPr>
              <w:t>满足得，</w:t>
            </w:r>
            <w:r>
              <w:rPr>
                <w:rFonts w:hint="eastAsia" w:ascii="宋体" w:hAnsi="宋体" w:cs="宋体"/>
                <w:color w:val="auto"/>
                <w:szCs w:val="21"/>
                <w:highlight w:val="none"/>
                <w:lang w:val="zh-TW" w:eastAsia="zh-TW"/>
              </w:rPr>
              <w:t>得</w:t>
            </w:r>
            <w:r>
              <w:rPr>
                <w:rFonts w:hint="default" w:ascii="宋体" w:hAnsi="宋体" w:cs="宋体"/>
                <w:color w:val="auto"/>
                <w:szCs w:val="21"/>
                <w:highlight w:val="none"/>
                <w:lang w:eastAsia="zh-TW"/>
              </w:rPr>
              <w:t>2</w:t>
            </w:r>
            <w:r>
              <w:rPr>
                <w:rFonts w:hint="eastAsia" w:ascii="宋体" w:hAnsi="宋体" w:cs="宋体"/>
                <w:color w:val="auto"/>
                <w:szCs w:val="21"/>
                <w:highlight w:val="none"/>
                <w:lang w:val="zh-TW" w:eastAsia="zh-TW"/>
              </w:rPr>
              <w:t>分</w:t>
            </w:r>
            <w:r>
              <w:rPr>
                <w:rFonts w:hint="eastAsia" w:ascii="宋体" w:hAnsi="宋体" w:cs="宋体"/>
                <w:color w:val="auto"/>
                <w:szCs w:val="21"/>
                <w:highlight w:val="none"/>
                <w:lang w:val="zh-TW" w:eastAsia="zh-CN"/>
              </w:rPr>
              <w:t>，</w:t>
            </w:r>
            <w:r>
              <w:rPr>
                <w:rFonts w:hint="eastAsia" w:ascii="宋体" w:hAnsi="宋体" w:cs="宋体"/>
                <w:color w:val="auto"/>
                <w:szCs w:val="21"/>
                <w:highlight w:val="none"/>
                <w:lang w:val="en-US" w:eastAsia="zh-CN"/>
              </w:rPr>
              <w:t>没有不得分</w:t>
            </w:r>
            <w:r>
              <w:rPr>
                <w:rFonts w:hint="eastAsia" w:ascii="宋体" w:hAnsi="宋体" w:cs="宋体"/>
                <w:color w:val="auto"/>
                <w:szCs w:val="21"/>
                <w:highlight w:val="none"/>
                <w:lang w:val="zh-TW" w:eastAsia="zh-TW"/>
              </w:rPr>
              <w:t>。本项最高得</w:t>
            </w:r>
            <w:r>
              <w:rPr>
                <w:rFonts w:hint="default" w:ascii="宋体" w:hAnsi="宋体" w:cs="宋体"/>
                <w:color w:val="auto"/>
                <w:szCs w:val="21"/>
                <w:highlight w:val="none"/>
                <w:lang w:eastAsia="zh-TW"/>
              </w:rPr>
              <w:t>5</w:t>
            </w:r>
            <w:r>
              <w:rPr>
                <w:rFonts w:hint="eastAsia" w:ascii="宋体" w:hAnsi="宋体" w:cs="宋体"/>
                <w:color w:val="auto"/>
                <w:szCs w:val="21"/>
                <w:highlight w:val="none"/>
                <w:lang w:val="zh-TW" w:eastAsia="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strike/>
                <w:color w:val="auto"/>
                <w:szCs w:val="21"/>
                <w:highlight w:val="none"/>
                <w:lang w:val="zh-TW"/>
              </w:rPr>
            </w:pPr>
          </w:p>
        </w:tc>
        <w:tc>
          <w:tcPr>
            <w:tcW w:w="742" w:type="dxa"/>
            <w:noWrap w:val="0"/>
            <w:tcMar>
              <w:top w:w="15" w:type="dxa"/>
              <w:left w:w="37" w:type="dxa"/>
              <w:bottom w:w="0" w:type="dxa"/>
              <w:right w:w="37" w:type="dxa"/>
            </w:tcMar>
            <w:vAlign w:val="center"/>
          </w:tcPr>
          <w:p>
            <w:pPr>
              <w:snapToGrid w:val="0"/>
              <w:ind w:left="42" w:leftChars="20" w:right="42" w:rightChars="20"/>
              <w:jc w:val="center"/>
              <w:rPr>
                <w:rFonts w:hint="eastAsia" w:ascii="宋体" w:hAnsi="宋体" w:eastAsia="宋体" w:cs="宋体"/>
                <w:color w:val="auto"/>
                <w:kern w:val="2"/>
                <w:sz w:val="21"/>
                <w:szCs w:val="21"/>
                <w:highlight w:val="none"/>
                <w:lang w:val="zh-TW" w:eastAsia="zh-TW" w:bidi="ar-SA"/>
              </w:rPr>
            </w:pPr>
            <w:r>
              <w:rPr>
                <w:rFonts w:hint="eastAsia" w:ascii="宋体" w:hAnsi="宋体" w:cs="宋体"/>
                <w:bCs/>
                <w:color w:val="auto"/>
                <w:szCs w:val="21"/>
                <w:highlight w:val="none"/>
                <w:lang w:val="zh-TW"/>
              </w:rPr>
              <w:t>企业获奖</w:t>
            </w:r>
            <w:r>
              <w:rPr>
                <w:rFonts w:hint="eastAsia" w:ascii="宋体" w:hAnsi="宋体" w:cs="宋体"/>
                <w:bCs/>
                <w:color w:val="auto"/>
                <w:szCs w:val="21"/>
                <w:highlight w:val="none"/>
                <w:lang w:val="zh-TW" w:eastAsia="zh-CN"/>
              </w:rPr>
              <w:t>（</w:t>
            </w:r>
            <w:r>
              <w:rPr>
                <w:rFonts w:hint="eastAsia" w:ascii="宋体" w:hAnsi="宋体" w:cs="宋体"/>
                <w:bCs/>
                <w:color w:val="auto"/>
                <w:szCs w:val="21"/>
                <w:highlight w:val="none"/>
                <w:lang w:val="en-US" w:eastAsia="zh-CN"/>
              </w:rPr>
              <w:t>施工企业</w:t>
            </w:r>
            <w:r>
              <w:rPr>
                <w:rFonts w:hint="eastAsia" w:ascii="宋体" w:hAnsi="宋体" w:cs="宋体"/>
                <w:bCs/>
                <w:color w:val="auto"/>
                <w:szCs w:val="21"/>
                <w:highlight w:val="none"/>
                <w:lang w:val="zh-TW" w:eastAsia="zh-CN"/>
              </w:rPr>
              <w:t>）</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hint="default" w:ascii="宋体" w:hAnsi="宋体" w:eastAsia="宋体" w:cs="宋体"/>
                <w:bCs/>
                <w:strike w:val="0"/>
                <w:color w:val="auto"/>
                <w:kern w:val="2"/>
                <w:sz w:val="21"/>
                <w:szCs w:val="21"/>
                <w:highlight w:val="none"/>
                <w:lang w:val="en-US" w:eastAsia="zh-CN" w:bidi="ar-SA"/>
              </w:rPr>
            </w:pPr>
            <w:r>
              <w:rPr>
                <w:rFonts w:hint="eastAsia" w:ascii="宋体" w:hAnsi="宋体" w:cs="宋体"/>
                <w:bCs/>
                <w:strike w:val="0"/>
                <w:color w:val="auto"/>
                <w:kern w:val="2"/>
                <w:sz w:val="21"/>
                <w:szCs w:val="21"/>
                <w:highlight w:val="none"/>
                <w:lang w:val="en-US" w:eastAsia="zh-CN" w:bidi="ar-SA"/>
              </w:rPr>
              <w:t>4</w:t>
            </w:r>
          </w:p>
        </w:tc>
        <w:tc>
          <w:tcPr>
            <w:tcW w:w="10733" w:type="dxa"/>
            <w:noWrap w:val="0"/>
            <w:tcMar>
              <w:top w:w="15" w:type="dxa"/>
              <w:left w:w="37" w:type="dxa"/>
              <w:bottom w:w="0" w:type="dxa"/>
              <w:right w:w="37" w:type="dxa"/>
            </w:tcMar>
            <w:vAlign w:val="center"/>
          </w:tcPr>
          <w:p>
            <w:pPr>
              <w:widowControl/>
              <w:spacing w:line="360" w:lineRule="auto"/>
              <w:jc w:val="left"/>
              <w:rPr>
                <w:rFonts w:hint="eastAsia" w:ascii="宋体" w:hAnsi="宋体" w:eastAsia="宋体" w:cs="宋体"/>
                <w:color w:val="auto"/>
                <w:szCs w:val="21"/>
                <w:highlight w:val="none"/>
                <w:lang w:val="zh-TW" w:eastAsia="zh-CN"/>
              </w:rPr>
            </w:pPr>
            <w:r>
              <w:rPr>
                <w:rFonts w:hint="eastAsia" w:ascii="宋体" w:hAnsi="宋体" w:cs="宋体"/>
                <w:color w:val="auto"/>
                <w:szCs w:val="21"/>
                <w:highlight w:val="none"/>
                <w:lang w:val="zh-TW"/>
              </w:rPr>
              <w:t>投标人(若为联合体，指联合体主办方)：自</w:t>
            </w:r>
            <w:r>
              <w:rPr>
                <w:rFonts w:hint="eastAsia" w:ascii="宋体" w:hAnsi="宋体" w:cs="宋体"/>
                <w:color w:val="auto"/>
                <w:szCs w:val="21"/>
                <w:highlight w:val="none"/>
              </w:rPr>
              <w:t>2019</w:t>
            </w:r>
            <w:r>
              <w:rPr>
                <w:rFonts w:hint="eastAsia" w:ascii="宋体" w:hAnsi="宋体" w:cs="宋体"/>
                <w:color w:val="auto"/>
                <w:szCs w:val="21"/>
                <w:highlight w:val="none"/>
                <w:lang w:val="zh-TW"/>
              </w:rPr>
              <w:t>年1月1日至投标截止日止，投标人承接的项目获得</w:t>
            </w:r>
            <w:r>
              <w:rPr>
                <w:rFonts w:hint="eastAsia" w:ascii="宋体" w:hAnsi="宋体" w:cs="宋体"/>
                <w:color w:val="auto"/>
                <w:szCs w:val="21"/>
                <w:highlight w:val="none"/>
                <w:lang w:val="zh-TW" w:eastAsia="zh-CN"/>
              </w:rPr>
              <w:t>：</w:t>
            </w:r>
          </w:p>
          <w:p>
            <w:pPr>
              <w:widowControl/>
              <w:spacing w:line="360" w:lineRule="auto"/>
              <w:jc w:val="left"/>
              <w:rPr>
                <w:rFonts w:hint="eastAsia" w:ascii="宋体" w:hAnsi="宋体" w:cs="宋体"/>
                <w:color w:val="auto"/>
                <w:szCs w:val="21"/>
                <w:highlight w:val="none"/>
                <w:lang w:val="zh-TW"/>
              </w:rPr>
            </w:pPr>
            <w:r>
              <w:rPr>
                <w:rFonts w:hint="eastAsia" w:ascii="宋体" w:hAnsi="宋体" w:cs="宋体"/>
                <w:color w:val="auto"/>
                <w:szCs w:val="21"/>
                <w:highlight w:val="none"/>
                <w:lang w:val="zh-TW"/>
              </w:rPr>
              <w:t>（</w:t>
            </w:r>
            <w:r>
              <w:rPr>
                <w:rFonts w:hint="eastAsia" w:ascii="宋体" w:hAnsi="宋体" w:cs="宋体"/>
                <w:color w:val="auto"/>
                <w:szCs w:val="21"/>
                <w:highlight w:val="none"/>
              </w:rPr>
              <w:t>1</w:t>
            </w:r>
            <w:r>
              <w:rPr>
                <w:rFonts w:hint="eastAsia" w:ascii="宋体" w:hAnsi="宋体" w:cs="宋体"/>
                <w:color w:val="auto"/>
                <w:szCs w:val="21"/>
                <w:highlight w:val="none"/>
                <w:lang w:val="zh-TW"/>
              </w:rPr>
              <w:t>）国家级</w:t>
            </w:r>
            <w:r>
              <w:rPr>
                <w:rFonts w:hint="eastAsia" w:ascii="宋体" w:hAnsi="宋体" w:cs="宋体"/>
                <w:color w:val="auto"/>
                <w:szCs w:val="21"/>
                <w:highlight w:val="none"/>
                <w:lang w:val="en-US" w:eastAsia="zh-CN"/>
              </w:rPr>
              <w:t>质量</w:t>
            </w:r>
            <w:r>
              <w:rPr>
                <w:rFonts w:hint="eastAsia" w:ascii="宋体" w:hAnsi="宋体" w:cs="宋体"/>
                <w:color w:val="auto"/>
                <w:szCs w:val="21"/>
                <w:highlight w:val="none"/>
                <w:lang w:val="zh-TW"/>
              </w:rPr>
              <w:t>奖项的每项得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TW"/>
              </w:rPr>
              <w:t>分；本小项最</w:t>
            </w:r>
            <w:r>
              <w:rPr>
                <w:rFonts w:hint="eastAsia" w:ascii="宋体" w:hAnsi="宋体" w:eastAsia="宋体" w:cs="宋体"/>
                <w:color w:val="auto"/>
                <w:szCs w:val="21"/>
                <w:highlight w:val="none"/>
                <w:lang w:val="zh-TW"/>
              </w:rPr>
              <w:t>多</w:t>
            </w:r>
            <w:r>
              <w:rPr>
                <w:rFonts w:hint="eastAsia" w:ascii="宋体" w:hAnsi="宋体" w:cs="宋体"/>
                <w:color w:val="auto"/>
                <w:szCs w:val="21"/>
                <w:highlight w:val="none"/>
                <w:lang w:val="zh-TW"/>
              </w:rPr>
              <w:t>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zh-TW"/>
              </w:rPr>
              <w:t>分；</w:t>
            </w:r>
          </w:p>
          <w:p>
            <w:pPr>
              <w:widowControl/>
              <w:spacing w:line="360" w:lineRule="auto"/>
              <w:jc w:val="left"/>
              <w:rPr>
                <w:rFonts w:hint="eastAsia" w:ascii="宋体" w:hAnsi="宋体" w:cs="宋体"/>
                <w:color w:val="auto"/>
                <w:szCs w:val="21"/>
                <w:highlight w:val="none"/>
                <w:lang w:val="zh-TW"/>
              </w:rPr>
            </w:pPr>
            <w:r>
              <w:rPr>
                <w:rFonts w:hint="eastAsia" w:ascii="宋体" w:hAnsi="宋体" w:cs="宋体"/>
                <w:color w:val="auto"/>
                <w:szCs w:val="21"/>
                <w:highlight w:val="none"/>
                <w:lang w:val="zh-TW"/>
              </w:rPr>
              <w:t>（</w:t>
            </w:r>
            <w:r>
              <w:rPr>
                <w:rFonts w:hint="eastAsia" w:ascii="宋体" w:hAnsi="宋体" w:cs="宋体"/>
                <w:color w:val="auto"/>
                <w:szCs w:val="21"/>
                <w:highlight w:val="none"/>
              </w:rPr>
              <w:t>2</w:t>
            </w:r>
            <w:r>
              <w:rPr>
                <w:rFonts w:hint="eastAsia" w:ascii="宋体" w:hAnsi="宋体" w:cs="宋体"/>
                <w:color w:val="auto"/>
                <w:szCs w:val="21"/>
                <w:highlight w:val="none"/>
                <w:lang w:val="zh-TW"/>
              </w:rPr>
              <w:t>）获得省级</w:t>
            </w:r>
            <w:r>
              <w:rPr>
                <w:rFonts w:hint="eastAsia" w:ascii="宋体" w:hAnsi="宋体" w:cs="宋体"/>
                <w:color w:val="auto"/>
                <w:szCs w:val="21"/>
                <w:highlight w:val="none"/>
                <w:lang w:val="en-US" w:eastAsia="zh-CN"/>
              </w:rPr>
              <w:t>或市级</w:t>
            </w:r>
            <w:r>
              <w:rPr>
                <w:rFonts w:hint="default" w:ascii="宋体" w:hAnsi="宋体" w:cs="宋体"/>
                <w:color w:val="auto"/>
                <w:szCs w:val="21"/>
                <w:highlight w:val="none"/>
                <w:lang w:eastAsia="zh-CN"/>
              </w:rPr>
              <w:t>（含副省级）</w:t>
            </w:r>
            <w:r>
              <w:rPr>
                <w:rFonts w:hint="eastAsia" w:ascii="宋体" w:hAnsi="宋体" w:cs="宋体"/>
                <w:color w:val="auto"/>
                <w:szCs w:val="21"/>
                <w:highlight w:val="none"/>
                <w:lang w:val="en-US" w:eastAsia="zh-CN"/>
              </w:rPr>
              <w:t>质量</w:t>
            </w:r>
            <w:r>
              <w:rPr>
                <w:rFonts w:hint="eastAsia" w:ascii="宋体" w:hAnsi="宋体" w:cs="宋体"/>
                <w:color w:val="auto"/>
                <w:szCs w:val="21"/>
                <w:highlight w:val="none"/>
                <w:lang w:val="zh-TW"/>
              </w:rPr>
              <w:t>奖项的，每项得</w:t>
            </w:r>
            <w:r>
              <w:rPr>
                <w:rFonts w:hint="eastAsia" w:ascii="宋体" w:hAnsi="宋体" w:cs="宋体"/>
                <w:color w:val="auto"/>
                <w:szCs w:val="21"/>
                <w:highlight w:val="none"/>
              </w:rPr>
              <w:t>0.5</w:t>
            </w:r>
            <w:r>
              <w:rPr>
                <w:rFonts w:hint="eastAsia" w:ascii="宋体" w:hAnsi="宋体" w:cs="宋体"/>
                <w:color w:val="auto"/>
                <w:szCs w:val="21"/>
                <w:highlight w:val="none"/>
                <w:lang w:val="zh-TW"/>
              </w:rPr>
              <w:t>分；本小项最</w:t>
            </w:r>
            <w:r>
              <w:rPr>
                <w:rFonts w:hint="eastAsia" w:ascii="宋体" w:hAnsi="宋体" w:eastAsia="宋体" w:cs="宋体"/>
                <w:color w:val="auto"/>
                <w:szCs w:val="21"/>
                <w:highlight w:val="none"/>
                <w:lang w:val="zh-TW"/>
              </w:rPr>
              <w:t>多</w:t>
            </w:r>
            <w:r>
              <w:rPr>
                <w:rFonts w:hint="eastAsia" w:ascii="宋体" w:hAnsi="宋体" w:cs="宋体"/>
                <w:color w:val="auto"/>
                <w:szCs w:val="21"/>
                <w:highlight w:val="none"/>
                <w:lang w:val="zh-TW"/>
              </w:rPr>
              <w:t>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val="zh-TW"/>
              </w:rPr>
              <w:t>分；</w:t>
            </w:r>
          </w:p>
          <w:p>
            <w:pPr>
              <w:widowControl/>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zh-TW"/>
              </w:rPr>
              <w:t>本项最高得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strike/>
                <w:color w:val="auto"/>
                <w:szCs w:val="21"/>
                <w:highlight w:val="none"/>
                <w:lang w:val="zh-TW"/>
              </w:rPr>
            </w:pPr>
          </w:p>
        </w:tc>
        <w:tc>
          <w:tcPr>
            <w:tcW w:w="742" w:type="dxa"/>
            <w:noWrap w:val="0"/>
            <w:tcMar>
              <w:top w:w="15" w:type="dxa"/>
              <w:left w:w="37" w:type="dxa"/>
              <w:bottom w:w="0" w:type="dxa"/>
              <w:right w:w="37" w:type="dxa"/>
            </w:tcMar>
            <w:vAlign w:val="center"/>
          </w:tcPr>
          <w:p>
            <w:pPr>
              <w:snapToGrid w:val="0"/>
              <w:ind w:left="42" w:leftChars="20" w:right="42" w:rightChars="20"/>
              <w:jc w:val="center"/>
              <w:rPr>
                <w:rFonts w:hint="eastAsia" w:ascii="宋体" w:hAnsi="宋体" w:eastAsia="宋体" w:cs="宋体"/>
                <w:bCs/>
                <w:strike/>
                <w:color w:val="auto"/>
                <w:kern w:val="2"/>
                <w:sz w:val="21"/>
                <w:szCs w:val="21"/>
                <w:highlight w:val="none"/>
                <w:lang w:val="zh-TW" w:eastAsia="zh-TW" w:bidi="ar-SA"/>
              </w:rPr>
            </w:pPr>
            <w:r>
              <w:rPr>
                <w:rFonts w:hint="eastAsia" w:ascii="宋体" w:hAnsi="宋体" w:cs="宋体"/>
                <w:color w:val="auto"/>
                <w:szCs w:val="21"/>
                <w:highlight w:val="none"/>
                <w:lang w:val="zh-TW" w:eastAsia="zh-TW"/>
              </w:rPr>
              <w:t>研发创新能力</w:t>
            </w:r>
            <w:r>
              <w:rPr>
                <w:rFonts w:hint="eastAsia" w:ascii="宋体" w:hAnsi="宋体" w:cs="宋体"/>
                <w:bCs/>
                <w:color w:val="auto"/>
                <w:szCs w:val="21"/>
                <w:highlight w:val="none"/>
                <w:lang w:val="zh-TW" w:eastAsia="zh-CN"/>
              </w:rPr>
              <w:t>（</w:t>
            </w:r>
            <w:r>
              <w:rPr>
                <w:rFonts w:hint="eastAsia" w:ascii="宋体" w:hAnsi="宋体" w:cs="宋体"/>
                <w:bCs/>
                <w:color w:val="auto"/>
                <w:szCs w:val="21"/>
                <w:highlight w:val="none"/>
                <w:lang w:val="en-US" w:eastAsia="zh-CN"/>
              </w:rPr>
              <w:t>施工企业</w:t>
            </w:r>
            <w:r>
              <w:rPr>
                <w:rFonts w:hint="eastAsia" w:ascii="宋体" w:hAnsi="宋体" w:cs="宋体"/>
                <w:bCs/>
                <w:color w:val="auto"/>
                <w:szCs w:val="21"/>
                <w:highlight w:val="none"/>
                <w:lang w:val="zh-TW" w:eastAsia="zh-CN"/>
              </w:rPr>
              <w:t>）</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ascii="宋体" w:hAnsi="宋体" w:eastAsia="宋体" w:cs="宋体"/>
                <w:bCs/>
                <w:strike w:val="0"/>
                <w:color w:val="auto"/>
                <w:kern w:val="2"/>
                <w:sz w:val="21"/>
                <w:szCs w:val="21"/>
                <w:highlight w:val="none"/>
                <w:lang w:val="en-US" w:eastAsia="zh-CN" w:bidi="ar-SA"/>
              </w:rPr>
            </w:pPr>
            <w:r>
              <w:rPr>
                <w:rFonts w:hint="eastAsia" w:ascii="宋体" w:hAnsi="宋体" w:cs="宋体"/>
                <w:bCs/>
                <w:strike w:val="0"/>
                <w:color w:val="auto"/>
                <w:szCs w:val="21"/>
                <w:highlight w:val="none"/>
                <w:lang w:val="en-US" w:eastAsia="zh-CN"/>
              </w:rPr>
              <w:t>3</w:t>
            </w:r>
          </w:p>
        </w:tc>
        <w:tc>
          <w:tcPr>
            <w:tcW w:w="10733" w:type="dxa"/>
            <w:noWrap w:val="0"/>
            <w:tcMar>
              <w:top w:w="15" w:type="dxa"/>
              <w:left w:w="37" w:type="dxa"/>
              <w:bottom w:w="0" w:type="dxa"/>
              <w:right w:w="37" w:type="dxa"/>
            </w:tcMar>
            <w:vAlign w:val="center"/>
          </w:tcPr>
          <w:p>
            <w:pPr>
              <w:widowControl/>
              <w:spacing w:line="360" w:lineRule="auto"/>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投标人（若为联合体，指联合体主办方）自2019年1月1日至投标截止时间，获得</w:t>
            </w:r>
            <w:r>
              <w:rPr>
                <w:rFonts w:hint="eastAsia" w:ascii="宋体" w:hAnsi="宋体" w:cs="宋体"/>
                <w:color w:val="auto"/>
                <w:szCs w:val="21"/>
                <w:highlight w:val="none"/>
                <w:lang w:val="en-US" w:eastAsia="zh-CN"/>
              </w:rPr>
              <w:t>过</w:t>
            </w:r>
            <w:r>
              <w:rPr>
                <w:rFonts w:hint="eastAsia" w:ascii="宋体" w:hAnsi="宋体" w:cs="宋体"/>
                <w:color w:val="auto"/>
                <w:szCs w:val="21"/>
                <w:highlight w:val="none"/>
              </w:rPr>
              <w:t>科学技术进步奖或科学技术奖</w:t>
            </w:r>
            <w:r>
              <w:rPr>
                <w:rFonts w:hint="eastAsia" w:ascii="宋体" w:hAnsi="宋体" w:cs="宋体"/>
                <w:color w:val="auto"/>
                <w:szCs w:val="21"/>
                <w:highlight w:val="none"/>
                <w:lang w:eastAsia="zh-CN"/>
              </w:rPr>
              <w:t>：</w:t>
            </w:r>
          </w:p>
          <w:p>
            <w:pPr>
              <w:widowControl/>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（1）获得过国家级科学技术奖的，每个得</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分，最</w:t>
            </w:r>
            <w:r>
              <w:rPr>
                <w:rFonts w:hint="eastAsia" w:ascii="宋体" w:hAnsi="宋体" w:eastAsia="宋体" w:cs="宋体"/>
                <w:color w:val="auto"/>
                <w:szCs w:val="21"/>
                <w:highlight w:val="none"/>
                <w:lang w:val="zh-TW"/>
              </w:rPr>
              <w:t>多</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widowControl/>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（2）获得过省级</w:t>
            </w:r>
            <w:r>
              <w:rPr>
                <w:rFonts w:hint="eastAsia" w:ascii="宋体" w:hAnsi="宋体" w:cs="宋体"/>
                <w:color w:val="auto"/>
                <w:szCs w:val="21"/>
                <w:highlight w:val="none"/>
                <w:lang w:val="en-US" w:eastAsia="zh-CN"/>
              </w:rPr>
              <w:t>或市级</w:t>
            </w:r>
            <w:r>
              <w:rPr>
                <w:rFonts w:hint="default" w:ascii="宋体" w:hAnsi="宋体" w:cs="宋体"/>
                <w:color w:val="auto"/>
                <w:szCs w:val="21"/>
                <w:highlight w:val="none"/>
                <w:lang w:eastAsia="zh-CN"/>
              </w:rPr>
              <w:t>（含副省级）</w:t>
            </w:r>
            <w:r>
              <w:rPr>
                <w:rFonts w:hint="eastAsia" w:ascii="宋体" w:hAnsi="宋体" w:cs="宋体"/>
                <w:color w:val="auto"/>
                <w:szCs w:val="21"/>
                <w:highlight w:val="none"/>
              </w:rPr>
              <w:t>科学技术奖的，每个得</w:t>
            </w:r>
            <w:r>
              <w:rPr>
                <w:rFonts w:hint="eastAsia" w:ascii="宋体" w:hAnsi="宋体" w:cs="宋体"/>
                <w:color w:val="auto"/>
                <w:szCs w:val="21"/>
                <w:highlight w:val="none"/>
                <w:lang w:val="en-US" w:eastAsia="zh-CN"/>
              </w:rPr>
              <w:t>0.5</w:t>
            </w:r>
            <w:r>
              <w:rPr>
                <w:rFonts w:hint="eastAsia" w:ascii="宋体" w:hAnsi="宋体" w:cs="宋体"/>
                <w:color w:val="auto"/>
                <w:szCs w:val="21"/>
                <w:highlight w:val="none"/>
              </w:rPr>
              <w:t>分，最</w:t>
            </w:r>
            <w:r>
              <w:rPr>
                <w:rFonts w:hint="eastAsia" w:ascii="宋体" w:hAnsi="宋体" w:eastAsia="宋体" w:cs="宋体"/>
                <w:color w:val="auto"/>
                <w:szCs w:val="21"/>
                <w:highlight w:val="none"/>
                <w:lang w:val="zh-TW"/>
              </w:rPr>
              <w:t>多</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p>
            <w:pPr>
              <w:widowControl/>
              <w:spacing w:line="360" w:lineRule="auto"/>
              <w:jc w:val="left"/>
              <w:rPr>
                <w:rFonts w:hint="eastAsia" w:ascii="宋体" w:hAnsi="宋体" w:eastAsia="宋体" w:cs="宋体"/>
                <w:color w:val="auto"/>
                <w:kern w:val="2"/>
                <w:sz w:val="21"/>
                <w:szCs w:val="21"/>
                <w:highlight w:val="none"/>
                <w:lang w:val="zh-TW" w:eastAsia="zh-CN" w:bidi="ar-SA"/>
              </w:rPr>
            </w:pPr>
            <w:r>
              <w:rPr>
                <w:rFonts w:hint="eastAsia" w:ascii="宋体" w:hAnsi="宋体" w:cs="宋体"/>
                <w:color w:val="auto"/>
                <w:szCs w:val="21"/>
                <w:highlight w:val="none"/>
              </w:rPr>
              <w:t>本项最高得</w:t>
            </w:r>
            <w:r>
              <w:rPr>
                <w:rFonts w:hint="default" w:ascii="宋体" w:hAnsi="宋体" w:cs="宋体"/>
                <w:color w:val="auto"/>
                <w:szCs w:val="21"/>
                <w:highlight w:val="none"/>
              </w:rPr>
              <w:t>3</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strike/>
                <w:color w:val="auto"/>
                <w:szCs w:val="21"/>
                <w:highlight w:val="none"/>
                <w:lang w:val="zh-TW"/>
              </w:rPr>
            </w:pPr>
          </w:p>
        </w:tc>
        <w:tc>
          <w:tcPr>
            <w:tcW w:w="742" w:type="dxa"/>
            <w:noWrap w:val="0"/>
            <w:tcMar>
              <w:top w:w="15" w:type="dxa"/>
              <w:left w:w="37" w:type="dxa"/>
              <w:bottom w:w="0" w:type="dxa"/>
              <w:right w:w="37" w:type="dxa"/>
            </w:tcMar>
            <w:vAlign w:val="center"/>
          </w:tcPr>
          <w:p>
            <w:pPr>
              <w:snapToGrid w:val="0"/>
              <w:ind w:left="42" w:leftChars="20" w:right="42" w:rightChars="20"/>
              <w:jc w:val="center"/>
              <w:rPr>
                <w:rFonts w:hint="eastAsia" w:ascii="宋体" w:hAnsi="宋体" w:cs="宋体"/>
                <w:color w:val="auto"/>
                <w:szCs w:val="21"/>
                <w:highlight w:val="none"/>
                <w:lang w:val="zh-TW" w:eastAsia="zh-TW"/>
              </w:rPr>
            </w:pPr>
            <w:r>
              <w:rPr>
                <w:rFonts w:hint="eastAsia" w:ascii="宋体" w:hAnsi="宋体" w:cs="宋体"/>
                <w:color w:val="auto"/>
                <w:szCs w:val="21"/>
                <w:highlight w:val="none"/>
                <w:lang w:val="zh-TW" w:eastAsia="zh-TW"/>
              </w:rPr>
              <w:t>第三方评价</w:t>
            </w:r>
            <w:r>
              <w:rPr>
                <w:rFonts w:hint="eastAsia" w:ascii="宋体" w:hAnsi="宋体" w:cs="宋体"/>
                <w:bCs/>
                <w:color w:val="auto"/>
                <w:szCs w:val="21"/>
                <w:highlight w:val="none"/>
                <w:lang w:val="zh-TW" w:eastAsia="zh-CN"/>
              </w:rPr>
              <w:t>（</w:t>
            </w:r>
            <w:r>
              <w:rPr>
                <w:rFonts w:hint="eastAsia" w:ascii="宋体" w:hAnsi="宋体" w:cs="宋体"/>
                <w:bCs/>
                <w:color w:val="auto"/>
                <w:szCs w:val="21"/>
                <w:highlight w:val="none"/>
                <w:lang w:val="en-US" w:eastAsia="zh-CN"/>
              </w:rPr>
              <w:t>施工企业</w:t>
            </w:r>
            <w:r>
              <w:rPr>
                <w:rFonts w:hint="eastAsia" w:ascii="宋体" w:hAnsi="宋体" w:cs="宋体"/>
                <w:bCs/>
                <w:color w:val="auto"/>
                <w:szCs w:val="21"/>
                <w:highlight w:val="none"/>
                <w:lang w:val="zh-TW" w:eastAsia="zh-CN"/>
              </w:rPr>
              <w:t>）</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hint="eastAsia" w:ascii="宋体" w:hAnsi="宋体" w:eastAsia="宋体" w:cs="宋体"/>
                <w:bCs/>
                <w:strike w:val="0"/>
                <w:color w:val="auto"/>
                <w:szCs w:val="21"/>
                <w:highlight w:val="none"/>
                <w:lang w:val="en-US" w:eastAsia="zh-CN"/>
              </w:rPr>
            </w:pPr>
            <w:r>
              <w:rPr>
                <w:rFonts w:hint="eastAsia" w:ascii="宋体" w:hAnsi="宋体" w:cs="宋体"/>
                <w:bCs/>
                <w:strike w:val="0"/>
                <w:color w:val="auto"/>
                <w:szCs w:val="21"/>
                <w:highlight w:val="none"/>
                <w:lang w:val="en-US" w:eastAsia="zh-CN"/>
              </w:rPr>
              <w:t>3</w:t>
            </w:r>
          </w:p>
        </w:tc>
        <w:tc>
          <w:tcPr>
            <w:tcW w:w="10733" w:type="dxa"/>
            <w:noWrap w:val="0"/>
            <w:tcMar>
              <w:top w:w="15" w:type="dxa"/>
              <w:left w:w="37" w:type="dxa"/>
              <w:bottom w:w="0" w:type="dxa"/>
              <w:right w:w="37" w:type="dxa"/>
            </w:tcMar>
            <w:vAlign w:val="center"/>
          </w:tcPr>
          <w:p>
            <w:pPr>
              <w:widowControl/>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lang w:val="zh-TW" w:eastAsia="zh-TW"/>
              </w:rPr>
              <w:t>投标人（若为联合体，指联合体主办方）有效期内的质量管理体系认证</w:t>
            </w:r>
            <w:r>
              <w:rPr>
                <w:rFonts w:hint="eastAsia" w:ascii="宋体" w:hAnsi="宋体" w:cs="宋体"/>
                <w:color w:val="auto"/>
                <w:szCs w:val="21"/>
                <w:highlight w:val="none"/>
              </w:rPr>
              <w:t>证书</w:t>
            </w:r>
            <w:r>
              <w:rPr>
                <w:rFonts w:hint="eastAsia" w:ascii="宋体" w:hAnsi="宋体" w:cs="宋体"/>
                <w:color w:val="auto"/>
                <w:szCs w:val="21"/>
                <w:highlight w:val="none"/>
                <w:lang w:val="zh-TW" w:eastAsia="zh-TW"/>
              </w:rPr>
              <w:t>、环境管理体系认证</w:t>
            </w:r>
            <w:r>
              <w:rPr>
                <w:rFonts w:hint="eastAsia" w:ascii="宋体" w:hAnsi="宋体" w:cs="宋体"/>
                <w:color w:val="auto"/>
                <w:szCs w:val="21"/>
                <w:highlight w:val="none"/>
              </w:rPr>
              <w:t>证书</w:t>
            </w:r>
            <w:r>
              <w:rPr>
                <w:rFonts w:hint="eastAsia" w:ascii="宋体" w:hAnsi="宋体" w:cs="宋体"/>
                <w:color w:val="auto"/>
                <w:szCs w:val="21"/>
                <w:highlight w:val="none"/>
                <w:lang w:val="zh-TW"/>
              </w:rPr>
              <w:t>、</w:t>
            </w:r>
            <w:r>
              <w:rPr>
                <w:rFonts w:hint="eastAsia" w:ascii="宋体" w:hAnsi="宋体" w:cs="宋体"/>
                <w:color w:val="auto"/>
                <w:szCs w:val="21"/>
                <w:highlight w:val="none"/>
                <w:lang w:val="zh-TW" w:eastAsia="zh-TW"/>
              </w:rPr>
              <w:t>职业健康安全管理体系认证</w:t>
            </w:r>
            <w:r>
              <w:rPr>
                <w:rFonts w:hint="eastAsia" w:ascii="宋体" w:hAnsi="宋体" w:eastAsia="宋体" w:cs="宋体"/>
                <w:color w:val="auto"/>
                <w:szCs w:val="21"/>
                <w:highlight w:val="none"/>
                <w:lang w:val="zh-TW" w:eastAsia="zh-TW"/>
              </w:rPr>
              <w:t>证书、</w:t>
            </w:r>
            <w:r>
              <w:rPr>
                <w:rFonts w:hint="eastAsia" w:ascii="宋体" w:hAnsi="宋体" w:eastAsia="宋体" w:cs="宋体"/>
                <w:color w:val="auto"/>
                <w:sz w:val="21"/>
                <w:szCs w:val="21"/>
                <w:highlight w:val="none"/>
                <w:lang w:val="zh-TW" w:eastAsia="zh-TW"/>
              </w:rPr>
              <w:t>安全生产标准化评价/体系认证证书</w:t>
            </w:r>
            <w:r>
              <w:rPr>
                <w:rFonts w:hint="eastAsia" w:ascii="宋体" w:hAnsi="宋体" w:eastAsia="宋体" w:cs="宋体"/>
                <w:color w:val="auto"/>
                <w:szCs w:val="21"/>
                <w:highlight w:val="none"/>
                <w:lang w:val="zh-TW" w:eastAsia="zh-TW"/>
              </w:rPr>
              <w:t>、知识</w:t>
            </w:r>
            <w:r>
              <w:rPr>
                <w:rFonts w:hint="eastAsia" w:ascii="宋体" w:hAnsi="宋体" w:cs="宋体"/>
                <w:color w:val="auto"/>
                <w:szCs w:val="21"/>
                <w:highlight w:val="none"/>
                <w:lang w:val="zh-TW" w:eastAsia="zh-TW"/>
              </w:rPr>
              <w:t>产权管理体系认证</w:t>
            </w:r>
            <w:r>
              <w:rPr>
                <w:rFonts w:hint="eastAsia" w:ascii="宋体" w:hAnsi="宋体" w:cs="宋体"/>
                <w:color w:val="auto"/>
                <w:szCs w:val="21"/>
                <w:highlight w:val="none"/>
              </w:rPr>
              <w:t>证书</w:t>
            </w:r>
            <w:r>
              <w:rPr>
                <w:rFonts w:hint="eastAsia" w:ascii="宋体" w:hAnsi="宋体" w:cs="宋体"/>
                <w:color w:val="auto"/>
                <w:szCs w:val="21"/>
                <w:highlight w:val="none"/>
                <w:lang w:val="zh-TW" w:eastAsia="zh-TW"/>
              </w:rPr>
              <w:t>。全部</w:t>
            </w:r>
            <w:r>
              <w:rPr>
                <w:rFonts w:hint="eastAsia" w:ascii="宋体" w:hAnsi="宋体" w:cs="宋体"/>
                <w:color w:val="auto"/>
                <w:szCs w:val="21"/>
                <w:highlight w:val="none"/>
                <w:lang w:val="en-US" w:eastAsia="zh-CN"/>
              </w:rPr>
              <w:t>满足得，</w:t>
            </w:r>
            <w:r>
              <w:rPr>
                <w:rFonts w:hint="eastAsia" w:ascii="宋体" w:hAnsi="宋体" w:cs="宋体"/>
                <w:color w:val="auto"/>
                <w:szCs w:val="21"/>
                <w:highlight w:val="none"/>
                <w:lang w:val="zh-TW" w:eastAsia="zh-TW"/>
              </w:rPr>
              <w:t>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TW" w:eastAsia="zh-TW"/>
              </w:rPr>
              <w:t>分</w:t>
            </w:r>
            <w:r>
              <w:rPr>
                <w:rFonts w:hint="eastAsia" w:ascii="宋体" w:hAnsi="宋体" w:cs="宋体"/>
                <w:color w:val="auto"/>
                <w:szCs w:val="21"/>
                <w:highlight w:val="none"/>
                <w:lang w:val="zh-TW" w:eastAsia="zh-CN"/>
              </w:rPr>
              <w:t>，</w:t>
            </w:r>
            <w:r>
              <w:rPr>
                <w:rFonts w:hint="default" w:ascii="宋体" w:hAnsi="宋体" w:cs="宋体"/>
                <w:color w:val="auto"/>
                <w:szCs w:val="21"/>
                <w:highlight w:val="none"/>
                <w:lang w:eastAsia="zh-CN"/>
              </w:rPr>
              <w:t>部分</w:t>
            </w:r>
            <w:r>
              <w:rPr>
                <w:rFonts w:hint="eastAsia" w:ascii="宋体" w:hAnsi="宋体" w:cs="宋体"/>
                <w:color w:val="auto"/>
                <w:szCs w:val="21"/>
                <w:highlight w:val="none"/>
                <w:lang w:val="en-US" w:eastAsia="zh-CN"/>
              </w:rPr>
              <w:t>满足得，</w:t>
            </w:r>
            <w:r>
              <w:rPr>
                <w:rFonts w:hint="eastAsia" w:ascii="宋体" w:hAnsi="宋体" w:cs="宋体"/>
                <w:color w:val="auto"/>
                <w:szCs w:val="21"/>
                <w:highlight w:val="none"/>
                <w:lang w:val="zh-TW" w:eastAsia="zh-TW"/>
              </w:rPr>
              <w:t>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TW" w:eastAsia="zh-TW"/>
              </w:rPr>
              <w:t>分</w:t>
            </w:r>
            <w:r>
              <w:rPr>
                <w:rFonts w:hint="eastAsia" w:ascii="宋体" w:hAnsi="宋体" w:cs="宋体"/>
                <w:color w:val="auto"/>
                <w:szCs w:val="21"/>
                <w:highlight w:val="none"/>
                <w:lang w:val="zh-TW" w:eastAsia="zh-CN"/>
              </w:rPr>
              <w:t>，</w:t>
            </w:r>
            <w:r>
              <w:rPr>
                <w:rFonts w:hint="eastAsia" w:ascii="宋体" w:hAnsi="宋体" w:cs="宋体"/>
                <w:color w:val="auto"/>
                <w:szCs w:val="21"/>
                <w:highlight w:val="none"/>
                <w:lang w:val="en-US" w:eastAsia="zh-CN"/>
              </w:rPr>
              <w:t>没有不得分</w:t>
            </w:r>
            <w:r>
              <w:rPr>
                <w:rFonts w:hint="eastAsia" w:ascii="宋体" w:hAnsi="宋体" w:cs="宋体"/>
                <w:color w:val="auto"/>
                <w:szCs w:val="21"/>
                <w:highlight w:val="none"/>
                <w:lang w:val="zh-TW" w:eastAsia="zh-TW"/>
              </w:rPr>
              <w:t>。本项最高得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TW" w:eastAsia="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strike/>
                <w:color w:val="auto"/>
                <w:szCs w:val="21"/>
                <w:highlight w:val="none"/>
                <w:lang w:val="zh-TW"/>
              </w:rPr>
            </w:pPr>
          </w:p>
        </w:tc>
        <w:tc>
          <w:tcPr>
            <w:tcW w:w="742" w:type="dxa"/>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strike/>
                <w:color w:val="auto"/>
                <w:szCs w:val="21"/>
                <w:highlight w:val="none"/>
                <w:lang w:val="zh-TW"/>
              </w:rPr>
            </w:pPr>
            <w:r>
              <w:rPr>
                <w:rFonts w:hint="eastAsia" w:ascii="宋体" w:hAnsi="宋体" w:cs="宋体"/>
                <w:bCs/>
                <w:color w:val="auto"/>
                <w:szCs w:val="21"/>
                <w:highlight w:val="none"/>
                <w:lang w:val="zh-TW"/>
              </w:rPr>
              <w:t>项目管理机构能力</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hint="default" w:ascii="宋体" w:hAnsi="宋体" w:eastAsia="宋体" w:cs="宋体"/>
                <w:bCs/>
                <w:strike/>
                <w:color w:val="auto"/>
                <w:szCs w:val="21"/>
                <w:highlight w:val="none"/>
                <w:lang w:val="en-US" w:eastAsia="zh-CN"/>
              </w:rPr>
            </w:pPr>
            <w:r>
              <w:rPr>
                <w:rFonts w:hint="default" w:ascii="宋体" w:hAnsi="宋体" w:cs="宋体"/>
                <w:b/>
                <w:bCs/>
                <w:color w:val="auto"/>
                <w:szCs w:val="21"/>
                <w:highlight w:val="none"/>
                <w:lang w:eastAsia="zh-CN"/>
              </w:rPr>
              <w:t>9</w:t>
            </w:r>
          </w:p>
        </w:tc>
        <w:tc>
          <w:tcPr>
            <w:tcW w:w="10733" w:type="dxa"/>
            <w:noWrap w:val="0"/>
            <w:tcMar>
              <w:top w:w="15" w:type="dxa"/>
              <w:left w:w="37" w:type="dxa"/>
              <w:bottom w:w="0" w:type="dxa"/>
              <w:right w:w="37" w:type="dxa"/>
            </w:tcMar>
            <w:vAlign w:val="center"/>
          </w:tcPr>
          <w:p>
            <w:pPr>
              <w:widowControl/>
              <w:snapToGrid w:val="0"/>
              <w:spacing w:line="360" w:lineRule="auto"/>
              <w:ind w:left="42" w:leftChars="20" w:right="42" w:rightChars="20"/>
              <w:jc w:val="left"/>
              <w:rPr>
                <w:rFonts w:ascii="宋体" w:hAnsi="宋体" w:cs="宋体"/>
                <w:bCs/>
                <w:color w:val="auto"/>
                <w:szCs w:val="21"/>
                <w:highlight w:val="none"/>
              </w:rPr>
            </w:pPr>
            <w:r>
              <w:rPr>
                <w:rFonts w:hint="eastAsia" w:ascii="宋体" w:hAnsi="宋体" w:cs="宋体"/>
                <w:bCs/>
                <w:color w:val="auto"/>
                <w:szCs w:val="21"/>
                <w:highlight w:val="none"/>
              </w:rPr>
              <w:t>一、投标人拟投入本项目的项目管理机构人员全部满足附表5（附件）《投标人投入主要人员表》要求的，得</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分；不满足要求的，得0分。</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二、施工方人员：</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在满足（附件）《投标人投入主要人员表》要求的基础上，施工方人员：</w:t>
            </w:r>
          </w:p>
          <w:p>
            <w:pPr>
              <w:numPr>
                <w:ilvl w:val="0"/>
                <w:numId w:val="3"/>
              </w:numPr>
              <w:adjustRightInd w:val="0"/>
              <w:snapToGrid w:val="0"/>
              <w:spacing w:line="360" w:lineRule="auto"/>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技术负责人：取得建筑工程相关专业高级或以上职称的，得1分；</w:t>
            </w:r>
          </w:p>
          <w:p>
            <w:pPr>
              <w:numPr>
                <w:ilvl w:val="0"/>
                <w:numId w:val="3"/>
              </w:numPr>
              <w:adjustRightInd w:val="0"/>
              <w:snapToGrid w:val="0"/>
              <w:spacing w:line="360" w:lineRule="auto"/>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装修专业</w:t>
            </w:r>
            <w:r>
              <w:rPr>
                <w:rFonts w:hint="eastAsia" w:ascii="宋体" w:hAnsi="宋体" w:eastAsia="宋体" w:cs="宋体"/>
                <w:bCs/>
                <w:color w:val="auto"/>
                <w:kern w:val="2"/>
                <w:szCs w:val="21"/>
                <w:highlight w:val="none"/>
                <w:lang w:bidi="ar"/>
              </w:rPr>
              <w:t>工程师：取得建筑装饰施工</w:t>
            </w:r>
            <w:r>
              <w:rPr>
                <w:rFonts w:hint="eastAsia" w:ascii="宋体" w:hAnsi="宋体" w:cs="宋体"/>
                <w:bCs/>
                <w:color w:val="auto"/>
                <w:kern w:val="2"/>
                <w:szCs w:val="21"/>
                <w:highlight w:val="none"/>
                <w:lang w:val="en-US" w:eastAsia="zh-CN" w:bidi="ar"/>
              </w:rPr>
              <w:t>相关</w:t>
            </w:r>
            <w:r>
              <w:rPr>
                <w:rFonts w:hint="eastAsia" w:ascii="宋体" w:hAnsi="宋体" w:eastAsia="宋体" w:cs="宋体"/>
                <w:bCs/>
                <w:color w:val="auto"/>
                <w:kern w:val="2"/>
                <w:szCs w:val="21"/>
                <w:highlight w:val="none"/>
                <w:lang w:bidi="ar"/>
              </w:rPr>
              <w:t>专业</w:t>
            </w:r>
            <w:r>
              <w:rPr>
                <w:rFonts w:hint="eastAsia" w:ascii="宋体" w:hAnsi="宋体" w:eastAsia="宋体" w:cs="宋体"/>
                <w:bCs/>
                <w:color w:val="auto"/>
                <w:szCs w:val="21"/>
                <w:highlight w:val="none"/>
                <w:lang w:bidi="ar"/>
              </w:rPr>
              <w:t>高级或以上职称的，</w:t>
            </w:r>
            <w:r>
              <w:rPr>
                <w:rFonts w:hint="eastAsia" w:ascii="宋体" w:hAnsi="宋体" w:cs="宋体"/>
                <w:bCs/>
                <w:color w:val="auto"/>
                <w:szCs w:val="21"/>
                <w:highlight w:val="none"/>
                <w:lang w:val="en-US" w:eastAsia="zh-CN" w:bidi="ar"/>
              </w:rPr>
              <w:t>每人得1分，最多</w:t>
            </w:r>
            <w:r>
              <w:rPr>
                <w:rFonts w:hint="eastAsia" w:ascii="宋体" w:hAnsi="宋体" w:eastAsia="宋体" w:cs="宋体"/>
                <w:bCs/>
                <w:color w:val="auto"/>
                <w:szCs w:val="21"/>
                <w:highlight w:val="none"/>
                <w:lang w:bidi="ar"/>
              </w:rPr>
              <w:t>得</w:t>
            </w:r>
            <w:r>
              <w:rPr>
                <w:rFonts w:hint="eastAsia" w:ascii="宋体" w:hAnsi="宋体" w:cs="宋体"/>
                <w:bCs/>
                <w:color w:val="auto"/>
                <w:szCs w:val="21"/>
                <w:highlight w:val="none"/>
                <w:lang w:val="en-US" w:eastAsia="zh-CN" w:bidi="ar"/>
              </w:rPr>
              <w:t>2</w:t>
            </w:r>
            <w:r>
              <w:rPr>
                <w:rFonts w:hint="eastAsia" w:ascii="宋体" w:hAnsi="宋体" w:eastAsia="宋体" w:cs="宋体"/>
                <w:bCs/>
                <w:color w:val="auto"/>
                <w:szCs w:val="21"/>
                <w:highlight w:val="none"/>
                <w:lang w:bidi="ar"/>
              </w:rPr>
              <w:t>分；</w:t>
            </w:r>
          </w:p>
          <w:p>
            <w:pPr>
              <w:numPr>
                <w:ilvl w:val="0"/>
                <w:numId w:val="4"/>
              </w:num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设计方人员：</w:t>
            </w:r>
          </w:p>
          <w:p>
            <w:pPr>
              <w:numPr>
                <w:ilvl w:val="0"/>
                <w:numId w:val="0"/>
              </w:num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在满足（附件）《投标人投入主要人员表》要求的基础上，设计方人员：</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设计顾问：提供省级或以上勘察设计大师作为项目设计顾问的</w:t>
            </w:r>
            <w:r>
              <w:rPr>
                <w:rFonts w:hint="default" w:ascii="宋体" w:hAnsi="宋体" w:cs="宋体"/>
                <w:color w:val="auto"/>
                <w:szCs w:val="21"/>
                <w:highlight w:val="none"/>
                <w:lang w:eastAsia="zh-CN"/>
              </w:rPr>
              <w:t>，</w:t>
            </w:r>
            <w:r>
              <w:rPr>
                <w:rFonts w:hint="eastAsia" w:ascii="宋体" w:hAnsi="宋体" w:cs="宋体"/>
                <w:color w:val="auto"/>
                <w:szCs w:val="21"/>
                <w:highlight w:val="none"/>
                <w:lang w:val="en-US" w:eastAsia="zh-CN"/>
              </w:rPr>
              <w:t>得2分</w:t>
            </w:r>
            <w:r>
              <w:rPr>
                <w:rFonts w:hint="default" w:ascii="宋体" w:hAnsi="宋体" w:cs="宋体"/>
                <w:color w:val="auto"/>
                <w:szCs w:val="21"/>
                <w:highlight w:val="none"/>
                <w:lang w:eastAsia="zh-CN"/>
              </w:rPr>
              <w:t>，</w:t>
            </w:r>
            <w:r>
              <w:rPr>
                <w:rFonts w:hint="eastAsia" w:ascii="宋体" w:hAnsi="宋体" w:cs="宋体"/>
                <w:color w:val="auto"/>
                <w:szCs w:val="21"/>
                <w:highlight w:val="none"/>
                <w:lang w:val="en-US" w:eastAsia="zh-CN"/>
              </w:rPr>
              <w:t>最多得</w:t>
            </w:r>
            <w:r>
              <w:rPr>
                <w:rFonts w:hint="default" w:ascii="宋体" w:hAnsi="宋体" w:cs="宋体"/>
                <w:color w:val="auto"/>
                <w:szCs w:val="21"/>
                <w:highlight w:val="none"/>
                <w:lang w:eastAsia="zh-CN"/>
              </w:rPr>
              <w:t>2</w:t>
            </w:r>
            <w:r>
              <w:rPr>
                <w:rFonts w:hint="eastAsia" w:ascii="宋体" w:hAnsi="宋体" w:cs="宋体"/>
                <w:color w:val="auto"/>
                <w:szCs w:val="21"/>
                <w:highlight w:val="none"/>
                <w:lang w:val="en-US" w:eastAsia="zh-CN"/>
              </w:rPr>
              <w:t>分。</w:t>
            </w:r>
          </w:p>
          <w:p>
            <w:pPr>
              <w:adjustRightInd w:val="0"/>
              <w:snapToGrid w:val="0"/>
              <w:spacing w:line="360" w:lineRule="auto"/>
              <w:rPr>
                <w:rFonts w:hint="eastAsia" w:ascii="宋体" w:hAnsi="宋体" w:eastAsia="宋体" w:cs="宋体"/>
                <w:color w:val="auto"/>
                <w:szCs w:val="21"/>
                <w:highlight w:val="none"/>
                <w:lang w:val="zh-TW" w:eastAsia="zh-CN"/>
              </w:rPr>
            </w:pPr>
            <w:r>
              <w:rPr>
                <w:rFonts w:hint="eastAsia" w:ascii="宋体" w:hAnsi="宋体" w:cs="宋体"/>
                <w:color w:val="auto"/>
                <w:szCs w:val="21"/>
                <w:highlight w:val="none"/>
              </w:rPr>
              <w:t>注:</w:t>
            </w:r>
            <w:r>
              <w:rPr>
                <w:rFonts w:hint="eastAsia" w:ascii="宋体" w:hAnsi="宋体" w:cs="宋体"/>
                <w:color w:val="auto"/>
                <w:szCs w:val="21"/>
                <w:highlight w:val="none"/>
                <w:lang w:val="zh-TW"/>
              </w:rPr>
              <w:t>勘察设计大师须提供设计大师或勘察设计大师荣誉证书或</w:t>
            </w:r>
            <w:r>
              <w:rPr>
                <w:rFonts w:hint="eastAsia" w:ascii="宋体" w:hAnsi="宋体" w:cs="宋体"/>
                <w:color w:val="auto"/>
                <w:szCs w:val="21"/>
                <w:highlight w:val="none"/>
                <w:lang w:val="en-US" w:eastAsia="zh-CN"/>
              </w:rPr>
              <w:t>颁</w:t>
            </w:r>
            <w:r>
              <w:rPr>
                <w:rFonts w:hint="eastAsia" w:ascii="宋体" w:hAnsi="宋体" w:cs="宋体"/>
                <w:color w:val="auto"/>
                <w:szCs w:val="21"/>
                <w:highlight w:val="none"/>
                <w:lang w:val="zh-TW"/>
              </w:rPr>
              <w:t>发机构的公告网页截图证明，否则不得分</w:t>
            </w:r>
            <w:r>
              <w:rPr>
                <w:rFonts w:hint="eastAsia" w:ascii="宋体" w:hAnsi="宋体" w:cs="宋体"/>
                <w:color w:val="auto"/>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restart"/>
            <w:noWrap w:val="0"/>
            <w:tcMar>
              <w:top w:w="15" w:type="dxa"/>
              <w:left w:w="37" w:type="dxa"/>
              <w:bottom w:w="0" w:type="dxa"/>
              <w:right w:w="37" w:type="dxa"/>
            </w:tcMar>
            <w:vAlign w:val="center"/>
          </w:tcPr>
          <w:p>
            <w:pPr>
              <w:numPr>
                <w:ilvl w:val="0"/>
                <w:numId w:val="5"/>
              </w:numPr>
              <w:snapToGrid w:val="0"/>
              <w:ind w:left="42" w:leftChars="20" w:right="42" w:rightChars="20"/>
              <w:jc w:val="center"/>
              <w:rPr>
                <w:rFonts w:hint="eastAsia" w:ascii="宋体" w:hAnsi="宋体" w:cs="宋体"/>
                <w:bCs/>
                <w:color w:val="auto"/>
                <w:szCs w:val="21"/>
                <w:highlight w:val="none"/>
                <w:lang w:val="zh-TW"/>
              </w:rPr>
            </w:pPr>
            <w:r>
              <w:rPr>
                <w:rFonts w:hint="eastAsia" w:ascii="宋体" w:hAnsi="宋体" w:cs="宋体"/>
                <w:bCs/>
                <w:color w:val="auto"/>
                <w:szCs w:val="21"/>
                <w:highlight w:val="none"/>
                <w:lang w:val="zh-TW"/>
              </w:rPr>
              <w:t>工程总承包实施方案</w:t>
            </w:r>
          </w:p>
          <w:p>
            <w:pPr>
              <w:snapToGrid w:val="0"/>
              <w:ind w:right="42" w:rightChars="20" w:firstLine="420" w:firstLineChars="200"/>
              <w:rPr>
                <w:rFonts w:ascii="宋体" w:hAnsi="宋体" w:cs="宋体"/>
                <w:bCs/>
                <w:color w:val="auto"/>
                <w:szCs w:val="21"/>
                <w:highlight w:val="none"/>
                <w:lang w:val="zh-TW"/>
              </w:rPr>
            </w:pPr>
            <w:r>
              <w:rPr>
                <w:rFonts w:hint="eastAsia" w:ascii="宋体" w:hAnsi="宋体" w:cs="宋体"/>
                <w:bCs/>
                <w:color w:val="auto"/>
                <w:szCs w:val="21"/>
                <w:highlight w:val="none"/>
                <w:lang w:val="zh-TW"/>
              </w:rPr>
              <w:t>（</w:t>
            </w:r>
            <w:r>
              <w:rPr>
                <w:rFonts w:hint="eastAsia" w:ascii="宋体" w:hAnsi="宋体" w:cs="宋体"/>
                <w:bCs/>
                <w:color w:val="auto"/>
                <w:szCs w:val="21"/>
                <w:highlight w:val="none"/>
              </w:rPr>
              <w:t xml:space="preserve"> 64</w:t>
            </w:r>
            <w:r>
              <w:rPr>
                <w:rFonts w:hint="eastAsia" w:ascii="宋体" w:hAnsi="宋体" w:cs="宋体"/>
                <w:bCs/>
                <w:color w:val="auto"/>
                <w:szCs w:val="21"/>
                <w:highlight w:val="none"/>
                <w:lang w:val="zh-TW"/>
              </w:rPr>
              <w:t>分）</w:t>
            </w:r>
          </w:p>
        </w:tc>
        <w:tc>
          <w:tcPr>
            <w:tcW w:w="742" w:type="dxa"/>
            <w:noWrap w:val="0"/>
            <w:tcMar>
              <w:top w:w="15" w:type="dxa"/>
              <w:left w:w="37" w:type="dxa"/>
              <w:bottom w:w="0" w:type="dxa"/>
              <w:right w:w="37" w:type="dxa"/>
            </w:tcMar>
            <w:vAlign w:val="center"/>
          </w:tcPr>
          <w:p>
            <w:pPr>
              <w:adjustRightInd w:val="0"/>
              <w:snapToGrid w:val="0"/>
              <w:spacing w:line="360" w:lineRule="auto"/>
              <w:jc w:val="left"/>
              <w:rPr>
                <w:rFonts w:ascii="宋体" w:hAnsi="宋体" w:cs="宋体"/>
                <w:bCs/>
                <w:strike/>
                <w:color w:val="auto"/>
                <w:szCs w:val="21"/>
                <w:highlight w:val="none"/>
                <w:lang w:val="zh-TW"/>
              </w:rPr>
            </w:pPr>
            <w:r>
              <w:rPr>
                <w:rFonts w:hint="eastAsia" w:ascii="宋体" w:hAnsi="宋体" w:cs="宋体"/>
                <w:bCs/>
                <w:color w:val="auto"/>
                <w:szCs w:val="21"/>
                <w:highlight w:val="none"/>
              </w:rPr>
              <w:t>设计与施工的融合</w:t>
            </w:r>
          </w:p>
        </w:tc>
        <w:tc>
          <w:tcPr>
            <w:tcW w:w="898" w:type="dxa"/>
            <w:noWrap w:val="0"/>
            <w:vAlign w:val="center"/>
          </w:tcPr>
          <w:p>
            <w:pPr>
              <w:snapToGrid w:val="0"/>
              <w:spacing w:line="360" w:lineRule="auto"/>
              <w:jc w:val="center"/>
              <w:rPr>
                <w:rFonts w:hint="default" w:ascii="宋体" w:hAnsi="宋体" w:eastAsia="宋体" w:cs="宋体"/>
                <w:bCs/>
                <w:strike/>
                <w:color w:val="auto"/>
                <w:szCs w:val="21"/>
                <w:highlight w:val="none"/>
                <w:lang w:val="en-US" w:eastAsia="zh-CN"/>
              </w:rPr>
            </w:pPr>
            <w:r>
              <w:rPr>
                <w:rFonts w:hint="eastAsia" w:ascii="宋体" w:hAnsi="宋体" w:eastAsia="宋体" w:cs="宋体"/>
                <w:bCs/>
                <w:color w:val="auto"/>
                <w:szCs w:val="21"/>
                <w:highlight w:val="none"/>
                <w:lang w:val="en-US" w:eastAsia="zh-CN"/>
              </w:rPr>
              <w:t>12</w:t>
            </w:r>
          </w:p>
        </w:tc>
        <w:tc>
          <w:tcPr>
            <w:tcW w:w="10733" w:type="dxa"/>
            <w:noWrap w:val="0"/>
            <w:tcMar>
              <w:top w:w="15" w:type="dxa"/>
              <w:left w:w="37" w:type="dxa"/>
              <w:bottom w:w="0" w:type="dxa"/>
              <w:right w:w="37" w:type="dxa"/>
            </w:tcMar>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优：有项目团队的组建（包括设计、施工方人员架构），有设计和施工融合目标，有设计和施工融合管理体系，有设计施工融合措施，得</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 xml:space="preserve">分；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良：有项目团队的组建（包括设计、施工方人员架构），有设计和施工融合目标，有设计施工融合措施，但无设计和施工融合管理体系，得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中：有项目团队的组建（包括设计、施工方人员架构），有设计和施工融合目标，有设计和施工融合管理体系，但无设计施工融合措施，得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p>
            <w:pPr>
              <w:spacing w:line="360" w:lineRule="auto"/>
              <w:rPr>
                <w:rFonts w:ascii="宋体" w:hAnsi="宋体" w:cs="宋体"/>
                <w:bCs/>
                <w:strike/>
                <w:color w:val="auto"/>
                <w:szCs w:val="21"/>
                <w:highlight w:val="none"/>
                <w:lang w:val="zh-TW"/>
              </w:rPr>
            </w:pPr>
            <w:r>
              <w:rPr>
                <w:rFonts w:hint="eastAsia" w:ascii="宋体" w:hAnsi="宋体" w:cs="宋体"/>
                <w:color w:val="auto"/>
                <w:szCs w:val="21"/>
                <w:highlight w:val="none"/>
              </w:rPr>
              <w:t>差：不满足前述要求者，得0分。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color w:val="auto"/>
                <w:szCs w:val="21"/>
                <w:highlight w:val="none"/>
                <w:lang w:val="zh-TW"/>
              </w:rPr>
            </w:pPr>
          </w:p>
        </w:tc>
        <w:tc>
          <w:tcPr>
            <w:tcW w:w="742" w:type="dxa"/>
            <w:noWrap w:val="0"/>
            <w:tcMar>
              <w:top w:w="15" w:type="dxa"/>
              <w:left w:w="37" w:type="dxa"/>
              <w:bottom w:w="0" w:type="dxa"/>
              <w:right w:w="37" w:type="dxa"/>
            </w:tcMar>
            <w:vAlign w:val="center"/>
          </w:tcPr>
          <w:p>
            <w:pPr>
              <w:snapToGrid w:val="0"/>
              <w:spacing w:line="360" w:lineRule="auto"/>
              <w:jc w:val="left"/>
              <w:rPr>
                <w:rFonts w:hint="eastAsia" w:ascii="宋体" w:hAnsi="宋体" w:cs="宋体"/>
                <w:bCs/>
                <w:strike/>
                <w:color w:val="auto"/>
                <w:szCs w:val="21"/>
                <w:highlight w:val="none"/>
                <w:lang w:val="zh-TW"/>
              </w:rPr>
            </w:pPr>
            <w:r>
              <w:rPr>
                <w:rFonts w:hint="eastAsia" w:ascii="宋体" w:hAnsi="宋体" w:cs="宋体"/>
                <w:bCs/>
                <w:color w:val="auto"/>
                <w:szCs w:val="21"/>
                <w:highlight w:val="none"/>
              </w:rPr>
              <w:t>绿色节能控制措施</w:t>
            </w:r>
          </w:p>
        </w:tc>
        <w:tc>
          <w:tcPr>
            <w:tcW w:w="898" w:type="dxa"/>
            <w:noWrap w:val="0"/>
            <w:vAlign w:val="center"/>
          </w:tcPr>
          <w:p>
            <w:pPr>
              <w:snapToGrid w:val="0"/>
              <w:spacing w:line="360" w:lineRule="auto"/>
              <w:jc w:val="center"/>
              <w:rPr>
                <w:rFonts w:hint="default" w:ascii="宋体" w:hAnsi="宋体" w:eastAsia="宋体" w:cs="宋体"/>
                <w:bCs/>
                <w:strike/>
                <w:color w:val="auto"/>
                <w:szCs w:val="21"/>
                <w:highlight w:val="none"/>
                <w:lang w:val="en-US" w:eastAsia="zh-CN"/>
              </w:rPr>
            </w:pPr>
            <w:r>
              <w:rPr>
                <w:rFonts w:hint="eastAsia" w:ascii="宋体" w:hAnsi="宋体" w:eastAsia="宋体" w:cs="宋体"/>
                <w:bCs/>
                <w:color w:val="auto"/>
                <w:szCs w:val="21"/>
                <w:highlight w:val="none"/>
                <w:lang w:val="en-US" w:eastAsia="zh-CN"/>
              </w:rPr>
              <w:t>10</w:t>
            </w:r>
          </w:p>
        </w:tc>
        <w:tc>
          <w:tcPr>
            <w:tcW w:w="10733" w:type="dxa"/>
            <w:noWrap w:val="0"/>
            <w:tcMar>
              <w:top w:w="15" w:type="dxa"/>
              <w:left w:w="37" w:type="dxa"/>
              <w:bottom w:w="0" w:type="dxa"/>
              <w:right w:w="37" w:type="dxa"/>
            </w:tcMar>
            <w:vAlign w:val="center"/>
          </w:tcPr>
          <w:p>
            <w:pPr>
              <w:spacing w:line="36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优：有绿色施工目标、绿色施工管理体系、绿色施工保证措施（如：节能控制措施、材料消耗和环境保护方面等控制措施），且承诺本项目绿色建筑达标率达到100％，得</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分；</w:t>
            </w:r>
          </w:p>
          <w:p>
            <w:pPr>
              <w:spacing w:line="36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良：有绿色施工目标或有绿色施工管理体系或有绿色施工保证措施（如：节能控制措施、材料消耗和环境保护方面等控制措施），且承诺本项目绿色建筑达标率达到100％，得</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分；</w:t>
            </w:r>
          </w:p>
          <w:p>
            <w:pPr>
              <w:spacing w:line="36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中：仅承诺本项目绿色建筑达标率达到100％，得</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分；</w:t>
            </w:r>
          </w:p>
          <w:p>
            <w:pPr>
              <w:spacing w:line="360" w:lineRule="auto"/>
              <w:rPr>
                <w:rFonts w:hint="eastAsia" w:ascii="宋体" w:hAnsi="宋体" w:cs="宋体"/>
                <w:strike/>
                <w:color w:val="auto"/>
                <w:szCs w:val="21"/>
                <w:highlight w:val="none"/>
              </w:rPr>
            </w:pPr>
            <w:r>
              <w:rPr>
                <w:rFonts w:hint="eastAsia" w:ascii="宋体" w:hAnsi="宋体" w:cs="宋体"/>
                <w:bCs/>
                <w:color w:val="auto"/>
                <w:szCs w:val="21"/>
                <w:highlight w:val="none"/>
              </w:rPr>
              <w:t>差：不满足前述要求者，得0分。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left"/>
              <w:rPr>
                <w:rFonts w:ascii="宋体" w:hAnsi="宋体" w:cs="宋体"/>
                <w:bCs/>
                <w:color w:val="auto"/>
                <w:szCs w:val="21"/>
                <w:highlight w:val="none"/>
                <w:lang w:val="zh-TW"/>
              </w:rPr>
            </w:pPr>
          </w:p>
        </w:tc>
        <w:tc>
          <w:tcPr>
            <w:tcW w:w="742" w:type="dxa"/>
            <w:noWrap w:val="0"/>
            <w:tcMar>
              <w:top w:w="15" w:type="dxa"/>
              <w:left w:w="37" w:type="dxa"/>
              <w:bottom w:w="0" w:type="dxa"/>
              <w:right w:w="37" w:type="dxa"/>
            </w:tcMar>
            <w:vAlign w:val="center"/>
          </w:tcPr>
          <w:p>
            <w:pPr>
              <w:snapToGrid w:val="0"/>
              <w:spacing w:line="360" w:lineRule="auto"/>
              <w:jc w:val="left"/>
              <w:rPr>
                <w:rFonts w:hint="eastAsia" w:ascii="宋体" w:hAnsi="宋体" w:cs="宋体"/>
                <w:bCs/>
                <w:strike/>
                <w:color w:val="auto"/>
                <w:szCs w:val="21"/>
                <w:highlight w:val="none"/>
                <w:lang w:val="zh-TW"/>
              </w:rPr>
            </w:pPr>
            <w:r>
              <w:rPr>
                <w:rFonts w:hint="eastAsia" w:ascii="宋体" w:hAnsi="宋体" w:cs="宋体"/>
                <w:bCs/>
                <w:color w:val="auto"/>
                <w:szCs w:val="21"/>
                <w:highlight w:val="none"/>
                <w:lang w:val="zh-TW"/>
              </w:rPr>
              <w:t>安全控制措施</w:t>
            </w:r>
          </w:p>
        </w:tc>
        <w:tc>
          <w:tcPr>
            <w:tcW w:w="898" w:type="dxa"/>
            <w:noWrap w:val="0"/>
            <w:vAlign w:val="center"/>
          </w:tcPr>
          <w:p>
            <w:pPr>
              <w:snapToGrid w:val="0"/>
              <w:spacing w:line="360" w:lineRule="auto"/>
              <w:jc w:val="center"/>
              <w:rPr>
                <w:rFonts w:hint="default" w:ascii="宋体" w:hAnsi="宋体" w:eastAsia="宋体" w:cs="宋体"/>
                <w:bCs/>
                <w:strike/>
                <w:color w:val="auto"/>
                <w:szCs w:val="21"/>
                <w:highlight w:val="none"/>
                <w:lang w:val="en-US" w:eastAsia="zh-CN"/>
              </w:rPr>
            </w:pPr>
            <w:r>
              <w:rPr>
                <w:rFonts w:hint="eastAsia" w:ascii="宋体" w:hAnsi="宋体" w:eastAsia="宋体" w:cs="宋体"/>
                <w:bCs/>
                <w:color w:val="auto"/>
                <w:szCs w:val="21"/>
                <w:highlight w:val="none"/>
                <w:lang w:val="en-US" w:eastAsia="zh-CN"/>
              </w:rPr>
              <w:t>10</w:t>
            </w:r>
          </w:p>
        </w:tc>
        <w:tc>
          <w:tcPr>
            <w:tcW w:w="10733" w:type="dxa"/>
            <w:noWrap w:val="0"/>
            <w:tcMar>
              <w:top w:w="15" w:type="dxa"/>
              <w:left w:w="37" w:type="dxa"/>
              <w:bottom w:w="0" w:type="dxa"/>
              <w:right w:w="37" w:type="dxa"/>
            </w:tcMar>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优：有确保不发生等级安全事故，提供安全文明施工目标、安全文明施工管理体系、安全文明施工保证措施，得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良：确保不发生等级安全事故，提供安全文明施工目标、安全文明施工保证措施，得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中：确保不发生等级安全事故，提供安全文明施工目标，安全文明施工管理体系，得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w:t>
            </w:r>
          </w:p>
          <w:p>
            <w:pPr>
              <w:spacing w:line="360" w:lineRule="auto"/>
              <w:jc w:val="left"/>
              <w:rPr>
                <w:rFonts w:hint="eastAsia" w:ascii="宋体" w:hAnsi="宋体" w:cs="宋体"/>
                <w:strike/>
                <w:color w:val="auto"/>
                <w:szCs w:val="21"/>
                <w:highlight w:val="none"/>
              </w:rPr>
            </w:pPr>
            <w:r>
              <w:rPr>
                <w:rFonts w:hint="eastAsia" w:ascii="宋体" w:hAnsi="宋体" w:cs="宋体"/>
                <w:color w:val="auto"/>
                <w:szCs w:val="21"/>
                <w:highlight w:val="none"/>
              </w:rPr>
              <w:t>差：不满足前述要求者，得0分。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left"/>
              <w:rPr>
                <w:rFonts w:ascii="宋体" w:hAnsi="宋体" w:cs="宋体"/>
                <w:bCs/>
                <w:color w:val="auto"/>
                <w:szCs w:val="21"/>
                <w:highlight w:val="none"/>
                <w:lang w:val="zh-TW"/>
              </w:rPr>
            </w:pPr>
          </w:p>
        </w:tc>
        <w:tc>
          <w:tcPr>
            <w:tcW w:w="742" w:type="dxa"/>
            <w:noWrap w:val="0"/>
            <w:tcMar>
              <w:top w:w="15" w:type="dxa"/>
              <w:left w:w="37" w:type="dxa"/>
              <w:bottom w:w="0" w:type="dxa"/>
              <w:right w:w="37" w:type="dxa"/>
            </w:tcMar>
            <w:vAlign w:val="center"/>
          </w:tcPr>
          <w:p>
            <w:pPr>
              <w:snapToGrid w:val="0"/>
              <w:spacing w:line="360" w:lineRule="auto"/>
              <w:jc w:val="left"/>
              <w:rPr>
                <w:rFonts w:ascii="宋体" w:hAnsi="宋体" w:cs="宋体"/>
                <w:bCs/>
                <w:strike/>
                <w:color w:val="auto"/>
                <w:szCs w:val="21"/>
                <w:highlight w:val="none"/>
                <w:lang w:val="zh-TW"/>
              </w:rPr>
            </w:pPr>
            <w:r>
              <w:rPr>
                <w:rFonts w:hint="eastAsia" w:ascii="宋体" w:hAnsi="宋体" w:cs="宋体"/>
                <w:bCs/>
                <w:color w:val="auto"/>
                <w:szCs w:val="21"/>
                <w:highlight w:val="none"/>
                <w:lang w:val="zh-TW"/>
              </w:rPr>
              <w:t>质量控制措施</w:t>
            </w:r>
          </w:p>
        </w:tc>
        <w:tc>
          <w:tcPr>
            <w:tcW w:w="898" w:type="dxa"/>
            <w:noWrap w:val="0"/>
            <w:vAlign w:val="center"/>
          </w:tcPr>
          <w:p>
            <w:pPr>
              <w:snapToGrid w:val="0"/>
              <w:spacing w:line="360" w:lineRule="auto"/>
              <w:jc w:val="center"/>
              <w:rPr>
                <w:rFonts w:hint="default" w:ascii="宋体" w:hAnsi="宋体" w:eastAsia="宋体" w:cs="宋体"/>
                <w:bCs/>
                <w:strike/>
                <w:color w:val="auto"/>
                <w:szCs w:val="21"/>
                <w:highlight w:val="none"/>
                <w:lang w:val="en-US" w:eastAsia="zh-CN"/>
              </w:rPr>
            </w:pPr>
            <w:r>
              <w:rPr>
                <w:rFonts w:hint="eastAsia" w:ascii="宋体" w:hAnsi="宋体" w:cs="宋体"/>
                <w:bCs/>
                <w:color w:val="auto"/>
                <w:szCs w:val="21"/>
                <w:highlight w:val="none"/>
                <w:lang w:val="en-US" w:eastAsia="zh-CN"/>
              </w:rPr>
              <w:t>10</w:t>
            </w:r>
          </w:p>
        </w:tc>
        <w:tc>
          <w:tcPr>
            <w:tcW w:w="10733" w:type="dxa"/>
            <w:noWrap w:val="0"/>
            <w:tcMar>
              <w:top w:w="15" w:type="dxa"/>
              <w:left w:w="37" w:type="dxa"/>
              <w:bottom w:w="0" w:type="dxa"/>
              <w:right w:w="37" w:type="dxa"/>
            </w:tcMar>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优：质量目标符合招标文件要求，提供质量管理目标、质量管理体系、质量保证措施，得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良：质量目标符合招标文件要求，提供质量管理目标、质量保证措施，得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中：质量目标符合招标文件要求，提供质量管理目标，质量管理体系，得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w:t>
            </w:r>
          </w:p>
          <w:p>
            <w:pPr>
              <w:adjustRightInd w:val="0"/>
              <w:snapToGrid w:val="0"/>
              <w:spacing w:line="360" w:lineRule="auto"/>
              <w:rPr>
                <w:rFonts w:ascii="宋体" w:hAnsi="宋体" w:cs="宋体"/>
                <w:bCs/>
                <w:strike/>
                <w:color w:val="auto"/>
                <w:szCs w:val="21"/>
                <w:highlight w:val="none"/>
                <w:lang w:val="zh-TW"/>
              </w:rPr>
            </w:pPr>
            <w:r>
              <w:rPr>
                <w:rFonts w:hint="eastAsia" w:ascii="宋体" w:hAnsi="宋体" w:cs="宋体"/>
                <w:color w:val="auto"/>
                <w:szCs w:val="21"/>
                <w:highlight w:val="none"/>
              </w:rPr>
              <w:t>差：不满足前述要求者，得0分。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left"/>
              <w:rPr>
                <w:rFonts w:ascii="宋体" w:hAnsi="宋体" w:cs="宋体"/>
                <w:bCs/>
                <w:color w:val="auto"/>
                <w:szCs w:val="21"/>
                <w:highlight w:val="none"/>
                <w:lang w:val="zh-TW"/>
              </w:rPr>
            </w:pPr>
          </w:p>
        </w:tc>
        <w:tc>
          <w:tcPr>
            <w:tcW w:w="742" w:type="dxa"/>
            <w:noWrap w:val="0"/>
            <w:tcMar>
              <w:top w:w="15" w:type="dxa"/>
              <w:left w:w="37" w:type="dxa"/>
              <w:bottom w:w="0" w:type="dxa"/>
              <w:right w:w="37" w:type="dxa"/>
            </w:tcMar>
            <w:vAlign w:val="center"/>
          </w:tcPr>
          <w:p>
            <w:pPr>
              <w:snapToGrid w:val="0"/>
              <w:spacing w:line="360" w:lineRule="auto"/>
              <w:jc w:val="left"/>
              <w:rPr>
                <w:rFonts w:hint="eastAsia" w:ascii="宋体" w:hAnsi="宋体" w:cs="宋体"/>
                <w:bCs/>
                <w:color w:val="auto"/>
                <w:szCs w:val="21"/>
                <w:highlight w:val="none"/>
                <w:lang w:val="zh-TW"/>
              </w:rPr>
            </w:pPr>
            <w:r>
              <w:rPr>
                <w:rFonts w:hint="eastAsia" w:ascii="宋体" w:hAnsi="宋体" w:cs="宋体"/>
                <w:bCs/>
                <w:color w:val="auto"/>
                <w:szCs w:val="21"/>
                <w:highlight w:val="none"/>
                <w:lang w:val="zh-TW"/>
              </w:rPr>
              <w:t>进度控制措施</w:t>
            </w:r>
          </w:p>
        </w:tc>
        <w:tc>
          <w:tcPr>
            <w:tcW w:w="898" w:type="dxa"/>
            <w:noWrap w:val="0"/>
            <w:vAlign w:val="center"/>
          </w:tcPr>
          <w:p>
            <w:pPr>
              <w:snapToGrid w:val="0"/>
              <w:spacing w:line="360" w:lineRule="auto"/>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12</w:t>
            </w:r>
          </w:p>
        </w:tc>
        <w:tc>
          <w:tcPr>
            <w:tcW w:w="10733" w:type="dxa"/>
            <w:noWrap w:val="0"/>
            <w:tcMar>
              <w:top w:w="15" w:type="dxa"/>
              <w:left w:w="37" w:type="dxa"/>
              <w:bottom w:w="0" w:type="dxa"/>
              <w:right w:w="37" w:type="dxa"/>
            </w:tcMar>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优：提供工期目标、施工进度计划横道图、进度保证措施，</w:t>
            </w:r>
            <w:r>
              <w:rPr>
                <w:rFonts w:ascii="宋体" w:hAnsi="宋体" w:cs="宋体"/>
                <w:color w:val="auto"/>
                <w:szCs w:val="21"/>
                <w:highlight w:val="none"/>
              </w:rPr>
              <w:t>工期计划目标对比招标文件要求提前15天或以上完工，</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良：提供工期目标、施工进度计划横道图，</w:t>
            </w:r>
            <w:r>
              <w:rPr>
                <w:rFonts w:ascii="宋体" w:hAnsi="宋体" w:cs="宋体"/>
                <w:color w:val="auto"/>
                <w:szCs w:val="21"/>
                <w:highlight w:val="none"/>
              </w:rPr>
              <w:t>工期计划目标对比招标文件要求提前5至14天完工，</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中：提供工期目标、进度保证措施，</w:t>
            </w:r>
            <w:r>
              <w:rPr>
                <w:rFonts w:ascii="宋体" w:hAnsi="宋体" w:cs="宋体"/>
                <w:color w:val="auto"/>
                <w:szCs w:val="21"/>
                <w:highlight w:val="none"/>
              </w:rPr>
              <w:t>工期计划目标对比招标文件要求提前1至4天完工，</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差：不满足前述要求者，得0分。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99" w:type="dxa"/>
            <w:vMerge w:val="continue"/>
            <w:noWrap w:val="0"/>
            <w:tcMar>
              <w:top w:w="15" w:type="dxa"/>
              <w:left w:w="37" w:type="dxa"/>
              <w:bottom w:w="0" w:type="dxa"/>
              <w:right w:w="37" w:type="dxa"/>
            </w:tcMar>
            <w:vAlign w:val="center"/>
          </w:tcPr>
          <w:p>
            <w:pPr>
              <w:snapToGrid w:val="0"/>
              <w:ind w:left="42" w:leftChars="20" w:right="42" w:rightChars="20"/>
              <w:jc w:val="left"/>
              <w:rPr>
                <w:rFonts w:ascii="宋体" w:hAnsi="宋体" w:cs="宋体"/>
                <w:bCs/>
                <w:color w:val="auto"/>
                <w:szCs w:val="21"/>
                <w:highlight w:val="none"/>
                <w:lang w:val="zh-TW"/>
              </w:rPr>
            </w:pPr>
          </w:p>
        </w:tc>
        <w:tc>
          <w:tcPr>
            <w:tcW w:w="742" w:type="dxa"/>
            <w:noWrap w:val="0"/>
            <w:tcMar>
              <w:top w:w="15" w:type="dxa"/>
              <w:left w:w="37" w:type="dxa"/>
              <w:bottom w:w="0" w:type="dxa"/>
              <w:right w:w="37" w:type="dxa"/>
            </w:tcMar>
            <w:vAlign w:val="center"/>
          </w:tcPr>
          <w:p>
            <w:pPr>
              <w:snapToGrid w:val="0"/>
              <w:spacing w:line="360" w:lineRule="auto"/>
              <w:jc w:val="left"/>
              <w:rPr>
                <w:rFonts w:hint="eastAsia" w:ascii="宋体" w:hAnsi="宋体" w:cs="宋体"/>
                <w:bCs/>
                <w:color w:val="auto"/>
                <w:szCs w:val="21"/>
                <w:highlight w:val="none"/>
                <w:lang w:val="zh-TW"/>
              </w:rPr>
            </w:pPr>
            <w:r>
              <w:rPr>
                <w:rFonts w:hint="eastAsia" w:ascii="宋体" w:hAnsi="宋体" w:cs="宋体"/>
                <w:color w:val="auto"/>
                <w:szCs w:val="21"/>
                <w:highlight w:val="none"/>
              </w:rPr>
              <w:t>施工机械设备的配置</w:t>
            </w:r>
          </w:p>
        </w:tc>
        <w:tc>
          <w:tcPr>
            <w:tcW w:w="898" w:type="dxa"/>
            <w:noWrap w:val="0"/>
            <w:vAlign w:val="center"/>
          </w:tcPr>
          <w:p>
            <w:pPr>
              <w:snapToGrid w:val="0"/>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10</w:t>
            </w:r>
          </w:p>
        </w:tc>
        <w:tc>
          <w:tcPr>
            <w:tcW w:w="10733" w:type="dxa"/>
            <w:noWrap w:val="0"/>
            <w:tcMar>
              <w:top w:w="15" w:type="dxa"/>
              <w:left w:w="37" w:type="dxa"/>
              <w:bottom w:w="0" w:type="dxa"/>
              <w:right w:w="37" w:type="dxa"/>
            </w:tcMar>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优：有拟配备的主要机械设备，施工高峰期拟投入的施工机械设备数量满足施工要求，且有保障措施，适应性、可行性强的，得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良：有拟配备的主要机械设备，施工高峰期拟投入的施工机械设备数量满足施工要求，且有保障措施，适应性、可行性较强的，得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中：有拟配备的主要机械设备，施工高峰期拟投入的施工机械设备数量满足施工要求，基本适应、可行的，得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差：不满足上述优、良、中三档要求的，得0分。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2341" w:type="dxa"/>
            <w:gridSpan w:val="2"/>
            <w:noWrap w:val="0"/>
            <w:tcMar>
              <w:top w:w="15" w:type="dxa"/>
              <w:left w:w="37" w:type="dxa"/>
              <w:bottom w:w="0" w:type="dxa"/>
              <w:right w:w="37" w:type="dxa"/>
            </w:tcMar>
            <w:vAlign w:val="center"/>
          </w:tcPr>
          <w:p>
            <w:pPr>
              <w:snapToGrid w:val="0"/>
              <w:ind w:left="42" w:leftChars="20" w:right="42" w:rightChars="20"/>
              <w:jc w:val="left"/>
              <w:rPr>
                <w:rFonts w:ascii="宋体" w:hAnsi="宋体" w:cs="宋体"/>
                <w:bCs/>
                <w:color w:val="auto"/>
                <w:szCs w:val="21"/>
                <w:highlight w:val="none"/>
                <w:lang w:val="zh-TW"/>
              </w:rPr>
            </w:pPr>
            <w:r>
              <w:rPr>
                <w:rFonts w:hint="eastAsia" w:ascii="宋体" w:hAnsi="宋体" w:cs="宋体"/>
                <w:bCs/>
                <w:color w:val="auto"/>
                <w:szCs w:val="21"/>
                <w:highlight w:val="none"/>
                <w:lang w:val="zh-TW"/>
              </w:rPr>
              <w:t>合计（一 + 二）</w:t>
            </w:r>
          </w:p>
        </w:tc>
        <w:tc>
          <w:tcPr>
            <w:tcW w:w="898" w:type="dxa"/>
            <w:noWrap w:val="0"/>
            <w:tcMar>
              <w:top w:w="15" w:type="dxa"/>
              <w:left w:w="37" w:type="dxa"/>
              <w:bottom w:w="0" w:type="dxa"/>
              <w:right w:w="37" w:type="dxa"/>
            </w:tcMar>
            <w:vAlign w:val="center"/>
          </w:tcPr>
          <w:p>
            <w:pPr>
              <w:snapToGrid w:val="0"/>
              <w:ind w:left="42" w:leftChars="20" w:right="42" w:rightChars="20"/>
              <w:jc w:val="center"/>
              <w:rPr>
                <w:rFonts w:ascii="宋体" w:hAnsi="宋体" w:cs="宋体"/>
                <w:bCs/>
                <w:color w:val="auto"/>
                <w:szCs w:val="21"/>
                <w:highlight w:val="none"/>
                <w:lang w:val="zh-TW"/>
              </w:rPr>
            </w:pPr>
            <w:r>
              <w:rPr>
                <w:rFonts w:hint="eastAsia" w:ascii="宋体" w:hAnsi="宋体" w:cs="宋体"/>
                <w:bCs/>
                <w:color w:val="auto"/>
                <w:szCs w:val="21"/>
                <w:highlight w:val="none"/>
                <w:lang w:val="zh-TW"/>
              </w:rPr>
              <w:t>100分</w:t>
            </w:r>
          </w:p>
        </w:tc>
        <w:tc>
          <w:tcPr>
            <w:tcW w:w="10733" w:type="dxa"/>
            <w:noWrap w:val="0"/>
            <w:tcMar>
              <w:top w:w="15" w:type="dxa"/>
              <w:left w:w="37" w:type="dxa"/>
              <w:bottom w:w="0" w:type="dxa"/>
              <w:right w:w="37" w:type="dxa"/>
            </w:tcMar>
            <w:vAlign w:val="center"/>
          </w:tcPr>
          <w:p>
            <w:pPr>
              <w:snapToGrid w:val="0"/>
              <w:ind w:left="42" w:leftChars="20" w:right="42" w:rightChars="20"/>
              <w:jc w:val="left"/>
              <w:rPr>
                <w:rFonts w:ascii="宋体" w:hAnsi="宋体" w:cs="宋体"/>
                <w:bCs/>
                <w:color w:val="auto"/>
                <w:szCs w:val="21"/>
                <w:highlight w:val="none"/>
                <w:lang w:val="zh-TW"/>
              </w:rPr>
            </w:pPr>
          </w:p>
        </w:tc>
      </w:tr>
    </w:tbl>
    <w:p>
      <w:pPr>
        <w:widowControl/>
        <w:spacing w:line="360" w:lineRule="auto"/>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备注</w:t>
      </w:r>
    </w:p>
    <w:p>
      <w:pPr>
        <w:rPr>
          <w:rFonts w:hint="eastAsia" w:ascii="宋体" w:hAnsi="宋体"/>
          <w:color w:val="auto"/>
          <w:szCs w:val="21"/>
          <w:highlight w:val="none"/>
          <w:lang w:val="en-US"/>
        </w:rPr>
      </w:pPr>
      <w:r>
        <w:rPr>
          <w:rFonts w:hint="eastAsia" w:ascii="宋体" w:hAnsi="宋体"/>
          <w:b/>
          <w:bCs/>
          <w:color w:val="auto"/>
          <w:szCs w:val="21"/>
          <w:highlight w:val="none"/>
          <w:lang w:val="en-US" w:eastAsia="zh-CN"/>
        </w:rPr>
        <w:t>1</w:t>
      </w:r>
      <w:r>
        <w:rPr>
          <w:rFonts w:hint="eastAsia" w:ascii="宋体" w:hAnsi="宋体"/>
          <w:color w:val="auto"/>
          <w:szCs w:val="21"/>
          <w:highlight w:val="none"/>
          <w:lang w:val="en-US"/>
        </w:rPr>
        <w:t>、【企业获奖】：</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施工获奖：（1）工程获奖可取自广州市住建行业信用管理平台。不取自该平台的，需提供获奖证书原件彩色扫描件的，并同时提供获奖业绩的中标通知书或免招标证明，施工合同(补充合同，如有)并加盖投标人企业电子印章。①国家级奖项指的是中国建设工程鲁班奖、国家优质工程金奖、国家优质工程奖、中国土木工程詹天佑奖、中国（全国）建筑工程装饰奖；省或市级奖项包括：由省、市级建设行政主管部门或行业协会（行业协会须在民政部门取得成立登记批准）颁发的工程奖项，其它安全文明、绿色施工、技术创新、QC成果、机电安装、科技进步及技术应用类奖项不参与计分；②只计算房屋建筑类、建筑装修装饰类工程项目的质量奖项，其他非房屋建筑类、建筑装修装饰类工程项目获奖，如：路桥、铁路、水利、电力、化工、冶金、市政等获奖不参与计分。同一项目获得多个奖项的，该项目获奖只按其中一个奖项所在最高级别计算一次分数，不得重复计算。时间以获奖证书的发证日期为准，并加盖投标人电子印章，未按上述要求提供或提供的资料不符合上述要求的，不得分。</w:t>
      </w:r>
    </w:p>
    <w:p>
      <w:pPr>
        <w:rPr>
          <w:rFonts w:hint="eastAsia" w:ascii="宋体" w:hAnsi="宋体"/>
          <w:color w:val="auto"/>
          <w:szCs w:val="21"/>
          <w:highlight w:val="none"/>
          <w:lang w:val="en-US"/>
        </w:rPr>
      </w:pPr>
      <w:r>
        <w:rPr>
          <w:rFonts w:hint="eastAsia" w:ascii="宋体" w:hAnsi="宋体"/>
          <w:color w:val="auto"/>
          <w:szCs w:val="21"/>
          <w:highlight w:val="none"/>
          <w:lang w:val="en-US" w:eastAsia="zh-CN"/>
        </w:rPr>
        <w:t>设计获奖：</w:t>
      </w:r>
      <w:r>
        <w:rPr>
          <w:rFonts w:hint="eastAsia" w:ascii="宋体" w:hAnsi="宋体"/>
          <w:color w:val="auto"/>
          <w:szCs w:val="21"/>
          <w:highlight w:val="none"/>
          <w:lang w:val="en-US"/>
        </w:rPr>
        <w:t>国家级奖项：指中国土木工程学会颁发的中国土木工程詹天佑奖；住建部颁发的全国优秀工程勘察设计奖；中国勘察设计协会颁发的全国优秀工程勘察设计行业奖；住建部的华夏建设科学技术奖励委员会颁发的华夏建设科学技术奖。省级奖项:指省级建设行政主管部门或省级工程勘察设计行业协会颁发的省级优秀勘察设计奖。市级(含副省级)奖:指市级(含副省级)建设行政主管部门或市级(含副省级)工程勘察设计行业协会颁发的优秀工程勘察设计奖。同一项目获不同奖仅计最高获奖得分，提供获奖证书扫描件，时间以获奖证书落款日期为准。</w:t>
      </w:r>
    </w:p>
    <w:p>
      <w:pPr>
        <w:pStyle w:val="15"/>
        <w:ind w:left="0"/>
        <w:rPr>
          <w:rFonts w:hint="eastAsia"/>
          <w:color w:val="auto"/>
          <w:sz w:val="21"/>
          <w:szCs w:val="21"/>
          <w:highlight w:val="none"/>
          <w:lang w:val="en-US"/>
        </w:rPr>
      </w:pPr>
      <w:r>
        <w:rPr>
          <w:rFonts w:hint="eastAsia"/>
          <w:color w:val="auto"/>
          <w:sz w:val="21"/>
          <w:szCs w:val="21"/>
          <w:highlight w:val="none"/>
          <w:lang w:val="en-US"/>
        </w:rPr>
        <w:t>公共建筑工程：指的是办公建筑（包括写字楼、政府部门办公楼等）、司法建筑（如检察院、法院、公安局、监狱等），商业建筑（如商场、金融建筑、酒店等）、旅游建筑（如旅游饭店、娱乐场所等），科教文体建筑（包括文化、教育、科研、体育建筑等）、医疗卫生建筑（医院、疗养院、医疗科研、疾病预防（或控制）等）、通信建筑（如邮电、通讯、广播用房），交通运输用房（如机场、车站建筑等），民政建筑（如养老院、福利院、殡仪馆等），宗教建筑（如寺院、教堂等)。不包含住宅建筑（包括住宅、宿舍、别墅等）以及工业厂房。</w:t>
      </w:r>
    </w:p>
    <w:p>
      <w:pPr>
        <w:pStyle w:val="15"/>
        <w:rPr>
          <w:rFonts w:hint="eastAsia" w:ascii="宋体" w:hAnsi="宋体"/>
          <w:color w:val="auto"/>
          <w:szCs w:val="21"/>
          <w:highlight w:val="none"/>
          <w:lang w:val="en-US"/>
        </w:rPr>
      </w:pPr>
      <w:r>
        <w:rPr>
          <w:rFonts w:hint="default" w:ascii="宋体" w:hAnsi="宋体"/>
          <w:color w:val="auto"/>
          <w:szCs w:val="21"/>
          <w:highlight w:val="none"/>
          <w:lang w:eastAsia="zh-CN"/>
        </w:rPr>
        <w:t>2.</w:t>
      </w:r>
      <w:r>
        <w:rPr>
          <w:rFonts w:hint="eastAsia" w:ascii="宋体" w:hAnsi="宋体"/>
          <w:color w:val="auto"/>
          <w:szCs w:val="21"/>
          <w:highlight w:val="none"/>
          <w:lang w:val="en-US"/>
        </w:rPr>
        <w:t>【研发创新能力】：</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b w:val="0"/>
          <w:color w:val="auto"/>
          <w:kern w:val="2"/>
          <w:sz w:val="21"/>
          <w:szCs w:val="21"/>
          <w:highlight w:val="none"/>
          <w:lang w:val="en-US" w:eastAsia="zh-CN" w:bidi="ar"/>
        </w:rPr>
        <w:t>（1）</w:t>
      </w:r>
      <w:r>
        <w:rPr>
          <w:rFonts w:hint="eastAsia" w:ascii="宋体" w:hAnsi="宋体" w:eastAsia="宋体" w:cs="宋体"/>
          <w:bCs/>
          <w:color w:val="auto"/>
          <w:kern w:val="2"/>
          <w:sz w:val="21"/>
          <w:szCs w:val="21"/>
          <w:highlight w:val="none"/>
          <w:lang w:val="en-US" w:eastAsia="zh-CN" w:bidi="ar"/>
        </w:rPr>
        <w:t>科技创新企业类证书须提供网上查询获奖名单公示或公布截图（须由建设行政主管部门或行业协会或学会颁发）以及获奖证书的扫描件（证书获奖单位必须与投标单位名称一致，不包含上级公司、子分公司及区域公司），时间以网上查询结果截图或证书载明的年度为准。若颁发单位是行业协会或学会，须同时提供该颁发单位在“中国社会组织公共服务平台”网站(https://chinanpo.mca.gov.cn)登记的查询结果截图，否则该获奖证书不予认定。不满足上述要求的或未提供相关证明材料的不计分。</w:t>
      </w:r>
    </w:p>
    <w:p>
      <w:pPr>
        <w:numPr>
          <w:ilvl w:val="0"/>
          <w:numId w:val="0"/>
        </w:numPr>
        <w:rPr>
          <w:rFonts w:hint="eastAsia" w:ascii="宋体" w:hAnsi="宋体"/>
          <w:color w:val="auto"/>
          <w:szCs w:val="21"/>
          <w:highlight w:val="none"/>
          <w:lang w:val="en-US"/>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w:t>
      </w:r>
      <w:r>
        <w:rPr>
          <w:rFonts w:hint="eastAsia" w:ascii="宋体" w:hAnsi="宋体"/>
          <w:color w:val="auto"/>
          <w:szCs w:val="21"/>
          <w:highlight w:val="none"/>
          <w:lang w:val="en-US"/>
        </w:rPr>
        <w:t>国家级</w:t>
      </w:r>
      <w:r>
        <w:rPr>
          <w:rFonts w:hint="eastAsia" w:ascii="宋体" w:hAnsi="宋体" w:cs="宋体"/>
          <w:color w:val="auto"/>
          <w:szCs w:val="21"/>
          <w:highlight w:val="none"/>
        </w:rPr>
        <w:t>科学技术进步奖或科学技术奖</w:t>
      </w:r>
      <w:r>
        <w:rPr>
          <w:rFonts w:hint="eastAsia" w:ascii="宋体" w:hAnsi="宋体"/>
          <w:color w:val="auto"/>
          <w:szCs w:val="21"/>
          <w:highlight w:val="none"/>
          <w:lang w:val="en-US"/>
        </w:rPr>
        <w:t>是指:由国务院或</w:t>
      </w:r>
      <w:r>
        <w:rPr>
          <w:rFonts w:hint="eastAsia" w:ascii="宋体" w:hAnsi="宋体" w:eastAsia="宋体" w:cs="宋体"/>
          <w:color w:val="auto"/>
          <w:kern w:val="2"/>
          <w:sz w:val="21"/>
          <w:szCs w:val="21"/>
          <w:highlight w:val="none"/>
          <w:lang w:val="en-US" w:eastAsia="zh-CN" w:bidi="ar"/>
        </w:rPr>
        <w:t>国家科学技术进步奖评审委员会</w:t>
      </w:r>
      <w:r>
        <w:rPr>
          <w:rFonts w:hint="default" w:ascii="宋体" w:hAnsi="宋体" w:eastAsia="宋体" w:cs="宋体"/>
          <w:color w:val="auto"/>
          <w:kern w:val="2"/>
          <w:sz w:val="21"/>
          <w:szCs w:val="21"/>
          <w:highlight w:val="none"/>
          <w:lang w:eastAsia="zh-CN" w:bidi="ar"/>
        </w:rPr>
        <w:t>或</w:t>
      </w:r>
      <w:r>
        <w:rPr>
          <w:rFonts w:hint="eastAsia" w:ascii="宋体" w:hAnsi="宋体"/>
          <w:color w:val="auto"/>
          <w:szCs w:val="21"/>
          <w:highlight w:val="none"/>
          <w:lang w:val="en-US"/>
        </w:rPr>
        <w:t>行业协会(行业协会须在民政部门备案)颁发的</w:t>
      </w:r>
      <w:r>
        <w:rPr>
          <w:rFonts w:hint="eastAsia" w:ascii="宋体" w:hAnsi="宋体" w:cs="宋体"/>
          <w:color w:val="auto"/>
          <w:szCs w:val="21"/>
          <w:highlight w:val="none"/>
        </w:rPr>
        <w:t>科学技术进步奖或科学技术奖</w:t>
      </w:r>
      <w:r>
        <w:rPr>
          <w:rFonts w:hint="eastAsia" w:ascii="宋体" w:hAnsi="宋体"/>
          <w:color w:val="auto"/>
          <w:szCs w:val="21"/>
          <w:highlight w:val="none"/>
          <w:lang w:val="en-US"/>
        </w:rPr>
        <w:t>，省级</w:t>
      </w:r>
      <w:r>
        <w:rPr>
          <w:rFonts w:hint="eastAsia" w:ascii="宋体" w:hAnsi="宋体" w:cs="宋体"/>
          <w:color w:val="auto"/>
          <w:szCs w:val="21"/>
          <w:highlight w:val="none"/>
        </w:rPr>
        <w:t>科学技术进步奖或科学技术奖</w:t>
      </w:r>
      <w:r>
        <w:rPr>
          <w:rFonts w:hint="eastAsia" w:ascii="宋体" w:hAnsi="宋体"/>
          <w:color w:val="auto"/>
          <w:szCs w:val="21"/>
          <w:highlight w:val="none"/>
          <w:lang w:val="en-US"/>
        </w:rPr>
        <w:t>是指由省级(含副省级)人民政府或行业协会(行业协会须在民政部门备案)发的省(含副省）</w:t>
      </w:r>
      <w:r>
        <w:rPr>
          <w:rFonts w:hint="eastAsia" w:ascii="宋体" w:hAnsi="宋体" w:cs="宋体"/>
          <w:color w:val="auto"/>
          <w:szCs w:val="21"/>
          <w:highlight w:val="none"/>
        </w:rPr>
        <w:t>科学技术进步奖或科学技术奖</w:t>
      </w:r>
      <w:r>
        <w:rPr>
          <w:rFonts w:hint="eastAsia" w:ascii="宋体" w:hAnsi="宋体"/>
          <w:color w:val="auto"/>
          <w:szCs w:val="21"/>
          <w:highlight w:val="none"/>
          <w:lang w:val="en-US"/>
        </w:rPr>
        <w:t>，市级</w:t>
      </w:r>
      <w:r>
        <w:rPr>
          <w:rFonts w:hint="eastAsia" w:ascii="宋体" w:hAnsi="宋体" w:cs="宋体"/>
          <w:color w:val="auto"/>
          <w:szCs w:val="21"/>
          <w:highlight w:val="none"/>
        </w:rPr>
        <w:t>科学技术进步奖或科学技术奖</w:t>
      </w:r>
      <w:r>
        <w:rPr>
          <w:rFonts w:hint="eastAsia" w:ascii="宋体" w:hAnsi="宋体"/>
          <w:color w:val="auto"/>
          <w:szCs w:val="21"/>
          <w:highlight w:val="none"/>
          <w:lang w:val="en-US"/>
        </w:rPr>
        <w:t>是指由市级人民政府或行业协会(行业协会须在民政部门备案)发科</w:t>
      </w:r>
      <w:r>
        <w:rPr>
          <w:rFonts w:hint="eastAsia" w:ascii="宋体" w:hAnsi="宋体" w:cs="宋体"/>
          <w:color w:val="auto"/>
          <w:szCs w:val="21"/>
          <w:highlight w:val="none"/>
        </w:rPr>
        <w:t>科学技术进步奖或科学技术奖</w:t>
      </w:r>
      <w:r>
        <w:rPr>
          <w:rFonts w:hint="eastAsia" w:ascii="宋体" w:hAnsi="宋体"/>
          <w:color w:val="auto"/>
          <w:szCs w:val="21"/>
          <w:highlight w:val="none"/>
          <w:lang w:val="en-US"/>
        </w:rPr>
        <w:t>。若颁发机构为行业协会，还需要提供组织在中国社会组织政务服务平台（网址：</w:t>
      </w:r>
      <w:r>
        <w:rPr>
          <w:rFonts w:hint="eastAsia" w:ascii="宋体" w:hAnsi="宋体"/>
          <w:color w:val="auto"/>
          <w:szCs w:val="21"/>
          <w:highlight w:val="none"/>
          <w:lang w:val="en-US"/>
        </w:rPr>
        <w:fldChar w:fldCharType="begin"/>
      </w:r>
      <w:r>
        <w:rPr>
          <w:rFonts w:hint="eastAsia" w:ascii="宋体" w:hAnsi="宋体"/>
          <w:color w:val="auto"/>
          <w:szCs w:val="21"/>
          <w:highlight w:val="none"/>
          <w:lang w:val="en-US"/>
        </w:rPr>
        <w:instrText xml:space="preserve"> HYPERLINK "https://chinanpo.mca.gov.cn/）\“全国社会组织信用信息公示平台\”栏查询结果截图，证明其登记备案。投标人须提供获奖证书原件清晰扫描件或网站发布的获奖企业名单公示文件及网页信息截图，时间以证书的颁发时间为准，只计算投标人自身（不含投标人的子公司或分公司），获奖单位名称须与投标人单位名称一致，未提供上述材料的不得分。同一项目获多个奖项的，按最高级别只计算一次得分。" </w:instrText>
      </w:r>
      <w:r>
        <w:rPr>
          <w:rFonts w:hint="eastAsia" w:ascii="宋体" w:hAnsi="宋体"/>
          <w:color w:val="auto"/>
          <w:szCs w:val="21"/>
          <w:highlight w:val="none"/>
          <w:lang w:val="en-US"/>
        </w:rPr>
        <w:fldChar w:fldCharType="separate"/>
      </w:r>
      <w:r>
        <w:rPr>
          <w:rStyle w:val="23"/>
          <w:rFonts w:hint="eastAsia" w:ascii="宋体" w:hAnsi="宋体"/>
          <w:color w:val="auto"/>
          <w:szCs w:val="21"/>
          <w:highlight w:val="none"/>
          <w:lang w:val="en-US"/>
        </w:rPr>
        <w:t>https://chinanpo.mca.gov.cn/）“全国社会组织信用信息公示平台”栏查询结果截图，证明其登记备案。投标人须提供获奖证书原件清晰扫描件或网站发布的获奖企业名单公示文件及网页信息截图，时间以证书的颁发时间为准，只计算投标人自身（不含投标人的子公司或分公司），获奖单位名称须与投标人单位名称一致，未提供上述材料的不得分。同一项目获多个奖项的，按最高级别只计算一次得分。</w:t>
      </w:r>
      <w:r>
        <w:rPr>
          <w:rFonts w:hint="eastAsia" w:ascii="宋体" w:hAnsi="宋体"/>
          <w:color w:val="auto"/>
          <w:szCs w:val="21"/>
          <w:highlight w:val="none"/>
          <w:lang w:val="en-US"/>
        </w:rPr>
        <w:fldChar w:fldCharType="end"/>
      </w:r>
    </w:p>
    <w:p>
      <w:pPr>
        <w:numPr>
          <w:ilvl w:val="0"/>
          <w:numId w:val="0"/>
        </w:numPr>
        <w:rPr>
          <w:rFonts w:hint="eastAsia" w:ascii="宋体" w:hAnsi="宋体"/>
          <w:color w:val="auto"/>
          <w:szCs w:val="21"/>
          <w:highlight w:val="none"/>
          <w:lang w:val="en-US"/>
        </w:rPr>
      </w:pPr>
      <w:r>
        <w:rPr>
          <w:rFonts w:hint="eastAsia" w:ascii="宋体" w:hAnsi="宋体"/>
          <w:color w:val="auto"/>
          <w:szCs w:val="21"/>
          <w:highlight w:val="none"/>
          <w:lang w:val="en-US" w:eastAsia="zh-CN"/>
        </w:rPr>
        <w:t>3</w:t>
      </w:r>
      <w:r>
        <w:rPr>
          <w:rFonts w:hint="eastAsia" w:ascii="宋体" w:hAnsi="宋体"/>
          <w:color w:val="auto"/>
          <w:szCs w:val="21"/>
          <w:highlight w:val="none"/>
          <w:lang w:val="en-US"/>
        </w:rPr>
        <w:t>、【第三方评价】：投标人需同时提供体系证书原件扫描件及在国家认证认可监督管理委员会（网址：http://www.cnca.gov.cn/）网站查询结果截图并加复印件加盖公章，只计算投标人自身（不含投标人的子、分公司或区域公司），已失效或撤销或无提供的不得分。不符合上述条件或未提供上述资料的不得分。</w:t>
      </w:r>
    </w:p>
    <w:p>
      <w:pPr>
        <w:rPr>
          <w:rFonts w:hint="eastAsia" w:ascii="宋体" w:hAnsi="宋体"/>
          <w:color w:val="auto"/>
          <w:szCs w:val="21"/>
          <w:highlight w:val="none"/>
          <w:lang w:val="en-US"/>
        </w:rPr>
      </w:pPr>
      <w:r>
        <w:rPr>
          <w:rFonts w:hint="eastAsia" w:ascii="宋体" w:hAnsi="宋体"/>
          <w:color w:val="auto"/>
          <w:szCs w:val="21"/>
          <w:highlight w:val="none"/>
          <w:lang w:val="en-US" w:eastAsia="zh-CN"/>
        </w:rPr>
        <w:t>4</w:t>
      </w:r>
      <w:r>
        <w:rPr>
          <w:rFonts w:hint="eastAsia" w:ascii="宋体" w:hAnsi="宋体"/>
          <w:color w:val="auto"/>
          <w:szCs w:val="21"/>
          <w:highlight w:val="none"/>
          <w:lang w:val="en-US"/>
        </w:rPr>
        <w:t>、【项目管理机构能力】：①①项目管理机构人员仅指注册在本公司人员，含分公司，不含子公司人员，如投标申请人为集团公司，则不含其集团下属的子公司人员。项目管理机构人员</w:t>
      </w:r>
      <w:r>
        <w:rPr>
          <w:rFonts w:hint="eastAsia" w:ascii="宋体" w:hAnsi="宋体"/>
          <w:color w:val="auto"/>
          <w:szCs w:val="21"/>
          <w:highlight w:val="none"/>
          <w:lang w:val="en-US" w:eastAsia="zh-CN"/>
        </w:rPr>
        <w:t>同一人</w:t>
      </w:r>
      <w:r>
        <w:rPr>
          <w:rFonts w:hint="eastAsia" w:ascii="宋体" w:hAnsi="宋体"/>
          <w:color w:val="auto"/>
          <w:szCs w:val="21"/>
          <w:highlight w:val="none"/>
          <w:lang w:val="en-US"/>
        </w:rPr>
        <w:t>不能兼任</w:t>
      </w:r>
      <w:r>
        <w:rPr>
          <w:rFonts w:hint="eastAsia" w:ascii="宋体" w:hAnsi="宋体"/>
          <w:color w:val="auto"/>
          <w:szCs w:val="21"/>
          <w:highlight w:val="none"/>
          <w:lang w:val="en-US" w:eastAsia="zh-CN"/>
        </w:rPr>
        <w:t>不同岗位</w:t>
      </w:r>
      <w:r>
        <w:rPr>
          <w:rFonts w:hint="eastAsia" w:ascii="宋体" w:hAnsi="宋体"/>
          <w:color w:val="auto"/>
          <w:szCs w:val="21"/>
          <w:highlight w:val="none"/>
          <w:lang w:val="en-US"/>
        </w:rPr>
        <w:t>，不重复计算得分。须提供近</w:t>
      </w:r>
      <w:r>
        <w:rPr>
          <w:rFonts w:hint="eastAsia" w:ascii="宋体" w:hAnsi="宋体"/>
          <w:color w:val="auto"/>
          <w:szCs w:val="21"/>
          <w:highlight w:val="none"/>
          <w:lang w:val="en-US" w:eastAsia="zh-CN"/>
        </w:rPr>
        <w:t>1</w:t>
      </w:r>
      <w:r>
        <w:rPr>
          <w:rFonts w:hint="eastAsia" w:ascii="宋体" w:hAnsi="宋体"/>
          <w:color w:val="auto"/>
          <w:szCs w:val="21"/>
          <w:highlight w:val="none"/>
          <w:lang w:val="en-US"/>
        </w:rPr>
        <w:t>个月（2024年</w:t>
      </w:r>
      <w:r>
        <w:rPr>
          <w:rFonts w:hint="eastAsia" w:ascii="宋体" w:hAnsi="宋体"/>
          <w:color w:val="auto"/>
          <w:szCs w:val="21"/>
          <w:highlight w:val="none"/>
          <w:lang w:val="en-US" w:eastAsia="zh-CN"/>
        </w:rPr>
        <w:t>6</w:t>
      </w:r>
      <w:r>
        <w:rPr>
          <w:rFonts w:hint="eastAsia" w:ascii="宋体" w:hAnsi="宋体"/>
          <w:color w:val="auto"/>
          <w:szCs w:val="21"/>
          <w:highlight w:val="none"/>
          <w:lang w:val="en-US"/>
        </w:rPr>
        <w:t>月）有效社保证明文件扫描件。未提供或提供资料不全的不得分。②按照《造价工程师职业资格制度规定》的规定，根据原人事部、原建设部发布的《造价工程师执业资格制度暂行规定》（人发〔1996〕77号）取得的造价工程师执业资格，并经注册且在有效期内的，等同于一级注册造价工程师。③投标人须按要求提供人员相关的职称证书、执业注册证书</w:t>
      </w:r>
      <w:r>
        <w:rPr>
          <w:rFonts w:hint="eastAsia" w:ascii="宋体" w:hAnsi="宋体"/>
          <w:color w:val="auto"/>
          <w:szCs w:val="21"/>
          <w:highlight w:val="none"/>
          <w:lang w:val="en-US" w:eastAsia="zh-CN"/>
        </w:rPr>
        <w:t>、荣誉证书</w:t>
      </w:r>
      <w:r>
        <w:rPr>
          <w:rFonts w:hint="eastAsia" w:ascii="宋体" w:hAnsi="宋体"/>
          <w:color w:val="auto"/>
          <w:szCs w:val="21"/>
          <w:highlight w:val="none"/>
          <w:lang w:val="en-US"/>
        </w:rPr>
        <w:t>扫描件及社保证明等证明材料，不符合上述条件或未提供上述资料的不得分。</w:t>
      </w:r>
    </w:p>
    <w:p>
      <w:pPr>
        <w:rPr>
          <w:rFonts w:hint="eastAsia" w:ascii="宋体" w:hAnsi="宋体"/>
          <w:color w:val="auto"/>
          <w:szCs w:val="21"/>
          <w:highlight w:val="none"/>
          <w:lang w:val="en-US"/>
        </w:rPr>
      </w:pPr>
      <w:r>
        <w:rPr>
          <w:rFonts w:hint="eastAsia" w:ascii="宋体" w:hAnsi="宋体"/>
          <w:color w:val="auto"/>
          <w:szCs w:val="21"/>
          <w:highlight w:val="none"/>
          <w:lang w:val="en-US"/>
        </w:rPr>
        <w:t xml:space="preserve"> </w:t>
      </w:r>
      <w:r>
        <w:rPr>
          <w:rFonts w:hint="eastAsia" w:ascii="宋体" w:hAnsi="宋体"/>
          <w:color w:val="auto"/>
          <w:szCs w:val="21"/>
          <w:highlight w:val="none"/>
          <w:lang w:val="en-US" w:eastAsia="zh-CN"/>
        </w:rPr>
        <w:t>5</w:t>
      </w:r>
      <w:r>
        <w:rPr>
          <w:rFonts w:hint="eastAsia" w:ascii="宋体" w:hAnsi="宋体"/>
          <w:color w:val="auto"/>
          <w:szCs w:val="21"/>
          <w:highlight w:val="none"/>
          <w:lang w:val="en-US"/>
        </w:rPr>
        <w:t>、本表按百分制评分，所有评委总分汇总后的算术平均值为投标人的最终得分。分数出现小数点，保留小数点后二位小数，三位小数四舍五入。</w:t>
      </w:r>
    </w:p>
    <w:p>
      <w:pPr>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评委签名：                              日期：</w:t>
      </w:r>
    </w:p>
    <w:p>
      <w:pPr>
        <w:pStyle w:val="24"/>
        <w:ind w:firstLine="420"/>
        <w:rPr>
          <w:rFonts w:ascii="宋体" w:hAnsi="宋体"/>
          <w:color w:val="auto"/>
          <w:sz w:val="21"/>
          <w:szCs w:val="21"/>
          <w:highlight w:val="none"/>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92" w:afterAutospacing="0"/>
        <w:ind w:left="0" w:right="0" w:firstLine="422"/>
        <w:jc w:val="both"/>
        <w:rPr>
          <w:rFonts w:hint="eastAsia" w:ascii="宋体" w:hAnsi="宋体" w:eastAsia="宋体"/>
          <w:b/>
          <w:color w:val="auto"/>
          <w:szCs w:val="21"/>
          <w:highlight w:val="none"/>
          <w:lang w:eastAsia="zh-CN"/>
        </w:rPr>
      </w:pPr>
      <w:r>
        <w:rPr>
          <w:rFonts w:hint="eastAsia" w:ascii="宋体" w:hAnsi="宋体"/>
          <w:b/>
          <w:color w:val="auto"/>
          <w:szCs w:val="21"/>
          <w:highlight w:val="none"/>
        </w:rPr>
        <w:br w:type="page"/>
      </w:r>
      <w:r>
        <w:rPr>
          <w:rFonts w:hint="eastAsia" w:ascii="宋体" w:hAnsi="宋体"/>
          <w:b/>
          <w:color w:val="auto"/>
          <w:szCs w:val="21"/>
          <w:highlight w:val="none"/>
        </w:rPr>
        <w:t>附件</w:t>
      </w:r>
      <w:r>
        <w:rPr>
          <w:rFonts w:hint="eastAsia" w:ascii="宋体" w:hAnsi="宋体"/>
          <w:b/>
          <w:color w:val="auto"/>
          <w:szCs w:val="21"/>
          <w:highlight w:val="none"/>
          <w:lang w:val="en-US" w:eastAsia="zh-CN"/>
        </w:rPr>
        <w:t>1</w:t>
      </w:r>
      <w:r>
        <w:rPr>
          <w:rFonts w:hint="eastAsia" w:ascii="宋体" w:hAnsi="宋体"/>
          <w:b/>
          <w:color w:val="auto"/>
          <w:szCs w:val="21"/>
          <w:highlight w:val="none"/>
        </w:rPr>
        <w:t xml:space="preserve">：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92" w:afterAutospacing="0"/>
        <w:ind w:left="0" w:right="0" w:firstLine="422"/>
        <w:jc w:val="both"/>
        <w:rPr>
          <w:rFonts w:hint="eastAsia" w:ascii="宋体" w:hAnsi="宋体" w:eastAsia="宋体"/>
          <w:b/>
          <w:color w:val="auto"/>
          <w:szCs w:val="21"/>
          <w:highlight w:val="none"/>
          <w:lang w:eastAsia="zh-CN"/>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92" w:afterAutospacing="0"/>
        <w:ind w:left="0" w:right="0" w:firstLine="422"/>
        <w:jc w:val="both"/>
        <w:rPr>
          <w:rFonts w:ascii="微软雅黑" w:hAnsi="微软雅黑" w:eastAsia="微软雅黑" w:cs="微软雅黑"/>
          <w:i w:val="0"/>
          <w:iCs w:val="0"/>
          <w:caps w:val="0"/>
          <w:color w:val="auto"/>
          <w:spacing w:val="0"/>
          <w:sz w:val="19"/>
          <w:szCs w:val="19"/>
          <w:highlight w:val="none"/>
          <w:u w:val="none"/>
        </w:rPr>
      </w:pPr>
      <w:r>
        <w:rPr>
          <w:rFonts w:hint="eastAsia" w:ascii="宋体" w:hAnsi="宋体"/>
          <w:b/>
          <w:color w:val="auto"/>
          <w:szCs w:val="21"/>
          <w:highlight w:val="none"/>
        </w:rPr>
        <w:t xml:space="preserve">                                   </w:t>
      </w:r>
      <w:r>
        <w:rPr>
          <w:rFonts w:hint="eastAsia" w:ascii="宋体" w:hAnsi="宋体" w:cs="宋体"/>
          <w:b/>
          <w:color w:val="auto"/>
          <w:szCs w:val="21"/>
          <w:highlight w:val="none"/>
        </w:rPr>
        <w:t xml:space="preserve">         </w:t>
      </w:r>
      <w:r>
        <w:rPr>
          <w:rStyle w:val="21"/>
          <w:rFonts w:hint="eastAsia" w:ascii="宋体" w:hAnsi="宋体" w:eastAsia="宋体" w:cs="宋体"/>
          <w:b/>
          <w:bCs/>
          <w:i w:val="0"/>
          <w:iCs w:val="0"/>
          <w:caps w:val="0"/>
          <w:color w:val="auto"/>
          <w:spacing w:val="0"/>
          <w:sz w:val="19"/>
          <w:szCs w:val="19"/>
          <w:highlight w:val="none"/>
          <w:u w:val="none"/>
          <w:shd w:val="clear" w:color="auto" w:fill="FFFFFF"/>
        </w:rPr>
        <w:t>《投标人投入主要人员表》</w:t>
      </w:r>
    </w:p>
    <w:tbl>
      <w:tblPr>
        <w:tblStyle w:val="1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13"/>
        <w:gridCol w:w="1104"/>
        <w:gridCol w:w="8428"/>
        <w:gridCol w:w="16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在本项目任职</w:t>
            </w:r>
          </w:p>
        </w:tc>
        <w:tc>
          <w:tcPr>
            <w:tcW w:w="110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数量（人）</w:t>
            </w:r>
          </w:p>
        </w:tc>
        <w:tc>
          <w:tcPr>
            <w:tcW w:w="842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基本要求</w:t>
            </w:r>
          </w:p>
        </w:tc>
        <w:tc>
          <w:tcPr>
            <w:tcW w:w="1601"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指挥长</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val="en-US"/>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由施工单位现任副总经理、总工程师或以上行政职务，且应已任该职满半年或以上人员的领导担任。</w:t>
            </w:r>
          </w:p>
        </w:tc>
        <w:tc>
          <w:tcPr>
            <w:tcW w:w="1601"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组成联合体投标的，由主办方提供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项目负责人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val="en-US"/>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符合招标公告要求。</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项目副经理</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val="en-US"/>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所学专业或职称为机电类相关专业，具备中级或以上技术职称。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技术负责人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符合招标公告要求。</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土建工程师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所学专业或职称为土建类相关专业，具备中级或以上技术职称。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电气工程师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所学专业或职称为电气类相关专业，具备中级或以上技术职称。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给排水工程师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所学专业或职称为给排水专业类，具备中级或以上技术职称。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通风空调工程师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所学专业或职称为通风空调专业类，具备中级或以上技术职称。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弱电专业工程师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所学专业或职称为计算机、电子、通信、自动化、信息、软件、网络、机电一体化、智能化等相关专业，具有中级或以上技术职称。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宋体" w:hAnsi="宋体" w:eastAsia="宋体" w:cs="宋体"/>
                <w:color w:val="auto"/>
                <w:sz w:val="16"/>
                <w:szCs w:val="16"/>
                <w:highlight w:val="none"/>
                <w:u w:val="none"/>
              </w:rPr>
            </w:pPr>
            <w:r>
              <w:rPr>
                <w:rFonts w:hint="eastAsia" w:ascii="宋体" w:hAnsi="宋体" w:eastAsia="宋体" w:cs="宋体"/>
                <w:strike w:val="0"/>
                <w:color w:val="auto"/>
                <w:sz w:val="16"/>
                <w:szCs w:val="16"/>
                <w:highlight w:val="none"/>
                <w:u w:val="none"/>
              </w:rPr>
              <w:t>装修专业工程师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宋体" w:hAnsi="宋体" w:eastAsia="宋体" w:cs="宋体"/>
                <w:color w:val="auto"/>
                <w:sz w:val="16"/>
                <w:szCs w:val="16"/>
                <w:highlight w:val="none"/>
                <w:u w:val="none"/>
                <w:lang w:val="en-US" w:eastAsia="zh-CN"/>
              </w:rPr>
            </w:pPr>
            <w:r>
              <w:rPr>
                <w:rFonts w:hint="eastAsia" w:hAnsi="宋体" w:cs="宋体"/>
                <w:color w:val="auto"/>
                <w:sz w:val="16"/>
                <w:szCs w:val="16"/>
                <w:highlight w:val="none"/>
                <w:u w:val="none"/>
                <w:lang w:val="en-US" w:eastAsia="zh-CN"/>
              </w:rPr>
              <w:t>3</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widowControl/>
              <w:pBdr>
                <w:top w:val="none" w:color="auto" w:sz="0" w:space="0"/>
                <w:left w:val="none" w:color="auto" w:sz="0" w:space="0"/>
                <w:bottom w:val="none" w:color="auto" w:sz="0" w:space="0"/>
                <w:right w:val="none" w:color="auto" w:sz="0" w:space="0"/>
              </w:pBdr>
              <w:ind w:left="42" w:right="42"/>
              <w:jc w:val="left"/>
              <w:rPr>
                <w:rFonts w:hint="eastAsia" w:ascii="宋体" w:hAnsi="宋体" w:eastAsia="宋体" w:cs="宋体"/>
                <w:color w:val="auto"/>
                <w:sz w:val="16"/>
                <w:szCs w:val="16"/>
                <w:highlight w:val="none"/>
                <w:u w:val="none"/>
              </w:rPr>
            </w:pPr>
            <w:r>
              <w:rPr>
                <w:rFonts w:hint="eastAsia" w:ascii="宋体" w:hAnsi="宋体" w:eastAsia="宋体" w:cs="宋体"/>
                <w:color w:val="auto"/>
                <w:sz w:val="16"/>
                <w:szCs w:val="16"/>
                <w:highlight w:val="none"/>
                <w:u w:val="none"/>
              </w:rPr>
              <w:t>所学专业或职称为</w:t>
            </w:r>
            <w:r>
              <w:rPr>
                <w:rFonts w:hint="eastAsia" w:ascii="宋体" w:hAnsi="宋体" w:eastAsia="宋体" w:cs="宋体"/>
                <w:color w:val="auto"/>
                <w:sz w:val="16"/>
                <w:szCs w:val="16"/>
                <w:highlight w:val="none"/>
                <w:u w:val="none"/>
                <w:lang w:val="en-US" w:eastAsia="zh-CN"/>
              </w:rPr>
              <w:t>装饰装修</w:t>
            </w:r>
            <w:r>
              <w:rPr>
                <w:rFonts w:hint="eastAsia" w:ascii="宋体" w:hAnsi="宋体" w:eastAsia="宋体" w:cs="宋体"/>
                <w:color w:val="auto"/>
                <w:sz w:val="16"/>
                <w:szCs w:val="16"/>
                <w:highlight w:val="none"/>
                <w:u w:val="none"/>
              </w:rPr>
              <w:t>类相关专业，具备中级或以上技术职称。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宋体" w:hAnsi="宋体" w:eastAsia="宋体" w:cs="宋体"/>
                <w:strike w:val="0"/>
                <w:color w:val="auto"/>
                <w:sz w:val="16"/>
                <w:szCs w:val="16"/>
                <w:highlight w:val="none"/>
                <w:u w:val="none"/>
              </w:rPr>
            </w:pPr>
            <w:r>
              <w:rPr>
                <w:rFonts w:hint="eastAsia" w:ascii="宋体" w:hAnsi="宋体" w:eastAsia="宋体" w:cs="宋体"/>
                <w:color w:val="auto"/>
                <w:sz w:val="16"/>
                <w:szCs w:val="16"/>
                <w:highlight w:val="none"/>
                <w:u w:val="none"/>
                <w:lang w:val="en-US" w:eastAsia="zh-CN" w:bidi="ar"/>
              </w:rPr>
              <w:t>质检</w:t>
            </w:r>
            <w:r>
              <w:rPr>
                <w:rFonts w:hint="eastAsia" w:ascii="宋体" w:hAnsi="宋体" w:eastAsia="宋体" w:cs="宋体"/>
                <w:color w:val="auto"/>
                <w:sz w:val="16"/>
                <w:szCs w:val="16"/>
                <w:highlight w:val="none"/>
                <w:u w:val="none"/>
                <w:lang w:bidi="ar"/>
              </w:rPr>
              <w:t>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default" w:ascii="宋体" w:hAnsi="宋体" w:eastAsia="宋体" w:cs="宋体"/>
                <w:color w:val="auto"/>
                <w:kern w:val="0"/>
                <w:sz w:val="16"/>
                <w:szCs w:val="16"/>
                <w:highlight w:val="none"/>
                <w:u w:val="none"/>
                <w:lang w:val="en-US" w:eastAsia="zh-TW" w:bidi="ar-SA"/>
              </w:rPr>
            </w:pPr>
            <w:r>
              <w:rPr>
                <w:rFonts w:hint="eastAsia" w:hAnsi="宋体" w:cs="宋体"/>
                <w:color w:val="auto"/>
                <w:sz w:val="16"/>
                <w:szCs w:val="16"/>
                <w:highlight w:val="none"/>
                <w:u w:val="none"/>
                <w:lang w:val="en-US" w:eastAsia="zh-CN"/>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widowControl/>
              <w:pBdr>
                <w:top w:val="none" w:color="auto" w:sz="0" w:space="0"/>
                <w:left w:val="none" w:color="auto" w:sz="0" w:space="0"/>
                <w:bottom w:val="none" w:color="auto" w:sz="0" w:space="0"/>
                <w:right w:val="none" w:color="auto" w:sz="0" w:space="0"/>
              </w:pBdr>
              <w:ind w:left="42" w:leftChars="0" w:right="42" w:rightChars="0"/>
              <w:jc w:val="left"/>
              <w:rPr>
                <w:rFonts w:hint="eastAsia" w:ascii="宋体" w:hAnsi="宋体" w:eastAsia="宋体" w:cs="宋体"/>
                <w:color w:val="auto"/>
                <w:kern w:val="0"/>
                <w:sz w:val="16"/>
                <w:szCs w:val="16"/>
                <w:highlight w:val="none"/>
                <w:u w:val="none"/>
                <w:lang w:val="en-US" w:eastAsia="zh-CN" w:bidi="ar-SA"/>
              </w:rPr>
            </w:pPr>
            <w:r>
              <w:rPr>
                <w:rFonts w:hint="eastAsia" w:ascii="宋体" w:hAnsi="宋体" w:eastAsia="宋体" w:cs="宋体"/>
                <w:color w:val="auto"/>
                <w:sz w:val="16"/>
                <w:szCs w:val="16"/>
                <w:highlight w:val="none"/>
                <w:u w:val="none"/>
              </w:rPr>
              <w:t>所学专业或职称为</w:t>
            </w:r>
            <w:r>
              <w:rPr>
                <w:rFonts w:hint="eastAsia" w:ascii="宋体" w:hAnsi="宋体" w:eastAsia="宋体" w:cs="宋体"/>
                <w:color w:val="auto"/>
                <w:sz w:val="16"/>
                <w:szCs w:val="16"/>
                <w:highlight w:val="none"/>
                <w:u w:val="none"/>
                <w:lang w:val="en-US" w:eastAsia="zh-CN"/>
              </w:rPr>
              <w:t>装饰装修</w:t>
            </w:r>
            <w:r>
              <w:rPr>
                <w:rFonts w:hint="eastAsia" w:ascii="宋体" w:hAnsi="宋体" w:eastAsia="宋体" w:cs="宋体"/>
                <w:color w:val="auto"/>
                <w:sz w:val="16"/>
                <w:szCs w:val="16"/>
                <w:highlight w:val="none"/>
                <w:u w:val="none"/>
              </w:rPr>
              <w:t>类相关专业，具备中级或以上技术职称。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widowControl/>
              <w:pBdr>
                <w:top w:val="none" w:color="auto" w:sz="0" w:space="0"/>
                <w:left w:val="none" w:color="auto" w:sz="0" w:space="0"/>
                <w:bottom w:val="none" w:color="auto" w:sz="0" w:space="0"/>
                <w:right w:val="none" w:color="auto" w:sz="0" w:space="0"/>
              </w:pBdr>
              <w:ind w:left="42" w:right="42"/>
              <w:jc w:val="center"/>
              <w:rPr>
                <w:rFonts w:hint="eastAsia" w:ascii="宋体" w:hAnsi="宋体" w:eastAsia="宋体" w:cs="宋体"/>
                <w:color w:val="auto"/>
                <w:sz w:val="16"/>
                <w:szCs w:val="16"/>
                <w:highlight w:val="none"/>
                <w:u w:val="none"/>
              </w:rPr>
            </w:pPr>
            <w:r>
              <w:rPr>
                <w:rFonts w:hint="eastAsia" w:ascii="宋体" w:hAnsi="宋体" w:eastAsia="宋体" w:cs="宋体"/>
                <w:color w:val="auto"/>
                <w:sz w:val="16"/>
                <w:szCs w:val="16"/>
                <w:highlight w:val="none"/>
                <w:u w:val="none"/>
              </w:rPr>
              <w:t>安全工程师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widowControl/>
              <w:pBdr>
                <w:top w:val="none" w:color="auto" w:sz="0" w:space="0"/>
                <w:left w:val="none" w:color="auto" w:sz="0" w:space="0"/>
                <w:bottom w:val="none" w:color="auto" w:sz="0" w:space="0"/>
                <w:right w:val="none" w:color="auto" w:sz="0" w:space="0"/>
              </w:pBdr>
              <w:ind w:left="42" w:right="42"/>
              <w:jc w:val="center"/>
              <w:rPr>
                <w:rFonts w:hint="eastAsia" w:ascii="宋体" w:hAnsi="宋体" w:eastAsia="宋体" w:cs="宋体"/>
                <w:color w:val="auto"/>
                <w:sz w:val="16"/>
                <w:szCs w:val="16"/>
                <w:highlight w:val="none"/>
                <w:u w:val="none"/>
                <w:lang w:val="en-US" w:eastAsia="zh-CN"/>
              </w:rPr>
            </w:pPr>
            <w:r>
              <w:rPr>
                <w:rFonts w:hint="eastAsia" w:ascii="宋体" w:hAnsi="宋体" w:eastAsia="宋体" w:cs="宋体"/>
                <w:color w:val="auto"/>
                <w:sz w:val="16"/>
                <w:szCs w:val="16"/>
                <w:highlight w:val="none"/>
                <w:u w:val="none"/>
                <w:lang w:val="en-US" w:eastAsia="zh-CN"/>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widowControl/>
              <w:pBdr>
                <w:top w:val="none" w:color="auto" w:sz="0" w:space="0"/>
                <w:left w:val="none" w:color="auto" w:sz="0" w:space="0"/>
                <w:bottom w:val="none" w:color="auto" w:sz="0" w:space="0"/>
                <w:right w:val="none" w:color="auto" w:sz="0" w:space="0"/>
              </w:pBdr>
              <w:ind w:left="42" w:right="42"/>
              <w:jc w:val="both"/>
              <w:rPr>
                <w:rFonts w:hint="eastAsia" w:ascii="宋体" w:hAnsi="宋体" w:eastAsia="宋体" w:cs="宋体"/>
                <w:color w:val="auto"/>
                <w:sz w:val="16"/>
                <w:szCs w:val="16"/>
                <w:highlight w:val="none"/>
                <w:u w:val="none"/>
                <w:lang w:val="en-US" w:eastAsia="zh-CN"/>
              </w:rPr>
            </w:pPr>
            <w:r>
              <w:rPr>
                <w:rFonts w:hint="eastAsia" w:ascii="宋体" w:hAnsi="宋体" w:eastAsia="宋体" w:cs="宋体"/>
                <w:color w:val="auto"/>
                <w:sz w:val="16"/>
                <w:szCs w:val="16"/>
                <w:highlight w:val="none"/>
                <w:u w:val="none"/>
              </w:rPr>
              <w:t>具备“建筑施工安全”类别的注册安全工程师</w:t>
            </w:r>
            <w:r>
              <w:rPr>
                <w:rFonts w:hint="eastAsia" w:ascii="宋体" w:hAnsi="宋体" w:eastAsia="宋体" w:cs="宋体"/>
                <w:color w:val="auto"/>
                <w:sz w:val="16"/>
                <w:szCs w:val="16"/>
                <w:highlight w:val="none"/>
                <w:u w:val="none"/>
                <w:lang w:val="en-US" w:eastAsia="zh-CN"/>
              </w:rPr>
              <w:t>.</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造价工程师</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center"/>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造价工程师具有</w:t>
            </w:r>
            <w:r>
              <w:rPr>
                <w:rFonts w:hint="eastAsia" w:hAnsi="宋体" w:cs="宋体"/>
                <w:color w:val="auto"/>
                <w:sz w:val="16"/>
                <w:szCs w:val="16"/>
                <w:highlight w:val="none"/>
                <w:u w:val="none"/>
                <w:lang w:val="en-US" w:eastAsia="zh-CN"/>
              </w:rPr>
              <w:t>一</w:t>
            </w:r>
            <w:r>
              <w:rPr>
                <w:rFonts w:hint="eastAsia" w:ascii="宋体" w:hAnsi="宋体" w:eastAsia="宋体" w:cs="宋体"/>
                <w:color w:val="auto"/>
                <w:sz w:val="16"/>
                <w:szCs w:val="16"/>
                <w:highlight w:val="none"/>
                <w:u w:val="none"/>
              </w:rPr>
              <w:t>级注册造价工程师。</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专职安全员</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val="en-US"/>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符合招标公告要求。</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资料员</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工程类相关专业大专以上学历。</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宋体" w:hAnsi="宋体" w:eastAsia="宋体" w:cs="宋体"/>
                <w:color w:val="auto"/>
                <w:sz w:val="16"/>
                <w:szCs w:val="16"/>
                <w:highlight w:val="none"/>
                <w:u w:val="none"/>
                <w:lang w:val="en-US" w:eastAsia="zh-CN"/>
              </w:rPr>
            </w:pPr>
            <w:r>
              <w:rPr>
                <w:rFonts w:hint="eastAsia" w:ascii="宋体" w:hAnsi="宋体" w:eastAsia="宋体" w:cs="宋体"/>
                <w:color w:val="auto"/>
                <w:sz w:val="16"/>
                <w:szCs w:val="16"/>
                <w:highlight w:val="none"/>
                <w:u w:val="none"/>
                <w:lang w:val="en-US" w:eastAsia="zh-CN"/>
              </w:rPr>
              <w:t>设计总负责人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宋体" w:hAnsi="宋体" w:eastAsia="宋体" w:cs="宋体"/>
                <w:color w:val="auto"/>
                <w:sz w:val="16"/>
                <w:szCs w:val="16"/>
                <w:highlight w:val="none"/>
                <w:u w:val="none"/>
                <w:lang w:val="en-US" w:eastAsia="zh-CN"/>
              </w:rPr>
            </w:pPr>
            <w:r>
              <w:rPr>
                <w:rFonts w:hint="eastAsia" w:ascii="宋体" w:hAnsi="宋体" w:eastAsia="宋体" w:cs="宋体"/>
                <w:color w:val="auto"/>
                <w:sz w:val="16"/>
                <w:szCs w:val="16"/>
                <w:highlight w:val="none"/>
                <w:u w:val="none"/>
                <w:lang w:val="en-US"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both"/>
              <w:rPr>
                <w:rFonts w:hint="eastAsia" w:ascii="宋体" w:hAnsi="宋体" w:eastAsia="宋体" w:cs="宋体"/>
                <w:color w:val="auto"/>
                <w:sz w:val="16"/>
                <w:szCs w:val="16"/>
                <w:highlight w:val="none"/>
                <w:u w:val="none"/>
                <w:lang w:val="en-US" w:eastAsia="zh-CN"/>
              </w:rPr>
            </w:pPr>
            <w:r>
              <w:rPr>
                <w:rFonts w:hint="eastAsia" w:ascii="宋体" w:hAnsi="宋体" w:eastAsia="宋体" w:cs="宋体"/>
                <w:color w:val="auto"/>
                <w:sz w:val="16"/>
                <w:szCs w:val="16"/>
                <w:highlight w:val="none"/>
                <w:u w:val="none"/>
                <w:lang w:val="en-US" w:eastAsia="zh-CN"/>
              </w:rPr>
              <w:t>设计方副职领导及以上职务</w:t>
            </w:r>
          </w:p>
        </w:tc>
        <w:tc>
          <w:tcPr>
            <w:tcW w:w="1601"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组成联合体投标的，由设计方提供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设计负责人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宋体"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按招标公告要求</w:t>
            </w:r>
            <w:r>
              <w:rPr>
                <w:rFonts w:hint="eastAsia" w:ascii="宋体" w:hAnsi="宋体" w:eastAsia="宋体" w:cs="宋体"/>
                <w:color w:val="auto"/>
                <w:sz w:val="16"/>
                <w:szCs w:val="16"/>
                <w:highlight w:val="none"/>
                <w:u w:val="none"/>
                <w:lang w:eastAsia="zh-CN"/>
              </w:rPr>
              <w:t>。</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结构专业负责人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具有一级注册结构工程师，</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具有本专业高级技术职称。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建筑专业负责人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具有一级注册建筑师，</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具有本专业高级技术职称。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暖通专业负责人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具有注册设备工程师（暖通），</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具有本专业高级技术职称</w:t>
            </w:r>
            <w:r>
              <w:rPr>
                <w:rFonts w:hint="eastAsia" w:hAnsi="宋体" w:eastAsia="宋体" w:cs="宋体"/>
                <w:color w:val="auto"/>
                <w:sz w:val="16"/>
                <w:szCs w:val="16"/>
                <w:highlight w:val="none"/>
                <w:u w:val="none"/>
                <w:lang w:eastAsia="zh-CN"/>
              </w:rPr>
              <w:t>。</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16"/>
              <w:widowControl/>
              <w:pBdr>
                <w:top w:val="none" w:color="auto" w:sz="0" w:space="0"/>
                <w:left w:val="none" w:color="auto" w:sz="0" w:space="0"/>
                <w:bottom w:val="none" w:color="auto" w:sz="0" w:space="0"/>
                <w:right w:val="none" w:color="auto" w:sz="0" w:space="0"/>
              </w:pBdr>
              <w:ind w:left="42" w:leftChars="0" w:right="42" w:rightChars="0"/>
              <w:jc w:val="center"/>
              <w:rPr>
                <w:rFonts w:hint="eastAsia" w:ascii="宋体" w:hAnsi="宋体" w:eastAsia="宋体" w:cs="宋体"/>
                <w:color w:val="auto"/>
                <w:kern w:val="0"/>
                <w:sz w:val="16"/>
                <w:szCs w:val="16"/>
                <w:highlight w:val="none"/>
                <w:u w:val="none"/>
                <w:lang w:val="en-US" w:eastAsia="zh-CN" w:bidi="ar-SA"/>
              </w:rPr>
            </w:pPr>
            <w:r>
              <w:rPr>
                <w:rFonts w:hint="eastAsia" w:ascii="宋体" w:hAnsi="宋体" w:eastAsia="宋体" w:cs="宋体"/>
                <w:color w:val="auto"/>
                <w:sz w:val="16"/>
                <w:szCs w:val="16"/>
                <w:highlight w:val="none"/>
              </w:rPr>
              <w:t>装修专业负责人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宋体" w:hAnsi="宋体" w:eastAsia="宋体" w:cs="宋体"/>
                <w:color w:val="auto"/>
                <w:kern w:val="0"/>
                <w:sz w:val="16"/>
                <w:szCs w:val="16"/>
                <w:highlight w:val="none"/>
                <w:u w:val="none"/>
                <w:lang w:val="en-US" w:eastAsia="zh-CN" w:bidi="ar-SA"/>
              </w:rPr>
            </w:pPr>
            <w:r>
              <w:rPr>
                <w:rFonts w:hint="eastAsia" w:hAnsi="宋体" w:eastAsia="宋体" w:cs="宋体"/>
                <w:color w:val="auto"/>
                <w:sz w:val="16"/>
                <w:szCs w:val="16"/>
                <w:highlight w:val="none"/>
                <w:u w:val="none"/>
                <w:lang w:val="en-US" w:eastAsia="zh-CN"/>
              </w:rPr>
              <w:t>1</w:t>
            </w:r>
          </w:p>
        </w:tc>
        <w:tc>
          <w:tcPr>
            <w:tcW w:w="8428" w:type="dxa"/>
            <w:tcBorders>
              <w:top w:val="nil"/>
              <w:left w:val="nil"/>
              <w:bottom w:val="single" w:color="auto" w:sz="8" w:space="0"/>
              <w:right w:val="single" w:color="auto" w:sz="8" w:space="0"/>
            </w:tcBorders>
            <w:noWrap w:val="0"/>
            <w:tcMar>
              <w:left w:w="108" w:type="dxa"/>
              <w:right w:w="108" w:type="dxa"/>
            </w:tcMar>
            <w:vAlign w:val="top"/>
          </w:tcPr>
          <w:p>
            <w:pPr>
              <w:pStyle w:val="16"/>
              <w:widowControl/>
              <w:pBdr>
                <w:top w:val="none" w:color="auto" w:sz="0" w:space="0"/>
                <w:left w:val="none" w:color="auto" w:sz="0" w:space="0"/>
                <w:bottom w:val="none" w:color="auto" w:sz="0" w:space="0"/>
                <w:right w:val="none" w:color="auto" w:sz="0" w:space="0"/>
              </w:pBdr>
              <w:ind w:left="42" w:leftChars="0" w:right="42" w:rightChars="0"/>
              <w:jc w:val="left"/>
              <w:rPr>
                <w:rFonts w:hint="eastAsia" w:ascii="宋体" w:hAnsi="宋体" w:eastAsia="宋体" w:cs="宋体"/>
                <w:color w:val="auto"/>
                <w:kern w:val="0"/>
                <w:sz w:val="16"/>
                <w:szCs w:val="16"/>
                <w:highlight w:val="none"/>
                <w:u w:val="none"/>
                <w:lang w:val="en-US" w:eastAsia="zh-CN" w:bidi="ar-SA"/>
              </w:rPr>
            </w:pPr>
            <w:r>
              <w:rPr>
                <w:rFonts w:hint="eastAsia" w:ascii="宋体" w:hAnsi="宋体" w:eastAsia="宋体" w:cs="宋体"/>
                <w:color w:val="auto"/>
                <w:sz w:val="16"/>
                <w:szCs w:val="16"/>
                <w:highlight w:val="none"/>
              </w:rPr>
              <w:t>具</w:t>
            </w:r>
            <w:r>
              <w:rPr>
                <w:rFonts w:hint="eastAsia" w:ascii="宋体" w:hAnsi="宋体" w:eastAsia="宋体" w:cs="宋体"/>
                <w:color w:val="auto"/>
                <w:sz w:val="16"/>
                <w:szCs w:val="16"/>
                <w:highlight w:val="none"/>
                <w:lang w:val="en-US" w:eastAsia="zh-CN"/>
              </w:rPr>
              <w:t>有装饰装修类相关</w:t>
            </w:r>
            <w:r>
              <w:rPr>
                <w:rFonts w:hint="eastAsia" w:ascii="宋体" w:hAnsi="宋体" w:eastAsia="宋体" w:cs="宋体"/>
                <w:color w:val="auto"/>
                <w:sz w:val="16"/>
                <w:szCs w:val="16"/>
                <w:highlight w:val="none"/>
              </w:rPr>
              <w:t>专业高级技术职称。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16"/>
              <w:widowControl/>
              <w:pBdr>
                <w:top w:val="none" w:color="auto" w:sz="0" w:space="0"/>
                <w:left w:val="none" w:color="auto" w:sz="0" w:space="0"/>
                <w:bottom w:val="none" w:color="auto" w:sz="0" w:space="0"/>
                <w:right w:val="none" w:color="auto" w:sz="0" w:space="0"/>
              </w:pBdr>
              <w:ind w:left="42" w:leftChars="0" w:right="42" w:rightChars="0"/>
              <w:jc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智能化专业负责人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hAnsi="宋体" w:eastAsia="宋体" w:cs="宋体"/>
                <w:color w:val="auto"/>
                <w:sz w:val="16"/>
                <w:szCs w:val="16"/>
                <w:highlight w:val="none"/>
                <w:u w:val="none"/>
                <w:lang w:val="en-US" w:eastAsia="zh-CN"/>
              </w:rPr>
            </w:pPr>
          </w:p>
        </w:tc>
        <w:tc>
          <w:tcPr>
            <w:tcW w:w="8428" w:type="dxa"/>
            <w:tcBorders>
              <w:top w:val="nil"/>
              <w:left w:val="nil"/>
              <w:bottom w:val="single" w:color="auto" w:sz="8" w:space="0"/>
              <w:right w:val="single" w:color="auto" w:sz="8" w:space="0"/>
            </w:tcBorders>
            <w:noWrap w:val="0"/>
            <w:tcMar>
              <w:left w:w="108" w:type="dxa"/>
              <w:right w:w="108" w:type="dxa"/>
            </w:tcMar>
            <w:vAlign w:val="top"/>
          </w:tcPr>
          <w:p>
            <w:pPr>
              <w:pStyle w:val="16"/>
              <w:widowControl/>
              <w:pBdr>
                <w:top w:val="none" w:color="auto" w:sz="0" w:space="0"/>
                <w:left w:val="none" w:color="auto" w:sz="0" w:space="0"/>
                <w:bottom w:val="none" w:color="auto" w:sz="0" w:space="0"/>
                <w:right w:val="none" w:color="auto" w:sz="0" w:space="0"/>
              </w:pBdr>
              <w:ind w:left="42" w:leftChars="0" w:right="42" w:rightChars="0"/>
              <w:jc w:val="left"/>
              <w:rPr>
                <w:rFonts w:hint="eastAsia" w:ascii="宋体" w:hAnsi="宋体" w:eastAsia="宋体" w:cs="宋体"/>
                <w:color w:val="auto"/>
                <w:sz w:val="16"/>
                <w:szCs w:val="16"/>
                <w:highlight w:val="none"/>
                <w:lang w:val="en-US" w:eastAsia="zh-CN"/>
              </w:rPr>
            </w:pPr>
            <w:r>
              <w:rPr>
                <w:rFonts w:hint="eastAsia" w:ascii="宋体" w:hAnsi="宋体" w:eastAsia="宋体" w:cs="宋体"/>
                <w:color w:val="auto"/>
                <w:sz w:val="16"/>
                <w:szCs w:val="16"/>
                <w:highlight w:val="none"/>
              </w:rPr>
              <w:t>具有注册电气工程师，</w:t>
            </w:r>
            <w:r>
              <w:rPr>
                <w:rFonts w:hint="eastAsia" w:ascii="宋体" w:hAnsi="宋体" w:eastAsia="宋体" w:cs="宋体"/>
                <w:color w:val="auto"/>
                <w:sz w:val="16"/>
                <w:szCs w:val="16"/>
                <w:highlight w:val="none"/>
                <w:u w:val="none"/>
              </w:rPr>
              <w:t>，</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w:t>
            </w:r>
            <w:r>
              <w:rPr>
                <w:rFonts w:hint="eastAsia" w:ascii="宋体" w:hAnsi="宋体" w:eastAsia="宋体" w:cs="宋体"/>
                <w:color w:val="auto"/>
                <w:sz w:val="16"/>
                <w:szCs w:val="16"/>
                <w:highlight w:val="none"/>
              </w:rPr>
              <w:t>专业高级技术职称</w:t>
            </w:r>
            <w:r>
              <w:rPr>
                <w:rFonts w:hint="eastAsia" w:ascii="宋体" w:hAnsi="宋体" w:eastAsia="宋体" w:cs="宋体"/>
                <w:color w:val="auto"/>
                <w:sz w:val="16"/>
                <w:szCs w:val="16"/>
                <w:highlight w:val="none"/>
                <w:lang w:val="en-US" w:eastAsia="zh-CN"/>
              </w:rPr>
              <w:t>.</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电气专业负责人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具有注册电气工程师，</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具有本专业高级技术职称。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给排水专业负责人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具有注册设备工程师（给排水），</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具有本专业高级技术职称。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概预算专业负责人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具有一级注册造价工程师，</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具有本专业高级技术职称。</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hAnsi="宋体" w:cs="宋体"/>
                <w:color w:val="auto"/>
                <w:sz w:val="16"/>
                <w:szCs w:val="16"/>
                <w:highlight w:val="none"/>
                <w:u w:val="none"/>
                <w:lang w:val="en-US" w:eastAsia="zh-CN"/>
              </w:rPr>
              <w:t>配合</w:t>
            </w:r>
            <w:r>
              <w:rPr>
                <w:rFonts w:hint="eastAsia" w:ascii="宋体" w:hAnsi="宋体" w:eastAsia="宋体" w:cs="宋体"/>
                <w:color w:val="auto"/>
                <w:sz w:val="16"/>
                <w:szCs w:val="16"/>
                <w:highlight w:val="none"/>
                <w:u w:val="none"/>
              </w:rPr>
              <w:t>报建负责人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具有工程技术专业高级技术职称或者工程技术专业</w:t>
            </w:r>
            <w:r>
              <w:rPr>
                <w:rFonts w:hint="eastAsia" w:ascii="宋体" w:hAnsi="宋体" w:eastAsia="宋体" w:cs="宋体"/>
                <w:color w:val="auto"/>
                <w:sz w:val="16"/>
                <w:szCs w:val="16"/>
                <w:highlight w:val="none"/>
                <w:u w:val="none"/>
                <w:lang w:eastAsia="zh-TW"/>
              </w:rPr>
              <w:t>8</w:t>
            </w:r>
            <w:r>
              <w:rPr>
                <w:rFonts w:hint="eastAsia" w:ascii="宋体" w:hAnsi="宋体" w:eastAsia="宋体" w:cs="宋体"/>
                <w:color w:val="auto"/>
                <w:sz w:val="16"/>
                <w:szCs w:val="16"/>
                <w:highlight w:val="none"/>
                <w:u w:val="none"/>
              </w:rPr>
              <w:t>年以上的中级技术职称（以职称证书发证时间计算）。</w:t>
            </w:r>
          </w:p>
        </w:tc>
        <w:tc>
          <w:tcPr>
            <w:tcW w:w="1601"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微软雅黑" w:hAnsi="微软雅黑" w:eastAsia="微软雅黑" w:cs="微软雅黑"/>
                <w:color w:val="auto"/>
                <w:sz w:val="16"/>
                <w:szCs w:val="16"/>
                <w:highlight w:val="none"/>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 w:hRule="atLeast"/>
          <w:jc w:val="center"/>
        </w:trPr>
        <w:tc>
          <w:tcPr>
            <w:tcW w:w="251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勘察项目负责人</w:t>
            </w:r>
          </w:p>
        </w:tc>
        <w:tc>
          <w:tcPr>
            <w:tcW w:w="1104"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center"/>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lang w:eastAsia="zh-TW"/>
              </w:rPr>
              <w:t>1</w:t>
            </w:r>
          </w:p>
        </w:tc>
        <w:tc>
          <w:tcPr>
            <w:tcW w:w="8428"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leftChars="0" w:right="42" w:rightChars="0"/>
              <w:jc w:val="left"/>
              <w:rPr>
                <w:rFonts w:hint="eastAsia" w:ascii="微软雅黑" w:hAnsi="微软雅黑" w:eastAsia="微软雅黑" w:cs="微软雅黑"/>
                <w:color w:val="auto"/>
                <w:kern w:val="0"/>
                <w:sz w:val="24"/>
                <w:szCs w:val="24"/>
                <w:highlight w:val="none"/>
                <w:u w:val="none"/>
                <w:lang w:val="en-US" w:eastAsia="zh-CN" w:bidi="ar-SA"/>
              </w:rPr>
            </w:pPr>
            <w:r>
              <w:rPr>
                <w:rFonts w:hint="eastAsia" w:ascii="宋体" w:hAnsi="宋体" w:eastAsia="宋体" w:cs="宋体"/>
                <w:color w:val="auto"/>
                <w:sz w:val="16"/>
                <w:szCs w:val="16"/>
                <w:highlight w:val="none"/>
                <w:u w:val="none"/>
              </w:rPr>
              <w:t>具有注册</w:t>
            </w:r>
            <w:r>
              <w:rPr>
                <w:rFonts w:hint="eastAsia" w:ascii="宋体" w:hAnsi="宋体" w:eastAsia="宋体" w:cs="宋体"/>
                <w:color w:val="auto"/>
                <w:sz w:val="16"/>
                <w:szCs w:val="16"/>
                <w:highlight w:val="none"/>
                <w:u w:val="none"/>
                <w:lang w:val="en-US" w:eastAsia="zh-CN"/>
              </w:rPr>
              <w:t>土木（</w:t>
            </w:r>
            <w:r>
              <w:rPr>
                <w:rFonts w:hint="eastAsia" w:ascii="宋体" w:hAnsi="宋体" w:eastAsia="宋体" w:cs="宋体"/>
                <w:color w:val="auto"/>
                <w:sz w:val="16"/>
                <w:szCs w:val="16"/>
                <w:highlight w:val="none"/>
                <w:u w:val="none"/>
              </w:rPr>
              <w:t>岩土</w:t>
            </w:r>
            <w:r>
              <w:rPr>
                <w:rFonts w:hint="eastAsia" w:ascii="宋体" w:hAnsi="宋体" w:eastAsia="宋体" w:cs="宋体"/>
                <w:color w:val="auto"/>
                <w:sz w:val="16"/>
                <w:szCs w:val="16"/>
                <w:highlight w:val="none"/>
                <w:u w:val="none"/>
                <w:lang w:val="en-US" w:eastAsia="zh-CN"/>
              </w:rPr>
              <w:t>）</w:t>
            </w:r>
            <w:r>
              <w:rPr>
                <w:rFonts w:hint="eastAsia" w:ascii="宋体" w:hAnsi="宋体" w:eastAsia="宋体" w:cs="宋体"/>
                <w:color w:val="auto"/>
                <w:sz w:val="16"/>
                <w:szCs w:val="16"/>
                <w:highlight w:val="none"/>
                <w:u w:val="none"/>
              </w:rPr>
              <w:t>工程师，</w:t>
            </w:r>
            <w:r>
              <w:rPr>
                <w:rFonts w:hint="eastAsia" w:hAnsi="宋体" w:eastAsia="宋体" w:cs="宋体"/>
                <w:color w:val="auto"/>
                <w:sz w:val="16"/>
                <w:szCs w:val="16"/>
                <w:highlight w:val="none"/>
                <w:u w:val="none"/>
                <w:lang w:val="en-US" w:eastAsia="zh-CN"/>
              </w:rPr>
              <w:t>且</w:t>
            </w:r>
            <w:r>
              <w:rPr>
                <w:rFonts w:hint="eastAsia" w:ascii="宋体" w:hAnsi="宋体" w:eastAsia="宋体" w:cs="宋体"/>
                <w:color w:val="auto"/>
                <w:sz w:val="16"/>
                <w:szCs w:val="16"/>
                <w:highlight w:val="none"/>
                <w:u w:val="none"/>
              </w:rPr>
              <w:t>具有本专业高级或以上技术职称。</w:t>
            </w:r>
          </w:p>
        </w:tc>
        <w:tc>
          <w:tcPr>
            <w:tcW w:w="1601" w:type="dxa"/>
            <w:tcBorders>
              <w:top w:val="nil"/>
              <w:left w:val="nil"/>
              <w:bottom w:val="single" w:color="auto" w:sz="8" w:space="0"/>
              <w:right w:val="single" w:color="auto" w:sz="8" w:space="0"/>
            </w:tcBorders>
            <w:noWrap w:val="0"/>
            <w:tcMar>
              <w:left w:w="108" w:type="dxa"/>
              <w:right w:w="108" w:type="dxa"/>
            </w:tcMar>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left"/>
              <w:rPr>
                <w:rFonts w:hint="eastAsia" w:ascii="微软雅黑" w:hAnsi="微软雅黑" w:eastAsia="微软雅黑" w:cs="微软雅黑"/>
                <w:color w:val="auto"/>
                <w:highlight w:val="none"/>
                <w:u w:val="none"/>
              </w:rPr>
            </w:pPr>
            <w:r>
              <w:rPr>
                <w:rFonts w:hint="eastAsia" w:ascii="宋体" w:hAnsi="宋体" w:eastAsia="宋体" w:cs="宋体"/>
                <w:color w:val="auto"/>
                <w:sz w:val="16"/>
                <w:szCs w:val="16"/>
                <w:highlight w:val="none"/>
                <w:u w:val="none"/>
              </w:rPr>
              <w:t>组成联合体投标的，由勘察方提供</w:t>
            </w: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8" w:beforeAutospacing="0" w:after="0" w:afterAutospacing="0"/>
        <w:ind w:left="0" w:right="0" w:firstLine="210"/>
        <w:jc w:val="both"/>
        <w:rPr>
          <w:rFonts w:hint="eastAsia" w:ascii="微软雅黑" w:hAnsi="微软雅黑" w:eastAsia="微软雅黑" w:cs="微软雅黑"/>
          <w:i w:val="0"/>
          <w:iCs w:val="0"/>
          <w:caps w:val="0"/>
          <w:color w:val="auto"/>
          <w:spacing w:val="0"/>
          <w:sz w:val="19"/>
          <w:szCs w:val="19"/>
          <w:highlight w:val="none"/>
          <w:u w:val="none"/>
        </w:rPr>
      </w:pPr>
      <w:r>
        <w:rPr>
          <w:rFonts w:hint="eastAsia" w:ascii="宋体" w:hAnsi="宋体" w:eastAsia="宋体" w:cs="宋体"/>
          <w:i w:val="0"/>
          <w:iCs w:val="0"/>
          <w:caps w:val="0"/>
          <w:color w:val="auto"/>
          <w:spacing w:val="0"/>
          <w:sz w:val="19"/>
          <w:szCs w:val="19"/>
          <w:highlight w:val="none"/>
          <w:u w:val="none"/>
          <w:shd w:val="clear" w:color="auto" w:fill="FFFFFF"/>
        </w:rPr>
        <w:t>注：①投标人应提供人员相关的职称证书、执业注册证书扫描件；</w:t>
      </w:r>
      <w:r>
        <w:rPr>
          <w:rFonts w:hint="eastAsia" w:ascii="宋体" w:hAnsi="宋体" w:eastAsia="宋体" w:cs="宋体"/>
          <w:i w:val="0"/>
          <w:iCs w:val="0"/>
          <w:caps w:val="0"/>
          <w:color w:val="auto"/>
          <w:spacing w:val="0"/>
          <w:sz w:val="19"/>
          <w:szCs w:val="19"/>
          <w:highlight w:val="none"/>
          <w:u w:val="none"/>
          <w:shd w:val="clear" w:color="auto" w:fill="FFFFFF"/>
          <w:lang w:val="en-US"/>
        </w:rPr>
        <w:t>②</w:t>
      </w:r>
      <w:r>
        <w:rPr>
          <w:rFonts w:hint="eastAsia" w:ascii="宋体" w:hAnsi="宋体" w:eastAsia="宋体" w:cs="宋体"/>
          <w:i w:val="0"/>
          <w:iCs w:val="0"/>
          <w:caps w:val="0"/>
          <w:color w:val="auto"/>
          <w:spacing w:val="0"/>
          <w:sz w:val="19"/>
          <w:szCs w:val="19"/>
          <w:highlight w:val="none"/>
          <w:u w:val="none"/>
          <w:shd w:val="clear" w:color="auto" w:fill="FFFFFF"/>
        </w:rPr>
        <w:t>按照《造价工程师职业资格制度规定》的规定，根据原人事部、原建设部发布的《造价工程师执业资格制度暂行规定》（人发〔</w:t>
      </w:r>
      <w:r>
        <w:rPr>
          <w:rFonts w:hint="eastAsia" w:ascii="宋体" w:hAnsi="宋体" w:eastAsia="宋体" w:cs="宋体"/>
          <w:i w:val="0"/>
          <w:iCs w:val="0"/>
          <w:caps w:val="0"/>
          <w:color w:val="auto"/>
          <w:spacing w:val="0"/>
          <w:sz w:val="19"/>
          <w:szCs w:val="19"/>
          <w:highlight w:val="none"/>
          <w:u w:val="none"/>
          <w:shd w:val="clear" w:color="auto" w:fill="FFFFFF"/>
          <w:lang w:val="en-US"/>
        </w:rPr>
        <w:t>1996</w:t>
      </w:r>
      <w:r>
        <w:rPr>
          <w:rFonts w:hint="eastAsia" w:ascii="宋体" w:hAnsi="宋体" w:eastAsia="宋体" w:cs="宋体"/>
          <w:i w:val="0"/>
          <w:iCs w:val="0"/>
          <w:caps w:val="0"/>
          <w:color w:val="auto"/>
          <w:spacing w:val="0"/>
          <w:sz w:val="19"/>
          <w:szCs w:val="19"/>
          <w:highlight w:val="none"/>
          <w:u w:val="none"/>
          <w:shd w:val="clear" w:color="auto" w:fill="FFFFFF"/>
        </w:rPr>
        <w:t>〕</w:t>
      </w:r>
      <w:r>
        <w:rPr>
          <w:rFonts w:hint="eastAsia" w:ascii="宋体" w:hAnsi="宋体" w:eastAsia="宋体" w:cs="宋体"/>
          <w:i w:val="0"/>
          <w:iCs w:val="0"/>
          <w:caps w:val="0"/>
          <w:color w:val="auto"/>
          <w:spacing w:val="0"/>
          <w:sz w:val="19"/>
          <w:szCs w:val="19"/>
          <w:highlight w:val="none"/>
          <w:u w:val="none"/>
          <w:shd w:val="clear" w:color="auto" w:fill="FFFFFF"/>
          <w:lang w:val="en-US"/>
        </w:rPr>
        <w:t>77</w:t>
      </w:r>
      <w:r>
        <w:rPr>
          <w:rFonts w:hint="eastAsia" w:ascii="宋体" w:hAnsi="宋体" w:eastAsia="宋体" w:cs="宋体"/>
          <w:i w:val="0"/>
          <w:iCs w:val="0"/>
          <w:caps w:val="0"/>
          <w:color w:val="auto"/>
          <w:spacing w:val="0"/>
          <w:sz w:val="19"/>
          <w:szCs w:val="19"/>
          <w:highlight w:val="none"/>
          <w:u w:val="none"/>
          <w:shd w:val="clear" w:color="auto" w:fill="FFFFFF"/>
        </w:rPr>
        <w:t>号）取得的造价工程师执业资格，并经注册且在有效期内的，等同于一级注册造价工程师。③投标人应同时提供人员截止投标前近一个月（即202</w:t>
      </w:r>
      <w:r>
        <w:rPr>
          <w:rFonts w:hint="eastAsia" w:ascii="宋体" w:hAnsi="宋体" w:eastAsia="宋体" w:cs="宋体"/>
          <w:i w:val="0"/>
          <w:iCs w:val="0"/>
          <w:caps w:val="0"/>
          <w:color w:val="auto"/>
          <w:spacing w:val="0"/>
          <w:sz w:val="19"/>
          <w:szCs w:val="19"/>
          <w:highlight w:val="none"/>
          <w:u w:val="none"/>
          <w:shd w:val="clear" w:color="auto" w:fill="FFFFFF"/>
          <w:lang w:val="en-US"/>
        </w:rPr>
        <w:t>4</w:t>
      </w:r>
      <w:r>
        <w:rPr>
          <w:rFonts w:hint="eastAsia" w:ascii="宋体" w:hAnsi="宋体" w:eastAsia="宋体" w:cs="宋体"/>
          <w:i w:val="0"/>
          <w:iCs w:val="0"/>
          <w:caps w:val="0"/>
          <w:color w:val="auto"/>
          <w:spacing w:val="0"/>
          <w:sz w:val="19"/>
          <w:szCs w:val="19"/>
          <w:highlight w:val="none"/>
          <w:u w:val="none"/>
          <w:shd w:val="clear" w:color="auto" w:fill="FFFFFF"/>
        </w:rPr>
        <w:t>年</w:t>
      </w:r>
      <w:r>
        <w:rPr>
          <w:rFonts w:hint="eastAsia" w:hAnsi="宋体" w:cs="宋体"/>
          <w:i w:val="0"/>
          <w:iCs w:val="0"/>
          <w:caps w:val="0"/>
          <w:color w:val="auto"/>
          <w:spacing w:val="0"/>
          <w:sz w:val="19"/>
          <w:szCs w:val="19"/>
          <w:highlight w:val="none"/>
          <w:u w:val="none"/>
          <w:shd w:val="clear" w:color="auto" w:fill="FFFFFF"/>
          <w:lang w:val="en-US" w:eastAsia="zh-CN"/>
        </w:rPr>
        <w:t>6</w:t>
      </w:r>
      <w:r>
        <w:rPr>
          <w:rFonts w:hint="eastAsia" w:ascii="宋体" w:hAnsi="宋体" w:eastAsia="宋体" w:cs="宋体"/>
          <w:i w:val="0"/>
          <w:iCs w:val="0"/>
          <w:caps w:val="0"/>
          <w:color w:val="auto"/>
          <w:spacing w:val="0"/>
          <w:sz w:val="19"/>
          <w:szCs w:val="19"/>
          <w:highlight w:val="none"/>
          <w:u w:val="none"/>
          <w:shd w:val="clear" w:color="auto" w:fill="FFFFFF"/>
        </w:rPr>
        <w:t>月）在本单位（不含投标人的子公司）购买社保的缴费记录。不符合条件或无提交相关资料的不计分。</w:t>
      </w:r>
      <w:r>
        <w:rPr>
          <w:rFonts w:hint="eastAsia" w:ascii="宋体" w:hAnsi="宋体" w:eastAsia="宋体" w:cs="宋体"/>
          <w:i w:val="0"/>
          <w:iCs w:val="0"/>
          <w:caps w:val="0"/>
          <w:color w:val="auto"/>
          <w:spacing w:val="0"/>
          <w:sz w:val="19"/>
          <w:szCs w:val="19"/>
          <w:highlight w:val="none"/>
          <w:u w:val="none"/>
          <w:shd w:val="clear" w:color="auto" w:fill="FFFFFF"/>
          <w:lang w:val="en-US"/>
        </w:rPr>
        <w:t>④</w:t>
      </w:r>
      <w:r>
        <w:rPr>
          <w:rFonts w:hint="eastAsia" w:ascii="宋体" w:hAnsi="宋体" w:eastAsia="宋体" w:cs="宋体"/>
          <w:i w:val="0"/>
          <w:iCs w:val="0"/>
          <w:caps w:val="0"/>
          <w:color w:val="auto"/>
          <w:spacing w:val="0"/>
          <w:sz w:val="19"/>
          <w:szCs w:val="19"/>
          <w:highlight w:val="none"/>
          <w:u w:val="none"/>
          <w:shd w:val="clear" w:color="auto" w:fill="FFFFFF"/>
        </w:rPr>
        <w:t>如联合体投标，项目团队中的施工管理人员需为联合体主办方人员；项目团队中的设计人员需为联合体设计方人员；项目团队中的勘察人员需为联合体勘察方人员。上述人员岗位不能相互兼任。</w:t>
      </w:r>
    </w:p>
    <w:p>
      <w:pPr>
        <w:snapToGrid w:val="0"/>
        <w:spacing w:before="60" w:beforeLines="25"/>
        <w:ind w:firstLine="210" w:firstLineChars="100"/>
        <w:rPr>
          <w:rFonts w:hint="eastAsia" w:ascii="宋体" w:hAnsi="宋体" w:cs="宋体"/>
          <w:color w:val="auto"/>
          <w:kern w:val="0"/>
          <w:szCs w:val="20"/>
          <w:highlight w:val="none"/>
          <w:lang w:val="zh-CN"/>
        </w:rPr>
      </w:pPr>
    </w:p>
    <w:p>
      <w:pPr>
        <w:rPr>
          <w:color w:val="auto"/>
          <w:highlight w:val="none"/>
        </w:rPr>
      </w:pPr>
    </w:p>
    <w:p>
      <w:pPr>
        <w:snapToGrid w:val="0"/>
        <w:spacing w:before="60" w:beforeLines="25"/>
        <w:ind w:firstLine="210" w:firstLineChars="100"/>
        <w:rPr>
          <w:rFonts w:hint="eastAsia" w:ascii="宋体" w:hAnsi="宋体" w:cs="宋体"/>
          <w:color w:val="auto"/>
          <w:kern w:val="0"/>
          <w:szCs w:val="20"/>
          <w:highlight w:val="none"/>
          <w:lang w:val="zh-CN"/>
        </w:rPr>
      </w:pPr>
    </w:p>
    <w:p>
      <w:pPr>
        <w:snapToGrid w:val="0"/>
        <w:spacing w:before="60" w:beforeLines="25"/>
        <w:ind w:firstLine="210" w:firstLineChars="100"/>
        <w:rPr>
          <w:rFonts w:hint="eastAsia" w:ascii="宋体" w:hAnsi="宋体" w:cs="宋体"/>
          <w:b/>
          <w:bCs/>
          <w:color w:val="auto"/>
          <w:kern w:val="0"/>
          <w:szCs w:val="20"/>
          <w:highlight w:val="none"/>
          <w:lang w:val="en-US" w:eastAsia="zh-CN"/>
        </w:rPr>
      </w:pPr>
      <w:r>
        <w:rPr>
          <w:rFonts w:hint="eastAsia" w:ascii="宋体" w:hAnsi="宋体" w:cs="宋体"/>
          <w:color w:val="auto"/>
          <w:kern w:val="0"/>
          <w:szCs w:val="20"/>
          <w:highlight w:val="none"/>
          <w:lang w:val="zh-CN"/>
        </w:rPr>
        <w:br w:type="page"/>
      </w:r>
      <w:r>
        <w:rPr>
          <w:rFonts w:hint="eastAsia" w:ascii="宋体" w:hAnsi="宋体" w:cs="宋体"/>
          <w:b/>
          <w:bCs/>
          <w:color w:val="auto"/>
          <w:kern w:val="0"/>
          <w:szCs w:val="20"/>
          <w:highlight w:val="none"/>
          <w:lang w:val="en-US" w:eastAsia="zh-CN"/>
        </w:rPr>
        <w:t>附件2：（十八）建筑垃圾减量及利用要求</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 </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施工现场建筑垃圾源头减量的具体要求和建筑垃圾综合利用产品的使用要求</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工程施工单位应当编制建筑垃圾处理方案，采取污染防治措施，并在开工前报工程所在地县级人民政府建筑垃圾主管部门备案。建筑垃圾处理方案内容有调整的，应当及时报告接受备案的部门。建筑垃圾处理方案应当包括下列内容：</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（1）工程概况和施工单位基本信息；</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（2）建筑垃圾产生量与种类；</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（3）建筑垃圾源头减量、分类收集、综合利用、污染防治的措施和目标；</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（4）需要外运的建筑垃圾种类、数量与运输的时间、路线、方式和运输单位；</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（5）建筑垃圾回填、消纳、综合利用场所名称；</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（6）法律、法规规定的其他内容。</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建筑垃圾应当按照国家有关规定进行分类，实行分类收集、分类贮存、分类运输、分类处置。</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施工单位应开展建筑垃圾分类和合法装载，并及时向工程所在地县级人民政府建筑垃圾主管部门报送建筑垃圾处理方案。施工单位应当建立建筑垃圾管理台账，分类收集、贮存和及时清运施工过程中产生的建筑垃圾，采取有效措施防止混合已分类的建筑垃圾。工程施工单位应当将建筑垃圾的产生量与种类、清运时间、最终去向等信息在施工现场公示，接受社会监督。</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运输建筑垃圾应当遵守下列规定：</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（1）建立建筑垃圾运输管理台账；</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（2）不得将工程渣土、工程泥浆与其他建筑垃圾混合运输；</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（3）保持运输车辆、船舶等运输工具的行驶记录、卫星定位等电子装置正常使用；</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（4）运输过程中保持运输工具整洁，采取密闭或者其他有效措施防止遗撒建筑垃圾，不得擅自倾倒、抛撒建筑垃圾；</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（5）按照建筑垃圾处理方案确定的时间、路线、方式、场所进行运输。建筑垃圾运输车辆、船舶应当符合相应的载运技术条件。建筑垃圾处置场所为陆域的，不得采用开底式船舶运输建筑垃圾。</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工程泥浆应当在施工现场进行脱水固化处理。施工现场不具备条件的，应当采用罐装器具密闭运输至依法设置的建筑垃圾处置场所进行处置。水上工程中依法无需经脱水处理的除外。</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建筑垃圾应当按照下列方式，优先就地就近利用：</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（1）工程渣土及脱水后的工程泥浆优先用于土方平衡、矿坑修复、环境治理、烧结制品及回填等；</w:t>
      </w:r>
    </w:p>
    <w:p>
      <w:pPr>
        <w:snapToGrid w:val="0"/>
        <w:spacing w:before="60" w:beforeLines="25"/>
        <w:ind w:firstLine="211" w:firstLineChars="100"/>
        <w:rPr>
          <w:rFonts w:hint="eastAsia" w:ascii="宋体" w:hAnsi="宋体" w:cs="宋体"/>
          <w:b/>
          <w:bCs/>
          <w:color w:val="auto"/>
          <w:kern w:val="0"/>
          <w:szCs w:val="20"/>
          <w:highlight w:val="none"/>
          <w:lang w:val="en-US" w:eastAsia="zh-CN"/>
        </w:rPr>
      </w:pPr>
      <w:r>
        <w:rPr>
          <w:rFonts w:hint="eastAsia" w:ascii="宋体" w:hAnsi="宋体" w:cs="宋体"/>
          <w:b/>
          <w:bCs/>
          <w:color w:val="auto"/>
          <w:kern w:val="0"/>
          <w:szCs w:val="20"/>
          <w:highlight w:val="none"/>
          <w:lang w:val="en-US" w:eastAsia="zh-CN"/>
        </w:rPr>
        <w:t>（2）工程垃圾、拆除垃圾和装修垃圾优先用于生产再生骨料、再生砖、再生砌块、再生沥青混合料等建筑垃圾综合利用产品。具备现场综合利用条件的建设工程，应当进行建筑垃圾现场综合利用。</w:t>
      </w:r>
    </w:p>
    <w:p>
      <w:pPr>
        <w:snapToGrid w:val="0"/>
        <w:spacing w:before="60" w:beforeLines="25"/>
        <w:ind w:firstLine="211" w:firstLineChars="100"/>
        <w:rPr>
          <w:rFonts w:hint="default" w:ascii="宋体" w:hAnsi="宋体" w:eastAsia="宋体" w:cs="宋体"/>
          <w:color w:val="auto"/>
          <w:kern w:val="0"/>
          <w:highlight w:val="none"/>
          <w:lang w:val="en-US" w:eastAsia="zh-CN"/>
        </w:rPr>
      </w:pPr>
      <w:r>
        <w:rPr>
          <w:rFonts w:hint="eastAsia" w:ascii="宋体" w:hAnsi="宋体" w:cs="宋体"/>
          <w:b/>
          <w:bCs/>
          <w:color w:val="auto"/>
          <w:kern w:val="0"/>
          <w:szCs w:val="20"/>
          <w:highlight w:val="none"/>
          <w:lang w:val="en-US" w:eastAsia="zh-CN"/>
        </w:rPr>
        <w:t>建设单位和施工单位严格遵守并执行《广东省建筑垃圾管理条例》。</w:t>
      </w:r>
    </w:p>
    <w:p>
      <w:pPr>
        <w:pStyle w:val="6"/>
        <w:spacing w:before="240" w:after="240"/>
        <w:ind w:left="0" w:firstLine="0"/>
        <w:jc w:val="distribute"/>
        <w:rPr>
          <w:rFonts w:hint="eastAsia" w:ascii="宋体" w:hAnsi="宋体" w:cs="宋体"/>
          <w:b w:val="0"/>
          <w:bCs w:val="0"/>
          <w:color w:val="auto"/>
          <w:highlight w:val="none"/>
        </w:rPr>
        <w:sectPr>
          <w:headerReference r:id="rId14" w:type="default"/>
          <w:footerReference r:id="rId15" w:type="default"/>
          <w:pgSz w:w="16840" w:h="11907" w:orient="landscape"/>
          <w:pgMar w:top="1134" w:right="1440" w:bottom="1134" w:left="1440" w:header="851" w:footer="992" w:gutter="0"/>
          <w:cols w:space="720" w:num="1"/>
          <w:docGrid w:linePitch="312" w:charSpace="0"/>
        </w:sectPr>
      </w:pPr>
    </w:p>
    <w:p>
      <w:pPr>
        <w:rPr>
          <w:rFonts w:hint="eastAsia" w:ascii="宋体" w:hAnsi="宋体" w:cs="宋体"/>
          <w:b/>
          <w:color w:val="auto"/>
          <w:sz w:val="24"/>
          <w:highlight w:val="none"/>
        </w:rPr>
      </w:pPr>
      <w:r>
        <w:rPr>
          <w:rFonts w:hint="eastAsia" w:ascii="宋体" w:hAnsi="宋体" w:cs="宋体"/>
          <w:b/>
          <w:color w:val="auto"/>
          <w:sz w:val="24"/>
          <w:highlight w:val="none"/>
        </w:rPr>
        <w:t>附表6</w:t>
      </w:r>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投标报价综合评分表</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项目名称：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5"/>
        <w:gridCol w:w="1129"/>
        <w:gridCol w:w="1129"/>
        <w:gridCol w:w="1128"/>
        <w:gridCol w:w="1129"/>
        <w:gridCol w:w="1129"/>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2755" w:type="dxa"/>
            <w:noWrap w:val="0"/>
            <w:vAlign w:val="center"/>
          </w:tcPr>
          <w:p>
            <w:p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8"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755" w:type="dxa"/>
            <w:noWrap w:val="0"/>
            <w:vAlign w:val="center"/>
          </w:tcPr>
          <w:p>
            <w:p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投标总报价PT（元）</w:t>
            </w: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8"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755" w:type="dxa"/>
            <w:noWrap w:val="0"/>
            <w:vAlign w:val="center"/>
          </w:tcPr>
          <w:p>
            <w:p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计算参考数据</w:t>
            </w:r>
          </w:p>
        </w:tc>
        <w:tc>
          <w:tcPr>
            <w:tcW w:w="7902" w:type="dxa"/>
            <w:gridSpan w:val="7"/>
            <w:noWrap w:val="0"/>
            <w:vAlign w:val="center"/>
          </w:tcPr>
          <w:p>
            <w:p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评标参考价（PC）：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755" w:type="dxa"/>
            <w:noWrap w:val="0"/>
            <w:vAlign w:val="center"/>
          </w:tcPr>
          <w:p>
            <w:pPr>
              <w:tabs>
                <w:tab w:val="left" w:pos="0"/>
              </w:tabs>
              <w:spacing w:line="360" w:lineRule="auto"/>
              <w:rPr>
                <w:rFonts w:hint="eastAsia" w:ascii="宋体" w:hAnsi="宋体" w:cs="宋体"/>
                <w:color w:val="auto"/>
                <w:spacing w:val="-10"/>
                <w:szCs w:val="21"/>
                <w:highlight w:val="none"/>
              </w:rPr>
            </w:pPr>
            <w:r>
              <w:rPr>
                <w:rFonts w:hint="eastAsia" w:ascii="宋体" w:hAnsi="宋体" w:cs="宋体"/>
                <w:color w:val="auto"/>
                <w:spacing w:val="-10"/>
                <w:szCs w:val="21"/>
                <w:highlight w:val="none"/>
              </w:rPr>
              <w:t>偏差（（PT-PC）/PC）（%）</w:t>
            </w: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8"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755" w:type="dxa"/>
            <w:noWrap w:val="0"/>
            <w:vAlign w:val="center"/>
          </w:tcPr>
          <w:p>
            <w:p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减分（A）</w:t>
            </w: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8"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755" w:type="dxa"/>
            <w:noWrap w:val="0"/>
            <w:vAlign w:val="center"/>
          </w:tcPr>
          <w:p>
            <w:pPr>
              <w:tabs>
                <w:tab w:val="left" w:pos="0"/>
              </w:tabs>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投标总报价得分(I=100-A)</w:t>
            </w: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8"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c>
          <w:tcPr>
            <w:tcW w:w="1129" w:type="dxa"/>
            <w:noWrap w:val="0"/>
            <w:vAlign w:val="center"/>
          </w:tcPr>
          <w:p>
            <w:pPr>
              <w:tabs>
                <w:tab w:val="left" w:pos="0"/>
              </w:tabs>
              <w:spacing w:line="360" w:lineRule="auto"/>
              <w:ind w:left="552" w:leftChars="228" w:hanging="73" w:hangingChars="35"/>
              <w:rPr>
                <w:rFonts w:hint="eastAsia" w:ascii="宋体" w:hAnsi="宋体" w:cs="宋体"/>
                <w:color w:val="auto"/>
                <w:szCs w:val="21"/>
                <w:highlight w:val="none"/>
              </w:rPr>
            </w:pPr>
          </w:p>
        </w:tc>
      </w:tr>
    </w:tbl>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评委签名：                  日期：</w:t>
      </w:r>
    </w:p>
    <w:p>
      <w:pPr>
        <w:rPr>
          <w:rFonts w:hint="eastAsia" w:ascii="宋体" w:hAnsi="宋体" w:cs="宋体"/>
          <w:color w:val="auto"/>
          <w:highlight w:val="none"/>
        </w:rPr>
      </w:pPr>
    </w:p>
    <w:p>
      <w:pPr>
        <w:rPr>
          <w:rFonts w:hint="eastAsia" w:ascii="宋体" w:hAnsi="宋体" w:cs="宋体"/>
          <w:color w:val="auto"/>
          <w:highlight w:val="none"/>
        </w:rPr>
      </w:pPr>
    </w:p>
    <w:p>
      <w:pPr>
        <w:pStyle w:val="25"/>
        <w:rPr>
          <w:rFonts w:ascii="宋体" w:hAnsi="宋体"/>
          <w:color w:val="auto"/>
          <w:highlight w:val="none"/>
        </w:rPr>
      </w:pPr>
    </w:p>
    <w:p>
      <w:pPr>
        <w:rPr>
          <w:rFonts w:hint="eastAsia" w:ascii="宋体" w:hAnsi="宋体" w:cs="宋体"/>
          <w:color w:val="auto"/>
          <w:highlight w:val="none"/>
        </w:rPr>
      </w:pPr>
    </w:p>
    <w:p>
      <w:pPr>
        <w:rPr>
          <w:color w:val="auto"/>
          <w:highlight w:val="none"/>
        </w:rPr>
      </w:pPr>
    </w:p>
    <w:p>
      <w:pPr>
        <w:rPr>
          <w:rFonts w:ascii="宋体" w:hAnsi="宋体"/>
          <w:color w:val="auto"/>
          <w:highlight w:val="none"/>
        </w:rPr>
      </w:pPr>
      <w:r>
        <w:rPr>
          <w:rFonts w:ascii="宋体" w:hAnsi="宋体"/>
          <w:color w:val="auto"/>
          <w:highlight w:val="none"/>
        </w:rPr>
        <w:br w:type="page"/>
      </w:r>
    </w:p>
    <w:p>
      <w:pPr>
        <w:rPr>
          <w:color w:val="auto"/>
          <w:highlight w:val="none"/>
        </w:rPr>
      </w:pPr>
    </w:p>
    <w:p>
      <w:pPr>
        <w:pStyle w:val="2"/>
        <w:numPr>
          <w:ilvl w:val="0"/>
          <w:numId w:val="6"/>
        </w:numPr>
        <w:spacing w:line="240" w:lineRule="auto"/>
        <w:jc w:val="center"/>
        <w:rPr>
          <w:rFonts w:hint="eastAsia" w:ascii="宋体" w:hAnsi="宋体" w:cs="宋体"/>
          <w:color w:val="auto"/>
          <w:highlight w:val="none"/>
        </w:rPr>
      </w:pPr>
      <w:bookmarkStart w:id="328" w:name="_Toc1182"/>
      <w:bookmarkStart w:id="329" w:name="_Toc9605"/>
      <w:bookmarkStart w:id="330" w:name="_Toc505152705"/>
      <w:r>
        <w:rPr>
          <w:rFonts w:hint="eastAsia" w:ascii="宋体" w:hAnsi="宋体" w:cs="宋体"/>
          <w:color w:val="auto"/>
          <w:highlight w:val="none"/>
        </w:rPr>
        <w:t>合同条款及格式</w:t>
      </w:r>
      <w:bookmarkEnd w:id="328"/>
      <w:bookmarkEnd w:id="329"/>
      <w:bookmarkEnd w:id="330"/>
    </w:p>
    <w:p>
      <w:pPr>
        <w:jc w:val="center"/>
        <w:rPr>
          <w:rFonts w:ascii="宋体" w:hAnsi="宋体"/>
          <w:color w:val="auto"/>
          <w:sz w:val="32"/>
          <w:szCs w:val="36"/>
          <w:highlight w:val="none"/>
        </w:rPr>
      </w:pPr>
      <w:r>
        <w:rPr>
          <w:rFonts w:hint="eastAsia" w:ascii="宋体" w:hAnsi="宋体" w:cs="宋体"/>
          <w:color w:val="auto"/>
          <w:sz w:val="32"/>
          <w:szCs w:val="36"/>
          <w:highlight w:val="none"/>
        </w:rPr>
        <w:t>（另册）</w:t>
      </w:r>
    </w:p>
    <w:p>
      <w:pPr>
        <w:pStyle w:val="2"/>
        <w:spacing w:line="240" w:lineRule="auto"/>
        <w:jc w:val="center"/>
        <w:rPr>
          <w:rFonts w:ascii="宋体" w:hAnsi="宋体" w:cs="宋体"/>
          <w:color w:val="auto"/>
          <w:highlight w:val="none"/>
        </w:rPr>
      </w:pPr>
      <w:r>
        <w:rPr>
          <w:rFonts w:hint="eastAsia" w:ascii="宋体" w:hAnsi="宋体" w:cs="宋体"/>
          <w:color w:val="auto"/>
          <w:sz w:val="24"/>
          <w:highlight w:val="none"/>
        </w:rPr>
        <w:br w:type="page"/>
      </w:r>
      <w:bookmarkStart w:id="331" w:name="_Toc505152707"/>
      <w:r>
        <w:rPr>
          <w:rFonts w:hint="eastAsia" w:ascii="宋体" w:hAnsi="宋体" w:cs="宋体"/>
          <w:color w:val="auto"/>
          <w:highlight w:val="none"/>
        </w:rPr>
        <w:t xml:space="preserve">第四章 </w:t>
      </w:r>
      <w:bookmarkStart w:id="332" w:name="_Toc23631"/>
      <w:r>
        <w:rPr>
          <w:rFonts w:hint="eastAsia" w:ascii="宋体" w:hAnsi="宋体" w:cs="宋体"/>
          <w:color w:val="auto"/>
          <w:highlight w:val="none"/>
        </w:rPr>
        <w:t>发包人要求</w:t>
      </w:r>
      <w:bookmarkEnd w:id="331"/>
      <w:bookmarkEnd w:id="332"/>
    </w:p>
    <w:p>
      <w:pPr>
        <w:jc w:val="center"/>
        <w:rPr>
          <w:rFonts w:ascii="宋体" w:hAnsi="宋体"/>
          <w:color w:val="auto"/>
          <w:sz w:val="32"/>
          <w:szCs w:val="36"/>
          <w:highlight w:val="none"/>
        </w:rPr>
      </w:pPr>
      <w:r>
        <w:rPr>
          <w:rFonts w:hint="eastAsia" w:ascii="宋体" w:hAnsi="宋体" w:cs="宋体"/>
          <w:color w:val="auto"/>
          <w:sz w:val="32"/>
          <w:szCs w:val="36"/>
          <w:highlight w:val="none"/>
        </w:rPr>
        <w:t>（另册）</w:t>
      </w:r>
    </w:p>
    <w:p>
      <w:pPr>
        <w:jc w:val="center"/>
        <w:rPr>
          <w:rFonts w:ascii="Calibri" w:hAnsi="Calibri"/>
          <w:color w:val="auto"/>
          <w:spacing w:val="4"/>
          <w:kern w:val="0"/>
          <w:sz w:val="24"/>
          <w:szCs w:val="24"/>
          <w:highlight w:val="none"/>
        </w:rPr>
      </w:pPr>
    </w:p>
    <w:p>
      <w:pPr>
        <w:spacing w:line="360" w:lineRule="auto"/>
        <w:rPr>
          <w:rFonts w:ascii="Calibri" w:hAnsi="Calibri"/>
          <w:color w:val="auto"/>
          <w:sz w:val="24"/>
          <w:szCs w:val="24"/>
          <w:highlight w:val="none"/>
        </w:rPr>
      </w:pPr>
    </w:p>
    <w:p>
      <w:pPr>
        <w:pStyle w:val="2"/>
        <w:ind w:firstLine="1687" w:firstLineChars="600"/>
        <w:rPr>
          <w:rFonts w:hint="eastAsia" w:ascii="宋体" w:hAnsi="宋体"/>
          <w:color w:val="auto"/>
          <w:sz w:val="28"/>
          <w:szCs w:val="28"/>
          <w:highlight w:val="none"/>
        </w:rPr>
      </w:pPr>
      <w:r>
        <w:rPr>
          <w:rFonts w:hint="eastAsia" w:ascii="宋体" w:hAnsi="宋体"/>
          <w:color w:val="auto"/>
          <w:sz w:val="28"/>
          <w:szCs w:val="28"/>
          <w:highlight w:val="none"/>
        </w:rPr>
        <w:br w:type="page"/>
      </w:r>
      <w:bookmarkStart w:id="333" w:name="_Toc505152708"/>
      <w:bookmarkStart w:id="334" w:name="_Toc22706"/>
    </w:p>
    <w:p>
      <w:pPr>
        <w:pStyle w:val="2"/>
        <w:jc w:val="center"/>
        <w:rPr>
          <w:rFonts w:hint="eastAsia" w:ascii="宋体" w:hAnsi="宋体" w:cs="宋体"/>
          <w:color w:val="auto"/>
          <w:highlight w:val="none"/>
        </w:rPr>
      </w:pPr>
      <w:r>
        <w:rPr>
          <w:rFonts w:hint="eastAsia" w:ascii="宋体" w:hAnsi="宋体" w:cs="宋体"/>
          <w:color w:val="auto"/>
          <w:highlight w:val="none"/>
        </w:rPr>
        <w:t>第五章  投标文件格式</w:t>
      </w:r>
      <w:bookmarkEnd w:id="333"/>
      <w:bookmarkEnd w:id="334"/>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sectPr>
          <w:headerReference r:id="rId16" w:type="default"/>
          <w:pgSz w:w="11907" w:h="16840"/>
          <w:pgMar w:top="1440" w:right="1134" w:bottom="1440" w:left="1134" w:header="851" w:footer="992" w:gutter="0"/>
          <w:cols w:space="720" w:num="1"/>
          <w:docGrid w:linePitch="312" w:charSpace="0"/>
        </w:sectPr>
      </w:pPr>
    </w:p>
    <w:p>
      <w:pPr>
        <w:autoSpaceDE w:val="0"/>
        <w:autoSpaceDN w:val="0"/>
        <w:adjustRightInd w:val="0"/>
        <w:spacing w:line="360" w:lineRule="auto"/>
        <w:rPr>
          <w:rFonts w:hint="eastAsia" w:ascii="宋体" w:hAnsi="宋体" w:cs="宋体"/>
          <w:b/>
          <w:color w:val="auto"/>
          <w:sz w:val="48"/>
          <w:szCs w:val="48"/>
          <w:highlight w:val="none"/>
        </w:rPr>
      </w:pPr>
      <w:r>
        <w:rPr>
          <w:rFonts w:hint="eastAsia" w:ascii="宋体" w:hAnsi="宋体" w:cs="宋体"/>
          <w:b/>
          <w:color w:val="auto"/>
          <w:sz w:val="24"/>
          <w:highlight w:val="none"/>
        </w:rPr>
        <w:t>格式1：</w:t>
      </w:r>
    </w:p>
    <w:p>
      <w:pPr>
        <w:autoSpaceDE w:val="0"/>
        <w:autoSpaceDN w:val="0"/>
        <w:adjustRightInd w:val="0"/>
        <w:spacing w:line="360" w:lineRule="auto"/>
        <w:jc w:val="center"/>
        <w:rPr>
          <w:rFonts w:hint="eastAsia"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技术投标书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2294"/>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rPr>
              <w:t>项目</w:t>
            </w:r>
            <w:r>
              <w:rPr>
                <w:rFonts w:hint="eastAsia" w:ascii="宋体" w:hAnsi="宋体" w:cs="宋体"/>
                <w:b/>
                <w:bCs/>
                <w:color w:val="auto"/>
                <w:sz w:val="24"/>
                <w:highlight w:val="none"/>
                <w:lang w:val="zh-CN"/>
              </w:rPr>
              <w:t>名称</w:t>
            </w:r>
          </w:p>
        </w:tc>
        <w:tc>
          <w:tcPr>
            <w:tcW w:w="63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b/>
                <w:bCs/>
                <w:color w:val="auto"/>
                <w:sz w:val="24"/>
                <w:szCs w:val="24"/>
                <w:highlight w:val="none"/>
                <w:lang w:eastAsia="zh-CN"/>
              </w:rPr>
              <w:t>吉祥路46号办公楼相关维修改造工程勘察设计施工总承包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投标工期</w:t>
            </w:r>
          </w:p>
        </w:tc>
        <w:tc>
          <w:tcPr>
            <w:tcW w:w="63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236" w:hanging="236" w:hangingChars="98"/>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rPr>
              <w:t>工程</w:t>
            </w:r>
            <w:r>
              <w:rPr>
                <w:rFonts w:hint="eastAsia" w:ascii="宋体" w:hAnsi="宋体" w:cs="宋体"/>
                <w:b/>
                <w:bCs/>
                <w:color w:val="auto"/>
                <w:sz w:val="24"/>
                <w:highlight w:val="none"/>
                <w:lang w:val="zh-CN"/>
              </w:rPr>
              <w:t>质量标准</w:t>
            </w:r>
          </w:p>
        </w:tc>
        <w:tc>
          <w:tcPr>
            <w:tcW w:w="63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保修期限</w:t>
            </w:r>
          </w:p>
        </w:tc>
        <w:tc>
          <w:tcPr>
            <w:tcW w:w="63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投标有效期</w:t>
            </w:r>
          </w:p>
        </w:tc>
        <w:tc>
          <w:tcPr>
            <w:tcW w:w="63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委派的项目负责人</w:t>
            </w:r>
          </w:p>
        </w:tc>
        <w:tc>
          <w:tcPr>
            <w:tcW w:w="22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bCs/>
                <w:color w:val="auto"/>
                <w:sz w:val="24"/>
                <w:highlight w:val="none"/>
              </w:rPr>
            </w:pPr>
            <w:r>
              <w:rPr>
                <w:rFonts w:hint="eastAsia" w:ascii="宋体" w:hAnsi="宋体" w:cs="宋体"/>
                <w:b/>
                <w:bCs/>
                <w:color w:val="auto"/>
                <w:sz w:val="24"/>
                <w:highlight w:val="none"/>
              </w:rPr>
              <w:t>姓    名</w:t>
            </w:r>
          </w:p>
        </w:tc>
        <w:tc>
          <w:tcPr>
            <w:tcW w:w="403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color w:val="auto"/>
                <w:highlight w:val="none"/>
              </w:rPr>
            </w:pPr>
          </w:p>
        </w:tc>
        <w:tc>
          <w:tcPr>
            <w:tcW w:w="22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rPr>
            </w:pPr>
            <w:r>
              <w:rPr>
                <w:rFonts w:hint="eastAsia" w:ascii="宋体" w:hAnsi="宋体" w:cs="宋体"/>
                <w:b/>
                <w:bCs/>
                <w:color w:val="auto"/>
                <w:sz w:val="24"/>
                <w:highlight w:val="none"/>
                <w:lang w:val="zh-CN"/>
              </w:rPr>
              <w:t>注册建造师编号</w:t>
            </w:r>
          </w:p>
        </w:tc>
        <w:tc>
          <w:tcPr>
            <w:tcW w:w="403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委派的</w:t>
            </w:r>
            <w:r>
              <w:rPr>
                <w:rFonts w:hint="eastAsia" w:ascii="宋体" w:hAnsi="宋体" w:cs="宋体"/>
                <w:b/>
                <w:bCs/>
                <w:color w:val="auto"/>
                <w:sz w:val="24"/>
                <w:highlight w:val="none"/>
              </w:rPr>
              <w:t>专职</w:t>
            </w:r>
            <w:r>
              <w:rPr>
                <w:rFonts w:hint="eastAsia" w:ascii="宋体" w:hAnsi="宋体" w:cs="宋体"/>
                <w:b/>
                <w:bCs/>
                <w:color w:val="auto"/>
                <w:sz w:val="24"/>
                <w:highlight w:val="none"/>
                <w:lang w:val="zh-CN"/>
              </w:rPr>
              <w:t>安全员</w:t>
            </w:r>
          </w:p>
        </w:tc>
        <w:tc>
          <w:tcPr>
            <w:tcW w:w="22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姓   名</w:t>
            </w:r>
          </w:p>
        </w:tc>
        <w:tc>
          <w:tcPr>
            <w:tcW w:w="403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continue"/>
            <w:tcBorders>
              <w:left w:val="single" w:color="auto" w:sz="4" w:space="0"/>
              <w:bottom w:val="single" w:color="auto" w:sz="4" w:space="0"/>
              <w:right w:val="single" w:color="auto" w:sz="4" w:space="0"/>
            </w:tcBorders>
            <w:noWrap w:val="0"/>
            <w:vAlign w:val="center"/>
          </w:tcPr>
          <w:p>
            <w:pPr>
              <w:rPr>
                <w:rFonts w:ascii="宋体" w:hAnsi="宋体"/>
                <w:b/>
                <w:bCs/>
                <w:color w:val="auto"/>
                <w:highlight w:val="none"/>
              </w:rPr>
            </w:pPr>
          </w:p>
        </w:tc>
        <w:tc>
          <w:tcPr>
            <w:tcW w:w="22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安全考核证书</w:t>
            </w:r>
          </w:p>
          <w:p>
            <w:pPr>
              <w:autoSpaceDE w:val="0"/>
              <w:autoSpaceDN w:val="0"/>
              <w:adjustRightInd w:val="0"/>
              <w:jc w:val="center"/>
              <w:rPr>
                <w:rFonts w:hint="eastAsia" w:ascii="宋体" w:hAnsi="宋体" w:cs="宋体"/>
                <w:b/>
                <w:bCs/>
                <w:color w:val="auto"/>
                <w:sz w:val="24"/>
                <w:highlight w:val="none"/>
              </w:rPr>
            </w:pPr>
            <w:r>
              <w:rPr>
                <w:rFonts w:hint="eastAsia" w:ascii="宋体" w:hAnsi="宋体" w:cs="宋体"/>
                <w:b/>
                <w:bCs/>
                <w:color w:val="auto"/>
                <w:sz w:val="24"/>
                <w:highlight w:val="none"/>
                <w:lang w:val="zh-CN"/>
              </w:rPr>
              <w:t>（C</w:t>
            </w:r>
            <w:r>
              <w:rPr>
                <w:rFonts w:hint="eastAsia" w:ascii="宋体" w:hAnsi="宋体" w:cs="宋体"/>
                <w:b/>
                <w:bCs/>
                <w:color w:val="auto"/>
                <w:sz w:val="24"/>
                <w:highlight w:val="none"/>
              </w:rPr>
              <w:t>3</w:t>
            </w:r>
            <w:r>
              <w:rPr>
                <w:rFonts w:hint="eastAsia" w:ascii="宋体" w:hAnsi="宋体" w:cs="宋体"/>
                <w:b/>
                <w:bCs/>
                <w:color w:val="auto"/>
                <w:sz w:val="24"/>
                <w:highlight w:val="none"/>
                <w:lang w:val="zh-CN"/>
              </w:rPr>
              <w:t>）编号</w:t>
            </w:r>
          </w:p>
        </w:tc>
        <w:tc>
          <w:tcPr>
            <w:tcW w:w="403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委派的设计负责人</w:t>
            </w:r>
          </w:p>
        </w:tc>
        <w:tc>
          <w:tcPr>
            <w:tcW w:w="22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rPr>
              <w:t>姓    名</w:t>
            </w:r>
          </w:p>
        </w:tc>
        <w:tc>
          <w:tcPr>
            <w:tcW w:w="403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continue"/>
            <w:tcBorders>
              <w:left w:val="single" w:color="auto" w:sz="4" w:space="0"/>
              <w:bottom w:val="single" w:color="auto" w:sz="4" w:space="0"/>
              <w:right w:val="single" w:color="auto" w:sz="4" w:space="0"/>
            </w:tcBorders>
            <w:noWrap w:val="0"/>
            <w:vAlign w:val="center"/>
          </w:tcPr>
          <w:p>
            <w:pPr>
              <w:rPr>
                <w:rFonts w:ascii="宋体" w:hAnsi="宋体"/>
                <w:b/>
                <w:bCs/>
                <w:color w:val="auto"/>
                <w:highlight w:val="none"/>
              </w:rPr>
            </w:pPr>
          </w:p>
        </w:tc>
        <w:tc>
          <w:tcPr>
            <w:tcW w:w="22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rPr>
              <w:t>注册建筑师</w:t>
            </w:r>
            <w:r>
              <w:rPr>
                <w:rFonts w:hint="eastAsia" w:ascii="宋体" w:hAnsi="宋体" w:cs="宋体"/>
                <w:b/>
                <w:bCs/>
                <w:color w:val="auto"/>
                <w:sz w:val="24"/>
                <w:highlight w:val="none"/>
                <w:lang w:val="zh-CN"/>
              </w:rPr>
              <w:t>编号</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restart"/>
            <w:tcBorders>
              <w:left w:val="single" w:color="auto" w:sz="4" w:space="0"/>
              <w:right w:val="single" w:color="auto" w:sz="4" w:space="0"/>
            </w:tcBorders>
            <w:noWrap w:val="0"/>
            <w:vAlign w:val="center"/>
          </w:tcPr>
          <w:p>
            <w:pPr>
              <w:rPr>
                <w:b/>
                <w:bCs/>
                <w:color w:val="auto"/>
                <w:highlight w:val="none"/>
              </w:rPr>
            </w:pPr>
          </w:p>
          <w:p>
            <w:pPr>
              <w:pStyle w:val="9"/>
              <w:jc w:val="center"/>
              <w:rPr>
                <w:b/>
                <w:bCs/>
                <w:color w:val="auto"/>
                <w:highlight w:val="none"/>
              </w:rPr>
            </w:pPr>
            <w:r>
              <w:rPr>
                <w:rFonts w:hint="eastAsia" w:ascii="宋体" w:hAnsi="宋体" w:cs="宋体"/>
                <w:b/>
                <w:bCs/>
                <w:color w:val="auto"/>
                <w:sz w:val="24"/>
                <w:highlight w:val="none"/>
                <w:lang w:val="zh-CN"/>
              </w:rPr>
              <w:t>委派的</w:t>
            </w:r>
            <w:r>
              <w:rPr>
                <w:rFonts w:hint="eastAsia" w:ascii="宋体" w:hAnsi="宋体" w:cs="宋体"/>
                <w:b/>
                <w:bCs/>
                <w:color w:val="auto"/>
                <w:sz w:val="24"/>
                <w:highlight w:val="none"/>
              </w:rPr>
              <w:t>技术</w:t>
            </w:r>
            <w:r>
              <w:rPr>
                <w:rFonts w:hint="eastAsia" w:ascii="宋体" w:hAnsi="宋体" w:cs="宋体"/>
                <w:b/>
                <w:bCs/>
                <w:color w:val="auto"/>
                <w:sz w:val="24"/>
                <w:highlight w:val="none"/>
                <w:lang w:val="zh-CN"/>
              </w:rPr>
              <w:t>负责人</w:t>
            </w:r>
          </w:p>
        </w:tc>
        <w:tc>
          <w:tcPr>
            <w:tcW w:w="22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姓    名</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48" w:type="dxa"/>
            <w:vMerge w:val="continue"/>
            <w:tcBorders>
              <w:left w:val="single" w:color="auto" w:sz="4" w:space="0"/>
              <w:bottom w:val="single" w:color="auto" w:sz="4" w:space="0"/>
              <w:right w:val="single" w:color="auto" w:sz="4" w:space="0"/>
            </w:tcBorders>
            <w:noWrap w:val="0"/>
            <w:vAlign w:val="center"/>
          </w:tcPr>
          <w:p>
            <w:pPr>
              <w:pStyle w:val="9"/>
              <w:rPr>
                <w:b/>
                <w:bCs/>
                <w:color w:val="auto"/>
                <w:highlight w:val="none"/>
              </w:rPr>
            </w:pPr>
          </w:p>
        </w:tc>
        <w:tc>
          <w:tcPr>
            <w:tcW w:w="22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bCs/>
                <w:color w:val="auto"/>
                <w:sz w:val="24"/>
                <w:highlight w:val="none"/>
              </w:rPr>
            </w:pPr>
            <w:r>
              <w:rPr>
                <w:rFonts w:hint="eastAsia" w:ascii="宋体" w:hAnsi="宋体" w:cs="宋体"/>
                <w:b/>
                <w:bCs/>
                <w:color w:val="auto"/>
                <w:sz w:val="24"/>
                <w:highlight w:val="none"/>
              </w:rPr>
              <w:t>职称证书编号</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30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法定代表人或其委托代理人（签字或盖章）</w:t>
            </w:r>
          </w:p>
        </w:tc>
        <w:tc>
          <w:tcPr>
            <w:tcW w:w="63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30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投  标  单  位</w:t>
            </w:r>
          </w:p>
          <w:p>
            <w:pPr>
              <w:autoSpaceDE w:val="0"/>
              <w:autoSpaceDN w:val="0"/>
              <w:adjustRightInd w:val="0"/>
              <w:ind w:firstLine="239" w:firstLineChars="99"/>
              <w:jc w:val="center"/>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w:t>
            </w:r>
            <w:r>
              <w:rPr>
                <w:rFonts w:hint="eastAsia" w:ascii="宋体" w:hAnsi="宋体" w:cs="宋体"/>
                <w:b/>
                <w:bCs/>
                <w:color w:val="auto"/>
                <w:sz w:val="24"/>
                <w:szCs w:val="24"/>
                <w:highlight w:val="none"/>
                <w:lang w:val="zh-CN"/>
              </w:rPr>
              <w:t>盖章</w:t>
            </w:r>
            <w:r>
              <w:rPr>
                <w:rFonts w:hint="eastAsia" w:ascii="宋体" w:hAnsi="宋体" w:cs="宋体"/>
                <w:b/>
                <w:bCs/>
                <w:color w:val="auto"/>
                <w:sz w:val="24"/>
                <w:highlight w:val="none"/>
                <w:lang w:val="zh-CN"/>
              </w:rPr>
              <w:t>）</w:t>
            </w:r>
          </w:p>
        </w:tc>
        <w:tc>
          <w:tcPr>
            <w:tcW w:w="63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宋体"/>
                <w:b/>
                <w:bCs/>
                <w:color w:val="auto"/>
                <w:sz w:val="24"/>
                <w:highlight w:val="none"/>
                <w:lang w:val="zh-CN"/>
              </w:rPr>
            </w:pPr>
          </w:p>
        </w:tc>
      </w:tr>
    </w:tbl>
    <w:p>
      <w:pPr>
        <w:widowControl/>
        <w:ind w:firstLine="482" w:firstLineChars="200"/>
        <w:jc w:val="left"/>
        <w:rPr>
          <w:rFonts w:hint="eastAsia" w:ascii="宋体" w:hAnsi="宋体" w:cs="宋体"/>
          <w:b/>
          <w:bCs/>
          <w:color w:val="auto"/>
          <w:sz w:val="24"/>
          <w:szCs w:val="24"/>
          <w:highlight w:val="none"/>
        </w:rPr>
      </w:pPr>
    </w:p>
    <w:p>
      <w:pPr>
        <w:widowControl/>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注：（1）联合体投标的，“投标单位”一栏需书写所有联合体成员的单位全称，可由主办方签署、盖章。</w:t>
      </w:r>
    </w:p>
    <w:p>
      <w:pPr>
        <w:widowControl/>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（2）“投标工期”、“</w:t>
      </w:r>
      <w:r>
        <w:rPr>
          <w:rFonts w:hint="eastAsia" w:ascii="宋体" w:hAnsi="宋体" w:cs="宋体"/>
          <w:b/>
          <w:bCs/>
          <w:color w:val="auto"/>
          <w:sz w:val="24"/>
          <w:szCs w:val="24"/>
          <w:highlight w:val="none"/>
          <w:lang w:val="zh-CN"/>
        </w:rPr>
        <w:t>工程</w:t>
      </w:r>
      <w:r>
        <w:rPr>
          <w:rFonts w:hint="eastAsia" w:ascii="宋体" w:hAnsi="宋体" w:cs="宋体"/>
          <w:b/>
          <w:bCs/>
          <w:color w:val="auto"/>
          <w:sz w:val="24"/>
          <w:szCs w:val="24"/>
          <w:highlight w:val="none"/>
        </w:rPr>
        <w:t>质量标准”、“保修期限”可以填写“按招标文件要求”。</w:t>
      </w:r>
    </w:p>
    <w:p>
      <w:pPr>
        <w:autoSpaceDE w:val="0"/>
        <w:autoSpaceDN w:val="0"/>
        <w:adjustRightInd w:val="0"/>
        <w:spacing w:line="360" w:lineRule="auto"/>
        <w:jc w:val="center"/>
        <w:rPr>
          <w:rFonts w:hint="eastAsia" w:ascii="宋体" w:hAnsi="宋体" w:cs="宋体"/>
          <w:b/>
          <w:bCs/>
          <w:color w:val="auto"/>
          <w:szCs w:val="21"/>
          <w:highlight w:val="none"/>
        </w:rPr>
      </w:pPr>
    </w:p>
    <w:p>
      <w:pPr>
        <w:spacing w:line="360" w:lineRule="auto"/>
        <w:rPr>
          <w:rFonts w:hint="eastAsia" w:ascii="宋体" w:hAnsi="宋体" w:cs="宋体"/>
          <w:color w:val="auto"/>
          <w:sz w:val="36"/>
          <w:szCs w:val="36"/>
          <w:highlight w:val="none"/>
        </w:rPr>
      </w:pPr>
      <w:r>
        <w:rPr>
          <w:rFonts w:hint="eastAsia" w:ascii="宋体" w:hAnsi="宋体" w:cs="宋体"/>
          <w:b/>
          <w:bCs/>
          <w:color w:val="auto"/>
          <w:sz w:val="24"/>
          <w:highlight w:val="none"/>
        </w:rPr>
        <w:br w:type="page"/>
      </w:r>
      <w:r>
        <w:rPr>
          <w:rFonts w:hint="eastAsia" w:ascii="宋体" w:hAnsi="宋体" w:cs="宋体"/>
          <w:b/>
          <w:color w:val="auto"/>
          <w:sz w:val="24"/>
          <w:highlight w:val="none"/>
        </w:rPr>
        <w:t>格式2：</w:t>
      </w:r>
    </w:p>
    <w:p>
      <w:pPr>
        <w:spacing w:line="360" w:lineRule="auto"/>
        <w:jc w:val="center"/>
        <w:rPr>
          <w:rFonts w:hint="eastAsia"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经济投标书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331"/>
        <w:gridCol w:w="8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color w:val="auto"/>
                <w:szCs w:val="21"/>
                <w:highlight w:val="none"/>
              </w:rPr>
            </w:pPr>
            <w:r>
              <w:rPr>
                <w:rFonts w:hint="eastAsia" w:ascii="宋体" w:hAnsi="宋体" w:cs="宋体"/>
                <w:b/>
                <w:color w:val="auto"/>
                <w:szCs w:val="21"/>
                <w:highlight w:val="none"/>
                <w:lang w:val="zh-CN" w:bidi="ar"/>
              </w:rPr>
              <w:t>项目名称</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 w:val="28"/>
                <w:szCs w:val="28"/>
                <w:highlight w:val="none"/>
              </w:rPr>
            </w:pPr>
            <w:r>
              <w:rPr>
                <w:rFonts w:hint="eastAsia" w:ascii="宋体" w:hAnsi="宋体" w:cs="宋体"/>
                <w:b/>
                <w:color w:val="auto"/>
                <w:sz w:val="24"/>
                <w:highlight w:val="none"/>
                <w:lang w:val="zh-CN" w:bidi="ar"/>
              </w:rPr>
              <w:t>吉祥路46号办公楼相关维修改造工程勘察设计施工总承包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color w:val="auto"/>
                <w:szCs w:val="21"/>
                <w:highlight w:val="none"/>
              </w:rPr>
            </w:pPr>
            <w:r>
              <w:rPr>
                <w:rFonts w:hint="eastAsia" w:ascii="宋体" w:hAnsi="宋体" w:cs="宋体"/>
                <w:b/>
                <w:color w:val="auto"/>
                <w:szCs w:val="21"/>
                <w:highlight w:val="none"/>
                <w:lang w:val="zh-CN" w:bidi="ar"/>
              </w:rPr>
              <w:t>投标总报价（元）</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bidi="ar"/>
              </w:rPr>
              <w:t>大写：</w:t>
            </w:r>
            <w:r>
              <w:rPr>
                <w:rFonts w:hint="eastAsia" w:ascii="宋体" w:hAnsi="宋体"/>
                <w:color w:val="auto"/>
                <w:szCs w:val="21"/>
                <w:highlight w:val="none"/>
                <w:u w:val="single"/>
                <w:lang w:bidi="ar"/>
              </w:rPr>
              <w:t xml:space="preserve">         </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lang w:bidi="ar"/>
              </w:rPr>
              <w:t>小写：</w:t>
            </w:r>
            <w:r>
              <w:rPr>
                <w:rFonts w:hint="eastAsia" w:ascii="宋体" w:hAnsi="宋体"/>
                <w:color w:val="auto"/>
                <w:szCs w:val="21"/>
                <w:highlight w:val="none"/>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auto"/>
                <w:highlight w:val="none"/>
                <w:lang w:val="zh-CN"/>
              </w:rPr>
            </w:pPr>
            <w:r>
              <w:rPr>
                <w:rFonts w:hint="eastAsia" w:ascii="宋体" w:hAnsi="宋体" w:cs="宋体"/>
                <w:b/>
                <w:color w:val="auto"/>
                <w:szCs w:val="21"/>
                <w:highlight w:val="none"/>
                <w:lang w:val="zh-CN" w:bidi="ar"/>
              </w:rPr>
              <w:t>一</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Cs w:val="21"/>
                <w:highlight w:val="none"/>
                <w:lang w:val="zh-CN"/>
              </w:rPr>
            </w:pPr>
            <w:r>
              <w:rPr>
                <w:rFonts w:hint="eastAsia" w:ascii="宋体" w:hAnsi="宋体" w:cs="宋体"/>
                <w:b/>
                <w:color w:val="auto"/>
                <w:szCs w:val="21"/>
                <w:highlight w:val="none"/>
                <w:lang w:bidi="ar"/>
              </w:rPr>
              <w:t>勘察</w:t>
            </w:r>
            <w:r>
              <w:rPr>
                <w:rFonts w:hint="eastAsia" w:ascii="宋体" w:hAnsi="宋体" w:cs="宋体"/>
                <w:b/>
                <w:color w:val="auto"/>
                <w:szCs w:val="21"/>
                <w:highlight w:val="none"/>
                <w:lang w:val="zh-CN" w:bidi="ar"/>
              </w:rPr>
              <w:t>费</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bCs/>
                <w:color w:val="auto"/>
                <w:sz w:val="24"/>
                <w:highlight w:val="none"/>
                <w:lang w:val="zh-CN"/>
              </w:rPr>
            </w:pPr>
            <w:r>
              <w:rPr>
                <w:rFonts w:hint="eastAsia" w:ascii="宋体" w:hAnsi="宋体"/>
                <w:color w:val="auto"/>
                <w:szCs w:val="21"/>
                <w:highlight w:val="none"/>
                <w:lang w:bidi="ar"/>
              </w:rPr>
              <w:t>小写：</w:t>
            </w:r>
            <w:r>
              <w:rPr>
                <w:rFonts w:hint="eastAsia" w:ascii="宋体" w:hAnsi="宋体"/>
                <w:color w:val="auto"/>
                <w:szCs w:val="21"/>
                <w:highlight w:val="none"/>
                <w:u w:val="single"/>
                <w:lang w:bidi="ar"/>
              </w:rPr>
              <w:t xml:space="preserve">         </w:t>
            </w:r>
            <w:r>
              <w:rPr>
                <w:rFonts w:hint="eastAsia" w:ascii="宋体" w:hAnsi="宋体"/>
                <w:color w:val="auto"/>
                <w:szCs w:val="21"/>
                <w:highlight w:val="none"/>
                <w:lang w:bidi="ar"/>
              </w:rPr>
              <w:t>元（勘察综合单价：</w:t>
            </w:r>
            <w:r>
              <w:rPr>
                <w:rFonts w:hint="eastAsia" w:ascii="宋体" w:hAnsi="宋体"/>
                <w:color w:val="auto"/>
                <w:szCs w:val="21"/>
                <w:highlight w:val="none"/>
                <w:u w:val="single"/>
                <w:lang w:bidi="ar"/>
              </w:rPr>
              <w:t xml:space="preserve">         </w:t>
            </w:r>
            <w:r>
              <w:rPr>
                <w:rFonts w:hint="eastAsia" w:ascii="宋体" w:hAnsi="宋体"/>
                <w:color w:val="auto"/>
                <w:szCs w:val="21"/>
                <w:highlight w:val="none"/>
                <w:lang w:bidi="ar"/>
              </w:rPr>
              <w:t>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Cs w:val="21"/>
                <w:highlight w:val="none"/>
                <w:lang w:val="zh-CN"/>
              </w:rPr>
            </w:pPr>
            <w:r>
              <w:rPr>
                <w:rFonts w:hint="eastAsia" w:ascii="宋体" w:hAnsi="宋体" w:cs="宋体"/>
                <w:b/>
                <w:color w:val="auto"/>
                <w:szCs w:val="21"/>
                <w:highlight w:val="none"/>
                <w:lang w:val="zh-CN" w:bidi="ar"/>
              </w:rPr>
              <w:t>二</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Cs w:val="21"/>
                <w:highlight w:val="none"/>
              </w:rPr>
            </w:pPr>
            <w:r>
              <w:rPr>
                <w:rFonts w:hint="eastAsia" w:ascii="宋体" w:hAnsi="宋体" w:cs="宋体"/>
                <w:b/>
                <w:color w:val="auto"/>
                <w:szCs w:val="21"/>
                <w:highlight w:val="none"/>
                <w:lang w:val="zh-CN" w:bidi="ar"/>
              </w:rPr>
              <w:t>设计费</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color w:val="auto"/>
                <w:kern w:val="0"/>
                <w:sz w:val="20"/>
                <w:szCs w:val="21"/>
                <w:highlight w:val="none"/>
              </w:rPr>
            </w:pPr>
            <w:r>
              <w:rPr>
                <w:rFonts w:hint="eastAsia" w:ascii="宋体" w:hAnsi="宋体" w:eastAsia="宋体" w:cs="宋体"/>
                <w:bCs/>
                <w:strike w:val="0"/>
                <w:color w:val="auto"/>
                <w:kern w:val="0"/>
                <w:sz w:val="20"/>
                <w:szCs w:val="21"/>
                <w:highlight w:val="none"/>
                <w:lang w:val="zh-CN" w:bidi="ar"/>
              </w:rPr>
              <w:t>小写：</w:t>
            </w:r>
            <w:r>
              <w:rPr>
                <w:rFonts w:hint="eastAsia" w:ascii="宋体" w:hAnsi="宋体" w:eastAsia="宋体" w:cs="宋体"/>
                <w:bCs/>
                <w:strike w:val="0"/>
                <w:color w:val="auto"/>
                <w:kern w:val="0"/>
                <w:sz w:val="20"/>
                <w:szCs w:val="21"/>
                <w:highlight w:val="none"/>
                <w:u w:val="single"/>
                <w:lang w:val="en-US" w:eastAsia="zh-CN" w:bidi="ar"/>
              </w:rPr>
              <w:t xml:space="preserve">      </w:t>
            </w:r>
            <w:r>
              <w:rPr>
                <w:rFonts w:hint="eastAsia" w:ascii="宋体" w:hAnsi="宋体" w:eastAsia="宋体" w:cs="宋体"/>
                <w:bCs/>
                <w:strike w:val="0"/>
                <w:color w:val="auto"/>
                <w:kern w:val="0"/>
                <w:sz w:val="20"/>
                <w:szCs w:val="21"/>
                <w:highlight w:val="none"/>
                <w:lang w:val="zh-CN" w:bidi="ar"/>
              </w:rPr>
              <w:t>元；</w:t>
            </w:r>
            <w:bookmarkStart w:id="343" w:name="_GoBack"/>
            <w:bookmarkEnd w:id="3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color w:val="auto"/>
                <w:szCs w:val="21"/>
                <w:highlight w:val="none"/>
                <w:lang w:val="zh-CN" w:eastAsia="zh-CN"/>
              </w:rPr>
            </w:pPr>
            <w:r>
              <w:rPr>
                <w:rFonts w:hint="eastAsia" w:ascii="宋体" w:hAnsi="宋体" w:cs="宋体"/>
                <w:b/>
                <w:color w:val="auto"/>
                <w:szCs w:val="21"/>
                <w:highlight w:val="none"/>
                <w:lang w:val="en-US" w:eastAsia="zh-CN" w:bidi="ar"/>
              </w:rPr>
              <w:t>三</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Cs w:val="21"/>
                <w:highlight w:val="none"/>
                <w:lang w:val="zh-CN"/>
              </w:rPr>
            </w:pPr>
            <w:r>
              <w:rPr>
                <w:rFonts w:hint="eastAsia" w:ascii="宋体" w:hAnsi="宋体" w:cs="宋体"/>
                <w:b/>
                <w:color w:val="auto"/>
                <w:szCs w:val="21"/>
                <w:highlight w:val="none"/>
                <w:lang w:val="zh-CN" w:bidi="ar"/>
              </w:rPr>
              <w:t>工程费</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bCs/>
                <w:color w:val="auto"/>
                <w:kern w:val="0"/>
                <w:sz w:val="20"/>
                <w:szCs w:val="21"/>
                <w:highlight w:val="none"/>
                <w:lang w:val="zh-CN"/>
              </w:rPr>
            </w:pPr>
            <w:r>
              <w:rPr>
                <w:rFonts w:hint="eastAsia" w:ascii="宋体" w:hAnsi="宋体" w:cs="宋体"/>
                <w:bCs/>
                <w:color w:val="auto"/>
                <w:kern w:val="0"/>
                <w:sz w:val="20"/>
                <w:szCs w:val="21"/>
                <w:highlight w:val="none"/>
                <w:lang w:val="zh-CN" w:bidi="ar"/>
              </w:rPr>
              <w:t>下浮率</w:t>
            </w:r>
            <w:r>
              <w:rPr>
                <w:rFonts w:hint="eastAsia" w:ascii="宋体" w:hAnsi="宋体" w:cs="宋体"/>
                <w:bCs/>
                <w:color w:val="auto"/>
                <w:kern w:val="0"/>
                <w:sz w:val="20"/>
                <w:szCs w:val="21"/>
                <w:highlight w:val="none"/>
                <w:u w:val="single"/>
                <w:lang w:val="zh-CN" w:bidi="ar"/>
              </w:rPr>
              <w:t xml:space="preserve">     </w:t>
            </w:r>
            <w:r>
              <w:rPr>
                <w:rFonts w:hint="eastAsia" w:ascii="宋体" w:hAnsi="宋体" w:cs="宋体"/>
                <w:bCs/>
                <w:color w:val="auto"/>
                <w:kern w:val="0"/>
                <w:sz w:val="20"/>
                <w:szCs w:val="21"/>
                <w:highlight w:val="none"/>
                <w:lang w:val="zh-CN" w:bidi="ar"/>
              </w:rPr>
              <w:t>%</w:t>
            </w:r>
          </w:p>
          <w:p>
            <w:pPr>
              <w:spacing w:line="300" w:lineRule="exact"/>
              <w:jc w:val="left"/>
              <w:rPr>
                <w:rFonts w:hint="eastAsia" w:ascii="宋体" w:hAnsi="宋体" w:cs="宋体"/>
                <w:bCs/>
                <w:color w:val="auto"/>
                <w:kern w:val="0"/>
                <w:sz w:val="20"/>
                <w:szCs w:val="21"/>
                <w:highlight w:val="none"/>
              </w:rPr>
            </w:pPr>
            <w:r>
              <w:rPr>
                <w:rFonts w:hint="eastAsia" w:ascii="宋体" w:hAnsi="宋体" w:cs="宋体"/>
                <w:bCs/>
                <w:color w:val="auto"/>
                <w:kern w:val="0"/>
                <w:sz w:val="20"/>
                <w:szCs w:val="21"/>
                <w:highlight w:val="none"/>
                <w:lang w:val="zh-CN" w:bidi="ar"/>
              </w:rPr>
              <w:t>注：下浮率=【1-（</w:t>
            </w:r>
            <w:r>
              <w:rPr>
                <w:rFonts w:hint="eastAsia" w:ascii="宋体" w:hAnsi="宋体" w:cs="宋体"/>
                <w:color w:val="auto"/>
                <w:kern w:val="0"/>
                <w:sz w:val="20"/>
                <w:szCs w:val="21"/>
                <w:highlight w:val="none"/>
                <w:lang w:val="zh-CN" w:bidi="ar"/>
              </w:rPr>
              <w:t>工程费</w:t>
            </w:r>
            <w:r>
              <w:rPr>
                <w:rFonts w:hint="eastAsia" w:ascii="宋体" w:hAnsi="宋体" w:cs="宋体"/>
                <w:bCs/>
                <w:color w:val="auto"/>
                <w:kern w:val="0"/>
                <w:sz w:val="20"/>
                <w:szCs w:val="21"/>
                <w:highlight w:val="none"/>
                <w:lang w:val="zh-CN" w:bidi="ar"/>
              </w:rPr>
              <w:t>投标报价/</w:t>
            </w:r>
            <w:r>
              <w:rPr>
                <w:rFonts w:hint="eastAsia" w:ascii="宋体" w:hAnsi="宋体" w:cs="宋体"/>
                <w:color w:val="auto"/>
                <w:kern w:val="0"/>
                <w:sz w:val="20"/>
                <w:szCs w:val="21"/>
                <w:highlight w:val="none"/>
                <w:lang w:val="zh-CN" w:bidi="ar"/>
              </w:rPr>
              <w:t>工程费</w:t>
            </w:r>
            <w:r>
              <w:rPr>
                <w:rFonts w:hint="eastAsia" w:ascii="宋体" w:hAnsi="宋体" w:cs="宋体"/>
                <w:bCs/>
                <w:color w:val="auto"/>
                <w:kern w:val="0"/>
                <w:sz w:val="20"/>
                <w:szCs w:val="21"/>
                <w:highlight w:val="none"/>
                <w:lang w:val="zh-CN" w:bidi="ar"/>
              </w:rPr>
              <w:t>最高投标限价）】*100%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Cs w:val="21"/>
                <w:highlight w:val="none"/>
                <w:lang w:val="en-US" w:eastAsia="zh-CN" w:bidi="ar"/>
              </w:rPr>
            </w:pPr>
            <w:r>
              <w:rPr>
                <w:rFonts w:hint="eastAsia" w:ascii="宋体" w:hAnsi="宋体" w:eastAsia="宋体" w:cs="宋体"/>
                <w:b/>
                <w:strike w:val="0"/>
                <w:color w:val="auto"/>
                <w:szCs w:val="21"/>
                <w:highlight w:val="none"/>
                <w:lang w:val="zh-CN" w:eastAsia="zh-CN" w:bidi="ar"/>
              </w:rPr>
              <w:t>四</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Cs w:val="21"/>
                <w:highlight w:val="none"/>
                <w:lang w:val="zh-CN" w:bidi="ar"/>
              </w:rPr>
            </w:pPr>
            <w:r>
              <w:rPr>
                <w:rFonts w:hint="eastAsia" w:ascii="宋体" w:hAnsi="宋体" w:cs="Calibri"/>
                <w:b/>
                <w:color w:val="auto"/>
                <w:highlight w:val="none"/>
                <w:lang w:bidi="ar"/>
              </w:rPr>
              <w:t>专项工程费</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bCs/>
                <w:color w:val="auto"/>
                <w:kern w:val="0"/>
                <w:sz w:val="20"/>
                <w:szCs w:val="21"/>
                <w:highlight w:val="none"/>
                <w:lang w:val="zh-CN"/>
              </w:rPr>
            </w:pPr>
            <w:r>
              <w:rPr>
                <w:rFonts w:hint="eastAsia" w:ascii="宋体" w:hAnsi="宋体" w:cs="宋体"/>
                <w:bCs/>
                <w:color w:val="auto"/>
                <w:kern w:val="0"/>
                <w:sz w:val="20"/>
                <w:szCs w:val="21"/>
                <w:highlight w:val="none"/>
                <w:lang w:val="zh-CN" w:bidi="ar"/>
              </w:rPr>
              <w:t>下浮率</w:t>
            </w:r>
            <w:r>
              <w:rPr>
                <w:rFonts w:hint="eastAsia" w:ascii="宋体" w:hAnsi="宋体" w:cs="宋体"/>
                <w:bCs/>
                <w:color w:val="auto"/>
                <w:kern w:val="0"/>
                <w:sz w:val="20"/>
                <w:szCs w:val="21"/>
                <w:highlight w:val="none"/>
                <w:u w:val="single"/>
                <w:lang w:val="zh-CN" w:bidi="ar"/>
              </w:rPr>
              <w:t xml:space="preserve">     </w:t>
            </w:r>
            <w:r>
              <w:rPr>
                <w:rFonts w:hint="eastAsia" w:ascii="宋体" w:hAnsi="宋体" w:cs="宋体"/>
                <w:bCs/>
                <w:color w:val="auto"/>
                <w:kern w:val="0"/>
                <w:sz w:val="20"/>
                <w:szCs w:val="21"/>
                <w:highlight w:val="none"/>
                <w:lang w:val="zh-CN" w:bidi="ar"/>
              </w:rPr>
              <w:t>%</w:t>
            </w:r>
          </w:p>
          <w:p>
            <w:pPr>
              <w:spacing w:line="300" w:lineRule="exact"/>
              <w:jc w:val="left"/>
              <w:rPr>
                <w:rFonts w:hint="eastAsia" w:ascii="宋体" w:hAnsi="宋体" w:cs="宋体"/>
                <w:bCs/>
                <w:color w:val="auto"/>
                <w:kern w:val="0"/>
                <w:sz w:val="20"/>
                <w:szCs w:val="21"/>
                <w:highlight w:val="none"/>
                <w:lang w:val="zh-CN" w:bidi="ar"/>
              </w:rPr>
            </w:pPr>
            <w:r>
              <w:rPr>
                <w:rFonts w:hint="eastAsia" w:ascii="宋体" w:hAnsi="宋体" w:cs="宋体"/>
                <w:bCs/>
                <w:color w:val="auto"/>
                <w:kern w:val="0"/>
                <w:sz w:val="20"/>
                <w:szCs w:val="21"/>
                <w:highlight w:val="none"/>
                <w:lang w:val="zh-CN" w:bidi="ar"/>
              </w:rPr>
              <w:t>注：下浮率=【1-（专项工程费投标报价/专项工程费最高投标限价）】*100%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strike w:val="0"/>
                <w:color w:val="auto"/>
                <w:szCs w:val="21"/>
                <w:highlight w:val="none"/>
                <w:lang w:val="zh-CN" w:eastAsia="zh-CN" w:bidi="ar"/>
              </w:rPr>
            </w:pPr>
            <w:r>
              <w:rPr>
                <w:rFonts w:hint="eastAsia" w:ascii="宋体" w:hAnsi="宋体" w:eastAsia="宋体" w:cs="宋体"/>
                <w:b/>
                <w:strike w:val="0"/>
                <w:color w:val="auto"/>
                <w:szCs w:val="21"/>
                <w:highlight w:val="none"/>
                <w:lang w:val="en-US" w:eastAsia="zh-CN" w:bidi="ar"/>
              </w:rPr>
              <w:t>五</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b/>
                <w:strike w:val="0"/>
                <w:color w:val="auto"/>
                <w:szCs w:val="21"/>
                <w:highlight w:val="none"/>
                <w:lang w:val="zh-CN" w:bidi="ar"/>
              </w:rPr>
            </w:pPr>
            <w:r>
              <w:rPr>
                <w:rFonts w:hint="eastAsia" w:ascii="宋体" w:hAnsi="宋体" w:eastAsia="宋体" w:cs="宋体"/>
                <w:b/>
                <w:strike w:val="0"/>
                <w:color w:val="auto"/>
                <w:szCs w:val="21"/>
                <w:highlight w:val="none"/>
                <w:lang w:val="zh-CN" w:bidi="ar"/>
              </w:rPr>
              <w:t>工程保险费</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bCs/>
                <w:strike w:val="0"/>
                <w:color w:val="auto"/>
                <w:kern w:val="0"/>
                <w:sz w:val="20"/>
                <w:szCs w:val="21"/>
                <w:highlight w:val="none"/>
                <w:lang w:val="zh-CN" w:bidi="ar"/>
              </w:rPr>
            </w:pPr>
            <w:r>
              <w:rPr>
                <w:rFonts w:hint="eastAsia" w:ascii="宋体" w:hAnsi="宋体" w:eastAsia="宋体" w:cs="宋体"/>
                <w:bCs/>
                <w:strike w:val="0"/>
                <w:color w:val="auto"/>
                <w:kern w:val="0"/>
                <w:sz w:val="20"/>
                <w:szCs w:val="21"/>
                <w:highlight w:val="none"/>
                <w:lang w:val="zh-CN" w:bidi="ar"/>
              </w:rPr>
              <w:t>小写：</w:t>
            </w:r>
            <w:r>
              <w:rPr>
                <w:rFonts w:hint="eastAsia" w:ascii="宋体" w:hAnsi="宋体" w:eastAsia="宋体" w:cs="宋体"/>
                <w:bCs/>
                <w:strike w:val="0"/>
                <w:color w:val="auto"/>
                <w:kern w:val="0"/>
                <w:sz w:val="20"/>
                <w:szCs w:val="21"/>
                <w:highlight w:val="none"/>
                <w:u w:val="single"/>
                <w:lang w:val="en-US" w:eastAsia="zh-CN" w:bidi="ar"/>
              </w:rPr>
              <w:t xml:space="preserve">      </w:t>
            </w:r>
            <w:r>
              <w:rPr>
                <w:rFonts w:hint="eastAsia" w:ascii="宋体" w:hAnsi="宋体" w:eastAsia="宋体" w:cs="宋体"/>
                <w:bCs/>
                <w:strike w:val="0"/>
                <w:color w:val="auto"/>
                <w:kern w:val="0"/>
                <w:sz w:val="20"/>
                <w:szCs w:val="21"/>
                <w:highlight w:val="none"/>
                <w:lang w:val="zh-CN" w:bidi="ar"/>
              </w:rPr>
              <w:t>元；</w:t>
            </w:r>
          </w:p>
          <w:p>
            <w:pPr>
              <w:spacing w:line="300" w:lineRule="exact"/>
              <w:jc w:val="left"/>
              <w:rPr>
                <w:rFonts w:hint="eastAsia" w:ascii="宋体" w:hAnsi="宋体" w:eastAsia="宋体" w:cs="宋体"/>
                <w:bCs/>
                <w:strike w:val="0"/>
                <w:color w:val="auto"/>
                <w:kern w:val="0"/>
                <w:sz w:val="20"/>
                <w:szCs w:val="21"/>
                <w:highlight w:val="none"/>
                <w:lang w:val="zh-CN" w:bidi="ar"/>
              </w:rPr>
            </w:pPr>
            <w:r>
              <w:rPr>
                <w:rFonts w:hint="eastAsia" w:ascii="宋体" w:hAnsi="宋体" w:eastAsia="宋体" w:cs="宋体"/>
                <w:bCs/>
                <w:strike w:val="0"/>
                <w:color w:val="auto"/>
                <w:kern w:val="0"/>
                <w:sz w:val="20"/>
                <w:szCs w:val="21"/>
                <w:highlight w:val="none"/>
                <w:lang w:val="zh-CN" w:bidi="ar"/>
              </w:rPr>
              <w:t>注该费用在投标报价时，以招标人正式公布的固定金额进行填报。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b/>
                <w:color w:val="auto"/>
                <w:szCs w:val="21"/>
                <w:highlight w:val="none"/>
              </w:rPr>
            </w:pPr>
            <w:r>
              <w:rPr>
                <w:rFonts w:hint="eastAsia" w:ascii="宋体" w:hAnsi="宋体"/>
                <w:b/>
                <w:color w:val="auto"/>
                <w:szCs w:val="21"/>
                <w:highlight w:val="none"/>
                <w:lang w:bidi="ar"/>
              </w:rPr>
              <w:t>法定代表人或其委托代理人（签字或盖章）</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color w:val="auto"/>
                <w:szCs w:val="21"/>
                <w:highlight w:val="none"/>
                <w:lang w:val="zh-CN"/>
              </w:rPr>
            </w:pPr>
            <w:r>
              <w:rPr>
                <w:rFonts w:hint="eastAsia" w:ascii="宋体" w:hAnsi="宋体" w:cs="宋体"/>
                <w:b/>
                <w:color w:val="auto"/>
                <w:szCs w:val="21"/>
                <w:highlight w:val="none"/>
                <w:lang w:val="zh-CN" w:bidi="ar"/>
              </w:rPr>
              <w:t>投标单位（盖章）</w:t>
            </w:r>
          </w:p>
        </w:tc>
        <w:tc>
          <w:tcPr>
            <w:tcW w:w="81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b/>
                <w:color w:val="auto"/>
                <w:szCs w:val="21"/>
                <w:highlight w:val="none"/>
              </w:rPr>
            </w:pPr>
          </w:p>
        </w:tc>
      </w:tr>
    </w:tbl>
    <w:p>
      <w:pPr>
        <w:snapToGrid w:val="0"/>
        <w:spacing w:line="360" w:lineRule="auto"/>
        <w:rPr>
          <w:rFonts w:hint="eastAsia" w:ascii="宋体" w:hAnsi="宋体"/>
          <w:b/>
          <w:color w:val="auto"/>
          <w:szCs w:val="21"/>
          <w:highlight w:val="none"/>
        </w:rPr>
      </w:pPr>
    </w:p>
    <w:p>
      <w:pPr>
        <w:snapToGrid w:val="0"/>
        <w:spacing w:line="360" w:lineRule="auto"/>
        <w:ind w:left="723" w:hanging="723" w:hangingChars="300"/>
        <w:rPr>
          <w:rFonts w:hint="eastAsia" w:ascii="宋体" w:hAnsi="宋体"/>
          <w:b/>
          <w:color w:val="auto"/>
          <w:sz w:val="24"/>
          <w:szCs w:val="24"/>
          <w:highlight w:val="none"/>
        </w:rPr>
      </w:pPr>
      <w:r>
        <w:rPr>
          <w:rFonts w:hint="eastAsia" w:ascii="宋体" w:hAnsi="宋体"/>
          <w:b/>
          <w:color w:val="auto"/>
          <w:sz w:val="24"/>
          <w:szCs w:val="24"/>
          <w:highlight w:val="none"/>
        </w:rPr>
        <w:t>注：1、联合体投标的，“投标单位”一栏需书写所有联合体成员的单位全称，可由主办方签署、盖章。</w:t>
      </w:r>
    </w:p>
    <w:p>
      <w:pPr>
        <w:pStyle w:val="11"/>
        <w:spacing w:line="360" w:lineRule="auto"/>
        <w:ind w:firstLine="482" w:firstLineChars="200"/>
        <w:rPr>
          <w:rFonts w:hint="eastAsia" w:hAnsi="宋体" w:cs="宋体"/>
          <w:b/>
          <w:color w:val="auto"/>
          <w:sz w:val="24"/>
          <w:szCs w:val="24"/>
          <w:highlight w:val="none"/>
        </w:rPr>
      </w:pPr>
      <w:r>
        <w:rPr>
          <w:rFonts w:hint="eastAsia" w:hAnsi="宋体" w:cs="宋体"/>
          <w:b/>
          <w:color w:val="auto"/>
          <w:sz w:val="24"/>
          <w:szCs w:val="24"/>
          <w:highlight w:val="none"/>
        </w:rPr>
        <w:t>2、投标总报价的大写金额和小写金额不一致的，以大写金额为准。</w:t>
      </w:r>
    </w:p>
    <w:p>
      <w:pPr>
        <w:pStyle w:val="11"/>
        <w:spacing w:line="360" w:lineRule="auto"/>
        <w:ind w:firstLine="482" w:firstLineChars="200"/>
        <w:rPr>
          <w:rFonts w:hint="eastAsia" w:hAnsi="宋体" w:cs="宋体"/>
          <w:b/>
          <w:bCs/>
          <w:color w:val="auto"/>
          <w:sz w:val="36"/>
          <w:szCs w:val="36"/>
          <w:highlight w:val="none"/>
          <w:lang w:val="zh-CN"/>
        </w:rPr>
      </w:pPr>
      <w:r>
        <w:rPr>
          <w:rFonts w:hint="eastAsia" w:hAnsi="宋体" w:cs="宋体"/>
          <w:b/>
          <w:color w:val="auto"/>
          <w:sz w:val="24"/>
          <w:szCs w:val="24"/>
          <w:highlight w:val="none"/>
        </w:rPr>
        <w:t>3、</w:t>
      </w:r>
      <w:r>
        <w:rPr>
          <w:rFonts w:hint="eastAsia" w:hAnsi="宋体" w:cs="宋体"/>
          <w:b/>
          <w:color w:val="auto"/>
          <w:sz w:val="24"/>
          <w:szCs w:val="24"/>
          <w:highlight w:val="none"/>
          <w:lang w:val="zh-CN"/>
        </w:rPr>
        <w:t>填写数据保留两位小数。</w:t>
      </w:r>
      <w:r>
        <w:rPr>
          <w:rFonts w:hint="eastAsia" w:hAnsi="宋体" w:cs="宋体"/>
          <w:b/>
          <w:color w:val="auto"/>
          <w:sz w:val="24"/>
          <w:highlight w:val="none"/>
        </w:rPr>
        <w:br w:type="page"/>
      </w:r>
      <w:r>
        <w:rPr>
          <w:rFonts w:hint="eastAsia" w:hAnsi="Arial" w:cs="宋体"/>
          <w:b/>
          <w:color w:val="auto"/>
          <w:kern w:val="1"/>
          <w:sz w:val="24"/>
          <w:szCs w:val="24"/>
          <w:highlight w:val="none"/>
          <w:lang w:val="zh-CN"/>
        </w:rPr>
        <w:t>格式3：</w:t>
      </w:r>
    </w:p>
    <w:p>
      <w:pPr>
        <w:autoSpaceDE w:val="0"/>
        <w:autoSpaceDN w:val="0"/>
        <w:adjustRightInd w:val="0"/>
        <w:spacing w:line="360" w:lineRule="auto"/>
        <w:jc w:val="center"/>
        <w:rPr>
          <w:rFonts w:hint="eastAsia" w:ascii="宋体" w:hAnsi="宋体" w:cs="宋体"/>
          <w:b/>
          <w:bCs/>
          <w:color w:val="auto"/>
          <w:sz w:val="36"/>
          <w:szCs w:val="36"/>
          <w:highlight w:val="none"/>
          <w:lang w:val="zh-CN"/>
        </w:rPr>
      </w:pPr>
      <w:r>
        <w:rPr>
          <w:rFonts w:hint="eastAsia" w:ascii="宋体" w:hAnsi="宋体" w:cs="宋体"/>
          <w:b/>
          <w:bCs/>
          <w:color w:val="auto"/>
          <w:sz w:val="36"/>
          <w:szCs w:val="36"/>
          <w:highlight w:val="none"/>
        </w:rPr>
        <w:t xml:space="preserve"> </w:t>
      </w:r>
      <w:r>
        <w:rPr>
          <w:rFonts w:hint="eastAsia" w:ascii="宋体" w:hAnsi="宋体" w:cs="宋体"/>
          <w:b/>
          <w:bCs/>
          <w:color w:val="auto"/>
          <w:sz w:val="36"/>
          <w:szCs w:val="36"/>
          <w:highlight w:val="none"/>
          <w:lang w:val="zh-CN"/>
        </w:rPr>
        <w:t>联合体共同投标协议书</w:t>
      </w:r>
    </w:p>
    <w:p>
      <w:pPr>
        <w:widowControl/>
        <w:jc w:val="center"/>
        <w:rPr>
          <w:rFonts w:hint="eastAsia" w:ascii="宋体" w:hAnsi="宋体" w:cs="宋体"/>
          <w:b/>
          <w:bCs/>
          <w:color w:val="auto"/>
          <w:sz w:val="24"/>
          <w:szCs w:val="24"/>
          <w:highlight w:val="none"/>
        </w:rPr>
      </w:pPr>
      <w:r>
        <w:rPr>
          <w:rFonts w:hint="eastAsia" w:ascii="宋体" w:hAnsi="宋体"/>
          <w:b/>
          <w:bCs/>
          <w:color w:val="auto"/>
          <w:sz w:val="24"/>
          <w:szCs w:val="24"/>
          <w:highlight w:val="none"/>
        </w:rPr>
        <w:t>（详见招标公告）</w:t>
      </w:r>
    </w:p>
    <w:p>
      <w:pPr>
        <w:pStyle w:val="3"/>
        <w:rPr>
          <w:rFonts w:hint="eastAsia" w:ascii="宋体" w:hAnsi="宋体" w:cs="宋体"/>
          <w:b w:val="0"/>
          <w:bCs w:val="0"/>
          <w:color w:val="auto"/>
          <w:sz w:val="36"/>
          <w:szCs w:val="36"/>
          <w:highlight w:val="none"/>
          <w:lang w:val="zh-CN"/>
        </w:rPr>
      </w:pPr>
      <w:r>
        <w:rPr>
          <w:rFonts w:hint="eastAsia" w:ascii="宋体" w:hAnsi="宋体" w:cs="宋体"/>
          <w:b w:val="0"/>
          <w:color w:val="auto"/>
          <w:sz w:val="24"/>
          <w:highlight w:val="none"/>
        </w:rPr>
        <w:br w:type="page"/>
      </w:r>
      <w:r>
        <w:rPr>
          <w:rFonts w:hint="eastAsia" w:ascii="宋体" w:eastAsia="宋体" w:cs="宋体"/>
          <w:bCs w:val="0"/>
          <w:color w:val="auto"/>
          <w:kern w:val="1"/>
          <w:sz w:val="24"/>
          <w:szCs w:val="24"/>
          <w:highlight w:val="none"/>
          <w:lang w:val="zh-CN"/>
        </w:rPr>
        <w:t>格式4：</w:t>
      </w:r>
    </w:p>
    <w:p>
      <w:pPr>
        <w:autoSpaceDE w:val="0"/>
        <w:autoSpaceDN w:val="0"/>
        <w:adjustRightInd w:val="0"/>
        <w:spacing w:line="360" w:lineRule="auto"/>
        <w:jc w:val="center"/>
        <w:rPr>
          <w:rFonts w:hint="eastAsia"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法定代表人（负责人）证明书、法定代表人授权委托书</w:t>
      </w:r>
    </w:p>
    <w:p>
      <w:pPr>
        <w:spacing w:line="360" w:lineRule="auto"/>
        <w:jc w:val="center"/>
        <w:rPr>
          <w:rFonts w:hint="eastAsia" w:ascii="宋体" w:hAnsi="宋体" w:cs="宋体"/>
          <w:b/>
          <w:color w:val="auto"/>
          <w:sz w:val="28"/>
          <w:highlight w:val="none"/>
        </w:rPr>
      </w:pPr>
      <w:r>
        <w:rPr>
          <w:rFonts w:hint="eastAsia" w:ascii="宋体" w:hAnsi="宋体" w:cs="宋体"/>
          <w:b/>
          <w:color w:val="auto"/>
          <w:sz w:val="28"/>
          <w:highlight w:val="none"/>
        </w:rPr>
        <w:t>法定代表人（负责人）证明书</w:t>
      </w:r>
    </w:p>
    <w:p>
      <w:pPr>
        <w:spacing w:line="360" w:lineRule="auto"/>
        <w:jc w:val="right"/>
        <w:rPr>
          <w:rFonts w:hint="eastAsia" w:ascii="宋体" w:hAnsi="宋体" w:cs="宋体"/>
          <w:color w:val="auto"/>
          <w:sz w:val="24"/>
          <w:highlight w:val="none"/>
        </w:rPr>
      </w:pPr>
      <w:r>
        <w:rPr>
          <w:rFonts w:hint="eastAsia" w:ascii="宋体" w:hAnsi="宋体" w:cs="宋体"/>
          <w:color w:val="auto"/>
          <w:highlight w:val="none"/>
        </w:rPr>
        <w:t>（　 ）第　号</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43" w:type="dxa"/>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 w:val="24"/>
                <w:highlight w:val="none"/>
              </w:rPr>
              <w:t xml:space="preserve"> 　</w:t>
            </w:r>
            <w:r>
              <w:rPr>
                <w:rFonts w:hint="eastAsia" w:ascii="宋体" w:hAnsi="宋体" w:cs="宋体"/>
                <w:color w:val="auto"/>
                <w:szCs w:val="21"/>
                <w:highlight w:val="none"/>
              </w:rPr>
              <w:t>　</w:t>
            </w:r>
            <w:r>
              <w:rPr>
                <w:rFonts w:hint="eastAsia" w:ascii="宋体" w:hAnsi="宋体" w:cs="宋体"/>
                <w:color w:val="auto"/>
                <w:szCs w:val="21"/>
                <w:highlight w:val="none"/>
                <w:u w:val="single"/>
              </w:rPr>
              <w:t>　　　　</w:t>
            </w:r>
            <w:r>
              <w:rPr>
                <w:rFonts w:hint="eastAsia" w:ascii="宋体" w:hAnsi="宋体" w:cs="宋体"/>
                <w:color w:val="auto"/>
                <w:szCs w:val="21"/>
                <w:highlight w:val="none"/>
              </w:rPr>
              <w:t>现任我单位</w:t>
            </w:r>
            <w:r>
              <w:rPr>
                <w:rFonts w:hint="eastAsia" w:ascii="宋体" w:hAnsi="宋体" w:cs="宋体"/>
                <w:color w:val="auto"/>
                <w:szCs w:val="21"/>
                <w:highlight w:val="none"/>
                <w:u w:val="single"/>
              </w:rPr>
              <w:t>　　　　　</w:t>
            </w:r>
            <w:r>
              <w:rPr>
                <w:rFonts w:hint="eastAsia" w:ascii="宋体" w:hAnsi="宋体" w:cs="宋体"/>
                <w:color w:val="auto"/>
                <w:szCs w:val="21"/>
                <w:highlight w:val="none"/>
              </w:rPr>
              <w:t>职务，为法定代表人（负责人），特此证明。</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有效期限：</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附：法定代表人（负责人）性别：</w:t>
            </w:r>
            <w:r>
              <w:rPr>
                <w:rFonts w:hint="eastAsia" w:ascii="宋体" w:hAnsi="宋体" w:cs="宋体"/>
                <w:color w:val="auto"/>
                <w:szCs w:val="21"/>
                <w:highlight w:val="none"/>
                <w:u w:val="single"/>
              </w:rPr>
              <w:t>　　</w:t>
            </w:r>
            <w:r>
              <w:rPr>
                <w:rFonts w:hint="eastAsia" w:ascii="宋体" w:hAnsi="宋体" w:cs="宋体"/>
                <w:color w:val="auto"/>
                <w:szCs w:val="21"/>
                <w:highlight w:val="none"/>
              </w:rPr>
              <w:t>年龄：</w:t>
            </w:r>
            <w:r>
              <w:rPr>
                <w:rFonts w:hint="eastAsia" w:ascii="宋体" w:hAnsi="宋体" w:cs="宋体"/>
                <w:color w:val="auto"/>
                <w:szCs w:val="21"/>
                <w:highlight w:val="none"/>
                <w:u w:val="single"/>
              </w:rPr>
              <w:t>　　</w:t>
            </w: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注册号码：</w:t>
            </w:r>
            <w:r>
              <w:rPr>
                <w:rFonts w:hint="eastAsia" w:ascii="宋体" w:hAnsi="宋体" w:cs="宋体"/>
                <w:color w:val="auto"/>
                <w:szCs w:val="21"/>
                <w:highlight w:val="none"/>
                <w:u w:val="single"/>
              </w:rPr>
              <w:t>　　　　　　　　　　</w:t>
            </w:r>
            <w:r>
              <w:rPr>
                <w:rFonts w:hint="eastAsia" w:ascii="宋体" w:hAnsi="宋体" w:cs="宋体"/>
                <w:color w:val="auto"/>
                <w:szCs w:val="21"/>
                <w:highlight w:val="none"/>
              </w:rPr>
              <w:t>企业类型：</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经营范围：</w:t>
            </w:r>
            <w:r>
              <w:rPr>
                <w:rFonts w:hint="eastAsia" w:ascii="宋体" w:hAnsi="宋体" w:cs="宋体"/>
                <w:color w:val="auto"/>
                <w:szCs w:val="21"/>
                <w:highlight w:val="none"/>
                <w:u w:val="single"/>
              </w:rPr>
              <w:t xml:space="preserve">            </w:t>
            </w:r>
          </w:p>
          <w:p>
            <w:pPr>
              <w:spacing w:line="360" w:lineRule="auto"/>
              <w:ind w:firstLine="4410" w:firstLineChars="2100"/>
              <w:jc w:val="right"/>
              <w:rPr>
                <w:rFonts w:hint="eastAsia" w:ascii="宋体" w:hAnsi="宋体" w:cs="宋体"/>
                <w:color w:val="auto"/>
                <w:szCs w:val="21"/>
                <w:highlight w:val="none"/>
              </w:rPr>
            </w:pPr>
            <w:r>
              <w:rPr>
                <w:rFonts w:hint="eastAsia" w:ascii="宋体" w:hAnsi="宋体" w:cs="宋体"/>
                <w:color w:val="auto"/>
                <w:szCs w:val="21"/>
                <w:highlight w:val="none"/>
              </w:rPr>
              <w:t>单位：</w:t>
            </w:r>
            <w:r>
              <w:rPr>
                <w:rFonts w:hint="eastAsia" w:ascii="宋体" w:hAnsi="宋体" w:cs="宋体"/>
                <w:color w:val="auto"/>
                <w:szCs w:val="21"/>
                <w:highlight w:val="none"/>
                <w:u w:val="single"/>
              </w:rPr>
              <w:t xml:space="preserve">         （盖章）</w:t>
            </w:r>
            <w:r>
              <w:rPr>
                <w:rFonts w:hint="eastAsia" w:ascii="宋体" w:hAnsi="宋体" w:cs="宋体"/>
                <w:color w:val="auto"/>
                <w:szCs w:val="21"/>
                <w:highlight w:val="none"/>
              </w:rPr>
              <w:t xml:space="preserve"> </w:t>
            </w:r>
          </w:p>
          <w:p>
            <w:pPr>
              <w:spacing w:line="360" w:lineRule="auto"/>
              <w:ind w:firstLine="4620" w:firstLineChars="2200"/>
              <w:jc w:val="right"/>
              <w:rPr>
                <w:rFonts w:hint="eastAsia" w:ascii="宋体" w:hAnsi="宋体" w:cs="宋体"/>
                <w:color w:val="auto"/>
                <w:sz w:val="24"/>
                <w:highlight w:val="none"/>
              </w:rPr>
            </w:pPr>
            <w:r>
              <w:rPr>
                <w:rFonts w:hint="eastAsia" w:ascii="宋体" w:hAnsi="宋体" w:cs="宋体"/>
                <w:color w:val="auto"/>
                <w:szCs w:val="21"/>
                <w:highlight w:val="none"/>
              </w:rPr>
              <w:t xml:space="preserve">   年   月   日</w:t>
            </w:r>
          </w:p>
        </w:tc>
      </w:tr>
    </w:tbl>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注：1、法定代表人证明书也可以采用工商行政管理局统一印制的格式。</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2、联合体投标的，本证明书由主办方出具，仅填写主办方单位名称并由主办方盖章即可。</w:t>
      </w: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法定代表人授权委托书</w:t>
      </w:r>
    </w:p>
    <w:p>
      <w:pPr>
        <w:spacing w:line="360" w:lineRule="auto"/>
        <w:jc w:val="right"/>
        <w:rPr>
          <w:rFonts w:hint="eastAsia" w:ascii="宋体" w:hAnsi="宋体" w:cs="宋体"/>
          <w:color w:val="auto"/>
          <w:sz w:val="24"/>
          <w:highlight w:val="none"/>
        </w:rPr>
      </w:pPr>
      <w:r>
        <w:rPr>
          <w:rFonts w:hint="eastAsia" w:ascii="宋体" w:hAnsi="宋体" w:cs="宋体"/>
          <w:color w:val="auto"/>
          <w:highlight w:val="none"/>
        </w:rPr>
        <w:t>（　 ）第　号</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43" w:type="dxa"/>
            <w:noWrap w:val="0"/>
            <w:vAlign w:val="top"/>
          </w:tcPr>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兹授权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为我方委托代理人，其权限是：</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有效期限：</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附：代理人性别：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注册号码：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企业类型：</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经营范围：</w:t>
            </w:r>
            <w:r>
              <w:rPr>
                <w:rFonts w:hint="eastAsia" w:ascii="宋体" w:hAnsi="宋体" w:cs="宋体"/>
                <w:color w:val="auto"/>
                <w:szCs w:val="21"/>
                <w:highlight w:val="none"/>
                <w:u w:val="single"/>
              </w:rPr>
              <w:t xml:space="preserve">           </w:t>
            </w:r>
          </w:p>
          <w:p>
            <w:pPr>
              <w:spacing w:line="360" w:lineRule="auto"/>
              <w:jc w:val="right"/>
              <w:rPr>
                <w:rFonts w:hint="eastAsia" w:ascii="宋体" w:hAnsi="宋体" w:cs="宋体"/>
                <w:color w:val="auto"/>
                <w:szCs w:val="21"/>
                <w:highlight w:val="none"/>
              </w:rPr>
            </w:pPr>
            <w:r>
              <w:rPr>
                <w:rFonts w:hint="eastAsia" w:ascii="宋体" w:hAnsi="宋体" w:cs="宋体"/>
                <w:color w:val="auto"/>
                <w:szCs w:val="21"/>
                <w:highlight w:val="none"/>
              </w:rPr>
              <w:t>法定代表人（负责人）：</w:t>
            </w:r>
            <w:r>
              <w:rPr>
                <w:rFonts w:hint="eastAsia" w:ascii="宋体" w:hAnsi="宋体" w:cs="宋体"/>
                <w:color w:val="auto"/>
                <w:szCs w:val="21"/>
                <w:highlight w:val="none"/>
                <w:u w:val="single"/>
              </w:rPr>
              <w:t xml:space="preserve">       （签名或盖章）</w:t>
            </w:r>
          </w:p>
          <w:p>
            <w:pPr>
              <w:spacing w:line="360" w:lineRule="auto"/>
              <w:ind w:right="840"/>
              <w:jc w:val="right"/>
              <w:rPr>
                <w:rFonts w:hint="eastAsia" w:ascii="宋体" w:hAnsi="宋体" w:cs="宋体"/>
                <w:color w:val="auto"/>
                <w:szCs w:val="21"/>
                <w:highlight w:val="none"/>
              </w:rPr>
            </w:pPr>
            <w:r>
              <w:rPr>
                <w:rFonts w:hint="eastAsia" w:ascii="宋体" w:hAnsi="宋体" w:cs="宋体"/>
                <w:color w:val="auto"/>
                <w:szCs w:val="21"/>
                <w:highlight w:val="none"/>
              </w:rPr>
              <w:t>授权单位：</w:t>
            </w:r>
            <w:r>
              <w:rPr>
                <w:rFonts w:hint="eastAsia" w:ascii="宋体" w:hAnsi="宋体" w:cs="宋体"/>
                <w:color w:val="auto"/>
                <w:szCs w:val="21"/>
                <w:highlight w:val="none"/>
                <w:u w:val="single"/>
              </w:rPr>
              <w:t xml:space="preserve">      （盖章）</w:t>
            </w:r>
          </w:p>
          <w:p>
            <w:pPr>
              <w:spacing w:line="360" w:lineRule="auto"/>
              <w:ind w:right="720" w:firstLine="630" w:firstLineChars="300"/>
              <w:jc w:val="right"/>
              <w:rPr>
                <w:rFonts w:hint="eastAsia" w:ascii="宋体" w:hAnsi="宋体" w:cs="宋体"/>
                <w:color w:val="auto"/>
                <w:sz w:val="24"/>
                <w:highlight w:val="none"/>
              </w:rPr>
            </w:pPr>
            <w:r>
              <w:rPr>
                <w:rFonts w:hint="eastAsia" w:ascii="宋体" w:hAnsi="宋体" w:cs="宋体"/>
                <w:color w:val="auto"/>
                <w:szCs w:val="21"/>
                <w:highlight w:val="none"/>
              </w:rPr>
              <w:t>年  月   日</w:t>
            </w:r>
          </w:p>
        </w:tc>
      </w:tr>
    </w:tbl>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注：1、法定代表人授权委托书也可以采用工商行政管理局统一印制的格式。</w:t>
      </w:r>
    </w:p>
    <w:p>
      <w:pPr>
        <w:spacing w:line="360" w:lineRule="auto"/>
        <w:rPr>
          <w:rFonts w:hint="eastAsia" w:ascii="宋体" w:hAnsi="宋体" w:cs="宋体"/>
          <w:color w:val="auto"/>
          <w:szCs w:val="21"/>
          <w:highlight w:val="none"/>
        </w:rPr>
        <w:sectPr>
          <w:footerReference r:id="rId17" w:type="default"/>
          <w:pgSz w:w="11906" w:h="16838"/>
          <w:pgMar w:top="1440" w:right="1106" w:bottom="1440" w:left="1259" w:header="851" w:footer="992" w:gutter="0"/>
          <w:cols w:space="720" w:num="1"/>
          <w:docGrid w:type="lines" w:linePitch="312" w:charSpace="0"/>
        </w:sectPr>
      </w:pPr>
      <w:r>
        <w:rPr>
          <w:rFonts w:hint="eastAsia" w:ascii="宋体" w:hAnsi="宋体" w:cs="宋体"/>
          <w:color w:val="auto"/>
          <w:szCs w:val="21"/>
          <w:highlight w:val="none"/>
        </w:rPr>
        <w:t>2、联合体投标的，本授权书由主办方出具，仅填写主办方单位名称并由主办方签字或盖章即可。</w:t>
      </w:r>
    </w:p>
    <w:bookmarkEnd w:id="213"/>
    <w:bookmarkEnd w:id="214"/>
    <w:bookmarkEnd w:id="215"/>
    <w:bookmarkEnd w:id="216"/>
    <w:bookmarkEnd w:id="217"/>
    <w:bookmarkEnd w:id="218"/>
    <w:bookmarkEnd w:id="219"/>
    <w:bookmarkEnd w:id="220"/>
    <w:bookmarkEnd w:id="221"/>
    <w:p>
      <w:pPr>
        <w:pStyle w:val="3"/>
        <w:rPr>
          <w:rFonts w:hint="eastAsia" w:ascii="宋体" w:eastAsia="宋体" w:cs="宋体"/>
          <w:bCs w:val="0"/>
          <w:color w:val="auto"/>
          <w:kern w:val="1"/>
          <w:sz w:val="24"/>
          <w:szCs w:val="24"/>
          <w:highlight w:val="none"/>
          <w:lang w:val="zh-CN"/>
        </w:rPr>
      </w:pPr>
      <w:r>
        <w:rPr>
          <w:rFonts w:hint="eastAsia" w:ascii="宋体" w:eastAsia="宋体" w:cs="宋体"/>
          <w:bCs w:val="0"/>
          <w:color w:val="auto"/>
          <w:kern w:val="1"/>
          <w:sz w:val="24"/>
          <w:szCs w:val="24"/>
          <w:highlight w:val="none"/>
          <w:lang w:val="zh-CN"/>
        </w:rPr>
        <w:t>格式5：</w:t>
      </w:r>
    </w:p>
    <w:p>
      <w:pPr>
        <w:autoSpaceDE w:val="0"/>
        <w:autoSpaceDN w:val="0"/>
        <w:adjustRightInd w:val="0"/>
        <w:spacing w:line="360" w:lineRule="auto"/>
        <w:jc w:val="center"/>
        <w:rPr>
          <w:rFonts w:hint="eastAsia" w:ascii="宋体" w:hAnsi="宋体" w:cs="宋体"/>
          <w:b/>
          <w:bCs/>
          <w:color w:val="auto"/>
          <w:sz w:val="28"/>
          <w:szCs w:val="28"/>
          <w:highlight w:val="none"/>
          <w:lang w:val="zh-CN"/>
        </w:rPr>
      </w:pPr>
      <w:r>
        <w:rPr>
          <w:rFonts w:hint="eastAsia" w:ascii="宋体" w:hAnsi="宋体" w:cs="宋体"/>
          <w:b/>
          <w:bCs/>
          <w:color w:val="auto"/>
          <w:sz w:val="28"/>
          <w:szCs w:val="28"/>
          <w:highlight w:val="none"/>
          <w:lang w:val="zh-CN"/>
        </w:rPr>
        <w:t>投标承诺书</w:t>
      </w:r>
    </w:p>
    <w:p>
      <w:pPr>
        <w:spacing w:line="360" w:lineRule="auto"/>
        <w:jc w:val="center"/>
        <w:rPr>
          <w:rFonts w:hint="eastAsia" w:ascii="宋体" w:hAnsi="宋体" w:cs="宋体"/>
          <w:b/>
          <w:color w:val="auto"/>
          <w:sz w:val="24"/>
          <w:highlight w:val="none"/>
        </w:rPr>
      </w:pPr>
    </w:p>
    <w:p>
      <w:pPr>
        <w:topLinePunct/>
        <w:adjustRightInd w:val="0"/>
        <w:snapToGrid w:val="0"/>
        <w:spacing w:line="360" w:lineRule="auto"/>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致：广州市重点公共建设项目管理中心：</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经详细阅读本工程招标文件、招标答疑纪要和踏勘现场，我司已理解招标人对本招标项目工程管理的高标准及严格要求，在此，我司郑重作出以下承诺：</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一、我司已按投标须知第1.9条的要求完成了对现场的踏勘工作，已充分了解施场的条件。如若中标，我司理解招标人向投标人提供的有关现场的数据和资料，是招标人现有的能被投标人利用的资料。招标人对投标人做出的任何推论、理解和结论均不需负任何的责任。我司承诺不会因施工期间现场条件发生的任何阻碍而向招标人索赔工期或费用，并保证不因施工期间现场条件发生的任何阻碍而影响投标承诺的竣工日期。</w:t>
      </w:r>
    </w:p>
    <w:p>
      <w:pPr>
        <w:topLinePunct/>
        <w:adjustRightInd w:val="0"/>
        <w:snapToGrid w:val="0"/>
        <w:spacing w:line="360" w:lineRule="auto"/>
        <w:ind w:firstLine="488" w:firstLineChars="200"/>
        <w:rPr>
          <w:rFonts w:ascii="宋体" w:hAnsi="宋体"/>
          <w:snapToGrid w:val="0"/>
          <w:color w:val="auto"/>
          <w:spacing w:val="2"/>
          <w:kern w:val="0"/>
          <w:position w:val="2"/>
          <w:sz w:val="24"/>
          <w:szCs w:val="24"/>
          <w:highlight w:val="none"/>
        </w:rPr>
      </w:pPr>
      <w:r>
        <w:rPr>
          <w:rFonts w:hint="eastAsia" w:ascii="宋体" w:hAnsi="宋体"/>
          <w:snapToGrid w:val="0"/>
          <w:color w:val="auto"/>
          <w:spacing w:val="2"/>
          <w:kern w:val="0"/>
          <w:position w:val="2"/>
          <w:sz w:val="24"/>
          <w:szCs w:val="24"/>
          <w:highlight w:val="none"/>
        </w:rPr>
        <w:t>二、经认真进行市场调查，我司承诺本招标项目材料、设备来源有保证，可按投标承诺及时组织到货，无需代换。</w:t>
      </w:r>
    </w:p>
    <w:p>
      <w:pPr>
        <w:topLinePunct/>
        <w:adjustRightInd w:val="0"/>
        <w:snapToGrid w:val="0"/>
        <w:spacing w:line="360" w:lineRule="auto"/>
        <w:ind w:firstLine="488" w:firstLineChars="200"/>
        <w:rPr>
          <w:rFonts w:ascii="宋体" w:hAnsi="宋体"/>
          <w:snapToGrid w:val="0"/>
          <w:color w:val="auto"/>
          <w:spacing w:val="4"/>
          <w:kern w:val="0"/>
          <w:sz w:val="24"/>
          <w:szCs w:val="24"/>
          <w:highlight w:val="none"/>
        </w:rPr>
      </w:pPr>
      <w:r>
        <w:rPr>
          <w:rFonts w:hint="eastAsia" w:ascii="宋体" w:hAnsi="宋体"/>
          <w:snapToGrid w:val="0"/>
          <w:color w:val="auto"/>
          <w:spacing w:val="2"/>
          <w:kern w:val="0"/>
          <w:position w:val="2"/>
          <w:sz w:val="24"/>
          <w:szCs w:val="24"/>
          <w:highlight w:val="none"/>
        </w:rPr>
        <w:t>三、</w:t>
      </w:r>
      <w:r>
        <w:rPr>
          <w:rFonts w:hint="eastAsia" w:ascii="宋体" w:hAnsi="宋体"/>
          <w:snapToGrid w:val="0"/>
          <w:color w:val="auto"/>
          <w:spacing w:val="4"/>
          <w:kern w:val="0"/>
          <w:sz w:val="24"/>
          <w:szCs w:val="24"/>
          <w:highlight w:val="none"/>
        </w:rPr>
        <w:t>如果我司中标，我司承诺自中标通知书发出之日起至本项目工程结算经有权审核部门审定之日止确保建设管理相关单位驻现场办公的交通和办公设备设施等满足招标人的要求，服从招标人统一调配，相关费用已包含在我司中标总价中。</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四、我司已充分阅读并结合我司实际全面理解招标文件第三章《合同条款及格式》的所有内容，经慎重考虑，我司承诺全面响应招标人提出合同条款的全部内容，并已在投标报价中充分考虑招标人合同管理各项要求可能带来的我司成本增加和我司现场施工与相关管理要求的困难。如果我司的投标被接受，将保证按招标文件规定的时间及合同条款与贵司签订合同，且在办理合同签订手续时积极主动配合招标人，不提出任何违反招标文件合同条款精神的任何书面要求和疑问，否则，同意被视为自动放弃中标，由招标人没收我司提交的投标保证金，对由此造成的后果由我司承担相应的法律责任。</w:t>
      </w:r>
    </w:p>
    <w:p>
      <w:pPr>
        <w:topLinePunct/>
        <w:adjustRightInd w:val="0"/>
        <w:snapToGrid w:val="0"/>
        <w:spacing w:line="360" w:lineRule="auto"/>
        <w:ind w:firstLine="496" w:firstLineChars="200"/>
        <w:rPr>
          <w:rFonts w:ascii="宋体" w:hAnsi="宋体"/>
          <w:bCs/>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五、</w:t>
      </w:r>
      <w:r>
        <w:rPr>
          <w:rFonts w:hint="eastAsia" w:ascii="宋体" w:hAnsi="宋体"/>
          <w:snapToGrid w:val="0"/>
          <w:color w:val="auto"/>
          <w:spacing w:val="-2"/>
          <w:kern w:val="0"/>
          <w:sz w:val="24"/>
          <w:szCs w:val="24"/>
          <w:highlight w:val="none"/>
        </w:rPr>
        <w:t>我司保证本工程文明施工和职业健康安全管理方案完全满足国家、省、市政府、主管部门颁布的安全生产规程与规定，完全满足《建筑施工安全检查标准》（JGJ59-2011）、《广州市建设工程现场文明施工管理办法》（穗建质[2008]937号）、《广州市城乡建设委员会关于印发广州市加强建筑工地环保管理工作方案的通知》(穗建质〔2014〕754号)、《广州市提升建设工程安全文明施工管理水平的工作指引》（穗建质[2017]815号）和《广州市建筑工程安全生产措施费管理办法》（穗建筑[2003]106号）各项规定和招标文件要求。否则，愿意无条件接受招标人的任何处罚，直至被清退出场，并为此承担相应的法律责任。</w:t>
      </w:r>
    </w:p>
    <w:p>
      <w:pPr>
        <w:topLinePunct/>
        <w:adjustRightInd w:val="0"/>
        <w:snapToGrid w:val="0"/>
        <w:spacing w:line="360" w:lineRule="auto"/>
        <w:ind w:firstLine="472" w:firstLineChars="200"/>
        <w:rPr>
          <w:rFonts w:ascii="宋体" w:hAnsi="宋体"/>
          <w:bCs/>
          <w:snapToGrid w:val="0"/>
          <w:color w:val="auto"/>
          <w:spacing w:val="-2"/>
          <w:kern w:val="0"/>
          <w:sz w:val="24"/>
          <w:szCs w:val="24"/>
          <w:highlight w:val="none"/>
        </w:rPr>
      </w:pPr>
      <w:r>
        <w:rPr>
          <w:rFonts w:hint="eastAsia" w:ascii="宋体" w:hAnsi="宋体"/>
          <w:bCs/>
          <w:snapToGrid w:val="0"/>
          <w:color w:val="auto"/>
          <w:spacing w:val="-2"/>
          <w:kern w:val="0"/>
          <w:sz w:val="24"/>
          <w:szCs w:val="24"/>
          <w:highlight w:val="none"/>
        </w:rPr>
        <w:t>六、</w:t>
      </w:r>
      <w:r>
        <w:rPr>
          <w:rFonts w:hint="eastAsia" w:ascii="宋体" w:hAnsi="宋体"/>
          <w:snapToGrid w:val="0"/>
          <w:color w:val="auto"/>
          <w:spacing w:val="-2"/>
          <w:kern w:val="0"/>
          <w:sz w:val="24"/>
          <w:szCs w:val="24"/>
          <w:highlight w:val="none"/>
        </w:rPr>
        <w:t>我司保证本工程竣工验收、竣工资料和竣工备案管理完全符合国家、省、市政府、主管部门颁布的竣工验收和档案管理各项规定及招标文件中提出的各项管理要求。</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七、我司保证在本项目投标中不存在围标、串标等违法、违规行为，如经招标监管部门查实存在上述行为，我司同意</w:t>
      </w:r>
      <w:r>
        <w:rPr>
          <w:rFonts w:ascii="宋体" w:hAnsi="宋体"/>
          <w:b/>
          <w:bCs/>
          <w:snapToGrid w:val="0"/>
          <w:color w:val="auto"/>
          <w:spacing w:val="4"/>
          <w:kern w:val="0"/>
          <w:sz w:val="24"/>
          <w:szCs w:val="24"/>
          <w:highlight w:val="none"/>
          <w:u w:val="single"/>
        </w:rPr>
        <w:t>对由此造成的损失作出赔偿</w:t>
      </w:r>
      <w:r>
        <w:rPr>
          <w:rFonts w:hint="eastAsia" w:ascii="宋体" w:hAnsi="宋体"/>
          <w:snapToGrid w:val="0"/>
          <w:color w:val="auto"/>
          <w:spacing w:val="4"/>
          <w:kern w:val="0"/>
          <w:sz w:val="24"/>
          <w:szCs w:val="24"/>
          <w:highlight w:val="none"/>
        </w:rPr>
        <w:t>，并对由此造成的后果承担相应的法律责任。</w:t>
      </w:r>
    </w:p>
    <w:p>
      <w:pPr>
        <w:topLinePunct/>
        <w:adjustRightInd w:val="0"/>
        <w:snapToGrid w:val="0"/>
        <w:spacing w:line="360" w:lineRule="auto"/>
        <w:ind w:firstLine="496" w:firstLineChars="200"/>
        <w:rPr>
          <w:rFonts w:ascii="宋体" w:hAnsi="宋体"/>
          <w:bCs/>
          <w:snapToGrid w:val="0"/>
          <w:color w:val="auto"/>
          <w:spacing w:val="4"/>
          <w:kern w:val="0"/>
          <w:sz w:val="24"/>
          <w:szCs w:val="24"/>
          <w:highlight w:val="none"/>
          <w:u w:val="single"/>
        </w:rPr>
      </w:pPr>
      <w:r>
        <w:rPr>
          <w:rFonts w:hint="eastAsia" w:ascii="宋体" w:hAnsi="宋体"/>
          <w:snapToGrid w:val="0"/>
          <w:color w:val="auto"/>
          <w:spacing w:val="4"/>
          <w:kern w:val="0"/>
          <w:sz w:val="24"/>
          <w:szCs w:val="24"/>
          <w:highlight w:val="none"/>
          <w:u w:val="single"/>
        </w:rPr>
        <w:t>八、如果我司中标，我司保证严格遵守建设工程相关管理规定，保证不转包、不违法分包</w:t>
      </w:r>
      <w:r>
        <w:rPr>
          <w:rFonts w:hint="eastAsia" w:ascii="宋体" w:hAnsi="宋体"/>
          <w:bCs/>
          <w:snapToGrid w:val="0"/>
          <w:color w:val="auto"/>
          <w:spacing w:val="4"/>
          <w:kern w:val="0"/>
          <w:sz w:val="24"/>
          <w:szCs w:val="24"/>
          <w:highlight w:val="none"/>
          <w:u w:val="single"/>
        </w:rPr>
        <w:t>。否则，贵单位有权直接取消我司中标资格或单方面解除合同，由此引起的一切损失和责任由我司全部承担。</w:t>
      </w:r>
    </w:p>
    <w:p>
      <w:pPr>
        <w:topLinePunct/>
        <w:adjustRightInd w:val="0"/>
        <w:snapToGrid w:val="0"/>
        <w:spacing w:line="360" w:lineRule="auto"/>
        <w:ind w:firstLine="496" w:firstLineChars="200"/>
        <w:rPr>
          <w:rFonts w:ascii="宋体" w:hAnsi="宋体"/>
          <w:bCs/>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九、如果我司中标，我司保证实际投入本项目的人员、材料、机械、设备与我司递交的投标文件一致，且不低于本项目招标文件的要求，并保证按招标文件第四章《发包人要求》 中的人员（包括但不限于工程总承包项目经理、设计负责人等）在进场前准时参加招标人组织的面试考核。若不满足招标文件要求或考核不通过，我司承诺无条件按招标人的要求进行更换，直至招标人满意为止。</w:t>
      </w:r>
      <w:r>
        <w:rPr>
          <w:rFonts w:hint="eastAsia" w:ascii="宋体" w:hAnsi="宋体"/>
          <w:bCs/>
          <w:snapToGrid w:val="0"/>
          <w:color w:val="auto"/>
          <w:spacing w:val="4"/>
          <w:kern w:val="0"/>
          <w:sz w:val="24"/>
          <w:szCs w:val="24"/>
          <w:highlight w:val="none"/>
        </w:rPr>
        <w:t>经招标人和总监理工程师考核，我司未按投标文件投入主要人员或经过更换后的人员不能满足本项目要求的，</w:t>
      </w:r>
      <w:r>
        <w:rPr>
          <w:rFonts w:hint="eastAsia" w:ascii="宋体" w:hAnsi="宋体"/>
          <w:snapToGrid w:val="0"/>
          <w:color w:val="auto"/>
          <w:spacing w:val="4"/>
          <w:kern w:val="0"/>
          <w:sz w:val="24"/>
          <w:szCs w:val="24"/>
          <w:highlight w:val="none"/>
        </w:rPr>
        <w:t>我司承诺</w:t>
      </w:r>
      <w:r>
        <w:rPr>
          <w:rFonts w:hint="eastAsia" w:ascii="宋体" w:hAnsi="宋体"/>
          <w:bCs/>
          <w:snapToGrid w:val="0"/>
          <w:color w:val="auto"/>
          <w:spacing w:val="4"/>
          <w:kern w:val="0"/>
          <w:sz w:val="24"/>
          <w:szCs w:val="24"/>
          <w:highlight w:val="none"/>
        </w:rPr>
        <w:t>除无条件按招标人的要求更换外，还应按合同约定的金额向招标人支付违约金。</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十、如果我司中标，对招标人、监理人为确保工程质量管理和工程进度而下达的调整项目经理部组成人员的指令、通知，我司承诺无条件地在限期内执行并调整到位。</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u w:val="single"/>
        </w:rPr>
      </w:pPr>
      <w:r>
        <w:rPr>
          <w:rFonts w:hint="eastAsia" w:ascii="宋体" w:hAnsi="宋体"/>
          <w:snapToGrid w:val="0"/>
          <w:color w:val="auto"/>
          <w:spacing w:val="4"/>
          <w:kern w:val="0"/>
          <w:sz w:val="24"/>
          <w:szCs w:val="24"/>
          <w:highlight w:val="none"/>
          <w:u w:val="single"/>
        </w:rPr>
        <w:t>十二、如果我司中标，我司保证在规定时间内按招标人要求提交详细的施工组织设计并应用于实际施工过程中。如违反上述承诺，由此引起的质量、工期、安全等相关责任完全由我司承担，愿意无条件接受招标人的任何处罚，直至被清退出场，并为此承担相应的法律责任。</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u w:val="single"/>
        </w:rPr>
      </w:pPr>
      <w:r>
        <w:rPr>
          <w:rFonts w:hint="eastAsia" w:ascii="宋体" w:hAnsi="宋体"/>
          <w:snapToGrid w:val="0"/>
          <w:color w:val="auto"/>
          <w:spacing w:val="4"/>
          <w:kern w:val="0"/>
          <w:sz w:val="24"/>
          <w:szCs w:val="24"/>
          <w:highlight w:val="none"/>
        </w:rPr>
        <w:t>十三、如果我司中标，我司承诺严格按照合同和招投标文件规定履行义务，并同意招标人将其履行合同、招投标文件义务的履约情况和不诚信行为（包括但不限于由招标人作出的违约责任处理决定等）在招标人网站和建设项目业主网站及其他媒体上公开披露，由此造成的一切损失和不利后果均由我司自行承担。</w:t>
      </w:r>
    </w:p>
    <w:p>
      <w:pPr>
        <w:topLinePunct/>
        <w:adjustRightInd w:val="0"/>
        <w:snapToGrid w:val="0"/>
        <w:spacing w:line="360" w:lineRule="auto"/>
        <w:ind w:firstLine="496" w:firstLineChars="200"/>
        <w:rPr>
          <w:rFonts w:ascii="宋体" w:hAnsi="宋体"/>
          <w:snapToGrid w:val="0"/>
          <w:color w:val="auto"/>
          <w:spacing w:val="4"/>
          <w:kern w:val="0"/>
          <w:sz w:val="24"/>
          <w:szCs w:val="24"/>
          <w:highlight w:val="none"/>
          <w:u w:val="single"/>
        </w:rPr>
      </w:pPr>
    </w:p>
    <w:p>
      <w:pPr>
        <w:topLinePunct/>
        <w:adjustRightInd w:val="0"/>
        <w:snapToGrid w:val="0"/>
        <w:spacing w:line="360" w:lineRule="auto"/>
        <w:ind w:firstLine="3472" w:firstLineChars="1400"/>
        <w:rPr>
          <w:rFonts w:ascii="宋体" w:hAnsi="宋体"/>
          <w:snapToGrid w:val="0"/>
          <w:color w:val="auto"/>
          <w:spacing w:val="4"/>
          <w:kern w:val="0"/>
          <w:sz w:val="24"/>
          <w:szCs w:val="24"/>
          <w:highlight w:val="none"/>
        </w:rPr>
      </w:pPr>
    </w:p>
    <w:p>
      <w:pPr>
        <w:topLinePunct/>
        <w:adjustRightInd w:val="0"/>
        <w:snapToGrid w:val="0"/>
        <w:spacing w:line="360" w:lineRule="auto"/>
        <w:ind w:firstLine="3472" w:firstLineChars="1400"/>
        <w:rPr>
          <w:rFonts w:ascii="宋体" w:hAnsi="宋体"/>
          <w:snapToGrid w:val="0"/>
          <w:color w:val="auto"/>
          <w:spacing w:val="4"/>
          <w:kern w:val="0"/>
          <w:sz w:val="24"/>
          <w:szCs w:val="24"/>
          <w:highlight w:val="none"/>
        </w:rPr>
      </w:pPr>
    </w:p>
    <w:p>
      <w:pPr>
        <w:topLinePunct/>
        <w:adjustRightInd w:val="0"/>
        <w:snapToGrid w:val="0"/>
        <w:spacing w:line="360" w:lineRule="auto"/>
        <w:ind w:firstLine="3472" w:firstLineChars="1400"/>
        <w:rPr>
          <w:rFonts w:ascii="宋体" w:hAnsi="宋体"/>
          <w:snapToGrid w:val="0"/>
          <w:color w:val="auto"/>
          <w:spacing w:val="4"/>
          <w:kern w:val="0"/>
          <w:sz w:val="24"/>
          <w:szCs w:val="24"/>
          <w:highlight w:val="none"/>
        </w:rPr>
      </w:pPr>
    </w:p>
    <w:p>
      <w:pPr>
        <w:topLinePunct/>
        <w:adjustRightInd w:val="0"/>
        <w:snapToGrid w:val="0"/>
        <w:spacing w:line="360" w:lineRule="auto"/>
        <w:ind w:firstLine="3472" w:firstLineChars="14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投标人：　　（盖章）</w:t>
      </w:r>
    </w:p>
    <w:p>
      <w:pPr>
        <w:topLinePunct/>
        <w:adjustRightInd w:val="0"/>
        <w:snapToGrid w:val="0"/>
        <w:spacing w:line="360" w:lineRule="auto"/>
        <w:ind w:firstLine="3472" w:firstLineChars="14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法定代表人或授权代理人（签字或盖章）：</w:t>
      </w:r>
    </w:p>
    <w:p>
      <w:pPr>
        <w:spacing w:line="360" w:lineRule="auto"/>
        <w:ind w:firstLine="3472" w:firstLineChars="1400"/>
        <w:rPr>
          <w:rFonts w:ascii="宋体" w:hAnsi="宋体"/>
          <w:snapToGrid w:val="0"/>
          <w:color w:val="auto"/>
          <w:spacing w:val="4"/>
          <w:kern w:val="0"/>
          <w:sz w:val="24"/>
          <w:szCs w:val="24"/>
          <w:highlight w:val="none"/>
        </w:rPr>
      </w:pPr>
      <w:r>
        <w:rPr>
          <w:rFonts w:hint="eastAsia" w:ascii="宋体" w:hAnsi="宋体"/>
          <w:snapToGrid w:val="0"/>
          <w:color w:val="auto"/>
          <w:spacing w:val="4"/>
          <w:kern w:val="0"/>
          <w:sz w:val="24"/>
          <w:szCs w:val="24"/>
          <w:highlight w:val="none"/>
        </w:rPr>
        <w:t>日期：    年    月    日</w:t>
      </w:r>
    </w:p>
    <w:p>
      <w:pPr>
        <w:pStyle w:val="11"/>
        <w:spacing w:line="360" w:lineRule="auto"/>
        <w:ind w:firstLine="241" w:firstLineChars="100"/>
        <w:rPr>
          <w:rFonts w:hAnsi="宋体" w:cs="宋体"/>
          <w:b/>
          <w:color w:val="auto"/>
          <w:sz w:val="24"/>
          <w:szCs w:val="24"/>
          <w:highlight w:val="none"/>
        </w:rPr>
      </w:pPr>
    </w:p>
    <w:p>
      <w:pPr>
        <w:wordWrap w:val="0"/>
        <w:topLinePunct/>
        <w:rPr>
          <w:rFonts w:hint="eastAsia" w:ascii="宋体" w:hAnsi="宋体" w:cs="宋体"/>
          <w:bCs/>
          <w:color w:val="auto"/>
          <w:highlight w:val="none"/>
        </w:rPr>
      </w:pPr>
      <w:r>
        <w:rPr>
          <w:rFonts w:hint="eastAsia" w:ascii="宋体" w:hAnsi="宋体" w:cs="宋体"/>
          <w:bCs/>
          <w:color w:val="auto"/>
          <w:szCs w:val="21"/>
          <w:highlight w:val="none"/>
        </w:rPr>
        <w:t>注：联合体投标的，“投标人”一栏需书写所有联合体成员的单位全称，可由主办方签署、盖章。</w:t>
      </w:r>
    </w:p>
    <w:p>
      <w:pPr>
        <w:pStyle w:val="3"/>
        <w:rPr>
          <w:rFonts w:hint="eastAsia" w:ascii="宋体" w:hAnsi="宋体" w:cs="宋体"/>
          <w:color w:val="auto"/>
          <w:sz w:val="28"/>
          <w:szCs w:val="28"/>
          <w:highlight w:val="none"/>
        </w:rPr>
      </w:pPr>
      <w:r>
        <w:rPr>
          <w:rFonts w:hint="eastAsia" w:ascii="宋体" w:hAnsi="宋体" w:cs="宋体"/>
          <w:bCs w:val="0"/>
          <w:color w:val="auto"/>
          <w:highlight w:val="none"/>
        </w:rPr>
        <w:br w:type="page"/>
      </w:r>
      <w:r>
        <w:rPr>
          <w:rFonts w:hint="eastAsia" w:ascii="宋体" w:eastAsia="宋体" w:cs="宋体"/>
          <w:bCs w:val="0"/>
          <w:color w:val="auto"/>
          <w:kern w:val="1"/>
          <w:sz w:val="24"/>
          <w:szCs w:val="24"/>
          <w:highlight w:val="none"/>
          <w:lang w:val="zh-CN"/>
        </w:rPr>
        <w:t>格式6：</w:t>
      </w:r>
    </w:p>
    <w:p>
      <w:pPr>
        <w:spacing w:line="360" w:lineRule="auto"/>
        <w:jc w:val="center"/>
        <w:rPr>
          <w:rFonts w:hint="eastAsia" w:ascii="宋体" w:hAnsi="宋体" w:cs="宋体"/>
          <w:b/>
          <w:bCs/>
          <w:color w:val="auto"/>
          <w:sz w:val="28"/>
          <w:szCs w:val="28"/>
          <w:highlight w:val="none"/>
          <w:lang w:val="zh-CN"/>
        </w:rPr>
      </w:pPr>
      <w:r>
        <w:rPr>
          <w:rFonts w:hint="eastAsia" w:ascii="宋体" w:hAnsi="宋体" w:cs="宋体"/>
          <w:b/>
          <w:bCs/>
          <w:color w:val="auto"/>
          <w:sz w:val="28"/>
          <w:szCs w:val="28"/>
          <w:highlight w:val="none"/>
          <w:lang w:val="zh-CN"/>
        </w:rPr>
        <w:t>投标人基本情况表</w:t>
      </w:r>
    </w:p>
    <w:tbl>
      <w:tblPr>
        <w:tblStyle w:val="19"/>
        <w:tblW w:w="0" w:type="auto"/>
        <w:jc w:val="center"/>
        <w:tblLayout w:type="fixed"/>
        <w:tblCellMar>
          <w:top w:w="0" w:type="dxa"/>
          <w:left w:w="0" w:type="dxa"/>
          <w:bottom w:w="0" w:type="dxa"/>
          <w:right w:w="0" w:type="dxa"/>
        </w:tblCellMar>
      </w:tblPr>
      <w:tblGrid>
        <w:gridCol w:w="1885"/>
        <w:gridCol w:w="1102"/>
        <w:gridCol w:w="1214"/>
        <w:gridCol w:w="840"/>
        <w:gridCol w:w="425"/>
        <w:gridCol w:w="212"/>
        <w:gridCol w:w="1265"/>
        <w:gridCol w:w="204"/>
        <w:gridCol w:w="840"/>
        <w:gridCol w:w="1060"/>
      </w:tblGrid>
      <w:tr>
        <w:tblPrEx>
          <w:tblCellMar>
            <w:top w:w="0" w:type="dxa"/>
            <w:left w:w="0" w:type="dxa"/>
            <w:bottom w:w="0" w:type="dxa"/>
            <w:right w:w="0" w:type="dxa"/>
          </w:tblCellMar>
        </w:tblPrEx>
        <w:trPr>
          <w:trHeight w:val="50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投标人名称</w:t>
            </w:r>
          </w:p>
        </w:tc>
        <w:tc>
          <w:tcPr>
            <w:tcW w:w="7162" w:type="dxa"/>
            <w:gridSpan w:val="9"/>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注册地址</w:t>
            </w:r>
          </w:p>
        </w:tc>
        <w:tc>
          <w:tcPr>
            <w:tcW w:w="3793" w:type="dxa"/>
            <w:gridSpan w:val="5"/>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126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邮政编码</w:t>
            </w:r>
          </w:p>
        </w:tc>
        <w:tc>
          <w:tcPr>
            <w:tcW w:w="2104" w:type="dxa"/>
            <w:gridSpan w:val="3"/>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cantSplit/>
          <w:trHeight w:val="540" w:hRule="exact"/>
          <w:jc w:val="center"/>
        </w:trPr>
        <w:tc>
          <w:tcPr>
            <w:tcW w:w="1885" w:type="dxa"/>
            <w:vMerge w:val="restart"/>
            <w:tcBorders>
              <w:top w:val="single" w:color="auto" w:sz="8" w:space="0"/>
              <w:left w:val="single" w:color="auto" w:sz="8" w:space="0"/>
              <w:bottom w:val="nil"/>
              <w:right w:val="single" w:color="auto" w:sz="8" w:space="0"/>
            </w:tcBorders>
            <w:noWrap w:val="0"/>
            <w:vAlign w:val="center"/>
          </w:tcPr>
          <w:p>
            <w:pPr>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联系方式</w:t>
            </w:r>
          </w:p>
        </w:tc>
        <w:tc>
          <w:tcPr>
            <w:tcW w:w="1102"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联系人</w:t>
            </w:r>
          </w:p>
        </w:tc>
        <w:tc>
          <w:tcPr>
            <w:tcW w:w="2691" w:type="dxa"/>
            <w:gridSpan w:val="4"/>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126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电  话</w:t>
            </w:r>
          </w:p>
        </w:tc>
        <w:tc>
          <w:tcPr>
            <w:tcW w:w="2104" w:type="dxa"/>
            <w:gridSpan w:val="3"/>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cantSplit/>
          <w:trHeight w:val="520" w:hRule="exact"/>
          <w:jc w:val="center"/>
        </w:trPr>
        <w:tc>
          <w:tcPr>
            <w:tcW w:w="1885" w:type="dxa"/>
            <w:vMerge w:val="continue"/>
            <w:tcBorders>
              <w:top w:val="nil"/>
              <w:left w:val="single" w:color="auto" w:sz="8" w:space="0"/>
              <w:bottom w:val="single" w:color="auto" w:sz="8" w:space="0"/>
              <w:right w:val="single" w:color="auto" w:sz="8" w:space="0"/>
            </w:tcBorders>
            <w:noWrap w:val="0"/>
            <w:vAlign w:val="center"/>
          </w:tcPr>
          <w:p>
            <w:pPr>
              <w:rPr>
                <w:rFonts w:ascii="宋体" w:hAnsi="宋体"/>
                <w:color w:val="auto"/>
                <w:highlight w:val="none"/>
              </w:rPr>
            </w:pPr>
          </w:p>
        </w:tc>
        <w:tc>
          <w:tcPr>
            <w:tcW w:w="1102"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传  真</w:t>
            </w:r>
          </w:p>
        </w:tc>
        <w:tc>
          <w:tcPr>
            <w:tcW w:w="2691" w:type="dxa"/>
            <w:gridSpan w:val="4"/>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126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电子邮件</w:t>
            </w:r>
          </w:p>
        </w:tc>
        <w:tc>
          <w:tcPr>
            <w:tcW w:w="2104" w:type="dxa"/>
            <w:gridSpan w:val="3"/>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法定代表人</w:t>
            </w:r>
          </w:p>
        </w:tc>
        <w:tc>
          <w:tcPr>
            <w:tcW w:w="1102"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姓名</w:t>
            </w:r>
          </w:p>
        </w:tc>
        <w:tc>
          <w:tcPr>
            <w:tcW w:w="1214"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1265"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技术职称</w:t>
            </w:r>
          </w:p>
        </w:tc>
        <w:tc>
          <w:tcPr>
            <w:tcW w:w="1681" w:type="dxa"/>
            <w:gridSpan w:val="3"/>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840"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电话</w:t>
            </w:r>
          </w:p>
        </w:tc>
        <w:tc>
          <w:tcPr>
            <w:tcW w:w="1060"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技术负责人</w:t>
            </w:r>
          </w:p>
        </w:tc>
        <w:tc>
          <w:tcPr>
            <w:tcW w:w="1102"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姓名</w:t>
            </w:r>
          </w:p>
        </w:tc>
        <w:tc>
          <w:tcPr>
            <w:tcW w:w="1214"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1265"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技术职称</w:t>
            </w:r>
          </w:p>
        </w:tc>
        <w:tc>
          <w:tcPr>
            <w:tcW w:w="1681" w:type="dxa"/>
            <w:gridSpan w:val="3"/>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840"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电话</w:t>
            </w:r>
          </w:p>
        </w:tc>
        <w:tc>
          <w:tcPr>
            <w:tcW w:w="1060"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4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成立时间</w:t>
            </w:r>
          </w:p>
        </w:tc>
        <w:tc>
          <w:tcPr>
            <w:tcW w:w="2316"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4846" w:type="dxa"/>
            <w:gridSpan w:val="7"/>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员工总人数：</w:t>
            </w:r>
          </w:p>
        </w:tc>
      </w:tr>
      <w:tr>
        <w:tblPrEx>
          <w:tblCellMar>
            <w:top w:w="0" w:type="dxa"/>
            <w:left w:w="0" w:type="dxa"/>
            <w:bottom w:w="0" w:type="dxa"/>
            <w:right w:w="0" w:type="dxa"/>
          </w:tblCellMar>
        </w:tblPrEx>
        <w:trPr>
          <w:trHeight w:val="50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企业资质等级</w:t>
            </w:r>
          </w:p>
        </w:tc>
        <w:tc>
          <w:tcPr>
            <w:tcW w:w="2316"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840" w:type="dxa"/>
            <w:vMerge w:val="restart"/>
            <w:tcBorders>
              <w:top w:val="single" w:color="auto" w:sz="8" w:space="0"/>
              <w:left w:val="single" w:color="auto" w:sz="8" w:space="0"/>
              <w:bottom w:val="nil"/>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其中</w:t>
            </w:r>
          </w:p>
        </w:tc>
        <w:tc>
          <w:tcPr>
            <w:tcW w:w="2106" w:type="dxa"/>
            <w:gridSpan w:val="4"/>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项目经理</w:t>
            </w:r>
          </w:p>
        </w:tc>
        <w:tc>
          <w:tcPr>
            <w:tcW w:w="1900"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cantSplit/>
          <w:trHeight w:val="54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营业执照号</w:t>
            </w:r>
          </w:p>
        </w:tc>
        <w:tc>
          <w:tcPr>
            <w:tcW w:w="2316"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840" w:type="dxa"/>
            <w:vMerge w:val="continue"/>
            <w:tcBorders>
              <w:top w:val="nil"/>
              <w:left w:val="single" w:color="auto" w:sz="8" w:space="0"/>
              <w:bottom w:val="nil"/>
              <w:right w:val="single" w:color="auto" w:sz="8" w:space="0"/>
            </w:tcBorders>
            <w:noWrap w:val="0"/>
            <w:vAlign w:val="center"/>
          </w:tcPr>
          <w:p>
            <w:pPr>
              <w:rPr>
                <w:rFonts w:ascii="宋体" w:hAnsi="宋体"/>
                <w:color w:val="auto"/>
                <w:highlight w:val="none"/>
              </w:rPr>
            </w:pPr>
          </w:p>
        </w:tc>
        <w:tc>
          <w:tcPr>
            <w:tcW w:w="2106" w:type="dxa"/>
            <w:gridSpan w:val="4"/>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高级职称人员</w:t>
            </w:r>
          </w:p>
        </w:tc>
        <w:tc>
          <w:tcPr>
            <w:tcW w:w="1900"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52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注册资金</w:t>
            </w:r>
          </w:p>
        </w:tc>
        <w:tc>
          <w:tcPr>
            <w:tcW w:w="2316"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840" w:type="dxa"/>
            <w:vMerge w:val="continue"/>
            <w:tcBorders>
              <w:top w:val="nil"/>
              <w:left w:val="single" w:color="auto" w:sz="8" w:space="0"/>
              <w:bottom w:val="nil"/>
              <w:right w:val="single" w:color="auto" w:sz="8" w:space="0"/>
            </w:tcBorders>
            <w:noWrap w:val="0"/>
            <w:vAlign w:val="center"/>
          </w:tcPr>
          <w:p>
            <w:pPr>
              <w:rPr>
                <w:rFonts w:ascii="宋体" w:hAnsi="宋体"/>
                <w:color w:val="auto"/>
                <w:highlight w:val="none"/>
              </w:rPr>
            </w:pPr>
          </w:p>
        </w:tc>
        <w:tc>
          <w:tcPr>
            <w:tcW w:w="2106" w:type="dxa"/>
            <w:gridSpan w:val="4"/>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中级职称人员</w:t>
            </w:r>
          </w:p>
        </w:tc>
        <w:tc>
          <w:tcPr>
            <w:tcW w:w="1900"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cantSplit/>
          <w:trHeight w:val="782"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基本账户开户银行</w:t>
            </w:r>
          </w:p>
        </w:tc>
        <w:tc>
          <w:tcPr>
            <w:tcW w:w="2316"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840" w:type="dxa"/>
            <w:vMerge w:val="continue"/>
            <w:tcBorders>
              <w:top w:val="nil"/>
              <w:left w:val="single" w:color="auto" w:sz="8" w:space="0"/>
              <w:bottom w:val="nil"/>
              <w:right w:val="single" w:color="auto" w:sz="8" w:space="0"/>
            </w:tcBorders>
            <w:noWrap w:val="0"/>
            <w:vAlign w:val="center"/>
          </w:tcPr>
          <w:p>
            <w:pPr>
              <w:rPr>
                <w:rFonts w:ascii="宋体" w:hAnsi="宋体"/>
                <w:color w:val="auto"/>
                <w:highlight w:val="none"/>
              </w:rPr>
            </w:pPr>
          </w:p>
        </w:tc>
        <w:tc>
          <w:tcPr>
            <w:tcW w:w="2106" w:type="dxa"/>
            <w:gridSpan w:val="4"/>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初级职称人员</w:t>
            </w:r>
          </w:p>
        </w:tc>
        <w:tc>
          <w:tcPr>
            <w:tcW w:w="1900"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cantSplit/>
          <w:trHeight w:val="710"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基本账户账号</w:t>
            </w:r>
          </w:p>
        </w:tc>
        <w:tc>
          <w:tcPr>
            <w:tcW w:w="2316"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c>
          <w:tcPr>
            <w:tcW w:w="840" w:type="dxa"/>
            <w:vMerge w:val="continue"/>
            <w:tcBorders>
              <w:top w:val="nil"/>
              <w:left w:val="single" w:color="auto" w:sz="8" w:space="0"/>
              <w:bottom w:val="single" w:color="auto" w:sz="8" w:space="0"/>
              <w:right w:val="single" w:color="auto" w:sz="8" w:space="0"/>
            </w:tcBorders>
            <w:noWrap w:val="0"/>
            <w:vAlign w:val="center"/>
          </w:tcPr>
          <w:p>
            <w:pPr>
              <w:rPr>
                <w:rFonts w:ascii="宋体" w:hAnsi="宋体"/>
                <w:color w:val="auto"/>
                <w:highlight w:val="none"/>
              </w:rPr>
            </w:pPr>
          </w:p>
        </w:tc>
        <w:tc>
          <w:tcPr>
            <w:tcW w:w="2106" w:type="dxa"/>
            <w:gridSpan w:val="4"/>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技工</w:t>
            </w:r>
          </w:p>
        </w:tc>
        <w:tc>
          <w:tcPr>
            <w:tcW w:w="1900" w:type="dxa"/>
            <w:gridSpan w:val="2"/>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676"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经营范围</w:t>
            </w:r>
          </w:p>
        </w:tc>
        <w:tc>
          <w:tcPr>
            <w:tcW w:w="7162" w:type="dxa"/>
            <w:gridSpan w:val="9"/>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r>
        <w:tblPrEx>
          <w:tblCellMar>
            <w:top w:w="0" w:type="dxa"/>
            <w:left w:w="0" w:type="dxa"/>
            <w:bottom w:w="0" w:type="dxa"/>
            <w:right w:w="0" w:type="dxa"/>
          </w:tblCellMar>
        </w:tblPrEx>
        <w:trPr>
          <w:trHeight w:val="1421"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企业简介</w:t>
            </w:r>
          </w:p>
        </w:tc>
        <w:tc>
          <w:tcPr>
            <w:tcW w:w="7162" w:type="dxa"/>
            <w:gridSpan w:val="9"/>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（本项内容可另附页）</w:t>
            </w:r>
          </w:p>
        </w:tc>
      </w:tr>
      <w:tr>
        <w:tblPrEx>
          <w:tblCellMar>
            <w:top w:w="0" w:type="dxa"/>
            <w:left w:w="0" w:type="dxa"/>
            <w:bottom w:w="0" w:type="dxa"/>
            <w:right w:w="0" w:type="dxa"/>
          </w:tblCellMar>
        </w:tblPrEx>
        <w:trPr>
          <w:trHeight w:val="1084" w:hRule="exact"/>
          <w:jc w:val="center"/>
        </w:trPr>
        <w:tc>
          <w:tcPr>
            <w:tcW w:w="188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kern w:val="0"/>
                <w:szCs w:val="21"/>
                <w:highlight w:val="none"/>
              </w:rPr>
              <w:t>备注</w:t>
            </w:r>
          </w:p>
        </w:tc>
        <w:tc>
          <w:tcPr>
            <w:tcW w:w="7162" w:type="dxa"/>
            <w:gridSpan w:val="9"/>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宋体" w:hAnsi="宋体" w:cs="宋体"/>
                <w:color w:val="auto"/>
                <w:szCs w:val="21"/>
                <w:highlight w:val="none"/>
              </w:rPr>
            </w:pPr>
          </w:p>
        </w:tc>
      </w:tr>
    </w:tbl>
    <w:p>
      <w:pPr>
        <w:spacing w:line="360" w:lineRule="auto"/>
        <w:ind w:right="42" w:rightChars="20"/>
        <w:rPr>
          <w:rFonts w:hint="eastAsia" w:ascii="宋体" w:hAnsi="宋体" w:cs="宋体"/>
          <w:color w:val="auto"/>
          <w:szCs w:val="21"/>
          <w:highlight w:val="none"/>
        </w:rPr>
      </w:pPr>
      <w:r>
        <w:rPr>
          <w:rFonts w:hint="eastAsia" w:ascii="宋体" w:hAnsi="宋体" w:cs="宋体"/>
          <w:color w:val="auto"/>
          <w:szCs w:val="21"/>
          <w:highlight w:val="none"/>
        </w:rPr>
        <w:t>注：联合体投标的，由联合体主办方提交本表，</w:t>
      </w:r>
      <w:r>
        <w:rPr>
          <w:rFonts w:hint="eastAsia" w:ascii="宋体" w:hAnsi="宋体" w:cs="宋体"/>
          <w:color w:val="auto"/>
          <w:kern w:val="0"/>
          <w:szCs w:val="21"/>
          <w:highlight w:val="none"/>
        </w:rPr>
        <w:t>投标人名称只需填写主办方名称</w:t>
      </w:r>
      <w:r>
        <w:rPr>
          <w:rFonts w:hint="eastAsia" w:ascii="宋体" w:hAnsi="宋体" w:cs="宋体"/>
          <w:color w:val="auto"/>
          <w:szCs w:val="21"/>
          <w:highlight w:val="none"/>
        </w:rPr>
        <w:t>。</w:t>
      </w:r>
    </w:p>
    <w:p>
      <w:pPr>
        <w:autoSpaceDE w:val="0"/>
        <w:autoSpaceDN w:val="0"/>
        <w:adjustRightInd w:val="0"/>
        <w:rPr>
          <w:rFonts w:hint="eastAsia" w:ascii="宋体" w:hAnsi="宋体" w:cs="宋体"/>
          <w:color w:val="auto"/>
          <w:sz w:val="28"/>
          <w:szCs w:val="28"/>
          <w:highlight w:val="none"/>
        </w:rPr>
      </w:pPr>
    </w:p>
    <w:p>
      <w:pPr>
        <w:pStyle w:val="3"/>
        <w:rPr>
          <w:rFonts w:ascii="宋体" w:hAnsi="宋体" w:cs="宋体"/>
          <w:b w:val="0"/>
          <w:strike/>
          <w:color w:val="auto"/>
          <w:kern w:val="1"/>
          <w:sz w:val="24"/>
          <w:highlight w:val="none"/>
          <w:lang w:val="zh-CN"/>
        </w:rPr>
      </w:pPr>
      <w:bookmarkStart w:id="335" w:name="_Toc9033"/>
      <w:bookmarkStart w:id="336" w:name="_Toc80125012"/>
      <w:r>
        <w:rPr>
          <w:rFonts w:hint="eastAsia" w:ascii="宋体" w:eastAsia="宋体" w:cs="宋体"/>
          <w:bCs w:val="0"/>
          <w:color w:val="auto"/>
          <w:kern w:val="1"/>
          <w:sz w:val="24"/>
          <w:szCs w:val="24"/>
          <w:highlight w:val="none"/>
          <w:lang w:val="zh-CN"/>
        </w:rPr>
        <w:t>格式</w:t>
      </w:r>
      <w:r>
        <w:rPr>
          <w:rFonts w:hint="eastAsia" w:ascii="宋体" w:eastAsia="宋体" w:cs="宋体"/>
          <w:bCs w:val="0"/>
          <w:color w:val="auto"/>
          <w:kern w:val="1"/>
          <w:sz w:val="24"/>
          <w:szCs w:val="24"/>
          <w:highlight w:val="none"/>
        </w:rPr>
        <w:t>7</w:t>
      </w:r>
      <w:r>
        <w:rPr>
          <w:rFonts w:hint="eastAsia" w:ascii="宋体" w:eastAsia="宋体" w:cs="宋体"/>
          <w:bCs w:val="0"/>
          <w:color w:val="auto"/>
          <w:kern w:val="1"/>
          <w:sz w:val="24"/>
          <w:szCs w:val="24"/>
          <w:highlight w:val="none"/>
          <w:lang w:val="zh-CN"/>
        </w:rPr>
        <w:t>：</w:t>
      </w:r>
      <w:r>
        <w:rPr>
          <w:rFonts w:hint="eastAsia" w:ascii="宋体" w:eastAsia="宋体" w:cs="宋体"/>
          <w:bCs w:val="0"/>
          <w:color w:val="auto"/>
          <w:kern w:val="1"/>
          <w:sz w:val="24"/>
          <w:szCs w:val="24"/>
          <w:highlight w:val="none"/>
        </w:rPr>
        <w:t>企业资信实力</w:t>
      </w:r>
      <w:bookmarkEnd w:id="335"/>
      <w:bookmarkEnd w:id="336"/>
    </w:p>
    <w:p>
      <w:pPr>
        <w:spacing w:line="480" w:lineRule="auto"/>
        <w:jc w:val="left"/>
        <w:rPr>
          <w:rFonts w:ascii="宋体" w:hAnsi="宋体" w:cs="宋体"/>
          <w:b/>
          <w:color w:val="auto"/>
          <w:kern w:val="1"/>
          <w:sz w:val="24"/>
          <w:highlight w:val="none"/>
          <w:lang w:val="zh-CN"/>
        </w:rPr>
      </w:pPr>
      <w:r>
        <w:rPr>
          <w:rFonts w:hint="eastAsia" w:ascii="宋体" w:hAnsi="宋体" w:cs="宋体"/>
          <w:b/>
          <w:color w:val="auto"/>
          <w:kern w:val="1"/>
          <w:sz w:val="24"/>
          <w:highlight w:val="none"/>
          <w:lang w:val="zh-CN"/>
        </w:rPr>
        <w:t>（</w:t>
      </w:r>
      <w:r>
        <w:rPr>
          <w:rFonts w:hint="eastAsia" w:ascii="宋体" w:hAnsi="宋体" w:cs="宋体"/>
          <w:b/>
          <w:color w:val="auto"/>
          <w:kern w:val="1"/>
          <w:sz w:val="24"/>
          <w:highlight w:val="none"/>
          <w:lang w:val="en-US" w:eastAsia="zh-CN"/>
        </w:rPr>
        <w:t>1</w:t>
      </w:r>
      <w:r>
        <w:rPr>
          <w:rFonts w:hint="eastAsia" w:ascii="宋体" w:hAnsi="宋体" w:cs="宋体"/>
          <w:b/>
          <w:color w:val="auto"/>
          <w:kern w:val="1"/>
          <w:sz w:val="24"/>
          <w:highlight w:val="none"/>
          <w:lang w:val="zh-CN"/>
        </w:rPr>
        <w:t>）企业获奖</w:t>
      </w:r>
    </w:p>
    <w:p>
      <w:pPr>
        <w:spacing w:line="480" w:lineRule="auto"/>
        <w:jc w:val="center"/>
        <w:rPr>
          <w:rFonts w:ascii="宋体" w:hAnsi="宋体" w:cs="宋体"/>
          <w:b/>
          <w:bCs/>
          <w:color w:val="auto"/>
          <w:kern w:val="1"/>
          <w:sz w:val="28"/>
          <w:szCs w:val="28"/>
          <w:highlight w:val="none"/>
          <w:lang w:val="zh-CN"/>
        </w:rPr>
      </w:pPr>
      <w:r>
        <w:rPr>
          <w:rFonts w:hint="eastAsia" w:ascii="宋体" w:hAnsi="宋体" w:cs="宋体"/>
          <w:b/>
          <w:bCs/>
          <w:color w:val="auto"/>
          <w:kern w:val="1"/>
          <w:sz w:val="28"/>
          <w:szCs w:val="28"/>
          <w:highlight w:val="none"/>
          <w:lang w:val="zh-CN"/>
        </w:rPr>
        <w:t>投标人工程获奖业绩</w:t>
      </w:r>
    </w:p>
    <w:p>
      <w:pPr>
        <w:pStyle w:val="17"/>
        <w:rPr>
          <w:color w:val="auto"/>
          <w:highlight w:val="none"/>
        </w:rPr>
      </w:pPr>
    </w:p>
    <w:tbl>
      <w:tblPr>
        <w:tblStyle w:val="19"/>
        <w:tblW w:w="0" w:type="auto"/>
        <w:tblInd w:w="0" w:type="dxa"/>
        <w:tblLayout w:type="fixed"/>
        <w:tblCellMar>
          <w:top w:w="0" w:type="dxa"/>
          <w:left w:w="108" w:type="dxa"/>
          <w:bottom w:w="0" w:type="dxa"/>
          <w:right w:w="108" w:type="dxa"/>
        </w:tblCellMar>
      </w:tblPr>
      <w:tblGrid>
        <w:gridCol w:w="666"/>
        <w:gridCol w:w="668"/>
        <w:gridCol w:w="669"/>
        <w:gridCol w:w="1100"/>
        <w:gridCol w:w="1100"/>
        <w:gridCol w:w="967"/>
        <w:gridCol w:w="1291"/>
        <w:gridCol w:w="952"/>
        <w:gridCol w:w="1100"/>
      </w:tblGrid>
      <w:tr>
        <w:tblPrEx>
          <w:tblCellMar>
            <w:top w:w="0" w:type="dxa"/>
            <w:left w:w="108" w:type="dxa"/>
            <w:bottom w:w="0" w:type="dxa"/>
            <w:right w:w="108" w:type="dxa"/>
          </w:tblCellMar>
        </w:tblPrEx>
        <w:trPr>
          <w:trHeight w:val="2620" w:hRule="atLeast"/>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序号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工程</w:t>
            </w:r>
          </w:p>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类别</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工程</w:t>
            </w:r>
          </w:p>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名称</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工程地址</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建设单位</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工程</w:t>
            </w:r>
          </w:p>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规模</w:t>
            </w:r>
          </w:p>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（m</w:t>
            </w:r>
            <w:r>
              <w:rPr>
                <w:rFonts w:hint="eastAsia" w:ascii="宋体" w:hAnsi="宋体" w:cs="宋体"/>
                <w:color w:val="auto"/>
                <w:kern w:val="1"/>
                <w:szCs w:val="21"/>
                <w:highlight w:val="none"/>
                <w:vertAlign w:val="superscript"/>
                <w:lang w:val="zh-CN"/>
              </w:rPr>
              <w:t>2</w:t>
            </w:r>
            <w:r>
              <w:rPr>
                <w:rFonts w:hint="eastAsia" w:ascii="宋体" w:hAnsi="宋体" w:cs="宋体"/>
                <w:color w:val="auto"/>
                <w:kern w:val="1"/>
                <w:szCs w:val="21"/>
                <w:highlight w:val="none"/>
                <w:lang w:val="zh-CN"/>
              </w:rPr>
              <w:t>）</w:t>
            </w: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rPr>
              <w:t>合同金</w:t>
            </w:r>
            <w:r>
              <w:rPr>
                <w:rFonts w:hint="eastAsia" w:ascii="宋体" w:hAnsi="宋体" w:cs="宋体"/>
                <w:color w:val="auto"/>
                <w:kern w:val="1"/>
                <w:szCs w:val="21"/>
                <w:highlight w:val="none"/>
                <w:lang w:val="zh-CN"/>
              </w:rPr>
              <w:t>额</w:t>
            </w:r>
          </w:p>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（万元）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rPr>
            </w:pPr>
            <w:r>
              <w:rPr>
                <w:rFonts w:hint="eastAsia" w:ascii="宋体" w:hAnsi="宋体" w:cs="宋体"/>
                <w:color w:val="auto"/>
                <w:kern w:val="1"/>
                <w:szCs w:val="21"/>
                <w:highlight w:val="none"/>
                <w:lang w:val="zh-CN"/>
              </w:rPr>
              <w:t>获奖情况</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cs="宋体"/>
                <w:color w:val="auto"/>
                <w:kern w:val="1"/>
                <w:szCs w:val="21"/>
                <w:highlight w:val="none"/>
                <w:lang w:val="zh-CN"/>
              </w:rPr>
            </w:pPr>
            <w:r>
              <w:rPr>
                <w:rFonts w:hint="eastAsia" w:ascii="宋体" w:hAnsi="宋体" w:cs="宋体"/>
                <w:color w:val="auto"/>
                <w:kern w:val="1"/>
                <w:szCs w:val="21"/>
                <w:highlight w:val="none"/>
              </w:rPr>
              <w:t>（投标单位可自行增加评审相关内容）</w:t>
            </w:r>
          </w:p>
        </w:tc>
      </w:tr>
      <w:tr>
        <w:tblPrEx>
          <w:tblCellMar>
            <w:top w:w="0" w:type="dxa"/>
            <w:left w:w="108" w:type="dxa"/>
            <w:bottom w:w="0" w:type="dxa"/>
            <w:right w:w="108" w:type="dxa"/>
          </w:tblCellMar>
        </w:tblPrEx>
        <w:trPr>
          <w:trHeight w:val="627" w:hRule="atLeast"/>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52"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r>
      <w:tr>
        <w:tblPrEx>
          <w:tblCellMar>
            <w:top w:w="0" w:type="dxa"/>
            <w:left w:w="108" w:type="dxa"/>
            <w:bottom w:w="0" w:type="dxa"/>
            <w:right w:w="108" w:type="dxa"/>
          </w:tblCellMar>
        </w:tblPrEx>
        <w:trPr>
          <w:trHeight w:val="627" w:hRule="atLeast"/>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52"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r>
      <w:tr>
        <w:tblPrEx>
          <w:tblCellMar>
            <w:top w:w="0" w:type="dxa"/>
            <w:left w:w="108" w:type="dxa"/>
            <w:bottom w:w="0" w:type="dxa"/>
            <w:right w:w="108" w:type="dxa"/>
          </w:tblCellMar>
        </w:tblPrEx>
        <w:trPr>
          <w:trHeight w:val="627" w:hRule="atLeast"/>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52"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r>
      <w:tr>
        <w:tblPrEx>
          <w:tblCellMar>
            <w:top w:w="0" w:type="dxa"/>
            <w:left w:w="108" w:type="dxa"/>
            <w:bottom w:w="0" w:type="dxa"/>
            <w:right w:w="108" w:type="dxa"/>
          </w:tblCellMar>
        </w:tblPrEx>
        <w:trPr>
          <w:trHeight w:val="637" w:hRule="atLeast"/>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auto"/>
              <w:jc w:val="center"/>
              <w:rPr>
                <w:rFonts w:ascii="宋体" w:hAnsi="宋体" w:cs="宋体"/>
                <w:color w:val="auto"/>
                <w:kern w:val="1"/>
                <w:szCs w:val="21"/>
                <w:highlight w:val="none"/>
              </w:rPr>
            </w:pPr>
          </w:p>
        </w:tc>
        <w:tc>
          <w:tcPr>
            <w:tcW w:w="952"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ascii="宋体" w:hAnsi="宋体" w:cs="宋体"/>
                <w:color w:val="auto"/>
                <w:kern w:val="1"/>
                <w:szCs w:val="21"/>
                <w:highlight w:val="none"/>
              </w:rPr>
            </w:pPr>
          </w:p>
        </w:tc>
      </w:tr>
    </w:tbl>
    <w:p>
      <w:pPr>
        <w:spacing w:line="280" w:lineRule="exact"/>
        <w:rPr>
          <w:rFonts w:ascii="宋体" w:hAnsi="宋体" w:cs="宋体"/>
          <w:color w:val="auto"/>
          <w:kern w:val="1"/>
          <w:szCs w:val="21"/>
          <w:highlight w:val="none"/>
          <w:lang w:val="zh-CN"/>
        </w:rPr>
      </w:pPr>
    </w:p>
    <w:p>
      <w:pPr>
        <w:spacing w:line="280" w:lineRule="exact"/>
        <w:rPr>
          <w:rFonts w:ascii="宋体" w:hAnsi="宋体" w:cs="宋体"/>
          <w:color w:val="auto"/>
          <w:kern w:val="1"/>
          <w:szCs w:val="21"/>
          <w:highlight w:val="none"/>
        </w:rPr>
      </w:pPr>
      <w:r>
        <w:rPr>
          <w:rFonts w:hint="eastAsia" w:ascii="宋体" w:hAnsi="宋体" w:cs="宋体"/>
          <w:color w:val="auto"/>
          <w:kern w:val="1"/>
          <w:szCs w:val="21"/>
          <w:highlight w:val="none"/>
          <w:lang w:val="zh-CN"/>
        </w:rPr>
        <w:t>注：获奖业绩需根据评分表备注的</w:t>
      </w:r>
      <w:r>
        <w:rPr>
          <w:rFonts w:hint="eastAsia" w:ascii="宋体" w:hAnsi="宋体" w:cs="宋体"/>
          <w:color w:val="auto"/>
          <w:szCs w:val="21"/>
          <w:highlight w:val="none"/>
        </w:rPr>
        <w:t>评审评分材料要求</w:t>
      </w:r>
      <w:r>
        <w:rPr>
          <w:rFonts w:hint="eastAsia" w:ascii="宋体" w:hAnsi="宋体" w:cs="宋体"/>
          <w:color w:val="auto"/>
          <w:kern w:val="1"/>
          <w:szCs w:val="21"/>
          <w:highlight w:val="none"/>
          <w:lang w:val="zh-CN"/>
        </w:rPr>
        <w:t>提供的相应证明材料。</w:t>
      </w:r>
    </w:p>
    <w:p>
      <w:pPr>
        <w:tabs>
          <w:tab w:val="left" w:pos="7655"/>
        </w:tabs>
        <w:ind w:right="492"/>
        <w:jc w:val="left"/>
        <w:rPr>
          <w:rFonts w:ascii="宋体" w:hAnsi="宋体" w:cs="宋体"/>
          <w:color w:val="auto"/>
          <w:sz w:val="18"/>
          <w:szCs w:val="18"/>
          <w:highlight w:val="none"/>
        </w:rPr>
      </w:pPr>
    </w:p>
    <w:p>
      <w:pPr>
        <w:tabs>
          <w:tab w:val="left" w:pos="7655"/>
        </w:tabs>
        <w:ind w:right="492"/>
        <w:jc w:val="center"/>
        <w:rPr>
          <w:rFonts w:ascii="宋体" w:hAnsi="宋体" w:cs="宋体"/>
          <w:color w:val="auto"/>
          <w:sz w:val="18"/>
          <w:szCs w:val="18"/>
          <w:highlight w:val="none"/>
        </w:rPr>
      </w:pPr>
    </w:p>
    <w:p>
      <w:pPr>
        <w:tabs>
          <w:tab w:val="left" w:pos="7655"/>
        </w:tabs>
        <w:spacing w:line="360" w:lineRule="auto"/>
        <w:ind w:right="492"/>
        <w:jc w:val="right"/>
        <w:rPr>
          <w:rFonts w:ascii="宋体" w:hAnsi="宋体" w:cs="宋体"/>
          <w:color w:val="auto"/>
          <w:spacing w:val="18"/>
          <w:kern w:val="1"/>
          <w:szCs w:val="21"/>
          <w:highlight w:val="none"/>
        </w:rPr>
      </w:pPr>
      <w:r>
        <w:rPr>
          <w:rFonts w:hint="eastAsia" w:ascii="宋体" w:hAnsi="宋体" w:cs="宋体"/>
          <w:color w:val="auto"/>
          <w:spacing w:val="18"/>
          <w:kern w:val="1"/>
          <w:szCs w:val="21"/>
          <w:highlight w:val="none"/>
          <w:lang w:val="zh-CN"/>
        </w:rPr>
        <w:t>投标人：</w:t>
      </w:r>
      <w:r>
        <w:rPr>
          <w:rFonts w:ascii="宋体" w:hAnsi="宋体" w:cs="宋体"/>
          <w:color w:val="auto"/>
          <w:spacing w:val="18"/>
          <w:kern w:val="1"/>
          <w:szCs w:val="21"/>
          <w:highlight w:val="none"/>
          <w:lang w:val="zh-CN"/>
        </w:rPr>
        <w:t>(</w:t>
      </w:r>
      <w:r>
        <w:rPr>
          <w:rFonts w:hint="eastAsia" w:ascii="宋体" w:hAnsi="宋体" w:cs="宋体"/>
          <w:color w:val="auto"/>
          <w:spacing w:val="18"/>
          <w:kern w:val="1"/>
          <w:szCs w:val="21"/>
          <w:highlight w:val="none"/>
          <w:lang w:val="zh-CN"/>
        </w:rPr>
        <w:t>盖公章或电子公章</w:t>
      </w:r>
      <w:r>
        <w:rPr>
          <w:rFonts w:ascii="宋体" w:hAnsi="宋体" w:cs="宋体"/>
          <w:color w:val="auto"/>
          <w:spacing w:val="18"/>
          <w:kern w:val="1"/>
          <w:szCs w:val="21"/>
          <w:highlight w:val="none"/>
          <w:lang w:val="zh-CN"/>
        </w:rPr>
        <w:t>)</w:t>
      </w:r>
    </w:p>
    <w:p>
      <w:pPr>
        <w:spacing w:line="360" w:lineRule="auto"/>
        <w:jc w:val="center"/>
        <w:rPr>
          <w:rFonts w:ascii="宋体" w:hAnsi="宋体" w:cs="宋体"/>
          <w:b/>
          <w:color w:val="auto"/>
          <w:kern w:val="1"/>
          <w:szCs w:val="21"/>
          <w:highlight w:val="none"/>
        </w:rPr>
      </w:pPr>
      <w:r>
        <w:rPr>
          <w:rFonts w:hint="eastAsia" w:ascii="宋体" w:hAnsi="宋体" w:cs="宋体"/>
          <w:color w:val="auto"/>
          <w:spacing w:val="18"/>
          <w:kern w:val="1"/>
          <w:szCs w:val="21"/>
          <w:highlight w:val="none"/>
        </w:rPr>
        <w:t xml:space="preserve">                                        </w:t>
      </w:r>
      <w:r>
        <w:rPr>
          <w:rFonts w:hint="eastAsia" w:ascii="宋体" w:hAnsi="宋体" w:cs="宋体"/>
          <w:color w:val="auto"/>
          <w:spacing w:val="18"/>
          <w:kern w:val="1"/>
          <w:szCs w:val="21"/>
          <w:highlight w:val="none"/>
          <w:lang w:val="zh-CN"/>
        </w:rPr>
        <w:t>日期：</w:t>
      </w:r>
      <w:r>
        <w:rPr>
          <w:rFonts w:hint="eastAsia" w:ascii="宋体" w:hAnsi="宋体" w:cs="宋体"/>
          <w:color w:val="auto"/>
          <w:spacing w:val="18"/>
          <w:kern w:val="1"/>
          <w:szCs w:val="21"/>
          <w:highlight w:val="none"/>
        </w:rPr>
        <w:t xml:space="preserve"> </w:t>
      </w:r>
      <w:r>
        <w:rPr>
          <w:rFonts w:hint="eastAsia" w:ascii="宋体" w:hAnsi="宋体" w:cs="宋体"/>
          <w:color w:val="auto"/>
          <w:spacing w:val="18"/>
          <w:kern w:val="1"/>
          <w:szCs w:val="21"/>
          <w:highlight w:val="none"/>
          <w:lang w:val="zh-CN"/>
        </w:rPr>
        <w:t>年</w:t>
      </w:r>
      <w:r>
        <w:rPr>
          <w:rFonts w:hint="eastAsia" w:ascii="宋体" w:hAnsi="宋体" w:cs="宋体"/>
          <w:color w:val="auto"/>
          <w:spacing w:val="18"/>
          <w:kern w:val="1"/>
          <w:szCs w:val="21"/>
          <w:highlight w:val="none"/>
        </w:rPr>
        <w:t xml:space="preserve"> </w:t>
      </w:r>
      <w:r>
        <w:rPr>
          <w:rFonts w:hint="eastAsia" w:ascii="宋体" w:hAnsi="宋体" w:cs="宋体"/>
          <w:color w:val="auto"/>
          <w:spacing w:val="18"/>
          <w:kern w:val="1"/>
          <w:szCs w:val="21"/>
          <w:highlight w:val="none"/>
          <w:lang w:val="zh-CN"/>
        </w:rPr>
        <w:t>月</w:t>
      </w:r>
      <w:r>
        <w:rPr>
          <w:rFonts w:hint="eastAsia" w:ascii="宋体" w:hAnsi="宋体" w:cs="宋体"/>
          <w:color w:val="auto"/>
          <w:spacing w:val="18"/>
          <w:kern w:val="1"/>
          <w:szCs w:val="21"/>
          <w:highlight w:val="none"/>
        </w:rPr>
        <w:t xml:space="preserve"> </w:t>
      </w:r>
      <w:r>
        <w:rPr>
          <w:rFonts w:hint="eastAsia" w:ascii="宋体" w:hAnsi="宋体" w:cs="宋体"/>
          <w:color w:val="auto"/>
          <w:spacing w:val="18"/>
          <w:kern w:val="1"/>
          <w:szCs w:val="21"/>
          <w:highlight w:val="none"/>
          <w:lang w:val="zh-CN"/>
        </w:rPr>
        <w:t>日</w:t>
      </w:r>
    </w:p>
    <w:p>
      <w:pPr>
        <w:pStyle w:val="18"/>
        <w:ind w:firstLine="0" w:firstLineChars="0"/>
        <w:rPr>
          <w:rFonts w:ascii="宋体" w:hAnsi="宋体" w:cs="宋体"/>
          <w:b/>
          <w:color w:val="auto"/>
          <w:kern w:val="1"/>
          <w:sz w:val="24"/>
          <w:highlight w:val="none"/>
          <w:lang w:val="zh-CN"/>
        </w:rPr>
      </w:pPr>
    </w:p>
    <w:p>
      <w:pPr>
        <w:widowControl/>
        <w:jc w:val="left"/>
        <w:rPr>
          <w:rFonts w:ascii="宋体" w:hAnsi="宋体" w:cs="宋体"/>
          <w:b/>
          <w:color w:val="auto"/>
          <w:kern w:val="1"/>
          <w:sz w:val="24"/>
          <w:highlight w:val="none"/>
          <w:lang w:val="zh-CN"/>
        </w:rPr>
      </w:pPr>
      <w:r>
        <w:rPr>
          <w:rFonts w:ascii="宋体" w:hAnsi="宋体" w:cs="宋体"/>
          <w:b/>
          <w:color w:val="auto"/>
          <w:kern w:val="1"/>
          <w:sz w:val="24"/>
          <w:highlight w:val="none"/>
          <w:lang w:val="zh-CN"/>
        </w:rPr>
        <w:br w:type="page"/>
      </w:r>
    </w:p>
    <w:p>
      <w:pPr>
        <w:pStyle w:val="18"/>
        <w:ind w:firstLine="0" w:firstLineChars="0"/>
        <w:rPr>
          <w:rFonts w:ascii="宋体" w:hAnsi="宋体" w:cs="宋体"/>
          <w:b/>
          <w:color w:val="auto"/>
          <w:kern w:val="1"/>
          <w:sz w:val="24"/>
          <w:highlight w:val="none"/>
        </w:rPr>
      </w:pPr>
      <w:bookmarkStart w:id="337" w:name="_Toc80125013"/>
      <w:r>
        <w:rPr>
          <w:rFonts w:hint="eastAsia" w:ascii="宋体" w:hAnsi="宋体" w:cs="宋体"/>
          <w:b/>
          <w:color w:val="auto"/>
          <w:kern w:val="1"/>
          <w:sz w:val="24"/>
          <w:highlight w:val="none"/>
          <w:lang w:val="zh-CN"/>
        </w:rPr>
        <w:t>（</w:t>
      </w:r>
      <w:r>
        <w:rPr>
          <w:rFonts w:hint="eastAsia" w:ascii="宋体" w:hAnsi="宋体" w:cs="宋体"/>
          <w:b/>
          <w:color w:val="auto"/>
          <w:kern w:val="1"/>
          <w:sz w:val="24"/>
          <w:highlight w:val="none"/>
          <w:lang w:val="en-US" w:eastAsia="zh-CN"/>
        </w:rPr>
        <w:t>2</w:t>
      </w:r>
      <w:r>
        <w:rPr>
          <w:rFonts w:hint="eastAsia" w:ascii="宋体" w:hAnsi="宋体" w:cs="宋体"/>
          <w:b/>
          <w:color w:val="auto"/>
          <w:kern w:val="1"/>
          <w:sz w:val="24"/>
          <w:highlight w:val="none"/>
          <w:lang w:val="zh-CN"/>
        </w:rPr>
        <w:t>）</w:t>
      </w:r>
      <w:r>
        <w:rPr>
          <w:rFonts w:hint="eastAsia" w:ascii="宋体" w:hAnsi="宋体" w:cs="宋体"/>
          <w:b/>
          <w:color w:val="auto"/>
          <w:kern w:val="1"/>
          <w:sz w:val="24"/>
          <w:highlight w:val="none"/>
        </w:rPr>
        <w:t>科技创新成果指标</w:t>
      </w:r>
    </w:p>
    <w:p>
      <w:pPr>
        <w:ind w:firstLine="630" w:firstLineChars="300"/>
        <w:rPr>
          <w:color w:val="auto"/>
          <w:szCs w:val="21"/>
          <w:highlight w:val="none"/>
        </w:rPr>
      </w:pPr>
      <w:r>
        <w:rPr>
          <w:rFonts w:hint="eastAsia"/>
          <w:color w:val="auto"/>
          <w:szCs w:val="21"/>
          <w:highlight w:val="none"/>
        </w:rPr>
        <w:t>注：按照《评分表》中的评审内容，提供评审所需的评审证明资料。</w:t>
      </w:r>
    </w:p>
    <w:p>
      <w:pPr>
        <w:rPr>
          <w:rFonts w:ascii="宋体" w:hAnsi="宋体" w:cs="宋体"/>
          <w:b/>
          <w:color w:val="auto"/>
          <w:kern w:val="1"/>
          <w:sz w:val="24"/>
          <w:highlight w:val="none"/>
        </w:rPr>
      </w:pPr>
      <w:r>
        <w:rPr>
          <w:rFonts w:hint="eastAsia" w:ascii="宋体" w:hAnsi="宋体" w:cs="宋体"/>
          <w:b/>
          <w:color w:val="auto"/>
          <w:kern w:val="1"/>
          <w:sz w:val="24"/>
          <w:highlight w:val="none"/>
        </w:rPr>
        <w:br w:type="page"/>
      </w:r>
    </w:p>
    <w:p>
      <w:pPr>
        <w:widowControl/>
        <w:jc w:val="left"/>
        <w:rPr>
          <w:rFonts w:ascii="宋体" w:hAnsi="宋体" w:cs="宋体"/>
          <w:b/>
          <w:color w:val="auto"/>
          <w:kern w:val="1"/>
          <w:sz w:val="24"/>
          <w:highlight w:val="none"/>
          <w:lang w:val="zh-CN"/>
        </w:rPr>
      </w:pPr>
      <w:r>
        <w:rPr>
          <w:rFonts w:hint="eastAsia" w:ascii="宋体" w:hAnsi="宋体" w:cs="宋体"/>
          <w:b/>
          <w:color w:val="auto"/>
          <w:kern w:val="1"/>
          <w:sz w:val="24"/>
          <w:highlight w:val="none"/>
          <w:lang w:val="zh-CN"/>
        </w:rPr>
        <w:t>（</w:t>
      </w:r>
      <w:r>
        <w:rPr>
          <w:rFonts w:hint="eastAsia" w:ascii="宋体" w:hAnsi="宋体" w:cs="宋体"/>
          <w:b/>
          <w:color w:val="auto"/>
          <w:kern w:val="1"/>
          <w:sz w:val="24"/>
          <w:highlight w:val="none"/>
          <w:lang w:val="en-US" w:eastAsia="zh-CN"/>
        </w:rPr>
        <w:t>3</w:t>
      </w:r>
      <w:r>
        <w:rPr>
          <w:rFonts w:hint="eastAsia" w:ascii="宋体" w:hAnsi="宋体" w:cs="宋体"/>
          <w:b/>
          <w:color w:val="auto"/>
          <w:kern w:val="1"/>
          <w:sz w:val="24"/>
          <w:highlight w:val="none"/>
          <w:lang w:val="zh-CN"/>
        </w:rPr>
        <w:t>）第三方评价</w:t>
      </w:r>
    </w:p>
    <w:p>
      <w:pPr>
        <w:pStyle w:val="18"/>
        <w:ind w:firstLine="420"/>
        <w:rPr>
          <w:color w:val="auto"/>
          <w:sz w:val="21"/>
          <w:szCs w:val="21"/>
          <w:highlight w:val="none"/>
          <w:lang w:val="zh-CN"/>
        </w:rPr>
      </w:pPr>
      <w:r>
        <w:rPr>
          <w:rFonts w:hint="eastAsia"/>
          <w:color w:val="auto"/>
          <w:sz w:val="21"/>
          <w:szCs w:val="21"/>
          <w:highlight w:val="none"/>
        </w:rPr>
        <w:t>注：按照《评分表》中的评审内容，提供评审所需的评审证明资料。</w:t>
      </w:r>
    </w:p>
    <w:p>
      <w:pPr>
        <w:pStyle w:val="10"/>
        <w:ind w:left="420"/>
        <w:rPr>
          <w:rFonts w:ascii="宋体" w:hAnsi="宋体" w:cs="宋体"/>
          <w:b/>
          <w:color w:val="auto"/>
          <w:kern w:val="1"/>
          <w:szCs w:val="21"/>
          <w:highlight w:val="none"/>
        </w:rPr>
      </w:pPr>
    </w:p>
    <w:p>
      <w:pPr>
        <w:widowControl/>
        <w:jc w:val="left"/>
        <w:rPr>
          <w:rFonts w:ascii="宋体" w:hAnsi="宋体" w:cs="宋体"/>
          <w:b/>
          <w:color w:val="auto"/>
          <w:kern w:val="1"/>
          <w:sz w:val="24"/>
          <w:highlight w:val="none"/>
          <w:lang w:val="zh-CN"/>
        </w:rPr>
      </w:pPr>
      <w:bookmarkStart w:id="338" w:name="_Toc80125014"/>
      <w:r>
        <w:rPr>
          <w:rFonts w:ascii="宋体" w:hAnsi="宋体" w:cs="宋体"/>
          <w:b/>
          <w:color w:val="auto"/>
          <w:kern w:val="1"/>
          <w:sz w:val="24"/>
          <w:highlight w:val="none"/>
          <w:lang w:val="zh-CN"/>
        </w:rPr>
        <w:br w:type="page"/>
      </w:r>
    </w:p>
    <w:p>
      <w:pPr>
        <w:pStyle w:val="18"/>
        <w:ind w:firstLine="0" w:firstLineChars="0"/>
        <w:rPr>
          <w:rFonts w:ascii="宋体" w:hAnsi="宋体" w:cs="宋体"/>
          <w:b/>
          <w:color w:val="auto"/>
          <w:kern w:val="1"/>
          <w:sz w:val="24"/>
          <w:highlight w:val="none"/>
          <w:lang w:val="zh-CN"/>
        </w:rPr>
      </w:pPr>
      <w:r>
        <w:rPr>
          <w:rFonts w:hint="eastAsia" w:ascii="宋体" w:hAnsi="宋体" w:cs="宋体"/>
          <w:b/>
          <w:color w:val="auto"/>
          <w:kern w:val="1"/>
          <w:sz w:val="24"/>
          <w:highlight w:val="none"/>
          <w:lang w:val="zh-CN"/>
        </w:rPr>
        <w:t>（</w:t>
      </w:r>
      <w:r>
        <w:rPr>
          <w:rFonts w:hint="eastAsia" w:ascii="宋体" w:hAnsi="宋体" w:cs="宋体"/>
          <w:b/>
          <w:color w:val="auto"/>
          <w:kern w:val="1"/>
          <w:sz w:val="24"/>
          <w:highlight w:val="none"/>
          <w:lang w:val="en-US" w:eastAsia="zh-CN"/>
        </w:rPr>
        <w:t>4</w:t>
      </w:r>
      <w:r>
        <w:rPr>
          <w:rFonts w:hint="eastAsia" w:ascii="宋体" w:hAnsi="宋体" w:cs="宋体"/>
          <w:b/>
          <w:color w:val="auto"/>
          <w:kern w:val="1"/>
          <w:sz w:val="24"/>
          <w:highlight w:val="none"/>
          <w:lang w:val="zh-CN"/>
        </w:rPr>
        <w:t>）项目管理团队及相关经历资料</w:t>
      </w:r>
      <w:bookmarkEnd w:id="338"/>
    </w:p>
    <w:p>
      <w:pPr>
        <w:jc w:val="center"/>
        <w:rPr>
          <w:rFonts w:ascii="黑体" w:hAnsi="黑体" w:eastAsia="黑体"/>
          <w:b/>
          <w:color w:val="auto"/>
          <w:sz w:val="24"/>
          <w:highlight w:val="none"/>
        </w:rPr>
      </w:pPr>
      <w:bookmarkStart w:id="339" w:name="_Hlk61431754"/>
      <w:r>
        <w:rPr>
          <w:rFonts w:hint="eastAsia" w:ascii="宋体" w:hAnsi="宋体" w:cs="宋体"/>
          <w:b/>
          <w:bCs/>
          <w:color w:val="auto"/>
          <w:sz w:val="36"/>
          <w:szCs w:val="36"/>
          <w:highlight w:val="none"/>
          <w:lang w:val="zh-CN"/>
        </w:rPr>
        <w:t>工程总承包</w:t>
      </w:r>
      <w:r>
        <w:rPr>
          <w:rFonts w:ascii="宋体" w:hAnsi="宋体" w:cs="宋体"/>
          <w:b/>
          <w:bCs/>
          <w:color w:val="auto"/>
          <w:sz w:val="36"/>
          <w:szCs w:val="36"/>
          <w:highlight w:val="none"/>
          <w:lang w:val="zh-CN"/>
        </w:rPr>
        <w:t>项目管理团队人员信息表</w:t>
      </w:r>
      <w:bookmarkEnd w:id="339"/>
    </w:p>
    <w:tbl>
      <w:tblPr>
        <w:tblStyle w:val="19"/>
        <w:tblW w:w="0" w:type="auto"/>
        <w:jc w:val="center"/>
        <w:tblLayout w:type="fixed"/>
        <w:tblCellMar>
          <w:top w:w="0" w:type="dxa"/>
          <w:left w:w="0" w:type="dxa"/>
          <w:bottom w:w="0" w:type="dxa"/>
          <w:right w:w="0" w:type="dxa"/>
        </w:tblCellMar>
      </w:tblPr>
      <w:tblGrid>
        <w:gridCol w:w="614"/>
        <w:gridCol w:w="929"/>
        <w:gridCol w:w="2428"/>
        <w:gridCol w:w="1431"/>
        <w:gridCol w:w="3046"/>
      </w:tblGrid>
      <w:tr>
        <w:tblPrEx>
          <w:tblCellMar>
            <w:top w:w="0" w:type="dxa"/>
            <w:left w:w="0" w:type="dxa"/>
            <w:bottom w:w="0" w:type="dxa"/>
            <w:right w:w="0" w:type="dxa"/>
          </w:tblCellMar>
        </w:tblPrEx>
        <w:trPr>
          <w:trHeight w:val="975" w:hRule="atLeast"/>
          <w:jc w:val="center"/>
        </w:trPr>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b/>
                <w:color w:val="auto"/>
                <w:szCs w:val="21"/>
                <w:highlight w:val="none"/>
              </w:rPr>
            </w:pPr>
            <w:r>
              <w:rPr>
                <w:rFonts w:hint="eastAsia" w:ascii="宋体" w:hAnsi="宋体" w:cs="仿宋"/>
                <w:b/>
                <w:color w:val="auto"/>
                <w:szCs w:val="21"/>
                <w:highlight w:val="none"/>
              </w:rPr>
              <w:t>序号</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b/>
                <w:color w:val="auto"/>
                <w:szCs w:val="21"/>
                <w:highlight w:val="none"/>
              </w:rPr>
            </w:pPr>
            <w:r>
              <w:rPr>
                <w:rFonts w:hint="eastAsia" w:ascii="宋体" w:hAnsi="宋体" w:cs="仿宋"/>
                <w:b/>
                <w:color w:val="auto"/>
                <w:szCs w:val="21"/>
                <w:highlight w:val="none"/>
              </w:rPr>
              <w:t>姓名</w:t>
            </w:r>
          </w:p>
        </w:tc>
        <w:tc>
          <w:tcPr>
            <w:tcW w:w="2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b/>
                <w:color w:val="auto"/>
                <w:szCs w:val="21"/>
                <w:highlight w:val="none"/>
              </w:rPr>
            </w:pPr>
            <w:r>
              <w:rPr>
                <w:rFonts w:hint="eastAsia" w:ascii="宋体" w:hAnsi="宋体" w:cs="仿宋"/>
                <w:b/>
                <w:color w:val="auto"/>
                <w:szCs w:val="21"/>
                <w:highlight w:val="none"/>
              </w:rPr>
              <w:t>岗位</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b/>
                <w:color w:val="auto"/>
                <w:szCs w:val="21"/>
                <w:highlight w:val="none"/>
              </w:rPr>
            </w:pPr>
            <w:r>
              <w:rPr>
                <w:rFonts w:hint="eastAsia" w:ascii="宋体" w:hAnsi="宋体" w:cs="仿宋"/>
                <w:b/>
                <w:color w:val="auto"/>
                <w:szCs w:val="21"/>
                <w:highlight w:val="none"/>
              </w:rPr>
              <w:t>职称</w:t>
            </w:r>
          </w:p>
        </w:tc>
        <w:tc>
          <w:tcPr>
            <w:tcW w:w="3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b/>
                <w:color w:val="auto"/>
                <w:szCs w:val="21"/>
                <w:highlight w:val="none"/>
              </w:rPr>
            </w:pPr>
            <w:r>
              <w:rPr>
                <w:rFonts w:hint="eastAsia" w:ascii="宋体" w:hAnsi="宋体" w:cs="仿宋"/>
                <w:b/>
                <w:color w:val="auto"/>
                <w:szCs w:val="21"/>
                <w:highlight w:val="none"/>
              </w:rPr>
              <w:t>职称证书或资格证书编号</w:t>
            </w:r>
          </w:p>
        </w:tc>
      </w:tr>
      <w:tr>
        <w:tblPrEx>
          <w:tblCellMar>
            <w:top w:w="0" w:type="dxa"/>
            <w:left w:w="0" w:type="dxa"/>
            <w:bottom w:w="0" w:type="dxa"/>
            <w:right w:w="0" w:type="dxa"/>
          </w:tblCellMar>
        </w:tblPrEx>
        <w:trPr>
          <w:trHeight w:val="357"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auto"/>
                <w:szCs w:val="21"/>
                <w:highlight w:val="none"/>
              </w:rPr>
            </w:pPr>
            <w:r>
              <w:rPr>
                <w:rFonts w:hint="eastAsia" w:ascii="宋体" w:hAnsi="宋体" w:cs="仿宋"/>
                <w:color w:val="auto"/>
                <w:szCs w:val="21"/>
                <w:highlight w:val="none"/>
              </w:rPr>
              <w:t>1</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6"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auto"/>
                <w:szCs w:val="21"/>
                <w:highlight w:val="none"/>
              </w:rPr>
            </w:pPr>
            <w:r>
              <w:rPr>
                <w:rFonts w:hint="eastAsia" w:ascii="宋体" w:hAnsi="宋体" w:cs="仿宋"/>
                <w:color w:val="auto"/>
                <w:szCs w:val="21"/>
                <w:highlight w:val="none"/>
              </w:rPr>
              <w:t>2</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398"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auto"/>
                <w:szCs w:val="21"/>
                <w:highlight w:val="none"/>
              </w:rPr>
            </w:pPr>
            <w:r>
              <w:rPr>
                <w:rFonts w:hint="eastAsia" w:ascii="宋体" w:hAnsi="宋体" w:cs="仿宋"/>
                <w:color w:val="auto"/>
                <w:szCs w:val="21"/>
                <w:highlight w:val="none"/>
              </w:rPr>
              <w:t>3</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3"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auto"/>
                <w:szCs w:val="21"/>
                <w:highlight w:val="none"/>
              </w:rPr>
            </w:pPr>
            <w:r>
              <w:rPr>
                <w:rFonts w:hint="eastAsia" w:ascii="宋体" w:hAnsi="宋体" w:cs="仿宋"/>
                <w:color w:val="auto"/>
                <w:szCs w:val="21"/>
                <w:highlight w:val="none"/>
              </w:rPr>
              <w:t>4</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395"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auto"/>
                <w:szCs w:val="21"/>
                <w:highlight w:val="none"/>
              </w:rPr>
            </w:pPr>
            <w:r>
              <w:rPr>
                <w:rFonts w:hint="eastAsia" w:ascii="宋体" w:hAnsi="宋体" w:cs="仿宋"/>
                <w:color w:val="auto"/>
                <w:szCs w:val="21"/>
                <w:highlight w:val="none"/>
              </w:rPr>
              <w:t>5</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8"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auto"/>
                <w:szCs w:val="21"/>
                <w:highlight w:val="none"/>
              </w:rPr>
            </w:pPr>
            <w:r>
              <w:rPr>
                <w:rFonts w:ascii="宋体" w:hAnsi="宋体" w:cs="仿宋"/>
                <w:color w:val="auto"/>
                <w:szCs w:val="21"/>
                <w:highlight w:val="none"/>
              </w:rPr>
              <w:t>6</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8"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auto"/>
                <w:szCs w:val="21"/>
                <w:highlight w:val="none"/>
              </w:rPr>
            </w:pPr>
            <w:r>
              <w:rPr>
                <w:rFonts w:hint="eastAsia" w:ascii="宋体" w:hAnsi="宋体" w:cs="仿宋"/>
                <w:color w:val="auto"/>
                <w:szCs w:val="21"/>
                <w:highlight w:val="none"/>
              </w:rPr>
              <w:t>7</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390"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ascii="宋体" w:hAnsi="宋体" w:cs="仿宋"/>
                <w:color w:val="auto"/>
                <w:szCs w:val="21"/>
                <w:highlight w:val="none"/>
              </w:rPr>
              <w:t>8</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395"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ascii="宋体" w:hAnsi="宋体" w:cs="仿宋"/>
                <w:color w:val="auto"/>
                <w:szCs w:val="21"/>
                <w:highlight w:val="none"/>
              </w:rPr>
              <w:t>9</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1"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1</w:t>
            </w:r>
            <w:r>
              <w:rPr>
                <w:rFonts w:ascii="宋体" w:hAnsi="宋体" w:cs="仿宋"/>
                <w:color w:val="auto"/>
                <w:szCs w:val="21"/>
                <w:highlight w:val="none"/>
              </w:rPr>
              <w:t>0</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1"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1</w:t>
            </w:r>
            <w:r>
              <w:rPr>
                <w:rFonts w:ascii="宋体" w:hAnsi="宋体" w:cs="仿宋"/>
                <w:color w:val="auto"/>
                <w:szCs w:val="21"/>
                <w:highlight w:val="none"/>
              </w:rPr>
              <w:t>1</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1"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1</w:t>
            </w:r>
            <w:r>
              <w:rPr>
                <w:rFonts w:ascii="宋体" w:hAnsi="宋体" w:cs="仿宋"/>
                <w:color w:val="auto"/>
                <w:szCs w:val="21"/>
                <w:highlight w:val="none"/>
              </w:rPr>
              <w:t>2</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napToGrid w:val="0"/>
              <w:ind w:left="42" w:leftChars="20" w:right="42" w:rightChars="20"/>
              <w:jc w:val="center"/>
              <w:rPr>
                <w:rFonts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1"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13</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ind w:left="406" w:leftChars="35" w:hanging="333" w:hangingChars="159"/>
              <w:jc w:val="center"/>
              <w:rPr>
                <w:rFonts w:hint="eastAsia"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1"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14</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ind w:left="406" w:leftChars="35" w:hanging="333" w:hangingChars="159"/>
              <w:jc w:val="center"/>
              <w:rPr>
                <w:rFonts w:hint="eastAsia"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401"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15</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ind w:left="406" w:leftChars="35" w:hanging="333" w:hangingChars="159"/>
              <w:jc w:val="center"/>
              <w:rPr>
                <w:rFonts w:hint="eastAsia" w:ascii="宋体" w:hAnsi="宋体" w:cs="仿宋"/>
                <w:color w:val="auto"/>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r>
      <w:tr>
        <w:tblPrEx>
          <w:tblCellMar>
            <w:top w:w="0" w:type="dxa"/>
            <w:left w:w="0" w:type="dxa"/>
            <w:bottom w:w="0" w:type="dxa"/>
            <w:right w:w="0" w:type="dxa"/>
          </w:tblCellMar>
        </w:tblPrEx>
        <w:trPr>
          <w:trHeight w:val="394" w:hRule="atLeast"/>
          <w:jc w:val="center"/>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24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p>
        </w:tc>
        <w:tc>
          <w:tcPr>
            <w:tcW w:w="3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仿宋"/>
                <w:color w:val="auto"/>
                <w:szCs w:val="21"/>
                <w:highlight w:val="none"/>
              </w:rPr>
            </w:pPr>
            <w:r>
              <w:rPr>
                <w:rFonts w:hint="eastAsia" w:ascii="宋体" w:hAnsi="宋体" w:cs="仿宋"/>
                <w:color w:val="auto"/>
                <w:szCs w:val="21"/>
                <w:highlight w:val="none"/>
              </w:rPr>
              <w:t>…</w:t>
            </w:r>
          </w:p>
        </w:tc>
      </w:tr>
      <w:tr>
        <w:tblPrEx>
          <w:tblCellMar>
            <w:top w:w="0" w:type="dxa"/>
            <w:left w:w="0" w:type="dxa"/>
            <w:bottom w:w="0" w:type="dxa"/>
            <w:right w:w="0" w:type="dxa"/>
          </w:tblCellMar>
        </w:tblPrEx>
        <w:trPr>
          <w:trHeight w:val="3512" w:hRule="atLeast"/>
          <w:jc w:val="center"/>
        </w:trPr>
        <w:tc>
          <w:tcPr>
            <w:tcW w:w="844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ascii="宋体" w:hAnsi="宋体" w:cs="宋体"/>
                <w:color w:val="auto"/>
                <w:szCs w:val="21"/>
                <w:highlight w:val="none"/>
              </w:rPr>
              <w:t>备注：</w:t>
            </w:r>
          </w:p>
          <w:p>
            <w:pPr>
              <w:widowControl/>
              <w:jc w:val="left"/>
              <w:textAlignment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“岗位”按上述表格填写，如：项目负责人、设计负责人、技术负责人、质量负责人、安全负责人、造价负责人、土建工程师、造价工程师、施工员、质量员、安全员、资料员等。</w:t>
            </w:r>
            <w:r>
              <w:rPr>
                <w:rFonts w:ascii="宋体" w:hAnsi="宋体" w:cs="宋体"/>
                <w:color w:val="auto"/>
                <w:szCs w:val="21"/>
                <w:highlight w:val="none"/>
              </w:rPr>
              <w:t>以上项目管理团队人员信息将供各相关单位在履约时比对、查核。</w:t>
            </w:r>
          </w:p>
          <w:p>
            <w:pPr>
              <w:widowControl/>
              <w:jc w:val="left"/>
              <w:textAlignment w:val="center"/>
              <w:rPr>
                <w:rFonts w:ascii="宋体" w:hAnsi="宋体" w:cs="宋体"/>
                <w:color w:val="auto"/>
                <w:szCs w:val="21"/>
                <w:highlight w:val="none"/>
              </w:rPr>
            </w:pPr>
            <w:r>
              <w:rPr>
                <w:rFonts w:ascii="宋体" w:hAnsi="宋体" w:cs="宋体"/>
                <w:color w:val="auto"/>
                <w:szCs w:val="21"/>
                <w:highlight w:val="none"/>
              </w:rPr>
              <w:t>2、投标人应根据本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w:t>
            </w:r>
          </w:p>
          <w:p>
            <w:pPr>
              <w:widowControl/>
              <w:jc w:val="left"/>
              <w:textAlignment w:val="center"/>
              <w:rPr>
                <w:rFonts w:ascii="宋体" w:hAnsi="宋体" w:cs="仿宋"/>
                <w:color w:val="auto"/>
                <w:szCs w:val="21"/>
                <w:highlight w:val="none"/>
              </w:rPr>
            </w:pPr>
            <w:r>
              <w:rPr>
                <w:rFonts w:ascii="宋体" w:hAnsi="宋体" w:cs="宋体"/>
                <w:color w:val="auto"/>
                <w:szCs w:val="21"/>
                <w:highlight w:val="none"/>
              </w:rPr>
              <w:t>3、如评标办法对投标人拟投入的项目管理团队进行评审的，</w:t>
            </w:r>
            <w:bookmarkStart w:id="340" w:name="_Hlk61431742"/>
            <w:r>
              <w:rPr>
                <w:rFonts w:ascii="宋体" w:hAnsi="宋体" w:cs="宋体"/>
                <w:color w:val="auto"/>
                <w:szCs w:val="21"/>
                <w:highlight w:val="none"/>
              </w:rPr>
              <w:t>如相同岗位投入人员姓名与本表不一致的，以本表中姓名为准；投标人提供的团队人员职称或资格（含证书编号）情况与本表不一致的，以投标人提供的相关证明材料为准。</w:t>
            </w:r>
            <w:bookmarkEnd w:id="340"/>
          </w:p>
        </w:tc>
      </w:tr>
    </w:tbl>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投标人：　　（盖章）</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法定代表人或授权代理人(签字或盖章)：</w:t>
      </w:r>
    </w:p>
    <w:p>
      <w:pPr>
        <w:topLinePunct/>
        <w:spacing w:line="360" w:lineRule="auto"/>
        <w:ind w:firstLine="3161" w:firstLineChars="1450"/>
        <w:rPr>
          <w:rFonts w:ascii="宋体" w:hAnsi="宋体" w:cs="宋体"/>
          <w:b/>
          <w:color w:val="auto"/>
          <w:sz w:val="18"/>
          <w:szCs w:val="18"/>
          <w:highlight w:val="none"/>
        </w:rPr>
      </w:pPr>
      <w:r>
        <w:rPr>
          <w:rFonts w:hint="eastAsia" w:ascii="宋体" w:hAnsi="宋体"/>
          <w:color w:val="auto"/>
          <w:spacing w:val="4"/>
          <w:szCs w:val="21"/>
          <w:highlight w:val="none"/>
        </w:rPr>
        <w:t>日   期：    年    月    日</w:t>
      </w:r>
      <w:r>
        <w:rPr>
          <w:rFonts w:ascii="宋体" w:hAnsi="宋体" w:cs="宋体"/>
          <w:b/>
          <w:color w:val="auto"/>
          <w:sz w:val="18"/>
          <w:szCs w:val="18"/>
          <w:highlight w:val="none"/>
        </w:rPr>
        <w:br w:type="page"/>
      </w:r>
    </w:p>
    <w:p>
      <w:pPr>
        <w:pStyle w:val="18"/>
        <w:spacing w:before="156" w:beforeLines="50"/>
        <w:ind w:firstLine="0" w:firstLineChars="0"/>
        <w:jc w:val="center"/>
        <w:rPr>
          <w:color w:val="auto"/>
          <w:sz w:val="28"/>
          <w:szCs w:val="28"/>
          <w:highlight w:val="none"/>
        </w:rPr>
      </w:pPr>
      <w:r>
        <w:rPr>
          <w:rFonts w:hint="eastAsia" w:ascii="宋体" w:hAnsi="宋体"/>
          <w:b/>
          <w:color w:val="auto"/>
          <w:spacing w:val="4"/>
          <w:sz w:val="28"/>
          <w:szCs w:val="28"/>
          <w:highlight w:val="none"/>
        </w:rPr>
        <w:t>投入主要施工管理及技术人员汇总表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851"/>
        <w:gridCol w:w="1134"/>
        <w:gridCol w:w="1134"/>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85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850"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85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原任职务</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在本项目任职</w:t>
            </w:r>
          </w:p>
        </w:tc>
        <w:tc>
          <w:tcPr>
            <w:tcW w:w="1275"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身份证号码</w:t>
            </w:r>
          </w:p>
        </w:tc>
        <w:tc>
          <w:tcPr>
            <w:tcW w:w="2127"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职称或执业或上岗（或岗位）证号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17"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850"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color w:val="auto"/>
                <w:szCs w:val="21"/>
                <w:highlight w:val="none"/>
              </w:rPr>
            </w:pPr>
          </w:p>
        </w:tc>
        <w:tc>
          <w:tcPr>
            <w:tcW w:w="1275" w:type="dxa"/>
            <w:noWrap w:val="0"/>
            <w:vAlign w:val="center"/>
          </w:tcPr>
          <w:p>
            <w:pPr>
              <w:rPr>
                <w:rFonts w:ascii="宋体" w:hAnsi="宋体"/>
                <w:color w:val="auto"/>
                <w:szCs w:val="21"/>
                <w:highlight w:val="none"/>
              </w:rPr>
            </w:pPr>
          </w:p>
        </w:tc>
        <w:tc>
          <w:tcPr>
            <w:tcW w:w="2127" w:type="dxa"/>
            <w:noWrap w:val="0"/>
            <w:vAlign w:val="center"/>
          </w:tcPr>
          <w:p>
            <w:pPr>
              <w:rPr>
                <w:rFonts w:ascii="宋体" w:hAnsi="宋体"/>
                <w:dstrike/>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17"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850"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bCs/>
                <w:color w:val="auto"/>
                <w:szCs w:val="21"/>
                <w:highlight w:val="none"/>
              </w:rPr>
            </w:pPr>
          </w:p>
        </w:tc>
        <w:tc>
          <w:tcPr>
            <w:tcW w:w="1275" w:type="dxa"/>
            <w:noWrap w:val="0"/>
            <w:vAlign w:val="center"/>
          </w:tcPr>
          <w:p>
            <w:pPr>
              <w:rPr>
                <w:rFonts w:ascii="宋体" w:hAnsi="宋体"/>
                <w:color w:val="auto"/>
                <w:szCs w:val="21"/>
                <w:highlight w:val="none"/>
              </w:rPr>
            </w:pPr>
          </w:p>
        </w:tc>
        <w:tc>
          <w:tcPr>
            <w:tcW w:w="2127" w:type="dxa"/>
            <w:noWrap w:val="0"/>
            <w:vAlign w:val="center"/>
          </w:tcPr>
          <w:p>
            <w:pPr>
              <w:rPr>
                <w:rFonts w:ascii="宋体" w:hAnsi="宋体"/>
                <w:d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17"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850"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bCs/>
                <w:color w:val="auto"/>
                <w:szCs w:val="21"/>
                <w:highlight w:val="none"/>
              </w:rPr>
            </w:pPr>
          </w:p>
        </w:tc>
        <w:tc>
          <w:tcPr>
            <w:tcW w:w="1275" w:type="dxa"/>
            <w:noWrap w:val="0"/>
            <w:vAlign w:val="center"/>
          </w:tcPr>
          <w:p>
            <w:pPr>
              <w:rPr>
                <w:rFonts w:ascii="宋体" w:hAnsi="宋体"/>
                <w:color w:val="auto"/>
                <w:szCs w:val="21"/>
                <w:highlight w:val="none"/>
              </w:rPr>
            </w:pPr>
          </w:p>
        </w:tc>
        <w:tc>
          <w:tcPr>
            <w:tcW w:w="2127" w:type="dxa"/>
            <w:noWrap w:val="0"/>
            <w:vAlign w:val="center"/>
          </w:tcPr>
          <w:p>
            <w:pPr>
              <w:rPr>
                <w:rFonts w:ascii="宋体" w:hAnsi="宋体"/>
                <w:d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817"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850" w:type="dxa"/>
            <w:noWrap w:val="0"/>
            <w:vAlign w:val="center"/>
          </w:tcPr>
          <w:p>
            <w:pPr>
              <w:rPr>
                <w:rFonts w:ascii="宋体" w:hAnsi="宋体"/>
                <w:color w:val="auto"/>
                <w:szCs w:val="21"/>
                <w:highlight w:val="none"/>
              </w:rPr>
            </w:pPr>
          </w:p>
        </w:tc>
        <w:tc>
          <w:tcPr>
            <w:tcW w:w="851"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color w:val="auto"/>
                <w:szCs w:val="21"/>
                <w:highlight w:val="none"/>
              </w:rPr>
            </w:pPr>
          </w:p>
        </w:tc>
        <w:tc>
          <w:tcPr>
            <w:tcW w:w="1134" w:type="dxa"/>
            <w:noWrap w:val="0"/>
            <w:vAlign w:val="center"/>
          </w:tcPr>
          <w:p>
            <w:pPr>
              <w:rPr>
                <w:rFonts w:ascii="宋体" w:hAnsi="宋体"/>
                <w:bCs/>
                <w:color w:val="auto"/>
                <w:szCs w:val="21"/>
                <w:highlight w:val="none"/>
              </w:rPr>
            </w:pPr>
          </w:p>
        </w:tc>
        <w:tc>
          <w:tcPr>
            <w:tcW w:w="1275" w:type="dxa"/>
            <w:noWrap w:val="0"/>
            <w:vAlign w:val="center"/>
          </w:tcPr>
          <w:p>
            <w:pPr>
              <w:rPr>
                <w:rFonts w:ascii="宋体" w:hAnsi="宋体"/>
                <w:color w:val="auto"/>
                <w:szCs w:val="21"/>
                <w:highlight w:val="none"/>
              </w:rPr>
            </w:pPr>
          </w:p>
        </w:tc>
        <w:tc>
          <w:tcPr>
            <w:tcW w:w="2127" w:type="dxa"/>
            <w:noWrap w:val="0"/>
            <w:vAlign w:val="top"/>
          </w:tcPr>
          <w:p>
            <w:pPr>
              <w:rPr>
                <w:rFonts w:ascii="宋体" w:hAnsi="宋体"/>
                <w:b/>
                <w:dstrike/>
                <w:color w:val="auto"/>
                <w:highlight w:val="none"/>
                <w:u w:val="single"/>
              </w:rPr>
            </w:pPr>
          </w:p>
        </w:tc>
      </w:tr>
    </w:tbl>
    <w:p>
      <w:pPr>
        <w:topLinePunct/>
        <w:spacing w:line="360" w:lineRule="auto"/>
        <w:ind w:firstLine="436" w:firstLineChars="200"/>
        <w:rPr>
          <w:rFonts w:ascii="宋体" w:hAnsi="宋体"/>
          <w:color w:val="auto"/>
          <w:spacing w:val="4"/>
          <w:szCs w:val="21"/>
          <w:highlight w:val="none"/>
        </w:rPr>
      </w:pPr>
      <w:r>
        <w:rPr>
          <w:rFonts w:hint="eastAsia" w:ascii="宋体" w:hAnsi="宋体"/>
          <w:color w:val="auto"/>
          <w:spacing w:val="4"/>
          <w:szCs w:val="21"/>
          <w:highlight w:val="none"/>
        </w:rPr>
        <w:t>注：</w:t>
      </w:r>
    </w:p>
    <w:p>
      <w:pPr>
        <w:topLinePunct/>
        <w:spacing w:line="360" w:lineRule="auto"/>
        <w:ind w:firstLine="436" w:firstLineChars="200"/>
        <w:rPr>
          <w:rFonts w:ascii="宋体" w:hAnsi="宋体"/>
          <w:color w:val="auto"/>
          <w:spacing w:val="4"/>
          <w:szCs w:val="21"/>
          <w:highlight w:val="none"/>
        </w:rPr>
      </w:pPr>
      <w:r>
        <w:rPr>
          <w:rFonts w:hint="eastAsia" w:ascii="宋体" w:hAnsi="宋体"/>
          <w:color w:val="auto"/>
          <w:spacing w:val="4"/>
          <w:szCs w:val="21"/>
          <w:highlight w:val="none"/>
        </w:rPr>
        <w:t>1、人数及资质等符合招标文件的要求，投标人可根据项目的需要增加相关人员；</w:t>
      </w:r>
    </w:p>
    <w:p>
      <w:pPr>
        <w:topLinePunct/>
        <w:spacing w:line="360" w:lineRule="auto"/>
        <w:ind w:firstLine="436" w:firstLineChars="200"/>
        <w:rPr>
          <w:rFonts w:ascii="宋体" w:hAnsi="宋体"/>
          <w:color w:val="auto"/>
          <w:spacing w:val="-6"/>
          <w:szCs w:val="21"/>
          <w:highlight w:val="none"/>
        </w:rPr>
      </w:pPr>
      <w:r>
        <w:rPr>
          <w:rFonts w:hint="eastAsia" w:ascii="宋体" w:hAnsi="宋体"/>
          <w:color w:val="auto"/>
          <w:spacing w:val="4"/>
          <w:szCs w:val="21"/>
          <w:highlight w:val="none"/>
        </w:rPr>
        <w:t>2、</w:t>
      </w:r>
      <w:r>
        <w:rPr>
          <w:rFonts w:hint="eastAsia" w:ascii="宋体" w:hAnsi="宋体"/>
          <w:color w:val="auto"/>
          <w:spacing w:val="-6"/>
          <w:szCs w:val="21"/>
          <w:highlight w:val="none"/>
        </w:rPr>
        <w:t>投入主要人员需按《主要施工管理及技术人员简历表》格式附简历及相应证明资料。</w:t>
      </w:r>
    </w:p>
    <w:p>
      <w:pPr>
        <w:topLinePunct/>
        <w:spacing w:line="360" w:lineRule="auto"/>
        <w:ind w:firstLine="496" w:firstLineChars="200"/>
        <w:rPr>
          <w:rFonts w:ascii="宋体" w:hAnsi="宋体"/>
          <w:color w:val="auto"/>
          <w:spacing w:val="4"/>
          <w:sz w:val="24"/>
          <w:highlight w:val="none"/>
        </w:rPr>
      </w:pPr>
    </w:p>
    <w:p>
      <w:pPr>
        <w:topLinePunct/>
        <w:spacing w:line="360" w:lineRule="auto"/>
        <w:ind w:firstLine="496" w:firstLineChars="200"/>
        <w:rPr>
          <w:rFonts w:ascii="宋体" w:hAnsi="宋体"/>
          <w:color w:val="auto"/>
          <w:spacing w:val="4"/>
          <w:sz w:val="24"/>
          <w:highlight w:val="none"/>
        </w:rPr>
      </w:pP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投标人：　　（</w:t>
      </w:r>
      <w:r>
        <w:rPr>
          <w:rFonts w:hint="eastAsia" w:ascii="宋体" w:hAnsi="宋体"/>
          <w:color w:val="auto"/>
          <w:spacing w:val="4"/>
          <w:szCs w:val="21"/>
          <w:highlight w:val="none"/>
          <w:lang w:val="zh-CN"/>
        </w:rPr>
        <w:t>盖公章</w:t>
      </w:r>
      <w:r>
        <w:rPr>
          <w:rFonts w:hint="eastAsia" w:ascii="宋体" w:hAnsi="宋体"/>
          <w:color w:val="auto"/>
          <w:spacing w:val="4"/>
          <w:szCs w:val="21"/>
          <w:highlight w:val="none"/>
        </w:rPr>
        <w:t>或电子公章）</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日   期：    年    月    日</w:t>
      </w:r>
    </w:p>
    <w:p>
      <w:pPr>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pStyle w:val="7"/>
        <w:ind w:firstLine="578"/>
        <w:rPr>
          <w:rFonts w:ascii="宋体" w:hAnsi="宋体"/>
          <w:b/>
          <w:color w:val="auto"/>
          <w:spacing w:val="4"/>
          <w:sz w:val="28"/>
          <w:szCs w:val="28"/>
          <w:highlight w:val="none"/>
        </w:rPr>
      </w:pPr>
    </w:p>
    <w:p>
      <w:pPr>
        <w:topLinePunct/>
        <w:spacing w:line="360" w:lineRule="auto"/>
        <w:jc w:val="center"/>
        <w:rPr>
          <w:rFonts w:ascii="宋体" w:hAnsi="宋体"/>
          <w:color w:val="auto"/>
          <w:spacing w:val="4"/>
          <w:sz w:val="28"/>
          <w:szCs w:val="28"/>
          <w:highlight w:val="none"/>
        </w:rPr>
      </w:pPr>
      <w:r>
        <w:rPr>
          <w:rFonts w:hint="eastAsia" w:ascii="宋体" w:hAnsi="宋体"/>
          <w:b/>
          <w:color w:val="auto"/>
          <w:spacing w:val="4"/>
          <w:sz w:val="28"/>
          <w:szCs w:val="28"/>
          <w:highlight w:val="none"/>
        </w:rPr>
        <w:t>主要施工管理及技术人员简历表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77"/>
        <w:gridCol w:w="1442"/>
        <w:gridCol w:w="16"/>
        <w:gridCol w:w="547"/>
        <w:gridCol w:w="955"/>
        <w:gridCol w:w="111"/>
        <w:gridCol w:w="1408"/>
        <w:gridCol w:w="625"/>
        <w:gridCol w:w="702"/>
        <w:gridCol w:w="191"/>
        <w:gridCol w:w="38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9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2005" w:type="dxa"/>
            <w:gridSpan w:val="3"/>
            <w:noWrap w:val="0"/>
            <w:vAlign w:val="center"/>
          </w:tcPr>
          <w:p>
            <w:pPr>
              <w:topLinePunct/>
              <w:spacing w:line="360" w:lineRule="auto"/>
              <w:jc w:val="center"/>
              <w:rPr>
                <w:rFonts w:ascii="宋体" w:hAnsi="宋体"/>
                <w:color w:val="auto"/>
                <w:spacing w:val="4"/>
                <w:szCs w:val="21"/>
                <w:highlight w:val="none"/>
              </w:rPr>
            </w:pPr>
          </w:p>
        </w:tc>
        <w:tc>
          <w:tcPr>
            <w:tcW w:w="106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性别</w:t>
            </w:r>
          </w:p>
        </w:tc>
        <w:tc>
          <w:tcPr>
            <w:tcW w:w="2033" w:type="dxa"/>
            <w:gridSpan w:val="2"/>
            <w:noWrap w:val="0"/>
            <w:vAlign w:val="center"/>
          </w:tcPr>
          <w:p>
            <w:pPr>
              <w:topLinePunct/>
              <w:spacing w:line="360" w:lineRule="auto"/>
              <w:jc w:val="center"/>
              <w:rPr>
                <w:rFonts w:ascii="宋体" w:hAnsi="宋体"/>
                <w:color w:val="auto"/>
                <w:spacing w:val="4"/>
                <w:szCs w:val="21"/>
                <w:highlight w:val="none"/>
              </w:rPr>
            </w:pPr>
          </w:p>
        </w:tc>
        <w:tc>
          <w:tcPr>
            <w:tcW w:w="1276"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1140" w:type="dxa"/>
            <w:noWrap w:val="0"/>
            <w:vAlign w:val="center"/>
          </w:tcPr>
          <w:p>
            <w:pPr>
              <w:topLinePunct/>
              <w:spacing w:line="360" w:lineRule="auto"/>
              <w:jc w:val="center"/>
              <w:rPr>
                <w:rFonts w:ascii="宋体" w:hAnsi="宋体"/>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9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职务</w:t>
            </w:r>
          </w:p>
        </w:tc>
        <w:tc>
          <w:tcPr>
            <w:tcW w:w="2005" w:type="dxa"/>
            <w:gridSpan w:val="3"/>
            <w:noWrap w:val="0"/>
            <w:vAlign w:val="center"/>
          </w:tcPr>
          <w:p>
            <w:pPr>
              <w:topLinePunct/>
              <w:spacing w:line="360" w:lineRule="auto"/>
              <w:jc w:val="center"/>
              <w:rPr>
                <w:rFonts w:ascii="宋体" w:hAnsi="宋体"/>
                <w:color w:val="auto"/>
                <w:spacing w:val="4"/>
                <w:szCs w:val="21"/>
                <w:highlight w:val="none"/>
              </w:rPr>
            </w:pPr>
          </w:p>
        </w:tc>
        <w:tc>
          <w:tcPr>
            <w:tcW w:w="106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2033" w:type="dxa"/>
            <w:gridSpan w:val="2"/>
            <w:noWrap w:val="0"/>
            <w:vAlign w:val="center"/>
          </w:tcPr>
          <w:p>
            <w:pPr>
              <w:topLinePunct/>
              <w:spacing w:line="360" w:lineRule="auto"/>
              <w:jc w:val="center"/>
              <w:rPr>
                <w:rFonts w:ascii="宋体" w:hAnsi="宋体"/>
                <w:color w:val="auto"/>
                <w:spacing w:val="4"/>
                <w:szCs w:val="21"/>
                <w:highlight w:val="none"/>
              </w:rPr>
            </w:pPr>
          </w:p>
        </w:tc>
        <w:tc>
          <w:tcPr>
            <w:tcW w:w="1276"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1140" w:type="dxa"/>
            <w:noWrap w:val="0"/>
            <w:vAlign w:val="center"/>
          </w:tcPr>
          <w:p>
            <w:pPr>
              <w:topLinePunct/>
              <w:spacing w:line="360" w:lineRule="auto"/>
              <w:jc w:val="center"/>
              <w:rPr>
                <w:rFonts w:ascii="宋体" w:hAnsi="宋体"/>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054" w:type="dxa"/>
            <w:gridSpan w:val="4"/>
            <w:noWrap w:val="0"/>
            <w:vAlign w:val="center"/>
          </w:tcPr>
          <w:p>
            <w:pPr>
              <w:jc w:val="center"/>
              <w:rPr>
                <w:rFonts w:ascii="宋体" w:hAnsi="宋体"/>
                <w:color w:val="auto"/>
                <w:szCs w:val="21"/>
                <w:highlight w:val="none"/>
              </w:rPr>
            </w:pPr>
            <w:r>
              <w:rPr>
                <w:rFonts w:hint="eastAsia" w:ascii="宋体" w:hAnsi="宋体"/>
                <w:color w:val="auto"/>
                <w:szCs w:val="21"/>
                <w:highlight w:val="none"/>
              </w:rPr>
              <w:t>参加工作时间</w:t>
            </w:r>
          </w:p>
        </w:tc>
        <w:tc>
          <w:tcPr>
            <w:tcW w:w="1613" w:type="dxa"/>
            <w:gridSpan w:val="3"/>
            <w:noWrap w:val="0"/>
            <w:vAlign w:val="center"/>
          </w:tcPr>
          <w:p>
            <w:pPr>
              <w:topLinePunct/>
              <w:spacing w:line="360" w:lineRule="auto"/>
              <w:jc w:val="center"/>
              <w:rPr>
                <w:rFonts w:ascii="宋体" w:hAnsi="宋体"/>
                <w:color w:val="auto"/>
                <w:spacing w:val="4"/>
                <w:szCs w:val="21"/>
                <w:highlight w:val="none"/>
              </w:rPr>
            </w:pPr>
          </w:p>
        </w:tc>
        <w:tc>
          <w:tcPr>
            <w:tcW w:w="2735" w:type="dxa"/>
            <w:gridSpan w:val="3"/>
            <w:noWrap w:val="0"/>
            <w:vAlign w:val="center"/>
          </w:tcPr>
          <w:p>
            <w:pPr>
              <w:topLinePunct/>
              <w:spacing w:line="360" w:lineRule="auto"/>
              <w:jc w:val="center"/>
              <w:rPr>
                <w:rFonts w:ascii="宋体" w:hAnsi="宋体"/>
                <w:color w:val="auto"/>
                <w:spacing w:val="4"/>
                <w:szCs w:val="21"/>
                <w:highlight w:val="none"/>
              </w:rPr>
            </w:pPr>
            <w:r>
              <w:rPr>
                <w:rFonts w:hint="eastAsia" w:ascii="宋体" w:hAnsi="宋体"/>
                <w:color w:val="auto"/>
                <w:spacing w:val="4"/>
                <w:szCs w:val="21"/>
                <w:highlight w:val="none"/>
              </w:rPr>
              <w:t>担任相应职务年限</w:t>
            </w:r>
          </w:p>
        </w:tc>
        <w:tc>
          <w:tcPr>
            <w:tcW w:w="1714" w:type="dxa"/>
            <w:gridSpan w:val="3"/>
            <w:noWrap w:val="0"/>
            <w:vAlign w:val="center"/>
          </w:tcPr>
          <w:p>
            <w:pPr>
              <w:topLinePunct/>
              <w:spacing w:line="360" w:lineRule="auto"/>
              <w:jc w:val="center"/>
              <w:rPr>
                <w:rFonts w:ascii="宋体" w:hAnsi="宋体"/>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054" w:type="dxa"/>
            <w:gridSpan w:val="4"/>
            <w:noWrap w:val="0"/>
            <w:vAlign w:val="center"/>
          </w:tcPr>
          <w:p>
            <w:pPr>
              <w:jc w:val="center"/>
              <w:rPr>
                <w:rFonts w:ascii="宋体" w:hAnsi="宋体"/>
                <w:color w:val="auto"/>
                <w:szCs w:val="21"/>
                <w:highlight w:val="none"/>
              </w:rPr>
            </w:pPr>
            <w:r>
              <w:rPr>
                <w:rFonts w:hint="eastAsia" w:ascii="宋体" w:hAnsi="宋体"/>
                <w:color w:val="auto"/>
                <w:szCs w:val="21"/>
                <w:highlight w:val="none"/>
              </w:rPr>
              <w:t>资格证书号</w:t>
            </w:r>
          </w:p>
        </w:tc>
        <w:tc>
          <w:tcPr>
            <w:tcW w:w="6062" w:type="dxa"/>
            <w:gridSpan w:val="9"/>
            <w:noWrap w:val="0"/>
            <w:vAlign w:val="center"/>
          </w:tcPr>
          <w:p>
            <w:pPr>
              <w:topLinePunct/>
              <w:spacing w:line="360" w:lineRule="auto"/>
              <w:jc w:val="center"/>
              <w:rPr>
                <w:rFonts w:ascii="宋体" w:hAnsi="宋体"/>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116" w:type="dxa"/>
            <w:gridSpan w:val="13"/>
            <w:noWrap w:val="0"/>
            <w:vAlign w:val="center"/>
          </w:tcPr>
          <w:p>
            <w:pPr>
              <w:topLinePunct/>
              <w:spacing w:line="360" w:lineRule="auto"/>
              <w:jc w:val="center"/>
              <w:rPr>
                <w:rFonts w:ascii="宋体" w:hAnsi="宋体"/>
                <w:color w:val="auto"/>
                <w:spacing w:val="4"/>
                <w:szCs w:val="21"/>
                <w:highlight w:val="none"/>
              </w:rPr>
            </w:pPr>
            <w:r>
              <w:rPr>
                <w:rFonts w:hint="eastAsia" w:ascii="宋体" w:hAnsi="宋体"/>
                <w:color w:val="auto"/>
                <w:spacing w:val="4"/>
                <w:szCs w:val="21"/>
                <w:highlight w:val="none"/>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建设单位</w:t>
            </w:r>
          </w:p>
        </w:tc>
        <w:tc>
          <w:tcPr>
            <w:tcW w:w="1519"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1518"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建设规模</w:t>
            </w:r>
          </w:p>
        </w:tc>
        <w:tc>
          <w:tcPr>
            <w:tcW w:w="1519"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开、竣工日期</w:t>
            </w:r>
          </w:p>
        </w:tc>
        <w:tc>
          <w:tcPr>
            <w:tcW w:w="1518"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在建或已完</w:t>
            </w:r>
          </w:p>
        </w:tc>
        <w:tc>
          <w:tcPr>
            <w:tcW w:w="1523"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color w:val="auto"/>
                <w:spacing w:val="4"/>
                <w:szCs w:val="21"/>
                <w:highlight w:val="none"/>
              </w:rPr>
            </w:pPr>
          </w:p>
        </w:tc>
        <w:tc>
          <w:tcPr>
            <w:tcW w:w="1519" w:type="dxa"/>
            <w:gridSpan w:val="2"/>
            <w:noWrap w:val="0"/>
            <w:vAlign w:val="center"/>
          </w:tcPr>
          <w:p>
            <w:pPr>
              <w:topLinePunct/>
              <w:spacing w:line="360" w:lineRule="auto"/>
              <w:jc w:val="center"/>
              <w:rPr>
                <w:rFonts w:ascii="宋体" w:hAnsi="宋体"/>
                <w:color w:val="auto"/>
                <w:spacing w:val="4"/>
                <w:szCs w:val="21"/>
                <w:highlight w:val="none"/>
              </w:rPr>
            </w:pPr>
          </w:p>
        </w:tc>
        <w:tc>
          <w:tcPr>
            <w:tcW w:w="1518" w:type="dxa"/>
            <w:gridSpan w:val="3"/>
            <w:noWrap w:val="0"/>
            <w:vAlign w:val="center"/>
          </w:tcPr>
          <w:p>
            <w:pPr>
              <w:topLinePunct/>
              <w:spacing w:line="360" w:lineRule="auto"/>
              <w:jc w:val="center"/>
              <w:rPr>
                <w:rFonts w:ascii="宋体" w:hAnsi="宋体"/>
                <w:color w:val="auto"/>
                <w:spacing w:val="4"/>
                <w:szCs w:val="21"/>
                <w:highlight w:val="none"/>
              </w:rPr>
            </w:pPr>
          </w:p>
        </w:tc>
        <w:tc>
          <w:tcPr>
            <w:tcW w:w="1519" w:type="dxa"/>
            <w:gridSpan w:val="2"/>
            <w:noWrap w:val="0"/>
            <w:vAlign w:val="center"/>
          </w:tcPr>
          <w:p>
            <w:pPr>
              <w:topLinePunct/>
              <w:spacing w:line="360" w:lineRule="auto"/>
              <w:jc w:val="center"/>
              <w:rPr>
                <w:rFonts w:ascii="宋体" w:hAnsi="宋体"/>
                <w:color w:val="auto"/>
                <w:spacing w:val="4"/>
                <w:szCs w:val="21"/>
                <w:highlight w:val="none"/>
              </w:rPr>
            </w:pPr>
          </w:p>
        </w:tc>
        <w:tc>
          <w:tcPr>
            <w:tcW w:w="1518" w:type="dxa"/>
            <w:gridSpan w:val="3"/>
            <w:noWrap w:val="0"/>
            <w:vAlign w:val="center"/>
          </w:tcPr>
          <w:p>
            <w:pPr>
              <w:topLinePunct/>
              <w:spacing w:line="360" w:lineRule="auto"/>
              <w:jc w:val="center"/>
              <w:rPr>
                <w:rFonts w:ascii="宋体" w:hAnsi="宋体"/>
                <w:color w:val="auto"/>
                <w:spacing w:val="4"/>
                <w:szCs w:val="21"/>
                <w:highlight w:val="none"/>
              </w:rPr>
            </w:pPr>
          </w:p>
        </w:tc>
        <w:tc>
          <w:tcPr>
            <w:tcW w:w="1523" w:type="dxa"/>
            <w:gridSpan w:val="2"/>
            <w:noWrap w:val="0"/>
            <w:vAlign w:val="center"/>
          </w:tcPr>
          <w:p>
            <w:pPr>
              <w:topLinePunct/>
              <w:spacing w:line="360" w:lineRule="auto"/>
              <w:jc w:val="center"/>
              <w:rPr>
                <w:rFonts w:ascii="宋体" w:hAnsi="宋体"/>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color w:val="auto"/>
                <w:spacing w:val="4"/>
                <w:szCs w:val="21"/>
                <w:highlight w:val="none"/>
              </w:rPr>
            </w:pPr>
          </w:p>
        </w:tc>
        <w:tc>
          <w:tcPr>
            <w:tcW w:w="1519" w:type="dxa"/>
            <w:gridSpan w:val="2"/>
            <w:noWrap w:val="0"/>
            <w:vAlign w:val="center"/>
          </w:tcPr>
          <w:p>
            <w:pPr>
              <w:topLinePunct/>
              <w:spacing w:line="360" w:lineRule="auto"/>
              <w:jc w:val="center"/>
              <w:rPr>
                <w:rFonts w:ascii="宋体" w:hAnsi="宋体"/>
                <w:color w:val="auto"/>
                <w:spacing w:val="4"/>
                <w:szCs w:val="21"/>
                <w:highlight w:val="none"/>
              </w:rPr>
            </w:pPr>
          </w:p>
        </w:tc>
        <w:tc>
          <w:tcPr>
            <w:tcW w:w="1518" w:type="dxa"/>
            <w:gridSpan w:val="3"/>
            <w:noWrap w:val="0"/>
            <w:vAlign w:val="center"/>
          </w:tcPr>
          <w:p>
            <w:pPr>
              <w:topLinePunct/>
              <w:spacing w:line="360" w:lineRule="auto"/>
              <w:jc w:val="center"/>
              <w:rPr>
                <w:rFonts w:ascii="宋体" w:hAnsi="宋体"/>
                <w:color w:val="auto"/>
                <w:spacing w:val="4"/>
                <w:szCs w:val="21"/>
                <w:highlight w:val="none"/>
              </w:rPr>
            </w:pPr>
          </w:p>
        </w:tc>
        <w:tc>
          <w:tcPr>
            <w:tcW w:w="1519" w:type="dxa"/>
            <w:gridSpan w:val="2"/>
            <w:noWrap w:val="0"/>
            <w:vAlign w:val="center"/>
          </w:tcPr>
          <w:p>
            <w:pPr>
              <w:topLinePunct/>
              <w:spacing w:line="360" w:lineRule="auto"/>
              <w:jc w:val="center"/>
              <w:rPr>
                <w:rFonts w:ascii="宋体" w:hAnsi="宋体"/>
                <w:color w:val="auto"/>
                <w:spacing w:val="4"/>
                <w:szCs w:val="21"/>
                <w:highlight w:val="none"/>
              </w:rPr>
            </w:pPr>
          </w:p>
        </w:tc>
        <w:tc>
          <w:tcPr>
            <w:tcW w:w="1518" w:type="dxa"/>
            <w:gridSpan w:val="3"/>
            <w:noWrap w:val="0"/>
            <w:vAlign w:val="center"/>
          </w:tcPr>
          <w:p>
            <w:pPr>
              <w:topLinePunct/>
              <w:spacing w:line="360" w:lineRule="auto"/>
              <w:jc w:val="center"/>
              <w:rPr>
                <w:rFonts w:ascii="宋体" w:hAnsi="宋体"/>
                <w:color w:val="auto"/>
                <w:spacing w:val="4"/>
                <w:szCs w:val="21"/>
                <w:highlight w:val="none"/>
              </w:rPr>
            </w:pPr>
          </w:p>
        </w:tc>
        <w:tc>
          <w:tcPr>
            <w:tcW w:w="1523" w:type="dxa"/>
            <w:gridSpan w:val="2"/>
            <w:noWrap w:val="0"/>
            <w:vAlign w:val="center"/>
          </w:tcPr>
          <w:p>
            <w:pPr>
              <w:topLinePunct/>
              <w:spacing w:line="360" w:lineRule="auto"/>
              <w:jc w:val="center"/>
              <w:rPr>
                <w:rFonts w:ascii="宋体" w:hAnsi="宋体"/>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color w:val="auto"/>
                <w:spacing w:val="4"/>
                <w:szCs w:val="21"/>
                <w:highlight w:val="none"/>
              </w:rPr>
            </w:pPr>
          </w:p>
        </w:tc>
        <w:tc>
          <w:tcPr>
            <w:tcW w:w="1519" w:type="dxa"/>
            <w:gridSpan w:val="2"/>
            <w:noWrap w:val="0"/>
            <w:vAlign w:val="center"/>
          </w:tcPr>
          <w:p>
            <w:pPr>
              <w:topLinePunct/>
              <w:spacing w:line="360" w:lineRule="auto"/>
              <w:jc w:val="center"/>
              <w:rPr>
                <w:rFonts w:ascii="宋体" w:hAnsi="宋体"/>
                <w:color w:val="auto"/>
                <w:spacing w:val="4"/>
                <w:szCs w:val="21"/>
                <w:highlight w:val="none"/>
              </w:rPr>
            </w:pPr>
          </w:p>
        </w:tc>
        <w:tc>
          <w:tcPr>
            <w:tcW w:w="1518" w:type="dxa"/>
            <w:gridSpan w:val="3"/>
            <w:noWrap w:val="0"/>
            <w:vAlign w:val="center"/>
          </w:tcPr>
          <w:p>
            <w:pPr>
              <w:topLinePunct/>
              <w:spacing w:line="360" w:lineRule="auto"/>
              <w:jc w:val="center"/>
              <w:rPr>
                <w:rFonts w:ascii="宋体" w:hAnsi="宋体"/>
                <w:color w:val="auto"/>
                <w:spacing w:val="4"/>
                <w:szCs w:val="21"/>
                <w:highlight w:val="none"/>
              </w:rPr>
            </w:pPr>
          </w:p>
        </w:tc>
        <w:tc>
          <w:tcPr>
            <w:tcW w:w="1519" w:type="dxa"/>
            <w:gridSpan w:val="2"/>
            <w:noWrap w:val="0"/>
            <w:vAlign w:val="center"/>
          </w:tcPr>
          <w:p>
            <w:pPr>
              <w:topLinePunct/>
              <w:spacing w:line="360" w:lineRule="auto"/>
              <w:jc w:val="center"/>
              <w:rPr>
                <w:rFonts w:ascii="宋体" w:hAnsi="宋体"/>
                <w:color w:val="auto"/>
                <w:spacing w:val="4"/>
                <w:szCs w:val="21"/>
                <w:highlight w:val="none"/>
              </w:rPr>
            </w:pPr>
          </w:p>
        </w:tc>
        <w:tc>
          <w:tcPr>
            <w:tcW w:w="1518" w:type="dxa"/>
            <w:gridSpan w:val="3"/>
            <w:noWrap w:val="0"/>
            <w:vAlign w:val="center"/>
          </w:tcPr>
          <w:p>
            <w:pPr>
              <w:topLinePunct/>
              <w:spacing w:line="360" w:lineRule="auto"/>
              <w:jc w:val="center"/>
              <w:rPr>
                <w:rFonts w:ascii="宋体" w:hAnsi="宋体"/>
                <w:color w:val="auto"/>
                <w:spacing w:val="4"/>
                <w:szCs w:val="21"/>
                <w:highlight w:val="none"/>
              </w:rPr>
            </w:pPr>
          </w:p>
        </w:tc>
        <w:tc>
          <w:tcPr>
            <w:tcW w:w="1523" w:type="dxa"/>
            <w:gridSpan w:val="2"/>
            <w:noWrap w:val="0"/>
            <w:vAlign w:val="center"/>
          </w:tcPr>
          <w:p>
            <w:pPr>
              <w:topLinePunct/>
              <w:spacing w:line="360" w:lineRule="auto"/>
              <w:jc w:val="center"/>
              <w:rPr>
                <w:rFonts w:ascii="宋体" w:hAnsi="宋体"/>
                <w:color w:val="auto"/>
                <w:spacing w:val="4"/>
                <w:szCs w:val="21"/>
                <w:highlight w:val="none"/>
              </w:rPr>
            </w:pPr>
          </w:p>
        </w:tc>
      </w:tr>
    </w:tbl>
    <w:p>
      <w:pPr>
        <w:topLinePunct/>
        <w:spacing w:line="360" w:lineRule="auto"/>
        <w:ind w:firstLine="158" w:firstLineChars="80"/>
        <w:rPr>
          <w:rFonts w:hint="eastAsia" w:ascii="宋体" w:hAnsi="宋体"/>
          <w:color w:val="auto"/>
          <w:spacing w:val="-6"/>
          <w:szCs w:val="21"/>
          <w:highlight w:val="none"/>
        </w:rPr>
      </w:pPr>
    </w:p>
    <w:p>
      <w:pPr>
        <w:topLinePunct/>
        <w:spacing w:line="360" w:lineRule="auto"/>
        <w:ind w:firstLine="158" w:firstLineChars="80"/>
        <w:rPr>
          <w:rFonts w:ascii="宋体" w:hAnsi="宋体"/>
          <w:color w:val="auto"/>
          <w:spacing w:val="-6"/>
          <w:szCs w:val="21"/>
          <w:highlight w:val="none"/>
        </w:rPr>
      </w:pPr>
      <w:r>
        <w:rPr>
          <w:rFonts w:hint="eastAsia" w:ascii="宋体" w:hAnsi="宋体"/>
          <w:color w:val="auto"/>
          <w:spacing w:val="-6"/>
          <w:szCs w:val="21"/>
          <w:highlight w:val="none"/>
        </w:rPr>
        <w:t>注：表后附相关证明材料。</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投标人：　　（</w:t>
      </w:r>
      <w:r>
        <w:rPr>
          <w:rFonts w:hint="eastAsia" w:ascii="宋体" w:hAnsi="宋体"/>
          <w:color w:val="auto"/>
          <w:spacing w:val="4"/>
          <w:szCs w:val="21"/>
          <w:highlight w:val="none"/>
          <w:lang w:val="zh-CN"/>
        </w:rPr>
        <w:t>盖公章</w:t>
      </w:r>
      <w:r>
        <w:rPr>
          <w:rFonts w:hint="eastAsia" w:ascii="宋体" w:hAnsi="宋体"/>
          <w:color w:val="auto"/>
          <w:spacing w:val="4"/>
          <w:szCs w:val="21"/>
          <w:highlight w:val="none"/>
        </w:rPr>
        <w:t>或电子公章）</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 xml:space="preserve">日   期：    年    月    日 </w:t>
      </w:r>
    </w:p>
    <w:p>
      <w:pPr>
        <w:autoSpaceDE w:val="0"/>
        <w:autoSpaceDN w:val="0"/>
        <w:rPr>
          <w:rFonts w:ascii="宋体" w:hAnsi="宋体"/>
          <w:b/>
          <w:color w:val="auto"/>
          <w:szCs w:val="21"/>
          <w:highlight w:val="none"/>
        </w:rPr>
      </w:pPr>
    </w:p>
    <w:p>
      <w:pPr>
        <w:topLinePunct/>
        <w:spacing w:line="360" w:lineRule="auto"/>
        <w:rPr>
          <w:rFonts w:ascii="宋体" w:hAnsi="宋体"/>
          <w:b/>
          <w:color w:val="auto"/>
          <w:spacing w:val="4"/>
          <w:sz w:val="28"/>
          <w:szCs w:val="28"/>
          <w:highlight w:val="none"/>
        </w:rPr>
      </w:pPr>
      <w:r>
        <w:rPr>
          <w:rFonts w:ascii="宋体" w:hAnsi="宋体"/>
          <w:b/>
          <w:color w:val="auto"/>
          <w:sz w:val="24"/>
          <w:highlight w:val="none"/>
        </w:rPr>
        <w:br w:type="page"/>
      </w:r>
    </w:p>
    <w:p>
      <w:pPr>
        <w:pStyle w:val="18"/>
        <w:ind w:firstLine="6" w:firstLineChars="2"/>
        <w:jc w:val="center"/>
        <w:rPr>
          <w:color w:val="auto"/>
          <w:sz w:val="28"/>
          <w:szCs w:val="28"/>
          <w:highlight w:val="none"/>
        </w:rPr>
      </w:pPr>
      <w:r>
        <w:rPr>
          <w:rFonts w:hint="eastAsia" w:ascii="宋体" w:hAnsi="宋体"/>
          <w:b/>
          <w:color w:val="auto"/>
          <w:spacing w:val="4"/>
          <w:sz w:val="28"/>
          <w:szCs w:val="28"/>
          <w:highlight w:val="none"/>
        </w:rPr>
        <w:t>投入主要设计人员汇总表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964"/>
        <w:gridCol w:w="794"/>
        <w:gridCol w:w="914"/>
        <w:gridCol w:w="794"/>
        <w:gridCol w:w="958"/>
        <w:gridCol w:w="1094"/>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96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79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91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79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原任职务</w:t>
            </w:r>
          </w:p>
        </w:tc>
        <w:tc>
          <w:tcPr>
            <w:tcW w:w="95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在本项目任职</w:t>
            </w:r>
          </w:p>
        </w:tc>
        <w:tc>
          <w:tcPr>
            <w:tcW w:w="109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身份证号码</w:t>
            </w:r>
          </w:p>
        </w:tc>
        <w:tc>
          <w:tcPr>
            <w:tcW w:w="2306" w:type="dxa"/>
            <w:noWrap w:val="0"/>
            <w:vAlign w:val="top"/>
          </w:tcPr>
          <w:p>
            <w:pPr>
              <w:jc w:val="center"/>
              <w:rPr>
                <w:rFonts w:ascii="宋体" w:hAnsi="宋体"/>
                <w:color w:val="auto"/>
                <w:szCs w:val="21"/>
                <w:highlight w:val="none"/>
              </w:rPr>
            </w:pPr>
            <w:r>
              <w:rPr>
                <w:rFonts w:hint="eastAsia" w:ascii="宋体" w:hAnsi="宋体"/>
                <w:color w:val="auto"/>
                <w:szCs w:val="21"/>
                <w:highlight w:val="none"/>
              </w:rPr>
              <w:t>职称或执业或上岗（或岗位）证号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bCs/>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bCs/>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bCs/>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highlight w:val="none"/>
                <w:u w:val="single"/>
              </w:rPr>
            </w:pPr>
          </w:p>
        </w:tc>
      </w:tr>
    </w:tbl>
    <w:p>
      <w:pPr>
        <w:topLinePunct/>
        <w:spacing w:line="360" w:lineRule="auto"/>
        <w:ind w:firstLine="436" w:firstLineChars="200"/>
        <w:rPr>
          <w:rFonts w:ascii="宋体" w:hAnsi="宋体"/>
          <w:color w:val="auto"/>
          <w:spacing w:val="4"/>
          <w:szCs w:val="21"/>
          <w:highlight w:val="none"/>
        </w:rPr>
      </w:pPr>
      <w:r>
        <w:rPr>
          <w:rFonts w:hint="eastAsia" w:ascii="宋体" w:hAnsi="宋体"/>
          <w:color w:val="auto"/>
          <w:spacing w:val="4"/>
          <w:szCs w:val="21"/>
          <w:highlight w:val="none"/>
        </w:rPr>
        <w:t>注：</w:t>
      </w:r>
    </w:p>
    <w:p>
      <w:pPr>
        <w:topLinePunct/>
        <w:spacing w:line="360" w:lineRule="auto"/>
        <w:ind w:firstLine="436" w:firstLineChars="200"/>
        <w:rPr>
          <w:rFonts w:ascii="宋体" w:hAnsi="宋体"/>
          <w:color w:val="auto"/>
          <w:spacing w:val="4"/>
          <w:szCs w:val="21"/>
          <w:highlight w:val="none"/>
        </w:rPr>
      </w:pPr>
      <w:r>
        <w:rPr>
          <w:rFonts w:hint="eastAsia" w:ascii="宋体" w:hAnsi="宋体"/>
          <w:color w:val="auto"/>
          <w:spacing w:val="4"/>
          <w:szCs w:val="21"/>
          <w:highlight w:val="none"/>
        </w:rPr>
        <w:t>1、人数及资质等符合招标文件的要求，投标人可根据项目的需要增加相关人员；</w:t>
      </w:r>
    </w:p>
    <w:p>
      <w:pPr>
        <w:topLinePunct/>
        <w:spacing w:line="360" w:lineRule="auto"/>
        <w:ind w:firstLine="436" w:firstLineChars="200"/>
        <w:rPr>
          <w:rFonts w:ascii="宋体" w:hAnsi="宋体"/>
          <w:color w:val="auto"/>
          <w:spacing w:val="-6"/>
          <w:szCs w:val="21"/>
          <w:highlight w:val="none"/>
        </w:rPr>
      </w:pPr>
      <w:r>
        <w:rPr>
          <w:rFonts w:hint="eastAsia" w:ascii="宋体" w:hAnsi="宋体"/>
          <w:color w:val="auto"/>
          <w:spacing w:val="4"/>
          <w:szCs w:val="21"/>
          <w:highlight w:val="none"/>
        </w:rPr>
        <w:t>2、</w:t>
      </w:r>
      <w:r>
        <w:rPr>
          <w:rFonts w:hint="eastAsia" w:ascii="宋体" w:hAnsi="宋体"/>
          <w:color w:val="auto"/>
          <w:spacing w:val="-6"/>
          <w:szCs w:val="21"/>
          <w:highlight w:val="none"/>
        </w:rPr>
        <w:t>投入主要人员需按《主要设计人员简历表》格式附简历及相应证明资料。</w:t>
      </w:r>
    </w:p>
    <w:p>
      <w:pPr>
        <w:topLinePunct/>
        <w:spacing w:line="360" w:lineRule="auto"/>
        <w:ind w:firstLine="496" w:firstLineChars="200"/>
        <w:rPr>
          <w:rFonts w:ascii="宋体" w:hAnsi="宋体"/>
          <w:color w:val="auto"/>
          <w:spacing w:val="4"/>
          <w:sz w:val="24"/>
          <w:highlight w:val="none"/>
        </w:rPr>
      </w:pPr>
    </w:p>
    <w:p>
      <w:pPr>
        <w:topLinePunct/>
        <w:spacing w:line="360" w:lineRule="auto"/>
        <w:ind w:firstLine="496" w:firstLineChars="200"/>
        <w:rPr>
          <w:rFonts w:ascii="宋体" w:hAnsi="宋体"/>
          <w:color w:val="auto"/>
          <w:spacing w:val="4"/>
          <w:sz w:val="24"/>
          <w:highlight w:val="none"/>
        </w:rPr>
      </w:pP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投标人：　　（</w:t>
      </w:r>
      <w:r>
        <w:rPr>
          <w:rFonts w:hint="eastAsia" w:ascii="宋体" w:hAnsi="宋体"/>
          <w:color w:val="auto"/>
          <w:spacing w:val="4"/>
          <w:szCs w:val="21"/>
          <w:highlight w:val="none"/>
          <w:lang w:val="zh-CN"/>
        </w:rPr>
        <w:t>盖公章</w:t>
      </w:r>
      <w:r>
        <w:rPr>
          <w:rFonts w:hint="eastAsia" w:ascii="宋体" w:hAnsi="宋体"/>
          <w:color w:val="auto"/>
          <w:spacing w:val="4"/>
          <w:szCs w:val="21"/>
          <w:highlight w:val="none"/>
        </w:rPr>
        <w:t>或电子公章）</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日   期：    年    月    日</w:t>
      </w:r>
    </w:p>
    <w:p>
      <w:pPr>
        <w:topLinePunct/>
        <w:spacing w:line="360" w:lineRule="auto"/>
        <w:rPr>
          <w:rFonts w:ascii="宋体" w:hAnsi="宋体"/>
          <w:b/>
          <w:color w:val="auto"/>
          <w:spacing w:val="4"/>
          <w:szCs w:val="21"/>
          <w:highlight w:val="none"/>
        </w:rPr>
      </w:pPr>
      <w:r>
        <w:rPr>
          <w:rFonts w:ascii="宋体" w:hAnsi="宋体"/>
          <w:b/>
          <w:color w:val="auto"/>
          <w:spacing w:val="4"/>
          <w:szCs w:val="21"/>
          <w:highlight w:val="none"/>
        </w:rPr>
        <w:br w:type="page"/>
      </w:r>
    </w:p>
    <w:p>
      <w:pPr>
        <w:topLinePunct/>
        <w:spacing w:line="360" w:lineRule="auto"/>
        <w:jc w:val="center"/>
        <w:rPr>
          <w:rFonts w:hint="eastAsia" w:ascii="宋体" w:hAnsi="宋体"/>
          <w:b/>
          <w:color w:val="auto"/>
          <w:spacing w:val="4"/>
          <w:sz w:val="28"/>
          <w:szCs w:val="28"/>
          <w:highlight w:val="none"/>
        </w:rPr>
      </w:pPr>
      <w:r>
        <w:rPr>
          <w:rFonts w:hint="eastAsia" w:ascii="宋体" w:hAnsi="宋体"/>
          <w:b/>
          <w:color w:val="auto"/>
          <w:spacing w:val="4"/>
          <w:sz w:val="28"/>
          <w:szCs w:val="28"/>
          <w:highlight w:val="none"/>
        </w:rPr>
        <w:t>主要设计人员简历表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77"/>
        <w:gridCol w:w="1442"/>
        <w:gridCol w:w="16"/>
        <w:gridCol w:w="547"/>
        <w:gridCol w:w="955"/>
        <w:gridCol w:w="111"/>
        <w:gridCol w:w="1408"/>
        <w:gridCol w:w="625"/>
        <w:gridCol w:w="702"/>
        <w:gridCol w:w="191"/>
        <w:gridCol w:w="38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9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2005"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06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性别</w:t>
            </w:r>
          </w:p>
        </w:tc>
        <w:tc>
          <w:tcPr>
            <w:tcW w:w="2033"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276"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1140" w:type="dxa"/>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9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职务</w:t>
            </w:r>
          </w:p>
        </w:tc>
        <w:tc>
          <w:tcPr>
            <w:tcW w:w="2005"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06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2033"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276"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1140" w:type="dxa"/>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054" w:type="dxa"/>
            <w:gridSpan w:val="4"/>
            <w:noWrap w:val="0"/>
            <w:vAlign w:val="center"/>
          </w:tcPr>
          <w:p>
            <w:pPr>
              <w:jc w:val="center"/>
              <w:rPr>
                <w:rFonts w:ascii="宋体" w:hAnsi="宋体"/>
                <w:color w:val="auto"/>
                <w:szCs w:val="21"/>
                <w:highlight w:val="none"/>
              </w:rPr>
            </w:pPr>
            <w:r>
              <w:rPr>
                <w:rFonts w:hint="eastAsia" w:ascii="宋体" w:hAnsi="宋体"/>
                <w:color w:val="auto"/>
                <w:szCs w:val="21"/>
                <w:highlight w:val="none"/>
              </w:rPr>
              <w:t>参加工作时间</w:t>
            </w:r>
          </w:p>
        </w:tc>
        <w:tc>
          <w:tcPr>
            <w:tcW w:w="1613"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2735" w:type="dxa"/>
            <w:gridSpan w:val="3"/>
            <w:noWrap w:val="0"/>
            <w:vAlign w:val="center"/>
          </w:tcPr>
          <w:p>
            <w:pPr>
              <w:topLinePunct/>
              <w:spacing w:line="360" w:lineRule="auto"/>
              <w:jc w:val="center"/>
              <w:rPr>
                <w:rFonts w:ascii="宋体" w:hAnsi="宋体"/>
                <w:snapToGrid w:val="0"/>
                <w:color w:val="auto"/>
                <w:spacing w:val="4"/>
                <w:szCs w:val="21"/>
                <w:highlight w:val="none"/>
              </w:rPr>
            </w:pPr>
            <w:r>
              <w:rPr>
                <w:rFonts w:hint="eastAsia" w:ascii="宋体" w:hAnsi="宋体" w:cs="宋体"/>
                <w:snapToGrid w:val="0"/>
                <w:color w:val="auto"/>
                <w:spacing w:val="4"/>
                <w:szCs w:val="21"/>
                <w:highlight w:val="none"/>
              </w:rPr>
              <w:t>担任相应职务年限</w:t>
            </w:r>
          </w:p>
        </w:tc>
        <w:tc>
          <w:tcPr>
            <w:tcW w:w="1714" w:type="dxa"/>
            <w:gridSpan w:val="3"/>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054" w:type="dxa"/>
            <w:gridSpan w:val="4"/>
            <w:noWrap w:val="0"/>
            <w:vAlign w:val="center"/>
          </w:tcPr>
          <w:p>
            <w:pPr>
              <w:jc w:val="center"/>
              <w:rPr>
                <w:rFonts w:ascii="宋体" w:hAnsi="宋体"/>
                <w:color w:val="auto"/>
                <w:szCs w:val="21"/>
                <w:highlight w:val="none"/>
              </w:rPr>
            </w:pPr>
            <w:r>
              <w:rPr>
                <w:rFonts w:hint="eastAsia" w:ascii="宋体" w:hAnsi="宋体"/>
                <w:color w:val="auto"/>
                <w:szCs w:val="21"/>
                <w:highlight w:val="none"/>
              </w:rPr>
              <w:t>资格证书号</w:t>
            </w:r>
          </w:p>
        </w:tc>
        <w:tc>
          <w:tcPr>
            <w:tcW w:w="6062" w:type="dxa"/>
            <w:gridSpan w:val="9"/>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116" w:type="dxa"/>
            <w:gridSpan w:val="13"/>
            <w:noWrap w:val="0"/>
            <w:vAlign w:val="center"/>
          </w:tcPr>
          <w:p>
            <w:pPr>
              <w:topLinePunct/>
              <w:spacing w:line="360" w:lineRule="auto"/>
              <w:jc w:val="center"/>
              <w:rPr>
                <w:rFonts w:ascii="宋体" w:hAnsi="宋体"/>
                <w:snapToGrid w:val="0"/>
                <w:color w:val="auto"/>
                <w:spacing w:val="4"/>
                <w:szCs w:val="21"/>
                <w:highlight w:val="none"/>
              </w:rPr>
            </w:pPr>
            <w:r>
              <w:rPr>
                <w:rFonts w:hint="eastAsia" w:ascii="宋体" w:hAnsi="宋体" w:cs="宋体"/>
                <w:snapToGrid w:val="0"/>
                <w:color w:val="auto"/>
                <w:spacing w:val="4"/>
                <w:szCs w:val="21"/>
                <w:highlight w:val="none"/>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建设单位</w:t>
            </w:r>
          </w:p>
        </w:tc>
        <w:tc>
          <w:tcPr>
            <w:tcW w:w="1519"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1518"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建设规模</w:t>
            </w:r>
          </w:p>
        </w:tc>
        <w:tc>
          <w:tcPr>
            <w:tcW w:w="1519"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在该项目担任职务</w:t>
            </w:r>
          </w:p>
        </w:tc>
        <w:tc>
          <w:tcPr>
            <w:tcW w:w="1518"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设计工作完成时间</w:t>
            </w:r>
          </w:p>
        </w:tc>
        <w:tc>
          <w:tcPr>
            <w:tcW w:w="1523"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23" w:type="dxa"/>
            <w:gridSpan w:val="2"/>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23" w:type="dxa"/>
            <w:gridSpan w:val="2"/>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23" w:type="dxa"/>
            <w:gridSpan w:val="2"/>
            <w:noWrap w:val="0"/>
            <w:vAlign w:val="center"/>
          </w:tcPr>
          <w:p>
            <w:pPr>
              <w:topLinePunct/>
              <w:spacing w:line="360" w:lineRule="auto"/>
              <w:jc w:val="center"/>
              <w:rPr>
                <w:rFonts w:ascii="宋体" w:hAnsi="宋体"/>
                <w:snapToGrid w:val="0"/>
                <w:color w:val="auto"/>
                <w:spacing w:val="4"/>
                <w:szCs w:val="21"/>
                <w:highlight w:val="none"/>
              </w:rPr>
            </w:pPr>
          </w:p>
        </w:tc>
      </w:tr>
    </w:tbl>
    <w:p>
      <w:pPr>
        <w:topLinePunct/>
        <w:spacing w:line="360" w:lineRule="auto"/>
        <w:ind w:firstLine="158" w:firstLineChars="80"/>
        <w:rPr>
          <w:rFonts w:hint="eastAsia" w:ascii="宋体" w:hAnsi="宋体"/>
          <w:color w:val="auto"/>
          <w:spacing w:val="-6"/>
          <w:szCs w:val="21"/>
          <w:highlight w:val="none"/>
        </w:rPr>
      </w:pPr>
    </w:p>
    <w:p>
      <w:pPr>
        <w:topLinePunct/>
        <w:spacing w:line="360" w:lineRule="auto"/>
        <w:ind w:firstLine="158" w:firstLineChars="80"/>
        <w:rPr>
          <w:rFonts w:hint="eastAsia" w:ascii="宋体" w:hAnsi="宋体"/>
          <w:color w:val="auto"/>
          <w:spacing w:val="-6"/>
          <w:szCs w:val="21"/>
          <w:highlight w:val="none"/>
        </w:rPr>
      </w:pPr>
    </w:p>
    <w:p>
      <w:pPr>
        <w:topLinePunct/>
        <w:spacing w:line="360" w:lineRule="auto"/>
        <w:ind w:firstLine="158" w:firstLineChars="80"/>
        <w:rPr>
          <w:rFonts w:ascii="宋体" w:hAnsi="宋体"/>
          <w:color w:val="auto"/>
          <w:spacing w:val="-6"/>
          <w:szCs w:val="21"/>
          <w:highlight w:val="none"/>
        </w:rPr>
      </w:pPr>
      <w:r>
        <w:rPr>
          <w:rFonts w:hint="eastAsia" w:ascii="宋体" w:hAnsi="宋体"/>
          <w:color w:val="auto"/>
          <w:spacing w:val="-6"/>
          <w:szCs w:val="21"/>
          <w:highlight w:val="none"/>
        </w:rPr>
        <w:t>注：表后附相关证明材料。</w:t>
      </w:r>
    </w:p>
    <w:p>
      <w:pPr>
        <w:topLinePunct/>
        <w:spacing w:line="360" w:lineRule="auto"/>
        <w:ind w:firstLine="436" w:firstLineChars="200"/>
        <w:rPr>
          <w:rFonts w:ascii="宋体" w:hAnsi="宋体"/>
          <w:color w:val="auto"/>
          <w:spacing w:val="4"/>
          <w:szCs w:val="21"/>
          <w:highlight w:val="none"/>
        </w:rPr>
      </w:pPr>
    </w:p>
    <w:p>
      <w:pPr>
        <w:topLinePunct/>
        <w:spacing w:line="360" w:lineRule="auto"/>
        <w:ind w:firstLine="436" w:firstLineChars="200"/>
        <w:rPr>
          <w:rFonts w:ascii="宋体" w:hAnsi="宋体"/>
          <w:color w:val="auto"/>
          <w:spacing w:val="4"/>
          <w:szCs w:val="21"/>
          <w:highlight w:val="none"/>
        </w:rPr>
      </w:pP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投标人：　　（</w:t>
      </w:r>
      <w:r>
        <w:rPr>
          <w:rFonts w:hint="eastAsia" w:ascii="宋体" w:hAnsi="宋体"/>
          <w:color w:val="auto"/>
          <w:spacing w:val="4"/>
          <w:szCs w:val="21"/>
          <w:highlight w:val="none"/>
          <w:lang w:val="zh-CN"/>
        </w:rPr>
        <w:t>盖公章</w:t>
      </w:r>
      <w:r>
        <w:rPr>
          <w:rFonts w:hint="eastAsia" w:ascii="宋体" w:hAnsi="宋体"/>
          <w:color w:val="auto"/>
          <w:spacing w:val="4"/>
          <w:szCs w:val="21"/>
          <w:highlight w:val="none"/>
        </w:rPr>
        <w:t>或电子公章）</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 xml:space="preserve">日   期：    年    月    日 </w:t>
      </w:r>
    </w:p>
    <w:p>
      <w:pPr>
        <w:topLinePunct/>
        <w:spacing w:line="360" w:lineRule="auto"/>
        <w:rPr>
          <w:rFonts w:ascii="宋体" w:hAnsi="宋体"/>
          <w:b/>
          <w:color w:val="auto"/>
          <w:spacing w:val="4"/>
          <w:sz w:val="28"/>
          <w:szCs w:val="28"/>
          <w:highlight w:val="none"/>
        </w:rPr>
      </w:pPr>
      <w:r>
        <w:rPr>
          <w:color w:val="auto"/>
          <w:highlight w:val="none"/>
        </w:rPr>
        <w:br w:type="page"/>
      </w:r>
    </w:p>
    <w:p>
      <w:pPr>
        <w:pStyle w:val="18"/>
        <w:ind w:firstLine="6" w:firstLineChars="2"/>
        <w:jc w:val="center"/>
        <w:rPr>
          <w:color w:val="auto"/>
          <w:sz w:val="28"/>
          <w:szCs w:val="28"/>
          <w:highlight w:val="none"/>
        </w:rPr>
      </w:pPr>
      <w:r>
        <w:rPr>
          <w:rFonts w:hint="eastAsia" w:ascii="宋体" w:hAnsi="宋体"/>
          <w:b/>
          <w:color w:val="auto"/>
          <w:spacing w:val="4"/>
          <w:sz w:val="28"/>
          <w:szCs w:val="28"/>
          <w:highlight w:val="none"/>
        </w:rPr>
        <w:t>投入主要勘察人员汇总表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964"/>
        <w:gridCol w:w="794"/>
        <w:gridCol w:w="914"/>
        <w:gridCol w:w="794"/>
        <w:gridCol w:w="958"/>
        <w:gridCol w:w="1094"/>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96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79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91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79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原任职务</w:t>
            </w:r>
          </w:p>
        </w:tc>
        <w:tc>
          <w:tcPr>
            <w:tcW w:w="958"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在本项目任职</w:t>
            </w:r>
          </w:p>
        </w:tc>
        <w:tc>
          <w:tcPr>
            <w:tcW w:w="109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身份证号码</w:t>
            </w:r>
          </w:p>
        </w:tc>
        <w:tc>
          <w:tcPr>
            <w:tcW w:w="2306" w:type="dxa"/>
            <w:noWrap w:val="0"/>
            <w:vAlign w:val="top"/>
          </w:tcPr>
          <w:p>
            <w:pPr>
              <w:jc w:val="center"/>
              <w:rPr>
                <w:rFonts w:ascii="宋体" w:hAnsi="宋体"/>
                <w:color w:val="auto"/>
                <w:szCs w:val="21"/>
                <w:highlight w:val="none"/>
              </w:rPr>
            </w:pPr>
            <w:r>
              <w:rPr>
                <w:rFonts w:hint="eastAsia" w:ascii="宋体" w:hAnsi="宋体"/>
                <w:color w:val="auto"/>
                <w:szCs w:val="21"/>
                <w:highlight w:val="none"/>
              </w:rPr>
              <w:t>职称或执业或上岗（或岗位）证号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bCs/>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bCs/>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698" w:type="dxa"/>
            <w:noWrap w:val="0"/>
            <w:vAlign w:val="center"/>
          </w:tcPr>
          <w:p>
            <w:pPr>
              <w:rPr>
                <w:rFonts w:ascii="宋体" w:hAnsi="宋体"/>
                <w:color w:val="auto"/>
                <w:szCs w:val="21"/>
                <w:highlight w:val="none"/>
              </w:rPr>
            </w:pPr>
          </w:p>
        </w:tc>
        <w:tc>
          <w:tcPr>
            <w:tcW w:w="96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14" w:type="dxa"/>
            <w:noWrap w:val="0"/>
            <w:vAlign w:val="center"/>
          </w:tcPr>
          <w:p>
            <w:pPr>
              <w:rPr>
                <w:rFonts w:ascii="宋体" w:hAnsi="宋体"/>
                <w:color w:val="auto"/>
                <w:szCs w:val="21"/>
                <w:highlight w:val="none"/>
              </w:rPr>
            </w:pPr>
          </w:p>
        </w:tc>
        <w:tc>
          <w:tcPr>
            <w:tcW w:w="794" w:type="dxa"/>
            <w:noWrap w:val="0"/>
            <w:vAlign w:val="center"/>
          </w:tcPr>
          <w:p>
            <w:pPr>
              <w:rPr>
                <w:rFonts w:ascii="宋体" w:hAnsi="宋体"/>
                <w:color w:val="auto"/>
                <w:szCs w:val="21"/>
                <w:highlight w:val="none"/>
              </w:rPr>
            </w:pPr>
          </w:p>
        </w:tc>
        <w:tc>
          <w:tcPr>
            <w:tcW w:w="958" w:type="dxa"/>
            <w:noWrap w:val="0"/>
            <w:vAlign w:val="center"/>
          </w:tcPr>
          <w:p>
            <w:pPr>
              <w:rPr>
                <w:rFonts w:ascii="宋体" w:hAnsi="宋体"/>
                <w:bCs/>
                <w:color w:val="auto"/>
                <w:szCs w:val="21"/>
                <w:highlight w:val="none"/>
              </w:rPr>
            </w:pPr>
          </w:p>
        </w:tc>
        <w:tc>
          <w:tcPr>
            <w:tcW w:w="1094" w:type="dxa"/>
            <w:noWrap w:val="0"/>
            <w:vAlign w:val="center"/>
          </w:tcPr>
          <w:p>
            <w:pPr>
              <w:rPr>
                <w:rFonts w:ascii="宋体" w:hAnsi="宋体"/>
                <w:color w:val="auto"/>
                <w:szCs w:val="21"/>
                <w:highlight w:val="none"/>
              </w:rPr>
            </w:pPr>
          </w:p>
        </w:tc>
        <w:tc>
          <w:tcPr>
            <w:tcW w:w="2306" w:type="dxa"/>
            <w:noWrap w:val="0"/>
            <w:vAlign w:val="top"/>
          </w:tcPr>
          <w:p>
            <w:pPr>
              <w:rPr>
                <w:rFonts w:ascii="宋体" w:hAnsi="宋体"/>
                <w:color w:val="auto"/>
                <w:highlight w:val="none"/>
                <w:u w:val="single"/>
              </w:rPr>
            </w:pPr>
          </w:p>
        </w:tc>
      </w:tr>
    </w:tbl>
    <w:p>
      <w:pPr>
        <w:topLinePunct/>
        <w:spacing w:line="360" w:lineRule="auto"/>
        <w:ind w:firstLine="436" w:firstLineChars="200"/>
        <w:rPr>
          <w:rFonts w:ascii="宋体" w:hAnsi="宋体"/>
          <w:color w:val="auto"/>
          <w:spacing w:val="4"/>
          <w:szCs w:val="21"/>
          <w:highlight w:val="none"/>
        </w:rPr>
      </w:pPr>
      <w:r>
        <w:rPr>
          <w:rFonts w:hint="eastAsia" w:ascii="宋体" w:hAnsi="宋体"/>
          <w:color w:val="auto"/>
          <w:spacing w:val="4"/>
          <w:szCs w:val="21"/>
          <w:highlight w:val="none"/>
        </w:rPr>
        <w:t>注：</w:t>
      </w:r>
    </w:p>
    <w:p>
      <w:pPr>
        <w:topLinePunct/>
        <w:spacing w:line="360" w:lineRule="auto"/>
        <w:ind w:firstLine="436" w:firstLineChars="200"/>
        <w:rPr>
          <w:rFonts w:ascii="宋体" w:hAnsi="宋体"/>
          <w:color w:val="auto"/>
          <w:spacing w:val="4"/>
          <w:szCs w:val="21"/>
          <w:highlight w:val="none"/>
        </w:rPr>
      </w:pPr>
      <w:r>
        <w:rPr>
          <w:rFonts w:hint="eastAsia" w:ascii="宋体" w:hAnsi="宋体"/>
          <w:color w:val="auto"/>
          <w:spacing w:val="4"/>
          <w:szCs w:val="21"/>
          <w:highlight w:val="none"/>
        </w:rPr>
        <w:t>1、人数及资质等符合招标文件的要求，投标人可根据项目的需要增加相关人员；</w:t>
      </w:r>
    </w:p>
    <w:p>
      <w:pPr>
        <w:topLinePunct/>
        <w:spacing w:line="360" w:lineRule="auto"/>
        <w:ind w:firstLine="436" w:firstLineChars="200"/>
        <w:rPr>
          <w:rFonts w:ascii="宋体" w:hAnsi="宋体"/>
          <w:color w:val="auto"/>
          <w:spacing w:val="-6"/>
          <w:szCs w:val="21"/>
          <w:highlight w:val="none"/>
        </w:rPr>
      </w:pPr>
      <w:r>
        <w:rPr>
          <w:rFonts w:hint="eastAsia" w:ascii="宋体" w:hAnsi="宋体"/>
          <w:color w:val="auto"/>
          <w:spacing w:val="4"/>
          <w:szCs w:val="21"/>
          <w:highlight w:val="none"/>
        </w:rPr>
        <w:t>2、</w:t>
      </w:r>
      <w:r>
        <w:rPr>
          <w:rFonts w:hint="eastAsia" w:ascii="宋体" w:hAnsi="宋体"/>
          <w:color w:val="auto"/>
          <w:spacing w:val="-6"/>
          <w:szCs w:val="21"/>
          <w:highlight w:val="none"/>
        </w:rPr>
        <w:t>投入主要人员需按《主要勘察人员简历表》格式附简历及相应证明资料。</w:t>
      </w:r>
    </w:p>
    <w:p>
      <w:pPr>
        <w:topLinePunct/>
        <w:spacing w:line="360" w:lineRule="auto"/>
        <w:ind w:firstLine="496" w:firstLineChars="200"/>
        <w:rPr>
          <w:rFonts w:ascii="宋体" w:hAnsi="宋体"/>
          <w:color w:val="auto"/>
          <w:spacing w:val="4"/>
          <w:sz w:val="24"/>
          <w:highlight w:val="none"/>
        </w:rPr>
      </w:pPr>
    </w:p>
    <w:p>
      <w:pPr>
        <w:topLinePunct/>
        <w:spacing w:line="360" w:lineRule="auto"/>
        <w:ind w:firstLine="496" w:firstLineChars="200"/>
        <w:rPr>
          <w:rFonts w:ascii="宋体" w:hAnsi="宋体"/>
          <w:color w:val="auto"/>
          <w:spacing w:val="4"/>
          <w:sz w:val="24"/>
          <w:highlight w:val="none"/>
        </w:rPr>
      </w:pP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投标人：　　（</w:t>
      </w:r>
      <w:r>
        <w:rPr>
          <w:rFonts w:hint="eastAsia" w:ascii="宋体" w:hAnsi="宋体"/>
          <w:color w:val="auto"/>
          <w:spacing w:val="4"/>
          <w:szCs w:val="21"/>
          <w:highlight w:val="none"/>
          <w:lang w:val="zh-CN"/>
        </w:rPr>
        <w:t>盖公章</w:t>
      </w:r>
      <w:r>
        <w:rPr>
          <w:rFonts w:hint="eastAsia" w:ascii="宋体" w:hAnsi="宋体"/>
          <w:color w:val="auto"/>
          <w:spacing w:val="4"/>
          <w:szCs w:val="21"/>
          <w:highlight w:val="none"/>
        </w:rPr>
        <w:t>或电子公章）</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日   期：    年    月    日</w:t>
      </w:r>
    </w:p>
    <w:p>
      <w:pPr>
        <w:topLinePunct/>
        <w:spacing w:line="360" w:lineRule="auto"/>
        <w:rPr>
          <w:rFonts w:ascii="宋体" w:hAnsi="宋体"/>
          <w:b/>
          <w:color w:val="auto"/>
          <w:spacing w:val="4"/>
          <w:szCs w:val="21"/>
          <w:highlight w:val="none"/>
        </w:rPr>
      </w:pPr>
      <w:r>
        <w:rPr>
          <w:rFonts w:ascii="宋体" w:hAnsi="宋体"/>
          <w:b/>
          <w:color w:val="auto"/>
          <w:spacing w:val="4"/>
          <w:szCs w:val="21"/>
          <w:highlight w:val="none"/>
        </w:rPr>
        <w:br w:type="page"/>
      </w:r>
    </w:p>
    <w:p>
      <w:pPr>
        <w:topLinePunct/>
        <w:spacing w:line="360" w:lineRule="auto"/>
        <w:jc w:val="center"/>
        <w:rPr>
          <w:rFonts w:hint="eastAsia" w:ascii="宋体" w:hAnsi="宋体"/>
          <w:b/>
          <w:color w:val="auto"/>
          <w:spacing w:val="4"/>
          <w:sz w:val="28"/>
          <w:szCs w:val="28"/>
          <w:highlight w:val="none"/>
        </w:rPr>
      </w:pPr>
      <w:r>
        <w:rPr>
          <w:rFonts w:hint="eastAsia" w:ascii="宋体" w:hAnsi="宋体"/>
          <w:b/>
          <w:color w:val="auto"/>
          <w:spacing w:val="4"/>
          <w:sz w:val="28"/>
          <w:szCs w:val="28"/>
          <w:highlight w:val="none"/>
        </w:rPr>
        <w:t>主要勘察人员简历表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77"/>
        <w:gridCol w:w="1442"/>
        <w:gridCol w:w="16"/>
        <w:gridCol w:w="547"/>
        <w:gridCol w:w="955"/>
        <w:gridCol w:w="111"/>
        <w:gridCol w:w="1408"/>
        <w:gridCol w:w="625"/>
        <w:gridCol w:w="702"/>
        <w:gridCol w:w="191"/>
        <w:gridCol w:w="38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9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姓名</w:t>
            </w:r>
          </w:p>
        </w:tc>
        <w:tc>
          <w:tcPr>
            <w:tcW w:w="2005"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06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性别</w:t>
            </w:r>
          </w:p>
        </w:tc>
        <w:tc>
          <w:tcPr>
            <w:tcW w:w="2033"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276"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年龄</w:t>
            </w:r>
          </w:p>
        </w:tc>
        <w:tc>
          <w:tcPr>
            <w:tcW w:w="1140" w:type="dxa"/>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9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职务</w:t>
            </w:r>
          </w:p>
        </w:tc>
        <w:tc>
          <w:tcPr>
            <w:tcW w:w="2005"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06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职称</w:t>
            </w:r>
          </w:p>
        </w:tc>
        <w:tc>
          <w:tcPr>
            <w:tcW w:w="2033"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276"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1140" w:type="dxa"/>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054" w:type="dxa"/>
            <w:gridSpan w:val="4"/>
            <w:noWrap w:val="0"/>
            <w:vAlign w:val="center"/>
          </w:tcPr>
          <w:p>
            <w:pPr>
              <w:jc w:val="center"/>
              <w:rPr>
                <w:rFonts w:ascii="宋体" w:hAnsi="宋体"/>
                <w:color w:val="auto"/>
                <w:szCs w:val="21"/>
                <w:highlight w:val="none"/>
              </w:rPr>
            </w:pPr>
            <w:r>
              <w:rPr>
                <w:rFonts w:hint="eastAsia" w:ascii="宋体" w:hAnsi="宋体"/>
                <w:color w:val="auto"/>
                <w:szCs w:val="21"/>
                <w:highlight w:val="none"/>
              </w:rPr>
              <w:t>参加工作时间</w:t>
            </w:r>
          </w:p>
        </w:tc>
        <w:tc>
          <w:tcPr>
            <w:tcW w:w="1613"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2735" w:type="dxa"/>
            <w:gridSpan w:val="3"/>
            <w:noWrap w:val="0"/>
            <w:vAlign w:val="center"/>
          </w:tcPr>
          <w:p>
            <w:pPr>
              <w:topLinePunct/>
              <w:spacing w:line="360" w:lineRule="auto"/>
              <w:jc w:val="center"/>
              <w:rPr>
                <w:rFonts w:ascii="宋体" w:hAnsi="宋体"/>
                <w:snapToGrid w:val="0"/>
                <w:color w:val="auto"/>
                <w:spacing w:val="4"/>
                <w:szCs w:val="21"/>
                <w:highlight w:val="none"/>
              </w:rPr>
            </w:pPr>
            <w:r>
              <w:rPr>
                <w:rFonts w:hint="eastAsia" w:ascii="宋体" w:hAnsi="宋体" w:cs="宋体"/>
                <w:snapToGrid w:val="0"/>
                <w:color w:val="auto"/>
                <w:spacing w:val="4"/>
                <w:szCs w:val="21"/>
                <w:highlight w:val="none"/>
              </w:rPr>
              <w:t>担任相应职务年限</w:t>
            </w:r>
          </w:p>
        </w:tc>
        <w:tc>
          <w:tcPr>
            <w:tcW w:w="1714" w:type="dxa"/>
            <w:gridSpan w:val="3"/>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054" w:type="dxa"/>
            <w:gridSpan w:val="4"/>
            <w:noWrap w:val="0"/>
            <w:vAlign w:val="center"/>
          </w:tcPr>
          <w:p>
            <w:pPr>
              <w:jc w:val="center"/>
              <w:rPr>
                <w:rFonts w:ascii="宋体" w:hAnsi="宋体"/>
                <w:color w:val="auto"/>
                <w:szCs w:val="21"/>
                <w:highlight w:val="none"/>
              </w:rPr>
            </w:pPr>
            <w:r>
              <w:rPr>
                <w:rFonts w:hint="eastAsia" w:ascii="宋体" w:hAnsi="宋体"/>
                <w:color w:val="auto"/>
                <w:szCs w:val="21"/>
                <w:highlight w:val="none"/>
              </w:rPr>
              <w:t>资格证书号</w:t>
            </w:r>
          </w:p>
        </w:tc>
        <w:tc>
          <w:tcPr>
            <w:tcW w:w="6062" w:type="dxa"/>
            <w:gridSpan w:val="9"/>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116" w:type="dxa"/>
            <w:gridSpan w:val="13"/>
            <w:noWrap w:val="0"/>
            <w:vAlign w:val="center"/>
          </w:tcPr>
          <w:p>
            <w:pPr>
              <w:topLinePunct/>
              <w:spacing w:line="360" w:lineRule="auto"/>
              <w:jc w:val="center"/>
              <w:rPr>
                <w:rFonts w:ascii="宋体" w:hAnsi="宋体"/>
                <w:snapToGrid w:val="0"/>
                <w:color w:val="auto"/>
                <w:spacing w:val="4"/>
                <w:szCs w:val="21"/>
                <w:highlight w:val="none"/>
              </w:rPr>
            </w:pPr>
            <w:r>
              <w:rPr>
                <w:rFonts w:hint="eastAsia" w:ascii="宋体" w:hAnsi="宋体" w:cs="宋体"/>
                <w:snapToGrid w:val="0"/>
                <w:color w:val="auto"/>
                <w:spacing w:val="4"/>
                <w:szCs w:val="21"/>
                <w:highlight w:val="none"/>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建设单位</w:t>
            </w:r>
          </w:p>
        </w:tc>
        <w:tc>
          <w:tcPr>
            <w:tcW w:w="1519"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1518"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建设规模</w:t>
            </w:r>
          </w:p>
        </w:tc>
        <w:tc>
          <w:tcPr>
            <w:tcW w:w="1519"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在该项目担任职务</w:t>
            </w:r>
          </w:p>
        </w:tc>
        <w:tc>
          <w:tcPr>
            <w:tcW w:w="1518" w:type="dxa"/>
            <w:gridSpan w:val="3"/>
            <w:noWrap w:val="0"/>
            <w:vAlign w:val="center"/>
          </w:tcPr>
          <w:p>
            <w:pPr>
              <w:jc w:val="center"/>
              <w:rPr>
                <w:rFonts w:ascii="宋体" w:hAnsi="宋体"/>
                <w:color w:val="auto"/>
                <w:szCs w:val="21"/>
                <w:highlight w:val="none"/>
              </w:rPr>
            </w:pPr>
            <w:r>
              <w:rPr>
                <w:rFonts w:hint="eastAsia" w:ascii="宋体" w:hAnsi="宋体"/>
                <w:color w:val="auto"/>
                <w:szCs w:val="21"/>
                <w:highlight w:val="none"/>
              </w:rPr>
              <w:t>勘察工作完成时间</w:t>
            </w:r>
          </w:p>
        </w:tc>
        <w:tc>
          <w:tcPr>
            <w:tcW w:w="1523"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23" w:type="dxa"/>
            <w:gridSpan w:val="2"/>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23" w:type="dxa"/>
            <w:gridSpan w:val="2"/>
            <w:noWrap w:val="0"/>
            <w:vAlign w:val="center"/>
          </w:tcPr>
          <w:p>
            <w:pPr>
              <w:topLinePunct/>
              <w:spacing w:line="360" w:lineRule="auto"/>
              <w:jc w:val="center"/>
              <w:rPr>
                <w:rFonts w:ascii="宋体" w:hAnsi="宋体"/>
                <w:snapToGrid w:val="0"/>
                <w:color w:val="auto"/>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519" w:type="dxa"/>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19" w:type="dxa"/>
            <w:gridSpan w:val="2"/>
            <w:noWrap w:val="0"/>
            <w:vAlign w:val="center"/>
          </w:tcPr>
          <w:p>
            <w:pPr>
              <w:topLinePunct/>
              <w:spacing w:line="360" w:lineRule="auto"/>
              <w:jc w:val="center"/>
              <w:rPr>
                <w:rFonts w:ascii="宋体" w:hAnsi="宋体"/>
                <w:snapToGrid w:val="0"/>
                <w:color w:val="auto"/>
                <w:spacing w:val="4"/>
                <w:szCs w:val="21"/>
                <w:highlight w:val="none"/>
              </w:rPr>
            </w:pPr>
          </w:p>
        </w:tc>
        <w:tc>
          <w:tcPr>
            <w:tcW w:w="1518" w:type="dxa"/>
            <w:gridSpan w:val="3"/>
            <w:noWrap w:val="0"/>
            <w:vAlign w:val="center"/>
          </w:tcPr>
          <w:p>
            <w:pPr>
              <w:topLinePunct/>
              <w:spacing w:line="360" w:lineRule="auto"/>
              <w:jc w:val="center"/>
              <w:rPr>
                <w:rFonts w:ascii="宋体" w:hAnsi="宋体"/>
                <w:snapToGrid w:val="0"/>
                <w:color w:val="auto"/>
                <w:spacing w:val="4"/>
                <w:szCs w:val="21"/>
                <w:highlight w:val="none"/>
              </w:rPr>
            </w:pPr>
          </w:p>
        </w:tc>
        <w:tc>
          <w:tcPr>
            <w:tcW w:w="1523" w:type="dxa"/>
            <w:gridSpan w:val="2"/>
            <w:noWrap w:val="0"/>
            <w:vAlign w:val="center"/>
          </w:tcPr>
          <w:p>
            <w:pPr>
              <w:topLinePunct/>
              <w:spacing w:line="360" w:lineRule="auto"/>
              <w:jc w:val="center"/>
              <w:rPr>
                <w:rFonts w:ascii="宋体" w:hAnsi="宋体"/>
                <w:snapToGrid w:val="0"/>
                <w:color w:val="auto"/>
                <w:spacing w:val="4"/>
                <w:szCs w:val="21"/>
                <w:highlight w:val="none"/>
              </w:rPr>
            </w:pPr>
          </w:p>
        </w:tc>
      </w:tr>
    </w:tbl>
    <w:p>
      <w:pPr>
        <w:topLinePunct/>
        <w:spacing w:line="360" w:lineRule="auto"/>
        <w:ind w:firstLine="158" w:firstLineChars="80"/>
        <w:rPr>
          <w:rFonts w:hint="eastAsia" w:ascii="宋体" w:hAnsi="宋体"/>
          <w:color w:val="auto"/>
          <w:spacing w:val="-6"/>
          <w:szCs w:val="21"/>
          <w:highlight w:val="none"/>
        </w:rPr>
      </w:pPr>
    </w:p>
    <w:p>
      <w:pPr>
        <w:topLinePunct/>
        <w:spacing w:line="360" w:lineRule="auto"/>
        <w:ind w:firstLine="158" w:firstLineChars="80"/>
        <w:rPr>
          <w:rFonts w:hint="eastAsia" w:ascii="宋体" w:hAnsi="宋体"/>
          <w:color w:val="auto"/>
          <w:spacing w:val="-6"/>
          <w:szCs w:val="21"/>
          <w:highlight w:val="none"/>
        </w:rPr>
      </w:pPr>
    </w:p>
    <w:p>
      <w:pPr>
        <w:topLinePunct/>
        <w:spacing w:line="360" w:lineRule="auto"/>
        <w:ind w:firstLine="158" w:firstLineChars="80"/>
        <w:rPr>
          <w:rFonts w:ascii="宋体" w:hAnsi="宋体"/>
          <w:color w:val="auto"/>
          <w:spacing w:val="-6"/>
          <w:szCs w:val="21"/>
          <w:highlight w:val="none"/>
        </w:rPr>
      </w:pPr>
      <w:r>
        <w:rPr>
          <w:rFonts w:hint="eastAsia" w:ascii="宋体" w:hAnsi="宋体"/>
          <w:color w:val="auto"/>
          <w:spacing w:val="-6"/>
          <w:szCs w:val="21"/>
          <w:highlight w:val="none"/>
        </w:rPr>
        <w:t>注：表后附相关证明材料。</w:t>
      </w:r>
    </w:p>
    <w:p>
      <w:pPr>
        <w:topLinePunct/>
        <w:spacing w:line="360" w:lineRule="auto"/>
        <w:ind w:firstLine="436" w:firstLineChars="200"/>
        <w:rPr>
          <w:rFonts w:ascii="宋体" w:hAnsi="宋体"/>
          <w:color w:val="auto"/>
          <w:spacing w:val="4"/>
          <w:szCs w:val="21"/>
          <w:highlight w:val="none"/>
        </w:rPr>
      </w:pPr>
    </w:p>
    <w:p>
      <w:pPr>
        <w:topLinePunct/>
        <w:spacing w:line="360" w:lineRule="auto"/>
        <w:ind w:firstLine="436" w:firstLineChars="200"/>
        <w:rPr>
          <w:rFonts w:ascii="宋体" w:hAnsi="宋体"/>
          <w:color w:val="auto"/>
          <w:spacing w:val="4"/>
          <w:szCs w:val="21"/>
          <w:highlight w:val="none"/>
        </w:rPr>
      </w:pP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投标人：　　（</w:t>
      </w:r>
      <w:r>
        <w:rPr>
          <w:rFonts w:hint="eastAsia" w:ascii="宋体" w:hAnsi="宋体"/>
          <w:color w:val="auto"/>
          <w:spacing w:val="4"/>
          <w:szCs w:val="21"/>
          <w:highlight w:val="none"/>
          <w:lang w:val="zh-CN"/>
        </w:rPr>
        <w:t>盖公章</w:t>
      </w:r>
      <w:r>
        <w:rPr>
          <w:rFonts w:hint="eastAsia" w:ascii="宋体" w:hAnsi="宋体"/>
          <w:color w:val="auto"/>
          <w:spacing w:val="4"/>
          <w:szCs w:val="21"/>
          <w:highlight w:val="none"/>
        </w:rPr>
        <w:t>或电子公章）</w:t>
      </w:r>
    </w:p>
    <w:p>
      <w:pPr>
        <w:topLinePunct/>
        <w:spacing w:line="360" w:lineRule="auto"/>
        <w:ind w:firstLine="3161" w:firstLineChars="1450"/>
        <w:rPr>
          <w:rFonts w:ascii="宋体" w:hAnsi="宋体"/>
          <w:color w:val="auto"/>
          <w:spacing w:val="4"/>
          <w:szCs w:val="21"/>
          <w:highlight w:val="none"/>
        </w:rPr>
      </w:pPr>
      <w:r>
        <w:rPr>
          <w:rFonts w:hint="eastAsia" w:ascii="宋体" w:hAnsi="宋体"/>
          <w:color w:val="auto"/>
          <w:spacing w:val="4"/>
          <w:szCs w:val="21"/>
          <w:highlight w:val="none"/>
        </w:rPr>
        <w:t xml:space="preserve">日   期：    年    月    日 </w:t>
      </w:r>
    </w:p>
    <w:p>
      <w:pPr>
        <w:pStyle w:val="11"/>
        <w:rPr>
          <w:color w:val="auto"/>
          <w:highlight w:val="none"/>
        </w:rPr>
      </w:pPr>
    </w:p>
    <w:p>
      <w:pPr>
        <w:pStyle w:val="3"/>
        <w:rPr>
          <w:rFonts w:ascii="宋体" w:hAnsi="宋体" w:eastAsia="宋体" w:cs="宋体"/>
          <w:color w:val="auto"/>
          <w:kern w:val="1"/>
          <w:sz w:val="28"/>
          <w:szCs w:val="28"/>
          <w:highlight w:val="none"/>
        </w:rPr>
      </w:pPr>
      <w:r>
        <w:rPr>
          <w:rFonts w:ascii="宋体" w:hAnsi="宋体" w:cs="宋体"/>
          <w:b w:val="0"/>
          <w:color w:val="auto"/>
          <w:kern w:val="1"/>
          <w:sz w:val="21"/>
          <w:szCs w:val="21"/>
          <w:highlight w:val="none"/>
          <w:lang w:val="zh-CN"/>
        </w:rPr>
        <w:br w:type="page"/>
      </w:r>
      <w:r>
        <w:rPr>
          <w:rFonts w:hint="eastAsia" w:ascii="宋体" w:hAnsi="宋体" w:eastAsia="宋体" w:cs="宋体"/>
          <w:color w:val="auto"/>
          <w:kern w:val="1"/>
          <w:sz w:val="24"/>
          <w:szCs w:val="24"/>
          <w:highlight w:val="none"/>
        </w:rPr>
        <w:t>格式8：工程实施方案</w:t>
      </w:r>
      <w:bookmarkEnd w:id="337"/>
    </w:p>
    <w:p>
      <w:pPr>
        <w:topLinePunct/>
        <w:adjustRightInd w:val="0"/>
        <w:snapToGrid w:val="0"/>
        <w:spacing w:line="360" w:lineRule="auto"/>
        <w:ind w:firstLine="398" w:firstLineChars="200"/>
        <w:rPr>
          <w:b/>
          <w:bCs/>
          <w:color w:val="auto"/>
          <w:spacing w:val="4"/>
          <w:szCs w:val="21"/>
          <w:highlight w:val="none"/>
        </w:rPr>
      </w:pPr>
      <w:r>
        <w:rPr>
          <w:rFonts w:hint="eastAsia" w:ascii="宋体" w:hAnsi="宋体"/>
          <w:b/>
          <w:bCs/>
          <w:color w:val="auto"/>
          <w:spacing w:val="-6"/>
          <w:kern w:val="2"/>
          <w:szCs w:val="21"/>
          <w:highlight w:val="none"/>
        </w:rPr>
        <w:t>由投标人有针对性的描述，各部分文字直接简炼，不得出现大量宣传性及无实质性意义或直接引用范本照搬照套的文字。</w:t>
      </w:r>
      <w:r>
        <w:rPr>
          <w:rFonts w:hint="eastAsia" w:ascii="宋体" w:hAnsi="宋体"/>
          <w:b/>
          <w:bCs/>
          <w:color w:val="auto"/>
          <w:spacing w:val="-6"/>
          <w:szCs w:val="21"/>
          <w:highlight w:val="none"/>
        </w:rPr>
        <w:t>格式自拟</w:t>
      </w:r>
      <w:r>
        <w:rPr>
          <w:rFonts w:hint="eastAsia"/>
          <w:b/>
          <w:bCs/>
          <w:color w:val="auto"/>
          <w:spacing w:val="4"/>
          <w:szCs w:val="21"/>
          <w:highlight w:val="none"/>
        </w:rPr>
        <w:t>。</w:t>
      </w:r>
    </w:p>
    <w:p>
      <w:pPr>
        <w:rPr>
          <w:color w:val="auto"/>
          <w:highlight w:val="none"/>
        </w:rPr>
      </w:pPr>
    </w:p>
    <w:p>
      <w:pPr>
        <w:pStyle w:val="3"/>
        <w:rPr>
          <w:rFonts w:ascii="宋体" w:hAnsi="宋体" w:eastAsia="宋体" w:cs="宋体"/>
          <w:color w:val="auto"/>
          <w:kern w:val="1"/>
          <w:sz w:val="28"/>
          <w:szCs w:val="28"/>
          <w:highlight w:val="none"/>
        </w:rPr>
      </w:pPr>
      <w:r>
        <w:rPr>
          <w:color w:val="auto"/>
          <w:highlight w:val="none"/>
          <w:lang w:val="zh-CN"/>
        </w:rPr>
        <w:br w:type="page"/>
      </w:r>
      <w:bookmarkStart w:id="341" w:name="_Toc80125015"/>
      <w:r>
        <w:rPr>
          <w:rFonts w:hint="eastAsia" w:ascii="宋体" w:hAnsi="宋体" w:eastAsia="宋体" w:cs="宋体"/>
          <w:color w:val="auto"/>
          <w:kern w:val="1"/>
          <w:sz w:val="24"/>
          <w:szCs w:val="24"/>
          <w:highlight w:val="none"/>
        </w:rPr>
        <w:t>格式9：投标文件编制人员名单</w:t>
      </w:r>
      <w:bookmarkEnd w:id="341"/>
    </w:p>
    <w:p>
      <w:pPr>
        <w:pStyle w:val="17"/>
        <w:spacing w:after="0" w:line="360" w:lineRule="auto"/>
        <w:ind w:firstLine="0"/>
        <w:jc w:val="center"/>
        <w:rPr>
          <w:rFonts w:ascii="宋体" w:hAnsi="宋体" w:cs="宋体"/>
          <w:color w:val="auto"/>
          <w:sz w:val="28"/>
          <w:szCs w:val="28"/>
          <w:highlight w:val="none"/>
        </w:rPr>
      </w:pPr>
      <w:r>
        <w:rPr>
          <w:rFonts w:hint="eastAsia" w:ascii="宋体" w:hAnsi="宋体" w:cs="宋体"/>
          <w:b/>
          <w:color w:val="auto"/>
          <w:sz w:val="28"/>
          <w:szCs w:val="28"/>
          <w:highlight w:val="none"/>
        </w:rPr>
        <w:t>投标文件编制人员名单</w:t>
      </w:r>
    </w:p>
    <w:tbl>
      <w:tblPr>
        <w:tblStyle w:val="19"/>
        <w:tblW w:w="0" w:type="auto"/>
        <w:jc w:val="center"/>
        <w:tblLayout w:type="fixed"/>
        <w:tblCellMar>
          <w:top w:w="0" w:type="dxa"/>
          <w:left w:w="108" w:type="dxa"/>
          <w:bottom w:w="0" w:type="dxa"/>
          <w:right w:w="108" w:type="dxa"/>
        </w:tblCellMar>
      </w:tblPr>
      <w:tblGrid>
        <w:gridCol w:w="1249"/>
        <w:gridCol w:w="1453"/>
        <w:gridCol w:w="2486"/>
        <w:gridCol w:w="2383"/>
        <w:gridCol w:w="1432"/>
      </w:tblGrid>
      <w:tr>
        <w:tblPrEx>
          <w:tblCellMar>
            <w:top w:w="0" w:type="dxa"/>
            <w:left w:w="108" w:type="dxa"/>
            <w:bottom w:w="0" w:type="dxa"/>
            <w:right w:w="108" w:type="dxa"/>
          </w:tblCellMar>
        </w:tblPrEx>
        <w:trPr>
          <w:trHeight w:val="318" w:hRule="atLeast"/>
          <w:jc w:val="center"/>
        </w:trPr>
        <w:tc>
          <w:tcPr>
            <w:tcW w:w="900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投标单位名称：</w:t>
            </w:r>
          </w:p>
        </w:tc>
      </w:tr>
      <w:tr>
        <w:tblPrEx>
          <w:tblCellMar>
            <w:top w:w="0" w:type="dxa"/>
            <w:left w:w="108" w:type="dxa"/>
            <w:bottom w:w="0" w:type="dxa"/>
            <w:right w:w="108" w:type="dxa"/>
          </w:tblCellMar>
        </w:tblPrEx>
        <w:trPr>
          <w:trHeight w:val="212"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486"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所承担工作</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本人签名栏</w:t>
            </w:r>
          </w:p>
        </w:tc>
      </w:tr>
      <w:tr>
        <w:tblPrEx>
          <w:tblCellMar>
            <w:top w:w="0" w:type="dxa"/>
            <w:left w:w="108" w:type="dxa"/>
            <w:bottom w:w="0" w:type="dxa"/>
            <w:right w:w="108" w:type="dxa"/>
          </w:tblCellMar>
        </w:tblPrEx>
        <w:trPr>
          <w:trHeight w:val="58"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486"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38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162"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486"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38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123"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486"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38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214"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486"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38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175"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486"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2383"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napToGrid w:val="0"/>
              <w:spacing w:line="360" w:lineRule="auto"/>
              <w:jc w:val="center"/>
              <w:rPr>
                <w:rFonts w:ascii="宋体" w:hAnsi="宋体" w:cs="宋体"/>
                <w:color w:val="auto"/>
                <w:szCs w:val="21"/>
                <w:highlight w:val="none"/>
              </w:rPr>
            </w:pPr>
          </w:p>
        </w:tc>
      </w:tr>
    </w:tbl>
    <w:p>
      <w:pPr>
        <w:pStyle w:val="17"/>
        <w:spacing w:after="0" w:line="360" w:lineRule="auto"/>
        <w:ind w:left="-2" w:leftChars="-1" w:firstLine="0"/>
        <w:rPr>
          <w:rFonts w:ascii="宋体" w:hAnsi="宋体" w:cs="宋体"/>
          <w:color w:val="auto"/>
          <w:sz w:val="21"/>
          <w:szCs w:val="21"/>
          <w:highlight w:val="none"/>
        </w:rPr>
      </w:pPr>
    </w:p>
    <w:p>
      <w:pPr>
        <w:pStyle w:val="17"/>
        <w:spacing w:after="0" w:line="360" w:lineRule="auto"/>
        <w:ind w:left="-2" w:leftChars="-1" w:firstLine="0"/>
        <w:rPr>
          <w:rFonts w:ascii="宋体" w:hAnsi="宋体" w:cs="宋体"/>
          <w:iCs/>
          <w:color w:val="auto"/>
          <w:sz w:val="21"/>
          <w:szCs w:val="21"/>
          <w:highlight w:val="none"/>
        </w:rPr>
      </w:pPr>
      <w:r>
        <w:rPr>
          <w:rFonts w:hint="eastAsia" w:ascii="宋体" w:hAnsi="宋体" w:cs="宋体"/>
          <w:color w:val="auto"/>
          <w:sz w:val="21"/>
          <w:szCs w:val="21"/>
          <w:highlight w:val="none"/>
        </w:rPr>
        <w:t>注：</w:t>
      </w:r>
      <w:r>
        <w:rPr>
          <w:rFonts w:hint="eastAsia" w:ascii="宋体" w:hAnsi="宋体" w:cs="宋体"/>
          <w:iCs/>
          <w:color w:val="auto"/>
          <w:sz w:val="21"/>
          <w:szCs w:val="21"/>
          <w:highlight w:val="none"/>
        </w:rPr>
        <w:t>参与编制标书所有人员名单应包括如编制技术标部分、投标报价、负责清样校对、负责加密打包、负责上传、负责密封、负责打印及复印等所有人员在内的人员名单。</w:t>
      </w:r>
    </w:p>
    <w:p>
      <w:pPr>
        <w:pStyle w:val="3"/>
        <w:rPr>
          <w:rFonts w:ascii="宋体" w:hAnsi="宋体" w:eastAsia="宋体" w:cs="宋体"/>
          <w:color w:val="auto"/>
          <w:kern w:val="1"/>
          <w:sz w:val="28"/>
          <w:szCs w:val="28"/>
          <w:highlight w:val="none"/>
        </w:rPr>
      </w:pPr>
      <w:r>
        <w:rPr>
          <w:rFonts w:ascii="宋体" w:hAnsi="宋体" w:cs="宋体"/>
          <w:b w:val="0"/>
          <w:bCs w:val="0"/>
          <w:color w:val="auto"/>
          <w:kern w:val="1"/>
          <w:sz w:val="21"/>
          <w:szCs w:val="21"/>
          <w:highlight w:val="none"/>
        </w:rPr>
        <w:br w:type="page"/>
      </w:r>
      <w:bookmarkStart w:id="342" w:name="_Toc80125017"/>
      <w:r>
        <w:rPr>
          <w:rFonts w:hint="eastAsia" w:ascii="宋体" w:hAnsi="宋体" w:eastAsia="宋体" w:cs="宋体"/>
          <w:color w:val="auto"/>
          <w:kern w:val="1"/>
          <w:sz w:val="28"/>
          <w:szCs w:val="28"/>
          <w:highlight w:val="none"/>
        </w:rPr>
        <w:t>格式:10：投标人认为应该补充的资料</w:t>
      </w:r>
      <w:bookmarkEnd w:id="342"/>
    </w:p>
    <w:p>
      <w:pPr>
        <w:pStyle w:val="26"/>
        <w:ind w:firstLine="0" w:firstLineChars="0"/>
        <w:jc w:val="center"/>
        <w:rPr>
          <w:rFonts w:ascii="宋体" w:hAnsi="宋体" w:cs="宋体"/>
          <w:b/>
          <w:bCs/>
          <w:color w:val="auto"/>
          <w:sz w:val="28"/>
          <w:highlight w:val="none"/>
        </w:rPr>
      </w:pPr>
    </w:p>
    <w:p>
      <w:pPr>
        <w:pStyle w:val="26"/>
        <w:ind w:firstLine="0" w:firstLineChars="0"/>
        <w:jc w:val="center"/>
        <w:rPr>
          <w:rFonts w:ascii="宋体" w:hAnsi="宋体" w:cs="宋体"/>
          <w:b/>
          <w:bCs/>
          <w:color w:val="auto"/>
          <w:sz w:val="28"/>
          <w:highlight w:val="none"/>
        </w:rPr>
      </w:pPr>
      <w:r>
        <w:rPr>
          <w:rFonts w:hint="eastAsia" w:ascii="宋体" w:hAnsi="宋体" w:cs="宋体"/>
          <w:b/>
          <w:bCs/>
          <w:color w:val="auto"/>
          <w:sz w:val="28"/>
          <w:highlight w:val="none"/>
        </w:rPr>
        <w:t>投标人认为应该补充的资料</w:t>
      </w:r>
    </w:p>
    <w:p>
      <w:pPr>
        <w:pStyle w:val="26"/>
        <w:ind w:firstLine="0" w:firstLineChars="0"/>
        <w:jc w:val="center"/>
      </w:pPr>
      <w:r>
        <w:rPr>
          <w:rFonts w:hint="eastAsia" w:ascii="宋体" w:hAnsi="宋体" w:cs="宋体"/>
          <w:b/>
          <w:bCs/>
          <w:color w:val="auto"/>
          <w:sz w:val="28"/>
          <w:highlight w:val="none"/>
        </w:rPr>
        <w:t>（内容格式自拟）</w:t>
      </w:r>
      <w:r>
        <w:rPr>
          <w:rFonts w:hint="eastAsia" w:ascii="宋体" w:hAnsi="宋体" w:cs="宋体"/>
          <w:b/>
          <w:bCs/>
          <w:color w:val="auto"/>
          <w:sz w:val="28"/>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2"/>
      </w:rPr>
      <w:instrText xml:space="preserve"> PAGE </w:instrText>
    </w:r>
    <w:r>
      <w:fldChar w:fldCharType="separate"/>
    </w:r>
    <w:r>
      <w:rPr>
        <w:rStyle w:val="22"/>
      </w:rP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24</w:t>
    </w:r>
    <w:r>
      <w:fldChar w:fldCharType="end"/>
    </w:r>
  </w:p>
  <w:p>
    <w:pPr>
      <w:pStyle w:val="12"/>
      <w:tabs>
        <w:tab w:val="left" w:pos="9455"/>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43</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25</w: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43</w:t>
    </w:r>
    <w: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26</w:t>
    </w:r>
    <w:r>
      <w:fldChar w:fldCharType="end"/>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43</w:t>
    </w:r>
    <w:r>
      <w:fldChar w:fldCharType="end"/>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40</w:t>
    </w:r>
    <w:r>
      <w:fldChar w:fldCharType="end"/>
    </w:r>
  </w:p>
  <w:p>
    <w:pPr>
      <w:pStyle w:val="12"/>
      <w:tabs>
        <w:tab w:val="left" w:pos="9455"/>
        <w:tab w:val="clear" w:pos="4153"/>
        <w:tab w:val="clear" w:pos="830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D61EC"/>
    <w:multiLevelType w:val="singleLevel"/>
    <w:tmpl w:val="8FFD61EC"/>
    <w:lvl w:ilvl="0" w:tentative="0">
      <w:start w:val="1"/>
      <w:numFmt w:val="decimal"/>
      <w:suff w:val="nothing"/>
      <w:lvlText w:val="%1、"/>
      <w:lvlJc w:val="left"/>
    </w:lvl>
  </w:abstractNum>
  <w:abstractNum w:abstractNumId="1">
    <w:nsid w:val="CABCF9B8"/>
    <w:multiLevelType w:val="singleLevel"/>
    <w:tmpl w:val="CABCF9B8"/>
    <w:lvl w:ilvl="0" w:tentative="0">
      <w:start w:val="3"/>
      <w:numFmt w:val="chineseCounting"/>
      <w:suff w:val="space"/>
      <w:lvlText w:val="第%1章"/>
      <w:lvlJc w:val="left"/>
      <w:pPr>
        <w:tabs>
          <w:tab w:val="left" w:pos="0"/>
        </w:tabs>
        <w:ind w:left="0" w:firstLine="0"/>
      </w:pPr>
      <w:rPr>
        <w:rFonts w:hint="eastAsia"/>
      </w:rPr>
    </w:lvl>
  </w:abstractNum>
  <w:abstractNum w:abstractNumId="2">
    <w:nsid w:val="DFEB4FFB"/>
    <w:multiLevelType w:val="multilevel"/>
    <w:tmpl w:val="DFEB4FFB"/>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5179992"/>
    <w:multiLevelType w:val="singleLevel"/>
    <w:tmpl w:val="F5179992"/>
    <w:lvl w:ilvl="0" w:tentative="0">
      <w:start w:val="2"/>
      <w:numFmt w:val="chineseCounting"/>
      <w:suff w:val="nothing"/>
      <w:lvlText w:val="%1、"/>
      <w:lvlJc w:val="left"/>
      <w:rPr>
        <w:rFonts w:hint="eastAsia"/>
      </w:rPr>
    </w:lvl>
  </w:abstractNum>
  <w:abstractNum w:abstractNumId="4">
    <w:nsid w:val="34053AFD"/>
    <w:multiLevelType w:val="singleLevel"/>
    <w:tmpl w:val="34053AFD"/>
    <w:lvl w:ilvl="0" w:tentative="0">
      <w:start w:val="1"/>
      <w:numFmt w:val="decimal"/>
      <w:suff w:val="nothing"/>
      <w:lvlText w:val="（%1）"/>
      <w:lvlJc w:val="left"/>
      <w:pPr>
        <w:tabs>
          <w:tab w:val="left" w:pos="0"/>
        </w:tabs>
        <w:ind w:left="0" w:firstLine="0"/>
      </w:pPr>
    </w:lvl>
  </w:abstractNum>
  <w:abstractNum w:abstractNumId="5">
    <w:nsid w:val="48EE4F8D"/>
    <w:multiLevelType w:val="singleLevel"/>
    <w:tmpl w:val="48EE4F8D"/>
    <w:lvl w:ilvl="0" w:tentative="0">
      <w:start w:val="3"/>
      <w:numFmt w:val="chineseCounting"/>
      <w:suff w:val="nothing"/>
      <w:lvlText w:val="%1、"/>
      <w:lvlJc w:val="left"/>
      <w:rPr>
        <w:rFonts w:hint="eastAsia"/>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0E21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bCs/>
      <w:kern w:val="0"/>
      <w:sz w:val="32"/>
      <w:szCs w:val="32"/>
    </w:rPr>
  </w:style>
  <w:style w:type="paragraph" w:styleId="4">
    <w:name w:val="heading 3"/>
    <w:basedOn w:val="1"/>
    <w:next w:val="1"/>
    <w:qFormat/>
    <w:uiPriority w:val="0"/>
    <w:pPr>
      <w:keepNext/>
      <w:keepLines/>
      <w:widowControl w:val="0"/>
      <w:spacing w:before="260" w:after="260" w:line="415" w:lineRule="auto"/>
      <w:ind w:firstLine="49" w:firstLineChars="49"/>
      <w:outlineLvl w:val="2"/>
    </w:pPr>
    <w:rPr>
      <w:rFonts w:ascii="宋体"/>
      <w:b/>
      <w:bCs/>
      <w:color w:val="FF0000"/>
      <w:kern w:val="0"/>
      <w:sz w:val="24"/>
      <w:szCs w:val="24"/>
      <w:lang w:val="zh-CN" w:eastAsia="zh-CN"/>
    </w:rPr>
  </w:style>
  <w:style w:type="paragraph" w:styleId="5">
    <w:name w:val="heading 4"/>
    <w:basedOn w:val="1"/>
    <w:next w:val="1"/>
    <w:qFormat/>
    <w:uiPriority w:val="0"/>
    <w:pPr>
      <w:keepNext/>
      <w:keepLines/>
      <w:widowControl w:val="0"/>
      <w:spacing w:before="280" w:after="290" w:line="374" w:lineRule="auto"/>
      <w:outlineLvl w:val="3"/>
    </w:pPr>
    <w:rPr>
      <w:rFonts w:ascii="Arial" w:hAnsi="Arial" w:eastAsia="黑体"/>
      <w:b/>
      <w:bCs/>
      <w:kern w:val="0"/>
      <w:sz w:val="28"/>
      <w:szCs w:val="28"/>
    </w:rPr>
  </w:style>
  <w:style w:type="paragraph" w:styleId="6">
    <w:name w:val="heading 5"/>
    <w:basedOn w:val="5"/>
    <w:next w:val="7"/>
    <w:qFormat/>
    <w:uiPriority w:val="0"/>
    <w:pPr>
      <w:spacing w:before="100" w:beforeLines="100" w:after="100" w:afterLines="100" w:line="240" w:lineRule="exact"/>
      <w:ind w:left="284" w:hanging="284"/>
      <w:jc w:val="center"/>
      <w:outlineLvl w:val="4"/>
    </w:pPr>
    <w:rPr>
      <w:rFonts w:ascii="Times New Roman" w:hAnsi="Times New Roman" w:eastAsia="宋体"/>
    </w:rPr>
  </w:style>
  <w:style w:type="character" w:default="1" w:styleId="20">
    <w:name w:val="Default Paragraph Font"/>
    <w:semiHidden/>
    <w:uiPriority w:val="0"/>
  </w:style>
  <w:style w:type="table" w:default="1" w:styleId="19">
    <w:name w:val="Normal Table"/>
    <w:semiHidden/>
    <w:uiPriority w:val="0"/>
    <w:tblPr>
      <w:tblCellMar>
        <w:top w:w="0" w:type="dxa"/>
        <w:left w:w="108" w:type="dxa"/>
        <w:bottom w:w="0" w:type="dxa"/>
        <w:right w:w="108" w:type="dxa"/>
      </w:tblCellMar>
    </w:tblPr>
  </w:style>
  <w:style w:type="paragraph" w:styleId="7">
    <w:name w:val="Normal Indent"/>
    <w:basedOn w:val="1"/>
    <w:uiPriority w:val="0"/>
    <w:pPr>
      <w:ind w:firstLine="200" w:firstLineChars="200"/>
    </w:pPr>
    <w:rPr>
      <w:kern w:val="0"/>
      <w:sz w:val="20"/>
      <w:szCs w:val="24"/>
    </w:rPr>
  </w:style>
  <w:style w:type="paragraph" w:styleId="8">
    <w:name w:val="Body Text 3"/>
    <w:basedOn w:val="1"/>
    <w:uiPriority w:val="0"/>
    <w:rPr>
      <w:kern w:val="0"/>
      <w:sz w:val="16"/>
      <w:szCs w:val="16"/>
    </w:rPr>
  </w:style>
  <w:style w:type="paragraph" w:styleId="9">
    <w:name w:val="Body Text"/>
    <w:basedOn w:val="1"/>
    <w:uiPriority w:val="0"/>
    <w:pPr>
      <w:spacing w:after="120"/>
    </w:pPr>
    <w:rPr>
      <w:kern w:val="0"/>
      <w:sz w:val="20"/>
      <w:szCs w:val="24"/>
    </w:rPr>
  </w:style>
  <w:style w:type="paragraph" w:styleId="10">
    <w:name w:val="Body Text Indent"/>
    <w:basedOn w:val="1"/>
    <w:uiPriority w:val="0"/>
    <w:pPr>
      <w:spacing w:after="120"/>
      <w:ind w:left="200" w:leftChars="200"/>
    </w:pPr>
    <w:rPr>
      <w:rFonts w:ascii="Calibri" w:hAnsi="Calibri"/>
    </w:rPr>
  </w:style>
  <w:style w:type="paragraph" w:styleId="11">
    <w:name w:val="Plain Text"/>
    <w:basedOn w:val="1"/>
    <w:qFormat/>
    <w:uiPriority w:val="0"/>
    <w:rPr>
      <w:rFonts w:ascii="宋体"/>
      <w:kern w:val="0"/>
      <w:sz w:val="20"/>
      <w:szCs w:val="20"/>
    </w:rPr>
  </w:style>
  <w:style w:type="paragraph" w:styleId="12">
    <w:name w:val="footer"/>
    <w:basedOn w:val="1"/>
    <w:uiPriority w:val="0"/>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spacing w:before="120" w:after="120"/>
      <w:jc w:val="left"/>
    </w:pPr>
    <w:rPr>
      <w:b/>
      <w:bCs/>
      <w:caps/>
      <w:sz w:val="20"/>
      <w:szCs w:val="20"/>
    </w:rPr>
  </w:style>
  <w:style w:type="paragraph" w:styleId="15">
    <w:name w:val="toc 2"/>
    <w:basedOn w:val="1"/>
    <w:next w:val="1"/>
    <w:qFormat/>
    <w:uiPriority w:val="0"/>
    <w:pPr>
      <w:ind w:left="210"/>
      <w:jc w:val="left"/>
    </w:pPr>
    <w:rPr>
      <w:smallCaps/>
      <w:sz w:val="20"/>
      <w:szCs w:val="20"/>
    </w:rPr>
  </w:style>
  <w:style w:type="paragraph" w:styleId="16">
    <w:name w:val="Normal (Web)"/>
    <w:basedOn w:val="1"/>
    <w:qFormat/>
    <w:uiPriority w:val="0"/>
    <w:pPr>
      <w:widowControl/>
      <w:spacing w:before="100" w:beforeAutospacing="1" w:after="100" w:afterAutospacing="1"/>
      <w:jc w:val="left"/>
    </w:pPr>
    <w:rPr>
      <w:rFonts w:ascii="宋体" w:cs="宋体"/>
      <w:kern w:val="0"/>
      <w:sz w:val="24"/>
      <w:szCs w:val="24"/>
      <w:lang w:bidi="ar-SA"/>
    </w:rPr>
  </w:style>
  <w:style w:type="paragraph" w:styleId="17">
    <w:name w:val="Body Text First Indent"/>
    <w:basedOn w:val="9"/>
    <w:uiPriority w:val="0"/>
    <w:pPr>
      <w:spacing w:line="312" w:lineRule="auto"/>
      <w:ind w:firstLine="420"/>
    </w:pPr>
    <w:rPr>
      <w:szCs w:val="20"/>
    </w:rPr>
  </w:style>
  <w:style w:type="paragraph" w:styleId="18">
    <w:name w:val="Body Text First Indent 2"/>
    <w:basedOn w:val="1"/>
    <w:next w:val="1"/>
    <w:qFormat/>
    <w:uiPriority w:val="0"/>
    <w:pPr>
      <w:ind w:firstLine="200" w:firstLineChars="200"/>
    </w:pPr>
    <w:rPr>
      <w:rFonts w:ascii="Times New Roman" w:hAnsi="Times New Roman"/>
      <w:kern w:val="0"/>
      <w:sz w:val="20"/>
      <w:szCs w:val="24"/>
    </w:rPr>
  </w:style>
  <w:style w:type="character" w:styleId="21">
    <w:name w:val="Strong"/>
    <w:qFormat/>
    <w:uiPriority w:val="0"/>
    <w:rPr>
      <w:b/>
      <w:bCs/>
    </w:rPr>
  </w:style>
  <w:style w:type="character" w:styleId="22">
    <w:name w:val="page number"/>
    <w:qFormat/>
    <w:uiPriority w:val="0"/>
  </w:style>
  <w:style w:type="character" w:styleId="23">
    <w:name w:val="Hyperlink"/>
    <w:basedOn w:val="20"/>
    <w:uiPriority w:val="0"/>
    <w:rPr>
      <w:color w:val="6D6D6D"/>
      <w:u w:val="single"/>
    </w:rPr>
  </w:style>
  <w:style w:type="paragraph" w:customStyle="1" w:styleId="24">
    <w:name w:val="_Style 3"/>
    <w:basedOn w:val="1"/>
    <w:uiPriority w:val="0"/>
    <w:pPr>
      <w:adjustRightInd w:val="0"/>
      <w:snapToGrid w:val="0"/>
      <w:spacing w:line="312" w:lineRule="auto"/>
      <w:ind w:firstLine="200" w:firstLineChars="200"/>
    </w:pPr>
    <w:rPr>
      <w:sz w:val="20"/>
      <w:szCs w:val="20"/>
    </w:rPr>
  </w:style>
  <w:style w:type="paragraph" w:customStyle="1" w:styleId="25">
    <w:name w:val="样式 宋体 行距: 1.5 倍行距"/>
    <w:basedOn w:val="1"/>
    <w:uiPriority w:val="0"/>
    <w:pPr>
      <w:jc w:val="center"/>
    </w:pPr>
    <w:rPr>
      <w:b/>
    </w:rPr>
  </w:style>
  <w:style w:type="paragraph" w:customStyle="1" w:styleId="26">
    <w:name w:val="文一"/>
    <w:basedOn w:val="1"/>
    <w:uiPriority w:val="0"/>
    <w:pPr>
      <w:topLinePunct/>
      <w:adjustRightInd w:val="0"/>
      <w:snapToGrid w:val="0"/>
      <w:spacing w:line="360" w:lineRule="auto"/>
      <w:ind w:firstLine="200" w:firstLineChars="200"/>
    </w:pPr>
    <w:rPr>
      <w:spacing w:val="4"/>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2024-06-28T02:26:46Z</dcterms:created>
  <dc:creator>Mi</dc:creator>
  <cp:lastModifiedBy>.</cp:lastModifiedBy>
  <dcterms:modified xsi:type="dcterms:W3CDTF">2024-06-28T02:27:49Z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42F8FFA7FCC943C3AC1A849BEF7BB163_12</vt:lpwstr>
  </property>
</Properties>
</file>