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3" w:lineRule="auto"/>
        <w:jc w:val="center"/>
        <w:rPr>
          <w:rFonts w:hint="eastAsia" w:ascii="宋体" w:hAnsi="宋体" w:eastAsia="宋体"/>
          <w:b/>
          <w:color w:val="auto"/>
          <w:sz w:val="48"/>
          <w:szCs w:val="48"/>
          <w:highlight w:val="none"/>
          <w:lang w:eastAsia="zh-CN"/>
        </w:rPr>
      </w:pPr>
      <w:r>
        <w:rPr>
          <w:rFonts w:hint="eastAsia" w:ascii="宋体" w:hAnsi="宋体" w:cs="宋体"/>
          <w:b/>
          <w:color w:val="auto"/>
          <w:sz w:val="48"/>
          <w:szCs w:val="48"/>
          <w:highlight w:val="none"/>
          <w:lang w:eastAsia="zh-CN" w:bidi="ar"/>
        </w:rPr>
        <w:t>吉祥路46号办公楼相关维修改造工程勘察设计施工总承包</w:t>
      </w:r>
    </w:p>
    <w:p>
      <w:pPr>
        <w:spacing w:line="273" w:lineRule="auto"/>
        <w:jc w:val="center"/>
        <w:rPr>
          <w:rFonts w:ascii="宋体" w:hAnsi="宋体"/>
          <w:b/>
          <w:color w:val="auto"/>
          <w:sz w:val="48"/>
          <w:szCs w:val="48"/>
          <w:highlight w:val="none"/>
        </w:rPr>
      </w:pPr>
      <w:r>
        <w:rPr>
          <w:rFonts w:hint="eastAsia" w:ascii="宋体" w:hAnsi="宋体"/>
          <w:b/>
          <w:color w:val="auto"/>
          <w:sz w:val="48"/>
          <w:szCs w:val="48"/>
          <w:highlight w:val="none"/>
          <w:lang w:bidi="ar"/>
        </w:rPr>
        <w:t xml:space="preserve"> </w:t>
      </w:r>
    </w:p>
    <w:p>
      <w:pPr>
        <w:spacing w:line="273" w:lineRule="auto"/>
        <w:jc w:val="left"/>
        <w:rPr>
          <w:rFonts w:ascii="宋体" w:hAnsi="宋体"/>
          <w:b/>
          <w:color w:val="auto"/>
          <w:sz w:val="52"/>
          <w:szCs w:val="52"/>
          <w:highlight w:val="none"/>
        </w:rPr>
      </w:pPr>
      <w:r>
        <w:rPr>
          <w:rFonts w:hint="eastAsia" w:ascii="宋体" w:hAnsi="宋体"/>
          <w:b/>
          <w:color w:val="auto"/>
          <w:sz w:val="52"/>
          <w:szCs w:val="52"/>
          <w:highlight w:val="none"/>
          <w:lang w:bidi="ar"/>
        </w:rPr>
        <w:t xml:space="preserve"> </w:t>
      </w:r>
    </w:p>
    <w:p>
      <w:pPr>
        <w:rPr>
          <w:rFonts w:ascii="宋体" w:hAnsi="宋体"/>
          <w:b/>
          <w:color w:val="auto"/>
          <w:kern w:val="0"/>
          <w:sz w:val="96"/>
          <w:szCs w:val="96"/>
          <w:highlight w:val="none"/>
        </w:rPr>
      </w:pPr>
      <w:r>
        <w:rPr>
          <w:rFonts w:hint="eastAsia" w:ascii="宋体" w:hAnsi="宋体"/>
          <w:b/>
          <w:color w:val="auto"/>
          <w:kern w:val="0"/>
          <w:sz w:val="96"/>
          <w:szCs w:val="96"/>
          <w:highlight w:val="none"/>
          <w:lang w:bidi="ar"/>
        </w:rPr>
        <w:t xml:space="preserve"> </w:t>
      </w:r>
    </w:p>
    <w:p>
      <w:pPr>
        <w:rPr>
          <w:rFonts w:ascii="宋体" w:hAnsi="宋体"/>
          <w:b/>
          <w:color w:val="auto"/>
          <w:kern w:val="0"/>
          <w:sz w:val="96"/>
          <w:szCs w:val="96"/>
          <w:highlight w:val="none"/>
        </w:rPr>
      </w:pPr>
      <w:r>
        <w:rPr>
          <w:rFonts w:hint="eastAsia" w:ascii="宋体" w:hAnsi="宋体"/>
          <w:b/>
          <w:color w:val="auto"/>
          <w:kern w:val="0"/>
          <w:sz w:val="96"/>
          <w:szCs w:val="96"/>
          <w:highlight w:val="none"/>
          <w:lang w:bidi="ar"/>
        </w:rPr>
        <w:t xml:space="preserve"> </w:t>
      </w:r>
    </w:p>
    <w:p>
      <w:pPr>
        <w:spacing w:line="273" w:lineRule="auto"/>
        <w:jc w:val="center"/>
        <w:rPr>
          <w:rFonts w:ascii="宋体" w:hAnsi="宋体"/>
          <w:b/>
          <w:color w:val="auto"/>
          <w:sz w:val="96"/>
          <w:szCs w:val="96"/>
          <w:highlight w:val="none"/>
        </w:rPr>
      </w:pPr>
      <w:r>
        <w:rPr>
          <w:rFonts w:hint="eastAsia" w:ascii="宋体" w:hAnsi="宋体" w:cs="宋体"/>
          <w:b/>
          <w:color w:val="auto"/>
          <w:sz w:val="96"/>
          <w:szCs w:val="96"/>
          <w:highlight w:val="none"/>
          <w:lang w:bidi="ar"/>
        </w:rPr>
        <w:t>招标公告</w:t>
      </w:r>
    </w:p>
    <w:p>
      <w:pPr>
        <w:spacing w:line="273" w:lineRule="auto"/>
        <w:jc w:val="left"/>
        <w:rPr>
          <w:rFonts w:ascii="宋体" w:hAnsi="宋体"/>
          <w:b/>
          <w:color w:val="auto"/>
          <w:sz w:val="24"/>
          <w:szCs w:val="24"/>
          <w:highlight w:val="none"/>
        </w:rPr>
      </w:pPr>
      <w:r>
        <w:rPr>
          <w:rFonts w:hint="eastAsia" w:ascii="宋体" w:hAnsi="宋体"/>
          <w:b/>
          <w:color w:val="auto"/>
          <w:sz w:val="24"/>
          <w:szCs w:val="24"/>
          <w:highlight w:val="none"/>
          <w:lang w:bidi="ar"/>
        </w:rPr>
        <w:t xml:space="preserve"> </w:t>
      </w:r>
    </w:p>
    <w:p>
      <w:pPr>
        <w:spacing w:line="273" w:lineRule="auto"/>
        <w:jc w:val="left"/>
        <w:rPr>
          <w:rFonts w:ascii="宋体" w:hAnsi="宋体"/>
          <w:b/>
          <w:color w:val="auto"/>
          <w:szCs w:val="21"/>
          <w:highlight w:val="none"/>
        </w:rPr>
      </w:pPr>
      <w:r>
        <w:rPr>
          <w:rFonts w:hint="eastAsia" w:ascii="宋体" w:hAnsi="宋体"/>
          <w:b/>
          <w:color w:val="auto"/>
          <w:szCs w:val="21"/>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rPr>
          <w:rFonts w:ascii="Times New Roman" w:hAnsi="Times New Roman"/>
          <w:color w:val="auto"/>
          <w:kern w:val="0"/>
          <w:sz w:val="20"/>
          <w:szCs w:val="20"/>
          <w:highlight w:val="none"/>
        </w:rPr>
      </w:pPr>
      <w:r>
        <w:rPr>
          <w:rFonts w:ascii="Times New Roman" w:hAnsi="Times New Roman"/>
          <w:color w:val="auto"/>
          <w:kern w:val="0"/>
          <w:sz w:val="20"/>
          <w:szCs w:val="20"/>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spacing w:line="273" w:lineRule="auto"/>
        <w:jc w:val="left"/>
        <w:rPr>
          <w:rFonts w:ascii="宋体" w:hAnsi="宋体"/>
          <w:color w:val="auto"/>
          <w:szCs w:val="21"/>
          <w:highlight w:val="none"/>
        </w:rPr>
      </w:pPr>
      <w:r>
        <w:rPr>
          <w:rFonts w:hint="eastAsia" w:ascii="宋体" w:hAnsi="宋体"/>
          <w:color w:val="auto"/>
          <w:szCs w:val="21"/>
          <w:highlight w:val="none"/>
          <w:lang w:bidi="ar"/>
        </w:rPr>
        <w:t xml:space="preserve"> </w:t>
      </w:r>
    </w:p>
    <w:p>
      <w:pPr>
        <w:spacing w:line="273" w:lineRule="auto"/>
        <w:ind w:firstLine="838" w:firstLineChars="261"/>
        <w:jc w:val="left"/>
        <w:rPr>
          <w:rFonts w:ascii="宋体" w:hAnsi="宋体"/>
          <w:b/>
          <w:color w:val="auto"/>
          <w:sz w:val="32"/>
          <w:szCs w:val="32"/>
          <w:highlight w:val="none"/>
        </w:rPr>
      </w:pPr>
      <w:r>
        <w:rPr>
          <w:rFonts w:hint="eastAsia" w:ascii="宋体" w:hAnsi="宋体" w:cs="宋体"/>
          <w:b/>
          <w:color w:val="auto"/>
          <w:sz w:val="32"/>
          <w:szCs w:val="32"/>
          <w:highlight w:val="none"/>
          <w:lang w:bidi="ar"/>
        </w:rPr>
        <w:t xml:space="preserve">招 </w:t>
      </w:r>
      <w:r>
        <w:rPr>
          <w:rFonts w:ascii="宋体" w:hAnsi="宋体" w:cs="宋体"/>
          <w:b/>
          <w:color w:val="auto"/>
          <w:sz w:val="32"/>
          <w:szCs w:val="32"/>
          <w:highlight w:val="none"/>
          <w:lang w:bidi="ar"/>
        </w:rPr>
        <w:t xml:space="preserve"> </w:t>
      </w:r>
      <w:r>
        <w:rPr>
          <w:rFonts w:hint="eastAsia" w:ascii="宋体" w:hAnsi="宋体" w:cs="宋体"/>
          <w:b/>
          <w:color w:val="auto"/>
          <w:sz w:val="32"/>
          <w:szCs w:val="32"/>
          <w:highlight w:val="none"/>
          <w:lang w:bidi="ar"/>
        </w:rPr>
        <w:t>标  人: 广州市重点公共建设项目管理中心</w:t>
      </w:r>
    </w:p>
    <w:p>
      <w:pPr>
        <w:spacing w:line="273" w:lineRule="auto"/>
        <w:ind w:firstLine="838" w:firstLineChars="261"/>
        <w:jc w:val="left"/>
        <w:rPr>
          <w:rFonts w:hint="eastAsia" w:ascii="宋体" w:hAnsi="宋体" w:eastAsia="宋体"/>
          <w:b/>
          <w:color w:val="auto"/>
          <w:sz w:val="32"/>
          <w:szCs w:val="32"/>
          <w:highlight w:val="none"/>
          <w:lang w:eastAsia="zh-CN"/>
        </w:rPr>
      </w:pPr>
      <w:r>
        <w:rPr>
          <w:rFonts w:hint="eastAsia" w:ascii="宋体" w:hAnsi="宋体" w:cs="宋体"/>
          <w:b/>
          <w:color w:val="auto"/>
          <w:sz w:val="32"/>
          <w:szCs w:val="32"/>
          <w:highlight w:val="none"/>
          <w:lang w:bidi="ar"/>
        </w:rPr>
        <w:t>招标代理机构：</w:t>
      </w:r>
      <w:r>
        <w:rPr>
          <w:rFonts w:hint="eastAsia" w:ascii="宋体" w:hAnsi="宋体" w:cs="宋体"/>
          <w:b/>
          <w:color w:val="auto"/>
          <w:sz w:val="32"/>
          <w:szCs w:val="32"/>
          <w:highlight w:val="none"/>
          <w:lang w:eastAsia="zh-CN" w:bidi="ar"/>
        </w:rPr>
        <w:t>广东建瀚工程管理有限公司</w:t>
      </w:r>
    </w:p>
    <w:p>
      <w:pPr>
        <w:spacing w:line="273" w:lineRule="auto"/>
        <w:jc w:val="center"/>
        <w:rPr>
          <w:color w:val="auto"/>
          <w:highlight w:val="none"/>
        </w:rPr>
      </w:pPr>
      <w:r>
        <w:rPr>
          <w:rFonts w:hint="eastAsia" w:ascii="宋体" w:hAnsi="宋体" w:cs="宋体"/>
          <w:b/>
          <w:color w:val="auto"/>
          <w:sz w:val="32"/>
          <w:szCs w:val="32"/>
          <w:highlight w:val="none"/>
          <w:lang w:bidi="ar"/>
        </w:rPr>
        <w:t>日期：</w:t>
      </w:r>
      <w:r>
        <w:rPr>
          <w:rFonts w:hint="eastAsia" w:ascii="宋体" w:hAnsi="宋体" w:cs="宋体"/>
          <w:b/>
          <w:color w:val="auto"/>
          <w:sz w:val="32"/>
          <w:szCs w:val="32"/>
          <w:highlight w:val="none"/>
          <w:u w:val="single"/>
          <w:lang w:bidi="ar"/>
        </w:rPr>
        <w:t>2</w:t>
      </w:r>
      <w:r>
        <w:rPr>
          <w:rFonts w:hint="eastAsia" w:ascii="宋体" w:hAnsi="宋体"/>
          <w:b/>
          <w:color w:val="auto"/>
          <w:sz w:val="32"/>
          <w:szCs w:val="32"/>
          <w:highlight w:val="none"/>
          <w:u w:val="single"/>
          <w:lang w:bidi="ar"/>
        </w:rPr>
        <w:t>02</w:t>
      </w:r>
      <w:r>
        <w:rPr>
          <w:rFonts w:ascii="宋体" w:hAnsi="宋体" w:cs="宋体"/>
          <w:b/>
          <w:color w:val="auto"/>
          <w:sz w:val="32"/>
          <w:szCs w:val="32"/>
          <w:highlight w:val="none"/>
          <w:u w:val="single"/>
          <w:lang w:bidi="ar"/>
        </w:rPr>
        <w:t>4</w:t>
      </w:r>
      <w:r>
        <w:rPr>
          <w:rFonts w:hint="eastAsia" w:ascii="宋体" w:hAnsi="宋体" w:cs="宋体"/>
          <w:b/>
          <w:color w:val="auto"/>
          <w:sz w:val="32"/>
          <w:szCs w:val="32"/>
          <w:highlight w:val="none"/>
          <w:lang w:bidi="ar"/>
        </w:rPr>
        <w:t>年</w:t>
      </w:r>
      <w:r>
        <w:rPr>
          <w:rFonts w:hint="eastAsia" w:ascii="宋体" w:hAnsi="宋体" w:cs="宋体"/>
          <w:b/>
          <w:color w:val="auto"/>
          <w:sz w:val="32"/>
          <w:szCs w:val="32"/>
          <w:highlight w:val="none"/>
          <w:u w:val="single"/>
          <w:lang w:bidi="ar"/>
        </w:rPr>
        <w:t xml:space="preserve"> </w:t>
      </w:r>
      <w:r>
        <w:rPr>
          <w:rFonts w:hint="eastAsia" w:ascii="宋体" w:hAnsi="宋体" w:cs="宋体"/>
          <w:b/>
          <w:color w:val="auto"/>
          <w:sz w:val="32"/>
          <w:szCs w:val="32"/>
          <w:highlight w:val="none"/>
          <w:u w:val="single"/>
          <w:lang w:val="en-US" w:eastAsia="zh-CN" w:bidi="ar"/>
        </w:rPr>
        <w:t>6</w:t>
      </w:r>
      <w:r>
        <w:rPr>
          <w:rFonts w:hint="eastAsia" w:ascii="宋体" w:hAnsi="宋体" w:cs="宋体"/>
          <w:b/>
          <w:color w:val="auto"/>
          <w:sz w:val="32"/>
          <w:szCs w:val="32"/>
          <w:highlight w:val="none"/>
          <w:lang w:bidi="ar"/>
        </w:rPr>
        <w:t>月</w:t>
      </w:r>
    </w:p>
    <w:p>
      <w:pPr>
        <w:spacing w:line="273" w:lineRule="auto"/>
        <w:rPr>
          <w:rFonts w:ascii="宋体" w:hAnsi="宋体"/>
          <w:b/>
          <w:color w:val="auto"/>
          <w:sz w:val="32"/>
          <w:szCs w:val="32"/>
          <w:highlight w:val="none"/>
        </w:rPr>
        <w:sectPr>
          <w:headerReference r:id="rId4" w:type="first"/>
          <w:footerReference r:id="rId6" w:type="first"/>
          <w:headerReference r:id="rId3" w:type="default"/>
          <w:footerReference r:id="rId5" w:type="default"/>
          <w:pgSz w:w="11906" w:h="16838"/>
          <w:pgMar w:top="1440" w:right="1800" w:bottom="1440" w:left="1800" w:header="851" w:footer="992" w:gutter="0"/>
          <w:cols w:space="720" w:num="1"/>
          <w:docGrid w:type="lines" w:linePitch="312" w:charSpace="0"/>
        </w:sectPr>
      </w:pPr>
    </w:p>
    <w:p>
      <w:pPr>
        <w:autoSpaceDE w:val="0"/>
        <w:autoSpaceDN w:val="0"/>
        <w:spacing w:line="360" w:lineRule="auto"/>
        <w:jc w:val="center"/>
        <w:rPr>
          <w:rFonts w:hint="eastAsia" w:ascii="宋体" w:hAnsi="宋体" w:eastAsia="宋体"/>
          <w:b/>
          <w:color w:val="auto"/>
          <w:sz w:val="36"/>
          <w:szCs w:val="36"/>
          <w:highlight w:val="none"/>
          <w:lang w:eastAsia="zh-CN"/>
        </w:rPr>
      </w:pPr>
      <w:r>
        <w:rPr>
          <w:rFonts w:hint="eastAsia" w:ascii="宋体" w:hAnsi="宋体"/>
          <w:b/>
          <w:color w:val="auto"/>
          <w:sz w:val="36"/>
          <w:szCs w:val="36"/>
          <w:highlight w:val="none"/>
          <w:lang w:eastAsia="zh-CN"/>
        </w:rPr>
        <w:t>吉祥路46号办公楼相关维修改造工程勘察设计施工总承包</w:t>
      </w:r>
    </w:p>
    <w:p>
      <w:pPr>
        <w:autoSpaceDE w:val="0"/>
        <w:autoSpaceDN w:val="0"/>
        <w:spacing w:line="360" w:lineRule="auto"/>
        <w:jc w:val="center"/>
        <w:rPr>
          <w:rFonts w:ascii="宋体" w:hAnsi="宋体"/>
          <w:b/>
          <w:color w:val="auto"/>
          <w:sz w:val="36"/>
          <w:szCs w:val="36"/>
          <w:highlight w:val="none"/>
        </w:rPr>
      </w:pPr>
      <w:bookmarkStart w:id="27" w:name="_GoBack"/>
      <w:r>
        <w:rPr>
          <w:rFonts w:hint="eastAsia" w:ascii="宋体" w:hAnsi="宋体"/>
          <w:b/>
          <w:color w:val="auto"/>
          <w:sz w:val="36"/>
          <w:szCs w:val="36"/>
          <w:highlight w:val="none"/>
        </w:rPr>
        <w:t>招标公告</w:t>
      </w:r>
    </w:p>
    <w:bookmarkEnd w:id="27"/>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根据</w:t>
      </w:r>
      <w:r>
        <w:rPr>
          <w:rFonts w:hint="eastAsia" w:ascii="宋体" w:hAnsi="宋体"/>
          <w:color w:val="auto"/>
          <w:sz w:val="24"/>
          <w:szCs w:val="24"/>
          <w:highlight w:val="none"/>
          <w:u w:val="single"/>
        </w:rPr>
        <w:t>穗发改投批〔202</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〕3</w:t>
      </w:r>
      <w:r>
        <w:rPr>
          <w:rFonts w:hint="eastAsia" w:ascii="宋体" w:hAnsi="宋体"/>
          <w:color w:val="auto"/>
          <w:sz w:val="24"/>
          <w:szCs w:val="24"/>
          <w:highlight w:val="none"/>
          <w:u w:val="single"/>
          <w:lang w:val="en-US" w:eastAsia="zh-CN"/>
        </w:rPr>
        <w:t>1</w:t>
      </w:r>
      <w:r>
        <w:rPr>
          <w:rFonts w:hint="eastAsia" w:ascii="宋体" w:hAnsi="宋体"/>
          <w:color w:val="auto"/>
          <w:sz w:val="24"/>
          <w:szCs w:val="24"/>
          <w:highlight w:val="none"/>
          <w:u w:val="single"/>
        </w:rPr>
        <w:t>号</w:t>
      </w:r>
      <w:r>
        <w:rPr>
          <w:rFonts w:hint="eastAsia" w:ascii="宋体" w:hAnsi="宋体"/>
          <w:color w:val="auto"/>
          <w:sz w:val="24"/>
          <w:szCs w:val="24"/>
          <w:highlight w:val="none"/>
        </w:rPr>
        <w:t>批准，</w:t>
      </w:r>
      <w:r>
        <w:rPr>
          <w:rFonts w:hint="eastAsia" w:ascii="宋体" w:hAnsi="宋体"/>
          <w:color w:val="auto"/>
          <w:sz w:val="24"/>
          <w:szCs w:val="24"/>
          <w:highlight w:val="none"/>
          <w:u w:val="single"/>
          <w:lang w:eastAsia="zh-CN"/>
        </w:rPr>
        <w:t>吉祥路46号办公楼相关维修改造工程</w:t>
      </w:r>
      <w:r>
        <w:rPr>
          <w:rFonts w:hint="eastAsia" w:ascii="宋体" w:hAnsi="宋体"/>
          <w:color w:val="auto"/>
          <w:sz w:val="24"/>
          <w:szCs w:val="24"/>
          <w:highlight w:val="none"/>
        </w:rPr>
        <w:t>资金已落实，</w:t>
      </w:r>
      <w:r>
        <w:rPr>
          <w:rFonts w:hint="eastAsia" w:ascii="宋体" w:hAnsi="宋体"/>
          <w:color w:val="auto"/>
          <w:sz w:val="24"/>
          <w:szCs w:val="24"/>
          <w:highlight w:val="none"/>
          <w:u w:val="single"/>
        </w:rPr>
        <w:t>广州市重点公共建设项目管理中心</w:t>
      </w:r>
      <w:r>
        <w:rPr>
          <w:rFonts w:hint="eastAsia" w:ascii="宋体" w:hAnsi="宋体"/>
          <w:color w:val="auto"/>
          <w:sz w:val="24"/>
          <w:szCs w:val="24"/>
          <w:highlight w:val="none"/>
        </w:rPr>
        <w:t>现</w:t>
      </w:r>
      <w:r>
        <w:rPr>
          <w:rFonts w:hint="eastAsia" w:ascii="宋体" w:hAnsi="宋体" w:cs="宋体"/>
          <w:color w:val="auto"/>
          <w:sz w:val="24"/>
          <w:szCs w:val="24"/>
          <w:highlight w:val="none"/>
        </w:rPr>
        <w:t>对</w:t>
      </w:r>
      <w:r>
        <w:rPr>
          <w:rFonts w:hint="eastAsia" w:ascii="宋体" w:hAnsi="宋体" w:cs="宋体"/>
          <w:color w:val="auto"/>
          <w:sz w:val="24"/>
          <w:szCs w:val="24"/>
          <w:highlight w:val="none"/>
          <w:u w:val="single"/>
          <w:lang w:eastAsia="zh-CN"/>
        </w:rPr>
        <w:t>吉祥路46号办公楼相关维修改造工程勘察设计施工总承包</w:t>
      </w:r>
      <w:r>
        <w:rPr>
          <w:rFonts w:hint="eastAsia" w:ascii="宋体" w:hAnsi="宋体"/>
          <w:color w:val="auto"/>
          <w:sz w:val="24"/>
          <w:szCs w:val="24"/>
          <w:highlight w:val="none"/>
        </w:rPr>
        <w:t>进行公开招标，选定承包人。</w:t>
      </w:r>
    </w:p>
    <w:p>
      <w:pPr>
        <w:spacing w:line="460" w:lineRule="exact"/>
        <w:ind w:firstLine="480" w:firstLineChars="200"/>
        <w:rPr>
          <w:rFonts w:hint="eastAsia" w:ascii="宋体" w:hAnsi="宋体" w:eastAsia="宋体"/>
          <w:color w:val="auto"/>
          <w:sz w:val="24"/>
          <w:szCs w:val="24"/>
          <w:highlight w:val="none"/>
          <w:u w:val="single"/>
          <w:lang w:eastAsia="zh-CN"/>
        </w:rPr>
      </w:pPr>
      <w:r>
        <w:rPr>
          <w:rFonts w:hint="eastAsia" w:ascii="宋体" w:hAnsi="宋体"/>
          <w:color w:val="auto"/>
          <w:sz w:val="24"/>
          <w:szCs w:val="24"/>
          <w:highlight w:val="none"/>
        </w:rPr>
        <w:t>一、项目名称：</w:t>
      </w:r>
      <w:r>
        <w:rPr>
          <w:rFonts w:hint="eastAsia" w:ascii="宋体" w:hAnsi="宋体"/>
          <w:color w:val="auto"/>
          <w:sz w:val="24"/>
          <w:szCs w:val="24"/>
          <w:highlight w:val="none"/>
          <w:u w:val="single"/>
          <w:lang w:eastAsia="zh-CN"/>
        </w:rPr>
        <w:t>吉祥路46号办公楼相关维修改造工程勘察设计施工总承包</w:t>
      </w:r>
    </w:p>
    <w:p>
      <w:pPr>
        <w:spacing w:line="460" w:lineRule="exact"/>
        <w:ind w:firstLine="960" w:firstLineChars="400"/>
        <w:rPr>
          <w:rFonts w:hint="eastAsia" w:ascii="宋体" w:hAnsi="宋体"/>
          <w:color w:val="auto"/>
          <w:sz w:val="24"/>
          <w:szCs w:val="24"/>
          <w:highlight w:val="none"/>
        </w:rPr>
      </w:pPr>
      <w:r>
        <w:rPr>
          <w:rFonts w:hint="eastAsia" w:ascii="宋体" w:hAnsi="Times New Roman"/>
          <w:color w:val="auto"/>
          <w:sz w:val="24"/>
          <w:highlight w:val="none"/>
        </w:rPr>
        <w:t>项目代码：</w:t>
      </w:r>
      <w:r>
        <w:rPr>
          <w:rFonts w:hint="eastAsia" w:ascii="宋体" w:hAnsi="Times New Roman"/>
          <w:color w:val="auto"/>
          <w:sz w:val="24"/>
          <w:highlight w:val="none"/>
          <w:u w:val="single"/>
          <w:lang w:val="en-US" w:eastAsia="zh-CN"/>
        </w:rPr>
        <w:t>2401-440104-04-01-166928</w:t>
      </w:r>
    </w:p>
    <w:p>
      <w:pPr>
        <w:spacing w:line="460" w:lineRule="exact"/>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二、招标单位：</w:t>
      </w:r>
      <w:r>
        <w:rPr>
          <w:rFonts w:hint="eastAsia" w:ascii="宋体" w:hAnsi="宋体"/>
          <w:color w:val="auto"/>
          <w:sz w:val="24"/>
          <w:szCs w:val="24"/>
          <w:highlight w:val="none"/>
          <w:u w:val="single"/>
        </w:rPr>
        <w:t>广州市重点公共建设项目管理中心</w:t>
      </w:r>
    </w:p>
    <w:p>
      <w:pPr>
        <w:spacing w:line="460" w:lineRule="exact"/>
        <w:ind w:firstLine="991" w:firstLineChars="413"/>
        <w:rPr>
          <w:rFonts w:ascii="宋体" w:hAnsi="宋体"/>
          <w:color w:val="auto"/>
          <w:sz w:val="24"/>
          <w:szCs w:val="24"/>
          <w:highlight w:val="none"/>
          <w:u w:val="single"/>
        </w:rPr>
      </w:pPr>
      <w:r>
        <w:rPr>
          <w:rFonts w:hint="eastAsia" w:ascii="宋体" w:hAnsi="宋体"/>
          <w:color w:val="auto"/>
          <w:sz w:val="24"/>
          <w:szCs w:val="24"/>
          <w:highlight w:val="none"/>
        </w:rPr>
        <w:t>联系人：</w:t>
      </w:r>
      <w:r>
        <w:rPr>
          <w:rFonts w:hint="eastAsia" w:ascii="宋体" w:hAnsi="宋体"/>
          <w:color w:val="auto"/>
          <w:sz w:val="24"/>
          <w:szCs w:val="24"/>
          <w:highlight w:val="none"/>
          <w:u w:val="single"/>
          <w:lang w:val="en-US" w:eastAsia="zh-CN"/>
        </w:rPr>
        <w:t>张</w:t>
      </w:r>
      <w:r>
        <w:rPr>
          <w:rFonts w:hint="eastAsia" w:ascii="宋体" w:hAnsi="宋体"/>
          <w:color w:val="auto"/>
          <w:sz w:val="24"/>
          <w:szCs w:val="24"/>
          <w:highlight w:val="none"/>
          <w:u w:val="single"/>
        </w:rPr>
        <w:t>工</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联系电话：</w:t>
      </w:r>
      <w:r>
        <w:rPr>
          <w:rFonts w:ascii="宋体" w:hAnsi="宋体"/>
          <w:color w:val="auto"/>
          <w:sz w:val="24"/>
          <w:szCs w:val="24"/>
          <w:highlight w:val="none"/>
          <w:u w:val="single"/>
        </w:rPr>
        <w:t>020-</w:t>
      </w:r>
      <w:r>
        <w:rPr>
          <w:rFonts w:hint="eastAsia" w:ascii="宋体" w:hAnsi="宋体"/>
          <w:color w:val="auto"/>
          <w:sz w:val="24"/>
          <w:szCs w:val="24"/>
          <w:highlight w:val="none"/>
          <w:u w:val="single"/>
        </w:rPr>
        <w:t>229056</w:t>
      </w:r>
      <w:r>
        <w:rPr>
          <w:rFonts w:ascii="宋体" w:hAnsi="宋体"/>
          <w:color w:val="auto"/>
          <w:sz w:val="24"/>
          <w:szCs w:val="24"/>
          <w:highlight w:val="none"/>
          <w:u w:val="single"/>
        </w:rPr>
        <w:t>92</w:t>
      </w:r>
    </w:p>
    <w:p>
      <w:pPr>
        <w:spacing w:line="460" w:lineRule="exact"/>
        <w:ind w:firstLine="991" w:firstLineChars="413"/>
        <w:rPr>
          <w:rFonts w:ascii="宋体" w:hAnsi="宋体"/>
          <w:color w:val="auto"/>
          <w:sz w:val="24"/>
          <w:szCs w:val="24"/>
          <w:highlight w:val="none"/>
        </w:rPr>
      </w:pPr>
      <w:r>
        <w:rPr>
          <w:rFonts w:hint="eastAsia" w:ascii="宋体" w:hAnsi="宋体"/>
          <w:color w:val="auto"/>
          <w:sz w:val="24"/>
          <w:highlight w:val="none"/>
        </w:rPr>
        <w:t>联系地址：</w:t>
      </w:r>
      <w:r>
        <w:rPr>
          <w:rFonts w:hint="eastAsia" w:ascii="宋体" w:hAnsi="宋体"/>
          <w:color w:val="auto"/>
          <w:sz w:val="24"/>
          <w:highlight w:val="none"/>
          <w:u w:val="single"/>
        </w:rPr>
        <w:t>广州大学城内环东星运路</w:t>
      </w:r>
      <w:r>
        <w:rPr>
          <w:rFonts w:ascii="宋体" w:hAnsi="宋体"/>
          <w:color w:val="auto"/>
          <w:sz w:val="24"/>
          <w:highlight w:val="none"/>
          <w:u w:val="single"/>
        </w:rPr>
        <w:t>1</w:t>
      </w:r>
      <w:r>
        <w:rPr>
          <w:rFonts w:hint="eastAsia" w:ascii="宋体" w:hAnsi="宋体"/>
          <w:color w:val="auto"/>
          <w:sz w:val="24"/>
          <w:highlight w:val="none"/>
          <w:u w:val="single"/>
        </w:rPr>
        <w:t>号</w:t>
      </w:r>
    </w:p>
    <w:p>
      <w:pPr>
        <w:spacing w:line="460" w:lineRule="exact"/>
        <w:ind w:firstLine="991" w:firstLineChars="413"/>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招标代理机构：</w:t>
      </w:r>
      <w:r>
        <w:rPr>
          <w:rFonts w:hint="eastAsia" w:ascii="宋体" w:hAnsi="宋体"/>
          <w:color w:val="auto"/>
          <w:sz w:val="24"/>
          <w:szCs w:val="24"/>
          <w:highlight w:val="none"/>
          <w:u w:val="single"/>
          <w:lang w:eastAsia="zh-CN"/>
        </w:rPr>
        <w:t>广东建瀚工程管理有限公司</w:t>
      </w:r>
    </w:p>
    <w:p>
      <w:pPr>
        <w:spacing w:line="460" w:lineRule="exact"/>
        <w:ind w:firstLine="991" w:firstLineChars="413"/>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联系人：</w:t>
      </w:r>
      <w:r>
        <w:rPr>
          <w:rFonts w:hint="eastAsia" w:ascii="宋体" w:hAnsi="宋体"/>
          <w:color w:val="auto"/>
          <w:sz w:val="24"/>
          <w:szCs w:val="24"/>
          <w:highlight w:val="none"/>
          <w:u w:val="single"/>
          <w:lang w:val="en-US" w:eastAsia="zh-CN"/>
        </w:rPr>
        <w:t>王工</w:t>
      </w:r>
      <w:r>
        <w:rPr>
          <w:rFonts w:ascii="宋体" w:hAnsi="宋体"/>
          <w:color w:val="auto"/>
          <w:sz w:val="24"/>
          <w:szCs w:val="24"/>
          <w:highlight w:val="none"/>
        </w:rPr>
        <w:t xml:space="preserve">    </w:t>
      </w:r>
      <w:r>
        <w:rPr>
          <w:rFonts w:hint="eastAsia" w:ascii="宋体" w:hAnsi="宋体"/>
          <w:color w:val="auto"/>
          <w:sz w:val="24"/>
          <w:szCs w:val="24"/>
          <w:highlight w:val="none"/>
        </w:rPr>
        <w:t>联系电话：</w:t>
      </w:r>
      <w:r>
        <w:rPr>
          <w:rFonts w:ascii="宋体" w:hAnsi="宋体"/>
          <w:color w:val="auto"/>
          <w:sz w:val="24"/>
          <w:szCs w:val="24"/>
          <w:highlight w:val="none"/>
          <w:u w:val="single"/>
        </w:rPr>
        <w:t>020-</w:t>
      </w:r>
      <w:r>
        <w:rPr>
          <w:rFonts w:hint="eastAsia" w:ascii="宋体" w:hAnsi="宋体"/>
          <w:color w:val="auto"/>
          <w:sz w:val="24"/>
          <w:szCs w:val="24"/>
          <w:highlight w:val="none"/>
          <w:u w:val="single"/>
          <w:lang w:val="en-US" w:eastAsia="zh-CN"/>
        </w:rPr>
        <w:t>38371723</w:t>
      </w:r>
    </w:p>
    <w:p>
      <w:pPr>
        <w:spacing w:line="460" w:lineRule="exact"/>
        <w:ind w:firstLine="991" w:firstLineChars="413"/>
        <w:rPr>
          <w:rFonts w:hint="default" w:ascii="宋体" w:hAnsi="宋体" w:eastAsia="宋体"/>
          <w:color w:val="auto"/>
          <w:sz w:val="24"/>
          <w:szCs w:val="24"/>
          <w:highlight w:val="none"/>
          <w:lang w:val="en-US" w:eastAsia="zh-CN"/>
        </w:rPr>
      </w:pPr>
      <w:r>
        <w:rPr>
          <w:rFonts w:hint="eastAsia" w:ascii="宋体" w:hAnsi="宋体"/>
          <w:color w:val="auto"/>
          <w:sz w:val="24"/>
          <w:highlight w:val="none"/>
        </w:rPr>
        <w:t>联系地址：</w:t>
      </w:r>
      <w:r>
        <w:rPr>
          <w:rFonts w:hint="eastAsia" w:ascii="宋体" w:hAnsi="宋体"/>
          <w:color w:val="auto"/>
          <w:sz w:val="24"/>
          <w:highlight w:val="none"/>
          <w:u w:val="single"/>
        </w:rPr>
        <w:t>广州市越秀区</w:t>
      </w:r>
      <w:r>
        <w:rPr>
          <w:rFonts w:hint="eastAsia" w:ascii="宋体" w:hAnsi="宋体"/>
          <w:color w:val="auto"/>
          <w:sz w:val="24"/>
          <w:highlight w:val="none"/>
          <w:u w:val="single"/>
          <w:lang w:val="en-US" w:eastAsia="zh-CN"/>
        </w:rPr>
        <w:t>东风中路302号</w:t>
      </w:r>
    </w:p>
    <w:p>
      <w:pPr>
        <w:spacing w:line="460" w:lineRule="exact"/>
        <w:ind w:firstLine="991" w:firstLineChars="413"/>
        <w:rPr>
          <w:rFonts w:ascii="宋体" w:hAnsi="宋体"/>
          <w:color w:val="auto"/>
          <w:sz w:val="24"/>
          <w:szCs w:val="24"/>
          <w:highlight w:val="none"/>
        </w:rPr>
      </w:pPr>
      <w:r>
        <w:rPr>
          <w:rFonts w:hint="eastAsia" w:ascii="宋体" w:hAnsi="宋体"/>
          <w:color w:val="auto"/>
          <w:sz w:val="24"/>
          <w:szCs w:val="24"/>
          <w:highlight w:val="none"/>
        </w:rPr>
        <w:t>招标监督机构：</w:t>
      </w:r>
      <w:r>
        <w:rPr>
          <w:rFonts w:hint="eastAsia" w:ascii="宋体" w:hAnsi="宋体"/>
          <w:color w:val="auto"/>
          <w:sz w:val="24"/>
          <w:szCs w:val="24"/>
          <w:highlight w:val="none"/>
          <w:u w:val="single"/>
        </w:rPr>
        <w:t>广州市建设工程招标管理办公室</w:t>
      </w:r>
    </w:p>
    <w:p>
      <w:pPr>
        <w:spacing w:line="460" w:lineRule="exact"/>
        <w:ind w:firstLine="991" w:firstLineChars="413"/>
        <w:rPr>
          <w:rFonts w:ascii="宋体" w:hAnsi="宋体"/>
          <w:color w:val="auto"/>
          <w:sz w:val="24"/>
          <w:szCs w:val="24"/>
          <w:highlight w:val="none"/>
          <w:u w:val="single"/>
        </w:rPr>
      </w:pPr>
      <w:r>
        <w:rPr>
          <w:rFonts w:hint="eastAsia" w:ascii="宋体" w:hAnsi="宋体"/>
          <w:color w:val="auto"/>
          <w:sz w:val="24"/>
          <w:szCs w:val="24"/>
          <w:highlight w:val="none"/>
        </w:rPr>
        <w:t>监督电话：</w:t>
      </w:r>
      <w:r>
        <w:rPr>
          <w:rFonts w:ascii="宋体" w:hAnsi="宋体"/>
          <w:color w:val="auto"/>
          <w:sz w:val="24"/>
          <w:szCs w:val="24"/>
          <w:highlight w:val="none"/>
          <w:u w:val="single"/>
        </w:rPr>
        <w:t>020-</w:t>
      </w:r>
      <w:r>
        <w:rPr>
          <w:color w:val="auto"/>
          <w:highlight w:val="none"/>
          <w:u w:val="single"/>
        </w:rPr>
        <w:t xml:space="preserve"> </w:t>
      </w:r>
      <w:r>
        <w:rPr>
          <w:rFonts w:ascii="宋体" w:hAnsi="宋体"/>
          <w:color w:val="auto"/>
          <w:sz w:val="24"/>
          <w:szCs w:val="24"/>
          <w:highlight w:val="none"/>
          <w:u w:val="single"/>
        </w:rPr>
        <w:t>28866213</w:t>
      </w:r>
    </w:p>
    <w:p>
      <w:pPr>
        <w:spacing w:line="460" w:lineRule="exact"/>
        <w:ind w:firstLine="991" w:firstLineChars="413"/>
        <w:rPr>
          <w:rFonts w:ascii="宋体" w:hAnsi="宋体"/>
          <w:color w:val="auto"/>
          <w:sz w:val="24"/>
          <w:szCs w:val="24"/>
          <w:highlight w:val="none"/>
        </w:rPr>
      </w:pPr>
      <w:r>
        <w:rPr>
          <w:rFonts w:hint="eastAsia" w:ascii="宋体" w:hAnsi="宋体"/>
          <w:color w:val="auto"/>
          <w:sz w:val="24"/>
          <w:highlight w:val="none"/>
        </w:rPr>
        <w:t>联系地址：</w:t>
      </w:r>
      <w:r>
        <w:rPr>
          <w:rFonts w:hint="eastAsia" w:ascii="宋体" w:hAnsi="宋体"/>
          <w:color w:val="auto"/>
          <w:sz w:val="24"/>
          <w:highlight w:val="none"/>
          <w:u w:val="single"/>
        </w:rPr>
        <w:t>广州市天河区天润路</w:t>
      </w:r>
      <w:r>
        <w:rPr>
          <w:rFonts w:ascii="宋体" w:hAnsi="宋体"/>
          <w:color w:val="auto"/>
          <w:sz w:val="24"/>
          <w:highlight w:val="none"/>
          <w:u w:val="single"/>
        </w:rPr>
        <w:t>333</w:t>
      </w:r>
      <w:r>
        <w:rPr>
          <w:rFonts w:hint="eastAsia" w:ascii="宋体" w:hAnsi="宋体"/>
          <w:color w:val="auto"/>
          <w:sz w:val="24"/>
          <w:highlight w:val="none"/>
          <w:u w:val="single"/>
        </w:rPr>
        <w:t>号</w:t>
      </w:r>
      <w:r>
        <w:rPr>
          <w:rFonts w:ascii="宋体" w:hAnsi="宋体"/>
          <w:color w:val="auto"/>
          <w:sz w:val="24"/>
          <w:highlight w:val="none"/>
          <w:u w:val="single"/>
        </w:rPr>
        <w:t>3</w:t>
      </w:r>
      <w:r>
        <w:rPr>
          <w:rFonts w:hint="eastAsia" w:ascii="宋体" w:hAnsi="宋体"/>
          <w:color w:val="auto"/>
          <w:sz w:val="24"/>
          <w:highlight w:val="none"/>
          <w:u w:val="single"/>
        </w:rPr>
        <w:t>楼</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三、</w:t>
      </w:r>
      <w:r>
        <w:rPr>
          <w:rFonts w:hint="eastAsia" w:ascii="宋体" w:hAnsi="宋体"/>
          <w:b/>
          <w:color w:val="auto"/>
          <w:sz w:val="24"/>
          <w:szCs w:val="24"/>
          <w:highlight w:val="none"/>
        </w:rPr>
        <w:t>建设地点</w:t>
      </w:r>
      <w:r>
        <w:rPr>
          <w:rFonts w:hint="eastAsia" w:ascii="宋体" w:hAnsi="宋体"/>
          <w:color w:val="auto"/>
          <w:sz w:val="24"/>
          <w:szCs w:val="24"/>
          <w:highlight w:val="none"/>
        </w:rPr>
        <w:t>：</w:t>
      </w:r>
      <w:r>
        <w:rPr>
          <w:rFonts w:hint="eastAsia" w:ascii="宋体" w:hAnsi="宋体"/>
          <w:snapToGrid w:val="0"/>
          <w:color w:val="auto"/>
          <w:kern w:val="0"/>
          <w:sz w:val="24"/>
          <w:highlight w:val="none"/>
          <w:u w:val="single"/>
        </w:rPr>
        <w:t>广州市越秀区</w:t>
      </w:r>
      <w:r>
        <w:rPr>
          <w:rFonts w:hint="eastAsia" w:ascii="宋体" w:hAnsi="宋体"/>
          <w:snapToGrid w:val="0"/>
          <w:color w:val="auto"/>
          <w:kern w:val="0"/>
          <w:sz w:val="24"/>
          <w:highlight w:val="none"/>
          <w:u w:val="single"/>
          <w:lang w:val="en-US" w:eastAsia="zh-CN"/>
        </w:rPr>
        <w:t>吉祥路46号</w:t>
      </w:r>
      <w:r>
        <w:rPr>
          <w:rFonts w:hint="eastAsia" w:ascii="宋体" w:hAnsi="宋体"/>
          <w:color w:val="auto"/>
          <w:sz w:val="24"/>
          <w:szCs w:val="24"/>
          <w:highlight w:val="none"/>
        </w:rPr>
        <w:t>。</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四、</w:t>
      </w:r>
      <w:r>
        <w:rPr>
          <w:rFonts w:hint="eastAsia" w:ascii="宋体" w:hAnsi="宋体"/>
          <w:b/>
          <w:color w:val="auto"/>
          <w:sz w:val="24"/>
          <w:szCs w:val="24"/>
          <w:highlight w:val="none"/>
        </w:rPr>
        <w:t>项目概况</w:t>
      </w:r>
      <w:r>
        <w:rPr>
          <w:rFonts w:hint="eastAsia" w:ascii="宋体" w:hAnsi="宋体"/>
          <w:color w:val="auto"/>
          <w:sz w:val="24"/>
          <w:szCs w:val="24"/>
          <w:highlight w:val="none"/>
        </w:rPr>
        <w:t>：</w:t>
      </w:r>
    </w:p>
    <w:p>
      <w:pPr>
        <w:spacing w:line="460" w:lineRule="exact"/>
        <w:ind w:firstLine="480" w:firstLineChars="200"/>
        <w:rPr>
          <w:rFonts w:hint="eastAsia" w:ascii="宋体" w:hAnsi="宋体" w:cs="宋体"/>
          <w:color w:val="auto"/>
          <w:sz w:val="24"/>
          <w:szCs w:val="24"/>
          <w:highlight w:val="none"/>
          <w:u w:val="single"/>
          <w:lang w:bidi="ar"/>
        </w:rPr>
      </w:pPr>
      <w:r>
        <w:rPr>
          <w:rFonts w:hint="eastAsia" w:ascii="宋体" w:hAnsi="宋体" w:cs="宋体"/>
          <w:color w:val="auto"/>
          <w:sz w:val="24"/>
          <w:szCs w:val="24"/>
          <w:highlight w:val="none"/>
          <w:u w:val="single"/>
          <w:lang w:bidi="ar"/>
        </w:rPr>
        <w:t>维修改造总建筑面积17817.28 平方米，其中办公用房改造面积为 15017.5平方米，业务用房改造面积为 1724.61平方米，大楼公共部分改造面积1075.17平方米。主要内容包括：室内装修、消防（仅包含喷淋系统）、电气（布线、插座、照明系统）、给排水、通风、拆砌工程等简单维修改造，抗震支架、加固、消防（不含喷淋系统）、变配电、环保、空调、标识、建筑智能化、饭堂疏散通道、新增出入口、无障碍通道改造、大门改造等工程以及厨房除油烟系统、厨房不可移动设备、新增厨房电梯（1-3层）、汽车电梯（负1负2层）购置、1-6 号电梯层门更换、会议室专项系统等复杂维修改造。</w:t>
      </w:r>
    </w:p>
    <w:p>
      <w:pPr>
        <w:spacing w:line="460" w:lineRule="exact"/>
        <w:ind w:firstLine="480" w:firstLineChars="200"/>
        <w:rPr>
          <w:rFonts w:hint="eastAsia" w:ascii="宋体" w:hAnsi="宋体" w:cs="宋体"/>
          <w:color w:val="auto"/>
          <w:sz w:val="24"/>
          <w:szCs w:val="24"/>
          <w:highlight w:val="none"/>
          <w:u w:val="single"/>
          <w:lang w:bidi="ar"/>
        </w:rPr>
      </w:pPr>
      <w:r>
        <w:rPr>
          <w:rFonts w:hint="eastAsia" w:ascii="宋体" w:hAnsi="宋体" w:cs="宋体"/>
          <w:color w:val="auto"/>
          <w:sz w:val="24"/>
          <w:szCs w:val="24"/>
          <w:highlight w:val="none"/>
          <w:u w:val="single"/>
          <w:lang w:bidi="ar"/>
        </w:rPr>
        <w:t>项目总投资6557.29万元，其中：工程费用5320.59万元，会议室专项系统276.00万元，工程建设其他费661.59万元，预备费299.11万元。资金来源在市应急管理局、科技局、司法局部门预算中统筹解决。</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五、</w:t>
      </w:r>
      <w:r>
        <w:rPr>
          <w:rFonts w:hint="eastAsia" w:ascii="宋体" w:hAnsi="宋体"/>
          <w:b/>
          <w:color w:val="auto"/>
          <w:sz w:val="24"/>
          <w:szCs w:val="24"/>
          <w:highlight w:val="none"/>
        </w:rPr>
        <w:t>标段划分及标段招标内容、规模、最高投标限价</w:t>
      </w:r>
      <w:r>
        <w:rPr>
          <w:rFonts w:ascii="宋体" w:hAnsi="宋体"/>
          <w:color w:val="auto"/>
          <w:sz w:val="24"/>
          <w:szCs w:val="24"/>
          <w:highlight w:val="none"/>
        </w:rPr>
        <w:t>:</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（一）本项目只设一个标段。</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（二）招标范围：</w:t>
      </w:r>
      <w:r>
        <w:rPr>
          <w:rFonts w:hint="eastAsia" w:ascii="宋体" w:hAnsi="宋体"/>
          <w:color w:val="auto"/>
          <w:sz w:val="24"/>
          <w:szCs w:val="24"/>
          <w:highlight w:val="none"/>
          <w:u w:val="single"/>
        </w:rPr>
        <w:t>根据项目需求文件、方案设计文件和招标人的项目管理要求，负责吉祥路46号办公楼相关维修改造工程项目立项范围内的所有勘察、设计、施工及工程竣工验收等工作。</w:t>
      </w:r>
    </w:p>
    <w:p>
      <w:pPr>
        <w:spacing w:line="460" w:lineRule="exact"/>
        <w:ind w:firstLine="480" w:firstLineChars="200"/>
        <w:rPr>
          <w:rFonts w:hint="eastAsia" w:ascii="宋体" w:hAnsi="宋体" w:eastAsia="宋体"/>
          <w:color w:val="auto"/>
          <w:sz w:val="24"/>
          <w:szCs w:val="24"/>
          <w:highlight w:val="none"/>
          <w:u w:val="single"/>
          <w:lang w:eastAsia="zh-CN"/>
        </w:rPr>
      </w:pPr>
      <w:r>
        <w:rPr>
          <w:rFonts w:hint="eastAsia" w:ascii="宋体" w:hAnsi="宋体"/>
          <w:color w:val="auto"/>
          <w:sz w:val="24"/>
          <w:szCs w:val="24"/>
          <w:highlight w:val="none"/>
        </w:rPr>
        <w:t>（三）招标内容：</w:t>
      </w:r>
      <w:r>
        <w:rPr>
          <w:rFonts w:hint="eastAsia" w:ascii="宋体" w:hAnsi="宋体"/>
          <w:color w:val="auto"/>
          <w:sz w:val="24"/>
          <w:szCs w:val="24"/>
          <w:highlight w:val="none"/>
          <w:u w:val="single"/>
        </w:rPr>
        <w:t>负责吉祥路46号办公楼相关维修改造工程项目立项范围内的所有勘察、设计、施工及工程竣工验收等工作，包括但不限于以下内容</w:t>
      </w:r>
      <w:r>
        <w:rPr>
          <w:rFonts w:hint="eastAsia" w:ascii="宋体" w:hAnsi="宋体"/>
          <w:color w:val="auto"/>
          <w:sz w:val="24"/>
          <w:szCs w:val="24"/>
          <w:highlight w:val="none"/>
          <w:u w:val="single"/>
          <w:lang w:eastAsia="zh-CN"/>
        </w:rPr>
        <w:t>：</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一、工程前期阶段（含勘察、设计）</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（1）现状摸查及编制摸查报告,岩土工程勘察(初步勘察、详细勘察)工作。</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本项目可研范围内全过程全专业设计，包括但不限于：负责项目方案设计、深化方案设计及方案报批、单体报建图设计和报建通编制、初步设计（含初步设计概算编制、送审、配合评审工作）、施工图设计（含预算编制、送审、配合评审工作）</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如有</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及规划验收电子报批文件。范围主要包括：</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1）负责</w:t>
      </w:r>
      <w:r>
        <w:rPr>
          <w:rFonts w:hint="default" w:ascii="宋体" w:hAnsi="宋体"/>
          <w:strike w:val="0"/>
          <w:color w:val="auto"/>
          <w:sz w:val="24"/>
          <w:szCs w:val="24"/>
          <w:highlight w:val="none"/>
        </w:rPr>
        <w:t>改造</w:t>
      </w:r>
      <w:r>
        <w:rPr>
          <w:rFonts w:hint="eastAsia" w:ascii="宋体" w:hAnsi="宋体"/>
          <w:color w:val="auto"/>
          <w:sz w:val="24"/>
          <w:szCs w:val="24"/>
          <w:highlight w:val="none"/>
        </w:rPr>
        <w:t>范围内所有建筑、结构、给排水、电气、智能化、通风、空调、消防、室内装修、卫生、环保、建筑节能和绿色建筑、临水临电、标识设计等专业设计等。</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2）负责方案审查所需建筑方案报建、初步设计审查备案（含初步设计概算编制、送审、配合评审工作）、各专业报建、施工图报建、协助办理建设工程规划许可证</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如有</w:t>
      </w:r>
      <w:r>
        <w:rPr>
          <w:rFonts w:hint="eastAsia" w:ascii="宋体" w:hAnsi="宋体"/>
          <w:color w:val="auto"/>
          <w:sz w:val="24"/>
          <w:szCs w:val="24"/>
          <w:highlight w:val="none"/>
          <w:lang w:eastAsia="zh-CN"/>
        </w:rPr>
        <w:t>）</w:t>
      </w:r>
      <w:r>
        <w:rPr>
          <w:rFonts w:hint="eastAsia" w:ascii="宋体" w:hAnsi="宋体"/>
          <w:color w:val="auto"/>
          <w:sz w:val="24"/>
          <w:szCs w:val="24"/>
          <w:highlight w:val="none"/>
        </w:rPr>
        <w:t>等各专项报批报建和验收工作。</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3）负责组织开展专项设计方案咨询工作。</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4）负责专项设计工作。如承包人不具备项目中各专业部分的相应资质，承包人应在征得发包人同意后将相关专业部分分包给其他具备相应资质等级的设计单位实施并签订分包合同。</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5）负责项目涉及的施工用水用电、临时排水等所有临时设施的设计工作。</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）完成本项目可研范围内工程概（预）算等造价文件的编制工作及相关配合报审工作，还包括各阶段方案比选、技术造型比选等的投资分析，根据招标文件及发包人要求提供项目的成本指标数据。</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）负责根据建设要求组织各项专家评审。</w:t>
      </w:r>
    </w:p>
    <w:p>
      <w:pPr>
        <w:spacing w:line="460" w:lineRule="exact"/>
        <w:ind w:firstLine="480" w:firstLineChars="200"/>
        <w:rPr>
          <w:rFonts w:hint="eastAsia" w:ascii="宋体" w:hAnsi="宋体"/>
          <w:strike/>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）除按合同约定的时间和要求向发包人提交设计成果文件外，还应承担工程施工过程直至竣工验收前的设计服务（包含设计变更）等工作，保证设计变更满足施工进度要求。</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二、</w:t>
      </w:r>
      <w:r>
        <w:rPr>
          <w:rFonts w:hint="eastAsia" w:ascii="宋体" w:hAnsi="宋体"/>
          <w:color w:val="auto"/>
          <w:sz w:val="24"/>
          <w:szCs w:val="24"/>
          <w:highlight w:val="none"/>
        </w:rPr>
        <w:t>工程实施阶段</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（1）按照本工程招标文件、合同约定的范围和经施工图审查合格后的施工图进行施工总承包，范围主要包括：</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1）负责本项目临水临电（含红线外接驳）等工程的施工工作。</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2）负责项目</w:t>
      </w:r>
      <w:r>
        <w:rPr>
          <w:rFonts w:hint="eastAsia" w:ascii="宋体" w:hAnsi="宋体"/>
          <w:color w:val="auto"/>
          <w:sz w:val="24"/>
          <w:szCs w:val="24"/>
          <w:highlight w:val="none"/>
          <w:lang w:val="en-US" w:eastAsia="zh-CN"/>
        </w:rPr>
        <w:t>改造</w:t>
      </w:r>
      <w:r>
        <w:rPr>
          <w:rFonts w:hint="eastAsia" w:ascii="宋体" w:hAnsi="宋体"/>
          <w:color w:val="auto"/>
          <w:sz w:val="24"/>
          <w:szCs w:val="24"/>
          <w:highlight w:val="none"/>
        </w:rPr>
        <w:t>范围内的</w:t>
      </w:r>
      <w:r>
        <w:rPr>
          <w:rFonts w:hint="eastAsia" w:ascii="宋体" w:hAnsi="宋体"/>
          <w:color w:val="auto"/>
          <w:sz w:val="24"/>
          <w:szCs w:val="24"/>
          <w:highlight w:val="none"/>
          <w:lang w:val="en-US" w:eastAsia="zh-CN"/>
        </w:rPr>
        <w:t>室内</w:t>
      </w:r>
      <w:r>
        <w:rPr>
          <w:rFonts w:hint="eastAsia" w:ascii="宋体" w:hAnsi="宋体"/>
          <w:color w:val="auto"/>
          <w:sz w:val="24"/>
          <w:szCs w:val="24"/>
          <w:highlight w:val="none"/>
        </w:rPr>
        <w:t>拆除及清理外运（含现场垃圾清理外运）、管线迁移工作。</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3）负责可研及</w:t>
      </w:r>
      <w:r>
        <w:rPr>
          <w:rFonts w:hint="default" w:ascii="宋体" w:hAnsi="宋体"/>
          <w:strike w:val="0"/>
          <w:color w:val="auto"/>
          <w:sz w:val="24"/>
          <w:szCs w:val="24"/>
          <w:highlight w:val="none"/>
        </w:rPr>
        <w:t>改造</w:t>
      </w:r>
      <w:r>
        <w:rPr>
          <w:rFonts w:hint="eastAsia" w:ascii="宋体" w:hAnsi="宋体"/>
          <w:color w:val="auto"/>
          <w:sz w:val="24"/>
          <w:szCs w:val="24"/>
          <w:highlight w:val="none"/>
        </w:rPr>
        <w:t>范围内的施工工作，包括但不限于以下工作：室内装修、消防、电气、给排水、通风、拆砌工程、抗震支架、加固、变配电、环保、空调、标识、建筑智能化、饭堂疏散通道、新增出入口、无障碍通道改造、大门改造等工程以及厨房除油烟系统、厨房不可移动设备、新增厨房电梯（1-3 层）、汽车电梯（负1 负2 层）购置、1-6 号电梯层门更换、会议室专项系统等维修改造。</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4）负责设计变更（含造价分析）及现场技术指导。</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负责办理工程开工及验收所需的各项报监、报建、报验手续，包括但不限于办理施工许可证(或临时施工许可)、报监手续、余泥排放证、排污手续、排水接驳、水质检测、排水许可证、临水临电、水电气等专业报建报装、分项分部工程验收、环保验收、消防验收、人防验收、卫生验收、节能验收、质量验收、规划验收、</w:t>
      </w:r>
      <w:r>
        <w:rPr>
          <w:rFonts w:hint="eastAsia" w:ascii="宋体" w:hAnsi="宋体"/>
          <w:strike w:val="0"/>
          <w:color w:val="auto"/>
          <w:szCs w:val="21"/>
          <w:highlight w:val="none"/>
        </w:rPr>
        <w:t>永久用电用水验收</w:t>
      </w:r>
      <w:r>
        <w:rPr>
          <w:rFonts w:hint="eastAsia" w:ascii="宋体" w:hAnsi="宋体"/>
          <w:color w:val="auto"/>
          <w:sz w:val="24"/>
          <w:szCs w:val="24"/>
          <w:highlight w:val="none"/>
        </w:rPr>
        <w:t>、永久路口开设验收</w:t>
      </w:r>
      <w:r>
        <w:rPr>
          <w:rFonts w:hint="eastAsia" w:ascii="宋体" w:hAnsi="宋体"/>
          <w:color w:val="auto"/>
          <w:sz w:val="24"/>
          <w:szCs w:val="24"/>
          <w:highlight w:val="none"/>
          <w:lang w:eastAsia="zh-CN"/>
        </w:rPr>
        <w:t>、</w:t>
      </w:r>
      <w:r>
        <w:rPr>
          <w:rFonts w:hint="eastAsia" w:ascii="宋体" w:hAnsi="宋体"/>
          <w:color w:val="auto"/>
          <w:sz w:val="24"/>
          <w:szCs w:val="24"/>
          <w:highlight w:val="none"/>
        </w:rPr>
        <w:t>燃气验收、制作安装主体工程竣工验收牌等工作，并支付办理上述工作中应由承包人承担的费用。承包人积极利用自身技术力量，负责组织实施开工前施工场地的地形复测工作，相关费用已包含在本合同价款中。</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6）完成按有关规定应由承包人负责的检验监测工作，及配合发包人委托的第三方检测工作。根据施工图纸内容及要求，编制第三方检测及监测方案及估算报发包人。</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7）负责施工期间至移交前的场地管理、保安、保洁、防噪音、防扬尘及绿化养护等管理工作；负责设置卫生垃圾池和建筑垃圾外运工作；负责设置施工污水收集过滤系统，保证污水排放不得影响周边环境；配合发包人做好各项迎检工作，对场地进行清扫和布置。</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8）项目红线范围内的场地围蔽施工及至本合同项下全部工程移交前的保修维护工作（该部分费用已包含在本合同价款中）。</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9）组织本项目的整体竣工验收及备案和整体工程资料汇总及整理归档工作，包括结算资料整理汇总；在本工程范围内工程资料正式移交给发包人及相关建设主管部门之前所产生的费用均包括在本合同价款中。</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0</w:t>
      </w:r>
      <w:r>
        <w:rPr>
          <w:rFonts w:hint="eastAsia" w:ascii="宋体" w:hAnsi="宋体"/>
          <w:color w:val="auto"/>
          <w:sz w:val="24"/>
          <w:szCs w:val="24"/>
          <w:highlight w:val="none"/>
        </w:rPr>
        <w:t>）竣工图纸及竣工通编制。</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）如承包人不具备项目中各专业部分的相应资质（主体结构、关键性工作除外），承包人应在征得发包人同意后将相关专业部分分包给其他具备相应资质的单位实施并签订分包合同。</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）根据发包人、设计任务书、技术需求书等要求进行限额设计及施工。</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）施工方作为本工程联合体主办方，对本工程的勘察、设计、施工进度、质量、安全、投资控制、管理等进行全面协调管理工作。</w:t>
      </w:r>
    </w:p>
    <w:p>
      <w:pPr>
        <w:spacing w:line="460" w:lineRule="exact"/>
        <w:ind w:firstLine="480" w:firstLineChars="200"/>
        <w:rPr>
          <w:rFonts w:hint="eastAsia" w:ascii="宋体" w:hAnsi="宋体"/>
          <w:color w:val="auto"/>
          <w:sz w:val="24"/>
          <w:szCs w:val="24"/>
          <w:highlight w:val="none"/>
        </w:rPr>
      </w:pPr>
    </w:p>
    <w:p>
      <w:pPr>
        <w:spacing w:line="460" w:lineRule="exact"/>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（四）招标规模：</w:t>
      </w:r>
      <w:r>
        <w:rPr>
          <w:rFonts w:hint="eastAsia" w:ascii="宋体" w:hAnsi="宋体"/>
          <w:color w:val="auto"/>
          <w:sz w:val="24"/>
          <w:szCs w:val="24"/>
          <w:highlight w:val="none"/>
          <w:u w:val="single"/>
        </w:rPr>
        <w:t>维修改造总建筑面积17817.28 平方米，其中办公用房改造面积为 15017.5平方米，业务用房改造面积为 1724.61平方米，大楼公共部分改造面积1075.17平方米。</w:t>
      </w:r>
    </w:p>
    <w:p>
      <w:pPr>
        <w:spacing w:line="460" w:lineRule="exact"/>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（五）最高投标限价：</w:t>
      </w:r>
      <w:r>
        <w:rPr>
          <w:rFonts w:hint="eastAsia" w:ascii="宋体" w:hAnsi="宋体"/>
          <w:b/>
          <w:color w:val="auto"/>
          <w:sz w:val="24"/>
          <w:szCs w:val="24"/>
          <w:highlight w:val="none"/>
          <w:u w:val="single"/>
        </w:rPr>
        <w:t>人民币</w:t>
      </w:r>
      <w:r>
        <w:rPr>
          <w:rFonts w:hint="default" w:ascii="宋体" w:hAnsi="宋体"/>
          <w:b/>
          <w:color w:val="auto"/>
          <w:sz w:val="24"/>
          <w:szCs w:val="24"/>
          <w:highlight w:val="none"/>
          <w:u w:val="single"/>
        </w:rPr>
        <w:t>57902040.2</w:t>
      </w:r>
      <w:r>
        <w:rPr>
          <w:rFonts w:hint="eastAsia" w:ascii="宋体" w:hAnsi="宋体"/>
          <w:b/>
          <w:color w:val="auto"/>
          <w:sz w:val="24"/>
          <w:szCs w:val="24"/>
          <w:highlight w:val="none"/>
          <w:u w:val="single"/>
        </w:rPr>
        <w:t>元</w:t>
      </w:r>
      <w:r>
        <w:rPr>
          <w:rFonts w:hint="eastAsia" w:ascii="宋体" w:hAnsi="宋体"/>
          <w:color w:val="auto"/>
          <w:sz w:val="24"/>
          <w:szCs w:val="24"/>
          <w:highlight w:val="none"/>
          <w:u w:val="single"/>
        </w:rPr>
        <w:t>，其中</w:t>
      </w:r>
      <w:r>
        <w:rPr>
          <w:rFonts w:hint="eastAsia" w:ascii="宋体" w:hAnsi="宋体"/>
          <w:b/>
          <w:color w:val="auto"/>
          <w:sz w:val="24"/>
          <w:szCs w:val="24"/>
          <w:highlight w:val="none"/>
          <w:u w:val="single"/>
        </w:rPr>
        <w:t>勘察费</w:t>
      </w:r>
      <w:r>
        <w:rPr>
          <w:rFonts w:hint="default" w:ascii="宋体" w:hAnsi="宋体"/>
          <w:b/>
          <w:color w:val="auto"/>
          <w:sz w:val="24"/>
          <w:szCs w:val="24"/>
          <w:highlight w:val="none"/>
          <w:u w:val="single"/>
        </w:rPr>
        <w:t>22500.00</w:t>
      </w:r>
      <w:r>
        <w:rPr>
          <w:rFonts w:hint="eastAsia" w:ascii="宋体" w:hAnsi="宋体"/>
          <w:color w:val="auto"/>
          <w:sz w:val="24"/>
          <w:szCs w:val="24"/>
          <w:highlight w:val="none"/>
          <w:u w:val="single"/>
        </w:rPr>
        <w:t>元（综合单价限价150元/米）；</w:t>
      </w:r>
      <w:r>
        <w:rPr>
          <w:rFonts w:hint="eastAsia" w:ascii="宋体" w:hAnsi="宋体"/>
          <w:b/>
          <w:color w:val="auto"/>
          <w:sz w:val="24"/>
          <w:szCs w:val="24"/>
          <w:highlight w:val="none"/>
          <w:u w:val="single"/>
        </w:rPr>
        <w:t>设计费</w:t>
      </w:r>
      <w:r>
        <w:rPr>
          <w:rFonts w:hint="default" w:ascii="宋体" w:hAnsi="宋体"/>
          <w:b/>
          <w:color w:val="auto"/>
          <w:sz w:val="24"/>
          <w:szCs w:val="24"/>
          <w:highlight w:val="none"/>
          <w:u w:val="single"/>
        </w:rPr>
        <w:t>1853640.2</w:t>
      </w:r>
      <w:r>
        <w:rPr>
          <w:rFonts w:hint="eastAsia" w:ascii="宋体" w:hAnsi="宋体"/>
          <w:color w:val="auto"/>
          <w:sz w:val="24"/>
          <w:szCs w:val="24"/>
          <w:highlight w:val="none"/>
          <w:u w:val="single"/>
        </w:rPr>
        <w:t>元；</w:t>
      </w:r>
      <w:r>
        <w:rPr>
          <w:rFonts w:hint="eastAsia" w:ascii="宋体" w:hAnsi="宋体"/>
          <w:b/>
          <w:color w:val="auto"/>
          <w:sz w:val="24"/>
          <w:szCs w:val="24"/>
          <w:highlight w:val="none"/>
          <w:u w:val="single"/>
        </w:rPr>
        <w:t>工程费</w:t>
      </w:r>
      <w:r>
        <w:rPr>
          <w:rFonts w:hint="default" w:ascii="宋体" w:hAnsi="宋体"/>
          <w:b/>
          <w:color w:val="auto"/>
          <w:sz w:val="24"/>
          <w:szCs w:val="24"/>
          <w:highlight w:val="none"/>
          <w:u w:val="single"/>
        </w:rPr>
        <w:t>532059</w:t>
      </w:r>
      <w:r>
        <w:rPr>
          <w:rFonts w:hint="default" w:ascii="宋体" w:hAnsi="宋体"/>
          <w:color w:val="auto"/>
          <w:sz w:val="24"/>
          <w:szCs w:val="24"/>
          <w:highlight w:val="none"/>
          <w:u w:val="single"/>
          <w:lang w:eastAsia="zh-CN"/>
        </w:rPr>
        <w:t>00.00</w:t>
      </w:r>
      <w:r>
        <w:rPr>
          <w:rFonts w:hint="eastAsia" w:ascii="宋体" w:hAnsi="宋体"/>
          <w:color w:val="auto"/>
          <w:sz w:val="24"/>
          <w:szCs w:val="24"/>
          <w:highlight w:val="none"/>
          <w:u w:val="single"/>
        </w:rPr>
        <w:t>元</w:t>
      </w:r>
      <w:r>
        <w:rPr>
          <w:rFonts w:hint="eastAsia" w:ascii="宋体" w:hAnsi="宋体"/>
          <w:color w:val="auto"/>
          <w:sz w:val="24"/>
          <w:szCs w:val="24"/>
          <w:highlight w:val="none"/>
          <w:u w:val="single"/>
          <w:lang w:eastAsia="zh-CN"/>
        </w:rPr>
        <w:t>；</w:t>
      </w:r>
      <w:r>
        <w:rPr>
          <w:rFonts w:hint="eastAsia" w:ascii="宋体" w:hAnsi="宋体"/>
          <w:b/>
          <w:color w:val="auto"/>
          <w:sz w:val="24"/>
          <w:szCs w:val="24"/>
          <w:highlight w:val="none"/>
          <w:u w:val="single"/>
        </w:rPr>
        <w:t>专项工程费</w:t>
      </w:r>
      <w:r>
        <w:rPr>
          <w:rFonts w:hint="default" w:ascii="宋体" w:hAnsi="宋体"/>
          <w:b/>
          <w:color w:val="auto"/>
          <w:sz w:val="24"/>
          <w:szCs w:val="24"/>
          <w:highlight w:val="none"/>
          <w:u w:val="single"/>
        </w:rPr>
        <w:t>2760000.00</w:t>
      </w:r>
      <w:r>
        <w:rPr>
          <w:rFonts w:hint="eastAsia" w:ascii="宋体" w:hAnsi="宋体"/>
          <w:color w:val="auto"/>
          <w:sz w:val="24"/>
          <w:szCs w:val="24"/>
          <w:highlight w:val="none"/>
          <w:u w:val="single"/>
        </w:rPr>
        <w:t>元；</w:t>
      </w:r>
      <w:r>
        <w:rPr>
          <w:rFonts w:hint="eastAsia" w:ascii="宋体" w:hAnsi="宋体"/>
          <w:b/>
          <w:color w:val="auto"/>
          <w:sz w:val="24"/>
          <w:szCs w:val="24"/>
          <w:highlight w:val="none"/>
          <w:u w:val="single"/>
        </w:rPr>
        <w:t>工程保险费</w:t>
      </w:r>
      <w:r>
        <w:rPr>
          <w:rFonts w:hint="default" w:ascii="宋体" w:hAnsi="宋体"/>
          <w:b/>
          <w:color w:val="auto"/>
          <w:sz w:val="24"/>
          <w:szCs w:val="24"/>
          <w:highlight w:val="none"/>
          <w:u w:val="single"/>
        </w:rPr>
        <w:t>60000.00</w:t>
      </w:r>
      <w:r>
        <w:rPr>
          <w:rFonts w:hint="eastAsia" w:ascii="宋体" w:hAnsi="宋体"/>
          <w:color w:val="auto"/>
          <w:sz w:val="24"/>
          <w:szCs w:val="24"/>
          <w:highlight w:val="none"/>
          <w:u w:val="single"/>
        </w:rPr>
        <w:t>元</w:t>
      </w:r>
      <w:r>
        <w:rPr>
          <w:rFonts w:hint="eastAsia" w:ascii="宋体" w:hAnsi="宋体"/>
          <w:color w:val="auto"/>
          <w:sz w:val="24"/>
          <w:szCs w:val="24"/>
          <w:highlight w:val="none"/>
        </w:rPr>
        <w:t>。</w:t>
      </w:r>
    </w:p>
    <w:p>
      <w:pPr>
        <w:spacing w:line="460" w:lineRule="exact"/>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六、</w:t>
      </w:r>
      <w:r>
        <w:rPr>
          <w:rFonts w:hint="eastAsia" w:ascii="宋体" w:hAnsi="宋体"/>
          <w:b/>
          <w:color w:val="auto"/>
          <w:sz w:val="24"/>
          <w:szCs w:val="24"/>
          <w:highlight w:val="none"/>
        </w:rPr>
        <w:t>资金来源</w:t>
      </w:r>
      <w:r>
        <w:rPr>
          <w:rFonts w:hint="eastAsia" w:ascii="宋体" w:hAnsi="宋体"/>
          <w:color w:val="auto"/>
          <w:sz w:val="24"/>
          <w:szCs w:val="24"/>
          <w:highlight w:val="none"/>
        </w:rPr>
        <w:t>：</w:t>
      </w:r>
      <w:r>
        <w:rPr>
          <w:rFonts w:hint="eastAsia" w:ascii="宋体" w:hAnsi="宋体"/>
          <w:color w:val="auto"/>
          <w:sz w:val="24"/>
          <w:szCs w:val="24"/>
          <w:highlight w:val="none"/>
          <w:u w:val="single"/>
        </w:rPr>
        <w:t>市应急管理局、科技局、司法局部门预算中统筹解决</w:t>
      </w:r>
      <w:r>
        <w:rPr>
          <w:rFonts w:hint="eastAsia" w:ascii="宋体" w:hAnsi="宋体" w:cs="宋体"/>
          <w:color w:val="auto"/>
          <w:sz w:val="24"/>
          <w:szCs w:val="24"/>
          <w:highlight w:val="none"/>
          <w:u w:val="single"/>
          <w:lang w:bidi="ar"/>
        </w:rPr>
        <w:t>。</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七、</w:t>
      </w:r>
      <w:r>
        <w:rPr>
          <w:rFonts w:hint="eastAsia" w:ascii="宋体" w:hAnsi="宋体"/>
          <w:b/>
          <w:color w:val="auto"/>
          <w:sz w:val="24"/>
          <w:szCs w:val="24"/>
          <w:highlight w:val="none"/>
        </w:rPr>
        <w:t>招标文件的获取</w:t>
      </w:r>
      <w:r>
        <w:rPr>
          <w:rFonts w:hint="eastAsia" w:ascii="宋体" w:hAnsi="宋体"/>
          <w:color w:val="auto"/>
          <w:sz w:val="24"/>
          <w:szCs w:val="24"/>
          <w:highlight w:val="none"/>
        </w:rPr>
        <w:t>：</w:t>
      </w:r>
    </w:p>
    <w:p>
      <w:pPr>
        <w:spacing w:line="460" w:lineRule="exact"/>
        <w:ind w:firstLine="480" w:firstLineChars="200"/>
        <w:rPr>
          <w:rFonts w:hint="eastAsia" w:ascii="宋体" w:hAnsi="宋体"/>
          <w:color w:val="auto"/>
          <w:sz w:val="24"/>
          <w:szCs w:val="24"/>
          <w:highlight w:val="none"/>
        </w:rPr>
      </w:pPr>
      <w:bookmarkStart w:id="0" w:name="_Toc221949931"/>
      <w:bookmarkStart w:id="1" w:name="_Toc221949933"/>
      <w:r>
        <w:rPr>
          <w:rFonts w:hint="eastAsia" w:ascii="宋体" w:hAnsi="宋体"/>
          <w:color w:val="auto"/>
          <w:sz w:val="24"/>
          <w:szCs w:val="24"/>
          <w:highlight w:val="none"/>
        </w:rPr>
        <w:t>1、招标文件通过</w:t>
      </w:r>
      <w:r>
        <w:rPr>
          <w:rFonts w:hint="eastAsia" w:ascii="宋体" w:hAnsi="宋体"/>
          <w:color w:val="auto"/>
          <w:sz w:val="24"/>
          <w:szCs w:val="24"/>
          <w:highlight w:val="none"/>
          <w:u w:val="single"/>
        </w:rPr>
        <w:t>广州交易集团有限公司（广州公共资源交易中心）</w:t>
      </w:r>
      <w:r>
        <w:rPr>
          <w:rFonts w:hint="eastAsia" w:ascii="宋体" w:hAnsi="宋体"/>
          <w:color w:val="auto"/>
          <w:sz w:val="24"/>
          <w:szCs w:val="24"/>
          <w:highlight w:val="none"/>
        </w:rPr>
        <w:t>网站获取。</w:t>
      </w:r>
    </w:p>
    <w:bookmarkEnd w:id="0"/>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招标公告网上发布的同时，通过</w:t>
      </w:r>
      <w:r>
        <w:rPr>
          <w:rFonts w:hint="eastAsia" w:ascii="宋体" w:hAnsi="宋体"/>
          <w:color w:val="auto"/>
          <w:sz w:val="24"/>
          <w:szCs w:val="24"/>
          <w:highlight w:val="none"/>
          <w:u w:val="single"/>
        </w:rPr>
        <w:t>广州交易集团有限公司（广州公共资源交易中心）</w:t>
      </w:r>
      <w:r>
        <w:rPr>
          <w:rFonts w:hint="eastAsia" w:ascii="宋体" w:hAnsi="宋体"/>
          <w:color w:val="auto"/>
          <w:sz w:val="24"/>
          <w:szCs w:val="24"/>
          <w:highlight w:val="none"/>
        </w:rPr>
        <w:t>网站发布电子招标文件及其他技术文件。招标公告发布之日起计算编制投标文件时间，编制投标文件的时间不得少于20天。</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2、如招标人需发布补充公告的，以最后发布的补充公告的时间起计算编制投标文件时间，并需在招标答疑中明确说明。</w:t>
      </w:r>
      <w:bookmarkEnd w:id="1"/>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八、</w:t>
      </w:r>
      <w:r>
        <w:rPr>
          <w:rFonts w:hint="eastAsia" w:ascii="宋体" w:hAnsi="宋体"/>
          <w:b/>
          <w:color w:val="auto"/>
          <w:sz w:val="24"/>
          <w:szCs w:val="24"/>
          <w:highlight w:val="none"/>
        </w:rPr>
        <w:t>发布公告时间</w:t>
      </w:r>
      <w:r>
        <w:rPr>
          <w:rFonts w:hint="eastAsia" w:ascii="宋体" w:hAnsi="宋体"/>
          <w:color w:val="auto"/>
          <w:sz w:val="24"/>
          <w:szCs w:val="24"/>
          <w:highlight w:val="none"/>
        </w:rPr>
        <w:t>：</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1、招标公告发布时间：从2024年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分至2024年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时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注：发布招标公告的时间为招标公告发出之日起至投标截止时间止。</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九、</w:t>
      </w:r>
      <w:r>
        <w:rPr>
          <w:rFonts w:hint="eastAsia" w:ascii="宋体" w:hAnsi="宋体"/>
          <w:b/>
          <w:color w:val="auto"/>
          <w:sz w:val="24"/>
          <w:szCs w:val="24"/>
          <w:highlight w:val="none"/>
        </w:rPr>
        <w:t>投标文件的递交、提交投标文件电子光盘</w:t>
      </w:r>
      <w:r>
        <w:rPr>
          <w:rFonts w:hint="eastAsia" w:ascii="宋体" w:hAnsi="宋体"/>
          <w:color w:val="auto"/>
          <w:sz w:val="24"/>
          <w:szCs w:val="24"/>
          <w:highlight w:val="none"/>
        </w:rPr>
        <w:t>：</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1、本项目采用电子投标，投标文件递交起始时间为2024年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分；投标文件递交截止时间（投标截止时间，下同）为2024年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分，具体递交要求以招标文件为准。</w:t>
      </w:r>
      <w:r>
        <w:rPr>
          <w:rFonts w:hint="eastAsia" w:ascii="宋体" w:hAnsi="宋体"/>
          <w:color w:val="auto"/>
          <w:sz w:val="24"/>
          <w:szCs w:val="24"/>
          <w:highlight w:val="none"/>
          <w:u w:val="single"/>
        </w:rPr>
        <w:t>按照广州交易集团有限公司（广州公共资源交易中心）交易平台关于全流程电子化项目的相关指南进行操作。详见：《</w:t>
      </w:r>
      <w:r>
        <w:rPr>
          <w:rFonts w:hint="eastAsia" w:ascii="宋体" w:hAnsi="宋体"/>
          <w:b/>
          <w:color w:val="auto"/>
          <w:sz w:val="24"/>
          <w:szCs w:val="24"/>
          <w:highlight w:val="none"/>
          <w:u w:val="single"/>
        </w:rPr>
        <w:t>建设工程全流程电子化项目操作指南</w:t>
      </w:r>
      <w:r>
        <w:rPr>
          <w:rFonts w:hint="eastAsia" w:ascii="宋体" w:hAnsi="宋体"/>
          <w:color w:val="auto"/>
          <w:sz w:val="24"/>
          <w:szCs w:val="24"/>
          <w:highlight w:val="none"/>
          <w:u w:val="single"/>
        </w:rPr>
        <w:t>》。</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在投标截止时间后半小时内为投标人投标文件解密时间，投标人通过广州交易集团有限公司（广州公共资源交易中心）交易平台对已递交的电子投标文件进行解密。</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2、开标开始时间和地点：2024年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分在广州交易集团有限公司（广州公共资源交易中心）指定开标室。</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3、投标截止时间与开标开始时间是否有变化，请密切留意招标答疑中的相关信息。</w:t>
      </w:r>
      <w:r>
        <w:rPr>
          <w:rFonts w:hint="eastAsia" w:ascii="宋体" w:hAnsi="宋体"/>
          <w:color w:val="auto"/>
          <w:sz w:val="24"/>
          <w:szCs w:val="24"/>
          <w:highlight w:val="none"/>
          <w:u w:val="single"/>
        </w:rPr>
        <w:t>本项目各项投标活动具体可通过广州交易集团有限公司（广州公共资源交易中心）网站查询具体的时间和场地安排。投标人可登录广州交易集团有限公司（广州公共资源交易中心）网站首页，点击“交易业务-建设工程”专栏中的“项目查询（日程安排、答疑纪要）”，输入项目编号或项目名称查询最新信息。递交投标文件截止时间及开标时间是否有变化，请密切留意广州交易集团有限公司（广州公共资源交易中心）网站的相关信息。</w:t>
      </w:r>
      <w:r>
        <w:rPr>
          <w:rFonts w:hint="eastAsia" w:ascii="宋体" w:hAnsi="宋体"/>
          <w:color w:val="auto"/>
          <w:sz w:val="24"/>
          <w:szCs w:val="24"/>
          <w:highlight w:val="none"/>
        </w:rPr>
        <w:t>递交投标文件截止时间后，开标开始时间因故推迟的，相关评标信息仍以原递交投标文件截止时间的信息为准。</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4、投标人通过</w:t>
      </w:r>
      <w:r>
        <w:rPr>
          <w:rFonts w:hint="eastAsia" w:ascii="宋体" w:hAnsi="宋体"/>
          <w:color w:val="auto"/>
          <w:sz w:val="24"/>
          <w:szCs w:val="24"/>
          <w:highlight w:val="none"/>
          <w:u w:val="single"/>
        </w:rPr>
        <w:t>广州交易集团有限公司（广州公共资源交易中心）</w:t>
      </w:r>
      <w:r>
        <w:rPr>
          <w:rFonts w:hint="eastAsia" w:ascii="宋体" w:hAnsi="宋体"/>
          <w:color w:val="auto"/>
          <w:sz w:val="24"/>
          <w:szCs w:val="24"/>
          <w:highlight w:val="none"/>
        </w:rPr>
        <w:t>交易平台递交电子投标文件。投标人应在递交投标文件截止时间前，登录</w:t>
      </w:r>
      <w:r>
        <w:rPr>
          <w:rFonts w:hint="eastAsia" w:ascii="宋体" w:hAnsi="宋体"/>
          <w:color w:val="auto"/>
          <w:sz w:val="24"/>
          <w:szCs w:val="24"/>
          <w:highlight w:val="none"/>
          <w:u w:val="single"/>
        </w:rPr>
        <w:t>广州交易集团有限公司（广州公共资源交易中心）</w:t>
      </w:r>
      <w:r>
        <w:rPr>
          <w:rFonts w:hint="eastAsia" w:ascii="宋体" w:hAnsi="宋体"/>
          <w:color w:val="auto"/>
          <w:sz w:val="24"/>
          <w:szCs w:val="24"/>
          <w:highlight w:val="none"/>
        </w:rPr>
        <w:t>网站办理网上投标登记手续；完成所有投标文件的上传，并取得回执码，投标截止时间前未完成投标文件传输的，视为未递交投标文件。</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投标人办理网上投标登记时，对拟派项目负责人是否被交易平台其他项目锁定进行检查，如果已经锁定，则无法完成投标登记。成功办理网上投标登记的，拟派项目负责人将被锁定。中标候选人公示结束后，未中标的投标人的拟派项目负责人即自动解锁。如登记参加投标的申请人数量过少不足以形成充分竞争时，招标人在确认正式投标人之前，可以发出补充公告，适当延长投标登记时间。</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6、在投标文件递交截止时间之前，投标人可以撤回或替换已递交的投标文件；可以修改网上投标登记相关信息。</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7、提交投标文件光盘备用：</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投标文件光盘（备用）递交时间：2024年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分至2024年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时</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分；</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地点：</w:t>
      </w:r>
      <w:r>
        <w:rPr>
          <w:rFonts w:hint="eastAsia" w:ascii="宋体" w:hAnsi="宋体"/>
          <w:color w:val="auto"/>
          <w:sz w:val="24"/>
          <w:szCs w:val="24"/>
          <w:highlight w:val="none"/>
          <w:u w:val="single"/>
        </w:rPr>
        <w:t>广州交易集团有限公司（广州公共资源交易中心）指定开标室</w:t>
      </w:r>
      <w:r>
        <w:rPr>
          <w:rFonts w:hint="eastAsia" w:ascii="宋体" w:hAnsi="宋体"/>
          <w:color w:val="auto"/>
          <w:sz w:val="24"/>
          <w:szCs w:val="24"/>
          <w:highlight w:val="none"/>
        </w:rPr>
        <w:t>。递交投标文件光盘备用时需提供法定人代表人证明书及授权委托书。电子光盘需按招标文件规定封装。投标人未按上述规定，招标人（或招标代理）拒绝接收其投标文件光盘（备用）。投标人将数据刻录到光盘之后，投标前自行检查文件是否可以读取。投标人也可不提交投标文件光盘（备用）。</w:t>
      </w:r>
    </w:p>
    <w:p>
      <w:pPr>
        <w:spacing w:line="460" w:lineRule="exact"/>
        <w:ind w:firstLine="480" w:firstLineChars="200"/>
        <w:rPr>
          <w:rFonts w:ascii="宋体" w:hAnsi="宋体"/>
          <w:color w:val="auto"/>
          <w:sz w:val="24"/>
          <w:szCs w:val="24"/>
          <w:highlight w:val="none"/>
        </w:rPr>
      </w:pPr>
      <w:bookmarkStart w:id="2" w:name="OLE_LINK3"/>
      <w:r>
        <w:rPr>
          <w:rFonts w:hint="eastAsia" w:ascii="宋体" w:hAnsi="宋体"/>
          <w:color w:val="auto"/>
          <w:sz w:val="24"/>
          <w:szCs w:val="24"/>
          <w:highlight w:val="none"/>
        </w:rPr>
        <w:t>十、</w:t>
      </w:r>
      <w:r>
        <w:rPr>
          <w:rFonts w:hint="eastAsia" w:ascii="宋体" w:hAnsi="宋体"/>
          <w:b/>
          <w:color w:val="auto"/>
          <w:sz w:val="24"/>
          <w:szCs w:val="24"/>
          <w:highlight w:val="none"/>
        </w:rPr>
        <w:t>投标人合格条件</w:t>
      </w:r>
      <w:r>
        <w:rPr>
          <w:rFonts w:hint="eastAsia" w:ascii="宋体" w:hAnsi="宋体"/>
          <w:color w:val="auto"/>
          <w:sz w:val="24"/>
          <w:szCs w:val="24"/>
          <w:highlight w:val="none"/>
        </w:rPr>
        <w:t>：</w:t>
      </w:r>
    </w:p>
    <w:bookmarkEnd w:id="2"/>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1、投标人（联合体投标的，由联合体主办方单位代表联合体授权）参加投标的意思表达清楚，投标人代表被授权有效。</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2、投标人（若为联合体投标，指联合体各方）均具有独立法人资格，按国家法律经营。</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3、投标人</w:t>
      </w:r>
      <w:bookmarkStart w:id="3" w:name="_Hlk70414685"/>
      <w:r>
        <w:rPr>
          <w:rFonts w:hint="eastAsia" w:ascii="宋体" w:hAnsi="宋体"/>
          <w:color w:val="auto"/>
          <w:sz w:val="24"/>
          <w:szCs w:val="24"/>
          <w:highlight w:val="none"/>
        </w:rPr>
        <w:t>（若为联合体投标，承担施工任务方提供）</w:t>
      </w:r>
      <w:bookmarkEnd w:id="3"/>
      <w:r>
        <w:rPr>
          <w:rFonts w:hint="eastAsia" w:ascii="宋体" w:hAnsi="宋体"/>
          <w:color w:val="auto"/>
          <w:sz w:val="24"/>
          <w:szCs w:val="24"/>
          <w:highlight w:val="none"/>
        </w:rPr>
        <w:t>持有建设行政主管部门颁发的有效期内的安全生产许可证。</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4、投标人同时具有承接本工程所需的勘察类、设计类和施工类资质：</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4.1</w:t>
      </w:r>
      <w:r>
        <w:rPr>
          <w:rFonts w:hint="eastAsia" w:ascii="宋体" w:hAnsi="宋体"/>
          <w:b/>
          <w:color w:val="auto"/>
          <w:sz w:val="24"/>
          <w:szCs w:val="24"/>
          <w:highlight w:val="none"/>
        </w:rPr>
        <w:t>工程勘察资质</w:t>
      </w:r>
      <w:r>
        <w:rPr>
          <w:rFonts w:hint="eastAsia" w:ascii="宋体" w:hAnsi="宋体"/>
          <w:color w:val="auto"/>
          <w:sz w:val="24"/>
          <w:szCs w:val="24"/>
          <w:highlight w:val="none"/>
        </w:rPr>
        <w:t>：</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u w:val="single"/>
        </w:rPr>
        <w:t>（1）工程勘察资质：工程勘察综合甲级资质，或工程勘察专业类（岩土工程）乙级或以上资质，或工程勘察专业类（岩土工程）（分项）岩土工程勘察乙级或以上资质；香港企业独立参加投标的，须在广东省住房和城乡建设主管部门备案且备案的业务范围应符合本招标项目对工程勘察资质的要求。</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4.2</w:t>
      </w:r>
      <w:r>
        <w:rPr>
          <w:rFonts w:hint="eastAsia" w:ascii="宋体" w:hAnsi="宋体"/>
          <w:b/>
          <w:color w:val="auto"/>
          <w:sz w:val="24"/>
          <w:szCs w:val="24"/>
          <w:highlight w:val="none"/>
        </w:rPr>
        <w:t>工程设计资质</w:t>
      </w:r>
      <w:r>
        <w:rPr>
          <w:rFonts w:hint="eastAsia" w:ascii="宋体" w:hAnsi="宋体"/>
          <w:color w:val="auto"/>
          <w:sz w:val="24"/>
          <w:szCs w:val="24"/>
          <w:highlight w:val="none"/>
        </w:rPr>
        <w:t>：</w:t>
      </w:r>
      <w:r>
        <w:rPr>
          <w:rFonts w:hint="eastAsia" w:ascii="宋体" w:hAnsi="宋体"/>
          <w:color w:val="auto"/>
          <w:sz w:val="24"/>
          <w:szCs w:val="24"/>
          <w:highlight w:val="none"/>
          <w:u w:val="single"/>
        </w:rPr>
        <w:t>具备以下①、②、③项设计资质之一：</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①工程设计综合甲级资质；</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②建筑工程设计资质（建筑行业乙级或以上，或建筑行业（建筑工程）专业乙级或以上）；</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 xml:space="preserve">③建筑设计事务所资质； </w:t>
      </w:r>
    </w:p>
    <w:p>
      <w:pPr>
        <w:spacing w:line="460" w:lineRule="exact"/>
        <w:ind w:firstLine="480" w:firstLineChars="200"/>
        <w:rPr>
          <w:rFonts w:ascii="宋体" w:hAnsi="宋体"/>
          <w:color w:val="auto"/>
          <w:sz w:val="24"/>
          <w:szCs w:val="24"/>
          <w:highlight w:val="none"/>
          <w:u w:val="single"/>
        </w:rPr>
      </w:pPr>
      <w:r>
        <w:rPr>
          <w:rFonts w:hint="eastAsia" w:ascii="宋体" w:hAnsi="宋体"/>
          <w:color w:val="auto"/>
          <w:sz w:val="24"/>
          <w:szCs w:val="24"/>
          <w:highlight w:val="none"/>
          <w:u w:val="single"/>
        </w:rPr>
        <w:t>香港企业独立参加投标的，须在广东省住房和城乡建设主管部门备案且备案的业务范围满足本招标项目对工程设计资质要求。外国或澳门、台湾的设计企业必须选择一家符合上述条件的企业进行合作设计。香港企业如不单独参加投标，也必须选择一家符合上述条件的企业进行合作设计。（外国或澳门、台湾的设计企业须提供所在国或者所在地区的政府主管部门或者有关行业组织核发的设计许可证明）。</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注：①工程设计资质内容按《建设工程勘察设计管理条例》（国务院令[2000]293号）、《建设工程勘察设计资质管理规定》（建设部令[2006]160号）、《工程勘察资质分级标准》（建设[2001]22号）、《</w:t>
      </w:r>
      <w:r>
        <w:rPr>
          <w:rFonts w:hint="eastAsia" w:ascii="宋体" w:hAnsi="宋体"/>
          <w:b/>
          <w:bCs/>
          <w:color w:val="auto"/>
          <w:sz w:val="24"/>
          <w:szCs w:val="24"/>
          <w:highlight w:val="none"/>
          <w:u w:val="single"/>
        </w:rPr>
        <w:t>《工程勘察、工程设计资质分级标准补充规定》（建设[2001]178号）、</w:t>
      </w:r>
      <w:r>
        <w:rPr>
          <w:rFonts w:hint="eastAsia" w:ascii="宋体" w:hAnsi="宋体"/>
          <w:color w:val="auto"/>
          <w:sz w:val="24"/>
          <w:szCs w:val="24"/>
          <w:highlight w:val="none"/>
        </w:rPr>
        <w:t>工程设计资质标准》（建市[2007]86号）、《建设工程勘察设计资质管理规定实施意见》（建市[2007]202号）、《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的要求设置。</w:t>
      </w:r>
      <w:r>
        <w:rPr>
          <w:rFonts w:hint="eastAsia" w:ascii="宋体" w:hAnsi="宋体"/>
          <w:b/>
          <w:bCs/>
          <w:color w:val="auto"/>
          <w:sz w:val="24"/>
          <w:szCs w:val="24"/>
          <w:highlight w:val="none"/>
          <w:u w:val="single"/>
        </w:rPr>
        <w:t>地方各级住房和城乡建设主管部门核发的建设工程企业资质证书延续有关政策按各省级住房和城乡建设主管部门规定执行。</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②香港企业备案的业务范围依据《广东省住房和城乡建设厅关于印发香港工程建设咨询企业和专业人士在粤港澳大湾区内地城市开业执业试点管理暂行办法的通知》（粤建规范〔2020〕1号，详见链接：http://zfcxjst.gd.gov.cn/xxgk/wjtz/content/post_3137220.html）确定。香港企业经备案且备案的业务范围满足招标文件要求的，可作设计方参与投标，同时提供相应资质证书及备案证明资料复印件。外国或澳门、台湾的设计企业必须选择一家符合上述条件的企业进行合作设计。香港企业如不单独参加投标，也必须选择一家符合上述条件的企业进行合作设计。</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4.3</w:t>
      </w:r>
      <w:r>
        <w:rPr>
          <w:rFonts w:hint="eastAsia" w:ascii="宋体" w:hAnsi="宋体"/>
          <w:b/>
          <w:color w:val="auto"/>
          <w:sz w:val="24"/>
          <w:szCs w:val="24"/>
          <w:highlight w:val="none"/>
        </w:rPr>
        <w:t>工程施工资质</w:t>
      </w:r>
      <w:r>
        <w:rPr>
          <w:rFonts w:hint="eastAsia" w:ascii="宋体" w:hAnsi="宋体"/>
          <w:color w:val="auto"/>
          <w:sz w:val="24"/>
          <w:szCs w:val="24"/>
          <w:highlight w:val="none"/>
        </w:rPr>
        <w:t>：</w:t>
      </w:r>
      <w:r>
        <w:rPr>
          <w:rFonts w:hint="eastAsia" w:ascii="宋体" w:hAnsi="宋体"/>
          <w:color w:val="auto"/>
          <w:sz w:val="24"/>
          <w:szCs w:val="24"/>
          <w:highlight w:val="none"/>
          <w:u w:val="single"/>
        </w:rPr>
        <w:t>建筑工程叁级或以上级别施工总承包资质。</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注：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投标人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5、投标人拟担任本工程：</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5.1项目负责人（兼施工负责人，若为联合体投标，由联合体主办方提供）的人员为：</w:t>
      </w:r>
      <w:r>
        <w:rPr>
          <w:rFonts w:hint="eastAsia" w:ascii="宋体" w:hAnsi="宋体"/>
          <w:color w:val="auto"/>
          <w:sz w:val="24"/>
          <w:szCs w:val="24"/>
          <w:highlight w:val="none"/>
          <w:u w:val="single"/>
        </w:rPr>
        <w:t>建筑工程专业二级或以上注册建造师；投标登记时对投标人该项目负责人进行锁定；拟投入人员应为本单位（若为联合体投标，指联合体主办方）正式员工。</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5.2设计负责人（若为联合体投标，由承担设计任务方提供）的人员为：</w:t>
      </w:r>
      <w:r>
        <w:rPr>
          <w:rFonts w:hint="eastAsia" w:ascii="宋体" w:hAnsi="宋体"/>
          <w:color w:val="auto"/>
          <w:sz w:val="24"/>
          <w:szCs w:val="24"/>
          <w:highlight w:val="none"/>
          <w:u w:val="single"/>
          <w:lang w:val="en-US" w:eastAsia="zh-CN"/>
        </w:rPr>
        <w:t>一</w:t>
      </w:r>
      <w:r>
        <w:rPr>
          <w:rFonts w:hint="eastAsia" w:ascii="宋体" w:hAnsi="宋体"/>
          <w:color w:val="auto"/>
          <w:sz w:val="24"/>
          <w:szCs w:val="24"/>
          <w:highlight w:val="none"/>
          <w:u w:val="single"/>
        </w:rPr>
        <w:t>级注册建筑师，或在广东省住房和城乡建设主管部门备案且备案的业务范围符合本招标项目对设计负责人要求的香港专业人士；设计负责人与项目负责人不能为同一人。</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5.3技术负责人（若为联合体投标，由联合体主办方提供）的人员为：</w:t>
      </w:r>
      <w:r>
        <w:rPr>
          <w:rFonts w:hint="eastAsia" w:ascii="宋体" w:hAnsi="宋体"/>
          <w:color w:val="auto"/>
          <w:sz w:val="24"/>
          <w:szCs w:val="24"/>
          <w:highlight w:val="none"/>
          <w:u w:val="single"/>
        </w:rPr>
        <w:t>建筑工程类相关专业中级或以上技术职称。</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注：①投标登记时将对项目负责人进行锁定；建造师的专业及等级标准按《注册建造师执业管理办法（试行）》及《注册建造师执业工程规模标准（试行）》。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若投标人提供的注册建造师电子证书超过使用有效期、未在个人签名处手写签名或手写签名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②根据广东省住建厅《关于明确二级建造师注册执业有关问题的通知》（粤建市函〔2023〕469号），二级建造师应在考试取得执业资格的省、自治区、直辖市申请注册，二级注册建造师可随注册企业在全国范围内执业。</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③</w:t>
      </w:r>
      <w:r>
        <w:rPr>
          <w:rFonts w:hint="eastAsia" w:ascii="宋体" w:hAnsi="宋体"/>
          <w:color w:val="auto"/>
          <w:sz w:val="24"/>
          <w:szCs w:val="24"/>
          <w:highlight w:val="none"/>
          <w:u w:val="single"/>
        </w:rPr>
        <w:t>项目负责人在任职期间不得担任专职安全员，项目专职安全员在任职期间也不得担任项目负责人。设计负责人、项目负责人、技术负责人及专职安全员不能为同一人。</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④根据《全国注册建筑师管理委员会关于开展使用一级注册建筑师电子注册证书工作的通知》（住建[2021]2号）要求，自2022年7月1日起，一级注册建筑师统一使用电子证书，纸质注册证书作废。各投标人须提供一级注册建筑师证书电子证书打印签名件，电子证书应当符合相关文件规定，若投标人提供的一级注册建筑师电子证书超过使用有效期、未在个人签名处手写签名或手写签名与签名图像笔迹存在差异的，资格审查时应通过“全国建筑市场监管公共服务平台”查询持证人注册建筑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香港专业人士备案的业务范围依据《广东省住房和城乡建设厅关于印发香港工程建设咨询企业和专业人士在粤港澳大湾区内地城市开业执业试点管理暂行办法的通知》（粤建规范〔2020〕1号）确定。</w:t>
      </w:r>
    </w:p>
    <w:p>
      <w:pPr>
        <w:numPr>
          <w:ilvl w:val="0"/>
          <w:numId w:val="1"/>
        </w:num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项目负责人须持有在有效期内的安全生产考核合格证书（B类）或建筑施工企业项目负责人安全生产考核合格证书。</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注：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7、专职安全员（若为联合体投标，由联合体主办方提供）须持有在有效期内的安全生产考核合格证书（C类）或建筑施工企业专职安全生产管理人员安全生产考核合格证书（C3）。</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注：根据《建筑施工企业主要负责人、项目负责人和专职安全生产管理人员安全生产管理规定》（住房城乡建设部令第17号）《关于印发建筑施工企业主要负责人、项目负责人和专职安全生产管理人员安全生产管理规定实施意见的通知》（建质〔2015〕206号），若投标人所属地区建设行政主管部门已对建筑施工企业专职安全生产管理人员实施机械、土建、综合分类管理的，本项目要求安全生产考核合格证（C类）或建筑施工企业专职安全生产管理人员安全生产考核合格证书须为综合类（C3）。其中，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8、投标人已按照招标公告附件一的内容签署盖章的《投标人声明》。</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9、关于联合体投标：</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9.1允许联合体投标，只接受最多由3家单位（即1家勘察单位、1家设计单位、1家施工单位）组成的联合体，联合体中由承担施工任务的一方为主办方，并签定《联合体投标协议书》（详见附件二）。《联合体投标协议书》应明确约定各方拟承担的工作和责任。</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9.2投标人拟任本工程项目负责人、设计负责人、技术负责人和项目专职安全员必须是联合体中对应分工成员的正式员工；以上4项人员不得重复兼任。</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9.3联合体的资格条件按联合体任务分工进行评审，其中施工资质、安全生产许可证、专职安全员、项目负责人、技术负责人以联合体主办方为准；工程设计资质以承接设计任务的成员单位为准，设计负责人以承接设计任务的成员单位为准。</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9.4联合体各方不得再以自己名义单独或加入其他联合体参加本项目的投标。</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10、资格审查前，投标人（若为联合体投标，指联合体各方）须在广州市住房和城乡建设局建立企业信用档案及拟担任本工程项目负责人、专职安全员、技术负责人及设计负责人须是本企业信用档案中的在册人员。企业信用档案取自投标截止时间投标人在信用管理平台的信息，投标人无需提交相关资料，若招标人延长递交投标文件截止时间的，信用档案信息的评审时点也相应延长。（信用档案办理详见《广州市住建行业信用管理平台施工企业信息录入指引 》http://zfcj.gz.gov.cn/zwgk/zsdwxxgkzl/gzsjzyglfwzx/bszy/content/post_8484886.html）。</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11、投标人</w:t>
      </w:r>
      <w:r>
        <w:rPr>
          <w:rFonts w:hint="eastAsia" w:ascii="宋体" w:hAnsi="宋体"/>
          <w:color w:val="auto"/>
          <w:sz w:val="24"/>
          <w:szCs w:val="24"/>
          <w:highlight w:val="none"/>
          <w:u w:val="single"/>
        </w:rPr>
        <w:t>（若为联合体投标，指联合体各方）</w:t>
      </w:r>
      <w:r>
        <w:rPr>
          <w:rFonts w:hint="eastAsia" w:ascii="宋体" w:hAnsi="宋体"/>
          <w:color w:val="auto"/>
          <w:sz w:val="24"/>
          <w:szCs w:val="24"/>
          <w:highlight w:val="none"/>
        </w:rPr>
        <w:t>未出现以下情形：</w:t>
      </w:r>
      <w:r>
        <w:rPr>
          <w:rFonts w:hint="eastAsia" w:ascii="宋体" w:hAnsi="宋体"/>
          <w:color w:val="auto"/>
          <w:sz w:val="24"/>
          <w:szCs w:val="24"/>
          <w:highlight w:val="none"/>
          <w:u w:val="single"/>
        </w:rPr>
        <w:t>与其它投标人（含联合体各方）的单位负责人为同一人或者存在控股、管理关系的（按投标人提供的《投标人声明》第八条内容进行评审）</w:t>
      </w:r>
      <w:r>
        <w:rPr>
          <w:rFonts w:hint="eastAsia" w:ascii="宋体" w:hAnsi="宋体"/>
          <w:color w:val="auto"/>
          <w:sz w:val="24"/>
          <w:szCs w:val="24"/>
          <w:highlight w:val="none"/>
        </w:rPr>
        <w:t>。</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u w:val="single"/>
        </w:rPr>
        <w:t>1</w:t>
      </w:r>
      <w:r>
        <w:rPr>
          <w:rFonts w:ascii="宋体" w:hAnsi="宋体"/>
          <w:color w:val="auto"/>
          <w:sz w:val="24"/>
          <w:szCs w:val="24"/>
          <w:highlight w:val="none"/>
          <w:u w:val="single"/>
        </w:rPr>
        <w:t>2、</w:t>
      </w:r>
      <w:r>
        <w:rPr>
          <w:rFonts w:hint="eastAsia" w:ascii="宋体" w:hAnsi="宋体"/>
          <w:color w:val="auto"/>
          <w:sz w:val="24"/>
          <w:szCs w:val="24"/>
          <w:highlight w:val="none"/>
          <w:u w:val="single"/>
        </w:rPr>
        <w:t>未在以往工程中因不充分履约行为被本项目招标人书面拒绝投标的（详见附件三《被招标人拒绝投标的企业名单》）。</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1</w:t>
      </w:r>
      <w:r>
        <w:rPr>
          <w:rFonts w:ascii="宋体" w:hAnsi="宋体"/>
          <w:color w:val="auto"/>
          <w:sz w:val="24"/>
          <w:szCs w:val="24"/>
          <w:highlight w:val="none"/>
        </w:rPr>
        <w:t>3</w:t>
      </w:r>
      <w:r>
        <w:rPr>
          <w:rFonts w:hint="eastAsia" w:ascii="宋体" w:hAnsi="宋体"/>
          <w:color w:val="auto"/>
          <w:sz w:val="24"/>
          <w:szCs w:val="24"/>
          <w:highlight w:val="none"/>
        </w:rPr>
        <w:t>、投标人（若为联合体投标，指联合体施工任务方）未被列入拖欠农民工工资失信联合惩戒对象名单。本项投标人无需提供资料，按交易系统比对结果进行评审。</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注：未在招标公告第十条单列的投标人合格条件，不作为资审不合格的依据。</w:t>
      </w:r>
    </w:p>
    <w:p>
      <w:pPr>
        <w:spacing w:line="460" w:lineRule="exact"/>
        <w:ind w:firstLine="480" w:firstLineChars="200"/>
        <w:rPr>
          <w:rFonts w:ascii="宋体" w:hAnsi="宋体"/>
          <w:color w:val="auto"/>
          <w:sz w:val="24"/>
          <w:szCs w:val="24"/>
          <w:highlight w:val="none"/>
        </w:rPr>
      </w:pPr>
      <w:bookmarkStart w:id="4" w:name="_Toc253143217"/>
      <w:bookmarkStart w:id="5" w:name="_Toc245023998"/>
      <w:bookmarkStart w:id="6" w:name="_Toc249845969"/>
      <w:bookmarkStart w:id="7" w:name="_Toc266093546"/>
      <w:bookmarkStart w:id="8" w:name="_Toc249846224"/>
      <w:bookmarkStart w:id="9" w:name="_Toc266881398"/>
      <w:r>
        <w:rPr>
          <w:rFonts w:hint="eastAsia" w:ascii="宋体" w:hAnsi="宋体"/>
          <w:color w:val="auto"/>
          <w:sz w:val="24"/>
          <w:szCs w:val="24"/>
          <w:highlight w:val="none"/>
        </w:rPr>
        <w:t>十一、</w:t>
      </w:r>
      <w:r>
        <w:rPr>
          <w:rFonts w:hint="eastAsia" w:ascii="宋体" w:hAnsi="宋体"/>
          <w:b/>
          <w:color w:val="auto"/>
          <w:sz w:val="24"/>
          <w:szCs w:val="24"/>
          <w:highlight w:val="none"/>
        </w:rPr>
        <w:t>资格审查方式</w:t>
      </w:r>
      <w:r>
        <w:rPr>
          <w:rFonts w:hint="eastAsia" w:ascii="宋体" w:hAnsi="宋体"/>
          <w:color w:val="auto"/>
          <w:sz w:val="24"/>
          <w:szCs w:val="24"/>
          <w:highlight w:val="none"/>
        </w:rPr>
        <w:t>：</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项目采用资格后审，由评标委员会负责对投标人的资格进行审查，评标时只对通过资格审查的投标人进行下一阶段的评审。满足资格审查合格条件（即投标人合格条件）的投标人不足3名、或经评审通过工程总承包实施方案投标文件有效性审查或通过设计方案文件有效性审查的投标人不足3人时招标失败。招标人分析招标失败原因，修正招标方案，报有关管理部门核准后，重新组织招标。本项目为电子评标，投标人需按招标文件要求提交电子投标文件。</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十二、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十三、资格审查结果及中标结果将在广州交易集团有限公司（广州公共资源交易中心）网站和广东省招标投标监管网公示，公示时间不得少于3日，公开接受投标人的监督。</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十四、本工程实行限额设计施工，限额投资。本工程结算金额不得超过经有权审核部门</w:t>
      </w:r>
      <w:r>
        <w:rPr>
          <w:rFonts w:ascii="宋体" w:hAnsi="宋体"/>
          <w:color w:val="auto"/>
          <w:sz w:val="24"/>
          <w:szCs w:val="24"/>
          <w:highlight w:val="none"/>
        </w:rPr>
        <w:t>批复的</w:t>
      </w:r>
      <w:r>
        <w:rPr>
          <w:rFonts w:ascii="宋体" w:hAnsi="宋体"/>
          <w:color w:val="auto"/>
          <w:sz w:val="24"/>
          <w:szCs w:val="24"/>
          <w:highlight w:val="none"/>
          <w:u w:val="single"/>
        </w:rPr>
        <w:t>概算对应</w:t>
      </w:r>
      <w:r>
        <w:rPr>
          <w:rFonts w:hint="eastAsia" w:ascii="宋体" w:hAnsi="宋体"/>
          <w:color w:val="auto"/>
          <w:sz w:val="24"/>
          <w:szCs w:val="24"/>
          <w:highlight w:val="none"/>
          <w:u w:val="single"/>
        </w:rPr>
        <w:t>金额</w:t>
      </w:r>
      <w:r>
        <w:rPr>
          <w:rFonts w:hint="eastAsia" w:ascii="宋体" w:hAnsi="宋体"/>
          <w:color w:val="auto"/>
          <w:sz w:val="24"/>
          <w:szCs w:val="24"/>
          <w:highlight w:val="none"/>
        </w:rPr>
        <w:t>。</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十五、</w:t>
      </w:r>
      <w:r>
        <w:rPr>
          <w:rFonts w:hint="eastAsia" w:ascii="宋体" w:hAnsi="宋体"/>
          <w:b/>
          <w:color w:val="auto"/>
          <w:sz w:val="24"/>
          <w:szCs w:val="24"/>
          <w:highlight w:val="none"/>
        </w:rPr>
        <w:t>未中标设计方案</w:t>
      </w:r>
      <w:r>
        <w:rPr>
          <w:rFonts w:hint="eastAsia" w:ascii="宋体" w:hAnsi="宋体"/>
          <w:b/>
          <w:color w:val="auto"/>
          <w:sz w:val="24"/>
          <w:highlight w:val="none"/>
        </w:rPr>
        <w:t>投标</w:t>
      </w:r>
      <w:r>
        <w:rPr>
          <w:rFonts w:hint="eastAsia" w:ascii="宋体" w:hAnsi="宋体"/>
          <w:b/>
          <w:color w:val="auto"/>
          <w:sz w:val="24"/>
          <w:szCs w:val="24"/>
          <w:highlight w:val="none"/>
        </w:rPr>
        <w:t>经济补偿</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未中标设计方案投标经济补偿金由招标人直接支付，分配办法如下：</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项目对提交了符合招标文件规定的有效投标文件（即通过资格审查、设计方案投标文件、技术标投标文件有效性审查，下同）且设计方案投标文件综合得分排名前3名的未中标投标人进行补偿，其余投标人费用自理。其中前3名补偿标准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4"/>
        <w:gridCol w:w="952"/>
        <w:gridCol w:w="952"/>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7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设计部分技术文件综合得分排序（排序不含中标人）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第</w:t>
            </w:r>
            <w:r>
              <w:rPr>
                <w:rFonts w:ascii="宋体" w:hAnsi="宋体"/>
                <w:color w:val="auto"/>
                <w:szCs w:val="21"/>
                <w:highlight w:val="none"/>
              </w:rPr>
              <w:t>1</w:t>
            </w:r>
            <w:r>
              <w:rPr>
                <w:rFonts w:hint="eastAsia" w:ascii="宋体" w:hAnsi="宋体"/>
                <w:color w:val="auto"/>
                <w:szCs w:val="21"/>
                <w:highlight w:val="none"/>
              </w:rPr>
              <w:t>名</w:t>
            </w: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highlight w:val="none"/>
              </w:rPr>
            </w:pPr>
            <w:r>
              <w:rPr>
                <w:rFonts w:hint="eastAsia" w:ascii="宋体" w:hAnsi="宋体"/>
                <w:color w:val="auto"/>
                <w:szCs w:val="21"/>
                <w:highlight w:val="none"/>
              </w:rPr>
              <w:t>第</w:t>
            </w:r>
            <w:r>
              <w:rPr>
                <w:rFonts w:ascii="宋体" w:hAnsi="宋体"/>
                <w:color w:val="auto"/>
                <w:szCs w:val="21"/>
                <w:highlight w:val="none"/>
              </w:rPr>
              <w:t>2</w:t>
            </w:r>
            <w:r>
              <w:rPr>
                <w:rFonts w:hint="eastAsia" w:ascii="宋体" w:hAnsi="宋体"/>
                <w:color w:val="auto"/>
                <w:szCs w:val="21"/>
                <w:highlight w:val="none"/>
              </w:rPr>
              <w:t>名</w:t>
            </w: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highlight w:val="none"/>
              </w:rPr>
            </w:pPr>
            <w:r>
              <w:rPr>
                <w:rFonts w:hint="eastAsia" w:ascii="宋体" w:hAnsi="宋体"/>
                <w:color w:val="auto"/>
                <w:szCs w:val="21"/>
                <w:highlight w:val="none"/>
              </w:rPr>
              <w:t>第</w:t>
            </w:r>
            <w:r>
              <w:rPr>
                <w:rFonts w:ascii="宋体" w:hAnsi="宋体"/>
                <w:color w:val="auto"/>
                <w:szCs w:val="21"/>
                <w:highlight w:val="none"/>
              </w:rPr>
              <w:t>3</w:t>
            </w:r>
            <w:r>
              <w:rPr>
                <w:rFonts w:hint="eastAsia" w:ascii="宋体" w:hAnsi="宋体"/>
                <w:color w:val="auto"/>
                <w:szCs w:val="21"/>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7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经济补偿金额（人民币，万元）</w:t>
            </w: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2</w:t>
            </w: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ascii="宋体" w:hAnsi="宋体"/>
                <w:color w:val="auto"/>
                <w:szCs w:val="21"/>
                <w:highlight w:val="none"/>
              </w:rPr>
              <w:t>2</w:t>
            </w: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w:t>
            </w:r>
          </w:p>
        </w:tc>
      </w:tr>
    </w:tbl>
    <w:p>
      <w:pPr>
        <w:spacing w:line="46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[注释]</w:t>
      </w:r>
    </w:p>
    <w:p>
      <w:pPr>
        <w:spacing w:line="460" w:lineRule="exact"/>
        <w:ind w:firstLine="420" w:firstLineChars="200"/>
        <w:rPr>
          <w:rFonts w:ascii="宋体" w:hAnsi="宋体"/>
          <w:color w:val="auto"/>
          <w:szCs w:val="21"/>
          <w:highlight w:val="none"/>
          <w:u w:val="single"/>
        </w:rPr>
      </w:pPr>
      <w:r>
        <w:rPr>
          <w:rFonts w:ascii="宋体" w:hAnsi="宋体"/>
          <w:color w:val="auto"/>
          <w:szCs w:val="21"/>
          <w:highlight w:val="none"/>
          <w:u w:val="single"/>
        </w:rPr>
        <w:t>①未中标单位</w:t>
      </w:r>
      <w:r>
        <w:rPr>
          <w:rFonts w:hint="eastAsia" w:ascii="宋体" w:hAnsi="宋体"/>
          <w:color w:val="auto"/>
          <w:szCs w:val="21"/>
          <w:highlight w:val="none"/>
          <w:u w:val="single"/>
        </w:rPr>
        <w:t>经济补偿不包括在投标人中标价中，由招标人直接支付。招标人在公示中标候选人期间一并公布本项目设计方案最终排序</w:t>
      </w:r>
      <w:r>
        <w:rPr>
          <w:rFonts w:ascii="宋体" w:hAnsi="宋体"/>
          <w:color w:val="auto"/>
          <w:szCs w:val="21"/>
          <w:highlight w:val="none"/>
          <w:u w:val="single"/>
        </w:rPr>
        <w:t>，并按照未中标单位的</w:t>
      </w:r>
      <w:r>
        <w:rPr>
          <w:rFonts w:hint="eastAsia" w:ascii="宋体" w:hAnsi="宋体"/>
          <w:color w:val="auto"/>
          <w:szCs w:val="21"/>
          <w:highlight w:val="none"/>
          <w:u w:val="single"/>
        </w:rPr>
        <w:t>设计方案</w:t>
      </w:r>
      <w:r>
        <w:rPr>
          <w:rFonts w:ascii="宋体" w:hAnsi="宋体"/>
          <w:color w:val="auto"/>
          <w:szCs w:val="21"/>
          <w:highlight w:val="none"/>
          <w:u w:val="single"/>
        </w:rPr>
        <w:t xml:space="preserve">最终排序对应的补偿金额进行支付。 </w:t>
      </w:r>
    </w:p>
    <w:p>
      <w:pPr>
        <w:spacing w:line="46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②</w:t>
      </w:r>
      <w:r>
        <w:rPr>
          <w:rFonts w:ascii="宋体" w:hAnsi="宋体"/>
          <w:color w:val="auto"/>
          <w:szCs w:val="21"/>
          <w:highlight w:val="none"/>
          <w:u w:val="single"/>
        </w:rPr>
        <w:t>中标单位的</w:t>
      </w:r>
      <w:r>
        <w:rPr>
          <w:rFonts w:hint="eastAsia" w:ascii="宋体" w:hAnsi="宋体"/>
          <w:color w:val="auto"/>
          <w:szCs w:val="21"/>
          <w:highlight w:val="none"/>
          <w:u w:val="single"/>
        </w:rPr>
        <w:t>设计方案</w:t>
      </w:r>
      <w:r>
        <w:rPr>
          <w:rFonts w:ascii="宋体" w:hAnsi="宋体"/>
          <w:color w:val="auto"/>
          <w:szCs w:val="21"/>
          <w:highlight w:val="none"/>
          <w:u w:val="single"/>
        </w:rPr>
        <w:t>不予补偿。</w:t>
      </w:r>
      <w:r>
        <w:rPr>
          <w:rFonts w:hint="eastAsia" w:ascii="宋体" w:hAnsi="宋体"/>
          <w:color w:val="auto"/>
          <w:szCs w:val="21"/>
          <w:highlight w:val="none"/>
          <w:u w:val="single"/>
        </w:rPr>
        <w:t>招标人（或授权的招标代理机构）在</w:t>
      </w:r>
      <w:r>
        <w:rPr>
          <w:rFonts w:ascii="宋体" w:hAnsi="宋体"/>
          <w:color w:val="auto"/>
          <w:szCs w:val="21"/>
          <w:highlight w:val="none"/>
          <w:u w:val="single"/>
        </w:rPr>
        <w:t>发出中标通知书</w:t>
      </w:r>
      <w:r>
        <w:rPr>
          <w:rFonts w:hint="eastAsia" w:ascii="宋体" w:hAnsi="宋体"/>
          <w:color w:val="auto"/>
          <w:szCs w:val="21"/>
          <w:highlight w:val="none"/>
          <w:u w:val="single"/>
        </w:rPr>
        <w:t>后以书面形式通知获得</w:t>
      </w:r>
      <w:r>
        <w:rPr>
          <w:rFonts w:ascii="宋体" w:hAnsi="宋体"/>
          <w:color w:val="auto"/>
          <w:szCs w:val="21"/>
          <w:highlight w:val="none"/>
          <w:u w:val="single"/>
        </w:rPr>
        <w:t>未中标单位</w:t>
      </w:r>
      <w:r>
        <w:rPr>
          <w:rFonts w:hint="eastAsia" w:ascii="宋体" w:hAnsi="宋体"/>
          <w:color w:val="auto"/>
          <w:szCs w:val="21"/>
          <w:highlight w:val="none"/>
          <w:u w:val="single"/>
        </w:rPr>
        <w:t>经济补偿的投标人在规定期限内领取补偿。对未通过资格审查或出现废标情形的投标人，将不作</w:t>
      </w:r>
      <w:r>
        <w:rPr>
          <w:rFonts w:ascii="宋体" w:hAnsi="宋体"/>
          <w:color w:val="auto"/>
          <w:szCs w:val="21"/>
          <w:highlight w:val="none"/>
          <w:u w:val="single"/>
        </w:rPr>
        <w:t>未中标单位</w:t>
      </w:r>
      <w:r>
        <w:rPr>
          <w:rFonts w:hint="eastAsia" w:ascii="宋体" w:hAnsi="宋体"/>
          <w:color w:val="auto"/>
          <w:szCs w:val="21"/>
          <w:highlight w:val="none"/>
          <w:u w:val="single"/>
        </w:rPr>
        <w:t>经济补偿</w:t>
      </w:r>
      <w:r>
        <w:rPr>
          <w:rFonts w:ascii="宋体" w:hAnsi="宋体"/>
          <w:color w:val="auto"/>
          <w:szCs w:val="21"/>
          <w:highlight w:val="none"/>
          <w:u w:val="single"/>
        </w:rPr>
        <w:t>，如果出现第一中标候选人放弃中标或因其他原因被取消中标资格的，则该单位也不作经济补偿</w:t>
      </w:r>
      <w:r>
        <w:rPr>
          <w:rFonts w:hint="eastAsia" w:ascii="宋体" w:hAnsi="宋体"/>
          <w:color w:val="auto"/>
          <w:szCs w:val="21"/>
          <w:highlight w:val="none"/>
          <w:u w:val="single"/>
        </w:rPr>
        <w:t>。如果招标失败，则当次不作</w:t>
      </w:r>
      <w:r>
        <w:rPr>
          <w:rFonts w:ascii="宋体" w:hAnsi="宋体"/>
          <w:color w:val="auto"/>
          <w:szCs w:val="21"/>
          <w:highlight w:val="none"/>
          <w:u w:val="single"/>
        </w:rPr>
        <w:t>未中标单位</w:t>
      </w:r>
      <w:r>
        <w:rPr>
          <w:rFonts w:hint="eastAsia" w:ascii="宋体" w:hAnsi="宋体"/>
          <w:color w:val="auto"/>
          <w:szCs w:val="21"/>
          <w:highlight w:val="none"/>
          <w:u w:val="single"/>
        </w:rPr>
        <w:t>经济补偿。</w:t>
      </w:r>
    </w:p>
    <w:p>
      <w:pPr>
        <w:spacing w:line="460" w:lineRule="exact"/>
        <w:ind w:firstLine="420" w:firstLineChars="200"/>
        <w:rPr>
          <w:rFonts w:ascii="宋体" w:hAnsi="宋体"/>
          <w:color w:val="auto"/>
          <w:sz w:val="24"/>
          <w:szCs w:val="24"/>
          <w:highlight w:val="none"/>
        </w:rPr>
      </w:pPr>
      <w:r>
        <w:rPr>
          <w:rFonts w:hint="eastAsia" w:ascii="宋体" w:hAnsi="宋体"/>
          <w:color w:val="auto"/>
          <w:szCs w:val="21"/>
          <w:highlight w:val="none"/>
          <w:u w:val="single"/>
        </w:rPr>
        <w:t>③招标人</w:t>
      </w:r>
      <w:r>
        <w:rPr>
          <w:rFonts w:ascii="宋体" w:hAnsi="宋体"/>
          <w:color w:val="auto"/>
          <w:szCs w:val="21"/>
          <w:highlight w:val="none"/>
          <w:u w:val="single"/>
        </w:rPr>
        <w:t>、业主单位</w:t>
      </w:r>
      <w:r>
        <w:rPr>
          <w:rFonts w:hint="eastAsia" w:ascii="宋体" w:hAnsi="宋体"/>
          <w:color w:val="auto"/>
          <w:szCs w:val="21"/>
          <w:highlight w:val="none"/>
          <w:u w:val="single"/>
        </w:rPr>
        <w:t>和中标人有权在实施方案中参考使用获得</w:t>
      </w:r>
      <w:r>
        <w:rPr>
          <w:rFonts w:ascii="宋体" w:hAnsi="宋体"/>
          <w:color w:val="auto"/>
          <w:szCs w:val="21"/>
          <w:highlight w:val="none"/>
          <w:u w:val="single"/>
        </w:rPr>
        <w:t>未中标单位</w:t>
      </w:r>
      <w:r>
        <w:rPr>
          <w:rFonts w:hint="eastAsia" w:ascii="宋体" w:hAnsi="宋体"/>
          <w:color w:val="auto"/>
          <w:szCs w:val="21"/>
          <w:highlight w:val="none"/>
          <w:u w:val="single"/>
        </w:rPr>
        <w:t>经济补偿的所有设计方案成果的部分内容。</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十六、</w:t>
      </w:r>
      <w:r>
        <w:rPr>
          <w:rFonts w:hint="eastAsia" w:ascii="宋体" w:hAnsi="宋体"/>
          <w:b/>
          <w:color w:val="auto"/>
          <w:sz w:val="24"/>
          <w:szCs w:val="24"/>
          <w:highlight w:val="none"/>
        </w:rPr>
        <w:t>其他事项：</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bCs/>
          <w:color w:val="auto"/>
          <w:sz w:val="24"/>
          <w:szCs w:val="24"/>
          <w:highlight w:val="none"/>
        </w:rPr>
        <w:t>1</w:t>
      </w:r>
      <w:r>
        <w:rPr>
          <w:rFonts w:hint="eastAsia" w:ascii="宋体" w:hAnsi="宋体"/>
          <w:color w:val="auto"/>
          <w:sz w:val="24"/>
          <w:szCs w:val="24"/>
          <w:highlight w:val="none"/>
        </w:rPr>
        <w:t>、前期服务单位：</w:t>
      </w:r>
      <w:r>
        <w:rPr>
          <w:rFonts w:hint="eastAsia" w:ascii="宋体" w:hAnsi="宋体"/>
          <w:color w:val="auto"/>
          <w:sz w:val="24"/>
          <w:szCs w:val="24"/>
          <w:highlight w:val="none"/>
          <w:u w:val="single"/>
        </w:rPr>
        <w:t>广州市国际工程咨询有限公司（</w:t>
      </w:r>
      <w:bookmarkStart w:id="10" w:name="_Toc29924"/>
      <w:bookmarkStart w:id="11" w:name="_Toc5598"/>
      <w:bookmarkStart w:id="12" w:name="_Toc24804"/>
      <w:r>
        <w:rPr>
          <w:rFonts w:hint="eastAsia" w:ascii="宋体" w:hAnsi="宋体"/>
          <w:color w:val="auto"/>
          <w:sz w:val="24"/>
          <w:szCs w:val="24"/>
          <w:highlight w:val="none"/>
          <w:u w:val="single"/>
          <w:lang w:val="en-US" w:eastAsia="zh-CN"/>
        </w:rPr>
        <w:t>可行性研究报告</w:t>
      </w:r>
      <w:bookmarkEnd w:id="10"/>
      <w:bookmarkEnd w:id="11"/>
      <w:bookmarkEnd w:id="12"/>
      <w:r>
        <w:rPr>
          <w:rFonts w:hint="eastAsia" w:ascii="宋体" w:hAnsi="宋体"/>
          <w:color w:val="auto"/>
          <w:sz w:val="24"/>
          <w:szCs w:val="24"/>
          <w:highlight w:val="none"/>
          <w:u w:val="single"/>
        </w:rPr>
        <w:t>编制单位）</w:t>
      </w:r>
      <w:r>
        <w:rPr>
          <w:rFonts w:hint="eastAsia" w:ascii="宋体" w:hAnsi="宋体"/>
          <w:color w:val="auto"/>
          <w:sz w:val="24"/>
          <w:szCs w:val="24"/>
          <w:highlight w:val="none"/>
        </w:rPr>
        <w:t>。</w:t>
      </w:r>
    </w:p>
    <w:p>
      <w:pPr>
        <w:spacing w:line="460" w:lineRule="exact"/>
        <w:ind w:firstLine="480" w:firstLineChars="200"/>
        <w:rPr>
          <w:rFonts w:hint="eastAsia"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、投标时是否需要提交设计模型：</w:t>
      </w:r>
      <w:r>
        <w:rPr>
          <w:rFonts w:hint="eastAsia" w:ascii="宋体" w:hAnsi="宋体"/>
          <w:color w:val="auto"/>
          <w:sz w:val="24"/>
          <w:szCs w:val="24"/>
          <w:highlight w:val="none"/>
          <w:u w:val="single"/>
        </w:rPr>
        <w:t>否</w:t>
      </w:r>
      <w:r>
        <w:rPr>
          <w:rFonts w:hint="eastAsia" w:ascii="宋体" w:hAnsi="宋体"/>
          <w:color w:val="auto"/>
          <w:sz w:val="24"/>
          <w:szCs w:val="24"/>
          <w:highlight w:val="none"/>
        </w:rPr>
        <w:t>。</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3、资格审查前</w:t>
      </w:r>
      <w:r>
        <w:rPr>
          <w:rFonts w:hint="eastAsia" w:ascii="宋体" w:hAnsi="宋体"/>
          <w:color w:val="auto"/>
          <w:sz w:val="24"/>
          <w:szCs w:val="24"/>
          <w:highlight w:val="none"/>
          <w:u w:val="single"/>
        </w:rPr>
        <w:t>，投标人应查询企业信用档案、拟报项目负责人的使用状态，以免出现企业信用档案、拟报项目负责人不能被使用的情况。上述情况有可能导致投标信息无法录入广州交易集团有限公司（广州公共资源交易中心）交易服务系统。如出现上述情况，投标人有可能失去投标机会，因其可能所引起的一切后果由投标人自行承担。</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4、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十七、潜在投标人或利害关系人对本招标公告及招标内容有异议的，向招标人书面提出。异议受理部门：</w:t>
      </w:r>
      <w:r>
        <w:rPr>
          <w:rFonts w:hint="eastAsia" w:ascii="宋体" w:hAnsi="宋体"/>
          <w:color w:val="auto"/>
          <w:sz w:val="24"/>
          <w:szCs w:val="24"/>
          <w:highlight w:val="none"/>
          <w:u w:val="single"/>
        </w:rPr>
        <w:t>广州市重点公共建设项目管理中心</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异议受理电话：</w:t>
      </w:r>
      <w:r>
        <w:rPr>
          <w:rFonts w:ascii="宋体" w:hAnsi="宋体"/>
          <w:color w:val="auto"/>
          <w:sz w:val="24"/>
          <w:szCs w:val="24"/>
          <w:highlight w:val="none"/>
          <w:u w:val="single"/>
        </w:rPr>
        <w:t>020-22905692</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地        址：</w:t>
      </w:r>
      <w:r>
        <w:rPr>
          <w:rFonts w:hint="eastAsia" w:ascii="宋体" w:hAnsi="宋体"/>
          <w:color w:val="auto"/>
          <w:sz w:val="24"/>
          <w:szCs w:val="24"/>
          <w:highlight w:val="none"/>
          <w:u w:val="single"/>
        </w:rPr>
        <w:t>广州市大学城内环东星运路1号</w:t>
      </w:r>
    </w:p>
    <w:p>
      <w:pPr>
        <w:spacing w:line="46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line="4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十八、本公告在广州交易集团有限公司（广州公共资源交易中心）网站（网址：http://www.gzggzy.cn/）和中国招标投标公共服务平台（网址：http://www.cebpubservice.com/）、广东省招标投标监管网（网址：http://zbtb.gd.gov.cn/）等媒体同时发布，本公告的修改、补充在广州交易集团有限公司（广州公共资源交易中心）网站发布。</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十九、《投诉处理决定书》和《行政处理决定书》在广州市住房和城乡建设局网站上公布的，视为送达其他与决定书有关的当事人。</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特别提示：投标人在本项目招标人的工程项目中存在下列行为的，将被拒绝一年内参与招标人后续工程投标。（注：拒绝投标时限由招标人视严重程度确定，最低三个月起，自招标人发出通知之日起计）：</w:t>
      </w:r>
    </w:p>
    <w:p>
      <w:pPr>
        <w:spacing w:line="460" w:lineRule="exact"/>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将中标工程转包或者违法分包的；</w:t>
      </w:r>
    </w:p>
    <w:p>
      <w:pPr>
        <w:spacing w:line="460" w:lineRule="exact"/>
        <w:ind w:firstLine="480" w:firstLine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在中标工程中不执行质量、安全生产相关规定的，造成质量或安全事故的；</w:t>
      </w:r>
    </w:p>
    <w:p>
      <w:pPr>
        <w:spacing w:line="460" w:lineRule="exact"/>
        <w:ind w:firstLine="480" w:firstLineChars="200"/>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存在围标或串标情形的；</w:t>
      </w:r>
    </w:p>
    <w:p>
      <w:pPr>
        <w:spacing w:line="460" w:lineRule="exact"/>
        <w:ind w:firstLine="480" w:firstLineChars="200"/>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在投标文件中提供虚假材料的；</w:t>
      </w:r>
    </w:p>
    <w:p>
      <w:pPr>
        <w:spacing w:line="460" w:lineRule="exact"/>
        <w:ind w:firstLine="480" w:firstLineChars="200"/>
        <w:rPr>
          <w:rFonts w:ascii="宋体" w:hAnsi="宋体"/>
          <w:color w:val="auto"/>
          <w:sz w:val="24"/>
          <w:szCs w:val="24"/>
          <w:highlight w:val="none"/>
        </w:rPr>
      </w:pPr>
      <w:r>
        <w:rPr>
          <w:rFonts w:ascii="宋体" w:hAnsi="宋体"/>
          <w:color w:val="auto"/>
          <w:sz w:val="24"/>
          <w:szCs w:val="24"/>
          <w:highlight w:val="none"/>
        </w:rPr>
        <w:t>5.</w:t>
      </w:r>
      <w:r>
        <w:rPr>
          <w:rFonts w:hint="eastAsia" w:ascii="宋体" w:hAnsi="宋体"/>
          <w:color w:val="auto"/>
          <w:sz w:val="24"/>
          <w:szCs w:val="24"/>
          <w:highlight w:val="none"/>
        </w:rPr>
        <w:t>存在行贿情形的；</w:t>
      </w:r>
    </w:p>
    <w:p>
      <w:pPr>
        <w:spacing w:line="460" w:lineRule="exact"/>
        <w:ind w:firstLine="480" w:firstLineChars="20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拖欠农民工工资的；</w:t>
      </w:r>
    </w:p>
    <w:p>
      <w:pPr>
        <w:spacing w:line="460" w:lineRule="exact"/>
        <w:ind w:firstLine="480" w:firstLineChars="20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rPr>
        <w:t>未按照国家、省、市有关建筑施工实名制管理和工人工资支付分账管理的规定执行，被行政监管部门处罚的；</w:t>
      </w:r>
    </w:p>
    <w:p>
      <w:pPr>
        <w:spacing w:line="460" w:lineRule="exact"/>
        <w:ind w:firstLine="480" w:firstLineChars="200"/>
        <w:rPr>
          <w:rFonts w:ascii="宋体" w:hAnsi="宋体"/>
          <w:color w:val="auto"/>
          <w:sz w:val="24"/>
          <w:szCs w:val="24"/>
          <w:highlight w:val="none"/>
        </w:rPr>
      </w:pPr>
      <w:r>
        <w:rPr>
          <w:rFonts w:ascii="宋体" w:hAnsi="宋体"/>
          <w:color w:val="auto"/>
          <w:sz w:val="24"/>
          <w:szCs w:val="24"/>
          <w:highlight w:val="none"/>
        </w:rPr>
        <w:t>8.</w:t>
      </w:r>
      <w:r>
        <w:rPr>
          <w:rFonts w:hint="eastAsia" w:ascii="宋体" w:hAnsi="宋体"/>
          <w:color w:val="auto"/>
          <w:sz w:val="24"/>
          <w:szCs w:val="24"/>
          <w:highlight w:val="none"/>
          <w:u w:val="single"/>
        </w:rPr>
        <w:t>存在因过错行为被生效法律文书认定承担违约或侵权责任的</w:t>
      </w:r>
      <w:r>
        <w:rPr>
          <w:rFonts w:hint="eastAsia" w:ascii="宋体" w:hAnsi="宋体"/>
          <w:color w:val="auto"/>
          <w:sz w:val="24"/>
          <w:szCs w:val="24"/>
          <w:highlight w:val="none"/>
        </w:rPr>
        <w:t>。</w:t>
      </w:r>
    </w:p>
    <w:bookmarkEnd w:id="4"/>
    <w:bookmarkEnd w:id="5"/>
    <w:bookmarkEnd w:id="6"/>
    <w:bookmarkEnd w:id="7"/>
    <w:bookmarkEnd w:id="8"/>
    <w:bookmarkEnd w:id="9"/>
    <w:p>
      <w:pPr>
        <w:spacing w:line="460" w:lineRule="exact"/>
        <w:ind w:firstLine="480" w:firstLineChars="200"/>
        <w:rPr>
          <w:rFonts w:hint="eastAsia" w:ascii="宋体" w:hAnsi="宋体"/>
          <w:color w:val="auto"/>
          <w:sz w:val="24"/>
          <w:szCs w:val="24"/>
          <w:highlight w:val="none"/>
        </w:rPr>
      </w:pPr>
    </w:p>
    <w:p>
      <w:pPr>
        <w:shd w:val="clear" w:color="auto" w:fill="FFFFFF"/>
        <w:spacing w:line="315" w:lineRule="atLeast"/>
        <w:jc w:val="right"/>
        <w:rPr>
          <w:rFonts w:hint="eastAsia" w:ascii="宋体" w:hAnsi="宋体"/>
          <w:color w:val="auto"/>
          <w:sz w:val="24"/>
          <w:szCs w:val="24"/>
          <w:highlight w:val="none"/>
        </w:rPr>
      </w:pPr>
    </w:p>
    <w:p>
      <w:pPr>
        <w:spacing w:line="460" w:lineRule="exact"/>
        <w:jc w:val="right"/>
        <w:rPr>
          <w:rFonts w:ascii="宋体" w:hAnsi="宋体"/>
          <w:color w:val="auto"/>
          <w:sz w:val="24"/>
          <w:szCs w:val="24"/>
          <w:highlight w:val="none"/>
        </w:rPr>
      </w:pPr>
      <w:r>
        <w:rPr>
          <w:rFonts w:hint="eastAsia" w:ascii="宋体" w:hAnsi="宋体"/>
          <w:color w:val="auto"/>
          <w:sz w:val="24"/>
          <w:szCs w:val="24"/>
          <w:highlight w:val="none"/>
        </w:rPr>
        <w:t>招标单位：广州市重点公共建设项目管理中心</w:t>
      </w:r>
    </w:p>
    <w:p>
      <w:pPr>
        <w:spacing w:line="460" w:lineRule="exact"/>
        <w:ind w:firstLine="480" w:firstLineChars="200"/>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招标代理机构：</w:t>
      </w:r>
      <w:r>
        <w:rPr>
          <w:rFonts w:hint="eastAsia" w:ascii="宋体" w:hAnsi="宋体"/>
          <w:color w:val="auto"/>
          <w:sz w:val="24"/>
          <w:szCs w:val="24"/>
          <w:highlight w:val="none"/>
          <w:lang w:eastAsia="zh-CN"/>
        </w:rPr>
        <w:t>广东建瀚工程管理有限公司</w:t>
      </w:r>
    </w:p>
    <w:p>
      <w:pPr>
        <w:spacing w:line="460" w:lineRule="exact"/>
        <w:ind w:firstLine="6000" w:firstLineChars="2500"/>
        <w:rPr>
          <w:rFonts w:ascii="宋体" w:hAnsi="宋体"/>
          <w:color w:val="auto"/>
          <w:sz w:val="24"/>
          <w:szCs w:val="24"/>
          <w:highlight w:val="none"/>
        </w:rPr>
      </w:pPr>
      <w:r>
        <w:rPr>
          <w:rFonts w:hint="eastAsia" w:ascii="宋体" w:hAnsi="宋体"/>
          <w:color w:val="auto"/>
          <w:sz w:val="24"/>
          <w:szCs w:val="24"/>
          <w:highlight w:val="none"/>
        </w:rPr>
        <w:t>2024</w:t>
      </w:r>
      <w:r>
        <w:rPr>
          <w:rFonts w:ascii="宋体" w:hAnsi="宋体"/>
          <w:color w:val="auto"/>
          <w:sz w:val="24"/>
          <w:szCs w:val="24"/>
          <w:highlight w:val="none"/>
        </w:rPr>
        <w:t>年</w:t>
      </w:r>
      <w:r>
        <w:rPr>
          <w:rFonts w:hint="eastAsia" w:ascii="宋体" w:hAnsi="宋体"/>
          <w:color w:val="auto"/>
          <w:sz w:val="24"/>
          <w:szCs w:val="24"/>
          <w:highlight w:val="none"/>
          <w:lang w:val="en-US" w:eastAsia="zh-CN"/>
        </w:rPr>
        <w:t>6</w:t>
      </w:r>
      <w:r>
        <w:rPr>
          <w:rFonts w:ascii="宋体" w:hAnsi="宋体"/>
          <w:color w:val="auto"/>
          <w:sz w:val="24"/>
          <w:szCs w:val="24"/>
          <w:highlight w:val="none"/>
        </w:rPr>
        <w:t>月</w:t>
      </w:r>
      <w:r>
        <w:rPr>
          <w:rFonts w:hint="eastAsia" w:ascii="宋体" w:hAnsi="宋体"/>
          <w:color w:val="auto"/>
          <w:sz w:val="24"/>
          <w:szCs w:val="24"/>
          <w:highlight w:val="none"/>
          <w:lang w:val="en-US" w:eastAsia="zh-CN"/>
        </w:rPr>
        <w:t xml:space="preserve">  </w:t>
      </w:r>
      <w:r>
        <w:rPr>
          <w:rFonts w:ascii="宋体" w:hAnsi="宋体"/>
          <w:color w:val="auto"/>
          <w:sz w:val="24"/>
          <w:szCs w:val="24"/>
          <w:highlight w:val="none"/>
        </w:rPr>
        <w:t>日</w:t>
      </w:r>
    </w:p>
    <w:p>
      <w:pPr>
        <w:spacing w:line="220" w:lineRule="atLeast"/>
        <w:rPr>
          <w:rFonts w:hint="eastAsia" w:ascii="宋体" w:hAnsi="宋体" w:cs="宋体"/>
          <w:color w:val="auto"/>
          <w:sz w:val="24"/>
          <w:highlight w:val="none"/>
        </w:rPr>
      </w:pPr>
      <w:r>
        <w:rPr>
          <w:rFonts w:ascii="宋体" w:hAnsi="宋体" w:cs="宋体"/>
          <w:color w:val="auto"/>
          <w:sz w:val="24"/>
          <w:szCs w:val="24"/>
          <w:highlight w:val="none"/>
        </w:rPr>
        <w:br w:type="page"/>
      </w:r>
      <w:bookmarkStart w:id="13" w:name="_Toc266093553"/>
      <w:bookmarkStart w:id="14" w:name="_Toc266093552"/>
      <w:bookmarkStart w:id="15" w:name="_Toc249845977"/>
      <w:bookmarkStart w:id="16" w:name="_Toc416358163"/>
      <w:bookmarkStart w:id="17" w:name="_Toc416357992"/>
      <w:bookmarkStart w:id="18" w:name="_Toc245024004"/>
      <w:bookmarkStart w:id="19" w:name="_Toc253143223"/>
      <w:bookmarkStart w:id="20" w:name="_Toc253143224"/>
      <w:bookmarkStart w:id="21" w:name="_Toc249846231"/>
      <w:bookmarkStart w:id="22" w:name="_Toc249845976"/>
      <w:bookmarkStart w:id="23" w:name="_Toc266881404"/>
      <w:bookmarkStart w:id="24" w:name="_Toc245024005"/>
      <w:bookmarkStart w:id="25" w:name="_Toc249846232"/>
      <w:bookmarkStart w:id="26" w:name="_Toc266881405"/>
      <w:r>
        <w:rPr>
          <w:rFonts w:hint="eastAsia" w:ascii="宋体" w:hAnsi="宋体" w:cs="宋体"/>
          <w:color w:val="auto"/>
          <w:sz w:val="24"/>
          <w:highlight w:val="none"/>
        </w:rPr>
        <w:t>附件一：</w:t>
      </w:r>
    </w:p>
    <w:bookmarkEnd w:id="13"/>
    <w:bookmarkEnd w:id="14"/>
    <w:bookmarkEnd w:id="15"/>
    <w:bookmarkEnd w:id="16"/>
    <w:bookmarkEnd w:id="17"/>
    <w:bookmarkEnd w:id="18"/>
    <w:bookmarkEnd w:id="19"/>
    <w:bookmarkEnd w:id="20"/>
    <w:bookmarkEnd w:id="21"/>
    <w:bookmarkEnd w:id="22"/>
    <w:bookmarkEnd w:id="23"/>
    <w:bookmarkEnd w:id="24"/>
    <w:bookmarkEnd w:id="25"/>
    <w:bookmarkEnd w:id="26"/>
    <w:p>
      <w:pPr>
        <w:spacing w:line="460" w:lineRule="exact"/>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投标人声明</w:t>
      </w:r>
    </w:p>
    <w:p>
      <w:pPr>
        <w:spacing w:line="360" w:lineRule="auto"/>
        <w:rPr>
          <w:rFonts w:ascii="宋体" w:hAnsi="宋体"/>
          <w:color w:val="auto"/>
          <w:kern w:val="0"/>
          <w:sz w:val="24"/>
          <w:szCs w:val="24"/>
          <w:highlight w:val="none"/>
        </w:rPr>
      </w:pPr>
    </w:p>
    <w:p>
      <w:pPr>
        <w:spacing w:line="360" w:lineRule="auto"/>
        <w:rPr>
          <w:rFonts w:hint="eastAsia" w:ascii="宋体" w:hAnsi="宋体" w:cs="宋体"/>
          <w:color w:val="auto"/>
          <w:kern w:val="0"/>
          <w:sz w:val="24"/>
          <w:szCs w:val="24"/>
          <w:highlight w:val="none"/>
        </w:rPr>
      </w:pPr>
      <w:r>
        <w:rPr>
          <w:rFonts w:hint="eastAsia" w:ascii="宋体" w:hAnsi="宋体"/>
          <w:color w:val="auto"/>
          <w:kern w:val="0"/>
          <w:sz w:val="24"/>
          <w:szCs w:val="24"/>
          <w:highlight w:val="none"/>
        </w:rPr>
        <w:t>广州市住房和城乡建设局、本招标项目招标人及招标监管机构</w:t>
      </w:r>
      <w:r>
        <w:rPr>
          <w:rFonts w:hint="eastAsia" w:ascii="宋体" w:hAnsi="宋体" w:cs="宋体"/>
          <w:color w:val="auto"/>
          <w:kern w:val="0"/>
          <w:sz w:val="24"/>
          <w:szCs w:val="24"/>
          <w:highlight w:val="none"/>
        </w:rPr>
        <w:t>：</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我方就参加</w:t>
      </w:r>
      <w:r>
        <w:rPr>
          <w:rFonts w:hint="eastAsia" w:ascii="宋体" w:hAnsi="宋体" w:cs="宋体"/>
          <w:color w:val="auto"/>
          <w:kern w:val="0"/>
          <w:sz w:val="24"/>
          <w:szCs w:val="24"/>
          <w:highlight w:val="none"/>
          <w:u w:val="single"/>
        </w:rPr>
        <w:t xml:space="preserve">        （项目名称）         </w:t>
      </w:r>
      <w:r>
        <w:rPr>
          <w:rFonts w:hint="eastAsia" w:ascii="宋体" w:hAnsi="宋体" w:cs="宋体"/>
          <w:color w:val="auto"/>
          <w:kern w:val="0"/>
          <w:sz w:val="24"/>
          <w:szCs w:val="24"/>
          <w:highlight w:val="none"/>
        </w:rPr>
        <w:t>投标工作，作出郑重声明：</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一、我方保证投标文件及其后提供的一切材料都是真实的。如我方成为本项目中标候选人，我方同意并授权招标人将我方投标文件商务部分的人员、业绩、奖项等资料进行公开。</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二、我方保证在本项目投标中不与其他单位围标、串标，不出让投标资格，不向招标人或评标委员会成员行贿。</w:t>
      </w:r>
    </w:p>
    <w:p>
      <w:pPr>
        <w:numPr>
          <w:ilvl w:val="0"/>
          <w:numId w:val="2"/>
        </w:numPr>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我方不存在下列情形之一：</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为招标人不具有独立法人资格的附属机构（单位）；</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为本标段监理人或者与本标段监理人存在隶属关系或者其他利害关系；</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为本招标项目的代建人；</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为本招标项目提供招标代理服务的；</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与本招标项目的监理人或代建人或招标代理机构同为一个法定代表人的；</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与本招标项目的监理人或代建人或招标代理机构互相控股或参股的；</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与本招标项目的监理人或代建人或招标代理机构相互任职或工作的；</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与本招标项目的检测机构有隶属关系或者其他利害关系；</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与招标人存在利害关系且可能影响招标公正性；</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与本招标项目的其他投标人为同一个单位负责人；</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被责令停产停业、暂扣或者吊销许可证、暂扣或者吊销执照的；（本项事实应当以根据《中华人民共和国行政处罚法》依法作出并已经生效的行政处罚决定为认定依据。）；</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进入清算程序，或被宣布破产，或其他丧失履约能力的情形；</w:t>
      </w:r>
    </w:p>
    <w:p>
      <w:pPr>
        <w:numPr>
          <w:ilvl w:val="0"/>
          <w:numId w:val="3"/>
        </w:numPr>
        <w:spacing w:line="360" w:lineRule="auto"/>
        <w:ind w:left="720"/>
        <w:rPr>
          <w:rFonts w:ascii="宋体" w:hAnsi="宋体" w:cs="宋体"/>
          <w:color w:val="auto"/>
          <w:kern w:val="0"/>
          <w:sz w:val="24"/>
          <w:szCs w:val="24"/>
          <w:highlight w:val="none"/>
        </w:rPr>
      </w:pPr>
      <w:r>
        <w:rPr>
          <w:rFonts w:hint="eastAsia" w:ascii="宋体" w:hAnsi="宋体" w:cs="宋体"/>
          <w:color w:val="auto"/>
          <w:kern w:val="0"/>
          <w:sz w:val="24"/>
          <w:szCs w:val="24"/>
          <w:highlight w:val="none"/>
        </w:rPr>
        <w:t>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numPr>
          <w:ilvl w:val="0"/>
          <w:numId w:val="3"/>
        </w:numPr>
        <w:spacing w:line="360" w:lineRule="auto"/>
        <w:ind w:left="7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法律法规规定的其他情形。</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四、我方保证本项目拟派的项目负责人（兼施工负责人）没有在其他在建工程项目担任工程总承包项目负责人、施工项目负责人，本项目拟派的专职安全员没有在其他在建项目中任职。</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六、我方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tabs>
          <w:tab w:val="left" w:pos="1890"/>
        </w:tabs>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七、我方承诺，切实落实《住房城乡建设部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方对实名制管理负总责。若本项目在经招标人认可后，部分专业工程依法分包或实行劳务分包的，我方对专业分包企业和劳务分包企业实施统一管理，监督其用工企业按时足额支付作业工人工资，督促落实实名制管理制度。我方接受招标人及建设行政主管部门的监督、检查。</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八、与我方单位负责人为同一人或者与我方存在控股、管理关系的其他单位包括：</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。（注：本条由投标申请人如实填写，如有，应列出的联合体各方全部满足招标公告资质要求的相关单位的名称；如无，则填写“无”。）</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九、我方拟委派专职安全员兼任本工程的工地余泥渣土运输与排放管理员，严格遵守建设工程余泥渣土运输与排放管理制度，执行“一不准进、三不准出”规定，选择合法的余泥渣土运输单位及排放点。</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十、如果我方使用采用告知承诺制方式取得的资质参与本项目投标，该资质经资质审批部门核查被依法注销的，我方承诺自动放弃投标及中标资格。如经查实该资质为以欺骗等不正当手段取得的，将依法接受监督部门的行政处罚。</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十一、我方违反上述保证，或本声明陈述与事实不符，一经查实将按相关规定进行信用记录。本公司对失信行为产生的一切后果已知悉。其中，本声明陈述与事实不符的，属于弄虚作假骗取中标，将依法接受监管部门的处罚。</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特此声明</w:t>
      </w:r>
    </w:p>
    <w:p>
      <w:pPr>
        <w:spacing w:line="360" w:lineRule="auto"/>
        <w:ind w:right="-27" w:firstLine="3600" w:firstLineChars="1500"/>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声明企业：</w:t>
      </w:r>
      <w:r>
        <w:rPr>
          <w:rFonts w:hint="eastAsia" w:ascii="宋体" w:hAnsi="宋体" w:cs="宋体"/>
          <w:color w:val="auto"/>
          <w:kern w:val="0"/>
          <w:sz w:val="24"/>
          <w:szCs w:val="24"/>
          <w:highlight w:val="none"/>
          <w:u w:val="single"/>
        </w:rPr>
        <w:t xml:space="preserve">        </w:t>
      </w:r>
    </w:p>
    <w:p>
      <w:pPr>
        <w:spacing w:line="360" w:lineRule="auto"/>
        <w:ind w:right="-27" w:firstLine="3600" w:firstLineChars="1500"/>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法定代表人签字或盖章：</w:t>
      </w:r>
      <w:r>
        <w:rPr>
          <w:rFonts w:hint="eastAsia" w:ascii="宋体" w:hAnsi="宋体" w:cs="宋体"/>
          <w:color w:val="auto"/>
          <w:kern w:val="0"/>
          <w:sz w:val="24"/>
          <w:szCs w:val="24"/>
          <w:highlight w:val="none"/>
          <w:u w:val="single"/>
        </w:rPr>
        <w:t xml:space="preserve">           </w:t>
      </w:r>
    </w:p>
    <w:p>
      <w:pPr>
        <w:spacing w:line="360" w:lineRule="auto"/>
        <w:ind w:right="-27" w:firstLine="3592" w:firstLineChars="1497"/>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项目负责人（兼施工项目负责人）签字：</w:t>
      </w:r>
      <w:r>
        <w:rPr>
          <w:rFonts w:hint="eastAsia" w:ascii="宋体" w:hAnsi="宋体" w:cs="宋体"/>
          <w:color w:val="auto"/>
          <w:kern w:val="0"/>
          <w:sz w:val="24"/>
          <w:szCs w:val="24"/>
          <w:highlight w:val="none"/>
          <w:u w:val="single"/>
        </w:rPr>
        <w:t xml:space="preserve">    </w:t>
      </w:r>
    </w:p>
    <w:p>
      <w:pPr>
        <w:spacing w:line="360" w:lineRule="auto"/>
        <w:ind w:right="-27" w:firstLine="3600" w:firstLineChars="1500"/>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技术负责人签字：</w:t>
      </w:r>
      <w:r>
        <w:rPr>
          <w:rFonts w:hint="eastAsia" w:ascii="宋体" w:hAnsi="宋体" w:cs="宋体"/>
          <w:color w:val="auto"/>
          <w:kern w:val="0"/>
          <w:sz w:val="24"/>
          <w:szCs w:val="24"/>
          <w:highlight w:val="none"/>
          <w:u w:val="single"/>
        </w:rPr>
        <w:t xml:space="preserve">          </w:t>
      </w:r>
    </w:p>
    <w:p>
      <w:pPr>
        <w:spacing w:line="360" w:lineRule="auto"/>
        <w:ind w:right="-27"/>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年   月   日</w:t>
      </w:r>
    </w:p>
    <w:p>
      <w:pPr>
        <w:spacing w:line="360" w:lineRule="auto"/>
        <w:rPr>
          <w:rFonts w:hint="eastAsia" w:ascii="宋体" w:hAnsi="宋体" w:cs="宋体"/>
          <w:b/>
          <w:color w:val="auto"/>
          <w:kern w:val="0"/>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kern w:val="0"/>
          <w:sz w:val="24"/>
          <w:szCs w:val="24"/>
          <w:highlight w:val="none"/>
        </w:rPr>
        <w:t>（企业公章）</w:t>
      </w:r>
    </w:p>
    <w:p>
      <w:pPr>
        <w:spacing w:line="360" w:lineRule="auto"/>
        <w:rPr>
          <w:rFonts w:hint="eastAsia" w:ascii="宋体" w:hAnsi="宋体" w:cs="宋体"/>
          <w:b/>
          <w:color w:val="auto"/>
          <w:kern w:val="0"/>
          <w:sz w:val="24"/>
          <w:szCs w:val="24"/>
          <w:highlight w:val="none"/>
        </w:rPr>
      </w:pPr>
    </w:p>
    <w:p>
      <w:pPr>
        <w:autoSpaceDE w:val="0"/>
        <w:spacing w:line="360" w:lineRule="auto"/>
        <w:ind w:firstLine="422" w:firstLineChars="200"/>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注：1、招标人应当要求投标人的法定代表人、项目负责人（兼任施工项目负责人）和技术负责人签字。</w:t>
      </w:r>
    </w:p>
    <w:p>
      <w:pPr>
        <w:spacing w:line="360" w:lineRule="auto"/>
        <w:ind w:firstLine="843" w:firstLineChars="400"/>
        <w:rPr>
          <w:rFonts w:ascii="宋体" w:hAnsi="宋体" w:cs="宋体"/>
          <w:b/>
          <w:bCs/>
          <w:color w:val="auto"/>
          <w:kern w:val="0"/>
          <w:szCs w:val="21"/>
          <w:highlight w:val="none"/>
        </w:rPr>
      </w:pPr>
      <w:r>
        <w:rPr>
          <w:rFonts w:hint="eastAsia" w:ascii="宋体" w:hAnsi="宋体" w:cs="宋体"/>
          <w:b/>
          <w:bCs/>
          <w:color w:val="auto"/>
          <w:kern w:val="0"/>
          <w:szCs w:val="21"/>
          <w:highlight w:val="none"/>
        </w:rPr>
        <w:t>2、若为联合体投标，“声明企业”应填写联合体各方的单位全称[多家单位组成联合体时，</w:t>
      </w:r>
      <w:r>
        <w:rPr>
          <w:rFonts w:hint="eastAsia" w:ascii="宋体" w:hAnsi="宋体" w:cs="宋体"/>
          <w:b/>
          <w:bCs/>
          <w:color w:val="auto"/>
          <w:szCs w:val="21"/>
          <w:highlight w:val="none"/>
        </w:rPr>
        <w:t>【格式示例：(主)单位全称(成)单位全称】，</w:t>
      </w:r>
      <w:r>
        <w:rPr>
          <w:rFonts w:hint="eastAsia" w:ascii="宋体" w:hAnsi="宋体" w:cs="宋体"/>
          <w:b/>
          <w:bCs/>
          <w:color w:val="auto"/>
          <w:kern w:val="0"/>
          <w:szCs w:val="21"/>
          <w:highlight w:val="none"/>
        </w:rPr>
        <w:t>“企业公章”可由联合体主办方加盖企业公章；“法定代表人签字签字或盖章”仅由联合体主办方法定代表人签字签字或盖章即可。</w:t>
      </w:r>
    </w:p>
    <w:p>
      <w:pPr>
        <w:spacing w:line="360" w:lineRule="auto"/>
        <w:rPr>
          <w:rFonts w:hint="eastAsia"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附件二（参考格式）：</w:t>
      </w:r>
    </w:p>
    <w:p>
      <w:pPr>
        <w:autoSpaceDE w:val="0"/>
        <w:autoSpaceDN w:val="0"/>
        <w:adjustRightInd w:val="0"/>
        <w:spacing w:line="360" w:lineRule="auto"/>
        <w:jc w:val="center"/>
        <w:rPr>
          <w:rFonts w:hint="eastAsia"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t>联合体投标协议书</w:t>
      </w:r>
    </w:p>
    <w:p>
      <w:pPr>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(主办方单位名称、各成员名称)自愿组成联合体，共同参加</w:t>
      </w:r>
      <w:r>
        <w:rPr>
          <w:rFonts w:hint="eastAsia" w:ascii="宋体" w:hAnsi="宋体" w:cs="宋体"/>
          <w:color w:val="auto"/>
          <w:kern w:val="0"/>
          <w:sz w:val="24"/>
          <w:highlight w:val="none"/>
          <w:u w:val="single"/>
        </w:rPr>
        <w:t xml:space="preserve">               </w:t>
      </w:r>
      <w:r>
        <w:rPr>
          <w:rFonts w:hint="eastAsia" w:ascii="宋体" w:hAnsi="宋体" w:cs="宋体"/>
          <w:color w:val="auto"/>
          <w:sz w:val="24"/>
          <w:highlight w:val="none"/>
        </w:rPr>
        <w:t>投标。现就联合体投标事宜订立如下协议。</w:t>
      </w:r>
    </w:p>
    <w:p>
      <w:pPr>
        <w:topLinePunct/>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为联合体主办方。</w:t>
      </w:r>
    </w:p>
    <w:p>
      <w:pPr>
        <w:topLinePunct/>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联合体主办方合法代表联合体各成员负责本招标项目投标文件编制和合同谈判活动，并代表联合体提交和接收相关的资料、信息及指示，并处理与之有关的一切事务，负责合同实施阶段的主办、组织和协调工作。</w:t>
      </w:r>
    </w:p>
    <w:p>
      <w:pPr>
        <w:topLinePunct/>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3、联合体将严格按照招标文件的各项要求，递交投标文件，履行合同，并对外承担连带责任。</w:t>
      </w:r>
    </w:p>
    <w:p>
      <w:pPr>
        <w:topLinePunct/>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4、联合体各成员单位内部的职责分工如下：</w:t>
      </w:r>
    </w:p>
    <w:p>
      <w:pPr>
        <w:widowControl/>
        <w:topLinePunct/>
        <w:snapToGrid w:val="0"/>
        <w:spacing w:line="440" w:lineRule="exact"/>
        <w:ind w:left="141" w:leftChars="67"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（主办施工方单位名称）：作为本项目总负责单位，除承担本项目的施工外，还对本招标项目的进度、质量、安全、投资控制、管理、协调等负全责，具体按合同要求。</w:t>
      </w:r>
    </w:p>
    <w:p>
      <w:pPr>
        <w:widowControl/>
        <w:topLinePunct/>
        <w:snapToGrid w:val="0"/>
        <w:spacing w:line="440" w:lineRule="exact"/>
        <w:ind w:left="141" w:leftChars="67" w:firstLine="480" w:firstLineChars="200"/>
        <w:jc w:val="left"/>
        <w:rPr>
          <w:rFonts w:ascii="宋体" w:hAnsi="宋体" w:cs="宋体"/>
          <w:color w:val="auto"/>
          <w:sz w:val="24"/>
          <w:highlight w:val="none"/>
        </w:rPr>
      </w:pPr>
      <w:r>
        <w:rPr>
          <w:rFonts w:hint="eastAsia" w:ascii="宋体" w:hAnsi="宋体" w:cs="宋体"/>
          <w:color w:val="auto"/>
          <w:sz w:val="24"/>
          <w:highlight w:val="none"/>
        </w:rPr>
        <w:t>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（满足设计资质要求的单位名称）：主要承担本项目的设计工作，具体按合同要求。</w:t>
      </w:r>
    </w:p>
    <w:p>
      <w:pPr>
        <w:widowControl/>
        <w:topLinePunct/>
        <w:snapToGrid w:val="0"/>
        <w:spacing w:line="440" w:lineRule="exact"/>
        <w:ind w:left="141" w:leftChars="67"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③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（满足勘察资质要求的单位名称）：主要承担本项目的勘察工作，具体按合同要求。</w:t>
      </w:r>
    </w:p>
    <w:p>
      <w:pPr>
        <w:topLinePunct/>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5、本协议书自签署之日起生效，合同履行完毕后自动失效。 </w:t>
      </w:r>
    </w:p>
    <w:p>
      <w:pPr>
        <w:topLinePunct/>
        <w:autoSpaceDE w:val="0"/>
        <w:spacing w:line="440" w:lineRule="exact"/>
        <w:ind w:firstLine="480" w:firstLineChars="200"/>
        <w:rPr>
          <w:rFonts w:ascii="宋体" w:hAnsi="宋体" w:cs="宋体"/>
          <w:color w:val="auto"/>
          <w:sz w:val="24"/>
          <w:highlight w:val="none"/>
        </w:rPr>
      </w:pPr>
    </w:p>
    <w:p>
      <w:pPr>
        <w:topLinePunct/>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联合体主办方名称：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topLinePunct/>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（签字或盖章）</w:t>
      </w:r>
    </w:p>
    <w:p>
      <w:pPr>
        <w:topLinePunct/>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 </w:t>
      </w:r>
    </w:p>
    <w:p>
      <w:pPr>
        <w:topLinePunct/>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成员方名称：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topLinePunct/>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（签字或盖章）</w:t>
      </w:r>
    </w:p>
    <w:p>
      <w:pPr>
        <w:topLinePunct/>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成员方名称：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topLinePunct/>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（签字或盖章）</w:t>
      </w:r>
    </w:p>
    <w:p>
      <w:pPr>
        <w:topLinePunct/>
        <w:autoSpaceDE w:val="0"/>
        <w:spacing w:line="440" w:lineRule="exact"/>
        <w:ind w:firstLine="480" w:firstLineChars="200"/>
        <w:rPr>
          <w:rFonts w:hint="eastAsia" w:ascii="宋体" w:hAnsi="宋体" w:cs="宋体"/>
          <w:color w:val="auto"/>
          <w:sz w:val="24"/>
          <w:highlight w:val="none"/>
        </w:rPr>
      </w:pPr>
    </w:p>
    <w:p>
      <w:pPr>
        <w:autoSpaceDE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autoSpaceDE w:val="0"/>
        <w:snapToGrid w:val="0"/>
        <w:spacing w:line="440" w:lineRule="exact"/>
        <w:ind w:right="102" w:firstLine="480" w:firstLineChars="200"/>
        <w:jc w:val="left"/>
        <w:rPr>
          <w:rFonts w:ascii="宋体" w:hAnsi="宋体" w:cs="宋体"/>
          <w:color w:val="auto"/>
          <w:sz w:val="24"/>
          <w:highlight w:val="none"/>
        </w:rPr>
      </w:pPr>
    </w:p>
    <w:p>
      <w:pPr>
        <w:adjustRightInd w:val="0"/>
        <w:snapToGrid w:val="0"/>
        <w:spacing w:line="360" w:lineRule="auto"/>
        <w:ind w:firstLine="422"/>
        <w:rPr>
          <w:rFonts w:ascii="宋体" w:hAnsi="宋体"/>
          <w:b/>
          <w:color w:val="auto"/>
          <w:sz w:val="36"/>
          <w:szCs w:val="36"/>
          <w:highlight w:val="none"/>
        </w:rPr>
      </w:pPr>
      <w:r>
        <w:rPr>
          <w:rFonts w:hint="eastAsia" w:ascii="宋体" w:hAnsi="宋体" w:cs="宋体"/>
          <w:b/>
          <w:color w:val="auto"/>
          <w:szCs w:val="21"/>
          <w:highlight w:val="none"/>
        </w:rPr>
        <w:t>注：1、独立投标的，无需提交本协议书。</w:t>
      </w:r>
      <w:r>
        <w:rPr>
          <w:rFonts w:ascii="宋体" w:hAnsi="宋体"/>
          <w:b/>
          <w:color w:val="auto"/>
          <w:szCs w:val="21"/>
          <w:highlight w:val="none"/>
        </w:rPr>
        <w:br w:type="page"/>
      </w:r>
      <w:r>
        <w:rPr>
          <w:rFonts w:hint="eastAsia" w:ascii="宋体" w:hAnsi="宋体"/>
          <w:color w:val="auto"/>
          <w:sz w:val="24"/>
          <w:highlight w:val="none"/>
        </w:rPr>
        <w:t>附件三：</w:t>
      </w:r>
      <w:r>
        <w:rPr>
          <w:rFonts w:ascii="宋体" w:hAnsi="宋体"/>
          <w:b/>
          <w:color w:val="auto"/>
          <w:sz w:val="36"/>
          <w:szCs w:val="36"/>
          <w:highlight w:val="none"/>
        </w:rPr>
        <w:t xml:space="preserve"> </w:t>
      </w:r>
    </w:p>
    <w:p>
      <w:pPr>
        <w:spacing w:line="360" w:lineRule="auto"/>
        <w:ind w:firstLine="422"/>
        <w:rPr>
          <w:rFonts w:hint="eastAsia" w:ascii="宋体" w:hAnsi="宋体" w:cs="宋体"/>
          <w:b/>
          <w:color w:val="auto"/>
          <w:szCs w:val="21"/>
          <w:highlight w:val="none"/>
        </w:rPr>
      </w:pPr>
    </w:p>
    <w:p>
      <w:pPr>
        <w:shd w:val="clear" w:color="auto" w:fill="FFFFFF"/>
        <w:spacing w:before="100" w:beforeAutospacing="1" w:line="266"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被本项目招标人书面拒绝投标的的企业名单</w:t>
      </w:r>
    </w:p>
    <w:p>
      <w:pPr>
        <w:rPr>
          <w:color w:val="auto"/>
          <w:highlight w:val="none"/>
        </w:rPr>
      </w:pPr>
    </w:p>
    <w:tbl>
      <w:tblPr>
        <w:tblStyle w:val="4"/>
        <w:tblW w:w="0" w:type="auto"/>
        <w:jc w:val="center"/>
        <w:tblLayout w:type="fixed"/>
        <w:tblCellMar>
          <w:top w:w="0" w:type="dxa"/>
          <w:left w:w="108" w:type="dxa"/>
          <w:bottom w:w="0" w:type="dxa"/>
          <w:right w:w="108" w:type="dxa"/>
        </w:tblCellMar>
      </w:tblPr>
      <w:tblGrid>
        <w:gridCol w:w="1149"/>
        <w:gridCol w:w="5816"/>
      </w:tblGrid>
      <w:tr>
        <w:tblPrEx>
          <w:tblCellMar>
            <w:top w:w="0" w:type="dxa"/>
            <w:left w:w="108" w:type="dxa"/>
            <w:bottom w:w="0" w:type="dxa"/>
            <w:right w:w="108" w:type="dxa"/>
          </w:tblCellMar>
        </w:tblPrEx>
        <w:trPr>
          <w:trHeight w:val="602"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jc w:val="center"/>
              <w:rPr>
                <w:rFonts w:ascii="宋体" w:hAnsi="宋体"/>
                <w:b/>
                <w:bCs/>
                <w:color w:val="auto"/>
                <w:sz w:val="24"/>
                <w:highlight w:val="none"/>
              </w:rPr>
            </w:pPr>
            <w:r>
              <w:rPr>
                <w:rFonts w:hint="eastAsia" w:ascii="宋体" w:hAnsi="宋体"/>
                <w:b/>
                <w:bCs/>
                <w:color w:val="auto"/>
                <w:sz w:val="24"/>
                <w:highlight w:val="none"/>
              </w:rPr>
              <w:t>序号</w:t>
            </w:r>
          </w:p>
        </w:tc>
        <w:tc>
          <w:tcPr>
            <w:tcW w:w="5816" w:type="dxa"/>
            <w:tcBorders>
              <w:top w:val="single" w:color="auto" w:sz="4" w:space="0"/>
              <w:left w:val="nil"/>
              <w:bottom w:val="single" w:color="auto" w:sz="4" w:space="0"/>
              <w:right w:val="single" w:color="auto" w:sz="4" w:space="0"/>
            </w:tcBorders>
            <w:noWrap w:val="0"/>
            <w:vAlign w:val="center"/>
          </w:tcPr>
          <w:p>
            <w:pPr>
              <w:spacing w:before="100" w:beforeAutospacing="1"/>
              <w:jc w:val="center"/>
              <w:rPr>
                <w:rFonts w:ascii="宋体" w:hAnsi="宋体"/>
                <w:b/>
                <w:bCs/>
                <w:color w:val="auto"/>
                <w:sz w:val="24"/>
                <w:highlight w:val="none"/>
              </w:rPr>
            </w:pPr>
            <w:r>
              <w:rPr>
                <w:rFonts w:hint="eastAsia" w:ascii="宋体" w:hAnsi="宋体"/>
                <w:b/>
                <w:bCs/>
                <w:color w:val="auto"/>
                <w:sz w:val="24"/>
                <w:highlight w:val="none"/>
              </w:rPr>
              <w:t>企业名称</w:t>
            </w:r>
          </w:p>
        </w:tc>
      </w:tr>
      <w:tr>
        <w:tblPrEx>
          <w:tblCellMar>
            <w:top w:w="0" w:type="dxa"/>
            <w:left w:w="108" w:type="dxa"/>
            <w:bottom w:w="0" w:type="dxa"/>
            <w:right w:w="108" w:type="dxa"/>
          </w:tblCellMar>
        </w:tblPrEx>
        <w:trPr>
          <w:trHeight w:val="627"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jc w:val="center"/>
              <w:rPr>
                <w:rFonts w:ascii="宋体" w:hAnsi="宋体"/>
                <w:bCs/>
                <w:color w:val="auto"/>
                <w:sz w:val="24"/>
                <w:highlight w:val="none"/>
              </w:rPr>
            </w:pPr>
            <w:r>
              <w:rPr>
                <w:rFonts w:hint="eastAsia" w:ascii="宋体" w:hAnsi="宋体"/>
                <w:bCs/>
                <w:color w:val="auto"/>
                <w:sz w:val="24"/>
                <w:highlight w:val="none"/>
              </w:rPr>
              <w:t>1</w:t>
            </w:r>
          </w:p>
        </w:tc>
        <w:tc>
          <w:tcPr>
            <w:tcW w:w="5816" w:type="dxa"/>
            <w:tcBorders>
              <w:top w:val="single" w:color="auto" w:sz="4" w:space="0"/>
              <w:left w:val="nil"/>
              <w:bottom w:val="single" w:color="auto" w:sz="4" w:space="0"/>
              <w:right w:val="single" w:color="auto" w:sz="4" w:space="0"/>
            </w:tcBorders>
            <w:noWrap w:val="0"/>
            <w:vAlign w:val="center"/>
          </w:tcPr>
          <w:p>
            <w:pPr>
              <w:spacing w:before="100" w:beforeAutospacing="1"/>
              <w:jc w:val="center"/>
              <w:rPr>
                <w:rFonts w:ascii="宋体" w:hAnsi="宋体"/>
                <w:bCs/>
                <w:color w:val="auto"/>
                <w:sz w:val="24"/>
                <w:highlight w:val="none"/>
              </w:rPr>
            </w:pPr>
            <w:r>
              <w:rPr>
                <w:rFonts w:hint="eastAsia" w:ascii="宋体" w:hAnsi="宋体"/>
                <w:bCs/>
                <w:color w:val="auto"/>
                <w:sz w:val="24"/>
                <w:highlight w:val="none"/>
              </w:rPr>
              <w:t>广东电白二建集团有限公司</w:t>
            </w:r>
          </w:p>
        </w:tc>
      </w:tr>
      <w:tr>
        <w:tblPrEx>
          <w:tblCellMar>
            <w:top w:w="0" w:type="dxa"/>
            <w:left w:w="108" w:type="dxa"/>
            <w:bottom w:w="0" w:type="dxa"/>
            <w:right w:w="108" w:type="dxa"/>
          </w:tblCellMar>
        </w:tblPrEx>
        <w:trPr>
          <w:trHeight w:val="627"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jc w:val="center"/>
              <w:rPr>
                <w:rFonts w:ascii="宋体" w:hAnsi="宋体"/>
                <w:bCs/>
                <w:color w:val="auto"/>
                <w:sz w:val="24"/>
                <w:highlight w:val="none"/>
              </w:rPr>
            </w:pPr>
            <w:r>
              <w:rPr>
                <w:rFonts w:hint="eastAsia" w:ascii="宋体" w:hAnsi="宋体"/>
                <w:bCs/>
                <w:color w:val="auto"/>
                <w:sz w:val="24"/>
                <w:highlight w:val="none"/>
              </w:rPr>
              <w:t>2</w:t>
            </w:r>
          </w:p>
        </w:tc>
        <w:tc>
          <w:tcPr>
            <w:tcW w:w="5816" w:type="dxa"/>
            <w:tcBorders>
              <w:top w:val="single" w:color="auto" w:sz="4" w:space="0"/>
              <w:left w:val="nil"/>
              <w:bottom w:val="single" w:color="auto" w:sz="4" w:space="0"/>
              <w:right w:val="single" w:color="auto" w:sz="4" w:space="0"/>
            </w:tcBorders>
            <w:noWrap w:val="0"/>
            <w:vAlign w:val="center"/>
          </w:tcPr>
          <w:p>
            <w:pPr>
              <w:spacing w:before="100" w:beforeAutospacing="1"/>
              <w:jc w:val="center"/>
              <w:rPr>
                <w:rFonts w:ascii="宋体" w:hAnsi="宋体"/>
                <w:bCs/>
                <w:color w:val="auto"/>
                <w:sz w:val="24"/>
                <w:highlight w:val="none"/>
              </w:rPr>
            </w:pPr>
            <w:r>
              <w:rPr>
                <w:rFonts w:hint="eastAsia" w:ascii="宋体" w:hAnsi="宋体"/>
                <w:color w:val="auto"/>
                <w:sz w:val="24"/>
                <w:highlight w:val="none"/>
              </w:rPr>
              <w:t>广州金辉建设集团有限公司</w:t>
            </w:r>
          </w:p>
        </w:tc>
      </w:tr>
      <w:tr>
        <w:tblPrEx>
          <w:tblCellMar>
            <w:top w:w="0" w:type="dxa"/>
            <w:left w:w="108" w:type="dxa"/>
            <w:bottom w:w="0" w:type="dxa"/>
            <w:right w:w="108" w:type="dxa"/>
          </w:tblCellMar>
        </w:tblPrEx>
        <w:trPr>
          <w:trHeight w:val="627"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jc w:val="center"/>
              <w:rPr>
                <w:rFonts w:hint="eastAsia" w:ascii="宋体" w:hAnsi="宋体"/>
                <w:bCs/>
                <w:color w:val="auto"/>
                <w:sz w:val="24"/>
                <w:highlight w:val="none"/>
              </w:rPr>
            </w:pPr>
            <w:r>
              <w:rPr>
                <w:rFonts w:hint="eastAsia" w:ascii="宋体" w:hAnsi="宋体"/>
                <w:bCs/>
                <w:color w:val="auto"/>
                <w:sz w:val="24"/>
                <w:highlight w:val="none"/>
              </w:rPr>
              <w:t>3</w:t>
            </w:r>
          </w:p>
        </w:tc>
        <w:tc>
          <w:tcPr>
            <w:tcW w:w="5816" w:type="dxa"/>
            <w:tcBorders>
              <w:top w:val="single" w:color="auto" w:sz="4" w:space="0"/>
              <w:left w:val="nil"/>
              <w:bottom w:val="single" w:color="auto" w:sz="4" w:space="0"/>
              <w:right w:val="single" w:color="auto" w:sz="4" w:space="0"/>
            </w:tcBorders>
            <w:noWrap w:val="0"/>
            <w:vAlign w:val="center"/>
          </w:tcPr>
          <w:p>
            <w:pPr>
              <w:spacing w:before="100" w:beforeAutospacing="1"/>
              <w:jc w:val="center"/>
              <w:rPr>
                <w:rFonts w:hint="eastAsia" w:ascii="宋体" w:hAnsi="宋体"/>
                <w:color w:val="auto"/>
                <w:sz w:val="24"/>
                <w:highlight w:val="none"/>
              </w:rPr>
            </w:pPr>
            <w:r>
              <w:rPr>
                <w:rFonts w:hint="eastAsia" w:ascii="宋体" w:hAnsi="宋体"/>
                <w:color w:val="auto"/>
                <w:sz w:val="24"/>
                <w:highlight w:val="none"/>
              </w:rPr>
              <w:t>广州市裕建工程有限公司</w:t>
            </w:r>
          </w:p>
        </w:tc>
      </w:tr>
      <w:tr>
        <w:tblPrEx>
          <w:tblCellMar>
            <w:top w:w="0" w:type="dxa"/>
            <w:left w:w="108" w:type="dxa"/>
            <w:bottom w:w="0" w:type="dxa"/>
            <w:right w:w="108" w:type="dxa"/>
          </w:tblCellMar>
        </w:tblPrEx>
        <w:trPr>
          <w:trHeight w:val="627"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jc w:val="center"/>
              <w:rPr>
                <w:rFonts w:hint="eastAsia" w:ascii="宋体" w:hAnsi="宋体"/>
                <w:bCs/>
                <w:color w:val="auto"/>
                <w:sz w:val="24"/>
                <w:highlight w:val="none"/>
              </w:rPr>
            </w:pPr>
            <w:r>
              <w:rPr>
                <w:rFonts w:hint="eastAsia" w:ascii="宋体" w:hAnsi="宋体"/>
                <w:bCs/>
                <w:color w:val="auto"/>
                <w:sz w:val="24"/>
                <w:highlight w:val="none"/>
              </w:rPr>
              <w:t>4</w:t>
            </w:r>
          </w:p>
        </w:tc>
        <w:tc>
          <w:tcPr>
            <w:tcW w:w="5816" w:type="dxa"/>
            <w:tcBorders>
              <w:top w:val="single" w:color="auto" w:sz="4" w:space="0"/>
              <w:left w:val="nil"/>
              <w:bottom w:val="single" w:color="auto" w:sz="4" w:space="0"/>
              <w:right w:val="single" w:color="auto" w:sz="4" w:space="0"/>
            </w:tcBorders>
            <w:noWrap w:val="0"/>
            <w:vAlign w:val="center"/>
          </w:tcPr>
          <w:p>
            <w:pPr>
              <w:spacing w:before="100" w:beforeAutospacing="1"/>
              <w:jc w:val="center"/>
              <w:rPr>
                <w:rFonts w:hint="eastAsia" w:ascii="宋体" w:hAnsi="宋体"/>
                <w:color w:val="auto"/>
                <w:sz w:val="24"/>
                <w:highlight w:val="none"/>
              </w:rPr>
            </w:pPr>
            <w:r>
              <w:rPr>
                <w:rFonts w:hint="eastAsia" w:ascii="宋体" w:hAnsi="宋体"/>
                <w:color w:val="auto"/>
                <w:sz w:val="24"/>
                <w:highlight w:val="none"/>
              </w:rPr>
              <w:t>广州市水电建设工程有限公司</w:t>
            </w:r>
          </w:p>
        </w:tc>
      </w:tr>
      <w:tr>
        <w:tblPrEx>
          <w:tblCellMar>
            <w:top w:w="0" w:type="dxa"/>
            <w:left w:w="108" w:type="dxa"/>
            <w:bottom w:w="0" w:type="dxa"/>
            <w:right w:w="108" w:type="dxa"/>
          </w:tblCellMar>
        </w:tblPrEx>
        <w:trPr>
          <w:trHeight w:val="627"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jc w:val="center"/>
              <w:rPr>
                <w:rFonts w:hint="eastAsia" w:ascii="宋体" w:hAnsi="宋体"/>
                <w:bCs/>
                <w:color w:val="auto"/>
                <w:sz w:val="24"/>
                <w:highlight w:val="none"/>
              </w:rPr>
            </w:pPr>
            <w:r>
              <w:rPr>
                <w:rFonts w:hint="eastAsia" w:ascii="宋体" w:hAnsi="宋体"/>
                <w:bCs/>
                <w:color w:val="auto"/>
                <w:sz w:val="24"/>
                <w:highlight w:val="none"/>
              </w:rPr>
              <w:t>5</w:t>
            </w:r>
          </w:p>
        </w:tc>
        <w:tc>
          <w:tcPr>
            <w:tcW w:w="5816" w:type="dxa"/>
            <w:tcBorders>
              <w:top w:val="single" w:color="auto" w:sz="4" w:space="0"/>
              <w:left w:val="nil"/>
              <w:bottom w:val="single" w:color="auto" w:sz="4" w:space="0"/>
              <w:right w:val="single" w:color="auto" w:sz="4" w:space="0"/>
            </w:tcBorders>
            <w:noWrap w:val="0"/>
            <w:vAlign w:val="center"/>
          </w:tcPr>
          <w:p>
            <w:pPr>
              <w:spacing w:before="100" w:beforeAutospacing="1"/>
              <w:jc w:val="center"/>
              <w:rPr>
                <w:rFonts w:ascii="宋体" w:hAnsi="宋体"/>
                <w:color w:val="auto"/>
                <w:sz w:val="24"/>
                <w:highlight w:val="none"/>
              </w:rPr>
            </w:pPr>
            <w:r>
              <w:rPr>
                <w:rFonts w:hint="eastAsia" w:ascii="宋体" w:hAnsi="宋体"/>
                <w:color w:val="auto"/>
                <w:sz w:val="24"/>
                <w:highlight w:val="none"/>
              </w:rPr>
              <w:t>广州城北电力工程有限公司</w:t>
            </w:r>
          </w:p>
        </w:tc>
      </w:tr>
      <w:tr>
        <w:tblPrEx>
          <w:tblCellMar>
            <w:top w:w="0" w:type="dxa"/>
            <w:left w:w="108" w:type="dxa"/>
            <w:bottom w:w="0" w:type="dxa"/>
            <w:right w:w="108" w:type="dxa"/>
          </w:tblCellMar>
        </w:tblPrEx>
        <w:trPr>
          <w:trHeight w:val="64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jc w:val="center"/>
              <w:rPr>
                <w:rFonts w:hint="eastAsia" w:ascii="宋体" w:hAnsi="宋体"/>
                <w:bCs/>
                <w:color w:val="auto"/>
                <w:sz w:val="24"/>
                <w:highlight w:val="none"/>
              </w:rPr>
            </w:pPr>
            <w:r>
              <w:rPr>
                <w:rFonts w:hint="eastAsia" w:ascii="宋体" w:hAnsi="宋体"/>
                <w:bCs/>
                <w:color w:val="auto"/>
                <w:sz w:val="24"/>
                <w:highlight w:val="none"/>
              </w:rPr>
              <w:t>6</w:t>
            </w:r>
          </w:p>
        </w:tc>
        <w:tc>
          <w:tcPr>
            <w:tcW w:w="5816" w:type="dxa"/>
            <w:tcBorders>
              <w:top w:val="single" w:color="auto" w:sz="4" w:space="0"/>
              <w:left w:val="nil"/>
              <w:bottom w:val="single" w:color="auto" w:sz="4" w:space="0"/>
              <w:right w:val="single" w:color="auto" w:sz="4" w:space="0"/>
            </w:tcBorders>
            <w:noWrap w:val="0"/>
            <w:vAlign w:val="center"/>
          </w:tcPr>
          <w:p>
            <w:pPr>
              <w:spacing w:before="100" w:beforeAutospacing="1"/>
              <w:jc w:val="center"/>
              <w:rPr>
                <w:rFonts w:ascii="宋体" w:hAnsi="宋体"/>
                <w:color w:val="auto"/>
                <w:sz w:val="24"/>
                <w:highlight w:val="none"/>
              </w:rPr>
            </w:pPr>
            <w:r>
              <w:rPr>
                <w:rFonts w:hint="eastAsia" w:ascii="宋体" w:hAnsi="宋体"/>
                <w:color w:val="auto"/>
                <w:sz w:val="24"/>
                <w:highlight w:val="none"/>
              </w:rPr>
              <w:t>广州增电电力建设投资集团有限公司</w:t>
            </w:r>
          </w:p>
        </w:tc>
      </w:tr>
      <w:tr>
        <w:tblPrEx>
          <w:tblCellMar>
            <w:top w:w="0" w:type="dxa"/>
            <w:left w:w="108" w:type="dxa"/>
            <w:bottom w:w="0" w:type="dxa"/>
            <w:right w:w="108" w:type="dxa"/>
          </w:tblCellMar>
        </w:tblPrEx>
        <w:trPr>
          <w:trHeight w:val="627"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jc w:val="center"/>
              <w:rPr>
                <w:rFonts w:hint="eastAsia" w:ascii="宋体" w:hAnsi="宋体"/>
                <w:bCs/>
                <w:color w:val="auto"/>
                <w:sz w:val="24"/>
                <w:highlight w:val="none"/>
              </w:rPr>
            </w:pPr>
            <w:r>
              <w:rPr>
                <w:rFonts w:hint="eastAsia" w:ascii="宋体" w:hAnsi="宋体"/>
                <w:bCs/>
                <w:color w:val="auto"/>
                <w:sz w:val="24"/>
                <w:highlight w:val="none"/>
              </w:rPr>
              <w:t>7</w:t>
            </w:r>
          </w:p>
        </w:tc>
        <w:tc>
          <w:tcPr>
            <w:tcW w:w="5816" w:type="dxa"/>
            <w:tcBorders>
              <w:top w:val="single" w:color="auto" w:sz="4" w:space="0"/>
              <w:left w:val="nil"/>
              <w:bottom w:val="single" w:color="auto" w:sz="4" w:space="0"/>
              <w:right w:val="single" w:color="auto" w:sz="4" w:space="0"/>
            </w:tcBorders>
            <w:noWrap w:val="0"/>
            <w:vAlign w:val="center"/>
          </w:tcPr>
          <w:p>
            <w:pPr>
              <w:spacing w:before="100" w:beforeAutospacing="1"/>
              <w:jc w:val="center"/>
              <w:rPr>
                <w:rFonts w:ascii="宋体" w:hAnsi="宋体"/>
                <w:color w:val="auto"/>
                <w:sz w:val="24"/>
                <w:highlight w:val="none"/>
              </w:rPr>
            </w:pPr>
            <w:r>
              <w:rPr>
                <w:rFonts w:hint="eastAsia" w:ascii="宋体" w:hAnsi="宋体"/>
                <w:color w:val="auto"/>
                <w:sz w:val="24"/>
                <w:highlight w:val="none"/>
              </w:rPr>
              <w:t>广州泰捷建设有限公司</w:t>
            </w:r>
          </w:p>
        </w:tc>
      </w:tr>
      <w:tr>
        <w:tblPrEx>
          <w:tblCellMar>
            <w:top w:w="0" w:type="dxa"/>
            <w:left w:w="108" w:type="dxa"/>
            <w:bottom w:w="0" w:type="dxa"/>
            <w:right w:w="108" w:type="dxa"/>
          </w:tblCellMar>
        </w:tblPrEx>
        <w:trPr>
          <w:trHeight w:val="627"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jc w:val="center"/>
              <w:rPr>
                <w:rFonts w:hint="eastAsia" w:ascii="宋体" w:hAnsi="宋体"/>
                <w:bCs/>
                <w:color w:val="auto"/>
                <w:sz w:val="24"/>
                <w:highlight w:val="none"/>
              </w:rPr>
            </w:pPr>
            <w:r>
              <w:rPr>
                <w:rFonts w:hint="eastAsia" w:ascii="宋体" w:hAnsi="宋体"/>
                <w:bCs/>
                <w:color w:val="auto"/>
                <w:sz w:val="24"/>
                <w:highlight w:val="none"/>
              </w:rPr>
              <w:t>8</w:t>
            </w:r>
          </w:p>
        </w:tc>
        <w:tc>
          <w:tcPr>
            <w:tcW w:w="5816" w:type="dxa"/>
            <w:tcBorders>
              <w:top w:val="single" w:color="auto" w:sz="4" w:space="0"/>
              <w:left w:val="nil"/>
              <w:bottom w:val="single" w:color="auto" w:sz="4" w:space="0"/>
              <w:right w:val="single" w:color="auto" w:sz="4" w:space="0"/>
            </w:tcBorders>
            <w:noWrap w:val="0"/>
            <w:vAlign w:val="center"/>
          </w:tcPr>
          <w:p>
            <w:pPr>
              <w:spacing w:before="100" w:beforeAutospacing="1"/>
              <w:jc w:val="center"/>
              <w:rPr>
                <w:rFonts w:ascii="宋体" w:hAnsi="宋体"/>
                <w:color w:val="auto"/>
                <w:sz w:val="24"/>
                <w:highlight w:val="none"/>
              </w:rPr>
            </w:pPr>
            <w:r>
              <w:rPr>
                <w:rFonts w:hint="eastAsia" w:ascii="宋体" w:hAnsi="宋体"/>
                <w:color w:val="auto"/>
                <w:sz w:val="24"/>
                <w:highlight w:val="none"/>
              </w:rPr>
              <w:t>广州南方电力技术工程有限公司</w:t>
            </w:r>
          </w:p>
        </w:tc>
      </w:tr>
    </w:tbl>
    <w:p>
      <w:pPr>
        <w:rPr>
          <w:color w:val="auto"/>
          <w:highlight w:val="none"/>
        </w:rPr>
      </w:pPr>
    </w:p>
    <w:p>
      <w:pPr>
        <w:widowControl/>
        <w:snapToGrid w:val="0"/>
        <w:spacing w:line="560" w:lineRule="exact"/>
        <w:ind w:left="-210" w:leftChars="-100" w:right="-210" w:rightChars="-100"/>
        <w:jc w:val="center"/>
        <w:rPr>
          <w:rFonts w:hint="eastAsia" w:ascii="宋体" w:hAnsi="宋体" w:cs="方正小标宋简体"/>
          <w:b/>
          <w:color w:val="auto"/>
          <w:kern w:val="0"/>
          <w:sz w:val="52"/>
          <w:szCs w:val="52"/>
          <w:highlight w:val="none"/>
        </w:rPr>
      </w:pPr>
    </w:p>
    <w:p>
      <w:pPr>
        <w:spacing w:line="273" w:lineRule="auto"/>
        <w:jc w:val="center"/>
        <w:rPr>
          <w:rFonts w:ascii="宋体" w:hAnsi="宋体" w:cs="宋体"/>
          <w:b/>
          <w:color w:val="auto"/>
          <w:sz w:val="48"/>
          <w:szCs w:val="48"/>
          <w:highlight w:val="none"/>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66005A"/>
    <w:multiLevelType w:val="singleLevel"/>
    <w:tmpl w:val="DA66005A"/>
    <w:lvl w:ilvl="0" w:tentative="0">
      <w:start w:val="6"/>
      <w:numFmt w:val="decimal"/>
      <w:suff w:val="nothing"/>
      <w:lvlText w:val="%1、"/>
      <w:lvlJc w:val="left"/>
    </w:lvl>
  </w:abstractNum>
  <w:abstractNum w:abstractNumId="1">
    <w:nsid w:val="1A834675"/>
    <w:multiLevelType w:val="multilevel"/>
    <w:tmpl w:val="1A834675"/>
    <w:lvl w:ilvl="0" w:tentative="0">
      <w:start w:val="1"/>
      <w:numFmt w:val="decimal"/>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37DA5377"/>
    <w:multiLevelType w:val="multilevel"/>
    <w:tmpl w:val="37DA5377"/>
    <w:lvl w:ilvl="0" w:tentative="0">
      <w:start w:val="1"/>
      <w:numFmt w:val="decimal"/>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30E4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2024-06-28T02:24:30Z</dcterms:created>
  <dc:creator>Mi</dc:creator>
  <cp:lastModifiedBy>.</cp:lastModifiedBy>
  <dcterms:modified xsi:type="dcterms:W3CDTF">2024-06-28T02:24:59Z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FCF401D8A10E4596B96424791E0907A3_12</vt:lpwstr>
  </property>
</Properties>
</file>