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rPr>
          <w:b/>
          <w:color w:val="auto"/>
          <w:sz w:val="32"/>
          <w:szCs w:val="32"/>
          <w:highlight w:val="none"/>
        </w:rPr>
      </w:pPr>
    </w:p>
    <w:p>
      <w:pPr>
        <w:spacing w:line="700" w:lineRule="exact"/>
        <w:jc w:val="center"/>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吉祥路46号办公楼相关维修改造工程项目施工总承包项目管理要求</w:t>
      </w: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rPr>
          <w:b/>
          <w:color w:val="auto"/>
          <w:sz w:val="32"/>
          <w:szCs w:val="32"/>
          <w:highlight w:val="none"/>
        </w:rPr>
      </w:pPr>
    </w:p>
    <w:p>
      <w:pPr>
        <w:jc w:val="center"/>
        <w:rPr>
          <w:b/>
          <w:color w:val="auto"/>
          <w:sz w:val="32"/>
          <w:szCs w:val="32"/>
          <w:highlight w:val="none"/>
        </w:rPr>
      </w:pPr>
    </w:p>
    <w:p>
      <w:pPr>
        <w:jc w:val="center"/>
        <w:rPr>
          <w:b/>
          <w:color w:val="auto"/>
          <w:sz w:val="32"/>
          <w:szCs w:val="32"/>
          <w:highlight w:val="none"/>
        </w:rPr>
      </w:pPr>
    </w:p>
    <w:p>
      <w:pPr>
        <w:jc w:val="center"/>
        <w:rPr>
          <w:rFonts w:hint="eastAsia" w:ascii="仿宋_GB2312" w:eastAsia="仿宋_GB2312"/>
          <w:b/>
          <w:color w:val="auto"/>
          <w:sz w:val="32"/>
          <w:szCs w:val="32"/>
          <w:highlight w:val="none"/>
        </w:rPr>
      </w:pPr>
    </w:p>
    <w:p>
      <w:pPr>
        <w:jc w:val="center"/>
        <w:rPr>
          <w:rFonts w:hint="eastAsia" w:ascii="仿宋_GB2312" w:eastAsia="仿宋_GB2312"/>
          <w:b/>
          <w:color w:val="auto"/>
          <w:sz w:val="32"/>
          <w:szCs w:val="32"/>
          <w:highlight w:val="none"/>
        </w:rPr>
      </w:pPr>
    </w:p>
    <w:p>
      <w:pPr>
        <w:rPr>
          <w:b/>
          <w:color w:val="auto"/>
          <w:sz w:val="32"/>
          <w:szCs w:val="32"/>
          <w:highlight w:val="none"/>
        </w:rPr>
      </w:pPr>
    </w:p>
    <w:p>
      <w:pPr>
        <w:rPr>
          <w:b/>
          <w:color w:val="auto"/>
          <w:sz w:val="32"/>
          <w:szCs w:val="32"/>
          <w:highlight w:val="none"/>
        </w:rPr>
      </w:pPr>
    </w:p>
    <w:p>
      <w:pPr>
        <w:jc w:val="left"/>
        <w:rPr>
          <w:rFonts w:ascii="黑体" w:hAnsi="黑体" w:eastAsia="黑体" w:cs="黑体"/>
          <w:bCs/>
          <w:color w:val="auto"/>
          <w:sz w:val="30"/>
          <w:szCs w:val="30"/>
          <w:highlight w:val="none"/>
        </w:rPr>
      </w:pPr>
      <w:bookmarkStart w:id="0" w:name="_Toc337720115"/>
      <w:bookmarkStart w:id="1" w:name="_Toc352623445"/>
      <w:bookmarkStart w:id="2" w:name="_Toc222803856"/>
      <w:bookmarkStart w:id="3" w:name="_Toc242068571"/>
      <w:bookmarkStart w:id="4" w:name="_Toc372474110"/>
      <w:bookmarkStart w:id="5" w:name="_Toc193526817"/>
      <w:bookmarkStart w:id="6" w:name="_Toc224646817"/>
      <w:bookmarkStart w:id="7" w:name="_Toc372652666"/>
      <w:bookmarkStart w:id="8" w:name="_Toc352240547"/>
      <w:bookmarkStart w:id="9" w:name="_Toc459297641"/>
      <w:bookmarkStart w:id="10" w:name="_Toc459382298"/>
      <w:bookmarkStart w:id="11" w:name="_Toc459297582"/>
      <w:bookmarkStart w:id="12" w:name="_Toc415070045"/>
      <w:bookmarkStart w:id="13" w:name="_Toc405887305"/>
      <w:bookmarkStart w:id="14" w:name="_Toc383805212"/>
      <w:bookmarkStart w:id="15" w:name="_Toc404020049"/>
      <w:bookmarkStart w:id="16" w:name="_Toc459022424"/>
    </w:p>
    <w:p>
      <w:pPr>
        <w:ind w:firstLine="600" w:firstLineChars="200"/>
        <w:jc w:val="left"/>
        <w:rPr>
          <w:rFonts w:ascii="黑体" w:hAnsi="黑体" w:eastAsia="黑体" w:cs="黑体"/>
          <w:bCs/>
          <w:color w:val="auto"/>
          <w:sz w:val="30"/>
          <w:szCs w:val="30"/>
          <w:highlight w:val="none"/>
        </w:rPr>
      </w:pPr>
      <w:r>
        <w:rPr>
          <w:rFonts w:hint="eastAsia" w:ascii="黑体" w:hAnsi="黑体" w:eastAsia="黑体" w:cs="黑体"/>
          <w:bCs/>
          <w:color w:val="auto"/>
          <w:sz w:val="30"/>
          <w:szCs w:val="30"/>
          <w:highlight w:val="none"/>
        </w:rPr>
        <w:t>一、项目</w:t>
      </w:r>
      <w:bookmarkEnd w:id="0"/>
      <w:bookmarkEnd w:id="1"/>
      <w:bookmarkEnd w:id="2"/>
      <w:bookmarkEnd w:id="3"/>
      <w:bookmarkEnd w:id="4"/>
      <w:bookmarkEnd w:id="5"/>
      <w:bookmarkEnd w:id="6"/>
      <w:bookmarkEnd w:id="7"/>
      <w:bookmarkEnd w:id="8"/>
      <w:r>
        <w:rPr>
          <w:rFonts w:hint="eastAsia" w:ascii="黑体" w:hAnsi="黑体" w:eastAsia="黑体" w:cs="黑体"/>
          <w:bCs/>
          <w:color w:val="auto"/>
          <w:sz w:val="30"/>
          <w:szCs w:val="30"/>
          <w:highlight w:val="none"/>
        </w:rPr>
        <w:t>概况</w:t>
      </w:r>
      <w:bookmarkEnd w:id="9"/>
      <w:bookmarkEnd w:id="10"/>
      <w:bookmarkEnd w:id="11"/>
      <w:bookmarkEnd w:id="12"/>
      <w:bookmarkEnd w:id="13"/>
      <w:bookmarkEnd w:id="14"/>
      <w:bookmarkEnd w:id="15"/>
      <w:bookmarkEnd w:id="16"/>
    </w:p>
    <w:p>
      <w:pPr>
        <w:pStyle w:val="15"/>
        <w:ind w:firstLine="498"/>
        <w:rPr>
          <w:b/>
          <w:color w:val="auto"/>
          <w:highlight w:val="none"/>
        </w:rPr>
      </w:pPr>
      <w:r>
        <w:rPr>
          <w:rFonts w:hint="eastAsia"/>
          <w:b/>
          <w:color w:val="auto"/>
          <w:highlight w:val="none"/>
        </w:rPr>
        <w:t>（一）项目现状概述</w:t>
      </w:r>
    </w:p>
    <w:p>
      <w:pPr>
        <w:spacing w:line="360" w:lineRule="auto"/>
        <w:ind w:firstLine="480" w:firstLineChars="200"/>
        <w:jc w:val="left"/>
        <w:rPr>
          <w:rFonts w:hint="eastAsia" w:ascii="Calibri" w:hAnsi="Calibri"/>
          <w:color w:val="auto"/>
          <w:sz w:val="24"/>
          <w:szCs w:val="22"/>
          <w:highlight w:val="none"/>
        </w:rPr>
      </w:pPr>
      <w:r>
        <w:rPr>
          <w:rFonts w:hint="eastAsia"/>
          <w:color w:val="auto"/>
          <w:sz w:val="24"/>
          <w:highlight w:val="none"/>
        </w:rPr>
        <w:t>本项目主要为广州市越秀区吉祥路46号大楼相关维修改造。</w:t>
      </w:r>
      <w:r>
        <w:rPr>
          <w:rFonts w:hint="eastAsia" w:ascii="Calibri" w:hAnsi="Calibri"/>
          <w:color w:val="auto"/>
          <w:sz w:val="24"/>
          <w:szCs w:val="22"/>
          <w:highlight w:val="none"/>
        </w:rPr>
        <w:t>吉祥路46号大楼建于1996年，于2004年投入使用。大楼占地面积2721㎡，总建筑面积25930㎡，地上22215.62㎡，地下3715㎡。建筑结构为框架剪力墙结构，建筑为地下3层，地上20层。其中，负3至负1层，2至14层目前空置，现状较为破损，首层大部分面积空置中，少部分面积为人民公园管理处、设备用房及大堂等，15至20层为广州市人民政府应急指挥中心使用中。</w:t>
      </w:r>
    </w:p>
    <w:p>
      <w:pPr>
        <w:spacing w:line="360" w:lineRule="auto"/>
        <w:ind w:firstLine="480" w:firstLineChars="200"/>
        <w:jc w:val="left"/>
        <w:rPr>
          <w:rFonts w:hint="eastAsia"/>
          <w:color w:val="auto"/>
          <w:sz w:val="24"/>
          <w:highlight w:val="none"/>
        </w:rPr>
      </w:pPr>
      <w:r>
        <w:rPr>
          <w:rFonts w:hint="eastAsia"/>
          <w:color w:val="auto"/>
          <w:sz w:val="24"/>
          <w:highlight w:val="none"/>
        </w:rPr>
        <w:t>本项目主要是对吉祥路46号大楼负2至14层的办公业务用房进行维修改造。项目充分利用现有建筑空间，恢复和完善使用功能，把现有场地改造成符合广州市应急管理局、广州市科技局、广州市司法局、广州市安全生产应急救援指挥中心、广州市地震局、广州市法律援助处、广州市公职律师事务所基本办公和业务办理条件的场所。总维修改造面积为17817平方米，其中办公用房改造面积为15017平方米，业务用房改造面积为1725平方米，大楼公共部分改造面积1075平方米。主要建设内容如下：</w:t>
      </w:r>
    </w:p>
    <w:p>
      <w:pPr>
        <w:spacing w:line="360" w:lineRule="auto"/>
        <w:ind w:firstLine="480" w:firstLineChars="200"/>
        <w:jc w:val="left"/>
        <w:rPr>
          <w:rFonts w:hint="eastAsia"/>
          <w:color w:val="auto"/>
          <w:sz w:val="24"/>
          <w:highlight w:val="none"/>
        </w:rPr>
      </w:pPr>
      <w:r>
        <w:rPr>
          <w:rFonts w:hint="eastAsia"/>
          <w:color w:val="auto"/>
          <w:sz w:val="24"/>
          <w:highlight w:val="none"/>
        </w:rPr>
        <w:t>1．办公用房维修改造：改造面积15017平方米，分为简单装修和复杂装修两部分。其中简单装修包括室内装修工程、消防工程（喷淋系统）、电气工程（布线、插座、照明系统）、给排水工程、通风工程、拆砌工程等建设内容。复杂装修包括厨房除油烟系统、厨房不可移动设备、环保工程、空调工程、标识工程、抗震支架工程、加固工程、消防工程（不含喷淋系统）、变配电工程、大门改造工程、建筑智能化工程、会议室专项系统（仅含音响设备）、食堂疏散通道工程、新增出入口工程、新增厨房电梯工程、1至6号电梯层门更换、汽车电梯购置工程等建设内容。</w:t>
      </w:r>
    </w:p>
    <w:p>
      <w:pPr>
        <w:spacing w:line="360" w:lineRule="auto"/>
        <w:ind w:firstLine="480" w:firstLineChars="200"/>
        <w:jc w:val="left"/>
        <w:rPr>
          <w:rFonts w:hint="eastAsia"/>
          <w:color w:val="auto"/>
          <w:sz w:val="24"/>
          <w:highlight w:val="none"/>
        </w:rPr>
      </w:pPr>
      <w:r>
        <w:rPr>
          <w:rFonts w:hint="eastAsia"/>
          <w:color w:val="auto"/>
          <w:sz w:val="24"/>
          <w:highlight w:val="none"/>
        </w:rPr>
        <w:t>2．业务用房维修改造：改造面积1725平方米，包括装修工程、消防工程、电气工程、给排水工程、通风空调工程、拆砌工程、加固工程、抗震支架工程、标识工程、无障碍通道改造工程、建筑智能化工程、出入口新建工程、会议专项系统等建设内容。</w:t>
      </w:r>
    </w:p>
    <w:p>
      <w:pPr>
        <w:spacing w:line="360" w:lineRule="auto"/>
        <w:ind w:firstLine="480" w:firstLineChars="200"/>
        <w:jc w:val="left"/>
        <w:rPr>
          <w:rFonts w:hint="eastAsia"/>
          <w:color w:val="auto"/>
          <w:sz w:val="24"/>
          <w:highlight w:val="none"/>
        </w:rPr>
      </w:pPr>
      <w:r>
        <w:rPr>
          <w:rFonts w:hint="eastAsia"/>
          <w:color w:val="auto"/>
          <w:sz w:val="24"/>
          <w:highlight w:val="none"/>
        </w:rPr>
        <w:t>3．大楼公共部分维修改造：改造面积1075平方米，包括装修工程、消防工程、电气工程、给排水工程、通风空调工程、拆砌工程、抗震支架工程、标识工程、建筑智能化工程等建设内容。</w:t>
      </w:r>
    </w:p>
    <w:p>
      <w:pPr>
        <w:spacing w:line="360" w:lineRule="auto"/>
        <w:ind w:firstLine="480" w:firstLineChars="200"/>
        <w:jc w:val="left"/>
        <w:rPr>
          <w:rFonts w:hint="eastAsia"/>
          <w:color w:val="auto"/>
          <w:sz w:val="24"/>
          <w:highlight w:val="none"/>
        </w:rPr>
      </w:pPr>
    </w:p>
    <w:p>
      <w:pPr>
        <w:pStyle w:val="15"/>
        <w:ind w:firstLine="496"/>
        <w:rPr>
          <w:rFonts w:hint="eastAsia" w:ascii="宋体" w:hAnsi="宋体"/>
          <w:color w:val="auto"/>
          <w:szCs w:val="20"/>
          <w:highlight w:val="none"/>
        </w:rPr>
      </w:pPr>
      <w:bookmarkStart w:id="17" w:name="_Toc402105629"/>
      <w:r>
        <w:rPr>
          <w:rFonts w:hint="eastAsia" w:ascii="宋体" w:hAnsi="宋体"/>
          <w:color w:val="auto"/>
          <w:szCs w:val="20"/>
          <w:highlight w:val="none"/>
        </w:rPr>
        <w:t>项目室外总平面布置维持现状布局进行改造，主要调整为增加绿化、树池等，局部增加隔油池、室外楼梯及无障碍通道，并对现状地面进行改造。</w:t>
      </w:r>
    </w:p>
    <w:p>
      <w:pPr>
        <w:pStyle w:val="15"/>
        <w:ind w:firstLine="480"/>
        <w:jc w:val="center"/>
        <w:rPr>
          <w:rFonts w:hint="eastAsia" w:ascii="宋体" w:hAnsi="宋体"/>
          <w:color w:val="auto"/>
          <w:szCs w:val="20"/>
          <w:highlight w:val="none"/>
        </w:rPr>
      </w:pPr>
      <w:r>
        <w:rPr>
          <w:snapToGrid/>
          <w:color w:val="auto"/>
          <w:highlight w:val="none"/>
        </w:rPr>
        <w:drawing>
          <wp:inline distT="0" distB="0" distL="0" distR="0">
            <wp:extent cx="3359785" cy="500316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59964" cy="5003413"/>
                    </a:xfrm>
                    <a:prstGeom prst="rect">
                      <a:avLst/>
                    </a:prstGeom>
                    <a:noFill/>
                    <a:ln>
                      <a:noFill/>
                    </a:ln>
                    <a:effectLst/>
                  </pic:spPr>
                </pic:pic>
              </a:graphicData>
            </a:graphic>
          </wp:inline>
        </w:drawing>
      </w:r>
    </w:p>
    <w:p>
      <w:pPr>
        <w:pStyle w:val="15"/>
        <w:ind w:firstLine="496"/>
        <w:jc w:val="center"/>
        <w:rPr>
          <w:rFonts w:hint="eastAsia" w:ascii="宋体" w:hAnsi="宋体"/>
          <w:color w:val="auto"/>
          <w:szCs w:val="20"/>
          <w:highlight w:val="none"/>
        </w:rPr>
      </w:pPr>
      <w:r>
        <w:rPr>
          <w:rFonts w:hint="eastAsia" w:ascii="宋体" w:hAnsi="宋体"/>
          <w:color w:val="auto"/>
          <w:szCs w:val="20"/>
          <w:highlight w:val="none"/>
        </w:rPr>
        <w:t>项目定位</w:t>
      </w:r>
    </w:p>
    <w:p>
      <w:pPr>
        <w:pStyle w:val="15"/>
        <w:ind w:firstLine="496"/>
        <w:rPr>
          <w:rFonts w:hint="eastAsia" w:ascii="宋体" w:hAnsi="宋体"/>
          <w:color w:val="auto"/>
          <w:szCs w:val="20"/>
          <w:highlight w:val="none"/>
        </w:rPr>
      </w:pPr>
    </w:p>
    <w:p>
      <w:pPr>
        <w:pStyle w:val="15"/>
        <w:ind w:firstLine="498"/>
        <w:rPr>
          <w:b/>
          <w:color w:val="auto"/>
          <w:highlight w:val="none"/>
        </w:rPr>
      </w:pPr>
      <w:r>
        <w:rPr>
          <w:rFonts w:hint="eastAsia"/>
          <w:b/>
          <w:color w:val="auto"/>
          <w:highlight w:val="none"/>
        </w:rPr>
        <w:t>（二）项目特点</w:t>
      </w:r>
      <w:bookmarkEnd w:id="17"/>
    </w:p>
    <w:p>
      <w:pPr>
        <w:spacing w:line="360" w:lineRule="auto"/>
        <w:ind w:firstLine="480"/>
        <w:rPr>
          <w:color w:val="auto"/>
          <w:sz w:val="24"/>
          <w:highlight w:val="none"/>
        </w:rPr>
      </w:pPr>
      <w:r>
        <w:rPr>
          <w:rFonts w:hint="eastAsia"/>
          <w:color w:val="auto"/>
          <w:sz w:val="24"/>
          <w:highlight w:val="none"/>
        </w:rPr>
        <w:t>（1）原设计使用功能为办公用房，拟将部分用房改造为食堂、档案室、会议室、保密室、机房、储藏室、VRV，荷载明显加大，相关范围的结构构件需要进行加固补强;</w:t>
      </w:r>
    </w:p>
    <w:p>
      <w:pPr>
        <w:spacing w:line="360" w:lineRule="auto"/>
        <w:ind w:firstLine="480"/>
        <w:rPr>
          <w:color w:val="auto"/>
          <w:sz w:val="24"/>
          <w:highlight w:val="none"/>
        </w:rPr>
      </w:pPr>
      <w:r>
        <w:rPr>
          <w:rFonts w:hint="eastAsia"/>
          <w:color w:val="auto"/>
          <w:sz w:val="24"/>
          <w:highlight w:val="none"/>
        </w:rPr>
        <w:t>（2）吉祥路46号大楼自1996年建成至今已27年，大楼多个外门窗缺失，且因为年久失修，现有外门窗无法开启，长时间的使用和风吹日晒，出现老化、损坏等问题，直接影响到建筑物的安全性能，需对局部进行更换；</w:t>
      </w:r>
    </w:p>
    <w:p>
      <w:pPr>
        <w:spacing w:line="360" w:lineRule="auto"/>
        <w:ind w:firstLine="480"/>
        <w:rPr>
          <w:color w:val="auto"/>
          <w:sz w:val="24"/>
          <w:highlight w:val="none"/>
        </w:rPr>
      </w:pPr>
      <w:r>
        <w:rPr>
          <w:rFonts w:hint="eastAsia"/>
          <w:color w:val="auto"/>
          <w:sz w:val="24"/>
          <w:highlight w:val="none"/>
        </w:rPr>
        <w:t>（3）需对现有出入大门进行改造，实现人车分流；</w:t>
      </w:r>
    </w:p>
    <w:p>
      <w:pPr>
        <w:spacing w:line="360" w:lineRule="auto"/>
        <w:ind w:firstLine="480"/>
        <w:rPr>
          <w:color w:val="auto"/>
          <w:sz w:val="24"/>
          <w:highlight w:val="none"/>
        </w:rPr>
      </w:pPr>
      <w:r>
        <w:rPr>
          <w:rFonts w:hint="eastAsia"/>
          <w:color w:val="auto"/>
          <w:sz w:val="24"/>
          <w:highlight w:val="none"/>
        </w:rPr>
        <w:t>（4）2021年对大楼进行抗震加固，1层至14层加固部位的装饰面及公用工程系统已被拆除，目前处于破损严重状态；</w:t>
      </w:r>
    </w:p>
    <w:p>
      <w:pPr>
        <w:spacing w:line="360" w:lineRule="auto"/>
        <w:ind w:firstLine="480"/>
        <w:rPr>
          <w:rFonts w:hint="eastAsia"/>
          <w:color w:val="auto"/>
          <w:sz w:val="24"/>
          <w:highlight w:val="none"/>
        </w:rPr>
      </w:pPr>
      <w:r>
        <w:rPr>
          <w:rFonts w:hint="eastAsia"/>
          <w:color w:val="auto"/>
          <w:sz w:val="24"/>
          <w:highlight w:val="none"/>
        </w:rPr>
        <w:t>（5）需对现状隔油池进行扩建。现状隔油池位于1楼消防中心后侧门外，尺寸约为：80cm（宽）*200cm（长）*80cm（高），体积较小;</w:t>
      </w:r>
    </w:p>
    <w:p>
      <w:pPr>
        <w:spacing w:line="360" w:lineRule="auto"/>
        <w:ind w:firstLine="480"/>
        <w:rPr>
          <w:rFonts w:hint="eastAsia"/>
          <w:color w:val="auto"/>
          <w:sz w:val="24"/>
          <w:highlight w:val="none"/>
        </w:rPr>
      </w:pPr>
      <w:r>
        <w:rPr>
          <w:rFonts w:hint="eastAsia"/>
          <w:color w:val="auto"/>
          <w:sz w:val="24"/>
          <w:highlight w:val="none"/>
        </w:rPr>
        <w:t>（6）现状排烟管道内无内胆，烟道可能会发生漏烟、漏气等问题，甚至可能引发火灾等安全隐患，且无法有效过滤油烟和废气，会导致油烟和废气直接排放到大气中，增加空气污染，容易积聚油污和灰尘，清理和维护困难，且容易滋生细菌和异味，造成维护困难。</w:t>
      </w:r>
    </w:p>
    <w:p>
      <w:pPr>
        <w:snapToGrid w:val="0"/>
        <w:spacing w:line="360" w:lineRule="auto"/>
        <w:ind w:firstLine="480"/>
        <w:rPr>
          <w:rFonts w:hint="eastAsia"/>
          <w:color w:val="auto"/>
          <w:sz w:val="24"/>
          <w:highlight w:val="none"/>
        </w:rPr>
      </w:pPr>
      <w:r>
        <w:rPr>
          <w:rFonts w:hint="eastAsia"/>
          <w:color w:val="auto"/>
          <w:highlight w:val="none"/>
        </w:rPr>
        <w:t>（7）</w:t>
      </w:r>
      <w:r>
        <w:rPr>
          <w:rFonts w:hint="eastAsia"/>
          <w:color w:val="auto"/>
          <w:sz w:val="24"/>
          <w:highlight w:val="none"/>
        </w:rPr>
        <w:t>大楼现状采用2路10kV电源供电。现在负1层及负2层分别设有1台额定功率为300kW的柴油发电机组，其中地下1层300KW柴油发电机专供15-20层应急指挥中心使用，负2层300KW柴油发电机为原广州地税大厦物业资产，本次改造前原广州地税大厦权属单位需拆除并运走。在负2层设有一个10kV变、配电所，变压器安装容量为2x1250kVA，为原广州地税大厦物业资产，本次改造前原广州地税大厦权属单位需拆除并运走。</w:t>
      </w:r>
    </w:p>
    <w:p>
      <w:pPr>
        <w:snapToGrid w:val="0"/>
        <w:spacing w:line="360" w:lineRule="auto"/>
        <w:ind w:firstLine="480"/>
        <w:rPr>
          <w:rFonts w:hint="eastAsia"/>
          <w:color w:val="auto"/>
          <w:sz w:val="24"/>
          <w:highlight w:val="none"/>
        </w:rPr>
      </w:pPr>
      <w:r>
        <w:rPr>
          <w:rFonts w:hint="eastAsia"/>
          <w:color w:val="auto"/>
          <w:sz w:val="24"/>
          <w:highlight w:val="none"/>
        </w:rPr>
        <w:t>本次改造后需新增2*1600kVA变压器及高低压配电柜，设置在负1层。新增500KW柴油发电机，设置在负2层原柴油发电机房。</w:t>
      </w:r>
    </w:p>
    <w:p>
      <w:pPr>
        <w:pStyle w:val="4"/>
        <w:tabs>
          <w:tab w:val="left" w:pos="0"/>
        </w:tabs>
        <w:snapToGrid w:val="0"/>
        <w:spacing w:line="360" w:lineRule="auto"/>
        <w:ind w:left="420" w:leftChars="200" w:firstLine="480" w:firstLineChars="200"/>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8）增设厨房电梯。本项目3F改造功能为厨房、食堂及餐厅，本次拟增设后勤人员出入电梯（1F～3F）一台共3站，采用载重1.15t无机房客梯。电梯井位于E～8轴北侧，可直达三楼厨房。电梯井面积约5㎡，首层为室外架空部分，2层、3层为室内，拟凿穿2层、3层楼地板，同时应对楼地板进行加固。</w:t>
      </w:r>
    </w:p>
    <w:p>
      <w:pPr>
        <w:pStyle w:val="4"/>
        <w:tabs>
          <w:tab w:val="left" w:pos="0"/>
        </w:tabs>
        <w:snapToGrid w:val="0"/>
        <w:spacing w:line="360" w:lineRule="auto"/>
        <w:ind w:left="420" w:leftChars="200" w:firstLine="480" w:firstLineChars="200"/>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9）更换电梯轿门。项目范围内现有7台电梯，现状电梯轿门耐火极限为1小时，不满足《建筑防火通用规范》（GB55037-2022）中关于“电梯层门的耐火完整性不应低于2.00h”的要求。本次拟更换-2至14层电梯层门。确保耐火极限为2小时。更换内容包括电梯层门头总装、门板、地坎、门套等组件，防火门规格900mm×2100mm。</w:t>
      </w:r>
    </w:p>
    <w:p>
      <w:pPr>
        <w:pStyle w:val="4"/>
        <w:tabs>
          <w:tab w:val="left" w:pos="0"/>
        </w:tabs>
        <w:snapToGrid w:val="0"/>
        <w:spacing w:line="360" w:lineRule="auto"/>
        <w:ind w:left="420" w:leftChars="200" w:firstLine="240" w:firstLineChars="100"/>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10）设置汽车电梯方案。原地下室-2层至-1层未设置汽车坡道，依靠汽车电梯完成车辆垂直运输，现状汽车电梯采用液压梯，共1部，可达负2至1层，原广州地税大厦权属单位需拆除回收。本次拟通过向原汽车电梯产权方购置方式预留费用，实际操作以使用单位及汽车电梯产权方协商结果为准。</w:t>
      </w:r>
    </w:p>
    <w:p>
      <w:pPr>
        <w:spacing w:line="360" w:lineRule="auto"/>
        <w:ind w:firstLine="480"/>
        <w:rPr>
          <w:color w:val="auto"/>
          <w:highlight w:val="none"/>
        </w:rPr>
      </w:pPr>
      <w:r>
        <w:rPr>
          <w:rFonts w:hint="eastAsia"/>
          <w:b/>
          <w:color w:val="auto"/>
          <w:highlight w:val="none"/>
        </w:rPr>
        <w:t>（三）相关单位简介</w:t>
      </w:r>
    </w:p>
    <w:p>
      <w:pPr>
        <w:topLinePunct/>
        <w:adjustRightInd w:val="0"/>
        <w:snapToGrid w:val="0"/>
        <w:spacing w:line="360" w:lineRule="auto"/>
        <w:ind w:firstLine="496" w:firstLineChars="200"/>
        <w:rPr>
          <w:snapToGrid w:val="0"/>
          <w:color w:val="auto"/>
          <w:spacing w:val="4"/>
          <w:kern w:val="0"/>
          <w:sz w:val="24"/>
          <w:highlight w:val="none"/>
          <w:u w:val="single"/>
        </w:rPr>
      </w:pPr>
      <w:r>
        <w:rPr>
          <w:rFonts w:hint="eastAsia"/>
          <w:snapToGrid w:val="0"/>
          <w:color w:val="auto"/>
          <w:spacing w:val="4"/>
          <w:kern w:val="0"/>
          <w:sz w:val="24"/>
          <w:highlight w:val="none"/>
        </w:rPr>
        <w:t>1、设计单位：</w:t>
      </w:r>
      <w:r>
        <w:rPr>
          <w:rFonts w:hint="eastAsia"/>
          <w:snapToGrid w:val="0"/>
          <w:color w:val="auto"/>
          <w:spacing w:val="4"/>
          <w:kern w:val="0"/>
          <w:sz w:val="24"/>
          <w:highlight w:val="none"/>
          <w:u w:val="single"/>
        </w:rPr>
        <w:t xml:space="preserve">                  ；</w:t>
      </w:r>
    </w:p>
    <w:p>
      <w:pPr>
        <w:topLinePunct/>
        <w:adjustRightInd w:val="0"/>
        <w:snapToGrid w:val="0"/>
        <w:spacing w:line="360" w:lineRule="auto"/>
        <w:ind w:firstLine="496" w:firstLineChars="200"/>
        <w:rPr>
          <w:snapToGrid w:val="0"/>
          <w:color w:val="auto"/>
          <w:spacing w:val="4"/>
          <w:kern w:val="0"/>
          <w:sz w:val="24"/>
          <w:highlight w:val="none"/>
          <w:u w:val="single"/>
        </w:rPr>
      </w:pPr>
      <w:r>
        <w:rPr>
          <w:rFonts w:hint="eastAsia" w:ascii="宋体" w:hAnsi="宋体"/>
          <w:snapToGrid w:val="0"/>
          <w:color w:val="auto"/>
          <w:spacing w:val="4"/>
          <w:kern w:val="0"/>
          <w:sz w:val="24"/>
          <w:highlight w:val="none"/>
        </w:rPr>
        <w:t>2、监理单位：</w:t>
      </w:r>
      <w:r>
        <w:rPr>
          <w:rFonts w:hint="eastAsia"/>
          <w:snapToGrid w:val="0"/>
          <w:color w:val="auto"/>
          <w:spacing w:val="4"/>
          <w:kern w:val="0"/>
          <w:sz w:val="24"/>
          <w:highlight w:val="none"/>
          <w:u w:val="single"/>
        </w:rPr>
        <w:t xml:space="preserve">                  ；</w:t>
      </w:r>
    </w:p>
    <w:p>
      <w:pPr>
        <w:pStyle w:val="15"/>
        <w:ind w:firstLine="498"/>
        <w:rPr>
          <w:rFonts w:ascii="宋体" w:hAnsi="宋体"/>
          <w:b/>
          <w:color w:val="auto"/>
          <w:highlight w:val="none"/>
        </w:rPr>
      </w:pPr>
      <w:r>
        <w:rPr>
          <w:rFonts w:hint="eastAsia" w:ascii="宋体" w:hAnsi="宋体"/>
          <w:b/>
          <w:color w:val="auto"/>
          <w:highlight w:val="none"/>
        </w:rPr>
        <w:t>（四）临水、临电</w:t>
      </w:r>
    </w:p>
    <w:p>
      <w:pPr>
        <w:topLinePunct/>
        <w:adjustRightInd w:val="0"/>
        <w:snapToGri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施工用水、用电接驳源已设在本工程红线内，承包人进场后，根据本工程的用水量、用电量进行划分区域，编制临水临电布置方案详细方案（承包人进场后七天内完成临水临电布置方案编制并报审）。</w:t>
      </w:r>
    </w:p>
    <w:p>
      <w:pPr>
        <w:pStyle w:val="15"/>
        <w:ind w:firstLine="496"/>
        <w:rPr>
          <w:rFonts w:ascii="宋体" w:hAnsi="宋体"/>
          <w:color w:val="auto"/>
          <w:highlight w:val="none"/>
        </w:rPr>
      </w:pPr>
      <w:r>
        <w:rPr>
          <w:rFonts w:hint="eastAsia" w:ascii="宋体" w:hAnsi="宋体"/>
          <w:color w:val="auto"/>
          <w:highlight w:val="none"/>
        </w:rPr>
        <w:t>临水临电相关接用费用，由投标人投标时综合考虑在相应投标报价中，结算时不予调整。</w:t>
      </w:r>
    </w:p>
    <w:p>
      <w:pPr>
        <w:pStyle w:val="15"/>
        <w:ind w:firstLine="498"/>
        <w:rPr>
          <w:rFonts w:ascii="宋体" w:hAnsi="宋体"/>
          <w:b/>
          <w:color w:val="auto"/>
          <w:highlight w:val="none"/>
        </w:rPr>
      </w:pPr>
      <w:r>
        <w:rPr>
          <w:rFonts w:hint="eastAsia" w:ascii="宋体" w:hAnsi="宋体"/>
          <w:b/>
          <w:color w:val="auto"/>
          <w:highlight w:val="none"/>
        </w:rPr>
        <w:t>（五）临时设施</w:t>
      </w:r>
    </w:p>
    <w:p>
      <w:pPr>
        <w:pStyle w:val="15"/>
        <w:ind w:firstLine="496"/>
        <w:rPr>
          <w:color w:val="auto"/>
          <w:highlight w:val="none"/>
        </w:rPr>
      </w:pPr>
      <w:r>
        <w:rPr>
          <w:rFonts w:hint="eastAsia"/>
          <w:color w:val="auto"/>
          <w:highlight w:val="none"/>
        </w:rPr>
        <w:t>鉴于本工程场地紧张，</w:t>
      </w:r>
      <w:r>
        <w:rPr>
          <w:rFonts w:hint="default"/>
          <w:color w:val="auto"/>
          <w:highlight w:val="none"/>
        </w:rPr>
        <w:t>可</w:t>
      </w:r>
      <w:r>
        <w:rPr>
          <w:rFonts w:hint="eastAsia"/>
          <w:color w:val="auto"/>
          <w:highlight w:val="none"/>
        </w:rPr>
        <w:t>综合考虑项目分楼层分批建造时序，利用本次改造区域范围作为施工总承包的</w:t>
      </w:r>
      <w:r>
        <w:rPr>
          <w:rFonts w:hint="default"/>
          <w:color w:val="auto"/>
          <w:highlight w:val="none"/>
        </w:rPr>
        <w:t>临时</w:t>
      </w:r>
      <w:r>
        <w:rPr>
          <w:rFonts w:hint="eastAsia"/>
          <w:color w:val="auto"/>
          <w:highlight w:val="none"/>
        </w:rPr>
        <w:t>办公用房</w:t>
      </w:r>
      <w:r>
        <w:rPr>
          <w:rFonts w:hint="default"/>
          <w:color w:val="auto"/>
          <w:highlight w:val="none"/>
        </w:rPr>
        <w:t>，</w:t>
      </w:r>
      <w:r>
        <w:rPr>
          <w:rFonts w:hint="eastAsia"/>
          <w:color w:val="auto"/>
          <w:highlight w:val="none"/>
        </w:rPr>
        <w:t>并负责日常维护管理</w:t>
      </w:r>
      <w:r>
        <w:rPr>
          <w:rFonts w:hint="default"/>
          <w:color w:val="auto"/>
          <w:highlight w:val="none"/>
        </w:rPr>
        <w:t>，或在场地外自行租赁办公用房。</w:t>
      </w:r>
      <w:r>
        <w:rPr>
          <w:rFonts w:hint="eastAsia"/>
          <w:color w:val="auto"/>
          <w:highlight w:val="none"/>
        </w:rPr>
        <w:t>相关的费用在投标时综合考虑，发包人不再另行支付相关费用。（详见总平面布置图）</w:t>
      </w:r>
    </w:p>
    <w:p>
      <w:pPr>
        <w:pStyle w:val="15"/>
        <w:ind w:firstLine="498"/>
        <w:rPr>
          <w:rFonts w:ascii="宋体" w:hAnsi="宋体"/>
          <w:b/>
          <w:color w:val="auto"/>
          <w:highlight w:val="none"/>
        </w:rPr>
      </w:pPr>
      <w:r>
        <w:rPr>
          <w:rFonts w:hint="eastAsia" w:ascii="宋体" w:hAnsi="宋体"/>
          <w:b/>
          <w:color w:val="auto"/>
          <w:highlight w:val="none"/>
        </w:rPr>
        <w:t>（六）交通组织</w:t>
      </w:r>
    </w:p>
    <w:p>
      <w:pPr>
        <w:pStyle w:val="15"/>
        <w:ind w:firstLine="496"/>
        <w:rPr>
          <w:color w:val="auto"/>
          <w:highlight w:val="none"/>
        </w:rPr>
      </w:pPr>
      <w:r>
        <w:rPr>
          <w:rFonts w:hint="eastAsia"/>
          <w:color w:val="auto"/>
          <w:kern w:val="2"/>
          <w:szCs w:val="22"/>
          <w:highlight w:val="none"/>
        </w:rPr>
        <w:t>项目建设地点位于广州市越秀区，大楼周边主要市政道路有中山五路、吉祥路、广卫路，道路交通便利。</w:t>
      </w:r>
      <w:r>
        <w:rPr>
          <w:rFonts w:hint="eastAsia"/>
          <w:color w:val="auto"/>
          <w:highlight w:val="none"/>
        </w:rPr>
        <w:t>（详见总平面布置图）</w:t>
      </w:r>
    </w:p>
    <w:p>
      <w:pPr>
        <w:pStyle w:val="15"/>
        <w:ind w:firstLine="498"/>
        <w:rPr>
          <w:b/>
          <w:color w:val="auto"/>
          <w:highlight w:val="none"/>
        </w:rPr>
      </w:pPr>
      <w:r>
        <w:rPr>
          <w:rFonts w:hint="eastAsia"/>
          <w:b/>
          <w:color w:val="auto"/>
          <w:highlight w:val="none"/>
        </w:rPr>
        <w:t>（七）施工现场围蔽</w:t>
      </w:r>
    </w:p>
    <w:p>
      <w:pPr>
        <w:topLinePunct/>
        <w:adjustRightInd w:val="0"/>
        <w:snapToGrid w:val="0"/>
        <w:spacing w:line="360" w:lineRule="auto"/>
        <w:ind w:firstLine="496" w:firstLineChars="200"/>
        <w:rPr>
          <w:rFonts w:hint="default" w:eastAsia="宋体"/>
          <w:bCs/>
          <w:snapToGrid w:val="0"/>
          <w:color w:val="auto"/>
          <w:spacing w:val="4"/>
          <w:kern w:val="0"/>
          <w:sz w:val="24"/>
          <w:highlight w:val="none"/>
          <w:lang w:val="en-US" w:eastAsia="zh-CN"/>
        </w:rPr>
      </w:pPr>
      <w:r>
        <w:rPr>
          <w:rFonts w:hint="eastAsia"/>
          <w:bCs/>
          <w:snapToGrid w:val="0"/>
          <w:color w:val="auto"/>
          <w:spacing w:val="4"/>
          <w:kern w:val="0"/>
          <w:sz w:val="24"/>
          <w:highlight w:val="none"/>
        </w:rPr>
        <w:t>施工单位进场后认真组织人员落实施工总平面布置及施工组织方案的编制工作，在有限的施工场地内组织交通流线，</w:t>
      </w:r>
      <w:r>
        <w:rPr>
          <w:rFonts w:hint="eastAsia"/>
          <w:bCs/>
          <w:snapToGrid w:val="0"/>
          <w:color w:val="auto"/>
          <w:spacing w:val="4"/>
          <w:kern w:val="0"/>
          <w:sz w:val="24"/>
          <w:highlight w:val="none"/>
          <w:lang w:val="en-US" w:eastAsia="zh-CN"/>
        </w:rPr>
        <w:t>结合项目现场实际条件设置施工专用通道及施工围蔽，确保施工封闭化、围栏标准化、</w:t>
      </w:r>
      <w:r>
        <w:rPr>
          <w:rFonts w:hint="eastAsia"/>
          <w:bCs/>
          <w:snapToGrid w:val="0"/>
          <w:color w:val="auto"/>
          <w:spacing w:val="4"/>
          <w:kern w:val="0"/>
          <w:sz w:val="24"/>
          <w:highlight w:val="none"/>
        </w:rPr>
        <w:t>出入口设置专门人行通道工作。</w:t>
      </w:r>
      <w:r>
        <w:rPr>
          <w:rFonts w:hint="default"/>
          <w:bCs/>
          <w:snapToGrid w:val="0"/>
          <w:color w:val="auto"/>
          <w:spacing w:val="4"/>
          <w:kern w:val="0"/>
          <w:sz w:val="24"/>
          <w:highlight w:val="none"/>
        </w:rPr>
        <w:t>建筑立面防护应采用冲孔金属板安全网。</w:t>
      </w:r>
      <w:r>
        <w:rPr>
          <w:rFonts w:hint="eastAsia"/>
          <w:bCs/>
          <w:snapToGrid w:val="0"/>
          <w:color w:val="auto"/>
          <w:spacing w:val="4"/>
          <w:kern w:val="0"/>
          <w:sz w:val="24"/>
          <w:highlight w:val="none"/>
          <w:lang w:val="en-US" w:eastAsia="zh-CN"/>
        </w:rPr>
        <w:t>为确保该办公楼其他楼层业务正常运转，要求结合施工现场实际编制相应降噪除尘方案及落实对应措施。</w:t>
      </w:r>
    </w:p>
    <w:p>
      <w:pPr>
        <w:topLinePunct/>
        <w:adjustRightInd w:val="0"/>
        <w:snapToGrid w:val="0"/>
        <w:spacing w:line="360" w:lineRule="auto"/>
        <w:ind w:firstLine="498" w:firstLineChars="200"/>
        <w:rPr>
          <w:b/>
          <w:snapToGrid w:val="0"/>
          <w:color w:val="auto"/>
          <w:spacing w:val="4"/>
          <w:kern w:val="0"/>
          <w:sz w:val="24"/>
          <w:highlight w:val="none"/>
        </w:rPr>
      </w:pPr>
      <w:r>
        <w:rPr>
          <w:rFonts w:hint="eastAsia"/>
          <w:b/>
          <w:snapToGrid w:val="0"/>
          <w:color w:val="auto"/>
          <w:spacing w:val="4"/>
          <w:kern w:val="0"/>
          <w:sz w:val="24"/>
          <w:highlight w:val="none"/>
        </w:rPr>
        <w:t>（八）视频监控系统安装工程</w:t>
      </w:r>
    </w:p>
    <w:p>
      <w:pPr>
        <w:pStyle w:val="15"/>
        <w:ind w:firstLine="496"/>
        <w:rPr>
          <w:color w:val="auto"/>
          <w:highlight w:val="none"/>
        </w:rPr>
      </w:pPr>
      <w:r>
        <w:rPr>
          <w:rFonts w:hint="eastAsia" w:ascii="宋体" w:hAnsi="宋体"/>
          <w:color w:val="auto"/>
          <w:highlight w:val="none"/>
        </w:rPr>
        <w:t>施工现场的视频监控系统应满足《广州市建委关于广州市建筑工地安装视频监控装置的通知》(穗建筑[2006]551号)的要求,并按市重点项目管理中心视频监控要求接到市重点项目管理中心视频监控平台内</w:t>
      </w:r>
      <w:r>
        <w:rPr>
          <w:rFonts w:hint="eastAsia"/>
          <w:color w:val="auto"/>
          <w:highlight w:val="none"/>
        </w:rPr>
        <w:t>，相关的费用在投标时综合考虑，发包人不再另行支付相关费用。</w:t>
      </w:r>
    </w:p>
    <w:p>
      <w:pPr>
        <w:ind w:firstLine="600" w:firstLineChars="200"/>
        <w:jc w:val="left"/>
        <w:rPr>
          <w:rFonts w:ascii="黑体" w:hAnsi="黑体" w:eastAsia="黑体" w:cs="黑体"/>
          <w:bCs/>
          <w:color w:val="auto"/>
          <w:sz w:val="30"/>
          <w:szCs w:val="30"/>
          <w:highlight w:val="none"/>
        </w:rPr>
      </w:pPr>
      <w:r>
        <w:rPr>
          <w:rFonts w:hint="eastAsia" w:ascii="黑体" w:hAnsi="黑体" w:eastAsia="黑体" w:cs="黑体"/>
          <w:bCs/>
          <w:color w:val="auto"/>
          <w:sz w:val="30"/>
          <w:szCs w:val="30"/>
          <w:highlight w:val="none"/>
        </w:rPr>
        <w:t>二、项目管理目标</w:t>
      </w:r>
    </w:p>
    <w:p>
      <w:pPr>
        <w:pStyle w:val="15"/>
        <w:snapToGrid/>
        <w:ind w:firstLine="498"/>
        <w:rPr>
          <w:b/>
          <w:color w:val="auto"/>
          <w:highlight w:val="none"/>
        </w:rPr>
      </w:pPr>
      <w:bookmarkStart w:id="18" w:name="_Toc392692104"/>
      <w:bookmarkStart w:id="19" w:name="_Toc392863103"/>
      <w:r>
        <w:rPr>
          <w:rFonts w:hint="eastAsia"/>
          <w:b/>
          <w:color w:val="auto"/>
          <w:highlight w:val="none"/>
        </w:rPr>
        <w:t>（一）工期进度目标</w:t>
      </w:r>
      <w:bookmarkEnd w:id="18"/>
      <w:bookmarkEnd w:id="19"/>
    </w:p>
    <w:p>
      <w:pPr>
        <w:pStyle w:val="15"/>
        <w:ind w:firstLine="496"/>
        <w:rPr>
          <w:rFonts w:hint="default" w:ascii="宋体" w:hAnsi="宋体" w:eastAsia="宋体"/>
          <w:color w:val="auto"/>
          <w:highlight w:val="none"/>
          <w:lang w:val="en-US" w:eastAsia="zh-CN"/>
        </w:rPr>
      </w:pPr>
      <w:r>
        <w:rPr>
          <w:rFonts w:hint="eastAsia"/>
          <w:color w:val="auto"/>
          <w:highlight w:val="none"/>
        </w:rPr>
        <w:t>本项目的总工期目标</w:t>
      </w:r>
      <w:r>
        <w:rPr>
          <w:rFonts w:hint="eastAsia" w:ascii="宋体" w:hAnsi="宋体"/>
          <w:color w:val="auto"/>
          <w:highlight w:val="none"/>
        </w:rPr>
        <w:t>：自2024年12月14日进场（具体开工日期以总监理工程师发出的开工令为准），至2025年7月30日完成实体工程，2025年9月30日完成竣工验收及移交工作，总工期290天（详见二（二）关键工期节点）。</w:t>
      </w:r>
      <w:r>
        <w:rPr>
          <w:rFonts w:hint="eastAsia" w:ascii="宋体" w:hAnsi="宋体"/>
          <w:color w:val="auto"/>
          <w:highlight w:val="none"/>
          <w:lang w:val="en-US" w:eastAsia="zh-CN"/>
        </w:rPr>
        <w:t>该项目施工总工期除因不可抗力原因外，其余因现场施工条件有限影响现场施工进度，以及周边居民投诉导致停工等不利场地因素，不作为工期延期调整依据。</w:t>
      </w:r>
    </w:p>
    <w:p>
      <w:pPr>
        <w:pStyle w:val="15"/>
        <w:snapToGrid/>
        <w:ind w:firstLine="498"/>
        <w:rPr>
          <w:b/>
          <w:color w:val="auto"/>
          <w:highlight w:val="none"/>
        </w:rPr>
      </w:pPr>
      <w:r>
        <w:rPr>
          <w:rFonts w:hint="eastAsia"/>
          <w:b/>
          <w:color w:val="auto"/>
          <w:highlight w:val="none"/>
        </w:rPr>
        <w:t>（二）关键工期节点</w:t>
      </w:r>
    </w:p>
    <w:tbl>
      <w:tblPr>
        <w:tblStyle w:val="12"/>
        <w:tblpPr w:leftFromText="180" w:rightFromText="180" w:vertAnchor="text" w:horzAnchor="page" w:tblpX="1305" w:tblpY="545"/>
        <w:tblOverlap w:val="never"/>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535"/>
        <w:gridCol w:w="2563"/>
        <w:gridCol w:w="1213"/>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86" w:type="dxa"/>
            <w:vAlign w:val="center"/>
          </w:tcPr>
          <w:p>
            <w:pPr>
              <w:jc w:val="center"/>
              <w:rPr>
                <w:b/>
                <w:color w:val="auto"/>
                <w:sz w:val="24"/>
                <w:highlight w:val="none"/>
              </w:rPr>
            </w:pPr>
            <w:r>
              <w:rPr>
                <w:rFonts w:hint="eastAsia"/>
                <w:b/>
                <w:color w:val="auto"/>
                <w:sz w:val="24"/>
                <w:highlight w:val="none"/>
              </w:rPr>
              <w:t>阶段</w:t>
            </w:r>
          </w:p>
        </w:tc>
        <w:tc>
          <w:tcPr>
            <w:tcW w:w="3535" w:type="dxa"/>
            <w:vAlign w:val="center"/>
          </w:tcPr>
          <w:p>
            <w:pPr>
              <w:jc w:val="center"/>
              <w:rPr>
                <w:b/>
                <w:color w:val="auto"/>
                <w:sz w:val="24"/>
                <w:highlight w:val="none"/>
              </w:rPr>
            </w:pPr>
            <w:r>
              <w:rPr>
                <w:rFonts w:hint="eastAsia"/>
                <w:b/>
                <w:color w:val="auto"/>
                <w:sz w:val="24"/>
                <w:highlight w:val="none"/>
              </w:rPr>
              <w:t>工作内容</w:t>
            </w:r>
          </w:p>
        </w:tc>
        <w:tc>
          <w:tcPr>
            <w:tcW w:w="2563" w:type="dxa"/>
            <w:vAlign w:val="center"/>
          </w:tcPr>
          <w:p>
            <w:pPr>
              <w:jc w:val="center"/>
              <w:rPr>
                <w:b/>
                <w:color w:val="auto"/>
                <w:sz w:val="24"/>
                <w:highlight w:val="none"/>
              </w:rPr>
            </w:pPr>
            <w:r>
              <w:rPr>
                <w:rFonts w:hint="eastAsia"/>
                <w:b/>
                <w:color w:val="auto"/>
                <w:sz w:val="24"/>
                <w:highlight w:val="none"/>
              </w:rPr>
              <w:t>计划起止工期</w:t>
            </w:r>
          </w:p>
        </w:tc>
        <w:tc>
          <w:tcPr>
            <w:tcW w:w="1213" w:type="dxa"/>
            <w:vAlign w:val="center"/>
          </w:tcPr>
          <w:p>
            <w:pPr>
              <w:jc w:val="center"/>
              <w:rPr>
                <w:b/>
                <w:color w:val="auto"/>
                <w:sz w:val="24"/>
                <w:highlight w:val="none"/>
              </w:rPr>
            </w:pPr>
            <w:r>
              <w:rPr>
                <w:rFonts w:hint="eastAsia"/>
                <w:b/>
                <w:color w:val="auto"/>
                <w:sz w:val="24"/>
                <w:highlight w:val="none"/>
                <w:lang w:val="zh-CN"/>
              </w:rPr>
              <w:t>持续时间</w:t>
            </w:r>
          </w:p>
        </w:tc>
        <w:tc>
          <w:tcPr>
            <w:tcW w:w="1506" w:type="dxa"/>
            <w:vAlign w:val="center"/>
          </w:tcPr>
          <w:p>
            <w:pPr>
              <w:jc w:val="center"/>
              <w:rPr>
                <w:b/>
                <w:color w:val="auto"/>
                <w:sz w:val="24"/>
                <w:highlight w:val="none"/>
              </w:rPr>
            </w:pPr>
            <w:r>
              <w:rPr>
                <w:rFonts w:hint="eastAsia"/>
                <w:b/>
                <w:color w:val="auto"/>
                <w:sz w:val="24"/>
                <w:highlight w:val="none"/>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786" w:type="dxa"/>
            <w:vAlign w:val="center"/>
          </w:tcPr>
          <w:p>
            <w:pPr>
              <w:numPr>
                <w:ilvl w:val="0"/>
                <w:numId w:val="1"/>
              </w:numPr>
              <w:rPr>
                <w:color w:val="auto"/>
                <w:sz w:val="24"/>
                <w:highlight w:val="none"/>
              </w:rPr>
            </w:pPr>
          </w:p>
        </w:tc>
        <w:tc>
          <w:tcPr>
            <w:tcW w:w="3535" w:type="dxa"/>
            <w:vAlign w:val="center"/>
          </w:tcPr>
          <w:p>
            <w:pPr>
              <w:rPr>
                <w:color w:val="auto"/>
                <w:sz w:val="24"/>
                <w:highlight w:val="none"/>
              </w:rPr>
            </w:pPr>
            <w:r>
              <w:rPr>
                <w:rFonts w:hint="eastAsia"/>
                <w:color w:val="auto"/>
                <w:sz w:val="24"/>
                <w:highlight w:val="none"/>
              </w:rPr>
              <w:t>施工进场准备、办理安监、质监及施工许可证</w:t>
            </w:r>
          </w:p>
        </w:tc>
        <w:tc>
          <w:tcPr>
            <w:tcW w:w="2563" w:type="dxa"/>
            <w:vAlign w:val="center"/>
          </w:tcPr>
          <w:p>
            <w:pPr>
              <w:rPr>
                <w:color w:val="auto"/>
                <w:sz w:val="24"/>
                <w:highlight w:val="none"/>
              </w:rPr>
            </w:pPr>
            <w:r>
              <w:rPr>
                <w:rFonts w:hint="eastAsia"/>
                <w:color w:val="auto"/>
                <w:sz w:val="24"/>
                <w:highlight w:val="none"/>
              </w:rPr>
              <w:t>2024年12月15日至2024年12月31日</w:t>
            </w:r>
          </w:p>
        </w:tc>
        <w:tc>
          <w:tcPr>
            <w:tcW w:w="1213" w:type="dxa"/>
            <w:vAlign w:val="center"/>
          </w:tcPr>
          <w:p>
            <w:pPr>
              <w:rPr>
                <w:color w:val="auto"/>
                <w:sz w:val="24"/>
                <w:highlight w:val="none"/>
              </w:rPr>
            </w:pPr>
            <w:r>
              <w:rPr>
                <w:rFonts w:hint="eastAsia"/>
                <w:color w:val="auto"/>
                <w:sz w:val="24"/>
                <w:highlight w:val="none"/>
              </w:rPr>
              <w:t>0.5个月</w:t>
            </w:r>
          </w:p>
        </w:tc>
        <w:tc>
          <w:tcPr>
            <w:tcW w:w="1506" w:type="dxa"/>
            <w:vAlign w:val="center"/>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86" w:type="dxa"/>
            <w:vAlign w:val="center"/>
          </w:tcPr>
          <w:p>
            <w:pPr>
              <w:numPr>
                <w:ilvl w:val="0"/>
                <w:numId w:val="1"/>
              </w:numPr>
              <w:rPr>
                <w:color w:val="auto"/>
                <w:sz w:val="24"/>
                <w:highlight w:val="none"/>
              </w:rPr>
            </w:pPr>
          </w:p>
        </w:tc>
        <w:tc>
          <w:tcPr>
            <w:tcW w:w="3535" w:type="dxa"/>
            <w:vAlign w:val="center"/>
          </w:tcPr>
          <w:p>
            <w:pPr>
              <w:rPr>
                <w:color w:val="auto"/>
                <w:sz w:val="24"/>
                <w:highlight w:val="none"/>
              </w:rPr>
            </w:pPr>
            <w:r>
              <w:rPr>
                <w:rFonts w:hint="eastAsia"/>
                <w:color w:val="auto"/>
                <w:sz w:val="24"/>
                <w:highlight w:val="none"/>
              </w:rPr>
              <w:t>拆除工程</w:t>
            </w:r>
          </w:p>
        </w:tc>
        <w:tc>
          <w:tcPr>
            <w:tcW w:w="2563" w:type="dxa"/>
            <w:vAlign w:val="center"/>
          </w:tcPr>
          <w:p>
            <w:pPr>
              <w:rPr>
                <w:color w:val="auto"/>
                <w:sz w:val="24"/>
                <w:highlight w:val="none"/>
              </w:rPr>
            </w:pPr>
            <w:r>
              <w:rPr>
                <w:rFonts w:hint="eastAsia"/>
                <w:color w:val="auto"/>
                <w:sz w:val="24"/>
                <w:highlight w:val="none"/>
              </w:rPr>
              <w:t>2025年1月1日至2025年1月31日</w:t>
            </w:r>
          </w:p>
        </w:tc>
        <w:tc>
          <w:tcPr>
            <w:tcW w:w="1213" w:type="dxa"/>
            <w:vAlign w:val="center"/>
          </w:tcPr>
          <w:p>
            <w:pPr>
              <w:rPr>
                <w:color w:val="auto"/>
                <w:sz w:val="24"/>
                <w:highlight w:val="none"/>
              </w:rPr>
            </w:pPr>
            <w:r>
              <w:rPr>
                <w:rFonts w:hint="eastAsia"/>
                <w:color w:val="auto"/>
                <w:sz w:val="24"/>
                <w:highlight w:val="none"/>
              </w:rPr>
              <w:t>1个月</w:t>
            </w:r>
          </w:p>
        </w:tc>
        <w:tc>
          <w:tcPr>
            <w:tcW w:w="1506" w:type="dxa"/>
            <w:vAlign w:val="center"/>
          </w:tcPr>
          <w:p>
            <w:pPr>
              <w:rPr>
                <w:color w:val="auto"/>
                <w:sz w:val="24"/>
                <w:highlight w:val="none"/>
              </w:rPr>
            </w:pPr>
            <w:r>
              <w:rPr>
                <w:rFonts w:hint="eastAsia"/>
                <w:color w:val="auto"/>
                <w:sz w:val="24"/>
                <w:highlight w:val="none"/>
              </w:rPr>
              <w:t>可穿插流水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86" w:type="dxa"/>
            <w:vAlign w:val="center"/>
          </w:tcPr>
          <w:p>
            <w:pPr>
              <w:ind w:left="170"/>
              <w:rPr>
                <w:color w:val="auto"/>
                <w:sz w:val="24"/>
                <w:highlight w:val="none"/>
              </w:rPr>
            </w:pPr>
            <w:r>
              <w:rPr>
                <w:rFonts w:hint="eastAsia"/>
                <w:color w:val="auto"/>
                <w:sz w:val="24"/>
                <w:highlight w:val="none"/>
              </w:rPr>
              <w:t>3</w:t>
            </w:r>
          </w:p>
        </w:tc>
        <w:tc>
          <w:tcPr>
            <w:tcW w:w="3535" w:type="dxa"/>
            <w:vAlign w:val="center"/>
          </w:tcPr>
          <w:p>
            <w:pPr>
              <w:rPr>
                <w:color w:val="auto"/>
                <w:sz w:val="28"/>
                <w:szCs w:val="28"/>
                <w:highlight w:val="none"/>
              </w:rPr>
            </w:pPr>
            <w:r>
              <w:rPr>
                <w:rFonts w:hint="eastAsia" w:ascii="宋体" w:hAnsi="Calibri" w:cs="宋体"/>
                <w:color w:val="auto"/>
                <w:kern w:val="0"/>
                <w:sz w:val="24"/>
                <w:highlight w:val="none"/>
              </w:rPr>
              <w:t>完成结构加固和墙体工程</w:t>
            </w:r>
          </w:p>
        </w:tc>
        <w:tc>
          <w:tcPr>
            <w:tcW w:w="2563" w:type="dxa"/>
            <w:vAlign w:val="center"/>
          </w:tcPr>
          <w:p>
            <w:pPr>
              <w:rPr>
                <w:color w:val="auto"/>
                <w:sz w:val="24"/>
                <w:highlight w:val="none"/>
              </w:rPr>
            </w:pPr>
            <w:r>
              <w:rPr>
                <w:rFonts w:hint="eastAsia"/>
                <w:color w:val="auto"/>
                <w:sz w:val="24"/>
                <w:highlight w:val="none"/>
              </w:rPr>
              <w:t>2025年2月1日至2025年4月30日</w:t>
            </w:r>
          </w:p>
        </w:tc>
        <w:tc>
          <w:tcPr>
            <w:tcW w:w="1213" w:type="dxa"/>
            <w:vAlign w:val="center"/>
          </w:tcPr>
          <w:p>
            <w:pPr>
              <w:rPr>
                <w:color w:val="auto"/>
                <w:sz w:val="24"/>
                <w:highlight w:val="none"/>
              </w:rPr>
            </w:pPr>
            <w:r>
              <w:rPr>
                <w:rFonts w:hint="eastAsia"/>
                <w:color w:val="auto"/>
                <w:sz w:val="24"/>
                <w:highlight w:val="none"/>
              </w:rPr>
              <w:t>3个月</w:t>
            </w:r>
          </w:p>
        </w:tc>
        <w:tc>
          <w:tcPr>
            <w:tcW w:w="1506" w:type="dxa"/>
            <w:vAlign w:val="center"/>
          </w:tcPr>
          <w:p>
            <w:pPr>
              <w:rPr>
                <w:color w:val="auto"/>
                <w:sz w:val="24"/>
                <w:highlight w:val="none"/>
              </w:rPr>
            </w:pPr>
            <w:r>
              <w:rPr>
                <w:rFonts w:hint="eastAsia"/>
                <w:color w:val="auto"/>
                <w:sz w:val="24"/>
                <w:highlight w:val="none"/>
              </w:rPr>
              <w:t>跨春节</w:t>
            </w:r>
          </w:p>
          <w:p>
            <w:pPr>
              <w:rPr>
                <w:color w:val="auto"/>
                <w:sz w:val="24"/>
                <w:highlight w:val="none"/>
              </w:rPr>
            </w:pPr>
            <w:r>
              <w:rPr>
                <w:rFonts w:hint="eastAsia"/>
                <w:color w:val="auto"/>
                <w:sz w:val="24"/>
                <w:highlight w:val="none"/>
              </w:rPr>
              <w:t>可穿插流水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86" w:type="dxa"/>
            <w:vAlign w:val="center"/>
          </w:tcPr>
          <w:p>
            <w:pPr>
              <w:ind w:left="170"/>
              <w:rPr>
                <w:color w:val="auto"/>
                <w:sz w:val="24"/>
                <w:highlight w:val="none"/>
              </w:rPr>
            </w:pPr>
            <w:r>
              <w:rPr>
                <w:rFonts w:hint="eastAsia"/>
                <w:color w:val="auto"/>
                <w:sz w:val="24"/>
                <w:highlight w:val="none"/>
              </w:rPr>
              <w:t>4</w:t>
            </w:r>
          </w:p>
        </w:tc>
        <w:tc>
          <w:tcPr>
            <w:tcW w:w="3535" w:type="dxa"/>
            <w:vAlign w:val="center"/>
          </w:tcPr>
          <w:p>
            <w:pPr>
              <w:rPr>
                <w:color w:val="auto"/>
                <w:sz w:val="24"/>
                <w:highlight w:val="none"/>
              </w:rPr>
            </w:pPr>
            <w:r>
              <w:rPr>
                <w:rFonts w:hint="eastAsia" w:ascii="宋体" w:hAnsi="Calibri" w:cs="宋体"/>
                <w:color w:val="auto"/>
                <w:kern w:val="0"/>
                <w:sz w:val="24"/>
                <w:highlight w:val="none"/>
                <w:lang w:val="zh-CN"/>
              </w:rPr>
              <w:t>装饰装修、机电设备安装、室外工程施工</w:t>
            </w:r>
          </w:p>
        </w:tc>
        <w:tc>
          <w:tcPr>
            <w:tcW w:w="2563" w:type="dxa"/>
            <w:vAlign w:val="center"/>
          </w:tcPr>
          <w:p>
            <w:pPr>
              <w:rPr>
                <w:color w:val="auto"/>
                <w:sz w:val="24"/>
                <w:highlight w:val="none"/>
              </w:rPr>
            </w:pPr>
            <w:r>
              <w:rPr>
                <w:rFonts w:hint="eastAsia"/>
                <w:color w:val="auto"/>
                <w:sz w:val="24"/>
                <w:highlight w:val="none"/>
              </w:rPr>
              <w:t>2025年5月1日至2025年7月30日</w:t>
            </w:r>
          </w:p>
        </w:tc>
        <w:tc>
          <w:tcPr>
            <w:tcW w:w="1213" w:type="dxa"/>
            <w:vAlign w:val="center"/>
          </w:tcPr>
          <w:p>
            <w:pPr>
              <w:rPr>
                <w:color w:val="auto"/>
                <w:sz w:val="24"/>
                <w:highlight w:val="none"/>
              </w:rPr>
            </w:pPr>
            <w:r>
              <w:rPr>
                <w:rFonts w:hint="eastAsia"/>
                <w:color w:val="auto"/>
                <w:sz w:val="24"/>
                <w:highlight w:val="none"/>
              </w:rPr>
              <w:t>3个月</w:t>
            </w:r>
          </w:p>
        </w:tc>
        <w:tc>
          <w:tcPr>
            <w:tcW w:w="1506" w:type="dxa"/>
            <w:vAlign w:val="center"/>
          </w:tcPr>
          <w:p>
            <w:pPr>
              <w:rPr>
                <w:color w:val="auto"/>
                <w:sz w:val="24"/>
                <w:highlight w:val="none"/>
              </w:rPr>
            </w:pPr>
            <w:r>
              <w:rPr>
                <w:rFonts w:hint="eastAsia"/>
                <w:color w:val="auto"/>
                <w:sz w:val="24"/>
                <w:highlight w:val="none"/>
              </w:rPr>
              <w:t>可穿插流水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86" w:type="dxa"/>
            <w:vAlign w:val="center"/>
          </w:tcPr>
          <w:p>
            <w:pPr>
              <w:ind w:left="170"/>
              <w:rPr>
                <w:color w:val="auto"/>
                <w:sz w:val="24"/>
                <w:highlight w:val="none"/>
              </w:rPr>
            </w:pPr>
            <w:r>
              <w:rPr>
                <w:rFonts w:hint="eastAsia"/>
                <w:color w:val="auto"/>
                <w:sz w:val="24"/>
                <w:highlight w:val="none"/>
              </w:rPr>
              <w:t>5</w:t>
            </w:r>
          </w:p>
        </w:tc>
        <w:tc>
          <w:tcPr>
            <w:tcW w:w="3535" w:type="dxa"/>
            <w:vAlign w:val="center"/>
          </w:tcPr>
          <w:p>
            <w:pPr>
              <w:rPr>
                <w:color w:val="auto"/>
                <w:sz w:val="24"/>
                <w:highlight w:val="none"/>
              </w:rPr>
            </w:pPr>
            <w:r>
              <w:rPr>
                <w:rFonts w:hint="eastAsia"/>
                <w:color w:val="auto"/>
                <w:sz w:val="24"/>
                <w:highlight w:val="none"/>
              </w:rPr>
              <w:t>实体工程完工▼</w:t>
            </w:r>
          </w:p>
        </w:tc>
        <w:tc>
          <w:tcPr>
            <w:tcW w:w="2563" w:type="dxa"/>
            <w:vAlign w:val="center"/>
          </w:tcPr>
          <w:p>
            <w:pPr>
              <w:rPr>
                <w:color w:val="auto"/>
                <w:sz w:val="24"/>
                <w:highlight w:val="none"/>
              </w:rPr>
            </w:pPr>
            <w:r>
              <w:rPr>
                <w:rFonts w:hint="eastAsia"/>
                <w:color w:val="auto"/>
                <w:sz w:val="24"/>
                <w:highlight w:val="none"/>
              </w:rPr>
              <w:t>2025年7月30日</w:t>
            </w:r>
          </w:p>
        </w:tc>
        <w:tc>
          <w:tcPr>
            <w:tcW w:w="1213" w:type="dxa"/>
            <w:vAlign w:val="center"/>
          </w:tcPr>
          <w:p>
            <w:pPr>
              <w:rPr>
                <w:color w:val="auto"/>
                <w:sz w:val="24"/>
                <w:highlight w:val="none"/>
              </w:rPr>
            </w:pPr>
          </w:p>
        </w:tc>
        <w:tc>
          <w:tcPr>
            <w:tcW w:w="1506" w:type="dxa"/>
            <w:vAlign w:val="center"/>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86" w:type="dxa"/>
            <w:vAlign w:val="center"/>
          </w:tcPr>
          <w:p>
            <w:pPr>
              <w:ind w:left="170"/>
              <w:rPr>
                <w:color w:val="auto"/>
                <w:sz w:val="24"/>
                <w:highlight w:val="none"/>
              </w:rPr>
            </w:pPr>
            <w:r>
              <w:rPr>
                <w:rFonts w:hint="eastAsia"/>
                <w:color w:val="auto"/>
                <w:sz w:val="24"/>
                <w:highlight w:val="none"/>
              </w:rPr>
              <w:t>6</w:t>
            </w:r>
          </w:p>
        </w:tc>
        <w:tc>
          <w:tcPr>
            <w:tcW w:w="3535" w:type="dxa"/>
            <w:vAlign w:val="center"/>
          </w:tcPr>
          <w:p>
            <w:pPr>
              <w:rPr>
                <w:color w:val="auto"/>
                <w:sz w:val="24"/>
                <w:highlight w:val="none"/>
              </w:rPr>
            </w:pPr>
            <w:r>
              <w:rPr>
                <w:rFonts w:hint="eastAsia"/>
                <w:color w:val="auto"/>
                <w:sz w:val="24"/>
                <w:highlight w:val="none"/>
                <w:lang w:val="zh-CN"/>
              </w:rPr>
              <w:t>分</w:t>
            </w:r>
            <w:r>
              <w:rPr>
                <w:rFonts w:hint="default"/>
                <w:color w:val="auto"/>
                <w:sz w:val="24"/>
                <w:highlight w:val="none"/>
              </w:rPr>
              <w:t>部</w:t>
            </w:r>
            <w:r>
              <w:rPr>
                <w:rFonts w:hint="eastAsia"/>
                <w:color w:val="auto"/>
                <w:sz w:val="24"/>
                <w:highlight w:val="none"/>
                <w:lang w:val="zh-CN"/>
              </w:rPr>
              <w:t>验收、专项验收</w:t>
            </w:r>
          </w:p>
        </w:tc>
        <w:tc>
          <w:tcPr>
            <w:tcW w:w="2563" w:type="dxa"/>
            <w:vAlign w:val="center"/>
          </w:tcPr>
          <w:p>
            <w:pPr>
              <w:rPr>
                <w:color w:val="auto"/>
                <w:sz w:val="24"/>
                <w:highlight w:val="none"/>
              </w:rPr>
            </w:pPr>
            <w:r>
              <w:rPr>
                <w:rFonts w:hint="eastAsia"/>
                <w:color w:val="auto"/>
                <w:sz w:val="24"/>
                <w:highlight w:val="none"/>
              </w:rPr>
              <w:t>2025年8月1日至2025年9月30日</w:t>
            </w:r>
          </w:p>
        </w:tc>
        <w:tc>
          <w:tcPr>
            <w:tcW w:w="1213" w:type="dxa"/>
            <w:vAlign w:val="center"/>
          </w:tcPr>
          <w:p>
            <w:pPr>
              <w:rPr>
                <w:color w:val="auto"/>
                <w:sz w:val="24"/>
                <w:highlight w:val="none"/>
              </w:rPr>
            </w:pPr>
            <w:r>
              <w:rPr>
                <w:rFonts w:hint="eastAsia"/>
                <w:color w:val="auto"/>
                <w:sz w:val="24"/>
                <w:highlight w:val="none"/>
              </w:rPr>
              <w:t>2个月</w:t>
            </w:r>
          </w:p>
        </w:tc>
        <w:tc>
          <w:tcPr>
            <w:tcW w:w="1506" w:type="dxa"/>
            <w:vAlign w:val="center"/>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86" w:type="dxa"/>
            <w:vAlign w:val="center"/>
          </w:tcPr>
          <w:p>
            <w:pPr>
              <w:ind w:left="170"/>
              <w:rPr>
                <w:color w:val="auto"/>
                <w:sz w:val="24"/>
                <w:highlight w:val="none"/>
              </w:rPr>
            </w:pPr>
            <w:r>
              <w:rPr>
                <w:rFonts w:hint="eastAsia"/>
                <w:color w:val="auto"/>
                <w:sz w:val="24"/>
                <w:highlight w:val="none"/>
              </w:rPr>
              <w:t>7</w:t>
            </w:r>
          </w:p>
        </w:tc>
        <w:tc>
          <w:tcPr>
            <w:tcW w:w="3535" w:type="dxa"/>
            <w:vAlign w:val="center"/>
          </w:tcPr>
          <w:p>
            <w:pPr>
              <w:rPr>
                <w:color w:val="auto"/>
                <w:sz w:val="24"/>
                <w:highlight w:val="none"/>
              </w:rPr>
            </w:pPr>
            <w:r>
              <w:rPr>
                <w:rFonts w:hint="eastAsia"/>
                <w:color w:val="auto"/>
                <w:sz w:val="24"/>
                <w:highlight w:val="none"/>
              </w:rPr>
              <w:t>完成竣工验收▼</w:t>
            </w:r>
          </w:p>
        </w:tc>
        <w:tc>
          <w:tcPr>
            <w:tcW w:w="2563" w:type="dxa"/>
            <w:vAlign w:val="center"/>
          </w:tcPr>
          <w:p>
            <w:pPr>
              <w:rPr>
                <w:color w:val="auto"/>
                <w:sz w:val="24"/>
                <w:highlight w:val="none"/>
              </w:rPr>
            </w:pPr>
            <w:r>
              <w:rPr>
                <w:rFonts w:hint="eastAsia"/>
                <w:color w:val="auto"/>
                <w:sz w:val="24"/>
                <w:highlight w:val="none"/>
              </w:rPr>
              <w:t>2025年9月30日</w:t>
            </w:r>
          </w:p>
        </w:tc>
        <w:tc>
          <w:tcPr>
            <w:tcW w:w="1213" w:type="dxa"/>
            <w:vAlign w:val="center"/>
          </w:tcPr>
          <w:p>
            <w:pPr>
              <w:rPr>
                <w:color w:val="auto"/>
                <w:sz w:val="24"/>
                <w:highlight w:val="none"/>
              </w:rPr>
            </w:pPr>
          </w:p>
        </w:tc>
        <w:tc>
          <w:tcPr>
            <w:tcW w:w="1506" w:type="dxa"/>
            <w:vAlign w:val="center"/>
          </w:tcPr>
          <w:p>
            <w:pP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603" w:type="dxa"/>
            <w:gridSpan w:val="5"/>
            <w:vAlign w:val="center"/>
          </w:tcPr>
          <w:p>
            <w:pPr>
              <w:rPr>
                <w:color w:val="auto"/>
                <w:sz w:val="24"/>
                <w:highlight w:val="none"/>
              </w:rPr>
            </w:pPr>
            <w:r>
              <w:rPr>
                <w:rFonts w:hint="eastAsia"/>
                <w:color w:val="auto"/>
                <w:sz w:val="24"/>
                <w:highlight w:val="none"/>
              </w:rPr>
              <w:t>说明：以上计划是以七个施工段来计划且流水穿插衔接必须及时到位，计划时间是包含一个年历春节时间和不利于正常施工情况，除不可抗力事件外；可穿插流水为工艺搭接和流水施工作业时间，具体以施工计划为准；计划开工时间为2024年12月15日，工程计划工程竣工验收为2025年9月30日。工程总体施工工期为9.5个自然月。工程验收计划均为参考计划。▼为里程碑式节点时间。</w:t>
            </w:r>
          </w:p>
        </w:tc>
      </w:tr>
    </w:tbl>
    <w:p>
      <w:pPr>
        <w:pStyle w:val="15"/>
        <w:snapToGrid/>
        <w:ind w:firstLine="498"/>
        <w:rPr>
          <w:b/>
          <w:color w:val="auto"/>
          <w:highlight w:val="none"/>
        </w:rPr>
      </w:pPr>
      <w:bookmarkStart w:id="20" w:name="_Toc392692105"/>
      <w:bookmarkStart w:id="21" w:name="_Toc392863104"/>
      <w:r>
        <w:rPr>
          <w:rFonts w:hint="eastAsia"/>
          <w:b/>
          <w:color w:val="auto"/>
          <w:highlight w:val="none"/>
        </w:rPr>
        <w:t>（三）质量目标</w:t>
      </w:r>
      <w:bookmarkEnd w:id="20"/>
      <w:bookmarkEnd w:id="21"/>
    </w:p>
    <w:p>
      <w:pPr>
        <w:pStyle w:val="15"/>
        <w:snapToGrid/>
        <w:ind w:firstLine="496"/>
        <w:rPr>
          <w:color w:val="auto"/>
          <w:highlight w:val="none"/>
        </w:rPr>
      </w:pPr>
      <w:r>
        <w:rPr>
          <w:rFonts w:hint="eastAsia"/>
          <w:color w:val="auto"/>
          <w:highlight w:val="none"/>
        </w:rPr>
        <w:t>一次竣工验收合格。</w:t>
      </w:r>
    </w:p>
    <w:p>
      <w:pPr>
        <w:pStyle w:val="15"/>
        <w:ind w:firstLine="498"/>
        <w:rPr>
          <w:b/>
          <w:bCs/>
          <w:color w:val="auto"/>
          <w:highlight w:val="none"/>
        </w:rPr>
      </w:pPr>
      <w:bookmarkStart w:id="22" w:name="_Toc403566280"/>
      <w:r>
        <w:rPr>
          <w:rFonts w:hint="eastAsia"/>
          <w:b/>
          <w:color w:val="auto"/>
          <w:highlight w:val="none"/>
        </w:rPr>
        <w:t>（四）</w:t>
      </w:r>
      <w:r>
        <w:rPr>
          <w:rFonts w:hint="eastAsia"/>
          <w:b/>
          <w:bCs/>
          <w:color w:val="auto"/>
          <w:highlight w:val="none"/>
        </w:rPr>
        <w:t>安全、文明施工目标</w:t>
      </w:r>
      <w:bookmarkEnd w:id="22"/>
    </w:p>
    <w:p>
      <w:pPr>
        <w:pStyle w:val="15"/>
        <w:snapToGrid/>
        <w:ind w:firstLine="496"/>
        <w:rPr>
          <w:color w:val="auto"/>
          <w:highlight w:val="none"/>
        </w:rPr>
      </w:pPr>
      <w:bookmarkStart w:id="23" w:name="_Toc459022429"/>
      <w:bookmarkStart w:id="24" w:name="_Toc459297646"/>
      <w:bookmarkStart w:id="25" w:name="_Toc459297587"/>
      <w:bookmarkStart w:id="26" w:name="_Toc392863106"/>
      <w:bookmarkStart w:id="27" w:name="_Toc459382303"/>
      <w:bookmarkStart w:id="28" w:name="_Toc415070052"/>
      <w:r>
        <w:rPr>
          <w:rFonts w:hint="eastAsia"/>
          <w:color w:val="auto"/>
          <w:highlight w:val="none"/>
        </w:rPr>
        <w:t>杜绝一般事故等级以上的伤亡事故且工伤责任事故死亡人数为零，确保广州市安全文明施工样板工地。</w:t>
      </w:r>
    </w:p>
    <w:bookmarkEnd w:id="23"/>
    <w:bookmarkEnd w:id="24"/>
    <w:bookmarkEnd w:id="25"/>
    <w:bookmarkEnd w:id="26"/>
    <w:bookmarkEnd w:id="27"/>
    <w:bookmarkEnd w:id="28"/>
    <w:p>
      <w:pPr>
        <w:pStyle w:val="15"/>
        <w:snapToGrid/>
        <w:ind w:firstLine="496"/>
        <w:rPr>
          <w:color w:val="auto"/>
          <w:highlight w:val="none"/>
        </w:rPr>
      </w:pPr>
      <w:r>
        <w:rPr>
          <w:rFonts w:hint="eastAsia"/>
          <w:color w:val="auto"/>
          <w:highlight w:val="none"/>
        </w:rPr>
        <w:t>环境管理目标：严格执行《广州市重点公共建设项目管理中心建设项目环境管理规定》、《广州市重点公共建设项目管理中心建设项目环境管理文明施工标准》、《广州市建设工程现场文明施工管理办法》（穗建质〔2008〕937号）、《关于进一步规范建设工程施工现场围蔽的通知》（穗建质〔2008〕1008号）、《广州市城乡建设委员会关于印发广州市加强建筑工地环保管理工作方案的通知(穗建质〔2014〕754号)》、</w:t>
      </w:r>
      <w:r>
        <w:rPr>
          <w:rFonts w:hint="eastAsia" w:ascii="宋体" w:hAnsi="宋体" w:cs="宋体"/>
          <w:color w:val="auto"/>
          <w:highlight w:val="none"/>
        </w:rPr>
        <w:t>《广州市住房和城乡建设委员会关于印发建设工程扬尘防治“6个100%”管理标准细化措施的通知》（穗建质〔2018〕1394号）、</w:t>
      </w:r>
      <w:r>
        <w:rPr>
          <w:rFonts w:hint="eastAsia" w:ascii="宋体" w:hAnsi="宋体"/>
          <w:color w:val="auto"/>
          <w:highlight w:val="none"/>
        </w:rPr>
        <w:t>《广州市建设工程绿色施工围蔽指导图集（V2.0版）》（穗建质</w:t>
      </w:r>
      <w:r>
        <w:rPr>
          <w:rFonts w:hint="eastAsia" w:ascii="宋体" w:hAnsi="宋体"/>
          <w:bCs/>
          <w:color w:val="auto"/>
          <w:highlight w:val="none"/>
        </w:rPr>
        <w:t>〔2020〕1号</w:t>
      </w:r>
      <w:r>
        <w:rPr>
          <w:rFonts w:hint="eastAsia" w:ascii="宋体" w:hAnsi="宋体"/>
          <w:color w:val="auto"/>
          <w:highlight w:val="none"/>
        </w:rPr>
        <w:t>）</w:t>
      </w:r>
      <w:r>
        <w:rPr>
          <w:rFonts w:hint="eastAsia"/>
          <w:color w:val="auto"/>
          <w:highlight w:val="none"/>
        </w:rPr>
        <w:t>、《广州市建设工程扬尘整治联席会议办公室关于进一步规范建筑工地施工围蔽公益广告标语标准的通知》</w:t>
      </w:r>
      <w:r>
        <w:rPr>
          <w:rFonts w:hint="eastAsia" w:ascii="宋体" w:hAnsi="宋体"/>
          <w:color w:val="auto"/>
          <w:highlight w:val="none"/>
        </w:rPr>
        <w:t>）</w:t>
      </w:r>
      <w:r>
        <w:rPr>
          <w:rFonts w:hint="eastAsia" w:ascii="宋体" w:hAnsi="宋体" w:cs="宋体"/>
          <w:color w:val="auto"/>
          <w:highlight w:val="none"/>
        </w:rPr>
        <w:t>等国家、省、市现行标准、规定和文件要求</w:t>
      </w:r>
      <w:r>
        <w:rPr>
          <w:rFonts w:hint="eastAsia"/>
          <w:color w:val="auto"/>
          <w:highlight w:val="none"/>
        </w:rPr>
        <w:t>。</w:t>
      </w:r>
    </w:p>
    <w:p>
      <w:pPr>
        <w:ind w:firstLine="600" w:firstLineChars="200"/>
        <w:jc w:val="left"/>
        <w:rPr>
          <w:rFonts w:ascii="黑体" w:hAnsi="黑体" w:eastAsia="黑体" w:cs="黑体"/>
          <w:bCs/>
          <w:color w:val="auto"/>
          <w:sz w:val="30"/>
          <w:szCs w:val="30"/>
          <w:highlight w:val="none"/>
        </w:rPr>
      </w:pPr>
      <w:r>
        <w:rPr>
          <w:rFonts w:hint="eastAsia" w:ascii="黑体" w:hAnsi="黑体" w:eastAsia="黑体" w:cs="黑体"/>
          <w:bCs/>
          <w:color w:val="auto"/>
          <w:sz w:val="30"/>
          <w:szCs w:val="30"/>
          <w:highlight w:val="none"/>
        </w:rPr>
        <w:t>三、项目管理要求</w:t>
      </w:r>
    </w:p>
    <w:p>
      <w:pPr>
        <w:pStyle w:val="15"/>
        <w:snapToGrid/>
        <w:ind w:firstLine="498"/>
        <w:rPr>
          <w:b/>
          <w:color w:val="auto"/>
          <w:highlight w:val="none"/>
        </w:rPr>
      </w:pPr>
      <w:r>
        <w:rPr>
          <w:rFonts w:hint="eastAsia"/>
          <w:b/>
          <w:color w:val="auto"/>
          <w:highlight w:val="none"/>
        </w:rPr>
        <w:t>（一）进度管理要求</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1、施工单位进场5天内根据合同工期要求，并结合工期节点要求、施工图纸和现场实际情况编制切实可行的实施进度计划</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另先对重要区域先行施工完成，包括但不限于主体建筑门厅等重点形象分部工程、以及后续需使用单位组织专业运营单位二次深化设计装修的厨房等分项部位，按照该项目建设时序优先级统一谋划排布，确保该项目如期投入使用</w:t>
      </w:r>
      <w:r>
        <w:rPr>
          <w:rFonts w:hint="eastAsia" w:ascii="宋体" w:hAnsi="宋体"/>
          <w:color w:val="auto"/>
          <w:sz w:val="24"/>
          <w:highlight w:val="none"/>
        </w:rPr>
        <w:t>。</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2、做好过程中的进度控制，按照PDCA循环的要求动态管理，定期对进度计划执行情况进行检查并及时纠偏，确保现场施工能够按照计划推进。</w:t>
      </w:r>
    </w:p>
    <w:p>
      <w:pPr>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3、施工单位需严格按照总控计划完成施工任务。</w:t>
      </w:r>
    </w:p>
    <w:p>
      <w:pPr>
        <w:pStyle w:val="15"/>
        <w:snapToGrid/>
        <w:ind w:firstLine="498"/>
        <w:rPr>
          <w:b/>
          <w:color w:val="auto"/>
          <w:highlight w:val="none"/>
        </w:rPr>
      </w:pPr>
      <w:bookmarkStart w:id="29" w:name="_Toc398888464"/>
      <w:bookmarkStart w:id="30" w:name="_Toc392692113"/>
      <w:r>
        <w:rPr>
          <w:rFonts w:hint="eastAsia"/>
          <w:b/>
          <w:color w:val="auto"/>
          <w:highlight w:val="none"/>
        </w:rPr>
        <w:t>（二）质量管理要求</w:t>
      </w:r>
      <w:bookmarkEnd w:id="29"/>
      <w:bookmarkEnd w:id="30"/>
    </w:p>
    <w:p>
      <w:pPr>
        <w:topLinePunct/>
        <w:adjustRightIn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1、要求施工单位根据《工程质量安全专职机构及人员管理实施细则》要求，建立和健全管理体系，设立质量管理专职机构，配备满足规定要求的专职管理人员。</w:t>
      </w:r>
    </w:p>
    <w:p>
      <w:pPr>
        <w:topLinePunct/>
        <w:adjustRightIn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2、施工单位严格遵照市重点项目管理中心乙供材料设备的看样定板制度，保证施工所用材料、设备的质量，从源头上控制质量隐患。</w:t>
      </w:r>
    </w:p>
    <w:p>
      <w:pPr>
        <w:topLinePunct/>
        <w:adjustRightIn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3、要求施工单位严格按《建设项目样板引路实施细则》建立工序质量样板，在工序样板引路的基础上，实施分项分部子单位样板引路。</w:t>
      </w:r>
    </w:p>
    <w:p>
      <w:pPr>
        <w:topLinePunct/>
        <w:adjustRightIn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4、承包人投入的施工作业人员必须具备相应的上岗证，如特种人员，还须具备特种人员作业证书，以确保施工质量。所有人员必须带证上岗，随时接受发包人、监理人检查，否则按合同约定承担违约责任。</w:t>
      </w:r>
    </w:p>
    <w:p>
      <w:pPr>
        <w:pStyle w:val="15"/>
        <w:snapToGrid/>
        <w:ind w:firstLine="498"/>
        <w:rPr>
          <w:b/>
          <w:color w:val="auto"/>
          <w:highlight w:val="none"/>
        </w:rPr>
      </w:pPr>
      <w:r>
        <w:rPr>
          <w:rFonts w:hint="eastAsia"/>
          <w:b/>
          <w:color w:val="auto"/>
          <w:highlight w:val="none"/>
        </w:rPr>
        <w:t>（三）安全、文明施工管理要求</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1、基于本工程项目</w:t>
      </w:r>
      <w:r>
        <w:rPr>
          <w:rFonts w:hint="default" w:ascii="宋体" w:hAnsi="宋体"/>
          <w:color w:val="auto"/>
          <w:sz w:val="24"/>
          <w:highlight w:val="none"/>
        </w:rPr>
        <w:t>地处市中心，邻近办公楼、居民楼，</w:t>
      </w:r>
      <w:r>
        <w:rPr>
          <w:rFonts w:hint="eastAsia" w:ascii="宋体" w:hAnsi="宋体"/>
          <w:color w:val="auto"/>
          <w:sz w:val="24"/>
          <w:highlight w:val="none"/>
        </w:rPr>
        <w:t>要求施工单位按《建设项目环境管理规定》要求，制定环境管理计划及应急处理预案，做到不因施工而影响周边环境。</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针对本项目的特点，施工单位必须对建筑吊装等机械作业危险性较大的分部分项工程进行重点管理，编制专项施工方案报监理单位审批，并按批准的方案施工。在施工过程中如发现异常情况，必须能有效启动紧急预案，确保人员的安全。</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、要求施工单位进场后严格遵守发包人的现场总平面管理，按经审批的总平面布置进行临时设施的施工。</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4</w:t>
      </w:r>
      <w:r>
        <w:rPr>
          <w:rFonts w:hint="eastAsia" w:ascii="宋体" w:hAnsi="宋体"/>
          <w:color w:val="auto"/>
          <w:sz w:val="24"/>
          <w:highlight w:val="none"/>
        </w:rPr>
        <w:t>、在工程实施期间，施工单位对经发包人移交的施工场地负有全过程、全面的管理责任，必须对施工场地范围内的治安秩序、安全保卫、环境卫生以及周围房屋、市政设施等全面负责，对施工场地范围内的交通道路、用水、用电、场地内的施工协调负责，确保不对周边环境、道路、行人和相邻施工现场造成不利影响，不得干扰办公场所的正常业务运营。</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、施工单位在施工过程中必须严格执行安全文明施工方案，做到安全防护、文明施工措施费专款专用，严禁挪用。</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监理单位、发包人或监督部门在安全文明施工检查过程中，如发现施工现场不满足国家、省、市关于安全文明生产的相关规定和发包人对本工程安全文明施工的相关要求，且不按监理单位要求在限定时间内整改完毕的，发包人可以自行或委托他人实施整改，所发生的费用从安全防护、文明施工措施费款项中扣除，不足部分从施工单位的合同价款中扣除。</w:t>
      </w:r>
    </w:p>
    <w:p>
      <w:pPr>
        <w:topLinePunct/>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、施工单位需按国家、省市相关规定做好扬尘、噪音控制等文明环保保证工作，在施工中需做好对周边居民的投诉解释工作。</w:t>
      </w:r>
    </w:p>
    <w:p>
      <w:pPr>
        <w:tabs>
          <w:tab w:val="left" w:pos="900"/>
          <w:tab w:val="left" w:pos="1620"/>
        </w:tabs>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、施工单位需落实土方开挖运输过程中的文明施工管理工作，并负责做好运输路线及工程现场周边的保洁工作，由于污染周边路面产生的投诉及行政处罚由施工单位承担责任。</w:t>
      </w:r>
    </w:p>
    <w:p>
      <w:pPr>
        <w:pStyle w:val="15"/>
        <w:snapToGrid/>
        <w:ind w:firstLine="498"/>
        <w:rPr>
          <w:b/>
          <w:color w:val="auto"/>
          <w:highlight w:val="none"/>
        </w:rPr>
      </w:pPr>
      <w:r>
        <w:rPr>
          <w:rFonts w:hint="eastAsia"/>
          <w:b/>
          <w:color w:val="auto"/>
          <w:highlight w:val="none"/>
        </w:rPr>
        <w:t>（四）人员配置要求</w:t>
      </w:r>
    </w:p>
    <w:p>
      <w:pPr>
        <w:topLinePunct/>
        <w:adjustRightInd w:val="0"/>
        <w:snapToGri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1、要求施工单位进场即成立项目管理部负责工程现场施工管理工作。同时，为了确保在多单位交叉施工期间各专业施工队伍合理配合，有条不紊地开展施工，要求施工单位专门成立专职的团队负责履行施工总承包配合服务工作。</w:t>
      </w:r>
    </w:p>
    <w:p>
      <w:pPr>
        <w:topLinePunct/>
        <w:adjustRightInd w:val="0"/>
        <w:snapToGri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2、现场组织实施管理费以月为单位，进行计量支付。现场组织实施管理费的支付及费用标准按合同规定执行。</w:t>
      </w:r>
    </w:p>
    <w:p>
      <w:pPr>
        <w:topLinePunct/>
        <w:adjustRightInd w:val="0"/>
        <w:snapToGri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3、施工进场后1周之内，根据合同要求及现场实际情况，报审项目组织架构及项目人员组织实施计划。项目管理架构如需调整，需书面报监理单位及建设单位审核。</w:t>
      </w:r>
    </w:p>
    <w:p>
      <w:pPr>
        <w:topLinePunct/>
        <w:adjustRightInd w:val="0"/>
        <w:snapToGrid w:val="0"/>
        <w:spacing w:line="360" w:lineRule="auto"/>
        <w:ind w:firstLine="496" w:firstLineChars="200"/>
        <w:rPr>
          <w:b/>
          <w:color w:val="auto"/>
          <w:sz w:val="28"/>
          <w:szCs w:val="28"/>
          <w:highlight w:val="none"/>
        </w:rPr>
      </w:pPr>
      <w:r>
        <w:rPr>
          <w:rFonts w:hint="eastAsia" w:ascii="宋体" w:hAnsi="宋体"/>
          <w:snapToGrid w:val="0"/>
          <w:color w:val="auto"/>
          <w:spacing w:val="4"/>
          <w:kern w:val="0"/>
          <w:sz w:val="24"/>
          <w:highlight w:val="none"/>
        </w:rPr>
        <w:t>4、项目管理人员必须满足下表要求的配备要求，但根据工程的实施情况，如发现现场实施目标滞后于合同要求时，发包人可提出承包人增加相应的管理人员。</w:t>
      </w:r>
    </w:p>
    <w:p>
      <w:pPr>
        <w:adjustRightInd w:val="0"/>
        <w:snapToGrid w:val="0"/>
        <w:spacing w:line="360" w:lineRule="auto"/>
        <w:jc w:val="center"/>
        <w:rPr>
          <w:b/>
          <w:color w:val="auto"/>
          <w:sz w:val="28"/>
          <w:szCs w:val="28"/>
          <w:highlight w:val="none"/>
        </w:rPr>
      </w:pPr>
    </w:p>
    <w:p>
      <w:pPr>
        <w:adjustRightInd w:val="0"/>
        <w:snapToGrid w:val="0"/>
        <w:spacing w:line="360" w:lineRule="auto"/>
        <w:jc w:val="center"/>
        <w:rPr>
          <w:b/>
          <w:color w:val="auto"/>
          <w:sz w:val="28"/>
          <w:szCs w:val="28"/>
          <w:highlight w:val="none"/>
        </w:rPr>
      </w:pPr>
      <w:r>
        <w:rPr>
          <w:rFonts w:hint="eastAsia"/>
          <w:b/>
          <w:color w:val="auto"/>
          <w:sz w:val="28"/>
          <w:szCs w:val="28"/>
          <w:highlight w:val="none"/>
        </w:rPr>
        <w:t>项目管理部组成人员配备要求表</w:t>
      </w:r>
    </w:p>
    <w:tbl>
      <w:tblPr>
        <w:tblStyle w:val="12"/>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73"/>
        <w:gridCol w:w="750"/>
        <w:gridCol w:w="6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1673" w:type="dxa"/>
            <w:vAlign w:val="center"/>
          </w:tcPr>
          <w:p>
            <w:pPr>
              <w:jc w:val="center"/>
              <w:rPr>
                <w:rFonts w:ascii="宋体" w:hAnsi="宋体"/>
                <w:color w:val="auto"/>
                <w:sz w:val="24"/>
                <w:highlight w:val="none"/>
              </w:rPr>
            </w:pPr>
            <w:r>
              <w:rPr>
                <w:rFonts w:hint="eastAsia" w:ascii="宋体" w:hAnsi="宋体"/>
                <w:color w:val="auto"/>
                <w:sz w:val="24"/>
                <w:highlight w:val="none"/>
              </w:rPr>
              <w:t>职务</w:t>
            </w:r>
          </w:p>
        </w:tc>
        <w:tc>
          <w:tcPr>
            <w:tcW w:w="750" w:type="dxa"/>
            <w:vAlign w:val="center"/>
          </w:tcPr>
          <w:p>
            <w:pPr>
              <w:jc w:val="center"/>
              <w:rPr>
                <w:rFonts w:ascii="宋体" w:hAnsi="宋体"/>
                <w:color w:val="auto"/>
                <w:sz w:val="24"/>
                <w:highlight w:val="none"/>
              </w:rPr>
            </w:pPr>
            <w:r>
              <w:rPr>
                <w:rFonts w:hint="eastAsia" w:ascii="宋体" w:hAnsi="宋体"/>
                <w:color w:val="auto"/>
                <w:sz w:val="24"/>
                <w:highlight w:val="none"/>
              </w:rPr>
              <w:t>人员数量</w:t>
            </w:r>
          </w:p>
        </w:tc>
        <w:tc>
          <w:tcPr>
            <w:tcW w:w="6231" w:type="dxa"/>
            <w:vAlign w:val="center"/>
          </w:tcPr>
          <w:p>
            <w:pPr>
              <w:jc w:val="center"/>
              <w:rPr>
                <w:rFonts w:ascii="宋体" w:hAnsi="宋体"/>
                <w:color w:val="auto"/>
                <w:sz w:val="24"/>
                <w:highlight w:val="none"/>
              </w:rPr>
            </w:pPr>
            <w:r>
              <w:rPr>
                <w:rFonts w:hint="eastAsia" w:ascii="宋体" w:hAnsi="宋体"/>
                <w:color w:val="auto"/>
                <w:sz w:val="24"/>
                <w:highlight w:val="none"/>
              </w:rPr>
              <w:t>基本任职条件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指挥长</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由施工单位现任副总经理、总工程师或以上行政职务，且应已任该职满半年或以上人员的领导担任。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2</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项目负责人</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符合招标公告要求。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3</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项目副经理</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所学专业或职称为机电类相关专业，具备中级或以上技术职称。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4</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技术负责人</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符合招标公告要求。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7" w:type="dxa"/>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土建工程师</w:t>
            </w:r>
          </w:p>
        </w:tc>
        <w:tc>
          <w:tcPr>
            <w:tcW w:w="750" w:type="dxa"/>
            <w:vAlign w:val="center"/>
          </w:tcPr>
          <w:p>
            <w:pPr>
              <w:jc w:val="left"/>
              <w:rPr>
                <w:rFonts w:hint="default"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所学专业或职称为土建类相关专业，具备中级或以上技术职称。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1673" w:type="dxa"/>
            <w:vAlign w:val="center"/>
          </w:tcPr>
          <w:p>
            <w:pPr>
              <w:jc w:val="left"/>
              <w:rPr>
                <w:rFonts w:ascii="宋体" w:hAnsi="宋体" w:eastAsia="宋体" w:cs="Times New Roman"/>
                <w:bCs w:val="0"/>
                <w:color w:val="auto"/>
                <w:kern w:val="2"/>
                <w:sz w:val="24"/>
                <w:highlight w:val="none"/>
              </w:rPr>
            </w:pPr>
            <w:r>
              <w:rPr>
                <w:rFonts w:hint="default" w:ascii="宋体" w:hAnsi="宋体" w:eastAsia="宋体" w:cs="Times New Roman"/>
                <w:color w:val="auto"/>
                <w:sz w:val="24"/>
                <w:szCs w:val="24"/>
                <w:highlight w:val="none"/>
                <w:u w:val="none"/>
              </w:rPr>
              <w:t>电气工程师</w:t>
            </w:r>
          </w:p>
        </w:tc>
        <w:tc>
          <w:tcPr>
            <w:tcW w:w="750" w:type="dxa"/>
            <w:vAlign w:val="center"/>
          </w:tcPr>
          <w:p>
            <w:pPr>
              <w:jc w:val="left"/>
              <w:rPr>
                <w:rFonts w:hint="default"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所学专业或职称为电气类相关专业，具备中级或以上技术职称。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8</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给排水工程师</w:t>
            </w:r>
          </w:p>
        </w:tc>
        <w:tc>
          <w:tcPr>
            <w:tcW w:w="750" w:type="dxa"/>
            <w:vAlign w:val="center"/>
          </w:tcPr>
          <w:p>
            <w:pPr>
              <w:jc w:val="left"/>
              <w:rPr>
                <w:rFonts w:hint="default"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所学专业或职称为给排水专业类，具备中级或以上技术职称。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9</w:t>
            </w:r>
          </w:p>
        </w:tc>
        <w:tc>
          <w:tcPr>
            <w:tcW w:w="1673" w:type="dxa"/>
            <w:vAlign w:val="center"/>
          </w:tcPr>
          <w:p>
            <w:pPr>
              <w:jc w:val="left"/>
              <w:rPr>
                <w:rFonts w:ascii="宋体" w:hAnsi="宋体" w:eastAsia="宋体" w:cs="Times New Roman"/>
                <w:bCs w:val="0"/>
                <w:color w:val="auto"/>
                <w:kern w:val="2"/>
                <w:sz w:val="24"/>
                <w:highlight w:val="none"/>
              </w:rPr>
            </w:pPr>
            <w:r>
              <w:rPr>
                <w:rFonts w:hint="default" w:ascii="宋体" w:hAnsi="宋体" w:eastAsia="宋体" w:cs="Times New Roman"/>
                <w:color w:val="auto"/>
                <w:sz w:val="24"/>
                <w:szCs w:val="24"/>
                <w:highlight w:val="none"/>
                <w:u w:val="none"/>
              </w:rPr>
              <w:t>通风空调工程师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所学专业或职称为通风空调专业类，具备中级或以上技术职称。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10</w:t>
            </w:r>
          </w:p>
        </w:tc>
        <w:tc>
          <w:tcPr>
            <w:tcW w:w="1673" w:type="dxa"/>
            <w:vAlign w:val="center"/>
          </w:tcPr>
          <w:p>
            <w:pPr>
              <w:jc w:val="left"/>
              <w:rPr>
                <w:rFonts w:ascii="宋体" w:hAnsi="宋体" w:eastAsia="宋体" w:cs="Times New Roman"/>
                <w:bCs w:val="0"/>
                <w:color w:val="auto"/>
                <w:kern w:val="2"/>
                <w:sz w:val="24"/>
                <w:highlight w:val="none"/>
              </w:rPr>
            </w:pPr>
            <w:r>
              <w:rPr>
                <w:rFonts w:hint="default" w:ascii="宋体" w:hAnsi="宋体" w:eastAsia="宋体" w:cs="Times New Roman"/>
                <w:color w:val="auto"/>
                <w:sz w:val="24"/>
                <w:szCs w:val="24"/>
                <w:highlight w:val="none"/>
                <w:u w:val="none"/>
              </w:rPr>
              <w:t>弱电专业工程师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所学专业或职称为计算机、电子、通信、自动化、信息、软件、网络、机电一体化、智能化等相关专业，具有中级或以上技术职称。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11</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strike w:val="0"/>
                <w:color w:val="auto"/>
                <w:sz w:val="24"/>
                <w:szCs w:val="24"/>
                <w:highlight w:val="none"/>
                <w:u w:val="none"/>
              </w:rPr>
              <w:t>装修专业工程师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eastAsia="zh-CN"/>
              </w:rPr>
              <w:t>3</w:t>
            </w:r>
          </w:p>
        </w:tc>
        <w:tc>
          <w:tcPr>
            <w:tcW w:w="6231" w:type="dxa"/>
            <w:vAlign w:val="center"/>
          </w:tcPr>
          <w:p>
            <w:pPr>
              <w:jc w:val="left"/>
              <w:rPr>
                <w:rFonts w:ascii="宋体" w:hAnsi="宋体" w:eastAsia="宋体"/>
                <w:bCs w:val="0"/>
                <w:color w:val="auto"/>
                <w:kern w:val="2"/>
                <w:sz w:val="24"/>
                <w:highlight w:val="none"/>
              </w:rPr>
            </w:pPr>
            <w:r>
              <w:rPr>
                <w:rFonts w:hint="default" w:ascii="宋体" w:hAnsi="宋体" w:eastAsia="宋体" w:cs="Times New Roman"/>
                <w:color w:val="auto"/>
                <w:sz w:val="24"/>
                <w:szCs w:val="24"/>
                <w:highlight w:val="none"/>
                <w:u w:val="none"/>
              </w:rPr>
              <w:t>所学专业或职称为</w:t>
            </w:r>
            <w:r>
              <w:rPr>
                <w:rFonts w:hint="default" w:ascii="宋体" w:hAnsi="宋体" w:eastAsia="宋体" w:cs="Times New Roman"/>
                <w:color w:val="auto"/>
                <w:sz w:val="24"/>
                <w:szCs w:val="24"/>
                <w:highlight w:val="none"/>
                <w:u w:val="none"/>
                <w:lang w:val="en-US" w:eastAsia="zh-CN"/>
              </w:rPr>
              <w:t>装饰装修</w:t>
            </w:r>
            <w:r>
              <w:rPr>
                <w:rFonts w:hint="default" w:ascii="宋体" w:hAnsi="宋体" w:eastAsia="宋体" w:cs="Times New Roman"/>
                <w:color w:val="auto"/>
                <w:sz w:val="24"/>
                <w:szCs w:val="24"/>
                <w:highlight w:val="none"/>
                <w:u w:val="none"/>
              </w:rPr>
              <w:t>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12</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eastAsia="zh-CN" w:bidi="ar"/>
              </w:rPr>
              <w:t>质检</w:t>
            </w:r>
            <w:r>
              <w:rPr>
                <w:rFonts w:hint="default" w:ascii="宋体" w:hAnsi="宋体" w:eastAsia="宋体" w:cs="Times New Roman"/>
                <w:color w:val="auto"/>
                <w:sz w:val="24"/>
                <w:szCs w:val="24"/>
                <w:highlight w:val="none"/>
                <w:u w:val="none"/>
                <w:lang w:bidi="ar"/>
              </w:rPr>
              <w:t>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eastAsia="zh-CN"/>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所学专业或职称为</w:t>
            </w:r>
            <w:r>
              <w:rPr>
                <w:rFonts w:hint="default" w:ascii="宋体" w:hAnsi="宋体" w:eastAsia="宋体" w:cs="Times New Roman"/>
                <w:color w:val="auto"/>
                <w:sz w:val="24"/>
                <w:szCs w:val="24"/>
                <w:highlight w:val="none"/>
                <w:u w:val="none"/>
                <w:lang w:val="en-US" w:eastAsia="zh-CN"/>
              </w:rPr>
              <w:t>装饰装修</w:t>
            </w:r>
            <w:r>
              <w:rPr>
                <w:rFonts w:hint="default" w:ascii="宋体" w:hAnsi="宋体" w:eastAsia="宋体" w:cs="Times New Roman"/>
                <w:color w:val="auto"/>
                <w:sz w:val="24"/>
                <w:szCs w:val="24"/>
                <w:highlight w:val="none"/>
                <w:u w:val="none"/>
              </w:rPr>
              <w:t>类相关专业，具备中级或以上技术职称。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hint="eastAsia" w:ascii="宋体" w:hAnsi="宋体"/>
                <w:color w:val="auto"/>
                <w:sz w:val="24"/>
                <w:highlight w:val="none"/>
              </w:rPr>
              <w:t>13</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安全工程师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val="en-US" w:eastAsia="zh-CN"/>
              </w:rPr>
              <w:t>1</w:t>
            </w:r>
          </w:p>
        </w:tc>
        <w:tc>
          <w:tcPr>
            <w:tcW w:w="6231" w:type="dxa"/>
            <w:vAlign w:val="center"/>
          </w:tcPr>
          <w:p>
            <w:pPr>
              <w:jc w:val="left"/>
              <w:rPr>
                <w:rFonts w:ascii="宋体" w:hAnsi="宋体" w:eastAsia="宋体"/>
                <w:bCs w:val="0"/>
                <w:color w:val="auto"/>
                <w:kern w:val="2"/>
                <w:sz w:val="24"/>
                <w:highlight w:val="none"/>
              </w:rPr>
            </w:pPr>
            <w:r>
              <w:rPr>
                <w:rFonts w:hint="default" w:ascii="宋体" w:hAnsi="宋体" w:eastAsia="宋体" w:cs="Times New Roman"/>
                <w:color w:val="auto"/>
                <w:sz w:val="24"/>
                <w:szCs w:val="24"/>
                <w:highlight w:val="none"/>
                <w:u w:val="none"/>
              </w:rPr>
              <w:t>具备“建筑施工安全”类别的注册安全工程师执业资格</w:t>
            </w:r>
            <w:r>
              <w:rPr>
                <w:rFonts w:hint="default" w:ascii="宋体" w:hAnsi="宋体" w:eastAsia="宋体" w:cs="Times New Roman"/>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strike/>
                <w:color w:val="auto"/>
                <w:sz w:val="24"/>
                <w:highlight w:val="none"/>
              </w:rPr>
            </w:pPr>
            <w:r>
              <w:rPr>
                <w:rFonts w:hint="eastAsia" w:ascii="宋体" w:hAnsi="宋体"/>
                <w:strike w:val="0"/>
                <w:color w:val="auto"/>
                <w:sz w:val="24"/>
                <w:highlight w:val="none"/>
              </w:rPr>
              <w:t>14</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造价工程师</w:t>
            </w:r>
          </w:p>
        </w:tc>
        <w:tc>
          <w:tcPr>
            <w:tcW w:w="750"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造价工程师具有</w:t>
            </w:r>
            <w:r>
              <w:rPr>
                <w:rFonts w:hint="default" w:ascii="宋体" w:hAnsi="宋体" w:eastAsia="宋体" w:cs="Times New Roman"/>
                <w:color w:val="auto"/>
                <w:sz w:val="24"/>
                <w:szCs w:val="24"/>
                <w:highlight w:val="none"/>
                <w:u w:val="none"/>
                <w:lang w:val="en-US" w:eastAsia="zh-CN"/>
              </w:rPr>
              <w:t>一</w:t>
            </w:r>
            <w:r>
              <w:rPr>
                <w:rFonts w:hint="default" w:ascii="宋体" w:hAnsi="宋体" w:eastAsia="宋体" w:cs="Times New Roman"/>
                <w:color w:val="auto"/>
                <w:sz w:val="24"/>
                <w:szCs w:val="24"/>
                <w:highlight w:val="none"/>
                <w:u w:val="none"/>
              </w:rPr>
              <w:t>级注册造价工程师。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5</w:t>
            </w:r>
          </w:p>
        </w:tc>
        <w:tc>
          <w:tcPr>
            <w:tcW w:w="1673" w:type="dxa"/>
            <w:vAlign w:val="center"/>
          </w:tcPr>
          <w:p>
            <w:pPr>
              <w:jc w:val="left"/>
              <w:rPr>
                <w:rFonts w:ascii="宋体" w:hAnsi="宋体" w:eastAsia="宋体"/>
                <w:color w:val="auto"/>
                <w:sz w:val="24"/>
                <w:highlight w:val="none"/>
              </w:rPr>
            </w:pPr>
            <w:r>
              <w:rPr>
                <w:rFonts w:hint="default" w:ascii="宋体" w:hAnsi="宋体" w:eastAsia="宋体" w:cs="Times New Roman"/>
                <w:color w:val="auto"/>
                <w:sz w:val="24"/>
                <w:szCs w:val="24"/>
                <w:highlight w:val="none"/>
                <w:u w:val="none"/>
              </w:rPr>
              <w:t>专职安全员</w:t>
            </w:r>
          </w:p>
        </w:tc>
        <w:tc>
          <w:tcPr>
            <w:tcW w:w="750" w:type="dxa"/>
            <w:vAlign w:val="center"/>
          </w:tcPr>
          <w:p>
            <w:pPr>
              <w:jc w:val="left"/>
              <w:rPr>
                <w:rFonts w:hint="default" w:ascii="宋体" w:hAnsi="宋体" w:eastAsia="宋体"/>
                <w:color w:val="auto"/>
                <w:sz w:val="24"/>
                <w:highlight w:val="none"/>
              </w:rPr>
            </w:pPr>
            <w:r>
              <w:rPr>
                <w:rFonts w:hint="default" w:ascii="宋体" w:hAnsi="宋体" w:eastAsia="宋体" w:cs="Times New Roman"/>
                <w:color w:val="auto"/>
                <w:sz w:val="24"/>
                <w:szCs w:val="24"/>
                <w:highlight w:val="none"/>
                <w:u w:val="none"/>
                <w:lang w:val="en-US"/>
              </w:rPr>
              <w:t>1</w:t>
            </w:r>
          </w:p>
        </w:tc>
        <w:tc>
          <w:tcPr>
            <w:tcW w:w="6231" w:type="dxa"/>
            <w:vAlign w:val="center"/>
          </w:tcPr>
          <w:p>
            <w:pPr>
              <w:jc w:val="left"/>
              <w:rPr>
                <w:rFonts w:ascii="宋体" w:hAnsi="宋体" w:eastAsia="宋体" w:cs="Times New Roman"/>
                <w:color w:val="auto"/>
                <w:kern w:val="2"/>
                <w:sz w:val="24"/>
                <w:highlight w:val="none"/>
              </w:rPr>
            </w:pPr>
            <w:r>
              <w:rPr>
                <w:rFonts w:hint="default" w:ascii="宋体" w:hAnsi="宋体" w:eastAsia="宋体" w:cs="Times New Roman"/>
                <w:color w:val="auto"/>
                <w:sz w:val="24"/>
                <w:szCs w:val="24"/>
                <w:highlight w:val="none"/>
                <w:u w:val="none"/>
              </w:rPr>
              <w:t>符合招标公告要求。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6</w:t>
            </w:r>
          </w:p>
        </w:tc>
        <w:tc>
          <w:tcPr>
            <w:tcW w:w="1673" w:type="dxa"/>
            <w:vAlign w:val="center"/>
          </w:tcPr>
          <w:p>
            <w:pPr>
              <w:jc w:val="left"/>
              <w:rPr>
                <w:rFonts w:hint="default" w:ascii="宋体" w:hAnsi="宋体" w:eastAsia="宋体" w:cs="Times New Roman"/>
                <w:color w:val="auto"/>
                <w:kern w:val="2"/>
                <w:sz w:val="24"/>
                <w:szCs w:val="24"/>
                <w:highlight w:val="none"/>
                <w:u w:val="none"/>
                <w:lang w:val="en-US" w:eastAsia="zh-CN" w:bidi="ar-SA"/>
              </w:rPr>
            </w:pPr>
            <w:r>
              <w:rPr>
                <w:rFonts w:hint="default" w:ascii="宋体" w:hAnsi="宋体" w:eastAsia="宋体" w:cs="Times New Roman"/>
                <w:color w:val="auto"/>
                <w:sz w:val="24"/>
                <w:szCs w:val="24"/>
                <w:highlight w:val="none"/>
                <w:u w:val="none"/>
              </w:rPr>
              <w:t>资料员</w:t>
            </w:r>
          </w:p>
        </w:tc>
        <w:tc>
          <w:tcPr>
            <w:tcW w:w="750" w:type="dxa"/>
            <w:vAlign w:val="center"/>
          </w:tcPr>
          <w:p>
            <w:pPr>
              <w:jc w:val="left"/>
              <w:rPr>
                <w:rFonts w:hint="default" w:ascii="宋体" w:hAnsi="宋体" w:eastAsia="宋体" w:cs="Times New Roman"/>
                <w:color w:val="auto"/>
                <w:kern w:val="2"/>
                <w:sz w:val="24"/>
                <w:szCs w:val="24"/>
                <w:highlight w:val="none"/>
                <w:u w:val="none"/>
                <w:lang w:val="en-US" w:eastAsia="zh-CN" w:bidi="ar-SA"/>
              </w:rPr>
            </w:pPr>
            <w:r>
              <w:rPr>
                <w:rFonts w:hint="default" w:ascii="宋体" w:hAnsi="宋体" w:eastAsia="宋体" w:cs="Times New Roman"/>
                <w:color w:val="auto"/>
                <w:sz w:val="24"/>
                <w:szCs w:val="24"/>
                <w:highlight w:val="none"/>
                <w:u w:val="none"/>
                <w:lang w:eastAsia="zh-TW"/>
              </w:rPr>
              <w:t>1</w:t>
            </w:r>
          </w:p>
        </w:tc>
        <w:tc>
          <w:tcPr>
            <w:tcW w:w="6231" w:type="dxa"/>
            <w:vAlign w:val="center"/>
          </w:tcPr>
          <w:p>
            <w:pPr>
              <w:jc w:val="left"/>
              <w:rPr>
                <w:rFonts w:hint="default" w:ascii="宋体" w:hAnsi="宋体" w:eastAsia="宋体" w:cs="Times New Roman"/>
                <w:color w:val="auto"/>
                <w:kern w:val="2"/>
                <w:sz w:val="24"/>
                <w:szCs w:val="24"/>
                <w:highlight w:val="none"/>
                <w:u w:val="none"/>
                <w:lang w:val="en-US" w:eastAsia="zh-CN" w:bidi="ar-SA"/>
              </w:rPr>
            </w:pPr>
            <w:r>
              <w:rPr>
                <w:rFonts w:hint="default" w:ascii="宋体" w:hAnsi="宋体" w:eastAsia="宋体" w:cs="Times New Roman"/>
                <w:color w:val="auto"/>
                <w:sz w:val="24"/>
                <w:szCs w:val="24"/>
                <w:highlight w:val="none"/>
                <w:u w:val="none"/>
              </w:rPr>
              <w:t>工程类相关专业大专以上学历。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dxa"/>
            <w:vAlign w:val="center"/>
          </w:tcPr>
          <w:p>
            <w:pPr>
              <w:jc w:val="center"/>
              <w:rPr>
                <w:rFonts w:ascii="宋体" w:hAnsi="宋体"/>
                <w:color w:val="auto"/>
                <w:sz w:val="24"/>
                <w:highlight w:val="none"/>
              </w:rPr>
            </w:pPr>
          </w:p>
        </w:tc>
        <w:tc>
          <w:tcPr>
            <w:tcW w:w="1673" w:type="dxa"/>
            <w:vAlign w:val="center"/>
          </w:tcPr>
          <w:p>
            <w:pPr>
              <w:jc w:val="right"/>
              <w:rPr>
                <w:rFonts w:ascii="宋体" w:hAnsi="宋体"/>
                <w:color w:val="auto"/>
                <w:sz w:val="24"/>
                <w:highlight w:val="none"/>
              </w:rPr>
            </w:pPr>
            <w:r>
              <w:rPr>
                <w:rFonts w:hint="eastAsia" w:ascii="宋体" w:hAnsi="宋体"/>
                <w:color w:val="auto"/>
                <w:sz w:val="24"/>
                <w:highlight w:val="none"/>
              </w:rPr>
              <w:t>小计</w:t>
            </w:r>
          </w:p>
        </w:tc>
        <w:tc>
          <w:tcPr>
            <w:tcW w:w="750" w:type="dxa"/>
            <w:vAlign w:val="center"/>
          </w:tcPr>
          <w:p>
            <w:pPr>
              <w:jc w:val="center"/>
              <w:rPr>
                <w:rFonts w:hint="default" w:eastAsia="宋体"/>
                <w:b/>
                <w:color w:val="auto"/>
                <w:sz w:val="24"/>
                <w:highlight w:val="none"/>
                <w:lang w:val="en-US" w:eastAsia="zh-CN"/>
              </w:rPr>
            </w:pPr>
            <w:r>
              <w:rPr>
                <w:rFonts w:hint="eastAsia"/>
                <w:b/>
                <w:color w:val="auto"/>
                <w:sz w:val="24"/>
                <w:highlight w:val="none"/>
                <w:lang w:val="en-US" w:eastAsia="zh-CN"/>
              </w:rPr>
              <w:t>17</w:t>
            </w:r>
          </w:p>
        </w:tc>
        <w:tc>
          <w:tcPr>
            <w:tcW w:w="6231" w:type="dxa"/>
          </w:tcPr>
          <w:p>
            <w:pPr>
              <w:rPr>
                <w:b/>
                <w:color w:val="auto"/>
                <w:sz w:val="24"/>
                <w:highlight w:val="none"/>
              </w:rPr>
            </w:pPr>
            <w:bookmarkStart w:id="32" w:name="_GoBack"/>
            <w:bookmarkEnd w:id="32"/>
          </w:p>
        </w:tc>
      </w:tr>
    </w:tbl>
    <w:p>
      <w:pPr>
        <w:pStyle w:val="16"/>
        <w:adjustRightInd w:val="0"/>
        <w:snapToGrid w:val="0"/>
        <w:spacing w:line="360" w:lineRule="auto"/>
        <w:ind w:firstLine="211" w:firstLineChars="100"/>
        <w:rPr>
          <w:b/>
          <w:snapToGrid w:val="0"/>
          <w:color w:val="auto"/>
          <w:kern w:val="0"/>
          <w:highlight w:val="none"/>
        </w:rPr>
      </w:pPr>
    </w:p>
    <w:p>
      <w:pPr>
        <w:spacing w:line="360" w:lineRule="auto"/>
        <w:jc w:val="left"/>
        <w:rPr>
          <w:rFonts w:ascii="宋体" w:hAnsi="宋体" w:cs="宋体"/>
          <w:b/>
          <w:snapToGrid w:val="0"/>
          <w:color w:val="auto"/>
          <w:kern w:val="0"/>
          <w:highlight w:val="none"/>
        </w:rPr>
      </w:pPr>
      <w:r>
        <w:rPr>
          <w:rFonts w:hint="eastAsia" w:ascii="宋体" w:hAnsi="宋体" w:cs="宋体"/>
          <w:b/>
          <w:snapToGrid w:val="0"/>
          <w:color w:val="auto"/>
          <w:kern w:val="0"/>
          <w:highlight w:val="none"/>
        </w:rPr>
        <w:t>注：投标人应同时提供人员截止投标前近一个月（即202</w:t>
      </w:r>
      <w:r>
        <w:rPr>
          <w:rFonts w:hint="eastAsia" w:ascii="宋体" w:hAnsi="宋体" w:cs="宋体"/>
          <w:b/>
          <w:snapToGrid w:val="0"/>
          <w:color w:val="auto"/>
          <w:kern w:val="0"/>
          <w:highlight w:val="none"/>
          <w:lang w:val="en-US"/>
        </w:rPr>
        <w:t>4</w:t>
      </w:r>
      <w:r>
        <w:rPr>
          <w:rFonts w:hint="eastAsia" w:ascii="宋体" w:hAnsi="宋体" w:cs="宋体"/>
          <w:b/>
          <w:snapToGrid w:val="0"/>
          <w:color w:val="auto"/>
          <w:kern w:val="0"/>
          <w:highlight w:val="none"/>
        </w:rPr>
        <w:t>年</w:t>
      </w:r>
      <w:r>
        <w:rPr>
          <w:rFonts w:hint="eastAsia" w:ascii="宋体" w:hAnsi="宋体" w:cs="宋体"/>
          <w:b/>
          <w:snapToGrid w:val="0"/>
          <w:color w:val="auto"/>
          <w:kern w:val="0"/>
          <w:highlight w:val="none"/>
          <w:lang w:val="en-US" w:eastAsia="zh-CN"/>
        </w:rPr>
        <w:t>6</w:t>
      </w:r>
      <w:r>
        <w:rPr>
          <w:rFonts w:hint="eastAsia" w:ascii="宋体" w:hAnsi="宋体" w:cs="宋体"/>
          <w:b/>
          <w:snapToGrid w:val="0"/>
          <w:color w:val="auto"/>
          <w:kern w:val="0"/>
          <w:highlight w:val="none"/>
        </w:rPr>
        <w:t>月）在本单位（不含投标人的子公司）购买社保的缴费记录。不符合条件或无提交相关资料的不计分。除注明外，各岗位人员不得相互兼职。施工单位必须满足或优于以上项目人员配备要求。</w:t>
      </w:r>
    </w:p>
    <w:p>
      <w:pPr>
        <w:pStyle w:val="15"/>
        <w:snapToGrid/>
        <w:ind w:firstLine="498"/>
        <w:rPr>
          <w:b/>
          <w:color w:val="auto"/>
          <w:highlight w:val="none"/>
        </w:rPr>
      </w:pPr>
      <w:r>
        <w:rPr>
          <w:rFonts w:hint="eastAsia"/>
          <w:b/>
          <w:color w:val="auto"/>
          <w:highlight w:val="none"/>
        </w:rPr>
        <w:t>（五）材料管理要求</w:t>
      </w:r>
    </w:p>
    <w:p>
      <w:pPr>
        <w:topLinePunct/>
        <w:adjustRightInd w:val="0"/>
        <w:spacing w:line="360" w:lineRule="auto"/>
        <w:ind w:firstLine="496" w:firstLineChars="200"/>
        <w:rPr>
          <w:rFonts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1、要求施工</w:t>
      </w:r>
      <w:r>
        <w:rPr>
          <w:rFonts w:hint="eastAsia" w:ascii="宋体" w:hAnsi="宋体"/>
          <w:color w:val="auto"/>
          <w:sz w:val="24"/>
          <w:highlight w:val="none"/>
        </w:rPr>
        <w:t>总承包</w:t>
      </w:r>
      <w:r>
        <w:rPr>
          <w:rFonts w:hint="eastAsia" w:ascii="宋体" w:hAnsi="宋体"/>
          <w:snapToGrid w:val="0"/>
          <w:color w:val="auto"/>
          <w:spacing w:val="4"/>
          <w:kern w:val="0"/>
          <w:sz w:val="24"/>
          <w:highlight w:val="none"/>
        </w:rPr>
        <w:t>单位进场14天内，根据设计文件及市重点项目管理中心《乙供材料（设备）管理办法》要求梳理并编制材料看样定板计划。</w:t>
      </w:r>
    </w:p>
    <w:p>
      <w:pPr>
        <w:topLinePunct/>
        <w:adjustRightInd w:val="0"/>
        <w:spacing w:line="360" w:lineRule="auto"/>
        <w:ind w:firstLine="496" w:firstLineChars="200"/>
        <w:rPr>
          <w:rFonts w:hint="eastAsia" w:ascii="宋体" w:hAnsi="宋体"/>
          <w:snapToGrid w:val="0"/>
          <w:color w:val="auto"/>
          <w:spacing w:val="4"/>
          <w:kern w:val="0"/>
          <w:sz w:val="24"/>
          <w:highlight w:val="none"/>
        </w:rPr>
      </w:pPr>
      <w:r>
        <w:rPr>
          <w:rFonts w:hint="eastAsia" w:ascii="宋体" w:hAnsi="宋体"/>
          <w:snapToGrid w:val="0"/>
          <w:color w:val="auto"/>
          <w:spacing w:val="4"/>
          <w:kern w:val="0"/>
          <w:sz w:val="24"/>
          <w:highlight w:val="none"/>
        </w:rPr>
        <w:t>2、要求施工</w:t>
      </w:r>
      <w:r>
        <w:rPr>
          <w:rFonts w:hint="eastAsia" w:ascii="宋体" w:hAnsi="宋体"/>
          <w:color w:val="auto"/>
          <w:sz w:val="24"/>
          <w:highlight w:val="none"/>
        </w:rPr>
        <w:t>总承包</w:t>
      </w:r>
      <w:r>
        <w:rPr>
          <w:rFonts w:hint="eastAsia" w:ascii="宋体" w:hAnsi="宋体"/>
          <w:snapToGrid w:val="0"/>
          <w:color w:val="auto"/>
          <w:spacing w:val="4"/>
          <w:kern w:val="0"/>
          <w:sz w:val="24"/>
          <w:highlight w:val="none"/>
        </w:rPr>
        <w:t>单位进场7天内完成所有原材料（钢材、商品砼等可先行资质申报）的采购计划，落实原材料采购协议。</w:t>
      </w:r>
    </w:p>
    <w:p>
      <w:pPr>
        <w:topLinePunct/>
        <w:adjustRightInd w:val="0"/>
        <w:spacing w:line="360" w:lineRule="auto"/>
        <w:ind w:firstLine="496" w:firstLineChars="200"/>
        <w:rPr>
          <w:rFonts w:hint="eastAsia" w:ascii="宋体" w:hAnsi="宋体"/>
          <w:snapToGrid w:val="0"/>
          <w:color w:val="auto"/>
          <w:spacing w:val="4"/>
          <w:kern w:val="0"/>
          <w:sz w:val="24"/>
          <w:highlight w:val="none"/>
          <w:lang w:val="en-US" w:eastAsia="zh-CN"/>
        </w:rPr>
      </w:pPr>
      <w:r>
        <w:rPr>
          <w:rFonts w:hint="eastAsia" w:ascii="宋体" w:hAnsi="宋体"/>
          <w:snapToGrid w:val="0"/>
          <w:color w:val="auto"/>
          <w:spacing w:val="4"/>
          <w:kern w:val="0"/>
          <w:sz w:val="24"/>
          <w:highlight w:val="none"/>
          <w:lang w:val="en-US" w:eastAsia="zh-CN"/>
        </w:rPr>
        <w:t>3、关于该项目原旧有需拆除设备及物资，包括但不限于汽车升降梯以及高低压配电柜等，结合原权属单位做好拆除物资登记、存储、移交等工作。</w:t>
      </w:r>
    </w:p>
    <w:p>
      <w:pPr>
        <w:topLinePunct/>
        <w:adjustRightInd w:val="0"/>
        <w:spacing w:line="360" w:lineRule="auto"/>
        <w:ind w:firstLine="496" w:firstLineChars="200"/>
        <w:rPr>
          <w:rFonts w:hint="default" w:ascii="宋体" w:hAnsi="宋体"/>
          <w:snapToGrid w:val="0"/>
          <w:color w:val="auto"/>
          <w:spacing w:val="4"/>
          <w:kern w:val="0"/>
          <w:sz w:val="24"/>
          <w:highlight w:val="none"/>
          <w:lang w:val="en-US" w:eastAsia="zh-CN"/>
        </w:rPr>
      </w:pPr>
      <w:r>
        <w:rPr>
          <w:rFonts w:hint="eastAsia" w:ascii="宋体" w:hAnsi="宋体"/>
          <w:snapToGrid w:val="0"/>
          <w:color w:val="auto"/>
          <w:spacing w:val="4"/>
          <w:kern w:val="0"/>
          <w:sz w:val="24"/>
          <w:highlight w:val="none"/>
          <w:lang w:val="en-US" w:eastAsia="zh-CN"/>
        </w:rPr>
        <w:t>4、关于材料进出管理要求；鉴于该项目场地条件有限，承包单位需结合现场实际场地，编制建筑材料二次周转组织方案以及电梯错高峰运输等措施，确保该办公楼正常业务运营。</w:t>
      </w:r>
    </w:p>
    <w:p>
      <w:pPr>
        <w:pStyle w:val="15"/>
        <w:snapToGrid/>
        <w:ind w:firstLine="498"/>
        <w:rPr>
          <w:b/>
          <w:color w:val="auto"/>
          <w:highlight w:val="none"/>
        </w:rPr>
      </w:pPr>
      <w:r>
        <w:rPr>
          <w:rFonts w:hint="eastAsia"/>
          <w:b/>
          <w:color w:val="auto"/>
          <w:highlight w:val="none"/>
        </w:rPr>
        <w:t>（六）主要机械设备配置及管理要求</w:t>
      </w:r>
    </w:p>
    <w:p>
      <w:pPr>
        <w:tabs>
          <w:tab w:val="left" w:pos="1080"/>
        </w:tabs>
        <w:adjustRightInd w:val="0"/>
        <w:snapToGrid w:val="0"/>
        <w:spacing w:line="360" w:lineRule="auto"/>
        <w:ind w:left="181" w:leftChars="86" w:firstLine="360" w:firstLineChars="150"/>
        <w:rPr>
          <w:rFonts w:hint="default" w:ascii="宋体" w:hAnsi="宋体" w:eastAsia="宋体"/>
          <w:color w:val="auto"/>
          <w:sz w:val="24"/>
          <w:highlight w:val="none"/>
          <w:lang w:val="en-US" w:eastAsia="zh-CN"/>
        </w:rPr>
      </w:pPr>
      <w:r>
        <w:rPr>
          <w:rFonts w:hint="eastAsia" w:ascii="宋体" w:hAnsi="宋体"/>
          <w:color w:val="auto"/>
          <w:sz w:val="24"/>
          <w:highlight w:val="none"/>
        </w:rPr>
        <w:t>要求施工总承包单位进场后必须按合同约定时间对应审批后的施工组织设计提交主要机械设备进场计划。</w:t>
      </w:r>
      <w:r>
        <w:rPr>
          <w:rFonts w:hint="eastAsia" w:ascii="宋体" w:hAnsi="宋体"/>
          <w:color w:val="auto"/>
          <w:sz w:val="24"/>
          <w:highlight w:val="none"/>
          <w:lang w:val="en-US" w:eastAsia="zh-CN"/>
        </w:rPr>
        <w:t>选取施工机械需综合考虑降噪除尘等安全文明施工6个100%要求，确保大楼办公业务正常运营。</w:t>
      </w:r>
    </w:p>
    <w:p>
      <w:pPr>
        <w:ind w:firstLine="600" w:firstLineChars="200"/>
        <w:jc w:val="left"/>
        <w:rPr>
          <w:rFonts w:ascii="黑体" w:hAnsi="黑体" w:eastAsia="黑体" w:cs="黑体"/>
          <w:bCs/>
          <w:color w:val="auto"/>
          <w:sz w:val="30"/>
          <w:szCs w:val="30"/>
          <w:highlight w:val="none"/>
        </w:rPr>
      </w:pPr>
      <w:bookmarkStart w:id="31" w:name="_Toc403566289"/>
      <w:r>
        <w:rPr>
          <w:rFonts w:hint="eastAsia" w:ascii="黑体" w:hAnsi="黑体" w:eastAsia="黑体" w:cs="黑体"/>
          <w:bCs/>
          <w:color w:val="auto"/>
          <w:sz w:val="30"/>
          <w:szCs w:val="30"/>
          <w:highlight w:val="none"/>
        </w:rPr>
        <w:t>四、其它要求及相关提示</w:t>
      </w:r>
    </w:p>
    <w:p>
      <w:pPr>
        <w:pStyle w:val="15"/>
        <w:ind w:firstLine="496"/>
        <w:rPr>
          <w:color w:val="auto"/>
          <w:highlight w:val="none"/>
        </w:rPr>
      </w:pPr>
      <w:r>
        <w:rPr>
          <w:rFonts w:hint="eastAsia" w:ascii="宋体" w:hAnsi="宋体"/>
          <w:color w:val="auto"/>
          <w:highlight w:val="none"/>
        </w:rPr>
        <w:t>（一）现场安保人员的数量要求：施工期间应不少于</w:t>
      </w:r>
      <w:r>
        <w:rPr>
          <w:rFonts w:hint="default" w:ascii="宋体" w:hAnsi="宋体"/>
          <w:color w:val="auto"/>
          <w:highlight w:val="none"/>
        </w:rPr>
        <w:t>3</w:t>
      </w:r>
      <w:r>
        <w:rPr>
          <w:rFonts w:hint="eastAsia" w:ascii="宋体" w:hAnsi="宋体"/>
          <w:color w:val="auto"/>
          <w:highlight w:val="none"/>
        </w:rPr>
        <w:t>人。</w:t>
      </w:r>
    </w:p>
    <w:p>
      <w:pPr>
        <w:pStyle w:val="15"/>
        <w:ind w:firstLine="496"/>
        <w:rPr>
          <w:color w:val="auto"/>
          <w:highlight w:val="none"/>
        </w:rPr>
      </w:pPr>
      <w:r>
        <w:rPr>
          <w:rFonts w:hint="eastAsia"/>
          <w:color w:val="auto"/>
          <w:highlight w:val="none"/>
        </w:rPr>
        <w:t>（二）施工现场临设布置及配合服务主要内容</w:t>
      </w:r>
    </w:p>
    <w:p>
      <w:pPr>
        <w:pStyle w:val="15"/>
        <w:ind w:firstLine="496"/>
        <w:rPr>
          <w:color w:val="auto"/>
          <w:highlight w:val="none"/>
        </w:rPr>
      </w:pPr>
      <w:r>
        <w:rPr>
          <w:rFonts w:hint="eastAsia"/>
          <w:color w:val="auto"/>
          <w:highlight w:val="none"/>
        </w:rPr>
        <w:t>1、</w:t>
      </w:r>
      <w:r>
        <w:rPr>
          <w:rFonts w:hint="eastAsia"/>
          <w:color w:val="auto"/>
          <w:highlight w:val="none"/>
          <w:lang w:val="en-US" w:eastAsia="zh-CN"/>
        </w:rPr>
        <w:t>采用周边房屋租赁方式进行场外办公；鉴于该项目场地条件十分有限，场内不具备搭设板房条件，要求</w:t>
      </w:r>
      <w:r>
        <w:rPr>
          <w:rFonts w:hint="eastAsia"/>
          <w:color w:val="auto"/>
          <w:highlight w:val="none"/>
        </w:rPr>
        <w:t>承包人</w:t>
      </w:r>
      <w:r>
        <w:rPr>
          <w:rFonts w:hint="eastAsia"/>
          <w:color w:val="auto"/>
          <w:highlight w:val="none"/>
          <w:lang w:val="en-US" w:eastAsia="zh-CN"/>
        </w:rPr>
        <w:t>采用周边房屋租赁方式进行场外办公</w:t>
      </w:r>
      <w:r>
        <w:rPr>
          <w:rFonts w:hint="default"/>
          <w:color w:val="auto"/>
          <w:highlight w:val="none"/>
          <w:lang w:eastAsia="zh-CN"/>
        </w:rPr>
        <w:t>和工人住宿</w:t>
      </w:r>
      <w:r>
        <w:rPr>
          <w:rFonts w:hint="eastAsia"/>
          <w:color w:val="auto"/>
          <w:highlight w:val="none"/>
          <w:lang w:val="en-US" w:eastAsia="zh-CN"/>
        </w:rPr>
        <w:t>，</w:t>
      </w:r>
      <w:r>
        <w:rPr>
          <w:rFonts w:hint="eastAsia" w:ascii="宋体" w:hAnsi="宋体"/>
          <w:color w:val="auto"/>
          <w:highlight w:val="none"/>
        </w:rPr>
        <w:t>确保</w:t>
      </w:r>
      <w:r>
        <w:rPr>
          <w:rFonts w:hint="eastAsia" w:ascii="宋体" w:hAnsi="宋体"/>
          <w:color w:val="auto"/>
          <w:highlight w:val="none"/>
          <w:lang w:val="en-US" w:eastAsia="zh-CN"/>
        </w:rPr>
        <w:t>满足</w:t>
      </w:r>
      <w:r>
        <w:rPr>
          <w:rFonts w:hint="eastAsia" w:ascii="宋体" w:hAnsi="宋体"/>
          <w:color w:val="auto"/>
          <w:highlight w:val="none"/>
        </w:rPr>
        <w:t>业主、设计及监理单位正常办公</w:t>
      </w:r>
      <w:r>
        <w:rPr>
          <w:rFonts w:hint="eastAsia" w:ascii="宋体" w:hAnsi="宋体"/>
          <w:color w:val="auto"/>
          <w:highlight w:val="none"/>
          <w:lang w:val="en-US" w:eastAsia="zh-CN"/>
        </w:rPr>
        <w:t>需要</w:t>
      </w:r>
      <w:r>
        <w:rPr>
          <w:rFonts w:hint="eastAsia"/>
          <w:color w:val="auto"/>
          <w:highlight w:val="none"/>
        </w:rPr>
        <w:t>。</w:t>
      </w:r>
    </w:p>
    <w:p>
      <w:pPr>
        <w:pStyle w:val="15"/>
        <w:ind w:firstLine="496"/>
        <w:rPr>
          <w:color w:val="auto"/>
          <w:highlight w:val="none"/>
        </w:rPr>
      </w:pPr>
      <w:r>
        <w:rPr>
          <w:rFonts w:hint="eastAsia"/>
          <w:color w:val="auto"/>
          <w:highlight w:val="none"/>
        </w:rPr>
        <w:t>2、承包人负责办理工程施工开工及验收所涉及报批报建、报装、报监、报验等各项手续的办理。包括但不限于施工许可、质量监督、安全监督、临时施工给排水、施工废弃物排放、特种设备安装告知和准用登记等许可手续施工许可证（或临时施工许可证）、占用（挖掘、移动、改建）城市市政设施的许可审批（包括新开或改建出入道路路口）、交通疏解及安全论证、余泥排放证、排污手续、给排水接驳、排水许可证、排污口规范化等，并承担办理上述手续的相关费用。</w:t>
      </w:r>
    </w:p>
    <w:p>
      <w:pPr>
        <w:pStyle w:val="15"/>
        <w:ind w:firstLine="496"/>
        <w:rPr>
          <w:color w:val="auto"/>
          <w:highlight w:val="none"/>
        </w:rPr>
      </w:pPr>
      <w:r>
        <w:rPr>
          <w:rFonts w:hint="eastAsia"/>
          <w:color w:val="auto"/>
          <w:highlight w:val="none"/>
        </w:rPr>
        <w:t>3、承包人负责现场安全保卫（包括且不限于办公区、生活区、现场门禁、视频监控等）、社区周边关系（包括且不限于环保、环卫、城管、街道、安监、公安、交警等部门）协调等现场综合管理；</w:t>
      </w:r>
    </w:p>
    <w:p>
      <w:pPr>
        <w:pStyle w:val="15"/>
        <w:ind w:firstLine="496"/>
        <w:rPr>
          <w:color w:val="auto"/>
          <w:highlight w:val="none"/>
        </w:rPr>
      </w:pPr>
      <w:r>
        <w:rPr>
          <w:rFonts w:hint="eastAsia"/>
          <w:color w:val="auto"/>
          <w:highlight w:val="none"/>
        </w:rPr>
        <w:t>4、承包人负责现场公共临时设施（包括且不限于应急发电机、施工临时消防设施、施工临时排水等）、公共安全防护和文明施工设施的管理及维护。</w:t>
      </w:r>
    </w:p>
    <w:p>
      <w:pPr>
        <w:pStyle w:val="15"/>
        <w:ind w:firstLine="496"/>
        <w:rPr>
          <w:color w:val="auto"/>
          <w:highlight w:val="none"/>
        </w:rPr>
      </w:pPr>
    </w:p>
    <w:p>
      <w:pPr>
        <w:pStyle w:val="15"/>
        <w:ind w:firstLine="496"/>
        <w:rPr>
          <w:color w:val="auto"/>
          <w:highlight w:val="none"/>
        </w:rPr>
      </w:pPr>
      <w:r>
        <w:rPr>
          <w:rFonts w:hint="eastAsia"/>
          <w:color w:val="auto"/>
          <w:highlight w:val="none"/>
        </w:rPr>
        <w:t>附件：</w:t>
      </w:r>
    </w:p>
    <w:p>
      <w:pPr>
        <w:pStyle w:val="15"/>
        <w:ind w:firstLine="480"/>
        <w:jc w:val="center"/>
        <w:rPr>
          <w:rFonts w:hint="eastAsia"/>
          <w:color w:val="auto"/>
          <w:highlight w:val="none"/>
        </w:rPr>
      </w:pPr>
      <w:r>
        <w:rPr>
          <w:snapToGrid/>
          <w:color w:val="auto"/>
          <w:highlight w:val="none"/>
        </w:rPr>
        <w:drawing>
          <wp:inline distT="0" distB="0" distL="0" distR="0">
            <wp:extent cx="5273675" cy="507174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3675" cy="5071745"/>
                    </a:xfrm>
                    <a:prstGeom prst="rect">
                      <a:avLst/>
                    </a:prstGeom>
                    <a:noFill/>
                    <a:ln>
                      <a:noFill/>
                    </a:ln>
                  </pic:spPr>
                </pic:pic>
              </a:graphicData>
            </a:graphic>
          </wp:inline>
        </w:drawing>
      </w:r>
    </w:p>
    <w:p>
      <w:pPr>
        <w:pStyle w:val="15"/>
        <w:ind w:firstLine="496"/>
        <w:jc w:val="center"/>
        <w:rPr>
          <w:color w:val="auto"/>
          <w:highlight w:val="none"/>
        </w:rPr>
      </w:pPr>
      <w:r>
        <w:rPr>
          <w:rFonts w:hint="eastAsia"/>
          <w:color w:val="auto"/>
          <w:highlight w:val="none"/>
        </w:rPr>
        <w:t>项目改造总平面图</w:t>
      </w:r>
    </w:p>
    <w:p>
      <w:pPr>
        <w:pStyle w:val="15"/>
        <w:ind w:firstLine="0" w:firstLineChars="0"/>
        <w:rPr>
          <w:color w:val="auto"/>
          <w:highlight w:val="none"/>
        </w:rPr>
      </w:pPr>
    </w:p>
    <w:p>
      <w:pPr>
        <w:pStyle w:val="15"/>
        <w:ind w:firstLine="0" w:firstLineChars="0"/>
        <w:rPr>
          <w:color w:val="auto"/>
          <w:highlight w:val="none"/>
        </w:rPr>
      </w:pPr>
    </w:p>
    <w:p>
      <w:pPr>
        <w:pStyle w:val="15"/>
        <w:ind w:firstLine="0" w:firstLineChars="0"/>
        <w:rPr>
          <w:color w:val="auto"/>
          <w:highlight w:val="none"/>
        </w:rPr>
      </w:pPr>
    </w:p>
    <w:p>
      <w:pPr>
        <w:pStyle w:val="15"/>
        <w:ind w:firstLine="0" w:firstLineChars="0"/>
        <w:rPr>
          <w:color w:val="auto"/>
          <w:highlight w:val="none"/>
        </w:rPr>
      </w:pPr>
    </w:p>
    <w:p>
      <w:pPr>
        <w:pStyle w:val="15"/>
        <w:ind w:firstLine="480"/>
        <w:jc w:val="center"/>
        <w:rPr>
          <w:rFonts w:hint="eastAsia"/>
          <w:color w:val="auto"/>
          <w:highlight w:val="none"/>
        </w:rPr>
      </w:pPr>
      <w:r>
        <w:rPr>
          <w:rFonts w:hint="eastAsia"/>
          <w:snapToGrid/>
          <w:color w:val="auto"/>
          <w:highlight w:val="none"/>
        </w:rPr>
        <w:drawing>
          <wp:inline distT="0" distB="0" distL="0" distR="0">
            <wp:extent cx="3381375" cy="4508500"/>
            <wp:effectExtent l="0" t="0" r="9525" b="6350"/>
            <wp:docPr id="7" name="图片 7" descr="大楼东侧外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楼东侧外立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81375" cy="4508500"/>
                    </a:xfrm>
                    <a:prstGeom prst="rect">
                      <a:avLst/>
                    </a:prstGeom>
                    <a:noFill/>
                    <a:ln>
                      <a:noFill/>
                    </a:ln>
                  </pic:spPr>
                </pic:pic>
              </a:graphicData>
            </a:graphic>
          </wp:inline>
        </w:drawing>
      </w:r>
    </w:p>
    <w:p>
      <w:pPr>
        <w:pStyle w:val="15"/>
        <w:ind w:firstLine="496"/>
        <w:jc w:val="center"/>
        <w:rPr>
          <w:rFonts w:hint="eastAsia"/>
          <w:color w:val="auto"/>
          <w:highlight w:val="none"/>
        </w:rPr>
      </w:pPr>
      <w:r>
        <w:rPr>
          <w:rFonts w:hint="eastAsia"/>
          <w:color w:val="auto"/>
          <w:highlight w:val="none"/>
        </w:rPr>
        <w:t>原旧有办公楼外立面</w:t>
      </w:r>
    </w:p>
    <w:p>
      <w:pPr>
        <w:pStyle w:val="19"/>
        <w:numPr>
          <w:ilvl w:val="0"/>
          <w:numId w:val="0"/>
        </w:numPr>
        <w:jc w:val="both"/>
        <w:rPr>
          <w:rFonts w:hint="eastAsia"/>
          <w:color w:val="auto"/>
          <w:highlight w:val="none"/>
        </w:rPr>
      </w:pPr>
      <w:r>
        <w:rPr>
          <w:rFonts w:hint="eastAsia"/>
          <w:color w:val="auto"/>
          <w:highlight w:val="none"/>
        </w:rPr>
        <w:drawing>
          <wp:inline distT="0" distB="0" distL="0" distR="0">
            <wp:extent cx="4975225" cy="3731895"/>
            <wp:effectExtent l="0" t="0" r="0" b="1905"/>
            <wp:docPr id="15" name="图片 15" descr="天花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花现状"/>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75968" cy="3732125"/>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天花现状</w:t>
      </w:r>
    </w:p>
    <w:p>
      <w:pPr>
        <w:pStyle w:val="21"/>
        <w:rPr>
          <w:rFonts w:hint="eastAsia"/>
          <w:color w:val="auto"/>
          <w:highlight w:val="none"/>
        </w:rPr>
      </w:pPr>
      <w:r>
        <w:rPr>
          <w:color w:val="auto"/>
          <w:highlight w:val="none"/>
        </w:rPr>
        <w:drawing>
          <wp:inline distT="0" distB="0" distL="0" distR="0">
            <wp:extent cx="5273675" cy="3955415"/>
            <wp:effectExtent l="0" t="0" r="3175"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3675" cy="3955415"/>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卫生间现状</w:t>
      </w:r>
    </w:p>
    <w:p>
      <w:pPr>
        <w:pStyle w:val="21"/>
        <w:rPr>
          <w:rFonts w:hint="eastAsia"/>
          <w:color w:val="auto"/>
          <w:highlight w:val="none"/>
        </w:rPr>
      </w:pPr>
      <w:r>
        <w:rPr>
          <w:rFonts w:hint="eastAsia"/>
          <w:color w:val="auto"/>
          <w:highlight w:val="none"/>
        </w:rPr>
        <w:drawing>
          <wp:inline distT="0" distB="0" distL="0" distR="0">
            <wp:extent cx="5273675" cy="3955415"/>
            <wp:effectExtent l="0" t="0" r="3175" b="6985"/>
            <wp:docPr id="13" name="图片 13" descr="房间现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房间现状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3675" cy="3955415"/>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房间现状1</w:t>
      </w:r>
    </w:p>
    <w:p>
      <w:pPr>
        <w:rPr>
          <w:color w:val="auto"/>
          <w:highlight w:val="none"/>
        </w:rPr>
      </w:pPr>
      <w:r>
        <w:rPr>
          <w:color w:val="auto"/>
          <w:highlight w:val="none"/>
        </w:rPr>
        <w:drawing>
          <wp:inline distT="0" distB="0" distL="0" distR="0">
            <wp:extent cx="5273675" cy="3955415"/>
            <wp:effectExtent l="0" t="0" r="3175" b="6985"/>
            <wp:docPr id="12" name="图片 12" descr="二楼西边房间现状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二楼西边房间现状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675" cy="3955415"/>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房间现状2</w:t>
      </w:r>
    </w:p>
    <w:p>
      <w:pPr>
        <w:rPr>
          <w:color w:val="auto"/>
          <w:highlight w:val="none"/>
        </w:rPr>
      </w:pPr>
      <w:r>
        <w:rPr>
          <w:color w:val="auto"/>
          <w:highlight w:val="none"/>
        </w:rPr>
        <w:drawing>
          <wp:inline distT="0" distB="0" distL="0" distR="0">
            <wp:extent cx="5273675" cy="3955415"/>
            <wp:effectExtent l="0" t="0" r="3175" b="6985"/>
            <wp:docPr id="11" name="图片 11" descr="九层走廊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九层走廊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3675" cy="3955415"/>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走廊现状</w:t>
      </w:r>
    </w:p>
    <w:p>
      <w:pPr>
        <w:pStyle w:val="10"/>
        <w:ind w:firstLine="0" w:firstLineChars="0"/>
        <w:rPr>
          <w:rFonts w:hint="eastAsia"/>
          <w:color w:val="auto"/>
          <w:highlight w:val="none"/>
        </w:rPr>
      </w:pPr>
      <w:r>
        <w:rPr>
          <w:rFonts w:hint="eastAsia"/>
          <w:color w:val="auto"/>
          <w:highlight w:val="none"/>
        </w:rPr>
        <w:drawing>
          <wp:inline distT="0" distB="0" distL="0" distR="0">
            <wp:extent cx="5262880" cy="3944620"/>
            <wp:effectExtent l="0" t="0" r="0" b="0"/>
            <wp:docPr id="10" name="图片 10" descr="58a9040c9c913a0a7742e366211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8a9040c9c913a0a7742e3662118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2880" cy="3944620"/>
                    </a:xfrm>
                    <a:prstGeom prst="rect">
                      <a:avLst/>
                    </a:prstGeom>
                    <a:noFill/>
                    <a:ln>
                      <a:noFill/>
                    </a:ln>
                  </pic:spPr>
                </pic:pic>
              </a:graphicData>
            </a:graphic>
          </wp:inline>
        </w:drawing>
      </w:r>
    </w:p>
    <w:p>
      <w:pPr>
        <w:pStyle w:val="19"/>
        <w:numPr>
          <w:ilvl w:val="0"/>
          <w:numId w:val="0"/>
        </w:numPr>
        <w:tabs>
          <w:tab w:val="clear" w:pos="3190"/>
        </w:tabs>
        <w:rPr>
          <w:color w:val="auto"/>
          <w:highlight w:val="none"/>
        </w:rPr>
      </w:pPr>
      <w:r>
        <w:rPr>
          <w:rFonts w:hint="eastAsia"/>
          <w:color w:val="auto"/>
          <w:highlight w:val="none"/>
        </w:rPr>
        <w:t>室外及大门现状</w:t>
      </w:r>
    </w:p>
    <w:p>
      <w:pPr>
        <w:rPr>
          <w:color w:val="auto"/>
          <w:highlight w:val="none"/>
        </w:rPr>
      </w:pPr>
      <w:r>
        <w:rPr>
          <w:color w:val="auto"/>
          <w:highlight w:val="none"/>
        </w:rPr>
        <w:drawing>
          <wp:inline distT="0" distB="0" distL="0" distR="0">
            <wp:extent cx="5262880" cy="3955415"/>
            <wp:effectExtent l="0" t="0" r="0" b="6985"/>
            <wp:docPr id="9" name="图片 9" descr="5bfe464b2185467cb8a0711d4803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fe464b2185467cb8a0711d4803b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2880" cy="3955415"/>
                    </a:xfrm>
                    <a:prstGeom prst="rect">
                      <a:avLst/>
                    </a:prstGeom>
                    <a:noFill/>
                    <a:ln>
                      <a:noFill/>
                    </a:ln>
                  </pic:spPr>
                </pic:pic>
              </a:graphicData>
            </a:graphic>
          </wp:inline>
        </w:drawing>
      </w:r>
    </w:p>
    <w:p>
      <w:pPr>
        <w:pStyle w:val="19"/>
        <w:numPr>
          <w:ilvl w:val="0"/>
          <w:numId w:val="0"/>
        </w:numPr>
        <w:tabs>
          <w:tab w:val="clear" w:pos="3190"/>
        </w:tabs>
        <w:rPr>
          <w:rFonts w:hint="eastAsia"/>
          <w:color w:val="auto"/>
          <w:highlight w:val="none"/>
        </w:rPr>
      </w:pPr>
      <w:r>
        <w:rPr>
          <w:rFonts w:hint="eastAsia"/>
          <w:color w:val="auto"/>
          <w:highlight w:val="none"/>
        </w:rPr>
        <w:t>烟道现状</w:t>
      </w:r>
    </w:p>
    <w:p>
      <w:pPr>
        <w:rPr>
          <w:rFonts w:hint="eastAsia"/>
          <w:color w:val="auto"/>
          <w:highlight w:val="none"/>
        </w:rPr>
      </w:pPr>
      <w:r>
        <w:rPr>
          <w:rFonts w:hint="eastAsia"/>
          <w:color w:val="auto"/>
          <w:highlight w:val="none"/>
        </w:rPr>
        <w:drawing>
          <wp:inline distT="0" distB="0" distL="0" distR="0">
            <wp:extent cx="5273675" cy="3955415"/>
            <wp:effectExtent l="0" t="0" r="3175" b="6985"/>
            <wp:docPr id="8" name="图片 8" descr="负一层液压电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负一层液压电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3675" cy="3955415"/>
                    </a:xfrm>
                    <a:prstGeom prst="rect">
                      <a:avLst/>
                    </a:prstGeom>
                    <a:noFill/>
                    <a:ln>
                      <a:noFill/>
                    </a:ln>
                  </pic:spPr>
                </pic:pic>
              </a:graphicData>
            </a:graphic>
          </wp:inline>
        </w:drawing>
      </w:r>
    </w:p>
    <w:p>
      <w:pPr>
        <w:pStyle w:val="19"/>
        <w:numPr>
          <w:ilvl w:val="0"/>
          <w:numId w:val="0"/>
        </w:numPr>
        <w:tabs>
          <w:tab w:val="clear" w:pos="3190"/>
        </w:tabs>
        <w:rPr>
          <w:rFonts w:hint="eastAsia"/>
          <w:color w:val="auto"/>
          <w:highlight w:val="none"/>
        </w:rPr>
      </w:pPr>
      <w:r>
        <w:rPr>
          <w:rFonts w:hint="eastAsia"/>
          <w:color w:val="auto"/>
          <w:highlight w:val="none"/>
        </w:rPr>
        <w:t>汽车电梯现状</w:t>
      </w:r>
    </w:p>
    <w:p>
      <w:pPr>
        <w:pStyle w:val="15"/>
        <w:ind w:firstLine="496"/>
        <w:jc w:val="center"/>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496"/>
        <w:rPr>
          <w:color w:val="auto"/>
          <w:highlight w:val="none"/>
        </w:rPr>
      </w:pPr>
    </w:p>
    <w:p>
      <w:pPr>
        <w:pStyle w:val="15"/>
        <w:ind w:firstLine="0" w:firstLineChars="0"/>
        <w:rPr>
          <w:color w:val="auto"/>
          <w:highlight w:val="none"/>
        </w:rPr>
      </w:pPr>
    </w:p>
    <w:p>
      <w:pPr>
        <w:pStyle w:val="15"/>
        <w:ind w:firstLine="0" w:firstLineChars="0"/>
        <w:jc w:val="center"/>
        <w:rPr>
          <w:color w:val="auto"/>
          <w:highlight w:val="none"/>
        </w:rPr>
      </w:pPr>
    </w:p>
    <w:p>
      <w:pPr>
        <w:pStyle w:val="15"/>
        <w:ind w:firstLine="0" w:firstLineChars="0"/>
        <w:jc w:val="center"/>
        <w:rPr>
          <w:color w:val="auto"/>
          <w:highlight w:val="none"/>
        </w:rPr>
      </w:pPr>
    </w:p>
    <w:p>
      <w:pPr>
        <w:pStyle w:val="15"/>
        <w:ind w:firstLine="0" w:firstLineChars="0"/>
        <w:jc w:val="center"/>
        <w:rPr>
          <w:color w:val="auto"/>
          <w:highlight w:val="none"/>
        </w:rPr>
      </w:pPr>
    </w:p>
    <w:bookmarkEnd w:id="31"/>
    <w:p>
      <w:pPr>
        <w:rPr>
          <w:color w:val="auto"/>
          <w:highlight w:val="none"/>
        </w:rPr>
      </w:pPr>
    </w:p>
    <w:p>
      <w:pPr>
        <w:rPr>
          <w:color w:val="auto"/>
          <w:highlight w:val="none"/>
        </w:rPr>
      </w:pPr>
    </w:p>
    <w:p>
      <w:pPr>
        <w:rPr>
          <w:color w:val="auto"/>
          <w:highlight w:val="none"/>
        </w:rPr>
      </w:pPr>
    </w:p>
    <w:sectPr>
      <w:headerReference r:id="rId3" w:type="default"/>
      <w:footerReference r:id="rId4" w:type="default"/>
      <w:pgSz w:w="11906" w:h="16838"/>
      <w:pgMar w:top="1440" w:right="1800" w:bottom="127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altName w:val="Arial Unicode MS"/>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2" name="4097"/>
              <wp:cNvGraphicFramePr/>
              <a:graphic xmlns:a="http://schemas.openxmlformats.org/drawingml/2006/main">
                <a:graphicData uri="http://schemas.microsoft.com/office/word/2010/wordprocessingShape">
                  <wps:wsp>
                    <wps:cNvSpPr>
                      <a:spLocks noChangeArrowheads="1"/>
                    </wps:cNvSpPr>
                    <wps:spPr bwMode="auto">
                      <a:xfrm>
                        <a:off x="0" y="0"/>
                        <a:ext cx="972185" cy="147955"/>
                      </a:xfrm>
                      <a:prstGeom prst="rect">
                        <a:avLst/>
                      </a:prstGeom>
                      <a:noFill/>
                      <a:ln>
                        <a:noFill/>
                      </a:ln>
                    </wps:spPr>
                    <wps:txbx>
                      <w:txbxContent>
                        <w:p>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vert="horz" wrap="none" lIns="0" tIns="0" rIns="0" bIns="0" anchor="t" anchorCtr="0" upright="1">
                      <a:spAutoFit/>
                    </wps:bodyPr>
                  </wps:wsp>
                </a:graphicData>
              </a:graphic>
            </wp:anchor>
          </w:drawing>
        </mc:Choice>
        <mc:Fallback>
          <w:pict>
            <v:rect id="4097" o:spid="_x0000_s1026" o:spt="1"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1U4e0gAAAAQBAAAPAAAAAAAAAAEAIAAAACIAAABkcnMvZG93bnJldi54bWxQSwECFAAUAAAA&#10;CACHTuJAFyaBy/QBAADxAwAADgAAAAAAAAABACAAAAAhAQAAZHJzL2Uyb0RvYy54bWxQSwUGAAAA&#10;AAYABgBZAQAAhwUAAAAA&#10;">
              <v:fill on="f" focussize="0,0"/>
              <v:stroke on="f"/>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lvlText w:val="%1"/>
      <w:lvlJc w:val="left"/>
      <w:pPr>
        <w:tabs>
          <w:tab w:val="left" w:pos="-170"/>
        </w:tabs>
        <w:ind w:left="40" w:firstLine="170"/>
      </w:pPr>
      <w:rPr>
        <w:rFonts w:hint="eastAsia"/>
      </w:rPr>
    </w:lvl>
    <w:lvl w:ilvl="1" w:tentative="0">
      <w:start w:val="1"/>
      <w:numFmt w:val="lowerLetter"/>
      <w:lvlText w:val="%2)"/>
      <w:lvlJc w:val="left"/>
      <w:pPr>
        <w:tabs>
          <w:tab w:val="left" w:pos="670"/>
        </w:tabs>
        <w:ind w:left="670" w:hanging="420"/>
      </w:pPr>
    </w:lvl>
    <w:lvl w:ilvl="2" w:tentative="0">
      <w:start w:val="1"/>
      <w:numFmt w:val="lowerRoman"/>
      <w:lvlText w:val="%3."/>
      <w:lvlJc w:val="right"/>
      <w:pPr>
        <w:tabs>
          <w:tab w:val="left" w:pos="1090"/>
        </w:tabs>
        <w:ind w:left="1090" w:hanging="420"/>
      </w:pPr>
    </w:lvl>
    <w:lvl w:ilvl="3" w:tentative="0">
      <w:start w:val="1"/>
      <w:numFmt w:val="decimal"/>
      <w:lvlText w:val="%4."/>
      <w:lvlJc w:val="left"/>
      <w:pPr>
        <w:tabs>
          <w:tab w:val="left" w:pos="1510"/>
        </w:tabs>
        <w:ind w:left="1510" w:hanging="420"/>
      </w:pPr>
    </w:lvl>
    <w:lvl w:ilvl="4" w:tentative="0">
      <w:start w:val="1"/>
      <w:numFmt w:val="lowerLetter"/>
      <w:lvlText w:val="%5)"/>
      <w:lvlJc w:val="left"/>
      <w:pPr>
        <w:tabs>
          <w:tab w:val="left" w:pos="1930"/>
        </w:tabs>
        <w:ind w:left="1930" w:hanging="420"/>
      </w:pPr>
    </w:lvl>
    <w:lvl w:ilvl="5" w:tentative="0">
      <w:start w:val="1"/>
      <w:numFmt w:val="lowerRoman"/>
      <w:lvlText w:val="%6."/>
      <w:lvlJc w:val="right"/>
      <w:pPr>
        <w:tabs>
          <w:tab w:val="left" w:pos="2350"/>
        </w:tabs>
        <w:ind w:left="2350" w:hanging="420"/>
      </w:pPr>
    </w:lvl>
    <w:lvl w:ilvl="6" w:tentative="0">
      <w:start w:val="1"/>
      <w:numFmt w:val="decimal"/>
      <w:lvlText w:val="%7."/>
      <w:lvlJc w:val="left"/>
      <w:pPr>
        <w:tabs>
          <w:tab w:val="left" w:pos="2770"/>
        </w:tabs>
        <w:ind w:left="2770" w:hanging="420"/>
      </w:pPr>
    </w:lvl>
    <w:lvl w:ilvl="7" w:tentative="0">
      <w:start w:val="1"/>
      <w:numFmt w:val="lowerLetter"/>
      <w:pStyle w:val="19"/>
      <w:lvlText w:val="%8)"/>
      <w:lvlJc w:val="left"/>
      <w:pPr>
        <w:tabs>
          <w:tab w:val="left" w:pos="3190"/>
        </w:tabs>
        <w:ind w:left="3190" w:hanging="420"/>
      </w:pPr>
    </w:lvl>
    <w:lvl w:ilvl="8" w:tentative="0">
      <w:start w:val="1"/>
      <w:numFmt w:val="lowerRoman"/>
      <w:lvlText w:val="%9."/>
      <w:lvlJc w:val="right"/>
      <w:pPr>
        <w:tabs>
          <w:tab w:val="left" w:pos="3610"/>
        </w:tabs>
        <w:ind w:left="361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1C5650"/>
    <w:rsid w:val="000171F2"/>
    <w:rsid w:val="0008584C"/>
    <w:rsid w:val="000D251E"/>
    <w:rsid w:val="00113B32"/>
    <w:rsid w:val="001C5650"/>
    <w:rsid w:val="001C7F5E"/>
    <w:rsid w:val="00245391"/>
    <w:rsid w:val="003D7A0D"/>
    <w:rsid w:val="00440FF8"/>
    <w:rsid w:val="00461911"/>
    <w:rsid w:val="004834B9"/>
    <w:rsid w:val="004C0D3C"/>
    <w:rsid w:val="005201DC"/>
    <w:rsid w:val="005417B1"/>
    <w:rsid w:val="005537F7"/>
    <w:rsid w:val="00590014"/>
    <w:rsid w:val="00594BB9"/>
    <w:rsid w:val="007F708B"/>
    <w:rsid w:val="008C4F1B"/>
    <w:rsid w:val="00930FFA"/>
    <w:rsid w:val="00955097"/>
    <w:rsid w:val="009C3E9E"/>
    <w:rsid w:val="00A02009"/>
    <w:rsid w:val="00A14179"/>
    <w:rsid w:val="00B422AB"/>
    <w:rsid w:val="00B90F1F"/>
    <w:rsid w:val="00BA64A6"/>
    <w:rsid w:val="00BB6DD9"/>
    <w:rsid w:val="00C466B5"/>
    <w:rsid w:val="00DC15C0"/>
    <w:rsid w:val="00E32A8D"/>
    <w:rsid w:val="00E504C0"/>
    <w:rsid w:val="00F03C99"/>
    <w:rsid w:val="00FA0333"/>
    <w:rsid w:val="00FD633E"/>
    <w:rsid w:val="014D0B1B"/>
    <w:rsid w:val="02A56BF9"/>
    <w:rsid w:val="051A0D14"/>
    <w:rsid w:val="067578E9"/>
    <w:rsid w:val="06D87A25"/>
    <w:rsid w:val="06E1242B"/>
    <w:rsid w:val="07C80EFB"/>
    <w:rsid w:val="08317E9E"/>
    <w:rsid w:val="08705ED7"/>
    <w:rsid w:val="08B82D1E"/>
    <w:rsid w:val="08BD20E2"/>
    <w:rsid w:val="08CB0CA3"/>
    <w:rsid w:val="096D3B08"/>
    <w:rsid w:val="09F22188"/>
    <w:rsid w:val="0C9D4705"/>
    <w:rsid w:val="0F781459"/>
    <w:rsid w:val="10D04F4E"/>
    <w:rsid w:val="11C3218F"/>
    <w:rsid w:val="12DB7D35"/>
    <w:rsid w:val="130811C4"/>
    <w:rsid w:val="1323348A"/>
    <w:rsid w:val="13C81299"/>
    <w:rsid w:val="166B2D7E"/>
    <w:rsid w:val="16CB4564"/>
    <w:rsid w:val="170B2BB3"/>
    <w:rsid w:val="18317D9A"/>
    <w:rsid w:val="196A7B62"/>
    <w:rsid w:val="19BB266E"/>
    <w:rsid w:val="1BCB7BAA"/>
    <w:rsid w:val="1CA90EA4"/>
    <w:rsid w:val="1CBF34C3"/>
    <w:rsid w:val="1CCB2BC8"/>
    <w:rsid w:val="1DF443A0"/>
    <w:rsid w:val="1EAE09F3"/>
    <w:rsid w:val="1F095C2A"/>
    <w:rsid w:val="1F301408"/>
    <w:rsid w:val="1F6D440A"/>
    <w:rsid w:val="1F977BE6"/>
    <w:rsid w:val="20315438"/>
    <w:rsid w:val="213B6498"/>
    <w:rsid w:val="218F1912"/>
    <w:rsid w:val="21AB6C7C"/>
    <w:rsid w:val="21DE339D"/>
    <w:rsid w:val="21E40D7C"/>
    <w:rsid w:val="22AB7E90"/>
    <w:rsid w:val="23DE7685"/>
    <w:rsid w:val="247A6591"/>
    <w:rsid w:val="27791B6D"/>
    <w:rsid w:val="28321D4D"/>
    <w:rsid w:val="284303FE"/>
    <w:rsid w:val="28E87AA2"/>
    <w:rsid w:val="29064F88"/>
    <w:rsid w:val="292C0E92"/>
    <w:rsid w:val="293A2780"/>
    <w:rsid w:val="29752839"/>
    <w:rsid w:val="29E37561"/>
    <w:rsid w:val="2A11391C"/>
    <w:rsid w:val="2A5E3387"/>
    <w:rsid w:val="2C211DF0"/>
    <w:rsid w:val="2C796734"/>
    <w:rsid w:val="2D3227EF"/>
    <w:rsid w:val="2DF6381D"/>
    <w:rsid w:val="2E7F1A64"/>
    <w:rsid w:val="2FD36676"/>
    <w:rsid w:val="2FD8767E"/>
    <w:rsid w:val="30120F2B"/>
    <w:rsid w:val="31F75DB5"/>
    <w:rsid w:val="325B15CB"/>
    <w:rsid w:val="332B69F7"/>
    <w:rsid w:val="35D701A8"/>
    <w:rsid w:val="369938DF"/>
    <w:rsid w:val="370331A0"/>
    <w:rsid w:val="37AB6A14"/>
    <w:rsid w:val="3A7C1C27"/>
    <w:rsid w:val="3A916DA7"/>
    <w:rsid w:val="3AD2116E"/>
    <w:rsid w:val="3BAC7C11"/>
    <w:rsid w:val="3C123F18"/>
    <w:rsid w:val="3C2E0626"/>
    <w:rsid w:val="3CAD1E92"/>
    <w:rsid w:val="3CB42FD5"/>
    <w:rsid w:val="3DB86D41"/>
    <w:rsid w:val="3E4568E3"/>
    <w:rsid w:val="3EF73899"/>
    <w:rsid w:val="3F903670"/>
    <w:rsid w:val="3FF43934"/>
    <w:rsid w:val="416C231C"/>
    <w:rsid w:val="41764F49"/>
    <w:rsid w:val="420A73AB"/>
    <w:rsid w:val="427D5E63"/>
    <w:rsid w:val="44C45FCB"/>
    <w:rsid w:val="44FC5765"/>
    <w:rsid w:val="470152B5"/>
    <w:rsid w:val="47631ACB"/>
    <w:rsid w:val="49417BEA"/>
    <w:rsid w:val="4972188E"/>
    <w:rsid w:val="4D5C3245"/>
    <w:rsid w:val="4D810EFD"/>
    <w:rsid w:val="4DAB1AD6"/>
    <w:rsid w:val="4EE2568F"/>
    <w:rsid w:val="4F1D2EA8"/>
    <w:rsid w:val="518D035D"/>
    <w:rsid w:val="5311062D"/>
    <w:rsid w:val="53285C5C"/>
    <w:rsid w:val="53513120"/>
    <w:rsid w:val="543D1959"/>
    <w:rsid w:val="545F7ABE"/>
    <w:rsid w:val="5559450E"/>
    <w:rsid w:val="563F3703"/>
    <w:rsid w:val="56BC77D2"/>
    <w:rsid w:val="57346FE0"/>
    <w:rsid w:val="574879CF"/>
    <w:rsid w:val="576F33A2"/>
    <w:rsid w:val="57C87729"/>
    <w:rsid w:val="58801DB1"/>
    <w:rsid w:val="58BE1257"/>
    <w:rsid w:val="59EC2D56"/>
    <w:rsid w:val="5A1D7300"/>
    <w:rsid w:val="5A7D7CBE"/>
    <w:rsid w:val="5B291072"/>
    <w:rsid w:val="5B4D0671"/>
    <w:rsid w:val="5B9067AF"/>
    <w:rsid w:val="5C2515ED"/>
    <w:rsid w:val="5C401F83"/>
    <w:rsid w:val="5CB9443D"/>
    <w:rsid w:val="5D080CF3"/>
    <w:rsid w:val="5D5E4DB7"/>
    <w:rsid w:val="5D700646"/>
    <w:rsid w:val="5DFC492C"/>
    <w:rsid w:val="5E226B10"/>
    <w:rsid w:val="5E322425"/>
    <w:rsid w:val="5ECE1AC8"/>
    <w:rsid w:val="5EDC2437"/>
    <w:rsid w:val="5EFB6616"/>
    <w:rsid w:val="601259E5"/>
    <w:rsid w:val="604F4E8B"/>
    <w:rsid w:val="613A51F3"/>
    <w:rsid w:val="62017B70"/>
    <w:rsid w:val="62233354"/>
    <w:rsid w:val="631D4DCC"/>
    <w:rsid w:val="63BA6ABF"/>
    <w:rsid w:val="65532D27"/>
    <w:rsid w:val="659A0956"/>
    <w:rsid w:val="68142C42"/>
    <w:rsid w:val="6A5050DE"/>
    <w:rsid w:val="6B3D24B0"/>
    <w:rsid w:val="6BE40B7D"/>
    <w:rsid w:val="6BE775B6"/>
    <w:rsid w:val="6C042A67"/>
    <w:rsid w:val="6C042FCD"/>
    <w:rsid w:val="6D463172"/>
    <w:rsid w:val="6DB0127D"/>
    <w:rsid w:val="6E8B48F3"/>
    <w:rsid w:val="705A185F"/>
    <w:rsid w:val="70B07CCD"/>
    <w:rsid w:val="70C525FF"/>
    <w:rsid w:val="71381023"/>
    <w:rsid w:val="71B04876"/>
    <w:rsid w:val="74597C2E"/>
    <w:rsid w:val="74B17A6A"/>
    <w:rsid w:val="74DF6386"/>
    <w:rsid w:val="75BA294F"/>
    <w:rsid w:val="76554BF7"/>
    <w:rsid w:val="76B646E8"/>
    <w:rsid w:val="770E7DD1"/>
    <w:rsid w:val="78066A66"/>
    <w:rsid w:val="78B611AB"/>
    <w:rsid w:val="796E5F2A"/>
    <w:rsid w:val="79CE0777"/>
    <w:rsid w:val="7AA716F4"/>
    <w:rsid w:val="7AB65C87"/>
    <w:rsid w:val="7AB7B127"/>
    <w:rsid w:val="7B8E776C"/>
    <w:rsid w:val="7C9F63FA"/>
    <w:rsid w:val="7D9821A7"/>
    <w:rsid w:val="7EC00FD6"/>
    <w:rsid w:val="7EE8052D"/>
    <w:rsid w:val="7F054C3B"/>
    <w:rsid w:val="7F3F735A"/>
    <w:rsid w:val="7F4F4108"/>
    <w:rsid w:val="BF56A047"/>
    <w:rsid w:val="DF4D69B4"/>
    <w:rsid w:val="EFFFCC02"/>
    <w:rsid w:val="FDDFD43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rFonts w:ascii="Calibri" w:hAnsi="Calibri"/>
      <w:b/>
      <w:bCs/>
      <w:sz w:val="32"/>
      <w:szCs w:val="32"/>
    </w:rPr>
  </w:style>
  <w:style w:type="paragraph" w:styleId="4">
    <w:name w:val="heading 4"/>
    <w:basedOn w:val="1"/>
    <w:next w:val="1"/>
    <w:link w:val="1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Plain Text"/>
    <w:basedOn w:val="1"/>
    <w:qFormat/>
    <w:uiPriority w:val="0"/>
    <w:rPr>
      <w:rFonts w:ascii="宋体" w:hAnsi="Courier New"/>
      <w:kern w:val="0"/>
      <w:sz w:val="20"/>
      <w:szCs w:val="21"/>
    </w:rPr>
  </w:style>
  <w:style w:type="paragraph" w:styleId="6">
    <w:name w:val="Balloon Text"/>
    <w:basedOn w:val="1"/>
    <w:link w:val="17"/>
    <w:semiHidden/>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Subtitle"/>
    <w:basedOn w:val="1"/>
    <w:next w:val="1"/>
    <w:qFormat/>
    <w:uiPriority w:val="0"/>
    <w:pPr>
      <w:spacing w:before="240" w:after="60" w:line="312" w:lineRule="auto"/>
      <w:jc w:val="center"/>
      <w:outlineLvl w:val="1"/>
    </w:pPr>
    <w:rPr>
      <w:rFonts w:ascii="Cambria" w:hAnsi="Cambria" w:eastAsia="Times New Roman"/>
      <w:b/>
      <w:bCs/>
      <w:kern w:val="28"/>
      <w:sz w:val="32"/>
      <w:szCs w:val="32"/>
    </w:rPr>
  </w:style>
  <w:style w:type="paragraph" w:styleId="10">
    <w:name w:val="toc 2"/>
    <w:basedOn w:val="1"/>
    <w:next w:val="1"/>
    <w:qFormat/>
    <w:uiPriority w:val="39"/>
    <w:pPr>
      <w:spacing w:line="360" w:lineRule="auto"/>
      <w:ind w:firstLine="1044" w:firstLineChars="200"/>
      <w:jc w:val="left"/>
    </w:pPr>
    <w:rPr>
      <w:smallCaps/>
      <w:sz w:val="28"/>
      <w:szCs w:val="28"/>
    </w:rPr>
  </w:style>
  <w:style w:type="paragraph" w:styleId="11">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customStyle="1" w:styleId="14">
    <w:name w:val="章节二"/>
    <w:basedOn w:val="15"/>
    <w:next w:val="15"/>
    <w:qFormat/>
    <w:uiPriority w:val="99"/>
    <w:pPr>
      <w:spacing w:beforeLines="50" w:afterLines="50" w:line="240" w:lineRule="auto"/>
      <w:ind w:firstLine="0" w:firstLineChars="0"/>
      <w:jc w:val="center"/>
      <w:outlineLvl w:val="1"/>
    </w:pPr>
    <w:rPr>
      <w:rFonts w:eastAsia="黑体"/>
      <w:b/>
      <w:sz w:val="30"/>
      <w:szCs w:val="30"/>
    </w:rPr>
  </w:style>
  <w:style w:type="paragraph" w:customStyle="1" w:styleId="15">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16">
    <w:name w:val="文二"/>
    <w:basedOn w:val="1"/>
    <w:qFormat/>
    <w:uiPriority w:val="0"/>
    <w:pPr>
      <w:jc w:val="left"/>
    </w:pPr>
    <w:rPr>
      <w:rFonts w:ascii="宋体" w:hAnsi="宋体"/>
      <w:szCs w:val="21"/>
    </w:rPr>
  </w:style>
  <w:style w:type="character" w:customStyle="1" w:styleId="17">
    <w:name w:val="批注框文本 Char"/>
    <w:basedOn w:val="13"/>
    <w:link w:val="6"/>
    <w:semiHidden/>
    <w:qFormat/>
    <w:uiPriority w:val="99"/>
    <w:rPr>
      <w:rFonts w:ascii="Times New Roman" w:hAnsi="Times New Roman" w:cs="Times New Roman"/>
      <w:kern w:val="2"/>
      <w:sz w:val="18"/>
      <w:szCs w:val="18"/>
    </w:rPr>
  </w:style>
  <w:style w:type="character" w:customStyle="1" w:styleId="18">
    <w:name w:val="标题 4 Char"/>
    <w:basedOn w:val="13"/>
    <w:link w:val="4"/>
    <w:qFormat/>
    <w:uiPriority w:val="9"/>
    <w:rPr>
      <w:rFonts w:asciiTheme="majorHAnsi" w:hAnsiTheme="majorHAnsi" w:eastAsiaTheme="majorEastAsia" w:cstheme="majorBidi"/>
      <w:b/>
      <w:bCs/>
      <w:kern w:val="2"/>
      <w:sz w:val="28"/>
      <w:szCs w:val="28"/>
    </w:rPr>
  </w:style>
  <w:style w:type="paragraph" w:customStyle="1" w:styleId="19">
    <w:name w:val="A图文"/>
    <w:basedOn w:val="1"/>
    <w:next w:val="1"/>
    <w:link w:val="20"/>
    <w:qFormat/>
    <w:uiPriority w:val="0"/>
    <w:pPr>
      <w:numPr>
        <w:ilvl w:val="7"/>
        <w:numId w:val="1"/>
      </w:numPr>
      <w:tabs>
        <w:tab w:val="left" w:pos="0"/>
      </w:tabs>
      <w:spacing w:line="360" w:lineRule="auto"/>
      <w:jc w:val="center"/>
    </w:pPr>
    <w:rPr>
      <w:b/>
      <w:sz w:val="24"/>
    </w:rPr>
  </w:style>
  <w:style w:type="character" w:customStyle="1" w:styleId="20">
    <w:name w:val="A图文 Char"/>
    <w:link w:val="19"/>
    <w:qFormat/>
    <w:uiPriority w:val="0"/>
    <w:rPr>
      <w:rFonts w:ascii="Times New Roman" w:hAnsi="Times New Roman" w:cs="Times New Roman"/>
      <w:b/>
      <w:kern w:val="2"/>
      <w:sz w:val="24"/>
      <w:szCs w:val="24"/>
    </w:rPr>
  </w:style>
  <w:style w:type="paragraph" w:customStyle="1" w:styleId="21">
    <w:name w:val="图片"/>
    <w:basedOn w:val="1"/>
    <w:qFormat/>
    <w:uiPriority w:val="0"/>
    <w:pPr>
      <w:tabs>
        <w:tab w:val="center" w:pos="4153"/>
        <w:tab w:val="right" w:pos="8306"/>
      </w:tabs>
      <w:spacing w:line="360" w:lineRule="auto"/>
      <w:jc w:val="center"/>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6887</Words>
  <Characters>7179</Characters>
  <Lines>55</Lines>
  <Paragraphs>15</Paragraphs>
  <TotalTime>1</TotalTime>
  <ScaleCrop>false</ScaleCrop>
  <LinksUpToDate>false</LinksUpToDate>
  <CharactersWithSpaces>7215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2024-04-16T00:09:00Z</dcterms:created>
  <dc:creator>中国梦</dc:creator>
  <cp:lastModifiedBy>.</cp:lastModifiedBy>
  <dcterms:modified xsi:type="dcterms:W3CDTF">2024-06-28T02:00:33Z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A29106BC634244F588F7F229E03EFE25</vt:lpwstr>
  </property>
</Properties>
</file>