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★凡属于《中华人民共和国实施强制性产品认证的产品目录》的产品，请投标人在投标文件中承诺在交货时提供该产品的“中国强制性产品认证”（CCC认证）证书。</w:t>
            </w: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2"/>
              </w:rPr>
              <w:t>★在签订合同前，中标人必须提供所有所投产品的原厂参数确认函及投标文件内提供的产品按招标文件要求的具有CMA标识的检测报告原件证书进行复核，若投标文件与原件不相符的，将报广州市政府采购监督管理部门进行处理，由此引发的所有损失由中标人自行承担。</w:t>
            </w:r>
          </w:p>
        </w:tc>
        <w:tc>
          <w:tcPr>
            <w:tcW w:w="28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bl>
    <w:p>
      <w:pPr>
        <w:spacing w:line="360" w:lineRule="auto"/>
        <w:rPr>
          <w:rFonts w:ascii="宋体" w:hAnsi="宋体"/>
          <w:sz w:val="24"/>
          <w:szCs w:val="24"/>
        </w:rPr>
      </w:pPr>
      <w:bookmarkStart w:id="0" w:name="_GoBack"/>
      <w:bookmarkEnd w:id="0"/>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dmMWJhZTM5ZTFiNDc4OTNmMWM0ZTQxMDcwZjk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73360BD"/>
    <w:rsid w:val="1C624FE5"/>
    <w:rsid w:val="1D0225B9"/>
    <w:rsid w:val="3FD52AB2"/>
    <w:rsid w:val="7429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仿宋_GB2312" w:hAnsi="仿宋_GB2312" w:eastAsia="仿宋_GB2312" w:cs="仿宋_GB2312"/>
      <w:kern w:val="0"/>
      <w:sz w:val="28"/>
      <w:szCs w:val="28"/>
      <w:lang w:eastAsia="en-US"/>
    </w:rPr>
  </w:style>
  <w:style w:type="paragraph" w:styleId="3">
    <w:name w:val="annotation text"/>
    <w:basedOn w:val="1"/>
    <w:link w:val="15"/>
    <w:unhideWhenUsed/>
    <w:qFormat/>
    <w:uiPriority w:val="0"/>
    <w:rPr>
      <w:sz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99"/>
    <w:rPr>
      <w:rFonts w:ascii="Tahoma" w:hAnsi="Tahoma"/>
      <w:kern w:val="2"/>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批注文字 字符"/>
    <w:basedOn w:val="9"/>
    <w:link w:val="3"/>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黄熙栋</cp:lastModifiedBy>
  <dcterms:modified xsi:type="dcterms:W3CDTF">2024-06-26T06:43:29Z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7A29F3FC6AEB48D68E9D9F0B80181287_13</vt:lpwstr>
  </property>
</Properties>
</file>