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jc w:val="center"/>
        <w:rPr>
          <w:rFonts w:ascii="宋体" w:hAnsi="宋体"/>
          <w:b/>
          <w:color w:val="auto"/>
          <w:sz w:val="36"/>
          <w:szCs w:val="36"/>
        </w:rPr>
      </w:pPr>
      <w:bookmarkStart w:id="0" w:name="_Hlk144975266"/>
      <w:bookmarkStart w:id="1" w:name="OLE_LINK2"/>
    </w:p>
    <w:p>
      <w:pPr>
        <w:pStyle w:val="18"/>
        <w:ind w:firstLine="0"/>
        <w:jc w:val="center"/>
        <w:rPr>
          <w:rFonts w:ascii="宋体" w:hAnsi="宋体"/>
          <w:color w:val="auto"/>
          <w:sz w:val="24"/>
          <w:szCs w:val="36"/>
        </w:rPr>
      </w:pPr>
      <w:r>
        <w:rPr>
          <w:rFonts w:hint="eastAsia" w:ascii="宋体" w:hAnsi="宋体"/>
          <w:b/>
          <w:color w:val="auto"/>
          <w:sz w:val="48"/>
          <w:szCs w:val="48"/>
        </w:rPr>
        <w:t>2024年5个供水管迁改项目施工图设计及施工（EPC）总承包</w:t>
      </w:r>
    </w:p>
    <w:p>
      <w:pPr>
        <w:ind w:firstLine="964"/>
        <w:jc w:val="center"/>
        <w:rPr>
          <w:rFonts w:ascii="宋体" w:hAnsi="宋体"/>
          <w:b/>
          <w:color w:val="auto"/>
          <w:sz w:val="48"/>
          <w:szCs w:val="48"/>
        </w:rPr>
      </w:pPr>
    </w:p>
    <w:p>
      <w:pPr>
        <w:pStyle w:val="18"/>
        <w:ind w:firstLine="400"/>
        <w:rPr>
          <w:color w:val="auto"/>
        </w:rPr>
      </w:pPr>
    </w:p>
    <w:p>
      <w:pPr>
        <w:pStyle w:val="18"/>
        <w:ind w:firstLine="400"/>
        <w:rPr>
          <w:color w:val="auto"/>
        </w:rPr>
      </w:pPr>
    </w:p>
    <w:p>
      <w:pPr>
        <w:ind w:firstLine="1104"/>
        <w:jc w:val="center"/>
        <w:rPr>
          <w:rFonts w:ascii="宋体" w:hAnsi="宋体"/>
          <w:bCs/>
          <w:color w:val="auto"/>
          <w:spacing w:val="26"/>
          <w:sz w:val="50"/>
          <w:szCs w:val="50"/>
          <w:u w:val="single"/>
          <w14:shadow w14:blurRad="50800" w14:dist="38100" w14:dir="2700000" w14:sx="100000" w14:sy="100000" w14:kx="0" w14:ky="0" w14:algn="tl">
            <w14:srgbClr w14:val="000000">
              <w14:alpha w14:val="60000"/>
            </w14:srgbClr>
          </w14:shadow>
        </w:rPr>
      </w:pPr>
      <w:bookmarkStart w:id="48" w:name="_GoBack"/>
      <w:bookmarkEnd w:id="48"/>
    </w:p>
    <w:p>
      <w:pPr>
        <w:jc w:val="center"/>
        <w:rPr>
          <w:rFonts w:ascii="宋体" w:hAnsi="宋体" w:cs="宋体"/>
          <w:b/>
          <w:color w:val="auto"/>
          <w:sz w:val="72"/>
          <w:szCs w:val="84"/>
        </w:rPr>
      </w:pPr>
      <w:r>
        <w:rPr>
          <w:rFonts w:hint="eastAsia" w:ascii="宋体" w:hAnsi="宋体" w:cs="宋体"/>
          <w:b/>
          <w:color w:val="auto"/>
          <w:sz w:val="72"/>
          <w:szCs w:val="84"/>
        </w:rPr>
        <w:t>招 标 公 告</w:t>
      </w:r>
    </w:p>
    <w:p>
      <w:pPr>
        <w:ind w:firstLine="200" w:firstLineChars="60"/>
        <w:rPr>
          <w:rFonts w:ascii="宋体" w:hAnsi="宋体"/>
          <w:b/>
          <w:bCs/>
          <w:color w:val="auto"/>
          <w:spacing w:val="26"/>
          <w:sz w:val="28"/>
          <w:szCs w:val="28"/>
          <w14:shadow w14:blurRad="50800" w14:dist="38100" w14:dir="2700000" w14:sx="100000" w14:sy="100000" w14:kx="0" w14:ky="0" w14:algn="tl">
            <w14:srgbClr w14:val="000000">
              <w14:alpha w14:val="60000"/>
            </w14:srgbClr>
          </w14:shadow>
        </w:rPr>
      </w:pPr>
    </w:p>
    <w:p>
      <w:pPr>
        <w:pStyle w:val="18"/>
        <w:ind w:firstLine="666"/>
        <w:rPr>
          <w:rFonts w:ascii="宋体" w:hAnsi="宋体"/>
          <w:b/>
          <w:bCs/>
          <w:color w:val="auto"/>
          <w:spacing w:val="26"/>
          <w:sz w:val="28"/>
          <w:szCs w:val="28"/>
          <w14:shadow w14:blurRad="50800" w14:dist="38100" w14:dir="2700000" w14:sx="100000" w14:sy="100000" w14:kx="0" w14:ky="0" w14:algn="tl">
            <w14:srgbClr w14:val="000000">
              <w14:alpha w14:val="60000"/>
            </w14:srgbClr>
          </w14:shadow>
        </w:rPr>
      </w:pPr>
    </w:p>
    <w:p>
      <w:pPr>
        <w:pStyle w:val="18"/>
        <w:ind w:firstLine="400"/>
        <w:rPr>
          <w:rFonts w:ascii="宋体" w:hAnsi="宋体"/>
          <w:color w:val="auto"/>
        </w:rPr>
      </w:pPr>
    </w:p>
    <w:p>
      <w:pPr>
        <w:pStyle w:val="18"/>
        <w:ind w:firstLine="400"/>
        <w:rPr>
          <w:rFonts w:ascii="宋体" w:hAnsi="宋体"/>
          <w:color w:val="auto"/>
        </w:rPr>
      </w:pPr>
    </w:p>
    <w:p>
      <w:pPr>
        <w:pStyle w:val="18"/>
        <w:ind w:firstLine="400"/>
        <w:rPr>
          <w:rFonts w:ascii="宋体" w:hAnsi="宋体"/>
          <w:color w:val="auto"/>
        </w:rPr>
      </w:pPr>
    </w:p>
    <w:p>
      <w:pPr>
        <w:pStyle w:val="18"/>
        <w:ind w:firstLine="400"/>
        <w:rPr>
          <w:rFonts w:ascii="宋体" w:hAnsi="宋体"/>
          <w:color w:val="auto"/>
        </w:rPr>
      </w:pPr>
    </w:p>
    <w:p>
      <w:pPr>
        <w:pStyle w:val="18"/>
        <w:ind w:firstLine="400"/>
        <w:rPr>
          <w:rFonts w:ascii="宋体" w:hAnsi="宋体"/>
          <w:color w:val="auto"/>
        </w:rPr>
      </w:pPr>
    </w:p>
    <w:p>
      <w:pPr>
        <w:ind w:firstLine="600"/>
        <w:rPr>
          <w:rFonts w:ascii="宋体" w:hAnsi="宋体"/>
          <w:color w:val="auto"/>
          <w:sz w:val="30"/>
          <w:szCs w:val="30"/>
        </w:rPr>
      </w:pPr>
    </w:p>
    <w:p>
      <w:pPr>
        <w:ind w:firstLine="600"/>
        <w:rPr>
          <w:rFonts w:ascii="宋体" w:hAnsi="宋体"/>
          <w:color w:val="auto"/>
          <w:sz w:val="30"/>
          <w:szCs w:val="30"/>
        </w:rPr>
      </w:pPr>
    </w:p>
    <w:p>
      <w:pPr>
        <w:ind w:left="840" w:leftChars="400" w:firstLine="602"/>
        <w:rPr>
          <w:rFonts w:ascii="宋体" w:hAnsi="宋体"/>
          <w:b/>
          <w:color w:val="auto"/>
          <w:sz w:val="30"/>
          <w:szCs w:val="30"/>
          <w:u w:val="single"/>
        </w:rPr>
      </w:pPr>
      <w:bookmarkStart w:id="2" w:name="_Hlk144975214"/>
      <w:r>
        <w:rPr>
          <w:rFonts w:hint="eastAsia" w:ascii="宋体" w:hAnsi="宋体"/>
          <w:b/>
          <w:color w:val="auto"/>
          <w:sz w:val="30"/>
          <w:szCs w:val="30"/>
        </w:rPr>
        <w:t>招标单位：</w:t>
      </w:r>
      <w:r>
        <w:rPr>
          <w:rFonts w:hint="eastAsia" w:ascii="宋体" w:hAnsi="宋体"/>
          <w:b/>
          <w:color w:val="auto"/>
          <w:sz w:val="30"/>
          <w:szCs w:val="30"/>
          <w:u w:val="single"/>
        </w:rPr>
        <w:t>广州南沙粤海水务有限公司</w:t>
      </w:r>
    </w:p>
    <w:p>
      <w:pPr>
        <w:ind w:left="840" w:leftChars="400" w:firstLine="602"/>
        <w:jc w:val="left"/>
        <w:rPr>
          <w:rFonts w:ascii="宋体" w:hAnsi="宋体"/>
          <w:b/>
          <w:color w:val="auto"/>
          <w:sz w:val="30"/>
          <w:szCs w:val="30"/>
          <w:u w:val="single"/>
        </w:rPr>
      </w:pPr>
      <w:r>
        <w:rPr>
          <w:rFonts w:hint="eastAsia" w:ascii="宋体" w:hAnsi="宋体"/>
          <w:b/>
          <w:color w:val="auto"/>
          <w:sz w:val="30"/>
          <w:szCs w:val="30"/>
        </w:rPr>
        <w:t>招标代理单位：</w:t>
      </w:r>
      <w:r>
        <w:rPr>
          <w:rFonts w:hint="eastAsia" w:ascii="宋体" w:hAnsi="宋体"/>
          <w:b/>
          <w:color w:val="auto"/>
          <w:sz w:val="30"/>
          <w:szCs w:val="30"/>
          <w:u w:val="single"/>
        </w:rPr>
        <w:t>广州宏达工程顾问集团有限公司</w:t>
      </w:r>
    </w:p>
    <w:p>
      <w:pPr>
        <w:ind w:left="840" w:leftChars="400" w:firstLine="602"/>
        <w:rPr>
          <w:rFonts w:ascii="宋体" w:hAnsi="宋体"/>
          <w:b/>
          <w:color w:val="auto"/>
          <w:sz w:val="30"/>
          <w:szCs w:val="30"/>
        </w:rPr>
      </w:pPr>
      <w:r>
        <w:rPr>
          <w:rFonts w:hint="eastAsia" w:ascii="宋体" w:hAnsi="宋体"/>
          <w:b/>
          <w:color w:val="auto"/>
          <w:sz w:val="30"/>
          <w:szCs w:val="30"/>
        </w:rPr>
        <w:t>日</w:t>
      </w:r>
      <w:r>
        <w:rPr>
          <w:rFonts w:ascii="宋体" w:hAnsi="宋体"/>
          <w:b/>
          <w:color w:val="auto"/>
          <w:sz w:val="30"/>
          <w:szCs w:val="30"/>
        </w:rPr>
        <w:t xml:space="preserve">    </w:t>
      </w:r>
      <w:r>
        <w:rPr>
          <w:rFonts w:hint="eastAsia" w:ascii="宋体" w:hAnsi="宋体"/>
          <w:b/>
          <w:color w:val="auto"/>
          <w:sz w:val="30"/>
          <w:szCs w:val="30"/>
        </w:rPr>
        <w:t>期：</w:t>
      </w:r>
      <w:r>
        <w:rPr>
          <w:rFonts w:ascii="宋体" w:hAnsi="宋体"/>
          <w:b/>
          <w:color w:val="auto"/>
          <w:sz w:val="30"/>
          <w:szCs w:val="30"/>
          <w:u w:val="single"/>
        </w:rPr>
        <w:t>202</w:t>
      </w:r>
      <w:r>
        <w:rPr>
          <w:rFonts w:hint="eastAsia" w:ascii="宋体" w:hAnsi="宋体"/>
          <w:b/>
          <w:color w:val="auto"/>
          <w:sz w:val="30"/>
          <w:szCs w:val="30"/>
          <w:u w:val="single"/>
        </w:rPr>
        <w:t>4</w:t>
      </w:r>
      <w:r>
        <w:rPr>
          <w:rFonts w:hint="eastAsia" w:ascii="宋体" w:hAnsi="宋体"/>
          <w:b/>
          <w:color w:val="auto"/>
          <w:sz w:val="30"/>
          <w:szCs w:val="30"/>
        </w:rPr>
        <w:t>年</w:t>
      </w:r>
      <w:r>
        <w:rPr>
          <w:rFonts w:hint="eastAsia" w:ascii="宋体" w:hAnsi="宋体"/>
          <w:b/>
          <w:color w:val="auto"/>
          <w:sz w:val="30"/>
          <w:szCs w:val="30"/>
          <w:u w:val="single"/>
        </w:rPr>
        <w:t xml:space="preserve">  </w:t>
      </w:r>
      <w:r>
        <w:rPr>
          <w:rFonts w:hint="eastAsia" w:ascii="宋体" w:hAnsi="宋体"/>
          <w:b/>
          <w:color w:val="auto"/>
          <w:sz w:val="30"/>
          <w:szCs w:val="30"/>
        </w:rPr>
        <w:t>月</w:t>
      </w:r>
      <w:bookmarkEnd w:id="2"/>
    </w:p>
    <w:bookmarkEnd w:id="0"/>
    <w:p>
      <w:pPr>
        <w:pStyle w:val="2"/>
        <w:ind w:firstLine="560"/>
        <w:rPr>
          <w:color w:val="auto"/>
        </w:rPr>
      </w:pPr>
      <w:r>
        <w:rPr>
          <w:color w:val="auto"/>
        </w:rPr>
        <w:br w:type="page"/>
      </w:r>
    </w:p>
    <w:p>
      <w:pPr>
        <w:spacing w:line="360" w:lineRule="auto"/>
        <w:jc w:val="center"/>
        <w:rPr>
          <w:rFonts w:ascii="宋体" w:hAnsi="宋体"/>
          <w:b/>
          <w:color w:val="auto"/>
          <w:sz w:val="36"/>
          <w:szCs w:val="36"/>
        </w:rPr>
      </w:pPr>
      <w:r>
        <w:rPr>
          <w:rFonts w:hint="eastAsia" w:ascii="宋体" w:hAnsi="宋体"/>
          <w:b/>
          <w:color w:val="auto"/>
          <w:sz w:val="36"/>
          <w:szCs w:val="36"/>
        </w:rPr>
        <w:t>2024年5个供水管迁改项目施工图设计及施工（EPC）总承包招标</w:t>
      </w:r>
      <w:r>
        <w:rPr>
          <w:rFonts w:ascii="宋体" w:hAnsi="宋体"/>
          <w:b/>
          <w:color w:val="auto"/>
          <w:sz w:val="36"/>
          <w:szCs w:val="36"/>
        </w:rPr>
        <w:t>公告</w:t>
      </w:r>
    </w:p>
    <w:p>
      <w:pPr>
        <w:pStyle w:val="5"/>
        <w:spacing w:line="440" w:lineRule="exact"/>
        <w:rPr>
          <w:rFonts w:ascii="宋体" w:hAnsi="宋体" w:eastAsia="宋体"/>
          <w:color w:val="auto"/>
          <w:sz w:val="21"/>
          <w:szCs w:val="21"/>
        </w:rPr>
      </w:pPr>
      <w:bookmarkStart w:id="3" w:name="_Toc152042288"/>
      <w:bookmarkStart w:id="4" w:name="_Toc247527535"/>
      <w:bookmarkStart w:id="5" w:name="_Toc144974480"/>
      <w:bookmarkStart w:id="6" w:name="_Toc300834929"/>
      <w:bookmarkStart w:id="7" w:name="_Toc247513934"/>
      <w:bookmarkStart w:id="8" w:name="_Toc152045512"/>
      <w:r>
        <w:rPr>
          <w:rFonts w:ascii="宋体" w:hAnsi="宋体" w:eastAsia="宋体"/>
          <w:color w:val="auto"/>
          <w:sz w:val="21"/>
          <w:szCs w:val="21"/>
        </w:rPr>
        <w:t>1. 招标条件</w:t>
      </w:r>
      <w:bookmarkEnd w:id="3"/>
      <w:bookmarkEnd w:id="4"/>
      <w:bookmarkEnd w:id="5"/>
      <w:bookmarkEnd w:id="6"/>
      <w:bookmarkEnd w:id="7"/>
      <w:bookmarkEnd w:id="8"/>
    </w:p>
    <w:p>
      <w:pPr>
        <w:spacing w:line="440" w:lineRule="exact"/>
        <w:ind w:firstLine="420" w:firstLineChars="200"/>
        <w:rPr>
          <w:rFonts w:ascii="宋体" w:hAnsi="宋体"/>
          <w:color w:val="auto"/>
          <w:szCs w:val="21"/>
          <w:u w:val="single"/>
        </w:rPr>
      </w:pPr>
      <w:r>
        <w:rPr>
          <w:rFonts w:ascii="宋体" w:hAnsi="宋体"/>
          <w:color w:val="auto"/>
          <w:szCs w:val="21"/>
        </w:rPr>
        <w:t>本招标项目</w:t>
      </w:r>
      <w:r>
        <w:rPr>
          <w:rFonts w:hint="eastAsia" w:ascii="宋体" w:hAnsi="宋体"/>
          <w:color w:val="auto"/>
          <w:szCs w:val="21"/>
        </w:rPr>
        <w:t>2024年5个供水管迁改项目,</w:t>
      </w:r>
      <w:r>
        <w:rPr>
          <w:rFonts w:ascii="宋体" w:hAnsi="宋体"/>
          <w:color w:val="auto"/>
          <w:szCs w:val="21"/>
        </w:rPr>
        <w:t>项目业主为</w:t>
      </w:r>
      <w:r>
        <w:rPr>
          <w:rFonts w:hint="eastAsia" w:ascii="宋体" w:hAnsi="宋体"/>
          <w:color w:val="auto"/>
          <w:szCs w:val="21"/>
          <w:u w:val="single"/>
        </w:rPr>
        <w:t>广州南沙粤海水务有限公司</w:t>
      </w:r>
      <w:r>
        <w:rPr>
          <w:rFonts w:ascii="宋体" w:hAnsi="宋体"/>
          <w:color w:val="auto"/>
          <w:szCs w:val="21"/>
        </w:rPr>
        <w:t>，建设资金来自</w:t>
      </w:r>
      <w:r>
        <w:rPr>
          <w:rFonts w:hint="eastAsia" w:ascii="宋体" w:hAnsi="宋体"/>
          <w:color w:val="auto"/>
          <w:szCs w:val="21"/>
          <w:u w:val="single"/>
        </w:rPr>
        <w:t>企业自筹资金</w:t>
      </w:r>
      <w:r>
        <w:rPr>
          <w:rFonts w:ascii="宋体" w:hAnsi="宋体"/>
          <w:color w:val="auto"/>
          <w:szCs w:val="21"/>
        </w:rPr>
        <w:t>，项目出资比例为</w:t>
      </w:r>
      <w:r>
        <w:rPr>
          <w:rFonts w:hint="eastAsia" w:ascii="宋体" w:hAnsi="宋体" w:cs="宋体"/>
          <w:color w:val="auto"/>
          <w:szCs w:val="21"/>
          <w:u w:val="single"/>
        </w:rPr>
        <w:t>100%</w:t>
      </w:r>
      <w:r>
        <w:rPr>
          <w:rFonts w:ascii="宋体" w:hAnsi="宋体"/>
          <w:color w:val="auto"/>
          <w:szCs w:val="21"/>
        </w:rPr>
        <w:t>，招标人为</w:t>
      </w:r>
      <w:r>
        <w:rPr>
          <w:rFonts w:hint="eastAsia" w:ascii="宋体" w:hAnsi="宋体"/>
          <w:color w:val="auto"/>
          <w:szCs w:val="21"/>
          <w:u w:val="single"/>
        </w:rPr>
        <w:t>广州南沙粤海水务有限公司</w:t>
      </w:r>
      <w:r>
        <w:rPr>
          <w:rFonts w:ascii="宋体" w:hAnsi="宋体"/>
          <w:color w:val="auto"/>
          <w:szCs w:val="21"/>
        </w:rPr>
        <w:t>。项目已具备招标条件，现对该项目的</w:t>
      </w:r>
      <w:r>
        <w:rPr>
          <w:rFonts w:hint="eastAsia" w:ascii="宋体" w:hAnsi="宋体"/>
          <w:color w:val="auto"/>
          <w:szCs w:val="21"/>
          <w:u w:val="single"/>
        </w:rPr>
        <w:t>施工图设计及施工（EPC）总承包</w:t>
      </w:r>
      <w:r>
        <w:rPr>
          <w:rFonts w:ascii="宋体" w:hAnsi="宋体"/>
          <w:color w:val="auto"/>
          <w:szCs w:val="21"/>
        </w:rPr>
        <w:t>进行公开招标。</w:t>
      </w:r>
    </w:p>
    <w:p>
      <w:pPr>
        <w:pStyle w:val="5"/>
        <w:spacing w:line="440" w:lineRule="exact"/>
        <w:rPr>
          <w:rFonts w:ascii="宋体" w:hAnsi="宋体" w:eastAsia="宋体"/>
          <w:color w:val="auto"/>
          <w:sz w:val="21"/>
          <w:szCs w:val="21"/>
        </w:rPr>
      </w:pPr>
      <w:bookmarkStart w:id="9" w:name="_Toc300834930"/>
      <w:bookmarkStart w:id="10" w:name="_Toc152042289"/>
      <w:bookmarkStart w:id="11" w:name="_Toc247527536"/>
      <w:bookmarkStart w:id="12" w:name="_Toc152045513"/>
      <w:bookmarkStart w:id="13" w:name="_Toc144974481"/>
      <w:bookmarkStart w:id="14" w:name="_Toc247513935"/>
      <w:r>
        <w:rPr>
          <w:rFonts w:ascii="宋体" w:hAnsi="宋体" w:eastAsia="宋体"/>
          <w:color w:val="auto"/>
          <w:sz w:val="21"/>
          <w:szCs w:val="21"/>
        </w:rPr>
        <w:t>2. 项目概况与招标范围</w:t>
      </w:r>
      <w:bookmarkEnd w:id="9"/>
      <w:bookmarkEnd w:id="10"/>
      <w:bookmarkEnd w:id="11"/>
      <w:bookmarkEnd w:id="12"/>
      <w:bookmarkEnd w:id="13"/>
      <w:bookmarkEnd w:id="14"/>
    </w:p>
    <w:p>
      <w:pPr>
        <w:adjustRightInd w:val="0"/>
        <w:spacing w:line="440" w:lineRule="exact"/>
        <w:ind w:firstLine="420" w:firstLineChars="200"/>
        <w:rPr>
          <w:rFonts w:ascii="宋体" w:hAnsi="宋体"/>
          <w:color w:val="auto"/>
          <w:szCs w:val="21"/>
        </w:rPr>
      </w:pPr>
      <w:bookmarkStart w:id="15" w:name="_Toc300834931"/>
      <w:bookmarkStart w:id="16" w:name="_Toc152042290"/>
      <w:bookmarkStart w:id="17" w:name="_Toc152045514"/>
      <w:bookmarkStart w:id="18" w:name="_Toc247527537"/>
      <w:bookmarkStart w:id="19" w:name="_Toc144974482"/>
      <w:bookmarkStart w:id="20" w:name="_Toc247513936"/>
      <w:r>
        <w:rPr>
          <w:rFonts w:hint="eastAsia" w:ascii="宋体" w:hAnsi="宋体"/>
          <w:color w:val="auto"/>
          <w:szCs w:val="21"/>
        </w:rPr>
        <w:t>2.1项目名称：</w:t>
      </w:r>
      <w:r>
        <w:rPr>
          <w:rFonts w:hint="eastAsia" w:ascii="宋体" w:hAnsi="宋体"/>
          <w:color w:val="auto"/>
          <w:szCs w:val="21"/>
          <w:u w:val="single"/>
        </w:rPr>
        <w:t>2024年5个供水管迁改项目施工图设计及施工（EPC）总承包</w:t>
      </w:r>
    </w:p>
    <w:p>
      <w:pPr>
        <w:adjustRightInd w:val="0"/>
        <w:spacing w:line="440" w:lineRule="exact"/>
        <w:ind w:firstLine="420" w:firstLineChars="200"/>
        <w:rPr>
          <w:rFonts w:ascii="宋体" w:hAnsi="宋体"/>
          <w:color w:val="auto"/>
          <w:szCs w:val="21"/>
        </w:rPr>
      </w:pPr>
      <w:r>
        <w:rPr>
          <w:rFonts w:hint="eastAsia" w:ascii="宋体" w:hAnsi="宋体"/>
          <w:color w:val="auto"/>
          <w:szCs w:val="21"/>
        </w:rPr>
        <w:t>2.2 建设地点：</w:t>
      </w:r>
      <w:r>
        <w:rPr>
          <w:rFonts w:hint="eastAsia" w:ascii="宋体" w:hAnsi="宋体"/>
          <w:color w:val="auto"/>
          <w:szCs w:val="21"/>
          <w:u w:val="single"/>
        </w:rPr>
        <w:t>广州市南沙区</w:t>
      </w:r>
    </w:p>
    <w:p>
      <w:pPr>
        <w:spacing w:line="440" w:lineRule="exact"/>
        <w:ind w:firstLine="420" w:firstLineChars="200"/>
        <w:rPr>
          <w:rFonts w:ascii="宋体" w:hAnsi="宋体"/>
          <w:color w:val="auto"/>
          <w:szCs w:val="21"/>
        </w:rPr>
      </w:pPr>
      <w:r>
        <w:rPr>
          <w:rFonts w:hint="eastAsia" w:ascii="宋体" w:hAnsi="宋体"/>
          <w:color w:val="auto"/>
          <w:szCs w:val="21"/>
        </w:rPr>
        <w:t>2.3 建设内容和项目规模：</w:t>
      </w:r>
    </w:p>
    <w:p>
      <w:pPr>
        <w:spacing w:line="360" w:lineRule="auto"/>
        <w:ind w:firstLine="525" w:firstLineChars="250"/>
        <w:rPr>
          <w:rFonts w:ascii="宋体" w:hAnsi="宋体" w:cs="宋体"/>
          <w:color w:val="auto"/>
          <w:u w:val="single"/>
        </w:rPr>
      </w:pPr>
      <w:r>
        <w:rPr>
          <w:rFonts w:hint="eastAsia" w:ascii="宋体" w:hAnsi="宋体" w:cs="宋体"/>
          <w:color w:val="auto"/>
          <w:u w:val="single"/>
        </w:rPr>
        <w:t>2024年5个供水管迁改项目施工，其中：</w:t>
      </w:r>
    </w:p>
    <w:p>
      <w:pPr>
        <w:spacing w:line="360" w:lineRule="auto"/>
        <w:ind w:firstLine="525" w:firstLineChars="250"/>
        <w:rPr>
          <w:rFonts w:ascii="宋体" w:hAnsi="宋体" w:cs="宋体"/>
          <w:color w:val="auto"/>
          <w:u w:val="single"/>
        </w:rPr>
      </w:pPr>
      <w:r>
        <w:rPr>
          <w:rFonts w:hint="eastAsia" w:ascii="宋体" w:hAnsi="宋体" w:cs="宋体"/>
          <w:color w:val="auto"/>
          <w:u w:val="single"/>
        </w:rPr>
        <w:t>万龙大桥工程龙穴街侧范围内供水管线迁改：DN800管约1200m；</w:t>
      </w:r>
    </w:p>
    <w:p>
      <w:pPr>
        <w:spacing w:line="360" w:lineRule="auto"/>
        <w:ind w:firstLine="525" w:firstLineChars="250"/>
        <w:rPr>
          <w:rFonts w:ascii="宋体" w:hAnsi="宋体" w:cs="宋体"/>
          <w:color w:val="auto"/>
          <w:u w:val="single"/>
        </w:rPr>
      </w:pPr>
      <w:r>
        <w:rPr>
          <w:rFonts w:hint="eastAsia" w:ascii="宋体" w:hAnsi="宋体" w:cs="宋体"/>
          <w:color w:val="auto"/>
          <w:u w:val="single"/>
        </w:rPr>
        <w:t>巨湾基地项目周边道路工程红线范围内供水管迁改：DN200管约270米、DN1400管约221米；</w:t>
      </w:r>
    </w:p>
    <w:p>
      <w:pPr>
        <w:spacing w:line="360" w:lineRule="auto"/>
        <w:ind w:firstLine="420" w:firstLineChars="200"/>
        <w:rPr>
          <w:rFonts w:ascii="宋体" w:hAnsi="宋体" w:cs="宋体"/>
          <w:color w:val="auto"/>
          <w:u w:val="single"/>
        </w:rPr>
      </w:pPr>
      <w:r>
        <w:rPr>
          <w:rFonts w:hint="eastAsia" w:ascii="宋体" w:hAnsi="宋体" w:cs="宋体"/>
          <w:color w:val="auto"/>
          <w:u w:val="single"/>
        </w:rPr>
        <w:t>英东大道扩建工程供水管线及供水设施迁改：DN400管约1300米，DN300管约3700米；</w:t>
      </w:r>
    </w:p>
    <w:p>
      <w:pPr>
        <w:spacing w:line="360" w:lineRule="auto"/>
        <w:ind w:firstLine="420" w:firstLineChars="200"/>
        <w:rPr>
          <w:rFonts w:ascii="宋体" w:hAnsi="宋体" w:cs="宋体"/>
          <w:color w:val="auto"/>
          <w:u w:val="single"/>
        </w:rPr>
      </w:pPr>
      <w:r>
        <w:rPr>
          <w:rFonts w:hint="eastAsia" w:ascii="宋体" w:hAnsi="宋体" w:cs="宋体"/>
          <w:color w:val="auto"/>
          <w:u w:val="single"/>
        </w:rPr>
        <w:t>万环西路（十四涌半至十六涌半）改扩建工程给水管线迁改：DN800管约500米；</w:t>
      </w:r>
    </w:p>
    <w:p>
      <w:pPr>
        <w:spacing w:line="360" w:lineRule="auto"/>
        <w:ind w:firstLine="420" w:firstLineChars="200"/>
        <w:rPr>
          <w:rFonts w:ascii="宋体" w:hAnsi="宋体" w:cs="宋体"/>
          <w:color w:val="auto"/>
          <w:szCs w:val="21"/>
          <w:u w:val="single"/>
        </w:rPr>
      </w:pPr>
      <w:r>
        <w:rPr>
          <w:rFonts w:hint="eastAsia" w:ascii="宋体" w:hAnsi="宋体" w:cs="宋体"/>
          <w:color w:val="auto"/>
          <w:u w:val="single"/>
        </w:rPr>
        <w:t>亭角大桥拓宽改造工程供水管线迁改：DN1400管约250米，DN1000管约200米。</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工程具体实施规模及建设内容最终以经招标人及有关部门审定的施工图为准。(最终以招标人认可的实际工程量结算为准）</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招标人有权根据实际情况对建设内容进行调整。招标人减少的项目无论有无替代，招标人都不予补偿或赔偿。</w:t>
      </w:r>
    </w:p>
    <w:p>
      <w:pPr>
        <w:spacing w:line="440" w:lineRule="exact"/>
        <w:ind w:firstLine="420" w:firstLineChars="200"/>
        <w:rPr>
          <w:rFonts w:ascii="宋体" w:hAnsi="宋体"/>
          <w:color w:val="auto"/>
          <w:szCs w:val="21"/>
        </w:rPr>
      </w:pPr>
      <w:r>
        <w:rPr>
          <w:rFonts w:hint="eastAsia" w:ascii="宋体" w:hAnsi="宋体"/>
          <w:color w:val="auto"/>
          <w:szCs w:val="21"/>
        </w:rPr>
        <w:t>2.4 计划总工期：</w:t>
      </w:r>
    </w:p>
    <w:p>
      <w:pPr>
        <w:spacing w:line="440" w:lineRule="exact"/>
        <w:ind w:firstLine="420" w:firstLineChars="200"/>
        <w:rPr>
          <w:rFonts w:ascii="宋体" w:hAnsi="宋体"/>
          <w:color w:val="auto"/>
          <w:szCs w:val="21"/>
          <w:u w:val="single"/>
        </w:rPr>
      </w:pPr>
      <w:r>
        <w:rPr>
          <w:rFonts w:hint="eastAsia" w:ascii="宋体" w:hAnsi="宋体"/>
          <w:color w:val="auto"/>
          <w:szCs w:val="21"/>
          <w:u w:val="single"/>
        </w:rPr>
        <w:t>工期总日历天数：410天（含设计工期）。</w:t>
      </w:r>
    </w:p>
    <w:p>
      <w:pPr>
        <w:spacing w:line="440" w:lineRule="exact"/>
        <w:ind w:firstLine="420" w:firstLineChars="200"/>
        <w:rPr>
          <w:rFonts w:ascii="宋体" w:hAnsi="宋体"/>
          <w:color w:val="auto"/>
          <w:szCs w:val="21"/>
          <w:u w:val="single"/>
        </w:rPr>
      </w:pPr>
      <w:r>
        <w:rPr>
          <w:rFonts w:hint="eastAsia" w:ascii="宋体" w:hAnsi="宋体"/>
          <w:color w:val="auto"/>
          <w:szCs w:val="21"/>
          <w:u w:val="single"/>
        </w:rPr>
        <w:t>（1）设计工期：中标人按招标人工作要求在合同签订后45日历</w:t>
      </w:r>
      <w:r>
        <w:rPr>
          <w:rFonts w:ascii="宋体" w:hAnsi="宋体"/>
          <w:color w:val="auto"/>
          <w:szCs w:val="21"/>
          <w:u w:val="single"/>
        </w:rPr>
        <w:t>天内完成施工图设计、补充、修改</w:t>
      </w:r>
      <w:r>
        <w:rPr>
          <w:rFonts w:hint="eastAsia" w:ascii="宋体" w:hAnsi="宋体"/>
          <w:color w:val="auto"/>
          <w:szCs w:val="21"/>
          <w:u w:val="single"/>
        </w:rPr>
        <w:t>，并经审图机构审查通过，提交经审图机构审查通过的施工图</w:t>
      </w:r>
      <w:r>
        <w:rPr>
          <w:rFonts w:ascii="宋体" w:hAnsi="宋体"/>
          <w:color w:val="auto"/>
          <w:szCs w:val="21"/>
          <w:u w:val="single"/>
        </w:rPr>
        <w:t>。</w:t>
      </w:r>
      <w:r>
        <w:rPr>
          <w:rFonts w:hint="eastAsia" w:ascii="宋体" w:hAnsi="宋体"/>
          <w:color w:val="auto"/>
          <w:szCs w:val="21"/>
          <w:u w:val="single"/>
        </w:rPr>
        <w:t>其他设计文件提交日期以不影响本工程实施进度为原则，按招标人的要求确定；中标人应于合同签订后根据设计节点工期要求编制设计进度计划报招标人审批，以招标人批准的进度计划执行。</w:t>
      </w:r>
    </w:p>
    <w:p>
      <w:pPr>
        <w:spacing w:line="440" w:lineRule="exact"/>
        <w:ind w:firstLine="420" w:firstLineChars="200"/>
        <w:rPr>
          <w:rFonts w:ascii="宋体" w:hAnsi="宋体"/>
          <w:color w:val="auto"/>
          <w:szCs w:val="21"/>
          <w:u w:val="single"/>
        </w:rPr>
      </w:pPr>
      <w:r>
        <w:rPr>
          <w:rFonts w:hint="eastAsia" w:ascii="宋体" w:hAnsi="宋体"/>
          <w:color w:val="auto"/>
          <w:szCs w:val="21"/>
          <w:u w:val="single"/>
        </w:rPr>
        <w:t>（2）施工工期：暂定365日历天（因征地拆迁等客观因素导致工期延期的，经招标人确认后施工工期相应顺延），具体以招标人批复或招标人授权工程师下发开工令文件注明的开始现场施工日期之日起算，中标人必须严格按投标文件所承诺的工期计划实施。开始现场施工后，中标人必须履行投标文件的约定，每个月15日（</w:t>
      </w:r>
      <w:r>
        <w:rPr>
          <w:rFonts w:hint="eastAsia" w:ascii="宋体" w:hAnsi="宋体" w:cs="宋体"/>
          <w:color w:val="auto"/>
          <w:szCs w:val="21"/>
          <w:u w:val="single"/>
        </w:rPr>
        <w:t>招标人</w:t>
      </w:r>
      <w:r>
        <w:rPr>
          <w:rFonts w:hint="eastAsia" w:ascii="宋体" w:hAnsi="宋体"/>
          <w:color w:val="auto"/>
          <w:szCs w:val="21"/>
          <w:u w:val="single"/>
        </w:rPr>
        <w:t>另有要求的除外）书面报告完成施工进度计划情况，作为招标人评判工期是否延误的参考依据。</w:t>
      </w:r>
    </w:p>
    <w:p>
      <w:pPr>
        <w:spacing w:line="440" w:lineRule="exact"/>
        <w:ind w:firstLine="420" w:firstLineChars="200"/>
        <w:rPr>
          <w:rFonts w:ascii="宋体" w:hAnsi="宋体"/>
          <w:color w:val="auto"/>
          <w:szCs w:val="21"/>
        </w:rPr>
      </w:pPr>
      <w:r>
        <w:rPr>
          <w:rFonts w:hint="eastAsia" w:ascii="宋体" w:hAnsi="宋体"/>
          <w:color w:val="auto"/>
          <w:szCs w:val="21"/>
        </w:rPr>
        <w:t xml:space="preserve">2.5 招标范围： </w:t>
      </w:r>
    </w:p>
    <w:p>
      <w:pPr>
        <w:spacing w:line="360" w:lineRule="auto"/>
        <w:ind w:firstLine="495" w:firstLineChars="236"/>
        <w:rPr>
          <w:rFonts w:ascii="宋体" w:hAnsi="宋体"/>
          <w:color w:val="auto"/>
          <w:szCs w:val="21"/>
          <w:u w:val="single"/>
        </w:rPr>
      </w:pPr>
      <w:r>
        <w:rPr>
          <w:rFonts w:ascii="宋体" w:hAnsi="宋体"/>
          <w:color w:val="auto"/>
          <w:szCs w:val="21"/>
          <w:u w:val="single"/>
        </w:rPr>
        <w:t>（1）工程设计：本工程的施工图设计、施工图送审并取得施工图审查合格书、施工图预算编制</w:t>
      </w:r>
      <w:r>
        <w:rPr>
          <w:rFonts w:hint="eastAsia" w:ascii="宋体" w:hAnsi="宋体"/>
          <w:color w:val="auto"/>
          <w:szCs w:val="21"/>
          <w:u w:val="single"/>
        </w:rPr>
        <w:t>协助</w:t>
      </w:r>
      <w:r>
        <w:rPr>
          <w:rFonts w:ascii="宋体" w:hAnsi="宋体"/>
          <w:color w:val="auto"/>
          <w:szCs w:val="21"/>
          <w:u w:val="single"/>
        </w:rPr>
        <w:t>(由有资质的造价</w:t>
      </w:r>
      <w:r>
        <w:rPr>
          <w:rFonts w:hint="eastAsia" w:ascii="宋体" w:hAnsi="宋体"/>
          <w:color w:val="auto"/>
          <w:szCs w:val="21"/>
          <w:u w:val="single"/>
        </w:rPr>
        <w:t>人员协助</w:t>
      </w:r>
      <w:r>
        <w:rPr>
          <w:rFonts w:ascii="宋体" w:hAnsi="宋体"/>
          <w:color w:val="auto"/>
          <w:szCs w:val="21"/>
          <w:u w:val="single"/>
        </w:rPr>
        <w:t>)、施工图预算审查配合服务、</w:t>
      </w:r>
      <w:bookmarkStart w:id="21" w:name="_Hlk152349594"/>
      <w:r>
        <w:rPr>
          <w:rFonts w:ascii="宋体" w:hAnsi="宋体"/>
          <w:color w:val="auto"/>
          <w:szCs w:val="21"/>
          <w:u w:val="single"/>
        </w:rPr>
        <w:t>图纸变更</w:t>
      </w:r>
      <w:bookmarkEnd w:id="21"/>
      <w:r>
        <w:rPr>
          <w:rFonts w:ascii="宋体" w:hAnsi="宋体"/>
          <w:color w:val="auto"/>
          <w:szCs w:val="21"/>
          <w:u w:val="single"/>
        </w:rPr>
        <w:t>等工作，以及</w:t>
      </w:r>
      <w:bookmarkStart w:id="22" w:name="_Hlk152349599"/>
      <w:r>
        <w:rPr>
          <w:rFonts w:ascii="宋体" w:hAnsi="宋体"/>
          <w:color w:val="auto"/>
          <w:szCs w:val="21"/>
          <w:u w:val="single"/>
        </w:rPr>
        <w:t>全过程的技术把关及跟踪服务</w:t>
      </w:r>
      <w:r>
        <w:rPr>
          <w:rFonts w:hint="eastAsia" w:ascii="宋体" w:hAnsi="宋体"/>
          <w:color w:val="auto"/>
          <w:szCs w:val="21"/>
          <w:u w:val="single"/>
        </w:rPr>
        <w:t>，如</w:t>
      </w:r>
      <w:r>
        <w:rPr>
          <w:rFonts w:ascii="宋体" w:hAnsi="宋体"/>
          <w:color w:val="auto"/>
          <w:szCs w:val="21"/>
          <w:u w:val="single"/>
        </w:rPr>
        <w:t>派驻现场设计代表</w:t>
      </w:r>
      <w:r>
        <w:rPr>
          <w:rFonts w:hint="eastAsia" w:ascii="宋体" w:hAnsi="宋体"/>
          <w:color w:val="auto"/>
          <w:szCs w:val="21"/>
          <w:u w:val="single"/>
        </w:rPr>
        <w:t>、</w:t>
      </w:r>
      <w:bookmarkEnd w:id="22"/>
      <w:r>
        <w:rPr>
          <w:rFonts w:ascii="宋体" w:hAnsi="宋体"/>
          <w:color w:val="auto"/>
          <w:szCs w:val="21"/>
          <w:u w:val="single"/>
        </w:rPr>
        <w:t>设计协调服务，配合专家评审等工作</w:t>
      </w:r>
      <w:bookmarkStart w:id="23" w:name="_Hlk152349607"/>
      <w:r>
        <w:rPr>
          <w:rFonts w:hint="eastAsia" w:ascii="宋体" w:hAnsi="宋体"/>
          <w:color w:val="auto"/>
          <w:szCs w:val="21"/>
          <w:u w:val="single"/>
        </w:rPr>
        <w:t>，</w:t>
      </w:r>
      <w:r>
        <w:rPr>
          <w:rFonts w:ascii="宋体" w:hAnsi="宋体"/>
          <w:color w:val="auto"/>
          <w:szCs w:val="21"/>
          <w:u w:val="single"/>
        </w:rPr>
        <w:t>配合项目报批报建等工作</w:t>
      </w:r>
      <w:bookmarkEnd w:id="23"/>
      <w:r>
        <w:rPr>
          <w:rFonts w:ascii="宋体" w:hAnsi="宋体"/>
          <w:color w:val="auto"/>
          <w:szCs w:val="21"/>
          <w:u w:val="single"/>
        </w:rPr>
        <w:t>。</w:t>
      </w:r>
    </w:p>
    <w:p>
      <w:pPr>
        <w:spacing w:line="360" w:lineRule="auto"/>
        <w:ind w:firstLine="495" w:firstLineChars="236"/>
        <w:rPr>
          <w:rFonts w:ascii="宋体" w:hAnsi="宋体"/>
          <w:color w:val="auto"/>
          <w:szCs w:val="21"/>
          <w:u w:val="single"/>
        </w:rPr>
      </w:pPr>
      <w:r>
        <w:rPr>
          <w:rFonts w:ascii="宋体" w:hAnsi="宋体"/>
          <w:color w:val="auto"/>
          <w:szCs w:val="21"/>
          <w:u w:val="single"/>
        </w:rPr>
        <w:t>（2）工程施工范围：本工程设计范围内所有工程内容的施工（包工、包料</w:t>
      </w:r>
      <w:r>
        <w:rPr>
          <w:rFonts w:hint="eastAsia" w:ascii="宋体" w:hAnsi="宋体"/>
          <w:color w:val="auto"/>
          <w:szCs w:val="21"/>
          <w:u w:val="single"/>
        </w:rPr>
        <w:t>（除甲供材料钢管、球墨管及配件、阀门外）</w:t>
      </w:r>
      <w:r>
        <w:rPr>
          <w:rFonts w:ascii="宋体" w:hAnsi="宋体"/>
          <w:color w:val="auto"/>
          <w:szCs w:val="21"/>
          <w:u w:val="single"/>
        </w:rPr>
        <w:t>、包</w:t>
      </w:r>
      <w:bookmarkStart w:id="24" w:name="_Hlk152349661"/>
      <w:r>
        <w:rPr>
          <w:rFonts w:hint="eastAsia" w:ascii="宋体" w:hAnsi="宋体"/>
          <w:color w:val="auto"/>
          <w:szCs w:val="21"/>
          <w:u w:val="single"/>
        </w:rPr>
        <w:t>生产设备采购及</w:t>
      </w:r>
      <w:bookmarkEnd w:id="24"/>
      <w:r>
        <w:rPr>
          <w:rFonts w:ascii="宋体" w:hAnsi="宋体"/>
          <w:color w:val="auto"/>
          <w:szCs w:val="21"/>
          <w:u w:val="single"/>
        </w:rPr>
        <w:t>安装、包工期、包质量、包安全生产、包文明施工、包劳保、包验收、包保修；分部分项工程和单项措施项目综合单价包干、总价措施项目费用包干；包承包范围内工程验收通过、包移交、包结算、包资料整理、</w:t>
      </w:r>
      <w:r>
        <w:rPr>
          <w:rFonts w:hint="eastAsia" w:ascii="宋体" w:hAnsi="宋体"/>
          <w:color w:val="auto"/>
          <w:szCs w:val="21"/>
          <w:u w:val="single"/>
        </w:rPr>
        <w:t>竣工图编制、</w:t>
      </w:r>
      <w:r>
        <w:rPr>
          <w:rFonts w:ascii="宋体" w:hAnsi="宋体"/>
          <w:color w:val="auto"/>
          <w:szCs w:val="21"/>
          <w:u w:val="single"/>
        </w:rPr>
        <w:t>包施工承包管理和现场整体组织、包专业协调及配合等），包括本项目施工范围内安全文明措施、交通疏解、土建、设备安装施工、外水外电配套建设施工、调试、完工验收、结算、保修、竣工验收等。</w:t>
      </w:r>
    </w:p>
    <w:p>
      <w:pPr>
        <w:spacing w:line="360" w:lineRule="auto"/>
        <w:ind w:firstLine="495" w:firstLineChars="236"/>
        <w:rPr>
          <w:rFonts w:ascii="宋体" w:hAnsi="宋体"/>
          <w:color w:val="auto"/>
          <w:szCs w:val="21"/>
          <w:u w:val="single"/>
        </w:rPr>
      </w:pPr>
      <w:r>
        <w:rPr>
          <w:rFonts w:hint="eastAsia" w:ascii="宋体" w:hAnsi="宋体"/>
          <w:color w:val="auto"/>
          <w:szCs w:val="21"/>
          <w:u w:val="single"/>
        </w:rPr>
        <w:t>（3）相关报批报建工作：负责编制防洪评价报告、通航影响评价报告（含航标配置设计维护）、通航安全影响评估报告、公路安全性评估、规划报建相关（放线测量）等规划、水利及公路等各类前期报批报建所需的报告编制、专家评审组织和报批服务、工程竣工备案等。实施过程中的各类占道报批、燃气保护方案报批和电力保护方案报批等和本工程建设有关的方案报批工作由中标人负责。</w:t>
      </w:r>
    </w:p>
    <w:p>
      <w:pPr>
        <w:widowControl/>
        <w:spacing w:line="360" w:lineRule="auto"/>
        <w:ind w:firstLine="495" w:firstLineChars="236"/>
        <w:jc w:val="left"/>
        <w:rPr>
          <w:rFonts w:ascii="宋体" w:hAnsi="宋体"/>
          <w:color w:val="auto"/>
          <w:szCs w:val="21"/>
          <w:u w:val="single"/>
        </w:rPr>
      </w:pPr>
      <w:r>
        <w:rPr>
          <w:rFonts w:hint="eastAsia" w:ascii="宋体" w:hAnsi="宋体"/>
          <w:color w:val="auto"/>
          <w:szCs w:val="21"/>
          <w:u w:val="single"/>
        </w:rPr>
        <w:t>招标</w:t>
      </w:r>
      <w:r>
        <w:rPr>
          <w:rFonts w:ascii="宋体" w:hAnsi="宋体"/>
          <w:color w:val="auto"/>
          <w:szCs w:val="21"/>
          <w:u w:val="single"/>
        </w:rPr>
        <w:t>内容主要如下：</w:t>
      </w:r>
    </w:p>
    <w:p>
      <w:pPr>
        <w:widowControl/>
        <w:spacing w:line="360" w:lineRule="auto"/>
        <w:ind w:firstLine="495" w:firstLineChars="236"/>
        <w:jc w:val="left"/>
        <w:rPr>
          <w:rFonts w:ascii="宋体" w:hAnsi="宋体"/>
          <w:color w:val="auto"/>
          <w:szCs w:val="21"/>
          <w:u w:val="single"/>
        </w:rPr>
      </w:pPr>
      <w:r>
        <w:rPr>
          <w:rFonts w:hint="eastAsia" w:ascii="宋体" w:hAnsi="宋体"/>
          <w:color w:val="auto"/>
          <w:szCs w:val="21"/>
          <w:u w:val="single"/>
        </w:rPr>
        <w:t>1、前期及验收等相关工作</w:t>
      </w:r>
    </w:p>
    <w:p>
      <w:pPr>
        <w:widowControl/>
        <w:spacing w:line="360" w:lineRule="auto"/>
        <w:ind w:firstLine="495" w:firstLineChars="236"/>
        <w:jc w:val="left"/>
        <w:rPr>
          <w:rFonts w:ascii="宋体" w:hAnsi="宋体"/>
          <w:color w:val="auto"/>
          <w:szCs w:val="21"/>
          <w:u w:val="single"/>
        </w:rPr>
      </w:pPr>
      <w:r>
        <w:rPr>
          <w:rFonts w:hint="eastAsia" w:ascii="宋体" w:hAnsi="宋体"/>
          <w:color w:val="auto"/>
          <w:szCs w:val="21"/>
          <w:u w:val="single"/>
        </w:rPr>
        <w:t>前期及验收等相关配合工作包括但不限于资料收集、负责项目的工程报建（包括办理：施工图送审及备案、工程预结算送招标人审核），负责办理工程开工及验收所需的各项报监、报建、报验手续，包括但不限于办理施工许可证(或临时施工许可)、报监手续、余泥排放证、排污手续、排水接驳、水质检测、排水许可证、基准点及放线图、临水临电、水电气等专业报建报装、分项分部工程验收、环保验收、消防验收、人防验收、卫生验收、永久排水许可证、节能验收、质量验收、规划验收、永久用电用水验收等工作，并支付办理上述工作中相关费用。</w:t>
      </w:r>
    </w:p>
    <w:p>
      <w:pPr>
        <w:widowControl/>
        <w:spacing w:line="360" w:lineRule="auto"/>
        <w:ind w:firstLine="495" w:firstLineChars="236"/>
        <w:jc w:val="left"/>
        <w:rPr>
          <w:rFonts w:ascii="宋体" w:hAnsi="宋体"/>
          <w:color w:val="auto"/>
          <w:szCs w:val="21"/>
          <w:u w:val="single"/>
        </w:rPr>
      </w:pPr>
      <w:r>
        <w:rPr>
          <w:rFonts w:hint="eastAsia" w:ascii="宋体" w:hAnsi="宋体"/>
          <w:color w:val="auto"/>
          <w:szCs w:val="21"/>
          <w:u w:val="single"/>
        </w:rPr>
        <w:t xml:space="preserve"> 2、设计（含施工图预算编制协助）：</w:t>
      </w:r>
    </w:p>
    <w:p>
      <w:pPr>
        <w:widowControl/>
        <w:spacing w:line="360" w:lineRule="auto"/>
        <w:ind w:firstLine="495" w:firstLineChars="236"/>
        <w:jc w:val="left"/>
        <w:rPr>
          <w:rFonts w:ascii="宋体" w:hAnsi="宋体"/>
          <w:color w:val="auto"/>
          <w:szCs w:val="21"/>
          <w:u w:val="single"/>
        </w:rPr>
      </w:pPr>
      <w:r>
        <w:rPr>
          <w:rFonts w:hint="eastAsia" w:ascii="宋体" w:hAnsi="宋体"/>
          <w:color w:val="auto"/>
          <w:szCs w:val="21"/>
          <w:u w:val="single"/>
        </w:rPr>
        <w:t>包括但不限于根据招标范围及限额进行施工图设计、协助编制施工图预算、施工图送审及修编、图纸变更、全过程的技术把关及跟踪服务（含派驻现场设计代表、配合专家评审等），配合项目报批报建等工作。</w:t>
      </w:r>
    </w:p>
    <w:p>
      <w:pPr>
        <w:widowControl/>
        <w:spacing w:line="360" w:lineRule="auto"/>
        <w:ind w:firstLine="495" w:firstLineChars="236"/>
        <w:jc w:val="left"/>
        <w:rPr>
          <w:rFonts w:ascii="宋体" w:hAnsi="宋体"/>
          <w:color w:val="auto"/>
          <w:szCs w:val="21"/>
          <w:u w:val="single"/>
        </w:rPr>
      </w:pPr>
      <w:r>
        <w:rPr>
          <w:rFonts w:hint="eastAsia" w:ascii="宋体" w:hAnsi="宋体"/>
          <w:color w:val="auto"/>
          <w:szCs w:val="21"/>
          <w:u w:val="single"/>
        </w:rPr>
        <w:t>3、建筑安装工程施工：</w:t>
      </w:r>
    </w:p>
    <w:p>
      <w:pPr>
        <w:widowControl/>
        <w:spacing w:line="360" w:lineRule="auto"/>
        <w:ind w:firstLine="495" w:firstLineChars="236"/>
        <w:jc w:val="left"/>
        <w:rPr>
          <w:rFonts w:ascii="宋体" w:hAnsi="宋体"/>
          <w:color w:val="auto"/>
          <w:szCs w:val="21"/>
          <w:u w:val="single"/>
        </w:rPr>
      </w:pPr>
      <w:r>
        <w:rPr>
          <w:rFonts w:hint="eastAsia" w:ascii="宋体" w:hAnsi="宋体"/>
          <w:color w:val="auto"/>
          <w:szCs w:val="21"/>
          <w:u w:val="single"/>
        </w:rPr>
        <w:t>（1）负责本工程临水临电（含红线外接驳）、外水外电（含红线外接驳）等工程的施工工作；</w:t>
      </w:r>
    </w:p>
    <w:p>
      <w:pPr>
        <w:widowControl/>
        <w:spacing w:line="360" w:lineRule="auto"/>
        <w:ind w:firstLine="495" w:firstLineChars="236"/>
        <w:jc w:val="left"/>
        <w:rPr>
          <w:rFonts w:ascii="宋体" w:hAnsi="宋体"/>
          <w:color w:val="auto"/>
          <w:szCs w:val="21"/>
          <w:u w:val="single"/>
        </w:rPr>
      </w:pPr>
      <w:r>
        <w:rPr>
          <w:rFonts w:hint="eastAsia" w:ascii="宋体" w:hAnsi="宋体"/>
          <w:color w:val="auto"/>
          <w:szCs w:val="21"/>
          <w:u w:val="single"/>
        </w:rPr>
        <w:t>（2）完成按有关规定应由中标人负责的检验监测工作，及配合招标人委托的第三方检测工作；</w:t>
      </w:r>
    </w:p>
    <w:p>
      <w:pPr>
        <w:widowControl/>
        <w:spacing w:line="360" w:lineRule="auto"/>
        <w:ind w:firstLine="495" w:firstLineChars="236"/>
        <w:jc w:val="left"/>
        <w:rPr>
          <w:rFonts w:ascii="宋体" w:hAnsi="宋体"/>
          <w:color w:val="auto"/>
          <w:szCs w:val="21"/>
          <w:u w:val="single"/>
        </w:rPr>
      </w:pPr>
      <w:r>
        <w:rPr>
          <w:rFonts w:hint="eastAsia" w:ascii="宋体" w:hAnsi="宋体"/>
          <w:color w:val="auto"/>
          <w:szCs w:val="21"/>
          <w:u w:val="single"/>
        </w:rPr>
        <w:t>（3）根据招标人审定的施工图纸以及招标人发出的与本工程有关的一切文件，包工、包材料（除甲供材料钢管、球墨管及配件、阀门外）、包生产设备采购及安装、包工期、包质量、包安全、包文明施工、包劳保、包招标范围内工程竣工验收通过、包移交、包保修、包结算编制、竣工图编制、工程资料汇总及整理归档等，包施工承包管理和现场整体组织、包专业协调及配合等；</w:t>
      </w:r>
    </w:p>
    <w:p>
      <w:pPr>
        <w:widowControl/>
        <w:spacing w:line="360" w:lineRule="auto"/>
        <w:ind w:firstLine="495" w:firstLineChars="236"/>
        <w:jc w:val="left"/>
        <w:rPr>
          <w:rFonts w:ascii="宋体" w:hAnsi="宋体"/>
          <w:color w:val="auto"/>
          <w:szCs w:val="21"/>
          <w:u w:val="single"/>
        </w:rPr>
      </w:pPr>
      <w:r>
        <w:rPr>
          <w:rFonts w:hint="eastAsia" w:ascii="宋体" w:hAnsi="宋体"/>
          <w:color w:val="auto"/>
          <w:szCs w:val="21"/>
          <w:u w:val="single"/>
        </w:rPr>
        <w:t>（4）技术培训、系统调试、初步完工到调试、试运行等，并在本工程通过竣工验收后，向招标人移交合格的工程；</w:t>
      </w:r>
    </w:p>
    <w:p>
      <w:pPr>
        <w:widowControl/>
        <w:spacing w:line="360" w:lineRule="auto"/>
        <w:ind w:firstLine="495" w:firstLineChars="236"/>
        <w:jc w:val="left"/>
        <w:rPr>
          <w:rFonts w:ascii="宋体" w:hAnsi="宋体"/>
          <w:color w:val="auto"/>
          <w:szCs w:val="21"/>
          <w:u w:val="single"/>
        </w:rPr>
      </w:pPr>
      <w:r>
        <w:rPr>
          <w:rFonts w:hint="eastAsia" w:ascii="宋体" w:hAnsi="宋体"/>
          <w:color w:val="auto"/>
          <w:szCs w:val="21"/>
          <w:u w:val="single"/>
        </w:rPr>
        <w:t>（5）本工程质量保修期内的缺陷修复（含2年的备品、备件）；</w:t>
      </w:r>
    </w:p>
    <w:p>
      <w:pPr>
        <w:widowControl/>
        <w:spacing w:line="360" w:lineRule="auto"/>
        <w:ind w:firstLine="495" w:firstLineChars="236"/>
        <w:jc w:val="left"/>
        <w:rPr>
          <w:rFonts w:ascii="宋体" w:hAnsi="宋体"/>
          <w:color w:val="auto"/>
          <w:szCs w:val="21"/>
          <w:u w:val="single"/>
        </w:rPr>
      </w:pPr>
      <w:r>
        <w:rPr>
          <w:rFonts w:hint="eastAsia" w:ascii="宋体" w:hAnsi="宋体"/>
          <w:color w:val="auto"/>
          <w:szCs w:val="21"/>
          <w:u w:val="single"/>
        </w:rPr>
        <w:t>（6）与本工程建设有关的其他工作。</w:t>
      </w:r>
    </w:p>
    <w:p>
      <w:pPr>
        <w:widowControl/>
        <w:spacing w:line="360" w:lineRule="auto"/>
        <w:ind w:firstLine="495" w:firstLineChars="236"/>
        <w:jc w:val="left"/>
        <w:rPr>
          <w:rFonts w:ascii="宋体" w:hAnsi="宋体"/>
          <w:color w:val="auto"/>
          <w:szCs w:val="21"/>
          <w:u w:val="single"/>
        </w:rPr>
      </w:pPr>
      <w:r>
        <w:rPr>
          <w:rFonts w:hint="eastAsia" w:ascii="宋体" w:hAnsi="宋体"/>
          <w:color w:val="auto"/>
          <w:szCs w:val="21"/>
          <w:u w:val="single"/>
        </w:rPr>
        <w:t>4、项目试运行、完工验收及竣工验收：</w:t>
      </w:r>
    </w:p>
    <w:p>
      <w:pPr>
        <w:spacing w:line="360" w:lineRule="auto"/>
        <w:ind w:firstLine="495" w:firstLineChars="236"/>
        <w:rPr>
          <w:rFonts w:ascii="宋体" w:hAnsi="宋体"/>
          <w:color w:val="auto"/>
          <w:szCs w:val="21"/>
        </w:rPr>
      </w:pPr>
      <w:r>
        <w:rPr>
          <w:rFonts w:hint="eastAsia" w:ascii="宋体" w:hAnsi="宋体"/>
          <w:color w:val="auto"/>
          <w:szCs w:val="21"/>
          <w:u w:val="single"/>
        </w:rPr>
        <w:t>负责项目试运行、完工验收及竣工验收和最终交付投产等。具体承包工作内容详见招标文件、合同条款、技术要求、标准及规范等。</w:t>
      </w:r>
    </w:p>
    <w:p>
      <w:pPr>
        <w:spacing w:line="360" w:lineRule="auto"/>
        <w:ind w:firstLine="495" w:firstLineChars="236"/>
        <w:rPr>
          <w:rFonts w:ascii="宋体" w:hAnsi="宋体" w:cs="宋体"/>
          <w:color w:val="auto"/>
          <w:szCs w:val="21"/>
        </w:rPr>
      </w:pPr>
      <w:r>
        <w:rPr>
          <w:rFonts w:ascii="宋体" w:hAnsi="宋体"/>
          <w:color w:val="auto"/>
          <w:szCs w:val="21"/>
        </w:rPr>
        <w:t>2.6</w:t>
      </w:r>
      <w:r>
        <w:rPr>
          <w:rFonts w:hint="eastAsia" w:ascii="宋体" w:hAnsi="宋体" w:cs="宋体"/>
          <w:color w:val="auto"/>
          <w:szCs w:val="21"/>
        </w:rPr>
        <w:t>本项目招标以</w:t>
      </w:r>
      <w:r>
        <w:rPr>
          <w:rFonts w:hint="eastAsia" w:ascii="宋体" w:hAnsi="宋体" w:cs="宋体"/>
          <w:color w:val="auto"/>
          <w:szCs w:val="21"/>
          <w:u w:val="single"/>
        </w:rPr>
        <w:t>下浮率</w:t>
      </w:r>
      <w:r>
        <w:rPr>
          <w:rFonts w:hint="eastAsia" w:ascii="宋体" w:hAnsi="宋体" w:cs="宋体"/>
          <w:color w:val="auto"/>
          <w:szCs w:val="21"/>
        </w:rPr>
        <w:t>为报价方式，招标控制价及下浮率情况如下（招标控制价为招标人暂定费用，仅供投标参考使用）。</w:t>
      </w:r>
    </w:p>
    <w:p>
      <w:pPr>
        <w:spacing w:line="360" w:lineRule="auto"/>
        <w:ind w:firstLine="470" w:firstLineChars="224"/>
        <w:rPr>
          <w:rFonts w:ascii="宋体" w:hAnsi="宋体" w:cs="宋体"/>
          <w:color w:val="auto"/>
          <w:szCs w:val="21"/>
        </w:rPr>
      </w:pPr>
      <w:r>
        <w:rPr>
          <w:rFonts w:hint="eastAsia" w:ascii="宋体" w:hAnsi="宋体" w:cs="宋体"/>
          <w:color w:val="auto"/>
          <w:szCs w:val="21"/>
        </w:rPr>
        <w:t>招标控制价（含建安工程费及设计费）最低投标下浮率为：23%（</w:t>
      </w:r>
      <w:r>
        <w:rPr>
          <w:rFonts w:hint="eastAsia"/>
          <w:b/>
          <w:bCs/>
          <w:color w:val="auto"/>
          <w:szCs w:val="21"/>
        </w:rPr>
        <w:t>即下浮率报价</w:t>
      </w:r>
      <w:r>
        <w:rPr>
          <w:rFonts w:hint="eastAsia" w:hAnsi="宋体" w:cs="宋体"/>
          <w:b/>
          <w:bCs/>
          <w:color w:val="auto"/>
          <w:szCs w:val="21"/>
        </w:rPr>
        <w:t>≧</w:t>
      </w:r>
      <w:r>
        <w:rPr>
          <w:rFonts w:hint="eastAsia"/>
          <w:b/>
          <w:bCs/>
          <w:color w:val="auto"/>
          <w:szCs w:val="21"/>
        </w:rPr>
        <w:t>23%</w:t>
      </w:r>
      <w:r>
        <w:rPr>
          <w:rFonts w:hint="eastAsia" w:ascii="宋体" w:hAnsi="宋体" w:cs="宋体"/>
          <w:color w:val="auto"/>
          <w:szCs w:val="21"/>
        </w:rPr>
        <w:t>），招标控制价（含建安工程费及设计费）为：</w:t>
      </w:r>
      <w:r>
        <w:rPr>
          <w:rStyle w:val="23"/>
          <w:rFonts w:hint="eastAsia"/>
          <w:color w:val="auto"/>
          <w:u w:val="single"/>
        </w:rPr>
        <w:t>3921</w:t>
      </w:r>
      <w:r>
        <w:rPr>
          <w:rFonts w:hint="eastAsia" w:ascii="宋体" w:hAnsi="宋体" w:cs="宋体"/>
          <w:color w:val="auto"/>
          <w:szCs w:val="21"/>
        </w:rPr>
        <w:t>万元。投标人填报投标下浮率报价时，需同时填报投标总报价金额。投标总报价金额（含建安工程费及设计费）</w:t>
      </w:r>
      <w:r>
        <w:rPr>
          <w:rFonts w:ascii="宋体" w:hAnsi="宋体" w:cs="宋体"/>
          <w:color w:val="auto"/>
          <w:szCs w:val="21"/>
        </w:rPr>
        <w:t>=招标控制价×（1-投标下浮率）。</w:t>
      </w:r>
      <w:r>
        <w:rPr>
          <w:rFonts w:hint="eastAsia" w:ascii="宋体" w:hAnsi="宋体" w:cs="宋体"/>
          <w:color w:val="auto"/>
          <w:szCs w:val="21"/>
        </w:rPr>
        <w:t>工程费中的绿色施工安全防护措施费，不参与下浮。</w:t>
      </w:r>
    </w:p>
    <w:p>
      <w:pPr>
        <w:spacing w:line="440" w:lineRule="exact"/>
        <w:ind w:firstLine="371" w:firstLineChars="177"/>
        <w:rPr>
          <w:rFonts w:ascii="宋体" w:hAnsi="宋体"/>
          <w:color w:val="auto"/>
          <w:szCs w:val="21"/>
        </w:rPr>
      </w:pPr>
      <w:r>
        <w:rPr>
          <w:rFonts w:hint="eastAsia" w:ascii="宋体" w:hAnsi="宋体"/>
          <w:color w:val="auto"/>
          <w:szCs w:val="21"/>
        </w:rPr>
        <w:t>2.7标段划分：一个标段。</w:t>
      </w:r>
    </w:p>
    <w:p>
      <w:pPr>
        <w:pStyle w:val="5"/>
        <w:spacing w:line="440" w:lineRule="exact"/>
        <w:rPr>
          <w:rFonts w:ascii="宋体" w:hAnsi="宋体" w:eastAsia="宋体"/>
          <w:color w:val="auto"/>
          <w:sz w:val="21"/>
          <w:szCs w:val="21"/>
        </w:rPr>
      </w:pPr>
      <w:r>
        <w:rPr>
          <w:rFonts w:ascii="宋体" w:hAnsi="宋体" w:eastAsia="宋体"/>
          <w:color w:val="auto"/>
          <w:sz w:val="21"/>
          <w:szCs w:val="21"/>
        </w:rPr>
        <w:t>3. 投标人资格要求</w:t>
      </w:r>
      <w:bookmarkEnd w:id="15"/>
      <w:bookmarkEnd w:id="16"/>
      <w:bookmarkEnd w:id="17"/>
      <w:bookmarkEnd w:id="18"/>
      <w:bookmarkEnd w:id="19"/>
      <w:bookmarkEnd w:id="20"/>
    </w:p>
    <w:p>
      <w:pPr>
        <w:spacing w:line="440" w:lineRule="exact"/>
        <w:ind w:firstLine="420" w:firstLineChars="200"/>
        <w:rPr>
          <w:rFonts w:ascii="宋体" w:hAnsi="宋体"/>
          <w:color w:val="auto"/>
          <w:szCs w:val="21"/>
        </w:rPr>
      </w:pPr>
      <w:bookmarkStart w:id="25" w:name="_Toc144974483"/>
      <w:bookmarkStart w:id="26" w:name="_Toc152042291"/>
      <w:bookmarkStart w:id="27" w:name="_Toc247527538"/>
      <w:bookmarkStart w:id="28" w:name="_Toc247513937"/>
      <w:bookmarkStart w:id="29" w:name="_Toc152045515"/>
      <w:bookmarkStart w:id="30" w:name="_Toc300834932"/>
      <w:r>
        <w:rPr>
          <w:rFonts w:hint="eastAsia" w:ascii="宋体" w:hAnsi="宋体"/>
          <w:color w:val="auto"/>
          <w:szCs w:val="21"/>
        </w:rPr>
        <w:t>3.1</w:t>
      </w:r>
      <w:r>
        <w:rPr>
          <w:rFonts w:ascii="宋体" w:hAnsi="宋体"/>
          <w:color w:val="auto"/>
          <w:szCs w:val="21"/>
        </w:rPr>
        <w:t>投标申请人（如为联合体，则联合体各方）具有独立法人资格，持有工商行政管理部门核发的有效法人营业执照，按国家法律经营。</w:t>
      </w:r>
    </w:p>
    <w:p>
      <w:pPr>
        <w:spacing w:line="440" w:lineRule="exact"/>
        <w:ind w:firstLine="420" w:firstLineChars="200"/>
        <w:rPr>
          <w:rFonts w:ascii="宋体" w:hAnsi="宋体"/>
          <w:color w:val="auto"/>
          <w:szCs w:val="21"/>
        </w:rPr>
      </w:pPr>
      <w:r>
        <w:rPr>
          <w:rFonts w:ascii="宋体" w:hAnsi="宋体"/>
          <w:color w:val="auto"/>
          <w:szCs w:val="21"/>
        </w:rPr>
        <w:t>3.2投标申请人同时具备承接本工程所需的以下资质条件：</w:t>
      </w:r>
    </w:p>
    <w:p>
      <w:pPr>
        <w:spacing w:line="360" w:lineRule="auto"/>
        <w:ind w:firstLine="420" w:firstLineChars="200"/>
        <w:rPr>
          <w:rFonts w:ascii="宋体" w:hAnsi="宋体"/>
          <w:color w:val="auto"/>
          <w:szCs w:val="21"/>
          <w:u w:val="single"/>
        </w:rPr>
      </w:pPr>
      <w:r>
        <w:rPr>
          <w:rFonts w:hint="eastAsia" w:ascii="宋体" w:hAnsi="宋体"/>
          <w:color w:val="auto"/>
          <w:szCs w:val="21"/>
          <w:u w:val="single"/>
        </w:rPr>
        <w:t>①工程设计资质：工程设计综合甲级资质，或市政行业设计乙级或以上资质，或市政行业（给水工程）专业设计乙级或以上资质；</w:t>
      </w:r>
    </w:p>
    <w:p>
      <w:pPr>
        <w:wordWrap w:val="0"/>
        <w:spacing w:line="360" w:lineRule="auto"/>
        <w:ind w:firstLine="420" w:firstLineChars="200"/>
        <w:rPr>
          <w:rFonts w:ascii="宋体" w:hAnsi="宋体"/>
          <w:color w:val="auto"/>
          <w:szCs w:val="21"/>
          <w:u w:val="single"/>
        </w:rPr>
      </w:pPr>
      <w:r>
        <w:rPr>
          <w:rFonts w:hint="eastAsia" w:ascii="宋体" w:hAnsi="宋体"/>
          <w:color w:val="auto"/>
          <w:szCs w:val="21"/>
          <w:u w:val="single"/>
        </w:rPr>
        <w:t>外国或澳门、台湾的设计企业必须选择一家符合上述条件的企业进行合作设计。香港企业如不单独参加投标，也必须选择一家符合上述条件的企业进行合作设计。香港企业备案的业务范围依据《广东省住房和城乡建设厅关于印发香港工程建设咨询企业和专业人士在粤港澳大湾区内地城市开业执业试点管理暂行办法的通知》（粤建规范〔2020</w:t>
      </w:r>
      <w:r>
        <w:rPr>
          <w:rFonts w:ascii="宋体" w:hAnsi="宋体"/>
          <w:color w:val="auto"/>
          <w:szCs w:val="21"/>
          <w:u w:val="single"/>
        </w:rPr>
        <w:t>〕1号，详见链接：http://zfcxjst.gd.gov.cn/xxgk/wjtz/content/post_3137220.html）确定。”</w:t>
      </w:r>
    </w:p>
    <w:p>
      <w:pPr>
        <w:spacing w:line="360" w:lineRule="auto"/>
        <w:ind w:firstLine="420" w:firstLineChars="200"/>
        <w:rPr>
          <w:rFonts w:ascii="宋体" w:hAnsi="宋体"/>
          <w:color w:val="auto"/>
          <w:szCs w:val="21"/>
          <w:u w:val="single"/>
        </w:rPr>
      </w:pPr>
      <w:r>
        <w:rPr>
          <w:rFonts w:hint="eastAsia" w:ascii="宋体" w:hAnsi="宋体"/>
          <w:color w:val="auto"/>
          <w:szCs w:val="21"/>
          <w:u w:val="single"/>
        </w:rPr>
        <w:t>②施工资质：市政公用工程施工总承包二级或以上资质。</w:t>
      </w:r>
    </w:p>
    <w:p>
      <w:pPr>
        <w:spacing w:line="440" w:lineRule="exact"/>
        <w:ind w:firstLine="420" w:firstLineChars="200"/>
        <w:rPr>
          <w:rFonts w:ascii="宋体" w:hAnsi="宋体"/>
          <w:color w:val="auto"/>
          <w:szCs w:val="21"/>
          <w:u w:val="single"/>
        </w:rPr>
      </w:pPr>
      <w:r>
        <w:rPr>
          <w:rFonts w:hint="eastAsia" w:ascii="宋体" w:hAnsi="宋体"/>
          <w:color w:val="auto"/>
          <w:szCs w:val="21"/>
          <w:u w:val="single"/>
        </w:rPr>
        <w:t>注：（1）国内申请人具体设计资质要求按照《建设工程勘察设计资质管理规定》（建设部令第160号）、《建设工程勘察设计资质管理规定实施意见》（建市[2007]202号）、《工程勘察、工程设计资质分级标准补充规定》（建设[2001]178号）、《工程设计资质标准》（建市〔2007〕86号）、《住房城乡建设部关于促进建筑工程设计事务所发展有关事项的通知》（建市（2016）261号）填写。</w:t>
      </w:r>
    </w:p>
    <w:p>
      <w:pPr>
        <w:spacing w:line="360" w:lineRule="auto"/>
        <w:ind w:firstLine="420" w:firstLineChars="200"/>
        <w:rPr>
          <w:rFonts w:ascii="宋体" w:hAnsi="宋体"/>
          <w:color w:val="auto"/>
          <w:szCs w:val="21"/>
          <w:u w:val="single"/>
        </w:rPr>
      </w:pPr>
      <w:r>
        <w:rPr>
          <w:rFonts w:hint="eastAsia" w:ascii="宋体" w:hAnsi="宋体"/>
          <w:color w:val="auto"/>
          <w:szCs w:val="21"/>
          <w:u w:val="single"/>
        </w:rPr>
        <w:t>（2）工程设计企业资质证书有效期按《住房和城乡建设部办公厅关于建设工程企业资质延续有关事项的通知》（建办市函〔2020〕334号）、广东省住房和城乡建设厅关于建设工程企业资质有效期延期的通知粤（建许函〔2021〕849号）和《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有关事宜的通知》（建办市函〔2022〕361号）和《广东省住房和城乡建设厅关于建设工程企业资质有关事宜的通知》（粤建许函〔2022〕846号）</w:t>
      </w:r>
      <w:r>
        <w:rPr>
          <w:rFonts w:hint="eastAsia" w:ascii="宋体" w:hAnsi="宋体"/>
          <w:color w:val="auto"/>
          <w:szCs w:val="21"/>
        </w:rPr>
        <w:t>、《广东省住房和城乡建设厅关于做好有关建设工程企业资质证书换领工作的通知》（粤建许函〔2024〕124号）等相关文件</w:t>
      </w:r>
      <w:r>
        <w:rPr>
          <w:rFonts w:hint="eastAsia" w:ascii="宋体" w:hAnsi="宋体"/>
          <w:color w:val="auto"/>
          <w:szCs w:val="21"/>
          <w:u w:val="single"/>
        </w:rPr>
        <w:t>执行。地方各级住房和城乡建设主管部门核发的建设工程企业资质证书延续有关政策按各省级住房和城乡建设主管部门规定执行。</w:t>
      </w:r>
    </w:p>
    <w:p>
      <w:pPr>
        <w:spacing w:line="360" w:lineRule="auto"/>
        <w:ind w:firstLine="420" w:firstLineChars="200"/>
        <w:rPr>
          <w:rFonts w:ascii="宋体" w:hAnsi="宋体"/>
          <w:color w:val="auto"/>
          <w:szCs w:val="21"/>
          <w:u w:val="single"/>
        </w:rPr>
      </w:pPr>
      <w:r>
        <w:rPr>
          <w:rFonts w:hint="eastAsia" w:ascii="宋体" w:hAnsi="宋体"/>
          <w:color w:val="auto"/>
          <w:szCs w:val="21"/>
          <w:u w:val="single"/>
        </w:rPr>
        <w:t>（</w:t>
      </w:r>
      <w:r>
        <w:rPr>
          <w:rFonts w:ascii="宋体" w:hAnsi="宋体"/>
          <w:color w:val="auto"/>
          <w:szCs w:val="21"/>
          <w:u w:val="single"/>
        </w:rPr>
        <w:t>3</w:t>
      </w:r>
      <w:r>
        <w:rPr>
          <w:rFonts w:hint="eastAsia" w:ascii="宋体" w:hAnsi="宋体"/>
          <w:color w:val="auto"/>
          <w:szCs w:val="21"/>
          <w:u w:val="single"/>
        </w:rPr>
        <w:t>）施工资质标准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的要求设置。按照《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有关事宜的通知》（建办市函〔2022〕361号）和《广东省住房和城乡建设厅关于建设工程企业资质有关事宜的通知》（粤建许函〔2022〕846号）</w:t>
      </w:r>
      <w:r>
        <w:rPr>
          <w:rFonts w:hint="eastAsia" w:ascii="宋体" w:hAnsi="宋体"/>
          <w:color w:val="auto"/>
          <w:szCs w:val="21"/>
        </w:rPr>
        <w:t>、《广东省住房和城乡建设厅关于做好有关建设工程企业资质证书换领工作的通知》（粤建许函〔2024〕124号）等相关文件</w:t>
      </w:r>
      <w:r>
        <w:rPr>
          <w:rFonts w:hint="eastAsia" w:ascii="宋体" w:hAnsi="宋体"/>
          <w:color w:val="auto"/>
          <w:szCs w:val="21"/>
          <w:u w:val="single"/>
        </w:rPr>
        <w:t>的要求设置。地方各级住房和城乡建设主管部门核发的建设工程企业资质证书延续有关政策按各省级住房和城乡建设主管部门规定执行。</w:t>
      </w:r>
    </w:p>
    <w:p>
      <w:pPr>
        <w:spacing w:line="440" w:lineRule="exact"/>
        <w:ind w:firstLine="420" w:firstLineChars="200"/>
        <w:rPr>
          <w:rFonts w:ascii="宋体" w:hAnsi="宋体"/>
          <w:color w:val="auto"/>
          <w:szCs w:val="21"/>
        </w:rPr>
      </w:pPr>
      <w:r>
        <w:rPr>
          <w:rFonts w:hint="eastAsia" w:ascii="宋体" w:hAnsi="宋体"/>
          <w:color w:val="auto"/>
          <w:szCs w:val="21"/>
        </w:rPr>
        <w:t>3.3本项目允许联合体投标。其中：</w:t>
      </w:r>
    </w:p>
    <w:p>
      <w:pPr>
        <w:spacing w:line="440" w:lineRule="exact"/>
        <w:ind w:firstLine="420" w:firstLineChars="200"/>
        <w:rPr>
          <w:rFonts w:ascii="宋体" w:hAnsi="宋体"/>
          <w:color w:val="auto"/>
          <w:szCs w:val="21"/>
        </w:rPr>
      </w:pPr>
      <w:r>
        <w:rPr>
          <w:rFonts w:hint="eastAsia" w:ascii="宋体" w:hAnsi="宋体"/>
          <w:color w:val="auto"/>
          <w:szCs w:val="21"/>
        </w:rPr>
        <w:t>①联合体主办方应具备</w:t>
      </w:r>
      <w:r>
        <w:rPr>
          <w:rFonts w:hint="eastAsia" w:ascii="宋体" w:hAnsi="宋体"/>
          <w:color w:val="auto"/>
          <w:szCs w:val="21"/>
          <w:u w:val="single"/>
        </w:rPr>
        <w:t>市政公用工程施工总承包二级或以上</w:t>
      </w:r>
      <w:r>
        <w:rPr>
          <w:rFonts w:hint="eastAsia" w:ascii="宋体" w:hAnsi="宋体"/>
          <w:color w:val="auto"/>
          <w:szCs w:val="21"/>
        </w:rPr>
        <w:t>资质，并签订联合体投标协议书。联合体投标协议书应明确约定各方拟承担的工作和责任，联合体主办方须承担本项目主要施工内容。</w:t>
      </w:r>
    </w:p>
    <w:p>
      <w:pPr>
        <w:spacing w:line="440" w:lineRule="exact"/>
        <w:ind w:firstLine="420" w:firstLineChars="200"/>
        <w:rPr>
          <w:rFonts w:ascii="宋体" w:hAnsi="宋体"/>
          <w:color w:val="auto"/>
          <w:szCs w:val="21"/>
        </w:rPr>
      </w:pPr>
      <w:r>
        <w:rPr>
          <w:rFonts w:hint="eastAsia" w:ascii="宋体" w:hAnsi="宋体"/>
          <w:color w:val="auto"/>
          <w:szCs w:val="21"/>
        </w:rPr>
        <w:t>②联合体组成单位不得超过</w:t>
      </w:r>
      <w:r>
        <w:rPr>
          <w:rFonts w:hint="eastAsia" w:ascii="宋体" w:hAnsi="宋体"/>
          <w:color w:val="auto"/>
          <w:szCs w:val="21"/>
          <w:u w:val="single"/>
        </w:rPr>
        <w:t>2</w:t>
      </w:r>
      <w:r>
        <w:rPr>
          <w:rFonts w:hint="eastAsia" w:ascii="宋体" w:hAnsi="宋体"/>
          <w:color w:val="auto"/>
          <w:szCs w:val="21"/>
        </w:rPr>
        <w:t>家。同一单位在本项目中只能单独参与或仅能以某一联合体成员的身份参与投标；</w:t>
      </w:r>
      <w:r>
        <w:rPr>
          <w:rFonts w:ascii="宋体" w:hAnsi="宋体"/>
          <w:color w:val="auto"/>
          <w:szCs w:val="21"/>
        </w:rPr>
        <w:t>联合体的资格条件按联合体任务分工进行评审（其中</w:t>
      </w:r>
      <w:r>
        <w:rPr>
          <w:rFonts w:hint="eastAsia" w:ascii="宋体" w:hAnsi="宋体"/>
          <w:color w:val="auto"/>
          <w:szCs w:val="21"/>
          <w:u w:val="single"/>
        </w:rPr>
        <w:t>市政公用</w:t>
      </w:r>
      <w:r>
        <w:rPr>
          <w:rFonts w:hint="eastAsia" w:ascii="宋体" w:hAnsi="宋体"/>
          <w:color w:val="auto"/>
          <w:szCs w:val="21"/>
        </w:rPr>
        <w:t>工程总承包项目经理以主办单位为准；</w:t>
      </w:r>
      <w:r>
        <w:rPr>
          <w:rFonts w:ascii="宋体" w:hAnsi="宋体"/>
          <w:color w:val="auto"/>
          <w:szCs w:val="21"/>
        </w:rPr>
        <w:t>施工总承包资质、安全生产许可证、</w:t>
      </w:r>
      <w:r>
        <w:rPr>
          <w:rFonts w:hint="eastAsia" w:ascii="宋体" w:hAnsi="宋体"/>
          <w:color w:val="auto"/>
          <w:szCs w:val="21"/>
        </w:rPr>
        <w:t>施工项目经理</w:t>
      </w:r>
      <w:r>
        <w:rPr>
          <w:rFonts w:ascii="宋体" w:hAnsi="宋体"/>
          <w:color w:val="auto"/>
          <w:szCs w:val="21"/>
        </w:rPr>
        <w:t>、专职安全人员、类似项目施工业绩以承接施工任务的</w:t>
      </w:r>
      <w:r>
        <w:rPr>
          <w:rFonts w:hint="eastAsia" w:ascii="宋体" w:hAnsi="宋体"/>
          <w:color w:val="auto"/>
          <w:szCs w:val="21"/>
        </w:rPr>
        <w:t>主办单位</w:t>
      </w:r>
      <w:r>
        <w:rPr>
          <w:rFonts w:ascii="宋体" w:hAnsi="宋体"/>
          <w:color w:val="auto"/>
          <w:szCs w:val="21"/>
        </w:rPr>
        <w:t>为准；</w:t>
      </w:r>
      <w:r>
        <w:rPr>
          <w:rFonts w:hint="eastAsia" w:ascii="宋体" w:hAnsi="宋体"/>
          <w:color w:val="auto"/>
          <w:szCs w:val="21"/>
        </w:rPr>
        <w:t>工程设计资质</w:t>
      </w:r>
      <w:r>
        <w:rPr>
          <w:rFonts w:ascii="宋体" w:hAnsi="宋体"/>
          <w:color w:val="auto"/>
          <w:szCs w:val="21"/>
        </w:rPr>
        <w:t>、设计负责人</w:t>
      </w:r>
      <w:r>
        <w:rPr>
          <w:rFonts w:hint="eastAsia" w:ascii="宋体" w:hAnsi="宋体"/>
          <w:color w:val="auto"/>
          <w:szCs w:val="21"/>
        </w:rPr>
        <w:t>、</w:t>
      </w:r>
      <w:r>
        <w:rPr>
          <w:rFonts w:ascii="宋体" w:hAnsi="宋体"/>
          <w:color w:val="auto"/>
          <w:szCs w:val="21"/>
        </w:rPr>
        <w:t>类似项目</w:t>
      </w:r>
      <w:r>
        <w:rPr>
          <w:rFonts w:hint="eastAsia" w:ascii="宋体" w:hAnsi="宋体"/>
          <w:color w:val="auto"/>
          <w:szCs w:val="21"/>
        </w:rPr>
        <w:t>设计</w:t>
      </w:r>
      <w:r>
        <w:rPr>
          <w:rFonts w:ascii="宋体" w:hAnsi="宋体"/>
          <w:color w:val="auto"/>
          <w:szCs w:val="21"/>
        </w:rPr>
        <w:t>业绩以承接设计任务的</w:t>
      </w:r>
      <w:r>
        <w:rPr>
          <w:rFonts w:hint="eastAsia" w:ascii="宋体" w:hAnsi="宋体"/>
          <w:color w:val="auto"/>
          <w:szCs w:val="21"/>
        </w:rPr>
        <w:t>成员</w:t>
      </w:r>
      <w:r>
        <w:rPr>
          <w:rFonts w:ascii="宋体" w:hAnsi="宋体"/>
          <w:color w:val="auto"/>
          <w:szCs w:val="21"/>
        </w:rPr>
        <w:t>单位为准</w:t>
      </w:r>
      <w:r>
        <w:rPr>
          <w:rFonts w:hint="eastAsia" w:ascii="宋体" w:hAnsi="宋体"/>
          <w:color w:val="auto"/>
          <w:szCs w:val="21"/>
        </w:rPr>
        <w:t>。</w:t>
      </w:r>
    </w:p>
    <w:p>
      <w:pPr>
        <w:spacing w:line="440" w:lineRule="exact"/>
        <w:ind w:firstLine="420" w:firstLineChars="200"/>
        <w:rPr>
          <w:rFonts w:ascii="宋体" w:hAnsi="宋体"/>
          <w:color w:val="auto"/>
          <w:szCs w:val="21"/>
        </w:rPr>
      </w:pPr>
      <w:r>
        <w:rPr>
          <w:rFonts w:hint="eastAsia" w:ascii="宋体" w:hAnsi="宋体"/>
          <w:color w:val="auto"/>
          <w:szCs w:val="21"/>
        </w:rPr>
        <w:t>③在投标过程中联合体不允许发生联合体成员变更的情形，否则其投标资格将被取消。</w:t>
      </w:r>
    </w:p>
    <w:p>
      <w:pPr>
        <w:spacing w:line="440" w:lineRule="exact"/>
        <w:ind w:firstLine="420" w:firstLineChars="200"/>
        <w:rPr>
          <w:rFonts w:ascii="宋体" w:hAnsi="宋体"/>
          <w:color w:val="auto"/>
          <w:szCs w:val="21"/>
        </w:rPr>
      </w:pPr>
      <w:r>
        <w:rPr>
          <w:rFonts w:hint="eastAsia" w:ascii="宋体" w:hAnsi="宋体"/>
          <w:color w:val="auto"/>
          <w:szCs w:val="21"/>
        </w:rPr>
        <w:t>3.4具有建设行政主管部门颁发的安全生产许可证并在有效期内（如为联合体投标，</w:t>
      </w:r>
      <w:r>
        <w:rPr>
          <w:rFonts w:ascii="宋体" w:hAnsi="宋体"/>
          <w:color w:val="auto"/>
          <w:szCs w:val="21"/>
        </w:rPr>
        <w:t>由</w:t>
      </w:r>
      <w:r>
        <w:rPr>
          <w:rFonts w:hint="eastAsia" w:ascii="宋体" w:hAnsi="宋体"/>
          <w:color w:val="auto"/>
          <w:szCs w:val="21"/>
        </w:rPr>
        <w:t>承担</w:t>
      </w:r>
      <w:r>
        <w:rPr>
          <w:rFonts w:ascii="宋体" w:hAnsi="宋体"/>
          <w:color w:val="auto"/>
          <w:szCs w:val="21"/>
        </w:rPr>
        <w:t>施工</w:t>
      </w:r>
      <w:r>
        <w:rPr>
          <w:rFonts w:hint="eastAsia" w:ascii="宋体" w:hAnsi="宋体"/>
          <w:color w:val="auto"/>
          <w:szCs w:val="21"/>
        </w:rPr>
        <w:t>任务的</w:t>
      </w:r>
      <w:r>
        <w:rPr>
          <w:rFonts w:ascii="宋体" w:hAnsi="宋体"/>
          <w:color w:val="auto"/>
          <w:szCs w:val="21"/>
        </w:rPr>
        <w:t>单位提供</w:t>
      </w:r>
      <w:r>
        <w:rPr>
          <w:rFonts w:hint="eastAsia" w:ascii="宋体" w:hAnsi="宋体"/>
          <w:color w:val="auto"/>
          <w:szCs w:val="21"/>
        </w:rPr>
        <w:t>）。</w:t>
      </w:r>
    </w:p>
    <w:p>
      <w:pPr>
        <w:spacing w:line="440" w:lineRule="exact"/>
        <w:ind w:firstLine="420" w:firstLineChars="200"/>
        <w:rPr>
          <w:rFonts w:ascii="宋体" w:hAnsi="宋体"/>
          <w:color w:val="auto"/>
          <w:szCs w:val="21"/>
        </w:rPr>
      </w:pPr>
      <w:r>
        <w:rPr>
          <w:rFonts w:hint="eastAsia" w:ascii="宋体" w:hAnsi="宋体"/>
          <w:color w:val="auto"/>
          <w:szCs w:val="21"/>
        </w:rPr>
        <w:t>3.5投标申请人拟派出的项目部主要组成人员【施工项目经理、设计项目负责人、专职安全员】：</w:t>
      </w:r>
    </w:p>
    <w:p>
      <w:pPr>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①施工项目经理（</w:t>
      </w:r>
      <w:r>
        <w:rPr>
          <w:rFonts w:ascii="宋体" w:hAnsi="宋体"/>
          <w:color w:val="auto"/>
          <w:szCs w:val="21"/>
        </w:rPr>
        <w:t>如为联合体投标，由</w:t>
      </w:r>
      <w:r>
        <w:rPr>
          <w:rFonts w:hint="eastAsia" w:ascii="宋体" w:hAnsi="宋体"/>
          <w:color w:val="auto"/>
          <w:szCs w:val="21"/>
        </w:rPr>
        <w:t>承担</w:t>
      </w:r>
      <w:r>
        <w:rPr>
          <w:rFonts w:ascii="宋体" w:hAnsi="宋体"/>
          <w:color w:val="auto"/>
          <w:szCs w:val="21"/>
        </w:rPr>
        <w:t>施工</w:t>
      </w:r>
      <w:r>
        <w:rPr>
          <w:rFonts w:hint="eastAsia" w:ascii="宋体" w:hAnsi="宋体"/>
          <w:color w:val="auto"/>
          <w:szCs w:val="21"/>
        </w:rPr>
        <w:t>任务的</w:t>
      </w:r>
      <w:r>
        <w:rPr>
          <w:rFonts w:ascii="宋体" w:hAnsi="宋体"/>
          <w:color w:val="auto"/>
          <w:szCs w:val="21"/>
        </w:rPr>
        <w:t>单位提供</w:t>
      </w:r>
      <w:r>
        <w:rPr>
          <w:rFonts w:hint="eastAsia" w:ascii="宋体" w:hAnsi="宋体"/>
          <w:color w:val="auto"/>
          <w:szCs w:val="21"/>
        </w:rPr>
        <w:t>）：要求为在本单位注册的</w:t>
      </w:r>
      <w:r>
        <w:rPr>
          <w:rFonts w:hint="eastAsia" w:ascii="宋体" w:hAnsi="宋体"/>
          <w:color w:val="auto"/>
          <w:szCs w:val="21"/>
          <w:u w:val="single"/>
        </w:rPr>
        <w:t>市政公用工程专业</w:t>
      </w:r>
      <w:r>
        <w:rPr>
          <w:rFonts w:ascii="宋体" w:hAnsi="宋体"/>
          <w:color w:val="auto"/>
          <w:szCs w:val="21"/>
          <w:u w:val="single"/>
        </w:rPr>
        <w:t>一</w:t>
      </w:r>
      <w:r>
        <w:rPr>
          <w:rFonts w:hint="eastAsia" w:ascii="宋体" w:hAnsi="宋体"/>
          <w:color w:val="auto"/>
          <w:szCs w:val="21"/>
          <w:u w:val="single"/>
        </w:rPr>
        <w:t>级</w:t>
      </w:r>
      <w:r>
        <w:rPr>
          <w:rFonts w:hint="eastAsia" w:ascii="宋体" w:hAnsi="宋体"/>
          <w:color w:val="auto"/>
          <w:szCs w:val="21"/>
        </w:rPr>
        <w:t>注册建造师，具有</w:t>
      </w:r>
      <w:r>
        <w:rPr>
          <w:rFonts w:hint="eastAsia" w:ascii="宋体" w:hAnsi="宋体"/>
          <w:color w:val="auto"/>
          <w:szCs w:val="21"/>
          <w:u w:val="single"/>
        </w:rPr>
        <w:t>在有效期内的安全生产考核合格证书（B类）</w:t>
      </w:r>
      <w:r>
        <w:rPr>
          <w:rFonts w:hint="eastAsia" w:ascii="宋体" w:hAnsi="宋体"/>
          <w:color w:val="auto"/>
          <w:szCs w:val="21"/>
        </w:rPr>
        <w:t>或建筑施工企业项目负责人安全生产考核合格证书。</w:t>
      </w:r>
    </w:p>
    <w:p>
      <w:pPr>
        <w:spacing w:line="360" w:lineRule="auto"/>
        <w:ind w:firstLine="420" w:firstLineChars="200"/>
        <w:rPr>
          <w:rFonts w:ascii="宋体" w:hAnsi="宋体" w:cs="宋体"/>
          <w:color w:val="auto"/>
          <w:szCs w:val="21"/>
        </w:rPr>
      </w:pPr>
      <w:r>
        <w:rPr>
          <w:rFonts w:hint="eastAsia" w:ascii="宋体" w:hAnsi="宋体"/>
          <w:color w:val="auto"/>
          <w:szCs w:val="21"/>
        </w:rPr>
        <w:t>注：a、</w:t>
      </w:r>
      <w:r>
        <w:rPr>
          <w:rFonts w:ascii="宋体" w:hAnsi="宋体"/>
          <w:color w:val="auto"/>
          <w:szCs w:val="21"/>
        </w:rPr>
        <w:t>注册建造师的专业及等级标准按《注册建造师执业管理办法（试行）》及《注册建造师执业工程规模标准（试行）》；</w:t>
      </w:r>
      <w:r>
        <w:rPr>
          <w:rFonts w:hint="eastAsia" w:ascii="宋体" w:hAnsi="宋体"/>
          <w:color w:val="auto"/>
          <w:szCs w:val="21"/>
        </w:rPr>
        <w:t>注册建造师根据《住房和城乡建设部办公厅关于取消一级建造师临时执业证书的通知》（建办市〔2019〕50号）不包括延续注册成功的一级注册临时建造师。</w:t>
      </w:r>
      <w:r>
        <w:rPr>
          <w:rFonts w:hint="eastAsia" w:ascii="宋体" w:hAnsi="宋体" w:cs="宋体"/>
          <w:color w:val="auto"/>
          <w:szCs w:val="21"/>
        </w:rPr>
        <w:t>根据《住房和城乡建设部办公厅关于全面实行一级建造师电子注册证书的通知》（建办市〔2021〕40号），自 2022年1月1日起，一级建造师统一使用电子证书，纸质注册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360" w:lineRule="auto"/>
        <w:ind w:firstLine="420" w:firstLineChars="200"/>
        <w:rPr>
          <w:rFonts w:ascii="宋体" w:hAnsi="宋体" w:cs="宋体"/>
          <w:color w:val="auto"/>
          <w:szCs w:val="21"/>
        </w:rPr>
      </w:pPr>
      <w:r>
        <w:rPr>
          <w:rFonts w:hint="eastAsia" w:ascii="宋体" w:hAnsi="宋体" w:cs="宋体"/>
          <w:color w:val="auto"/>
          <w:szCs w:val="21"/>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360" w:lineRule="auto"/>
        <w:ind w:firstLine="420" w:firstLineChars="200"/>
        <w:rPr>
          <w:rFonts w:ascii="宋体" w:hAnsi="宋体"/>
          <w:color w:val="auto"/>
          <w:szCs w:val="21"/>
        </w:rPr>
      </w:pPr>
      <w:r>
        <w:rPr>
          <w:rFonts w:hint="eastAsia" w:ascii="宋体" w:hAnsi="宋体" w:cs="宋体"/>
          <w:color w:val="auto"/>
          <w:szCs w:val="21"/>
        </w:rPr>
        <w:t>b、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宋体" w:hAnsi="宋体"/>
          <w:color w:val="auto"/>
          <w:szCs w:val="21"/>
        </w:rPr>
        <w:t>施工</w:t>
      </w:r>
      <w:r>
        <w:rPr>
          <w:rFonts w:ascii="宋体" w:hAnsi="宋体"/>
          <w:color w:val="auto"/>
          <w:szCs w:val="21"/>
        </w:rPr>
        <w:t>项目</w:t>
      </w:r>
      <w:r>
        <w:rPr>
          <w:rFonts w:hint="eastAsia" w:ascii="宋体" w:hAnsi="宋体"/>
          <w:color w:val="auto"/>
          <w:szCs w:val="21"/>
        </w:rPr>
        <w:t>经理</w:t>
      </w:r>
      <w:r>
        <w:rPr>
          <w:rFonts w:ascii="宋体" w:hAnsi="宋体"/>
          <w:color w:val="auto"/>
          <w:szCs w:val="21"/>
        </w:rPr>
        <w:t>在任职期间不得担任专职安全员，项目专职安全员在任职期间也不得担任</w:t>
      </w:r>
      <w:r>
        <w:rPr>
          <w:rFonts w:hint="eastAsia" w:ascii="宋体" w:hAnsi="宋体"/>
          <w:color w:val="auto"/>
          <w:szCs w:val="21"/>
        </w:rPr>
        <w:t>施工</w:t>
      </w:r>
      <w:r>
        <w:rPr>
          <w:rFonts w:ascii="宋体" w:hAnsi="宋体"/>
          <w:color w:val="auto"/>
          <w:szCs w:val="21"/>
        </w:rPr>
        <w:t>项目</w:t>
      </w:r>
      <w:r>
        <w:rPr>
          <w:rFonts w:hint="eastAsia" w:ascii="宋体" w:hAnsi="宋体"/>
          <w:color w:val="auto"/>
          <w:szCs w:val="21"/>
        </w:rPr>
        <w:t>经理</w:t>
      </w:r>
      <w:r>
        <w:rPr>
          <w:rFonts w:ascii="宋体" w:hAnsi="宋体"/>
          <w:color w:val="auto"/>
          <w:szCs w:val="21"/>
        </w:rPr>
        <w:t>，</w:t>
      </w:r>
      <w:r>
        <w:rPr>
          <w:rFonts w:hint="eastAsia" w:ascii="宋体" w:hAnsi="宋体"/>
          <w:color w:val="auto"/>
          <w:szCs w:val="21"/>
        </w:rPr>
        <w:t>施工</w:t>
      </w:r>
      <w:r>
        <w:rPr>
          <w:rFonts w:ascii="宋体" w:hAnsi="宋体"/>
          <w:color w:val="auto"/>
          <w:szCs w:val="21"/>
        </w:rPr>
        <w:t>项目</w:t>
      </w:r>
      <w:r>
        <w:rPr>
          <w:rFonts w:hint="eastAsia" w:ascii="宋体" w:hAnsi="宋体"/>
          <w:color w:val="auto"/>
          <w:szCs w:val="21"/>
        </w:rPr>
        <w:t>经理和安全员不为同一人。</w:t>
      </w:r>
    </w:p>
    <w:p>
      <w:pPr>
        <w:spacing w:line="360" w:lineRule="auto"/>
        <w:ind w:firstLine="420" w:firstLineChars="200"/>
        <w:rPr>
          <w:rFonts w:ascii="宋体" w:hAnsi="宋体"/>
          <w:color w:val="auto"/>
          <w:szCs w:val="21"/>
        </w:rPr>
      </w:pPr>
      <w:r>
        <w:rPr>
          <w:rFonts w:hint="eastAsia" w:ascii="宋体" w:hAnsi="宋体"/>
          <w:color w:val="auto"/>
          <w:szCs w:val="21"/>
        </w:rPr>
        <w:t>②设计项目负责人（</w:t>
      </w:r>
      <w:r>
        <w:rPr>
          <w:rFonts w:ascii="宋体" w:hAnsi="宋体"/>
          <w:color w:val="auto"/>
          <w:szCs w:val="21"/>
        </w:rPr>
        <w:t>如为联合体投标，由</w:t>
      </w:r>
      <w:r>
        <w:rPr>
          <w:rFonts w:hint="eastAsia" w:ascii="宋体" w:hAnsi="宋体"/>
          <w:color w:val="auto"/>
          <w:szCs w:val="21"/>
        </w:rPr>
        <w:t>承担设计任务的</w:t>
      </w:r>
      <w:r>
        <w:rPr>
          <w:rFonts w:ascii="宋体" w:hAnsi="宋体"/>
          <w:color w:val="auto"/>
          <w:szCs w:val="21"/>
        </w:rPr>
        <w:t>单位提供</w:t>
      </w:r>
      <w:r>
        <w:rPr>
          <w:rFonts w:hint="eastAsia" w:ascii="宋体" w:hAnsi="宋体"/>
          <w:color w:val="auto"/>
          <w:szCs w:val="21"/>
        </w:rPr>
        <w:t>）：具备市政工程或给水工程相关专业高级工程师（或以上）职称；</w:t>
      </w:r>
      <w:r>
        <w:rPr>
          <w:rFonts w:ascii="宋体" w:hAnsi="宋体"/>
          <w:color w:val="auto"/>
          <w:szCs w:val="21"/>
          <w:u w:val="single"/>
        </w:rPr>
        <w:t>或在广东省住房和城乡建设主管部门备案且备案的业务范围符合本招标项目对设计负责人要求的香港专业人士</w:t>
      </w:r>
      <w:r>
        <w:rPr>
          <w:rFonts w:hint="eastAsia" w:ascii="宋体" w:hAnsi="宋体"/>
          <w:color w:val="auto"/>
          <w:szCs w:val="21"/>
          <w:u w:val="single"/>
        </w:rPr>
        <w:t>。</w:t>
      </w:r>
      <w:r>
        <w:rPr>
          <w:rFonts w:hint="eastAsia" w:ascii="宋体" w:hAnsi="宋体"/>
          <w:color w:val="auto"/>
          <w:szCs w:val="21"/>
        </w:rPr>
        <w:t>设计项目负责人与施工项目经理不能为同一人。</w:t>
      </w:r>
    </w:p>
    <w:p>
      <w:pPr>
        <w:pStyle w:val="2"/>
        <w:rPr>
          <w:rFonts w:ascii="宋体" w:hAnsi="宋体" w:eastAsia="宋体"/>
          <w:color w:val="auto"/>
          <w:sz w:val="21"/>
          <w:szCs w:val="21"/>
        </w:rPr>
      </w:pPr>
      <w:r>
        <w:rPr>
          <w:rFonts w:hint="eastAsia" w:ascii="宋体" w:hAnsi="宋体" w:eastAsia="宋体"/>
          <w:color w:val="auto"/>
          <w:sz w:val="21"/>
          <w:szCs w:val="21"/>
        </w:rPr>
        <w:t>注：香港专业人士的备案业务范围依据《广东省住房和城乡建设厅关于印发香港工程建设咨询企业和专业人士在粤港澳大湾区内地城市开业执业试点管理暂行办法的通知》（粤建规范〔2020〕1号）确定。</w:t>
      </w:r>
    </w:p>
    <w:p>
      <w:pPr>
        <w:spacing w:line="440" w:lineRule="exact"/>
        <w:ind w:firstLine="420" w:firstLineChars="200"/>
        <w:rPr>
          <w:rFonts w:ascii="宋体" w:hAnsi="宋体"/>
          <w:color w:val="auto"/>
          <w:szCs w:val="21"/>
        </w:rPr>
      </w:pPr>
      <w:r>
        <w:rPr>
          <w:rFonts w:hint="eastAsia" w:ascii="宋体" w:hAnsi="宋体"/>
          <w:color w:val="auto"/>
          <w:szCs w:val="21"/>
        </w:rPr>
        <w:t>③专职安全员（</w:t>
      </w:r>
      <w:r>
        <w:rPr>
          <w:rFonts w:ascii="宋体" w:hAnsi="宋体"/>
          <w:color w:val="auto"/>
          <w:szCs w:val="21"/>
        </w:rPr>
        <w:t>如为联合体投标，由</w:t>
      </w:r>
      <w:r>
        <w:rPr>
          <w:rFonts w:hint="eastAsia" w:ascii="宋体" w:hAnsi="宋体"/>
          <w:color w:val="auto"/>
          <w:szCs w:val="21"/>
        </w:rPr>
        <w:t>承担</w:t>
      </w:r>
      <w:r>
        <w:rPr>
          <w:rFonts w:ascii="宋体" w:hAnsi="宋体"/>
          <w:color w:val="auto"/>
          <w:szCs w:val="21"/>
        </w:rPr>
        <w:t>施工</w:t>
      </w:r>
      <w:r>
        <w:rPr>
          <w:rFonts w:hint="eastAsia" w:ascii="宋体" w:hAnsi="宋体"/>
          <w:color w:val="auto"/>
          <w:szCs w:val="21"/>
        </w:rPr>
        <w:t>任务的</w:t>
      </w:r>
      <w:r>
        <w:rPr>
          <w:rFonts w:ascii="宋体" w:hAnsi="宋体"/>
          <w:color w:val="auto"/>
          <w:szCs w:val="21"/>
        </w:rPr>
        <w:t>单位提供</w:t>
      </w:r>
      <w:r>
        <w:rPr>
          <w:rFonts w:hint="eastAsia" w:ascii="宋体" w:hAnsi="宋体"/>
          <w:color w:val="auto"/>
          <w:szCs w:val="21"/>
        </w:rPr>
        <w:t>）：具有</w:t>
      </w:r>
      <w:r>
        <w:rPr>
          <w:rFonts w:hint="eastAsia" w:ascii="宋体" w:hAnsi="宋体" w:cs="宋体"/>
          <w:color w:val="auto"/>
          <w:szCs w:val="21"/>
          <w:u w:val="single"/>
        </w:rPr>
        <w:t>在有效期内的安全生产考核合格证书（C类）或建筑施工企业专职安全生产管理人员安全生产考核合格证书（C3）</w:t>
      </w:r>
      <w:r>
        <w:rPr>
          <w:rFonts w:hint="eastAsia" w:ascii="宋体" w:hAnsi="宋体"/>
          <w:color w:val="auto"/>
          <w:szCs w:val="21"/>
        </w:rPr>
        <w:t>。</w:t>
      </w:r>
    </w:p>
    <w:p>
      <w:pPr>
        <w:spacing w:line="440" w:lineRule="exact"/>
        <w:ind w:firstLine="420" w:firstLineChars="200"/>
        <w:rPr>
          <w:rFonts w:ascii="宋体" w:hAnsi="宋体"/>
          <w:color w:val="auto"/>
          <w:szCs w:val="21"/>
        </w:rPr>
      </w:pPr>
      <w:r>
        <w:rPr>
          <w:rFonts w:hint="eastAsia" w:ascii="宋体" w:hAnsi="宋体"/>
          <w:color w:val="auto"/>
          <w:szCs w:val="21"/>
        </w:rPr>
        <w:t>④投标登记时广州公共资源交易中心锁定施工项目经理</w:t>
      </w:r>
      <w:r>
        <w:rPr>
          <w:rFonts w:ascii="宋体" w:hAnsi="宋体"/>
          <w:color w:val="auto"/>
          <w:szCs w:val="21"/>
        </w:rPr>
        <w:t>（注册建造师）</w:t>
      </w:r>
      <w:r>
        <w:rPr>
          <w:rFonts w:hint="eastAsia" w:ascii="宋体" w:hAnsi="宋体"/>
          <w:color w:val="auto"/>
          <w:szCs w:val="21"/>
        </w:rPr>
        <w:t>。投标人应承诺拟任施工项目经理未被其他项目锁定，或没有在其他项目担任项目负责人，否则经招标人或招标监管部门查证属实的，投标人将不能被评标委员会或招标人确定为中标候选人。</w:t>
      </w:r>
    </w:p>
    <w:p>
      <w:pPr>
        <w:spacing w:line="440" w:lineRule="exact"/>
        <w:ind w:firstLine="420" w:firstLineChars="200"/>
        <w:rPr>
          <w:rFonts w:ascii="宋体" w:hAnsi="宋体"/>
          <w:b/>
          <w:bCs/>
          <w:color w:val="auto"/>
          <w:szCs w:val="21"/>
        </w:rPr>
      </w:pPr>
      <w:r>
        <w:rPr>
          <w:rFonts w:hint="eastAsia" w:ascii="宋体" w:hAnsi="宋体"/>
          <w:color w:val="auto"/>
          <w:szCs w:val="21"/>
        </w:rPr>
        <w:t>⑤投标申请人须保证项目部主要组成人员【施工项目经理、设计项目负责人、专职安全员】均为本单位（或联合体成员单位）正式职工</w:t>
      </w:r>
      <w:r>
        <w:rPr>
          <w:rFonts w:hint="eastAsia" w:ascii="宋体" w:hAnsi="宋体"/>
          <w:b/>
          <w:bCs/>
          <w:color w:val="auto"/>
          <w:szCs w:val="21"/>
        </w:rPr>
        <w:t>，需提供近一年（2023年05月至2024年05月）在本单位连续购买一年以上的社保证明材料。</w:t>
      </w:r>
    </w:p>
    <w:p>
      <w:pPr>
        <w:spacing w:line="440" w:lineRule="exact"/>
        <w:ind w:firstLine="420" w:firstLineChars="200"/>
        <w:rPr>
          <w:rFonts w:ascii="宋体" w:hAnsi="宋体"/>
          <w:color w:val="auto"/>
          <w:szCs w:val="21"/>
        </w:rPr>
      </w:pPr>
      <w:r>
        <w:rPr>
          <w:rFonts w:hint="eastAsia" w:ascii="宋体" w:hAnsi="宋体"/>
          <w:color w:val="auto"/>
          <w:szCs w:val="21"/>
        </w:rPr>
        <w:t>⑥</w:t>
      </w:r>
      <w:r>
        <w:rPr>
          <w:rFonts w:hint="eastAsia" w:ascii="宋体" w:hAnsi="宋体"/>
          <w:b/>
          <w:color w:val="auto"/>
          <w:szCs w:val="21"/>
        </w:rPr>
        <w:t>施工项目经理、设计项目负责人、专职安全员不能为同一人</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3.6投标申请人不得存在下列情形之一：（投标申请人须在投标文件中就有关内容做出声明，除非另有要求，不需要在投标文件中提供证明材料。）</w:t>
      </w:r>
    </w:p>
    <w:p>
      <w:pPr>
        <w:spacing w:line="360" w:lineRule="auto"/>
        <w:ind w:firstLine="420" w:firstLineChars="200"/>
        <w:rPr>
          <w:rFonts w:ascii="宋体" w:hAnsi="宋体"/>
          <w:color w:val="auto"/>
          <w:szCs w:val="21"/>
        </w:rPr>
      </w:pPr>
      <w:r>
        <w:rPr>
          <w:rFonts w:ascii="宋体" w:hAnsi="宋体"/>
          <w:color w:val="auto"/>
          <w:szCs w:val="21"/>
        </w:rPr>
        <w:t>（1）为招标人不具有独立法人资格的附属机构（单位）；</w:t>
      </w:r>
    </w:p>
    <w:p>
      <w:pPr>
        <w:spacing w:line="360" w:lineRule="auto"/>
        <w:ind w:firstLine="420" w:firstLineChars="200"/>
        <w:rPr>
          <w:rFonts w:ascii="宋体" w:hAnsi="宋体"/>
          <w:b/>
          <w:color w:val="auto"/>
          <w:szCs w:val="21"/>
        </w:rPr>
      </w:pPr>
      <w:r>
        <w:rPr>
          <w:rFonts w:ascii="宋体" w:hAnsi="宋体"/>
          <w:color w:val="auto"/>
          <w:szCs w:val="21"/>
        </w:rPr>
        <w:t>（2）为本标段前期准备提供设计或咨询服务或者与本项目设计人或提供咨询服务的机构存在附属关系的</w:t>
      </w:r>
      <w:r>
        <w:rPr>
          <w:rFonts w:hint="eastAsia" w:ascii="宋体" w:hAnsi="宋体"/>
          <w:b/>
          <w:color w:val="auto"/>
          <w:szCs w:val="21"/>
          <w:u w:val="single"/>
        </w:rPr>
        <w:t>（如果前期服务机构参加本次投标，应将本公告发布前最终完成的工作成果（含电子文件）同时提供给所有投标人参考，否则前期参与的服务机构中标无效）</w:t>
      </w:r>
      <w:r>
        <w:rPr>
          <w:rFonts w:ascii="宋体" w:hAnsi="宋体"/>
          <w:color w:val="auto"/>
          <w:szCs w:val="21"/>
        </w:rPr>
        <w:t>；</w:t>
      </w:r>
    </w:p>
    <w:p>
      <w:pPr>
        <w:spacing w:line="360" w:lineRule="auto"/>
        <w:ind w:firstLine="420" w:firstLineChars="200"/>
        <w:rPr>
          <w:rFonts w:ascii="宋体" w:hAnsi="宋体"/>
          <w:color w:val="auto"/>
          <w:szCs w:val="21"/>
        </w:rPr>
      </w:pPr>
      <w:r>
        <w:rPr>
          <w:rFonts w:ascii="宋体" w:hAnsi="宋体"/>
          <w:color w:val="auto"/>
          <w:szCs w:val="21"/>
        </w:rPr>
        <w:t>（3）为本项目监理人或者与本项目监理人存在隶属关系或者其他利害关系；</w:t>
      </w:r>
    </w:p>
    <w:p>
      <w:pPr>
        <w:spacing w:line="360" w:lineRule="auto"/>
        <w:ind w:firstLine="420" w:firstLineChars="200"/>
        <w:rPr>
          <w:rFonts w:ascii="宋体" w:hAnsi="宋体"/>
          <w:color w:val="auto"/>
          <w:szCs w:val="21"/>
        </w:rPr>
      </w:pPr>
      <w:r>
        <w:rPr>
          <w:rFonts w:ascii="宋体" w:hAnsi="宋体"/>
          <w:color w:val="auto"/>
          <w:szCs w:val="21"/>
        </w:rPr>
        <w:t>（4）为本标段的代建人；</w:t>
      </w:r>
    </w:p>
    <w:p>
      <w:pPr>
        <w:spacing w:line="360" w:lineRule="auto"/>
        <w:ind w:firstLine="420" w:firstLineChars="200"/>
        <w:rPr>
          <w:rFonts w:ascii="宋体" w:hAnsi="宋体"/>
          <w:color w:val="auto"/>
          <w:szCs w:val="21"/>
        </w:rPr>
      </w:pPr>
      <w:r>
        <w:rPr>
          <w:rFonts w:ascii="宋体" w:hAnsi="宋体"/>
          <w:color w:val="auto"/>
          <w:szCs w:val="21"/>
        </w:rPr>
        <w:t>（5）为本标段提供招标代理服务的；</w:t>
      </w:r>
    </w:p>
    <w:p>
      <w:pPr>
        <w:spacing w:line="360" w:lineRule="auto"/>
        <w:ind w:firstLine="420" w:firstLineChars="200"/>
        <w:rPr>
          <w:rFonts w:ascii="宋体" w:hAnsi="宋体"/>
          <w:color w:val="auto"/>
          <w:szCs w:val="21"/>
        </w:rPr>
      </w:pPr>
      <w:r>
        <w:rPr>
          <w:rFonts w:ascii="宋体" w:hAnsi="宋体"/>
          <w:color w:val="auto"/>
          <w:szCs w:val="21"/>
        </w:rPr>
        <w:t>（6）与本标段的监理人或代建人或招标代理机构同为一个法定代表人的；</w:t>
      </w:r>
    </w:p>
    <w:p>
      <w:pPr>
        <w:spacing w:line="360" w:lineRule="auto"/>
        <w:ind w:firstLine="420" w:firstLineChars="200"/>
        <w:rPr>
          <w:rFonts w:ascii="宋体" w:hAnsi="宋体"/>
          <w:color w:val="auto"/>
          <w:szCs w:val="21"/>
        </w:rPr>
      </w:pPr>
      <w:r>
        <w:rPr>
          <w:rFonts w:ascii="宋体" w:hAnsi="宋体"/>
          <w:color w:val="auto"/>
          <w:szCs w:val="21"/>
        </w:rPr>
        <w:t>（7）与本标段的监理人或代建人或招标代理机构互相控股或参股的；</w:t>
      </w:r>
    </w:p>
    <w:p>
      <w:pPr>
        <w:spacing w:line="360" w:lineRule="auto"/>
        <w:ind w:firstLine="420" w:firstLineChars="200"/>
        <w:rPr>
          <w:rFonts w:ascii="宋体" w:hAnsi="宋体"/>
          <w:color w:val="auto"/>
          <w:szCs w:val="21"/>
        </w:rPr>
      </w:pPr>
      <w:r>
        <w:rPr>
          <w:rFonts w:ascii="宋体" w:hAnsi="宋体"/>
          <w:color w:val="auto"/>
          <w:szCs w:val="21"/>
        </w:rPr>
        <w:t>（8）与本标段的监理人或代建人或招标代理机构相互任职或工作的；</w:t>
      </w:r>
    </w:p>
    <w:p>
      <w:pPr>
        <w:spacing w:line="360" w:lineRule="auto"/>
        <w:ind w:firstLine="420" w:firstLineChars="200"/>
        <w:rPr>
          <w:rFonts w:ascii="宋体" w:hAnsi="宋体"/>
          <w:color w:val="auto"/>
          <w:szCs w:val="21"/>
        </w:rPr>
      </w:pPr>
      <w:r>
        <w:rPr>
          <w:rFonts w:ascii="宋体" w:hAnsi="宋体"/>
          <w:color w:val="auto"/>
          <w:szCs w:val="21"/>
        </w:rPr>
        <w:t>（9）与本标段的检测机构有隶属关系或者其他利害关系；</w:t>
      </w:r>
    </w:p>
    <w:p>
      <w:pPr>
        <w:spacing w:line="360" w:lineRule="auto"/>
        <w:ind w:firstLine="420" w:firstLineChars="200"/>
        <w:rPr>
          <w:rFonts w:ascii="宋体" w:hAnsi="宋体"/>
          <w:color w:val="auto"/>
          <w:szCs w:val="21"/>
        </w:rPr>
      </w:pPr>
      <w:r>
        <w:rPr>
          <w:rFonts w:ascii="宋体" w:hAnsi="宋体"/>
          <w:color w:val="auto"/>
          <w:szCs w:val="21"/>
        </w:rPr>
        <w:t xml:space="preserve">（10）与招标人存在利害关系且可能影响招标公正性； </w:t>
      </w:r>
    </w:p>
    <w:p>
      <w:pPr>
        <w:spacing w:line="360" w:lineRule="auto"/>
        <w:ind w:firstLine="420" w:firstLineChars="200"/>
        <w:rPr>
          <w:rFonts w:ascii="宋体" w:hAnsi="宋体"/>
          <w:color w:val="auto"/>
          <w:szCs w:val="21"/>
        </w:rPr>
      </w:pPr>
      <w:r>
        <w:rPr>
          <w:rFonts w:ascii="宋体" w:hAnsi="宋体"/>
          <w:color w:val="auto"/>
          <w:szCs w:val="21"/>
        </w:rPr>
        <w:t xml:space="preserve">（11）与本标段的其他投标人为同一个单位负责人； </w:t>
      </w:r>
    </w:p>
    <w:p>
      <w:pPr>
        <w:spacing w:line="360" w:lineRule="auto"/>
        <w:ind w:firstLine="420" w:firstLineChars="200"/>
        <w:rPr>
          <w:rFonts w:ascii="宋体" w:hAnsi="宋体"/>
          <w:color w:val="auto"/>
          <w:szCs w:val="21"/>
        </w:rPr>
      </w:pPr>
      <w:r>
        <w:rPr>
          <w:rFonts w:ascii="宋体" w:hAnsi="宋体"/>
          <w:color w:val="auto"/>
          <w:szCs w:val="21"/>
        </w:rPr>
        <w:t xml:space="preserve">（12）与本标段的其他投标人存在控股、管理关系； </w:t>
      </w:r>
    </w:p>
    <w:p>
      <w:pPr>
        <w:spacing w:line="360" w:lineRule="auto"/>
        <w:ind w:firstLine="420" w:firstLineChars="200"/>
        <w:rPr>
          <w:rFonts w:ascii="宋体" w:hAnsi="宋体"/>
          <w:color w:val="auto"/>
          <w:szCs w:val="21"/>
        </w:rPr>
      </w:pPr>
      <w:r>
        <w:rPr>
          <w:rFonts w:ascii="宋体" w:hAnsi="宋体"/>
          <w:color w:val="auto"/>
          <w:szCs w:val="21"/>
        </w:rPr>
        <w:t>（13）</w:t>
      </w:r>
      <w:r>
        <w:rPr>
          <w:rFonts w:hint="eastAsia" w:ascii="宋体" w:hAnsi="宋体"/>
          <w:color w:val="auto"/>
          <w:szCs w:val="21"/>
        </w:rPr>
        <w:t>被暂扣安全生产许可证的；</w:t>
      </w:r>
    </w:p>
    <w:p>
      <w:pPr>
        <w:spacing w:line="360" w:lineRule="auto"/>
        <w:ind w:firstLine="420" w:firstLineChars="200"/>
        <w:rPr>
          <w:rFonts w:ascii="宋体" w:hAnsi="宋体"/>
          <w:color w:val="auto"/>
          <w:szCs w:val="21"/>
        </w:rPr>
      </w:pPr>
      <w:r>
        <w:rPr>
          <w:rFonts w:hint="eastAsia" w:ascii="宋体" w:hAnsi="宋体"/>
          <w:color w:val="auto"/>
          <w:szCs w:val="21"/>
        </w:rPr>
        <w:t>（14）</w:t>
      </w:r>
      <w:r>
        <w:rPr>
          <w:rFonts w:ascii="宋体" w:hAnsi="宋体"/>
          <w:color w:val="auto"/>
          <w:szCs w:val="21"/>
        </w:rPr>
        <w:t xml:space="preserve">被依法暂停或取消投标资格的； </w:t>
      </w:r>
    </w:p>
    <w:p>
      <w:pPr>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5</w:t>
      </w:r>
      <w:r>
        <w:rPr>
          <w:rFonts w:ascii="宋体" w:hAnsi="宋体"/>
          <w:color w:val="auto"/>
          <w:szCs w:val="21"/>
        </w:rPr>
        <w:t>）被责令停产停业、暂扣或者吊销许可证、暂扣或者吊销执照的；</w:t>
      </w:r>
    </w:p>
    <w:p>
      <w:pPr>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6</w:t>
      </w:r>
      <w:r>
        <w:rPr>
          <w:rFonts w:ascii="宋体" w:hAnsi="宋体"/>
          <w:color w:val="auto"/>
          <w:szCs w:val="21"/>
        </w:rPr>
        <w:t>）进入清算程序，或被宣布破产，或其他丧失履约能力的情形；</w:t>
      </w:r>
    </w:p>
    <w:p>
      <w:pPr>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7</w:t>
      </w:r>
      <w:r>
        <w:rPr>
          <w:rFonts w:ascii="宋体" w:hAnsi="宋体"/>
          <w:color w:val="auto"/>
          <w:szCs w:val="21"/>
        </w:rPr>
        <w:t>）在</w:t>
      </w:r>
      <w:r>
        <w:rPr>
          <w:rFonts w:hint="eastAsia" w:ascii="宋体" w:hAnsi="宋体"/>
          <w:color w:val="auto"/>
          <w:szCs w:val="21"/>
        </w:rPr>
        <w:t>2021年1月1日至</w:t>
      </w:r>
      <w:r>
        <w:rPr>
          <w:rFonts w:hint="eastAsia"/>
          <w:color w:val="auto"/>
        </w:rPr>
        <w:t>投标截止之日</w:t>
      </w:r>
      <w:r>
        <w:rPr>
          <w:rFonts w:ascii="宋体" w:hAnsi="宋体"/>
          <w:color w:val="auto"/>
          <w:szCs w:val="21"/>
        </w:rPr>
        <w:t>有骗取中标或严重违约或重大工程质量问题的；</w:t>
      </w:r>
    </w:p>
    <w:p>
      <w:pPr>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8</w:t>
      </w:r>
      <w:r>
        <w:rPr>
          <w:rFonts w:ascii="宋体" w:hAnsi="宋体"/>
          <w:color w:val="auto"/>
          <w:szCs w:val="21"/>
        </w:rPr>
        <w:t>）被工商行政管理机关在全国企业信用信息公示系统中列入严重违法失信企业名单；</w:t>
      </w:r>
    </w:p>
    <w:p>
      <w:pPr>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9</w:t>
      </w:r>
      <w:r>
        <w:rPr>
          <w:rFonts w:ascii="宋体" w:hAnsi="宋体"/>
          <w:color w:val="auto"/>
          <w:szCs w:val="21"/>
        </w:rPr>
        <w:t>）被最高人民法院在“信用中国”网站（</w:t>
      </w:r>
      <w:r>
        <w:rPr>
          <w:color w:val="auto"/>
        </w:rPr>
        <w:fldChar w:fldCharType="begin"/>
      </w:r>
      <w:r>
        <w:rPr>
          <w:color w:val="auto"/>
        </w:rPr>
        <w:instrText xml:space="preserve"> HYPERLINK "http://www.creditchina.gov.cn/" </w:instrText>
      </w:r>
      <w:r>
        <w:rPr>
          <w:color w:val="auto"/>
        </w:rPr>
        <w:fldChar w:fldCharType="separate"/>
      </w:r>
      <w:r>
        <w:rPr>
          <w:rStyle w:val="22"/>
          <w:rFonts w:ascii="宋体" w:hAnsi="宋体" w:eastAsia="宋体"/>
          <w:color w:val="auto"/>
        </w:rPr>
        <w:t>www.creditchina.gov.cn</w:t>
      </w:r>
      <w:r>
        <w:rPr>
          <w:rStyle w:val="22"/>
          <w:rFonts w:ascii="宋体" w:hAnsi="宋体" w:eastAsia="宋体"/>
          <w:color w:val="auto"/>
        </w:rPr>
        <w:fldChar w:fldCharType="end"/>
      </w:r>
      <w:r>
        <w:rPr>
          <w:rFonts w:ascii="宋体" w:hAnsi="宋体"/>
          <w:color w:val="auto"/>
          <w:szCs w:val="21"/>
        </w:rPr>
        <w:t>）或各级信用信息共享平台中列入失信被执行人名单；</w:t>
      </w:r>
    </w:p>
    <w:p>
      <w:pPr>
        <w:spacing w:line="360" w:lineRule="auto"/>
        <w:ind w:firstLine="420" w:firstLineChars="200"/>
        <w:rPr>
          <w:rFonts w:ascii="宋体" w:hAnsi="宋体"/>
          <w:color w:val="auto"/>
          <w:szCs w:val="21"/>
        </w:rPr>
      </w:pPr>
      <w:r>
        <w:rPr>
          <w:rFonts w:ascii="宋体" w:hAnsi="宋体"/>
          <w:color w:val="auto"/>
          <w:szCs w:val="21"/>
        </w:rPr>
        <w:t>（</w:t>
      </w:r>
      <w:r>
        <w:rPr>
          <w:rFonts w:hint="eastAsia" w:ascii="宋体" w:hAnsi="宋体"/>
          <w:color w:val="auto"/>
          <w:szCs w:val="21"/>
        </w:rPr>
        <w:t>20</w:t>
      </w:r>
      <w:r>
        <w:rPr>
          <w:rFonts w:ascii="宋体" w:hAnsi="宋体"/>
          <w:color w:val="auto"/>
          <w:szCs w:val="21"/>
        </w:rPr>
        <w:t>）</w:t>
      </w:r>
      <w:r>
        <w:rPr>
          <w:rFonts w:hint="eastAsia" w:ascii="宋体" w:hAnsi="宋体"/>
          <w:color w:val="auto"/>
          <w:szCs w:val="21"/>
        </w:rPr>
        <w:t>2021年1月1日至</w:t>
      </w:r>
      <w:r>
        <w:rPr>
          <w:rFonts w:hint="eastAsia"/>
          <w:color w:val="auto"/>
        </w:rPr>
        <w:t>投标截止之日</w:t>
      </w:r>
      <w:r>
        <w:rPr>
          <w:rFonts w:ascii="宋体" w:hAnsi="宋体"/>
          <w:color w:val="auto"/>
          <w:szCs w:val="21"/>
        </w:rPr>
        <w:t>投标人或其法定代表人、拟委派的项目负责人有行贿犯罪行为的；</w:t>
      </w:r>
    </w:p>
    <w:p>
      <w:pPr>
        <w:spacing w:line="360" w:lineRule="auto"/>
        <w:ind w:firstLine="420" w:firstLineChars="200"/>
        <w:rPr>
          <w:rFonts w:ascii="宋体" w:hAnsi="宋体"/>
          <w:color w:val="auto"/>
          <w:szCs w:val="21"/>
        </w:rPr>
      </w:pPr>
      <w:r>
        <w:rPr>
          <w:rFonts w:hint="eastAsia" w:ascii="宋体" w:hAnsi="宋体"/>
          <w:color w:val="auto"/>
          <w:szCs w:val="21"/>
        </w:rPr>
        <w:t>（21）</w:t>
      </w:r>
      <w:r>
        <w:rPr>
          <w:rFonts w:ascii="宋体" w:hAnsi="宋体"/>
          <w:color w:val="auto"/>
          <w:szCs w:val="21"/>
        </w:rPr>
        <w:t>法律法规规定的其他情形。</w:t>
      </w:r>
    </w:p>
    <w:p>
      <w:pPr>
        <w:spacing w:line="360" w:lineRule="auto"/>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7投标申请人已按招标公告附件一的内容提供签署盖章的投标申请人声明。</w:t>
      </w:r>
    </w:p>
    <w:p>
      <w:pPr>
        <w:pStyle w:val="10"/>
        <w:spacing w:line="360" w:lineRule="auto"/>
        <w:ind w:firstLine="420" w:firstLineChars="200"/>
        <w:rPr>
          <w:rFonts w:hAnsi="宋体"/>
          <w:color w:val="auto"/>
          <w:szCs w:val="21"/>
        </w:rPr>
      </w:pPr>
      <w:r>
        <w:rPr>
          <w:rFonts w:hAnsi="宋体"/>
          <w:color w:val="auto"/>
          <w:szCs w:val="21"/>
        </w:rPr>
        <w:t>3.</w:t>
      </w:r>
      <w:bookmarkStart w:id="31" w:name="_Hlk139367400"/>
      <w:r>
        <w:rPr>
          <w:rFonts w:hint="eastAsia" w:hAnsi="宋体"/>
          <w:color w:val="auto"/>
          <w:szCs w:val="21"/>
        </w:rPr>
        <w:t>8</w:t>
      </w:r>
      <w:r>
        <w:rPr>
          <w:rFonts w:hAnsi="宋体"/>
          <w:color w:val="auto"/>
          <w:szCs w:val="21"/>
        </w:rPr>
        <w:t>投标人（如为联合体，指承担施工任务的单位）未被列入拖欠农民工工资失信联合惩戒对象名单。</w:t>
      </w:r>
      <w:bookmarkEnd w:id="31"/>
    </w:p>
    <w:p>
      <w:pPr>
        <w:spacing w:line="440" w:lineRule="exact"/>
        <w:ind w:firstLine="420" w:firstLineChars="200"/>
        <w:rPr>
          <w:rFonts w:ascii="宋体" w:hAnsi="宋体"/>
          <w:color w:val="auto"/>
          <w:szCs w:val="21"/>
        </w:rPr>
      </w:pPr>
      <w:r>
        <w:rPr>
          <w:rFonts w:hint="eastAsia" w:ascii="宋体" w:hAnsi="宋体"/>
          <w:color w:val="auto"/>
          <w:szCs w:val="21"/>
        </w:rPr>
        <w:t>温馨提示：投标申请人（如为联合体，则联合体各方）投标前须在广州公共资源交易中心办理企业信息登记，及拟担任施工项目经理、设计项目负责人、专职安全员须是本单位</w:t>
      </w:r>
      <w:r>
        <w:rPr>
          <w:rFonts w:ascii="宋体" w:hAnsi="宋体"/>
          <w:color w:val="auto"/>
          <w:szCs w:val="21"/>
        </w:rPr>
        <w:t>（如为联合体，则联合体各方）</w:t>
      </w:r>
      <w:r>
        <w:rPr>
          <w:rFonts w:hint="eastAsia" w:ascii="宋体" w:hAnsi="宋体"/>
          <w:color w:val="auto"/>
          <w:szCs w:val="21"/>
        </w:rPr>
        <w:t>在企业库中的在册人员。否则可能导致无法登记成功，由此产生的后果由投标人承担。</w:t>
      </w:r>
    </w:p>
    <w:p>
      <w:pPr>
        <w:pStyle w:val="5"/>
        <w:spacing w:line="440" w:lineRule="exact"/>
        <w:rPr>
          <w:rFonts w:ascii="宋体" w:hAnsi="宋体" w:eastAsia="宋体"/>
          <w:color w:val="auto"/>
          <w:sz w:val="21"/>
          <w:szCs w:val="21"/>
        </w:rPr>
      </w:pPr>
      <w:r>
        <w:rPr>
          <w:rFonts w:hint="eastAsia" w:ascii="宋体" w:hAnsi="宋体" w:eastAsia="宋体"/>
          <w:color w:val="auto"/>
          <w:sz w:val="21"/>
          <w:szCs w:val="21"/>
        </w:rPr>
        <w:t>4</w:t>
      </w:r>
      <w:r>
        <w:rPr>
          <w:rFonts w:ascii="宋体" w:hAnsi="宋体" w:eastAsia="宋体"/>
          <w:color w:val="auto"/>
          <w:sz w:val="21"/>
          <w:szCs w:val="21"/>
        </w:rPr>
        <w:t xml:space="preserve">. </w:t>
      </w:r>
      <w:r>
        <w:rPr>
          <w:rFonts w:hint="eastAsia" w:ascii="宋体" w:hAnsi="宋体" w:eastAsia="宋体"/>
          <w:color w:val="auto"/>
          <w:sz w:val="21"/>
          <w:szCs w:val="21"/>
        </w:rPr>
        <w:t>关于投资控制</w:t>
      </w:r>
    </w:p>
    <w:p>
      <w:pPr>
        <w:widowControl/>
        <w:autoSpaceDE w:val="0"/>
        <w:spacing w:line="360" w:lineRule="auto"/>
        <w:ind w:firstLine="420" w:firstLineChars="200"/>
        <w:jc w:val="left"/>
        <w:rPr>
          <w:rFonts w:ascii="宋体" w:hAnsi="宋体"/>
          <w:color w:val="auto"/>
          <w:szCs w:val="21"/>
        </w:rPr>
      </w:pPr>
      <w:r>
        <w:rPr>
          <w:rFonts w:hint="eastAsia" w:ascii="宋体" w:hAnsi="宋体"/>
          <w:color w:val="auto"/>
          <w:szCs w:val="21"/>
          <w:lang w:bidi="ar"/>
        </w:rPr>
        <w:t xml:space="preserve">4.1 本项目的招标控制价（含建安工程费及设计费）只作为招标的依据，中标价作为签订合同的依据。 </w:t>
      </w:r>
    </w:p>
    <w:p>
      <w:pPr>
        <w:widowControl/>
        <w:autoSpaceDE w:val="0"/>
        <w:spacing w:line="360" w:lineRule="auto"/>
        <w:ind w:firstLine="420" w:firstLineChars="200"/>
        <w:jc w:val="left"/>
        <w:rPr>
          <w:rFonts w:ascii="宋体" w:hAnsi="宋体"/>
          <w:color w:val="auto"/>
          <w:szCs w:val="21"/>
        </w:rPr>
      </w:pPr>
      <w:r>
        <w:rPr>
          <w:rFonts w:hint="eastAsia" w:ascii="宋体" w:hAnsi="宋体"/>
          <w:color w:val="auto"/>
          <w:szCs w:val="21"/>
          <w:lang w:bidi="ar"/>
        </w:rPr>
        <w:t>4.2 中标后，设计费、建安工程费拨付进度款及结算以合同约定为准，项目结算时须以审定的最终施工图预算单价，按中标下浮率下浮后予以结算。</w:t>
      </w:r>
    </w:p>
    <w:p>
      <w:pPr>
        <w:autoSpaceDE w:val="0"/>
        <w:spacing w:line="360" w:lineRule="auto"/>
        <w:ind w:firstLine="420" w:firstLineChars="200"/>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3</w:t>
      </w:r>
      <w:r>
        <w:rPr>
          <w:rFonts w:ascii="宋体" w:hAnsi="宋体"/>
          <w:color w:val="auto"/>
          <w:szCs w:val="21"/>
        </w:rPr>
        <w:t>招标人有权根据实际情况对本工程建设内容进行调整，工程的建设规模和投资估算以经审批的相关文件为准。招标人减少的项目无论有无替代，</w:t>
      </w:r>
      <w:r>
        <w:rPr>
          <w:rFonts w:hint="eastAsia" w:ascii="宋体" w:hAnsi="宋体"/>
          <w:color w:val="auto"/>
          <w:szCs w:val="21"/>
        </w:rPr>
        <w:t>招标</w:t>
      </w:r>
      <w:r>
        <w:rPr>
          <w:rFonts w:ascii="宋体" w:hAnsi="宋体"/>
          <w:color w:val="auto"/>
          <w:szCs w:val="21"/>
        </w:rPr>
        <w:t>人都不予补偿。</w:t>
      </w:r>
    </w:p>
    <w:p>
      <w:pPr>
        <w:pStyle w:val="5"/>
        <w:spacing w:line="440" w:lineRule="exact"/>
        <w:rPr>
          <w:rFonts w:ascii="宋体" w:hAnsi="宋体" w:eastAsia="宋体"/>
          <w:color w:val="auto"/>
          <w:sz w:val="21"/>
          <w:szCs w:val="21"/>
        </w:rPr>
      </w:pPr>
      <w:r>
        <w:rPr>
          <w:rFonts w:hint="eastAsia" w:ascii="宋体" w:hAnsi="宋体" w:eastAsia="宋体"/>
          <w:color w:val="auto"/>
          <w:sz w:val="21"/>
          <w:szCs w:val="21"/>
        </w:rPr>
        <w:t>5. 前期咨询服务机构</w:t>
      </w:r>
    </w:p>
    <w:p>
      <w:pPr>
        <w:spacing w:line="440" w:lineRule="exact"/>
        <w:ind w:firstLine="420" w:firstLineChars="200"/>
        <w:rPr>
          <w:rFonts w:ascii="宋体" w:hAnsi="宋体"/>
          <w:color w:val="auto"/>
          <w:szCs w:val="21"/>
          <w:u w:val="single"/>
        </w:rPr>
      </w:pPr>
      <w:r>
        <w:rPr>
          <w:rFonts w:hint="eastAsia" w:ascii="宋体" w:hAnsi="宋体"/>
          <w:color w:val="auto"/>
          <w:szCs w:val="21"/>
        </w:rPr>
        <w:t>5.1前期服务机构名称：</w:t>
      </w:r>
      <w:r>
        <w:rPr>
          <w:rFonts w:hint="eastAsia" w:ascii="宋体" w:hAnsi="宋体"/>
          <w:color w:val="auto"/>
          <w:szCs w:val="21"/>
          <w:u w:val="single"/>
        </w:rPr>
        <w:t xml:space="preserve">     无           </w:t>
      </w:r>
    </w:p>
    <w:p>
      <w:pPr>
        <w:spacing w:line="440" w:lineRule="exact"/>
        <w:ind w:firstLine="420" w:firstLineChars="200"/>
        <w:rPr>
          <w:rFonts w:ascii="宋体" w:hAnsi="宋体"/>
          <w:color w:val="auto"/>
          <w:szCs w:val="21"/>
          <w:u w:val="single"/>
        </w:rPr>
      </w:pPr>
      <w:r>
        <w:rPr>
          <w:rFonts w:hint="eastAsia" w:ascii="宋体" w:hAnsi="宋体"/>
          <w:color w:val="auto"/>
          <w:szCs w:val="21"/>
          <w:u w:val="single"/>
        </w:rPr>
        <w:t>[</w:t>
      </w:r>
      <w:r>
        <w:rPr>
          <w:rFonts w:ascii="宋体" w:hAnsi="宋体"/>
          <w:color w:val="auto"/>
          <w:szCs w:val="21"/>
          <w:u w:val="single"/>
        </w:rPr>
        <w:t>注释] 如果前期服务机构参加本次投标，应将本公告发布前最终完成的工作成果（含电子文件）同时提供给所有投标人参考，否则前期参与的服务机构中标无效。</w:t>
      </w:r>
    </w:p>
    <w:p>
      <w:pPr>
        <w:spacing w:line="440" w:lineRule="exact"/>
        <w:ind w:firstLine="420" w:firstLineChars="200"/>
        <w:rPr>
          <w:rFonts w:ascii="宋体" w:hAnsi="宋体"/>
          <w:color w:val="auto"/>
          <w:szCs w:val="21"/>
        </w:rPr>
      </w:pPr>
      <w:r>
        <w:rPr>
          <w:rFonts w:hint="eastAsia" w:ascii="宋体" w:hAnsi="宋体"/>
          <w:color w:val="auto"/>
          <w:szCs w:val="21"/>
        </w:rPr>
        <w:t>5.2 施工图审查服务机构及与之存在隶属关系的机构不得参与本次投标，本项目施工图审查服务机构为：无  。</w:t>
      </w:r>
    </w:p>
    <w:p>
      <w:pPr>
        <w:pStyle w:val="5"/>
        <w:spacing w:line="440" w:lineRule="exact"/>
        <w:rPr>
          <w:rFonts w:ascii="宋体" w:hAnsi="宋体" w:eastAsia="宋体"/>
          <w:color w:val="auto"/>
          <w:sz w:val="21"/>
          <w:szCs w:val="21"/>
        </w:rPr>
      </w:pPr>
      <w:r>
        <w:rPr>
          <w:rFonts w:hint="eastAsia" w:ascii="宋体" w:hAnsi="宋体" w:eastAsia="宋体"/>
          <w:color w:val="auto"/>
          <w:sz w:val="21"/>
          <w:szCs w:val="21"/>
        </w:rPr>
        <w:t xml:space="preserve">6. </w:t>
      </w:r>
      <w:bookmarkEnd w:id="25"/>
      <w:bookmarkEnd w:id="26"/>
      <w:bookmarkEnd w:id="27"/>
      <w:bookmarkEnd w:id="28"/>
      <w:bookmarkEnd w:id="29"/>
      <w:bookmarkEnd w:id="30"/>
      <w:r>
        <w:rPr>
          <w:rFonts w:hint="eastAsia" w:ascii="宋体" w:hAnsi="宋体" w:eastAsia="宋体"/>
          <w:color w:val="auto"/>
          <w:sz w:val="21"/>
          <w:szCs w:val="21"/>
        </w:rPr>
        <w:t>资格审查方式及评标办法</w:t>
      </w:r>
    </w:p>
    <w:p>
      <w:pPr>
        <w:spacing w:line="440" w:lineRule="exact"/>
        <w:ind w:firstLine="420" w:firstLineChars="200"/>
        <w:rPr>
          <w:rFonts w:ascii="宋体" w:hAnsi="宋体"/>
          <w:color w:val="auto"/>
          <w:szCs w:val="21"/>
        </w:rPr>
      </w:pPr>
      <w:bookmarkStart w:id="32" w:name="_Toc300834933"/>
      <w:bookmarkStart w:id="33" w:name="_Toc247527539"/>
      <w:bookmarkStart w:id="34" w:name="_Toc152042292"/>
      <w:bookmarkStart w:id="35" w:name="_Toc247513938"/>
      <w:bookmarkStart w:id="36" w:name="_Toc152045516"/>
      <w:bookmarkStart w:id="37" w:name="_Toc144974484"/>
      <w:r>
        <w:rPr>
          <w:rFonts w:hint="eastAsia" w:ascii="宋体" w:hAnsi="宋体"/>
          <w:color w:val="auto"/>
          <w:szCs w:val="21"/>
        </w:rPr>
        <w:t>6.1资格审查方式：本工程采用资格后审方式，由评标委员会负责资格审查。</w:t>
      </w:r>
    </w:p>
    <w:p>
      <w:pPr>
        <w:spacing w:line="440" w:lineRule="exact"/>
        <w:ind w:firstLine="420" w:firstLineChars="200"/>
        <w:rPr>
          <w:rFonts w:ascii="宋体" w:hAnsi="宋体"/>
          <w:color w:val="auto"/>
          <w:szCs w:val="21"/>
        </w:rPr>
      </w:pPr>
      <w:r>
        <w:rPr>
          <w:rFonts w:hint="eastAsia" w:ascii="宋体" w:hAnsi="宋体"/>
          <w:color w:val="auto"/>
          <w:szCs w:val="21"/>
        </w:rPr>
        <w:t>6.2资格审查结果将在广州公共资源交易中心网站和广东省招标投标监管网公示，公示时间不得少于3日。</w:t>
      </w:r>
    </w:p>
    <w:p>
      <w:pPr>
        <w:spacing w:line="360" w:lineRule="auto"/>
        <w:ind w:firstLine="420" w:firstLineChars="200"/>
        <w:rPr>
          <w:rFonts w:ascii="宋体" w:hAnsi="宋体"/>
          <w:color w:val="auto"/>
          <w:szCs w:val="21"/>
        </w:rPr>
      </w:pPr>
      <w:r>
        <w:rPr>
          <w:rFonts w:hint="eastAsia" w:ascii="宋体" w:hAnsi="宋体"/>
          <w:color w:val="auto"/>
          <w:szCs w:val="21"/>
        </w:rPr>
        <w:t>6.3本项目评标办法采用综合评估法。</w:t>
      </w:r>
    </w:p>
    <w:p>
      <w:pPr>
        <w:pStyle w:val="5"/>
        <w:spacing w:line="440" w:lineRule="exact"/>
        <w:rPr>
          <w:rFonts w:ascii="宋体" w:hAnsi="宋体" w:eastAsia="宋体"/>
          <w:b w:val="0"/>
          <w:bCs w:val="0"/>
          <w:color w:val="auto"/>
          <w:sz w:val="21"/>
          <w:szCs w:val="21"/>
        </w:rPr>
      </w:pPr>
      <w:r>
        <w:rPr>
          <w:rFonts w:hint="eastAsia" w:ascii="宋体" w:hAnsi="宋体" w:eastAsia="宋体"/>
          <w:color w:val="auto"/>
          <w:sz w:val="21"/>
          <w:szCs w:val="21"/>
        </w:rPr>
        <w:t>7.招标文件的获取</w:t>
      </w:r>
    </w:p>
    <w:p>
      <w:pPr>
        <w:spacing w:line="440" w:lineRule="exact"/>
        <w:ind w:firstLine="472" w:firstLineChars="225"/>
        <w:rPr>
          <w:rFonts w:ascii="宋体" w:hAnsi="宋体"/>
          <w:color w:val="auto"/>
          <w:szCs w:val="21"/>
        </w:rPr>
      </w:pPr>
      <w:bookmarkStart w:id="38" w:name="_Toc221949931"/>
      <w:r>
        <w:rPr>
          <w:rFonts w:hint="eastAsia" w:ascii="宋体" w:hAnsi="宋体"/>
          <w:color w:val="auto"/>
          <w:szCs w:val="21"/>
        </w:rPr>
        <w:t>7</w:t>
      </w:r>
      <w:r>
        <w:rPr>
          <w:rFonts w:ascii="宋体" w:hAnsi="宋体"/>
          <w:color w:val="auto"/>
          <w:szCs w:val="21"/>
        </w:rPr>
        <w:t>.1</w:t>
      </w:r>
      <w:r>
        <w:rPr>
          <w:rFonts w:hint="eastAsia" w:ascii="宋体" w:hAnsi="宋体"/>
          <w:color w:val="auto"/>
          <w:szCs w:val="21"/>
        </w:rPr>
        <w:t>招标文件通过广州公共资源交易中心网站获取</w:t>
      </w:r>
      <w:r>
        <w:rPr>
          <w:rFonts w:ascii="宋体" w:hAnsi="宋体"/>
          <w:color w:val="auto"/>
          <w:szCs w:val="21"/>
        </w:rPr>
        <w:t>。</w:t>
      </w:r>
    </w:p>
    <w:bookmarkEnd w:id="38"/>
    <w:p>
      <w:pPr>
        <w:spacing w:line="440" w:lineRule="exact"/>
        <w:ind w:firstLine="472" w:firstLineChars="225"/>
        <w:rPr>
          <w:rFonts w:ascii="宋体" w:hAnsi="宋体"/>
          <w:color w:val="auto"/>
          <w:szCs w:val="21"/>
        </w:rPr>
      </w:pPr>
      <w:bookmarkStart w:id="39" w:name="_Toc221949933"/>
      <w:r>
        <w:rPr>
          <w:rFonts w:hint="eastAsia" w:ascii="宋体" w:hAnsi="宋体"/>
          <w:color w:val="auto"/>
          <w:szCs w:val="21"/>
        </w:rPr>
        <w:t>招标公告网上发布的同时，通过广州公共资源交易中心网站发布电子招标文件及其他技术文件。</w:t>
      </w:r>
    </w:p>
    <w:p>
      <w:pPr>
        <w:spacing w:line="440" w:lineRule="exact"/>
        <w:ind w:firstLine="472" w:firstLineChars="225"/>
        <w:rPr>
          <w:rFonts w:ascii="宋体" w:hAnsi="宋体"/>
          <w:color w:val="auto"/>
          <w:szCs w:val="21"/>
        </w:rPr>
      </w:pPr>
      <w:r>
        <w:rPr>
          <w:rFonts w:hint="eastAsia" w:ascii="宋体" w:hAnsi="宋体"/>
          <w:color w:val="auto"/>
          <w:szCs w:val="21"/>
        </w:rPr>
        <w:t>7.2如招标人需发布补充公告的，以最后发布的补充公告的时间起计算编制投标文件时间，并需在招标答疑中明确说明。</w:t>
      </w:r>
      <w:bookmarkEnd w:id="39"/>
    </w:p>
    <w:p>
      <w:pPr>
        <w:pStyle w:val="5"/>
        <w:spacing w:line="440" w:lineRule="exact"/>
        <w:rPr>
          <w:rFonts w:ascii="宋体" w:hAnsi="宋体" w:eastAsia="宋体"/>
          <w:b w:val="0"/>
          <w:bCs w:val="0"/>
          <w:color w:val="auto"/>
          <w:sz w:val="21"/>
          <w:szCs w:val="21"/>
        </w:rPr>
      </w:pPr>
      <w:r>
        <w:rPr>
          <w:rFonts w:hint="eastAsia" w:ascii="宋体" w:hAnsi="宋体" w:eastAsia="宋体"/>
          <w:color w:val="auto"/>
          <w:sz w:val="21"/>
          <w:szCs w:val="21"/>
        </w:rPr>
        <w:t>8.投标文件的递交</w:t>
      </w:r>
    </w:p>
    <w:p>
      <w:pPr>
        <w:widowControl/>
        <w:shd w:val="clear" w:color="auto" w:fill="FFFFFF"/>
        <w:spacing w:line="440" w:lineRule="exact"/>
        <w:ind w:firstLine="420" w:firstLineChars="200"/>
        <w:jc w:val="left"/>
        <w:rPr>
          <w:rFonts w:ascii="宋体" w:hAnsi="宋体" w:cs="宋体"/>
          <w:color w:val="auto"/>
          <w:kern w:val="0"/>
          <w:szCs w:val="21"/>
        </w:rPr>
      </w:pPr>
      <w:r>
        <w:rPr>
          <w:rFonts w:hint="eastAsia" w:ascii="宋体" w:hAnsi="宋体"/>
          <w:color w:val="auto"/>
          <w:szCs w:val="21"/>
        </w:rPr>
        <w:t>8.1本项目采用电子投标，</w:t>
      </w:r>
      <w:r>
        <w:rPr>
          <w:rFonts w:ascii="宋体" w:hAnsi="宋体"/>
          <w:color w:val="auto"/>
          <w:szCs w:val="21"/>
        </w:rPr>
        <w:t>投标文件递交的截止时间（投标截止时间，下同）为</w:t>
      </w:r>
      <w:r>
        <w:rPr>
          <w:rFonts w:hint="eastAsia" w:ascii="宋体" w:hAnsi="宋体"/>
          <w:color w:val="auto"/>
          <w:szCs w:val="21"/>
        </w:rPr>
        <w:t>2024</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日</w:t>
      </w:r>
      <w:r>
        <w:rPr>
          <w:rFonts w:hint="eastAsia" w:ascii="宋体" w:hAnsi="宋体"/>
          <w:color w:val="auto"/>
          <w:szCs w:val="21"/>
          <w:u w:val="single"/>
        </w:rPr>
        <w:t xml:space="preserve">  </w:t>
      </w:r>
      <w:r>
        <w:rPr>
          <w:rFonts w:ascii="宋体" w:hAnsi="宋体"/>
          <w:color w:val="auto"/>
          <w:szCs w:val="21"/>
        </w:rPr>
        <w:t>时</w:t>
      </w:r>
      <w:r>
        <w:rPr>
          <w:rFonts w:hint="eastAsia" w:ascii="宋体" w:hAnsi="宋体"/>
          <w:color w:val="auto"/>
          <w:szCs w:val="21"/>
          <w:u w:val="single"/>
        </w:rPr>
        <w:t xml:space="preserve">  </w:t>
      </w:r>
      <w:r>
        <w:rPr>
          <w:rFonts w:ascii="宋体" w:hAnsi="宋体"/>
          <w:color w:val="auto"/>
          <w:szCs w:val="21"/>
        </w:rPr>
        <w:t>分</w:t>
      </w:r>
      <w:r>
        <w:rPr>
          <w:rFonts w:hint="eastAsia" w:ascii="宋体" w:hAnsi="宋体"/>
          <w:color w:val="auto"/>
          <w:szCs w:val="21"/>
        </w:rPr>
        <w:t>，具体递交要求以招标文件为准。有关</w:t>
      </w:r>
      <w:r>
        <w:rPr>
          <w:rFonts w:hint="eastAsia" w:ascii="宋体" w:hAnsi="宋体"/>
          <w:b/>
          <w:color w:val="auto"/>
          <w:szCs w:val="21"/>
        </w:rPr>
        <w:t>全流程电子化项目</w:t>
      </w:r>
      <w:r>
        <w:rPr>
          <w:rFonts w:hint="eastAsia" w:ascii="宋体" w:hAnsi="宋体"/>
          <w:color w:val="auto"/>
          <w:szCs w:val="21"/>
        </w:rPr>
        <w:t>的相关操作指南可自行在广州公共资源交易中心网站相关栏目下载，路径为</w:t>
      </w:r>
      <w:r>
        <w:rPr>
          <w:rFonts w:hint="eastAsia" w:ascii="宋体" w:hAnsi="宋体" w:cs="宋体"/>
          <w:color w:val="auto"/>
          <w:kern w:val="0"/>
          <w:szCs w:val="21"/>
        </w:rPr>
        <w:t>广州公共资源交易中心网站&gt;服务指南&gt;系统帮助。</w:t>
      </w:r>
    </w:p>
    <w:p>
      <w:pPr>
        <w:widowControl/>
        <w:shd w:val="clear" w:color="auto" w:fill="FFFFFF"/>
        <w:spacing w:line="440" w:lineRule="exact"/>
        <w:ind w:firstLine="420" w:firstLineChars="200"/>
        <w:jc w:val="left"/>
        <w:rPr>
          <w:rFonts w:ascii="宋体" w:hAnsi="宋体"/>
          <w:color w:val="auto"/>
          <w:szCs w:val="21"/>
          <w:u w:val="single"/>
        </w:rPr>
      </w:pPr>
      <w:r>
        <w:rPr>
          <w:rFonts w:hint="eastAsia" w:ascii="宋体" w:hAnsi="宋体"/>
          <w:color w:val="auto"/>
          <w:szCs w:val="21"/>
          <w:u w:val="single"/>
        </w:rPr>
        <w:t>在投标截止时间后</w:t>
      </w:r>
      <w:r>
        <w:rPr>
          <w:rFonts w:hint="eastAsia" w:ascii="宋体" w:hAnsi="宋体"/>
          <w:b/>
          <w:color w:val="auto"/>
          <w:szCs w:val="21"/>
          <w:u w:val="single"/>
        </w:rPr>
        <w:t>半小时</w:t>
      </w:r>
      <w:r>
        <w:rPr>
          <w:rFonts w:hint="eastAsia" w:ascii="宋体" w:hAnsi="宋体"/>
          <w:color w:val="auto"/>
          <w:szCs w:val="21"/>
          <w:u w:val="single"/>
        </w:rPr>
        <w:t>内为投标人投标文件解密时间，投标人通过广州公共资源交易平台对已递交的电子投标文件进行解密。</w:t>
      </w:r>
    </w:p>
    <w:p>
      <w:pPr>
        <w:spacing w:line="440" w:lineRule="exact"/>
        <w:ind w:firstLine="472" w:firstLineChars="225"/>
        <w:rPr>
          <w:rFonts w:ascii="宋体" w:hAnsi="宋体"/>
          <w:color w:val="auto"/>
          <w:szCs w:val="21"/>
        </w:rPr>
      </w:pPr>
      <w:r>
        <w:rPr>
          <w:rFonts w:hint="eastAsia" w:ascii="宋体" w:hAnsi="宋体"/>
          <w:color w:val="auto"/>
          <w:szCs w:val="21"/>
        </w:rPr>
        <w:t>8.2开标开始时间和地点：2024</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日</w:t>
      </w:r>
      <w:r>
        <w:rPr>
          <w:rFonts w:hint="eastAsia" w:ascii="宋体" w:hAnsi="宋体"/>
          <w:color w:val="auto"/>
          <w:szCs w:val="21"/>
          <w:u w:val="single"/>
        </w:rPr>
        <w:t xml:space="preserve">  </w:t>
      </w:r>
      <w:r>
        <w:rPr>
          <w:rFonts w:ascii="宋体" w:hAnsi="宋体"/>
          <w:color w:val="auto"/>
          <w:szCs w:val="21"/>
        </w:rPr>
        <w:t>时</w:t>
      </w:r>
      <w:r>
        <w:rPr>
          <w:rFonts w:hint="eastAsia" w:ascii="宋体" w:hAnsi="宋体"/>
          <w:color w:val="auto"/>
          <w:szCs w:val="21"/>
          <w:u w:val="single"/>
        </w:rPr>
        <w:t xml:space="preserve">  </w:t>
      </w:r>
      <w:r>
        <w:rPr>
          <w:rFonts w:ascii="宋体" w:hAnsi="宋体"/>
          <w:color w:val="auto"/>
          <w:szCs w:val="21"/>
        </w:rPr>
        <w:t>分</w:t>
      </w:r>
      <w:r>
        <w:rPr>
          <w:rFonts w:hint="eastAsia" w:ascii="宋体" w:hAnsi="宋体"/>
          <w:color w:val="auto"/>
          <w:szCs w:val="21"/>
        </w:rPr>
        <w:t>在广州公共资源交易中心南沙交易部第</w:t>
      </w:r>
      <w:r>
        <w:rPr>
          <w:rFonts w:hint="eastAsia" w:ascii="宋体" w:hAnsi="宋体"/>
          <w:color w:val="auto"/>
          <w:szCs w:val="21"/>
          <w:u w:val="single"/>
        </w:rPr>
        <w:t xml:space="preserve">  </w:t>
      </w:r>
      <w:r>
        <w:rPr>
          <w:rFonts w:hint="eastAsia" w:ascii="宋体" w:hAnsi="宋体"/>
          <w:color w:val="auto"/>
          <w:szCs w:val="21"/>
        </w:rPr>
        <w:t>开标室。</w:t>
      </w:r>
    </w:p>
    <w:p>
      <w:pPr>
        <w:spacing w:line="440" w:lineRule="exact"/>
        <w:ind w:firstLine="472" w:firstLineChars="225"/>
        <w:rPr>
          <w:rFonts w:ascii="宋体" w:hAnsi="宋体"/>
          <w:color w:val="auto"/>
          <w:szCs w:val="21"/>
        </w:rPr>
      </w:pPr>
      <w:r>
        <w:rPr>
          <w:rFonts w:hint="eastAsia" w:ascii="宋体" w:hAnsi="宋体"/>
          <w:color w:val="auto"/>
          <w:szCs w:val="21"/>
        </w:rPr>
        <w:t>8.3投标截止时间与开标开始时间是否有变化，请密切留意招标答疑中的相关信息。递交投标文件截止时间后，开标开始时间因故推迟的，相关评标信息仍以原递交投标文件截止时间的信息为准。</w:t>
      </w:r>
    </w:p>
    <w:p>
      <w:pPr>
        <w:spacing w:line="440" w:lineRule="exact"/>
        <w:ind w:firstLine="420" w:firstLineChars="200"/>
        <w:rPr>
          <w:rFonts w:ascii="宋体" w:hAnsi="宋体"/>
          <w:color w:val="auto"/>
          <w:szCs w:val="21"/>
        </w:rPr>
      </w:pPr>
      <w:r>
        <w:rPr>
          <w:rFonts w:hint="eastAsia" w:ascii="宋体" w:hAnsi="宋体"/>
          <w:color w:val="auto"/>
          <w:szCs w:val="21"/>
        </w:rPr>
        <w:t>8.4投标人通过广州公共资源交易平台递交电子投标文件。投标人应在递交投标文件截止时间前，登录广州公共资源交易平台网站办理网上投标登记手续；完成所有投标文件的上传，并取得回执码，</w:t>
      </w:r>
      <w:r>
        <w:rPr>
          <w:rFonts w:hint="eastAsia" w:ascii="宋体" w:hAnsi="宋体"/>
          <w:b/>
          <w:color w:val="auto"/>
          <w:szCs w:val="21"/>
        </w:rPr>
        <w:t>投标截止时间前未完成投标文件传输的，视为未递交投标文件</w:t>
      </w:r>
      <w:r>
        <w:rPr>
          <w:rFonts w:hint="eastAsia" w:ascii="宋体" w:hAnsi="宋体"/>
          <w:color w:val="auto"/>
          <w:szCs w:val="21"/>
        </w:rPr>
        <w:t>。</w:t>
      </w:r>
    </w:p>
    <w:p>
      <w:pPr>
        <w:spacing w:line="440" w:lineRule="exact"/>
        <w:ind w:firstLine="420" w:firstLineChars="200"/>
        <w:rPr>
          <w:rFonts w:ascii="宋体" w:hAnsi="宋体"/>
          <w:color w:val="auto"/>
          <w:szCs w:val="21"/>
        </w:rPr>
      </w:pPr>
      <w:r>
        <w:rPr>
          <w:rFonts w:hint="eastAsia" w:ascii="宋体" w:hAnsi="宋体"/>
          <w:color w:val="auto"/>
          <w:szCs w:val="21"/>
        </w:rPr>
        <w:t>8.5投标人办理网上投标登记时，对拟派项目负责人是否被交易平台其他项目锁定进行检查，如果已经锁定，则无法完成投标登记。成功办理网上投标登记的，拟派项目负责人将被锁定。中标候选人公示结束后，未中标的投标人的拟派项目负责人即自动解锁。</w:t>
      </w:r>
    </w:p>
    <w:p>
      <w:pPr>
        <w:spacing w:line="440" w:lineRule="exact"/>
        <w:ind w:firstLine="420" w:firstLineChars="200"/>
        <w:rPr>
          <w:rFonts w:ascii="宋体" w:hAnsi="宋体"/>
          <w:color w:val="auto"/>
          <w:szCs w:val="21"/>
        </w:rPr>
      </w:pPr>
      <w:r>
        <w:rPr>
          <w:rFonts w:hint="eastAsia" w:ascii="宋体" w:hAnsi="宋体"/>
          <w:color w:val="auto"/>
          <w:szCs w:val="21"/>
        </w:rPr>
        <w:t>8.6在投标文件递交截止时间之前，投标人可以撤回或替换已递交的投标文件；可以修改网上投标登记相关信息。</w:t>
      </w:r>
    </w:p>
    <w:bookmarkEnd w:id="1"/>
    <w:bookmarkEnd w:id="32"/>
    <w:bookmarkEnd w:id="33"/>
    <w:bookmarkEnd w:id="34"/>
    <w:bookmarkEnd w:id="35"/>
    <w:bookmarkEnd w:id="36"/>
    <w:bookmarkEnd w:id="37"/>
    <w:p>
      <w:pPr>
        <w:pStyle w:val="5"/>
        <w:spacing w:line="440" w:lineRule="exact"/>
        <w:rPr>
          <w:rFonts w:ascii="宋体" w:hAnsi="宋体" w:eastAsia="宋体"/>
          <w:color w:val="auto"/>
          <w:sz w:val="21"/>
          <w:szCs w:val="21"/>
        </w:rPr>
      </w:pPr>
      <w:bookmarkStart w:id="40" w:name="_Toc152042293"/>
      <w:bookmarkStart w:id="41" w:name="_Toc247527541"/>
      <w:bookmarkStart w:id="42" w:name="_Toc152045517"/>
      <w:bookmarkStart w:id="43" w:name="_Toc247513940"/>
      <w:bookmarkStart w:id="44" w:name="_Toc300834935"/>
      <w:bookmarkStart w:id="45" w:name="_Toc144974485"/>
      <w:r>
        <w:rPr>
          <w:rFonts w:hint="eastAsia" w:ascii="宋体" w:hAnsi="宋体" w:eastAsia="宋体"/>
          <w:color w:val="auto"/>
          <w:sz w:val="21"/>
          <w:szCs w:val="21"/>
        </w:rPr>
        <w:t>9.</w:t>
      </w:r>
      <w:r>
        <w:rPr>
          <w:rFonts w:hint="eastAsia" w:ascii="宋体" w:hAnsi="宋体" w:eastAsia="宋体"/>
          <w:b w:val="0"/>
          <w:color w:val="auto"/>
          <w:sz w:val="21"/>
          <w:szCs w:val="21"/>
        </w:rPr>
        <w:t xml:space="preserve"> </w:t>
      </w:r>
      <w:r>
        <w:rPr>
          <w:rFonts w:hint="eastAsia" w:ascii="宋体" w:hAnsi="宋体" w:eastAsia="宋体"/>
          <w:color w:val="auto"/>
          <w:sz w:val="21"/>
          <w:szCs w:val="21"/>
        </w:rPr>
        <w:t>发布公告的媒介</w:t>
      </w:r>
    </w:p>
    <w:p>
      <w:pPr>
        <w:spacing w:line="440" w:lineRule="exact"/>
        <w:ind w:firstLine="472" w:firstLineChars="225"/>
        <w:rPr>
          <w:rFonts w:ascii="宋体" w:hAnsi="宋体"/>
          <w:color w:val="auto"/>
          <w:szCs w:val="21"/>
        </w:rPr>
      </w:pPr>
      <w:r>
        <w:rPr>
          <w:rFonts w:hint="eastAsia" w:ascii="宋体" w:hAnsi="宋体"/>
          <w:color w:val="auto"/>
          <w:szCs w:val="21"/>
        </w:rPr>
        <w:t>9.1招标公告发布时间：从2023</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日</w:t>
      </w:r>
      <w:r>
        <w:rPr>
          <w:rFonts w:hint="eastAsia" w:ascii="宋体" w:hAnsi="宋体"/>
          <w:color w:val="auto"/>
          <w:szCs w:val="21"/>
          <w:u w:val="single"/>
        </w:rPr>
        <w:t xml:space="preserve">  </w:t>
      </w:r>
      <w:r>
        <w:rPr>
          <w:rFonts w:ascii="宋体" w:hAnsi="宋体"/>
          <w:color w:val="auto"/>
          <w:szCs w:val="21"/>
        </w:rPr>
        <w:t>时</w:t>
      </w:r>
      <w:r>
        <w:rPr>
          <w:rFonts w:hint="eastAsia" w:ascii="宋体" w:hAnsi="宋体"/>
          <w:color w:val="auto"/>
          <w:szCs w:val="21"/>
          <w:u w:val="single"/>
        </w:rPr>
        <w:t xml:space="preserve">  </w:t>
      </w:r>
      <w:r>
        <w:rPr>
          <w:rFonts w:ascii="宋体" w:hAnsi="宋体"/>
          <w:color w:val="auto"/>
          <w:szCs w:val="21"/>
        </w:rPr>
        <w:t>分</w:t>
      </w:r>
      <w:r>
        <w:rPr>
          <w:rFonts w:hint="eastAsia" w:ascii="宋体" w:hAnsi="宋体"/>
          <w:color w:val="auto"/>
          <w:szCs w:val="21"/>
        </w:rPr>
        <w:t>至2024</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日</w:t>
      </w:r>
      <w:r>
        <w:rPr>
          <w:rFonts w:hint="eastAsia" w:ascii="宋体" w:hAnsi="宋体"/>
          <w:color w:val="auto"/>
          <w:szCs w:val="21"/>
          <w:u w:val="single"/>
        </w:rPr>
        <w:t xml:space="preserve">  </w:t>
      </w:r>
      <w:r>
        <w:rPr>
          <w:rFonts w:ascii="宋体" w:hAnsi="宋体"/>
          <w:color w:val="auto"/>
          <w:szCs w:val="21"/>
        </w:rPr>
        <w:t>时</w:t>
      </w:r>
      <w:r>
        <w:rPr>
          <w:rFonts w:hint="eastAsia" w:ascii="宋体" w:hAnsi="宋体"/>
          <w:color w:val="auto"/>
          <w:szCs w:val="21"/>
          <w:u w:val="single"/>
        </w:rPr>
        <w:t xml:space="preserve">  </w:t>
      </w:r>
      <w:r>
        <w:rPr>
          <w:rFonts w:ascii="宋体" w:hAnsi="宋体"/>
          <w:color w:val="auto"/>
          <w:szCs w:val="21"/>
        </w:rPr>
        <w:t>分</w:t>
      </w:r>
      <w:r>
        <w:rPr>
          <w:rFonts w:hint="eastAsia" w:ascii="宋体" w:hAnsi="宋体"/>
          <w:color w:val="auto"/>
          <w:szCs w:val="21"/>
        </w:rPr>
        <w:t>。</w:t>
      </w:r>
    </w:p>
    <w:p>
      <w:pPr>
        <w:spacing w:line="440" w:lineRule="exact"/>
        <w:ind w:firstLine="420" w:firstLineChars="200"/>
        <w:rPr>
          <w:rFonts w:ascii="宋体" w:hAnsi="宋体"/>
          <w:color w:val="auto"/>
          <w:szCs w:val="21"/>
        </w:rPr>
      </w:pPr>
      <w:r>
        <w:rPr>
          <w:rFonts w:hint="eastAsia" w:ascii="宋体" w:hAnsi="宋体"/>
          <w:color w:val="auto"/>
          <w:szCs w:val="21"/>
        </w:rPr>
        <w:t>注：发布招标公告的时间为招标公告发出之日起至投标截止时间止。</w:t>
      </w:r>
    </w:p>
    <w:p>
      <w:pPr>
        <w:spacing w:line="440" w:lineRule="exact"/>
        <w:ind w:firstLine="420" w:firstLineChars="200"/>
        <w:rPr>
          <w:rFonts w:ascii="宋体" w:hAnsi="宋体"/>
          <w:color w:val="auto"/>
          <w:szCs w:val="21"/>
        </w:rPr>
      </w:pPr>
      <w:r>
        <w:rPr>
          <w:rFonts w:hint="eastAsia" w:ascii="宋体" w:hAnsi="宋体"/>
          <w:color w:val="auto"/>
          <w:szCs w:val="21"/>
        </w:rPr>
        <w:t>9.2本公告在</w:t>
      </w:r>
      <w:r>
        <w:rPr>
          <w:rFonts w:ascii="宋体" w:hAnsi="宋体"/>
          <w:color w:val="auto"/>
          <w:szCs w:val="21"/>
        </w:rPr>
        <w:t>广州公共资源交易中心网站</w:t>
      </w:r>
      <w:r>
        <w:rPr>
          <w:rFonts w:hint="eastAsia" w:ascii="宋体" w:hAnsi="宋体"/>
          <w:color w:val="auto"/>
          <w:szCs w:val="21"/>
        </w:rPr>
        <w:t>、</w:t>
      </w:r>
      <w:r>
        <w:rPr>
          <w:rFonts w:ascii="宋体" w:hAnsi="宋体"/>
          <w:color w:val="auto"/>
          <w:szCs w:val="21"/>
        </w:rPr>
        <w:t>广东省招标投标监管网</w:t>
      </w:r>
      <w:r>
        <w:rPr>
          <w:rFonts w:hint="eastAsia" w:ascii="宋体" w:hAnsi="宋体"/>
          <w:color w:val="auto"/>
          <w:szCs w:val="21"/>
        </w:rPr>
        <w:t>和中国招标投标公共服务平台、粤采易阳光采购平台发布。如果各媒体发布的公告内容不一致,以广州公共资源交易中心网站发布的为准。有关本公告的修改、补充，均以广州公共资源交易中心网站发布为准。</w:t>
      </w:r>
    </w:p>
    <w:p>
      <w:pPr>
        <w:pStyle w:val="5"/>
        <w:spacing w:line="440" w:lineRule="exact"/>
        <w:rPr>
          <w:rFonts w:ascii="宋体" w:hAnsi="宋体" w:eastAsia="宋体"/>
          <w:color w:val="auto"/>
          <w:sz w:val="21"/>
          <w:szCs w:val="21"/>
        </w:rPr>
      </w:pPr>
      <w:r>
        <w:rPr>
          <w:rFonts w:hint="eastAsia" w:ascii="宋体" w:hAnsi="宋体" w:eastAsia="宋体"/>
          <w:color w:val="auto"/>
          <w:sz w:val="21"/>
          <w:szCs w:val="21"/>
        </w:rPr>
        <w:t>10</w:t>
      </w:r>
      <w:r>
        <w:rPr>
          <w:rFonts w:ascii="宋体" w:hAnsi="宋体" w:eastAsia="宋体"/>
          <w:color w:val="auto"/>
          <w:sz w:val="21"/>
          <w:szCs w:val="21"/>
        </w:rPr>
        <w:t>.</w:t>
      </w:r>
      <w:r>
        <w:rPr>
          <w:rFonts w:hint="eastAsia" w:ascii="宋体" w:hAnsi="宋体" w:eastAsia="宋体"/>
          <w:color w:val="auto"/>
          <w:sz w:val="21"/>
          <w:szCs w:val="21"/>
        </w:rPr>
        <w:t>其他</w:t>
      </w:r>
    </w:p>
    <w:p>
      <w:pPr>
        <w:spacing w:line="440" w:lineRule="exact"/>
        <w:ind w:firstLine="420" w:firstLineChars="200"/>
        <w:rPr>
          <w:rFonts w:ascii="宋体" w:hAnsi="宋体"/>
          <w:color w:val="auto"/>
          <w:szCs w:val="21"/>
        </w:rPr>
      </w:pPr>
      <w:r>
        <w:rPr>
          <w:rFonts w:hint="eastAsia" w:ascii="宋体" w:hAnsi="宋体"/>
          <w:color w:val="auto"/>
          <w:szCs w:val="21"/>
        </w:rPr>
        <w:t>10.1 依据《中华人民共和国招标投标法实施条例》第五十五条，对于投诉处理的原则为：</w:t>
      </w:r>
    </w:p>
    <w:p>
      <w:pPr>
        <w:spacing w:line="440" w:lineRule="exact"/>
        <w:ind w:firstLine="420" w:firstLineChars="200"/>
        <w:rPr>
          <w:rFonts w:ascii="宋体" w:hAnsi="宋体"/>
          <w:color w:val="auto"/>
          <w:szCs w:val="21"/>
        </w:rPr>
      </w:pPr>
      <w:r>
        <w:rPr>
          <w:rFonts w:hint="eastAsia" w:ascii="宋体" w:hAnsi="宋体"/>
          <w:color w:val="auto"/>
          <w:szCs w:val="21"/>
        </w:rPr>
        <w:t>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spacing w:line="360" w:lineRule="auto"/>
        <w:ind w:firstLine="420" w:firstLineChars="200"/>
        <w:rPr>
          <w:rFonts w:ascii="宋体" w:hAnsi="宋体"/>
          <w:color w:val="auto"/>
          <w:szCs w:val="21"/>
        </w:rPr>
      </w:pPr>
      <w:r>
        <w:rPr>
          <w:rFonts w:hint="eastAsia" w:ascii="宋体" w:hAnsi="宋体"/>
          <w:color w:val="auto"/>
          <w:szCs w:val="21"/>
        </w:rPr>
        <w:t>10.2在招投标过程中，投标人（含中标候选人）被投诉且经查实存在招标投标活动中列明被禁止行为的，招标人将提请行政主管部门，并按《中华人民共和国招标投标法实施条例》、《工程建设项目招标投标活动投诉处理办法》等进行处理。</w:t>
      </w:r>
    </w:p>
    <w:p>
      <w:pPr>
        <w:spacing w:line="440" w:lineRule="exact"/>
        <w:ind w:firstLine="420" w:firstLineChars="200"/>
        <w:rPr>
          <w:rFonts w:ascii="宋体" w:hAnsi="宋体"/>
          <w:color w:val="auto"/>
          <w:szCs w:val="21"/>
        </w:rPr>
      </w:pPr>
      <w:r>
        <w:rPr>
          <w:rFonts w:hint="eastAsia" w:ascii="宋体" w:hAnsi="宋体"/>
          <w:color w:val="auto"/>
          <w:szCs w:val="21"/>
        </w:rPr>
        <w:t>在招投标过程中，投诉人投诉事项经查为不属实的恶意投诉的，招标人将提请行政主管部门，并按《中华人民共和国招标投标法实施条例》、《工程建设项目招标投标活动投诉处理办法》等进行处理。</w:t>
      </w:r>
    </w:p>
    <w:p>
      <w:pPr>
        <w:spacing w:line="440" w:lineRule="exact"/>
        <w:ind w:firstLine="420" w:firstLineChars="200"/>
        <w:rPr>
          <w:rFonts w:ascii="宋体" w:hAnsi="宋体"/>
          <w:color w:val="auto"/>
          <w:szCs w:val="21"/>
          <w:u w:val="single"/>
        </w:rPr>
      </w:pPr>
      <w:r>
        <w:rPr>
          <w:rFonts w:hint="eastAsia" w:ascii="宋体" w:hAnsi="宋体"/>
          <w:color w:val="auto"/>
          <w:szCs w:val="21"/>
        </w:rPr>
        <w:t>10.3 潜在投标人或利害关系人对本招标公告及招标内容有异议的，向招标人书面提出。</w:t>
      </w:r>
      <w:r>
        <w:rPr>
          <w:rFonts w:hint="eastAsia" w:ascii="宋体" w:hAnsi="宋体"/>
          <w:color w:val="auto"/>
          <w:szCs w:val="21"/>
          <w:u w:val="single"/>
        </w:rPr>
        <w:t>异议受理部门：广州南沙粤海水务有限公司，异议受理电话：</w:t>
      </w:r>
      <w:r>
        <w:rPr>
          <w:rFonts w:ascii="宋体" w:hAnsi="宋体"/>
          <w:color w:val="auto"/>
          <w:szCs w:val="21"/>
          <w:u w:val="single"/>
        </w:rPr>
        <w:t>020-</w:t>
      </w:r>
      <w:r>
        <w:rPr>
          <w:rFonts w:hint="eastAsia" w:ascii="宋体" w:hAnsi="宋体"/>
          <w:color w:val="auto"/>
          <w:szCs w:val="21"/>
          <w:u w:val="single"/>
        </w:rPr>
        <w:t>66315859；地址：广州市南沙区环市大道南2号之广州南沙资讯科技园软件楼南501房。招标人上级单位：广东粤海控股集团有限公司，投诉电话：020-83742515。</w:t>
      </w:r>
    </w:p>
    <w:p>
      <w:pPr>
        <w:pStyle w:val="5"/>
        <w:spacing w:line="440" w:lineRule="exact"/>
        <w:rPr>
          <w:rFonts w:ascii="宋体" w:hAnsi="宋体" w:eastAsia="宋体"/>
          <w:color w:val="auto"/>
          <w:sz w:val="21"/>
          <w:szCs w:val="21"/>
        </w:rPr>
      </w:pPr>
      <w:r>
        <w:rPr>
          <w:rFonts w:hint="eastAsia" w:ascii="宋体" w:hAnsi="宋体" w:eastAsia="宋体"/>
          <w:color w:val="auto"/>
          <w:sz w:val="21"/>
          <w:szCs w:val="21"/>
        </w:rPr>
        <w:t>11</w:t>
      </w:r>
      <w:r>
        <w:rPr>
          <w:rFonts w:ascii="宋体" w:hAnsi="宋体" w:eastAsia="宋体"/>
          <w:color w:val="auto"/>
          <w:sz w:val="21"/>
          <w:szCs w:val="21"/>
        </w:rPr>
        <w:t>. 联系方式</w:t>
      </w:r>
      <w:bookmarkEnd w:id="40"/>
      <w:bookmarkEnd w:id="41"/>
      <w:bookmarkEnd w:id="42"/>
      <w:bookmarkEnd w:id="43"/>
      <w:bookmarkEnd w:id="44"/>
      <w:bookmarkEnd w:id="45"/>
    </w:p>
    <w:p>
      <w:pPr>
        <w:spacing w:line="440" w:lineRule="exact"/>
        <w:rPr>
          <w:rFonts w:ascii="宋体" w:hAnsi="宋体" w:cs="宋体"/>
          <w:color w:val="auto"/>
          <w:kern w:val="0"/>
          <w:szCs w:val="21"/>
          <w:u w:val="single"/>
        </w:rPr>
      </w:pPr>
      <w:r>
        <w:rPr>
          <w:rFonts w:ascii="宋体" w:hAnsi="宋体"/>
          <w:color w:val="auto"/>
          <w:szCs w:val="21"/>
        </w:rPr>
        <w:t>招标人：</w:t>
      </w:r>
      <w:r>
        <w:rPr>
          <w:rFonts w:hint="eastAsia" w:ascii="宋体" w:hAnsi="宋体"/>
          <w:color w:val="auto"/>
          <w:szCs w:val="21"/>
          <w:u w:val="single"/>
        </w:rPr>
        <w:t>广州南沙粤海水务有限公司</w:t>
      </w:r>
      <w:r>
        <w:rPr>
          <w:rFonts w:hint="eastAsia" w:ascii="宋体" w:hAnsi="宋体"/>
          <w:color w:val="auto"/>
          <w:szCs w:val="21"/>
        </w:rPr>
        <w:t xml:space="preserve">    </w:t>
      </w:r>
    </w:p>
    <w:p>
      <w:pPr>
        <w:topLinePunct/>
        <w:spacing w:line="440" w:lineRule="exact"/>
        <w:rPr>
          <w:rFonts w:ascii="宋体" w:hAnsi="宋体"/>
          <w:color w:val="auto"/>
          <w:szCs w:val="21"/>
        </w:rPr>
      </w:pPr>
      <w:r>
        <w:rPr>
          <w:rFonts w:ascii="宋体" w:hAnsi="宋体"/>
          <w:color w:val="auto"/>
          <w:szCs w:val="21"/>
        </w:rPr>
        <w:t>地  址：</w:t>
      </w:r>
      <w:r>
        <w:rPr>
          <w:rFonts w:hint="eastAsia" w:ascii="宋体" w:hAnsi="宋体" w:cs="宋体"/>
          <w:bCs/>
          <w:color w:val="auto"/>
          <w:kern w:val="0"/>
          <w:szCs w:val="21"/>
          <w:u w:val="single"/>
        </w:rPr>
        <w:t>广州市南沙区环市大道南2号之广州南沙资讯科技园软件楼南501房</w:t>
      </w:r>
      <w:r>
        <w:rPr>
          <w:rFonts w:hint="eastAsia" w:ascii="宋体" w:hAnsi="宋体"/>
          <w:color w:val="auto"/>
          <w:szCs w:val="21"/>
        </w:rPr>
        <w:t xml:space="preserve">   </w:t>
      </w:r>
    </w:p>
    <w:p>
      <w:pPr>
        <w:topLinePunct/>
        <w:spacing w:line="400" w:lineRule="exact"/>
        <w:rPr>
          <w:rFonts w:ascii="宋体" w:hAnsi="宋体"/>
          <w:color w:val="auto"/>
          <w:szCs w:val="21"/>
        </w:rPr>
      </w:pPr>
      <w:r>
        <w:rPr>
          <w:rFonts w:ascii="宋体" w:hAnsi="宋体"/>
          <w:color w:val="auto"/>
          <w:szCs w:val="21"/>
        </w:rPr>
        <w:t>联系人：</w:t>
      </w:r>
      <w:r>
        <w:rPr>
          <w:rFonts w:hint="eastAsia" w:ascii="宋体" w:hAnsi="宋体"/>
          <w:color w:val="auto"/>
          <w:szCs w:val="21"/>
          <w:u w:val="single"/>
        </w:rPr>
        <w:t>张小姐</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p>
    <w:p>
      <w:pPr>
        <w:topLinePunct/>
        <w:spacing w:line="440" w:lineRule="exact"/>
        <w:rPr>
          <w:rFonts w:ascii="宋体" w:hAnsi="宋体"/>
          <w:color w:val="auto"/>
          <w:szCs w:val="21"/>
          <w:u w:val="single"/>
        </w:rPr>
      </w:pPr>
      <w:r>
        <w:rPr>
          <w:rFonts w:ascii="宋体" w:hAnsi="宋体"/>
          <w:color w:val="auto"/>
          <w:szCs w:val="21"/>
        </w:rPr>
        <w:t>电  话：</w:t>
      </w:r>
      <w:r>
        <w:rPr>
          <w:rFonts w:ascii="宋体" w:hAnsi="宋体"/>
          <w:color w:val="auto"/>
          <w:szCs w:val="21"/>
          <w:u w:val="single"/>
        </w:rPr>
        <w:t>020-</w:t>
      </w:r>
      <w:r>
        <w:rPr>
          <w:rFonts w:hint="eastAsia" w:ascii="宋体" w:hAnsi="宋体"/>
          <w:color w:val="auto"/>
          <w:szCs w:val="21"/>
          <w:u w:val="single"/>
        </w:rPr>
        <w:t>66315857</w:t>
      </w:r>
    </w:p>
    <w:p>
      <w:pPr>
        <w:topLinePunct/>
        <w:spacing w:line="440" w:lineRule="exact"/>
        <w:rPr>
          <w:rFonts w:ascii="宋体" w:hAnsi="宋体"/>
          <w:color w:val="auto"/>
          <w:szCs w:val="21"/>
        </w:rPr>
      </w:pPr>
      <w:r>
        <w:rPr>
          <w:rFonts w:hint="eastAsia" w:ascii="宋体" w:hAnsi="宋体"/>
          <w:color w:val="auto"/>
          <w:szCs w:val="21"/>
        </w:rPr>
        <w:t>招标人上级单位：</w:t>
      </w:r>
      <w:r>
        <w:rPr>
          <w:rFonts w:hint="eastAsia" w:ascii="宋体" w:hAnsi="宋体"/>
          <w:color w:val="auto"/>
          <w:szCs w:val="21"/>
          <w:u w:val="single"/>
        </w:rPr>
        <w:t>广东粤海控股集团有限公司</w:t>
      </w:r>
      <w:r>
        <w:rPr>
          <w:rFonts w:hint="eastAsia" w:ascii="宋体" w:hAnsi="宋体"/>
          <w:color w:val="auto"/>
          <w:szCs w:val="21"/>
        </w:rPr>
        <w:t xml:space="preserve">       </w:t>
      </w:r>
    </w:p>
    <w:p>
      <w:pPr>
        <w:topLinePunct/>
        <w:spacing w:line="440" w:lineRule="exact"/>
        <w:rPr>
          <w:rFonts w:ascii="宋体" w:hAnsi="宋体"/>
          <w:color w:val="auto"/>
          <w:szCs w:val="21"/>
        </w:rPr>
      </w:pPr>
      <w:r>
        <w:rPr>
          <w:rFonts w:hint="eastAsia" w:ascii="宋体" w:hAnsi="宋体"/>
          <w:color w:val="auto"/>
          <w:szCs w:val="21"/>
        </w:rPr>
        <w:t>投诉电话：</w:t>
      </w:r>
      <w:r>
        <w:rPr>
          <w:rFonts w:hint="eastAsia" w:ascii="宋体" w:hAnsi="宋体"/>
          <w:color w:val="auto"/>
          <w:szCs w:val="21"/>
          <w:u w:val="single"/>
        </w:rPr>
        <w:t>020-83742515</w:t>
      </w:r>
      <w:r>
        <w:rPr>
          <w:rFonts w:hint="eastAsia" w:ascii="宋体" w:hAnsi="宋体"/>
          <w:color w:val="auto"/>
          <w:szCs w:val="21"/>
        </w:rPr>
        <w:t xml:space="preserve">           </w:t>
      </w:r>
    </w:p>
    <w:p>
      <w:pPr>
        <w:topLinePunct/>
        <w:spacing w:line="440" w:lineRule="exact"/>
        <w:rPr>
          <w:rFonts w:ascii="宋体" w:hAnsi="宋体"/>
          <w:color w:val="auto"/>
          <w:szCs w:val="21"/>
        </w:rPr>
      </w:pPr>
    </w:p>
    <w:p>
      <w:pPr>
        <w:topLinePunct/>
        <w:spacing w:line="440" w:lineRule="exact"/>
        <w:rPr>
          <w:rFonts w:ascii="宋体" w:hAnsi="宋体"/>
          <w:color w:val="auto"/>
          <w:szCs w:val="21"/>
        </w:rPr>
      </w:pPr>
      <w:r>
        <w:rPr>
          <w:rFonts w:ascii="宋体" w:hAnsi="宋体"/>
          <w:color w:val="auto"/>
          <w:szCs w:val="21"/>
        </w:rPr>
        <w:t>招标代理机构：</w:t>
      </w:r>
      <w:r>
        <w:rPr>
          <w:rFonts w:hint="eastAsia" w:ascii="宋体" w:hAnsi="宋体"/>
          <w:color w:val="auto"/>
          <w:szCs w:val="21"/>
          <w:u w:val="single"/>
        </w:rPr>
        <w:t>广州宏达工程顾问集团有限公司</w:t>
      </w:r>
    </w:p>
    <w:p>
      <w:pPr>
        <w:topLinePunct/>
        <w:spacing w:line="440" w:lineRule="exact"/>
        <w:rPr>
          <w:rFonts w:ascii="宋体" w:hAnsi="宋体"/>
          <w:color w:val="auto"/>
          <w:szCs w:val="21"/>
          <w:u w:val="single"/>
        </w:rPr>
      </w:pPr>
      <w:r>
        <w:rPr>
          <w:rFonts w:ascii="宋体" w:hAnsi="宋体"/>
          <w:color w:val="auto"/>
          <w:szCs w:val="21"/>
        </w:rPr>
        <w:t>地</w:t>
      </w:r>
      <w:r>
        <w:rPr>
          <w:rFonts w:hint="eastAsia" w:ascii="宋体" w:hAnsi="宋体"/>
          <w:color w:val="auto"/>
          <w:szCs w:val="21"/>
        </w:rPr>
        <w:t xml:space="preserve">  </w:t>
      </w:r>
      <w:r>
        <w:rPr>
          <w:rFonts w:ascii="宋体" w:hAnsi="宋体"/>
          <w:color w:val="auto"/>
          <w:szCs w:val="21"/>
        </w:rPr>
        <w:t>址：</w:t>
      </w:r>
      <w:r>
        <w:rPr>
          <w:rFonts w:hint="eastAsia" w:ascii="宋体" w:hAnsi="宋体"/>
          <w:color w:val="auto"/>
          <w:szCs w:val="21"/>
          <w:u w:val="single"/>
        </w:rPr>
        <w:t>广州市黄埔区科学城科学大道</w:t>
      </w:r>
      <w:r>
        <w:rPr>
          <w:rFonts w:ascii="宋体" w:hAnsi="宋体"/>
          <w:color w:val="auto"/>
          <w:szCs w:val="21"/>
          <w:u w:val="single"/>
        </w:rPr>
        <w:t>99</w:t>
      </w:r>
      <w:r>
        <w:rPr>
          <w:rFonts w:hint="eastAsia" w:ascii="宋体" w:hAnsi="宋体"/>
          <w:color w:val="auto"/>
          <w:szCs w:val="21"/>
          <w:u w:val="single"/>
        </w:rPr>
        <w:t>号科汇金谷二街</w:t>
      </w:r>
      <w:r>
        <w:rPr>
          <w:rFonts w:ascii="宋体" w:hAnsi="宋体"/>
          <w:color w:val="auto"/>
          <w:szCs w:val="21"/>
          <w:u w:val="single"/>
        </w:rPr>
        <w:t>7号</w:t>
      </w:r>
    </w:p>
    <w:p>
      <w:pPr>
        <w:topLinePunct/>
        <w:spacing w:line="440" w:lineRule="exact"/>
        <w:rPr>
          <w:rFonts w:ascii="宋体" w:hAnsi="宋体"/>
          <w:color w:val="auto"/>
          <w:szCs w:val="21"/>
          <w:u w:val="single"/>
        </w:rPr>
      </w:pPr>
      <w:r>
        <w:rPr>
          <w:rFonts w:ascii="宋体" w:hAnsi="宋体"/>
          <w:color w:val="auto"/>
          <w:szCs w:val="21"/>
        </w:rPr>
        <w:t>联系人：</w:t>
      </w:r>
      <w:r>
        <w:rPr>
          <w:rFonts w:hint="eastAsia" w:ascii="宋体" w:hAnsi="宋体"/>
          <w:color w:val="auto"/>
          <w:szCs w:val="21"/>
          <w:u w:val="single"/>
        </w:rPr>
        <w:t>阮工、黎工</w:t>
      </w:r>
    </w:p>
    <w:p>
      <w:pPr>
        <w:topLinePunct/>
        <w:spacing w:line="440" w:lineRule="exact"/>
        <w:rPr>
          <w:rFonts w:ascii="宋体" w:hAnsi="宋体"/>
          <w:color w:val="auto"/>
          <w:szCs w:val="21"/>
        </w:rPr>
      </w:pPr>
      <w:r>
        <w:rPr>
          <w:rFonts w:ascii="宋体" w:hAnsi="宋体"/>
          <w:color w:val="auto"/>
          <w:szCs w:val="21"/>
        </w:rPr>
        <w:t>电</w:t>
      </w:r>
      <w:r>
        <w:rPr>
          <w:rFonts w:hint="eastAsia" w:ascii="宋体" w:hAnsi="宋体"/>
          <w:color w:val="auto"/>
          <w:szCs w:val="21"/>
        </w:rPr>
        <w:t xml:space="preserve"> </w:t>
      </w:r>
      <w:r>
        <w:rPr>
          <w:rFonts w:ascii="宋体" w:hAnsi="宋体"/>
          <w:color w:val="auto"/>
          <w:szCs w:val="21"/>
        </w:rPr>
        <w:t>话：</w:t>
      </w:r>
      <w:r>
        <w:rPr>
          <w:rFonts w:ascii="宋体" w:hAnsi="宋体"/>
          <w:color w:val="auto"/>
          <w:szCs w:val="21"/>
          <w:u w:val="single"/>
        </w:rPr>
        <w:t>020-87562291-8732</w:t>
      </w:r>
      <w:r>
        <w:rPr>
          <w:rFonts w:hint="eastAsia" w:ascii="宋体" w:hAnsi="宋体"/>
          <w:color w:val="auto"/>
          <w:szCs w:val="21"/>
          <w:u w:val="single"/>
        </w:rPr>
        <w:t>、</w:t>
      </w:r>
      <w:r>
        <w:rPr>
          <w:rFonts w:ascii="宋体" w:hAnsi="宋体"/>
          <w:color w:val="auto"/>
          <w:szCs w:val="21"/>
          <w:u w:val="single"/>
        </w:rPr>
        <w:t>8785</w:t>
      </w:r>
    </w:p>
    <w:p>
      <w:pPr>
        <w:tabs>
          <w:tab w:val="left" w:pos="2460"/>
        </w:tabs>
        <w:topLinePunct/>
        <w:spacing w:line="440" w:lineRule="exact"/>
        <w:rPr>
          <w:rFonts w:ascii="宋体" w:hAnsi="宋体"/>
          <w:color w:val="auto"/>
          <w:szCs w:val="21"/>
        </w:rPr>
      </w:pPr>
      <w:r>
        <w:rPr>
          <w:rFonts w:ascii="宋体" w:hAnsi="宋体"/>
          <w:color w:val="auto"/>
          <w:szCs w:val="21"/>
        </w:rPr>
        <w:tab/>
      </w:r>
    </w:p>
    <w:p>
      <w:pPr>
        <w:spacing w:line="440" w:lineRule="exact"/>
        <w:rPr>
          <w:rFonts w:ascii="宋体" w:hAnsi="宋体"/>
          <w:color w:val="auto"/>
          <w:szCs w:val="21"/>
        </w:rPr>
      </w:pPr>
      <w:r>
        <w:rPr>
          <w:rFonts w:hint="eastAsia" w:ascii="宋体" w:hAnsi="宋体"/>
          <w:color w:val="auto"/>
          <w:szCs w:val="21"/>
        </w:rPr>
        <w:t>备案管理机构：</w:t>
      </w:r>
      <w:r>
        <w:rPr>
          <w:rFonts w:hint="eastAsia" w:ascii="宋体" w:hAnsi="宋体"/>
          <w:color w:val="auto"/>
          <w:szCs w:val="21"/>
          <w:u w:val="single"/>
        </w:rPr>
        <w:t>广州南沙经济技术开发区行政审批局</w:t>
      </w:r>
    </w:p>
    <w:p>
      <w:pPr>
        <w:spacing w:line="440" w:lineRule="exact"/>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广州市南沙区凤凰大道1号</w:t>
      </w:r>
    </w:p>
    <w:p>
      <w:pPr>
        <w:spacing w:line="440" w:lineRule="exact"/>
        <w:rPr>
          <w:rFonts w:ascii="宋体" w:hAnsi="宋体"/>
          <w:color w:val="auto"/>
          <w:szCs w:val="21"/>
        </w:rPr>
      </w:pPr>
      <w:r>
        <w:rPr>
          <w:rFonts w:hint="eastAsia" w:ascii="宋体" w:hAnsi="宋体"/>
          <w:color w:val="auto"/>
          <w:szCs w:val="21"/>
        </w:rPr>
        <w:t>联系电话：</w:t>
      </w:r>
      <w:r>
        <w:rPr>
          <w:rFonts w:hint="eastAsia" w:ascii="宋体" w:hAnsi="宋体"/>
          <w:color w:val="auto"/>
          <w:szCs w:val="21"/>
          <w:u w:val="single"/>
        </w:rPr>
        <w:t>020-39910644</w:t>
      </w:r>
    </w:p>
    <w:p>
      <w:pPr>
        <w:spacing w:line="440" w:lineRule="exact"/>
        <w:rPr>
          <w:rFonts w:ascii="宋体" w:hAnsi="宋体"/>
          <w:color w:val="auto"/>
          <w:szCs w:val="21"/>
        </w:rPr>
      </w:pPr>
    </w:p>
    <w:p>
      <w:pPr>
        <w:spacing w:line="440" w:lineRule="exact"/>
        <w:rPr>
          <w:rFonts w:ascii="宋体" w:hAnsi="宋体"/>
          <w:color w:val="auto"/>
          <w:szCs w:val="21"/>
          <w:u w:val="single"/>
        </w:rPr>
      </w:pPr>
      <w:r>
        <w:rPr>
          <w:rFonts w:ascii="宋体" w:hAnsi="宋体"/>
          <w:color w:val="auto"/>
          <w:szCs w:val="21"/>
        </w:rPr>
        <w:t>招标</w:t>
      </w:r>
      <w:r>
        <w:rPr>
          <w:rFonts w:hint="eastAsia" w:ascii="宋体" w:hAnsi="宋体"/>
          <w:color w:val="auto"/>
          <w:szCs w:val="21"/>
        </w:rPr>
        <w:t>监督</w:t>
      </w:r>
      <w:r>
        <w:rPr>
          <w:rFonts w:ascii="宋体" w:hAnsi="宋体"/>
          <w:color w:val="auto"/>
          <w:szCs w:val="21"/>
        </w:rPr>
        <w:t>机构：</w:t>
      </w:r>
      <w:r>
        <w:rPr>
          <w:rFonts w:hint="eastAsia" w:ascii="宋体" w:hAnsi="宋体"/>
          <w:color w:val="auto"/>
          <w:szCs w:val="21"/>
          <w:u w:val="single"/>
        </w:rPr>
        <w:t>广州市南沙区住房和城乡建设局</w:t>
      </w:r>
    </w:p>
    <w:p>
      <w:pPr>
        <w:spacing w:line="440" w:lineRule="exact"/>
        <w:rPr>
          <w:rFonts w:ascii="宋体" w:hAnsi="宋体"/>
          <w:color w:val="auto"/>
          <w:szCs w:val="21"/>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hint="eastAsia" w:ascii="宋体" w:hAnsi="宋体"/>
          <w:color w:val="auto"/>
          <w:szCs w:val="21"/>
          <w:u w:val="single"/>
        </w:rPr>
        <w:t>广州市南沙区凤凰大道</w:t>
      </w:r>
      <w:r>
        <w:rPr>
          <w:rFonts w:ascii="宋体" w:hAnsi="宋体"/>
          <w:color w:val="auto"/>
          <w:szCs w:val="21"/>
          <w:u w:val="single"/>
        </w:rPr>
        <w:t>1号D</w:t>
      </w:r>
      <w:r>
        <w:rPr>
          <w:rFonts w:hint="eastAsia" w:ascii="宋体" w:hAnsi="宋体"/>
          <w:color w:val="auto"/>
          <w:szCs w:val="21"/>
          <w:u w:val="single"/>
        </w:rPr>
        <w:t>栋</w:t>
      </w:r>
      <w:r>
        <w:rPr>
          <w:rFonts w:ascii="宋体" w:hAnsi="宋体"/>
          <w:color w:val="auto"/>
          <w:szCs w:val="21"/>
          <w:u w:val="single"/>
        </w:rPr>
        <w:t>4</w:t>
      </w:r>
      <w:r>
        <w:rPr>
          <w:rFonts w:hint="eastAsia" w:ascii="宋体" w:hAnsi="宋体"/>
          <w:color w:val="auto"/>
          <w:szCs w:val="21"/>
          <w:u w:val="single"/>
        </w:rPr>
        <w:t>楼</w:t>
      </w:r>
    </w:p>
    <w:p>
      <w:pPr>
        <w:spacing w:line="440" w:lineRule="exact"/>
        <w:rPr>
          <w:rFonts w:ascii="宋体" w:hAnsi="宋体"/>
          <w:color w:val="auto"/>
          <w:szCs w:val="21"/>
          <w:u w:val="single"/>
        </w:rPr>
      </w:pPr>
      <w:r>
        <w:rPr>
          <w:rFonts w:ascii="宋体" w:hAnsi="宋体"/>
          <w:color w:val="auto"/>
          <w:szCs w:val="21"/>
        </w:rPr>
        <w:t>电话号码：</w:t>
      </w:r>
      <w:r>
        <w:rPr>
          <w:rFonts w:ascii="宋体" w:hAnsi="宋体"/>
          <w:color w:val="auto"/>
          <w:szCs w:val="21"/>
          <w:u w:val="single"/>
        </w:rPr>
        <w:t>020-39910647</w:t>
      </w:r>
    </w:p>
    <w:p>
      <w:pPr>
        <w:pStyle w:val="2"/>
        <w:spacing w:line="440" w:lineRule="exact"/>
        <w:ind w:firstLine="560"/>
        <w:rPr>
          <w:color w:val="auto"/>
        </w:rPr>
      </w:pPr>
    </w:p>
    <w:p>
      <w:pPr>
        <w:rPr>
          <w:color w:val="auto"/>
        </w:rPr>
      </w:pPr>
    </w:p>
    <w:p>
      <w:pPr>
        <w:spacing w:line="440" w:lineRule="exact"/>
        <w:jc w:val="right"/>
        <w:rPr>
          <w:rFonts w:ascii="宋体" w:hAnsi="宋体"/>
          <w:color w:val="auto"/>
          <w:szCs w:val="21"/>
          <w:u w:val="single"/>
        </w:rPr>
      </w:pPr>
      <w:r>
        <w:rPr>
          <w:rFonts w:ascii="宋体" w:hAnsi="宋体"/>
          <w:color w:val="auto"/>
          <w:szCs w:val="21"/>
          <w:u w:val="single"/>
        </w:rPr>
        <w:br w:type="page"/>
      </w:r>
    </w:p>
    <w:p>
      <w:pPr>
        <w:pStyle w:val="24"/>
        <w:spacing w:line="360" w:lineRule="auto"/>
        <w:ind w:left="0"/>
        <w:jc w:val="left"/>
        <w:rPr>
          <w:rFonts w:ascii="宋体" w:hAnsi="宋体" w:cs="宋体"/>
          <w:color w:val="auto"/>
          <w:sz w:val="21"/>
          <w:szCs w:val="21"/>
        </w:rPr>
      </w:pPr>
      <w:r>
        <w:rPr>
          <w:rFonts w:hint="eastAsia" w:ascii="宋体" w:hAnsi="宋体" w:cs="宋体"/>
          <w:color w:val="auto"/>
          <w:sz w:val="21"/>
          <w:szCs w:val="21"/>
        </w:rPr>
        <w:t>附件一：</w:t>
      </w:r>
      <w:bookmarkStart w:id="46" w:name="_Toc53417940"/>
      <w:bookmarkStart w:id="47" w:name="_Toc53417908"/>
    </w:p>
    <w:p>
      <w:pPr>
        <w:pStyle w:val="24"/>
        <w:spacing w:line="360" w:lineRule="auto"/>
        <w:ind w:left="0"/>
        <w:rPr>
          <w:rFonts w:ascii="宋体" w:hAnsi="宋体" w:cs="宋体"/>
          <w:color w:val="auto"/>
          <w:sz w:val="21"/>
          <w:szCs w:val="21"/>
        </w:rPr>
      </w:pPr>
      <w:r>
        <w:rPr>
          <w:rFonts w:hint="eastAsia" w:ascii="宋体" w:hAnsi="宋体" w:cs="宋体"/>
          <w:color w:val="auto"/>
          <w:sz w:val="21"/>
          <w:szCs w:val="21"/>
        </w:rPr>
        <w:t xml:space="preserve">        投标申请人声明</w:t>
      </w:r>
      <w:bookmarkEnd w:id="46"/>
      <w:bookmarkEnd w:id="47"/>
    </w:p>
    <w:p>
      <w:pPr>
        <w:pStyle w:val="25"/>
        <w:ind w:firstLine="0"/>
        <w:rPr>
          <w:rFonts w:ascii="宋体" w:hAnsi="宋体" w:eastAsia="宋体" w:cs="宋体"/>
          <w:color w:val="auto"/>
          <w:sz w:val="21"/>
          <w:szCs w:val="21"/>
        </w:rPr>
      </w:pPr>
      <w:r>
        <w:rPr>
          <w:rFonts w:hint="eastAsia" w:ascii="宋体" w:hAnsi="宋体" w:eastAsia="宋体" w:cs="宋体"/>
          <w:color w:val="auto"/>
          <w:sz w:val="21"/>
          <w:szCs w:val="21"/>
        </w:rPr>
        <w:t>本招标项目招标人及招标监管机构：</w:t>
      </w:r>
    </w:p>
    <w:p>
      <w:pPr>
        <w:pStyle w:val="25"/>
        <w:rPr>
          <w:rFonts w:ascii="宋体" w:hAnsi="宋体" w:eastAsia="宋体" w:cs="宋体"/>
          <w:color w:val="auto"/>
          <w:sz w:val="21"/>
          <w:szCs w:val="21"/>
        </w:rPr>
      </w:pPr>
      <w:r>
        <w:rPr>
          <w:rFonts w:ascii="宋体" w:hAnsi="宋体" w:eastAsia="宋体" w:cs="宋体"/>
          <w:color w:val="auto"/>
          <w:sz w:val="21"/>
          <w:szCs w:val="21"/>
        </w:rPr>
        <w:t>本公司就参加</w:t>
      </w:r>
      <w:r>
        <w:rPr>
          <w:rFonts w:ascii="宋体" w:hAnsi="宋体" w:eastAsia="宋体" w:cs="宋体"/>
          <w:color w:val="auto"/>
          <w:sz w:val="21"/>
          <w:szCs w:val="21"/>
          <w:u w:val="single"/>
        </w:rPr>
        <w:t xml:space="preserve">    (项目名称）        </w:t>
      </w:r>
      <w:r>
        <w:rPr>
          <w:rFonts w:ascii="宋体" w:hAnsi="宋体" w:eastAsia="宋体" w:cs="宋体"/>
          <w:color w:val="auto"/>
          <w:sz w:val="21"/>
          <w:szCs w:val="21"/>
        </w:rPr>
        <w:t>投标工作，作出郑重声明：</w:t>
      </w:r>
    </w:p>
    <w:p>
      <w:pPr>
        <w:pStyle w:val="25"/>
        <w:rPr>
          <w:rFonts w:ascii="宋体" w:hAnsi="宋体" w:eastAsia="宋体" w:cs="宋体"/>
          <w:color w:val="auto"/>
          <w:sz w:val="21"/>
          <w:szCs w:val="21"/>
        </w:rPr>
      </w:pPr>
      <w:r>
        <w:rPr>
          <w:rFonts w:ascii="宋体" w:hAnsi="宋体" w:eastAsia="宋体" w:cs="宋体"/>
          <w:color w:val="auto"/>
          <w:sz w:val="21"/>
          <w:szCs w:val="21"/>
        </w:rPr>
        <w:t>一、</w:t>
      </w:r>
      <w:r>
        <w:rPr>
          <w:rFonts w:hint="eastAsia" w:ascii="宋体" w:hAnsi="宋体" w:eastAsia="宋体" w:cs="宋体"/>
          <w:color w:val="auto"/>
          <w:sz w:val="21"/>
          <w:szCs w:val="21"/>
        </w:rPr>
        <w:t>本公司保证投标文件及其后提供的一切材料都是真实的。如我司成为本项目中标候选人，我司同意并授权招标人将我司投标文件商务部分文件的商务部分文件的人员、业绩、奖项等资料进行公开。</w:t>
      </w:r>
    </w:p>
    <w:p>
      <w:pPr>
        <w:pStyle w:val="25"/>
        <w:rPr>
          <w:rFonts w:ascii="宋体" w:hAnsi="宋体" w:eastAsia="宋体" w:cs="宋体"/>
          <w:color w:val="auto"/>
          <w:sz w:val="21"/>
          <w:szCs w:val="21"/>
        </w:rPr>
      </w:pPr>
      <w:r>
        <w:rPr>
          <w:rFonts w:ascii="宋体" w:hAnsi="宋体" w:eastAsia="宋体" w:cs="宋体"/>
          <w:color w:val="auto"/>
          <w:sz w:val="21"/>
          <w:szCs w:val="21"/>
        </w:rPr>
        <w:t>二、本公司保证在本项目投标中不与其他单位围标、串标，不出让投标资格，不向招标人或评标委员会成员行贿。</w:t>
      </w:r>
    </w:p>
    <w:p>
      <w:pPr>
        <w:pStyle w:val="25"/>
        <w:rPr>
          <w:rFonts w:ascii="宋体" w:hAnsi="宋体" w:eastAsia="宋体" w:cs="宋体"/>
          <w:color w:val="auto"/>
          <w:sz w:val="21"/>
          <w:szCs w:val="21"/>
        </w:rPr>
      </w:pPr>
      <w:r>
        <w:rPr>
          <w:rFonts w:ascii="宋体" w:hAnsi="宋体" w:eastAsia="宋体" w:cs="宋体"/>
          <w:color w:val="auto"/>
          <w:sz w:val="21"/>
          <w:szCs w:val="21"/>
        </w:rPr>
        <w:t>三、本公司不存在下列情形之一：</w:t>
      </w:r>
    </w:p>
    <w:p>
      <w:pPr>
        <w:pStyle w:val="25"/>
        <w:rPr>
          <w:rFonts w:ascii="宋体" w:hAnsi="宋体" w:eastAsia="宋体" w:cs="宋体"/>
          <w:color w:val="auto"/>
          <w:sz w:val="21"/>
          <w:szCs w:val="21"/>
        </w:rPr>
      </w:pPr>
      <w:r>
        <w:rPr>
          <w:rFonts w:ascii="宋体" w:hAnsi="宋体" w:eastAsia="宋体" w:cs="宋体"/>
          <w:color w:val="auto"/>
          <w:sz w:val="21"/>
          <w:szCs w:val="21"/>
        </w:rPr>
        <w:t>（1）为招标人不具有独立法人资格的附属机构（单位）；</w:t>
      </w:r>
    </w:p>
    <w:p>
      <w:pPr>
        <w:pStyle w:val="25"/>
        <w:rPr>
          <w:rFonts w:ascii="宋体" w:hAnsi="宋体" w:eastAsia="宋体" w:cs="宋体"/>
          <w:b/>
          <w:color w:val="auto"/>
          <w:sz w:val="21"/>
          <w:szCs w:val="21"/>
        </w:rPr>
      </w:pPr>
      <w:r>
        <w:rPr>
          <w:rFonts w:ascii="宋体" w:hAnsi="宋体" w:eastAsia="宋体" w:cs="宋体"/>
          <w:color w:val="auto"/>
          <w:sz w:val="21"/>
          <w:szCs w:val="21"/>
        </w:rPr>
        <w:t>（2）为本标段前期准备提供设计或咨询服务或者与本项目设计人或提供咨询服务的机构存在附属关系的</w:t>
      </w:r>
      <w:r>
        <w:rPr>
          <w:rFonts w:hint="eastAsia" w:ascii="宋体" w:hAnsi="宋体" w:eastAsia="宋体"/>
          <w:b/>
          <w:color w:val="auto"/>
          <w:sz w:val="21"/>
          <w:szCs w:val="21"/>
          <w:u w:val="single"/>
        </w:rPr>
        <w:t>（如果前期服务机构参加本次投标，应将本公告发布前最终完成的工作成果（含电子文件）同时提供给所有投标人参考，否则前期参与的服务机构中标无效）</w:t>
      </w:r>
      <w:r>
        <w:rPr>
          <w:rFonts w:ascii="宋体" w:hAnsi="宋体" w:eastAsia="宋体" w:cs="宋体"/>
          <w:color w:val="auto"/>
          <w:sz w:val="21"/>
          <w:szCs w:val="21"/>
        </w:rPr>
        <w:t>；</w:t>
      </w:r>
    </w:p>
    <w:p>
      <w:pPr>
        <w:pStyle w:val="25"/>
        <w:rPr>
          <w:rFonts w:ascii="宋体" w:hAnsi="宋体" w:eastAsia="宋体" w:cs="宋体"/>
          <w:color w:val="auto"/>
          <w:sz w:val="21"/>
          <w:szCs w:val="21"/>
        </w:rPr>
      </w:pPr>
      <w:r>
        <w:rPr>
          <w:rFonts w:ascii="宋体" w:hAnsi="宋体" w:eastAsia="宋体" w:cs="宋体"/>
          <w:color w:val="auto"/>
          <w:sz w:val="21"/>
          <w:szCs w:val="21"/>
        </w:rPr>
        <w:t>（3）为本项目监理人或者与本项目监理人存在隶属关系或者其他利害关系；</w:t>
      </w:r>
    </w:p>
    <w:p>
      <w:pPr>
        <w:pStyle w:val="25"/>
        <w:rPr>
          <w:rFonts w:ascii="宋体" w:hAnsi="宋体" w:eastAsia="宋体" w:cs="宋体"/>
          <w:color w:val="auto"/>
          <w:sz w:val="21"/>
          <w:szCs w:val="21"/>
        </w:rPr>
      </w:pPr>
      <w:r>
        <w:rPr>
          <w:rFonts w:ascii="宋体" w:hAnsi="宋体" w:eastAsia="宋体" w:cs="宋体"/>
          <w:color w:val="auto"/>
          <w:sz w:val="21"/>
          <w:szCs w:val="21"/>
        </w:rPr>
        <w:t>（4）为本标段的代建人；</w:t>
      </w:r>
    </w:p>
    <w:p>
      <w:pPr>
        <w:pStyle w:val="25"/>
        <w:rPr>
          <w:rFonts w:ascii="宋体" w:hAnsi="宋体" w:eastAsia="宋体" w:cs="宋体"/>
          <w:color w:val="auto"/>
          <w:sz w:val="21"/>
          <w:szCs w:val="21"/>
        </w:rPr>
      </w:pPr>
      <w:r>
        <w:rPr>
          <w:rFonts w:ascii="宋体" w:hAnsi="宋体" w:eastAsia="宋体" w:cs="宋体"/>
          <w:color w:val="auto"/>
          <w:sz w:val="21"/>
          <w:szCs w:val="21"/>
        </w:rPr>
        <w:t>（5）为本标段提供招标代理服务的；</w:t>
      </w:r>
    </w:p>
    <w:p>
      <w:pPr>
        <w:pStyle w:val="25"/>
        <w:rPr>
          <w:rFonts w:ascii="宋体" w:hAnsi="宋体" w:eastAsia="宋体" w:cs="宋体"/>
          <w:color w:val="auto"/>
          <w:sz w:val="21"/>
          <w:szCs w:val="21"/>
        </w:rPr>
      </w:pPr>
      <w:r>
        <w:rPr>
          <w:rFonts w:ascii="宋体" w:hAnsi="宋体" w:eastAsia="宋体" w:cs="宋体"/>
          <w:color w:val="auto"/>
          <w:sz w:val="21"/>
          <w:szCs w:val="21"/>
        </w:rPr>
        <w:t>（6）与本标段的监理人或代建人或招标代理机构同为一个法定代表人的；</w:t>
      </w:r>
    </w:p>
    <w:p>
      <w:pPr>
        <w:pStyle w:val="25"/>
        <w:rPr>
          <w:rFonts w:ascii="宋体" w:hAnsi="宋体" w:eastAsia="宋体" w:cs="宋体"/>
          <w:color w:val="auto"/>
          <w:sz w:val="21"/>
          <w:szCs w:val="21"/>
        </w:rPr>
      </w:pPr>
      <w:r>
        <w:rPr>
          <w:rFonts w:ascii="宋体" w:hAnsi="宋体" w:eastAsia="宋体" w:cs="宋体"/>
          <w:color w:val="auto"/>
          <w:sz w:val="21"/>
          <w:szCs w:val="21"/>
        </w:rPr>
        <w:t>（7）与本标段的监理人或代建人或招标代理机构互相控股或参股的；</w:t>
      </w:r>
    </w:p>
    <w:p>
      <w:pPr>
        <w:pStyle w:val="25"/>
        <w:rPr>
          <w:rFonts w:ascii="宋体" w:hAnsi="宋体" w:eastAsia="宋体" w:cs="宋体"/>
          <w:color w:val="auto"/>
          <w:sz w:val="21"/>
          <w:szCs w:val="21"/>
        </w:rPr>
      </w:pPr>
      <w:r>
        <w:rPr>
          <w:rFonts w:ascii="宋体" w:hAnsi="宋体" w:eastAsia="宋体" w:cs="宋体"/>
          <w:color w:val="auto"/>
          <w:sz w:val="21"/>
          <w:szCs w:val="21"/>
        </w:rPr>
        <w:t>（8）与本标段的监理人或代建人或招标代理机构相互任职或工作的；</w:t>
      </w:r>
    </w:p>
    <w:p>
      <w:pPr>
        <w:pStyle w:val="25"/>
        <w:rPr>
          <w:rFonts w:ascii="宋体" w:hAnsi="宋体" w:eastAsia="宋体" w:cs="宋体"/>
          <w:color w:val="auto"/>
          <w:sz w:val="21"/>
          <w:szCs w:val="21"/>
        </w:rPr>
      </w:pPr>
      <w:r>
        <w:rPr>
          <w:rFonts w:ascii="宋体" w:hAnsi="宋体" w:eastAsia="宋体" w:cs="宋体"/>
          <w:color w:val="auto"/>
          <w:sz w:val="21"/>
          <w:szCs w:val="21"/>
        </w:rPr>
        <w:t>（9）与本标段的检测机构有隶属关系或者其他利害关系；</w:t>
      </w:r>
    </w:p>
    <w:p>
      <w:pPr>
        <w:pStyle w:val="25"/>
        <w:rPr>
          <w:rFonts w:ascii="宋体" w:hAnsi="宋体" w:eastAsia="宋体" w:cs="宋体"/>
          <w:color w:val="auto"/>
          <w:sz w:val="21"/>
          <w:szCs w:val="21"/>
        </w:rPr>
      </w:pPr>
      <w:r>
        <w:rPr>
          <w:rFonts w:ascii="宋体" w:hAnsi="宋体" w:eastAsia="宋体" w:cs="宋体"/>
          <w:color w:val="auto"/>
          <w:sz w:val="21"/>
          <w:szCs w:val="21"/>
        </w:rPr>
        <w:t xml:space="preserve">（10）与招标人存在利害关系且可能影响招标公正性； </w:t>
      </w:r>
    </w:p>
    <w:p>
      <w:pPr>
        <w:pStyle w:val="25"/>
        <w:rPr>
          <w:rFonts w:ascii="宋体" w:hAnsi="宋体" w:eastAsia="宋体" w:cs="宋体"/>
          <w:color w:val="auto"/>
          <w:sz w:val="21"/>
          <w:szCs w:val="21"/>
        </w:rPr>
      </w:pPr>
      <w:r>
        <w:rPr>
          <w:rFonts w:ascii="宋体" w:hAnsi="宋体" w:eastAsia="宋体" w:cs="宋体"/>
          <w:color w:val="auto"/>
          <w:sz w:val="21"/>
          <w:szCs w:val="21"/>
        </w:rPr>
        <w:t xml:space="preserve">（11）与本标段的其他投标人为同一个单位负责人； </w:t>
      </w:r>
    </w:p>
    <w:p>
      <w:pPr>
        <w:pStyle w:val="25"/>
        <w:rPr>
          <w:rFonts w:ascii="宋体" w:hAnsi="宋体" w:eastAsia="宋体" w:cs="宋体"/>
          <w:color w:val="auto"/>
          <w:sz w:val="21"/>
          <w:szCs w:val="21"/>
        </w:rPr>
      </w:pPr>
      <w:r>
        <w:rPr>
          <w:rFonts w:ascii="宋体" w:hAnsi="宋体" w:eastAsia="宋体" w:cs="宋体"/>
          <w:color w:val="auto"/>
          <w:sz w:val="21"/>
          <w:szCs w:val="21"/>
        </w:rPr>
        <w:t xml:space="preserve">（12）与本标段的其他投标人存在控股、管理关系； </w:t>
      </w:r>
    </w:p>
    <w:p>
      <w:pPr>
        <w:pStyle w:val="25"/>
        <w:ind w:firstLine="630" w:firstLineChars="300"/>
        <w:rPr>
          <w:rFonts w:ascii="宋体" w:hAnsi="宋体" w:eastAsia="宋体" w:cs="宋体"/>
          <w:color w:val="auto"/>
          <w:sz w:val="21"/>
          <w:szCs w:val="21"/>
        </w:rPr>
      </w:pPr>
      <w:r>
        <w:rPr>
          <w:rFonts w:ascii="宋体" w:hAnsi="宋体" w:eastAsia="宋体" w:cs="宋体"/>
          <w:color w:val="auto"/>
          <w:sz w:val="21"/>
          <w:szCs w:val="21"/>
        </w:rPr>
        <w:t>（13）被暂扣安全生产许可证的；</w:t>
      </w:r>
    </w:p>
    <w:p>
      <w:pPr>
        <w:pStyle w:val="25"/>
        <w:rPr>
          <w:rFonts w:ascii="宋体" w:hAnsi="宋体" w:eastAsia="宋体" w:cs="宋体"/>
          <w:color w:val="auto"/>
          <w:sz w:val="21"/>
          <w:szCs w:val="21"/>
        </w:rPr>
      </w:pPr>
      <w:r>
        <w:rPr>
          <w:rFonts w:ascii="宋体" w:hAnsi="宋体" w:eastAsia="宋体" w:cs="宋体"/>
          <w:color w:val="auto"/>
          <w:sz w:val="21"/>
          <w:szCs w:val="21"/>
        </w:rPr>
        <w:t xml:space="preserve">（14）被依法暂停或取消投标资格的； </w:t>
      </w:r>
    </w:p>
    <w:p>
      <w:pPr>
        <w:pStyle w:val="25"/>
        <w:rPr>
          <w:rFonts w:ascii="宋体" w:hAnsi="宋体" w:eastAsia="宋体" w:cs="宋体"/>
          <w:color w:val="auto"/>
          <w:sz w:val="21"/>
          <w:szCs w:val="21"/>
        </w:rPr>
      </w:pPr>
      <w:r>
        <w:rPr>
          <w:rFonts w:ascii="宋体" w:hAnsi="宋体" w:eastAsia="宋体" w:cs="宋体"/>
          <w:color w:val="auto"/>
          <w:sz w:val="21"/>
          <w:szCs w:val="21"/>
        </w:rPr>
        <w:t>（15）被责令停产停业、暂扣或者吊销许可证、暂扣或者吊销执照的；</w:t>
      </w:r>
    </w:p>
    <w:p>
      <w:pPr>
        <w:pStyle w:val="25"/>
        <w:rPr>
          <w:rFonts w:ascii="宋体" w:hAnsi="宋体" w:eastAsia="宋体" w:cs="宋体"/>
          <w:color w:val="auto"/>
          <w:sz w:val="21"/>
          <w:szCs w:val="21"/>
        </w:rPr>
      </w:pPr>
      <w:r>
        <w:rPr>
          <w:rFonts w:ascii="宋体" w:hAnsi="宋体" w:eastAsia="宋体" w:cs="宋体"/>
          <w:color w:val="auto"/>
          <w:sz w:val="21"/>
          <w:szCs w:val="21"/>
        </w:rPr>
        <w:t>（16）进入清算程序，或被宣布破产，或其他丧失履约能力的情形；</w:t>
      </w:r>
    </w:p>
    <w:p>
      <w:pPr>
        <w:pStyle w:val="25"/>
        <w:rPr>
          <w:rFonts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7</w:t>
      </w:r>
      <w:r>
        <w:rPr>
          <w:rFonts w:ascii="宋体" w:hAnsi="宋体" w:eastAsia="宋体" w:cs="宋体"/>
          <w:color w:val="auto"/>
          <w:sz w:val="21"/>
          <w:szCs w:val="21"/>
        </w:rPr>
        <w:t>）在</w:t>
      </w:r>
      <w:r>
        <w:rPr>
          <w:rFonts w:hint="eastAsia" w:ascii="宋体" w:hAnsi="宋体" w:eastAsia="宋体" w:cs="宋体"/>
          <w:color w:val="auto"/>
          <w:sz w:val="21"/>
          <w:szCs w:val="21"/>
        </w:rPr>
        <w:t>2021年1月1日至投标截止之日</w:t>
      </w:r>
      <w:r>
        <w:rPr>
          <w:rFonts w:ascii="宋体" w:hAnsi="宋体" w:eastAsia="宋体" w:cs="宋体"/>
          <w:color w:val="auto"/>
          <w:sz w:val="21"/>
          <w:szCs w:val="21"/>
        </w:rPr>
        <w:t>有骗取中标或严重违约或重大工程质量问题的；</w:t>
      </w:r>
    </w:p>
    <w:p>
      <w:pPr>
        <w:pStyle w:val="25"/>
        <w:rPr>
          <w:rFonts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8</w:t>
      </w:r>
      <w:r>
        <w:rPr>
          <w:rFonts w:ascii="宋体" w:hAnsi="宋体" w:eastAsia="宋体" w:cs="宋体"/>
          <w:color w:val="auto"/>
          <w:sz w:val="21"/>
          <w:szCs w:val="21"/>
        </w:rPr>
        <w:t>）被工商行政管理机关在全国企业信用信息公示系统中列入严重违法失信企业名单；</w:t>
      </w:r>
    </w:p>
    <w:p>
      <w:pPr>
        <w:pStyle w:val="25"/>
        <w:rPr>
          <w:rFonts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9</w:t>
      </w:r>
      <w:r>
        <w:rPr>
          <w:rFonts w:ascii="宋体" w:hAnsi="宋体" w:eastAsia="宋体" w:cs="宋体"/>
          <w:color w:val="auto"/>
          <w:sz w:val="21"/>
          <w:szCs w:val="21"/>
        </w:rPr>
        <w:t>）被最高人民法院在“信用中国”网站（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eastAsia="宋体" w:cs="宋体"/>
          <w:color w:val="auto"/>
          <w:sz w:val="21"/>
          <w:szCs w:val="21"/>
        </w:rPr>
        <w:t>www.creditchina.gov.cn</w:t>
      </w:r>
      <w:r>
        <w:rPr>
          <w:rFonts w:ascii="宋体" w:hAnsi="宋体" w:eastAsia="宋体" w:cs="宋体"/>
          <w:color w:val="auto"/>
          <w:sz w:val="21"/>
          <w:szCs w:val="21"/>
        </w:rPr>
        <w:fldChar w:fldCharType="end"/>
      </w:r>
      <w:r>
        <w:rPr>
          <w:rFonts w:ascii="宋体" w:hAnsi="宋体" w:eastAsia="宋体" w:cs="宋体"/>
          <w:color w:val="auto"/>
          <w:sz w:val="21"/>
          <w:szCs w:val="21"/>
        </w:rPr>
        <w:t>）或各级信用信息共享平台中列入失信被执行人名单；</w:t>
      </w:r>
    </w:p>
    <w:p>
      <w:pPr>
        <w:pStyle w:val="25"/>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eastAsia="宋体" w:cs="宋体"/>
          <w:color w:val="auto"/>
          <w:sz w:val="21"/>
          <w:szCs w:val="21"/>
        </w:rPr>
        <w:t>20</w:t>
      </w:r>
      <w:r>
        <w:rPr>
          <w:rFonts w:ascii="宋体" w:hAnsi="宋体" w:eastAsia="宋体" w:cs="宋体"/>
          <w:color w:val="auto"/>
          <w:sz w:val="21"/>
          <w:szCs w:val="21"/>
        </w:rPr>
        <w:t>）在</w:t>
      </w:r>
      <w:r>
        <w:rPr>
          <w:rFonts w:hint="eastAsia" w:ascii="宋体" w:hAnsi="宋体" w:eastAsia="宋体" w:cs="宋体"/>
          <w:color w:val="auto"/>
          <w:sz w:val="21"/>
          <w:szCs w:val="21"/>
        </w:rPr>
        <w:t>2021年1月1日至投标截止之日</w:t>
      </w:r>
      <w:r>
        <w:rPr>
          <w:rFonts w:ascii="宋体" w:hAnsi="宋体" w:eastAsia="宋体" w:cs="宋体"/>
          <w:color w:val="auto"/>
          <w:sz w:val="21"/>
          <w:szCs w:val="21"/>
        </w:rPr>
        <w:t>投标人或其法定代表人、拟委派的项目负责人有行贿犯罪行为的；</w:t>
      </w:r>
    </w:p>
    <w:p>
      <w:pPr>
        <w:pStyle w:val="25"/>
        <w:ind w:firstLine="630" w:firstLineChars="300"/>
        <w:rPr>
          <w:rFonts w:ascii="宋体" w:hAnsi="宋体" w:eastAsia="宋体" w:cs="宋体"/>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1</w:t>
      </w:r>
      <w:r>
        <w:rPr>
          <w:rFonts w:ascii="宋体" w:hAnsi="宋体" w:eastAsia="宋体" w:cs="宋体"/>
          <w:color w:val="auto"/>
          <w:sz w:val="21"/>
          <w:szCs w:val="21"/>
        </w:rPr>
        <w:t>）法律法规规定的其他情形。</w:t>
      </w:r>
    </w:p>
    <w:p>
      <w:pPr>
        <w:spacing w:line="360" w:lineRule="auto"/>
        <w:ind w:firstLine="630" w:firstLineChars="300"/>
        <w:rPr>
          <w:rFonts w:ascii="宋体" w:hAnsi="宋体" w:cs="宋体"/>
          <w:bCs/>
          <w:color w:val="auto"/>
          <w:kern w:val="0"/>
          <w:szCs w:val="21"/>
        </w:rPr>
      </w:pPr>
      <w:r>
        <w:rPr>
          <w:rFonts w:hint="eastAsia" w:ascii="宋体" w:hAnsi="宋体" w:cs="宋体"/>
          <w:bCs/>
          <w:color w:val="auto"/>
          <w:kern w:val="0"/>
          <w:szCs w:val="21"/>
        </w:rPr>
        <w:t>四、本公司保证本项目拟派的项目负责人没有在其他在建项目中任施工单位项目负责人，本项目拟派的专职安全员没有在其他在建项目中任职。</w:t>
      </w:r>
    </w:p>
    <w:p>
      <w:pPr>
        <w:pStyle w:val="25"/>
        <w:rPr>
          <w:rFonts w:ascii="宋体" w:hAnsi="宋体" w:eastAsia="宋体" w:cs="宋体"/>
          <w:color w:val="auto"/>
          <w:sz w:val="21"/>
          <w:szCs w:val="21"/>
        </w:rPr>
      </w:pPr>
      <w:r>
        <w:rPr>
          <w:rFonts w:ascii="宋体" w:hAnsi="宋体" w:eastAsia="宋体" w:cs="宋体"/>
          <w:b/>
          <w:bCs/>
          <w:color w:val="auto"/>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25"/>
        <w:rPr>
          <w:rFonts w:ascii="宋体" w:hAnsi="宋体" w:eastAsia="宋体" w:cs="宋体"/>
          <w:color w:val="auto"/>
          <w:sz w:val="21"/>
          <w:szCs w:val="21"/>
        </w:rPr>
      </w:pPr>
      <w:r>
        <w:rPr>
          <w:rFonts w:hint="eastAsia" w:ascii="宋体" w:hAnsi="宋体" w:eastAsia="宋体" w:cs="宋体"/>
          <w:color w:val="auto"/>
          <w:sz w:val="21"/>
          <w:szCs w:val="21"/>
        </w:rPr>
        <w:t>六</w:t>
      </w:r>
      <w:r>
        <w:rPr>
          <w:rFonts w:ascii="宋体" w:hAnsi="宋体" w:eastAsia="宋体" w:cs="宋体"/>
          <w:color w:val="auto"/>
          <w:sz w:val="21"/>
          <w:szCs w:val="21"/>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5"/>
        <w:rPr>
          <w:rFonts w:ascii="宋体" w:hAnsi="宋体" w:eastAsia="宋体" w:cs="宋体"/>
          <w:color w:val="auto"/>
          <w:sz w:val="21"/>
          <w:szCs w:val="21"/>
        </w:rPr>
      </w:pPr>
      <w:r>
        <w:rPr>
          <w:rFonts w:hint="eastAsia" w:ascii="宋体" w:hAnsi="宋体" w:eastAsia="宋体" w:cs="宋体"/>
          <w:color w:val="auto"/>
          <w:sz w:val="21"/>
          <w:szCs w:val="21"/>
        </w:rPr>
        <w:t>七</w:t>
      </w:r>
      <w:r>
        <w:rPr>
          <w:rFonts w:ascii="宋体" w:hAnsi="宋体" w:eastAsia="宋体" w:cs="宋体"/>
          <w:color w:val="auto"/>
          <w:sz w:val="21"/>
          <w:szCs w:val="21"/>
        </w:rPr>
        <w:t>、</w:t>
      </w:r>
      <w:r>
        <w:rPr>
          <w:rFonts w:hint="eastAsia" w:ascii="宋体" w:hAnsi="宋体" w:eastAsia="宋体" w:cs="宋体"/>
          <w:bCs/>
          <w:color w:val="auto"/>
          <w:sz w:val="21"/>
          <w:szCs w:val="21"/>
        </w:rPr>
        <w:t>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承诺按照招标人要求事前报招标人审批或备案，对专业分包企业和劳务分包企业实施统一管理，监督其用工企业按时足额支付作业工人工资，督促落实实名制管理制度。本公司接受招标人及建设行政主管部门的监督、检查。（适用于施工总承包招标项目）</w:t>
      </w:r>
      <w:r>
        <w:rPr>
          <w:rFonts w:hint="eastAsia" w:ascii="宋体" w:hAnsi="宋体" w:eastAsia="宋体" w:cs="宋体"/>
          <w:color w:val="auto"/>
          <w:sz w:val="21"/>
          <w:szCs w:val="21"/>
        </w:rPr>
        <w:t>。</w:t>
      </w:r>
    </w:p>
    <w:p>
      <w:pPr>
        <w:pStyle w:val="25"/>
        <w:rPr>
          <w:rFonts w:ascii="宋体" w:hAnsi="宋体" w:eastAsia="宋体" w:cs="宋体"/>
          <w:color w:val="auto"/>
          <w:sz w:val="21"/>
          <w:szCs w:val="21"/>
        </w:rPr>
      </w:pPr>
      <w:r>
        <w:rPr>
          <w:rFonts w:hint="eastAsia" w:ascii="宋体" w:hAnsi="宋体" w:eastAsia="宋体" w:cs="宋体"/>
          <w:bCs/>
          <w:color w:val="auto"/>
          <w:sz w:val="21"/>
          <w:szCs w:val="21"/>
        </w:rPr>
        <w:t>八、与本公司单位负责人为同一人或者与本公司存在控股、管理关系的其他单位包括</w:t>
      </w:r>
      <w:r>
        <w:rPr>
          <w:rFonts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r>
        <w:rPr>
          <w:rFonts w:ascii="宋体" w:hAnsi="宋体" w:eastAsia="宋体" w:cs="宋体"/>
          <w:color w:val="auto"/>
          <w:sz w:val="21"/>
          <w:szCs w:val="21"/>
        </w:rPr>
        <w:t>。（注：本条由投标人如实填写，如有，应列出全部满足招标公告资质要求的相关单位的名称；如无，则填写“无”。）</w:t>
      </w:r>
    </w:p>
    <w:p>
      <w:pPr>
        <w:pStyle w:val="25"/>
        <w:rPr>
          <w:rFonts w:ascii="宋体" w:hAnsi="宋体" w:eastAsia="宋体" w:cs="宋体"/>
          <w:color w:val="auto"/>
          <w:sz w:val="21"/>
          <w:szCs w:val="21"/>
        </w:rPr>
      </w:pPr>
      <w:r>
        <w:rPr>
          <w:rFonts w:hint="eastAsia" w:ascii="宋体" w:hAnsi="宋体" w:eastAsia="宋体" w:cs="宋体"/>
          <w:color w:val="auto"/>
          <w:sz w:val="21"/>
          <w:szCs w:val="21"/>
        </w:rPr>
        <w:t>九</w:t>
      </w:r>
      <w:r>
        <w:rPr>
          <w:rFonts w:ascii="宋体" w:hAnsi="宋体" w:eastAsia="宋体" w:cs="宋体"/>
          <w:color w:val="auto"/>
          <w:sz w:val="21"/>
          <w:szCs w:val="21"/>
        </w:rPr>
        <w:t>、</w:t>
      </w:r>
      <w:r>
        <w:rPr>
          <w:rFonts w:hint="eastAsia" w:ascii="宋体" w:hAnsi="宋体" w:eastAsia="宋体" w:cs="宋体"/>
          <w:color w:val="auto"/>
          <w:sz w:val="21"/>
          <w:szCs w:val="21"/>
        </w:rPr>
        <w:t>本公司拟委派专职安全员兼任本工程的工地余泥渣土运输与排放管理员，严格遵守建设工程余泥渣土运输与排放管理制度，执行“一不准进、三不准出”规定，选择合法的余泥渣土运输单位及排放点。</w:t>
      </w:r>
    </w:p>
    <w:p>
      <w:pPr>
        <w:pStyle w:val="25"/>
        <w:rPr>
          <w:rFonts w:ascii="宋体" w:hAnsi="宋体" w:eastAsia="宋体" w:cs="宋体"/>
          <w:color w:val="auto"/>
          <w:sz w:val="21"/>
          <w:szCs w:val="21"/>
        </w:rPr>
      </w:pPr>
      <w:r>
        <w:rPr>
          <w:rFonts w:hint="eastAsia" w:ascii="宋体" w:hAnsi="宋体" w:eastAsia="宋体" w:cs="宋体"/>
          <w:color w:val="auto"/>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5"/>
        <w:rPr>
          <w:rFonts w:ascii="宋体" w:hAnsi="宋体" w:eastAsia="宋体" w:cs="宋体"/>
          <w:color w:val="auto"/>
          <w:sz w:val="21"/>
          <w:szCs w:val="21"/>
        </w:rPr>
      </w:pPr>
      <w:r>
        <w:rPr>
          <w:rFonts w:hint="eastAsia" w:ascii="宋体" w:hAnsi="宋体" w:eastAsia="宋体" w:cs="宋体"/>
          <w:color w:val="auto"/>
          <w:sz w:val="21"/>
          <w:szCs w:val="21"/>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pStyle w:val="25"/>
        <w:jc w:val="left"/>
        <w:rPr>
          <w:rFonts w:ascii="宋体" w:hAnsi="宋体" w:eastAsia="宋体" w:cs="宋体"/>
          <w:color w:val="auto"/>
          <w:sz w:val="21"/>
          <w:szCs w:val="21"/>
        </w:rPr>
      </w:pPr>
      <w:r>
        <w:rPr>
          <w:rFonts w:ascii="宋体" w:hAnsi="宋体" w:eastAsia="宋体" w:cs="宋体"/>
          <w:color w:val="auto"/>
          <w:sz w:val="21"/>
          <w:szCs w:val="21"/>
        </w:rPr>
        <w:t>特此声明</w:t>
      </w:r>
    </w:p>
    <w:p>
      <w:pPr>
        <w:pStyle w:val="26"/>
        <w:ind w:left="629" w:right="1449" w:firstLine="3990" w:firstLineChars="1900"/>
        <w:jc w:val="both"/>
        <w:rPr>
          <w:rFonts w:ascii="宋体" w:hAnsi="宋体" w:eastAsia="宋体" w:cs="宋体"/>
          <w:color w:val="auto"/>
          <w:sz w:val="21"/>
          <w:szCs w:val="21"/>
        </w:rPr>
      </w:pPr>
      <w:r>
        <w:rPr>
          <w:rFonts w:ascii="宋体" w:hAnsi="宋体" w:eastAsia="宋体" w:cs="宋体"/>
          <w:color w:val="auto"/>
          <w:sz w:val="21"/>
          <w:szCs w:val="21"/>
        </w:rPr>
        <w:t>声明企业：</w:t>
      </w:r>
    </w:p>
    <w:p>
      <w:pPr>
        <w:pStyle w:val="25"/>
        <w:ind w:right="1179" w:firstLine="3990" w:firstLineChars="1900"/>
        <w:rPr>
          <w:rFonts w:ascii="宋体" w:hAnsi="宋体" w:eastAsia="宋体" w:cs="宋体"/>
          <w:color w:val="auto"/>
          <w:sz w:val="21"/>
          <w:szCs w:val="21"/>
        </w:rPr>
      </w:pPr>
      <w:r>
        <w:rPr>
          <w:rFonts w:ascii="宋体" w:hAnsi="宋体" w:eastAsia="宋体" w:cs="宋体"/>
          <w:color w:val="auto"/>
          <w:sz w:val="21"/>
          <w:szCs w:val="21"/>
        </w:rPr>
        <w:t>法定代表人签字：</w:t>
      </w:r>
    </w:p>
    <w:p>
      <w:pPr>
        <w:pStyle w:val="25"/>
        <w:ind w:right="1179" w:firstLine="3990" w:firstLineChars="1900"/>
        <w:rPr>
          <w:rFonts w:ascii="宋体" w:hAnsi="宋体" w:eastAsia="宋体" w:cs="宋体"/>
          <w:color w:val="auto"/>
          <w:sz w:val="21"/>
          <w:szCs w:val="21"/>
        </w:rPr>
      </w:pPr>
      <w:r>
        <w:rPr>
          <w:rFonts w:ascii="宋体" w:hAnsi="宋体" w:eastAsia="宋体" w:cs="宋体"/>
          <w:color w:val="auto"/>
          <w:sz w:val="21"/>
          <w:szCs w:val="21"/>
        </w:rPr>
        <w:t>项目负责人签字:</w:t>
      </w:r>
    </w:p>
    <w:p>
      <w:pPr>
        <w:pStyle w:val="25"/>
        <w:ind w:right="879" w:firstLine="3990" w:firstLineChars="1900"/>
        <w:jc w:val="left"/>
        <w:rPr>
          <w:rFonts w:ascii="宋体" w:hAnsi="宋体" w:eastAsia="宋体" w:cs="宋体"/>
          <w:color w:val="auto"/>
          <w:sz w:val="21"/>
          <w:szCs w:val="21"/>
        </w:rPr>
      </w:pPr>
      <w:r>
        <w:rPr>
          <w:rFonts w:ascii="宋体" w:hAnsi="宋体" w:eastAsia="宋体" w:cs="宋体"/>
          <w:color w:val="auto"/>
          <w:sz w:val="21"/>
          <w:szCs w:val="21"/>
        </w:rPr>
        <w:t>技术负责人签字：</w:t>
      </w:r>
    </w:p>
    <w:p>
      <w:pPr>
        <w:pStyle w:val="25"/>
        <w:ind w:right="879" w:firstLine="1890"/>
        <w:jc w:val="right"/>
        <w:rPr>
          <w:rFonts w:ascii="宋体" w:hAnsi="宋体" w:eastAsia="宋体" w:cs="宋体"/>
          <w:color w:val="auto"/>
          <w:sz w:val="21"/>
          <w:szCs w:val="21"/>
        </w:rPr>
      </w:pPr>
      <w:r>
        <w:rPr>
          <w:rFonts w:ascii="宋体" w:hAnsi="宋体" w:eastAsia="宋体" w:cs="宋体"/>
          <w:color w:val="auto"/>
          <w:sz w:val="21"/>
          <w:szCs w:val="21"/>
        </w:rPr>
        <w:t>年   月   日</w:t>
      </w:r>
    </w:p>
    <w:p>
      <w:pPr>
        <w:spacing w:line="360" w:lineRule="auto"/>
        <w:ind w:firstLine="6300" w:firstLineChars="3000"/>
        <w:rPr>
          <w:rFonts w:ascii="宋体" w:hAnsi="宋体" w:cs="宋体"/>
          <w:color w:val="auto"/>
          <w:kern w:val="0"/>
          <w:szCs w:val="21"/>
        </w:rPr>
      </w:pPr>
      <w:r>
        <w:rPr>
          <w:rFonts w:hint="eastAsia" w:ascii="宋体" w:hAnsi="宋体" w:cs="宋体"/>
          <w:color w:val="auto"/>
          <w:kern w:val="0"/>
          <w:szCs w:val="21"/>
        </w:rPr>
        <w:t>（企业公章）</w:t>
      </w:r>
    </w:p>
    <w:p>
      <w:pPr>
        <w:spacing w:line="360" w:lineRule="auto"/>
        <w:rPr>
          <w:rFonts w:ascii="宋体" w:hAnsi="宋体"/>
          <w:color w:val="auto"/>
          <w:szCs w:val="21"/>
          <w:u w:val="single"/>
        </w:rPr>
      </w:pPr>
    </w:p>
    <w:p>
      <w:pPr>
        <w:spacing w:line="360" w:lineRule="auto"/>
        <w:jc w:val="right"/>
        <w:rPr>
          <w:rFonts w:ascii="宋体" w:hAnsi="宋体"/>
          <w:color w:val="auto"/>
          <w:szCs w:val="21"/>
          <w:u w:val="single"/>
        </w:rPr>
      </w:pPr>
      <w:r>
        <w:rPr>
          <w:rFonts w:hint="eastAsia" w:ascii="宋体" w:hAnsi="宋体"/>
          <w:color w:val="auto"/>
          <w:szCs w:val="21"/>
          <w:u w:val="single"/>
        </w:rPr>
        <w:t>注：联合体投标的，本声明由联合体主办方出具，并由联合体主办方签字、盖章即可。</w:t>
      </w:r>
    </w:p>
    <w:p>
      <w:pPr>
        <w:rPr>
          <w:color w:val="auto"/>
        </w:rPr>
      </w:pPr>
    </w:p>
    <w:p>
      <w:pPr>
        <w:widowControl/>
        <w:jc w:val="left"/>
        <w:rPr>
          <w:rFonts w:ascii="宋体" w:hAnsi="宋体" w:cs="宋体"/>
          <w:b/>
          <w:color w:val="auto"/>
        </w:rPr>
      </w:pPr>
      <w:r>
        <w:rPr>
          <w:rFonts w:ascii="宋体" w:hAnsi="宋体" w:cs="宋体"/>
          <w:b/>
          <w:color w:val="auto"/>
        </w:rPr>
        <w:br w:type="page"/>
      </w:r>
    </w:p>
    <w:p>
      <w:pPr>
        <w:spacing w:line="276" w:lineRule="auto"/>
        <w:outlineLvl w:val="0"/>
        <w:rPr>
          <w:rFonts w:ascii="宋体" w:hAnsi="宋体" w:cs="宋体"/>
          <w:b/>
          <w:bCs/>
          <w:color w:val="auto"/>
        </w:rPr>
      </w:pPr>
      <w:r>
        <w:rPr>
          <w:rFonts w:hint="eastAsia" w:ascii="宋体" w:hAnsi="宋体" w:cs="宋体"/>
          <w:b/>
          <w:color w:val="auto"/>
        </w:rPr>
        <w:t>附件二</w:t>
      </w:r>
    </w:p>
    <w:p>
      <w:pPr>
        <w:autoSpaceDE w:val="0"/>
        <w:autoSpaceDN w:val="0"/>
        <w:adjustRightInd w:val="0"/>
        <w:spacing w:line="336" w:lineRule="auto"/>
        <w:jc w:val="center"/>
        <w:outlineLvl w:val="0"/>
        <w:rPr>
          <w:rFonts w:ascii="宋体" w:hAnsi="宋体" w:cs="宋体"/>
          <w:b/>
          <w:bCs/>
          <w:color w:val="auto"/>
        </w:rPr>
      </w:pPr>
      <w:r>
        <w:rPr>
          <w:rFonts w:hint="eastAsia" w:ascii="宋体" w:hAnsi="宋体" w:cs="宋体"/>
          <w:b/>
          <w:bCs/>
          <w:color w:val="auto"/>
          <w:lang w:val="zh-CN"/>
        </w:rPr>
        <w:t>联合体投标协议</w:t>
      </w:r>
      <w:r>
        <w:rPr>
          <w:rFonts w:hint="eastAsia" w:ascii="宋体" w:hAnsi="宋体" w:cs="宋体"/>
          <w:b/>
          <w:bCs/>
          <w:color w:val="auto"/>
        </w:rPr>
        <w:t>书</w:t>
      </w:r>
    </w:p>
    <w:p>
      <w:pPr>
        <w:pStyle w:val="15"/>
        <w:snapToGrid w:val="0"/>
        <w:spacing w:line="300" w:lineRule="auto"/>
        <w:ind w:left="120" w:leftChars="57"/>
        <w:rPr>
          <w:rFonts w:ascii="Times New Roman" w:hAnsi="Times New Roman"/>
          <w:color w:val="auto"/>
          <w:sz w:val="21"/>
          <w:szCs w:val="21"/>
        </w:rPr>
      </w:pPr>
      <w:r>
        <w:rPr>
          <w:rFonts w:ascii="Times New Roman" w:hAnsi="Times New Roman"/>
          <w:color w:val="auto"/>
          <w:sz w:val="21"/>
          <w:szCs w:val="21"/>
        </w:rPr>
        <w:t xml:space="preserve">  （</w:t>
      </w:r>
      <w:r>
        <w:rPr>
          <w:rFonts w:hint="eastAsia" w:ascii="Times New Roman" w:hAnsi="Times New Roman"/>
          <w:color w:val="auto"/>
          <w:sz w:val="21"/>
          <w:szCs w:val="21"/>
        </w:rPr>
        <w:t>联合体</w:t>
      </w:r>
      <w:r>
        <w:rPr>
          <w:rFonts w:ascii="Times New Roman" w:hAnsi="Times New Roman"/>
          <w:color w:val="auto"/>
          <w:sz w:val="21"/>
          <w:szCs w:val="21"/>
        </w:rPr>
        <w:t>主办</w:t>
      </w:r>
      <w:r>
        <w:rPr>
          <w:rFonts w:hint="eastAsia" w:ascii="Times New Roman" w:hAnsi="Times New Roman"/>
          <w:color w:val="auto"/>
          <w:sz w:val="21"/>
          <w:szCs w:val="21"/>
        </w:rPr>
        <w:t>方</w:t>
      </w:r>
      <w:r>
        <w:rPr>
          <w:rFonts w:ascii="Times New Roman" w:hAnsi="Times New Roman"/>
          <w:color w:val="auto"/>
          <w:sz w:val="21"/>
          <w:szCs w:val="21"/>
        </w:rPr>
        <w:t>）</w:t>
      </w:r>
      <w:r>
        <w:rPr>
          <w:rFonts w:ascii="Times New Roman" w:hAnsi="Times New Roman"/>
          <w:color w:val="auto"/>
          <w:sz w:val="21"/>
          <w:szCs w:val="21"/>
          <w:u w:val="single"/>
        </w:rPr>
        <w:t xml:space="preserve">                   、</w:t>
      </w:r>
      <w:r>
        <w:rPr>
          <w:rFonts w:ascii="Times New Roman" w:hAnsi="Times New Roman"/>
          <w:color w:val="auto"/>
          <w:sz w:val="21"/>
          <w:szCs w:val="21"/>
        </w:rPr>
        <w:t>（联合体成员）</w:t>
      </w:r>
      <w:r>
        <w:rPr>
          <w:rFonts w:ascii="Times New Roman" w:hAnsi="Times New Roman"/>
          <w:color w:val="auto"/>
          <w:sz w:val="21"/>
          <w:szCs w:val="21"/>
          <w:u w:val="single"/>
        </w:rPr>
        <w:t xml:space="preserve">        </w:t>
      </w:r>
      <w:r>
        <w:rPr>
          <w:rFonts w:ascii="Times New Roman" w:hAnsi="Times New Roman"/>
          <w:color w:val="auto"/>
          <w:sz w:val="21"/>
          <w:szCs w:val="21"/>
        </w:rPr>
        <w:t>自愿组成联合体，参加</w:t>
      </w:r>
      <w:r>
        <w:rPr>
          <w:rFonts w:ascii="Times New Roman" w:hAnsi="Times New Roman"/>
          <w:color w:val="auto"/>
          <w:sz w:val="21"/>
          <w:szCs w:val="21"/>
          <w:u w:val="single"/>
        </w:rPr>
        <w:t xml:space="preserve">                        </w:t>
      </w:r>
      <w:r>
        <w:rPr>
          <w:rFonts w:ascii="Times New Roman" w:hAnsi="Times New Roman"/>
          <w:color w:val="auto"/>
          <w:sz w:val="21"/>
          <w:szCs w:val="21"/>
        </w:rPr>
        <w:t>投标。现就有关事宜订立协议如下：</w:t>
      </w:r>
    </w:p>
    <w:p>
      <w:pPr>
        <w:pStyle w:val="15"/>
        <w:snapToGrid w:val="0"/>
        <w:spacing w:line="300" w:lineRule="auto"/>
        <w:rPr>
          <w:rFonts w:ascii="Times New Roman" w:hAnsi="Times New Roman"/>
          <w:color w:val="auto"/>
          <w:sz w:val="21"/>
          <w:szCs w:val="21"/>
        </w:rPr>
      </w:pPr>
      <w:r>
        <w:rPr>
          <w:rFonts w:ascii="Times New Roman" w:hAnsi="Times New Roman"/>
          <w:color w:val="auto"/>
          <w:sz w:val="21"/>
          <w:szCs w:val="21"/>
        </w:rPr>
        <w:t>1．</w:t>
      </w:r>
      <w:r>
        <w:rPr>
          <w:rFonts w:ascii="Times New Roman" w:hAnsi="Times New Roman"/>
          <w:color w:val="auto"/>
          <w:sz w:val="21"/>
          <w:szCs w:val="21"/>
          <w:u w:val="single"/>
        </w:rPr>
        <w:t xml:space="preserve">                  </w:t>
      </w:r>
      <w:r>
        <w:rPr>
          <w:rFonts w:ascii="Times New Roman" w:hAnsi="Times New Roman"/>
          <w:color w:val="auto"/>
          <w:sz w:val="21"/>
          <w:szCs w:val="21"/>
        </w:rPr>
        <w:t>为联合体</w:t>
      </w:r>
      <w:r>
        <w:rPr>
          <w:rFonts w:hint="eastAsia" w:ascii="Times New Roman" w:hAnsi="Times New Roman"/>
          <w:color w:val="auto"/>
          <w:sz w:val="21"/>
          <w:szCs w:val="21"/>
        </w:rPr>
        <w:t>主办</w:t>
      </w:r>
      <w:r>
        <w:rPr>
          <w:rFonts w:ascii="Times New Roman" w:hAnsi="Times New Roman"/>
          <w:color w:val="auto"/>
          <w:sz w:val="21"/>
          <w:szCs w:val="21"/>
        </w:rPr>
        <w:t>方,</w:t>
      </w:r>
      <w:r>
        <w:rPr>
          <w:rFonts w:ascii="Times New Roman" w:hAnsi="Times New Roman"/>
          <w:color w:val="auto"/>
          <w:sz w:val="21"/>
          <w:szCs w:val="21"/>
          <w:u w:val="single"/>
        </w:rPr>
        <w:t xml:space="preserve">                </w:t>
      </w:r>
      <w:r>
        <w:rPr>
          <w:rFonts w:ascii="Times New Roman" w:hAnsi="Times New Roman"/>
          <w:color w:val="auto"/>
          <w:sz w:val="21"/>
          <w:szCs w:val="21"/>
        </w:rPr>
        <w:t>为联合体成员；</w:t>
      </w:r>
    </w:p>
    <w:p>
      <w:pPr>
        <w:pStyle w:val="15"/>
        <w:snapToGrid w:val="0"/>
        <w:spacing w:line="300" w:lineRule="auto"/>
        <w:rPr>
          <w:rFonts w:ascii="Times New Roman" w:hAnsi="Times New Roman"/>
          <w:color w:val="auto"/>
          <w:sz w:val="21"/>
          <w:szCs w:val="21"/>
        </w:rPr>
      </w:pPr>
      <w:r>
        <w:rPr>
          <w:rFonts w:ascii="Times New Roman" w:hAnsi="Times New Roman"/>
          <w:color w:val="auto"/>
          <w:sz w:val="21"/>
          <w:szCs w:val="21"/>
        </w:rPr>
        <w:t>2．联合体内部有关事项规定如下：</w:t>
      </w:r>
    </w:p>
    <w:tbl>
      <w:tblPr>
        <w:tblStyle w:val="19"/>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427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203" w:type="dxa"/>
            <w:vAlign w:val="center"/>
          </w:tcPr>
          <w:p>
            <w:pPr>
              <w:pStyle w:val="15"/>
              <w:snapToGrid w:val="0"/>
              <w:spacing w:line="280" w:lineRule="exact"/>
              <w:jc w:val="center"/>
              <w:rPr>
                <w:rFonts w:ascii="Times New Roman" w:hAnsi="Times New Roman"/>
                <w:color w:val="auto"/>
                <w:kern w:val="2"/>
                <w:sz w:val="21"/>
                <w:szCs w:val="21"/>
              </w:rPr>
            </w:pPr>
            <w:r>
              <w:rPr>
                <w:rFonts w:ascii="Times New Roman" w:hAnsi="Times New Roman"/>
                <w:color w:val="auto"/>
                <w:kern w:val="2"/>
                <w:sz w:val="21"/>
                <w:szCs w:val="21"/>
              </w:rPr>
              <w:t>联合体投标人</w:t>
            </w:r>
          </w:p>
        </w:tc>
        <w:tc>
          <w:tcPr>
            <w:tcW w:w="4275" w:type="dxa"/>
            <w:vAlign w:val="center"/>
          </w:tcPr>
          <w:p>
            <w:pPr>
              <w:pStyle w:val="15"/>
              <w:snapToGrid w:val="0"/>
              <w:spacing w:line="280" w:lineRule="exact"/>
              <w:jc w:val="center"/>
              <w:rPr>
                <w:rFonts w:ascii="Times New Roman" w:hAnsi="Times New Roman"/>
                <w:color w:val="auto"/>
                <w:kern w:val="2"/>
                <w:sz w:val="21"/>
                <w:szCs w:val="21"/>
              </w:rPr>
            </w:pPr>
            <w:r>
              <w:rPr>
                <w:rFonts w:ascii="Times New Roman" w:hAnsi="Times New Roman"/>
                <w:color w:val="auto"/>
                <w:kern w:val="2"/>
                <w:sz w:val="21"/>
                <w:szCs w:val="21"/>
              </w:rPr>
              <w:t>承担的工作内容</w:t>
            </w:r>
          </w:p>
        </w:tc>
        <w:tc>
          <w:tcPr>
            <w:tcW w:w="2625" w:type="dxa"/>
            <w:vAlign w:val="center"/>
          </w:tcPr>
          <w:p>
            <w:pPr>
              <w:pStyle w:val="15"/>
              <w:snapToGrid w:val="0"/>
              <w:spacing w:line="280" w:lineRule="exact"/>
              <w:jc w:val="center"/>
              <w:rPr>
                <w:rFonts w:ascii="Times New Roman" w:hAnsi="Times New Roman"/>
                <w:color w:val="auto"/>
                <w:kern w:val="2"/>
                <w:sz w:val="21"/>
                <w:szCs w:val="21"/>
              </w:rPr>
            </w:pPr>
            <w:r>
              <w:rPr>
                <w:rFonts w:ascii="Times New Roman" w:hAnsi="Times New Roman"/>
                <w:color w:val="auto"/>
                <w:kern w:val="2"/>
                <w:sz w:val="21"/>
                <w:szCs w:val="21"/>
              </w:rPr>
              <w:t>具备的资质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203" w:type="dxa"/>
            <w:vAlign w:val="center"/>
          </w:tcPr>
          <w:p>
            <w:pPr>
              <w:pStyle w:val="15"/>
              <w:snapToGrid w:val="0"/>
              <w:spacing w:line="280" w:lineRule="exact"/>
              <w:jc w:val="center"/>
              <w:rPr>
                <w:rFonts w:ascii="Times New Roman" w:hAnsi="Times New Roman"/>
                <w:color w:val="auto"/>
                <w:kern w:val="2"/>
                <w:sz w:val="21"/>
                <w:szCs w:val="21"/>
              </w:rPr>
            </w:pPr>
            <w:r>
              <w:rPr>
                <w:rFonts w:ascii="Times New Roman" w:hAnsi="Times New Roman"/>
                <w:color w:val="auto"/>
                <w:kern w:val="2"/>
                <w:sz w:val="21"/>
                <w:szCs w:val="21"/>
              </w:rPr>
              <w:t>联合体</w:t>
            </w:r>
            <w:r>
              <w:rPr>
                <w:rFonts w:hint="eastAsia" w:ascii="Times New Roman" w:hAnsi="Times New Roman"/>
                <w:color w:val="auto"/>
                <w:sz w:val="21"/>
                <w:szCs w:val="21"/>
              </w:rPr>
              <w:t>主办</w:t>
            </w:r>
            <w:r>
              <w:rPr>
                <w:rFonts w:ascii="Times New Roman" w:hAnsi="Times New Roman"/>
                <w:color w:val="auto"/>
                <w:kern w:val="2"/>
                <w:sz w:val="21"/>
                <w:szCs w:val="21"/>
              </w:rPr>
              <w:t>方</w:t>
            </w:r>
          </w:p>
        </w:tc>
        <w:tc>
          <w:tcPr>
            <w:tcW w:w="4275" w:type="dxa"/>
            <w:vAlign w:val="center"/>
          </w:tcPr>
          <w:p>
            <w:pPr>
              <w:pStyle w:val="15"/>
              <w:snapToGrid w:val="0"/>
              <w:spacing w:line="280" w:lineRule="exact"/>
              <w:jc w:val="center"/>
              <w:rPr>
                <w:rFonts w:ascii="Times New Roman" w:hAnsi="Times New Roman"/>
                <w:color w:val="auto"/>
                <w:kern w:val="2"/>
                <w:sz w:val="21"/>
                <w:szCs w:val="21"/>
              </w:rPr>
            </w:pPr>
          </w:p>
        </w:tc>
        <w:tc>
          <w:tcPr>
            <w:tcW w:w="2625" w:type="dxa"/>
            <w:vAlign w:val="center"/>
          </w:tcPr>
          <w:p>
            <w:pPr>
              <w:pStyle w:val="15"/>
              <w:snapToGrid w:val="0"/>
              <w:spacing w:line="280" w:lineRule="exact"/>
              <w:jc w:val="center"/>
              <w:rPr>
                <w:rFonts w:ascii="Times New Roman" w:hAnsi="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203" w:type="dxa"/>
            <w:vAlign w:val="center"/>
          </w:tcPr>
          <w:p>
            <w:pPr>
              <w:pStyle w:val="15"/>
              <w:snapToGrid w:val="0"/>
              <w:spacing w:line="280" w:lineRule="exact"/>
              <w:jc w:val="center"/>
              <w:rPr>
                <w:rFonts w:ascii="Times New Roman" w:hAnsi="Times New Roman"/>
                <w:color w:val="auto"/>
                <w:kern w:val="2"/>
                <w:sz w:val="21"/>
                <w:szCs w:val="21"/>
              </w:rPr>
            </w:pPr>
            <w:r>
              <w:rPr>
                <w:rFonts w:ascii="Times New Roman" w:hAnsi="Times New Roman"/>
                <w:color w:val="auto"/>
                <w:kern w:val="2"/>
                <w:sz w:val="21"/>
                <w:szCs w:val="21"/>
              </w:rPr>
              <w:t>联合体成员方</w:t>
            </w:r>
          </w:p>
        </w:tc>
        <w:tc>
          <w:tcPr>
            <w:tcW w:w="4275" w:type="dxa"/>
            <w:vAlign w:val="center"/>
          </w:tcPr>
          <w:p>
            <w:pPr>
              <w:pStyle w:val="15"/>
              <w:snapToGrid w:val="0"/>
              <w:spacing w:line="280" w:lineRule="exact"/>
              <w:jc w:val="center"/>
              <w:rPr>
                <w:rFonts w:ascii="Times New Roman" w:hAnsi="Times New Roman"/>
                <w:color w:val="auto"/>
                <w:kern w:val="2"/>
                <w:sz w:val="21"/>
                <w:szCs w:val="21"/>
              </w:rPr>
            </w:pPr>
          </w:p>
        </w:tc>
        <w:tc>
          <w:tcPr>
            <w:tcW w:w="2625" w:type="dxa"/>
            <w:vAlign w:val="center"/>
          </w:tcPr>
          <w:p>
            <w:pPr>
              <w:pStyle w:val="15"/>
              <w:snapToGrid w:val="0"/>
              <w:spacing w:line="280" w:lineRule="exact"/>
              <w:jc w:val="center"/>
              <w:rPr>
                <w:rFonts w:ascii="Times New Roman" w:hAnsi="Times New Roman"/>
                <w:color w:val="auto"/>
                <w:kern w:val="2"/>
                <w:sz w:val="21"/>
                <w:szCs w:val="21"/>
              </w:rPr>
            </w:pPr>
          </w:p>
        </w:tc>
      </w:tr>
    </w:tbl>
    <w:p>
      <w:pPr>
        <w:pStyle w:val="15"/>
        <w:snapToGrid w:val="0"/>
        <w:spacing w:before="156" w:beforeLines="50" w:line="300" w:lineRule="auto"/>
        <w:rPr>
          <w:rFonts w:ascii="Times New Roman" w:hAnsi="Times New Roman"/>
          <w:color w:val="auto"/>
          <w:sz w:val="21"/>
          <w:szCs w:val="21"/>
        </w:rPr>
      </w:pPr>
      <w:r>
        <w:rPr>
          <w:rFonts w:ascii="Times New Roman" w:hAnsi="Times New Roman"/>
          <w:color w:val="auto"/>
          <w:sz w:val="21"/>
          <w:szCs w:val="21"/>
        </w:rPr>
        <w:t>（1）联合体由</w:t>
      </w:r>
      <w:r>
        <w:rPr>
          <w:rFonts w:hint="eastAsia" w:ascii="Times New Roman" w:hAnsi="Times New Roman"/>
          <w:color w:val="auto"/>
          <w:sz w:val="21"/>
          <w:szCs w:val="21"/>
        </w:rPr>
        <w:t>主办</w:t>
      </w:r>
      <w:r>
        <w:rPr>
          <w:rFonts w:ascii="Times New Roman" w:hAnsi="Times New Roman"/>
          <w:color w:val="auto"/>
          <w:sz w:val="21"/>
          <w:szCs w:val="21"/>
        </w:rPr>
        <w:t>方负责与招标人联系。</w:t>
      </w:r>
    </w:p>
    <w:p>
      <w:pPr>
        <w:pStyle w:val="15"/>
        <w:snapToGrid w:val="0"/>
        <w:spacing w:line="300" w:lineRule="auto"/>
        <w:rPr>
          <w:rFonts w:ascii="Times New Roman" w:hAnsi="Times New Roman"/>
          <w:color w:val="auto"/>
          <w:sz w:val="21"/>
          <w:szCs w:val="21"/>
        </w:rPr>
      </w:pPr>
      <w:r>
        <w:rPr>
          <w:rFonts w:ascii="Times New Roman" w:hAnsi="Times New Roman"/>
          <w:color w:val="auto"/>
          <w:sz w:val="21"/>
          <w:szCs w:val="21"/>
        </w:rPr>
        <w:t>（2）投标工作由联合体</w:t>
      </w:r>
      <w:r>
        <w:rPr>
          <w:rFonts w:hint="eastAsia" w:ascii="Times New Roman" w:hAnsi="Times New Roman"/>
          <w:color w:val="auto"/>
          <w:sz w:val="21"/>
          <w:szCs w:val="21"/>
        </w:rPr>
        <w:t>主办</w:t>
      </w:r>
      <w:r>
        <w:rPr>
          <w:rFonts w:ascii="Times New Roman" w:hAnsi="Times New Roman"/>
          <w:color w:val="auto"/>
          <w:sz w:val="21"/>
          <w:szCs w:val="21"/>
        </w:rPr>
        <w:t>方负责，由联合体组成的投标小组具体实施；联合体</w:t>
      </w:r>
      <w:r>
        <w:rPr>
          <w:rFonts w:hint="eastAsia" w:ascii="Times New Roman" w:hAnsi="Times New Roman"/>
          <w:color w:val="auto"/>
          <w:sz w:val="21"/>
          <w:szCs w:val="21"/>
        </w:rPr>
        <w:t>主办</w:t>
      </w:r>
      <w:r>
        <w:rPr>
          <w:rFonts w:ascii="Times New Roman" w:hAnsi="Times New Roman"/>
          <w:color w:val="auto"/>
          <w:sz w:val="21"/>
          <w:szCs w:val="21"/>
        </w:rPr>
        <w:t>方代表联合体办理投标事宜，联合体</w:t>
      </w:r>
      <w:r>
        <w:rPr>
          <w:rFonts w:hint="eastAsia" w:ascii="Times New Roman" w:hAnsi="Times New Roman"/>
          <w:color w:val="auto"/>
          <w:sz w:val="21"/>
          <w:szCs w:val="21"/>
        </w:rPr>
        <w:t>主办</w:t>
      </w:r>
      <w:r>
        <w:rPr>
          <w:rFonts w:ascii="Times New Roman" w:hAnsi="Times New Roman"/>
          <w:color w:val="auto"/>
          <w:sz w:val="21"/>
          <w:szCs w:val="21"/>
        </w:rPr>
        <w:t>方在投标文件中的所有承诺均代表了联合体各成员。</w:t>
      </w:r>
    </w:p>
    <w:p>
      <w:pPr>
        <w:pStyle w:val="15"/>
        <w:snapToGrid w:val="0"/>
        <w:spacing w:line="300" w:lineRule="auto"/>
        <w:rPr>
          <w:rFonts w:ascii="Times New Roman" w:hAnsi="Times New Roman"/>
          <w:color w:val="auto"/>
          <w:sz w:val="21"/>
          <w:szCs w:val="21"/>
        </w:rPr>
      </w:pPr>
      <w:r>
        <w:rPr>
          <w:rFonts w:ascii="Times New Roman" w:hAnsi="Times New Roman"/>
          <w:color w:val="auto"/>
          <w:sz w:val="21"/>
          <w:szCs w:val="21"/>
        </w:rPr>
        <w:t>（3）联合体将严格按照招标文件的各项要求，递交投标文件，切实执行一切合同文件，共同承担</w:t>
      </w:r>
      <w:r>
        <w:rPr>
          <w:rFonts w:hint="eastAsia" w:ascii="Times New Roman" w:hAnsi="Times New Roman"/>
          <w:color w:val="auto"/>
          <w:sz w:val="21"/>
          <w:szCs w:val="21"/>
        </w:rPr>
        <w:t>招标文件及</w:t>
      </w:r>
      <w:r>
        <w:rPr>
          <w:rFonts w:ascii="Times New Roman" w:hAnsi="Times New Roman"/>
          <w:color w:val="auto"/>
          <w:sz w:val="21"/>
          <w:szCs w:val="21"/>
        </w:rPr>
        <w:t>合同规定的一切义务和责任，同时按照内部职责的划分，承担自身所负的责任和风险，在法律方面</w:t>
      </w:r>
      <w:r>
        <w:rPr>
          <w:rFonts w:hint="eastAsia" w:ascii="Times New Roman" w:hAnsi="Times New Roman"/>
          <w:color w:val="auto"/>
          <w:sz w:val="21"/>
          <w:szCs w:val="21"/>
        </w:rPr>
        <w:t>对外</w:t>
      </w:r>
      <w:r>
        <w:rPr>
          <w:rFonts w:ascii="Times New Roman" w:hAnsi="Times New Roman"/>
          <w:color w:val="auto"/>
          <w:sz w:val="21"/>
          <w:szCs w:val="21"/>
        </w:rPr>
        <w:t>承担连带责任。</w:t>
      </w:r>
    </w:p>
    <w:p>
      <w:pPr>
        <w:pStyle w:val="15"/>
        <w:snapToGrid w:val="0"/>
        <w:spacing w:line="300" w:lineRule="auto"/>
        <w:rPr>
          <w:rFonts w:ascii="Times New Roman" w:hAnsi="Times New Roman"/>
          <w:color w:val="auto"/>
          <w:sz w:val="21"/>
          <w:szCs w:val="21"/>
        </w:rPr>
      </w:pPr>
      <w:r>
        <w:rPr>
          <w:rFonts w:ascii="Times New Roman" w:hAnsi="Times New Roman"/>
          <w:color w:val="auto"/>
          <w:sz w:val="21"/>
          <w:szCs w:val="21"/>
        </w:rPr>
        <w:t>（4）如中标，联合体内部将遵守以下规定：</w:t>
      </w:r>
    </w:p>
    <w:p>
      <w:pPr>
        <w:pStyle w:val="15"/>
        <w:snapToGrid w:val="0"/>
        <w:spacing w:line="300" w:lineRule="auto"/>
        <w:rPr>
          <w:rFonts w:ascii="Times New Roman" w:hAnsi="Times New Roman"/>
          <w:color w:val="auto"/>
          <w:sz w:val="21"/>
          <w:szCs w:val="21"/>
        </w:rPr>
      </w:pPr>
      <w:r>
        <w:rPr>
          <w:rFonts w:ascii="Times New Roman" w:hAnsi="Times New Roman"/>
          <w:color w:val="auto"/>
          <w:sz w:val="21"/>
          <w:szCs w:val="21"/>
        </w:rPr>
        <w:t>a．联合体</w:t>
      </w:r>
      <w:r>
        <w:rPr>
          <w:rFonts w:hint="eastAsia" w:ascii="Times New Roman" w:hAnsi="Times New Roman"/>
          <w:color w:val="auto"/>
          <w:sz w:val="21"/>
          <w:szCs w:val="21"/>
        </w:rPr>
        <w:t>主办</w:t>
      </w:r>
      <w:r>
        <w:rPr>
          <w:rFonts w:ascii="Times New Roman" w:hAnsi="Times New Roman"/>
          <w:color w:val="auto"/>
          <w:sz w:val="21"/>
          <w:szCs w:val="21"/>
        </w:rPr>
        <w:t>方和成员共同与招标人签订合同书，并就中标项目向招标人负有连带的和各自的法律责任；</w:t>
      </w:r>
    </w:p>
    <w:p>
      <w:pPr>
        <w:pStyle w:val="15"/>
        <w:snapToGrid w:val="0"/>
        <w:spacing w:line="300" w:lineRule="auto"/>
        <w:rPr>
          <w:rFonts w:ascii="Times New Roman" w:hAnsi="Times New Roman"/>
          <w:color w:val="auto"/>
          <w:sz w:val="21"/>
          <w:szCs w:val="21"/>
        </w:rPr>
      </w:pPr>
      <w:r>
        <w:rPr>
          <w:rFonts w:ascii="Times New Roman" w:hAnsi="Times New Roman"/>
          <w:color w:val="auto"/>
          <w:sz w:val="21"/>
          <w:szCs w:val="21"/>
        </w:rPr>
        <w:t>b．联合体</w:t>
      </w:r>
      <w:r>
        <w:rPr>
          <w:rFonts w:hint="eastAsia" w:ascii="Times New Roman" w:hAnsi="Times New Roman"/>
          <w:color w:val="auto"/>
          <w:sz w:val="21"/>
          <w:szCs w:val="21"/>
        </w:rPr>
        <w:t>主办</w:t>
      </w:r>
      <w:r>
        <w:rPr>
          <w:rFonts w:ascii="Times New Roman" w:hAnsi="Times New Roman"/>
          <w:color w:val="auto"/>
          <w:sz w:val="21"/>
          <w:szCs w:val="21"/>
        </w:rPr>
        <w:t>方代表联合体成员承担责任和接受招标人的指令、指示和通知。</w:t>
      </w:r>
    </w:p>
    <w:p>
      <w:pPr>
        <w:pStyle w:val="15"/>
        <w:snapToGrid w:val="0"/>
        <w:spacing w:line="300" w:lineRule="auto"/>
        <w:rPr>
          <w:rFonts w:ascii="Times New Roman" w:hAnsi="Times New Roman"/>
          <w:color w:val="auto"/>
          <w:sz w:val="21"/>
          <w:szCs w:val="21"/>
        </w:rPr>
      </w:pPr>
      <w:r>
        <w:rPr>
          <w:rFonts w:ascii="Times New Roman" w:hAnsi="Times New Roman"/>
          <w:color w:val="auto"/>
          <w:sz w:val="21"/>
          <w:szCs w:val="21"/>
        </w:rPr>
        <w:t>（5）投标工作和联合体在中标后工程实施过程中的有关费用按各自承担的工作量分摊。</w:t>
      </w:r>
    </w:p>
    <w:p>
      <w:pPr>
        <w:pStyle w:val="15"/>
        <w:snapToGrid w:val="0"/>
        <w:spacing w:line="300" w:lineRule="auto"/>
        <w:rPr>
          <w:rFonts w:ascii="Times New Roman" w:hAnsi="Times New Roman"/>
          <w:color w:val="auto"/>
          <w:sz w:val="21"/>
          <w:szCs w:val="21"/>
        </w:rPr>
      </w:pPr>
      <w:r>
        <w:rPr>
          <w:rFonts w:ascii="Times New Roman" w:hAnsi="Times New Roman"/>
          <w:color w:val="auto"/>
          <w:sz w:val="21"/>
          <w:szCs w:val="21"/>
        </w:rPr>
        <w:t>3．本协议书自签署之日起生效，在上述（4）a所述的合同书规定的期限之后自行失效；如中标后，联合体内部另有协议的，联合体</w:t>
      </w:r>
      <w:r>
        <w:rPr>
          <w:rFonts w:hint="eastAsia" w:ascii="Times New Roman" w:hAnsi="Times New Roman"/>
          <w:color w:val="auto"/>
          <w:sz w:val="21"/>
          <w:szCs w:val="21"/>
        </w:rPr>
        <w:t>主办</w:t>
      </w:r>
      <w:r>
        <w:rPr>
          <w:rFonts w:ascii="Times New Roman" w:hAnsi="Times New Roman"/>
          <w:color w:val="auto"/>
          <w:sz w:val="21"/>
          <w:szCs w:val="21"/>
        </w:rPr>
        <w:t>方应将该协议书送交招标人。</w:t>
      </w:r>
    </w:p>
    <w:p>
      <w:pPr>
        <w:pStyle w:val="15"/>
        <w:snapToGrid w:val="0"/>
        <w:spacing w:line="300" w:lineRule="auto"/>
        <w:rPr>
          <w:rFonts w:ascii="Times New Roman" w:hAnsi="Times New Roman"/>
          <w:color w:val="auto"/>
          <w:sz w:val="21"/>
          <w:szCs w:val="21"/>
        </w:rPr>
      </w:pPr>
      <w:r>
        <w:rPr>
          <w:rFonts w:ascii="Times New Roman" w:hAnsi="Times New Roman"/>
          <w:color w:val="auto"/>
          <w:sz w:val="21"/>
          <w:szCs w:val="21"/>
        </w:rPr>
        <w:t>4．本协议书正本一式</w:t>
      </w:r>
      <w:r>
        <w:rPr>
          <w:rFonts w:ascii="Times New Roman" w:hAnsi="Times New Roman"/>
          <w:color w:val="auto"/>
          <w:sz w:val="21"/>
          <w:szCs w:val="21"/>
          <w:u w:val="single"/>
        </w:rPr>
        <w:t xml:space="preserve">   </w:t>
      </w:r>
      <w:r>
        <w:rPr>
          <w:rFonts w:ascii="Times New Roman" w:hAnsi="Times New Roman"/>
          <w:color w:val="auto"/>
          <w:sz w:val="21"/>
          <w:szCs w:val="21"/>
        </w:rPr>
        <w:t>份，联合体成员各</w:t>
      </w:r>
      <w:r>
        <w:rPr>
          <w:rFonts w:ascii="Times New Roman" w:hAnsi="Times New Roman"/>
          <w:color w:val="auto"/>
          <w:sz w:val="21"/>
          <w:szCs w:val="21"/>
          <w:u w:val="single"/>
        </w:rPr>
        <w:t xml:space="preserve">   </w:t>
      </w:r>
      <w:r>
        <w:rPr>
          <w:rFonts w:ascii="Times New Roman" w:hAnsi="Times New Roman"/>
          <w:color w:val="auto"/>
          <w:sz w:val="21"/>
          <w:szCs w:val="21"/>
        </w:rPr>
        <w:t>份。</w:t>
      </w:r>
    </w:p>
    <w:p>
      <w:pPr>
        <w:pStyle w:val="15"/>
        <w:snapToGrid w:val="0"/>
        <w:spacing w:line="280" w:lineRule="exact"/>
        <w:rPr>
          <w:rFonts w:ascii="Times New Roman" w:hAnsi="Times New Roman"/>
          <w:color w:val="auto"/>
          <w:sz w:val="21"/>
          <w:szCs w:val="21"/>
        </w:rPr>
      </w:pPr>
    </w:p>
    <w:p>
      <w:pPr>
        <w:pStyle w:val="15"/>
        <w:snapToGrid w:val="0"/>
        <w:spacing w:line="280" w:lineRule="exact"/>
        <w:rPr>
          <w:rFonts w:ascii="Times New Roman" w:hAnsi="Times New Roman"/>
          <w:color w:val="auto"/>
          <w:sz w:val="21"/>
          <w:szCs w:val="21"/>
        </w:rPr>
      </w:pPr>
      <w:r>
        <w:rPr>
          <w:rFonts w:hint="eastAsia" w:ascii="Times New Roman" w:hAnsi="Times New Roman"/>
          <w:color w:val="auto"/>
          <w:sz w:val="21"/>
          <w:szCs w:val="21"/>
        </w:rPr>
        <w:t>联合体</w:t>
      </w:r>
      <w:r>
        <w:rPr>
          <w:rFonts w:ascii="Times New Roman" w:hAnsi="Times New Roman"/>
          <w:color w:val="auto"/>
          <w:sz w:val="21"/>
          <w:szCs w:val="21"/>
        </w:rPr>
        <w:t>主办方名称：</w:t>
      </w:r>
      <w:r>
        <w:rPr>
          <w:rFonts w:ascii="Times New Roman" w:hAnsi="Times New Roman"/>
          <w:color w:val="auto"/>
          <w:sz w:val="21"/>
          <w:szCs w:val="21"/>
          <w:u w:val="single"/>
        </w:rPr>
        <w:t xml:space="preserve">          </w:t>
      </w:r>
      <w:r>
        <w:rPr>
          <w:rFonts w:ascii="Times New Roman" w:hAnsi="Times New Roman"/>
          <w:color w:val="auto"/>
          <w:sz w:val="21"/>
          <w:szCs w:val="21"/>
        </w:rPr>
        <w:t>（盖章）        联合体成员名称：</w:t>
      </w:r>
      <w:r>
        <w:rPr>
          <w:rFonts w:ascii="Times New Roman" w:hAnsi="Times New Roman"/>
          <w:color w:val="auto"/>
          <w:sz w:val="21"/>
          <w:szCs w:val="21"/>
          <w:u w:val="single"/>
        </w:rPr>
        <w:t xml:space="preserve">          </w:t>
      </w:r>
      <w:r>
        <w:rPr>
          <w:rFonts w:ascii="Times New Roman" w:hAnsi="Times New Roman"/>
          <w:color w:val="auto"/>
          <w:sz w:val="21"/>
          <w:szCs w:val="21"/>
        </w:rPr>
        <w:t xml:space="preserve">（盖章）  </w:t>
      </w:r>
    </w:p>
    <w:p>
      <w:pPr>
        <w:pStyle w:val="15"/>
        <w:snapToGrid w:val="0"/>
        <w:spacing w:line="280" w:lineRule="exact"/>
        <w:rPr>
          <w:rFonts w:ascii="Times New Roman" w:hAnsi="Times New Roman"/>
          <w:color w:val="auto"/>
          <w:sz w:val="21"/>
          <w:szCs w:val="21"/>
        </w:rPr>
      </w:pPr>
      <w:r>
        <w:rPr>
          <w:rFonts w:ascii="Times New Roman" w:hAnsi="Times New Roman"/>
          <w:color w:val="auto"/>
          <w:sz w:val="21"/>
          <w:szCs w:val="21"/>
        </w:rPr>
        <w:t xml:space="preserve">  </w:t>
      </w:r>
    </w:p>
    <w:p>
      <w:pPr>
        <w:pStyle w:val="15"/>
        <w:snapToGrid w:val="0"/>
        <w:spacing w:line="280" w:lineRule="exact"/>
        <w:rPr>
          <w:rFonts w:ascii="Times New Roman" w:hAnsi="Times New Roman"/>
          <w:color w:val="auto"/>
          <w:sz w:val="21"/>
          <w:szCs w:val="21"/>
        </w:rPr>
      </w:pPr>
      <w:r>
        <w:rPr>
          <w:rFonts w:ascii="Times New Roman" w:hAnsi="Times New Roman"/>
          <w:color w:val="auto"/>
          <w:sz w:val="21"/>
          <w:szCs w:val="21"/>
        </w:rPr>
        <w:t>法定代表人：</w:t>
      </w:r>
      <w:r>
        <w:rPr>
          <w:rFonts w:ascii="Times New Roman" w:hAnsi="Times New Roman"/>
          <w:color w:val="auto"/>
          <w:sz w:val="21"/>
          <w:szCs w:val="21"/>
          <w:u w:val="single"/>
        </w:rPr>
        <w:t xml:space="preserve">       </w:t>
      </w:r>
      <w:r>
        <w:rPr>
          <w:rFonts w:ascii="Times New Roman" w:hAnsi="Times New Roman"/>
          <w:color w:val="auto"/>
          <w:sz w:val="21"/>
          <w:szCs w:val="21"/>
        </w:rPr>
        <w:t>（签字或盖章）           法定代表人：</w:t>
      </w:r>
      <w:r>
        <w:rPr>
          <w:rFonts w:ascii="Times New Roman" w:hAnsi="Times New Roman"/>
          <w:color w:val="auto"/>
          <w:sz w:val="21"/>
          <w:szCs w:val="21"/>
          <w:u w:val="single"/>
        </w:rPr>
        <w:t xml:space="preserve">       </w:t>
      </w:r>
      <w:r>
        <w:rPr>
          <w:rFonts w:ascii="Times New Roman" w:hAnsi="Times New Roman"/>
          <w:color w:val="auto"/>
          <w:sz w:val="21"/>
          <w:szCs w:val="21"/>
        </w:rPr>
        <w:t xml:space="preserve"> （签字或盖章）</w:t>
      </w:r>
    </w:p>
    <w:p>
      <w:pPr>
        <w:pStyle w:val="15"/>
        <w:snapToGrid w:val="0"/>
        <w:spacing w:line="280" w:lineRule="exact"/>
        <w:rPr>
          <w:rFonts w:ascii="Times New Roman" w:hAnsi="Times New Roman"/>
          <w:color w:val="auto"/>
          <w:sz w:val="21"/>
          <w:szCs w:val="21"/>
        </w:rPr>
      </w:pPr>
    </w:p>
    <w:p>
      <w:pPr>
        <w:pStyle w:val="15"/>
        <w:snapToGrid w:val="0"/>
        <w:spacing w:line="280" w:lineRule="exact"/>
        <w:rPr>
          <w:rFonts w:ascii="Times New Roman" w:hAnsi="Times New Roman"/>
          <w:color w:val="auto"/>
          <w:sz w:val="21"/>
          <w:szCs w:val="21"/>
        </w:rPr>
      </w:pPr>
      <w:r>
        <w:rPr>
          <w:rFonts w:ascii="Times New Roman" w:hAnsi="Times New Roman"/>
          <w:color w:val="auto"/>
          <w:sz w:val="21"/>
          <w:szCs w:val="21"/>
        </w:rPr>
        <w:t xml:space="preserve">           年    月    日                              年   月    日</w:t>
      </w:r>
    </w:p>
    <w:p>
      <w:pPr>
        <w:pStyle w:val="32"/>
        <w:ind w:firstLine="420"/>
        <w:rPr>
          <w:rFonts w:eastAsia="宋体"/>
          <w:color w:val="auto"/>
          <w:sz w:val="21"/>
          <w:szCs w:val="21"/>
        </w:rPr>
      </w:pPr>
    </w:p>
    <w:p>
      <w:pPr>
        <w:pStyle w:val="32"/>
        <w:ind w:firstLine="420"/>
        <w:rPr>
          <w:rFonts w:eastAsia="宋体"/>
          <w:color w:val="auto"/>
          <w:sz w:val="21"/>
          <w:szCs w:val="21"/>
        </w:rPr>
      </w:pPr>
    </w:p>
    <w:p>
      <w:pPr>
        <w:widowControl/>
        <w:shd w:val="clear" w:color="auto" w:fill="FFFFFF"/>
        <w:snapToGrid w:val="0"/>
        <w:jc w:val="left"/>
        <w:rPr>
          <w:rFonts w:ascii="宋体" w:hAnsi="宋体"/>
          <w:color w:val="auto"/>
        </w:rPr>
      </w:pPr>
    </w:p>
    <w:p>
      <w:pPr>
        <w:rPr>
          <w:color w:val="auto"/>
        </w:rPr>
      </w:pPr>
      <w:r>
        <w:rPr>
          <w:rFonts w:hint="eastAsia" w:ascii="宋体" w:hAnsi="宋体" w:cs="宋体"/>
          <w:b/>
          <w:color w:val="auto"/>
        </w:rPr>
        <w:t xml:space="preserve"> </w:t>
      </w:r>
    </w:p>
    <w:sectPr>
      <w:footerReference r:id="rId3" w:type="default"/>
      <w:footerReference r:id="rId4" w:type="even"/>
      <w:pgSz w:w="11906" w:h="16838"/>
      <w:pgMar w:top="1418" w:right="1247" w:bottom="1531" w:left="1247"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15</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YWJkNTg5NWFmNjE1M2Y3N2JkYTU0OTRlZmYyMTQifQ=="/>
  </w:docVars>
  <w:rsids>
    <w:rsidRoot w:val="15BF28AB"/>
    <w:rsid w:val="0000266C"/>
    <w:rsid w:val="00007D6F"/>
    <w:rsid w:val="00012CA9"/>
    <w:rsid w:val="0002285D"/>
    <w:rsid w:val="00066C9B"/>
    <w:rsid w:val="00070693"/>
    <w:rsid w:val="00093496"/>
    <w:rsid w:val="00095C68"/>
    <w:rsid w:val="000A2949"/>
    <w:rsid w:val="000B1F47"/>
    <w:rsid w:val="000D1CFF"/>
    <w:rsid w:val="000E4FD5"/>
    <w:rsid w:val="000F4365"/>
    <w:rsid w:val="00106901"/>
    <w:rsid w:val="00160932"/>
    <w:rsid w:val="00166C7C"/>
    <w:rsid w:val="00224D47"/>
    <w:rsid w:val="002361F4"/>
    <w:rsid w:val="00244802"/>
    <w:rsid w:val="002479CA"/>
    <w:rsid w:val="0027101D"/>
    <w:rsid w:val="00280A5F"/>
    <w:rsid w:val="002824CC"/>
    <w:rsid w:val="002A0185"/>
    <w:rsid w:val="002B2BE7"/>
    <w:rsid w:val="002C4C10"/>
    <w:rsid w:val="002F5E14"/>
    <w:rsid w:val="003101D0"/>
    <w:rsid w:val="0033424A"/>
    <w:rsid w:val="00351F65"/>
    <w:rsid w:val="00356EB7"/>
    <w:rsid w:val="003A2D7A"/>
    <w:rsid w:val="003A76AC"/>
    <w:rsid w:val="003B5998"/>
    <w:rsid w:val="003D106F"/>
    <w:rsid w:val="003D4AA0"/>
    <w:rsid w:val="003D6E59"/>
    <w:rsid w:val="003E0DD4"/>
    <w:rsid w:val="003F60BC"/>
    <w:rsid w:val="004159D2"/>
    <w:rsid w:val="00431EA9"/>
    <w:rsid w:val="00455C5D"/>
    <w:rsid w:val="00473199"/>
    <w:rsid w:val="0048564F"/>
    <w:rsid w:val="0049519F"/>
    <w:rsid w:val="004C7CBA"/>
    <w:rsid w:val="00506DFD"/>
    <w:rsid w:val="005341F4"/>
    <w:rsid w:val="00573B06"/>
    <w:rsid w:val="005846B1"/>
    <w:rsid w:val="005A1E06"/>
    <w:rsid w:val="005A52CE"/>
    <w:rsid w:val="005C29A0"/>
    <w:rsid w:val="0060344C"/>
    <w:rsid w:val="00646B72"/>
    <w:rsid w:val="006C48F2"/>
    <w:rsid w:val="006E03D3"/>
    <w:rsid w:val="0072709F"/>
    <w:rsid w:val="00740395"/>
    <w:rsid w:val="007456A5"/>
    <w:rsid w:val="00766E11"/>
    <w:rsid w:val="00777D8F"/>
    <w:rsid w:val="00790E8F"/>
    <w:rsid w:val="007D6A96"/>
    <w:rsid w:val="007E16EB"/>
    <w:rsid w:val="0080223E"/>
    <w:rsid w:val="008373AE"/>
    <w:rsid w:val="008611AC"/>
    <w:rsid w:val="00894384"/>
    <w:rsid w:val="008A2D25"/>
    <w:rsid w:val="008B6770"/>
    <w:rsid w:val="008E32DB"/>
    <w:rsid w:val="008F5086"/>
    <w:rsid w:val="00900647"/>
    <w:rsid w:val="0092229A"/>
    <w:rsid w:val="0092710C"/>
    <w:rsid w:val="009561D7"/>
    <w:rsid w:val="009C1914"/>
    <w:rsid w:val="009C3467"/>
    <w:rsid w:val="00A34590"/>
    <w:rsid w:val="00A37A17"/>
    <w:rsid w:val="00A76818"/>
    <w:rsid w:val="00A77FA1"/>
    <w:rsid w:val="00AB3EE2"/>
    <w:rsid w:val="00AE0E67"/>
    <w:rsid w:val="00AE350F"/>
    <w:rsid w:val="00B0046C"/>
    <w:rsid w:val="00B00D8E"/>
    <w:rsid w:val="00B46E90"/>
    <w:rsid w:val="00B47CF2"/>
    <w:rsid w:val="00B77B45"/>
    <w:rsid w:val="00B8261F"/>
    <w:rsid w:val="00B85B36"/>
    <w:rsid w:val="00B86D0A"/>
    <w:rsid w:val="00BA25E8"/>
    <w:rsid w:val="00BB3AED"/>
    <w:rsid w:val="00C17777"/>
    <w:rsid w:val="00C209CE"/>
    <w:rsid w:val="00C34790"/>
    <w:rsid w:val="00C71750"/>
    <w:rsid w:val="00C96214"/>
    <w:rsid w:val="00CA12EC"/>
    <w:rsid w:val="00CB1396"/>
    <w:rsid w:val="00CD4DE9"/>
    <w:rsid w:val="00CE349B"/>
    <w:rsid w:val="00D05EF9"/>
    <w:rsid w:val="00D55739"/>
    <w:rsid w:val="00D6751D"/>
    <w:rsid w:val="00D870F2"/>
    <w:rsid w:val="00DB521E"/>
    <w:rsid w:val="00DD6A86"/>
    <w:rsid w:val="00DE572A"/>
    <w:rsid w:val="00E33C85"/>
    <w:rsid w:val="00E759ED"/>
    <w:rsid w:val="00E75F07"/>
    <w:rsid w:val="00EA3255"/>
    <w:rsid w:val="00EB1649"/>
    <w:rsid w:val="00F26673"/>
    <w:rsid w:val="00F27E2C"/>
    <w:rsid w:val="00F54EEF"/>
    <w:rsid w:val="00F811E8"/>
    <w:rsid w:val="00F82F2C"/>
    <w:rsid w:val="00F93A65"/>
    <w:rsid w:val="00FC5B2A"/>
    <w:rsid w:val="00FD3B70"/>
    <w:rsid w:val="022B2581"/>
    <w:rsid w:val="05C559BC"/>
    <w:rsid w:val="063858F6"/>
    <w:rsid w:val="068D694E"/>
    <w:rsid w:val="07286B6F"/>
    <w:rsid w:val="08B82420"/>
    <w:rsid w:val="0A076FE9"/>
    <w:rsid w:val="0A1B72A3"/>
    <w:rsid w:val="0B7666DC"/>
    <w:rsid w:val="0DBD234B"/>
    <w:rsid w:val="118042CA"/>
    <w:rsid w:val="134A5164"/>
    <w:rsid w:val="148D7F14"/>
    <w:rsid w:val="15BF28AB"/>
    <w:rsid w:val="17D6010E"/>
    <w:rsid w:val="19A732CF"/>
    <w:rsid w:val="19FD4A34"/>
    <w:rsid w:val="1A0F0B1D"/>
    <w:rsid w:val="22D179C4"/>
    <w:rsid w:val="24B455F9"/>
    <w:rsid w:val="28E608DF"/>
    <w:rsid w:val="2B0A33E4"/>
    <w:rsid w:val="2F0663A1"/>
    <w:rsid w:val="2F4F44F2"/>
    <w:rsid w:val="30FC6190"/>
    <w:rsid w:val="31110AB2"/>
    <w:rsid w:val="3291651C"/>
    <w:rsid w:val="349C4C29"/>
    <w:rsid w:val="35B544A9"/>
    <w:rsid w:val="35E7520B"/>
    <w:rsid w:val="35F561C2"/>
    <w:rsid w:val="37A671CE"/>
    <w:rsid w:val="38116E39"/>
    <w:rsid w:val="38EA0839"/>
    <w:rsid w:val="38FF73E2"/>
    <w:rsid w:val="3AC23405"/>
    <w:rsid w:val="3B2B3C01"/>
    <w:rsid w:val="3D560FCA"/>
    <w:rsid w:val="3F9222A3"/>
    <w:rsid w:val="403E79A5"/>
    <w:rsid w:val="41CF5228"/>
    <w:rsid w:val="429612A3"/>
    <w:rsid w:val="442877CA"/>
    <w:rsid w:val="44FC0DC6"/>
    <w:rsid w:val="45410DE5"/>
    <w:rsid w:val="477B5272"/>
    <w:rsid w:val="4958255A"/>
    <w:rsid w:val="49712E88"/>
    <w:rsid w:val="4F6F6132"/>
    <w:rsid w:val="4FA70D0D"/>
    <w:rsid w:val="56602110"/>
    <w:rsid w:val="57817369"/>
    <w:rsid w:val="58C278B2"/>
    <w:rsid w:val="595B100A"/>
    <w:rsid w:val="5C161D4B"/>
    <w:rsid w:val="5C62014C"/>
    <w:rsid w:val="5E111196"/>
    <w:rsid w:val="5F5D22C0"/>
    <w:rsid w:val="60334D25"/>
    <w:rsid w:val="63255BA3"/>
    <w:rsid w:val="63AA5148"/>
    <w:rsid w:val="6561252D"/>
    <w:rsid w:val="67303D71"/>
    <w:rsid w:val="673450C6"/>
    <w:rsid w:val="6827176B"/>
    <w:rsid w:val="68AA4D81"/>
    <w:rsid w:val="69F41248"/>
    <w:rsid w:val="6A4C5F97"/>
    <w:rsid w:val="6C7F4D0C"/>
    <w:rsid w:val="6D93778A"/>
    <w:rsid w:val="6EA754BE"/>
    <w:rsid w:val="6F5C50A4"/>
    <w:rsid w:val="71356328"/>
    <w:rsid w:val="71DE190A"/>
    <w:rsid w:val="741730A1"/>
    <w:rsid w:val="74906621"/>
    <w:rsid w:val="7614708F"/>
    <w:rsid w:val="772E0594"/>
    <w:rsid w:val="77520C79"/>
    <w:rsid w:val="7A48353D"/>
    <w:rsid w:val="7C900975"/>
    <w:rsid w:val="FB7F6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after="290" w:line="374" w:lineRule="auto"/>
      <w:outlineLvl w:val="3"/>
    </w:pPr>
    <w:rPr>
      <w:rFonts w:ascii="Arial" w:hAnsi="Arial" w:eastAsia="黑体"/>
      <w:b/>
      <w:bCs/>
      <w:kern w:val="0"/>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autoRedefine/>
    <w:qFormat/>
    <w:uiPriority w:val="0"/>
    <w:pPr>
      <w:spacing w:line="360" w:lineRule="auto"/>
      <w:ind w:firstLine="540"/>
    </w:pPr>
    <w:rPr>
      <w:rFonts w:ascii="仿宋_GB2312" w:eastAsia="仿宋_GB2312"/>
      <w:sz w:val="28"/>
    </w:rPr>
  </w:style>
  <w:style w:type="paragraph" w:styleId="8">
    <w:name w:val="annotation text"/>
    <w:basedOn w:val="1"/>
    <w:link w:val="34"/>
    <w:autoRedefine/>
    <w:qFormat/>
    <w:uiPriority w:val="0"/>
    <w:pPr>
      <w:jc w:val="left"/>
    </w:pPr>
  </w:style>
  <w:style w:type="paragraph" w:styleId="9">
    <w:name w:val="Body Text"/>
    <w:basedOn w:val="1"/>
    <w:link w:val="30"/>
    <w:autoRedefine/>
    <w:qFormat/>
    <w:uiPriority w:val="0"/>
    <w:pPr>
      <w:spacing w:after="120"/>
    </w:pPr>
  </w:style>
  <w:style w:type="paragraph" w:styleId="10">
    <w:name w:val="Plain Text"/>
    <w:basedOn w:val="1"/>
    <w:next w:val="11"/>
    <w:link w:val="37"/>
    <w:autoRedefine/>
    <w:qFormat/>
    <w:uiPriority w:val="0"/>
    <w:rPr>
      <w:rFonts w:ascii="宋体" w:hAnsi="Courier New"/>
      <w:szCs w:val="22"/>
    </w:rPr>
  </w:style>
  <w:style w:type="paragraph" w:customStyle="1" w:styleId="1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Balloon Text"/>
    <w:basedOn w:val="1"/>
    <w:link w:val="27"/>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kern w:val="0"/>
      <w:sz w:val="18"/>
      <w:szCs w:val="18"/>
    </w:rPr>
  </w:style>
  <w:style w:type="paragraph" w:styleId="14">
    <w:name w:val="header"/>
    <w:basedOn w:val="1"/>
    <w:link w:val="28"/>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33"/>
    <w:autoRedefine/>
    <w:qFormat/>
    <w:uiPriority w:val="0"/>
    <w:rPr>
      <w:rFonts w:ascii="Courier New" w:hAnsi="Courier New"/>
      <w:kern w:val="0"/>
      <w:sz w:val="20"/>
      <w:szCs w:val="20"/>
    </w:rPr>
  </w:style>
  <w:style w:type="paragraph" w:styleId="16">
    <w:name w:val="Normal (Web)"/>
    <w:basedOn w:val="1"/>
    <w:qFormat/>
    <w:uiPriority w:val="0"/>
    <w:pPr>
      <w:spacing w:beforeAutospacing="1" w:afterAutospacing="1"/>
      <w:jc w:val="left"/>
    </w:pPr>
    <w:rPr>
      <w:kern w:val="0"/>
      <w:sz w:val="24"/>
    </w:rPr>
  </w:style>
  <w:style w:type="paragraph" w:styleId="17">
    <w:name w:val="annotation subject"/>
    <w:basedOn w:val="8"/>
    <w:next w:val="8"/>
    <w:link w:val="35"/>
    <w:autoRedefine/>
    <w:qFormat/>
    <w:uiPriority w:val="0"/>
    <w:rPr>
      <w:b/>
      <w:bCs/>
    </w:rPr>
  </w:style>
  <w:style w:type="paragraph" w:styleId="18">
    <w:name w:val="Body Text First Indent"/>
    <w:basedOn w:val="9"/>
    <w:link w:val="29"/>
    <w:autoRedefine/>
    <w:qFormat/>
    <w:uiPriority w:val="0"/>
    <w:pPr>
      <w:ind w:firstLine="420"/>
    </w:pPr>
    <w:rPr>
      <w:rFonts w:ascii="Calibri" w:hAnsi="Calibri"/>
      <w:kern w:val="0"/>
      <w:sz w:val="20"/>
      <w:szCs w:val="20"/>
    </w:rPr>
  </w:style>
  <w:style w:type="character" w:styleId="21">
    <w:name w:val="page number"/>
    <w:autoRedefine/>
    <w:qFormat/>
    <w:uiPriority w:val="0"/>
  </w:style>
  <w:style w:type="character" w:styleId="22">
    <w:name w:val="Hyperlink"/>
    <w:autoRedefine/>
    <w:qFormat/>
    <w:uiPriority w:val="99"/>
    <w:rPr>
      <w:rFonts w:ascii="Arial" w:hAnsi="Arial" w:eastAsia="黑体"/>
      <w:color w:val="0000FF"/>
      <w:kern w:val="2"/>
      <w:sz w:val="21"/>
      <w:szCs w:val="21"/>
      <w:u w:val="single"/>
      <w:lang w:val="en-US" w:eastAsia="zh-CN" w:bidi="ar-SA"/>
    </w:rPr>
  </w:style>
  <w:style w:type="character" w:styleId="23">
    <w:name w:val="annotation reference"/>
    <w:basedOn w:val="20"/>
    <w:autoRedefine/>
    <w:qFormat/>
    <w:uiPriority w:val="0"/>
    <w:rPr>
      <w:sz w:val="21"/>
      <w:szCs w:val="21"/>
    </w:rPr>
  </w:style>
  <w:style w:type="paragraph" w:customStyle="1" w:styleId="24">
    <w:name w:val="公文标题"/>
    <w:basedOn w:val="6"/>
    <w:autoRedefine/>
    <w:qFormat/>
    <w:uiPriority w:val="0"/>
    <w:pPr>
      <w:spacing w:line="240" w:lineRule="auto"/>
      <w:ind w:left="1469" w:right="1542"/>
      <w:jc w:val="center"/>
    </w:pPr>
    <w:rPr>
      <w:bCs w:val="0"/>
      <w:kern w:val="0"/>
      <w:sz w:val="44"/>
      <w:szCs w:val="24"/>
    </w:rPr>
  </w:style>
  <w:style w:type="paragraph" w:customStyle="1" w:styleId="25">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6">
    <w:name w:val="发文落款"/>
    <w:basedOn w:val="25"/>
    <w:autoRedefine/>
    <w:qFormat/>
    <w:uiPriority w:val="0"/>
    <w:pPr>
      <w:ind w:left="4094" w:right="607" w:firstLine="0"/>
      <w:jc w:val="center"/>
    </w:pPr>
  </w:style>
  <w:style w:type="character" w:customStyle="1" w:styleId="27">
    <w:name w:val="批注框文本 字符"/>
    <w:basedOn w:val="20"/>
    <w:link w:val="12"/>
    <w:autoRedefine/>
    <w:qFormat/>
    <w:uiPriority w:val="0"/>
    <w:rPr>
      <w:rFonts w:ascii="Times New Roman" w:hAnsi="Times New Roman" w:eastAsia="宋体" w:cs="Times New Roman"/>
      <w:kern w:val="2"/>
      <w:sz w:val="18"/>
      <w:szCs w:val="18"/>
    </w:rPr>
  </w:style>
  <w:style w:type="character" w:customStyle="1" w:styleId="28">
    <w:name w:val="页眉 字符"/>
    <w:basedOn w:val="20"/>
    <w:link w:val="14"/>
    <w:autoRedefine/>
    <w:qFormat/>
    <w:uiPriority w:val="0"/>
    <w:rPr>
      <w:rFonts w:ascii="Times New Roman" w:hAnsi="Times New Roman" w:eastAsia="宋体" w:cs="Times New Roman"/>
      <w:kern w:val="2"/>
      <w:sz w:val="18"/>
      <w:szCs w:val="18"/>
    </w:rPr>
  </w:style>
  <w:style w:type="character" w:customStyle="1" w:styleId="29">
    <w:name w:val="正文首行缩进 字符1"/>
    <w:link w:val="18"/>
    <w:autoRedefine/>
    <w:qFormat/>
    <w:uiPriority w:val="0"/>
    <w:rPr>
      <w:rFonts w:ascii="Calibri" w:hAnsi="Calibri" w:eastAsia="宋体" w:cs="Times New Roman"/>
    </w:rPr>
  </w:style>
  <w:style w:type="character" w:customStyle="1" w:styleId="30">
    <w:name w:val="正文文本 字符"/>
    <w:basedOn w:val="20"/>
    <w:link w:val="9"/>
    <w:autoRedefine/>
    <w:qFormat/>
    <w:uiPriority w:val="0"/>
    <w:rPr>
      <w:rFonts w:ascii="Times New Roman" w:hAnsi="Times New Roman" w:eastAsia="宋体" w:cs="Times New Roman"/>
      <w:kern w:val="2"/>
      <w:sz w:val="21"/>
      <w:szCs w:val="24"/>
    </w:rPr>
  </w:style>
  <w:style w:type="character" w:customStyle="1" w:styleId="31">
    <w:name w:val="正文首行缩进 字符"/>
    <w:basedOn w:val="30"/>
    <w:autoRedefine/>
    <w:qFormat/>
    <w:uiPriority w:val="0"/>
    <w:rPr>
      <w:rFonts w:ascii="Times New Roman" w:hAnsi="Times New Roman" w:eastAsia="宋体" w:cs="Times New Roman"/>
      <w:kern w:val="2"/>
      <w:sz w:val="21"/>
      <w:szCs w:val="24"/>
    </w:rPr>
  </w:style>
  <w:style w:type="paragraph" w:customStyle="1" w:styleId="32">
    <w:name w:val="样式 宋体 四号1"/>
    <w:basedOn w:val="1"/>
    <w:autoRedefine/>
    <w:qFormat/>
    <w:uiPriority w:val="0"/>
    <w:pPr>
      <w:spacing w:line="360" w:lineRule="auto"/>
      <w:ind w:firstLine="200"/>
    </w:pPr>
    <w:rPr>
      <w:rFonts w:ascii="宋体" w:hAnsi="宋体" w:eastAsia="楷体_GB2312" w:cs="宋体"/>
      <w:color w:val="000000"/>
      <w:kern w:val="1"/>
      <w:sz w:val="28"/>
      <w:szCs w:val="20"/>
    </w:rPr>
  </w:style>
  <w:style w:type="character" w:customStyle="1" w:styleId="33">
    <w:name w:val="HTML 预设格式 字符"/>
    <w:basedOn w:val="20"/>
    <w:link w:val="15"/>
    <w:autoRedefine/>
    <w:qFormat/>
    <w:uiPriority w:val="0"/>
    <w:rPr>
      <w:rFonts w:ascii="Courier New" w:hAnsi="Courier New" w:eastAsia="宋体" w:cs="Times New Roman"/>
    </w:rPr>
  </w:style>
  <w:style w:type="character" w:customStyle="1" w:styleId="34">
    <w:name w:val="批注文字 字符"/>
    <w:basedOn w:val="20"/>
    <w:link w:val="8"/>
    <w:autoRedefine/>
    <w:qFormat/>
    <w:uiPriority w:val="0"/>
    <w:rPr>
      <w:rFonts w:ascii="Times New Roman" w:hAnsi="Times New Roman" w:eastAsia="宋体" w:cs="Times New Roman"/>
      <w:kern w:val="2"/>
      <w:sz w:val="21"/>
      <w:szCs w:val="24"/>
    </w:rPr>
  </w:style>
  <w:style w:type="character" w:customStyle="1" w:styleId="35">
    <w:name w:val="批注主题 字符"/>
    <w:basedOn w:val="34"/>
    <w:link w:val="17"/>
    <w:autoRedefine/>
    <w:qFormat/>
    <w:uiPriority w:val="0"/>
    <w:rPr>
      <w:rFonts w:ascii="Times New Roman" w:hAnsi="Times New Roman" w:eastAsia="宋体" w:cs="Times New Roman"/>
      <w:b/>
      <w:bCs/>
      <w:kern w:val="2"/>
      <w:sz w:val="21"/>
      <w:szCs w:val="24"/>
    </w:rPr>
  </w:style>
  <w:style w:type="character" w:customStyle="1" w:styleId="36">
    <w:name w:val="未处理的提及1"/>
    <w:basedOn w:val="20"/>
    <w:autoRedefine/>
    <w:semiHidden/>
    <w:unhideWhenUsed/>
    <w:qFormat/>
    <w:uiPriority w:val="99"/>
    <w:rPr>
      <w:color w:val="605E5C"/>
      <w:shd w:val="clear" w:color="auto" w:fill="E1DFDD"/>
    </w:rPr>
  </w:style>
  <w:style w:type="character" w:customStyle="1" w:styleId="37">
    <w:name w:val="纯文本 字符"/>
    <w:basedOn w:val="20"/>
    <w:link w:val="10"/>
    <w:autoRedefine/>
    <w:qFormat/>
    <w:uiPriority w:val="0"/>
    <w:rPr>
      <w:rFonts w:ascii="宋体" w:hAnsi="Courier New" w:eastAsia="宋体" w:cs="Times New Roman"/>
      <w:kern w:val="2"/>
      <w:sz w:val="21"/>
      <w:szCs w:val="22"/>
    </w:rPr>
  </w:style>
  <w:style w:type="paragraph" w:customStyle="1" w:styleId="38">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9">
    <w:name w:val="修订2"/>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15</Pages>
  <Words>11444</Words>
  <Characters>12046</Characters>
  <Lines>99</Lines>
  <Paragraphs>28</Paragraphs>
  <TotalTime>67</TotalTime>
  <ScaleCrop>false</ScaleCrop>
  <LinksUpToDate>false</LinksUpToDate>
  <CharactersWithSpaces>12454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2023-12-06T01:54:00Z</dcterms:created>
  <dc:creator>LIN</dc:creator>
  <cp:lastModifiedBy>tpa-sec</cp:lastModifiedBy>
  <dcterms:modified xsi:type="dcterms:W3CDTF">2024-06-27T02:34:12Z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5D08B6114E91473AB2DBB83C3C34FBA4_13</vt:lpwstr>
  </property>
</Properties>
</file>