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spacing w:line="360" w:lineRule="auto"/>
        <w:ind w:right="25" w:rightChars="12"/>
        <w:jc w:val="center"/>
        <w:rPr>
          <w:rFonts w:hint="eastAsia" w:ascii="宋体" w:hAnsi="宋体" w:eastAsia="宋体" w:cs="宋体"/>
          <w:b/>
          <w:color w:val="auto"/>
          <w:sz w:val="48"/>
          <w:szCs w:val="48"/>
          <w:highlight w:val="none"/>
          <w:u w:val="none"/>
        </w:rPr>
      </w:pPr>
    </w:p>
    <w:p>
      <w:pPr>
        <w:pStyle w:val="17"/>
        <w:spacing w:line="360" w:lineRule="auto"/>
        <w:ind w:right="25" w:rightChars="12"/>
        <w:jc w:val="center"/>
        <w:rPr>
          <w:rFonts w:hint="eastAsia" w:ascii="宋体" w:hAnsi="宋体" w:eastAsia="宋体" w:cs="宋体"/>
          <w:b/>
          <w:color w:val="auto"/>
          <w:sz w:val="48"/>
          <w:szCs w:val="48"/>
          <w:highlight w:val="none"/>
          <w:u w:val="none"/>
        </w:rPr>
      </w:pPr>
    </w:p>
    <w:p>
      <w:pPr>
        <w:pStyle w:val="17"/>
        <w:spacing w:line="360" w:lineRule="auto"/>
        <w:ind w:right="25" w:rightChars="12"/>
        <w:jc w:val="center"/>
        <w:rPr>
          <w:rFonts w:hint="eastAsia" w:ascii="宋体" w:hAnsi="宋体" w:eastAsia="宋体" w:cs="宋体"/>
          <w:b/>
          <w:color w:val="auto"/>
          <w:sz w:val="48"/>
          <w:szCs w:val="48"/>
          <w:highlight w:val="none"/>
          <w:u w:val="none"/>
        </w:rPr>
      </w:pPr>
      <w:r>
        <w:rPr>
          <w:rFonts w:hint="eastAsia" w:cs="宋体"/>
          <w:b/>
          <w:color w:val="auto"/>
          <w:sz w:val="48"/>
          <w:szCs w:val="48"/>
          <w:highlight w:val="none"/>
          <w:u w:val="none"/>
          <w:lang w:val="en-US" w:eastAsia="zh-CN"/>
        </w:rPr>
        <w:t>滨河路跨墩头涌通道工程施工总承包</w:t>
      </w:r>
    </w:p>
    <w:p>
      <w:pPr>
        <w:spacing w:line="360" w:lineRule="auto"/>
        <w:jc w:val="center"/>
        <w:rPr>
          <w:rFonts w:ascii="宋体" w:hAnsi="宋体" w:cs="宋体"/>
          <w:color w:val="auto"/>
          <w:sz w:val="36"/>
          <w:szCs w:val="36"/>
          <w:highlight w:val="none"/>
          <w:u w:val="single"/>
        </w:rPr>
      </w:pPr>
    </w:p>
    <w:p>
      <w:pPr>
        <w:pStyle w:val="12"/>
        <w:spacing w:line="360" w:lineRule="auto"/>
        <w:rPr>
          <w:rFonts w:hAnsi="宋体" w:cs="宋体"/>
          <w:color w:val="auto"/>
          <w:highlight w:val="none"/>
        </w:rPr>
      </w:pPr>
    </w:p>
    <w:p>
      <w:pPr>
        <w:pStyle w:val="12"/>
        <w:spacing w:line="360" w:lineRule="auto"/>
        <w:rPr>
          <w:rFonts w:hAnsi="宋体" w:cs="宋体"/>
          <w:color w:val="auto"/>
          <w:sz w:val="36"/>
          <w:szCs w:val="36"/>
          <w:highlight w:val="none"/>
          <w:u w:val="single"/>
        </w:rPr>
      </w:pPr>
    </w:p>
    <w:p>
      <w:pPr>
        <w:pStyle w:val="12"/>
        <w:spacing w:line="360" w:lineRule="auto"/>
        <w:rPr>
          <w:rFonts w:hAnsi="宋体" w:cs="宋体"/>
          <w:color w:val="auto"/>
          <w:sz w:val="36"/>
          <w:szCs w:val="36"/>
          <w:highlight w:val="none"/>
          <w:u w:val="single"/>
        </w:rPr>
      </w:pPr>
    </w:p>
    <w:p>
      <w:pPr>
        <w:pStyle w:val="12"/>
        <w:spacing w:line="360" w:lineRule="auto"/>
        <w:rPr>
          <w:rFonts w:hAnsi="宋体" w:cs="宋体"/>
          <w:color w:val="auto"/>
          <w:sz w:val="36"/>
          <w:szCs w:val="36"/>
          <w:highlight w:val="none"/>
          <w:u w:val="single"/>
        </w:rPr>
      </w:pPr>
    </w:p>
    <w:p>
      <w:pPr>
        <w:pStyle w:val="12"/>
        <w:spacing w:line="360" w:lineRule="auto"/>
        <w:rPr>
          <w:rFonts w:hAnsi="宋体" w:cs="宋体"/>
          <w:color w:val="auto"/>
          <w:sz w:val="36"/>
          <w:szCs w:val="36"/>
          <w:highlight w:val="none"/>
          <w:u w:val="single"/>
        </w:rPr>
      </w:pPr>
    </w:p>
    <w:p>
      <w:pPr>
        <w:spacing w:line="360" w:lineRule="auto"/>
        <w:jc w:val="center"/>
        <w:rPr>
          <w:rFonts w:hint="eastAsia" w:ascii="宋体" w:hAnsi="宋体" w:eastAsia="宋体" w:cs="宋体"/>
          <w:b/>
          <w:bCs/>
          <w:color w:val="auto"/>
          <w:spacing w:val="26"/>
          <w:sz w:val="110"/>
          <w:szCs w:val="110"/>
          <w:highlight w:val="none"/>
          <w14:shadow w14:blurRad="50800" w14:dist="38100" w14:dir="2700000" w14:sx="100000" w14:sy="100000" w14:kx="0" w14:ky="0" w14:algn="tl">
            <w14:srgbClr w14:val="000000">
              <w14:alpha w14:val="60000"/>
            </w14:srgbClr>
          </w14:shadow>
        </w:rPr>
      </w:pPr>
      <w:r>
        <w:rPr>
          <w:rFonts w:hint="eastAsia" w:ascii="宋体" w:hAnsi="宋体" w:eastAsia="宋体" w:cs="宋体"/>
          <w:b/>
          <w:bCs/>
          <w:color w:val="auto"/>
          <w:spacing w:val="26"/>
          <w:sz w:val="110"/>
          <w:szCs w:val="110"/>
          <w:highlight w:val="none"/>
          <w14:shadow w14:blurRad="50800" w14:dist="38100" w14:dir="2700000" w14:sx="100000" w14:sy="100000" w14:kx="0" w14:ky="0" w14:algn="tl">
            <w14:srgbClr w14:val="000000">
              <w14:alpha w14:val="60000"/>
            </w14:srgbClr>
          </w14:shadow>
        </w:rPr>
        <w:t>招标文件</w:t>
      </w:r>
    </w:p>
    <w:p>
      <w:pPr>
        <w:spacing w:line="360" w:lineRule="auto"/>
        <w:jc w:val="center"/>
        <w:rPr>
          <w:rFonts w:ascii="宋体" w:hAnsi="宋体" w:cs="宋体"/>
          <w:color w:val="auto"/>
          <w:sz w:val="32"/>
          <w:szCs w:val="32"/>
          <w:highlight w:val="none"/>
        </w:rPr>
      </w:pPr>
    </w:p>
    <w:p>
      <w:pPr>
        <w:spacing w:line="360" w:lineRule="auto"/>
        <w:ind w:firstLine="2560" w:firstLineChars="800"/>
        <w:rPr>
          <w:rFonts w:ascii="宋体" w:hAnsi="宋体" w:cs="宋体"/>
          <w:color w:val="auto"/>
          <w:sz w:val="32"/>
          <w:szCs w:val="32"/>
          <w:highlight w:val="none"/>
        </w:rPr>
      </w:pPr>
    </w:p>
    <w:p>
      <w:pPr>
        <w:spacing w:line="360" w:lineRule="auto"/>
        <w:ind w:firstLine="1200" w:firstLineChars="400"/>
        <w:rPr>
          <w:rFonts w:ascii="宋体" w:hAnsi="宋体" w:cs="宋体"/>
          <w:color w:val="auto"/>
          <w:sz w:val="30"/>
          <w:szCs w:val="30"/>
          <w:highlight w:val="none"/>
        </w:rPr>
      </w:pPr>
    </w:p>
    <w:p>
      <w:pPr>
        <w:spacing w:line="360" w:lineRule="auto"/>
        <w:ind w:firstLine="1200" w:firstLineChars="400"/>
        <w:rPr>
          <w:rFonts w:ascii="宋体" w:hAnsi="宋体" w:cs="宋体"/>
          <w:color w:val="auto"/>
          <w:sz w:val="30"/>
          <w:szCs w:val="30"/>
          <w:highlight w:val="none"/>
        </w:rPr>
      </w:pPr>
    </w:p>
    <w:p>
      <w:pPr>
        <w:spacing w:line="360" w:lineRule="auto"/>
        <w:ind w:firstLine="1200" w:firstLineChars="400"/>
        <w:rPr>
          <w:rFonts w:ascii="宋体" w:hAnsi="宋体" w:cs="宋体"/>
          <w:color w:val="auto"/>
          <w:sz w:val="30"/>
          <w:szCs w:val="30"/>
          <w:highlight w:val="none"/>
        </w:rPr>
      </w:pPr>
    </w:p>
    <w:p>
      <w:pPr>
        <w:spacing w:line="360" w:lineRule="auto"/>
        <w:ind w:firstLine="1200" w:firstLineChars="400"/>
        <w:rPr>
          <w:rFonts w:ascii="宋体" w:hAnsi="宋体" w:cs="宋体"/>
          <w:color w:val="auto"/>
          <w:sz w:val="30"/>
          <w:szCs w:val="30"/>
          <w:highlight w:val="none"/>
        </w:rPr>
      </w:pPr>
    </w:p>
    <w:p>
      <w:pPr>
        <w:pStyle w:val="12"/>
        <w:rPr>
          <w:color w:val="auto"/>
          <w:highlight w:val="none"/>
        </w:rPr>
      </w:pPr>
    </w:p>
    <w:p>
      <w:pPr>
        <w:spacing w:line="360" w:lineRule="auto"/>
        <w:ind w:left="0" w:leftChars="0" w:firstLine="639" w:firstLineChars="213"/>
        <w:jc w:val="both"/>
        <w:rPr>
          <w:rFonts w:ascii="宋体" w:hAnsi="宋体" w:cs="宋体"/>
          <w:color w:val="auto"/>
          <w:spacing w:val="-2"/>
          <w:sz w:val="30"/>
          <w:szCs w:val="30"/>
          <w:highlight w:val="none"/>
        </w:rPr>
      </w:pPr>
      <w:r>
        <w:rPr>
          <w:rFonts w:hint="eastAsia" w:ascii="宋体" w:hAnsi="宋体" w:cs="宋体"/>
          <w:color w:val="auto"/>
          <w:sz w:val="30"/>
          <w:szCs w:val="30"/>
          <w:highlight w:val="none"/>
        </w:rPr>
        <w:t>招  标 单 位：</w:t>
      </w:r>
      <w:r>
        <w:rPr>
          <w:rFonts w:hint="eastAsia" w:ascii="宋体" w:hAnsi="宋体" w:cs="宋体"/>
          <w:color w:val="auto"/>
          <w:spacing w:val="-2"/>
          <w:sz w:val="30"/>
          <w:szCs w:val="30"/>
          <w:highlight w:val="none"/>
          <w:u w:val="single"/>
          <w:lang w:eastAsia="zh-CN"/>
        </w:rPr>
        <w:t>广州开发区财政投资建设项目管理中心</w:t>
      </w:r>
    </w:p>
    <w:p>
      <w:pPr>
        <w:spacing w:line="360" w:lineRule="auto"/>
        <w:ind w:left="0" w:leftChars="0" w:firstLine="639" w:firstLineChars="213"/>
        <w:jc w:val="both"/>
        <w:rPr>
          <w:rFonts w:hint="default" w:ascii="宋体" w:hAnsi="宋体" w:cs="宋体"/>
          <w:color w:val="auto"/>
          <w:sz w:val="30"/>
          <w:szCs w:val="30"/>
          <w:highlight w:val="none"/>
          <w:lang w:val="en-US"/>
        </w:rPr>
      </w:pPr>
      <w:r>
        <w:rPr>
          <w:rFonts w:hint="eastAsia" w:ascii="宋体" w:hAnsi="宋体" w:cs="宋体"/>
          <w:color w:val="auto"/>
          <w:sz w:val="30"/>
          <w:szCs w:val="30"/>
          <w:highlight w:val="none"/>
        </w:rPr>
        <w:t>招标代理单位：</w:t>
      </w:r>
      <w:r>
        <w:rPr>
          <w:rFonts w:hint="eastAsia" w:ascii="宋体" w:hAnsi="宋体" w:cs="宋体"/>
          <w:color w:val="auto"/>
          <w:sz w:val="30"/>
          <w:szCs w:val="30"/>
          <w:highlight w:val="none"/>
          <w:u w:val="single"/>
          <w:lang w:eastAsia="zh-CN"/>
        </w:rPr>
        <w:t>广州筑正工程建管理有限公司</w:t>
      </w:r>
    </w:p>
    <w:p>
      <w:pPr>
        <w:spacing w:line="360" w:lineRule="auto"/>
        <w:ind w:left="0" w:leftChars="0" w:firstLine="639" w:firstLineChars="213"/>
        <w:jc w:val="both"/>
        <w:rPr>
          <w:rFonts w:hint="eastAsia" w:ascii="宋体" w:hAnsi="宋体" w:eastAsia="宋体" w:cs="宋体"/>
          <w:color w:val="auto"/>
          <w:sz w:val="30"/>
          <w:szCs w:val="30"/>
          <w:highlight w:val="none"/>
        </w:rPr>
      </w:pPr>
      <w:r>
        <w:rPr>
          <w:rFonts w:hint="eastAsia" w:ascii="宋体" w:hAnsi="宋体" w:cs="宋体"/>
          <w:color w:val="auto"/>
          <w:sz w:val="30"/>
          <w:szCs w:val="30"/>
          <w:highlight w:val="none"/>
        </w:rPr>
        <w:t>日        期：</w:t>
      </w:r>
      <w:r>
        <w:rPr>
          <w:rFonts w:hint="eastAsia" w:ascii="宋体" w:hAnsi="宋体" w:cs="宋体"/>
          <w:color w:val="auto"/>
          <w:sz w:val="30"/>
          <w:szCs w:val="30"/>
          <w:highlight w:val="none"/>
          <w:u w:val="single"/>
          <w:lang w:val="en-US" w:eastAsia="zh-CN"/>
        </w:rPr>
        <w:t>2024</w:t>
      </w:r>
      <w:r>
        <w:rPr>
          <w:rFonts w:hint="eastAsia" w:ascii="宋体" w:hAnsi="宋体" w:cs="宋体"/>
          <w:color w:val="auto"/>
          <w:sz w:val="30"/>
          <w:szCs w:val="30"/>
          <w:highlight w:val="none"/>
          <w:u w:val="single"/>
        </w:rPr>
        <w:t>年</w:t>
      </w:r>
      <w:r>
        <w:rPr>
          <w:rFonts w:hint="eastAsia" w:ascii="宋体" w:hAnsi="宋体" w:cs="宋体"/>
          <w:color w:val="auto"/>
          <w:sz w:val="30"/>
          <w:szCs w:val="30"/>
          <w:highlight w:val="none"/>
          <w:u w:val="single"/>
          <w:lang w:val="en-US" w:eastAsia="zh-CN"/>
        </w:rPr>
        <w:t>6</w:t>
      </w:r>
      <w:r>
        <w:rPr>
          <w:rFonts w:hint="eastAsia" w:ascii="宋体" w:hAnsi="宋体" w:cs="宋体"/>
          <w:color w:val="auto"/>
          <w:sz w:val="30"/>
          <w:szCs w:val="30"/>
          <w:highlight w:val="none"/>
          <w:u w:val="single"/>
        </w:rPr>
        <w:t>月</w:t>
      </w:r>
    </w:p>
    <w:p>
      <w:pPr>
        <w:spacing w:line="360" w:lineRule="auto"/>
        <w:jc w:val="center"/>
        <w:rPr>
          <w:rStyle w:val="23"/>
          <w:rFonts w:hint="eastAsia" w:ascii="宋体" w:hAnsi="宋体" w:eastAsia="宋体" w:cs="宋体"/>
          <w:b/>
          <w:bCs/>
          <w:color w:val="auto"/>
          <w:sz w:val="36"/>
          <w:szCs w:val="36"/>
          <w:highlight w:val="none"/>
        </w:rPr>
      </w:pPr>
      <w:r>
        <w:rPr>
          <w:rStyle w:val="23"/>
          <w:rFonts w:hint="eastAsia" w:ascii="宋体" w:hAnsi="宋体" w:eastAsia="宋体" w:cs="宋体"/>
          <w:b/>
          <w:bCs/>
          <w:color w:val="auto"/>
          <w:highlight w:val="none"/>
        </w:rPr>
        <w:br w:type="page"/>
      </w:r>
      <w:r>
        <w:rPr>
          <w:rStyle w:val="23"/>
          <w:rFonts w:hint="eastAsia" w:ascii="宋体" w:hAnsi="宋体" w:eastAsia="宋体" w:cs="宋体"/>
          <w:b/>
          <w:bCs/>
          <w:color w:val="auto"/>
          <w:sz w:val="36"/>
          <w:szCs w:val="36"/>
          <w:highlight w:val="none"/>
          <w:u w:val="none"/>
        </w:rPr>
        <w:t>目</w:t>
      </w:r>
      <w:r>
        <w:rPr>
          <w:rStyle w:val="23"/>
          <w:rFonts w:hint="eastAsia" w:ascii="宋体" w:hAnsi="宋体" w:eastAsia="宋体" w:cs="宋体"/>
          <w:b/>
          <w:bCs/>
          <w:color w:val="auto"/>
          <w:sz w:val="36"/>
          <w:szCs w:val="36"/>
          <w:highlight w:val="none"/>
          <w:u w:val="none"/>
          <w:lang w:val="en-US" w:eastAsia="zh-CN"/>
        </w:rPr>
        <w:t xml:space="preserve">  </w:t>
      </w:r>
      <w:r>
        <w:rPr>
          <w:rStyle w:val="23"/>
          <w:rFonts w:hint="eastAsia" w:ascii="宋体" w:hAnsi="宋体" w:eastAsia="宋体" w:cs="宋体"/>
          <w:b/>
          <w:bCs/>
          <w:color w:val="auto"/>
          <w:sz w:val="36"/>
          <w:szCs w:val="36"/>
          <w:highlight w:val="none"/>
          <w:u w:val="none"/>
        </w:rPr>
        <w:t>录</w:t>
      </w:r>
    </w:p>
    <w:p>
      <w:pPr>
        <w:spacing w:line="360" w:lineRule="auto"/>
        <w:jc w:val="center"/>
        <w:rPr>
          <w:rFonts w:hint="eastAsia" w:ascii="宋体" w:hAnsi="宋体" w:eastAsia="宋体" w:cs="宋体"/>
          <w:b/>
          <w:caps/>
          <w:color w:val="auto"/>
          <w:kern w:val="0"/>
          <w:sz w:val="36"/>
          <w:szCs w:val="36"/>
          <w:highlight w:val="none"/>
        </w:rPr>
      </w:pPr>
    </w:p>
    <w:p>
      <w:pPr>
        <w:pStyle w:val="16"/>
        <w:tabs>
          <w:tab w:val="right" w:leader="dot" w:pos="9746"/>
          <w:tab w:val="clear" w:pos="9060"/>
        </w:tabs>
        <w:rPr>
          <w:rFonts w:hint="eastAsia" w:ascii="宋体" w:hAnsi="宋体" w:eastAsia="宋体" w:cs="宋体"/>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TOC \o "1-3" \h \z \u </w:instrText>
      </w:r>
      <w:r>
        <w:rPr>
          <w:rFonts w:hint="eastAsia" w:ascii="宋体" w:hAnsi="宋体" w:eastAsia="宋体" w:cs="宋体"/>
          <w:color w:val="auto"/>
          <w:szCs w:val="24"/>
          <w:highlight w:val="none"/>
        </w:rPr>
        <w:fldChar w:fldCharType="separate"/>
      </w: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_Toc6280 </w:instrText>
      </w:r>
      <w:r>
        <w:rPr>
          <w:rFonts w:hint="eastAsia" w:ascii="宋体" w:hAnsi="宋体" w:eastAsia="宋体" w:cs="宋体"/>
          <w:color w:val="auto"/>
          <w:szCs w:val="24"/>
          <w:highlight w:val="none"/>
        </w:rPr>
        <w:fldChar w:fldCharType="separate"/>
      </w:r>
      <w:r>
        <w:rPr>
          <w:rFonts w:hint="eastAsia" w:ascii="宋体" w:hAnsi="宋体" w:eastAsia="宋体" w:cs="宋体"/>
          <w:bCs/>
          <w:color w:val="auto"/>
          <w:szCs w:val="32"/>
          <w:highlight w:val="none"/>
        </w:rPr>
        <w:t>第一章  投标须知</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_Toc6280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w:t>
      </w:r>
      <w:r>
        <w:rPr>
          <w:rFonts w:hint="eastAsia" w:ascii="宋体" w:hAnsi="宋体" w:eastAsia="宋体" w:cs="宋体"/>
          <w:color w:val="auto"/>
          <w:highlight w:val="none"/>
        </w:rPr>
        <w:fldChar w:fldCharType="end"/>
      </w:r>
      <w:r>
        <w:rPr>
          <w:rFonts w:hint="eastAsia" w:ascii="宋体" w:hAnsi="宋体" w:eastAsia="宋体" w:cs="宋体"/>
          <w:color w:val="auto"/>
          <w:szCs w:val="24"/>
          <w:highlight w:val="none"/>
        </w:rPr>
        <w:fldChar w:fldCharType="end"/>
      </w:r>
    </w:p>
    <w:p>
      <w:pPr>
        <w:pStyle w:val="2"/>
        <w:tabs>
          <w:tab w:val="right" w:leader="dot" w:pos="9746"/>
          <w:tab w:val="clear" w:pos="9060"/>
        </w:tabs>
        <w:rPr>
          <w:rFonts w:hint="eastAsia" w:ascii="宋体" w:hAnsi="宋体" w:eastAsia="宋体" w:cs="宋体"/>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_Toc27735 </w:instrText>
      </w:r>
      <w:r>
        <w:rPr>
          <w:rFonts w:hint="eastAsia" w:ascii="宋体" w:hAnsi="宋体" w:eastAsia="宋体" w:cs="宋体"/>
          <w:color w:val="auto"/>
          <w:szCs w:val="24"/>
          <w:highlight w:val="none"/>
        </w:rPr>
        <w:fldChar w:fldCharType="separate"/>
      </w:r>
      <w:r>
        <w:rPr>
          <w:rFonts w:hint="eastAsia" w:ascii="宋体" w:hAnsi="宋体" w:eastAsia="宋体" w:cs="宋体"/>
          <w:color w:val="auto"/>
          <w:highlight w:val="none"/>
        </w:rPr>
        <w:t>一、投标须知前附表</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_Toc27735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w:t>
      </w:r>
      <w:r>
        <w:rPr>
          <w:rFonts w:hint="eastAsia" w:ascii="宋体" w:hAnsi="宋体" w:eastAsia="宋体" w:cs="宋体"/>
          <w:color w:val="auto"/>
          <w:highlight w:val="none"/>
        </w:rPr>
        <w:fldChar w:fldCharType="end"/>
      </w:r>
      <w:r>
        <w:rPr>
          <w:rFonts w:hint="eastAsia" w:ascii="宋体" w:hAnsi="宋体" w:eastAsia="宋体" w:cs="宋体"/>
          <w:color w:val="auto"/>
          <w:szCs w:val="24"/>
          <w:highlight w:val="none"/>
        </w:rPr>
        <w:fldChar w:fldCharType="end"/>
      </w:r>
    </w:p>
    <w:p>
      <w:pPr>
        <w:pStyle w:val="2"/>
        <w:tabs>
          <w:tab w:val="right" w:leader="dot" w:pos="9746"/>
          <w:tab w:val="clear" w:pos="9060"/>
        </w:tabs>
        <w:rPr>
          <w:rFonts w:hint="eastAsia" w:ascii="宋体" w:hAnsi="宋体" w:eastAsia="宋体" w:cs="宋体"/>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_Toc6608 </w:instrText>
      </w:r>
      <w:r>
        <w:rPr>
          <w:rFonts w:hint="eastAsia" w:ascii="宋体" w:hAnsi="宋体" w:eastAsia="宋体" w:cs="宋体"/>
          <w:color w:val="auto"/>
          <w:szCs w:val="24"/>
          <w:highlight w:val="none"/>
        </w:rPr>
        <w:fldChar w:fldCharType="separate"/>
      </w:r>
      <w:r>
        <w:rPr>
          <w:rFonts w:hint="eastAsia" w:ascii="宋体" w:hAnsi="宋体" w:eastAsia="宋体" w:cs="宋体"/>
          <w:color w:val="auto"/>
          <w:szCs w:val="32"/>
          <w:highlight w:val="none"/>
        </w:rPr>
        <w:t>二、投标须知修改表</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_Toc6608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9</w:t>
      </w:r>
      <w:r>
        <w:rPr>
          <w:rFonts w:hint="eastAsia" w:ascii="宋体" w:hAnsi="宋体" w:eastAsia="宋体" w:cs="宋体"/>
          <w:color w:val="auto"/>
          <w:highlight w:val="none"/>
        </w:rPr>
        <w:fldChar w:fldCharType="end"/>
      </w:r>
      <w:r>
        <w:rPr>
          <w:rFonts w:hint="eastAsia" w:ascii="宋体" w:hAnsi="宋体" w:eastAsia="宋体" w:cs="宋体"/>
          <w:color w:val="auto"/>
          <w:szCs w:val="24"/>
          <w:highlight w:val="none"/>
        </w:rPr>
        <w:fldChar w:fldCharType="end"/>
      </w:r>
    </w:p>
    <w:p>
      <w:pPr>
        <w:pStyle w:val="2"/>
        <w:tabs>
          <w:tab w:val="right" w:leader="dot" w:pos="9746"/>
          <w:tab w:val="clear" w:pos="9060"/>
        </w:tabs>
        <w:rPr>
          <w:rFonts w:hint="eastAsia" w:ascii="宋体" w:hAnsi="宋体" w:eastAsia="宋体" w:cs="宋体"/>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_Toc31334 </w:instrText>
      </w:r>
      <w:r>
        <w:rPr>
          <w:rFonts w:hint="eastAsia" w:ascii="宋体" w:hAnsi="宋体" w:eastAsia="宋体" w:cs="宋体"/>
          <w:color w:val="auto"/>
          <w:szCs w:val="24"/>
          <w:highlight w:val="none"/>
        </w:rPr>
        <w:fldChar w:fldCharType="separate"/>
      </w:r>
      <w:r>
        <w:rPr>
          <w:rFonts w:hint="eastAsia" w:ascii="宋体" w:hAnsi="宋体" w:eastAsia="宋体" w:cs="宋体"/>
          <w:color w:val="auto"/>
          <w:highlight w:val="none"/>
        </w:rPr>
        <w:t>三、投标须知通用条款</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_Toc31334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25</w:t>
      </w:r>
      <w:r>
        <w:rPr>
          <w:rFonts w:hint="eastAsia" w:ascii="宋体" w:hAnsi="宋体" w:eastAsia="宋体" w:cs="宋体"/>
          <w:color w:val="auto"/>
          <w:highlight w:val="none"/>
        </w:rPr>
        <w:fldChar w:fldCharType="end"/>
      </w:r>
      <w:r>
        <w:rPr>
          <w:rFonts w:hint="eastAsia" w:ascii="宋体" w:hAnsi="宋体" w:eastAsia="宋体" w:cs="宋体"/>
          <w:color w:val="auto"/>
          <w:szCs w:val="24"/>
          <w:highlight w:val="none"/>
        </w:rPr>
        <w:fldChar w:fldCharType="end"/>
      </w:r>
    </w:p>
    <w:p>
      <w:pPr>
        <w:pStyle w:val="11"/>
        <w:tabs>
          <w:tab w:val="right" w:leader="dot" w:pos="9746"/>
        </w:tabs>
        <w:rPr>
          <w:rFonts w:hint="eastAsia" w:ascii="宋体" w:hAnsi="宋体" w:eastAsia="宋体" w:cs="宋体"/>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_Toc12947 </w:instrText>
      </w:r>
      <w:r>
        <w:rPr>
          <w:rFonts w:hint="eastAsia" w:ascii="宋体" w:hAnsi="宋体" w:eastAsia="宋体" w:cs="宋体"/>
          <w:color w:val="auto"/>
          <w:szCs w:val="24"/>
          <w:highlight w:val="none"/>
        </w:rPr>
        <w:fldChar w:fldCharType="separate"/>
      </w:r>
      <w:r>
        <w:rPr>
          <w:rFonts w:hint="eastAsia" w:ascii="宋体" w:hAnsi="宋体" w:eastAsia="宋体" w:cs="宋体"/>
          <w:color w:val="auto"/>
          <w:szCs w:val="21"/>
          <w:highlight w:val="none"/>
        </w:rPr>
        <w:t>（一）总则</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_Toc12947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25</w:t>
      </w:r>
      <w:r>
        <w:rPr>
          <w:rFonts w:hint="eastAsia" w:ascii="宋体" w:hAnsi="宋体" w:eastAsia="宋体" w:cs="宋体"/>
          <w:color w:val="auto"/>
          <w:highlight w:val="none"/>
        </w:rPr>
        <w:fldChar w:fldCharType="end"/>
      </w:r>
      <w:r>
        <w:rPr>
          <w:rFonts w:hint="eastAsia" w:ascii="宋体" w:hAnsi="宋体" w:eastAsia="宋体" w:cs="宋体"/>
          <w:color w:val="auto"/>
          <w:szCs w:val="24"/>
          <w:highlight w:val="none"/>
        </w:rPr>
        <w:fldChar w:fldCharType="end"/>
      </w:r>
    </w:p>
    <w:p>
      <w:pPr>
        <w:pStyle w:val="11"/>
        <w:tabs>
          <w:tab w:val="right" w:leader="dot" w:pos="9746"/>
        </w:tabs>
        <w:rPr>
          <w:rFonts w:hint="eastAsia" w:ascii="宋体" w:hAnsi="宋体" w:eastAsia="宋体" w:cs="宋体"/>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_Toc32111 </w:instrText>
      </w:r>
      <w:r>
        <w:rPr>
          <w:rFonts w:hint="eastAsia" w:ascii="宋体" w:hAnsi="宋体" w:eastAsia="宋体" w:cs="宋体"/>
          <w:color w:val="auto"/>
          <w:szCs w:val="24"/>
          <w:highlight w:val="none"/>
        </w:rPr>
        <w:fldChar w:fldCharType="separate"/>
      </w:r>
      <w:r>
        <w:rPr>
          <w:rFonts w:hint="eastAsia" w:ascii="宋体" w:hAnsi="宋体" w:eastAsia="宋体" w:cs="宋体"/>
          <w:color w:val="auto"/>
          <w:szCs w:val="21"/>
          <w:highlight w:val="none"/>
        </w:rPr>
        <w:t>（二）招标文件</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_Toc32111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26</w:t>
      </w:r>
      <w:r>
        <w:rPr>
          <w:rFonts w:hint="eastAsia" w:ascii="宋体" w:hAnsi="宋体" w:eastAsia="宋体" w:cs="宋体"/>
          <w:color w:val="auto"/>
          <w:highlight w:val="none"/>
        </w:rPr>
        <w:fldChar w:fldCharType="end"/>
      </w:r>
      <w:r>
        <w:rPr>
          <w:rFonts w:hint="eastAsia" w:ascii="宋体" w:hAnsi="宋体" w:eastAsia="宋体" w:cs="宋体"/>
          <w:color w:val="auto"/>
          <w:szCs w:val="24"/>
          <w:highlight w:val="none"/>
        </w:rPr>
        <w:fldChar w:fldCharType="end"/>
      </w:r>
    </w:p>
    <w:p>
      <w:pPr>
        <w:pStyle w:val="11"/>
        <w:tabs>
          <w:tab w:val="right" w:leader="dot" w:pos="9746"/>
        </w:tabs>
        <w:rPr>
          <w:rFonts w:hint="eastAsia" w:ascii="宋体" w:hAnsi="宋体" w:eastAsia="宋体" w:cs="宋体"/>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_Toc32542 </w:instrText>
      </w:r>
      <w:r>
        <w:rPr>
          <w:rFonts w:hint="eastAsia" w:ascii="宋体" w:hAnsi="宋体" w:eastAsia="宋体" w:cs="宋体"/>
          <w:color w:val="auto"/>
          <w:szCs w:val="24"/>
          <w:highlight w:val="none"/>
        </w:rPr>
        <w:fldChar w:fldCharType="separate"/>
      </w:r>
      <w:r>
        <w:rPr>
          <w:rFonts w:hint="eastAsia" w:ascii="宋体" w:hAnsi="宋体" w:eastAsia="宋体" w:cs="宋体"/>
          <w:color w:val="auto"/>
          <w:szCs w:val="21"/>
          <w:highlight w:val="none"/>
        </w:rPr>
        <w:t>（三）投标文件的编制</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_Toc32542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27</w:t>
      </w:r>
      <w:r>
        <w:rPr>
          <w:rFonts w:hint="eastAsia" w:ascii="宋体" w:hAnsi="宋体" w:eastAsia="宋体" w:cs="宋体"/>
          <w:color w:val="auto"/>
          <w:highlight w:val="none"/>
        </w:rPr>
        <w:fldChar w:fldCharType="end"/>
      </w:r>
      <w:r>
        <w:rPr>
          <w:rFonts w:hint="eastAsia" w:ascii="宋体" w:hAnsi="宋体" w:eastAsia="宋体" w:cs="宋体"/>
          <w:color w:val="auto"/>
          <w:szCs w:val="24"/>
          <w:highlight w:val="none"/>
        </w:rPr>
        <w:fldChar w:fldCharType="end"/>
      </w:r>
    </w:p>
    <w:p>
      <w:pPr>
        <w:pStyle w:val="11"/>
        <w:tabs>
          <w:tab w:val="right" w:leader="dot" w:pos="9746"/>
        </w:tabs>
        <w:rPr>
          <w:rFonts w:hint="eastAsia" w:ascii="宋体" w:hAnsi="宋体" w:eastAsia="宋体" w:cs="宋体"/>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_Toc24057 </w:instrText>
      </w:r>
      <w:r>
        <w:rPr>
          <w:rFonts w:hint="eastAsia" w:ascii="宋体" w:hAnsi="宋体" w:eastAsia="宋体" w:cs="宋体"/>
          <w:color w:val="auto"/>
          <w:szCs w:val="24"/>
          <w:highlight w:val="none"/>
        </w:rPr>
        <w:fldChar w:fldCharType="separate"/>
      </w:r>
      <w:r>
        <w:rPr>
          <w:rFonts w:hint="eastAsia" w:ascii="宋体" w:hAnsi="宋体" w:eastAsia="宋体" w:cs="宋体"/>
          <w:color w:val="auto"/>
          <w:szCs w:val="21"/>
          <w:highlight w:val="none"/>
        </w:rPr>
        <w:t>（四）投标文件的提交</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_Toc24057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33</w:t>
      </w:r>
      <w:r>
        <w:rPr>
          <w:rFonts w:hint="eastAsia" w:ascii="宋体" w:hAnsi="宋体" w:eastAsia="宋体" w:cs="宋体"/>
          <w:color w:val="auto"/>
          <w:highlight w:val="none"/>
        </w:rPr>
        <w:fldChar w:fldCharType="end"/>
      </w:r>
      <w:r>
        <w:rPr>
          <w:rFonts w:hint="eastAsia" w:ascii="宋体" w:hAnsi="宋体" w:eastAsia="宋体" w:cs="宋体"/>
          <w:color w:val="auto"/>
          <w:szCs w:val="24"/>
          <w:highlight w:val="none"/>
        </w:rPr>
        <w:fldChar w:fldCharType="end"/>
      </w:r>
    </w:p>
    <w:p>
      <w:pPr>
        <w:pStyle w:val="11"/>
        <w:tabs>
          <w:tab w:val="right" w:leader="dot" w:pos="9746"/>
        </w:tabs>
        <w:rPr>
          <w:rFonts w:hint="eastAsia" w:ascii="宋体" w:hAnsi="宋体" w:eastAsia="宋体" w:cs="宋体"/>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_Toc13732 </w:instrText>
      </w:r>
      <w:r>
        <w:rPr>
          <w:rFonts w:hint="eastAsia" w:ascii="宋体" w:hAnsi="宋体" w:eastAsia="宋体" w:cs="宋体"/>
          <w:color w:val="auto"/>
          <w:szCs w:val="24"/>
          <w:highlight w:val="none"/>
        </w:rPr>
        <w:fldChar w:fldCharType="separate"/>
      </w:r>
      <w:r>
        <w:rPr>
          <w:rFonts w:hint="eastAsia" w:ascii="宋体" w:hAnsi="宋体" w:eastAsia="宋体" w:cs="宋体"/>
          <w:color w:val="auto"/>
          <w:szCs w:val="21"/>
          <w:highlight w:val="none"/>
        </w:rPr>
        <w:t>（五）开标、评标、定标及合同签定</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_Toc13732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34</w:t>
      </w:r>
      <w:r>
        <w:rPr>
          <w:rFonts w:hint="eastAsia" w:ascii="宋体" w:hAnsi="宋体" w:eastAsia="宋体" w:cs="宋体"/>
          <w:color w:val="auto"/>
          <w:highlight w:val="none"/>
        </w:rPr>
        <w:fldChar w:fldCharType="end"/>
      </w:r>
      <w:r>
        <w:rPr>
          <w:rFonts w:hint="eastAsia" w:ascii="宋体" w:hAnsi="宋体" w:eastAsia="宋体" w:cs="宋体"/>
          <w:color w:val="auto"/>
          <w:szCs w:val="24"/>
          <w:highlight w:val="none"/>
        </w:rPr>
        <w:fldChar w:fldCharType="end"/>
      </w:r>
    </w:p>
    <w:p>
      <w:pPr>
        <w:pStyle w:val="16"/>
        <w:tabs>
          <w:tab w:val="right" w:leader="dot" w:pos="9746"/>
          <w:tab w:val="clear" w:pos="9060"/>
        </w:tabs>
        <w:rPr>
          <w:rFonts w:hint="eastAsia" w:ascii="宋体" w:hAnsi="宋体" w:eastAsia="宋体" w:cs="宋体"/>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_Toc12835 </w:instrText>
      </w:r>
      <w:r>
        <w:rPr>
          <w:rFonts w:hint="eastAsia" w:ascii="宋体" w:hAnsi="宋体" w:eastAsia="宋体" w:cs="宋体"/>
          <w:color w:val="auto"/>
          <w:szCs w:val="24"/>
          <w:highlight w:val="none"/>
        </w:rPr>
        <w:fldChar w:fldCharType="separate"/>
      </w:r>
      <w:r>
        <w:rPr>
          <w:rFonts w:hint="eastAsia" w:ascii="宋体" w:hAnsi="宋体" w:eastAsia="宋体" w:cs="宋体"/>
          <w:bCs/>
          <w:color w:val="auto"/>
          <w:szCs w:val="24"/>
          <w:highlight w:val="none"/>
        </w:rPr>
        <w:t>第二章  开标、评标及定标办法</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_Toc12835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37</w:t>
      </w:r>
      <w:r>
        <w:rPr>
          <w:rFonts w:hint="eastAsia" w:ascii="宋体" w:hAnsi="宋体" w:eastAsia="宋体" w:cs="宋体"/>
          <w:color w:val="auto"/>
          <w:highlight w:val="none"/>
        </w:rPr>
        <w:fldChar w:fldCharType="end"/>
      </w:r>
      <w:r>
        <w:rPr>
          <w:rFonts w:hint="eastAsia" w:ascii="宋体" w:hAnsi="宋体" w:eastAsia="宋体" w:cs="宋体"/>
          <w:color w:val="auto"/>
          <w:szCs w:val="24"/>
          <w:highlight w:val="none"/>
        </w:rPr>
        <w:fldChar w:fldCharType="end"/>
      </w:r>
    </w:p>
    <w:p>
      <w:pPr>
        <w:pStyle w:val="2"/>
        <w:tabs>
          <w:tab w:val="right" w:leader="dot" w:pos="9746"/>
          <w:tab w:val="clear" w:pos="9060"/>
        </w:tabs>
        <w:rPr>
          <w:rFonts w:hint="eastAsia" w:ascii="宋体" w:hAnsi="宋体" w:eastAsia="宋体" w:cs="宋体"/>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_Toc20882 </w:instrText>
      </w:r>
      <w:r>
        <w:rPr>
          <w:rFonts w:hint="eastAsia" w:ascii="宋体" w:hAnsi="宋体" w:eastAsia="宋体" w:cs="宋体"/>
          <w:color w:val="auto"/>
          <w:szCs w:val="24"/>
          <w:highlight w:val="none"/>
        </w:rPr>
        <w:fldChar w:fldCharType="separate"/>
      </w:r>
      <w:r>
        <w:rPr>
          <w:rFonts w:hint="eastAsia" w:ascii="宋体" w:hAnsi="宋体" w:eastAsia="宋体" w:cs="宋体"/>
          <w:color w:val="auto"/>
          <w:szCs w:val="24"/>
          <w:highlight w:val="none"/>
        </w:rPr>
        <w:t>一、开标、评标及定标办法修改表</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_Toc20882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37</w:t>
      </w:r>
      <w:r>
        <w:rPr>
          <w:rFonts w:hint="eastAsia" w:ascii="宋体" w:hAnsi="宋体" w:eastAsia="宋体" w:cs="宋体"/>
          <w:color w:val="auto"/>
          <w:highlight w:val="none"/>
        </w:rPr>
        <w:fldChar w:fldCharType="end"/>
      </w:r>
      <w:r>
        <w:rPr>
          <w:rFonts w:hint="eastAsia" w:ascii="宋体" w:hAnsi="宋体" w:eastAsia="宋体" w:cs="宋体"/>
          <w:color w:val="auto"/>
          <w:szCs w:val="24"/>
          <w:highlight w:val="none"/>
        </w:rPr>
        <w:fldChar w:fldCharType="end"/>
      </w:r>
    </w:p>
    <w:p>
      <w:pPr>
        <w:pStyle w:val="2"/>
        <w:tabs>
          <w:tab w:val="right" w:leader="dot" w:pos="9746"/>
          <w:tab w:val="clear" w:pos="9060"/>
        </w:tabs>
        <w:rPr>
          <w:rFonts w:hint="eastAsia" w:ascii="宋体" w:hAnsi="宋体" w:eastAsia="宋体" w:cs="宋体"/>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_Toc5678 </w:instrText>
      </w:r>
      <w:r>
        <w:rPr>
          <w:rFonts w:hint="eastAsia" w:ascii="宋体" w:hAnsi="宋体" w:eastAsia="宋体" w:cs="宋体"/>
          <w:color w:val="auto"/>
          <w:szCs w:val="24"/>
          <w:highlight w:val="none"/>
        </w:rPr>
        <w:fldChar w:fldCharType="separate"/>
      </w:r>
      <w:r>
        <w:rPr>
          <w:rFonts w:hint="eastAsia" w:ascii="宋体" w:hAnsi="宋体" w:eastAsia="宋体" w:cs="宋体"/>
          <w:color w:val="auto"/>
          <w:highlight w:val="none"/>
        </w:rPr>
        <w:t>二、开标、评标及定标办法</w:t>
      </w:r>
      <w:r>
        <w:rPr>
          <w:rFonts w:hint="eastAsia" w:ascii="宋体" w:hAnsi="宋体" w:eastAsia="宋体" w:cs="宋体"/>
          <w:color w:val="auto"/>
          <w:szCs w:val="30"/>
          <w:highlight w:val="none"/>
        </w:rPr>
        <w:t>通用条款</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_Toc5678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45</w:t>
      </w:r>
      <w:r>
        <w:rPr>
          <w:rFonts w:hint="eastAsia" w:ascii="宋体" w:hAnsi="宋体" w:eastAsia="宋体" w:cs="宋体"/>
          <w:color w:val="auto"/>
          <w:highlight w:val="none"/>
        </w:rPr>
        <w:fldChar w:fldCharType="end"/>
      </w:r>
      <w:r>
        <w:rPr>
          <w:rFonts w:hint="eastAsia" w:ascii="宋体" w:hAnsi="宋体" w:eastAsia="宋体" w:cs="宋体"/>
          <w:color w:val="auto"/>
          <w:szCs w:val="24"/>
          <w:highlight w:val="none"/>
        </w:rPr>
        <w:fldChar w:fldCharType="end"/>
      </w:r>
    </w:p>
    <w:p>
      <w:pPr>
        <w:pStyle w:val="11"/>
        <w:tabs>
          <w:tab w:val="right" w:leader="dot" w:pos="9746"/>
        </w:tabs>
        <w:rPr>
          <w:rFonts w:hint="eastAsia" w:ascii="宋体" w:hAnsi="宋体" w:eastAsia="宋体" w:cs="宋体"/>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_Toc31373 </w:instrText>
      </w:r>
      <w:r>
        <w:rPr>
          <w:rFonts w:hint="eastAsia" w:ascii="宋体" w:hAnsi="宋体" w:eastAsia="宋体" w:cs="宋体"/>
          <w:color w:val="auto"/>
          <w:szCs w:val="24"/>
          <w:highlight w:val="none"/>
        </w:rPr>
        <w:fldChar w:fldCharType="separate"/>
      </w:r>
      <w:r>
        <w:rPr>
          <w:rFonts w:hint="eastAsia" w:ascii="宋体" w:hAnsi="宋体" w:eastAsia="宋体" w:cs="宋体"/>
          <w:bCs/>
          <w:color w:val="auto"/>
          <w:highlight w:val="none"/>
        </w:rPr>
        <w:t>（一）总则</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_Toc31373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45</w:t>
      </w:r>
      <w:r>
        <w:rPr>
          <w:rFonts w:hint="eastAsia" w:ascii="宋体" w:hAnsi="宋体" w:eastAsia="宋体" w:cs="宋体"/>
          <w:color w:val="auto"/>
          <w:highlight w:val="none"/>
        </w:rPr>
        <w:fldChar w:fldCharType="end"/>
      </w:r>
      <w:r>
        <w:rPr>
          <w:rFonts w:hint="eastAsia" w:ascii="宋体" w:hAnsi="宋体" w:eastAsia="宋体" w:cs="宋体"/>
          <w:color w:val="auto"/>
          <w:szCs w:val="24"/>
          <w:highlight w:val="none"/>
        </w:rPr>
        <w:fldChar w:fldCharType="end"/>
      </w:r>
    </w:p>
    <w:p>
      <w:pPr>
        <w:pStyle w:val="11"/>
        <w:tabs>
          <w:tab w:val="right" w:leader="dot" w:pos="9746"/>
        </w:tabs>
        <w:rPr>
          <w:rFonts w:hint="eastAsia" w:ascii="宋体" w:hAnsi="宋体" w:eastAsia="宋体" w:cs="宋体"/>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_Toc9740 </w:instrText>
      </w:r>
      <w:r>
        <w:rPr>
          <w:rFonts w:hint="eastAsia" w:ascii="宋体" w:hAnsi="宋体" w:eastAsia="宋体" w:cs="宋体"/>
          <w:color w:val="auto"/>
          <w:szCs w:val="24"/>
          <w:highlight w:val="none"/>
        </w:rPr>
        <w:fldChar w:fldCharType="separate"/>
      </w:r>
      <w:r>
        <w:rPr>
          <w:rFonts w:hint="eastAsia" w:ascii="宋体" w:hAnsi="宋体" w:eastAsia="宋体" w:cs="宋体"/>
          <w:bCs/>
          <w:color w:val="auto"/>
          <w:highlight w:val="none"/>
        </w:rPr>
        <w:t>（二）开标评标办法程序和细则</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_Toc9740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47</w:t>
      </w:r>
      <w:r>
        <w:rPr>
          <w:rFonts w:hint="eastAsia" w:ascii="宋体" w:hAnsi="宋体" w:eastAsia="宋体" w:cs="宋体"/>
          <w:color w:val="auto"/>
          <w:highlight w:val="none"/>
        </w:rPr>
        <w:fldChar w:fldCharType="end"/>
      </w:r>
      <w:r>
        <w:rPr>
          <w:rFonts w:hint="eastAsia" w:ascii="宋体" w:hAnsi="宋体" w:eastAsia="宋体" w:cs="宋体"/>
          <w:color w:val="auto"/>
          <w:szCs w:val="24"/>
          <w:highlight w:val="none"/>
        </w:rPr>
        <w:fldChar w:fldCharType="end"/>
      </w:r>
    </w:p>
    <w:p>
      <w:pPr>
        <w:pStyle w:val="11"/>
        <w:tabs>
          <w:tab w:val="right" w:leader="dot" w:pos="9746"/>
        </w:tabs>
        <w:rPr>
          <w:rFonts w:hint="eastAsia" w:ascii="宋体" w:hAnsi="宋体" w:eastAsia="宋体" w:cs="宋体"/>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_Toc3121 </w:instrText>
      </w:r>
      <w:r>
        <w:rPr>
          <w:rFonts w:hint="eastAsia" w:ascii="宋体" w:hAnsi="宋体" w:eastAsia="宋体" w:cs="宋体"/>
          <w:color w:val="auto"/>
          <w:szCs w:val="24"/>
          <w:highlight w:val="none"/>
        </w:rPr>
        <w:fldChar w:fldCharType="separate"/>
      </w:r>
      <w:r>
        <w:rPr>
          <w:rFonts w:hint="eastAsia" w:ascii="宋体" w:hAnsi="宋体" w:eastAsia="宋体" w:cs="宋体"/>
          <w:color w:val="auto"/>
          <w:szCs w:val="24"/>
          <w:highlight w:val="none"/>
        </w:rPr>
        <w:t>可选办法七（适合综合评分法四，技术标与经济标同时开启）</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_Toc3121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47</w:t>
      </w:r>
      <w:r>
        <w:rPr>
          <w:rFonts w:hint="eastAsia" w:ascii="宋体" w:hAnsi="宋体" w:eastAsia="宋体" w:cs="宋体"/>
          <w:color w:val="auto"/>
          <w:highlight w:val="none"/>
        </w:rPr>
        <w:fldChar w:fldCharType="end"/>
      </w:r>
      <w:r>
        <w:rPr>
          <w:rFonts w:hint="eastAsia" w:ascii="宋体" w:hAnsi="宋体" w:eastAsia="宋体" w:cs="宋体"/>
          <w:color w:val="auto"/>
          <w:szCs w:val="24"/>
          <w:highlight w:val="none"/>
        </w:rPr>
        <w:fldChar w:fldCharType="end"/>
      </w:r>
    </w:p>
    <w:p>
      <w:pPr>
        <w:pStyle w:val="16"/>
        <w:tabs>
          <w:tab w:val="right" w:leader="dot" w:pos="9746"/>
          <w:tab w:val="clear" w:pos="9060"/>
        </w:tabs>
        <w:rPr>
          <w:rFonts w:hint="eastAsia" w:ascii="宋体" w:hAnsi="宋体" w:eastAsia="宋体" w:cs="宋体"/>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_Toc5789 </w:instrText>
      </w:r>
      <w:r>
        <w:rPr>
          <w:rFonts w:hint="eastAsia" w:ascii="宋体" w:hAnsi="宋体" w:eastAsia="宋体" w:cs="宋体"/>
          <w:color w:val="auto"/>
          <w:szCs w:val="24"/>
          <w:highlight w:val="none"/>
        </w:rPr>
        <w:fldChar w:fldCharType="separate"/>
      </w:r>
      <w:r>
        <w:rPr>
          <w:rFonts w:hint="eastAsia" w:ascii="宋体" w:hAnsi="宋体" w:eastAsia="宋体" w:cs="宋体"/>
          <w:bCs w:val="0"/>
          <w:color w:val="auto"/>
          <w:szCs w:val="44"/>
          <w:highlight w:val="none"/>
        </w:rPr>
        <w:t>第三章  合同条款</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_Toc5789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65</w:t>
      </w:r>
      <w:r>
        <w:rPr>
          <w:rFonts w:hint="eastAsia" w:ascii="宋体" w:hAnsi="宋体" w:eastAsia="宋体" w:cs="宋体"/>
          <w:color w:val="auto"/>
          <w:highlight w:val="none"/>
        </w:rPr>
        <w:fldChar w:fldCharType="end"/>
      </w:r>
      <w:r>
        <w:rPr>
          <w:rFonts w:hint="eastAsia" w:ascii="宋体" w:hAnsi="宋体" w:eastAsia="宋体" w:cs="宋体"/>
          <w:color w:val="auto"/>
          <w:szCs w:val="24"/>
          <w:highlight w:val="none"/>
        </w:rPr>
        <w:fldChar w:fldCharType="end"/>
      </w:r>
    </w:p>
    <w:p>
      <w:pPr>
        <w:pStyle w:val="16"/>
        <w:tabs>
          <w:tab w:val="right" w:leader="dot" w:pos="9746"/>
          <w:tab w:val="clear" w:pos="9060"/>
        </w:tabs>
        <w:rPr>
          <w:rFonts w:hint="eastAsia" w:ascii="宋体" w:hAnsi="宋体" w:eastAsia="宋体" w:cs="宋体"/>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_Toc30083 </w:instrText>
      </w:r>
      <w:r>
        <w:rPr>
          <w:rFonts w:hint="eastAsia" w:ascii="宋体" w:hAnsi="宋体" w:eastAsia="宋体" w:cs="宋体"/>
          <w:color w:val="auto"/>
          <w:szCs w:val="24"/>
          <w:highlight w:val="none"/>
        </w:rPr>
        <w:fldChar w:fldCharType="separate"/>
      </w:r>
      <w:r>
        <w:rPr>
          <w:rFonts w:hint="eastAsia" w:ascii="宋体" w:hAnsi="宋体" w:eastAsia="宋体" w:cs="宋体"/>
          <w:bCs w:val="0"/>
          <w:color w:val="auto"/>
          <w:szCs w:val="32"/>
          <w:highlight w:val="none"/>
        </w:rPr>
        <w:t>第四章  投标文件格式</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_Toc30083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128</w:t>
      </w:r>
      <w:r>
        <w:rPr>
          <w:rFonts w:hint="eastAsia" w:ascii="宋体" w:hAnsi="宋体" w:eastAsia="宋体" w:cs="宋体"/>
          <w:color w:val="auto"/>
          <w:highlight w:val="none"/>
        </w:rPr>
        <w:fldChar w:fldCharType="end"/>
      </w:r>
      <w:r>
        <w:rPr>
          <w:rFonts w:hint="eastAsia" w:ascii="宋体" w:hAnsi="宋体" w:eastAsia="宋体" w:cs="宋体"/>
          <w:color w:val="auto"/>
          <w:szCs w:val="24"/>
          <w:highlight w:val="none"/>
        </w:rPr>
        <w:fldChar w:fldCharType="end"/>
      </w:r>
    </w:p>
    <w:p>
      <w:pPr>
        <w:pStyle w:val="16"/>
        <w:tabs>
          <w:tab w:val="right" w:leader="dot" w:pos="9746"/>
          <w:tab w:val="clear" w:pos="9060"/>
        </w:tabs>
        <w:rPr>
          <w:rFonts w:hint="eastAsia" w:ascii="宋体" w:hAnsi="宋体" w:eastAsia="宋体" w:cs="宋体"/>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_Toc9312 </w:instrText>
      </w:r>
      <w:r>
        <w:rPr>
          <w:rFonts w:hint="eastAsia" w:ascii="宋体" w:hAnsi="宋体" w:eastAsia="宋体" w:cs="宋体"/>
          <w:color w:val="auto"/>
          <w:szCs w:val="24"/>
          <w:highlight w:val="none"/>
        </w:rPr>
        <w:fldChar w:fldCharType="separate"/>
      </w:r>
      <w:r>
        <w:rPr>
          <w:rFonts w:hint="eastAsia" w:ascii="宋体" w:hAnsi="宋体" w:eastAsia="宋体" w:cs="宋体"/>
          <w:color w:val="auto"/>
          <w:szCs w:val="24"/>
          <w:highlight w:val="none"/>
        </w:rPr>
        <w:t>第五章  技术条件（工程建设标准）</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_Toc9312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148</w:t>
      </w:r>
      <w:r>
        <w:rPr>
          <w:rFonts w:hint="eastAsia" w:ascii="宋体" w:hAnsi="宋体" w:eastAsia="宋体" w:cs="宋体"/>
          <w:color w:val="auto"/>
          <w:highlight w:val="none"/>
        </w:rPr>
        <w:fldChar w:fldCharType="end"/>
      </w:r>
      <w:r>
        <w:rPr>
          <w:rFonts w:hint="eastAsia" w:ascii="宋体" w:hAnsi="宋体" w:eastAsia="宋体" w:cs="宋体"/>
          <w:color w:val="auto"/>
          <w:szCs w:val="24"/>
          <w:highlight w:val="none"/>
        </w:rPr>
        <w:fldChar w:fldCharType="end"/>
      </w:r>
    </w:p>
    <w:p>
      <w:pPr>
        <w:pStyle w:val="16"/>
        <w:tabs>
          <w:tab w:val="right" w:leader="dot" w:pos="9746"/>
          <w:tab w:val="clear" w:pos="9060"/>
        </w:tabs>
        <w:rPr>
          <w:rFonts w:hint="eastAsia" w:ascii="宋体" w:hAnsi="宋体" w:eastAsia="宋体" w:cs="宋体"/>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_Toc9353 </w:instrText>
      </w:r>
      <w:r>
        <w:rPr>
          <w:rFonts w:hint="eastAsia" w:ascii="宋体" w:hAnsi="宋体" w:eastAsia="宋体" w:cs="宋体"/>
          <w:color w:val="auto"/>
          <w:szCs w:val="24"/>
          <w:highlight w:val="none"/>
        </w:rPr>
        <w:fldChar w:fldCharType="separate"/>
      </w:r>
      <w:r>
        <w:rPr>
          <w:rFonts w:hint="eastAsia" w:ascii="宋体" w:hAnsi="宋体" w:eastAsia="宋体" w:cs="宋体"/>
          <w:color w:val="auto"/>
          <w:szCs w:val="24"/>
          <w:highlight w:val="none"/>
        </w:rPr>
        <w:t>第六章  图纸及勘察资料</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_Toc9353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151</w:t>
      </w:r>
      <w:r>
        <w:rPr>
          <w:rFonts w:hint="eastAsia" w:ascii="宋体" w:hAnsi="宋体" w:eastAsia="宋体" w:cs="宋体"/>
          <w:color w:val="auto"/>
          <w:highlight w:val="none"/>
        </w:rPr>
        <w:fldChar w:fldCharType="end"/>
      </w:r>
      <w:r>
        <w:rPr>
          <w:rFonts w:hint="eastAsia" w:ascii="宋体" w:hAnsi="宋体" w:eastAsia="宋体" w:cs="宋体"/>
          <w:color w:val="auto"/>
          <w:szCs w:val="24"/>
          <w:highlight w:val="none"/>
        </w:rPr>
        <w:fldChar w:fldCharType="end"/>
      </w:r>
    </w:p>
    <w:p>
      <w:pPr>
        <w:pStyle w:val="16"/>
        <w:tabs>
          <w:tab w:val="right" w:leader="dot" w:pos="9746"/>
          <w:tab w:val="clear" w:pos="9060"/>
        </w:tabs>
        <w:rPr>
          <w:rFonts w:hint="eastAsia" w:ascii="宋体" w:hAnsi="宋体" w:eastAsia="宋体" w:cs="宋体"/>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_Toc22481 </w:instrText>
      </w:r>
      <w:r>
        <w:rPr>
          <w:rFonts w:hint="eastAsia" w:ascii="宋体" w:hAnsi="宋体" w:eastAsia="宋体" w:cs="宋体"/>
          <w:color w:val="auto"/>
          <w:szCs w:val="24"/>
          <w:highlight w:val="none"/>
        </w:rPr>
        <w:fldChar w:fldCharType="separate"/>
      </w:r>
      <w:r>
        <w:rPr>
          <w:rFonts w:hint="eastAsia" w:ascii="宋体" w:hAnsi="宋体" w:eastAsia="宋体" w:cs="宋体"/>
          <w:color w:val="auto"/>
          <w:szCs w:val="24"/>
          <w:highlight w:val="none"/>
        </w:rPr>
        <w:t>第七章  工程量清单</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_Toc22481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152</w:t>
      </w:r>
      <w:r>
        <w:rPr>
          <w:rFonts w:hint="eastAsia" w:ascii="宋体" w:hAnsi="宋体" w:eastAsia="宋体" w:cs="宋体"/>
          <w:color w:val="auto"/>
          <w:highlight w:val="none"/>
        </w:rPr>
        <w:fldChar w:fldCharType="end"/>
      </w:r>
      <w:r>
        <w:rPr>
          <w:rFonts w:hint="eastAsia" w:ascii="宋体" w:hAnsi="宋体" w:eastAsia="宋体" w:cs="宋体"/>
          <w:color w:val="auto"/>
          <w:szCs w:val="24"/>
          <w:highlight w:val="none"/>
        </w:rPr>
        <w:fldChar w:fldCharType="end"/>
      </w:r>
    </w:p>
    <w:p>
      <w:pPr>
        <w:pStyle w:val="16"/>
        <w:tabs>
          <w:tab w:val="right" w:leader="dot" w:pos="9746"/>
          <w:tab w:val="clear" w:pos="9060"/>
        </w:tabs>
        <w:rPr>
          <w:rFonts w:hint="eastAsia" w:ascii="宋体" w:hAnsi="宋体" w:eastAsia="宋体" w:cs="宋体"/>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_Toc3710 </w:instrText>
      </w:r>
      <w:r>
        <w:rPr>
          <w:rFonts w:hint="eastAsia" w:ascii="宋体" w:hAnsi="宋体" w:eastAsia="宋体" w:cs="宋体"/>
          <w:color w:val="auto"/>
          <w:szCs w:val="24"/>
          <w:highlight w:val="none"/>
        </w:rPr>
        <w:fldChar w:fldCharType="separate"/>
      </w:r>
      <w:r>
        <w:rPr>
          <w:rFonts w:hint="eastAsia" w:ascii="宋体" w:hAnsi="宋体" w:eastAsia="宋体" w:cs="宋体"/>
          <w:color w:val="auto"/>
          <w:szCs w:val="24"/>
          <w:highlight w:val="none"/>
        </w:rPr>
        <w:t>第八章  最高投标限价</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_Toc3710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153</w:t>
      </w:r>
      <w:r>
        <w:rPr>
          <w:rFonts w:hint="eastAsia" w:ascii="宋体" w:hAnsi="宋体" w:eastAsia="宋体" w:cs="宋体"/>
          <w:color w:val="auto"/>
          <w:highlight w:val="none"/>
        </w:rPr>
        <w:fldChar w:fldCharType="end"/>
      </w:r>
      <w:r>
        <w:rPr>
          <w:rFonts w:hint="eastAsia" w:ascii="宋体" w:hAnsi="宋体" w:eastAsia="宋体" w:cs="宋体"/>
          <w:color w:val="auto"/>
          <w:szCs w:val="24"/>
          <w:highlight w:val="none"/>
        </w:rPr>
        <w:fldChar w:fldCharType="end"/>
      </w:r>
    </w:p>
    <w:p>
      <w:pPr>
        <w:pStyle w:val="3"/>
        <w:tabs>
          <w:tab w:val="right" w:pos="9070"/>
        </w:tabs>
        <w:jc w:val="center"/>
        <w:rPr>
          <w:rFonts w:hint="eastAsia" w:ascii="宋体" w:hAnsi="宋体" w:eastAsia="宋体" w:cs="宋体"/>
          <w:color w:val="auto"/>
          <w:sz w:val="24"/>
          <w:szCs w:val="24"/>
          <w:highlight w:val="none"/>
        </w:rPr>
      </w:pPr>
      <w:r>
        <w:rPr>
          <w:rFonts w:hint="eastAsia" w:ascii="宋体" w:hAnsi="宋体" w:eastAsia="宋体" w:cs="宋体"/>
          <w:color w:val="auto"/>
          <w:szCs w:val="24"/>
          <w:highlight w:val="none"/>
        </w:rPr>
        <w:fldChar w:fldCharType="end"/>
      </w:r>
    </w:p>
    <w:p>
      <w:pPr>
        <w:pStyle w:val="3"/>
        <w:jc w:val="center"/>
        <w:rPr>
          <w:rFonts w:hint="eastAsia" w:ascii="宋体" w:hAnsi="宋体" w:eastAsia="宋体" w:cs="宋体"/>
          <w:color w:val="auto"/>
          <w:sz w:val="24"/>
          <w:szCs w:val="24"/>
          <w:highlight w:val="none"/>
        </w:rPr>
      </w:pPr>
    </w:p>
    <w:p>
      <w:pPr>
        <w:pStyle w:val="18"/>
        <w:jc w:val="center"/>
        <w:rPr>
          <w:rFonts w:hint="eastAsia" w:ascii="宋体" w:hAnsi="宋体" w:eastAsia="宋体" w:cs="宋体"/>
          <w:color w:val="auto"/>
          <w:highlight w:val="none"/>
        </w:rPr>
      </w:pPr>
    </w:p>
    <w:p>
      <w:pPr>
        <w:pStyle w:val="3"/>
        <w:spacing w:line="24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val="en-US" w:eastAsia="zh-CN"/>
        </w:rPr>
        <w:t xml:space="preserve">  </w:t>
      </w:r>
      <w:bookmarkStart w:id="0" w:name="_Toc6280"/>
      <w:r>
        <w:rPr>
          <w:rFonts w:hint="eastAsia" w:ascii="宋体" w:hAnsi="宋体" w:eastAsia="宋体" w:cs="宋体"/>
          <w:b/>
          <w:bCs/>
          <w:color w:val="auto"/>
          <w:sz w:val="32"/>
          <w:szCs w:val="32"/>
          <w:highlight w:val="none"/>
        </w:rPr>
        <w:t>第一章  投标须知</w:t>
      </w:r>
      <w:bookmarkEnd w:id="0"/>
    </w:p>
    <w:p>
      <w:pPr>
        <w:pStyle w:val="5"/>
        <w:spacing w:line="240" w:lineRule="auto"/>
        <w:rPr>
          <w:rFonts w:hint="eastAsia" w:ascii="宋体" w:hAnsi="宋体" w:eastAsia="宋体" w:cs="宋体"/>
          <w:color w:val="auto"/>
          <w:highlight w:val="none"/>
        </w:rPr>
      </w:pPr>
      <w:bookmarkStart w:id="1" w:name="_Toc27735"/>
      <w:r>
        <w:rPr>
          <w:rFonts w:hint="eastAsia" w:ascii="宋体" w:hAnsi="宋体" w:eastAsia="宋体" w:cs="宋体"/>
          <w:color w:val="auto"/>
          <w:highlight w:val="none"/>
        </w:rPr>
        <w:t>一、投标须知前附表</w:t>
      </w:r>
      <w:bookmarkEnd w:id="1"/>
    </w:p>
    <w:p>
      <w:pPr>
        <w:pStyle w:val="6"/>
        <w:spacing w:line="24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声明：本投标须知前附表使用GZZB2018-3招标文件范本，与范本不同之处均以下划线标明，所有标明下划线部分属于本表的组成部分，同其他部分具有同样的效力。对范本《投标须知通用条款》和《开标、评标和定标办法通用条款》可选择部分的选择使用，均已在本表中注明，通用条款可选择部分中未被本投标须知前附表选择的部分无效。</w:t>
      </w:r>
    </w:p>
    <w:tbl>
      <w:tblPr>
        <w:tblStyle w:val="20"/>
        <w:tblW w:w="4985" w:type="pc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1037"/>
        <w:gridCol w:w="1864"/>
        <w:gridCol w:w="629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trPr>
        <w:tc>
          <w:tcPr>
            <w:tcW w:w="370" w:type="pct"/>
            <w:tcBorders>
              <w:top w:val="double" w:color="auto" w:sz="4" w:space="0"/>
              <w:left w:val="double" w:color="auto" w:sz="4" w:space="0"/>
            </w:tcBorders>
            <w:noWrap w:val="0"/>
            <w:vAlign w:val="center"/>
          </w:tcPr>
          <w:p>
            <w:pPr>
              <w:spacing w:line="24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项目</w:t>
            </w:r>
          </w:p>
        </w:tc>
        <w:tc>
          <w:tcPr>
            <w:tcW w:w="522" w:type="pct"/>
            <w:tcBorders>
              <w:top w:val="double" w:color="auto" w:sz="4" w:space="0"/>
            </w:tcBorders>
            <w:noWrap w:val="0"/>
            <w:vAlign w:val="center"/>
          </w:tcPr>
          <w:p>
            <w:pPr>
              <w:spacing w:line="24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条款号</w:t>
            </w:r>
          </w:p>
        </w:tc>
        <w:tc>
          <w:tcPr>
            <w:tcW w:w="938" w:type="pct"/>
            <w:tcBorders>
              <w:top w:val="double" w:color="auto" w:sz="4" w:space="0"/>
            </w:tcBorders>
            <w:noWrap w:val="0"/>
            <w:vAlign w:val="center"/>
          </w:tcPr>
          <w:p>
            <w:pPr>
              <w:spacing w:line="24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内容</w:t>
            </w:r>
          </w:p>
        </w:tc>
        <w:tc>
          <w:tcPr>
            <w:tcW w:w="3168" w:type="pct"/>
            <w:tcBorders>
              <w:top w:val="double" w:color="auto" w:sz="4" w:space="0"/>
              <w:right w:val="double" w:color="auto" w:sz="4" w:space="0"/>
            </w:tcBorders>
            <w:noWrap w:val="0"/>
            <w:vAlign w:val="center"/>
          </w:tcPr>
          <w:p>
            <w:pPr>
              <w:pStyle w:val="13"/>
              <w:spacing w:line="240" w:lineRule="auto"/>
              <w:ind w:firstLine="458"/>
              <w:jc w:val="center"/>
              <w:rPr>
                <w:rFonts w:hint="eastAsia"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304" w:hRule="atLeast"/>
        </w:trPr>
        <w:tc>
          <w:tcPr>
            <w:tcW w:w="370" w:type="pct"/>
            <w:tcBorders>
              <w:left w:val="doub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522" w:type="pc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938" w:type="pc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定义</w:t>
            </w:r>
          </w:p>
        </w:tc>
        <w:tc>
          <w:tcPr>
            <w:tcW w:w="3168" w:type="pct"/>
            <w:tcBorders>
              <w:right w:val="double" w:color="auto" w:sz="4" w:space="0"/>
            </w:tcBorders>
            <w:noWrap w:val="0"/>
            <w:vAlign w:val="center"/>
          </w:tcPr>
          <w:p>
            <w:pPr>
              <w:spacing w:line="240" w:lineRule="auto"/>
              <w:rPr>
                <w:rFonts w:hint="eastAsia" w:ascii="宋体" w:hAnsi="宋体" w:cs="宋体"/>
                <w:color w:val="auto"/>
                <w:sz w:val="21"/>
                <w:szCs w:val="21"/>
                <w:highlight w:val="none"/>
                <w:u w:val="single"/>
                <w:lang w:eastAsia="zh-CN"/>
              </w:rPr>
            </w:pPr>
            <w:r>
              <w:rPr>
                <w:rFonts w:hint="eastAsia" w:ascii="宋体" w:hAnsi="宋体" w:eastAsia="宋体" w:cs="宋体"/>
                <w:color w:val="auto"/>
                <w:sz w:val="21"/>
                <w:szCs w:val="21"/>
                <w:highlight w:val="none"/>
              </w:rPr>
              <w:t>招标人（即发包人）：</w:t>
            </w:r>
            <w:r>
              <w:rPr>
                <w:rFonts w:hint="eastAsia" w:ascii="宋体" w:hAnsi="宋体" w:cs="宋体"/>
                <w:color w:val="auto"/>
                <w:sz w:val="21"/>
                <w:szCs w:val="21"/>
                <w:highlight w:val="none"/>
                <w:u w:val="single"/>
                <w:lang w:eastAsia="zh-CN"/>
              </w:rPr>
              <w:t>广州开发区财政投资建设项目管理中心</w:t>
            </w:r>
          </w:p>
          <w:p>
            <w:pPr>
              <w:spacing w:line="240" w:lineRule="auto"/>
              <w:rPr>
                <w:rFonts w:hint="default"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rPr>
              <w:t>招标代理：</w:t>
            </w:r>
            <w:r>
              <w:rPr>
                <w:rFonts w:hint="eastAsia" w:ascii="宋体" w:hAnsi="宋体" w:cs="宋体"/>
                <w:color w:val="auto"/>
                <w:sz w:val="21"/>
                <w:szCs w:val="21"/>
                <w:highlight w:val="none"/>
                <w:u w:val="single"/>
                <w:lang w:val="en-US" w:eastAsia="zh-CN"/>
              </w:rPr>
              <w:t>广州筑正工程建设管理有限公司</w:t>
            </w:r>
          </w:p>
          <w:p>
            <w:pPr>
              <w:spacing w:line="240" w:lineRule="auto"/>
              <w:rPr>
                <w:rFonts w:hint="default"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rPr>
              <w:t>设计单位：</w:t>
            </w:r>
            <w:r>
              <w:rPr>
                <w:rFonts w:hint="eastAsia" w:ascii="宋体" w:hAnsi="宋体" w:eastAsia="宋体" w:cs="宋体"/>
                <w:color w:val="auto"/>
                <w:sz w:val="21"/>
                <w:szCs w:val="21"/>
                <w:highlight w:val="none"/>
                <w:u w:val="single"/>
              </w:rPr>
              <w:t>林同棪国际工程咨询(中国)有限公司</w:t>
            </w:r>
          </w:p>
          <w:p>
            <w:pPr>
              <w:spacing w:line="240" w:lineRule="auto"/>
              <w:rPr>
                <w:rFonts w:hint="default"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rPr>
              <w:t>监理单位：</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检测机构：</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w:t>
            </w:r>
            <w:r>
              <w:rPr>
                <w:rFonts w:hint="eastAsia" w:ascii="宋体" w:hAnsi="宋体" w:eastAsia="宋体" w:cs="宋体"/>
                <w:color w:val="auto"/>
                <w:sz w:val="21"/>
                <w:szCs w:val="21"/>
                <w:highlight w:val="none"/>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370" w:type="pct"/>
            <w:tcBorders>
              <w:left w:val="doub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522" w:type="pc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w:t>
            </w:r>
          </w:p>
        </w:tc>
        <w:tc>
          <w:tcPr>
            <w:tcW w:w="938" w:type="pc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工程名称</w:t>
            </w:r>
          </w:p>
        </w:tc>
        <w:tc>
          <w:tcPr>
            <w:tcW w:w="3168" w:type="pct"/>
            <w:tcBorders>
              <w:right w:val="double" w:color="auto" w:sz="4" w:space="0"/>
            </w:tcBorders>
            <w:noWrap w:val="0"/>
            <w:vAlign w:val="center"/>
          </w:tcPr>
          <w:p>
            <w:pPr>
              <w:spacing w:line="240" w:lineRule="auto"/>
              <w:rPr>
                <w:rFonts w:hint="eastAsia" w:ascii="宋体" w:hAnsi="宋体" w:eastAsia="宋体" w:cs="宋体"/>
                <w:color w:val="auto"/>
                <w:sz w:val="21"/>
                <w:szCs w:val="21"/>
                <w:highlight w:val="none"/>
                <w:u w:val="single"/>
                <w:lang w:val="en-US" w:eastAsia="zh-CN"/>
              </w:rPr>
            </w:pPr>
            <w:r>
              <w:rPr>
                <w:rFonts w:hint="eastAsia" w:ascii="宋体" w:hAnsi="宋体" w:cs="宋体"/>
                <w:color w:val="auto"/>
                <w:sz w:val="21"/>
                <w:szCs w:val="21"/>
                <w:highlight w:val="none"/>
                <w:u w:val="single"/>
                <w:lang w:val="en-US" w:eastAsia="zh-CN"/>
              </w:rPr>
              <w:t>滨河路跨墩头涌通道工程</w:t>
            </w:r>
            <w:r>
              <w:rPr>
                <w:rFonts w:hint="eastAsia" w:ascii="宋体" w:hAnsi="宋体" w:eastAsia="宋体" w:cs="宋体"/>
                <w:color w:val="auto"/>
                <w:sz w:val="21"/>
                <w:szCs w:val="21"/>
                <w:highlight w:val="none"/>
                <w:u w:val="single"/>
                <w:lang w:val="en-US" w:eastAsia="zh-CN"/>
              </w:rPr>
              <w:t>施工总承包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370" w:type="pct"/>
            <w:tcBorders>
              <w:left w:val="doub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522" w:type="pc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w:t>
            </w:r>
          </w:p>
        </w:tc>
        <w:tc>
          <w:tcPr>
            <w:tcW w:w="938" w:type="pc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建设地点</w:t>
            </w:r>
          </w:p>
        </w:tc>
        <w:tc>
          <w:tcPr>
            <w:tcW w:w="3168" w:type="pct"/>
            <w:tcBorders>
              <w:right w:val="double" w:color="auto" w:sz="4" w:space="0"/>
            </w:tcBorders>
            <w:noWrap w:val="0"/>
            <w:vAlign w:val="center"/>
          </w:tcPr>
          <w:p>
            <w:pPr>
              <w:spacing w:line="24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广州市黄埔区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370" w:type="pct"/>
            <w:tcBorders>
              <w:left w:val="doub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522" w:type="pc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w:t>
            </w:r>
          </w:p>
        </w:tc>
        <w:tc>
          <w:tcPr>
            <w:tcW w:w="938" w:type="pc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建设规模</w:t>
            </w:r>
          </w:p>
        </w:tc>
        <w:tc>
          <w:tcPr>
            <w:tcW w:w="3168" w:type="pct"/>
            <w:tcBorders>
              <w:right w:val="double" w:color="auto" w:sz="4" w:space="0"/>
            </w:tcBorders>
            <w:noWrap w:val="0"/>
            <w:vAlign w:val="center"/>
          </w:tcPr>
          <w:p>
            <w:pPr>
              <w:spacing w:line="24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详见本工程招标公告，具体以工程量清单及图纸为准。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370" w:type="pct"/>
            <w:tcBorders>
              <w:left w:val="doub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522" w:type="pc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w:t>
            </w:r>
          </w:p>
        </w:tc>
        <w:tc>
          <w:tcPr>
            <w:tcW w:w="938" w:type="pc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承包方式</w:t>
            </w:r>
          </w:p>
        </w:tc>
        <w:tc>
          <w:tcPr>
            <w:tcW w:w="3168" w:type="pct"/>
            <w:tcBorders>
              <w:right w:val="double" w:color="auto" w:sz="4" w:space="0"/>
            </w:tcBorders>
            <w:noWrap w:val="0"/>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包工、包料、包工期、包质量、包安全、包文明施工、包验收、包保修。综合单价包干；措施项目费（除施工围蔽费用外）包干，施工围蔽清单综合单价包干，工程量按实计量。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370" w:type="pct"/>
            <w:tcBorders>
              <w:left w:val="doub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522" w:type="pc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w:t>
            </w:r>
          </w:p>
        </w:tc>
        <w:tc>
          <w:tcPr>
            <w:tcW w:w="938" w:type="pc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质量标准</w:t>
            </w:r>
          </w:p>
        </w:tc>
        <w:tc>
          <w:tcPr>
            <w:tcW w:w="3168" w:type="pct"/>
            <w:tcBorders>
              <w:right w:val="double" w:color="auto" w:sz="4" w:space="0"/>
            </w:tcBorders>
            <w:noWrap w:val="0"/>
            <w:vAlign w:val="center"/>
          </w:tcPr>
          <w:p>
            <w:pPr>
              <w:spacing w:line="24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工程质量达到国家或行业质量检验评定的合格标准</w:t>
            </w:r>
          </w:p>
          <w:p>
            <w:pPr>
              <w:spacing w:line="24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注：本工程正式签署合同时，质量标准按中标人投标文件承诺质量标准。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370" w:type="pct"/>
            <w:tcBorders>
              <w:left w:val="doub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522" w:type="pc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w:t>
            </w:r>
          </w:p>
        </w:tc>
        <w:tc>
          <w:tcPr>
            <w:tcW w:w="938" w:type="pc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招标范围</w:t>
            </w:r>
          </w:p>
        </w:tc>
        <w:tc>
          <w:tcPr>
            <w:tcW w:w="3168" w:type="pct"/>
            <w:tcBorders>
              <w:right w:val="double" w:color="auto" w:sz="4" w:space="0"/>
            </w:tcBorders>
            <w:noWrap w:val="0"/>
            <w:vAlign w:val="center"/>
          </w:tcPr>
          <w:p>
            <w:pPr>
              <w:spacing w:line="24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详见本工程招标公告，具体以工程量清单及图纸为准。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trPr>
        <w:tc>
          <w:tcPr>
            <w:tcW w:w="370" w:type="pct"/>
            <w:tcBorders>
              <w:left w:val="doub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522" w:type="pc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w:t>
            </w:r>
          </w:p>
        </w:tc>
        <w:tc>
          <w:tcPr>
            <w:tcW w:w="938" w:type="pc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工期要求</w:t>
            </w:r>
          </w:p>
        </w:tc>
        <w:tc>
          <w:tcPr>
            <w:tcW w:w="3168" w:type="pct"/>
            <w:tcBorders>
              <w:right w:val="double" w:color="auto" w:sz="4" w:space="0"/>
            </w:tcBorders>
            <w:noWrap w:val="0"/>
            <w:vAlign w:val="center"/>
          </w:tcPr>
          <w:p>
            <w:pPr>
              <w:spacing w:line="24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u w:val="none"/>
                <w:lang w:val="en-US" w:eastAsia="zh-CN"/>
              </w:rPr>
              <w:t>2024</w:t>
            </w:r>
            <w:r>
              <w:rPr>
                <w:rFonts w:hint="eastAsia" w:ascii="宋体" w:hAnsi="宋体" w:eastAsia="宋体" w:cs="宋体"/>
                <w:color w:val="auto"/>
                <w:sz w:val="21"/>
                <w:szCs w:val="21"/>
                <w:highlight w:val="none"/>
              </w:rPr>
              <w:t>年</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日计划开工，施工总期：</w:t>
            </w:r>
            <w:r>
              <w:rPr>
                <w:rFonts w:hint="eastAsia" w:ascii="宋体" w:hAnsi="宋体" w:cs="宋体"/>
                <w:color w:val="auto"/>
                <w:sz w:val="21"/>
                <w:szCs w:val="21"/>
                <w:highlight w:val="none"/>
                <w:u w:val="single"/>
                <w:lang w:val="en-US" w:eastAsia="zh-CN"/>
              </w:rPr>
              <w:t>450</w:t>
            </w:r>
            <w:r>
              <w:rPr>
                <w:rFonts w:hint="eastAsia" w:ascii="宋体" w:hAnsi="宋体" w:eastAsia="宋体" w:cs="宋体"/>
                <w:color w:val="auto"/>
                <w:sz w:val="21"/>
                <w:szCs w:val="21"/>
                <w:highlight w:val="none"/>
              </w:rPr>
              <w:t xml:space="preserve">日历天。 </w:t>
            </w:r>
          </w:p>
          <w:p>
            <w:pPr>
              <w:spacing w:line="24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注：本工程正式签署合同时，施工工期按中标投标文件承诺工期。</w:t>
            </w:r>
            <w:r>
              <w:rPr>
                <w:rFonts w:hint="eastAsia" w:ascii="宋体" w:hAnsi="宋体" w:eastAsia="宋体" w:cs="宋体"/>
                <w:color w:val="auto"/>
                <w:sz w:val="21"/>
                <w:szCs w:val="21"/>
                <w:highlight w:val="none"/>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370" w:type="pct"/>
            <w:tcBorders>
              <w:left w:val="doub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p>
        </w:tc>
        <w:tc>
          <w:tcPr>
            <w:tcW w:w="522" w:type="pc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w:t>
            </w:r>
          </w:p>
        </w:tc>
        <w:tc>
          <w:tcPr>
            <w:tcW w:w="938" w:type="pc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资金来源</w:t>
            </w:r>
          </w:p>
        </w:tc>
        <w:tc>
          <w:tcPr>
            <w:tcW w:w="3168" w:type="pct"/>
            <w:tcBorders>
              <w:right w:val="double" w:color="auto" w:sz="4" w:space="0"/>
            </w:tcBorders>
            <w:noWrap w:val="0"/>
            <w:vAlign w:val="center"/>
          </w:tcPr>
          <w:p>
            <w:pPr>
              <w:spacing w:line="24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区财政资金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trPr>
        <w:tc>
          <w:tcPr>
            <w:tcW w:w="370" w:type="pct"/>
            <w:tcBorders>
              <w:left w:val="doub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c>
          <w:tcPr>
            <w:tcW w:w="522" w:type="pc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w:t>
            </w:r>
          </w:p>
        </w:tc>
        <w:tc>
          <w:tcPr>
            <w:tcW w:w="938" w:type="pc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投标人资质等级及项目负责人等级要求</w:t>
            </w:r>
          </w:p>
        </w:tc>
        <w:tc>
          <w:tcPr>
            <w:tcW w:w="3168" w:type="pct"/>
            <w:tcBorders>
              <w:right w:val="double" w:color="auto" w:sz="4" w:space="0"/>
            </w:tcBorders>
            <w:noWrap w:val="0"/>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370" w:type="pct"/>
            <w:tcBorders>
              <w:left w:val="doub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p>
        </w:tc>
        <w:tc>
          <w:tcPr>
            <w:tcW w:w="522" w:type="pct"/>
            <w:noWrap w:val="0"/>
            <w:vAlign w:val="center"/>
          </w:tcPr>
          <w:p>
            <w:pPr>
              <w:spacing w:line="240" w:lineRule="auto"/>
              <w:ind w:firstLine="458"/>
              <w:jc w:val="center"/>
              <w:rPr>
                <w:rFonts w:hint="eastAsia" w:ascii="宋体" w:hAnsi="宋体" w:eastAsia="宋体" w:cs="宋体"/>
                <w:color w:val="auto"/>
                <w:sz w:val="21"/>
                <w:szCs w:val="21"/>
                <w:highlight w:val="none"/>
              </w:rPr>
            </w:pPr>
          </w:p>
        </w:tc>
        <w:tc>
          <w:tcPr>
            <w:tcW w:w="938" w:type="pc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资格审查方式</w:t>
            </w:r>
          </w:p>
        </w:tc>
        <w:tc>
          <w:tcPr>
            <w:tcW w:w="3168" w:type="pct"/>
            <w:tcBorders>
              <w:right w:val="double" w:color="auto" w:sz="4" w:space="0"/>
            </w:tcBorders>
            <w:noWrap w:val="0"/>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370" w:type="pct"/>
            <w:tcBorders>
              <w:left w:val="doub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p>
        </w:tc>
        <w:tc>
          <w:tcPr>
            <w:tcW w:w="522" w:type="pc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13.1</w:t>
            </w:r>
          </w:p>
        </w:tc>
        <w:tc>
          <w:tcPr>
            <w:tcW w:w="938" w:type="pc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报价以及单价和总价计算方式</w:t>
            </w:r>
          </w:p>
        </w:tc>
        <w:tc>
          <w:tcPr>
            <w:tcW w:w="3168" w:type="pct"/>
            <w:tcBorders>
              <w:right w:val="double" w:color="auto" w:sz="4" w:space="0"/>
            </w:tcBorders>
            <w:noWrap w:val="0"/>
            <w:vAlign w:val="center"/>
          </w:tcPr>
          <w:p>
            <w:pPr>
              <w:spacing w:line="240" w:lineRule="auto"/>
              <w:rPr>
                <w:rFonts w:hint="eastAsia" w:ascii="宋体" w:hAnsi="宋体" w:eastAsia="宋体" w:cs="宋体"/>
                <w:color w:val="auto"/>
                <w:sz w:val="21"/>
                <w:szCs w:val="21"/>
                <w:highlight w:val="none"/>
              </w:rPr>
            </w:pPr>
            <w:bookmarkStart w:id="2" w:name="EBdfd7e3fe86a241738f1c1d356c309534"/>
            <w:r>
              <w:rPr>
                <w:rFonts w:hint="eastAsia" w:ascii="宋体" w:hAnsi="宋体" w:eastAsia="宋体" w:cs="宋体"/>
                <w:color w:val="auto"/>
                <w:sz w:val="21"/>
                <w:szCs w:val="21"/>
                <w:highlight w:val="none"/>
              </w:rPr>
              <w:t>工程量清单计价</w:t>
            </w:r>
            <w:r>
              <w:rPr>
                <w:rFonts w:hint="eastAsia" w:ascii="宋体" w:hAnsi="宋体" w:eastAsia="宋体" w:cs="宋体"/>
                <w:color w:val="auto"/>
                <w:sz w:val="21"/>
                <w:szCs w:val="21"/>
                <w:highlight w:val="none"/>
                <w:u w:val="single"/>
              </w:rPr>
              <w:t>，按国家、省有关计价规范执行。纳入年度审计项目计划的政府投资项目，审计机关出具的审计结果应当作为该政府投资项目价款结算的依据（适用于纳入年度审计项目计划的项目）。</w:t>
            </w:r>
            <w:bookmarkEnd w:id="2"/>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370" w:type="pct"/>
            <w:tcBorders>
              <w:left w:val="doub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w:t>
            </w:r>
          </w:p>
        </w:tc>
        <w:tc>
          <w:tcPr>
            <w:tcW w:w="522" w:type="pc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15.1</w:t>
            </w:r>
          </w:p>
        </w:tc>
        <w:tc>
          <w:tcPr>
            <w:tcW w:w="938" w:type="pc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投标有效期</w:t>
            </w:r>
          </w:p>
        </w:tc>
        <w:tc>
          <w:tcPr>
            <w:tcW w:w="3168" w:type="pct"/>
            <w:tcBorders>
              <w:right w:val="double" w:color="auto" w:sz="4" w:space="0"/>
            </w:tcBorders>
            <w:noWrap w:val="0"/>
            <w:vAlign w:val="center"/>
          </w:tcPr>
          <w:p>
            <w:pPr>
              <w:spacing w:line="24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90</w:t>
            </w:r>
            <w:r>
              <w:rPr>
                <w:rFonts w:hint="eastAsia" w:ascii="宋体" w:hAnsi="宋体" w:eastAsia="宋体" w:cs="宋体"/>
                <w:color w:val="auto"/>
                <w:sz w:val="21"/>
                <w:szCs w:val="21"/>
                <w:highlight w:val="none"/>
              </w:rPr>
              <w:t>日历天。（从投标截止之日计起）。</w:t>
            </w:r>
            <w:r>
              <w:rPr>
                <w:rFonts w:hint="eastAsia" w:ascii="宋体" w:hAnsi="宋体" w:eastAsia="宋体" w:cs="宋体"/>
                <w:color w:val="auto"/>
                <w:sz w:val="21"/>
                <w:szCs w:val="21"/>
                <w:highlight w:val="none"/>
                <w:u w:val="single"/>
              </w:rPr>
              <w:t>如投标有效期内发生异议或投诉的，则投标有效期自动延长至异议或投诉处理结束后90日历天。中标人的投标有效期自动延期至合同履行完毕。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370" w:type="pct"/>
            <w:tcBorders>
              <w:left w:val="doub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w:t>
            </w:r>
          </w:p>
        </w:tc>
        <w:tc>
          <w:tcPr>
            <w:tcW w:w="522" w:type="pc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16.1</w:t>
            </w:r>
          </w:p>
        </w:tc>
        <w:tc>
          <w:tcPr>
            <w:tcW w:w="938" w:type="pc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投标保证金</w:t>
            </w:r>
          </w:p>
        </w:tc>
        <w:tc>
          <w:tcPr>
            <w:tcW w:w="3168" w:type="pct"/>
            <w:tcBorders>
              <w:right w:val="double" w:color="auto" w:sz="4" w:space="0"/>
            </w:tcBorders>
            <w:noWrap w:val="0"/>
            <w:vAlign w:val="center"/>
          </w:tcPr>
          <w:p>
            <w:pPr>
              <w:spacing w:line="24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本项目不收投标保证金。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370" w:type="pct"/>
            <w:tcBorders>
              <w:left w:val="doub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c>
          <w:tcPr>
            <w:tcW w:w="522" w:type="pc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938" w:type="pc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踏勘现场</w:t>
            </w:r>
          </w:p>
        </w:tc>
        <w:tc>
          <w:tcPr>
            <w:tcW w:w="3168" w:type="pct"/>
            <w:tcBorders>
              <w:right w:val="double" w:color="auto" w:sz="4" w:space="0"/>
            </w:tcBorders>
            <w:noWrap w:val="0"/>
            <w:vAlign w:val="center"/>
          </w:tcPr>
          <w:p>
            <w:pPr>
              <w:pStyle w:val="13"/>
              <w:spacing w:line="240" w:lineRule="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u w:val="single"/>
              </w:rPr>
              <w:t>自行踏勘，投标人不进行踏勘的，视为已熟知现场条件，自行承担相关风险。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370" w:type="pct"/>
            <w:tcBorders>
              <w:left w:val="doub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w:t>
            </w:r>
          </w:p>
        </w:tc>
        <w:tc>
          <w:tcPr>
            <w:tcW w:w="522" w:type="pc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938" w:type="pc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投标答疑</w:t>
            </w:r>
          </w:p>
        </w:tc>
        <w:tc>
          <w:tcPr>
            <w:tcW w:w="3168" w:type="pct"/>
            <w:tcBorders>
              <w:right w:val="double" w:color="auto" w:sz="4" w:space="0"/>
            </w:tcBorders>
            <w:noWrap w:val="0"/>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疑问提交时间：</w:t>
            </w:r>
            <w:r>
              <w:rPr>
                <w:rFonts w:hint="eastAsia" w:ascii="宋体" w:hAnsi="宋体" w:cs="宋体"/>
                <w:color w:val="auto"/>
                <w:sz w:val="21"/>
                <w:szCs w:val="21"/>
                <w:highlight w:val="none"/>
                <w:u w:val="single"/>
                <w:lang w:eastAsia="zh-CN"/>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年</w:t>
            </w:r>
            <w:r>
              <w:rPr>
                <w:rFonts w:hint="eastAsia" w:ascii="宋体" w:hAnsi="宋体" w:cs="宋体"/>
                <w:color w:val="auto"/>
                <w:sz w:val="21"/>
                <w:szCs w:val="21"/>
                <w:highlight w:val="none"/>
                <w:u w:val="single"/>
                <w:lang w:eastAsia="zh-CN"/>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u w:val="single"/>
                <w:lang w:eastAsia="zh-CN"/>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日</w:t>
            </w:r>
            <w:r>
              <w:rPr>
                <w:rFonts w:hint="eastAsia" w:ascii="宋体" w:hAnsi="宋体" w:cs="宋体"/>
                <w:color w:val="auto"/>
                <w:sz w:val="21"/>
                <w:szCs w:val="21"/>
                <w:highlight w:val="none"/>
                <w:u w:val="single"/>
                <w:lang w:eastAsia="zh-CN"/>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时</w:t>
            </w:r>
            <w:r>
              <w:rPr>
                <w:rFonts w:hint="eastAsia" w:ascii="宋体" w:hAnsi="宋体" w:cs="宋体"/>
                <w:color w:val="auto"/>
                <w:sz w:val="21"/>
                <w:szCs w:val="21"/>
                <w:highlight w:val="none"/>
                <w:u w:val="single"/>
                <w:lang w:eastAsia="zh-CN"/>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分前；</w:t>
            </w:r>
            <w:r>
              <w:rPr>
                <w:rFonts w:hint="eastAsia" w:ascii="宋体" w:hAnsi="宋体" w:eastAsia="宋体" w:cs="宋体"/>
                <w:color w:val="auto"/>
                <w:sz w:val="21"/>
                <w:szCs w:val="21"/>
                <w:highlight w:val="none"/>
                <w:u w:val="single"/>
              </w:rPr>
              <w:t>(在递交投标文件截止日期前18日)</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形式：投标人的疑问通过</w:t>
            </w:r>
            <w:r>
              <w:rPr>
                <w:rFonts w:hint="eastAsia" w:ascii="宋体" w:hAnsi="宋体" w:eastAsia="宋体" w:cs="宋体"/>
                <w:color w:val="auto"/>
                <w:sz w:val="21"/>
                <w:szCs w:val="21"/>
                <w:highlight w:val="none"/>
                <w:u w:val="single"/>
              </w:rPr>
              <w:t>广州交易集团有限公司（广州公共资源交易中心）</w:t>
            </w:r>
            <w:r>
              <w:rPr>
                <w:rFonts w:hint="eastAsia" w:ascii="宋体" w:hAnsi="宋体" w:eastAsia="宋体" w:cs="宋体"/>
                <w:color w:val="auto"/>
                <w:sz w:val="21"/>
                <w:szCs w:val="21"/>
                <w:highlight w:val="none"/>
              </w:rPr>
              <w:t>交易平台提交。</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具体要求：按照</w:t>
            </w:r>
            <w:r>
              <w:rPr>
                <w:rFonts w:hint="eastAsia" w:ascii="宋体" w:hAnsi="宋体" w:eastAsia="宋体" w:cs="宋体"/>
                <w:color w:val="auto"/>
                <w:sz w:val="21"/>
                <w:szCs w:val="21"/>
                <w:highlight w:val="none"/>
                <w:u w:val="single"/>
              </w:rPr>
              <w:t>广州交易集团有限公司（广州公共资源交易中心）</w:t>
            </w:r>
            <w:r>
              <w:rPr>
                <w:rFonts w:hint="eastAsia" w:ascii="宋体" w:hAnsi="宋体" w:eastAsia="宋体" w:cs="宋体"/>
                <w:color w:val="auto"/>
                <w:sz w:val="21"/>
                <w:szCs w:val="21"/>
                <w:highlight w:val="none"/>
              </w:rPr>
              <w:t>交易平台关于全流程电子化项目的相关指南进行操作，详见：</w:t>
            </w:r>
            <w:r>
              <w:rPr>
                <w:rFonts w:hint="eastAsia" w:ascii="宋体" w:hAnsi="宋体" w:eastAsia="宋体" w:cs="宋体"/>
                <w:color w:val="auto"/>
                <w:sz w:val="21"/>
                <w:szCs w:val="21"/>
                <w:highlight w:val="none"/>
                <w:u w:val="single"/>
              </w:rPr>
              <w:t>广州交易集团有限公司（广州公共资源交易中心）</w:t>
            </w:r>
            <w:r>
              <w:rPr>
                <w:rFonts w:hint="eastAsia" w:ascii="宋体" w:hAnsi="宋体" w:eastAsia="宋体" w:cs="宋体"/>
                <w:color w:val="auto"/>
                <w:sz w:val="21"/>
                <w:szCs w:val="21"/>
                <w:highlight w:val="none"/>
                <w:u w:val="single"/>
                <w:lang w:eastAsia="zh-CN"/>
              </w:rPr>
              <w:t>最新指引</w:t>
            </w:r>
            <w:r>
              <w:rPr>
                <w:rFonts w:hint="eastAsia" w:ascii="宋体" w:hAnsi="宋体" w:eastAsia="宋体" w:cs="宋体"/>
                <w:color w:val="auto"/>
                <w:sz w:val="21"/>
                <w:szCs w:val="21"/>
                <w:highlight w:val="none"/>
              </w:rPr>
              <w:t xml:space="preserve">。提问一律不得署名。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370" w:type="pct"/>
            <w:tcBorders>
              <w:left w:val="doub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w:t>
            </w:r>
          </w:p>
        </w:tc>
        <w:tc>
          <w:tcPr>
            <w:tcW w:w="522" w:type="pc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20.1</w:t>
            </w:r>
          </w:p>
        </w:tc>
        <w:tc>
          <w:tcPr>
            <w:tcW w:w="938" w:type="pc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投标截止时间</w:t>
            </w:r>
          </w:p>
        </w:tc>
        <w:tc>
          <w:tcPr>
            <w:tcW w:w="3168" w:type="pct"/>
            <w:tcBorders>
              <w:right w:val="double" w:color="auto" w:sz="4" w:space="0"/>
            </w:tcBorders>
            <w:noWrap w:val="0"/>
            <w:vAlign w:val="center"/>
          </w:tcPr>
          <w:p>
            <w:pPr>
              <w:spacing w:line="240" w:lineRule="auto"/>
              <w:rPr>
                <w:rFonts w:hint="eastAsia" w:ascii="宋体" w:hAnsi="宋体" w:eastAsia="宋体" w:cs="宋体"/>
                <w:strike/>
                <w:color w:val="auto"/>
                <w:sz w:val="21"/>
                <w:szCs w:val="21"/>
                <w:highlight w:val="none"/>
              </w:rPr>
            </w:pPr>
            <w:r>
              <w:rPr>
                <w:rFonts w:hint="eastAsia" w:ascii="宋体" w:hAnsi="宋体" w:cs="宋体"/>
                <w:color w:val="auto"/>
                <w:sz w:val="21"/>
                <w:szCs w:val="21"/>
                <w:highlight w:val="none"/>
                <w:u w:val="single"/>
                <w:lang w:eastAsia="zh-CN"/>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年</w:t>
            </w:r>
            <w:r>
              <w:rPr>
                <w:rFonts w:hint="eastAsia" w:ascii="宋体" w:hAnsi="宋体" w:cs="宋体"/>
                <w:color w:val="auto"/>
                <w:sz w:val="21"/>
                <w:szCs w:val="21"/>
                <w:highlight w:val="none"/>
                <w:u w:val="single"/>
                <w:lang w:eastAsia="zh-CN"/>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u w:val="single"/>
                <w:lang w:eastAsia="zh-CN"/>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日</w:t>
            </w:r>
            <w:r>
              <w:rPr>
                <w:rFonts w:hint="eastAsia" w:ascii="宋体" w:hAnsi="宋体" w:cs="宋体"/>
                <w:color w:val="auto"/>
                <w:sz w:val="21"/>
                <w:szCs w:val="21"/>
                <w:highlight w:val="none"/>
                <w:u w:val="single"/>
                <w:lang w:eastAsia="zh-CN"/>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时</w:t>
            </w:r>
            <w:r>
              <w:rPr>
                <w:rFonts w:hint="eastAsia" w:ascii="宋体" w:hAnsi="宋体" w:cs="宋体"/>
                <w:color w:val="auto"/>
                <w:sz w:val="21"/>
                <w:szCs w:val="21"/>
                <w:highlight w:val="none"/>
                <w:u w:val="single"/>
                <w:lang w:eastAsia="zh-CN"/>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分（北京时间）。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839" w:hRule="atLeast"/>
        </w:trPr>
        <w:tc>
          <w:tcPr>
            <w:tcW w:w="370" w:type="pct"/>
            <w:tcBorders>
              <w:left w:val="doub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w:t>
            </w:r>
          </w:p>
        </w:tc>
        <w:tc>
          <w:tcPr>
            <w:tcW w:w="522" w:type="pc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20.1</w:t>
            </w:r>
          </w:p>
        </w:tc>
        <w:tc>
          <w:tcPr>
            <w:tcW w:w="938" w:type="pc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开标开始时间和地点</w:t>
            </w:r>
          </w:p>
        </w:tc>
        <w:tc>
          <w:tcPr>
            <w:tcW w:w="3168" w:type="pct"/>
            <w:tcBorders>
              <w:right w:val="double" w:color="auto" w:sz="4" w:space="0"/>
            </w:tcBorders>
            <w:noWrap w:val="0"/>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（技术标和经济标同时开标）</w:t>
            </w:r>
          </w:p>
          <w:p>
            <w:pPr>
              <w:widowControl/>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1、开标开始时间：</w:t>
            </w:r>
            <w:r>
              <w:rPr>
                <w:rFonts w:hint="eastAsia" w:ascii="宋体" w:hAnsi="宋体" w:cs="宋体"/>
                <w:color w:val="auto"/>
                <w:sz w:val="21"/>
                <w:szCs w:val="21"/>
                <w:highlight w:val="none"/>
                <w:u w:val="single"/>
                <w:lang w:eastAsia="zh-CN"/>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年</w:t>
            </w:r>
            <w:r>
              <w:rPr>
                <w:rFonts w:hint="eastAsia" w:ascii="宋体" w:hAnsi="宋体" w:cs="宋体"/>
                <w:color w:val="auto"/>
                <w:sz w:val="21"/>
                <w:szCs w:val="21"/>
                <w:highlight w:val="none"/>
                <w:u w:val="single"/>
                <w:lang w:eastAsia="zh-CN"/>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u w:val="single"/>
                <w:lang w:eastAsia="zh-CN"/>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日</w:t>
            </w:r>
            <w:r>
              <w:rPr>
                <w:rFonts w:hint="eastAsia" w:ascii="宋体" w:hAnsi="宋体" w:cs="宋体"/>
                <w:color w:val="auto"/>
                <w:sz w:val="21"/>
                <w:szCs w:val="21"/>
                <w:highlight w:val="none"/>
                <w:u w:val="single"/>
                <w:lang w:eastAsia="zh-CN"/>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时</w:t>
            </w:r>
            <w:r>
              <w:rPr>
                <w:rFonts w:hint="eastAsia" w:ascii="宋体" w:hAnsi="宋体" w:cs="宋体"/>
                <w:color w:val="auto"/>
                <w:sz w:val="21"/>
                <w:szCs w:val="21"/>
                <w:highlight w:val="none"/>
                <w:u w:val="single"/>
                <w:lang w:eastAsia="zh-CN"/>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分（与投标截止时间为同一时间），地点：广州交易集团有限公司（广州公共资源交易中心）黄埔交易部指定开标室。投标人也可选择参加在线开标，具体按照交易平台相关指南进行操作。详见：广州交易集团有限公司（广州公共资源交易中心）网站最新指引。</w:t>
            </w:r>
          </w:p>
          <w:p>
            <w:pPr>
              <w:widowControl/>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注：投标文件解密问题。投标人只用执行一次解密，招标人执行解密次数根据招标文件开标次数确定。</w:t>
            </w:r>
          </w:p>
          <w:p>
            <w:pPr>
              <w:widowControl/>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2、递交投标文件备用光盘时间：</w:t>
            </w:r>
            <w:r>
              <w:rPr>
                <w:rFonts w:hint="eastAsia" w:ascii="宋体" w:hAnsi="宋体" w:cs="宋体"/>
                <w:color w:val="auto"/>
                <w:sz w:val="21"/>
                <w:szCs w:val="21"/>
                <w:highlight w:val="none"/>
                <w:u w:val="single"/>
                <w:lang w:eastAsia="zh-CN"/>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年</w:t>
            </w:r>
            <w:r>
              <w:rPr>
                <w:rFonts w:hint="eastAsia" w:ascii="宋体" w:hAnsi="宋体" w:cs="宋体"/>
                <w:color w:val="auto"/>
                <w:sz w:val="21"/>
                <w:szCs w:val="21"/>
                <w:highlight w:val="none"/>
                <w:u w:val="single"/>
                <w:lang w:eastAsia="zh-CN"/>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u w:val="single"/>
                <w:lang w:eastAsia="zh-CN"/>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日</w:t>
            </w:r>
            <w:r>
              <w:rPr>
                <w:rFonts w:hint="eastAsia" w:ascii="宋体" w:hAnsi="宋体" w:cs="宋体"/>
                <w:color w:val="auto"/>
                <w:sz w:val="21"/>
                <w:szCs w:val="21"/>
                <w:highlight w:val="none"/>
                <w:u w:val="single"/>
                <w:lang w:eastAsia="zh-CN"/>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时</w:t>
            </w:r>
            <w:r>
              <w:rPr>
                <w:rFonts w:hint="eastAsia" w:ascii="宋体" w:hAnsi="宋体" w:cs="宋体"/>
                <w:color w:val="auto"/>
                <w:sz w:val="21"/>
                <w:szCs w:val="21"/>
                <w:highlight w:val="none"/>
                <w:u w:val="single"/>
                <w:lang w:eastAsia="zh-CN"/>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分至</w:t>
            </w:r>
            <w:r>
              <w:rPr>
                <w:rFonts w:hint="eastAsia" w:ascii="宋体" w:hAnsi="宋体" w:cs="宋体"/>
                <w:color w:val="auto"/>
                <w:sz w:val="21"/>
                <w:szCs w:val="21"/>
                <w:highlight w:val="none"/>
                <w:u w:val="single"/>
                <w:lang w:eastAsia="zh-CN"/>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年</w:t>
            </w:r>
            <w:r>
              <w:rPr>
                <w:rFonts w:hint="eastAsia" w:ascii="宋体" w:hAnsi="宋体" w:cs="宋体"/>
                <w:color w:val="auto"/>
                <w:sz w:val="21"/>
                <w:szCs w:val="21"/>
                <w:highlight w:val="none"/>
                <w:u w:val="single"/>
                <w:lang w:eastAsia="zh-CN"/>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u w:val="single"/>
                <w:lang w:eastAsia="zh-CN"/>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日</w:t>
            </w:r>
            <w:r>
              <w:rPr>
                <w:rFonts w:hint="eastAsia" w:ascii="宋体" w:hAnsi="宋体" w:cs="宋体"/>
                <w:color w:val="auto"/>
                <w:sz w:val="21"/>
                <w:szCs w:val="21"/>
                <w:highlight w:val="none"/>
                <w:u w:val="single"/>
                <w:lang w:eastAsia="zh-CN"/>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时</w:t>
            </w:r>
            <w:r>
              <w:rPr>
                <w:rFonts w:hint="eastAsia" w:ascii="宋体" w:hAnsi="宋体" w:cs="宋体"/>
                <w:color w:val="auto"/>
                <w:sz w:val="21"/>
                <w:szCs w:val="21"/>
                <w:highlight w:val="none"/>
                <w:u w:val="single"/>
                <w:lang w:eastAsia="zh-CN"/>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分；递交地点：</w:t>
            </w:r>
            <w:r>
              <w:rPr>
                <w:rFonts w:hint="eastAsia" w:ascii="宋体" w:hAnsi="宋体" w:eastAsia="宋体" w:cs="宋体"/>
                <w:color w:val="auto"/>
                <w:sz w:val="21"/>
                <w:szCs w:val="21"/>
                <w:highlight w:val="none"/>
                <w:u w:val="single"/>
              </w:rPr>
              <w:t>广州交易集团有限公司（广州公共资源交易中心）黄埔交易部指定开标室</w:t>
            </w:r>
            <w:r>
              <w:rPr>
                <w:rFonts w:hint="eastAsia" w:ascii="宋体" w:hAnsi="宋体" w:eastAsia="宋体" w:cs="宋体"/>
                <w:color w:val="auto"/>
                <w:sz w:val="21"/>
                <w:szCs w:val="21"/>
                <w:highlight w:val="none"/>
              </w:rPr>
              <w:t>。</w:t>
            </w:r>
          </w:p>
          <w:p>
            <w:pPr>
              <w:widowControl/>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上述时间及地点是否有改变，请密切留意补充公告（如有）和招标澄清答疑纪要（如有）的相关信息。本项目各项投标活动可通过广州交易集团有限公司（广州公共资源交易中心）网站查询具体的时间和场地安排。投标人可登录广州交易集团有限公司（广州公共资源交易中心）网站首页，点击“交易业务-建设工程”专栏中的“项目查询（日程安排、答疑纪要）”，输入项目编号或项目名称查询最新信息。递交投标文件截止时间及开标时间是否有变化，请密切留意广州交易集团有限公司（广州公共资源交易中心）网站的相关信息</w:t>
            </w:r>
            <w:r>
              <w:rPr>
                <w:rFonts w:hint="eastAsia" w:ascii="宋体" w:hAnsi="宋体" w:eastAsia="宋体" w:cs="宋体"/>
                <w:b w:val="0"/>
                <w:bCs w:val="0"/>
                <w:color w:val="auto"/>
                <w:sz w:val="21"/>
                <w:szCs w:val="21"/>
                <w:highlight w:val="none"/>
                <w:u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trPr>
        <w:tc>
          <w:tcPr>
            <w:tcW w:w="370" w:type="pct"/>
            <w:tcBorders>
              <w:left w:val="doub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w:t>
            </w:r>
          </w:p>
        </w:tc>
        <w:tc>
          <w:tcPr>
            <w:tcW w:w="522" w:type="pc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26</w:t>
            </w:r>
          </w:p>
        </w:tc>
        <w:tc>
          <w:tcPr>
            <w:tcW w:w="938" w:type="pct"/>
            <w:noWrap w:val="0"/>
            <w:vAlign w:val="center"/>
          </w:tcPr>
          <w:p>
            <w:pPr>
              <w:pStyle w:val="18"/>
              <w:spacing w:line="240" w:lineRule="auto"/>
              <w:ind w:firstLine="0"/>
              <w:jc w:val="center"/>
              <w:rPr>
                <w:rFonts w:hint="eastAsia" w:ascii="宋体" w:hAnsi="宋体" w:eastAsia="宋体" w:cs="宋体"/>
                <w:b w:val="0"/>
                <w:bCs w:val="0"/>
                <w:color w:val="auto"/>
                <w:kern w:val="2"/>
                <w:sz w:val="21"/>
                <w:szCs w:val="21"/>
                <w:highlight w:val="none"/>
                <w:lang w:eastAsia="zh-CN"/>
              </w:rPr>
            </w:pPr>
            <w:r>
              <w:rPr>
                <w:rFonts w:hint="eastAsia" w:ascii="宋体" w:hAnsi="宋体" w:eastAsia="宋体" w:cs="宋体"/>
                <w:b w:val="0"/>
                <w:bCs w:val="0"/>
                <w:color w:val="auto"/>
                <w:kern w:val="2"/>
                <w:sz w:val="21"/>
                <w:szCs w:val="21"/>
                <w:highlight w:val="none"/>
              </w:rPr>
              <w:t>开标评标办法</w:t>
            </w:r>
          </w:p>
        </w:tc>
        <w:tc>
          <w:tcPr>
            <w:tcW w:w="3168" w:type="pct"/>
            <w:tcBorders>
              <w:right w:val="double" w:color="auto" w:sz="4" w:space="0"/>
            </w:tcBorders>
            <w:noWrap w:val="0"/>
            <w:vAlign w:val="center"/>
          </w:tcPr>
          <w:p>
            <w:pPr>
              <w:pStyle w:val="18"/>
              <w:spacing w:line="240" w:lineRule="auto"/>
              <w:ind w:firstLine="0"/>
              <w:rPr>
                <w:rFonts w:hint="eastAsia" w:ascii="宋体" w:hAnsi="宋体" w:eastAsia="宋体" w:cs="宋体"/>
                <w:b w:val="0"/>
                <w:bCs w:val="0"/>
                <w:color w:val="auto"/>
                <w:kern w:val="2"/>
                <w:sz w:val="21"/>
                <w:szCs w:val="21"/>
                <w:highlight w:val="none"/>
              </w:rPr>
            </w:pPr>
            <w:r>
              <w:rPr>
                <w:rFonts w:hint="eastAsia" w:ascii="宋体" w:hAnsi="宋体" w:eastAsia="宋体" w:cs="宋体"/>
                <w:color w:val="auto"/>
                <w:kern w:val="2"/>
                <w:sz w:val="21"/>
                <w:szCs w:val="21"/>
                <w:highlight w:val="none"/>
              </w:rPr>
              <w:t>方式一：可选办法七（适合综合评分法四，技术标与经济标同时开启）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370" w:type="pct"/>
            <w:tcBorders>
              <w:left w:val="doub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w:t>
            </w:r>
          </w:p>
        </w:tc>
        <w:tc>
          <w:tcPr>
            <w:tcW w:w="522" w:type="pc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29.1</w:t>
            </w:r>
          </w:p>
        </w:tc>
        <w:tc>
          <w:tcPr>
            <w:tcW w:w="938" w:type="pc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履约担保</w:t>
            </w:r>
          </w:p>
        </w:tc>
        <w:tc>
          <w:tcPr>
            <w:tcW w:w="3168" w:type="pct"/>
            <w:tcBorders>
              <w:right w:val="double" w:color="auto" w:sz="4" w:space="0"/>
            </w:tcBorders>
            <w:noWrap w:val="0"/>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方式一：中标人提供的履约担保金额为中标价款的10%。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trPr>
        <w:tc>
          <w:tcPr>
            <w:tcW w:w="370" w:type="pct"/>
            <w:tcBorders>
              <w:left w:val="doub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w:t>
            </w:r>
          </w:p>
        </w:tc>
        <w:tc>
          <w:tcPr>
            <w:tcW w:w="522" w:type="pct"/>
            <w:noWrap w:val="0"/>
            <w:vAlign w:val="center"/>
          </w:tcPr>
          <w:p>
            <w:pPr>
              <w:spacing w:line="240" w:lineRule="auto"/>
              <w:jc w:val="center"/>
              <w:rPr>
                <w:rFonts w:hint="eastAsia" w:ascii="宋体" w:hAnsi="宋体" w:eastAsia="宋体" w:cs="宋体"/>
                <w:color w:val="auto"/>
                <w:sz w:val="21"/>
                <w:szCs w:val="21"/>
                <w:highlight w:val="none"/>
              </w:rPr>
            </w:pPr>
          </w:p>
        </w:tc>
        <w:tc>
          <w:tcPr>
            <w:tcW w:w="938" w:type="pc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最高投标限价</w:t>
            </w:r>
          </w:p>
        </w:tc>
        <w:tc>
          <w:tcPr>
            <w:tcW w:w="3168" w:type="pct"/>
            <w:tcBorders>
              <w:right w:val="double" w:color="auto" w:sz="4" w:space="0"/>
            </w:tcBorders>
            <w:noWrap w:val="0"/>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本项目最高投标限价为人民币</w:t>
            </w:r>
            <w:r>
              <w:rPr>
                <w:rFonts w:hint="eastAsia" w:ascii="宋体" w:hAnsi="宋体" w:cs="宋体"/>
                <w:color w:val="auto"/>
                <w:sz w:val="21"/>
                <w:szCs w:val="21"/>
                <w:highlight w:val="none"/>
                <w:u w:val="single"/>
                <w:lang w:val="en-US" w:eastAsia="zh-CN"/>
              </w:rPr>
              <w:t xml:space="preserve"> 55212204.74 </w:t>
            </w:r>
            <w:r>
              <w:rPr>
                <w:rFonts w:hint="eastAsia" w:ascii="宋体" w:hAnsi="宋体" w:eastAsia="宋体" w:cs="宋体"/>
                <w:color w:val="auto"/>
                <w:sz w:val="21"/>
                <w:szCs w:val="21"/>
                <w:highlight w:val="none"/>
              </w:rPr>
              <w:t>元。</w:t>
            </w:r>
            <w:r>
              <w:rPr>
                <w:rFonts w:hint="eastAsia" w:ascii="宋体" w:hAnsi="宋体" w:eastAsia="宋体" w:cs="宋体"/>
                <w:color w:val="auto"/>
                <w:sz w:val="21"/>
                <w:szCs w:val="21"/>
                <w:highlight w:val="none"/>
                <w:u w:val="single"/>
              </w:rPr>
              <w:t>详见招标人最终发出的《最高投标限价公布函》，投标总报价超过最高投标限价的投标文件将被拒绝。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61" w:hRule="atLeast"/>
        </w:trPr>
        <w:tc>
          <w:tcPr>
            <w:tcW w:w="370" w:type="pct"/>
            <w:tcBorders>
              <w:left w:val="doub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w:t>
            </w:r>
          </w:p>
        </w:tc>
        <w:tc>
          <w:tcPr>
            <w:tcW w:w="522" w:type="pct"/>
            <w:noWrap w:val="0"/>
            <w:vAlign w:val="center"/>
          </w:tcPr>
          <w:p>
            <w:pPr>
              <w:spacing w:line="240" w:lineRule="auto"/>
              <w:jc w:val="center"/>
              <w:rPr>
                <w:rFonts w:hint="eastAsia" w:ascii="宋体" w:hAnsi="宋体" w:eastAsia="宋体" w:cs="宋体"/>
                <w:color w:val="auto"/>
                <w:sz w:val="21"/>
                <w:szCs w:val="21"/>
                <w:highlight w:val="none"/>
              </w:rPr>
            </w:pPr>
          </w:p>
        </w:tc>
        <w:tc>
          <w:tcPr>
            <w:tcW w:w="938" w:type="pc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非竞争费用</w:t>
            </w:r>
          </w:p>
        </w:tc>
        <w:tc>
          <w:tcPr>
            <w:tcW w:w="3168" w:type="pct"/>
            <w:tcBorders>
              <w:right w:val="double" w:color="auto" w:sz="4" w:space="0"/>
            </w:tcBorders>
            <w:noWrap w:val="0"/>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本项目绿色施工安全防护措施费为</w:t>
            </w:r>
            <w:r>
              <w:rPr>
                <w:rFonts w:hint="eastAsia" w:ascii="宋体" w:hAnsi="宋体" w:cs="宋体"/>
                <w:color w:val="auto"/>
                <w:sz w:val="21"/>
                <w:szCs w:val="21"/>
                <w:highlight w:val="none"/>
                <w:u w:val="single"/>
                <w:lang w:val="en-US" w:eastAsia="zh-CN"/>
              </w:rPr>
              <w:t xml:space="preserve"> 2054078.10</w:t>
            </w:r>
            <w:r>
              <w:rPr>
                <w:rFonts w:hint="eastAsia" w:ascii="宋体" w:hAnsi="宋体" w:eastAsia="宋体" w:cs="宋体"/>
                <w:color w:val="auto"/>
                <w:sz w:val="21"/>
                <w:szCs w:val="21"/>
                <w:highlight w:val="none"/>
              </w:rPr>
              <w:t>元（扬尘污染防治费用、使用封闭式外脚手架金属防护网费用和绿色施工围蔽费用等纳入绿色施工安全防护措施费），暂列金额为</w:t>
            </w:r>
            <w:r>
              <w:rPr>
                <w:rFonts w:hint="eastAsia" w:ascii="宋体" w:hAnsi="宋体" w:cs="宋体"/>
                <w:color w:val="auto"/>
                <w:sz w:val="21"/>
                <w:szCs w:val="21"/>
                <w:highlight w:val="none"/>
                <w:u w:val="single"/>
                <w:lang w:val="en-US" w:eastAsia="zh-CN"/>
              </w:rPr>
              <w:t xml:space="preserve"> 3979944.04 </w:t>
            </w:r>
            <w:r>
              <w:rPr>
                <w:rFonts w:hint="eastAsia" w:ascii="宋体" w:hAnsi="宋体" w:eastAsia="宋体" w:cs="宋体"/>
                <w:color w:val="auto"/>
                <w:sz w:val="21"/>
                <w:szCs w:val="21"/>
                <w:highlight w:val="none"/>
              </w:rPr>
              <w:t>元，暂估价为</w:t>
            </w:r>
            <w:r>
              <w:rPr>
                <w:rFonts w:hint="eastAsia" w:ascii="宋体" w:hAnsi="宋体" w:eastAsia="宋体" w:cs="宋体"/>
                <w:color w:val="auto"/>
                <w:sz w:val="21"/>
                <w:szCs w:val="21"/>
                <w:highlight w:val="none"/>
                <w:u w:val="single"/>
              </w:rPr>
              <w:t xml:space="preserve">   / </w:t>
            </w:r>
            <w:r>
              <w:rPr>
                <w:rFonts w:hint="eastAsia" w:ascii="宋体" w:hAnsi="宋体" w:eastAsia="宋体" w:cs="宋体"/>
                <w:color w:val="auto"/>
                <w:sz w:val="21"/>
                <w:szCs w:val="21"/>
                <w:highlight w:val="none"/>
              </w:rPr>
              <w:t>元。（未按招标文件规定的金额填写的，由评标委员会按照招标文件规定的金额进行修正）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370" w:type="pct"/>
            <w:tcBorders>
              <w:left w:val="doub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w:t>
            </w:r>
          </w:p>
        </w:tc>
        <w:tc>
          <w:tcPr>
            <w:tcW w:w="522" w:type="pct"/>
            <w:noWrap w:val="0"/>
            <w:vAlign w:val="center"/>
          </w:tcPr>
          <w:p>
            <w:pPr>
              <w:spacing w:line="240" w:lineRule="auto"/>
              <w:jc w:val="center"/>
              <w:rPr>
                <w:rFonts w:hint="eastAsia" w:ascii="宋体" w:hAnsi="宋体" w:eastAsia="宋体" w:cs="宋体"/>
                <w:color w:val="auto"/>
                <w:sz w:val="21"/>
                <w:szCs w:val="21"/>
                <w:highlight w:val="none"/>
              </w:rPr>
            </w:pPr>
          </w:p>
        </w:tc>
        <w:tc>
          <w:tcPr>
            <w:tcW w:w="938" w:type="pct"/>
            <w:noWrap w:val="0"/>
            <w:vAlign w:val="center"/>
          </w:tcPr>
          <w:p>
            <w:pPr>
              <w:pStyle w:val="18"/>
              <w:spacing w:line="240" w:lineRule="auto"/>
              <w:ind w:firstLine="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保修期</w:t>
            </w:r>
          </w:p>
        </w:tc>
        <w:tc>
          <w:tcPr>
            <w:tcW w:w="3168" w:type="pct"/>
            <w:tcBorders>
              <w:right w:val="double" w:color="auto" w:sz="4" w:space="0"/>
            </w:tcBorders>
            <w:noWrap w:val="0"/>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按照《建设工程质量管理条例》规定。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21" w:hRule="atLeast"/>
        </w:trPr>
        <w:tc>
          <w:tcPr>
            <w:tcW w:w="370" w:type="pct"/>
            <w:tcBorders>
              <w:left w:val="double" w:color="auto" w:sz="4" w:space="0"/>
            </w:tcBorders>
            <w:noWrap w:val="0"/>
            <w:vAlign w:val="center"/>
          </w:tcPr>
          <w:p>
            <w:pPr>
              <w:spacing w:line="240" w:lineRule="auto"/>
              <w:jc w:val="center"/>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24</w:t>
            </w:r>
          </w:p>
        </w:tc>
        <w:tc>
          <w:tcPr>
            <w:tcW w:w="522" w:type="pct"/>
            <w:noWrap w:val="0"/>
            <w:vAlign w:val="center"/>
          </w:tcPr>
          <w:p>
            <w:pPr>
              <w:spacing w:line="240" w:lineRule="auto"/>
              <w:jc w:val="center"/>
              <w:rPr>
                <w:rFonts w:hint="eastAsia" w:ascii="宋体" w:hAnsi="宋体" w:eastAsia="宋体" w:cs="宋体"/>
                <w:strike w:val="0"/>
                <w:dstrike w:val="0"/>
                <w:color w:val="auto"/>
                <w:sz w:val="21"/>
                <w:szCs w:val="21"/>
                <w:highlight w:val="none"/>
              </w:rPr>
            </w:pPr>
          </w:p>
        </w:tc>
        <w:tc>
          <w:tcPr>
            <w:tcW w:w="938" w:type="pct"/>
            <w:noWrap w:val="0"/>
            <w:vAlign w:val="center"/>
          </w:tcPr>
          <w:p>
            <w:pPr>
              <w:spacing w:line="240" w:lineRule="auto"/>
              <w:jc w:val="center"/>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计算评标参考价的等分点值</w:t>
            </w:r>
          </w:p>
        </w:tc>
        <w:tc>
          <w:tcPr>
            <w:tcW w:w="3168" w:type="pct"/>
            <w:tcBorders>
              <w:right w:val="double" w:color="auto" w:sz="4" w:space="0"/>
            </w:tcBorders>
            <w:noWrap w:val="0"/>
            <w:vAlign w:val="center"/>
          </w:tcPr>
          <w:p>
            <w:pPr>
              <w:spacing w:line="240" w:lineRule="auto"/>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计算评标参考价的等分点值X</w:t>
            </w:r>
            <w:r>
              <w:rPr>
                <w:rFonts w:hint="eastAsia" w:ascii="宋体" w:hAnsi="宋体" w:eastAsia="宋体" w:cs="宋体"/>
                <w:b/>
                <w:strike w:val="0"/>
                <w:dstrike w:val="0"/>
                <w:color w:val="auto"/>
                <w:sz w:val="21"/>
                <w:szCs w:val="21"/>
                <w:highlight w:val="none"/>
              </w:rPr>
              <w:t>在开标前</w:t>
            </w:r>
            <w:r>
              <w:rPr>
                <w:rFonts w:hint="eastAsia" w:ascii="宋体" w:hAnsi="宋体" w:eastAsia="宋体" w:cs="宋体"/>
                <w:strike w:val="0"/>
                <w:dstrike w:val="0"/>
                <w:color w:val="auto"/>
                <w:sz w:val="21"/>
                <w:szCs w:val="21"/>
                <w:highlight w:val="none"/>
              </w:rPr>
              <w:t>从[0,100] 的整数中随机抽取。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21" w:hRule="atLeast"/>
        </w:trPr>
        <w:tc>
          <w:tcPr>
            <w:tcW w:w="370" w:type="pct"/>
            <w:tcBorders>
              <w:left w:val="double" w:color="auto" w:sz="4" w:space="0"/>
            </w:tcBorders>
            <w:noWrap w:val="0"/>
            <w:vAlign w:val="center"/>
          </w:tcPr>
          <w:p>
            <w:pPr>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 w:val="21"/>
                <w:szCs w:val="21"/>
                <w:highlight w:val="none"/>
              </w:rPr>
              <w:t>25</w:t>
            </w:r>
          </w:p>
        </w:tc>
        <w:tc>
          <w:tcPr>
            <w:tcW w:w="522" w:type="pct"/>
            <w:noWrap w:val="0"/>
            <w:vAlign w:val="center"/>
          </w:tcPr>
          <w:p>
            <w:pPr>
              <w:ind w:firstLine="458" w:firstLineChars="0"/>
              <w:rPr>
                <w:rFonts w:hint="eastAsia" w:ascii="宋体" w:hAnsi="宋体" w:eastAsia="宋体" w:cs="Times New Roman"/>
                <w:color w:val="auto"/>
                <w:kern w:val="2"/>
                <w:sz w:val="21"/>
                <w:szCs w:val="21"/>
                <w:highlight w:val="none"/>
                <w:lang w:val="en-US" w:eastAsia="zh-CN" w:bidi="ar-SA"/>
              </w:rPr>
            </w:pPr>
          </w:p>
        </w:tc>
        <w:tc>
          <w:tcPr>
            <w:tcW w:w="938" w:type="pct"/>
            <w:noWrap w:val="0"/>
            <w:vAlign w:val="center"/>
          </w:tcPr>
          <w:p>
            <w:pPr>
              <w:rPr>
                <w:rFonts w:hint="eastAsia" w:ascii="宋体" w:hAnsi="宋体" w:eastAsia="宋体" w:cs="Times New Roman"/>
                <w:strike/>
                <w:color w:val="auto"/>
                <w:kern w:val="2"/>
                <w:sz w:val="21"/>
                <w:szCs w:val="21"/>
                <w:highlight w:val="none"/>
                <w:lang w:val="en-US" w:eastAsia="zh-CN" w:bidi="ar-SA"/>
              </w:rPr>
            </w:pPr>
            <w:r>
              <w:rPr>
                <w:rFonts w:hint="eastAsia" w:ascii="宋体" w:hAnsi="宋体"/>
                <w:strike/>
                <w:color w:val="auto"/>
                <w:sz w:val="21"/>
                <w:szCs w:val="21"/>
                <w:highlight w:val="none"/>
              </w:rPr>
              <w:t>进入第二阶段评审的家数</w:t>
            </w:r>
          </w:p>
        </w:tc>
        <w:tc>
          <w:tcPr>
            <w:tcW w:w="3168" w:type="pct"/>
            <w:tcBorders>
              <w:right w:val="double" w:color="auto" w:sz="4" w:space="0"/>
            </w:tcBorders>
            <w:noWrap w:val="0"/>
            <w:vAlign w:val="center"/>
          </w:tcPr>
          <w:p>
            <w:pPr>
              <w:rPr>
                <w:rFonts w:ascii="宋体" w:hAnsi="宋体"/>
                <w:strike/>
                <w:color w:val="auto"/>
                <w:sz w:val="21"/>
                <w:szCs w:val="21"/>
                <w:highlight w:val="none"/>
              </w:rPr>
            </w:pPr>
            <w:r>
              <w:rPr>
                <w:rFonts w:ascii="宋体" w:hAnsi="宋体"/>
                <w:strike/>
                <w:color w:val="auto"/>
                <w:sz w:val="21"/>
                <w:szCs w:val="21"/>
                <w:highlight w:val="none"/>
              </w:rPr>
              <w:fldChar w:fldCharType="begin"/>
            </w:r>
            <w:r>
              <w:rPr>
                <w:rFonts w:ascii="宋体" w:hAnsi="宋体"/>
                <w:strike/>
                <w:color w:val="auto"/>
                <w:sz w:val="21"/>
                <w:szCs w:val="21"/>
                <w:highlight w:val="none"/>
              </w:rPr>
              <w:instrText xml:space="preserve"> </w:instrText>
            </w:r>
            <w:r>
              <w:rPr>
                <w:rFonts w:hint="eastAsia" w:ascii="宋体" w:hAnsi="宋体"/>
                <w:strike/>
                <w:color w:val="auto"/>
                <w:sz w:val="21"/>
                <w:szCs w:val="21"/>
                <w:highlight w:val="none"/>
              </w:rPr>
              <w:instrText xml:space="preserve">= 1 \* GB3</w:instrText>
            </w:r>
            <w:r>
              <w:rPr>
                <w:rFonts w:ascii="宋体" w:hAnsi="宋体"/>
                <w:strike/>
                <w:color w:val="auto"/>
                <w:sz w:val="21"/>
                <w:szCs w:val="21"/>
                <w:highlight w:val="none"/>
              </w:rPr>
              <w:instrText xml:space="preserve"> </w:instrText>
            </w:r>
            <w:r>
              <w:rPr>
                <w:rFonts w:ascii="宋体" w:hAnsi="宋体"/>
                <w:strike/>
                <w:color w:val="auto"/>
                <w:sz w:val="21"/>
                <w:szCs w:val="21"/>
                <w:highlight w:val="none"/>
              </w:rPr>
              <w:fldChar w:fldCharType="separate"/>
            </w:r>
            <w:r>
              <w:rPr>
                <w:rFonts w:hint="eastAsia" w:ascii="宋体" w:hAnsi="宋体"/>
                <w:strike/>
                <w:color w:val="auto"/>
                <w:sz w:val="21"/>
                <w:szCs w:val="21"/>
                <w:highlight w:val="none"/>
              </w:rPr>
              <w:t>①</w:t>
            </w:r>
            <w:r>
              <w:rPr>
                <w:rFonts w:ascii="宋体" w:hAnsi="宋体"/>
                <w:strike/>
                <w:color w:val="auto"/>
                <w:sz w:val="21"/>
                <w:szCs w:val="21"/>
                <w:highlight w:val="none"/>
              </w:rPr>
              <w:fldChar w:fldCharType="end"/>
            </w:r>
            <w:r>
              <w:rPr>
                <w:rFonts w:hint="eastAsia" w:ascii="宋体" w:hAnsi="宋体"/>
                <w:strike/>
                <w:color w:val="auto"/>
                <w:sz w:val="21"/>
                <w:szCs w:val="21"/>
                <w:highlight w:val="none"/>
              </w:rPr>
              <w:t>通过技术有效性审查的投标人均进入第二阶段（适用于通过技术有效性审查家数在[3,</w:t>
            </w:r>
            <w:r>
              <w:rPr>
                <w:rFonts w:hint="eastAsia" w:ascii="宋体" w:hAnsi="宋体"/>
                <w:strike/>
                <w:color w:val="auto"/>
                <w:sz w:val="21"/>
                <w:szCs w:val="21"/>
                <w:highlight w:val="none"/>
                <w:u w:val="single"/>
              </w:rPr>
              <w:t xml:space="preserve">  </w:t>
            </w:r>
            <w:r>
              <w:rPr>
                <w:rFonts w:hint="eastAsia" w:ascii="宋体" w:hAnsi="宋体"/>
                <w:strike/>
                <w:color w:val="auto"/>
                <w:sz w:val="21"/>
                <w:szCs w:val="21"/>
                <w:highlight w:val="none"/>
              </w:rPr>
              <w:t>]中的）。</w:t>
            </w:r>
          </w:p>
          <w:p>
            <w:pPr>
              <w:rPr>
                <w:rFonts w:ascii="宋体" w:hAnsi="宋体"/>
                <w:strike/>
                <w:color w:val="auto"/>
                <w:sz w:val="21"/>
                <w:szCs w:val="21"/>
                <w:highlight w:val="none"/>
              </w:rPr>
            </w:pPr>
            <w:r>
              <w:rPr>
                <w:rFonts w:ascii="宋体" w:hAnsi="宋体"/>
                <w:strike/>
                <w:color w:val="auto"/>
                <w:sz w:val="21"/>
                <w:szCs w:val="21"/>
                <w:highlight w:val="none"/>
              </w:rPr>
              <w:fldChar w:fldCharType="begin"/>
            </w:r>
            <w:r>
              <w:rPr>
                <w:rFonts w:ascii="宋体" w:hAnsi="宋体"/>
                <w:strike/>
                <w:color w:val="auto"/>
                <w:sz w:val="21"/>
                <w:szCs w:val="21"/>
                <w:highlight w:val="none"/>
              </w:rPr>
              <w:instrText xml:space="preserve"> </w:instrText>
            </w:r>
            <w:r>
              <w:rPr>
                <w:rFonts w:hint="eastAsia" w:ascii="宋体" w:hAnsi="宋体"/>
                <w:strike/>
                <w:color w:val="auto"/>
                <w:sz w:val="21"/>
                <w:szCs w:val="21"/>
                <w:highlight w:val="none"/>
              </w:rPr>
              <w:instrText xml:space="preserve">= 2 \* GB3</w:instrText>
            </w:r>
            <w:r>
              <w:rPr>
                <w:rFonts w:ascii="宋体" w:hAnsi="宋体"/>
                <w:strike/>
                <w:color w:val="auto"/>
                <w:sz w:val="21"/>
                <w:szCs w:val="21"/>
                <w:highlight w:val="none"/>
              </w:rPr>
              <w:instrText xml:space="preserve"> </w:instrText>
            </w:r>
            <w:r>
              <w:rPr>
                <w:rFonts w:ascii="宋体" w:hAnsi="宋体"/>
                <w:strike/>
                <w:color w:val="auto"/>
                <w:sz w:val="21"/>
                <w:szCs w:val="21"/>
                <w:highlight w:val="none"/>
              </w:rPr>
              <w:fldChar w:fldCharType="separate"/>
            </w:r>
            <w:r>
              <w:rPr>
                <w:rFonts w:hint="eastAsia" w:ascii="宋体" w:hAnsi="宋体"/>
                <w:strike/>
                <w:color w:val="auto"/>
                <w:sz w:val="21"/>
                <w:szCs w:val="21"/>
                <w:highlight w:val="none"/>
              </w:rPr>
              <w:t>②</w:t>
            </w:r>
            <w:r>
              <w:rPr>
                <w:rFonts w:ascii="宋体" w:hAnsi="宋体"/>
                <w:strike/>
                <w:color w:val="auto"/>
                <w:sz w:val="21"/>
                <w:szCs w:val="21"/>
                <w:highlight w:val="none"/>
              </w:rPr>
              <w:fldChar w:fldCharType="end"/>
            </w:r>
            <w:r>
              <w:rPr>
                <w:rFonts w:hint="eastAsia" w:ascii="宋体" w:hAnsi="宋体"/>
                <w:strike/>
                <w:color w:val="auto"/>
                <w:sz w:val="21"/>
                <w:szCs w:val="21"/>
                <w:highlight w:val="none"/>
              </w:rPr>
              <w:t>将第一阶段得分由高至低排序，前</w:t>
            </w:r>
            <w:r>
              <w:rPr>
                <w:rFonts w:hint="eastAsia" w:ascii="宋体" w:hAnsi="宋体"/>
                <w:strike/>
                <w:color w:val="auto"/>
                <w:sz w:val="21"/>
                <w:szCs w:val="21"/>
                <w:highlight w:val="none"/>
                <w:u w:val="single"/>
              </w:rPr>
              <w:t xml:space="preserve">   </w:t>
            </w:r>
            <w:r>
              <w:rPr>
                <w:rFonts w:hint="eastAsia" w:ascii="宋体" w:hAnsi="宋体"/>
                <w:strike/>
                <w:color w:val="auto"/>
                <w:sz w:val="21"/>
                <w:szCs w:val="21"/>
                <w:highlight w:val="none"/>
              </w:rPr>
              <w:t>名投标人进入第二阶段评审（适用于通过技术有效性审查家数大于</w:t>
            </w:r>
            <w:r>
              <w:rPr>
                <w:rFonts w:hint="eastAsia" w:ascii="宋体" w:hAnsi="宋体"/>
                <w:strike/>
                <w:color w:val="auto"/>
                <w:sz w:val="21"/>
                <w:szCs w:val="21"/>
                <w:highlight w:val="none"/>
                <w:u w:val="single"/>
              </w:rPr>
              <w:t xml:space="preserve">  </w:t>
            </w:r>
            <w:r>
              <w:rPr>
                <w:rFonts w:hint="eastAsia" w:ascii="宋体" w:hAnsi="宋体"/>
                <w:strike/>
                <w:color w:val="auto"/>
                <w:sz w:val="21"/>
                <w:szCs w:val="21"/>
                <w:highlight w:val="none"/>
              </w:rPr>
              <w:t>家的，招标人可根据工程具体情况，确定不少于</w:t>
            </w:r>
            <w:r>
              <w:rPr>
                <w:rFonts w:hint="eastAsia" w:ascii="宋体" w:hAnsi="宋体"/>
                <w:strike/>
                <w:color w:val="auto"/>
                <w:sz w:val="21"/>
                <w:szCs w:val="21"/>
                <w:highlight w:val="none"/>
                <w:u w:val="single"/>
              </w:rPr>
              <w:t xml:space="preserve">   </w:t>
            </w:r>
            <w:r>
              <w:rPr>
                <w:rFonts w:hint="eastAsia" w:ascii="宋体" w:hAnsi="宋体"/>
                <w:strike/>
                <w:color w:val="auto"/>
                <w:sz w:val="21"/>
                <w:szCs w:val="21"/>
                <w:highlight w:val="none"/>
              </w:rPr>
              <w:t>家进入第二阶段）。</w:t>
            </w:r>
          </w:p>
          <w:p>
            <w:pPr>
              <w:rPr>
                <w:rFonts w:hint="eastAsia" w:ascii="宋体" w:hAnsi="宋体" w:eastAsia="宋体" w:cs="Times New Roman"/>
                <w:strike/>
                <w:color w:val="auto"/>
                <w:kern w:val="2"/>
                <w:sz w:val="21"/>
                <w:szCs w:val="21"/>
                <w:highlight w:val="none"/>
                <w:lang w:val="en-US" w:eastAsia="zh-CN" w:bidi="ar-SA"/>
              </w:rPr>
            </w:pPr>
            <w:r>
              <w:rPr>
                <w:rFonts w:hint="eastAsia" w:ascii="宋体" w:hAnsi="宋体"/>
                <w:strike/>
                <w:color w:val="auto"/>
                <w:sz w:val="21"/>
                <w:szCs w:val="21"/>
                <w:highlight w:val="none"/>
              </w:rPr>
              <w:t>注：本款适用于选择评标办法一至评标办法六。进入第二阶段的投标人家数应符合</w:t>
            </w:r>
            <w:r>
              <w:rPr>
                <w:rFonts w:hint="eastAsia" w:ascii="宋体" w:hAnsi="宋体" w:cs="仿宋_GB2312"/>
                <w:strike/>
                <w:color w:val="auto"/>
                <w:sz w:val="21"/>
                <w:szCs w:val="21"/>
                <w:highlight w:val="none"/>
              </w:rPr>
              <w:t>行政监管部门的要求。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370" w:type="pct"/>
            <w:tcBorders>
              <w:left w:val="double" w:color="auto" w:sz="4" w:space="0"/>
            </w:tcBorders>
            <w:noWrap w:val="0"/>
            <w:vAlign w:val="center"/>
          </w:tcPr>
          <w:p>
            <w:pPr>
              <w:spacing w:line="24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6</w:t>
            </w:r>
          </w:p>
        </w:tc>
        <w:tc>
          <w:tcPr>
            <w:tcW w:w="522" w:type="pct"/>
            <w:noWrap w:val="0"/>
            <w:vAlign w:val="center"/>
          </w:tcPr>
          <w:p>
            <w:pPr>
              <w:spacing w:line="240" w:lineRule="auto"/>
              <w:jc w:val="center"/>
              <w:rPr>
                <w:rFonts w:hint="eastAsia" w:ascii="宋体" w:hAnsi="宋体" w:eastAsia="宋体" w:cs="宋体"/>
                <w:color w:val="auto"/>
                <w:sz w:val="21"/>
                <w:szCs w:val="21"/>
                <w:highlight w:val="none"/>
              </w:rPr>
            </w:pPr>
          </w:p>
        </w:tc>
        <w:tc>
          <w:tcPr>
            <w:tcW w:w="938" w:type="pc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工程成本警戒价</w:t>
            </w:r>
          </w:p>
        </w:tc>
        <w:tc>
          <w:tcPr>
            <w:tcW w:w="3168" w:type="pct"/>
            <w:tcBorders>
              <w:right w:val="double" w:color="auto" w:sz="4" w:space="0"/>
            </w:tcBorders>
            <w:noWrap w:val="0"/>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工程成本警戒价</w:t>
            </w:r>
            <w:r>
              <w:rPr>
                <w:rFonts w:hint="eastAsia" w:ascii="宋体" w:hAnsi="宋体" w:eastAsia="宋体" w:cs="宋体"/>
                <w:color w:val="auto"/>
                <w:sz w:val="21"/>
                <w:szCs w:val="21"/>
                <w:highlight w:val="none"/>
                <w:u w:val="none"/>
              </w:rPr>
              <w:t>为</w:t>
            </w:r>
            <w:r>
              <w:rPr>
                <w:rFonts w:hint="eastAsia" w:ascii="宋体" w:hAnsi="宋体" w:cs="宋体"/>
                <w:color w:val="auto"/>
                <w:sz w:val="21"/>
                <w:szCs w:val="21"/>
                <w:highlight w:val="none"/>
                <w:u w:val="single"/>
                <w:lang w:val="en-US" w:eastAsia="zh-CN"/>
              </w:rPr>
              <w:t xml:space="preserve"> 50585275.56 </w:t>
            </w:r>
            <w:r>
              <w:rPr>
                <w:rFonts w:hint="eastAsia" w:ascii="宋体" w:hAnsi="宋体" w:eastAsia="宋体" w:cs="宋体"/>
                <w:color w:val="auto"/>
                <w:sz w:val="21"/>
                <w:szCs w:val="21"/>
                <w:highlight w:val="none"/>
              </w:rPr>
              <w:t>元。对低于该警戒价的投标报价，投标人必须提供详细的施工组织设计、单价、措施性费用、单价分析表、主要材料价格表、投标人成本分析供评标委员会评审，由评标委员会判定其是否低于企业自身成本。在评标过程中，评标委员会发现投标人的报价明显低于其他投标报价或者低于成本警戒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spacing w:line="24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注：为充分体现招标人意愿及落实项目招标人负责制，警戒价由招标人决定。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370" w:type="pct"/>
            <w:tcBorders>
              <w:left w:val="double" w:color="auto" w:sz="4" w:space="0"/>
            </w:tcBorders>
            <w:noWrap w:val="0"/>
            <w:vAlign w:val="center"/>
          </w:tcPr>
          <w:p>
            <w:pPr>
              <w:spacing w:line="24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7</w:t>
            </w:r>
          </w:p>
        </w:tc>
        <w:tc>
          <w:tcPr>
            <w:tcW w:w="522" w:type="pct"/>
            <w:noWrap w:val="0"/>
            <w:vAlign w:val="center"/>
          </w:tcPr>
          <w:p>
            <w:pPr>
              <w:spacing w:line="240" w:lineRule="auto"/>
              <w:jc w:val="center"/>
              <w:rPr>
                <w:rFonts w:hint="eastAsia" w:ascii="宋体" w:hAnsi="宋体" w:eastAsia="宋体" w:cs="宋体"/>
                <w:color w:val="auto"/>
                <w:sz w:val="21"/>
                <w:szCs w:val="21"/>
                <w:highlight w:val="none"/>
              </w:rPr>
            </w:pPr>
          </w:p>
        </w:tc>
        <w:tc>
          <w:tcPr>
            <w:tcW w:w="938" w:type="pc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各分值的权重</w:t>
            </w:r>
          </w:p>
        </w:tc>
        <w:tc>
          <w:tcPr>
            <w:tcW w:w="3168" w:type="pct"/>
            <w:tcBorders>
              <w:right w:val="double" w:color="auto" w:sz="4" w:space="0"/>
            </w:tcBorders>
            <w:noWrap w:val="0"/>
            <w:vAlign w:val="center"/>
          </w:tcPr>
          <w:p>
            <w:pPr>
              <w:spacing w:line="24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技术分权重为20%，经济分权重为80%。</w:t>
            </w:r>
          </w:p>
          <w:p>
            <w:pPr>
              <w:spacing w:line="24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按照“总分=技术分×技术分权重（20%）+经济分×经济分权重（80%）”的公式，计算各有效投标文件的总分，并按照总分从高到低排列先后次序。若投标人总分相同的，以技术分较高的排前；若技术分仍相同的，以投标总报价较低的排前；若投标总报价仍存在相同情况，则对具有相同情况的投标人，按中标候选人数量规定，由评标委员会采用记名投票方式，确定中标候选人的排序。</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记名投票方式确定排序的具体操作步骤为：由评标委员会对出现该情况的投标人采取记名投票的方式确定，按得票数从高到低排列先后次序，以得票数高的排前，根据得票数高低确定中标候选人排序。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370" w:type="pct"/>
            <w:vMerge w:val="restart"/>
            <w:tcBorders>
              <w:left w:val="double" w:color="auto" w:sz="4" w:space="0"/>
            </w:tcBorders>
            <w:noWrap w:val="0"/>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r>
              <w:rPr>
                <w:rFonts w:hint="eastAsia" w:ascii="宋体" w:hAnsi="宋体" w:cs="宋体"/>
                <w:color w:val="auto"/>
                <w:sz w:val="21"/>
                <w:szCs w:val="21"/>
                <w:highlight w:val="none"/>
                <w:lang w:val="en-US" w:eastAsia="zh-CN"/>
              </w:rPr>
              <w:t>8</w:t>
            </w:r>
          </w:p>
        </w:tc>
        <w:tc>
          <w:tcPr>
            <w:tcW w:w="522" w:type="pct"/>
            <w:vMerge w:val="restart"/>
            <w:noWrap w:val="0"/>
            <w:vAlign w:val="center"/>
          </w:tcPr>
          <w:p>
            <w:pPr>
              <w:spacing w:line="240" w:lineRule="auto"/>
              <w:jc w:val="center"/>
              <w:rPr>
                <w:rFonts w:hint="eastAsia" w:ascii="宋体" w:hAnsi="宋体" w:eastAsia="宋体" w:cs="宋体"/>
                <w:color w:val="auto"/>
                <w:sz w:val="21"/>
                <w:szCs w:val="21"/>
                <w:highlight w:val="none"/>
              </w:rPr>
            </w:pPr>
          </w:p>
        </w:tc>
        <w:tc>
          <w:tcPr>
            <w:tcW w:w="93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评标委员会人数</w:t>
            </w:r>
          </w:p>
        </w:tc>
        <w:tc>
          <w:tcPr>
            <w:tcW w:w="3168" w:type="pct"/>
            <w:tcBorders>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评标委员会由招标人依法组建。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370" w:type="pct"/>
            <w:tcBorders>
              <w:left w:val="double" w:color="auto" w:sz="4" w:space="0"/>
            </w:tcBorders>
            <w:noWrap w:val="0"/>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r>
              <w:rPr>
                <w:rFonts w:hint="eastAsia" w:ascii="宋体" w:hAnsi="宋体" w:cs="宋体"/>
                <w:color w:val="auto"/>
                <w:sz w:val="21"/>
                <w:szCs w:val="21"/>
                <w:highlight w:val="none"/>
                <w:lang w:val="en-US" w:eastAsia="zh-CN"/>
              </w:rPr>
              <w:t>9</w:t>
            </w:r>
          </w:p>
        </w:tc>
        <w:tc>
          <w:tcPr>
            <w:tcW w:w="522" w:type="pct"/>
            <w:noWrap w:val="0"/>
            <w:vAlign w:val="center"/>
          </w:tcPr>
          <w:p>
            <w:pPr>
              <w:spacing w:line="240" w:lineRule="auto"/>
              <w:jc w:val="center"/>
              <w:rPr>
                <w:rFonts w:hint="eastAsia" w:ascii="宋体" w:hAnsi="宋体" w:eastAsia="宋体" w:cs="宋体"/>
                <w:color w:val="auto"/>
                <w:sz w:val="21"/>
                <w:szCs w:val="21"/>
                <w:highlight w:val="none"/>
              </w:rPr>
            </w:pPr>
          </w:p>
        </w:tc>
        <w:tc>
          <w:tcPr>
            <w:tcW w:w="938" w:type="pc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企业综合诚信评价分数</w:t>
            </w:r>
          </w:p>
        </w:tc>
        <w:tc>
          <w:tcPr>
            <w:tcW w:w="3168" w:type="pct"/>
            <w:tcBorders>
              <w:right w:val="double" w:color="auto" w:sz="4" w:space="0"/>
            </w:tcBorders>
            <w:noWrap w:val="0"/>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本工程不设综合诚信评价得分。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370" w:type="pct"/>
            <w:tcBorders>
              <w:left w:val="double" w:color="auto" w:sz="4" w:space="0"/>
            </w:tcBorders>
            <w:noWrap w:val="0"/>
            <w:vAlign w:val="center"/>
          </w:tcPr>
          <w:p>
            <w:pPr>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 w:val="21"/>
                <w:szCs w:val="21"/>
                <w:highlight w:val="none"/>
              </w:rPr>
              <w:t>30</w:t>
            </w:r>
          </w:p>
        </w:tc>
        <w:tc>
          <w:tcPr>
            <w:tcW w:w="522" w:type="pct"/>
            <w:noWrap w:val="0"/>
            <w:vAlign w:val="center"/>
          </w:tcPr>
          <w:p>
            <w:pPr>
              <w:ind w:firstLine="458" w:firstLineChars="0"/>
              <w:rPr>
                <w:rFonts w:hint="eastAsia" w:ascii="宋体" w:hAnsi="宋体" w:eastAsia="宋体" w:cs="Times New Roman"/>
                <w:color w:val="auto"/>
                <w:kern w:val="2"/>
                <w:sz w:val="21"/>
                <w:szCs w:val="21"/>
                <w:highlight w:val="none"/>
                <w:lang w:val="en-US" w:eastAsia="zh-CN" w:bidi="ar-SA"/>
              </w:rPr>
            </w:pPr>
          </w:p>
        </w:tc>
        <w:tc>
          <w:tcPr>
            <w:tcW w:w="938" w:type="pct"/>
            <w:noWrap w:val="0"/>
            <w:vAlign w:val="center"/>
          </w:tcPr>
          <w:p>
            <w:pPr>
              <w:ind w:firstLine="458" w:firstLineChars="0"/>
              <w:rPr>
                <w:rFonts w:hint="eastAsia" w:ascii="宋体" w:hAnsi="宋体" w:eastAsia="宋体" w:cs="Times New Roman"/>
                <w:strike/>
                <w:color w:val="auto"/>
                <w:kern w:val="2"/>
                <w:sz w:val="21"/>
                <w:szCs w:val="21"/>
                <w:highlight w:val="none"/>
                <w:lang w:val="en-US" w:eastAsia="zh-CN" w:bidi="ar-SA"/>
              </w:rPr>
            </w:pPr>
            <w:r>
              <w:rPr>
                <w:rFonts w:hint="eastAsia" w:ascii="宋体" w:hAnsi="宋体"/>
                <w:strike/>
                <w:color w:val="auto"/>
                <w:sz w:val="21"/>
                <w:szCs w:val="21"/>
                <w:highlight w:val="none"/>
              </w:rPr>
              <w:t>第二阶段投标人名次的排序方法（适用于办法一、办法二）</w:t>
            </w:r>
          </w:p>
        </w:tc>
        <w:tc>
          <w:tcPr>
            <w:tcW w:w="3168" w:type="pct"/>
            <w:tcBorders>
              <w:right w:val="double" w:color="auto" w:sz="4" w:space="0"/>
            </w:tcBorders>
            <w:noWrap w:val="0"/>
            <w:vAlign w:val="center"/>
          </w:tcPr>
          <w:p>
            <w:pPr>
              <w:rPr>
                <w:rFonts w:ascii="宋体" w:hAnsi="宋体"/>
                <w:strike/>
                <w:color w:val="auto"/>
                <w:sz w:val="21"/>
                <w:szCs w:val="21"/>
                <w:highlight w:val="none"/>
              </w:rPr>
            </w:pPr>
            <w:r>
              <w:rPr>
                <w:rFonts w:hint="eastAsia" w:ascii="宋体" w:hAnsi="宋体"/>
                <w:strike/>
                <w:color w:val="auto"/>
                <w:sz w:val="21"/>
                <w:szCs w:val="21"/>
                <w:highlight w:val="none"/>
              </w:rPr>
              <w:t>选取方法</w:t>
            </w:r>
          </w:p>
          <w:p>
            <w:pPr>
              <w:rPr>
                <w:rFonts w:ascii="宋体" w:hAnsi="宋体"/>
                <w:strike/>
                <w:color w:val="auto"/>
                <w:sz w:val="21"/>
                <w:szCs w:val="21"/>
                <w:highlight w:val="none"/>
              </w:rPr>
            </w:pPr>
            <w:r>
              <w:rPr>
                <w:rFonts w:hint="eastAsia" w:ascii="宋体" w:hAnsi="宋体"/>
                <w:strike/>
                <w:color w:val="auto"/>
                <w:sz w:val="21"/>
                <w:szCs w:val="21"/>
                <w:highlight w:val="none"/>
              </w:rPr>
              <w:t>方法一：将进入第二阶段投标人的投标报价由低至高进行排序。报价相同的投标文件，以技术分较高的排前；报价与技术得分均相同的投标文件，以综合诚信评价分数高的排前；如仍存在相同情况，则对具有相同情况的投标人，由评标委员会采用随机方式，确定投标人的排序。</w:t>
            </w:r>
          </w:p>
          <w:p>
            <w:pPr>
              <w:rPr>
                <w:rFonts w:ascii="宋体" w:hAnsi="宋体"/>
                <w:strike/>
                <w:color w:val="auto"/>
                <w:sz w:val="21"/>
                <w:szCs w:val="21"/>
                <w:highlight w:val="none"/>
              </w:rPr>
            </w:pPr>
            <w:r>
              <w:rPr>
                <w:rFonts w:hint="eastAsia" w:ascii="宋体" w:hAnsi="宋体"/>
                <w:strike/>
                <w:color w:val="auto"/>
                <w:sz w:val="21"/>
                <w:szCs w:val="21"/>
                <w:highlight w:val="none"/>
              </w:rPr>
              <w:t>方法二：将进入第二阶段投标人的投标报价按大于或小于等于工程成本警戒价的标准分为2组。首先，对于小于或等于工程成本警戒价的，评标委员会从序号1开始随机确定投标人的排序，若仅有1名投标报价小于等于工程成本警戒价的，该投标人为第1名；其次，对于大于工程成本警戒价的投标报价由低至高进行排序，序号接上一组。</w:t>
            </w:r>
          </w:p>
          <w:p>
            <w:pPr>
              <w:rPr>
                <w:rFonts w:hint="eastAsia" w:ascii="宋体" w:hAnsi="宋体" w:eastAsia="宋体" w:cs="Times New Roman"/>
                <w:strike/>
                <w:color w:val="auto"/>
                <w:kern w:val="2"/>
                <w:sz w:val="21"/>
                <w:szCs w:val="21"/>
                <w:highlight w:val="none"/>
                <w:lang w:val="en-US" w:eastAsia="zh-CN" w:bidi="ar-SA"/>
              </w:rPr>
            </w:pPr>
            <w:r>
              <w:rPr>
                <w:rFonts w:hint="eastAsia" w:ascii="宋体" w:hAnsi="宋体"/>
                <w:strike/>
                <w:color w:val="auto"/>
                <w:sz w:val="21"/>
                <w:szCs w:val="21"/>
                <w:highlight w:val="none"/>
              </w:rPr>
              <w:t xml:space="preserve">方法三： （由招标人自行确定）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370" w:type="pct"/>
            <w:tcBorders>
              <w:left w:val="double" w:color="auto" w:sz="4" w:space="0"/>
            </w:tcBorders>
            <w:noWrap w:val="0"/>
            <w:vAlign w:val="center"/>
          </w:tcPr>
          <w:p>
            <w:pPr>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 w:val="21"/>
                <w:szCs w:val="21"/>
                <w:highlight w:val="none"/>
              </w:rPr>
              <w:t>31</w:t>
            </w:r>
          </w:p>
        </w:tc>
        <w:tc>
          <w:tcPr>
            <w:tcW w:w="522" w:type="pct"/>
            <w:noWrap w:val="0"/>
            <w:vAlign w:val="center"/>
          </w:tcPr>
          <w:p>
            <w:pPr>
              <w:ind w:firstLine="458" w:firstLineChars="0"/>
              <w:rPr>
                <w:rFonts w:hint="eastAsia" w:ascii="宋体" w:hAnsi="宋体" w:eastAsia="宋体" w:cs="Times New Roman"/>
                <w:color w:val="auto"/>
                <w:kern w:val="2"/>
                <w:sz w:val="21"/>
                <w:szCs w:val="21"/>
                <w:highlight w:val="none"/>
                <w:lang w:val="en-US" w:eastAsia="zh-CN" w:bidi="ar-SA"/>
              </w:rPr>
            </w:pPr>
          </w:p>
        </w:tc>
        <w:tc>
          <w:tcPr>
            <w:tcW w:w="938" w:type="pct"/>
            <w:noWrap w:val="0"/>
            <w:vAlign w:val="center"/>
          </w:tcPr>
          <w:p>
            <w:pPr>
              <w:rPr>
                <w:rFonts w:hint="eastAsia" w:ascii="宋体" w:hAnsi="宋体" w:eastAsia="宋体" w:cs="Times New Roman"/>
                <w:strike/>
                <w:color w:val="auto"/>
                <w:kern w:val="2"/>
                <w:sz w:val="21"/>
                <w:szCs w:val="21"/>
                <w:highlight w:val="none"/>
                <w:lang w:val="en-US" w:eastAsia="zh-CN" w:bidi="ar-SA"/>
              </w:rPr>
            </w:pPr>
            <w:r>
              <w:rPr>
                <w:rFonts w:hint="eastAsia" w:ascii="宋体" w:hAnsi="宋体"/>
                <w:strike/>
                <w:color w:val="auto"/>
                <w:sz w:val="21"/>
                <w:szCs w:val="21"/>
                <w:highlight w:val="none"/>
              </w:rPr>
              <w:t>经济分相同情况下的排序方法（适用于办法三、办法四）</w:t>
            </w:r>
          </w:p>
        </w:tc>
        <w:tc>
          <w:tcPr>
            <w:tcW w:w="3168" w:type="pct"/>
            <w:tcBorders>
              <w:right w:val="double" w:color="auto" w:sz="4" w:space="0"/>
            </w:tcBorders>
            <w:noWrap w:val="0"/>
            <w:vAlign w:val="center"/>
          </w:tcPr>
          <w:p>
            <w:pPr>
              <w:rPr>
                <w:rFonts w:ascii="宋体" w:hAnsi="宋体"/>
                <w:strike/>
                <w:color w:val="auto"/>
                <w:sz w:val="21"/>
                <w:szCs w:val="21"/>
                <w:highlight w:val="none"/>
              </w:rPr>
            </w:pPr>
            <w:r>
              <w:rPr>
                <w:rFonts w:hint="eastAsia" w:ascii="宋体" w:hAnsi="宋体"/>
                <w:strike/>
                <w:color w:val="auto"/>
                <w:sz w:val="21"/>
                <w:szCs w:val="21"/>
                <w:highlight w:val="none"/>
              </w:rPr>
              <w:t>选取方法</w:t>
            </w:r>
          </w:p>
          <w:p>
            <w:pPr>
              <w:rPr>
                <w:rFonts w:ascii="宋体" w:hAnsi="宋体"/>
                <w:strike/>
                <w:color w:val="auto"/>
                <w:sz w:val="21"/>
                <w:szCs w:val="21"/>
                <w:highlight w:val="none"/>
              </w:rPr>
            </w:pPr>
            <w:r>
              <w:rPr>
                <w:rFonts w:hint="eastAsia" w:ascii="宋体" w:hAnsi="宋体"/>
                <w:strike/>
                <w:color w:val="auto"/>
                <w:sz w:val="21"/>
                <w:szCs w:val="21"/>
                <w:highlight w:val="none"/>
              </w:rPr>
              <w:t>方法一：经济分相同的投标文件，以报价较低的排前；经济分与报价均相同的投标文件，以技术分较高的排前；经济分、报价与技术得分均相同或经济分、报价均相同但未评技术分的投标文件，以综合诚信评价分数高的排前；如仍存在相同情况，则对具有相同情况的投标人，由评标委员会采用随机方式，确定投标人的排序。</w:t>
            </w:r>
          </w:p>
          <w:p>
            <w:pPr>
              <w:rPr>
                <w:rFonts w:ascii="宋体" w:hAnsi="宋体"/>
                <w:strike/>
                <w:color w:val="auto"/>
                <w:sz w:val="21"/>
                <w:szCs w:val="21"/>
                <w:highlight w:val="none"/>
              </w:rPr>
            </w:pPr>
            <w:r>
              <w:rPr>
                <w:rFonts w:hint="eastAsia" w:ascii="宋体" w:hAnsi="宋体"/>
                <w:strike/>
                <w:color w:val="auto"/>
                <w:sz w:val="21"/>
                <w:szCs w:val="21"/>
                <w:highlight w:val="none"/>
              </w:rPr>
              <w:t>方法二：经济分相同的投标文件，由评标委员会采用随机方式，确定投标人的排序。</w:t>
            </w:r>
          </w:p>
          <w:p>
            <w:pPr>
              <w:rPr>
                <w:rFonts w:hint="eastAsia" w:ascii="宋体" w:hAnsi="宋体" w:eastAsia="宋体" w:cs="Times New Roman"/>
                <w:strike/>
                <w:color w:val="auto"/>
                <w:kern w:val="2"/>
                <w:sz w:val="21"/>
                <w:szCs w:val="21"/>
                <w:highlight w:val="none"/>
                <w:lang w:val="en-US" w:eastAsia="zh-CN" w:bidi="ar-SA"/>
              </w:rPr>
            </w:pPr>
            <w:r>
              <w:rPr>
                <w:rFonts w:hint="eastAsia" w:ascii="宋体" w:hAnsi="宋体"/>
                <w:strike/>
                <w:color w:val="auto"/>
                <w:sz w:val="21"/>
                <w:szCs w:val="21"/>
                <w:highlight w:val="none"/>
              </w:rPr>
              <w:t xml:space="preserve">方法三：  （由招标人自行确定）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370" w:type="pct"/>
            <w:tcBorders>
              <w:left w:val="double" w:color="auto" w:sz="4" w:space="0"/>
            </w:tcBorders>
            <w:noWrap w:val="0"/>
            <w:vAlign w:val="center"/>
          </w:tcPr>
          <w:p>
            <w:pPr>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 w:val="21"/>
                <w:szCs w:val="21"/>
                <w:highlight w:val="none"/>
              </w:rPr>
              <w:t>32</w:t>
            </w:r>
          </w:p>
        </w:tc>
        <w:tc>
          <w:tcPr>
            <w:tcW w:w="522" w:type="pct"/>
            <w:noWrap w:val="0"/>
            <w:vAlign w:val="center"/>
          </w:tcPr>
          <w:p>
            <w:pPr>
              <w:ind w:firstLine="458" w:firstLineChars="0"/>
              <w:rPr>
                <w:rFonts w:hint="eastAsia" w:ascii="宋体" w:hAnsi="宋体" w:eastAsia="宋体" w:cs="Times New Roman"/>
                <w:color w:val="auto"/>
                <w:kern w:val="2"/>
                <w:sz w:val="21"/>
                <w:szCs w:val="21"/>
                <w:highlight w:val="none"/>
                <w:lang w:val="en-US" w:eastAsia="zh-CN" w:bidi="ar-SA"/>
              </w:rPr>
            </w:pPr>
          </w:p>
        </w:tc>
        <w:tc>
          <w:tcPr>
            <w:tcW w:w="938" w:type="pct"/>
            <w:noWrap w:val="0"/>
            <w:vAlign w:val="center"/>
          </w:tcPr>
          <w:p>
            <w:pPr>
              <w:rPr>
                <w:rFonts w:hint="eastAsia" w:ascii="宋体" w:hAnsi="宋体" w:eastAsia="宋体" w:cs="Times New Roman"/>
                <w:strike/>
                <w:color w:val="auto"/>
                <w:kern w:val="2"/>
                <w:sz w:val="21"/>
                <w:szCs w:val="21"/>
                <w:highlight w:val="none"/>
                <w:lang w:val="en-US" w:eastAsia="zh-CN" w:bidi="ar-SA"/>
              </w:rPr>
            </w:pPr>
            <w:r>
              <w:rPr>
                <w:rFonts w:hint="eastAsia" w:ascii="宋体" w:hAnsi="宋体"/>
                <w:strike/>
                <w:color w:val="auto"/>
                <w:sz w:val="21"/>
                <w:szCs w:val="21"/>
                <w:highlight w:val="none"/>
              </w:rPr>
              <w:t>第二阶段投标人名次的排序方法（适用于办法五、办法六）</w:t>
            </w:r>
          </w:p>
        </w:tc>
        <w:tc>
          <w:tcPr>
            <w:tcW w:w="3168" w:type="pct"/>
            <w:tcBorders>
              <w:right w:val="double" w:color="auto" w:sz="4" w:space="0"/>
            </w:tcBorders>
            <w:noWrap w:val="0"/>
            <w:vAlign w:val="center"/>
          </w:tcPr>
          <w:p>
            <w:pPr>
              <w:rPr>
                <w:rFonts w:ascii="宋体" w:hAnsi="宋体"/>
                <w:strike/>
                <w:color w:val="auto"/>
                <w:sz w:val="21"/>
                <w:szCs w:val="21"/>
                <w:highlight w:val="none"/>
              </w:rPr>
            </w:pPr>
            <w:r>
              <w:rPr>
                <w:rFonts w:hint="eastAsia" w:ascii="宋体" w:hAnsi="宋体"/>
                <w:strike/>
                <w:color w:val="auto"/>
                <w:sz w:val="21"/>
                <w:szCs w:val="21"/>
                <w:highlight w:val="none"/>
              </w:rPr>
              <w:t>选取方法</w:t>
            </w:r>
            <w:r>
              <w:rPr>
                <w:rFonts w:hint="eastAsia" w:ascii="宋体" w:hAnsi="宋体"/>
                <w:strike/>
                <w:color w:val="auto"/>
                <w:sz w:val="21"/>
                <w:szCs w:val="21"/>
                <w:highlight w:val="none"/>
                <w:u w:val="single"/>
              </w:rPr>
              <w:t xml:space="preserve">     </w:t>
            </w:r>
          </w:p>
          <w:p>
            <w:pPr>
              <w:rPr>
                <w:rFonts w:ascii="宋体" w:hAnsi="宋体"/>
                <w:strike/>
                <w:color w:val="auto"/>
                <w:sz w:val="21"/>
                <w:szCs w:val="21"/>
                <w:highlight w:val="none"/>
              </w:rPr>
            </w:pPr>
            <w:r>
              <w:rPr>
                <w:rFonts w:hint="eastAsia" w:ascii="宋体" w:hAnsi="宋体"/>
                <w:strike/>
                <w:color w:val="auto"/>
                <w:sz w:val="21"/>
                <w:szCs w:val="21"/>
                <w:highlight w:val="none"/>
              </w:rPr>
              <w:t>方法一：评标委员会按照“总分=</w:t>
            </w:r>
            <w:r>
              <w:rPr>
                <w:rFonts w:hint="eastAsia" w:ascii="宋体" w:hAnsi="宋体"/>
                <w:strike/>
                <w:color w:val="auto"/>
                <w:sz w:val="21"/>
                <w:szCs w:val="21"/>
                <w:highlight w:val="none"/>
                <w:u w:val="single"/>
              </w:rPr>
              <w:t xml:space="preserve">           </w:t>
            </w:r>
            <w:r>
              <w:rPr>
                <w:rFonts w:hint="eastAsia" w:ascii="宋体" w:hAnsi="宋体"/>
                <w:strike/>
                <w:color w:val="auto"/>
                <w:sz w:val="21"/>
                <w:szCs w:val="21"/>
                <w:highlight w:val="none"/>
              </w:rPr>
              <w:t>的公式，计算各有效投标文件的总分，并按照总分从高到低排序。总得分相同的投标文件，以报价较低的排前；总得分与报价均相同的投标文件，以</w:t>
            </w:r>
            <w:r>
              <w:rPr>
                <w:rFonts w:hint="eastAsia" w:ascii="宋体" w:hAnsi="宋体"/>
                <w:strike/>
                <w:color w:val="auto"/>
                <w:sz w:val="21"/>
                <w:szCs w:val="21"/>
                <w:highlight w:val="none"/>
                <w:u w:val="single"/>
              </w:rPr>
              <w:t xml:space="preserve">     </w:t>
            </w:r>
            <w:r>
              <w:rPr>
                <w:rFonts w:hint="eastAsia" w:ascii="宋体" w:hAnsi="宋体"/>
                <w:strike/>
                <w:color w:val="auto"/>
                <w:sz w:val="21"/>
                <w:szCs w:val="21"/>
                <w:highlight w:val="none"/>
              </w:rPr>
              <w:t>较高的排前；总得分、报价与</w:t>
            </w:r>
            <w:r>
              <w:rPr>
                <w:rFonts w:hint="eastAsia" w:ascii="宋体" w:hAnsi="宋体"/>
                <w:strike/>
                <w:color w:val="auto"/>
                <w:sz w:val="21"/>
                <w:szCs w:val="21"/>
                <w:highlight w:val="none"/>
                <w:u w:val="single"/>
              </w:rPr>
              <w:t xml:space="preserve">     </w:t>
            </w:r>
            <w:r>
              <w:rPr>
                <w:rFonts w:hint="eastAsia" w:ascii="宋体" w:hAnsi="宋体"/>
                <w:strike/>
                <w:color w:val="auto"/>
                <w:sz w:val="21"/>
                <w:szCs w:val="21"/>
                <w:highlight w:val="none"/>
              </w:rPr>
              <w:t>均相同的投标文件，以诚信综合评价分数高的排前；如仍存在相同情况，则对具有相同情况的投标人，由评标委员会采用随机方式，确定投标人的排序。</w:t>
            </w:r>
          </w:p>
          <w:p>
            <w:pPr>
              <w:rPr>
                <w:rFonts w:hint="eastAsia" w:ascii="宋体" w:hAnsi="宋体" w:eastAsia="宋体" w:cs="Times New Roman"/>
                <w:strike/>
                <w:color w:val="auto"/>
                <w:kern w:val="2"/>
                <w:sz w:val="21"/>
                <w:szCs w:val="21"/>
                <w:highlight w:val="none"/>
                <w:lang w:val="en-US" w:eastAsia="zh-CN" w:bidi="ar-SA"/>
              </w:rPr>
            </w:pPr>
            <w:r>
              <w:rPr>
                <w:rFonts w:hint="eastAsia" w:ascii="宋体" w:hAnsi="宋体"/>
                <w:strike/>
                <w:color w:val="auto"/>
                <w:sz w:val="21"/>
                <w:szCs w:val="21"/>
                <w:highlight w:val="none"/>
              </w:rPr>
              <w:t xml:space="preserve">方法二：  （由招标人自行确定）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370" w:type="pct"/>
            <w:tcBorders>
              <w:left w:val="double" w:color="auto" w:sz="4" w:space="0"/>
            </w:tcBorders>
            <w:noWrap w:val="0"/>
            <w:vAlign w:val="center"/>
          </w:tcPr>
          <w:p>
            <w:pPr>
              <w:spacing w:line="240" w:lineRule="auto"/>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33</w:t>
            </w:r>
          </w:p>
        </w:tc>
        <w:tc>
          <w:tcPr>
            <w:tcW w:w="522" w:type="pc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13.4、13.5.2</w:t>
            </w:r>
          </w:p>
        </w:tc>
        <w:tc>
          <w:tcPr>
            <w:tcW w:w="938" w:type="pc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合同价款的调整办法</w:t>
            </w:r>
          </w:p>
        </w:tc>
        <w:tc>
          <w:tcPr>
            <w:tcW w:w="3168" w:type="pct"/>
            <w:tcBorders>
              <w:right w:val="double" w:color="auto" w:sz="4" w:space="0"/>
            </w:tcBorders>
            <w:noWrap w:val="0"/>
            <w:vAlign w:val="center"/>
          </w:tcPr>
          <w:p>
            <w:pPr>
              <w:spacing w:line="24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详见招标文件及相关合同条款。</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370" w:type="pct"/>
            <w:tcBorders>
              <w:left w:val="double" w:color="auto" w:sz="4" w:space="0"/>
            </w:tcBorders>
            <w:noWrap w:val="0"/>
            <w:vAlign w:val="center"/>
          </w:tcPr>
          <w:p>
            <w:pPr>
              <w:spacing w:line="240" w:lineRule="auto"/>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34</w:t>
            </w:r>
          </w:p>
        </w:tc>
        <w:tc>
          <w:tcPr>
            <w:tcW w:w="522" w:type="pct"/>
            <w:noWrap w:val="0"/>
            <w:vAlign w:val="center"/>
          </w:tcPr>
          <w:p>
            <w:pPr>
              <w:spacing w:line="240" w:lineRule="auto"/>
              <w:jc w:val="center"/>
              <w:rPr>
                <w:rFonts w:hint="eastAsia" w:ascii="宋体" w:hAnsi="宋体" w:eastAsia="宋体" w:cs="宋体"/>
                <w:color w:val="auto"/>
                <w:sz w:val="21"/>
                <w:szCs w:val="21"/>
                <w:highlight w:val="none"/>
              </w:rPr>
            </w:pPr>
          </w:p>
        </w:tc>
        <w:tc>
          <w:tcPr>
            <w:tcW w:w="938" w:type="pct"/>
            <w:noWrap w:val="0"/>
            <w:vAlign w:val="center"/>
          </w:tcPr>
          <w:p>
            <w:pPr>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rPr>
              <w:t>建设工程质量检测单位</w:t>
            </w:r>
          </w:p>
        </w:tc>
        <w:tc>
          <w:tcPr>
            <w:tcW w:w="3168" w:type="pct"/>
            <w:tcBorders>
              <w:right w:val="double" w:color="auto" w:sz="4" w:space="0"/>
            </w:tcBorders>
            <w:noWrap w:val="0"/>
            <w:vAlign w:val="center"/>
          </w:tcPr>
          <w:p>
            <w:pPr>
              <w:spacing w:line="240" w:lineRule="auto"/>
              <w:rPr>
                <w:rFonts w:hint="eastAsia" w:ascii="宋体" w:hAnsi="宋体" w:eastAsia="宋体" w:cs="宋体"/>
                <w:b w:val="0"/>
                <w:bCs w:val="0"/>
                <w:color w:val="auto"/>
                <w:kern w:val="0"/>
                <w:sz w:val="21"/>
                <w:szCs w:val="21"/>
                <w:highlight w:val="none"/>
                <w:lang w:val="zh-CN"/>
              </w:rPr>
            </w:pPr>
            <w:r>
              <w:rPr>
                <w:rFonts w:hint="eastAsia" w:ascii="宋体" w:hAnsi="宋体" w:eastAsia="宋体" w:cs="宋体"/>
                <w:b w:val="0"/>
                <w:bCs w:val="0"/>
                <w:color w:val="auto"/>
                <w:kern w:val="0"/>
                <w:sz w:val="21"/>
                <w:szCs w:val="21"/>
                <w:highlight w:val="none"/>
              </w:rPr>
              <w:t>建设单位和中标人均不得委托近二年（从招标公告发布年度起逆推2年的1月1日起至投标截止时间止）因伪造检测数据、出具虚假检测报告被各级建设行政主管部门或市场监督管理部门行政处罚或通报的检测单位负责本项目的检测工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370" w:type="pct"/>
            <w:tcBorders>
              <w:left w:val="double" w:color="auto" w:sz="4" w:space="0"/>
            </w:tcBorders>
            <w:noWrap w:val="0"/>
            <w:vAlign w:val="center"/>
          </w:tcPr>
          <w:p>
            <w:pPr>
              <w:spacing w:line="240" w:lineRule="auto"/>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35</w:t>
            </w:r>
          </w:p>
        </w:tc>
        <w:tc>
          <w:tcPr>
            <w:tcW w:w="522" w:type="pct"/>
            <w:noWrap w:val="0"/>
            <w:vAlign w:val="center"/>
          </w:tcPr>
          <w:p>
            <w:pPr>
              <w:spacing w:line="240" w:lineRule="auto"/>
              <w:jc w:val="center"/>
              <w:rPr>
                <w:rFonts w:hint="eastAsia" w:ascii="宋体" w:hAnsi="宋体" w:eastAsia="宋体" w:cs="宋体"/>
                <w:color w:val="auto"/>
                <w:sz w:val="21"/>
                <w:szCs w:val="21"/>
                <w:highlight w:val="none"/>
              </w:rPr>
            </w:pPr>
          </w:p>
        </w:tc>
        <w:tc>
          <w:tcPr>
            <w:tcW w:w="938" w:type="pct"/>
            <w:noWrap w:val="0"/>
            <w:vAlign w:val="center"/>
          </w:tcPr>
          <w:p>
            <w:pPr>
              <w:spacing w:line="240" w:lineRule="auto"/>
              <w:jc w:val="center"/>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分包</w:t>
            </w:r>
          </w:p>
        </w:tc>
        <w:tc>
          <w:tcPr>
            <w:tcW w:w="3168" w:type="pct"/>
            <w:tcBorders>
              <w:right w:val="double" w:color="auto" w:sz="4" w:space="0"/>
            </w:tcBorders>
            <w:noWrap w:val="0"/>
            <w:vAlign w:val="center"/>
          </w:tcPr>
          <w:p>
            <w:pPr>
              <w:spacing w:line="240" w:lineRule="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□不允许分包；</w:t>
            </w:r>
          </w:p>
          <w:p>
            <w:pPr>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u w:val="none"/>
              </w:rPr>
              <w:t>■</w:t>
            </w:r>
            <w:r>
              <w:rPr>
                <w:rFonts w:hint="eastAsia" w:ascii="宋体" w:hAnsi="宋体" w:eastAsia="宋体" w:cs="宋体"/>
                <w:color w:val="auto"/>
                <w:kern w:val="0"/>
                <w:sz w:val="21"/>
                <w:szCs w:val="21"/>
                <w:highlight w:val="none"/>
                <w:lang w:val="zh-CN"/>
              </w:rPr>
              <w:t>允许：</w:t>
            </w:r>
            <w:r>
              <w:rPr>
                <w:rFonts w:hint="eastAsia" w:ascii="宋体" w:hAnsi="宋体" w:eastAsia="宋体" w:cs="宋体"/>
                <w:color w:val="auto"/>
                <w:kern w:val="0"/>
                <w:sz w:val="21"/>
                <w:szCs w:val="21"/>
                <w:highlight w:val="none"/>
                <w:u w:val="single"/>
              </w:rPr>
              <w:t>允许非主体、非关键性工程进行分包。</w:t>
            </w:r>
          </w:p>
          <w:p>
            <w:pPr>
              <w:spacing w:line="24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分包内容要求：经监理工程师及发包人同意后可依法分包。</w:t>
            </w:r>
          </w:p>
          <w:p>
            <w:pPr>
              <w:spacing w:line="24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分包金额要求：无</w:t>
            </w:r>
          </w:p>
          <w:p>
            <w:pPr>
              <w:spacing w:line="240" w:lineRule="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sz w:val="21"/>
                <w:szCs w:val="21"/>
                <w:highlight w:val="none"/>
                <w:u w:val="single"/>
              </w:rPr>
              <w:t>对分包人的资质要求：符合有关法律法规和文件规定，并不得再次分包。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320" w:hRule="atLeast"/>
        </w:trPr>
        <w:tc>
          <w:tcPr>
            <w:tcW w:w="370" w:type="pct"/>
            <w:tcBorders>
              <w:left w:val="double" w:color="auto" w:sz="4" w:space="0"/>
            </w:tcBorders>
            <w:noWrap w:val="0"/>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r>
              <w:rPr>
                <w:rFonts w:hint="eastAsia" w:ascii="宋体" w:hAnsi="宋体" w:cs="宋体"/>
                <w:color w:val="auto"/>
                <w:sz w:val="21"/>
                <w:szCs w:val="21"/>
                <w:highlight w:val="none"/>
                <w:lang w:val="en-US" w:eastAsia="zh-CN"/>
              </w:rPr>
              <w:t>6</w:t>
            </w:r>
          </w:p>
        </w:tc>
        <w:tc>
          <w:tcPr>
            <w:tcW w:w="522" w:type="pct"/>
            <w:noWrap w:val="0"/>
            <w:vAlign w:val="center"/>
          </w:tcPr>
          <w:p>
            <w:pPr>
              <w:spacing w:line="240" w:lineRule="auto"/>
              <w:jc w:val="center"/>
              <w:rPr>
                <w:rFonts w:hint="eastAsia" w:ascii="宋体" w:hAnsi="宋体" w:eastAsia="宋体" w:cs="宋体"/>
                <w:color w:val="auto"/>
                <w:sz w:val="21"/>
                <w:szCs w:val="21"/>
                <w:highlight w:val="none"/>
              </w:rPr>
            </w:pPr>
          </w:p>
        </w:tc>
        <w:tc>
          <w:tcPr>
            <w:tcW w:w="938" w:type="pc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电子招标投标解密失败及突发情况的补救</w:t>
            </w:r>
          </w:p>
        </w:tc>
        <w:tc>
          <w:tcPr>
            <w:tcW w:w="3168" w:type="pct"/>
            <w:tcBorders>
              <w:right w:val="double" w:color="auto" w:sz="4" w:space="0"/>
            </w:tcBorders>
            <w:noWrap w:val="0"/>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1、按照广州交易集团有限公司（广州公共资源交易中心）交易平台关于全流程电子化项目的相关指南进行操作。详见：广州交易集团有限公司（广州公共资源交易中心）网站最新指引。  </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2、提交投标文件光盘备用</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可制作非加密的电子投标文件（PDF格式）刻入光盘（1份），在投标须知前附表第18项规定的时间、地点提交备用。刻录好的投标文件光盘密封在密封袋中，并在封口处加盖投标人单位公章。密封袋上应写明项目名称和招标人名称。递交的光盘不得加密。光盘无法读取或导入的，则视为未提交备用投标文件光盘。如果投标人没有按规定通过交易平台网上递交电子投标文件的，不再读取提交的光盘。投标人也可不提交备用光盘。</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3、补救方案</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（1）投标文件解密失败的补救方案：</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规定时间内，因投标人之外原因(指网络瘫痪、服务器损坏、交易系统故障短期无法恢复)导致的电子投标文件解密失败，在开标现场读取光盘内容，继续开标程序。评标委员会对其投标文件的评审以光盘内容为准。因投标人之外原因解密失败且未递交电子光盘的，视为撤回投标文件。</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（2）评标时突发情况的补救方案</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若遇不可抗力发生（指网络瘫痪、服务器损坏、交易系统故障短期无法恢复等因素），由评标委员会开启投标人递交的全部投标文件光盘，并按光盘内容进行评审。</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（3）除发生上述情况外，开标评标均以投标人通过广州交易集团有限公司（广州公共资源交易中心）交易平台网上递交的电子投标文件为准。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370" w:type="pct"/>
            <w:tcBorders>
              <w:left w:val="double" w:color="auto" w:sz="4" w:space="0"/>
            </w:tcBorders>
            <w:noWrap w:val="0"/>
            <w:vAlign w:val="center"/>
          </w:tcPr>
          <w:p>
            <w:pPr>
              <w:jc w:val="center"/>
              <w:rPr>
                <w:rFonts w:hint="default" w:ascii="宋体" w:hAnsi="宋体" w:eastAsia="宋体" w:cs="Times New Roman"/>
                <w:color w:val="auto"/>
                <w:kern w:val="2"/>
                <w:sz w:val="21"/>
                <w:szCs w:val="21"/>
                <w:highlight w:val="none"/>
                <w:u w:val="single"/>
                <w:lang w:val="en-US" w:eastAsia="zh-CN" w:bidi="ar-SA"/>
              </w:rPr>
            </w:pPr>
            <w:r>
              <w:rPr>
                <w:rFonts w:hint="eastAsia" w:ascii="宋体" w:hAnsi="宋体"/>
                <w:color w:val="auto"/>
                <w:sz w:val="21"/>
                <w:szCs w:val="21"/>
                <w:highlight w:val="none"/>
                <w:u w:val="single"/>
              </w:rPr>
              <w:t>37</w:t>
            </w:r>
          </w:p>
        </w:tc>
        <w:tc>
          <w:tcPr>
            <w:tcW w:w="522" w:type="pct"/>
            <w:noWrap w:val="0"/>
            <w:vAlign w:val="center"/>
          </w:tcPr>
          <w:p>
            <w:pPr>
              <w:jc w:val="center"/>
              <w:rPr>
                <w:rFonts w:hint="eastAsia" w:ascii="宋体" w:hAnsi="宋体" w:eastAsia="宋体" w:cs="Times New Roman"/>
                <w:color w:val="auto"/>
                <w:kern w:val="2"/>
                <w:sz w:val="21"/>
                <w:szCs w:val="21"/>
                <w:highlight w:val="none"/>
                <w:lang w:val="en-US" w:eastAsia="zh-CN" w:bidi="ar-SA"/>
              </w:rPr>
            </w:pPr>
          </w:p>
        </w:tc>
        <w:tc>
          <w:tcPr>
            <w:tcW w:w="938" w:type="pct"/>
            <w:noWrap w:val="0"/>
            <w:vAlign w:val="center"/>
          </w:tcPr>
          <w:p>
            <w:pPr>
              <w:rPr>
                <w:rFonts w:hint="eastAsia" w:ascii="宋体" w:hAnsi="宋体" w:eastAsia="宋体" w:cs="宋体"/>
                <w:color w:val="auto"/>
                <w:kern w:val="2"/>
                <w:sz w:val="21"/>
                <w:szCs w:val="21"/>
                <w:highlight w:val="none"/>
                <w:u w:val="single"/>
                <w:lang w:val="en-US" w:eastAsia="zh-CN" w:bidi="ar-SA"/>
              </w:rPr>
            </w:pPr>
            <w:r>
              <w:rPr>
                <w:rFonts w:hint="eastAsia" w:ascii="宋体" w:hAnsi="宋体" w:cs="宋体"/>
                <w:color w:val="auto"/>
                <w:sz w:val="21"/>
                <w:szCs w:val="21"/>
                <w:highlight w:val="none"/>
                <w:u w:val="single"/>
              </w:rPr>
              <w:t>招标人拒绝接收投标文件备用光盘的情况</w:t>
            </w:r>
          </w:p>
        </w:tc>
        <w:tc>
          <w:tcPr>
            <w:tcW w:w="3168" w:type="pct"/>
            <w:tcBorders>
              <w:right w:val="double" w:color="auto" w:sz="4" w:space="0"/>
            </w:tcBorders>
            <w:noWrap w:val="0"/>
            <w:vAlign w:val="center"/>
          </w:tcPr>
          <w:p>
            <w:pPr>
              <w:rPr>
                <w:rFonts w:hint="eastAsia" w:ascii="宋体" w:hAnsi="宋体" w:cs="宋体"/>
                <w:color w:val="auto"/>
                <w:sz w:val="21"/>
                <w:szCs w:val="21"/>
                <w:highlight w:val="none"/>
                <w:u w:val="single"/>
              </w:rPr>
            </w:pPr>
            <w:r>
              <w:rPr>
                <w:rFonts w:hint="eastAsia" w:ascii="宋体" w:hAnsi="宋体" w:cs="宋体"/>
                <w:color w:val="auto"/>
                <w:sz w:val="21"/>
                <w:szCs w:val="21"/>
                <w:highlight w:val="none"/>
                <w:u w:val="single"/>
              </w:rPr>
              <w:t>1、在投标截止期后逾期或未在指定地点递交投标文件备用光盘的；</w:t>
            </w:r>
          </w:p>
          <w:p>
            <w:pPr>
              <w:rPr>
                <w:rFonts w:hint="eastAsia" w:ascii="宋体" w:hAnsi="宋体" w:cs="宋体"/>
                <w:color w:val="auto"/>
                <w:sz w:val="21"/>
                <w:szCs w:val="21"/>
                <w:highlight w:val="none"/>
                <w:u w:val="single"/>
              </w:rPr>
            </w:pPr>
            <w:r>
              <w:rPr>
                <w:rFonts w:hint="eastAsia" w:ascii="宋体" w:hAnsi="宋体" w:cs="宋体"/>
                <w:color w:val="auto"/>
                <w:sz w:val="21"/>
                <w:szCs w:val="21"/>
                <w:highlight w:val="none"/>
                <w:u w:val="single"/>
              </w:rPr>
              <w:t>2、投标文件备用光盘未按招标文件要求密封或未在密封处盖章的；</w:t>
            </w:r>
          </w:p>
          <w:p>
            <w:pPr>
              <w:rPr>
                <w:rFonts w:hint="eastAsia" w:ascii="宋体" w:hAnsi="宋体" w:eastAsia="宋体" w:cs="宋体"/>
                <w:color w:val="auto"/>
                <w:kern w:val="2"/>
                <w:sz w:val="21"/>
                <w:szCs w:val="21"/>
                <w:highlight w:val="none"/>
                <w:u w:val="single"/>
                <w:lang w:val="en-US" w:eastAsia="zh-CN" w:bidi="ar-SA"/>
              </w:rPr>
            </w:pPr>
            <w:r>
              <w:rPr>
                <w:rFonts w:hint="eastAsia" w:ascii="宋体" w:hAnsi="宋体" w:cs="宋体"/>
                <w:color w:val="auto"/>
                <w:sz w:val="21"/>
                <w:szCs w:val="21"/>
                <w:highlight w:val="none"/>
                <w:u w:val="single"/>
              </w:rPr>
              <w:t>3、投标人代表未凭法定代表人证明书（原件）、授权委托书原件（仅限于非法定代表人）、本人身份证原件递交投标文件备用光盘的。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370" w:type="pct"/>
            <w:tcBorders>
              <w:left w:val="double" w:color="auto" w:sz="4" w:space="0"/>
            </w:tcBorders>
            <w:noWrap w:val="0"/>
            <w:vAlign w:val="center"/>
          </w:tcPr>
          <w:p>
            <w:pPr>
              <w:jc w:val="center"/>
              <w:rPr>
                <w:rFonts w:hint="eastAsia" w:ascii="宋体" w:hAnsi="宋体" w:eastAsia="宋体" w:cs="Times New Roman"/>
                <w:color w:val="auto"/>
                <w:kern w:val="2"/>
                <w:sz w:val="21"/>
                <w:szCs w:val="21"/>
                <w:highlight w:val="none"/>
                <w:u w:val="single"/>
                <w:lang w:val="en-US" w:eastAsia="zh-CN" w:bidi="ar-SA"/>
              </w:rPr>
            </w:pPr>
            <w:r>
              <w:rPr>
                <w:rFonts w:hint="eastAsia" w:ascii="宋体" w:hAnsi="宋体"/>
                <w:color w:val="auto"/>
                <w:sz w:val="21"/>
                <w:szCs w:val="21"/>
                <w:highlight w:val="none"/>
                <w:u w:val="single"/>
              </w:rPr>
              <w:t>38</w:t>
            </w:r>
          </w:p>
        </w:tc>
        <w:tc>
          <w:tcPr>
            <w:tcW w:w="522" w:type="pct"/>
            <w:noWrap w:val="0"/>
            <w:vAlign w:val="center"/>
          </w:tcPr>
          <w:p>
            <w:pPr>
              <w:jc w:val="center"/>
              <w:rPr>
                <w:rFonts w:hint="eastAsia" w:ascii="宋体" w:hAnsi="宋体" w:eastAsia="宋体" w:cs="Times New Roman"/>
                <w:color w:val="auto"/>
                <w:kern w:val="2"/>
                <w:sz w:val="21"/>
                <w:szCs w:val="21"/>
                <w:highlight w:val="none"/>
                <w:lang w:val="en-US" w:eastAsia="zh-CN" w:bidi="ar-SA"/>
              </w:rPr>
            </w:pPr>
          </w:p>
        </w:tc>
        <w:tc>
          <w:tcPr>
            <w:tcW w:w="938" w:type="pct"/>
            <w:noWrap w:val="0"/>
            <w:vAlign w:val="center"/>
          </w:tcPr>
          <w:p>
            <w:pPr>
              <w:rPr>
                <w:rFonts w:hint="eastAsia" w:ascii="宋体" w:hAnsi="宋体" w:eastAsia="宋体" w:cs="宋体"/>
                <w:color w:val="auto"/>
                <w:kern w:val="2"/>
                <w:sz w:val="21"/>
                <w:szCs w:val="21"/>
                <w:highlight w:val="none"/>
                <w:u w:val="single"/>
                <w:lang w:val="en-US" w:eastAsia="zh-CN" w:bidi="ar-SA"/>
              </w:rPr>
            </w:pPr>
            <w:r>
              <w:rPr>
                <w:rFonts w:hint="eastAsia" w:ascii="宋体" w:hAnsi="宋体" w:cs="宋体"/>
                <w:color w:val="auto"/>
                <w:sz w:val="21"/>
                <w:szCs w:val="21"/>
                <w:highlight w:val="none"/>
                <w:u w:val="single"/>
              </w:rPr>
              <w:t>中标公示后中标单位提交投标文件要求</w:t>
            </w:r>
          </w:p>
        </w:tc>
        <w:tc>
          <w:tcPr>
            <w:tcW w:w="3168" w:type="pct"/>
            <w:tcBorders>
              <w:right w:val="double" w:color="auto" w:sz="4" w:space="0"/>
            </w:tcBorders>
            <w:noWrap w:val="0"/>
            <w:vAlign w:val="center"/>
          </w:tcPr>
          <w:p>
            <w:pPr>
              <w:rPr>
                <w:rFonts w:hint="eastAsia" w:ascii="宋体" w:hAnsi="宋体" w:eastAsia="宋体" w:cs="宋体"/>
                <w:color w:val="auto"/>
                <w:kern w:val="2"/>
                <w:sz w:val="21"/>
                <w:szCs w:val="21"/>
                <w:highlight w:val="none"/>
                <w:u w:val="single"/>
                <w:lang w:val="en-US" w:eastAsia="zh-CN" w:bidi="ar-SA"/>
              </w:rPr>
            </w:pPr>
            <w:r>
              <w:rPr>
                <w:rFonts w:hint="eastAsia" w:ascii="宋体" w:hAnsi="宋体" w:cs="宋体"/>
                <w:color w:val="auto"/>
                <w:sz w:val="21"/>
                <w:szCs w:val="21"/>
                <w:highlight w:val="none"/>
                <w:u w:val="single"/>
              </w:rPr>
              <w:t>中标人在签订合同前需向招标人另行提供与投标递交的电子标书一致且加盖单位公章的纸质投标文件（含投标人须知11.3列表明细包含的所有工程量清单报价表）4份及电子文件1份（不用生成投标书；包括用Microsoft Excel 软件或广州交易集团有限公司（广州公共资源交易中心）提供的投标书制作软件制作的工程量清单报价表和单价分析表，用 Microsoft Word 软件或广州交易集团有限公司（广州公共资源交易中心）提供的投标书制作软件制作的经济投标文件其他部分。电子文件介质使用CD-R光盘，所有电子文件不能采用压缩处理）。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370" w:type="pct"/>
            <w:tcBorders>
              <w:left w:val="double" w:color="auto" w:sz="4" w:space="0"/>
            </w:tcBorders>
            <w:noWrap w:val="0"/>
            <w:vAlign w:val="center"/>
          </w:tcPr>
          <w:p>
            <w:pPr>
              <w:jc w:val="center"/>
              <w:rPr>
                <w:rFonts w:hint="eastAsia" w:ascii="宋体" w:hAnsi="宋体" w:eastAsia="宋体" w:cs="Times New Roman"/>
                <w:color w:val="auto"/>
                <w:kern w:val="2"/>
                <w:sz w:val="21"/>
                <w:szCs w:val="21"/>
                <w:highlight w:val="none"/>
                <w:u w:val="single"/>
                <w:lang w:val="en-US" w:eastAsia="zh-CN" w:bidi="ar-SA"/>
              </w:rPr>
            </w:pPr>
            <w:r>
              <w:rPr>
                <w:rFonts w:hint="eastAsia" w:ascii="宋体" w:hAnsi="宋体"/>
                <w:color w:val="auto"/>
                <w:sz w:val="21"/>
                <w:szCs w:val="21"/>
                <w:highlight w:val="none"/>
                <w:u w:val="single"/>
              </w:rPr>
              <w:t>39</w:t>
            </w:r>
          </w:p>
        </w:tc>
        <w:tc>
          <w:tcPr>
            <w:tcW w:w="522" w:type="pct"/>
            <w:noWrap w:val="0"/>
            <w:vAlign w:val="center"/>
          </w:tcPr>
          <w:p>
            <w:pPr>
              <w:jc w:val="center"/>
              <w:rPr>
                <w:rFonts w:hint="eastAsia" w:ascii="宋体" w:hAnsi="宋体" w:eastAsia="宋体" w:cs="Times New Roman"/>
                <w:color w:val="auto"/>
                <w:kern w:val="2"/>
                <w:sz w:val="21"/>
                <w:szCs w:val="21"/>
                <w:highlight w:val="none"/>
                <w:lang w:val="en-US" w:eastAsia="zh-CN" w:bidi="ar-SA"/>
              </w:rPr>
            </w:pPr>
          </w:p>
        </w:tc>
        <w:tc>
          <w:tcPr>
            <w:tcW w:w="938" w:type="pct"/>
            <w:noWrap w:val="0"/>
            <w:vAlign w:val="center"/>
          </w:tcPr>
          <w:p>
            <w:pPr>
              <w:rPr>
                <w:rFonts w:hint="eastAsia" w:ascii="宋体" w:hAnsi="宋体" w:eastAsia="宋体" w:cs="宋体"/>
                <w:color w:val="auto"/>
                <w:kern w:val="2"/>
                <w:sz w:val="21"/>
                <w:szCs w:val="21"/>
                <w:highlight w:val="none"/>
                <w:u w:val="single"/>
                <w:lang w:val="en-US" w:eastAsia="zh-CN" w:bidi="ar-SA"/>
              </w:rPr>
            </w:pPr>
            <w:r>
              <w:rPr>
                <w:rFonts w:hint="eastAsia" w:ascii="宋体" w:hAnsi="宋体"/>
                <w:color w:val="auto"/>
                <w:sz w:val="21"/>
                <w:szCs w:val="21"/>
                <w:highlight w:val="none"/>
                <w:u w:val="single"/>
              </w:rPr>
              <w:t>安全生产责任保险</w:t>
            </w:r>
          </w:p>
        </w:tc>
        <w:tc>
          <w:tcPr>
            <w:tcW w:w="3168" w:type="pct"/>
            <w:tcBorders>
              <w:right w:val="double" w:color="auto" w:sz="4" w:space="0"/>
            </w:tcBorders>
            <w:noWrap w:val="0"/>
            <w:vAlign w:val="center"/>
          </w:tcPr>
          <w:p>
            <w:pPr>
              <w:rPr>
                <w:rFonts w:hint="eastAsia" w:ascii="宋体" w:hAnsi="宋体" w:eastAsia="宋体" w:cs="宋体"/>
                <w:color w:val="auto"/>
                <w:kern w:val="0"/>
                <w:sz w:val="21"/>
                <w:szCs w:val="21"/>
                <w:highlight w:val="none"/>
                <w:u w:val="single"/>
                <w:lang w:val="zh-CN" w:eastAsia="zh-CN" w:bidi="ar-SA"/>
              </w:rPr>
            </w:pPr>
            <w:r>
              <w:rPr>
                <w:rFonts w:hint="eastAsia" w:ascii="宋体" w:hAnsi="宋体"/>
                <w:color w:val="auto"/>
                <w:sz w:val="21"/>
                <w:szCs w:val="21"/>
                <w:highlight w:val="none"/>
                <w:u w:val="single"/>
              </w:rPr>
              <w:t>开工前中标人应当投保安全生产责任保险，且该保险保障场所应包含中标项目。投标人的投标报价视为包含该项费用。中标人未按规定购买安全生产责任保险，招标人可视严重程度拒绝该单位一定时期内参与后续工程投标，在招标公告和合同专用条款中予以明确，并在后续工程招标时随招标公告发布拒绝投标名单（注明拒绝理由）。</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370" w:type="pct"/>
            <w:tcBorders>
              <w:left w:val="double" w:color="auto" w:sz="4" w:space="0"/>
              <w:bottom w:val="double" w:color="auto" w:sz="4" w:space="0"/>
            </w:tcBorders>
            <w:noWrap w:val="0"/>
            <w:vAlign w:val="center"/>
          </w:tcPr>
          <w:p>
            <w:pPr>
              <w:jc w:val="center"/>
              <w:rPr>
                <w:rFonts w:hint="eastAsia" w:ascii="宋体" w:hAnsi="宋体" w:eastAsia="宋体" w:cs="Times New Roman"/>
                <w:color w:val="auto"/>
                <w:kern w:val="2"/>
                <w:sz w:val="21"/>
                <w:szCs w:val="21"/>
                <w:highlight w:val="none"/>
                <w:u w:val="single"/>
                <w:lang w:val="en-US" w:eastAsia="zh-CN" w:bidi="ar-SA"/>
              </w:rPr>
            </w:pPr>
            <w:r>
              <w:rPr>
                <w:rFonts w:hint="eastAsia" w:ascii="宋体" w:hAnsi="宋体"/>
                <w:color w:val="auto"/>
                <w:sz w:val="21"/>
                <w:szCs w:val="21"/>
                <w:highlight w:val="none"/>
                <w:u w:val="single"/>
              </w:rPr>
              <w:t>40</w:t>
            </w:r>
          </w:p>
        </w:tc>
        <w:tc>
          <w:tcPr>
            <w:tcW w:w="522" w:type="pct"/>
            <w:tcBorders>
              <w:bottom w:val="double" w:color="auto" w:sz="4" w:space="0"/>
            </w:tcBorders>
            <w:noWrap w:val="0"/>
            <w:vAlign w:val="center"/>
          </w:tcPr>
          <w:p>
            <w:pPr>
              <w:jc w:val="center"/>
              <w:rPr>
                <w:rFonts w:hint="eastAsia" w:ascii="宋体" w:hAnsi="宋体" w:eastAsia="宋体" w:cs="Times New Roman"/>
                <w:color w:val="auto"/>
                <w:kern w:val="2"/>
                <w:sz w:val="21"/>
                <w:szCs w:val="21"/>
                <w:highlight w:val="none"/>
                <w:lang w:val="en-US" w:eastAsia="zh-CN" w:bidi="ar-SA"/>
              </w:rPr>
            </w:pPr>
          </w:p>
        </w:tc>
        <w:tc>
          <w:tcPr>
            <w:tcW w:w="938" w:type="pct"/>
            <w:tcBorders>
              <w:bottom w:val="double" w:color="auto" w:sz="4" w:space="0"/>
            </w:tcBorders>
            <w:noWrap w:val="0"/>
            <w:vAlign w:val="center"/>
          </w:tcPr>
          <w:p>
            <w:pPr>
              <w:rPr>
                <w:rFonts w:hint="eastAsia" w:ascii="宋体" w:hAnsi="宋体" w:eastAsia="宋体" w:cs="Times New Roman"/>
                <w:color w:val="auto"/>
                <w:kern w:val="2"/>
                <w:sz w:val="21"/>
                <w:szCs w:val="21"/>
                <w:highlight w:val="none"/>
                <w:u w:val="single"/>
                <w:lang w:val="en-US" w:eastAsia="zh-CN" w:bidi="ar-SA"/>
              </w:rPr>
            </w:pPr>
            <w:r>
              <w:rPr>
                <w:rFonts w:hint="eastAsia" w:ascii="宋体" w:hAnsi="宋体"/>
                <w:color w:val="auto"/>
                <w:sz w:val="21"/>
                <w:szCs w:val="21"/>
                <w:highlight w:val="none"/>
                <w:u w:val="single"/>
              </w:rPr>
              <w:t>绿色发展理念</w:t>
            </w:r>
          </w:p>
        </w:tc>
        <w:tc>
          <w:tcPr>
            <w:tcW w:w="3168" w:type="pct"/>
            <w:tcBorders>
              <w:bottom w:val="double" w:color="auto" w:sz="4" w:space="0"/>
              <w:right w:val="double" w:color="auto" w:sz="4" w:space="0"/>
            </w:tcBorders>
            <w:noWrap w:val="0"/>
            <w:vAlign w:val="center"/>
          </w:tcPr>
          <w:p>
            <w:pPr>
              <w:rPr>
                <w:rFonts w:hint="eastAsia" w:ascii="宋体" w:hAnsi="宋体" w:eastAsia="宋体" w:cs="Times New Roman"/>
                <w:color w:val="auto"/>
                <w:kern w:val="2"/>
                <w:sz w:val="21"/>
                <w:szCs w:val="21"/>
                <w:highlight w:val="none"/>
                <w:u w:val="single"/>
                <w:lang w:val="en-US" w:eastAsia="zh-CN" w:bidi="ar-SA"/>
              </w:rPr>
            </w:pPr>
            <w:r>
              <w:rPr>
                <w:rFonts w:hint="eastAsia" w:ascii="宋体" w:hAnsi="宋体"/>
                <w:color w:val="auto"/>
                <w:sz w:val="21"/>
                <w:szCs w:val="21"/>
                <w:highlight w:val="none"/>
                <w:u w:val="single"/>
              </w:rPr>
              <w:t>为贯彻绿色发展理念，本项目应积极使用氢燃料电池泥头车等新能源工程车，要求投入的新能源工程车占投入的建筑垃圾自卸车（渣土车）总数比例不低于40%。一旦中标，必须全部到位，否则按合同违约处理。</w:t>
            </w:r>
          </w:p>
        </w:tc>
      </w:tr>
    </w:tbl>
    <w:p>
      <w:pPr>
        <w:spacing w:line="240" w:lineRule="auto"/>
        <w:rPr>
          <w:rFonts w:hint="eastAsia" w:ascii="宋体" w:hAnsi="宋体" w:eastAsia="宋体" w:cs="宋体"/>
          <w:strike/>
          <w:color w:val="auto"/>
          <w:sz w:val="21"/>
          <w:szCs w:val="21"/>
          <w:highlight w:val="none"/>
        </w:rPr>
      </w:pPr>
      <w:r>
        <w:rPr>
          <w:rFonts w:hint="eastAsia" w:ascii="宋体" w:hAnsi="宋体"/>
          <w:strike/>
          <w:color w:val="auto"/>
          <w:sz w:val="21"/>
          <w:szCs w:val="21"/>
          <w:highlight w:val="none"/>
        </w:rPr>
        <w:t>注：企业综合诚信评价得分即企业综合诚信评价60日诚信分，以下同。</w:t>
      </w:r>
    </w:p>
    <w:p>
      <w:pPr>
        <w:pStyle w:val="5"/>
        <w:spacing w:line="560" w:lineRule="exact"/>
        <w:rPr>
          <w:rFonts w:hint="eastAsia" w:ascii="宋体" w:hAnsi="宋体" w:eastAsia="宋体" w:cs="宋体"/>
          <w:color w:val="auto"/>
          <w:sz w:val="32"/>
          <w:szCs w:val="32"/>
          <w:highlight w:val="none"/>
        </w:rPr>
      </w:pPr>
      <w:r>
        <w:rPr>
          <w:rFonts w:hint="eastAsia" w:ascii="宋体" w:hAnsi="宋体" w:eastAsia="宋体" w:cs="宋体"/>
          <w:strike/>
          <w:color w:val="auto"/>
          <w:sz w:val="21"/>
          <w:szCs w:val="21"/>
          <w:highlight w:val="none"/>
        </w:rPr>
        <w:br w:type="page"/>
      </w:r>
      <w:bookmarkStart w:id="3" w:name="_Toc6608"/>
      <w:r>
        <w:rPr>
          <w:rFonts w:hint="eastAsia" w:ascii="宋体" w:hAnsi="宋体" w:eastAsia="宋体" w:cs="宋体"/>
          <w:color w:val="auto"/>
          <w:sz w:val="32"/>
          <w:szCs w:val="32"/>
          <w:highlight w:val="none"/>
        </w:rPr>
        <w:t>二、投标须知修改表</w:t>
      </w:r>
      <w:bookmarkEnd w:id="3"/>
    </w:p>
    <w:p>
      <w:pPr>
        <w:spacing w:line="360" w:lineRule="auto"/>
        <w:ind w:firstLine="413" w:firstLineChars="19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声明：本投标须知使用GZZB2018-3招标文件范本的投标须知通用条款，与该通用条款不同之处，均在本表中列明，并以现文为准，原文不再有效。本招标文件中不再转录投标须知通用条款，请投标人自行到广州市住房和城乡建设局网站（网址：</w:t>
      </w:r>
      <w:r>
        <w:rPr>
          <w:rFonts w:hint="eastAsia" w:ascii="宋体" w:hAnsi="宋体" w:eastAsia="宋体" w:cs="宋体"/>
          <w:b/>
          <w:color w:val="auto"/>
          <w:sz w:val="21"/>
          <w:szCs w:val="21"/>
          <w:highlight w:val="none"/>
        </w:rPr>
        <w:fldChar w:fldCharType="begin"/>
      </w:r>
      <w:r>
        <w:rPr>
          <w:rFonts w:hint="eastAsia" w:ascii="宋体" w:hAnsi="宋体" w:eastAsia="宋体" w:cs="宋体"/>
          <w:b/>
          <w:color w:val="auto"/>
          <w:sz w:val="21"/>
          <w:szCs w:val="21"/>
          <w:highlight w:val="none"/>
        </w:rPr>
        <w:instrText xml:space="preserve"> HYPERLINK "http://zfcj.gz.gov.cn/）下载查阅。" </w:instrText>
      </w:r>
      <w:r>
        <w:rPr>
          <w:rFonts w:hint="eastAsia" w:ascii="宋体" w:hAnsi="宋体" w:eastAsia="宋体" w:cs="宋体"/>
          <w:b/>
          <w:color w:val="auto"/>
          <w:sz w:val="21"/>
          <w:szCs w:val="21"/>
          <w:highlight w:val="none"/>
        </w:rPr>
        <w:fldChar w:fldCharType="separate"/>
      </w:r>
      <w:r>
        <w:rPr>
          <w:rStyle w:val="23"/>
          <w:rFonts w:hint="eastAsia" w:ascii="宋体" w:hAnsi="宋体" w:eastAsia="宋体" w:cs="宋体"/>
          <w:b/>
          <w:color w:val="auto"/>
          <w:sz w:val="21"/>
          <w:szCs w:val="21"/>
          <w:highlight w:val="none"/>
        </w:rPr>
        <w:t>http://zfcj.gz.gov.cn/）下载查阅。</w:t>
      </w:r>
      <w:r>
        <w:rPr>
          <w:rFonts w:hint="eastAsia" w:ascii="宋体" w:hAnsi="宋体" w:eastAsia="宋体" w:cs="宋体"/>
          <w:b/>
          <w:color w:val="auto"/>
          <w:sz w:val="21"/>
          <w:szCs w:val="21"/>
          <w:highlight w:val="none"/>
        </w:rPr>
        <w:fldChar w:fldCharType="end"/>
      </w:r>
    </w:p>
    <w:p>
      <w:pPr>
        <w:spacing w:line="360" w:lineRule="auto"/>
        <w:ind w:firstLine="413" w:firstLineChars="19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条款号：2.5                          修改类型：增加</w:t>
      </w:r>
    </w:p>
    <w:p>
      <w:pPr>
        <w:pBdr>
          <w:bottom w:val="single" w:color="auto" w:sz="6" w:space="1"/>
        </w:pBdr>
        <w:snapToGrid w:val="0"/>
        <w:spacing w:line="360" w:lineRule="auto"/>
        <w:ind w:firstLine="422" w:firstLineChars="200"/>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现文：</w:t>
      </w:r>
      <w:r>
        <w:rPr>
          <w:rFonts w:hint="eastAsia" w:ascii="宋体" w:hAnsi="宋体" w:eastAsia="宋体" w:cs="宋体"/>
          <w:color w:val="auto"/>
          <w:sz w:val="21"/>
          <w:szCs w:val="21"/>
          <w:highlight w:val="none"/>
          <w:u w:val="single"/>
        </w:rPr>
        <w:t>2.5</w:t>
      </w:r>
      <w:r>
        <w:rPr>
          <w:rFonts w:hint="eastAsia" w:ascii="宋体" w:hAnsi="宋体" w:eastAsia="宋体" w:cs="宋体"/>
          <w:bCs/>
          <w:color w:val="auto"/>
          <w:kern w:val="0"/>
          <w:sz w:val="21"/>
          <w:szCs w:val="21"/>
          <w:highlight w:val="none"/>
          <w:u w:val="single"/>
        </w:rPr>
        <w:t>建设单位和中标人均不得委托近二年（从招标公告发布年度起逆推2年的1月1日起至投标截止时间止）因伪造检测数据、出具虚假检测报告被各级建设行政主管部门或市场监督管理部门行政处罚或通报的检测单位负责本项目的检测工作。</w:t>
      </w:r>
    </w:p>
    <w:p>
      <w:pPr>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条款号：5.1                          修改类型：修改</w:t>
      </w:r>
    </w:p>
    <w:p>
      <w:pPr>
        <w:pBdr>
          <w:bottom w:val="single" w:color="auto" w:sz="6" w:space="1"/>
        </w:pBdr>
        <w:spacing w:line="360" w:lineRule="auto"/>
        <w:ind w:firstLine="422" w:firstLineChars="200"/>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原文</w:t>
      </w:r>
      <w:r>
        <w:rPr>
          <w:rFonts w:hint="eastAsia" w:ascii="宋体" w:hAnsi="宋体" w:eastAsia="宋体" w:cs="宋体"/>
          <w:color w:val="auto"/>
          <w:sz w:val="21"/>
          <w:szCs w:val="21"/>
          <w:highlight w:val="none"/>
        </w:rPr>
        <w:t>：5.1投标人应按本投标须知前附表第15项所述时间和要求对工程现场及周围环境进行踏勘，投标人应充分重视和仔细地进行这种考察，以便投标人获取那些须投标人自己负责的有关编制投标文件和签署合同所涉及现场所有的资料。一旦中标，这种考察即被认为其结果已在中标文件中得到充分反映。考察现场的费用由投标人自己承担。</w:t>
      </w:r>
    </w:p>
    <w:p>
      <w:pPr>
        <w:pBdr>
          <w:bottom w:val="single" w:color="auto" w:sz="6" w:space="1"/>
        </w:pBdr>
        <w:spacing w:line="360" w:lineRule="auto"/>
        <w:ind w:firstLine="422" w:firstLineChars="200"/>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现文：</w:t>
      </w:r>
      <w:r>
        <w:rPr>
          <w:rFonts w:hint="eastAsia" w:ascii="宋体" w:hAnsi="宋体" w:eastAsia="宋体" w:cs="宋体"/>
          <w:color w:val="auto"/>
          <w:sz w:val="21"/>
          <w:szCs w:val="21"/>
          <w:highlight w:val="none"/>
        </w:rPr>
        <w:t>5.1投标人应按本投标须知前附表第15项所述时间和要求对工程现场及周围环境进行踏勘，投标人应充分重视和仔细地进行这种考察，以便投标人获取那些须投标人自己负责的有关编制投标文件和签署合同所涉及现场所有的资料</w:t>
      </w:r>
      <w:r>
        <w:rPr>
          <w:rFonts w:hint="eastAsia" w:ascii="宋体" w:hAnsi="宋体" w:eastAsia="宋体" w:cs="宋体"/>
          <w:color w:val="auto"/>
          <w:sz w:val="21"/>
          <w:szCs w:val="21"/>
          <w:highlight w:val="none"/>
          <w:u w:val="single"/>
        </w:rPr>
        <w:t>，投标人不进行踏勘的，视为已熟知现场条件，自行承担相关风险</w:t>
      </w:r>
      <w:r>
        <w:rPr>
          <w:rFonts w:hint="eastAsia" w:ascii="宋体" w:hAnsi="宋体" w:eastAsia="宋体" w:cs="宋体"/>
          <w:color w:val="auto"/>
          <w:sz w:val="21"/>
          <w:szCs w:val="21"/>
          <w:highlight w:val="none"/>
        </w:rPr>
        <w:t>。一旦中标，这种考察即被认为其结果已在中标文件中得到充分反映。</w:t>
      </w:r>
      <w:r>
        <w:rPr>
          <w:rFonts w:hint="eastAsia" w:ascii="宋体" w:hAnsi="宋体" w:eastAsia="宋体" w:cs="宋体"/>
          <w:color w:val="auto"/>
          <w:sz w:val="21"/>
          <w:szCs w:val="21"/>
          <w:highlight w:val="none"/>
          <w:u w:val="single"/>
        </w:rPr>
        <w:t>招标人不受理因投标人缺乏对现场条件的了解或掌握而提出的任何索赔。</w:t>
      </w:r>
      <w:r>
        <w:rPr>
          <w:rFonts w:hint="eastAsia" w:ascii="宋体" w:hAnsi="宋体" w:eastAsia="宋体" w:cs="宋体"/>
          <w:color w:val="auto"/>
          <w:sz w:val="21"/>
          <w:szCs w:val="21"/>
          <w:highlight w:val="none"/>
        </w:rPr>
        <w:t>考察现场的费用由投标人自己承担。</w:t>
      </w:r>
    </w:p>
    <w:p>
      <w:pPr>
        <w:spacing w:line="360" w:lineRule="auto"/>
        <w:ind w:firstLine="413" w:firstLineChars="19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条款号：8.1                           修改类型：修改</w:t>
      </w:r>
    </w:p>
    <w:p>
      <w:pPr>
        <w:pStyle w:val="18"/>
        <w:pBdr>
          <w:bottom w:val="single" w:color="auto" w:sz="6" w:space="1"/>
        </w:pBdr>
        <w:spacing w:after="0" w:line="360" w:lineRule="auto"/>
        <w:ind w:firstLine="422" w:firstLineChars="200"/>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原文：</w:t>
      </w:r>
      <w:r>
        <w:rPr>
          <w:rFonts w:hint="eastAsia" w:ascii="宋体" w:hAnsi="宋体" w:eastAsia="宋体" w:cs="宋体"/>
          <w:color w:val="auto"/>
          <w:sz w:val="21"/>
          <w:szCs w:val="21"/>
          <w:highlight w:val="none"/>
        </w:rPr>
        <w:t>8.1 投标人若对招标文件（包括招标图纸）中有疑问，可以书面形式通过</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交易平台提交给招标人或招标代理人，提交形式见本须知前附表第16项。</w:t>
      </w:r>
    </w:p>
    <w:p>
      <w:pPr>
        <w:pStyle w:val="18"/>
        <w:pBdr>
          <w:bottom w:val="single" w:color="auto" w:sz="6" w:space="1"/>
        </w:pBdr>
        <w:spacing w:after="0" w:line="360" w:lineRule="auto"/>
        <w:ind w:firstLine="422" w:firstLineChars="200"/>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现文：</w:t>
      </w:r>
      <w:r>
        <w:rPr>
          <w:rFonts w:hint="eastAsia" w:ascii="宋体" w:hAnsi="宋体" w:eastAsia="宋体" w:cs="宋体"/>
          <w:color w:val="auto"/>
          <w:sz w:val="21"/>
          <w:szCs w:val="21"/>
          <w:highlight w:val="none"/>
        </w:rPr>
        <w:t>8.1</w:t>
      </w:r>
      <w:r>
        <w:rPr>
          <w:rFonts w:hint="eastAsia" w:ascii="宋体" w:hAnsi="宋体" w:eastAsia="宋体" w:cs="宋体"/>
          <w:bCs/>
          <w:color w:val="auto"/>
          <w:sz w:val="21"/>
          <w:szCs w:val="21"/>
          <w:highlight w:val="none"/>
          <w:u w:val="single"/>
        </w:rPr>
        <w:t>投标人若对招标文件（包括招标图纸、清单、最高投标限价）中有疑问，采用网上答疑方式进行，详见本须知前附表第16项。招标人或招标代理人将于本须知前附表第16项指定的地点（交易平台）和时间对疑问进行答复</w:t>
      </w:r>
      <w:r>
        <w:rPr>
          <w:rFonts w:hint="eastAsia" w:ascii="宋体" w:hAnsi="宋体" w:eastAsia="宋体" w:cs="宋体"/>
          <w:color w:val="auto"/>
          <w:sz w:val="21"/>
          <w:szCs w:val="21"/>
          <w:highlight w:val="none"/>
        </w:rPr>
        <w:t>。</w:t>
      </w:r>
    </w:p>
    <w:p>
      <w:pPr>
        <w:spacing w:line="360" w:lineRule="auto"/>
        <w:ind w:firstLine="472" w:firstLineChars="224"/>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条款号：8.2                          修改类型：修改</w:t>
      </w:r>
    </w:p>
    <w:p>
      <w:pPr>
        <w:pStyle w:val="18"/>
        <w:spacing w:after="0" w:line="360" w:lineRule="auto"/>
        <w:ind w:firstLine="422" w:firstLineChars="200"/>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原文：</w:t>
      </w:r>
      <w:r>
        <w:rPr>
          <w:rFonts w:hint="eastAsia" w:ascii="宋体" w:hAnsi="宋体" w:cs="宋体"/>
          <w:b w:val="0"/>
          <w:bCs/>
          <w:color w:val="auto"/>
          <w:sz w:val="21"/>
          <w:szCs w:val="21"/>
          <w:highlight w:val="none"/>
          <w:lang w:val="en-US" w:eastAsia="zh-CN"/>
        </w:rPr>
        <w:t>8.2</w:t>
      </w:r>
      <w:r>
        <w:rPr>
          <w:rFonts w:hint="eastAsia" w:ascii="宋体" w:hAnsi="宋体" w:eastAsia="宋体" w:cs="宋体"/>
          <w:color w:val="auto"/>
          <w:sz w:val="21"/>
          <w:szCs w:val="21"/>
          <w:highlight w:val="none"/>
        </w:rPr>
        <w:t>招标答疑会会议纪要将在提交投标文件截止时间15日前在</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交易平台 “项目答疑纪要”专区公开发布。答疑纪要一经在</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交易平台发布，视作已发放给所有投标人。</w:t>
      </w:r>
    </w:p>
    <w:p>
      <w:pPr>
        <w:pStyle w:val="18"/>
        <w:pBdr>
          <w:bottom w:val="single" w:color="auto" w:sz="4" w:space="1"/>
        </w:pBdr>
        <w:spacing w:after="0" w:line="360" w:lineRule="auto"/>
        <w:ind w:firstLine="422" w:firstLineChars="200"/>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现文：</w:t>
      </w:r>
      <w:r>
        <w:rPr>
          <w:rFonts w:hint="eastAsia" w:ascii="宋体" w:hAnsi="宋体" w:eastAsia="宋体" w:cs="宋体"/>
          <w:color w:val="auto"/>
          <w:sz w:val="21"/>
          <w:szCs w:val="21"/>
          <w:highlight w:val="none"/>
        </w:rPr>
        <w:t>8.2招标答疑会会议纪要将在提交投标文件截止时间15日前</w:t>
      </w:r>
      <w:r>
        <w:rPr>
          <w:rFonts w:hint="eastAsia" w:ascii="宋体" w:hAnsi="宋体" w:eastAsia="宋体" w:cs="宋体"/>
          <w:color w:val="auto"/>
          <w:sz w:val="21"/>
          <w:szCs w:val="21"/>
          <w:highlight w:val="none"/>
          <w:u w:val="single"/>
        </w:rPr>
        <w:t>在</w:t>
      </w:r>
      <w:r>
        <w:rPr>
          <w:rFonts w:hint="eastAsia" w:ascii="宋体" w:hAnsi="宋体" w:eastAsia="宋体" w:cs="宋体"/>
          <w:color w:val="auto"/>
          <w:sz w:val="21"/>
          <w:szCs w:val="21"/>
          <w:highlight w:val="none"/>
          <w:u w:val="single"/>
          <w:lang w:eastAsia="zh-CN"/>
        </w:rPr>
        <w:t>广州交易集团有限公司（广州公共资源交易中心）</w:t>
      </w:r>
      <w:r>
        <w:rPr>
          <w:rFonts w:hint="eastAsia" w:ascii="宋体" w:hAnsi="宋体" w:eastAsia="宋体" w:cs="宋体"/>
          <w:color w:val="auto"/>
          <w:sz w:val="21"/>
          <w:szCs w:val="21"/>
          <w:highlight w:val="none"/>
          <w:u w:val="single"/>
        </w:rPr>
        <w:t>网站“项目查询(日程安排、答疑纪要)”</w:t>
      </w:r>
      <w:r>
        <w:rPr>
          <w:rFonts w:hint="eastAsia" w:ascii="宋体" w:hAnsi="宋体" w:eastAsia="宋体" w:cs="宋体"/>
          <w:color w:val="auto"/>
          <w:sz w:val="21"/>
          <w:szCs w:val="21"/>
          <w:highlight w:val="none"/>
        </w:rPr>
        <w:t>专区公开发布。答疑纪要一经</w:t>
      </w:r>
      <w:r>
        <w:rPr>
          <w:rFonts w:hint="eastAsia" w:ascii="宋体" w:hAnsi="宋体" w:eastAsia="宋体" w:cs="宋体"/>
          <w:color w:val="auto"/>
          <w:sz w:val="21"/>
          <w:szCs w:val="21"/>
          <w:highlight w:val="none"/>
          <w:u w:val="single"/>
        </w:rPr>
        <w:t>在</w:t>
      </w:r>
      <w:r>
        <w:rPr>
          <w:rFonts w:hint="eastAsia" w:ascii="宋体" w:hAnsi="宋体" w:eastAsia="宋体" w:cs="宋体"/>
          <w:color w:val="auto"/>
          <w:sz w:val="21"/>
          <w:szCs w:val="21"/>
          <w:highlight w:val="none"/>
          <w:u w:val="single"/>
          <w:lang w:eastAsia="zh-CN"/>
        </w:rPr>
        <w:t>广州交易集团有限公司（广州公共资源交易中心）</w:t>
      </w:r>
      <w:r>
        <w:rPr>
          <w:rFonts w:hint="eastAsia" w:ascii="宋体" w:hAnsi="宋体" w:eastAsia="宋体" w:cs="宋体"/>
          <w:color w:val="auto"/>
          <w:sz w:val="21"/>
          <w:szCs w:val="21"/>
          <w:highlight w:val="none"/>
        </w:rPr>
        <w:t>网站发布，视作已发放给所有投标人。</w:t>
      </w:r>
    </w:p>
    <w:p>
      <w:pPr>
        <w:spacing w:line="360" w:lineRule="auto"/>
        <w:ind w:firstLine="472" w:firstLineChars="224"/>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条款号：9.2                          修改类型：修改</w:t>
      </w:r>
    </w:p>
    <w:p>
      <w:pPr>
        <w:pBdr>
          <w:bottom w:val="single" w:color="auto" w:sz="6" w:space="1"/>
        </w:pBdr>
        <w:spacing w:line="360" w:lineRule="auto"/>
        <w:ind w:firstLine="472" w:firstLineChars="224"/>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原文：</w:t>
      </w:r>
      <w:r>
        <w:rPr>
          <w:rFonts w:hint="eastAsia" w:ascii="宋体" w:hAnsi="宋体" w:eastAsia="宋体" w:cs="宋体"/>
          <w:color w:val="auto"/>
          <w:sz w:val="21"/>
          <w:szCs w:val="21"/>
          <w:highlight w:val="none"/>
        </w:rPr>
        <w:t>9.2招标文件的澄清或修改将在</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交易平台“项目答疑纪要”专区公开发布。答疑纪要一经在</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交易平台发布，视作已发放给所有投标人，以</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交易平台上网发布时间作为送达时间。</w:t>
      </w:r>
    </w:p>
    <w:p>
      <w:pPr>
        <w:pBdr>
          <w:bottom w:val="single" w:color="auto" w:sz="6" w:space="1"/>
        </w:pBdr>
        <w:spacing w:line="360" w:lineRule="auto"/>
        <w:ind w:firstLine="472" w:firstLineChars="224"/>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现文：</w:t>
      </w:r>
      <w:r>
        <w:rPr>
          <w:rFonts w:hint="eastAsia" w:ascii="宋体" w:hAnsi="宋体" w:eastAsia="宋体" w:cs="宋体"/>
          <w:color w:val="auto"/>
          <w:sz w:val="21"/>
          <w:szCs w:val="21"/>
          <w:highlight w:val="none"/>
        </w:rPr>
        <w:t>9.2招标文件的澄清或修改</w:t>
      </w:r>
      <w:r>
        <w:rPr>
          <w:rFonts w:hint="eastAsia" w:ascii="宋体" w:hAnsi="宋体" w:eastAsia="宋体" w:cs="宋体"/>
          <w:color w:val="auto"/>
          <w:sz w:val="21"/>
          <w:szCs w:val="21"/>
          <w:highlight w:val="none"/>
          <w:u w:val="single"/>
        </w:rPr>
        <w:t>在</w:t>
      </w:r>
      <w:r>
        <w:rPr>
          <w:rFonts w:hint="eastAsia" w:ascii="宋体" w:hAnsi="宋体" w:eastAsia="宋体" w:cs="宋体"/>
          <w:color w:val="auto"/>
          <w:sz w:val="21"/>
          <w:szCs w:val="21"/>
          <w:highlight w:val="none"/>
          <w:u w:val="single"/>
          <w:lang w:eastAsia="zh-CN"/>
        </w:rPr>
        <w:t>广州交易集团有限公司（广州公共资源交易中心）</w:t>
      </w:r>
      <w:r>
        <w:rPr>
          <w:rFonts w:hint="eastAsia" w:ascii="宋体" w:hAnsi="宋体" w:eastAsia="宋体" w:cs="宋体"/>
          <w:color w:val="auto"/>
          <w:sz w:val="21"/>
          <w:szCs w:val="21"/>
          <w:highlight w:val="none"/>
        </w:rPr>
        <w:t>交易平台“项目查询(日程安排、答疑纪要)”专区公开发布。答疑纪要一经在</w:t>
      </w:r>
      <w:r>
        <w:rPr>
          <w:rFonts w:hint="eastAsia" w:ascii="宋体" w:hAnsi="宋体" w:eastAsia="宋体" w:cs="宋体"/>
          <w:color w:val="auto"/>
          <w:sz w:val="21"/>
          <w:szCs w:val="21"/>
          <w:highlight w:val="none"/>
          <w:u w:val="single"/>
          <w:lang w:eastAsia="zh-CN"/>
        </w:rPr>
        <w:t>广州交易集团有限公司（广州公共资源交易中心）</w:t>
      </w:r>
      <w:r>
        <w:rPr>
          <w:rFonts w:hint="eastAsia" w:ascii="宋体" w:hAnsi="宋体" w:eastAsia="宋体" w:cs="宋体"/>
          <w:color w:val="auto"/>
          <w:sz w:val="21"/>
          <w:szCs w:val="21"/>
          <w:highlight w:val="none"/>
        </w:rPr>
        <w:t>交易平台发布，视作已发放给所有投标人，以</w:t>
      </w:r>
      <w:r>
        <w:rPr>
          <w:rFonts w:hint="eastAsia" w:ascii="宋体" w:hAnsi="宋体" w:eastAsia="宋体" w:cs="宋体"/>
          <w:color w:val="auto"/>
          <w:sz w:val="21"/>
          <w:szCs w:val="21"/>
          <w:highlight w:val="none"/>
          <w:u w:val="single"/>
          <w:lang w:eastAsia="zh-CN"/>
        </w:rPr>
        <w:t>广州交易集团有限公司（广州公共资源交易中心）</w:t>
      </w:r>
      <w:r>
        <w:rPr>
          <w:rFonts w:hint="eastAsia" w:ascii="宋体" w:hAnsi="宋体" w:eastAsia="宋体" w:cs="宋体"/>
          <w:color w:val="auto"/>
          <w:sz w:val="21"/>
          <w:szCs w:val="21"/>
          <w:highlight w:val="none"/>
        </w:rPr>
        <w:t>交易平台上网发布时间作为送达时间。</w:t>
      </w:r>
    </w:p>
    <w:p>
      <w:pPr>
        <w:spacing w:line="360" w:lineRule="auto"/>
        <w:ind w:firstLine="472" w:firstLineChars="224"/>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条款号：9.4                         修改类型：修改</w:t>
      </w:r>
    </w:p>
    <w:p>
      <w:pPr>
        <w:pStyle w:val="18"/>
        <w:spacing w:after="0" w:line="360" w:lineRule="auto"/>
        <w:ind w:firstLine="422" w:firstLineChars="200"/>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原文：</w:t>
      </w:r>
      <w:r>
        <w:rPr>
          <w:rFonts w:hint="eastAsia" w:ascii="宋体" w:hAnsi="宋体" w:eastAsia="宋体" w:cs="宋体"/>
          <w:color w:val="auto"/>
          <w:sz w:val="21"/>
          <w:szCs w:val="21"/>
          <w:highlight w:val="none"/>
        </w:rPr>
        <w:t>9.4招标文件的澄清或修改均以书面形式明确的内容为准。当招标文件的澄清、修改、补充等在同一内容的表述不一致时，以最后发出的书面形式的文件为准。</w:t>
      </w:r>
    </w:p>
    <w:p>
      <w:pPr>
        <w:pBdr>
          <w:bottom w:val="single" w:color="auto" w:sz="6" w:space="1"/>
        </w:pBdr>
        <w:spacing w:line="360" w:lineRule="auto"/>
        <w:ind w:firstLine="472" w:firstLineChars="224"/>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现文：</w:t>
      </w:r>
      <w:r>
        <w:rPr>
          <w:rFonts w:hint="eastAsia" w:ascii="宋体" w:hAnsi="宋体" w:eastAsia="宋体" w:cs="宋体"/>
          <w:color w:val="auto"/>
          <w:sz w:val="21"/>
          <w:szCs w:val="21"/>
          <w:highlight w:val="none"/>
        </w:rPr>
        <w:t>9.4招标文件的澄清或修改均以</w:t>
      </w:r>
      <w:r>
        <w:rPr>
          <w:rFonts w:hint="eastAsia" w:ascii="宋体" w:hAnsi="宋体" w:eastAsia="宋体" w:cs="宋体"/>
          <w:color w:val="auto"/>
          <w:sz w:val="21"/>
          <w:szCs w:val="21"/>
          <w:highlight w:val="none"/>
          <w:u w:val="single"/>
        </w:rPr>
        <w:t>广州交易集团有限公司（广州公共资源交易中心）网上答疑公布</w:t>
      </w:r>
      <w:r>
        <w:rPr>
          <w:rFonts w:hint="eastAsia" w:ascii="宋体" w:hAnsi="宋体" w:eastAsia="宋体" w:cs="宋体"/>
          <w:color w:val="auto"/>
          <w:sz w:val="21"/>
          <w:szCs w:val="21"/>
          <w:highlight w:val="none"/>
        </w:rPr>
        <w:t>的内容为准。当招标文件的澄清、修改、补充等在同一内容的表述不一致时，以</w:t>
      </w:r>
      <w:r>
        <w:rPr>
          <w:rFonts w:hint="eastAsia" w:ascii="宋体" w:hAnsi="宋体" w:eastAsia="宋体" w:cs="宋体"/>
          <w:color w:val="auto"/>
          <w:sz w:val="21"/>
          <w:szCs w:val="21"/>
          <w:highlight w:val="none"/>
          <w:u w:val="single"/>
        </w:rPr>
        <w:t>广州交易集团有限公司（广州公共资源交易中心）网站</w:t>
      </w:r>
      <w:r>
        <w:rPr>
          <w:rFonts w:hint="eastAsia" w:ascii="宋体" w:hAnsi="宋体" w:eastAsia="宋体" w:cs="宋体"/>
          <w:color w:val="auto"/>
          <w:sz w:val="21"/>
          <w:szCs w:val="21"/>
          <w:highlight w:val="none"/>
        </w:rPr>
        <w:t>最后发出的</w:t>
      </w:r>
      <w:r>
        <w:rPr>
          <w:rFonts w:hint="eastAsia" w:ascii="宋体" w:hAnsi="宋体" w:eastAsia="宋体" w:cs="宋体"/>
          <w:color w:val="auto"/>
          <w:sz w:val="21"/>
          <w:szCs w:val="21"/>
          <w:highlight w:val="none"/>
          <w:u w:val="single"/>
        </w:rPr>
        <w:t>文件</w:t>
      </w:r>
      <w:r>
        <w:rPr>
          <w:rFonts w:hint="eastAsia" w:ascii="宋体" w:hAnsi="宋体" w:eastAsia="宋体" w:cs="宋体"/>
          <w:color w:val="auto"/>
          <w:sz w:val="21"/>
          <w:szCs w:val="21"/>
          <w:highlight w:val="none"/>
        </w:rPr>
        <w:t>为准。</w:t>
      </w:r>
    </w:p>
    <w:p>
      <w:pPr>
        <w:spacing w:line="360" w:lineRule="auto"/>
        <w:ind w:firstLine="472" w:firstLineChars="224"/>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条款号：11.2                        修改类型：修改</w:t>
      </w:r>
    </w:p>
    <w:p>
      <w:pPr>
        <w:spacing w:line="360" w:lineRule="auto"/>
        <w:ind w:firstLine="472" w:firstLineChars="224"/>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原文：</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11.2投标文件技术标部分主要包括下列内容:</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11.2.1 技术投标文件</w:t>
      </w:r>
      <w:r>
        <w:rPr>
          <w:rFonts w:hint="eastAsia" w:ascii="宋体" w:hAnsi="宋体" w:eastAsia="宋体" w:cs="宋体"/>
          <w:color w:val="auto"/>
          <w:sz w:val="21"/>
          <w:szCs w:val="21"/>
          <w:highlight w:val="none"/>
        </w:rPr>
        <w:t>(按招标文件的要求填写)</w:t>
      </w:r>
      <w:r>
        <w:rPr>
          <w:rFonts w:hint="eastAsia" w:ascii="宋体" w:hAnsi="宋体" w:eastAsia="宋体" w:cs="宋体"/>
          <w:bCs/>
          <w:color w:val="auto"/>
          <w:sz w:val="21"/>
          <w:szCs w:val="21"/>
          <w:highlight w:val="none"/>
        </w:rPr>
        <w:t>；</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11.2.2 资格审查文件：</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（1）投标人声明； </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（2）法定代表人证明书、法定代表人签字或盖章的本投标文件授权委托证明书；</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（3）企业营业执照</w:t>
      </w:r>
      <w:r>
        <w:rPr>
          <w:rFonts w:hint="eastAsia" w:ascii="宋体" w:hAnsi="宋体" w:eastAsia="宋体" w:cs="宋体"/>
          <w:bCs/>
          <w:color w:val="auto"/>
          <w:kern w:val="0"/>
          <w:sz w:val="21"/>
          <w:szCs w:val="21"/>
          <w:highlight w:val="none"/>
        </w:rPr>
        <w:t>（取自</w:t>
      </w:r>
      <w:r>
        <w:rPr>
          <w:rFonts w:hint="eastAsia" w:ascii="宋体" w:hAnsi="宋体" w:eastAsia="宋体" w:cs="宋体"/>
          <w:b/>
          <w:color w:val="auto"/>
          <w:kern w:val="0"/>
          <w:sz w:val="21"/>
          <w:szCs w:val="21"/>
          <w:highlight w:val="none"/>
        </w:rPr>
        <w:t>平台内</w:t>
      </w:r>
      <w:r>
        <w:rPr>
          <w:rFonts w:hint="eastAsia" w:ascii="宋体" w:hAnsi="宋体" w:eastAsia="宋体" w:cs="宋体"/>
          <w:bCs/>
          <w:color w:val="auto"/>
          <w:kern w:val="0"/>
          <w:sz w:val="21"/>
          <w:szCs w:val="21"/>
          <w:highlight w:val="none"/>
        </w:rPr>
        <w:t>上传件）</w:t>
      </w:r>
      <w:r>
        <w:rPr>
          <w:rFonts w:hint="eastAsia" w:ascii="宋体" w:hAnsi="宋体" w:eastAsia="宋体" w:cs="宋体"/>
          <w:bCs/>
          <w:color w:val="auto"/>
          <w:sz w:val="21"/>
          <w:szCs w:val="21"/>
          <w:highlight w:val="none"/>
        </w:rPr>
        <w:t>；</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（4）企业资质证书</w:t>
      </w:r>
      <w:r>
        <w:rPr>
          <w:rFonts w:hint="eastAsia" w:ascii="宋体" w:hAnsi="宋体" w:eastAsia="宋体" w:cs="宋体"/>
          <w:bCs/>
          <w:color w:val="auto"/>
          <w:kern w:val="0"/>
          <w:sz w:val="21"/>
          <w:szCs w:val="21"/>
          <w:highlight w:val="none"/>
        </w:rPr>
        <w:t>（取自</w:t>
      </w:r>
      <w:r>
        <w:rPr>
          <w:rFonts w:hint="eastAsia" w:ascii="宋体" w:hAnsi="宋体" w:eastAsia="宋体" w:cs="宋体"/>
          <w:b/>
          <w:color w:val="auto"/>
          <w:kern w:val="0"/>
          <w:sz w:val="21"/>
          <w:szCs w:val="21"/>
          <w:highlight w:val="none"/>
        </w:rPr>
        <w:t>平台内</w:t>
      </w:r>
      <w:r>
        <w:rPr>
          <w:rFonts w:hint="eastAsia" w:ascii="宋体" w:hAnsi="宋体" w:eastAsia="宋体" w:cs="宋体"/>
          <w:bCs/>
          <w:color w:val="auto"/>
          <w:kern w:val="0"/>
          <w:sz w:val="21"/>
          <w:szCs w:val="21"/>
          <w:highlight w:val="none"/>
        </w:rPr>
        <w:t>上传件）</w:t>
      </w:r>
      <w:r>
        <w:rPr>
          <w:rFonts w:hint="eastAsia" w:ascii="宋体" w:hAnsi="宋体" w:eastAsia="宋体" w:cs="宋体"/>
          <w:bCs/>
          <w:color w:val="auto"/>
          <w:sz w:val="21"/>
          <w:szCs w:val="21"/>
          <w:highlight w:val="none"/>
        </w:rPr>
        <w:t>；</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（5）建筑施工企业安全生产许可证</w:t>
      </w:r>
      <w:r>
        <w:rPr>
          <w:rFonts w:hint="eastAsia" w:ascii="宋体" w:hAnsi="宋体" w:eastAsia="宋体" w:cs="宋体"/>
          <w:bCs/>
          <w:color w:val="auto"/>
          <w:kern w:val="0"/>
          <w:sz w:val="21"/>
          <w:szCs w:val="21"/>
          <w:highlight w:val="none"/>
        </w:rPr>
        <w:t>（取自</w:t>
      </w:r>
      <w:r>
        <w:rPr>
          <w:rFonts w:hint="eastAsia" w:ascii="宋体" w:hAnsi="宋体" w:eastAsia="宋体" w:cs="宋体"/>
          <w:b/>
          <w:color w:val="auto"/>
          <w:kern w:val="0"/>
          <w:sz w:val="21"/>
          <w:szCs w:val="21"/>
          <w:highlight w:val="none"/>
        </w:rPr>
        <w:t>平台内</w:t>
      </w:r>
      <w:r>
        <w:rPr>
          <w:rFonts w:hint="eastAsia" w:ascii="宋体" w:hAnsi="宋体" w:eastAsia="宋体" w:cs="宋体"/>
          <w:bCs/>
          <w:color w:val="auto"/>
          <w:kern w:val="0"/>
          <w:sz w:val="21"/>
          <w:szCs w:val="21"/>
          <w:highlight w:val="none"/>
        </w:rPr>
        <w:t>上传件）</w:t>
      </w:r>
      <w:r>
        <w:rPr>
          <w:rFonts w:hint="eastAsia" w:ascii="宋体" w:hAnsi="宋体" w:eastAsia="宋体" w:cs="宋体"/>
          <w:bCs/>
          <w:color w:val="auto"/>
          <w:sz w:val="21"/>
          <w:szCs w:val="21"/>
          <w:highlight w:val="none"/>
        </w:rPr>
        <w:t>；</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（6）项目负责人（按网上投标登记时选择拟投标的项目负责人）</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（7）专职安全员（按网上投标登记时选择拟投标的专职安全员）</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（8）拟委托技术负责人的相关证书、资料（具体要求由招标人明确）</w:t>
      </w:r>
    </w:p>
    <w:p>
      <w:pPr>
        <w:spacing w:line="360" w:lineRule="auto"/>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（9）拟委派项目负责人的建造师注册证书（取自平台内上传件）； </w:t>
      </w:r>
    </w:p>
    <w:p>
      <w:pPr>
        <w:spacing w:line="360" w:lineRule="auto"/>
        <w:ind w:firstLine="420" w:firstLineChars="200"/>
        <w:rPr>
          <w:rFonts w:hint="eastAsia" w:ascii="宋体" w:hAnsi="宋体" w:eastAsia="宋体" w:cs="宋体"/>
          <w:bCs/>
          <w:color w:val="auto"/>
          <w:kern w:val="0"/>
          <w:sz w:val="21"/>
          <w:szCs w:val="21"/>
          <w:highlight w:val="none"/>
        </w:rPr>
      </w:pPr>
      <w:r>
        <w:rPr>
          <w:rFonts w:hint="eastAsia" w:ascii="宋体" w:hAnsi="宋体" w:eastAsia="宋体" w:cs="宋体"/>
          <w:bCs/>
          <w:color w:val="auto"/>
          <w:sz w:val="21"/>
          <w:szCs w:val="21"/>
          <w:highlight w:val="none"/>
        </w:rPr>
        <w:t>（10）</w:t>
      </w:r>
      <w:r>
        <w:rPr>
          <w:rFonts w:hint="eastAsia" w:ascii="宋体" w:hAnsi="宋体" w:eastAsia="宋体" w:cs="宋体"/>
          <w:bCs/>
          <w:color w:val="auto"/>
          <w:kern w:val="0"/>
          <w:sz w:val="21"/>
          <w:szCs w:val="21"/>
          <w:highlight w:val="none"/>
        </w:rPr>
        <w:t>项目负责人安全</w:t>
      </w:r>
      <w:r>
        <w:rPr>
          <w:rFonts w:hint="eastAsia" w:ascii="宋体" w:hAnsi="宋体" w:eastAsia="宋体" w:cs="宋体"/>
          <w:bCs/>
          <w:color w:val="auto"/>
          <w:kern w:val="0"/>
          <w:sz w:val="21"/>
          <w:szCs w:val="21"/>
          <w:highlight w:val="none"/>
          <w:lang w:eastAsia="zh-CN"/>
        </w:rPr>
        <w:t>生产</w:t>
      </w:r>
      <w:r>
        <w:rPr>
          <w:rFonts w:hint="eastAsia" w:ascii="宋体" w:hAnsi="宋体" w:eastAsia="宋体" w:cs="宋体"/>
          <w:bCs/>
          <w:color w:val="auto"/>
          <w:kern w:val="0"/>
          <w:sz w:val="21"/>
          <w:szCs w:val="21"/>
          <w:highlight w:val="none"/>
        </w:rPr>
        <w:t>考核合格证明或在有效期内的安全考核合格证书（B类）</w:t>
      </w:r>
      <w:r>
        <w:rPr>
          <w:rFonts w:hint="eastAsia" w:ascii="宋体" w:hAnsi="宋体" w:eastAsia="宋体" w:cs="宋体"/>
          <w:b/>
          <w:color w:val="auto"/>
          <w:kern w:val="0"/>
          <w:sz w:val="21"/>
          <w:szCs w:val="21"/>
          <w:highlight w:val="none"/>
        </w:rPr>
        <w:t>或建筑施工企业项目负责人安全生产考核合格证书</w:t>
      </w:r>
      <w:r>
        <w:rPr>
          <w:rFonts w:hint="eastAsia" w:ascii="宋体" w:hAnsi="宋体" w:eastAsia="宋体" w:cs="宋体"/>
          <w:bCs/>
          <w:color w:val="auto"/>
          <w:kern w:val="0"/>
          <w:sz w:val="21"/>
          <w:szCs w:val="21"/>
          <w:highlight w:val="none"/>
        </w:rPr>
        <w:t>（取自</w:t>
      </w:r>
      <w:r>
        <w:rPr>
          <w:rFonts w:hint="eastAsia" w:ascii="宋体" w:hAnsi="宋体" w:eastAsia="宋体" w:cs="宋体"/>
          <w:b/>
          <w:color w:val="auto"/>
          <w:kern w:val="0"/>
          <w:sz w:val="21"/>
          <w:szCs w:val="21"/>
          <w:highlight w:val="none"/>
        </w:rPr>
        <w:t>平台内</w:t>
      </w:r>
      <w:r>
        <w:rPr>
          <w:rFonts w:hint="eastAsia" w:ascii="宋体" w:hAnsi="宋体" w:eastAsia="宋体" w:cs="宋体"/>
          <w:bCs/>
          <w:color w:val="auto"/>
          <w:kern w:val="0"/>
          <w:sz w:val="21"/>
          <w:szCs w:val="21"/>
          <w:highlight w:val="none"/>
        </w:rPr>
        <w:t>上传件）；</w:t>
      </w:r>
    </w:p>
    <w:p>
      <w:pPr>
        <w:spacing w:line="360" w:lineRule="auto"/>
        <w:ind w:firstLine="420" w:firstLineChars="200"/>
        <w:rPr>
          <w:rFonts w:hint="eastAsia" w:ascii="宋体" w:hAnsi="宋体" w:eastAsia="宋体" w:cs="宋体"/>
          <w:bCs/>
          <w:color w:val="auto"/>
          <w:kern w:val="0"/>
          <w:sz w:val="21"/>
          <w:szCs w:val="21"/>
          <w:highlight w:val="none"/>
        </w:rPr>
      </w:pPr>
      <w:r>
        <w:rPr>
          <w:rFonts w:hint="eastAsia" w:ascii="宋体" w:hAnsi="宋体" w:eastAsia="宋体" w:cs="宋体"/>
          <w:bCs/>
          <w:color w:val="auto"/>
          <w:sz w:val="21"/>
          <w:szCs w:val="21"/>
          <w:highlight w:val="none"/>
        </w:rPr>
        <w:t>（11）</w:t>
      </w:r>
      <w:r>
        <w:rPr>
          <w:rFonts w:hint="eastAsia" w:ascii="宋体" w:hAnsi="宋体" w:eastAsia="宋体" w:cs="宋体"/>
          <w:bCs/>
          <w:color w:val="auto"/>
          <w:kern w:val="0"/>
          <w:sz w:val="21"/>
          <w:szCs w:val="21"/>
          <w:highlight w:val="none"/>
        </w:rPr>
        <w:t>专职安全员须具有在有效期内的安全考核合格证书（C类）</w:t>
      </w:r>
      <w:r>
        <w:rPr>
          <w:rFonts w:hint="eastAsia" w:ascii="宋体" w:hAnsi="宋体" w:eastAsia="宋体" w:cs="宋体"/>
          <w:b/>
          <w:color w:val="auto"/>
          <w:kern w:val="0"/>
          <w:sz w:val="21"/>
          <w:szCs w:val="21"/>
          <w:highlight w:val="none"/>
        </w:rPr>
        <w:t>或建筑施工企业专职安全生产管理人员安全生产考核合格证书（C3）（</w:t>
      </w:r>
      <w:r>
        <w:rPr>
          <w:rFonts w:hint="eastAsia" w:ascii="宋体" w:hAnsi="宋体" w:eastAsia="宋体" w:cs="宋体"/>
          <w:bCs/>
          <w:color w:val="auto"/>
          <w:kern w:val="0"/>
          <w:sz w:val="21"/>
          <w:szCs w:val="21"/>
          <w:highlight w:val="none"/>
        </w:rPr>
        <w:t>取自</w:t>
      </w:r>
      <w:r>
        <w:rPr>
          <w:rFonts w:hint="eastAsia" w:ascii="宋体" w:hAnsi="宋体" w:eastAsia="宋体" w:cs="宋体"/>
          <w:b/>
          <w:color w:val="auto"/>
          <w:kern w:val="0"/>
          <w:sz w:val="21"/>
          <w:szCs w:val="21"/>
          <w:highlight w:val="none"/>
        </w:rPr>
        <w:t>平台内</w:t>
      </w:r>
      <w:r>
        <w:rPr>
          <w:rFonts w:hint="eastAsia" w:ascii="宋体" w:hAnsi="宋体" w:eastAsia="宋体" w:cs="宋体"/>
          <w:bCs/>
          <w:color w:val="auto"/>
          <w:kern w:val="0"/>
          <w:sz w:val="21"/>
          <w:szCs w:val="21"/>
          <w:highlight w:val="none"/>
        </w:rPr>
        <w:t>上传件）；</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（12）用于资格审查的业绩（设置业绩要求时选择此项，投标人</w:t>
      </w:r>
      <w:r>
        <w:rPr>
          <w:rFonts w:hint="eastAsia" w:ascii="宋体" w:hAnsi="宋体" w:eastAsia="宋体" w:cs="宋体"/>
          <w:color w:val="auto"/>
          <w:sz w:val="21"/>
          <w:szCs w:val="21"/>
          <w:highlight w:val="none"/>
        </w:rPr>
        <w:t>须提供类似工程业绩的项目名称及项目编号，具体格式由招标人自定</w:t>
      </w:r>
      <w:r>
        <w:rPr>
          <w:rFonts w:hint="eastAsia" w:ascii="宋体" w:hAnsi="宋体" w:eastAsia="宋体" w:cs="宋体"/>
          <w:bCs/>
          <w:color w:val="auto"/>
          <w:sz w:val="21"/>
          <w:szCs w:val="21"/>
          <w:highlight w:val="none"/>
        </w:rPr>
        <w:t>）；</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（13）</w:t>
      </w:r>
      <w:r>
        <w:rPr>
          <w:rFonts w:hint="eastAsia" w:ascii="宋体" w:hAnsi="宋体" w:eastAsia="宋体" w:cs="宋体"/>
          <w:bCs/>
          <w:color w:val="auto"/>
          <w:kern w:val="0"/>
          <w:sz w:val="21"/>
          <w:szCs w:val="21"/>
          <w:highlight w:val="none"/>
        </w:rPr>
        <w:t>资格审查前，投标人须在</w:t>
      </w:r>
      <w:r>
        <w:rPr>
          <w:rFonts w:hint="eastAsia" w:ascii="宋体" w:hAnsi="宋体" w:eastAsia="宋体" w:cs="宋体"/>
          <w:b/>
          <w:color w:val="auto"/>
          <w:kern w:val="0"/>
          <w:sz w:val="21"/>
          <w:szCs w:val="21"/>
          <w:highlight w:val="none"/>
        </w:rPr>
        <w:t>广州市住房和城乡建设局建立企业信用档案，</w:t>
      </w:r>
      <w:r>
        <w:rPr>
          <w:rFonts w:hint="eastAsia" w:ascii="宋体" w:hAnsi="宋体" w:eastAsia="宋体" w:cs="宋体"/>
          <w:bCs/>
          <w:color w:val="auto"/>
          <w:kern w:val="0"/>
          <w:sz w:val="21"/>
          <w:szCs w:val="21"/>
          <w:highlight w:val="none"/>
        </w:rPr>
        <w:t>拟担任本工程项目负责人</w:t>
      </w:r>
      <w:r>
        <w:rPr>
          <w:rFonts w:hint="eastAsia" w:ascii="宋体" w:hAnsi="宋体" w:eastAsia="宋体" w:cs="宋体"/>
          <w:b/>
          <w:bCs/>
          <w:color w:val="auto"/>
          <w:kern w:val="0"/>
          <w:sz w:val="21"/>
          <w:szCs w:val="21"/>
          <w:highlight w:val="none"/>
        </w:rPr>
        <w:t>、专职安全员</w:t>
      </w:r>
      <w:r>
        <w:rPr>
          <w:rFonts w:hint="eastAsia" w:ascii="宋体" w:hAnsi="宋体" w:eastAsia="宋体" w:cs="宋体"/>
          <w:bCs/>
          <w:color w:val="auto"/>
          <w:kern w:val="0"/>
          <w:sz w:val="21"/>
          <w:szCs w:val="21"/>
          <w:highlight w:val="none"/>
        </w:rPr>
        <w:t>须是本企业</w:t>
      </w:r>
      <w:r>
        <w:rPr>
          <w:rFonts w:hint="eastAsia" w:ascii="宋体" w:hAnsi="宋体" w:eastAsia="宋体" w:cs="宋体"/>
          <w:b/>
          <w:color w:val="auto"/>
          <w:kern w:val="0"/>
          <w:sz w:val="21"/>
          <w:szCs w:val="21"/>
          <w:highlight w:val="none"/>
        </w:rPr>
        <w:t>信用档案</w:t>
      </w:r>
      <w:r>
        <w:rPr>
          <w:rFonts w:hint="eastAsia" w:ascii="宋体" w:hAnsi="宋体" w:eastAsia="宋体" w:cs="宋体"/>
          <w:bCs/>
          <w:color w:val="auto"/>
          <w:kern w:val="0"/>
          <w:sz w:val="21"/>
          <w:szCs w:val="21"/>
          <w:highlight w:val="none"/>
        </w:rPr>
        <w:t>中的在册人员。</w:t>
      </w:r>
    </w:p>
    <w:p>
      <w:pPr>
        <w:spacing w:line="360" w:lineRule="auto"/>
        <w:ind w:firstLine="420" w:firstLineChars="200"/>
        <w:rPr>
          <w:rFonts w:hint="eastAsia" w:ascii="宋体" w:hAnsi="宋体" w:eastAsia="宋体" w:cs="宋体"/>
          <w:bCs/>
          <w:color w:val="auto"/>
          <w:kern w:val="0"/>
          <w:sz w:val="21"/>
          <w:szCs w:val="21"/>
          <w:highlight w:val="none"/>
        </w:rPr>
      </w:pPr>
      <w:r>
        <w:rPr>
          <w:rFonts w:hint="eastAsia" w:ascii="宋体" w:hAnsi="宋体" w:eastAsia="宋体" w:cs="宋体"/>
          <w:bCs/>
          <w:color w:val="auto"/>
          <w:sz w:val="21"/>
          <w:szCs w:val="21"/>
          <w:highlight w:val="none"/>
        </w:rPr>
        <w:t>（14）</w:t>
      </w:r>
      <w:r>
        <w:rPr>
          <w:rFonts w:hint="eastAsia" w:ascii="宋体" w:hAnsi="宋体" w:eastAsia="宋体" w:cs="宋体"/>
          <w:bCs/>
          <w:color w:val="auto"/>
          <w:kern w:val="0"/>
          <w:sz w:val="21"/>
          <w:szCs w:val="21"/>
          <w:highlight w:val="none"/>
        </w:rPr>
        <w:t>列明主办单位的联合体工作协议（采用联合体投标时需递交，投标人拟任本工程项目负责人应为联合体主办方</w:t>
      </w:r>
      <w:r>
        <w:rPr>
          <w:rFonts w:hint="eastAsia" w:ascii="宋体" w:hAnsi="宋体" w:eastAsia="宋体" w:cs="宋体"/>
          <w:b/>
          <w:color w:val="auto"/>
          <w:kern w:val="0"/>
          <w:sz w:val="21"/>
          <w:szCs w:val="21"/>
          <w:highlight w:val="none"/>
        </w:rPr>
        <w:t>信用档案</w:t>
      </w:r>
      <w:r>
        <w:rPr>
          <w:rFonts w:hint="eastAsia" w:ascii="宋体" w:hAnsi="宋体" w:eastAsia="宋体" w:cs="宋体"/>
          <w:bCs/>
          <w:color w:val="auto"/>
          <w:kern w:val="0"/>
          <w:sz w:val="21"/>
          <w:szCs w:val="21"/>
          <w:highlight w:val="none"/>
        </w:rPr>
        <w:t>中的在册人员，联合体工作协议应明确约定各方拟承担的工作和责任）；</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（15）</w:t>
      </w:r>
      <w:r>
        <w:rPr>
          <w:rFonts w:hint="eastAsia" w:ascii="宋体" w:hAnsi="宋体" w:eastAsia="宋体" w:cs="宋体"/>
          <w:color w:val="auto"/>
          <w:sz w:val="21"/>
          <w:szCs w:val="21"/>
          <w:highlight w:val="none"/>
        </w:rPr>
        <w:t>投标人具有在广州地区可使用适合本工程的机械设备的证明文件（提供沥青摊铺机自有发票或权属证明及设备现场全貌彩照（彩照须能反映其规格型号）。（含有市政道路面层沥青摊铺且沥青摊铺占预计发包价50%或以上的大、中修市政公用工程需提供该项内容的证明文件）。</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11.2.3项目管理机构配备。</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（1）投标人应列出该项目工程的施工组织机构构成和画出机构框架图及其负责人；</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（2）投标人应详细列出该施工组织机构中主要成员的名单、简历资料、职务职称和在本项目中拟担任的职务等资料，并附上有关证明材料扫描件；</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（3）其他辅助说明资料。</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11.2.4投标人在广州市可使用适合本工程的机械设备（附：机械设备为自有或租赁的说明；及承诺机械设备如属于租赁的，其租赁是不属于重复租赁）。</w:t>
      </w:r>
    </w:p>
    <w:p>
      <w:pPr>
        <w:tabs>
          <w:tab w:val="left" w:pos="1125"/>
        </w:tabs>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bCs/>
          <w:color w:val="auto"/>
          <w:kern w:val="0"/>
          <w:sz w:val="21"/>
          <w:szCs w:val="21"/>
          <w:highlight w:val="none"/>
          <w:lang w:val="en-US" w:eastAsia="zh-CN"/>
        </w:rPr>
        <w:t>11.2.5</w:t>
      </w:r>
      <w:r>
        <w:rPr>
          <w:rFonts w:hint="eastAsia" w:ascii="宋体" w:hAnsi="宋体" w:eastAsia="宋体" w:cs="宋体"/>
          <w:bCs/>
          <w:color w:val="auto"/>
          <w:kern w:val="0"/>
          <w:sz w:val="21"/>
          <w:szCs w:val="21"/>
          <w:highlight w:val="none"/>
        </w:rPr>
        <w:t>施工组织设计或施工方案。（</w:t>
      </w:r>
      <w:r>
        <w:rPr>
          <w:rFonts w:hint="eastAsia" w:ascii="宋体" w:hAnsi="宋体" w:eastAsia="宋体" w:cs="宋体"/>
          <w:b/>
          <w:bCs/>
          <w:color w:val="auto"/>
          <w:kern w:val="0"/>
          <w:sz w:val="21"/>
          <w:szCs w:val="21"/>
          <w:highlight w:val="none"/>
        </w:rPr>
        <w:t>投标人在编制施工组织设计或施工方案时应按照招标人提出的施工现场建筑垃圾源头减量的具体要求以及建筑垃圾综合利用产品的使用要求提供相应措施。</w:t>
      </w:r>
      <w:r>
        <w:rPr>
          <w:rFonts w:hint="eastAsia" w:ascii="宋体" w:hAnsi="宋体" w:eastAsia="宋体" w:cs="宋体"/>
          <w:bCs/>
          <w:color w:val="auto"/>
          <w:kern w:val="0"/>
          <w:sz w:val="21"/>
          <w:szCs w:val="21"/>
          <w:highlight w:val="none"/>
        </w:rPr>
        <w:t>）</w:t>
      </w:r>
    </w:p>
    <w:p>
      <w:pPr>
        <w:tabs>
          <w:tab w:val="left" w:pos="1125"/>
        </w:tabs>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11.2.6按照</w:t>
      </w:r>
      <w:r>
        <w:rPr>
          <w:rFonts w:hint="eastAsia" w:ascii="宋体" w:hAnsi="宋体" w:eastAsia="宋体" w:cs="宋体"/>
          <w:bCs/>
          <w:color w:val="auto"/>
          <w:sz w:val="21"/>
          <w:szCs w:val="21"/>
          <w:highlight w:val="none"/>
        </w:rPr>
        <w:t>招标文件要求</w:t>
      </w:r>
      <w:r>
        <w:rPr>
          <w:rFonts w:hint="eastAsia" w:ascii="宋体" w:hAnsi="宋体" w:eastAsia="宋体" w:cs="宋体"/>
          <w:color w:val="auto"/>
          <w:sz w:val="21"/>
          <w:szCs w:val="21"/>
          <w:highlight w:val="none"/>
        </w:rPr>
        <w:t>填写的《参与编制技术标投标文件人员名单》。</w:t>
      </w:r>
    </w:p>
    <w:p>
      <w:pPr>
        <w:spacing w:line="360" w:lineRule="auto"/>
        <w:ind w:firstLine="470" w:firstLineChars="223"/>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现文：</w:t>
      </w:r>
    </w:p>
    <w:p>
      <w:pPr>
        <w:spacing w:line="360" w:lineRule="auto"/>
        <w:ind w:firstLine="470" w:firstLineChars="224"/>
        <w:rPr>
          <w:rFonts w:hint="eastAsia" w:ascii="宋体" w:hAnsi="宋体" w:eastAsia="宋体" w:cs="宋体"/>
          <w:b/>
          <w:color w:val="auto"/>
          <w:sz w:val="21"/>
          <w:szCs w:val="21"/>
          <w:highlight w:val="none"/>
          <w:u w:val="single"/>
        </w:rPr>
      </w:pPr>
      <w:r>
        <w:rPr>
          <w:rFonts w:hint="eastAsia" w:ascii="宋体" w:hAnsi="宋体" w:eastAsia="宋体" w:cs="宋体"/>
          <w:color w:val="auto"/>
          <w:sz w:val="21"/>
          <w:szCs w:val="21"/>
          <w:highlight w:val="none"/>
        </w:rPr>
        <w:t>11.2</w:t>
      </w:r>
      <w:r>
        <w:rPr>
          <w:rFonts w:hint="eastAsia" w:ascii="宋体" w:hAnsi="宋体" w:eastAsia="宋体" w:cs="宋体"/>
          <w:b/>
          <w:color w:val="auto"/>
          <w:sz w:val="21"/>
          <w:szCs w:val="21"/>
          <w:highlight w:val="none"/>
        </w:rPr>
        <w:t xml:space="preserve"> 投标文件技术标部分</w:t>
      </w:r>
      <w:r>
        <w:rPr>
          <w:rFonts w:hint="eastAsia" w:ascii="宋体" w:hAnsi="宋体" w:eastAsia="宋体" w:cs="宋体"/>
          <w:b/>
          <w:color w:val="auto"/>
          <w:sz w:val="21"/>
          <w:szCs w:val="21"/>
          <w:highlight w:val="none"/>
          <w:u w:val="single"/>
        </w:rPr>
        <w:t>（含资格审查文件）</w:t>
      </w:r>
      <w:r>
        <w:rPr>
          <w:rFonts w:hint="eastAsia" w:ascii="宋体" w:hAnsi="宋体" w:eastAsia="宋体" w:cs="宋体"/>
          <w:color w:val="auto"/>
          <w:sz w:val="21"/>
          <w:szCs w:val="21"/>
          <w:highlight w:val="none"/>
        </w:rPr>
        <w:t>主要包括下列内容</w:t>
      </w:r>
      <w:r>
        <w:rPr>
          <w:rFonts w:hint="eastAsia" w:ascii="宋体" w:hAnsi="宋体" w:cs="宋体"/>
          <w:color w:val="auto"/>
          <w:szCs w:val="21"/>
          <w:highlight w:val="none"/>
          <w:u w:val="single"/>
        </w:rPr>
        <w:t>（除注明原件外，均为扫描件</w:t>
      </w:r>
      <w:r>
        <w:rPr>
          <w:rFonts w:hint="eastAsia" w:ascii="宋体" w:hAnsi="宋体" w:cs="宋体"/>
          <w:color w:val="auto"/>
          <w:szCs w:val="21"/>
          <w:highlight w:val="none"/>
          <w:u w:val="single"/>
          <w:lang w:eastAsia="zh-CN"/>
        </w:rPr>
        <w:t>（</w:t>
      </w:r>
      <w:r>
        <w:rPr>
          <w:rFonts w:hint="eastAsia" w:ascii="宋体" w:hAnsi="宋体" w:cs="宋体"/>
          <w:color w:val="auto"/>
          <w:szCs w:val="21"/>
          <w:highlight w:val="none"/>
          <w:u w:val="single"/>
          <w:lang w:val="en-US" w:eastAsia="zh-CN"/>
        </w:rPr>
        <w:t>网页截图</w:t>
      </w:r>
      <w:r>
        <w:rPr>
          <w:rFonts w:hint="eastAsia" w:ascii="宋体" w:hAnsi="宋体" w:cs="宋体"/>
          <w:color w:val="auto"/>
          <w:szCs w:val="21"/>
          <w:highlight w:val="none"/>
          <w:u w:val="single"/>
          <w:lang w:eastAsia="zh-CN"/>
        </w:rPr>
        <w:t>）</w:t>
      </w:r>
      <w:r>
        <w:rPr>
          <w:rFonts w:hint="eastAsia" w:ascii="宋体" w:hAnsi="宋体" w:cs="宋体"/>
          <w:color w:val="auto"/>
          <w:szCs w:val="21"/>
          <w:highlight w:val="none"/>
          <w:u w:val="single"/>
        </w:rPr>
        <w:t>即可）</w:t>
      </w:r>
      <w:r>
        <w:rPr>
          <w:rFonts w:hint="eastAsia" w:ascii="宋体" w:hAnsi="宋体" w:eastAsia="宋体" w:cs="宋体"/>
          <w:color w:val="auto"/>
          <w:sz w:val="21"/>
          <w:szCs w:val="21"/>
          <w:highlight w:val="none"/>
        </w:rPr>
        <w:t>：</w:t>
      </w:r>
    </w:p>
    <w:p>
      <w:pPr>
        <w:spacing w:line="360" w:lineRule="auto"/>
        <w:ind w:firstLine="470" w:firstLineChars="224"/>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11.2.1广州建设工程施工招标投标书（技术标）</w:t>
      </w:r>
      <w:r>
        <w:rPr>
          <w:rFonts w:hint="eastAsia" w:ascii="宋体" w:hAnsi="宋体" w:cs="宋体"/>
          <w:bCs/>
          <w:color w:val="auto"/>
          <w:szCs w:val="21"/>
          <w:highlight w:val="none"/>
          <w:u w:val="single"/>
        </w:rPr>
        <w:t>（格式见招标文件第四章，</w:t>
      </w:r>
      <w:r>
        <w:rPr>
          <w:rFonts w:ascii="宋体" w:hAnsi="宋体" w:cs="宋体"/>
          <w:bCs/>
          <w:color w:val="auto"/>
          <w:szCs w:val="21"/>
          <w:highlight w:val="none"/>
          <w:u w:val="single"/>
        </w:rPr>
        <w:t>具体格式以《广州建设工程施工招标投标书（技术标）》为准；电子投标管理软件编制的“广州建设工程施工招标投标书”不作为否决投标的条件</w:t>
      </w:r>
      <w:r>
        <w:rPr>
          <w:rFonts w:hint="eastAsia" w:ascii="宋体" w:hAnsi="宋体" w:cs="宋体"/>
          <w:bCs/>
          <w:color w:val="auto"/>
          <w:szCs w:val="21"/>
          <w:highlight w:val="none"/>
          <w:u w:val="single"/>
        </w:rPr>
        <w:t>)</w:t>
      </w:r>
      <w:r>
        <w:rPr>
          <w:rFonts w:hint="eastAsia" w:ascii="宋体" w:hAnsi="宋体" w:eastAsia="宋体" w:cs="宋体"/>
          <w:color w:val="auto"/>
          <w:sz w:val="21"/>
          <w:szCs w:val="21"/>
          <w:highlight w:val="none"/>
          <w:u w:val="none"/>
        </w:rPr>
        <w:t>。</w:t>
      </w:r>
    </w:p>
    <w:p>
      <w:pPr>
        <w:spacing w:line="360" w:lineRule="auto"/>
        <w:ind w:firstLine="470" w:firstLineChars="224"/>
        <w:rPr>
          <w:rFonts w:hint="eastAsia" w:ascii="宋体" w:hAnsi="宋体" w:eastAsia="宋体" w:cs="宋体"/>
          <w:color w:val="auto"/>
          <w:sz w:val="21"/>
          <w:szCs w:val="21"/>
          <w:highlight w:val="none"/>
          <w:u w:val="none"/>
        </w:rPr>
      </w:pPr>
      <w:r>
        <w:rPr>
          <w:rFonts w:hint="eastAsia" w:ascii="宋体" w:hAnsi="宋体" w:eastAsia="宋体" w:cs="宋体"/>
          <w:bCs/>
          <w:color w:val="auto"/>
          <w:sz w:val="21"/>
          <w:szCs w:val="21"/>
          <w:highlight w:val="none"/>
          <w:u w:val="none"/>
        </w:rPr>
        <w:t>11.2.2 资格审查文件：</w:t>
      </w:r>
    </w:p>
    <w:p>
      <w:pPr>
        <w:pBdr>
          <w:top w:val="none" w:color="auto" w:sz="0" w:space="0"/>
          <w:left w:val="none" w:color="auto" w:sz="0" w:space="0"/>
          <w:bottom w:val="none" w:color="auto" w:sz="0" w:space="0"/>
          <w:right w:val="none" w:color="auto" w:sz="0" w:space="0"/>
          <w:between w:val="none" w:color="auto" w:sz="0" w:space="0"/>
        </w:pBd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（1）投标人声明</w:t>
      </w:r>
      <w:r>
        <w:rPr>
          <w:rFonts w:hint="eastAsia" w:ascii="宋体" w:hAnsi="宋体" w:cs="宋体"/>
          <w:bCs/>
          <w:color w:val="auto"/>
          <w:sz w:val="21"/>
          <w:szCs w:val="21"/>
          <w:highlight w:val="none"/>
          <w:lang w:val="en-US" w:eastAsia="zh-CN"/>
        </w:rPr>
        <w:t>原件</w:t>
      </w:r>
      <w:r>
        <w:rPr>
          <w:rFonts w:hint="eastAsia" w:ascii="宋体" w:hAnsi="宋体" w:eastAsia="宋体" w:cs="宋体"/>
          <w:bCs/>
          <w:color w:val="auto"/>
          <w:sz w:val="21"/>
          <w:szCs w:val="21"/>
          <w:highlight w:val="none"/>
          <w:u w:val="single"/>
        </w:rPr>
        <w:t>扫描（须按招标公告附件内容及格式要求编制）；</w:t>
      </w:r>
    </w:p>
    <w:p>
      <w:pPr>
        <w:pBdr>
          <w:top w:val="none" w:color="auto" w:sz="0" w:space="0"/>
          <w:left w:val="none" w:color="auto" w:sz="0" w:space="0"/>
          <w:bottom w:val="none" w:color="auto" w:sz="0" w:space="0"/>
          <w:right w:val="none" w:color="auto" w:sz="0" w:space="0"/>
          <w:between w:val="none" w:color="auto" w:sz="0" w:space="0"/>
        </w:pBd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（2）法定代表人证明书、法定代表人签字或盖章的本投标文件授权委托证明书</w:t>
      </w:r>
      <w:r>
        <w:rPr>
          <w:rFonts w:hint="eastAsia" w:ascii="宋体" w:hAnsi="宋体" w:cs="宋体"/>
          <w:bCs/>
          <w:color w:val="auto"/>
          <w:sz w:val="21"/>
          <w:szCs w:val="21"/>
          <w:highlight w:val="none"/>
          <w:lang w:val="en-US" w:eastAsia="zh-CN"/>
        </w:rPr>
        <w:t>原件</w:t>
      </w:r>
      <w:r>
        <w:rPr>
          <w:rFonts w:hint="eastAsia" w:ascii="宋体" w:hAnsi="宋体" w:eastAsia="宋体" w:cs="宋体"/>
          <w:bCs/>
          <w:color w:val="auto"/>
          <w:sz w:val="21"/>
          <w:szCs w:val="21"/>
          <w:highlight w:val="none"/>
          <w:u w:val="single"/>
        </w:rPr>
        <w:t>扫描；</w:t>
      </w:r>
    </w:p>
    <w:p>
      <w:pPr>
        <w:pBdr>
          <w:top w:val="none" w:color="auto" w:sz="0" w:space="0"/>
          <w:left w:val="none" w:color="auto" w:sz="0" w:space="0"/>
          <w:bottom w:val="none" w:color="auto" w:sz="0" w:space="0"/>
          <w:right w:val="none" w:color="auto" w:sz="0" w:space="0"/>
          <w:between w:val="none" w:color="auto" w:sz="0" w:space="0"/>
        </w:pBd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（3）企业营业执照</w:t>
      </w:r>
      <w:r>
        <w:rPr>
          <w:rFonts w:hint="eastAsia" w:ascii="宋体" w:hAnsi="宋体" w:eastAsia="宋体" w:cs="宋体"/>
          <w:bCs/>
          <w:color w:val="auto"/>
          <w:sz w:val="21"/>
          <w:szCs w:val="21"/>
          <w:highlight w:val="none"/>
          <w:u w:val="single"/>
        </w:rPr>
        <w:t>扫描件；</w:t>
      </w:r>
    </w:p>
    <w:p>
      <w:pPr>
        <w:pBdr>
          <w:top w:val="none" w:color="auto" w:sz="0" w:space="0"/>
          <w:left w:val="none" w:color="auto" w:sz="0" w:space="0"/>
          <w:bottom w:val="none" w:color="auto" w:sz="0" w:space="0"/>
          <w:right w:val="none" w:color="auto" w:sz="0" w:space="0"/>
          <w:between w:val="none" w:color="auto" w:sz="0" w:space="0"/>
        </w:pBd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（4）企业资质证书</w:t>
      </w:r>
      <w:r>
        <w:rPr>
          <w:rFonts w:hint="eastAsia" w:ascii="宋体" w:hAnsi="宋体" w:eastAsia="宋体" w:cs="宋体"/>
          <w:bCs/>
          <w:color w:val="auto"/>
          <w:sz w:val="21"/>
          <w:szCs w:val="21"/>
          <w:highlight w:val="none"/>
          <w:u w:val="single"/>
        </w:rPr>
        <w:t>扫描件</w:t>
      </w:r>
      <w:r>
        <w:rPr>
          <w:rFonts w:hint="eastAsia" w:ascii="宋体" w:hAnsi="宋体" w:cs="宋体"/>
          <w:bCs/>
          <w:color w:val="auto"/>
          <w:sz w:val="21"/>
          <w:szCs w:val="21"/>
          <w:highlight w:val="none"/>
          <w:u w:val="single"/>
          <w:lang w:eastAsia="zh-CN"/>
        </w:rPr>
        <w:t>，或符合招标公告规定的</w:t>
      </w:r>
      <w:r>
        <w:rPr>
          <w:rFonts w:hint="eastAsia" w:ascii="宋体" w:hAnsi="宋体" w:eastAsia="宋体" w:cs="宋体"/>
          <w:bCs/>
          <w:color w:val="auto"/>
          <w:sz w:val="21"/>
          <w:szCs w:val="21"/>
          <w:highlight w:val="none"/>
          <w:u w:val="single"/>
          <w:lang w:val="en-US" w:eastAsia="zh-CN"/>
        </w:rPr>
        <w:t>相关证明材料（如有）</w:t>
      </w:r>
      <w:r>
        <w:rPr>
          <w:rFonts w:hint="eastAsia" w:ascii="宋体" w:hAnsi="宋体" w:eastAsia="宋体" w:cs="宋体"/>
          <w:bCs/>
          <w:color w:val="auto"/>
          <w:sz w:val="21"/>
          <w:szCs w:val="21"/>
          <w:highlight w:val="none"/>
          <w:u w:val="single"/>
        </w:rPr>
        <w:t>；</w:t>
      </w:r>
    </w:p>
    <w:p>
      <w:pPr>
        <w:pBdr>
          <w:top w:val="none" w:color="auto" w:sz="0" w:space="0"/>
          <w:left w:val="none" w:color="auto" w:sz="0" w:space="0"/>
          <w:bottom w:val="none" w:color="auto" w:sz="0" w:space="0"/>
          <w:right w:val="none" w:color="auto" w:sz="0" w:space="0"/>
          <w:between w:val="none" w:color="auto" w:sz="0" w:space="0"/>
        </w:pBd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（5）建筑施工企业安全生产许可证</w:t>
      </w:r>
      <w:r>
        <w:rPr>
          <w:rFonts w:hint="eastAsia" w:ascii="宋体" w:hAnsi="宋体" w:cs="宋体"/>
          <w:bCs/>
          <w:color w:val="auto"/>
          <w:sz w:val="21"/>
          <w:szCs w:val="21"/>
          <w:highlight w:val="none"/>
          <w:u w:val="single"/>
          <w:lang w:val="en-US" w:eastAsia="zh-CN"/>
        </w:rPr>
        <w:t>扫描件</w:t>
      </w:r>
      <w:r>
        <w:rPr>
          <w:rFonts w:hint="eastAsia" w:ascii="宋体" w:hAnsi="宋体" w:cs="宋体"/>
          <w:bCs/>
          <w:color w:val="auto"/>
          <w:sz w:val="21"/>
          <w:szCs w:val="21"/>
          <w:highlight w:val="none"/>
          <w:u w:val="single"/>
          <w:lang w:eastAsia="zh-CN"/>
        </w:rPr>
        <w:t>；</w:t>
      </w:r>
    </w:p>
    <w:p>
      <w:pPr>
        <w:pBdr>
          <w:top w:val="none" w:color="auto" w:sz="0" w:space="0"/>
          <w:left w:val="none" w:color="auto" w:sz="0" w:space="0"/>
          <w:bottom w:val="none" w:color="auto" w:sz="0" w:space="0"/>
          <w:right w:val="none" w:color="auto" w:sz="0" w:space="0"/>
          <w:between w:val="none" w:color="auto" w:sz="0" w:space="0"/>
        </w:pBdr>
        <w:spacing w:line="360" w:lineRule="auto"/>
        <w:ind w:firstLine="420" w:firstLineChars="200"/>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rPr>
        <w:t>（6）项目负责人（按网上投标登记时选择拟投标的项目负责人）</w:t>
      </w:r>
      <w:r>
        <w:rPr>
          <w:rFonts w:hint="eastAsia" w:ascii="宋体" w:hAnsi="宋体" w:cs="宋体"/>
          <w:bCs/>
          <w:color w:val="auto"/>
          <w:sz w:val="21"/>
          <w:szCs w:val="21"/>
          <w:highlight w:val="none"/>
          <w:lang w:eastAsia="zh-CN"/>
        </w:rPr>
        <w:t>；</w:t>
      </w:r>
    </w:p>
    <w:p>
      <w:pPr>
        <w:pBdr>
          <w:top w:val="none" w:color="auto" w:sz="0" w:space="0"/>
          <w:left w:val="none" w:color="auto" w:sz="0" w:space="0"/>
          <w:bottom w:val="none" w:color="auto" w:sz="0" w:space="0"/>
          <w:right w:val="none" w:color="auto" w:sz="0" w:space="0"/>
          <w:between w:val="none" w:color="auto" w:sz="0" w:space="0"/>
        </w:pBdr>
        <w:spacing w:line="360" w:lineRule="auto"/>
        <w:ind w:firstLine="420" w:firstLineChars="200"/>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rPr>
        <w:t>（7）专职安全员（按网上投标登记时选择拟投标的专职安全员）</w:t>
      </w:r>
      <w:r>
        <w:rPr>
          <w:rFonts w:hint="eastAsia" w:ascii="宋体" w:hAnsi="宋体" w:cs="宋体"/>
          <w:bCs/>
          <w:color w:val="auto"/>
          <w:sz w:val="21"/>
          <w:szCs w:val="21"/>
          <w:highlight w:val="none"/>
          <w:lang w:eastAsia="zh-CN"/>
        </w:rPr>
        <w:t>；</w:t>
      </w:r>
    </w:p>
    <w:p>
      <w:pPr>
        <w:pBdr>
          <w:top w:val="none" w:color="auto" w:sz="0" w:space="0"/>
          <w:left w:val="none" w:color="auto" w:sz="0" w:space="0"/>
          <w:bottom w:val="none" w:color="auto" w:sz="0" w:space="0"/>
          <w:right w:val="none" w:color="auto" w:sz="0" w:space="0"/>
          <w:between w:val="none" w:color="auto" w:sz="0" w:space="0"/>
        </w:pBdr>
        <w:spacing w:line="360" w:lineRule="auto"/>
        <w:ind w:firstLine="420" w:firstLineChars="200"/>
        <w:rPr>
          <w:rFonts w:hint="eastAsia" w:ascii="宋体" w:hAnsi="宋体" w:eastAsia="宋体" w:cs="宋体"/>
          <w:bCs/>
          <w:color w:val="auto"/>
          <w:sz w:val="21"/>
          <w:szCs w:val="21"/>
          <w:highlight w:val="none"/>
          <w:u w:val="single"/>
        </w:rPr>
      </w:pPr>
      <w:r>
        <w:rPr>
          <w:rFonts w:hint="eastAsia" w:ascii="宋体" w:hAnsi="宋体" w:eastAsia="宋体" w:cs="宋体"/>
          <w:bCs/>
          <w:color w:val="auto"/>
          <w:sz w:val="21"/>
          <w:szCs w:val="21"/>
          <w:highlight w:val="none"/>
          <w:u w:val="single"/>
        </w:rPr>
        <w:t>（8）拟委托技术负责人的职称证书扫描件；</w:t>
      </w:r>
    </w:p>
    <w:p>
      <w:pPr>
        <w:pBdr>
          <w:top w:val="none" w:color="auto" w:sz="0" w:space="0"/>
          <w:left w:val="none" w:color="auto" w:sz="0" w:space="0"/>
          <w:bottom w:val="none" w:color="auto" w:sz="0" w:space="0"/>
          <w:right w:val="none" w:color="auto" w:sz="0" w:space="0"/>
          <w:between w:val="none" w:color="auto" w:sz="0" w:space="0"/>
        </w:pBdr>
        <w:spacing w:line="360" w:lineRule="auto"/>
        <w:ind w:firstLine="420" w:firstLineChars="200"/>
        <w:rPr>
          <w:rFonts w:hint="eastAsia" w:ascii="宋体" w:hAnsi="宋体" w:eastAsia="宋体" w:cs="宋体"/>
          <w:bCs/>
          <w:color w:val="auto"/>
          <w:sz w:val="21"/>
          <w:szCs w:val="21"/>
          <w:highlight w:val="none"/>
          <w:u w:val="single"/>
        </w:rPr>
      </w:pPr>
      <w:r>
        <w:rPr>
          <w:rFonts w:hint="eastAsia" w:ascii="宋体" w:hAnsi="宋体" w:eastAsia="宋体" w:cs="宋体"/>
          <w:bCs/>
          <w:color w:val="auto"/>
          <w:sz w:val="21"/>
          <w:szCs w:val="21"/>
          <w:highlight w:val="none"/>
          <w:u w:val="single"/>
        </w:rPr>
        <w:t>（9）拟委派项目负责人的</w:t>
      </w:r>
      <w:r>
        <w:rPr>
          <w:rFonts w:hint="eastAsia" w:ascii="宋体" w:hAnsi="宋体" w:cs="宋体"/>
          <w:bCs/>
          <w:color w:val="auto"/>
          <w:sz w:val="21"/>
          <w:szCs w:val="21"/>
          <w:highlight w:val="none"/>
          <w:u w:val="single"/>
          <w:lang w:val="en-US" w:eastAsia="zh-CN"/>
        </w:rPr>
        <w:t>建造师证书</w:t>
      </w:r>
      <w:r>
        <w:rPr>
          <w:rFonts w:hint="eastAsia" w:ascii="宋体" w:hAnsi="宋体" w:eastAsia="宋体" w:cs="宋体"/>
          <w:bCs/>
          <w:color w:val="auto"/>
          <w:sz w:val="21"/>
          <w:szCs w:val="21"/>
          <w:highlight w:val="none"/>
          <w:u w:val="single"/>
        </w:rPr>
        <w:t>扫描件；</w:t>
      </w:r>
    </w:p>
    <w:p>
      <w:pPr>
        <w:pBdr>
          <w:top w:val="none" w:color="auto" w:sz="0" w:space="0"/>
          <w:left w:val="none" w:color="auto" w:sz="0" w:space="0"/>
          <w:bottom w:val="none" w:color="auto" w:sz="0" w:space="0"/>
          <w:right w:val="none" w:color="auto" w:sz="0" w:space="0"/>
          <w:between w:val="none" w:color="auto" w:sz="0" w:space="0"/>
        </w:pBdr>
        <w:spacing w:line="360" w:lineRule="auto"/>
        <w:ind w:firstLine="420" w:firstLineChars="200"/>
        <w:rPr>
          <w:rFonts w:hint="eastAsia" w:ascii="宋体" w:hAnsi="宋体" w:eastAsia="宋体" w:cs="宋体"/>
          <w:bCs/>
          <w:color w:val="auto"/>
          <w:sz w:val="21"/>
          <w:szCs w:val="21"/>
          <w:highlight w:val="none"/>
          <w:u w:val="single"/>
        </w:rPr>
      </w:pPr>
      <w:r>
        <w:rPr>
          <w:rFonts w:hint="eastAsia" w:ascii="宋体" w:hAnsi="宋体" w:eastAsia="宋体" w:cs="宋体"/>
          <w:bCs/>
          <w:color w:val="auto"/>
          <w:sz w:val="21"/>
          <w:szCs w:val="21"/>
          <w:highlight w:val="none"/>
          <w:u w:val="single"/>
        </w:rPr>
        <w:t>（10）项目负责人在有效期内的安全生产考核合格证（B类）或建筑施工企业项目负责人安全生产考核合格证书扫描件；</w:t>
      </w:r>
    </w:p>
    <w:p>
      <w:pPr>
        <w:pBdr>
          <w:top w:val="none" w:color="auto" w:sz="0" w:space="0"/>
          <w:left w:val="none" w:color="auto" w:sz="0" w:space="0"/>
          <w:bottom w:val="none" w:color="auto" w:sz="0" w:space="0"/>
          <w:right w:val="none" w:color="auto" w:sz="0" w:space="0"/>
          <w:between w:val="none" w:color="auto" w:sz="0" w:space="0"/>
        </w:pBdr>
        <w:spacing w:line="360" w:lineRule="auto"/>
        <w:ind w:firstLine="420" w:firstLineChars="200"/>
        <w:rPr>
          <w:rFonts w:hint="eastAsia" w:ascii="宋体" w:hAnsi="宋体" w:eastAsia="宋体" w:cs="宋体"/>
          <w:bCs/>
          <w:color w:val="auto"/>
          <w:sz w:val="21"/>
          <w:szCs w:val="21"/>
          <w:highlight w:val="none"/>
          <w:u w:val="single"/>
        </w:rPr>
      </w:pPr>
      <w:r>
        <w:rPr>
          <w:rFonts w:hint="eastAsia" w:ascii="宋体" w:hAnsi="宋体" w:eastAsia="宋体" w:cs="宋体"/>
          <w:bCs/>
          <w:color w:val="auto"/>
          <w:sz w:val="21"/>
          <w:szCs w:val="21"/>
          <w:highlight w:val="none"/>
          <w:u w:val="single"/>
        </w:rPr>
        <w:t>（11）</w:t>
      </w:r>
      <w:r>
        <w:rPr>
          <w:rFonts w:hint="eastAsia" w:ascii="宋体"/>
          <w:bCs/>
          <w:color w:val="auto"/>
          <w:szCs w:val="21"/>
          <w:highlight w:val="none"/>
        </w:rPr>
        <w:t>专职安全员须具有在有效期内的安全考核合格证书（C类）或建筑施工企业专职安全生产管理人员安全生产考核合格证书（C3）</w:t>
      </w:r>
      <w:r>
        <w:rPr>
          <w:rFonts w:hint="eastAsia" w:ascii="宋体" w:hAnsi="宋体" w:cs="宋体"/>
          <w:bCs/>
          <w:color w:val="auto"/>
          <w:szCs w:val="21"/>
          <w:highlight w:val="none"/>
          <w:u w:val="single"/>
        </w:rPr>
        <w:t>扫描件</w:t>
      </w:r>
      <w:r>
        <w:rPr>
          <w:rFonts w:hint="eastAsia" w:ascii="宋体" w:hAnsi="宋体" w:eastAsia="宋体" w:cs="宋体"/>
          <w:bCs/>
          <w:color w:val="auto"/>
          <w:sz w:val="21"/>
          <w:szCs w:val="21"/>
          <w:highlight w:val="none"/>
          <w:u w:val="single"/>
        </w:rPr>
        <w:t>；</w:t>
      </w:r>
    </w:p>
    <w:p>
      <w:pPr>
        <w:pBdr>
          <w:top w:val="none" w:color="auto" w:sz="0" w:space="0"/>
          <w:left w:val="none" w:color="auto" w:sz="0" w:space="0"/>
          <w:bottom w:val="none" w:color="auto" w:sz="0" w:space="0"/>
          <w:right w:val="none" w:color="auto" w:sz="0" w:space="0"/>
          <w:between w:val="none" w:color="auto" w:sz="0" w:space="0"/>
        </w:pBdr>
        <w:wordWrap w:val="0"/>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val="en-US" w:eastAsia="zh-CN"/>
        </w:rPr>
        <w:t>1</w:t>
      </w:r>
      <w:r>
        <w:rPr>
          <w:rFonts w:hint="eastAsia" w:ascii="宋体" w:hAnsi="宋体" w:cs="宋体"/>
          <w:bCs/>
          <w:color w:val="auto"/>
          <w:sz w:val="21"/>
          <w:szCs w:val="21"/>
          <w:highlight w:val="none"/>
          <w:lang w:val="en-US" w:eastAsia="zh-CN"/>
        </w:rPr>
        <w:t>2</w:t>
      </w:r>
      <w:r>
        <w:rPr>
          <w:rFonts w:hint="eastAsia" w:ascii="宋体" w:hAnsi="宋体" w:eastAsia="宋体" w:cs="宋体"/>
          <w:bCs/>
          <w:color w:val="auto"/>
          <w:sz w:val="21"/>
          <w:szCs w:val="21"/>
          <w:highlight w:val="none"/>
        </w:rPr>
        <w:t>）</w:t>
      </w:r>
      <w:r>
        <w:rPr>
          <w:rFonts w:hint="eastAsia" w:ascii="宋体"/>
          <w:bCs/>
          <w:color w:val="auto"/>
          <w:szCs w:val="21"/>
          <w:highlight w:val="none"/>
          <w:u w:val="single"/>
        </w:rPr>
        <w:t>投标登记前，投标人须在广州交易集团有限公司（广州公共资源交易中心）企业库办理企业信息登记及拟担任本工程项目负责人、专职安全员须是本企业信息登记中的在册人员</w:t>
      </w:r>
      <w:r>
        <w:rPr>
          <w:rFonts w:hint="eastAsia" w:ascii="宋体" w:hAnsi="宋体" w:cs="宋体"/>
          <w:bCs/>
          <w:color w:val="auto"/>
          <w:szCs w:val="21"/>
          <w:highlight w:val="none"/>
          <w:u w:val="single"/>
        </w:rPr>
        <w:t>（提供网页信息截图）</w:t>
      </w:r>
      <w:r>
        <w:rPr>
          <w:rFonts w:hint="eastAsia" w:ascii="宋体"/>
          <w:bCs/>
          <w:color w:val="auto"/>
          <w:szCs w:val="21"/>
          <w:highlight w:val="none"/>
          <w:u w:val="single"/>
        </w:rPr>
        <w:t>。</w:t>
      </w:r>
    </w:p>
    <w:p>
      <w:pPr>
        <w:pBdr>
          <w:top w:val="none" w:color="auto" w:sz="0" w:space="0"/>
          <w:left w:val="none" w:color="auto" w:sz="0" w:space="0"/>
          <w:bottom w:val="none" w:color="auto" w:sz="0" w:space="0"/>
          <w:right w:val="none" w:color="auto" w:sz="0" w:space="0"/>
          <w:between w:val="none" w:color="auto" w:sz="0" w:space="0"/>
        </w:pBdr>
        <w:wordWrap/>
        <w:spacing w:line="360" w:lineRule="auto"/>
        <w:ind w:firstLine="420" w:firstLineChars="200"/>
        <w:rPr>
          <w:rFonts w:hint="eastAsia" w:ascii="宋体" w:hAnsi="宋体" w:eastAsia="宋体" w:cs="宋体"/>
          <w:bCs/>
          <w:color w:val="auto"/>
          <w:sz w:val="21"/>
          <w:szCs w:val="21"/>
          <w:highlight w:val="none"/>
          <w:u w:val="single"/>
          <w:lang w:eastAsia="zh-CN"/>
        </w:rPr>
      </w:pPr>
      <w:r>
        <w:rPr>
          <w:rFonts w:hint="eastAsia" w:ascii="宋体" w:hAnsi="宋体" w:cs="宋体"/>
          <w:bCs/>
          <w:color w:val="auto"/>
          <w:sz w:val="21"/>
          <w:szCs w:val="21"/>
          <w:highlight w:val="none"/>
          <w:u w:val="single"/>
          <w:lang w:eastAsia="zh-CN"/>
        </w:rPr>
        <w:t>（</w:t>
      </w:r>
      <w:r>
        <w:rPr>
          <w:rFonts w:hint="eastAsia" w:ascii="宋体" w:hAnsi="宋体" w:cs="宋体"/>
          <w:bCs/>
          <w:color w:val="auto"/>
          <w:sz w:val="21"/>
          <w:szCs w:val="21"/>
          <w:highlight w:val="none"/>
          <w:u w:val="single"/>
          <w:lang w:val="en-US" w:eastAsia="zh-CN"/>
        </w:rPr>
        <w:t>13</w:t>
      </w:r>
      <w:r>
        <w:rPr>
          <w:rFonts w:hint="eastAsia" w:ascii="宋体" w:hAnsi="宋体" w:cs="宋体"/>
          <w:bCs/>
          <w:color w:val="auto"/>
          <w:sz w:val="21"/>
          <w:szCs w:val="21"/>
          <w:highlight w:val="none"/>
          <w:u w:val="single"/>
          <w:lang w:eastAsia="zh-CN"/>
        </w:rPr>
        <w:t>）</w:t>
      </w:r>
      <w:r>
        <w:rPr>
          <w:rFonts w:hint="eastAsia" w:ascii="宋体"/>
          <w:bCs/>
          <w:color w:val="auto"/>
          <w:szCs w:val="21"/>
          <w:highlight w:val="none"/>
          <w:u w:val="single"/>
        </w:rPr>
        <w:t>投标人未被列入拖欠农民工工资失信联合惩戒对象名单</w:t>
      </w:r>
      <w:r>
        <w:rPr>
          <w:rFonts w:hint="eastAsia" w:ascii="宋体" w:hAnsi="宋体" w:cs="宋体"/>
          <w:bCs/>
          <w:color w:val="auto"/>
          <w:sz w:val="21"/>
          <w:szCs w:val="21"/>
          <w:highlight w:val="none"/>
          <w:u w:val="single"/>
          <w:lang w:eastAsia="zh-CN"/>
        </w:rPr>
        <w:t>；</w:t>
      </w:r>
    </w:p>
    <w:p>
      <w:pPr>
        <w:pBdr>
          <w:top w:val="none" w:color="auto" w:sz="0" w:space="0"/>
          <w:left w:val="none" w:color="auto" w:sz="0" w:space="0"/>
          <w:bottom w:val="none" w:color="auto" w:sz="0" w:space="0"/>
          <w:right w:val="none" w:color="auto" w:sz="0" w:space="0"/>
          <w:between w:val="none" w:color="auto" w:sz="0" w:space="0"/>
        </w:pBdr>
        <w:spacing w:line="360" w:lineRule="auto"/>
        <w:ind w:firstLine="420" w:firstLineChars="200"/>
        <w:rPr>
          <w:rFonts w:hint="eastAsia" w:ascii="宋体" w:hAnsi="宋体" w:eastAsia="宋体" w:cs="宋体"/>
          <w:bCs/>
          <w:color w:val="auto"/>
          <w:sz w:val="21"/>
          <w:szCs w:val="21"/>
          <w:highlight w:val="none"/>
          <w:u w:val="single"/>
        </w:rPr>
      </w:pPr>
      <w:r>
        <w:rPr>
          <w:rFonts w:hint="eastAsia" w:ascii="宋体" w:hAnsi="宋体" w:eastAsia="宋体" w:cs="宋体"/>
          <w:bCs/>
          <w:color w:val="auto"/>
          <w:sz w:val="21"/>
          <w:szCs w:val="21"/>
          <w:highlight w:val="none"/>
          <w:u w:val="single"/>
        </w:rPr>
        <w:t>（</w:t>
      </w:r>
      <w:r>
        <w:rPr>
          <w:rFonts w:hint="eastAsia" w:ascii="宋体" w:hAnsi="宋体" w:eastAsia="宋体" w:cs="宋体"/>
          <w:bCs/>
          <w:color w:val="auto"/>
          <w:sz w:val="21"/>
          <w:szCs w:val="21"/>
          <w:highlight w:val="none"/>
          <w:u w:val="single"/>
          <w:lang w:val="en-US" w:eastAsia="zh-CN"/>
        </w:rPr>
        <w:t>1</w:t>
      </w:r>
      <w:r>
        <w:rPr>
          <w:rFonts w:hint="eastAsia" w:ascii="宋体" w:hAnsi="宋体" w:cs="宋体"/>
          <w:bCs/>
          <w:color w:val="auto"/>
          <w:sz w:val="21"/>
          <w:szCs w:val="21"/>
          <w:highlight w:val="none"/>
          <w:u w:val="single"/>
          <w:lang w:val="en-US" w:eastAsia="zh-CN"/>
        </w:rPr>
        <w:t>4</w:t>
      </w:r>
      <w:r>
        <w:rPr>
          <w:rFonts w:hint="eastAsia" w:ascii="宋体" w:hAnsi="宋体" w:eastAsia="宋体" w:cs="宋体"/>
          <w:bCs/>
          <w:color w:val="auto"/>
          <w:sz w:val="21"/>
          <w:szCs w:val="21"/>
          <w:highlight w:val="none"/>
          <w:u w:val="single"/>
        </w:rPr>
        <w:t>）投标人认为应提供的其他资料</w:t>
      </w:r>
      <w:r>
        <w:rPr>
          <w:rFonts w:hint="eastAsia" w:ascii="宋体" w:hAnsi="宋体" w:cs="宋体"/>
          <w:bCs/>
          <w:color w:val="auto"/>
          <w:sz w:val="21"/>
          <w:szCs w:val="21"/>
          <w:highlight w:val="none"/>
          <w:u w:val="single"/>
          <w:lang w:eastAsia="zh-CN"/>
        </w:rPr>
        <w:t>（</w:t>
      </w:r>
      <w:r>
        <w:rPr>
          <w:rFonts w:hint="eastAsia" w:ascii="宋体" w:hAnsi="宋体" w:cs="宋体"/>
          <w:bCs/>
          <w:color w:val="auto"/>
          <w:sz w:val="21"/>
          <w:szCs w:val="21"/>
          <w:highlight w:val="none"/>
          <w:u w:val="single"/>
          <w:lang w:val="en-US" w:eastAsia="zh-CN"/>
        </w:rPr>
        <w:t>如有</w:t>
      </w:r>
      <w:r>
        <w:rPr>
          <w:rFonts w:hint="eastAsia" w:ascii="宋体" w:hAnsi="宋体" w:cs="宋体"/>
          <w:bCs/>
          <w:color w:val="auto"/>
          <w:sz w:val="21"/>
          <w:szCs w:val="21"/>
          <w:highlight w:val="none"/>
          <w:u w:val="single"/>
          <w:lang w:eastAsia="zh-CN"/>
        </w:rPr>
        <w:t>）</w:t>
      </w:r>
      <w:r>
        <w:rPr>
          <w:rFonts w:hint="eastAsia" w:ascii="宋体" w:hAnsi="宋体" w:eastAsia="宋体" w:cs="宋体"/>
          <w:bCs/>
          <w:color w:val="auto"/>
          <w:sz w:val="21"/>
          <w:szCs w:val="21"/>
          <w:highlight w:val="none"/>
          <w:u w:val="single"/>
        </w:rPr>
        <w:t>。</w:t>
      </w:r>
    </w:p>
    <w:p>
      <w:pPr>
        <w:spacing w:line="360" w:lineRule="auto"/>
        <w:ind w:firstLine="422" w:firstLineChars="201"/>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w:t>
      </w:r>
    </w:p>
    <w:p>
      <w:pPr>
        <w:spacing w:line="360" w:lineRule="auto"/>
        <w:ind w:firstLine="422" w:firstLineChars="201"/>
        <w:rPr>
          <w:rFonts w:hint="eastAsia" w:ascii="宋体" w:hAnsi="宋体" w:eastAsia="宋体" w:cs="宋体"/>
          <w:bCs/>
          <w:color w:val="auto"/>
          <w:szCs w:val="21"/>
          <w:highlight w:val="none"/>
          <w:u w:val="single"/>
        </w:rPr>
      </w:pPr>
      <w:r>
        <w:rPr>
          <w:rFonts w:hint="eastAsia" w:ascii="宋体" w:hAnsi="宋体" w:cs="宋体"/>
          <w:color w:val="auto"/>
          <w:szCs w:val="21"/>
          <w:highlight w:val="none"/>
          <w:lang w:val="en-US" w:eastAsia="zh-CN"/>
        </w:rPr>
        <w:t>1、</w:t>
      </w:r>
      <w:r>
        <w:rPr>
          <w:rFonts w:hint="eastAsia" w:ascii="宋体" w:hAnsi="宋体" w:eastAsia="宋体" w:cs="宋体"/>
          <w:color w:val="auto"/>
          <w:szCs w:val="21"/>
          <w:highlight w:val="none"/>
          <w:u w:val="single"/>
        </w:rPr>
        <w:t xml:space="preserve">上述第 </w:t>
      </w:r>
      <w:r>
        <w:rPr>
          <w:rFonts w:hint="eastAsia" w:ascii="宋体" w:hAnsi="宋体" w:eastAsia="宋体" w:cs="宋体"/>
          <w:bCs/>
          <w:color w:val="auto"/>
          <w:szCs w:val="21"/>
          <w:highlight w:val="none"/>
          <w:u w:val="single"/>
        </w:rPr>
        <w:t>11.2.2（1）—（1</w:t>
      </w:r>
      <w:r>
        <w:rPr>
          <w:rFonts w:hint="eastAsia" w:ascii="宋体" w:hAnsi="宋体" w:cs="宋体"/>
          <w:bCs/>
          <w:color w:val="auto"/>
          <w:szCs w:val="21"/>
          <w:highlight w:val="none"/>
          <w:u w:val="single"/>
          <w:lang w:val="en-US" w:eastAsia="zh-CN"/>
        </w:rPr>
        <w:t>2</w:t>
      </w:r>
      <w:r>
        <w:rPr>
          <w:rFonts w:hint="eastAsia" w:ascii="宋体" w:hAnsi="宋体" w:eastAsia="宋体" w:cs="宋体"/>
          <w:bCs/>
          <w:color w:val="auto"/>
          <w:szCs w:val="21"/>
          <w:highlight w:val="none"/>
          <w:u w:val="single"/>
        </w:rPr>
        <w:t>）条没有要求提交的资料，不作为资格审查不合格的依据。</w:t>
      </w:r>
    </w:p>
    <w:p>
      <w:pPr>
        <w:spacing w:line="360" w:lineRule="auto"/>
        <w:ind w:firstLine="422" w:firstLineChars="201"/>
        <w:rPr>
          <w:rFonts w:hint="eastAsia" w:ascii="宋体" w:hAnsi="宋体" w:cs="宋体"/>
          <w:color w:val="auto"/>
          <w:szCs w:val="21"/>
          <w:highlight w:val="none"/>
          <w:u w:val="single"/>
        </w:rPr>
      </w:pPr>
      <w:r>
        <w:rPr>
          <w:rFonts w:hint="eastAsia" w:ascii="宋体" w:hAnsi="宋体" w:cs="宋体"/>
          <w:color w:val="auto"/>
          <w:sz w:val="21"/>
          <w:szCs w:val="21"/>
          <w:highlight w:val="none"/>
          <w:u w:val="single"/>
          <w:lang w:val="en-US" w:eastAsia="zh-CN"/>
        </w:rPr>
        <w:t>2、</w:t>
      </w:r>
      <w:r>
        <w:rPr>
          <w:rFonts w:hint="eastAsia" w:ascii="宋体" w:hAnsi="宋体" w:cs="宋体"/>
          <w:color w:val="auto"/>
          <w:szCs w:val="21"/>
          <w:highlight w:val="none"/>
          <w:u w:val="single"/>
        </w:rPr>
        <w:t>上述第</w:t>
      </w:r>
      <w:r>
        <w:rPr>
          <w:rFonts w:hint="eastAsia" w:ascii="宋体" w:hAnsi="宋体" w:cs="宋体"/>
          <w:bCs/>
          <w:color w:val="auto"/>
          <w:szCs w:val="21"/>
          <w:highlight w:val="none"/>
          <w:u w:val="single"/>
        </w:rPr>
        <w:t>11.2.2</w:t>
      </w:r>
      <w:r>
        <w:rPr>
          <w:rFonts w:hint="eastAsia" w:ascii="宋体" w:hAnsi="宋体" w:cs="宋体"/>
          <w:color w:val="auto"/>
          <w:szCs w:val="21"/>
          <w:highlight w:val="none"/>
          <w:u w:val="single"/>
        </w:rPr>
        <w:t>（1</w:t>
      </w:r>
      <w:r>
        <w:rPr>
          <w:rFonts w:hint="eastAsia" w:ascii="宋体" w:hAnsi="宋体" w:cs="宋体"/>
          <w:color w:val="auto"/>
          <w:szCs w:val="21"/>
          <w:highlight w:val="none"/>
          <w:u w:val="single"/>
          <w:lang w:val="en-US" w:eastAsia="zh-CN"/>
        </w:rPr>
        <w:t>3</w:t>
      </w:r>
      <w:r>
        <w:rPr>
          <w:rFonts w:hint="eastAsia" w:ascii="宋体" w:hAnsi="宋体" w:cs="宋体"/>
          <w:color w:val="auto"/>
          <w:szCs w:val="21"/>
          <w:highlight w:val="none"/>
          <w:u w:val="single"/>
        </w:rPr>
        <w:t>）条，投标人无需提供资料，资格审查时，按广州交易集团有限公司（广州公共资源交易中心）交易系统比对的结果进行评审。</w:t>
      </w:r>
    </w:p>
    <w:p>
      <w:pPr>
        <w:spacing w:line="360" w:lineRule="auto"/>
        <w:ind w:firstLine="422" w:firstLineChars="201"/>
        <w:rPr>
          <w:rFonts w:hint="eastAsia" w:ascii="宋体" w:hAnsi="宋体" w:eastAsia="宋体" w:cs="宋体"/>
          <w:color w:val="auto"/>
          <w:sz w:val="21"/>
          <w:szCs w:val="21"/>
          <w:highlight w:val="none"/>
          <w:u w:val="single"/>
        </w:rPr>
      </w:pPr>
      <w:r>
        <w:rPr>
          <w:rFonts w:hint="eastAsia" w:ascii="宋体" w:hAnsi="宋体" w:cs="宋体"/>
          <w:color w:val="auto"/>
          <w:szCs w:val="21"/>
          <w:highlight w:val="none"/>
          <w:u w:val="single"/>
        </w:rPr>
        <w:t>11.2.3《投标函》《标函承诺书》《项目负责人驻场承诺书》（格式见招标文件第四章）。</w:t>
      </w:r>
    </w:p>
    <w:p>
      <w:pPr>
        <w:spacing w:line="360" w:lineRule="auto"/>
        <w:ind w:firstLine="422" w:firstLineChars="201"/>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u w:val="single"/>
        </w:rPr>
        <w:t>11.2.4</w:t>
      </w:r>
      <w:r>
        <w:rPr>
          <w:rFonts w:hint="eastAsia" w:ascii="宋体" w:hAnsi="宋体" w:cs="宋体"/>
          <w:color w:val="auto"/>
          <w:szCs w:val="21"/>
          <w:highlight w:val="none"/>
          <w:u w:val="single"/>
        </w:rPr>
        <w:t>《投入主要人员汇总表》《主要人员简历表》（格式见招标文件第四章、投标人需按相应表格备注和招标文件第二章附表《技术标详细审查评分表》要求提供相关资料）</w:t>
      </w:r>
      <w:r>
        <w:rPr>
          <w:rFonts w:hint="eastAsia" w:ascii="宋体" w:hAnsi="宋体" w:eastAsia="宋体" w:cs="宋体"/>
          <w:color w:val="auto"/>
          <w:szCs w:val="21"/>
          <w:highlight w:val="none"/>
          <w:u w:val="single"/>
        </w:rPr>
        <w:t>。</w:t>
      </w:r>
    </w:p>
    <w:p>
      <w:pPr>
        <w:pBdr>
          <w:top w:val="none" w:color="auto" w:sz="0" w:space="0"/>
          <w:left w:val="none" w:color="auto" w:sz="0" w:space="0"/>
          <w:bottom w:val="none" w:color="auto" w:sz="0" w:space="0"/>
          <w:right w:val="none" w:color="auto" w:sz="0" w:space="0"/>
          <w:between w:val="none" w:color="auto" w:sz="0" w:space="0"/>
        </w:pBdr>
        <w:spacing w:line="360" w:lineRule="auto"/>
        <w:ind w:firstLine="420" w:firstLineChars="200"/>
        <w:rPr>
          <w:rFonts w:hint="eastAsia" w:ascii="宋体" w:hAnsi="宋体" w:eastAsia="宋体" w:cs="宋体"/>
          <w:bCs/>
          <w:color w:val="auto"/>
          <w:sz w:val="21"/>
          <w:szCs w:val="21"/>
          <w:highlight w:val="none"/>
          <w:u w:val="single"/>
        </w:rPr>
      </w:pPr>
      <w:r>
        <w:rPr>
          <w:rFonts w:hint="eastAsia" w:ascii="宋体" w:hAnsi="宋体" w:eastAsia="宋体" w:cs="宋体"/>
          <w:bCs/>
          <w:color w:val="auto"/>
          <w:sz w:val="21"/>
          <w:szCs w:val="21"/>
          <w:highlight w:val="none"/>
          <w:u w:val="single"/>
        </w:rPr>
        <w:t>11.2.5</w:t>
      </w:r>
      <w:r>
        <w:rPr>
          <w:rFonts w:hint="eastAsia" w:ascii="宋体" w:hAnsi="宋体" w:cs="宋体"/>
          <w:color w:val="auto"/>
          <w:szCs w:val="21"/>
          <w:highlight w:val="none"/>
          <w:u w:val="single"/>
        </w:rPr>
        <w:t>企业资信证明材料（按招标文件第二章附表《技术标详细审查评分表》要求提交，</w:t>
      </w:r>
      <w:r>
        <w:rPr>
          <w:rFonts w:hint="eastAsia" w:ascii="宋体" w:hAnsi="宋体"/>
          <w:color w:val="auto"/>
          <w:szCs w:val="21"/>
          <w:highlight w:val="none"/>
          <w:u w:val="single"/>
        </w:rPr>
        <w:t>包括《已竣工验收的类似工程业绩表》（如有，格式见招标文件第四章）和《企业工程获奖情况表》（如有，格式见招标文件第四章）等资料</w:t>
      </w:r>
      <w:r>
        <w:rPr>
          <w:rFonts w:hint="eastAsia" w:ascii="宋体" w:hAnsi="宋体" w:cs="宋体"/>
          <w:color w:val="auto"/>
          <w:szCs w:val="21"/>
          <w:highlight w:val="none"/>
          <w:u w:val="single"/>
        </w:rPr>
        <w:t>。招标文件有规定格式的，需按招标文件格式提供，无格式要求的，格式自拟</w:t>
      </w:r>
      <w:r>
        <w:rPr>
          <w:rFonts w:ascii="宋体" w:hAnsi="宋体" w:cs="宋体"/>
          <w:color w:val="auto"/>
          <w:szCs w:val="21"/>
          <w:highlight w:val="none"/>
          <w:u w:val="single"/>
        </w:rPr>
        <w:t>）</w:t>
      </w:r>
      <w:r>
        <w:rPr>
          <w:rFonts w:hint="eastAsia" w:ascii="宋体" w:hAnsi="宋体" w:eastAsia="宋体" w:cs="宋体"/>
          <w:bCs/>
          <w:color w:val="auto"/>
          <w:sz w:val="21"/>
          <w:szCs w:val="21"/>
          <w:highlight w:val="none"/>
          <w:u w:val="single"/>
        </w:rPr>
        <w:t>。</w:t>
      </w:r>
    </w:p>
    <w:p>
      <w:pPr>
        <w:pBdr>
          <w:top w:val="none" w:color="auto" w:sz="0" w:space="0"/>
          <w:left w:val="none" w:color="auto" w:sz="0" w:space="0"/>
          <w:bottom w:val="none" w:color="auto" w:sz="0" w:space="0"/>
          <w:right w:val="none" w:color="auto" w:sz="0" w:space="0"/>
          <w:between w:val="none" w:color="auto" w:sz="0" w:space="0"/>
        </w:pBdr>
        <w:spacing w:line="360" w:lineRule="auto"/>
        <w:ind w:firstLine="420" w:firstLineChars="200"/>
        <w:rPr>
          <w:rFonts w:hint="eastAsia" w:ascii="宋体" w:hAnsi="宋体"/>
          <w:color w:val="auto"/>
          <w:szCs w:val="21"/>
          <w:highlight w:val="none"/>
          <w:u w:val="single"/>
        </w:rPr>
      </w:pPr>
      <w:r>
        <w:rPr>
          <w:rFonts w:hint="eastAsia" w:ascii="宋体" w:hAnsi="宋体"/>
          <w:color w:val="auto"/>
          <w:szCs w:val="21"/>
          <w:highlight w:val="none"/>
          <w:u w:val="single"/>
        </w:rPr>
        <w:t>11.2.6《响应招标文件所附施工组织设计要点的承诺书》《拟投入本工程施工的主要机械设备配备表》（格式见招标文件第四章）。</w:t>
      </w:r>
    </w:p>
    <w:p>
      <w:pPr>
        <w:pBdr>
          <w:top w:val="none" w:color="auto" w:sz="0" w:space="0"/>
          <w:left w:val="none" w:color="auto" w:sz="0" w:space="0"/>
          <w:bottom w:val="none" w:color="auto" w:sz="0" w:space="0"/>
          <w:right w:val="none" w:color="auto" w:sz="0" w:space="0"/>
          <w:between w:val="none" w:color="auto" w:sz="0" w:space="0"/>
        </w:pBdr>
        <w:spacing w:line="360" w:lineRule="auto"/>
        <w:ind w:firstLine="420" w:firstLineChars="200"/>
        <w:rPr>
          <w:rFonts w:hint="eastAsia" w:ascii="宋体" w:hAnsi="宋体"/>
          <w:color w:val="auto"/>
          <w:szCs w:val="21"/>
          <w:highlight w:val="none"/>
          <w:u w:val="single"/>
        </w:rPr>
      </w:pPr>
      <w:r>
        <w:rPr>
          <w:rFonts w:hint="eastAsia" w:ascii="宋体" w:hAnsi="宋体"/>
          <w:color w:val="auto"/>
          <w:szCs w:val="21"/>
          <w:highlight w:val="none"/>
          <w:u w:val="single"/>
        </w:rPr>
        <w:t>11.2.</w:t>
      </w:r>
      <w:r>
        <w:rPr>
          <w:rFonts w:hint="eastAsia" w:ascii="宋体" w:hAnsi="宋体"/>
          <w:color w:val="auto"/>
          <w:szCs w:val="21"/>
          <w:highlight w:val="none"/>
          <w:u w:val="single"/>
          <w:lang w:val="en-US" w:eastAsia="zh-CN"/>
        </w:rPr>
        <w:t>7</w:t>
      </w:r>
      <w:r>
        <w:rPr>
          <w:rFonts w:hint="eastAsia" w:ascii="宋体" w:hAnsi="宋体"/>
          <w:color w:val="auto"/>
          <w:szCs w:val="21"/>
          <w:highlight w:val="none"/>
          <w:u w:val="single"/>
        </w:rPr>
        <w:t>《危险性较大的分部分项工程安全管理措施》（格式见招标文件第四章）。</w:t>
      </w:r>
    </w:p>
    <w:p>
      <w:pPr>
        <w:pBdr>
          <w:top w:val="none" w:color="auto" w:sz="0" w:space="0"/>
          <w:left w:val="none" w:color="auto" w:sz="0" w:space="0"/>
          <w:bottom w:val="none" w:color="auto" w:sz="0" w:space="0"/>
          <w:right w:val="none" w:color="auto" w:sz="0" w:space="0"/>
          <w:between w:val="none" w:color="auto" w:sz="0" w:space="0"/>
        </w:pBdr>
        <w:spacing w:line="360" w:lineRule="auto"/>
        <w:ind w:firstLine="420" w:firstLineChars="200"/>
        <w:rPr>
          <w:rFonts w:hint="eastAsia" w:ascii="宋体" w:hAnsi="宋体"/>
          <w:color w:val="auto"/>
          <w:szCs w:val="21"/>
          <w:highlight w:val="none"/>
          <w:u w:val="single"/>
        </w:rPr>
      </w:pPr>
      <w:r>
        <w:rPr>
          <w:rFonts w:hint="eastAsia" w:ascii="宋体" w:hAnsi="宋体"/>
          <w:color w:val="auto"/>
          <w:szCs w:val="21"/>
          <w:highlight w:val="none"/>
          <w:u w:val="single"/>
        </w:rPr>
        <w:t>11.2.8《参与编制技术标投标文件人员名单》（格式见招标文件第四章）</w:t>
      </w:r>
      <w:r>
        <w:rPr>
          <w:rFonts w:hint="eastAsia" w:ascii="宋体" w:hAnsi="宋体"/>
          <w:color w:val="auto"/>
          <w:szCs w:val="21"/>
          <w:highlight w:val="none"/>
          <w:u w:val="single"/>
          <w:lang w:eastAsia="zh-CN"/>
        </w:rPr>
        <w:t>。</w:t>
      </w:r>
    </w:p>
    <w:p>
      <w:pPr>
        <w:pBdr>
          <w:bottom w:val="single" w:color="auto" w:sz="6" w:space="1"/>
        </w:pBdr>
        <w:spacing w:line="360" w:lineRule="auto"/>
        <w:ind w:firstLine="470" w:firstLineChars="224"/>
        <w:rPr>
          <w:rFonts w:hint="eastAsia" w:ascii="宋体" w:hAnsi="宋体" w:eastAsia="宋体" w:cs="宋体"/>
          <w:color w:val="auto"/>
          <w:sz w:val="21"/>
          <w:szCs w:val="21"/>
          <w:highlight w:val="none"/>
        </w:rPr>
      </w:pPr>
      <w:r>
        <w:rPr>
          <w:rFonts w:hint="eastAsia" w:ascii="宋体" w:hAnsi="宋体"/>
          <w:color w:val="auto"/>
          <w:szCs w:val="21"/>
          <w:highlight w:val="none"/>
          <w:u w:val="single"/>
        </w:rPr>
        <w:t>11.2.9投标人认为应提供的其他资料（如有）</w:t>
      </w:r>
      <w:r>
        <w:rPr>
          <w:rFonts w:hint="eastAsia" w:ascii="宋体" w:hAnsi="宋体"/>
          <w:color w:val="auto"/>
          <w:szCs w:val="21"/>
          <w:highlight w:val="none"/>
          <w:u w:val="single"/>
          <w:lang w:eastAsia="zh-CN"/>
        </w:rPr>
        <w:t>。</w:t>
      </w:r>
    </w:p>
    <w:p>
      <w:pPr>
        <w:spacing w:line="360" w:lineRule="auto"/>
        <w:ind w:firstLine="472" w:firstLineChars="224"/>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条款号：11.3.1                     修改类型：修改</w:t>
      </w:r>
    </w:p>
    <w:p>
      <w:pPr>
        <w:spacing w:line="360" w:lineRule="auto"/>
        <w:ind w:firstLine="472" w:firstLineChars="224"/>
        <w:rPr>
          <w:rFonts w:hint="eastAsia" w:ascii="宋体" w:hAnsi="宋体" w:eastAsia="宋体" w:cs="宋体"/>
          <w:b w:val="0"/>
          <w:bCs/>
          <w:color w:val="auto"/>
          <w:sz w:val="21"/>
          <w:szCs w:val="21"/>
          <w:highlight w:val="none"/>
        </w:rPr>
      </w:pPr>
      <w:r>
        <w:rPr>
          <w:rFonts w:hint="eastAsia" w:ascii="宋体" w:hAnsi="宋体" w:eastAsia="宋体" w:cs="宋体"/>
          <w:b/>
          <w:color w:val="auto"/>
          <w:sz w:val="21"/>
          <w:szCs w:val="21"/>
          <w:highlight w:val="none"/>
        </w:rPr>
        <w:t>原文：</w:t>
      </w:r>
      <w:r>
        <w:rPr>
          <w:rFonts w:hint="eastAsia" w:ascii="宋体" w:hAnsi="宋体" w:eastAsia="宋体" w:cs="宋体"/>
          <w:b w:val="0"/>
          <w:bCs/>
          <w:color w:val="auto"/>
          <w:sz w:val="21"/>
          <w:szCs w:val="21"/>
          <w:highlight w:val="none"/>
        </w:rPr>
        <w:t>11.3.1 经济投标文件(按招标文件的要求填写)。</w:t>
      </w:r>
    </w:p>
    <w:p>
      <w:pPr>
        <w:pBdr>
          <w:bottom w:val="single" w:color="auto" w:sz="4" w:space="0"/>
        </w:pBdr>
        <w:spacing w:line="360" w:lineRule="auto"/>
        <w:ind w:firstLine="472" w:firstLineChars="224"/>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现文：</w:t>
      </w:r>
      <w:r>
        <w:rPr>
          <w:rFonts w:hint="eastAsia" w:ascii="宋体" w:hAnsi="宋体" w:cs="宋体"/>
          <w:b w:val="0"/>
          <w:bCs/>
          <w:color w:val="auto"/>
          <w:sz w:val="21"/>
          <w:szCs w:val="21"/>
          <w:highlight w:val="none"/>
          <w:lang w:val="en-US" w:eastAsia="zh-CN"/>
        </w:rPr>
        <w:t>11.3.1</w:t>
      </w:r>
      <w:r>
        <w:rPr>
          <w:rFonts w:hint="eastAsia" w:ascii="宋体" w:hAnsi="宋体" w:cs="宋体"/>
          <w:bCs/>
          <w:color w:val="auto"/>
          <w:szCs w:val="21"/>
          <w:highlight w:val="none"/>
          <w:u w:val="single"/>
        </w:rPr>
        <w:t>广州建设工程施工招标投标书（经济标）（格式见招标文件第四章，</w:t>
      </w:r>
      <w:r>
        <w:rPr>
          <w:rFonts w:ascii="宋体" w:hAnsi="宋体" w:cs="宋体"/>
          <w:bCs/>
          <w:color w:val="auto"/>
          <w:szCs w:val="21"/>
          <w:highlight w:val="none"/>
          <w:u w:val="single"/>
        </w:rPr>
        <w:t>具体格式以《广州建设工程施工招标投标书（</w:t>
      </w:r>
      <w:r>
        <w:rPr>
          <w:rFonts w:hint="eastAsia" w:ascii="宋体" w:hAnsi="宋体" w:cs="宋体"/>
          <w:bCs/>
          <w:color w:val="auto"/>
          <w:szCs w:val="21"/>
          <w:highlight w:val="none"/>
          <w:u w:val="single"/>
          <w:lang w:val="en-US" w:eastAsia="zh-CN"/>
        </w:rPr>
        <w:t>经济</w:t>
      </w:r>
      <w:r>
        <w:rPr>
          <w:rFonts w:ascii="宋体" w:hAnsi="宋体" w:cs="宋体"/>
          <w:bCs/>
          <w:color w:val="auto"/>
          <w:szCs w:val="21"/>
          <w:highlight w:val="none"/>
          <w:u w:val="single"/>
        </w:rPr>
        <w:t>标）》为准；电子投标管理软件编制的“广州建设工程施工招标投标书”不作为否决投标的条件</w:t>
      </w:r>
      <w:r>
        <w:rPr>
          <w:rFonts w:hint="eastAsia" w:ascii="宋体" w:hAnsi="宋体" w:cs="宋体"/>
          <w:bCs/>
          <w:color w:val="auto"/>
          <w:szCs w:val="21"/>
          <w:highlight w:val="none"/>
          <w:u w:val="single"/>
        </w:rPr>
        <w:t>)</w:t>
      </w:r>
      <w:r>
        <w:rPr>
          <w:rFonts w:hint="eastAsia" w:ascii="宋体" w:hAnsi="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 xml:space="preserve">                           </w:t>
      </w:r>
      <w:r>
        <w:rPr>
          <w:rFonts w:hint="eastAsia" w:ascii="宋体" w:hAnsi="宋体" w:eastAsia="宋体" w:cs="宋体"/>
          <w:b/>
          <w:color w:val="auto"/>
          <w:sz w:val="21"/>
          <w:szCs w:val="21"/>
          <w:highlight w:val="none"/>
        </w:rPr>
        <w:t xml:space="preserve">                                                   </w:t>
      </w:r>
    </w:p>
    <w:p>
      <w:pPr>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条款号：11.3.2                      修改类型：修改</w:t>
      </w:r>
    </w:p>
    <w:p>
      <w:pPr>
        <w:spacing w:line="360" w:lineRule="auto"/>
        <w:ind w:firstLine="422" w:firstLineChars="200"/>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原文：</w:t>
      </w:r>
      <w:r>
        <w:rPr>
          <w:rFonts w:hint="eastAsia" w:ascii="宋体" w:hAnsi="宋体" w:eastAsia="宋体" w:cs="宋体"/>
          <w:color w:val="auto"/>
          <w:sz w:val="21"/>
          <w:szCs w:val="21"/>
          <w:highlight w:val="none"/>
        </w:rPr>
        <w:t xml:space="preserve">11.3.2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其中包括如下： </w:t>
      </w:r>
    </w:p>
    <w:p>
      <w:pPr>
        <w:spacing w:line="360" w:lineRule="auto"/>
        <w:ind w:firstLine="495" w:firstLineChars="23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（1）投标总价封面、扉页；</w:t>
      </w:r>
    </w:p>
    <w:p>
      <w:pPr>
        <w:spacing w:line="360" w:lineRule="auto"/>
        <w:ind w:firstLine="495" w:firstLineChars="23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（2）总说明；</w:t>
      </w:r>
    </w:p>
    <w:p>
      <w:pPr>
        <w:spacing w:line="360" w:lineRule="auto"/>
        <w:ind w:firstLine="495" w:firstLineChars="23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（3）工程项目投标报价汇总表；</w:t>
      </w:r>
    </w:p>
    <w:p>
      <w:pPr>
        <w:spacing w:line="360" w:lineRule="auto"/>
        <w:ind w:firstLine="495" w:firstLineChars="23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（4）单项工程投标报价汇总表；</w:t>
      </w:r>
    </w:p>
    <w:p>
      <w:pPr>
        <w:spacing w:line="360" w:lineRule="auto"/>
        <w:ind w:firstLine="495" w:firstLineChars="23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（5）单位工程投标报价汇总表；</w:t>
      </w:r>
    </w:p>
    <w:p>
      <w:pPr>
        <w:spacing w:line="360" w:lineRule="auto"/>
        <w:ind w:firstLine="495" w:firstLineChars="23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（6）分部分项工程清单与计价表；</w:t>
      </w:r>
    </w:p>
    <w:p>
      <w:pPr>
        <w:spacing w:line="360" w:lineRule="auto"/>
        <w:ind w:firstLine="495" w:firstLineChars="23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（7）单价措施项目清单与计价表；</w:t>
      </w:r>
    </w:p>
    <w:p>
      <w:pPr>
        <w:spacing w:line="360" w:lineRule="auto"/>
        <w:ind w:firstLine="495" w:firstLineChars="23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（8）总价措施项目清单与计价表；</w:t>
      </w:r>
    </w:p>
    <w:p>
      <w:pPr>
        <w:spacing w:line="360" w:lineRule="auto"/>
        <w:ind w:firstLine="495" w:firstLineChars="23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（9）综合单价分析表；</w:t>
      </w:r>
    </w:p>
    <w:p>
      <w:pPr>
        <w:spacing w:line="360" w:lineRule="auto"/>
        <w:ind w:firstLine="495" w:firstLineChars="23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（10）其他项目清单与计价汇总表；</w:t>
      </w:r>
    </w:p>
    <w:p>
      <w:pPr>
        <w:spacing w:line="360" w:lineRule="auto"/>
        <w:ind w:firstLine="495" w:firstLineChars="23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（11）暂列金额明细表；</w:t>
      </w:r>
    </w:p>
    <w:p>
      <w:pPr>
        <w:spacing w:line="360" w:lineRule="auto"/>
        <w:ind w:firstLine="495" w:firstLineChars="23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（12）材料（工程设备）暂估价明细表；</w:t>
      </w:r>
    </w:p>
    <w:p>
      <w:pPr>
        <w:spacing w:line="360" w:lineRule="auto"/>
        <w:ind w:firstLine="495" w:firstLineChars="23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（13）专业工程暂估价明细表；</w:t>
      </w:r>
    </w:p>
    <w:p>
      <w:pPr>
        <w:spacing w:line="360" w:lineRule="auto"/>
        <w:ind w:firstLine="495" w:firstLineChars="23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（14）计日工表；</w:t>
      </w:r>
    </w:p>
    <w:p>
      <w:pPr>
        <w:spacing w:line="360" w:lineRule="auto"/>
        <w:ind w:firstLine="495" w:firstLineChars="23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（15）总承包服务计价表；</w:t>
      </w:r>
    </w:p>
    <w:p>
      <w:pPr>
        <w:spacing w:line="360" w:lineRule="auto"/>
        <w:ind w:firstLine="495" w:firstLineChars="23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（16）规费和税金项目计价表；</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（17）人工、主要材料和设备一览表</w:t>
      </w:r>
    </w:p>
    <w:p>
      <w:pPr>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现文：</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11.3.2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其中包括如下： </w:t>
      </w:r>
    </w:p>
    <w:p>
      <w:pPr>
        <w:numPr>
          <w:ilvl w:val="0"/>
          <w:numId w:val="1"/>
        </w:numPr>
        <w:pBdr>
          <w:bottom w:val="single" w:color="auto" w:sz="6" w:space="1"/>
        </w:pBdr>
        <w:spacing w:line="360" w:lineRule="auto"/>
        <w:ind w:firstLine="308" w:firstLineChars="14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投标总价封面、扉页</w:t>
      </w:r>
    </w:p>
    <w:p>
      <w:pPr>
        <w:numPr>
          <w:ilvl w:val="0"/>
          <w:numId w:val="1"/>
        </w:numPr>
        <w:pBdr>
          <w:bottom w:val="single" w:color="auto" w:sz="6" w:space="1"/>
        </w:pBdr>
        <w:spacing w:line="360" w:lineRule="auto"/>
        <w:ind w:firstLine="308" w:firstLineChars="14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总说明；</w:t>
      </w:r>
    </w:p>
    <w:p>
      <w:pPr>
        <w:pBdr>
          <w:bottom w:val="single" w:color="auto" w:sz="6" w:space="1"/>
        </w:pBd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（3）</w:t>
      </w:r>
      <w:r>
        <w:rPr>
          <w:rFonts w:hint="eastAsia" w:ascii="宋体" w:hAnsi="宋体" w:eastAsia="宋体" w:cs="宋体"/>
          <w:color w:val="auto"/>
          <w:sz w:val="21"/>
          <w:szCs w:val="21"/>
          <w:highlight w:val="none"/>
          <w:u w:val="single"/>
        </w:rPr>
        <w:t>工程量清单报价表及综合单价分析表的相关内容及格式要求（相关表格的内容及格式要求以招标人发出的最新版电子招标文件中的相应内容及格式为准）；</w:t>
      </w:r>
    </w:p>
    <w:p>
      <w:pPr>
        <w:pBdr>
          <w:bottom w:val="single" w:color="auto" w:sz="6" w:space="1"/>
        </w:pBdr>
        <w:adjustRightInd w:val="0"/>
        <w:spacing w:line="360" w:lineRule="auto"/>
        <w:ind w:firstLine="210" w:firstLineChars="1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u w:val="single"/>
        </w:rPr>
        <w:t>其它辅助说明资料（包括但不限于招标文件要求填写的《对投标文件编制的承诺》，格式见招标文件第四章）</w:t>
      </w:r>
      <w:r>
        <w:rPr>
          <w:rFonts w:hint="eastAsia" w:ascii="宋体" w:hAnsi="宋体" w:eastAsia="宋体" w:cs="宋体"/>
          <w:color w:val="auto"/>
          <w:sz w:val="21"/>
          <w:szCs w:val="21"/>
          <w:highlight w:val="none"/>
        </w:rPr>
        <w:t>。</w:t>
      </w:r>
    </w:p>
    <w:p>
      <w:pPr>
        <w:adjustRightInd w:val="0"/>
        <w:spacing w:line="360" w:lineRule="auto"/>
        <w:ind w:firstLine="413" w:firstLineChars="196"/>
        <w:textAlignment w:val="baseline"/>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条款号：11.3.3                      修改类型：修改</w:t>
      </w:r>
    </w:p>
    <w:p>
      <w:pPr>
        <w:adjustRightInd w:val="0"/>
        <w:spacing w:line="360" w:lineRule="auto"/>
        <w:ind w:firstLine="413" w:firstLineChars="196"/>
        <w:textAlignment w:val="baseline"/>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原文：</w:t>
      </w:r>
      <w:r>
        <w:rPr>
          <w:rFonts w:hint="eastAsia" w:ascii="宋体" w:hAnsi="宋体" w:eastAsia="宋体" w:cs="宋体"/>
          <w:color w:val="auto"/>
          <w:sz w:val="21"/>
          <w:szCs w:val="21"/>
          <w:highlight w:val="none"/>
        </w:rPr>
        <w:t>11.3.3按照招标文件要求填写的《参与编制经济标投标文件人员名单》。</w:t>
      </w:r>
    </w:p>
    <w:p>
      <w:pPr>
        <w:pBdr>
          <w:bottom w:val="single" w:color="auto" w:sz="6" w:space="1"/>
        </w:pBdr>
        <w:adjustRightInd w:val="0"/>
        <w:spacing w:line="360" w:lineRule="auto"/>
        <w:ind w:firstLine="413" w:firstLineChars="196"/>
        <w:textAlignment w:val="baseline"/>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现文：</w:t>
      </w:r>
      <w:r>
        <w:rPr>
          <w:rFonts w:hint="eastAsia" w:ascii="宋体" w:hAnsi="宋体" w:eastAsia="宋体" w:cs="宋体"/>
          <w:color w:val="auto"/>
          <w:sz w:val="21"/>
          <w:szCs w:val="21"/>
          <w:highlight w:val="none"/>
        </w:rPr>
        <w:t>11.3.3按照招标文件要求填写的《参与编制经济标投标文件人员名单》</w:t>
      </w:r>
      <w:r>
        <w:rPr>
          <w:rFonts w:hint="eastAsia" w:ascii="宋体" w:hAnsi="宋体" w:eastAsia="宋体" w:cs="宋体"/>
          <w:color w:val="auto"/>
          <w:sz w:val="21"/>
          <w:szCs w:val="21"/>
          <w:highlight w:val="none"/>
          <w:u w:val="single"/>
        </w:rPr>
        <w:t>（格式见招标文件第四章）</w:t>
      </w:r>
      <w:r>
        <w:rPr>
          <w:rFonts w:hint="eastAsia" w:ascii="宋体" w:hAnsi="宋体" w:eastAsia="宋体" w:cs="宋体"/>
          <w:color w:val="auto"/>
          <w:sz w:val="21"/>
          <w:szCs w:val="21"/>
          <w:highlight w:val="none"/>
        </w:rPr>
        <w:t>。</w:t>
      </w:r>
    </w:p>
    <w:p>
      <w:pPr>
        <w:adjustRightInd w:val="0"/>
        <w:spacing w:line="360" w:lineRule="auto"/>
        <w:ind w:firstLine="413" w:firstLineChars="196"/>
        <w:textAlignment w:val="baseline"/>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条款号：11.3.5                      修改类型：增加</w:t>
      </w:r>
    </w:p>
    <w:p>
      <w:pPr>
        <w:pBdr>
          <w:bottom w:val="single" w:color="auto" w:sz="6" w:space="1"/>
        </w:pBdr>
        <w:adjustRightInd w:val="0"/>
        <w:spacing w:line="360" w:lineRule="auto"/>
        <w:ind w:firstLine="413" w:firstLineChars="196"/>
        <w:textAlignment w:val="baseline"/>
        <w:rPr>
          <w:rFonts w:hint="eastAsia" w:ascii="宋体" w:hAnsi="宋体" w:eastAsia="宋体" w:cs="宋体"/>
          <w:bCs/>
          <w:color w:val="auto"/>
          <w:sz w:val="21"/>
          <w:szCs w:val="21"/>
          <w:highlight w:val="none"/>
          <w:u w:val="single"/>
        </w:rPr>
      </w:pPr>
      <w:r>
        <w:rPr>
          <w:rFonts w:hint="eastAsia" w:ascii="宋体" w:hAnsi="宋体" w:eastAsia="宋体" w:cs="宋体"/>
          <w:b/>
          <w:color w:val="auto"/>
          <w:sz w:val="21"/>
          <w:szCs w:val="21"/>
          <w:highlight w:val="none"/>
        </w:rPr>
        <w:t>现文：</w:t>
      </w:r>
      <w:r>
        <w:rPr>
          <w:rFonts w:hint="eastAsia" w:ascii="宋体" w:hAnsi="宋体" w:eastAsia="宋体" w:cs="宋体"/>
          <w:color w:val="auto"/>
          <w:sz w:val="21"/>
          <w:szCs w:val="21"/>
          <w:highlight w:val="none"/>
          <w:u w:val="single"/>
        </w:rPr>
        <w:t>11.3.5</w:t>
      </w:r>
      <w:r>
        <w:rPr>
          <w:rFonts w:hint="eastAsia" w:ascii="宋体" w:hAnsi="宋体" w:cs="宋体"/>
          <w:color w:val="auto"/>
          <w:szCs w:val="21"/>
          <w:highlight w:val="none"/>
          <w:u w:val="single"/>
        </w:rPr>
        <w:t>投标人认为应提供的其他经济标资料（如有）</w:t>
      </w:r>
      <w:r>
        <w:rPr>
          <w:rFonts w:hint="eastAsia" w:ascii="宋体" w:hAnsi="宋体" w:eastAsia="宋体" w:cs="宋体"/>
          <w:color w:val="auto"/>
          <w:sz w:val="21"/>
          <w:szCs w:val="21"/>
          <w:highlight w:val="none"/>
          <w:u w:val="single"/>
        </w:rPr>
        <w:t>。</w:t>
      </w:r>
    </w:p>
    <w:p>
      <w:pPr>
        <w:adjustRightInd w:val="0"/>
        <w:spacing w:line="360" w:lineRule="auto"/>
        <w:ind w:firstLine="472" w:firstLineChars="224"/>
        <w:textAlignment w:val="baseline"/>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条款号：12.2                       修改类型：修改</w:t>
      </w:r>
    </w:p>
    <w:p>
      <w:pPr>
        <w:adjustRightInd w:val="0"/>
        <w:spacing w:line="360" w:lineRule="auto"/>
        <w:ind w:firstLine="472" w:firstLineChars="224"/>
        <w:textAlignment w:val="baseline"/>
        <w:rPr>
          <w:rFonts w:hint="eastAsia" w:ascii="宋体" w:hAnsi="宋体" w:eastAsia="宋体" w:cs="宋体"/>
          <w:bCs/>
          <w:color w:val="auto"/>
          <w:kern w:val="0"/>
          <w:sz w:val="21"/>
          <w:szCs w:val="21"/>
          <w:highlight w:val="none"/>
        </w:rPr>
      </w:pPr>
      <w:r>
        <w:rPr>
          <w:rFonts w:hint="eastAsia" w:ascii="宋体" w:hAnsi="宋体" w:eastAsia="宋体" w:cs="宋体"/>
          <w:b/>
          <w:color w:val="auto"/>
          <w:sz w:val="21"/>
          <w:szCs w:val="21"/>
          <w:highlight w:val="none"/>
        </w:rPr>
        <w:t>原文：</w:t>
      </w:r>
      <w:r>
        <w:rPr>
          <w:rFonts w:hint="eastAsia" w:ascii="宋体" w:hAnsi="宋体" w:eastAsia="宋体" w:cs="宋体"/>
          <w:color w:val="auto"/>
          <w:sz w:val="21"/>
          <w:szCs w:val="21"/>
          <w:highlight w:val="none"/>
        </w:rPr>
        <w:t>12.2</w:t>
      </w:r>
      <w:r>
        <w:rPr>
          <w:rFonts w:hint="eastAsia" w:ascii="宋体" w:hAnsi="宋体" w:eastAsia="宋体" w:cs="宋体"/>
          <w:bCs/>
          <w:color w:val="auto"/>
          <w:kern w:val="0"/>
          <w:sz w:val="21"/>
          <w:szCs w:val="21"/>
          <w:highlight w:val="none"/>
        </w:rPr>
        <w:t>投标文件全部采用电子文档，投标文件所附证书证件均为原件扫描件，并采用单位数字证书，按招标文件要求在相应位置加盖电子印章。投标文件中需个人签字或盖章的，</w:t>
      </w:r>
      <w:r>
        <w:rPr>
          <w:rFonts w:hint="eastAsia" w:ascii="宋体" w:hAnsi="宋体" w:eastAsia="宋体" w:cs="宋体"/>
          <w:b w:val="0"/>
          <w:bCs/>
          <w:color w:val="auto"/>
          <w:kern w:val="0"/>
          <w:sz w:val="21"/>
          <w:szCs w:val="21"/>
          <w:highlight w:val="none"/>
        </w:rPr>
        <w:t>应加盖个人电子印章或在线下完成后扫描上传。</w:t>
      </w:r>
      <w:r>
        <w:rPr>
          <w:rFonts w:hint="eastAsia" w:ascii="宋体" w:hAnsi="宋体" w:eastAsia="宋体" w:cs="宋体"/>
          <w:bCs/>
          <w:color w:val="auto"/>
          <w:kern w:val="0"/>
          <w:sz w:val="21"/>
          <w:szCs w:val="21"/>
          <w:highlight w:val="none"/>
        </w:rPr>
        <w:t>按照交易平台关于全流程电子化项目的相关指南进行操作。详见：</w:t>
      </w:r>
      <w:r>
        <w:rPr>
          <w:rFonts w:hint="eastAsia" w:ascii="宋体" w:hAnsi="宋体" w:eastAsia="宋体" w:cs="宋体"/>
          <w:bCs/>
          <w:color w:val="auto"/>
          <w:kern w:val="0"/>
          <w:sz w:val="21"/>
          <w:szCs w:val="21"/>
          <w:highlight w:val="none"/>
          <w:u w:val="single"/>
        </w:rPr>
        <w:t xml:space="preserve">             </w:t>
      </w:r>
      <w:r>
        <w:rPr>
          <w:rFonts w:hint="eastAsia" w:ascii="宋体" w:hAnsi="宋体" w:eastAsia="宋体" w:cs="宋体"/>
          <w:bCs/>
          <w:color w:val="auto"/>
          <w:kern w:val="0"/>
          <w:sz w:val="21"/>
          <w:szCs w:val="21"/>
          <w:highlight w:val="none"/>
        </w:rPr>
        <w:t>。</w:t>
      </w:r>
    </w:p>
    <w:p>
      <w:pPr>
        <w:pBdr>
          <w:bottom w:val="single" w:color="auto" w:sz="6" w:space="1"/>
        </w:pBdr>
        <w:adjustRightInd w:val="0"/>
        <w:spacing w:line="360" w:lineRule="auto"/>
        <w:ind w:firstLine="527" w:firstLineChars="250"/>
        <w:textAlignment w:val="baseline"/>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现文：</w:t>
      </w:r>
      <w:r>
        <w:rPr>
          <w:rFonts w:hint="eastAsia" w:ascii="宋体" w:hAnsi="宋体" w:cs="宋体"/>
          <w:color w:val="auto"/>
          <w:szCs w:val="21"/>
          <w:highlight w:val="none"/>
        </w:rPr>
        <w:t>12.2</w:t>
      </w:r>
      <w:r>
        <w:rPr>
          <w:rFonts w:hint="eastAsia" w:ascii="宋体" w:hAnsi="宋体" w:cs="宋体"/>
          <w:color w:val="auto"/>
          <w:szCs w:val="21"/>
          <w:highlight w:val="none"/>
          <w:u w:val="single"/>
        </w:rPr>
        <w:t>投标人应仔细阅读招标文件第四章投标文件格式的相关规定和要求。</w:t>
      </w:r>
      <w:r>
        <w:rPr>
          <w:rFonts w:hint="eastAsia" w:ascii="宋体" w:hAnsi="宋体" w:cs="宋体"/>
          <w:color w:val="auto"/>
          <w:szCs w:val="21"/>
          <w:highlight w:val="none"/>
        </w:rPr>
        <w:t>投标文件全部采用电子文档，投标文件所附证书证件均为扫描件，并采用单位数字证书，按招标文件要求在相应位置加盖电子印章。投标文件中需个人签字或盖章的，应加盖个人电子印章或在线下完成后</w:t>
      </w:r>
      <w:r>
        <w:rPr>
          <w:rFonts w:hint="eastAsia" w:ascii="宋体" w:hAnsi="宋体" w:cs="宋体"/>
          <w:color w:val="auto"/>
          <w:szCs w:val="21"/>
          <w:highlight w:val="none"/>
          <w:lang w:val="en-US" w:eastAsia="zh-CN"/>
        </w:rPr>
        <w:t>原件</w:t>
      </w:r>
      <w:r>
        <w:rPr>
          <w:rFonts w:hint="eastAsia" w:ascii="宋体" w:hAnsi="宋体" w:cs="宋体"/>
          <w:color w:val="auto"/>
          <w:szCs w:val="21"/>
          <w:highlight w:val="none"/>
        </w:rPr>
        <w:t>扫描上传。按照</w:t>
      </w:r>
      <w:r>
        <w:rPr>
          <w:rFonts w:hint="eastAsia" w:ascii="宋体" w:hAnsi="宋体" w:cs="宋体"/>
          <w:bCs/>
          <w:color w:val="auto"/>
          <w:szCs w:val="21"/>
          <w:highlight w:val="none"/>
          <w:u w:val="single"/>
        </w:rPr>
        <w:t>广州交易集团有限公司（广州公共资源交易中心）</w:t>
      </w:r>
      <w:r>
        <w:rPr>
          <w:rFonts w:hint="eastAsia" w:ascii="宋体" w:hAnsi="宋体" w:cs="宋体"/>
          <w:color w:val="auto"/>
          <w:szCs w:val="21"/>
          <w:highlight w:val="none"/>
        </w:rPr>
        <w:t>交易平台关于全流程电子化项目的相关指南进行操作。详见：</w:t>
      </w:r>
      <w:r>
        <w:rPr>
          <w:rFonts w:hint="eastAsia" w:ascii="宋体" w:hAnsi="宋体" w:cs="宋体"/>
          <w:color w:val="auto"/>
          <w:szCs w:val="21"/>
          <w:highlight w:val="none"/>
          <w:u w:val="single"/>
        </w:rPr>
        <w:t>广州交易集团有限公司（广州公共资源交易中心）网站最新指引</w:t>
      </w:r>
      <w:r>
        <w:rPr>
          <w:rFonts w:hint="eastAsia" w:ascii="宋体" w:hAnsi="宋体" w:eastAsia="宋体" w:cs="宋体"/>
          <w:b w:val="0"/>
          <w:bCs w:val="0"/>
          <w:color w:val="auto"/>
          <w:sz w:val="21"/>
          <w:szCs w:val="21"/>
          <w:highlight w:val="none"/>
          <w:u w:val="none"/>
        </w:rPr>
        <w:t>。</w:t>
      </w:r>
    </w:p>
    <w:p>
      <w:pPr>
        <w:adjustRightInd w:val="0"/>
        <w:spacing w:line="360" w:lineRule="auto"/>
        <w:ind w:firstLine="472" w:firstLineChars="224"/>
        <w:textAlignment w:val="baseline"/>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条款号：12.3                       修改类型：修改</w:t>
      </w:r>
    </w:p>
    <w:p>
      <w:pPr>
        <w:adjustRightInd w:val="0"/>
        <w:spacing w:line="360" w:lineRule="auto"/>
        <w:ind w:firstLine="472" w:firstLineChars="224"/>
        <w:textAlignment w:val="baseline"/>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原文：</w:t>
      </w:r>
      <w:r>
        <w:rPr>
          <w:rFonts w:hint="eastAsia" w:ascii="宋体" w:hAnsi="宋体" w:eastAsia="宋体" w:cs="宋体"/>
          <w:color w:val="auto"/>
          <w:sz w:val="21"/>
          <w:szCs w:val="21"/>
          <w:highlight w:val="none"/>
        </w:rPr>
        <w:t xml:space="preserve">12.3 </w:t>
      </w:r>
      <w:r>
        <w:rPr>
          <w:rFonts w:hint="eastAsia" w:ascii="宋体" w:hAnsi="宋体" w:eastAsia="宋体" w:cs="宋体"/>
          <w:bCs/>
          <w:color w:val="auto"/>
          <w:sz w:val="21"/>
          <w:szCs w:val="21"/>
          <w:highlight w:val="none"/>
        </w:rPr>
        <w:t>投标文件应按</w:t>
      </w:r>
      <w:r>
        <w:rPr>
          <w:rFonts w:hint="eastAsia" w:ascii="宋体" w:hAnsi="宋体" w:eastAsia="宋体" w:cs="宋体"/>
          <w:color w:val="auto"/>
          <w:sz w:val="21"/>
          <w:szCs w:val="21"/>
          <w:highlight w:val="none"/>
        </w:rPr>
        <w:t>照交易平台关于全流程电子化项目的相关指南进行编制，详见：</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keepNext w:val="0"/>
        <w:keepLines w:val="0"/>
        <w:pageBreakBefore w:val="0"/>
        <w:widowControl w:val="0"/>
        <w:pBdr>
          <w:bottom w:val="single" w:color="auto" w:sz="6" w:space="1"/>
        </w:pBdr>
        <w:kinsoku/>
        <w:overflowPunct/>
        <w:topLinePunct w:val="0"/>
        <w:autoSpaceDE/>
        <w:autoSpaceDN/>
        <w:bidi w:val="0"/>
        <w:adjustRightInd w:val="0"/>
        <w:snapToGrid w:val="0"/>
        <w:spacing w:beforeAutospacing="0" w:afterAutospacing="0" w:line="360" w:lineRule="auto"/>
        <w:ind w:firstLine="420" w:firstLineChars="200"/>
        <w:textAlignment w:val="baseline"/>
        <w:rPr>
          <w:rFonts w:hint="eastAsia" w:ascii="宋体" w:hAnsi="宋体" w:eastAsia="宋体" w:cs="宋体"/>
          <w:b/>
          <w:color w:val="auto"/>
          <w:sz w:val="21"/>
          <w:szCs w:val="21"/>
          <w:highlight w:val="none"/>
        </w:rPr>
      </w:pPr>
      <w:r>
        <w:rPr>
          <w:rFonts w:hint="eastAsia" w:ascii="宋体" w:hAnsi="宋体" w:eastAsia="宋体" w:cs="宋体"/>
          <w:bCs/>
          <w:color w:val="auto"/>
          <w:szCs w:val="21"/>
          <w:highlight w:val="none"/>
        </w:rPr>
        <w:t>如不按上述要求编制引起系统无法检索、读取相关信息的，其后果由投标人承担</w:t>
      </w:r>
      <w:r>
        <w:rPr>
          <w:rFonts w:hint="eastAsia" w:ascii="宋体" w:hAnsi="宋体" w:eastAsia="宋体" w:cs="宋体"/>
          <w:color w:val="auto"/>
          <w:sz w:val="21"/>
          <w:szCs w:val="21"/>
          <w:highlight w:val="none"/>
        </w:rPr>
        <w:t>。</w:t>
      </w:r>
    </w:p>
    <w:p>
      <w:pPr>
        <w:pBdr>
          <w:bottom w:val="single" w:color="auto" w:sz="6" w:space="1"/>
        </w:pBdr>
        <w:spacing w:line="360" w:lineRule="auto"/>
        <w:ind w:firstLine="422" w:firstLineChars="200"/>
        <w:textAlignment w:val="baseline"/>
        <w:rPr>
          <w:rFonts w:hint="eastAsia" w:ascii="宋体" w:hAnsi="宋体" w:cs="宋体"/>
          <w:color w:val="auto"/>
          <w:szCs w:val="21"/>
          <w:highlight w:val="none"/>
        </w:rPr>
      </w:pPr>
      <w:r>
        <w:rPr>
          <w:rFonts w:hint="eastAsia" w:ascii="宋体" w:hAnsi="宋体" w:eastAsia="宋体" w:cs="宋体"/>
          <w:b/>
          <w:color w:val="auto"/>
          <w:sz w:val="21"/>
          <w:szCs w:val="21"/>
          <w:highlight w:val="none"/>
        </w:rPr>
        <w:t>现文：</w:t>
      </w:r>
      <w:r>
        <w:rPr>
          <w:rFonts w:hint="eastAsia" w:ascii="宋体" w:hAnsi="宋体" w:cs="宋体"/>
          <w:color w:val="auto"/>
          <w:szCs w:val="21"/>
          <w:highlight w:val="none"/>
        </w:rPr>
        <w:t>12.3</w:t>
      </w:r>
      <w:r>
        <w:rPr>
          <w:rFonts w:hint="eastAsia" w:ascii="宋体" w:hAnsi="宋体" w:cs="宋体"/>
          <w:bCs/>
          <w:color w:val="auto"/>
          <w:szCs w:val="21"/>
          <w:highlight w:val="none"/>
        </w:rPr>
        <w:t>投标文件应按</w:t>
      </w:r>
      <w:r>
        <w:rPr>
          <w:rFonts w:hint="eastAsia" w:ascii="宋体" w:hAnsi="宋体" w:cs="宋体"/>
          <w:color w:val="auto"/>
          <w:szCs w:val="21"/>
          <w:highlight w:val="none"/>
        </w:rPr>
        <w:t>照</w:t>
      </w:r>
      <w:r>
        <w:rPr>
          <w:rFonts w:hint="eastAsia" w:ascii="宋体" w:hAnsi="宋体" w:cs="宋体"/>
          <w:bCs/>
          <w:color w:val="auto"/>
          <w:szCs w:val="21"/>
          <w:highlight w:val="none"/>
          <w:u w:val="single"/>
        </w:rPr>
        <w:t>广州交易集团有限公司（广州公共资源交易中心）</w:t>
      </w:r>
      <w:r>
        <w:rPr>
          <w:rFonts w:hint="eastAsia" w:ascii="宋体" w:hAnsi="宋体" w:cs="宋体"/>
          <w:color w:val="auto"/>
          <w:szCs w:val="21"/>
          <w:highlight w:val="none"/>
        </w:rPr>
        <w:t>交易平台关于全流程电子化项目的相关指南进行编制，详见：</w:t>
      </w:r>
      <w:r>
        <w:rPr>
          <w:rFonts w:hint="eastAsia" w:ascii="宋体" w:hAnsi="宋体" w:cs="宋体"/>
          <w:bCs/>
          <w:color w:val="auto"/>
          <w:szCs w:val="21"/>
          <w:highlight w:val="none"/>
          <w:u w:val="single"/>
        </w:rPr>
        <w:t>广州交易集团有限公司（广州公共资源交易中心）网站最新指引</w:t>
      </w:r>
      <w:r>
        <w:rPr>
          <w:rFonts w:hint="eastAsia" w:ascii="宋体" w:hAnsi="宋体" w:cs="宋体"/>
          <w:color w:val="auto"/>
          <w:szCs w:val="21"/>
          <w:highlight w:val="none"/>
        </w:rPr>
        <w:t>。</w:t>
      </w:r>
    </w:p>
    <w:p>
      <w:pPr>
        <w:pBdr>
          <w:bottom w:val="single" w:color="auto" w:sz="6" w:space="1"/>
        </w:pBdr>
        <w:spacing w:line="360" w:lineRule="auto"/>
        <w:ind w:firstLine="420" w:firstLineChars="200"/>
        <w:textAlignment w:val="baseline"/>
        <w:rPr>
          <w:rFonts w:hint="eastAsia" w:ascii="宋体" w:hAnsi="宋体" w:eastAsia="宋体" w:cs="宋体"/>
          <w:b/>
          <w:color w:val="auto"/>
          <w:sz w:val="21"/>
          <w:szCs w:val="21"/>
          <w:highlight w:val="none"/>
        </w:rPr>
      </w:pPr>
      <w:r>
        <w:rPr>
          <w:rFonts w:hint="eastAsia" w:ascii="宋体" w:hAnsi="宋体" w:cs="宋体"/>
          <w:bCs/>
          <w:color w:val="auto"/>
          <w:szCs w:val="21"/>
          <w:highlight w:val="none"/>
        </w:rPr>
        <w:t>如不按上述要求编制引起系统无法检索、读取相关信息的，其后果由投标人承担</w:t>
      </w:r>
      <w:r>
        <w:rPr>
          <w:rFonts w:hint="eastAsia" w:ascii="宋体" w:hAnsi="宋体" w:eastAsia="宋体" w:cs="宋体"/>
          <w:color w:val="auto"/>
          <w:sz w:val="21"/>
          <w:szCs w:val="21"/>
          <w:highlight w:val="none"/>
        </w:rPr>
        <w:t>。</w:t>
      </w:r>
    </w:p>
    <w:p>
      <w:pPr>
        <w:spacing w:line="360" w:lineRule="auto"/>
        <w:ind w:firstLine="472" w:firstLineChars="224"/>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条款号：13.1                        修改类型：修改</w:t>
      </w:r>
    </w:p>
    <w:p>
      <w:pPr>
        <w:pBdr>
          <w:bottom w:val="single" w:color="auto" w:sz="6" w:space="1"/>
        </w:pBdr>
        <w:spacing w:line="360" w:lineRule="auto"/>
        <w:ind w:firstLine="472" w:firstLineChars="224"/>
        <w:rPr>
          <w:rFonts w:hint="eastAsia" w:ascii="宋体" w:hAnsi="宋体" w:eastAsia="宋体" w:cs="宋体"/>
          <w:color w:val="auto"/>
          <w:sz w:val="21"/>
          <w:szCs w:val="21"/>
          <w:highlight w:val="none"/>
          <w:u w:val="single"/>
        </w:rPr>
      </w:pPr>
      <w:r>
        <w:rPr>
          <w:rFonts w:hint="eastAsia" w:ascii="宋体" w:hAnsi="宋体" w:eastAsia="宋体" w:cs="宋体"/>
          <w:b/>
          <w:color w:val="auto"/>
          <w:sz w:val="21"/>
          <w:szCs w:val="21"/>
          <w:highlight w:val="none"/>
        </w:rPr>
        <w:t>原文：</w:t>
      </w:r>
      <w:r>
        <w:rPr>
          <w:rFonts w:hint="eastAsia" w:ascii="宋体" w:hAnsi="宋体" w:eastAsia="宋体" w:cs="宋体"/>
          <w:color w:val="auto"/>
          <w:sz w:val="21"/>
          <w:szCs w:val="21"/>
          <w:highlight w:val="none"/>
        </w:rPr>
        <w:t>13.1本工程的投标报价采用投标须知前附表第12项所规定的方式。投标报价（含单价及总价）精确到“分”。</w:t>
      </w:r>
    </w:p>
    <w:p>
      <w:pPr>
        <w:pBdr>
          <w:bottom w:val="single" w:color="auto" w:sz="6" w:space="1"/>
        </w:pBdr>
        <w:spacing w:line="360" w:lineRule="auto"/>
        <w:ind w:firstLine="472" w:firstLineChars="224"/>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现文：</w:t>
      </w:r>
      <w:r>
        <w:rPr>
          <w:rFonts w:hint="eastAsia" w:ascii="宋体" w:hAnsi="宋体" w:eastAsia="宋体" w:cs="宋体"/>
          <w:color w:val="auto"/>
          <w:sz w:val="21"/>
          <w:szCs w:val="21"/>
          <w:highlight w:val="none"/>
        </w:rPr>
        <w:t xml:space="preserve">13.1 </w:t>
      </w:r>
      <w:r>
        <w:rPr>
          <w:rFonts w:hint="eastAsia" w:ascii="宋体" w:hAnsi="宋体" w:cs="宋体"/>
          <w:color w:val="auto"/>
          <w:szCs w:val="21"/>
          <w:highlight w:val="none"/>
        </w:rPr>
        <w:t>本工程的投标报价采用投标须知前附表第12项所规定的方式。</w:t>
      </w:r>
      <w:r>
        <w:rPr>
          <w:rFonts w:hint="eastAsia" w:ascii="宋体" w:hAnsi="宋体" w:cs="宋体"/>
          <w:color w:val="auto"/>
          <w:szCs w:val="21"/>
          <w:highlight w:val="none"/>
          <w:u w:val="single"/>
        </w:rPr>
        <w:t>投标文件中的大写金额和小写金额不一致的，以大写金额为准。</w:t>
      </w:r>
      <w:r>
        <w:rPr>
          <w:rFonts w:hint="eastAsia" w:ascii="宋体" w:hAnsi="宋体" w:cs="宋体"/>
          <w:color w:val="auto"/>
          <w:szCs w:val="21"/>
          <w:highlight w:val="none"/>
        </w:rPr>
        <w:t>投标报价（含单价及总价）精确到“分”</w:t>
      </w:r>
      <w:r>
        <w:rPr>
          <w:rFonts w:hint="eastAsia" w:ascii="宋体" w:hAnsi="宋体" w:eastAsia="宋体" w:cs="宋体"/>
          <w:color w:val="auto"/>
          <w:sz w:val="21"/>
          <w:szCs w:val="21"/>
          <w:highlight w:val="none"/>
          <w:u w:val="none"/>
        </w:rPr>
        <w:t>。</w:t>
      </w:r>
    </w:p>
    <w:p>
      <w:pPr>
        <w:spacing w:line="360" w:lineRule="auto"/>
        <w:ind w:firstLine="472" w:firstLineChars="224"/>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条款号：13.3                        修改类型：修改</w:t>
      </w:r>
    </w:p>
    <w:p>
      <w:pPr>
        <w:spacing w:line="360" w:lineRule="auto"/>
        <w:ind w:firstLine="472" w:firstLineChars="224"/>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原文：</w:t>
      </w:r>
      <w:r>
        <w:rPr>
          <w:rFonts w:hint="eastAsia" w:ascii="宋体" w:hAnsi="宋体" w:eastAsia="宋体" w:cs="宋体"/>
          <w:color w:val="auto"/>
          <w:sz w:val="21"/>
          <w:szCs w:val="21"/>
          <w:highlight w:val="none"/>
        </w:rPr>
        <w:t>13.3投标人的投标报价，应是按照投标须知前附表第8项的工期要求，在投标须知前附表第3项的建设地点，完成投标须知前附表第7项的招标范围内已由招标人制定的工程量清单列明工作的全部费用，包括但不限于完成工作的成本、利润、税金、技术措施费、大型机械进出场费、风险费以及政策性文件规定费用等，不得以任何理由予以重复计算。招标人提供的工程量清单或招标文件其他部分中有关规费、暂列金额、暂估价、绿色施工安全防护措施费等非竞争性项目明列了单价或合价的金额的，投标人应按照明列的单价或合价的金额报价，未按照规定金额报价的，由评标委员会按照招标文件规定的金额进行修正。</w:t>
      </w:r>
    </w:p>
    <w:p>
      <w:pPr>
        <w:pBdr>
          <w:bottom w:val="single" w:color="auto" w:sz="6" w:space="1"/>
        </w:pBdr>
        <w:spacing w:line="360" w:lineRule="auto"/>
        <w:ind w:firstLine="527" w:firstLineChars="250"/>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现文：</w:t>
      </w:r>
      <w:r>
        <w:rPr>
          <w:rFonts w:hint="eastAsia" w:ascii="宋体" w:hAnsi="宋体" w:eastAsia="宋体" w:cs="宋体"/>
          <w:color w:val="auto"/>
          <w:szCs w:val="21"/>
          <w:highlight w:val="none"/>
        </w:rPr>
        <w:t>13.3</w:t>
      </w:r>
      <w:r>
        <w:rPr>
          <w:rFonts w:hint="eastAsia" w:ascii="宋体" w:hAnsi="宋体"/>
          <w:color w:val="auto"/>
          <w:szCs w:val="21"/>
          <w:highlight w:val="none"/>
        </w:rPr>
        <w:t>投标人的投标报价，应是按照投标须知前附表第</w:t>
      </w:r>
      <w:r>
        <w:rPr>
          <w:rFonts w:ascii="宋体" w:hAnsi="宋体"/>
          <w:color w:val="auto"/>
          <w:szCs w:val="21"/>
          <w:highlight w:val="none"/>
        </w:rPr>
        <w:t>8</w:t>
      </w:r>
      <w:r>
        <w:rPr>
          <w:rFonts w:hint="eastAsia" w:ascii="宋体" w:hAnsi="宋体"/>
          <w:color w:val="auto"/>
          <w:szCs w:val="21"/>
          <w:highlight w:val="none"/>
        </w:rPr>
        <w:t>项的工期要求，在投标须知前附表第</w:t>
      </w:r>
      <w:r>
        <w:rPr>
          <w:rFonts w:ascii="宋体" w:hAnsi="宋体"/>
          <w:color w:val="auto"/>
          <w:szCs w:val="21"/>
          <w:highlight w:val="none"/>
        </w:rPr>
        <w:t>3</w:t>
      </w:r>
      <w:r>
        <w:rPr>
          <w:rFonts w:hint="eastAsia" w:ascii="宋体" w:hAnsi="宋体"/>
          <w:color w:val="auto"/>
          <w:szCs w:val="21"/>
          <w:highlight w:val="none"/>
        </w:rPr>
        <w:t>项的建设地点，完成投标须知前附表第</w:t>
      </w:r>
      <w:r>
        <w:rPr>
          <w:rFonts w:ascii="宋体" w:hAnsi="宋体"/>
          <w:color w:val="auto"/>
          <w:szCs w:val="21"/>
          <w:highlight w:val="none"/>
        </w:rPr>
        <w:t>7</w:t>
      </w:r>
      <w:r>
        <w:rPr>
          <w:rFonts w:hint="eastAsia" w:ascii="宋体" w:hAnsi="宋体"/>
          <w:color w:val="auto"/>
          <w:szCs w:val="21"/>
          <w:highlight w:val="none"/>
        </w:rPr>
        <w:t>项的招标范围内已由招标人</w:t>
      </w:r>
      <w:r>
        <w:rPr>
          <w:rFonts w:hint="eastAsia" w:ascii="宋体" w:hAnsi="宋体"/>
          <w:color w:val="auto"/>
          <w:szCs w:val="21"/>
          <w:highlight w:val="none"/>
          <w:u w:val="single"/>
        </w:rPr>
        <w:t>提供的招标图纸（包括有关于本项目招标的相关资料）及</w:t>
      </w:r>
      <w:r>
        <w:rPr>
          <w:rFonts w:hint="eastAsia" w:ascii="宋体" w:hAnsi="宋体"/>
          <w:color w:val="auto"/>
          <w:szCs w:val="21"/>
          <w:highlight w:val="none"/>
        </w:rPr>
        <w:t>制定的工程量清单列明工作的全部费用，包括但不限于完成工作的成本、利润、税金、技术措施费、大型机械进出场费、风险费以及政策性文件规定费用等，不得以任何理由予以重复计算。招标人提供的工程量清单或招标文件其他部分中有关规费、暂列金额、暂估价、绿色施工安全防护措施费等非竞争性项目明列了单价或合价的金额的，投标人应按照明列的单价或合价的金额报价，未按照规定金额报价的，由评标委员会按照招标文件规定的金额进行修正</w:t>
      </w:r>
      <w:r>
        <w:rPr>
          <w:rFonts w:hint="eastAsia" w:ascii="宋体" w:hAnsi="宋体" w:eastAsia="宋体" w:cs="宋体"/>
          <w:color w:val="auto"/>
          <w:szCs w:val="21"/>
          <w:highlight w:val="none"/>
        </w:rPr>
        <w:t>。</w:t>
      </w:r>
    </w:p>
    <w:p>
      <w:pPr>
        <w:spacing w:line="360" w:lineRule="auto"/>
        <w:ind w:firstLine="413" w:firstLineChars="19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条款号：13.4                         修改类型：修改</w:t>
      </w:r>
    </w:p>
    <w:p>
      <w:pPr>
        <w:pStyle w:val="18"/>
        <w:spacing w:after="0" w:line="360" w:lineRule="auto"/>
        <w:ind w:firstLine="422" w:firstLineChars="200"/>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原文：</w:t>
      </w:r>
      <w:r>
        <w:rPr>
          <w:rFonts w:hint="eastAsia" w:ascii="宋体" w:hAnsi="宋体" w:eastAsia="宋体" w:cs="宋体"/>
          <w:color w:val="auto"/>
          <w:sz w:val="21"/>
          <w:szCs w:val="21"/>
          <w:highlight w:val="none"/>
        </w:rPr>
        <w:t>13.4投标人一旦中标，投标人对招标人提供的招标工程量清单中列出的工程项目所报出的综合单价，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关措施项目相应发生变化时，按系数或单一总价方式计价的措施项目费，工程量增加的措施项目费调增，工程量减少的措施项目费调减。</w:t>
      </w:r>
    </w:p>
    <w:p>
      <w:pPr>
        <w:pBdr>
          <w:bottom w:val="single" w:color="auto" w:sz="6" w:space="1"/>
        </w:pBdr>
        <w:spacing w:line="360" w:lineRule="auto"/>
        <w:ind w:firstLine="422" w:firstLineChars="200"/>
        <w:rPr>
          <w:rFonts w:hint="eastAsia" w:ascii="宋体" w:hAnsi="宋体" w:eastAsia="宋体" w:cs="宋体"/>
          <w:color w:val="auto"/>
          <w:sz w:val="21"/>
          <w:szCs w:val="21"/>
          <w:highlight w:val="none"/>
          <w:u w:val="single"/>
        </w:rPr>
      </w:pPr>
      <w:r>
        <w:rPr>
          <w:rFonts w:hint="eastAsia" w:ascii="宋体" w:hAnsi="宋体" w:eastAsia="宋体" w:cs="宋体"/>
          <w:b/>
          <w:color w:val="auto"/>
          <w:sz w:val="21"/>
          <w:szCs w:val="21"/>
          <w:highlight w:val="none"/>
        </w:rPr>
        <w:t>现文：</w:t>
      </w:r>
      <w:r>
        <w:rPr>
          <w:rFonts w:hint="eastAsia" w:ascii="宋体" w:hAnsi="宋体" w:cs="宋体"/>
          <w:color w:val="auto"/>
          <w:szCs w:val="21"/>
          <w:highlight w:val="none"/>
        </w:rPr>
        <w:t>13.4投标人一旦中标，投标人对招标人提供的招标工程量清单中列出的工程项目所报出的综合单价</w:t>
      </w:r>
      <w:r>
        <w:rPr>
          <w:rFonts w:hint="eastAsia" w:ascii="宋体" w:hAnsi="宋体" w:cs="宋体"/>
          <w:color w:val="auto"/>
          <w:szCs w:val="21"/>
          <w:highlight w:val="none"/>
          <w:u w:val="single"/>
        </w:rPr>
        <w:t>和措施项目费（措施项目费必须单列，没有单独列出的，视为已经包含在投标报价中），在工程结算时，按招标文件第三章合同条款相关约定调整</w:t>
      </w:r>
      <w:r>
        <w:rPr>
          <w:rFonts w:hint="eastAsia" w:ascii="宋体" w:hAnsi="宋体" w:eastAsia="宋体" w:cs="宋体"/>
          <w:color w:val="auto"/>
          <w:szCs w:val="21"/>
          <w:highlight w:val="none"/>
          <w:u w:val="single"/>
        </w:rPr>
        <w:t>。</w:t>
      </w:r>
    </w:p>
    <w:p>
      <w:pPr>
        <w:spacing w:line="360" w:lineRule="auto"/>
        <w:ind w:firstLine="413" w:firstLineChars="19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条款号：13.5                         修改类型：修改</w:t>
      </w:r>
    </w:p>
    <w:p>
      <w:pPr>
        <w:pStyle w:val="18"/>
        <w:spacing w:after="0" w:line="360" w:lineRule="auto"/>
        <w:ind w:firstLine="422" w:firstLineChars="200"/>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原文：</w:t>
      </w:r>
      <w:r>
        <w:rPr>
          <w:rFonts w:hint="eastAsia" w:ascii="宋体" w:hAnsi="宋体" w:eastAsia="宋体" w:cs="宋体"/>
          <w:color w:val="auto"/>
          <w:sz w:val="21"/>
          <w:szCs w:val="21"/>
          <w:highlight w:val="none"/>
        </w:rPr>
        <w:t>13.5工程项目实施期间和结算时，招标文件工程量清单中漏列而由监理单位和招标人现场签证确认的工程项目、原设计没有而由招标人批准设计变更产生的工程项目，视为新增项目，按以下顺序确定价格：</w:t>
      </w:r>
    </w:p>
    <w:p>
      <w:pPr>
        <w:pStyle w:val="18"/>
        <w:spacing w:after="0" w:line="360" w:lineRule="auto"/>
        <w:ind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13.5.1中标的投标文件工程量清单中已有相同项目的适用综合单价，则沿用；</w:t>
      </w:r>
    </w:p>
    <w:p>
      <w:pPr>
        <w:pStyle w:val="18"/>
        <w:spacing w:after="0" w:line="360" w:lineRule="auto"/>
        <w:ind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13.5.2中标的投标文件工程量清单中已有类似项目的综合单价，则按类似项目的综合单价对相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按广州市造价管理站同期《广州地区建设工程常用材料税前综合价格》计算，《广州地区建设工程常用材料税前综合价格》没有的材料单价，由招标人在招标文件中依法确定计价方式。</w:t>
      </w:r>
    </w:p>
    <w:p>
      <w:pPr>
        <w:pStyle w:val="18"/>
        <w:spacing w:after="0" w:line="360" w:lineRule="auto"/>
        <w:ind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13.5.3 中标的投标文件工程量清单中没有相同项目或类似项目的，如可套取相关定额，则以相关定额为基数下浮计算单价,下浮率为中标价相对于最高投标限价的下浮率（下浮率=(最高投标限价-中标价)/ 最高投标限价）。</w:t>
      </w:r>
    </w:p>
    <w:p>
      <w:pPr>
        <w:spacing w:line="360" w:lineRule="auto"/>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13.5.4 如相关定额没有相应子目的，其计价方式由招标人在本招标文件第三章中另行规定。未规定的，中标后双方协商约定。</w:t>
      </w:r>
    </w:p>
    <w:p>
      <w:pPr>
        <w:spacing w:line="360" w:lineRule="auto"/>
        <w:ind w:firstLine="413" w:firstLineChars="196"/>
        <w:rPr>
          <w:rFonts w:hint="eastAsia" w:ascii="宋体" w:hAnsi="宋体" w:eastAsia="宋体" w:cs="宋体"/>
          <w:b/>
          <w:color w:val="auto"/>
          <w:sz w:val="21"/>
          <w:szCs w:val="21"/>
          <w:highlight w:val="none"/>
          <w:u w:val="single"/>
        </w:rPr>
      </w:pPr>
      <w:r>
        <w:rPr>
          <w:rFonts w:hint="eastAsia" w:ascii="宋体" w:hAnsi="宋体" w:eastAsia="宋体" w:cs="宋体"/>
          <w:b/>
          <w:color w:val="auto"/>
          <w:sz w:val="21"/>
          <w:szCs w:val="21"/>
          <w:highlight w:val="none"/>
        </w:rPr>
        <w:t>现文：</w:t>
      </w:r>
      <w:r>
        <w:rPr>
          <w:rFonts w:hint="eastAsia" w:ascii="宋体" w:hAnsi="宋体" w:eastAsia="宋体" w:cs="宋体"/>
          <w:color w:val="auto"/>
          <w:szCs w:val="21"/>
          <w:highlight w:val="none"/>
        </w:rPr>
        <w:t>13.5</w:t>
      </w:r>
      <w:r>
        <w:rPr>
          <w:rFonts w:hint="eastAsia" w:ascii="宋体" w:hAnsi="宋体" w:eastAsia="宋体" w:cs="宋体"/>
          <w:color w:val="auto"/>
          <w:szCs w:val="21"/>
          <w:highlight w:val="none"/>
          <w:u w:val="single"/>
        </w:rPr>
        <w:t>工程项目实施期间和结算时，根据招标图纸及工程量清单计价规范在招标文件工程量清单中漏列而由监理单位和招标人现场签证确认的实体工程项目、原设计没有而由招标人批准设计变更产生的实体工程项目，视为新增项目，按合同专用条款相关约定确定价格。</w:t>
      </w:r>
    </w:p>
    <w:p>
      <w:pPr>
        <w:pBdr>
          <w:top w:val="single" w:color="auto" w:sz="4" w:space="1"/>
        </w:pBdr>
        <w:spacing w:line="360" w:lineRule="auto"/>
        <w:ind w:firstLine="413" w:firstLineChars="19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条款号：13.6.2                      修改类型：修改</w:t>
      </w:r>
    </w:p>
    <w:p>
      <w:pPr>
        <w:spacing w:line="360" w:lineRule="auto"/>
        <w:ind w:firstLine="413" w:firstLineChars="196"/>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原文：</w:t>
      </w:r>
      <w:r>
        <w:rPr>
          <w:rFonts w:hint="eastAsia" w:ascii="宋体" w:hAnsi="宋体" w:eastAsia="宋体" w:cs="宋体"/>
          <w:color w:val="auto"/>
          <w:sz w:val="21"/>
          <w:szCs w:val="21"/>
          <w:highlight w:val="none"/>
        </w:rPr>
        <w:t>13.6.2在工程实施中，暂列金额、暂估价所包含的工作范围和图纸、标准深化固定后，按照工程专业、设备、材料类别等分类汇总的金额，达到法定招标范围标准的，应由招标人同中标人联合招标，确定承包人和承包价格。</w:t>
      </w:r>
    </w:p>
    <w:p>
      <w:pPr>
        <w:pBdr>
          <w:bottom w:val="single" w:color="auto" w:sz="6" w:space="1"/>
        </w:pBdr>
        <w:spacing w:line="360" w:lineRule="auto"/>
        <w:ind w:firstLine="422" w:firstLineChars="200"/>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现文：</w:t>
      </w:r>
      <w:r>
        <w:rPr>
          <w:rFonts w:hint="eastAsia" w:ascii="宋体" w:hAnsi="宋体" w:eastAsia="宋体" w:cs="宋体"/>
          <w:color w:val="auto"/>
          <w:szCs w:val="21"/>
          <w:highlight w:val="none"/>
        </w:rPr>
        <w:t>13.6.2</w:t>
      </w:r>
      <w:r>
        <w:rPr>
          <w:rFonts w:hint="eastAsia" w:ascii="宋体" w:hAnsi="宋体"/>
          <w:color w:val="auto"/>
          <w:szCs w:val="21"/>
          <w:highlight w:val="none"/>
        </w:rPr>
        <w:t>在工程实施中，暂列金额、暂估价所包含的工作范围和图纸、标准深化固定后，按照工程专业、设备、材料类别等分类汇总的金额，</w:t>
      </w:r>
      <w:r>
        <w:rPr>
          <w:rFonts w:hint="eastAsia" w:ascii="宋体" w:hAnsi="宋体" w:cs="宋体"/>
          <w:color w:val="auto"/>
          <w:szCs w:val="21"/>
          <w:highlight w:val="none"/>
        </w:rPr>
        <w:t>达到法定招标范围标准的</w:t>
      </w:r>
      <w:r>
        <w:rPr>
          <w:rFonts w:hint="eastAsia" w:ascii="宋体" w:hAnsi="宋体" w:cs="宋体"/>
          <w:color w:val="auto"/>
          <w:szCs w:val="21"/>
          <w:highlight w:val="none"/>
          <w:u w:val="single"/>
        </w:rPr>
        <w:t>应由招标人招标确定承包人和承包价格</w:t>
      </w:r>
      <w:r>
        <w:rPr>
          <w:rFonts w:hint="eastAsia" w:ascii="宋体" w:hAnsi="宋体" w:eastAsia="宋体" w:cs="宋体"/>
          <w:color w:val="auto"/>
          <w:szCs w:val="21"/>
          <w:highlight w:val="none"/>
          <w:u w:val="single"/>
        </w:rPr>
        <w:t>。</w:t>
      </w:r>
    </w:p>
    <w:p>
      <w:pPr>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条款号：13.6.4                      修改类型：修改</w:t>
      </w:r>
    </w:p>
    <w:p>
      <w:pPr>
        <w:spacing w:line="360" w:lineRule="auto"/>
        <w:ind w:firstLine="422" w:firstLineChars="200"/>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原文：</w:t>
      </w:r>
      <w:r>
        <w:rPr>
          <w:rFonts w:hint="eastAsia" w:ascii="宋体" w:hAnsi="宋体" w:eastAsia="宋体" w:cs="宋体"/>
          <w:color w:val="auto"/>
          <w:sz w:val="21"/>
          <w:szCs w:val="21"/>
          <w:highlight w:val="none"/>
        </w:rPr>
        <w:t>13.6.4在工程实施中，暂列金额、暂估价所包含的工作范围和图纸、标准深化固定后，按照工程专业、设备、材料类别等分类汇总的金额，未达到法定招标范围标准也不适用政府采购规定，承包人有法定的承包资格的，由承包人承包，承包人无法定的承包资格但有法定的分包权的，由承包人分包，招标人同承包人结算的价格按本投标须知13.5款规定确定。</w:t>
      </w:r>
    </w:p>
    <w:p>
      <w:pPr>
        <w:pStyle w:val="18"/>
        <w:pBdr>
          <w:bottom w:val="single" w:color="auto" w:sz="6" w:space="1"/>
        </w:pBdr>
        <w:spacing w:after="0" w:line="360" w:lineRule="auto"/>
        <w:ind w:firstLine="422" w:firstLineChars="200"/>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现文：</w:t>
      </w:r>
      <w:r>
        <w:rPr>
          <w:rFonts w:hint="eastAsia" w:ascii="宋体" w:hAnsi="宋体" w:eastAsia="宋体" w:cs="宋体"/>
          <w:color w:val="auto"/>
          <w:sz w:val="21"/>
          <w:szCs w:val="21"/>
          <w:highlight w:val="none"/>
        </w:rPr>
        <w:t>13.6.4</w:t>
      </w:r>
      <w:r>
        <w:rPr>
          <w:rFonts w:hint="eastAsia" w:ascii="宋体" w:hAnsi="宋体" w:cs="宋体"/>
          <w:color w:val="auto"/>
          <w:sz w:val="21"/>
          <w:szCs w:val="21"/>
          <w:highlight w:val="none"/>
        </w:rPr>
        <w:t>在工程实施中，暂列金额、暂估价所包含的工作范围和图纸、标准深化固定后，按照工程专业、设备、材料类别等分类汇总的金额，未达到法定招标范围标准也不适用政府采购规定，</w:t>
      </w:r>
      <w:r>
        <w:rPr>
          <w:rFonts w:hint="eastAsia" w:ascii="宋体" w:hAnsi="宋体" w:cs="宋体"/>
          <w:color w:val="auto"/>
          <w:sz w:val="21"/>
          <w:szCs w:val="21"/>
          <w:highlight w:val="none"/>
          <w:u w:val="single"/>
        </w:rPr>
        <w:t>经发包人同意，</w:t>
      </w:r>
      <w:r>
        <w:rPr>
          <w:rFonts w:hint="eastAsia" w:ascii="宋体" w:hAnsi="宋体" w:cs="宋体"/>
          <w:color w:val="auto"/>
          <w:sz w:val="21"/>
          <w:szCs w:val="21"/>
          <w:highlight w:val="none"/>
        </w:rPr>
        <w:t>承包人有法定的承包资格的，由承包人承包，承包人无法定的承包资格但有法定的分包权的，由承包人分包，招标人同承包人结算的价格按本投标须知13.5款规定确定</w:t>
      </w:r>
      <w:r>
        <w:rPr>
          <w:rFonts w:hint="eastAsia" w:ascii="宋体" w:hAnsi="宋体" w:eastAsia="宋体" w:cs="宋体"/>
          <w:color w:val="auto"/>
          <w:sz w:val="21"/>
          <w:szCs w:val="21"/>
          <w:highlight w:val="none"/>
        </w:rPr>
        <w:t>。</w:t>
      </w:r>
    </w:p>
    <w:p>
      <w:pPr>
        <w:spacing w:line="360" w:lineRule="auto"/>
        <w:ind w:firstLine="413" w:firstLineChars="19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条款号：13.8                         修改类型：修改</w:t>
      </w:r>
    </w:p>
    <w:p>
      <w:pPr>
        <w:pStyle w:val="18"/>
        <w:spacing w:after="0" w:line="360" w:lineRule="auto"/>
        <w:ind w:firstLine="422" w:firstLineChars="200"/>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原文：</w:t>
      </w:r>
      <w:r>
        <w:rPr>
          <w:rFonts w:hint="eastAsia" w:ascii="宋体" w:hAnsi="宋体" w:eastAsia="宋体" w:cs="宋体"/>
          <w:color w:val="auto"/>
          <w:sz w:val="21"/>
          <w:szCs w:val="21"/>
          <w:highlight w:val="none"/>
        </w:rPr>
        <w:t>13.8属于承包人自行采购的主要材料、设备，招标人应当在招标文件中提出材料、设备的技术标准或者质量要求，或者提出不少于3个同等档次品牌或分包商供投标人报价时选择,凡招标人在招标文件中提出参考品牌的，必须在参考品牌后面加上“或相当于”字样。投标人在投标文件中应明确所选用主要材料、设备的品牌、厂家以及质量等级，并且应当符合招标文件的要求。</w:t>
      </w:r>
    </w:p>
    <w:p>
      <w:pPr>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现文：</w:t>
      </w:r>
      <w:r>
        <w:rPr>
          <w:rFonts w:hint="eastAsia" w:ascii="宋体" w:hAnsi="宋体" w:eastAsia="宋体" w:cs="宋体"/>
          <w:color w:val="auto"/>
          <w:szCs w:val="21"/>
          <w:highlight w:val="none"/>
        </w:rPr>
        <w:t>13.8</w:t>
      </w:r>
      <w:r>
        <w:rPr>
          <w:rFonts w:hint="eastAsia" w:ascii="宋体" w:hAnsi="宋体" w:cs="宋体"/>
          <w:color w:val="auto"/>
          <w:szCs w:val="21"/>
          <w:highlight w:val="none"/>
          <w:u w:val="single"/>
        </w:rPr>
        <w:t>投标期间，投标人不需在投标文件中明确所选用主要材料、设备的品牌、厂家以及质量等级。实施期间，所有材料品牌选择均须报发包人、监理工程师确认，所有材料及成品质量必须满足设计与规范要求，且经检验合格后方可使用</w:t>
      </w:r>
      <w:r>
        <w:rPr>
          <w:rFonts w:hint="eastAsia" w:ascii="宋体" w:hAnsi="宋体" w:eastAsia="宋体" w:cs="宋体"/>
          <w:color w:val="auto"/>
          <w:szCs w:val="21"/>
          <w:highlight w:val="none"/>
          <w:u w:val="single"/>
        </w:rPr>
        <w:t>。</w:t>
      </w:r>
    </w:p>
    <w:p>
      <w:pPr>
        <w:pBdr>
          <w:top w:val="single" w:color="auto" w:sz="4" w:space="1"/>
        </w:pBdr>
        <w:spacing w:line="360" w:lineRule="auto"/>
        <w:ind w:firstLine="413" w:firstLineChars="19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条款号：13.10                         修改类型：增加</w:t>
      </w:r>
    </w:p>
    <w:p>
      <w:pPr>
        <w:spacing w:line="360" w:lineRule="auto"/>
        <w:ind w:firstLine="413" w:firstLineChars="196"/>
        <w:rPr>
          <w:rFonts w:hint="eastAsia" w:ascii="宋体" w:hAnsi="宋体" w:eastAsia="宋体" w:cs="宋体"/>
          <w:color w:val="auto"/>
          <w:sz w:val="21"/>
          <w:szCs w:val="21"/>
          <w:highlight w:val="none"/>
          <w:u w:val="single"/>
        </w:rPr>
      </w:pPr>
      <w:r>
        <w:rPr>
          <w:rFonts w:hint="eastAsia" w:ascii="宋体" w:hAnsi="宋体" w:eastAsia="宋体" w:cs="宋体"/>
          <w:b/>
          <w:color w:val="auto"/>
          <w:sz w:val="21"/>
          <w:szCs w:val="21"/>
          <w:highlight w:val="none"/>
        </w:rPr>
        <w:t>现文：</w:t>
      </w:r>
      <w:r>
        <w:rPr>
          <w:rFonts w:hint="eastAsia" w:ascii="宋体" w:hAnsi="宋体" w:eastAsia="宋体" w:cs="宋体"/>
          <w:bCs/>
          <w:color w:val="auto"/>
          <w:sz w:val="21"/>
          <w:szCs w:val="21"/>
          <w:highlight w:val="none"/>
          <w:u w:val="single"/>
        </w:rPr>
        <w:t>13.10</w:t>
      </w:r>
      <w:r>
        <w:rPr>
          <w:rFonts w:hint="eastAsia" w:ascii="宋体" w:hAnsi="宋体" w:eastAsia="宋体" w:cs="宋体"/>
          <w:color w:val="auto"/>
          <w:sz w:val="21"/>
          <w:szCs w:val="21"/>
          <w:highlight w:val="none"/>
          <w:u w:val="single"/>
        </w:rPr>
        <w:t>工程量清单报价中有关问题的说明：</w:t>
      </w:r>
    </w:p>
    <w:p>
      <w:pPr>
        <w:spacing w:line="360" w:lineRule="auto"/>
        <w:ind w:firstLine="411"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lang w:eastAsia="zh-CN"/>
        </w:rPr>
        <w:t>（</w:t>
      </w:r>
      <w:r>
        <w:rPr>
          <w:rFonts w:hint="eastAsia" w:ascii="宋体" w:hAnsi="宋体" w:eastAsia="宋体" w:cs="宋体"/>
          <w:color w:val="auto"/>
          <w:szCs w:val="21"/>
          <w:highlight w:val="none"/>
          <w:u w:val="single"/>
          <w:lang w:val="en-US" w:eastAsia="zh-CN"/>
        </w:rPr>
        <w:t>1）</w:t>
      </w:r>
      <w:r>
        <w:rPr>
          <w:rFonts w:hint="eastAsia" w:ascii="宋体" w:hAnsi="宋体" w:eastAsia="宋体" w:cs="宋体"/>
          <w:color w:val="auto"/>
          <w:szCs w:val="21"/>
          <w:highlight w:val="none"/>
          <w:u w:val="single"/>
        </w:rPr>
        <w:t>投标时,土方的弃运距离暂按15km内考虑，超过15km按15km计算，结算时按招标人确认的实际运距计算,实际运距超过15公里时，按15公里包干。</w:t>
      </w:r>
    </w:p>
    <w:p>
      <w:pPr>
        <w:pBdr>
          <w:bottom w:val="single" w:color="auto" w:sz="6" w:space="1"/>
        </w:pBdr>
        <w:spacing w:line="360" w:lineRule="auto"/>
        <w:ind w:firstLine="470" w:firstLineChars="224"/>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lang w:eastAsia="zh-CN"/>
        </w:rPr>
        <w:t>（</w:t>
      </w:r>
      <w:r>
        <w:rPr>
          <w:rFonts w:hint="eastAsia" w:ascii="宋体" w:hAnsi="宋体" w:eastAsia="宋体" w:cs="宋体"/>
          <w:color w:val="auto"/>
          <w:szCs w:val="21"/>
          <w:highlight w:val="none"/>
          <w:u w:val="single"/>
          <w:lang w:val="en-US" w:eastAsia="zh-CN"/>
        </w:rPr>
        <w:t>2）</w:t>
      </w:r>
      <w:r>
        <w:rPr>
          <w:rFonts w:hint="eastAsia" w:ascii="宋体" w:hAnsi="宋体" w:eastAsia="宋体" w:cs="宋体"/>
          <w:color w:val="auto"/>
          <w:szCs w:val="21"/>
          <w:highlight w:val="none"/>
          <w:u w:val="single"/>
        </w:rPr>
        <w:t>工程量清单中措施项目清单费计价表中的绿色施工安全防护措施费执行《广东省住房和城乡建设厅关于印发&lt;广东省建设工程计价依据（2018)&gt;的通知》（穗建市〔2019〕6号）文，绿色施工安全防护措施费按发包人公布的本工程招标控制价中的绿色施工安全防护措施费计取，作为非竞争费用，在投标报价中单列，不参与投标竞价，该费用从工程施工中标价中提取，专款专用</w:t>
      </w:r>
      <w:r>
        <w:rPr>
          <w:rFonts w:hint="eastAsia" w:ascii="宋体" w:hAnsi="宋体" w:eastAsia="宋体" w:cs="宋体"/>
          <w:color w:val="auto"/>
          <w:szCs w:val="21"/>
          <w:highlight w:val="none"/>
        </w:rPr>
        <w:t>。</w:t>
      </w:r>
    </w:p>
    <w:p>
      <w:pPr>
        <w:pBdr>
          <w:top w:val="single" w:color="auto" w:sz="4" w:space="1"/>
        </w:pBdr>
        <w:spacing w:line="360" w:lineRule="auto"/>
        <w:ind w:firstLine="413" w:firstLineChars="19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条款号：13.11                          修改类型：增加</w:t>
      </w:r>
    </w:p>
    <w:p>
      <w:pPr>
        <w:pBdr>
          <w:bottom w:val="single" w:color="auto" w:sz="6" w:space="1"/>
        </w:pBdr>
        <w:spacing w:line="360" w:lineRule="auto"/>
        <w:ind w:firstLine="422" w:firstLineChars="200"/>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现文：</w:t>
      </w:r>
      <w:r>
        <w:rPr>
          <w:rFonts w:hint="eastAsia" w:ascii="宋体" w:hAnsi="宋体" w:cs="宋体"/>
          <w:color w:val="auto"/>
          <w:szCs w:val="21"/>
          <w:highlight w:val="none"/>
          <w:u w:val="single"/>
        </w:rPr>
        <w:t>13.11投标人应对当地现有的交通道路状况进行充分调查，充分考虑该路段的交通疏导问题和文明施工，制定可行的交通疏导（包括场内和场外）方案，确保原有道路的交通畅通和施工临时排水的通畅，并符合施工环保要求。承包人应与交警及公路管理部门协商，取得同意和协助，并负责承担道路改线或改善和其他费用。相关费用包含在措施项目费中，结算时按发包人批准的实施方案，再按合同约定结算。如果中标人不及时按要求设置，业主可以另行委托实施，业主按实际发生的费用在工程款中扣除，中标人不得有任何异议</w:t>
      </w:r>
      <w:r>
        <w:rPr>
          <w:rFonts w:hint="eastAsia" w:ascii="宋体" w:hAnsi="宋体" w:eastAsia="宋体" w:cs="宋体"/>
          <w:color w:val="auto"/>
          <w:szCs w:val="21"/>
          <w:highlight w:val="none"/>
          <w:u w:val="single"/>
        </w:rPr>
        <w:t>。</w:t>
      </w:r>
    </w:p>
    <w:p>
      <w:pPr>
        <w:spacing w:line="360" w:lineRule="auto"/>
        <w:ind w:firstLine="413" w:firstLineChars="19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条款号：13.12                          修改类型：增加</w:t>
      </w:r>
    </w:p>
    <w:p>
      <w:pPr>
        <w:pBdr>
          <w:bottom w:val="single" w:color="auto" w:sz="4" w:space="0"/>
        </w:pBdr>
        <w:spacing w:line="360" w:lineRule="auto"/>
        <w:ind w:firstLine="422" w:firstLineChars="200"/>
        <w:rPr>
          <w:rFonts w:hint="eastAsia" w:ascii="宋体" w:hAnsi="宋体" w:eastAsia="宋体" w:cs="宋体"/>
          <w:color w:val="auto"/>
          <w:sz w:val="21"/>
          <w:szCs w:val="21"/>
          <w:highlight w:val="none"/>
          <w:u w:val="single"/>
        </w:rPr>
      </w:pPr>
      <w:r>
        <w:rPr>
          <w:rFonts w:hint="eastAsia" w:ascii="宋体" w:hAnsi="宋体" w:eastAsia="宋体" w:cs="宋体"/>
          <w:b/>
          <w:color w:val="auto"/>
          <w:sz w:val="21"/>
          <w:szCs w:val="21"/>
          <w:highlight w:val="none"/>
        </w:rPr>
        <w:t>现文：</w:t>
      </w:r>
      <w:r>
        <w:rPr>
          <w:rFonts w:hint="eastAsia" w:ascii="宋体" w:hAnsi="宋体" w:cs="宋体"/>
          <w:color w:val="auto"/>
          <w:szCs w:val="21"/>
          <w:highlight w:val="none"/>
          <w:u w:val="single"/>
        </w:rPr>
        <w:t>13.12承包人应加强周边学校、居民住宅的环境保护，制定绿色施工安全防护措施（包括防尘、防噪音、施工围蔽等），施工现场严格按照《广州市建设工程文明施工管理规定》（广州市人民政府令62号）、《广州市建设工程现场文明施工管理办法》（穗建质〔2008〕937号）、《关于进一步加强我区建设工地文明施工管理的通知》（穗开规建〔2006〕74号）、《广州市住房和城乡建设委员会关于印发建设工程扬尘防治“6个100%”管理标准细化措施的通知》（穗建质〔2018〕1394号）及其他相关规定实施，施工围蔽严格按照《关于进一步规范建设工程施工现场围蔽的通知》（穗建质[2008]1008号）、</w:t>
      </w:r>
      <w:r>
        <w:rPr>
          <w:rFonts w:ascii="宋体" w:hAnsi="宋体" w:cs="宋体"/>
          <w:color w:val="auto"/>
          <w:szCs w:val="21"/>
          <w:highlight w:val="none"/>
          <w:u w:val="single"/>
        </w:rPr>
        <w:t>《</w:t>
      </w:r>
      <w:r>
        <w:rPr>
          <w:rFonts w:hint="eastAsia" w:ascii="宋体" w:hAnsi="宋体" w:cs="宋体"/>
          <w:color w:val="auto"/>
          <w:szCs w:val="21"/>
          <w:highlight w:val="none"/>
          <w:u w:val="single"/>
        </w:rPr>
        <w:t>广州市建设工程绿色施工围蔽指导图集（V2.0版）</w:t>
      </w:r>
      <w:r>
        <w:rPr>
          <w:rFonts w:ascii="宋体" w:hAnsi="宋体" w:cs="宋体"/>
          <w:color w:val="auto"/>
          <w:szCs w:val="21"/>
          <w:highlight w:val="none"/>
          <w:u w:val="single"/>
        </w:rPr>
        <w:t>》(穗建质〔2020〕1号）</w:t>
      </w:r>
      <w:r>
        <w:rPr>
          <w:rFonts w:hint="eastAsia" w:ascii="宋体" w:hAnsi="宋体" w:cs="宋体"/>
          <w:color w:val="auto"/>
          <w:szCs w:val="21"/>
          <w:highlight w:val="none"/>
          <w:u w:val="single"/>
        </w:rPr>
        <w:t>、</w:t>
      </w:r>
      <w:r>
        <w:rPr>
          <w:rFonts w:ascii="宋体" w:hAnsi="宋体" w:cs="宋体"/>
          <w:color w:val="auto"/>
          <w:szCs w:val="21"/>
          <w:highlight w:val="none"/>
          <w:u w:val="single"/>
        </w:rPr>
        <w:t>《关于进一步落实我区市政建设项目施工围蔽提升工作的通知》（穗埔建[2019]123号）</w:t>
      </w:r>
      <w:r>
        <w:rPr>
          <w:rFonts w:hint="eastAsia" w:ascii="宋体" w:hAnsi="宋体" w:cs="宋体"/>
          <w:color w:val="auto"/>
          <w:szCs w:val="21"/>
          <w:highlight w:val="none"/>
          <w:u w:val="single"/>
        </w:rPr>
        <w:t>及《黄埔区住房和城乡建设局 广州开发区建设和交通局关于进一步规范全区建设工程施工围蔽标准的通知》（穗埔建﹝2020﹞183号）的相关文件要求的标准实施。以上文件要求不一致的，以后发布文件为准，若相关部门发布有关施工现场管理及施工围蔽新规定的，按新规定执行。实施相关费用已含在合同价中。如承包人未及时按要求做好围蔽等安全文明施工措施，建设业主可另行委托单位实施，建设业主按实际发生的费用在绿色施工安全防护措施费中扣除</w:t>
      </w:r>
      <w:r>
        <w:rPr>
          <w:rFonts w:hint="eastAsia" w:ascii="宋体" w:hAnsi="宋体" w:eastAsia="宋体" w:cs="宋体"/>
          <w:color w:val="auto"/>
          <w:szCs w:val="21"/>
          <w:highlight w:val="none"/>
          <w:u w:val="single"/>
        </w:rPr>
        <w:t>。</w:t>
      </w:r>
    </w:p>
    <w:p>
      <w:pPr>
        <w:pBdr>
          <w:bottom w:val="single" w:color="auto" w:sz="6" w:space="1"/>
        </w:pBdr>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条款号：13.13                            修改类型：增加</w:t>
      </w:r>
    </w:p>
    <w:p>
      <w:pPr>
        <w:pBdr>
          <w:bottom w:val="single" w:color="auto" w:sz="6" w:space="1"/>
        </w:pBdr>
        <w:spacing w:line="360" w:lineRule="auto"/>
        <w:ind w:firstLine="422" w:firstLineChars="200"/>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现文：</w:t>
      </w:r>
      <w:r>
        <w:rPr>
          <w:rFonts w:hint="eastAsia" w:ascii="宋体" w:hAnsi="宋体" w:cs="宋体"/>
          <w:color w:val="auto"/>
          <w:szCs w:val="21"/>
          <w:highlight w:val="none"/>
          <w:u w:val="single"/>
        </w:rPr>
        <w:t>13.13本工程中标人通过现场考察，提出具体施工方案，无论在工程施工期间或是在质量保修期内，若因施工而引起的一切索赔、赔偿、诉讼费用和其他开支，由中标人承担全部责任。该项费用包含在总投标报价中，不另行计费。中标人不得以任何理由要求业主另行增加该部分费用（中标人要充分考虑最不利因素影响而采用的施工方案所需的费用）</w:t>
      </w:r>
      <w:r>
        <w:rPr>
          <w:rFonts w:hint="eastAsia" w:ascii="宋体" w:hAnsi="宋体" w:eastAsia="宋体" w:cs="宋体"/>
          <w:color w:val="auto"/>
          <w:szCs w:val="21"/>
          <w:highlight w:val="none"/>
          <w:u w:val="single"/>
        </w:rPr>
        <w:t>。</w:t>
      </w:r>
    </w:p>
    <w:p>
      <w:pPr>
        <w:pBdr>
          <w:top w:val="single" w:color="auto" w:sz="4" w:space="1"/>
          <w:bottom w:val="single" w:color="auto" w:sz="6" w:space="1"/>
        </w:pBdr>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条款号：13.14                             修改类型：增加</w:t>
      </w:r>
    </w:p>
    <w:p>
      <w:pPr>
        <w:pBdr>
          <w:top w:val="single" w:color="auto" w:sz="4" w:space="1"/>
          <w:bottom w:val="single" w:color="auto" w:sz="6" w:space="1"/>
        </w:pBdr>
        <w:spacing w:line="360" w:lineRule="auto"/>
        <w:ind w:firstLine="422" w:firstLineChars="200"/>
        <w:rPr>
          <w:rFonts w:hint="eastAsia" w:ascii="宋体" w:hAnsi="宋体" w:eastAsia="宋体" w:cs="宋体"/>
          <w:color w:val="auto"/>
          <w:sz w:val="21"/>
          <w:szCs w:val="21"/>
          <w:highlight w:val="none"/>
          <w:u w:val="single"/>
        </w:rPr>
      </w:pPr>
      <w:r>
        <w:rPr>
          <w:rFonts w:hint="eastAsia" w:ascii="宋体" w:hAnsi="宋体" w:eastAsia="宋体" w:cs="宋体"/>
          <w:b/>
          <w:color w:val="auto"/>
          <w:sz w:val="21"/>
          <w:szCs w:val="21"/>
          <w:highlight w:val="none"/>
        </w:rPr>
        <w:t>现文：</w:t>
      </w:r>
      <w:r>
        <w:rPr>
          <w:rFonts w:hint="eastAsia" w:ascii="宋体" w:hAnsi="宋体" w:cs="宋体"/>
          <w:color w:val="auto"/>
          <w:szCs w:val="21"/>
          <w:highlight w:val="none"/>
          <w:u w:val="single"/>
        </w:rPr>
        <w:t>13.14投标单位应结合本工程招标内容对现场进行充分的调查，充分考虑工程招标内容及施工组织方案，承包单位应与相关管理部门（如铁路管理部门）协商，取得同意协调，按要求完成工程招标内容，工程及相关费用包含在投标总价中，不另行计费。如果中标人不及时按要求完成，业主可以另行委托实施，业主按实际发生的费用在工程款中扣除，中标人不得有任何异议</w:t>
      </w:r>
      <w:r>
        <w:rPr>
          <w:rFonts w:hint="eastAsia" w:ascii="宋体" w:hAnsi="宋体" w:eastAsia="宋体" w:cs="宋体"/>
          <w:color w:val="auto"/>
          <w:szCs w:val="21"/>
          <w:highlight w:val="none"/>
          <w:u w:val="single"/>
        </w:rPr>
        <w:t>。</w:t>
      </w:r>
    </w:p>
    <w:p>
      <w:pPr>
        <w:spacing w:line="360" w:lineRule="auto"/>
        <w:ind w:firstLine="413" w:firstLineChars="19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条款号：13.15                             修改类型：增加</w:t>
      </w:r>
    </w:p>
    <w:p>
      <w:pPr>
        <w:pBdr>
          <w:bottom w:val="single" w:color="auto" w:sz="6" w:space="1"/>
        </w:pBdr>
        <w:spacing w:line="360" w:lineRule="auto"/>
        <w:ind w:firstLine="422" w:firstLineChars="200"/>
        <w:rPr>
          <w:rFonts w:hint="eastAsia" w:ascii="宋体" w:hAnsi="宋体" w:eastAsia="宋体" w:cs="宋体"/>
          <w:color w:val="auto"/>
          <w:sz w:val="21"/>
          <w:szCs w:val="21"/>
          <w:highlight w:val="none"/>
          <w:u w:val="single"/>
        </w:rPr>
      </w:pPr>
      <w:r>
        <w:rPr>
          <w:rFonts w:hint="eastAsia" w:ascii="宋体" w:hAnsi="宋体" w:eastAsia="宋体" w:cs="宋体"/>
          <w:b/>
          <w:color w:val="auto"/>
          <w:sz w:val="21"/>
          <w:szCs w:val="21"/>
          <w:highlight w:val="none"/>
        </w:rPr>
        <w:t>现文：</w:t>
      </w:r>
      <w:r>
        <w:rPr>
          <w:rFonts w:hint="eastAsia" w:ascii="宋体" w:hAnsi="宋体" w:cs="宋体"/>
          <w:color w:val="auto"/>
          <w:szCs w:val="21"/>
          <w:highlight w:val="none"/>
          <w:u w:val="single"/>
        </w:rPr>
        <w:t>13.15投标单位应根据区相关主管部门批复的水土保持实施方案及相关规定完成本工程的水土保持工作，承担防止水土流失职责，相关费用包含在投标总价中，不另行计费。如果中标人不及时按要求完成上述工作，业主可以另行委托实施，业主按实际发生的费用在工程款中扣除，中标人不得有任何异议</w:t>
      </w:r>
      <w:r>
        <w:rPr>
          <w:rFonts w:hint="eastAsia" w:ascii="宋体" w:hAnsi="宋体" w:eastAsia="宋体" w:cs="宋体"/>
          <w:color w:val="auto"/>
          <w:szCs w:val="21"/>
          <w:highlight w:val="none"/>
          <w:u w:val="single"/>
        </w:rPr>
        <w:t>。</w:t>
      </w:r>
    </w:p>
    <w:p>
      <w:pPr>
        <w:spacing w:line="360" w:lineRule="auto"/>
        <w:ind w:firstLine="413" w:firstLineChars="19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条款号：13.16                              修改类型：增加</w:t>
      </w:r>
    </w:p>
    <w:p>
      <w:pPr>
        <w:pBdr>
          <w:bottom w:val="single" w:color="auto" w:sz="6" w:space="1"/>
        </w:pBdr>
        <w:spacing w:line="360" w:lineRule="auto"/>
        <w:ind w:firstLine="422" w:firstLineChars="200"/>
        <w:rPr>
          <w:rFonts w:hint="eastAsia" w:ascii="宋体" w:hAnsi="宋体" w:eastAsia="宋体" w:cs="宋体"/>
          <w:color w:val="auto"/>
          <w:sz w:val="21"/>
          <w:szCs w:val="21"/>
          <w:highlight w:val="none"/>
          <w:u w:val="single"/>
        </w:rPr>
      </w:pPr>
      <w:r>
        <w:rPr>
          <w:rFonts w:hint="eastAsia" w:ascii="宋体" w:hAnsi="宋体" w:eastAsia="宋体" w:cs="宋体"/>
          <w:b/>
          <w:color w:val="auto"/>
          <w:sz w:val="21"/>
          <w:szCs w:val="21"/>
          <w:highlight w:val="none"/>
        </w:rPr>
        <w:t>现文：</w:t>
      </w:r>
      <w:r>
        <w:rPr>
          <w:rFonts w:hint="eastAsia" w:ascii="宋体" w:hAnsi="宋体" w:cs="宋体"/>
          <w:color w:val="auto"/>
          <w:szCs w:val="21"/>
          <w:highlight w:val="none"/>
          <w:u w:val="single"/>
        </w:rPr>
        <w:t>13.16中标人应使用绿色生产达标企业生产的混凝土，若不遵守承诺，自愿按不履行合同约定处理</w:t>
      </w:r>
      <w:r>
        <w:rPr>
          <w:rFonts w:hint="eastAsia" w:ascii="宋体" w:hAnsi="宋体" w:eastAsia="宋体" w:cs="宋体"/>
          <w:color w:val="auto"/>
          <w:szCs w:val="21"/>
          <w:highlight w:val="none"/>
          <w:u w:val="single"/>
        </w:rPr>
        <w:t>。</w:t>
      </w:r>
    </w:p>
    <w:p>
      <w:pPr>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条款号：13.17                              修改类型：增加</w:t>
      </w:r>
    </w:p>
    <w:p>
      <w:pPr>
        <w:pBdr>
          <w:bottom w:val="single" w:color="auto" w:sz="6" w:space="1"/>
        </w:pBdr>
        <w:spacing w:line="360" w:lineRule="auto"/>
        <w:ind w:firstLine="472" w:firstLineChars="224"/>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现文：</w:t>
      </w:r>
      <w:r>
        <w:rPr>
          <w:rFonts w:hint="eastAsia" w:ascii="宋体" w:hAnsi="宋体" w:eastAsia="宋体" w:cs="宋体"/>
          <w:color w:val="auto"/>
          <w:szCs w:val="21"/>
          <w:highlight w:val="none"/>
          <w:u w:val="single"/>
        </w:rPr>
        <w:t>13.17中标人应按有关规定协助建设业主完成公共排水设施竣工图纸备案工作。</w:t>
      </w:r>
    </w:p>
    <w:p>
      <w:pPr>
        <w:spacing w:line="360" w:lineRule="auto"/>
        <w:ind w:firstLine="422" w:firstLineChars="200"/>
        <w:rPr>
          <w:rFonts w:hint="eastAsia" w:ascii="宋体" w:hAnsi="宋体" w:eastAsia="宋体" w:cs="宋体"/>
          <w:b/>
          <w:color w:val="auto"/>
          <w:sz w:val="21"/>
          <w:szCs w:val="21"/>
          <w:highlight w:val="none"/>
          <w:u w:val="none"/>
          <w:lang w:eastAsia="zh-CN"/>
        </w:rPr>
      </w:pPr>
      <w:r>
        <w:rPr>
          <w:rFonts w:hint="eastAsia" w:ascii="宋体" w:hAnsi="宋体" w:eastAsia="宋体" w:cs="宋体"/>
          <w:b/>
          <w:color w:val="auto"/>
          <w:sz w:val="21"/>
          <w:szCs w:val="21"/>
          <w:highlight w:val="none"/>
          <w:u w:val="none"/>
        </w:rPr>
        <w:t>条款号：</w:t>
      </w:r>
      <w:r>
        <w:rPr>
          <w:rFonts w:hint="eastAsia" w:ascii="宋体" w:hAnsi="宋体" w:cs="宋体"/>
          <w:b/>
          <w:color w:val="auto"/>
          <w:sz w:val="21"/>
          <w:szCs w:val="21"/>
          <w:highlight w:val="none"/>
          <w:u w:val="none"/>
          <w:lang w:val="en-US" w:eastAsia="zh-CN"/>
        </w:rPr>
        <w:t>15</w:t>
      </w:r>
      <w:r>
        <w:rPr>
          <w:rFonts w:hint="eastAsia" w:ascii="宋体" w:hAnsi="宋体" w:eastAsia="宋体" w:cs="宋体"/>
          <w:b/>
          <w:color w:val="auto"/>
          <w:sz w:val="21"/>
          <w:szCs w:val="21"/>
          <w:highlight w:val="none"/>
          <w:u w:val="none"/>
        </w:rPr>
        <w:t>.</w:t>
      </w:r>
      <w:r>
        <w:rPr>
          <w:rFonts w:hint="eastAsia" w:ascii="宋体" w:hAnsi="宋体" w:cs="宋体"/>
          <w:b/>
          <w:color w:val="auto"/>
          <w:sz w:val="21"/>
          <w:szCs w:val="21"/>
          <w:highlight w:val="none"/>
          <w:u w:val="none"/>
          <w:lang w:val="en-US" w:eastAsia="zh-CN"/>
        </w:rPr>
        <w:t>2</w:t>
      </w:r>
      <w:r>
        <w:rPr>
          <w:rFonts w:hint="eastAsia" w:ascii="宋体" w:hAnsi="宋体" w:eastAsia="宋体" w:cs="宋体"/>
          <w:b/>
          <w:color w:val="auto"/>
          <w:sz w:val="21"/>
          <w:szCs w:val="21"/>
          <w:highlight w:val="none"/>
          <w:u w:val="none"/>
        </w:rPr>
        <w:t xml:space="preserve">                              修改类型：</w:t>
      </w:r>
      <w:r>
        <w:rPr>
          <w:rFonts w:hint="eastAsia" w:ascii="宋体" w:hAnsi="宋体" w:cs="宋体"/>
          <w:b/>
          <w:color w:val="auto"/>
          <w:sz w:val="21"/>
          <w:szCs w:val="21"/>
          <w:highlight w:val="none"/>
          <w:u w:val="none"/>
          <w:lang w:val="en-US" w:eastAsia="zh-CN"/>
        </w:rPr>
        <w:t>修改</w:t>
      </w:r>
    </w:p>
    <w:p>
      <w:pPr>
        <w:pBdr>
          <w:bottom w:val="single" w:color="auto" w:sz="6" w:space="1"/>
        </w:pBdr>
        <w:spacing w:line="360" w:lineRule="auto"/>
        <w:ind w:firstLine="472" w:firstLineChars="224"/>
        <w:rPr>
          <w:rFonts w:hint="eastAsia" w:ascii="宋体" w:hAnsi="宋体" w:eastAsia="宋体" w:cs="宋体"/>
          <w:color w:val="auto"/>
          <w:szCs w:val="21"/>
          <w:highlight w:val="none"/>
          <w:u w:val="none"/>
        </w:rPr>
      </w:pPr>
      <w:r>
        <w:rPr>
          <w:rFonts w:hint="eastAsia" w:ascii="宋体" w:hAnsi="宋体" w:cs="宋体"/>
          <w:b/>
          <w:color w:val="auto"/>
          <w:sz w:val="21"/>
          <w:szCs w:val="21"/>
          <w:highlight w:val="none"/>
          <w:u w:val="none"/>
          <w:lang w:val="en-US" w:eastAsia="zh-CN"/>
        </w:rPr>
        <w:t>原</w:t>
      </w:r>
      <w:r>
        <w:rPr>
          <w:rFonts w:hint="eastAsia" w:ascii="宋体" w:hAnsi="宋体" w:eastAsia="宋体" w:cs="宋体"/>
          <w:b/>
          <w:color w:val="auto"/>
          <w:sz w:val="21"/>
          <w:szCs w:val="21"/>
          <w:highlight w:val="none"/>
          <w:u w:val="none"/>
        </w:rPr>
        <w:t>文：</w:t>
      </w:r>
      <w:r>
        <w:rPr>
          <w:rFonts w:hint="eastAsia" w:ascii="宋体" w:hAnsi="宋体" w:eastAsia="宋体" w:cs="宋体"/>
          <w:color w:val="auto"/>
          <w:szCs w:val="21"/>
          <w:highlight w:val="none"/>
          <w:u w:val="none"/>
        </w:rPr>
        <w:t>1</w:t>
      </w:r>
      <w:r>
        <w:rPr>
          <w:rFonts w:hint="eastAsia" w:ascii="宋体" w:hAnsi="宋体" w:cs="宋体"/>
          <w:color w:val="auto"/>
          <w:szCs w:val="21"/>
          <w:highlight w:val="none"/>
          <w:u w:val="none"/>
          <w:lang w:val="en-US" w:eastAsia="zh-CN"/>
        </w:rPr>
        <w:t>5</w:t>
      </w:r>
      <w:r>
        <w:rPr>
          <w:rFonts w:hint="eastAsia" w:ascii="宋体" w:hAnsi="宋体" w:eastAsia="宋体" w:cs="宋体"/>
          <w:color w:val="auto"/>
          <w:szCs w:val="21"/>
          <w:highlight w:val="none"/>
          <w:u w:val="none"/>
        </w:rPr>
        <w:t>.</w:t>
      </w:r>
      <w:r>
        <w:rPr>
          <w:rFonts w:hint="eastAsia" w:ascii="宋体" w:hAnsi="宋体" w:cs="宋体"/>
          <w:color w:val="auto"/>
          <w:szCs w:val="21"/>
          <w:highlight w:val="none"/>
          <w:u w:val="none"/>
          <w:lang w:val="en-US" w:eastAsia="zh-CN"/>
        </w:rPr>
        <w:t>2</w:t>
      </w:r>
      <w:r>
        <w:rPr>
          <w:rFonts w:hint="eastAsia" w:ascii="宋体" w:hAnsi="宋体" w:cs="宋体"/>
          <w:color w:val="auto"/>
          <w:szCs w:val="21"/>
          <w:highlight w:val="none"/>
          <w:u w:val="none"/>
        </w:rPr>
        <w:t>在特殊情况下，招标人在原定投标有效期内，可以根据需要以书面形式向投标人提出延长投标有效期的要求，对此要求投标人须以书面形式予以答复。投标人可以拒绝招标人这种要求，而不影响退还其投标保证金。同意延长投标有效期的投标人既不能要求也不允许修改其投标文件，但需要相应的延长投标保证金的有效期，在延长的投标有效期内，本须知第16条关于投标保证金的退还与不予退还的规定仍然适用</w:t>
      </w:r>
      <w:r>
        <w:rPr>
          <w:rFonts w:hint="eastAsia" w:ascii="宋体" w:hAnsi="宋体" w:eastAsia="宋体" w:cs="宋体"/>
          <w:color w:val="auto"/>
          <w:szCs w:val="21"/>
          <w:highlight w:val="none"/>
          <w:u w:val="none"/>
        </w:rPr>
        <w:t>。</w:t>
      </w:r>
    </w:p>
    <w:p>
      <w:pPr>
        <w:pBdr>
          <w:bottom w:val="single" w:color="auto" w:sz="6" w:space="1"/>
        </w:pBdr>
        <w:spacing w:line="360" w:lineRule="auto"/>
        <w:ind w:firstLine="472" w:firstLineChars="224"/>
        <w:rPr>
          <w:rFonts w:hint="eastAsia" w:ascii="宋体" w:hAnsi="宋体" w:eastAsia="宋体" w:cs="宋体"/>
          <w:color w:val="auto"/>
          <w:sz w:val="21"/>
          <w:szCs w:val="21"/>
          <w:highlight w:val="none"/>
          <w:u w:val="none"/>
        </w:rPr>
      </w:pPr>
      <w:r>
        <w:rPr>
          <w:rFonts w:hint="eastAsia" w:ascii="宋体" w:hAnsi="宋体" w:cs="宋体"/>
          <w:b/>
          <w:color w:val="auto"/>
          <w:sz w:val="21"/>
          <w:szCs w:val="21"/>
          <w:highlight w:val="none"/>
          <w:u w:val="none"/>
          <w:lang w:val="en-US" w:eastAsia="zh-CN"/>
        </w:rPr>
        <w:t>现</w:t>
      </w:r>
      <w:r>
        <w:rPr>
          <w:rFonts w:hint="eastAsia" w:ascii="宋体" w:hAnsi="宋体" w:eastAsia="宋体" w:cs="宋体"/>
          <w:b/>
          <w:color w:val="auto"/>
          <w:sz w:val="21"/>
          <w:szCs w:val="21"/>
          <w:highlight w:val="none"/>
          <w:u w:val="none"/>
        </w:rPr>
        <w:t>文：</w:t>
      </w:r>
      <w:r>
        <w:rPr>
          <w:rFonts w:hint="eastAsia" w:ascii="宋体" w:hAnsi="宋体" w:eastAsia="宋体" w:cs="宋体"/>
          <w:color w:val="auto"/>
          <w:szCs w:val="21"/>
          <w:highlight w:val="none"/>
          <w:u w:val="none"/>
        </w:rPr>
        <w:t>1</w:t>
      </w:r>
      <w:r>
        <w:rPr>
          <w:rFonts w:hint="eastAsia" w:ascii="宋体" w:hAnsi="宋体" w:cs="宋体"/>
          <w:color w:val="auto"/>
          <w:szCs w:val="21"/>
          <w:highlight w:val="none"/>
          <w:u w:val="none"/>
          <w:lang w:val="en-US" w:eastAsia="zh-CN"/>
        </w:rPr>
        <w:t>5</w:t>
      </w:r>
      <w:r>
        <w:rPr>
          <w:rFonts w:hint="eastAsia" w:ascii="宋体" w:hAnsi="宋体" w:eastAsia="宋体" w:cs="宋体"/>
          <w:color w:val="auto"/>
          <w:szCs w:val="21"/>
          <w:highlight w:val="none"/>
          <w:u w:val="none"/>
        </w:rPr>
        <w:t>.</w:t>
      </w:r>
      <w:r>
        <w:rPr>
          <w:rFonts w:hint="eastAsia" w:ascii="宋体" w:hAnsi="宋体" w:cs="宋体"/>
          <w:color w:val="auto"/>
          <w:szCs w:val="21"/>
          <w:highlight w:val="none"/>
          <w:u w:val="none"/>
          <w:lang w:val="en-US" w:eastAsia="zh-CN"/>
        </w:rPr>
        <w:t>2</w:t>
      </w:r>
      <w:r>
        <w:rPr>
          <w:rFonts w:hint="eastAsia" w:ascii="宋体" w:hAnsi="宋体" w:cs="宋体"/>
          <w:color w:val="auto"/>
          <w:szCs w:val="21"/>
          <w:highlight w:val="none"/>
          <w:u w:val="none"/>
        </w:rPr>
        <w:t>在特殊情况下，招标人在原定投标有效期内，可以根据需要以书面形式向投标人提出延长投标有效期的要求，对此要求投标人须以书面形式予以答复。</w:t>
      </w:r>
      <w:r>
        <w:rPr>
          <w:rFonts w:hint="eastAsia" w:ascii="宋体" w:hAnsi="宋体" w:cs="宋体"/>
          <w:color w:val="auto"/>
          <w:szCs w:val="21"/>
          <w:highlight w:val="none"/>
          <w:u w:val="single"/>
        </w:rPr>
        <w:t>投标人可以拒绝招标人这种要求。同意延长投标有效期的投标人既不能要求也不允许修改其投标文件</w:t>
      </w:r>
      <w:r>
        <w:rPr>
          <w:rFonts w:hint="eastAsia" w:ascii="宋体" w:hAnsi="宋体" w:cs="宋体"/>
          <w:color w:val="auto"/>
          <w:szCs w:val="21"/>
          <w:highlight w:val="none"/>
          <w:u w:val="single"/>
          <w:lang w:eastAsia="zh-CN"/>
        </w:rPr>
        <w:t>。</w:t>
      </w:r>
    </w:p>
    <w:p>
      <w:pPr>
        <w:spacing w:line="360" w:lineRule="auto"/>
        <w:ind w:firstLine="527" w:firstLineChars="250"/>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条款号：16</w:t>
      </w:r>
      <w:r>
        <w:rPr>
          <w:rFonts w:hint="eastAsia" w:ascii="宋体" w:hAnsi="宋体" w:eastAsia="宋体" w:cs="宋体"/>
          <w:b/>
          <w:color w:val="auto"/>
          <w:sz w:val="21"/>
          <w:szCs w:val="21"/>
          <w:highlight w:val="none"/>
          <w:lang w:val="en-US" w:eastAsia="zh-CN"/>
        </w:rPr>
        <w:t>.投标保证金</w:t>
      </w:r>
      <w:r>
        <w:rPr>
          <w:rFonts w:hint="eastAsia" w:ascii="宋体" w:hAnsi="宋体" w:eastAsia="宋体" w:cs="宋体"/>
          <w:b/>
          <w:color w:val="auto"/>
          <w:sz w:val="21"/>
          <w:szCs w:val="21"/>
          <w:highlight w:val="none"/>
        </w:rPr>
        <w:t>            修改类型：修改</w:t>
      </w:r>
    </w:p>
    <w:p>
      <w:pPr>
        <w:pBdr>
          <w:bottom w:val="single" w:color="auto" w:sz="6" w:space="1"/>
        </w:pBdr>
        <w:spacing w:line="360" w:lineRule="auto"/>
        <w:ind w:firstLine="422" w:firstLineChars="200"/>
        <w:rPr>
          <w:rFonts w:hint="eastAsia"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16.1投标人应按投标须知前附表第14项所述金额和时间递交投标保证金。招标人应当允许投标人自主选择现金、银行保函、保证保险、专业工程担保公司担保等方式缴纳投标保证金。</w:t>
      </w:r>
    </w:p>
    <w:p>
      <w:pPr>
        <w:pBdr>
          <w:bottom w:val="single" w:color="auto" w:sz="6" w:space="1"/>
        </w:pBd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16.1.1 采用现金或者支票形式提交的，投标保证金须从投标人的银行基本账户转出。</w:t>
      </w:r>
    </w:p>
    <w:p>
      <w:pPr>
        <w:pBdr>
          <w:bottom w:val="single" w:color="auto" w:sz="6" w:space="1"/>
        </w:pBd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16.1.2 依法必须招标的房屋建筑工程如采用非电子形式的银行保函、专业工程担保公司担保或保证保险提交投标保证金的，在开标前不强制要求投标人提交纸质原件，由中标候选人在中标候选人公示前提交并在网上公示，投标人应在投标文件中提交保函、担保或保证保险扫描件并加盖投标人电子印章。如投标人存在16.4条款所列情形的，应将纸质原件提交给招标人。</w:t>
      </w:r>
    </w:p>
    <w:p>
      <w:pPr>
        <w:pBdr>
          <w:bottom w:val="single" w:color="auto" w:sz="6" w:space="1"/>
        </w:pBd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16.1.3 采用电子形式的保函、担保或保证保险提交投标保证金的，应在招标文件中明确电子递交途径。</w:t>
      </w:r>
    </w:p>
    <w:p>
      <w:pPr>
        <w:pBdr>
          <w:bottom w:val="single" w:color="auto" w:sz="6" w:space="1"/>
        </w:pBd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16.2开标时投标人没有按要求提供投标保证金的，其投标文件将被否决；未按招标文件要求提交符合免予提供投标保证金相关证明材料，且未提交投标保证金的投标人，视为未按要求提供投标保证金。</w:t>
      </w:r>
    </w:p>
    <w:p>
      <w:pPr>
        <w:pBdr>
          <w:bottom w:val="single" w:color="auto" w:sz="6" w:space="1"/>
        </w:pBd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16.3投标保证金应依据法律法规的相关规定退还。</w:t>
      </w:r>
    </w:p>
    <w:p>
      <w:pPr>
        <w:pBdr>
          <w:bottom w:val="single" w:color="auto" w:sz="6" w:space="1"/>
        </w:pBd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16.4如有下列情况之一的，招标人可以不予退还投标保证金（是否退还投标保证金由招标人在招标文件中规定）：</w:t>
      </w:r>
    </w:p>
    <w:p>
      <w:pPr>
        <w:pBdr>
          <w:bottom w:val="single" w:color="auto" w:sz="6" w:space="1"/>
        </w:pBd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16.4.1因投标人原因造成投标文件未解密的；</w:t>
      </w:r>
    </w:p>
    <w:p>
      <w:pPr>
        <w:pBdr>
          <w:bottom w:val="single" w:color="auto" w:sz="6" w:space="1"/>
        </w:pBd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16.4.2投标人在投标有效期内撤销投标文件；</w:t>
      </w:r>
    </w:p>
    <w:p>
      <w:pPr>
        <w:pBdr>
          <w:bottom w:val="single" w:color="auto" w:sz="6" w:space="1"/>
        </w:pBd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16.4.3中标人未能在规定期限内按要求提交履约担保；</w:t>
      </w:r>
    </w:p>
    <w:p>
      <w:pPr>
        <w:pBdr>
          <w:bottom w:val="single" w:color="auto" w:sz="6" w:space="1"/>
        </w:pBd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16.4.4中标人未能在规定期限内签署合同协议。</w:t>
      </w:r>
    </w:p>
    <w:p>
      <w:pPr>
        <w:pBdr>
          <w:bottom w:val="single" w:color="auto" w:sz="6" w:space="1"/>
        </w:pBd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16.5投标人如存在下列情况之一的，将被拒绝在一定时期内参与招标人后续工程投标（拒绝时限需在招标文件中明确）：</w:t>
      </w:r>
    </w:p>
    <w:p>
      <w:pPr>
        <w:pBdr>
          <w:bottom w:val="single" w:color="auto" w:sz="6" w:space="1"/>
        </w:pBd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16.5.1投标人存在16.4条款所列情形且投标人提交的保函、担保或保证保险无法兑付的；</w:t>
      </w:r>
    </w:p>
    <w:p>
      <w:pPr>
        <w:pBdr>
          <w:bottom w:val="single" w:color="auto" w:sz="6" w:space="1"/>
        </w:pBd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16.5.2采用非电子形式提交投标保证金的投标人存在16.4条款所列情形，且未按招标人要求补交银行保函、专业工程担保公司担保或保证保险原件的；</w:t>
      </w:r>
    </w:p>
    <w:p>
      <w:pPr>
        <w:pBdr>
          <w:bottom w:val="single" w:color="auto" w:sz="6" w:space="1"/>
        </w:pBd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16.5.3按招标文件要求免于提供投标保证金的投标人存在16.4条款所列情形，且未按招标人要求补交投标保证金的；</w:t>
      </w:r>
    </w:p>
    <w:p>
      <w:pPr>
        <w:pBdr>
          <w:bottom w:val="single" w:color="auto" w:sz="6" w:space="1"/>
        </w:pBd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16.5.3按招标文件要求免于提供投标保证金的投标人存在16.4条款所列情形的。</w:t>
      </w:r>
    </w:p>
    <w:p>
      <w:pPr>
        <w:pBdr>
          <w:bottom w:val="single" w:color="auto" w:sz="6" w:space="1"/>
        </w:pBdr>
        <w:spacing w:line="360" w:lineRule="auto"/>
        <w:ind w:firstLine="420" w:firstLineChars="200"/>
        <w:rPr>
          <w:rFonts w:hint="eastAsia" w:hAnsi="宋体" w:cs="宋体"/>
          <w:b/>
          <w:color w:val="auto"/>
          <w:szCs w:val="21"/>
          <w:highlight w:val="none"/>
        </w:rPr>
      </w:pPr>
      <w:r>
        <w:rPr>
          <w:rFonts w:hint="eastAsia" w:ascii="宋体" w:hAnsi="宋体" w:cs="宋体"/>
          <w:color w:val="auto"/>
          <w:szCs w:val="21"/>
          <w:highlight w:val="none"/>
        </w:rPr>
        <w:t>注：16.5.3款由招标人二选一，需在招标文件中明确。</w:t>
      </w:r>
    </w:p>
    <w:p>
      <w:pPr>
        <w:pBdr>
          <w:bottom w:val="single" w:color="auto" w:sz="6" w:space="1"/>
        </w:pBdr>
        <w:spacing w:line="360" w:lineRule="auto"/>
        <w:ind w:firstLine="422" w:firstLineChars="200"/>
        <w:rPr>
          <w:rFonts w:hint="eastAsia" w:hAnsi="宋体" w:cs="宋体"/>
          <w:b/>
          <w:color w:val="auto"/>
          <w:szCs w:val="21"/>
          <w:highlight w:val="none"/>
        </w:rPr>
      </w:pPr>
      <w:r>
        <w:rPr>
          <w:rFonts w:hint="eastAsia" w:hAnsi="宋体" w:cs="宋体"/>
          <w:b/>
          <w:color w:val="auto"/>
          <w:szCs w:val="21"/>
          <w:highlight w:val="none"/>
        </w:rPr>
        <w:t>现文：</w:t>
      </w:r>
      <w:r>
        <w:rPr>
          <w:rFonts w:hint="eastAsia" w:ascii="宋体" w:hAnsi="宋体" w:cs="宋体"/>
          <w:color w:val="auto"/>
          <w:szCs w:val="21"/>
          <w:highlight w:val="none"/>
        </w:rPr>
        <w:t>16.1</w:t>
      </w:r>
      <w:r>
        <w:rPr>
          <w:rFonts w:hint="eastAsia" w:ascii="宋体" w:hAnsi="宋体" w:cs="宋体"/>
          <w:color w:val="auto"/>
          <w:szCs w:val="21"/>
          <w:highlight w:val="none"/>
          <w:u w:val="single"/>
        </w:rPr>
        <w:t>本项目不收投标保证金。</w:t>
      </w:r>
    </w:p>
    <w:p>
      <w:pPr>
        <w:pBdr>
          <w:bottom w:val="single" w:color="auto" w:sz="6" w:space="1"/>
        </w:pBdr>
        <w:spacing w:line="360" w:lineRule="auto"/>
        <w:ind w:firstLine="420" w:firstLineChars="200"/>
        <w:rPr>
          <w:rFonts w:hint="eastAsia" w:ascii="宋体" w:hAnsi="宋体" w:cs="宋体"/>
          <w:strike/>
          <w:color w:val="auto"/>
          <w:szCs w:val="21"/>
          <w:highlight w:val="none"/>
        </w:rPr>
      </w:pPr>
      <w:r>
        <w:rPr>
          <w:rFonts w:hint="eastAsia" w:ascii="宋体" w:hAnsi="宋体" w:cs="宋体"/>
          <w:strike/>
          <w:color w:val="auto"/>
          <w:szCs w:val="21"/>
          <w:highlight w:val="none"/>
        </w:rPr>
        <w:t>16.2开标时投标人没有按要求提供投标保证金的，其投标文件将被否决；未按招标文件要求提交符合免予提供投标保证金相关证明材料，且未提交投标保证金的投标人，视为未按要求提供投标保证金。</w:t>
      </w:r>
    </w:p>
    <w:p>
      <w:pPr>
        <w:pBdr>
          <w:bottom w:val="single" w:color="auto" w:sz="6" w:space="1"/>
        </w:pBdr>
        <w:spacing w:line="360" w:lineRule="auto"/>
        <w:ind w:firstLine="420" w:firstLineChars="200"/>
        <w:rPr>
          <w:rFonts w:hint="eastAsia" w:ascii="宋体" w:hAnsi="宋体" w:cs="宋体"/>
          <w:color w:val="auto"/>
          <w:szCs w:val="21"/>
          <w:highlight w:val="none"/>
        </w:rPr>
      </w:pPr>
      <w:r>
        <w:rPr>
          <w:rFonts w:hint="eastAsia" w:ascii="宋体" w:hAnsi="宋体" w:cs="宋体"/>
          <w:strike/>
          <w:color w:val="auto"/>
          <w:szCs w:val="21"/>
          <w:highlight w:val="none"/>
        </w:rPr>
        <w:t>16.3投标保证金应依据法律法规的相关规定退还。</w:t>
      </w:r>
    </w:p>
    <w:p>
      <w:pPr>
        <w:pBdr>
          <w:bottom w:val="single" w:color="auto" w:sz="6" w:space="1"/>
        </w:pBd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16.4如有下列情况之一的，</w:t>
      </w:r>
      <w:r>
        <w:rPr>
          <w:rFonts w:hint="eastAsia" w:ascii="宋体" w:hAnsi="宋体" w:cs="宋体"/>
          <w:color w:val="auto"/>
          <w:szCs w:val="21"/>
          <w:highlight w:val="none"/>
          <w:u w:val="single"/>
        </w:rPr>
        <w:t>招标人按第16.5款规定执行</w:t>
      </w:r>
    </w:p>
    <w:p>
      <w:pPr>
        <w:pBdr>
          <w:bottom w:val="single" w:color="auto" w:sz="6" w:space="1"/>
        </w:pBd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16.4.1因投标人原因造成投标文件未解密的；</w:t>
      </w:r>
    </w:p>
    <w:p>
      <w:pPr>
        <w:pBdr>
          <w:bottom w:val="single" w:color="auto" w:sz="6" w:space="1"/>
        </w:pBd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16.4.2投标人在投标有效期内撤销投标文件</w:t>
      </w:r>
      <w:r>
        <w:rPr>
          <w:rFonts w:hint="eastAsia" w:ascii="宋体" w:hAnsi="宋体" w:cs="宋体"/>
          <w:color w:val="auto"/>
          <w:szCs w:val="21"/>
          <w:highlight w:val="none"/>
          <w:u w:val="single"/>
        </w:rPr>
        <w:t>或放弃中标资格的</w:t>
      </w:r>
      <w:r>
        <w:rPr>
          <w:rFonts w:hint="eastAsia" w:ascii="宋体" w:hAnsi="宋体" w:cs="宋体"/>
          <w:color w:val="auto"/>
          <w:szCs w:val="21"/>
          <w:highlight w:val="none"/>
        </w:rPr>
        <w:t>；</w:t>
      </w:r>
    </w:p>
    <w:p>
      <w:pPr>
        <w:pBdr>
          <w:bottom w:val="single" w:color="auto" w:sz="6" w:space="1"/>
        </w:pBd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16.4.3中标人未能在规定期限内按要求提交履约担保；</w:t>
      </w:r>
    </w:p>
    <w:p>
      <w:pPr>
        <w:pBdr>
          <w:bottom w:val="single" w:color="auto" w:sz="6" w:space="1"/>
        </w:pBd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16.4.4中标人未能在规定期限内签署合同协议</w:t>
      </w:r>
      <w:r>
        <w:rPr>
          <w:rFonts w:hint="eastAsia" w:ascii="宋体" w:hAnsi="宋体" w:cs="宋体"/>
          <w:color w:val="auto"/>
          <w:szCs w:val="21"/>
          <w:highlight w:val="none"/>
          <w:u w:val="single"/>
        </w:rPr>
        <w:t>；</w:t>
      </w:r>
    </w:p>
    <w:p>
      <w:pPr>
        <w:pBdr>
          <w:bottom w:val="single" w:color="auto" w:sz="6" w:space="1"/>
        </w:pBdr>
        <w:spacing w:line="360" w:lineRule="auto"/>
        <w:ind w:firstLine="420" w:firstLineChars="200"/>
        <w:rPr>
          <w:rFonts w:hint="eastAsia" w:hAnsi="宋体" w:cs="宋体"/>
          <w:b/>
          <w:color w:val="auto"/>
          <w:szCs w:val="21"/>
          <w:highlight w:val="none"/>
          <w:u w:val="single"/>
        </w:rPr>
      </w:pPr>
      <w:r>
        <w:rPr>
          <w:rFonts w:hint="eastAsia" w:ascii="宋体" w:hAnsi="宋体" w:cs="宋体"/>
          <w:color w:val="auto"/>
          <w:szCs w:val="21"/>
          <w:highlight w:val="none"/>
          <w:u w:val="single"/>
        </w:rPr>
        <w:t>16.4.5投标人弄虚作假骗取中标的。</w:t>
      </w:r>
    </w:p>
    <w:p>
      <w:pPr>
        <w:pBdr>
          <w:bottom w:val="single" w:color="auto" w:sz="6" w:space="1"/>
        </w:pBd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16.5投标人如存在下列情况之一的，</w:t>
      </w:r>
      <w:r>
        <w:rPr>
          <w:rFonts w:hint="eastAsia" w:ascii="宋体" w:hAnsi="宋体" w:cs="宋体"/>
          <w:color w:val="auto"/>
          <w:szCs w:val="21"/>
          <w:highlight w:val="none"/>
          <w:u w:val="single"/>
        </w:rPr>
        <w:t>将被拒绝在3个月内参与招标人后续工程投标</w:t>
      </w:r>
      <w:r>
        <w:rPr>
          <w:rFonts w:hint="eastAsia" w:ascii="宋体" w:hAnsi="宋体" w:cs="宋体"/>
          <w:color w:val="auto"/>
          <w:szCs w:val="21"/>
          <w:highlight w:val="none"/>
        </w:rPr>
        <w:t>：</w:t>
      </w:r>
    </w:p>
    <w:p>
      <w:pPr>
        <w:pBdr>
          <w:bottom w:val="single" w:color="auto" w:sz="6" w:space="1"/>
        </w:pBd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16.5.1投标人存在16.4条款所列情形且投标人提交的保函、担保或保证保险无法兑付的；</w:t>
      </w:r>
    </w:p>
    <w:p>
      <w:pPr>
        <w:pBdr>
          <w:bottom w:val="single" w:color="auto" w:sz="6" w:space="1"/>
        </w:pBdr>
        <w:spacing w:line="360" w:lineRule="auto"/>
        <w:ind w:firstLine="420" w:firstLineChars="200"/>
        <w:rPr>
          <w:rFonts w:hint="eastAsia" w:ascii="宋体" w:hAnsi="宋体" w:cs="宋体"/>
          <w:strike/>
          <w:color w:val="auto"/>
          <w:szCs w:val="21"/>
          <w:highlight w:val="none"/>
        </w:rPr>
      </w:pPr>
      <w:r>
        <w:rPr>
          <w:rFonts w:hint="eastAsia" w:ascii="宋体" w:hAnsi="宋体" w:cs="宋体"/>
          <w:strike/>
          <w:color w:val="auto"/>
          <w:szCs w:val="21"/>
          <w:highlight w:val="none"/>
        </w:rPr>
        <w:t>16.5.2采用非电子形式提交投标保证金的投标人存在16.4条款所列情形，且未按招标人要求补交银行保函、专业工程担保公司担保或保证保险原件的；</w:t>
      </w:r>
    </w:p>
    <w:p>
      <w:pPr>
        <w:pBdr>
          <w:bottom w:val="single" w:color="auto" w:sz="6" w:space="1"/>
        </w:pBdr>
        <w:spacing w:line="360" w:lineRule="auto"/>
        <w:ind w:firstLine="420" w:firstLineChars="200"/>
        <w:rPr>
          <w:rFonts w:hint="eastAsia" w:ascii="宋体" w:hAnsi="宋体" w:eastAsia="宋体" w:cs="宋体"/>
          <w:color w:val="auto"/>
          <w:sz w:val="21"/>
          <w:szCs w:val="21"/>
          <w:highlight w:val="none"/>
        </w:rPr>
      </w:pPr>
      <w:r>
        <w:rPr>
          <w:rFonts w:hint="eastAsia" w:ascii="宋体" w:hAnsi="宋体" w:cs="宋体"/>
          <w:color w:val="auto"/>
          <w:szCs w:val="21"/>
          <w:highlight w:val="none"/>
        </w:rPr>
        <w:t>16.5.3</w:t>
      </w:r>
      <w:r>
        <w:rPr>
          <w:rFonts w:hint="eastAsia" w:ascii="宋体" w:hAnsi="宋体" w:cs="宋体"/>
          <w:color w:val="auto"/>
          <w:szCs w:val="21"/>
          <w:highlight w:val="none"/>
          <w:u w:val="single"/>
        </w:rPr>
        <w:t>按招标文件要求免于提供投标保证金的投标人存在16.4条款所列情形</w:t>
      </w:r>
      <w:r>
        <w:rPr>
          <w:rFonts w:hint="eastAsia" w:ascii="宋体" w:hAnsi="宋体" w:eastAsia="宋体" w:cs="宋体"/>
          <w:color w:val="auto"/>
          <w:sz w:val="21"/>
          <w:szCs w:val="21"/>
          <w:highlight w:val="none"/>
          <w:u w:val="single"/>
        </w:rPr>
        <w:t>。</w:t>
      </w:r>
    </w:p>
    <w:p>
      <w:pPr>
        <w:pStyle w:val="18"/>
        <w:spacing w:after="0"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w:t>
      </w:r>
      <w:r>
        <w:rPr>
          <w:rFonts w:hint="eastAsia" w:ascii="宋体" w:hAnsi="宋体" w:eastAsia="宋体" w:cs="宋体"/>
          <w:b/>
          <w:bCs/>
          <w:color w:val="auto"/>
          <w:sz w:val="21"/>
          <w:szCs w:val="21"/>
          <w:highlight w:val="none"/>
        </w:rPr>
        <w:t>17．</w:t>
      </w:r>
      <w:r>
        <w:rPr>
          <w:rFonts w:hint="eastAsia" w:ascii="宋体" w:hAnsi="宋体" w:eastAsia="宋体" w:cs="宋体"/>
          <w:b/>
          <w:color w:val="auto"/>
          <w:sz w:val="21"/>
          <w:szCs w:val="21"/>
          <w:highlight w:val="none"/>
        </w:rPr>
        <w:t xml:space="preserve">投标文件的签署    </w:t>
      </w:r>
      <w:r>
        <w:rPr>
          <w:rFonts w:hint="eastAsia" w:ascii="宋体" w:hAnsi="宋体" w:cs="宋体"/>
          <w:b/>
          <w:color w:val="auto"/>
          <w:sz w:val="21"/>
          <w:szCs w:val="21"/>
          <w:highlight w:val="none"/>
          <w:lang w:val="en-US" w:eastAsia="zh-CN"/>
        </w:rPr>
        <w:t xml:space="preserve">     </w:t>
      </w:r>
      <w:r>
        <w:rPr>
          <w:rFonts w:hint="eastAsia" w:ascii="宋体" w:hAnsi="宋体" w:eastAsia="宋体" w:cs="宋体"/>
          <w:b/>
          <w:color w:val="auto"/>
          <w:sz w:val="21"/>
          <w:szCs w:val="21"/>
          <w:highlight w:val="none"/>
        </w:rPr>
        <w:t>修改类型：修改</w:t>
      </w:r>
    </w:p>
    <w:p>
      <w:pPr>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原文：</w:t>
      </w:r>
      <w:r>
        <w:rPr>
          <w:rFonts w:hint="eastAsia" w:ascii="宋体" w:hAnsi="宋体" w:eastAsia="宋体" w:cs="宋体"/>
          <w:b/>
          <w:bCs/>
          <w:color w:val="auto"/>
          <w:sz w:val="21"/>
          <w:szCs w:val="21"/>
          <w:highlight w:val="none"/>
        </w:rPr>
        <w:t>17．</w:t>
      </w:r>
      <w:r>
        <w:rPr>
          <w:rFonts w:hint="eastAsia" w:ascii="宋体" w:hAnsi="宋体" w:eastAsia="宋体" w:cs="宋体"/>
          <w:b/>
          <w:color w:val="auto"/>
          <w:sz w:val="21"/>
          <w:szCs w:val="21"/>
          <w:highlight w:val="none"/>
        </w:rPr>
        <w:t xml:space="preserve">投标文件的签署   </w:t>
      </w:r>
    </w:p>
    <w:p>
      <w:pPr>
        <w:spacing w:line="360" w:lineRule="auto"/>
        <w:ind w:firstLine="420" w:firstLineChars="200"/>
        <w:rPr>
          <w:rFonts w:hint="eastAsia" w:ascii="宋体" w:hAnsi="宋体" w:eastAsia="宋体" w:cs="宋体"/>
          <w:bCs/>
          <w:color w:val="auto"/>
          <w:kern w:val="0"/>
          <w:sz w:val="21"/>
          <w:szCs w:val="21"/>
          <w:highlight w:val="none"/>
        </w:rPr>
      </w:pPr>
      <w:r>
        <w:rPr>
          <w:rFonts w:hint="eastAsia" w:ascii="宋体" w:hAnsi="宋体" w:eastAsia="宋体" w:cs="宋体"/>
          <w:color w:val="auto"/>
          <w:sz w:val="21"/>
          <w:szCs w:val="21"/>
          <w:highlight w:val="none"/>
        </w:rPr>
        <w:t>17.1</w:t>
      </w:r>
      <w:r>
        <w:rPr>
          <w:rFonts w:hint="eastAsia" w:ascii="宋体" w:hAnsi="宋体" w:eastAsia="宋体" w:cs="宋体"/>
          <w:bCs/>
          <w:color w:val="auto"/>
          <w:kern w:val="0"/>
          <w:sz w:val="21"/>
          <w:szCs w:val="21"/>
          <w:highlight w:val="none"/>
        </w:rPr>
        <w:t>投标人应采用单位数字证书，按招标文件要求在相应位置加盖电子印章。投标文件中需个人签字或盖章的，</w:t>
      </w:r>
      <w:r>
        <w:rPr>
          <w:rFonts w:hint="eastAsia" w:ascii="宋体" w:hAnsi="宋体" w:eastAsia="宋体" w:cs="宋体"/>
          <w:b/>
          <w:color w:val="auto"/>
          <w:kern w:val="0"/>
          <w:sz w:val="21"/>
          <w:szCs w:val="21"/>
          <w:highlight w:val="none"/>
        </w:rPr>
        <w:t>应加盖个人电子印章或在线下完成后扫描上传。</w:t>
      </w:r>
      <w:r>
        <w:rPr>
          <w:rFonts w:hint="eastAsia" w:ascii="宋体" w:hAnsi="宋体" w:eastAsia="宋体" w:cs="宋体"/>
          <w:bCs/>
          <w:color w:val="auto"/>
          <w:kern w:val="0"/>
          <w:sz w:val="21"/>
          <w:szCs w:val="21"/>
          <w:highlight w:val="none"/>
        </w:rPr>
        <w:t>按照交易平台关于全流程电子化项目的相关指南进行操作。详见：</w:t>
      </w:r>
      <w:r>
        <w:rPr>
          <w:rFonts w:hint="eastAsia" w:ascii="宋体" w:hAnsi="宋体" w:eastAsia="宋体" w:cs="宋体"/>
          <w:bCs/>
          <w:color w:val="auto"/>
          <w:kern w:val="0"/>
          <w:sz w:val="21"/>
          <w:szCs w:val="21"/>
          <w:highlight w:val="none"/>
          <w:u w:val="single"/>
        </w:rPr>
        <w:t xml:space="preserve">             </w:t>
      </w:r>
      <w:r>
        <w:rPr>
          <w:rFonts w:hint="eastAsia" w:ascii="宋体" w:hAnsi="宋体" w:eastAsia="宋体" w:cs="宋体"/>
          <w:bCs/>
          <w:color w:val="auto"/>
          <w:kern w:val="0"/>
          <w:sz w:val="21"/>
          <w:szCs w:val="21"/>
          <w:highlight w:val="none"/>
        </w:rPr>
        <w:t>。</w:t>
      </w:r>
    </w:p>
    <w:p>
      <w:pPr>
        <w:pBdr>
          <w:bottom w:val="single" w:color="auto" w:sz="6" w:space="1"/>
        </w:pBdr>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现文：17．投标文件的签署</w:t>
      </w:r>
      <w:r>
        <w:rPr>
          <w:rFonts w:hint="eastAsia" w:ascii="宋体" w:hAnsi="宋体" w:cs="宋体"/>
          <w:b/>
          <w:color w:val="auto"/>
          <w:szCs w:val="21"/>
          <w:highlight w:val="none"/>
          <w:u w:val="single"/>
        </w:rPr>
        <w:t>及份数</w:t>
      </w:r>
    </w:p>
    <w:p>
      <w:pPr>
        <w:pBdr>
          <w:bottom w:val="single" w:color="auto" w:sz="6" w:space="1"/>
        </w:pBd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17.1投标人应采用单位数字证书，按招标文件要求在相应位置加盖电子印章。投标文件中需个人签字或盖章的，应加盖个人电子印章或在线下完成后</w:t>
      </w:r>
      <w:r>
        <w:rPr>
          <w:rFonts w:hint="eastAsia" w:ascii="宋体" w:hAnsi="宋体" w:cs="宋体"/>
          <w:color w:val="auto"/>
          <w:szCs w:val="21"/>
          <w:highlight w:val="none"/>
          <w:lang w:val="en-US" w:eastAsia="zh-CN"/>
        </w:rPr>
        <w:t>原件</w:t>
      </w:r>
      <w:r>
        <w:rPr>
          <w:rFonts w:hint="eastAsia" w:ascii="宋体" w:hAnsi="宋体" w:cs="宋体"/>
          <w:color w:val="auto"/>
          <w:szCs w:val="21"/>
          <w:highlight w:val="none"/>
        </w:rPr>
        <w:t>扫描上传。按照</w:t>
      </w:r>
      <w:r>
        <w:rPr>
          <w:rFonts w:hint="eastAsia" w:ascii="宋体" w:hAnsi="宋体"/>
          <w:color w:val="auto"/>
          <w:szCs w:val="21"/>
          <w:highlight w:val="none"/>
          <w:u w:val="single"/>
        </w:rPr>
        <w:t>广州交易集团有限公司（广州公共资源交易中心）</w:t>
      </w:r>
      <w:r>
        <w:rPr>
          <w:rFonts w:hint="eastAsia" w:ascii="宋体" w:hAnsi="宋体" w:cs="宋体"/>
          <w:color w:val="auto"/>
          <w:szCs w:val="21"/>
          <w:highlight w:val="none"/>
        </w:rPr>
        <w:t>交易平台关于全流程电子化项目的相关指南进行操作。详见：</w:t>
      </w:r>
      <w:r>
        <w:rPr>
          <w:rFonts w:hint="eastAsia" w:ascii="宋体" w:hAnsi="宋体" w:cs="宋体"/>
          <w:color w:val="auto"/>
          <w:szCs w:val="21"/>
          <w:highlight w:val="none"/>
          <w:u w:val="single"/>
        </w:rPr>
        <w:t>广州交易集团有限公司（广州公共资源交易中心）网站最新指引</w:t>
      </w:r>
      <w:r>
        <w:rPr>
          <w:rFonts w:hint="eastAsia" w:ascii="宋体" w:hAnsi="宋体" w:cs="宋体"/>
          <w:color w:val="auto"/>
          <w:szCs w:val="21"/>
          <w:highlight w:val="none"/>
        </w:rPr>
        <w:t>。</w:t>
      </w:r>
    </w:p>
    <w:p>
      <w:pPr>
        <w:pBdr>
          <w:bottom w:val="single" w:color="auto" w:sz="6" w:space="1"/>
        </w:pBdr>
        <w:spacing w:line="360" w:lineRule="auto"/>
        <w:ind w:firstLine="420" w:firstLineChars="200"/>
        <w:rPr>
          <w:rFonts w:hint="eastAsia" w:ascii="宋体" w:hAnsi="宋体" w:eastAsia="宋体" w:cs="宋体"/>
          <w:b/>
          <w:color w:val="auto"/>
          <w:sz w:val="21"/>
          <w:szCs w:val="21"/>
          <w:highlight w:val="none"/>
        </w:rPr>
      </w:pPr>
      <w:r>
        <w:rPr>
          <w:rFonts w:hint="eastAsia" w:ascii="宋体" w:hAnsi="宋体" w:cs="宋体"/>
          <w:color w:val="auto"/>
          <w:szCs w:val="21"/>
          <w:highlight w:val="none"/>
          <w:u w:val="single"/>
        </w:rPr>
        <w:t>17.2投标文件份数为含电子印章的加密电子投标文件1套。中标人在签订合同前需向招标人另行提供与投标递交的电子标书一致且加盖单位公章的纸质投标文件（含投标人须知11.3列表明细包含的所有工程量清单报价表）4份及电子文件1份（不用生成投标书；包括用Microsoft Excel 软件或广州交易集团有限公司（广州公共资源交易中心）提供的投标书制作软件制作的工程量清单报价表和单价分析表，用 Microsoft Word 软件或广州交易集团有限公司（广州公共资源交易中心）提供的投标书制作软件制作的经济投标文件其他部分。电子文件介质使用CD-R光盘，所有电子文件不能采用压缩处理）</w:t>
      </w:r>
      <w:r>
        <w:rPr>
          <w:rFonts w:hint="eastAsia" w:ascii="宋体" w:hAnsi="宋体" w:eastAsia="宋体" w:cs="宋体"/>
          <w:color w:val="auto"/>
          <w:szCs w:val="21"/>
          <w:highlight w:val="none"/>
          <w:u w:val="single"/>
        </w:rPr>
        <w:t>。</w:t>
      </w:r>
    </w:p>
    <w:p>
      <w:pPr>
        <w:spacing w:line="360" w:lineRule="auto"/>
        <w:ind w:firstLine="413" w:firstLineChars="19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w:t>
      </w:r>
      <w:r>
        <w:rPr>
          <w:rFonts w:hint="eastAsia" w:ascii="宋体" w:hAnsi="宋体" w:eastAsia="宋体" w:cs="宋体"/>
          <w:b/>
          <w:bCs/>
          <w:color w:val="auto"/>
          <w:sz w:val="21"/>
          <w:szCs w:val="21"/>
          <w:highlight w:val="none"/>
        </w:rPr>
        <w:t>18</w:t>
      </w:r>
      <w:r>
        <w:rPr>
          <w:rFonts w:hint="eastAsia" w:ascii="宋体" w:hAnsi="宋体" w:cs="宋体"/>
          <w:b/>
          <w:bCs/>
          <w:color w:val="auto"/>
          <w:sz w:val="21"/>
          <w:szCs w:val="21"/>
          <w:highlight w:val="none"/>
          <w:lang w:val="en-US" w:eastAsia="zh-CN"/>
        </w:rPr>
        <w:t xml:space="preserve"> </w:t>
      </w:r>
      <w:r>
        <w:rPr>
          <w:rFonts w:hint="eastAsia" w:ascii="宋体" w:hAnsi="宋体" w:eastAsia="宋体" w:cs="宋体"/>
          <w:b/>
          <w:color w:val="auto"/>
          <w:sz w:val="21"/>
          <w:szCs w:val="21"/>
          <w:highlight w:val="none"/>
        </w:rPr>
        <w:t xml:space="preserve">               </w:t>
      </w:r>
      <w:r>
        <w:rPr>
          <w:rFonts w:hint="eastAsia" w:ascii="宋体" w:hAnsi="宋体" w:cs="宋体"/>
          <w:b/>
          <w:color w:val="auto"/>
          <w:sz w:val="21"/>
          <w:szCs w:val="21"/>
          <w:highlight w:val="none"/>
          <w:lang w:val="en-US" w:eastAsia="zh-CN"/>
        </w:rPr>
        <w:t xml:space="preserve">         </w:t>
      </w:r>
      <w:r>
        <w:rPr>
          <w:rFonts w:hint="eastAsia" w:ascii="宋体" w:hAnsi="宋体" w:eastAsia="宋体" w:cs="宋体"/>
          <w:b/>
          <w:color w:val="auto"/>
          <w:sz w:val="21"/>
          <w:szCs w:val="21"/>
          <w:highlight w:val="none"/>
        </w:rPr>
        <w:t>修改类型：修改</w:t>
      </w:r>
    </w:p>
    <w:p>
      <w:pPr>
        <w:spacing w:line="360" w:lineRule="auto"/>
        <w:ind w:firstLine="413" w:firstLineChars="196"/>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rPr>
        <w:t>原文：</w:t>
      </w:r>
      <w:r>
        <w:rPr>
          <w:rFonts w:hint="eastAsia" w:ascii="宋体" w:hAnsi="宋体" w:eastAsia="宋体" w:cs="宋体"/>
          <w:bCs/>
          <w:color w:val="auto"/>
          <w:sz w:val="21"/>
          <w:szCs w:val="21"/>
          <w:highlight w:val="none"/>
        </w:rPr>
        <w:t>18．</w:t>
      </w:r>
      <w:r>
        <w:rPr>
          <w:rFonts w:hint="eastAsia" w:ascii="宋体" w:hAnsi="宋体" w:eastAsia="宋体" w:cs="宋体"/>
          <w:color w:val="auto"/>
          <w:sz w:val="21"/>
          <w:szCs w:val="21"/>
          <w:highlight w:val="none"/>
        </w:rPr>
        <w:t>投标文件的密封和标记</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18.1递交的电子投标文件（不含备用光盘）必须进行加密。按照交易平台关于</w:t>
      </w:r>
      <w:r>
        <w:rPr>
          <w:rFonts w:hint="eastAsia" w:ascii="宋体" w:hAnsi="宋体" w:eastAsia="宋体" w:cs="宋体"/>
          <w:color w:val="auto"/>
          <w:sz w:val="21"/>
          <w:szCs w:val="21"/>
          <w:highlight w:val="none"/>
        </w:rPr>
        <w:t>全流程电子化项目的相关指南进行操作。详见：</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18.2 未按要求加密的投标文件，</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交易平台</w:t>
      </w:r>
      <w:r>
        <w:rPr>
          <w:rFonts w:hint="eastAsia" w:ascii="宋体" w:hAnsi="宋体" w:eastAsia="宋体" w:cs="宋体"/>
          <w:bCs/>
          <w:color w:val="auto"/>
          <w:sz w:val="21"/>
          <w:szCs w:val="21"/>
          <w:highlight w:val="none"/>
        </w:rPr>
        <w:t>将予以拒收。</w:t>
      </w:r>
    </w:p>
    <w:p>
      <w:pPr>
        <w:pBdr>
          <w:bottom w:val="single" w:color="auto" w:sz="6" w:space="1"/>
        </w:pBdr>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现文：</w:t>
      </w:r>
      <w:r>
        <w:rPr>
          <w:rFonts w:hint="eastAsia" w:ascii="宋体" w:hAnsi="宋体" w:eastAsia="宋体" w:cs="宋体"/>
          <w:bCs/>
          <w:color w:val="auto"/>
          <w:sz w:val="21"/>
          <w:szCs w:val="21"/>
          <w:highlight w:val="none"/>
        </w:rPr>
        <w:t>18．</w:t>
      </w:r>
      <w:r>
        <w:rPr>
          <w:rFonts w:hint="eastAsia" w:ascii="宋体" w:hAnsi="宋体" w:eastAsia="宋体" w:cs="宋体"/>
          <w:color w:val="auto"/>
          <w:sz w:val="21"/>
          <w:szCs w:val="21"/>
          <w:highlight w:val="none"/>
        </w:rPr>
        <w:t>投标文件的密封和标记</w:t>
      </w:r>
    </w:p>
    <w:p>
      <w:pPr>
        <w:pBdr>
          <w:bottom w:val="single" w:color="auto" w:sz="6" w:space="1"/>
        </w:pBdr>
        <w:spacing w:line="360" w:lineRule="auto"/>
        <w:ind w:firstLine="420" w:firstLineChars="200"/>
        <w:rPr>
          <w:rFonts w:hint="eastAsia" w:ascii="宋体" w:hAnsi="宋体" w:eastAsia="宋体" w:cs="宋体"/>
          <w:color w:val="auto"/>
          <w:szCs w:val="21"/>
          <w:highlight w:val="none"/>
          <w:u w:val="single"/>
          <w:lang w:eastAsia="zh-CN"/>
        </w:rPr>
      </w:pPr>
      <w:r>
        <w:rPr>
          <w:rFonts w:hint="eastAsia" w:ascii="宋体" w:hAnsi="宋体" w:cs="宋体"/>
          <w:color w:val="auto"/>
          <w:szCs w:val="21"/>
          <w:highlight w:val="none"/>
        </w:rPr>
        <w:t>18.1</w:t>
      </w:r>
      <w:r>
        <w:rPr>
          <w:rFonts w:hint="eastAsia" w:ascii="宋体" w:hAnsi="宋体" w:cs="宋体"/>
          <w:bCs/>
          <w:color w:val="auto"/>
          <w:szCs w:val="21"/>
          <w:highlight w:val="none"/>
        </w:rPr>
        <w:t>递交的电子投标文件（不含备用光盘）必须进行加密。按照</w:t>
      </w:r>
      <w:r>
        <w:rPr>
          <w:rFonts w:hint="eastAsia" w:ascii="宋体" w:hAnsi="宋体"/>
          <w:color w:val="auto"/>
          <w:szCs w:val="21"/>
          <w:highlight w:val="none"/>
          <w:u w:val="single"/>
        </w:rPr>
        <w:t>广州交易集团有限公司（广州公共资源交易中心）</w:t>
      </w:r>
      <w:r>
        <w:rPr>
          <w:rFonts w:hint="eastAsia" w:ascii="宋体" w:hAnsi="宋体" w:cs="宋体"/>
          <w:bCs/>
          <w:color w:val="auto"/>
          <w:szCs w:val="21"/>
          <w:highlight w:val="none"/>
        </w:rPr>
        <w:t>交易平台关于</w:t>
      </w:r>
      <w:r>
        <w:rPr>
          <w:rFonts w:hint="eastAsia" w:ascii="宋体" w:hAnsi="宋体" w:cs="宋体"/>
          <w:color w:val="auto"/>
          <w:szCs w:val="21"/>
          <w:highlight w:val="none"/>
        </w:rPr>
        <w:t>全流程电子化项目的相关指南进行操作。详见：</w:t>
      </w:r>
      <w:r>
        <w:rPr>
          <w:rFonts w:hint="eastAsia" w:ascii="宋体" w:hAnsi="宋体" w:cs="宋体"/>
          <w:color w:val="auto"/>
          <w:szCs w:val="21"/>
          <w:highlight w:val="none"/>
          <w:u w:val="single"/>
        </w:rPr>
        <w:t>广州交易集团有限公司（广州公共资源交易中心）网站最新指引</w:t>
      </w:r>
      <w:r>
        <w:rPr>
          <w:rFonts w:hint="eastAsia" w:ascii="宋体" w:hAnsi="宋体" w:cs="宋体"/>
          <w:color w:val="auto"/>
          <w:szCs w:val="21"/>
          <w:highlight w:val="none"/>
          <w:u w:val="single"/>
          <w:lang w:eastAsia="zh-CN"/>
        </w:rPr>
        <w:t>。</w:t>
      </w:r>
    </w:p>
    <w:p>
      <w:pPr>
        <w:pBdr>
          <w:bottom w:val="single" w:color="auto" w:sz="6" w:space="1"/>
        </w:pBd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18.2 未按要求加密的投标文件，</w:t>
      </w:r>
      <w:r>
        <w:rPr>
          <w:rFonts w:hint="eastAsia" w:ascii="宋体" w:hAnsi="宋体"/>
          <w:color w:val="auto"/>
          <w:szCs w:val="21"/>
          <w:highlight w:val="none"/>
          <w:u w:val="single"/>
        </w:rPr>
        <w:t>广州交易集团有限公司（广州公共资源交易中心）</w:t>
      </w:r>
      <w:r>
        <w:rPr>
          <w:rFonts w:hint="eastAsia" w:ascii="宋体" w:hAnsi="宋体" w:eastAsia="宋体" w:cs="宋体"/>
          <w:color w:val="auto"/>
          <w:sz w:val="21"/>
          <w:szCs w:val="21"/>
          <w:highlight w:val="none"/>
        </w:rPr>
        <w:t>交易平台</w:t>
      </w:r>
      <w:r>
        <w:rPr>
          <w:rFonts w:hint="eastAsia" w:ascii="宋体" w:hAnsi="宋体" w:eastAsia="宋体" w:cs="宋体"/>
          <w:bCs/>
          <w:color w:val="auto"/>
          <w:sz w:val="21"/>
          <w:szCs w:val="21"/>
          <w:highlight w:val="none"/>
        </w:rPr>
        <w:t>将予以拒收。</w:t>
      </w:r>
    </w:p>
    <w:p>
      <w:pPr>
        <w:spacing w:line="360" w:lineRule="auto"/>
        <w:ind w:firstLine="413" w:firstLineChars="196"/>
        <w:rPr>
          <w:rFonts w:hint="eastAsia" w:ascii="宋体" w:hAnsi="宋体" w:cs="宋体"/>
          <w:b/>
          <w:color w:val="auto"/>
          <w:szCs w:val="21"/>
          <w:highlight w:val="none"/>
        </w:rPr>
      </w:pPr>
      <w:r>
        <w:rPr>
          <w:rFonts w:hint="eastAsia" w:ascii="宋体" w:hAnsi="宋体" w:cs="宋体"/>
          <w:b/>
          <w:color w:val="auto"/>
          <w:szCs w:val="21"/>
          <w:highlight w:val="none"/>
        </w:rPr>
        <w:t>条款号：19                          修改类型：修改</w:t>
      </w:r>
    </w:p>
    <w:p>
      <w:pPr>
        <w:pBdr>
          <w:bottom w:val="single" w:color="auto" w:sz="6" w:space="1"/>
        </w:pBdr>
        <w:spacing w:line="360" w:lineRule="auto"/>
        <w:ind w:firstLine="422" w:firstLineChars="200"/>
        <w:rPr>
          <w:rFonts w:hint="eastAsia" w:ascii="宋体" w:hAnsi="宋体" w:cs="宋体"/>
          <w:color w:val="auto"/>
          <w:szCs w:val="21"/>
          <w:highlight w:val="none"/>
        </w:rPr>
      </w:pPr>
      <w:r>
        <w:rPr>
          <w:rFonts w:hint="eastAsia" w:ascii="宋体" w:hAnsi="宋体" w:cs="宋体"/>
          <w:b/>
          <w:color w:val="auto"/>
          <w:szCs w:val="21"/>
          <w:highlight w:val="none"/>
        </w:rPr>
        <w:t>原文：19.投标文件的递交和接收</w:t>
      </w:r>
    </w:p>
    <w:p>
      <w:pPr>
        <w:pBdr>
          <w:bottom w:val="single" w:color="auto" w:sz="6" w:space="1"/>
        </w:pBdr>
        <w:spacing w:line="360" w:lineRule="auto"/>
        <w:ind w:firstLine="422" w:firstLineChars="200"/>
        <w:rPr>
          <w:rFonts w:hint="eastAsia" w:ascii="宋体" w:hAnsi="宋体" w:cs="宋体"/>
          <w:color w:val="auto"/>
          <w:szCs w:val="21"/>
          <w:highlight w:val="none"/>
        </w:rPr>
      </w:pPr>
      <w:r>
        <w:rPr>
          <w:rFonts w:hint="eastAsia" w:ascii="宋体" w:hAnsi="宋体" w:cs="宋体"/>
          <w:b/>
          <w:color w:val="auto"/>
          <w:szCs w:val="21"/>
          <w:highlight w:val="none"/>
        </w:rPr>
        <w:t>现文：19.</w:t>
      </w:r>
      <w:r>
        <w:rPr>
          <w:rFonts w:hint="eastAsia" w:ascii="宋体" w:hAnsi="宋体" w:cs="宋体"/>
          <w:b/>
          <w:color w:val="auto"/>
          <w:szCs w:val="21"/>
          <w:highlight w:val="none"/>
          <w:u w:val="single"/>
        </w:rPr>
        <w:t>投标登记和</w:t>
      </w:r>
      <w:r>
        <w:rPr>
          <w:rFonts w:hint="eastAsia" w:ascii="宋体" w:hAnsi="宋体" w:cs="宋体"/>
          <w:b/>
          <w:color w:val="auto"/>
          <w:szCs w:val="21"/>
          <w:highlight w:val="none"/>
        </w:rPr>
        <w:t>投标文件的递交和接收</w:t>
      </w:r>
    </w:p>
    <w:p>
      <w:pPr>
        <w:spacing w:line="360" w:lineRule="auto"/>
        <w:ind w:firstLine="413" w:firstLineChars="196"/>
        <w:rPr>
          <w:rFonts w:hint="eastAsia" w:ascii="宋体" w:hAnsi="宋体" w:cs="宋体"/>
          <w:b/>
          <w:color w:val="auto"/>
          <w:szCs w:val="21"/>
          <w:highlight w:val="none"/>
        </w:rPr>
      </w:pPr>
      <w:r>
        <w:rPr>
          <w:rFonts w:hint="eastAsia" w:ascii="宋体" w:hAnsi="宋体" w:cs="宋体"/>
          <w:b/>
          <w:color w:val="auto"/>
          <w:szCs w:val="21"/>
          <w:highlight w:val="none"/>
        </w:rPr>
        <w:t>条款号：19.1                        修改类型：修改</w:t>
      </w:r>
    </w:p>
    <w:p>
      <w:pPr>
        <w:spacing w:line="360" w:lineRule="auto"/>
        <w:ind w:firstLine="422" w:firstLineChars="200"/>
        <w:rPr>
          <w:rFonts w:hint="eastAsia" w:ascii="宋体" w:hAnsi="宋体" w:cs="宋体"/>
          <w:bCs/>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19.1</w:t>
      </w:r>
      <w:r>
        <w:rPr>
          <w:rFonts w:hint="eastAsia" w:ascii="宋体" w:hAnsi="宋体" w:cs="宋体"/>
          <w:bCs/>
          <w:color w:val="auto"/>
          <w:szCs w:val="21"/>
          <w:highlight w:val="none"/>
        </w:rPr>
        <w:t>投标人通过</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交易平台递交电子投标文件。</w:t>
      </w:r>
    </w:p>
    <w:p>
      <w:pPr>
        <w:pBdr>
          <w:bottom w:val="single" w:color="auto" w:sz="6" w:space="1"/>
        </w:pBdr>
        <w:spacing w:line="360" w:lineRule="auto"/>
        <w:ind w:firstLine="422" w:firstLineChars="200"/>
        <w:rPr>
          <w:rFonts w:hint="eastAsia"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19.1</w:t>
      </w:r>
      <w:r>
        <w:rPr>
          <w:rFonts w:hint="eastAsia" w:ascii="宋体" w:hAnsi="宋体" w:cs="宋体"/>
          <w:bCs/>
          <w:color w:val="auto"/>
          <w:szCs w:val="21"/>
          <w:highlight w:val="none"/>
        </w:rPr>
        <w:t>投标人通过</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交易平台递交电子投标文件。</w:t>
      </w:r>
    </w:p>
    <w:p>
      <w:pPr>
        <w:adjustRightInd w:val="0"/>
        <w:spacing w:line="360" w:lineRule="auto"/>
        <w:ind w:firstLine="472" w:firstLineChars="224"/>
        <w:textAlignment w:val="baseline"/>
        <w:rPr>
          <w:rFonts w:hint="eastAsia" w:ascii="宋体" w:hAnsi="宋体" w:cs="宋体"/>
          <w:b/>
          <w:color w:val="auto"/>
          <w:szCs w:val="21"/>
          <w:highlight w:val="none"/>
        </w:rPr>
      </w:pPr>
      <w:r>
        <w:rPr>
          <w:rFonts w:hint="eastAsia" w:ascii="宋体" w:hAnsi="宋体" w:cs="宋体"/>
          <w:b/>
          <w:color w:val="auto"/>
          <w:szCs w:val="21"/>
          <w:highlight w:val="none"/>
        </w:rPr>
        <w:t>条款号：19.2                       修改类型：修改</w:t>
      </w:r>
    </w:p>
    <w:p>
      <w:pPr>
        <w:adjustRightInd w:val="0"/>
        <w:spacing w:line="360" w:lineRule="auto"/>
        <w:ind w:firstLine="472" w:firstLineChars="224"/>
        <w:textAlignment w:val="baseline"/>
        <w:rPr>
          <w:rFonts w:hint="eastAsia"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19.2</w:t>
      </w:r>
      <w:r>
        <w:rPr>
          <w:rFonts w:hint="eastAsia" w:ascii="宋体" w:hAnsi="宋体" w:cs="宋体"/>
          <w:bCs/>
          <w:color w:val="auto"/>
          <w:szCs w:val="21"/>
          <w:highlight w:val="none"/>
        </w:rPr>
        <w:t>投标人完成电子</w:t>
      </w:r>
      <w:r>
        <w:rPr>
          <w:rFonts w:hint="eastAsia" w:ascii="宋体" w:hAnsi="宋体" w:cs="宋体"/>
          <w:color w:val="auto"/>
          <w:szCs w:val="21"/>
          <w:highlight w:val="none"/>
        </w:rPr>
        <w:t>投标文件</w:t>
      </w:r>
      <w:r>
        <w:rPr>
          <w:rFonts w:hint="eastAsia" w:ascii="宋体" w:hAnsi="宋体" w:cs="宋体"/>
          <w:bCs/>
          <w:color w:val="auto"/>
          <w:szCs w:val="21"/>
          <w:highlight w:val="none"/>
        </w:rPr>
        <w:t>上传后，</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交易平台即时向投标人发出递交回执通知。递交时间以递交回执通知载明的传输完成时间为准。</w:t>
      </w:r>
    </w:p>
    <w:p>
      <w:pPr>
        <w:pBdr>
          <w:bottom w:val="single" w:color="auto" w:sz="6" w:space="1"/>
        </w:pBdr>
        <w:adjustRightInd w:val="0"/>
        <w:spacing w:line="360" w:lineRule="auto"/>
        <w:ind w:firstLine="527" w:firstLineChars="250"/>
        <w:textAlignment w:val="baseline"/>
        <w:rPr>
          <w:rFonts w:hint="eastAsia"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19.2</w:t>
      </w:r>
      <w:r>
        <w:rPr>
          <w:rFonts w:hint="eastAsia" w:ascii="宋体" w:hAnsi="宋体" w:cs="宋体"/>
          <w:bCs/>
          <w:color w:val="auto"/>
          <w:szCs w:val="21"/>
          <w:highlight w:val="none"/>
        </w:rPr>
        <w:t>投标人完成电子</w:t>
      </w:r>
      <w:r>
        <w:rPr>
          <w:rFonts w:hint="eastAsia" w:ascii="宋体" w:hAnsi="宋体" w:cs="宋体"/>
          <w:color w:val="auto"/>
          <w:szCs w:val="21"/>
          <w:highlight w:val="none"/>
        </w:rPr>
        <w:t>投标文件</w:t>
      </w:r>
      <w:r>
        <w:rPr>
          <w:rFonts w:hint="eastAsia" w:ascii="宋体" w:hAnsi="宋体" w:cs="宋体"/>
          <w:bCs/>
          <w:color w:val="auto"/>
          <w:szCs w:val="21"/>
          <w:highlight w:val="none"/>
        </w:rPr>
        <w:t>上传后，</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交易平台即时向投标人发出递交回执通知。递交时间以递交回执通知载明的传输完成时间为准。</w:t>
      </w:r>
    </w:p>
    <w:p>
      <w:pPr>
        <w:adjustRightInd w:val="0"/>
        <w:spacing w:line="360" w:lineRule="auto"/>
        <w:ind w:firstLine="472" w:firstLineChars="224"/>
        <w:textAlignment w:val="baseline"/>
        <w:rPr>
          <w:rFonts w:hint="eastAsia" w:ascii="宋体" w:hAnsi="宋体" w:cs="宋体"/>
          <w:b/>
          <w:color w:val="auto"/>
          <w:szCs w:val="21"/>
          <w:highlight w:val="none"/>
        </w:rPr>
      </w:pPr>
      <w:r>
        <w:rPr>
          <w:rFonts w:hint="eastAsia" w:ascii="宋体" w:hAnsi="宋体" w:cs="宋体"/>
          <w:b/>
          <w:color w:val="auto"/>
          <w:szCs w:val="21"/>
          <w:highlight w:val="none"/>
        </w:rPr>
        <w:t>条款号：19.3                       修改类型：修改</w:t>
      </w:r>
    </w:p>
    <w:p>
      <w:pPr>
        <w:adjustRightInd w:val="0"/>
        <w:spacing w:line="360" w:lineRule="auto"/>
        <w:ind w:firstLine="422" w:firstLineChars="200"/>
        <w:textAlignment w:val="baseline"/>
        <w:rPr>
          <w:rFonts w:hint="eastAsia"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19.3</w:t>
      </w:r>
      <w:r>
        <w:rPr>
          <w:rFonts w:hint="eastAsia" w:ascii="宋体" w:hAnsi="宋体" w:cs="宋体"/>
          <w:bCs/>
          <w:color w:val="auto"/>
          <w:szCs w:val="21"/>
          <w:highlight w:val="none"/>
        </w:rPr>
        <w:t>逾期送达的电子投标文件，</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交易平台将予以拒收。</w:t>
      </w:r>
    </w:p>
    <w:p>
      <w:pPr>
        <w:pBdr>
          <w:bottom w:val="single" w:color="auto" w:sz="6" w:space="1"/>
        </w:pBdr>
        <w:adjustRightInd w:val="0"/>
        <w:spacing w:line="360" w:lineRule="auto"/>
        <w:ind w:firstLine="422" w:firstLineChars="200"/>
        <w:textAlignment w:val="baseline"/>
        <w:rPr>
          <w:rFonts w:hint="eastAsia"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19.3</w:t>
      </w:r>
      <w:r>
        <w:rPr>
          <w:rFonts w:hint="eastAsia" w:ascii="宋体" w:hAnsi="宋体" w:cs="宋体"/>
          <w:bCs/>
          <w:color w:val="auto"/>
          <w:szCs w:val="21"/>
          <w:highlight w:val="none"/>
        </w:rPr>
        <w:t>逾期送达的电子投标文件，</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交易平台将予以拒收。</w:t>
      </w:r>
    </w:p>
    <w:p>
      <w:pPr>
        <w:spacing w:line="360" w:lineRule="auto"/>
        <w:ind w:firstLine="472" w:firstLineChars="224"/>
        <w:textAlignment w:val="baseline"/>
        <w:rPr>
          <w:rFonts w:hint="eastAsia" w:ascii="宋体" w:hAnsi="宋体" w:cs="宋体"/>
          <w:b/>
          <w:color w:val="auto"/>
          <w:szCs w:val="21"/>
          <w:highlight w:val="none"/>
        </w:rPr>
      </w:pPr>
      <w:r>
        <w:rPr>
          <w:rFonts w:hint="eastAsia" w:ascii="宋体" w:hAnsi="宋体" w:cs="宋体"/>
          <w:b/>
          <w:color w:val="auto"/>
          <w:szCs w:val="21"/>
          <w:highlight w:val="none"/>
        </w:rPr>
        <w:t>条款号：19.5                       修改类型：修改</w:t>
      </w:r>
    </w:p>
    <w:p>
      <w:pPr>
        <w:spacing w:line="360" w:lineRule="auto"/>
        <w:ind w:firstLine="472" w:firstLineChars="224"/>
        <w:textAlignment w:val="baseline"/>
        <w:rPr>
          <w:rFonts w:hint="eastAsia"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19.5如技术标和经济标先后分别开启，</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交易平台将按招标文件规定的时间分别开启技术标和经济标。</w:t>
      </w:r>
    </w:p>
    <w:p>
      <w:pPr>
        <w:pBdr>
          <w:bottom w:val="single" w:color="auto" w:sz="6" w:space="1"/>
        </w:pBdr>
        <w:spacing w:line="360" w:lineRule="auto"/>
        <w:ind w:firstLine="527" w:firstLineChars="250"/>
        <w:textAlignment w:val="baseline"/>
        <w:rPr>
          <w:rFonts w:hint="eastAsia"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19.5</w:t>
      </w:r>
      <w:r>
        <w:rPr>
          <w:rFonts w:hint="eastAsia" w:ascii="宋体" w:hAnsi="宋体" w:cs="宋体"/>
          <w:color w:val="auto"/>
          <w:szCs w:val="21"/>
          <w:highlight w:val="none"/>
          <w:u w:val="single"/>
        </w:rPr>
        <w:t>广州交易集团有限公司（广州公共资源交易中心）交易平台将按招标文件规定的时间同时开启技术标和经济标。</w:t>
      </w:r>
    </w:p>
    <w:p>
      <w:pPr>
        <w:spacing w:line="360" w:lineRule="auto"/>
        <w:ind w:firstLine="472" w:firstLineChars="224"/>
        <w:rPr>
          <w:rFonts w:hint="eastAsia" w:ascii="宋体" w:hAnsi="宋体" w:cs="宋体"/>
          <w:b/>
          <w:color w:val="auto"/>
          <w:szCs w:val="21"/>
          <w:highlight w:val="none"/>
        </w:rPr>
      </w:pPr>
      <w:r>
        <w:rPr>
          <w:rFonts w:hint="eastAsia" w:ascii="宋体" w:hAnsi="宋体" w:cs="宋体"/>
          <w:b/>
          <w:color w:val="auto"/>
          <w:szCs w:val="21"/>
          <w:highlight w:val="none"/>
        </w:rPr>
        <w:t>条款号：20.3                       修改类型：修改</w:t>
      </w:r>
    </w:p>
    <w:p>
      <w:pPr>
        <w:pBdr>
          <w:bottom w:val="single" w:color="auto" w:sz="6" w:space="1"/>
        </w:pBdr>
        <w:spacing w:line="360" w:lineRule="auto"/>
        <w:ind w:firstLine="472" w:firstLineChars="224"/>
        <w:rPr>
          <w:rFonts w:hint="eastAsia"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20.3到投标截止时间止，招标人收到的投标文件少于3家的，招标人将重新组织招标（当N个标段同时招标且不允许兼中时，若有效投标人不足N+2家，则重新组织招标）。</w:t>
      </w:r>
    </w:p>
    <w:p>
      <w:pPr>
        <w:pBdr>
          <w:bottom w:val="single" w:color="auto" w:sz="6" w:space="1"/>
        </w:pBdr>
        <w:spacing w:line="360" w:lineRule="auto"/>
        <w:ind w:firstLine="472" w:firstLineChars="224"/>
        <w:rPr>
          <w:rFonts w:hint="eastAsia"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20.3</w:t>
      </w:r>
      <w:r>
        <w:rPr>
          <w:rFonts w:hint="eastAsia" w:ascii="宋体" w:hAnsi="宋体" w:cs="宋体"/>
          <w:color w:val="auto"/>
          <w:szCs w:val="21"/>
          <w:highlight w:val="none"/>
          <w:u w:val="single"/>
        </w:rPr>
        <w:t>到投标截止时间止，招标人收到的投标文件少于3家的，招标人将重新组织招标。</w:t>
      </w:r>
    </w:p>
    <w:p>
      <w:pPr>
        <w:adjustRightInd w:val="0"/>
        <w:spacing w:line="360" w:lineRule="auto"/>
        <w:ind w:firstLine="472" w:firstLineChars="224"/>
        <w:textAlignment w:val="baseline"/>
        <w:rPr>
          <w:rFonts w:hint="eastAsia" w:ascii="宋体" w:hAnsi="宋体" w:cs="宋体"/>
          <w:b/>
          <w:color w:val="auto"/>
          <w:szCs w:val="21"/>
          <w:highlight w:val="none"/>
        </w:rPr>
      </w:pPr>
      <w:r>
        <w:rPr>
          <w:rFonts w:hint="eastAsia" w:ascii="宋体" w:hAnsi="宋体" w:cs="宋体"/>
          <w:b/>
          <w:color w:val="auto"/>
          <w:szCs w:val="21"/>
          <w:highlight w:val="none"/>
        </w:rPr>
        <w:t>条款号：21.1                       修改类型：修改</w:t>
      </w:r>
    </w:p>
    <w:p>
      <w:pPr>
        <w:adjustRightInd w:val="0"/>
        <w:spacing w:line="360" w:lineRule="auto"/>
        <w:ind w:firstLine="472" w:firstLineChars="224"/>
        <w:textAlignment w:val="baseline"/>
        <w:rPr>
          <w:rFonts w:hint="eastAsia"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21.1本须知前附表第17项规定的投标截止时间</w:t>
      </w:r>
      <w:r>
        <w:rPr>
          <w:rFonts w:hint="eastAsia" w:ascii="宋体" w:hAnsi="宋体" w:cs="宋体"/>
          <w:bCs/>
          <w:color w:val="auto"/>
          <w:szCs w:val="21"/>
          <w:highlight w:val="none"/>
        </w:rPr>
        <w:t>后送达的电子投标文件，</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交易平台将予以拒收。</w:t>
      </w:r>
    </w:p>
    <w:p>
      <w:pPr>
        <w:pBdr>
          <w:bottom w:val="single" w:color="auto" w:sz="6" w:space="1"/>
        </w:pBdr>
        <w:adjustRightInd w:val="0"/>
        <w:spacing w:line="360" w:lineRule="auto"/>
        <w:ind w:firstLine="527" w:firstLineChars="250"/>
        <w:textAlignment w:val="baseline"/>
        <w:rPr>
          <w:rFonts w:hint="eastAsia"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21.1本须知前附表第17项规定的投标截止时间</w:t>
      </w:r>
      <w:r>
        <w:rPr>
          <w:rFonts w:hint="eastAsia" w:ascii="宋体" w:hAnsi="宋体" w:cs="宋体"/>
          <w:bCs/>
          <w:color w:val="auto"/>
          <w:szCs w:val="21"/>
          <w:highlight w:val="none"/>
        </w:rPr>
        <w:t>后送达的电子投标文件，</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交易平台将予以拒收。</w:t>
      </w:r>
    </w:p>
    <w:p>
      <w:pPr>
        <w:spacing w:line="360" w:lineRule="auto"/>
        <w:ind w:firstLine="413" w:firstLineChars="196"/>
        <w:rPr>
          <w:rFonts w:hint="eastAsia" w:ascii="宋体" w:hAnsi="宋体" w:cs="宋体"/>
          <w:b/>
          <w:color w:val="auto"/>
          <w:szCs w:val="21"/>
          <w:highlight w:val="none"/>
        </w:rPr>
      </w:pPr>
      <w:r>
        <w:rPr>
          <w:rFonts w:hint="eastAsia" w:ascii="宋体" w:hAnsi="宋体" w:cs="宋体"/>
          <w:b/>
          <w:color w:val="auto"/>
          <w:szCs w:val="21"/>
          <w:highlight w:val="none"/>
        </w:rPr>
        <w:t>条款号：27.1                        修改类型：修改</w:t>
      </w:r>
    </w:p>
    <w:p>
      <w:pPr>
        <w:spacing w:line="360" w:lineRule="auto"/>
        <w:ind w:firstLine="422" w:firstLineChars="200"/>
        <w:rPr>
          <w:rFonts w:hint="eastAsia"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27.1</w:t>
      </w:r>
      <w:r>
        <w:rPr>
          <w:rFonts w:hint="eastAsia" w:ascii="宋体" w:hAnsi="宋体"/>
          <w:color w:val="auto"/>
          <w:szCs w:val="21"/>
          <w:highlight w:val="none"/>
        </w:rPr>
        <w:t>招标人将在</w:t>
      </w:r>
      <w:r>
        <w:rPr>
          <w:rFonts w:ascii="宋体" w:hAnsi="宋体"/>
          <w:color w:val="auto"/>
          <w:szCs w:val="21"/>
          <w:highlight w:val="none"/>
          <w:u w:val="single"/>
        </w:rPr>
        <w:t xml:space="preserve">        </w:t>
      </w:r>
      <w:r>
        <w:rPr>
          <w:rFonts w:hint="eastAsia" w:ascii="宋体" w:hAnsi="宋体"/>
          <w:color w:val="auto"/>
          <w:szCs w:val="21"/>
          <w:highlight w:val="none"/>
        </w:rPr>
        <w:t>交易平台、广东省招标投标监管网和中国招标投标公共服务平台公示中标候选人，公示期为三天</w:t>
      </w:r>
      <w:r>
        <w:rPr>
          <w:rFonts w:hint="eastAsia" w:ascii="宋体" w:hAnsi="宋体" w:cs="宋体"/>
          <w:color w:val="auto"/>
          <w:szCs w:val="21"/>
          <w:highlight w:val="none"/>
        </w:rPr>
        <w:t>。投标人或其他利害关系人对评标结果有异议的，应当在中标候选人公示期间提出，可以通过线下或线上的形式提出异议。线上提交的，应通过交易平台进行，招标人也应通过交易平台答复线上提交的异议。作出答复前，应当暂停招标投标活动。</w:t>
      </w:r>
    </w:p>
    <w:p>
      <w:pPr>
        <w:pBdr>
          <w:bottom w:val="single" w:color="auto" w:sz="6" w:space="1"/>
        </w:pBdr>
        <w:spacing w:line="360" w:lineRule="auto"/>
        <w:ind w:firstLine="472" w:firstLineChars="224"/>
        <w:rPr>
          <w:rFonts w:hint="eastAsia"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27.1</w:t>
      </w:r>
      <w:r>
        <w:rPr>
          <w:rFonts w:hint="eastAsia" w:ascii="宋体" w:hAnsi="宋体"/>
          <w:color w:val="auto"/>
          <w:szCs w:val="21"/>
          <w:highlight w:val="none"/>
        </w:rPr>
        <w:t>招标人将在</w:t>
      </w:r>
      <w:r>
        <w:rPr>
          <w:rFonts w:hint="eastAsia" w:ascii="宋体" w:hAnsi="宋体" w:cs="宋体"/>
          <w:color w:val="auto"/>
          <w:szCs w:val="21"/>
          <w:highlight w:val="none"/>
          <w:u w:val="single"/>
        </w:rPr>
        <w:t>广州交易集团有限公司（广州公共资源交易中心）</w:t>
      </w:r>
      <w:r>
        <w:rPr>
          <w:rFonts w:hint="eastAsia" w:ascii="宋体" w:hAnsi="宋体"/>
          <w:color w:val="auto"/>
          <w:szCs w:val="21"/>
          <w:highlight w:val="none"/>
        </w:rPr>
        <w:t>交易平台、广东省招标投标监管网和中国招标投标公共服务平台公示中标候选人，公示期为三天</w:t>
      </w:r>
      <w:r>
        <w:rPr>
          <w:rFonts w:hint="eastAsia" w:ascii="宋体" w:hAnsi="宋体" w:cs="宋体"/>
          <w:color w:val="auto"/>
          <w:szCs w:val="21"/>
          <w:highlight w:val="none"/>
        </w:rPr>
        <w:t>。投标人或其他利害关系人对评标结果有异议的，应当在中标候选人公示期间提出，可以通过线下或线上的形式提出异议。线上提交的，应通过交易平台进行，招标人也应通过交易平台答复线上提交的异议。作出答复前，应当暂停招标投标活动。</w:t>
      </w:r>
    </w:p>
    <w:p>
      <w:pPr>
        <w:spacing w:line="360" w:lineRule="auto"/>
        <w:ind w:firstLine="413" w:firstLineChars="196"/>
        <w:rPr>
          <w:rFonts w:hint="eastAsia" w:ascii="宋体" w:hAnsi="宋体" w:cs="宋体"/>
          <w:b/>
          <w:color w:val="auto"/>
          <w:szCs w:val="21"/>
          <w:highlight w:val="none"/>
        </w:rPr>
      </w:pPr>
      <w:r>
        <w:rPr>
          <w:rFonts w:hint="eastAsia" w:ascii="宋体" w:hAnsi="宋体" w:cs="宋体"/>
          <w:b/>
          <w:color w:val="auto"/>
          <w:szCs w:val="21"/>
          <w:highlight w:val="none"/>
        </w:rPr>
        <w:t>条款号：27.4                        修改类型：修改</w:t>
      </w:r>
    </w:p>
    <w:p>
      <w:pPr>
        <w:spacing w:line="360" w:lineRule="auto"/>
        <w:ind w:firstLine="422" w:firstLineChars="200"/>
        <w:rPr>
          <w:rFonts w:hint="eastAsia"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27.4</w:t>
      </w:r>
      <w:r>
        <w:rPr>
          <w:rFonts w:hint="eastAsia" w:ascii="宋体" w:hAnsi="宋体"/>
          <w:color w:val="auto"/>
          <w:szCs w:val="21"/>
          <w:highlight w:val="none"/>
        </w:rPr>
        <w:t>在产生中标候选人后，招标人将中标候选人的投标文件商务部分文件的所有内容（包括人员、业绩、奖项等资料）在</w:t>
      </w:r>
      <w:r>
        <w:rPr>
          <w:rFonts w:ascii="宋体" w:hAnsi="宋体"/>
          <w:color w:val="auto"/>
          <w:szCs w:val="21"/>
          <w:highlight w:val="none"/>
          <w:u w:val="single"/>
        </w:rPr>
        <w:t xml:space="preserve">        </w:t>
      </w:r>
      <w:r>
        <w:rPr>
          <w:rFonts w:hint="eastAsia" w:ascii="宋体" w:hAnsi="宋体"/>
          <w:color w:val="auto"/>
          <w:szCs w:val="21"/>
          <w:highlight w:val="none"/>
        </w:rPr>
        <w:t>交易平台和广东省招标投标监管网公开</w:t>
      </w:r>
      <w:r>
        <w:rPr>
          <w:rFonts w:hint="eastAsia" w:ascii="宋体" w:hAnsi="宋体" w:cs="宋体"/>
          <w:color w:val="auto"/>
          <w:szCs w:val="21"/>
          <w:highlight w:val="none"/>
        </w:rPr>
        <w:t>。</w:t>
      </w:r>
    </w:p>
    <w:p>
      <w:pPr>
        <w:pBdr>
          <w:bottom w:val="single" w:color="auto" w:sz="6" w:space="1"/>
        </w:pBdr>
        <w:spacing w:line="360" w:lineRule="auto"/>
        <w:ind w:firstLine="472" w:firstLineChars="224"/>
        <w:rPr>
          <w:rFonts w:hint="eastAsia"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27.4</w:t>
      </w:r>
      <w:r>
        <w:rPr>
          <w:rFonts w:hint="eastAsia" w:ascii="宋体" w:hAnsi="宋体"/>
          <w:color w:val="auto"/>
          <w:szCs w:val="21"/>
          <w:highlight w:val="none"/>
        </w:rPr>
        <w:t>在产生中标候选人后，招标人将中标候选人的投标文件商务部分文件的所有内容（包括人员、业绩、奖项等资料）在</w:t>
      </w:r>
      <w:r>
        <w:rPr>
          <w:rFonts w:hint="eastAsia" w:ascii="宋体" w:hAnsi="宋体" w:cs="宋体"/>
          <w:color w:val="auto"/>
          <w:szCs w:val="21"/>
          <w:highlight w:val="none"/>
          <w:u w:val="single"/>
        </w:rPr>
        <w:t>广州交易集团有限公司（广州公共资源交易中心）</w:t>
      </w:r>
      <w:r>
        <w:rPr>
          <w:rFonts w:hint="eastAsia" w:ascii="宋体" w:hAnsi="宋体"/>
          <w:color w:val="auto"/>
          <w:szCs w:val="21"/>
          <w:highlight w:val="none"/>
        </w:rPr>
        <w:t>交易平台和广东省招标投标监管网公开</w:t>
      </w:r>
      <w:r>
        <w:rPr>
          <w:rFonts w:hint="eastAsia" w:ascii="宋体" w:hAnsi="宋体" w:cs="宋体"/>
          <w:color w:val="auto"/>
          <w:szCs w:val="21"/>
          <w:highlight w:val="none"/>
        </w:rPr>
        <w:t>。</w:t>
      </w:r>
    </w:p>
    <w:p>
      <w:pPr>
        <w:spacing w:line="360" w:lineRule="auto"/>
        <w:ind w:firstLine="413" w:firstLineChars="196"/>
        <w:rPr>
          <w:rFonts w:hint="eastAsia" w:ascii="宋体" w:hAnsi="宋体" w:cs="宋体"/>
          <w:b/>
          <w:color w:val="auto"/>
          <w:szCs w:val="21"/>
          <w:highlight w:val="none"/>
        </w:rPr>
      </w:pPr>
      <w:r>
        <w:rPr>
          <w:rFonts w:hint="eastAsia" w:ascii="宋体" w:hAnsi="宋体" w:cs="宋体"/>
          <w:b/>
          <w:color w:val="auto"/>
          <w:szCs w:val="21"/>
          <w:highlight w:val="none"/>
        </w:rPr>
        <w:t>条款号：28.</w:t>
      </w:r>
      <w:r>
        <w:rPr>
          <w:rFonts w:hint="eastAsia" w:ascii="宋体" w:hAnsi="宋体" w:cs="宋体"/>
          <w:b/>
          <w:color w:val="auto"/>
          <w:szCs w:val="21"/>
          <w:highlight w:val="none"/>
          <w:lang w:val="en-US" w:eastAsia="zh-CN"/>
        </w:rPr>
        <w:t>2</w:t>
      </w:r>
      <w:r>
        <w:rPr>
          <w:rFonts w:hint="eastAsia" w:ascii="宋体" w:hAnsi="宋体" w:cs="宋体"/>
          <w:b/>
          <w:color w:val="auto"/>
          <w:szCs w:val="21"/>
          <w:highlight w:val="none"/>
        </w:rPr>
        <w:t xml:space="preserve">                        修改类型：修改</w:t>
      </w:r>
    </w:p>
    <w:p>
      <w:pPr>
        <w:spacing w:line="360" w:lineRule="auto"/>
        <w:ind w:firstLine="422" w:firstLineChars="200"/>
        <w:rPr>
          <w:rFonts w:hint="eastAsia"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28.</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中标通知书发出之日起30日后，中标人未按上款的规定与招标人订立合同，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pBdr>
          <w:bottom w:val="single" w:color="auto" w:sz="6" w:space="1"/>
        </w:pBdr>
        <w:spacing w:line="360" w:lineRule="auto"/>
        <w:ind w:firstLine="472" w:firstLineChars="224"/>
        <w:rPr>
          <w:rFonts w:hint="eastAsia"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28.</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中标通知书发出之日起30日后，中标人未按上款的规定与招标人订立合同，招标人将解除中标通知书，</w:t>
      </w:r>
      <w:r>
        <w:rPr>
          <w:rFonts w:hint="eastAsia" w:ascii="宋体" w:hAnsi="宋体" w:cs="宋体"/>
          <w:color w:val="auto"/>
          <w:szCs w:val="21"/>
          <w:highlight w:val="none"/>
          <w:u w:val="single"/>
        </w:rPr>
        <w:t>原中标人依法承担相应法律责任。原中标人给招标人造成的损失，应当对</w:t>
      </w:r>
      <w:r>
        <w:rPr>
          <w:rFonts w:hint="eastAsia" w:ascii="宋体" w:hAnsi="宋体" w:cs="宋体"/>
          <w:color w:val="auto"/>
          <w:szCs w:val="21"/>
          <w:highlight w:val="none"/>
          <w:u w:val="single"/>
          <w:lang w:val="en-US" w:eastAsia="zh-CN"/>
        </w:rPr>
        <w:t>其</w:t>
      </w:r>
      <w:r>
        <w:rPr>
          <w:rFonts w:hint="eastAsia" w:ascii="宋体" w:hAnsi="宋体" w:cs="宋体"/>
          <w:color w:val="auto"/>
          <w:szCs w:val="21"/>
          <w:highlight w:val="none"/>
          <w:u w:val="single"/>
        </w:rPr>
        <w:t>予以赔偿。</w:t>
      </w:r>
      <w:r>
        <w:rPr>
          <w:rFonts w:hint="eastAsia" w:ascii="宋体" w:hAnsi="宋体" w:cs="宋体"/>
          <w:color w:val="auto"/>
          <w:szCs w:val="21"/>
          <w:highlight w:val="none"/>
        </w:rPr>
        <w:t>原中标人有异议的，可以向人民法院起诉。</w:t>
      </w:r>
    </w:p>
    <w:p>
      <w:pPr>
        <w:spacing w:line="360" w:lineRule="auto"/>
        <w:ind w:firstLine="413" w:firstLineChars="196"/>
        <w:rPr>
          <w:rFonts w:hint="eastAsia" w:ascii="宋体" w:hAnsi="宋体" w:cs="宋体"/>
          <w:b/>
          <w:color w:val="auto"/>
          <w:szCs w:val="21"/>
          <w:highlight w:val="none"/>
        </w:rPr>
      </w:pPr>
      <w:r>
        <w:rPr>
          <w:rFonts w:hint="eastAsia" w:ascii="宋体" w:hAnsi="宋体" w:cs="宋体"/>
          <w:b/>
          <w:color w:val="auto"/>
          <w:szCs w:val="21"/>
          <w:highlight w:val="none"/>
        </w:rPr>
        <w:t>条款号：28.3                        修改类型：修改</w:t>
      </w:r>
    </w:p>
    <w:p>
      <w:pPr>
        <w:spacing w:line="360" w:lineRule="auto"/>
        <w:ind w:firstLine="422" w:firstLineChars="200"/>
        <w:rPr>
          <w:rFonts w:hint="eastAsia"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28.3非经招标人同意，中标人在投标过程中使用的银行名称及帐号至完成竣工结算不得变更，否则招标人有权停止工程款项的拔付及至解除合同，由此造成的一切责任由中标人承担。</w:t>
      </w:r>
    </w:p>
    <w:p>
      <w:pPr>
        <w:pBdr>
          <w:bottom w:val="single" w:color="auto" w:sz="6" w:space="1"/>
        </w:pBdr>
        <w:spacing w:line="360" w:lineRule="auto"/>
        <w:ind w:firstLine="472" w:firstLineChars="224"/>
        <w:rPr>
          <w:rFonts w:hint="eastAsia"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28.3非经招标人同意，中标人在投标过程中使用的银行名称及</w:t>
      </w:r>
      <w:r>
        <w:rPr>
          <w:rFonts w:hint="eastAsia" w:ascii="宋体" w:hAnsi="宋体" w:cs="宋体"/>
          <w:color w:val="auto"/>
          <w:szCs w:val="21"/>
          <w:highlight w:val="none"/>
          <w:u w:val="single"/>
          <w:lang w:val="en-US" w:eastAsia="zh-CN"/>
        </w:rPr>
        <w:t>账号</w:t>
      </w:r>
      <w:r>
        <w:rPr>
          <w:rFonts w:hint="eastAsia" w:ascii="宋体" w:hAnsi="宋体" w:cs="宋体"/>
          <w:color w:val="auto"/>
          <w:szCs w:val="21"/>
          <w:highlight w:val="none"/>
        </w:rPr>
        <w:t>至完成竣工结算不得变更，否则招标人有权停止工程款项的</w:t>
      </w:r>
      <w:r>
        <w:rPr>
          <w:rFonts w:hint="eastAsia" w:ascii="宋体" w:hAnsi="宋体" w:cs="宋体"/>
          <w:color w:val="auto"/>
          <w:szCs w:val="21"/>
          <w:highlight w:val="none"/>
          <w:u w:val="single"/>
        </w:rPr>
        <w:t>拨付</w:t>
      </w:r>
      <w:r>
        <w:rPr>
          <w:rFonts w:hint="eastAsia" w:ascii="宋体" w:hAnsi="宋体" w:cs="宋体"/>
          <w:color w:val="auto"/>
          <w:szCs w:val="21"/>
          <w:highlight w:val="none"/>
        </w:rPr>
        <w:t>及至解除合同，由此造成的一切责任由中标人承担。</w:t>
      </w:r>
    </w:p>
    <w:p>
      <w:pPr>
        <w:spacing w:line="360" w:lineRule="auto"/>
        <w:ind w:firstLine="413" w:firstLineChars="196"/>
        <w:contextualSpacing/>
        <w:rPr>
          <w:rFonts w:hint="eastAsia" w:ascii="宋体" w:hAnsi="宋体" w:cs="宋体"/>
          <w:b/>
          <w:color w:val="auto"/>
          <w:szCs w:val="21"/>
          <w:highlight w:val="none"/>
        </w:rPr>
      </w:pPr>
      <w:r>
        <w:rPr>
          <w:rFonts w:hint="eastAsia" w:ascii="宋体" w:hAnsi="宋体" w:cs="宋体"/>
          <w:b/>
          <w:color w:val="auto"/>
          <w:szCs w:val="21"/>
          <w:highlight w:val="none"/>
        </w:rPr>
        <w:t>条款号：28.5                        修改类型：增加</w:t>
      </w:r>
    </w:p>
    <w:p>
      <w:pPr>
        <w:pBdr>
          <w:bottom w:val="single" w:color="auto" w:sz="6" w:space="1"/>
        </w:pBdr>
        <w:spacing w:line="360" w:lineRule="auto"/>
        <w:ind w:firstLine="422" w:firstLineChars="200"/>
        <w:rPr>
          <w:rFonts w:hint="eastAsia" w:ascii="宋体" w:hAnsi="宋体" w:cs="宋体"/>
          <w:b/>
          <w:color w:val="auto"/>
          <w:szCs w:val="21"/>
          <w:highlight w:val="none"/>
          <w:u w:val="single"/>
        </w:rPr>
      </w:pPr>
      <w:r>
        <w:rPr>
          <w:rFonts w:hint="eastAsia" w:ascii="宋体" w:hAnsi="宋体" w:cs="宋体"/>
          <w:b/>
          <w:color w:val="auto"/>
          <w:szCs w:val="21"/>
          <w:highlight w:val="none"/>
        </w:rPr>
        <w:t>现文：</w:t>
      </w:r>
      <w:r>
        <w:rPr>
          <w:rFonts w:hint="eastAsia" w:ascii="宋体" w:hAnsi="宋体" w:cs="宋体"/>
          <w:color w:val="auto"/>
          <w:szCs w:val="21"/>
          <w:highlight w:val="none"/>
          <w:u w:val="single"/>
        </w:rPr>
        <w:t>28.5如本工程委托代建单位（项目建设管理单位），则可由代建单位作为发包人与中标人签订合同。</w:t>
      </w:r>
    </w:p>
    <w:p>
      <w:pPr>
        <w:spacing w:line="360" w:lineRule="auto"/>
        <w:ind w:firstLine="413" w:firstLineChars="196"/>
        <w:rPr>
          <w:rFonts w:hint="eastAsia" w:ascii="宋体" w:hAnsi="宋体" w:cs="宋体"/>
          <w:b/>
          <w:color w:val="auto"/>
          <w:szCs w:val="21"/>
          <w:highlight w:val="none"/>
        </w:rPr>
      </w:pPr>
      <w:r>
        <w:rPr>
          <w:rFonts w:hint="eastAsia" w:ascii="宋体" w:hAnsi="宋体" w:cs="宋体"/>
          <w:b/>
          <w:color w:val="auto"/>
          <w:szCs w:val="21"/>
          <w:highlight w:val="none"/>
        </w:rPr>
        <w:t>条款号：29.1                        修改类型：修改</w:t>
      </w:r>
    </w:p>
    <w:p>
      <w:pPr>
        <w:pBdr>
          <w:bottom w:val="single" w:color="auto" w:sz="6" w:space="1"/>
        </w:pBdr>
        <w:spacing w:line="360" w:lineRule="auto"/>
        <w:ind w:firstLine="422" w:firstLineChars="200"/>
        <w:rPr>
          <w:rFonts w:hint="eastAsia"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29.1在收到中标通知书后的</w:t>
      </w:r>
      <w:r>
        <w:rPr>
          <w:rFonts w:hint="eastAsia" w:ascii="宋体" w:hAnsi="宋体" w:cs="宋体"/>
          <w:b/>
          <w:color w:val="auto"/>
          <w:szCs w:val="21"/>
          <w:highlight w:val="none"/>
        </w:rPr>
        <w:t>15日</w:t>
      </w:r>
      <w:r>
        <w:rPr>
          <w:rFonts w:hint="eastAsia" w:ascii="宋体" w:hAnsi="宋体" w:cs="宋体"/>
          <w:color w:val="auto"/>
          <w:szCs w:val="21"/>
          <w:highlight w:val="none"/>
        </w:rPr>
        <w:t>内，中标人应按本须知前附表第20项的规定向招标人提交履约担保。</w:t>
      </w:r>
    </w:p>
    <w:p>
      <w:pPr>
        <w:pBdr>
          <w:bottom w:val="single" w:color="auto" w:sz="6" w:space="1"/>
        </w:pBdr>
        <w:spacing w:line="360" w:lineRule="auto"/>
        <w:ind w:firstLine="422" w:firstLineChars="200"/>
        <w:rPr>
          <w:rFonts w:hint="eastAsia"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29.1</w:t>
      </w:r>
      <w:r>
        <w:rPr>
          <w:rFonts w:hint="eastAsia" w:ascii="宋体" w:hAnsi="宋体" w:cs="宋体"/>
          <w:color w:val="auto"/>
          <w:szCs w:val="21"/>
          <w:highlight w:val="none"/>
          <w:u w:val="single"/>
        </w:rPr>
        <w:t>合同正式签订之日后的30日内</w:t>
      </w:r>
      <w:r>
        <w:rPr>
          <w:rFonts w:hint="eastAsia" w:ascii="宋体" w:hAnsi="宋体" w:cs="宋体"/>
          <w:color w:val="auto"/>
          <w:szCs w:val="21"/>
          <w:highlight w:val="none"/>
        </w:rPr>
        <w:t>，中标人应按本须知前附表第20项的规定向招标人提交履约担保。</w:t>
      </w:r>
    </w:p>
    <w:p>
      <w:pPr>
        <w:spacing w:line="360" w:lineRule="auto"/>
        <w:ind w:firstLine="413" w:firstLineChars="196"/>
        <w:rPr>
          <w:rFonts w:hint="eastAsia" w:ascii="宋体" w:hAnsi="宋体" w:cs="宋体"/>
          <w:b/>
          <w:color w:val="auto"/>
          <w:szCs w:val="21"/>
          <w:highlight w:val="none"/>
        </w:rPr>
      </w:pPr>
      <w:r>
        <w:rPr>
          <w:rFonts w:hint="eastAsia" w:ascii="宋体" w:hAnsi="宋体" w:cs="宋体"/>
          <w:b/>
          <w:color w:val="auto"/>
          <w:szCs w:val="21"/>
          <w:highlight w:val="none"/>
        </w:rPr>
        <w:t>条款号：29.2                        修改类型：修改</w:t>
      </w:r>
    </w:p>
    <w:p>
      <w:pPr>
        <w:spacing w:line="360" w:lineRule="auto"/>
        <w:ind w:firstLine="413" w:firstLineChars="196"/>
        <w:rPr>
          <w:rFonts w:hint="eastAsia"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29.2中标通知书发出之日起15日后，中标人未按上款的规定提交履约担保，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pBdr>
          <w:bottom w:val="single" w:color="auto" w:sz="6" w:space="1"/>
        </w:pBdr>
        <w:spacing w:line="360" w:lineRule="auto"/>
        <w:ind w:firstLine="422" w:firstLineChars="200"/>
        <w:rPr>
          <w:rFonts w:hint="eastAsia"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：29.2</w:t>
      </w:r>
      <w:r>
        <w:rPr>
          <w:rFonts w:hint="eastAsia" w:ascii="宋体" w:hAnsi="宋体" w:cs="宋体"/>
          <w:color w:val="auto"/>
          <w:szCs w:val="21"/>
          <w:highlight w:val="none"/>
          <w:u w:val="single"/>
        </w:rPr>
        <w:t>合同正式签订之日后的30日内</w:t>
      </w:r>
      <w:r>
        <w:rPr>
          <w:rFonts w:hint="eastAsia" w:ascii="宋体" w:hAnsi="宋体" w:cs="宋体"/>
          <w:color w:val="auto"/>
          <w:szCs w:val="21"/>
          <w:highlight w:val="none"/>
        </w:rPr>
        <w:t>，中标人未按上款的规定递交履约担保，招标人将解除中标通知书，</w:t>
      </w:r>
      <w:r>
        <w:rPr>
          <w:rFonts w:hint="eastAsia" w:ascii="宋体" w:hAnsi="宋体" w:cs="宋体"/>
          <w:color w:val="auto"/>
          <w:szCs w:val="21"/>
          <w:highlight w:val="none"/>
          <w:u w:val="single"/>
        </w:rPr>
        <w:t>原中标人依法承担相应法律责任。原中标人给招标人造成的损失，还应当予以赔偿</w:t>
      </w:r>
      <w:r>
        <w:rPr>
          <w:rFonts w:hint="eastAsia" w:ascii="宋体" w:hAnsi="宋体" w:cs="宋体"/>
          <w:color w:val="auto"/>
          <w:szCs w:val="21"/>
          <w:highlight w:val="none"/>
        </w:rPr>
        <w:t>。原中标人有异议的，可以向人民法院起诉。</w:t>
      </w:r>
    </w:p>
    <w:p>
      <w:pPr>
        <w:spacing w:line="360" w:lineRule="auto"/>
        <w:ind w:firstLine="422" w:firstLineChars="200"/>
        <w:rPr>
          <w:rFonts w:hint="eastAsia" w:ascii="宋体" w:hAnsi="宋体" w:cs="宋体"/>
          <w:b/>
          <w:bCs/>
          <w:color w:val="auto"/>
          <w:szCs w:val="21"/>
          <w:highlight w:val="none"/>
        </w:rPr>
      </w:pPr>
      <w:r>
        <w:rPr>
          <w:rFonts w:hint="eastAsia" w:ascii="宋体" w:hAnsi="宋体" w:cs="宋体"/>
          <w:b/>
          <w:bCs/>
          <w:color w:val="auto"/>
          <w:szCs w:val="21"/>
          <w:highlight w:val="none"/>
        </w:rPr>
        <w:t>条款号：31                          修改类型：修改</w:t>
      </w:r>
    </w:p>
    <w:p>
      <w:pPr>
        <w:pBdr>
          <w:bottom w:val="single" w:color="auto" w:sz="6" w:space="1"/>
        </w:pBdr>
        <w:spacing w:line="360" w:lineRule="auto"/>
        <w:ind w:firstLine="422" w:firstLineChars="200"/>
        <w:rPr>
          <w:rFonts w:hint="eastAsia" w:ascii="宋体" w:hAnsi="宋体" w:cs="宋体"/>
          <w:b/>
          <w:bCs/>
          <w:color w:val="auto"/>
          <w:szCs w:val="21"/>
          <w:highlight w:val="none"/>
        </w:rPr>
      </w:pPr>
      <w:r>
        <w:rPr>
          <w:rFonts w:hint="eastAsia" w:ascii="宋体" w:hAnsi="宋体" w:cs="宋体"/>
          <w:b/>
          <w:bCs/>
          <w:color w:val="auto"/>
          <w:szCs w:val="21"/>
          <w:highlight w:val="none"/>
        </w:rPr>
        <w:t>原文：31.其它费用</w:t>
      </w:r>
    </w:p>
    <w:p>
      <w:pPr>
        <w:pBdr>
          <w:bottom w:val="single" w:color="auto" w:sz="6" w:space="1"/>
        </w:pBdr>
        <w:spacing w:line="360" w:lineRule="auto"/>
        <w:ind w:firstLine="422" w:firstLineChars="200"/>
        <w:rPr>
          <w:rFonts w:hint="eastAsia"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w:t>
      </w:r>
      <w:r>
        <w:rPr>
          <w:rFonts w:hint="eastAsia" w:ascii="宋体" w:hAnsi="宋体" w:cs="宋体"/>
          <w:b/>
          <w:color w:val="auto"/>
          <w:szCs w:val="21"/>
          <w:highlight w:val="none"/>
        </w:rPr>
        <w:t>31.</w:t>
      </w:r>
      <w:r>
        <w:rPr>
          <w:rFonts w:hint="eastAsia" w:ascii="宋体" w:hAnsi="宋体" w:cs="宋体"/>
          <w:b/>
          <w:bCs/>
          <w:color w:val="auto"/>
          <w:szCs w:val="21"/>
          <w:highlight w:val="none"/>
        </w:rPr>
        <w:t>其它费用</w:t>
      </w:r>
    </w:p>
    <w:p>
      <w:pPr>
        <w:pBdr>
          <w:bottom w:val="single" w:color="auto" w:sz="6" w:space="1"/>
        </w:pBdr>
        <w:spacing w:line="360" w:lineRule="auto"/>
        <w:ind w:firstLine="420" w:firstLineChars="200"/>
        <w:rPr>
          <w:rFonts w:hint="eastAsia" w:ascii="宋体" w:hAnsi="宋体" w:eastAsia="宋体" w:cs="宋体"/>
          <w:color w:val="auto"/>
          <w:szCs w:val="21"/>
          <w:highlight w:val="none"/>
        </w:rPr>
      </w:pPr>
      <w:r>
        <w:rPr>
          <w:rFonts w:hint="eastAsia" w:ascii="宋体" w:hAnsi="宋体" w:cs="宋体"/>
          <w:color w:val="auto"/>
          <w:szCs w:val="21"/>
          <w:highlight w:val="none"/>
          <w:u w:val="single"/>
        </w:rPr>
        <w:t>中标人应交纳交易服务费，该费用包含在投标价中</w:t>
      </w:r>
      <w:r>
        <w:rPr>
          <w:rFonts w:hint="eastAsia" w:ascii="宋体" w:hAnsi="宋体" w:eastAsia="宋体" w:cs="宋体"/>
          <w:color w:val="auto"/>
          <w:szCs w:val="21"/>
          <w:highlight w:val="none"/>
        </w:rPr>
        <w:t>。</w:t>
      </w:r>
    </w:p>
    <w:p>
      <w:pPr>
        <w:spacing w:line="360" w:lineRule="auto"/>
        <w:ind w:firstLine="211" w:firstLineChars="100"/>
        <w:rPr>
          <w:rFonts w:hint="eastAsia" w:ascii="宋体" w:hAnsi="宋体" w:eastAsia="宋体" w:cs="宋体"/>
          <w:b/>
          <w:strike/>
          <w:color w:val="auto"/>
          <w:szCs w:val="21"/>
          <w:highlight w:val="none"/>
        </w:rPr>
      </w:pPr>
      <w:r>
        <w:rPr>
          <w:rFonts w:hint="eastAsia" w:ascii="宋体" w:hAnsi="宋体" w:eastAsia="宋体" w:cs="宋体"/>
          <w:b/>
          <w:strike/>
          <w:color w:val="auto"/>
          <w:szCs w:val="21"/>
          <w:highlight w:val="none"/>
        </w:rPr>
        <w:t>注：以上修改，仅限于本范本中有可供选择条款的情形。</w:t>
      </w:r>
    </w:p>
    <w:p>
      <w:pPr>
        <w:spacing w:line="360" w:lineRule="auto"/>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（以下无正文）</w:t>
      </w:r>
    </w:p>
    <w:p>
      <w:pPr>
        <w:pStyle w:val="5"/>
        <w:spacing w:line="360" w:lineRule="auto"/>
        <w:ind w:left="0" w:leftChars="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4" w:name="_Toc31334"/>
      <w:bookmarkStart w:id="5" w:name="_Toc21525492"/>
      <w:r>
        <w:rPr>
          <w:rFonts w:hint="eastAsia" w:ascii="宋体" w:hAnsi="宋体" w:eastAsia="宋体" w:cs="宋体"/>
          <w:color w:val="auto"/>
          <w:highlight w:val="none"/>
        </w:rPr>
        <w:t>三、投标须知通用条款</w:t>
      </w:r>
      <w:bookmarkEnd w:id="4"/>
      <w:bookmarkEnd w:id="5"/>
    </w:p>
    <w:p>
      <w:pPr>
        <w:pStyle w:val="7"/>
        <w:spacing w:before="156" w:after="156" w:line="360" w:lineRule="auto"/>
        <w:rPr>
          <w:rFonts w:hint="eastAsia" w:ascii="宋体" w:hAnsi="宋体" w:eastAsia="宋体" w:cs="宋体"/>
          <w:color w:val="auto"/>
          <w:sz w:val="21"/>
          <w:szCs w:val="21"/>
          <w:highlight w:val="none"/>
        </w:rPr>
      </w:pPr>
      <w:bookmarkStart w:id="6" w:name="_Toc12947"/>
      <w:bookmarkStart w:id="7" w:name="_Toc21525493"/>
      <w:r>
        <w:rPr>
          <w:rFonts w:hint="eastAsia" w:ascii="宋体" w:hAnsi="宋体" w:eastAsia="宋体" w:cs="宋体"/>
          <w:color w:val="auto"/>
          <w:sz w:val="21"/>
          <w:szCs w:val="21"/>
          <w:highlight w:val="none"/>
        </w:rPr>
        <w:t>（一）总则</w:t>
      </w:r>
      <w:bookmarkEnd w:id="6"/>
      <w:bookmarkEnd w:id="7"/>
    </w:p>
    <w:p>
      <w:pPr>
        <w:pStyle w:val="18"/>
        <w:spacing w:after="0"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1、定义</w:t>
      </w:r>
    </w:p>
    <w:p>
      <w:pPr>
        <w:pStyle w:val="18"/>
        <w:spacing w:after="0" w:line="360" w:lineRule="auto"/>
        <w:ind w:firstLine="420" w:firstLineChars="200"/>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本招标文件使用的下列词语具有如下规定的意义：</w:t>
      </w:r>
    </w:p>
    <w:p>
      <w:pPr>
        <w:pStyle w:val="18"/>
        <w:spacing w:after="0" w:line="360" w:lineRule="auto"/>
        <w:ind w:firstLine="420" w:firstLineChars="200"/>
        <w:rPr>
          <w:rFonts w:hint="eastAsia" w:ascii="宋体" w:hAnsi="宋体" w:eastAsia="宋体" w:cs="宋体"/>
          <w:b/>
          <w:bCs/>
          <w:color w:val="auto"/>
          <w:sz w:val="21"/>
          <w:szCs w:val="21"/>
          <w:highlight w:val="none"/>
          <w:u w:val="single"/>
        </w:rPr>
      </w:pPr>
      <w:r>
        <w:rPr>
          <w:rFonts w:hint="eastAsia" w:ascii="宋体" w:hAnsi="宋体" w:eastAsia="宋体" w:cs="宋体"/>
          <w:color w:val="auto"/>
          <w:sz w:val="21"/>
          <w:szCs w:val="21"/>
          <w:highlight w:val="none"/>
        </w:rPr>
        <w:t>（1）“招标人”（即发包人）、“项目建设管理单位”（或称“项目代建单位”）、“招标代理”、“设计单位”、“监理单位”均已在投标须知前附表中列明。</w:t>
      </w:r>
    </w:p>
    <w:p>
      <w:pPr>
        <w:pStyle w:val="18"/>
        <w:spacing w:after="0" w:line="360" w:lineRule="auto"/>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 xml:space="preserve">（2）“投标人”指向招标人提交投标文件的当事人。   </w:t>
      </w:r>
    </w:p>
    <w:p>
      <w:pPr>
        <w:pStyle w:val="18"/>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（3）“承包人”指其投标被招标人接受并与其签订承包合同的当事人。</w:t>
      </w:r>
    </w:p>
    <w:p>
      <w:pPr>
        <w:pStyle w:val="18"/>
        <w:spacing w:after="0" w:line="360" w:lineRule="auto"/>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（4）“招标文件”指由招标代理发出的本文件（包括全部章节、附件）及招标答疑会会议纪要和</w:t>
      </w:r>
      <w:r>
        <w:rPr>
          <w:rFonts w:hint="eastAsia" w:ascii="宋体" w:hAnsi="宋体" w:eastAsia="宋体" w:cs="宋体"/>
          <w:bCs/>
          <w:color w:val="auto"/>
          <w:sz w:val="21"/>
          <w:szCs w:val="21"/>
          <w:highlight w:val="none"/>
        </w:rPr>
        <w:t>招标文件的澄清与修改</w:t>
      </w:r>
      <w:r>
        <w:rPr>
          <w:rFonts w:hint="eastAsia" w:ascii="宋体" w:hAnsi="宋体" w:eastAsia="宋体" w:cs="宋体"/>
          <w:color w:val="auto"/>
          <w:sz w:val="21"/>
          <w:szCs w:val="21"/>
          <w:highlight w:val="none"/>
        </w:rPr>
        <w:t>文件。</w:t>
      </w:r>
    </w:p>
    <w:p>
      <w:pPr>
        <w:pStyle w:val="18"/>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（5）“投标文件”指投标人根据本项目招标文件向招标人提交的全部文件。</w:t>
      </w:r>
    </w:p>
    <w:p>
      <w:pPr>
        <w:pStyle w:val="18"/>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（6）“书面形式”指打字或印刷的文件和数据电文（包括电报、电传、传真、电子数据交换和电子邮件）。</w:t>
      </w:r>
    </w:p>
    <w:p>
      <w:pPr>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2、招标说明</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2.1本招标工程项目按照《中华人民共和国招标投标法》等有关法律、行政法规、规章和规范性文件，通过招标方式选定承包人。</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2.2工程名称、建设地点、建设规模、承包方式、质量标准、招标范围、工期要求等均在投标须知前附表中列明。</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2.3设计说明：详见招标图纸。</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2.4工程施工特点：详见招标图纸。</w:t>
      </w:r>
    </w:p>
    <w:p>
      <w:pPr>
        <w:tabs>
          <w:tab w:val="left" w:pos="105"/>
        </w:tabs>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3．资金来源</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3.1本招标工程项目资金来源见投标须知前附表第9项</w:t>
      </w:r>
    </w:p>
    <w:p>
      <w:pPr>
        <w:tabs>
          <w:tab w:val="left" w:pos="105"/>
        </w:tabs>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4．合格投标人的条件</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4.1详见本项目招标公告</w:t>
      </w:r>
    </w:p>
    <w:p>
      <w:pPr>
        <w:tabs>
          <w:tab w:val="left" w:pos="105"/>
        </w:tabs>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5．踏勘现场</w:t>
      </w:r>
    </w:p>
    <w:p>
      <w:pPr>
        <w:spacing w:line="360" w:lineRule="auto"/>
        <w:ind w:firstLine="420" w:firstLineChars="200"/>
        <w:rPr>
          <w:rFonts w:hint="eastAsia" w:ascii="宋体" w:hAnsi="宋体" w:eastAsia="宋体" w:cs="宋体"/>
          <w:bCs/>
          <w:color w:val="auto"/>
          <w:sz w:val="21"/>
          <w:szCs w:val="21"/>
          <w:highlight w:val="none"/>
          <w:u w:val="single"/>
        </w:rPr>
      </w:pPr>
      <w:r>
        <w:rPr>
          <w:rFonts w:hint="eastAsia" w:ascii="宋体" w:hAnsi="宋体" w:eastAsia="宋体" w:cs="宋体"/>
          <w:bCs/>
          <w:color w:val="auto"/>
          <w:sz w:val="21"/>
          <w:szCs w:val="21"/>
          <w:highlight w:val="none"/>
        </w:rPr>
        <w:t>5.1 投标人应按本投标须知前附表第15项所述时间和要求对工程现场及周围环境进行踏勘，</w:t>
      </w:r>
      <w:r>
        <w:rPr>
          <w:rFonts w:hint="eastAsia" w:ascii="宋体" w:hAnsi="宋体" w:eastAsia="宋体" w:cs="宋体"/>
          <w:color w:val="auto"/>
          <w:sz w:val="21"/>
          <w:szCs w:val="21"/>
          <w:highlight w:val="none"/>
        </w:rPr>
        <w:t>投标人应充分重视和仔细地进行这种考察，</w:t>
      </w:r>
      <w:r>
        <w:rPr>
          <w:rFonts w:hint="eastAsia" w:ascii="宋体" w:hAnsi="宋体" w:eastAsia="宋体" w:cs="宋体"/>
          <w:bCs/>
          <w:color w:val="auto"/>
          <w:sz w:val="21"/>
          <w:szCs w:val="21"/>
          <w:highlight w:val="none"/>
        </w:rPr>
        <w:t>以便投标人获取</w:t>
      </w:r>
      <w:r>
        <w:rPr>
          <w:rFonts w:hint="eastAsia" w:ascii="宋体" w:hAnsi="宋体" w:eastAsia="宋体" w:cs="宋体"/>
          <w:color w:val="auto"/>
          <w:sz w:val="21"/>
          <w:szCs w:val="21"/>
          <w:highlight w:val="none"/>
        </w:rPr>
        <w:t>那些须投标人自己负责的</w:t>
      </w:r>
      <w:r>
        <w:rPr>
          <w:rFonts w:hint="eastAsia" w:ascii="宋体" w:hAnsi="宋体" w:eastAsia="宋体" w:cs="宋体"/>
          <w:bCs/>
          <w:color w:val="auto"/>
          <w:sz w:val="21"/>
          <w:szCs w:val="21"/>
          <w:highlight w:val="none"/>
        </w:rPr>
        <w:t>有关编制投标文件和签署合同所涉及现场所有的资料。</w:t>
      </w:r>
      <w:r>
        <w:rPr>
          <w:rFonts w:hint="eastAsia" w:ascii="宋体" w:hAnsi="宋体" w:eastAsia="宋体" w:cs="宋体"/>
          <w:color w:val="auto"/>
          <w:sz w:val="21"/>
          <w:szCs w:val="21"/>
          <w:highlight w:val="none"/>
        </w:rPr>
        <w:t>一旦中标，这种考察即被认为其结果已在中标文件中得到充分反映。考察现场的费用由投标人自己承担。</w:t>
      </w:r>
    </w:p>
    <w:p>
      <w:pPr>
        <w:tabs>
          <w:tab w:val="left" w:pos="105"/>
        </w:tabs>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5.2 招标人向投标人提供的有关现场的数据和资料，是招标人现有的能被投标人利用的资料，招标人对投标人做出的任何推论、理解和结论均不负责任。</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5.3 经招标人允许，投标人可为踏勘目的进入招标人的项目现场。</w:t>
      </w:r>
      <w:r>
        <w:rPr>
          <w:rFonts w:hint="eastAsia" w:ascii="宋体" w:hAnsi="宋体" w:eastAsia="宋体" w:cs="宋体"/>
          <w:color w:val="auto"/>
          <w:sz w:val="21"/>
          <w:szCs w:val="21"/>
          <w:highlight w:val="none"/>
        </w:rPr>
        <w:t>在考察过程中，投标人及其代表必须承担那些进入现场后，由于他们的行为所造成的人身伤害（不管是否致命）、财产损失或损坏，以及其他任何原因造成的损失、损坏或费用，</w:t>
      </w:r>
      <w:r>
        <w:rPr>
          <w:rFonts w:hint="eastAsia" w:ascii="宋体" w:hAnsi="宋体" w:eastAsia="宋体" w:cs="宋体"/>
          <w:bCs/>
          <w:color w:val="auto"/>
          <w:sz w:val="21"/>
          <w:szCs w:val="21"/>
          <w:highlight w:val="none"/>
        </w:rPr>
        <w:t>投标人不得因此使招标人承担有关的责任和蒙受损失。</w:t>
      </w:r>
    </w:p>
    <w:p>
      <w:pPr>
        <w:tabs>
          <w:tab w:val="left" w:pos="105"/>
        </w:tabs>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6．投标费用</w:t>
      </w:r>
    </w:p>
    <w:p>
      <w:pPr>
        <w:tabs>
          <w:tab w:val="left" w:pos="105"/>
        </w:tabs>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6.1</w:t>
      </w:r>
      <w:r>
        <w:rPr>
          <w:rFonts w:hint="eastAsia" w:ascii="宋体" w:hAnsi="宋体" w:eastAsia="宋体" w:cs="宋体"/>
          <w:color w:val="auto"/>
          <w:sz w:val="21"/>
          <w:szCs w:val="21"/>
          <w:highlight w:val="none"/>
        </w:rPr>
        <w:t>不论投标结果如何，投标人应承担</w:t>
      </w:r>
      <w:r>
        <w:rPr>
          <w:rFonts w:hint="eastAsia" w:ascii="宋体" w:hAnsi="宋体" w:eastAsia="宋体" w:cs="宋体"/>
          <w:bCs/>
          <w:color w:val="auto"/>
          <w:sz w:val="21"/>
          <w:szCs w:val="21"/>
          <w:highlight w:val="none"/>
        </w:rPr>
        <w:t>自身</w:t>
      </w:r>
      <w:r>
        <w:rPr>
          <w:rFonts w:hint="eastAsia" w:ascii="宋体" w:hAnsi="宋体" w:eastAsia="宋体" w:cs="宋体"/>
          <w:color w:val="auto"/>
          <w:sz w:val="21"/>
          <w:szCs w:val="21"/>
          <w:highlight w:val="none"/>
        </w:rPr>
        <w:t>因投标文件编制、递交及其他</w:t>
      </w:r>
      <w:r>
        <w:rPr>
          <w:rFonts w:hint="eastAsia" w:ascii="宋体" w:hAnsi="宋体" w:eastAsia="宋体" w:cs="宋体"/>
          <w:bCs/>
          <w:color w:val="auto"/>
          <w:sz w:val="21"/>
          <w:szCs w:val="21"/>
          <w:highlight w:val="none"/>
        </w:rPr>
        <w:t>参加本招标活动</w:t>
      </w:r>
      <w:r>
        <w:rPr>
          <w:rFonts w:hint="eastAsia" w:ascii="宋体" w:hAnsi="宋体" w:eastAsia="宋体" w:cs="宋体"/>
          <w:color w:val="auto"/>
          <w:sz w:val="21"/>
          <w:szCs w:val="21"/>
          <w:highlight w:val="none"/>
        </w:rPr>
        <w:t>所涉及的一切费用，招标人对上述费用不负任何责任。</w:t>
      </w:r>
    </w:p>
    <w:p>
      <w:pPr>
        <w:pStyle w:val="7"/>
        <w:spacing w:before="156" w:after="156" w:line="360" w:lineRule="auto"/>
        <w:rPr>
          <w:rFonts w:hint="eastAsia" w:ascii="宋体" w:hAnsi="宋体" w:eastAsia="宋体" w:cs="宋体"/>
          <w:color w:val="auto"/>
          <w:sz w:val="21"/>
          <w:szCs w:val="21"/>
          <w:highlight w:val="none"/>
        </w:rPr>
      </w:pPr>
      <w:bookmarkStart w:id="8" w:name="_Toc21525494"/>
      <w:bookmarkStart w:id="9" w:name="_Toc32111"/>
      <w:r>
        <w:rPr>
          <w:rFonts w:hint="eastAsia" w:ascii="宋体" w:hAnsi="宋体" w:eastAsia="宋体" w:cs="宋体"/>
          <w:color w:val="auto"/>
          <w:sz w:val="21"/>
          <w:szCs w:val="21"/>
          <w:highlight w:val="none"/>
        </w:rPr>
        <w:t>（二）招标文件</w:t>
      </w:r>
      <w:bookmarkEnd w:id="8"/>
      <w:bookmarkEnd w:id="9"/>
    </w:p>
    <w:p>
      <w:pPr>
        <w:tabs>
          <w:tab w:val="left" w:pos="105"/>
        </w:tabs>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7.招标文件的组成</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7.1</w:t>
      </w:r>
      <w:r>
        <w:rPr>
          <w:rFonts w:hint="eastAsia" w:ascii="宋体" w:hAnsi="宋体" w:eastAsia="宋体" w:cs="宋体"/>
          <w:color w:val="auto"/>
          <w:sz w:val="21"/>
          <w:szCs w:val="21"/>
          <w:highlight w:val="none"/>
        </w:rPr>
        <w:t>本招标文件包括下列文件，以及所有按本须知第8条发出的招标答疑会会议纪要和按本须知第9条发出的澄清或修改：</w:t>
      </w:r>
    </w:p>
    <w:p>
      <w:pPr>
        <w:pStyle w:val="18"/>
        <w:spacing w:after="0" w:line="360" w:lineRule="auto"/>
        <w:ind w:left="-2" w:firstLine="420" w:firstLineChars="200"/>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 xml:space="preserve">第一章  </w:t>
      </w:r>
      <w:r>
        <w:rPr>
          <w:rFonts w:hint="eastAsia" w:ascii="宋体" w:hAnsi="宋体" w:eastAsia="宋体" w:cs="宋体"/>
          <w:color w:val="auto"/>
          <w:sz w:val="21"/>
          <w:szCs w:val="21"/>
          <w:highlight w:val="none"/>
        </w:rPr>
        <w:t>投标须知</w:t>
      </w:r>
    </w:p>
    <w:p>
      <w:pPr>
        <w:pStyle w:val="18"/>
        <w:spacing w:after="0" w:line="360" w:lineRule="auto"/>
        <w:ind w:left="-2" w:firstLine="420" w:firstLineChars="200"/>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 xml:space="preserve">第二章  </w:t>
      </w:r>
      <w:r>
        <w:rPr>
          <w:rFonts w:hint="eastAsia" w:ascii="宋体" w:hAnsi="宋体" w:eastAsia="宋体" w:cs="宋体"/>
          <w:color w:val="auto"/>
          <w:sz w:val="21"/>
          <w:szCs w:val="21"/>
          <w:highlight w:val="none"/>
        </w:rPr>
        <w:t>开标、评标及定标办法</w:t>
      </w:r>
    </w:p>
    <w:p>
      <w:pPr>
        <w:pStyle w:val="18"/>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第三章  合同条款</w:t>
      </w:r>
    </w:p>
    <w:p>
      <w:pPr>
        <w:pStyle w:val="18"/>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 xml:space="preserve">第四章  </w:t>
      </w:r>
      <w:r>
        <w:rPr>
          <w:rFonts w:hint="eastAsia" w:ascii="宋体" w:hAnsi="宋体" w:eastAsia="宋体" w:cs="宋体"/>
          <w:color w:val="auto"/>
          <w:sz w:val="21"/>
          <w:szCs w:val="21"/>
          <w:highlight w:val="none"/>
        </w:rPr>
        <w:t>投标文件格式</w:t>
      </w:r>
    </w:p>
    <w:p>
      <w:pPr>
        <w:pStyle w:val="18"/>
        <w:spacing w:after="0" w:line="360" w:lineRule="auto"/>
        <w:ind w:left="-2" w:firstLine="420" w:firstLineChars="200"/>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 xml:space="preserve">第五章  </w:t>
      </w:r>
      <w:r>
        <w:rPr>
          <w:rFonts w:hint="eastAsia" w:ascii="宋体" w:hAnsi="宋体" w:eastAsia="宋体" w:cs="宋体"/>
          <w:color w:val="auto"/>
          <w:sz w:val="21"/>
          <w:szCs w:val="21"/>
          <w:highlight w:val="none"/>
        </w:rPr>
        <w:t>技术条件（工程建设标准）（另册）</w:t>
      </w:r>
    </w:p>
    <w:p>
      <w:pPr>
        <w:pStyle w:val="18"/>
        <w:spacing w:after="0" w:line="360" w:lineRule="auto"/>
        <w:ind w:left="-2" w:firstLine="420" w:firstLineChars="200"/>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 xml:space="preserve">第六章  </w:t>
      </w:r>
      <w:r>
        <w:rPr>
          <w:rFonts w:hint="eastAsia" w:ascii="宋体" w:hAnsi="宋体" w:eastAsia="宋体" w:cs="宋体"/>
          <w:color w:val="auto"/>
          <w:sz w:val="21"/>
          <w:szCs w:val="21"/>
          <w:highlight w:val="none"/>
        </w:rPr>
        <w:t>图纸及勘察资料（另册）</w:t>
      </w:r>
    </w:p>
    <w:p>
      <w:pPr>
        <w:pStyle w:val="18"/>
        <w:spacing w:after="0" w:line="360" w:lineRule="auto"/>
        <w:ind w:left="-2" w:firstLine="420" w:firstLineChars="200"/>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第七章  招标</w:t>
      </w:r>
      <w:r>
        <w:rPr>
          <w:rFonts w:hint="eastAsia" w:ascii="宋体" w:hAnsi="宋体" w:eastAsia="宋体" w:cs="宋体"/>
          <w:color w:val="auto"/>
          <w:sz w:val="21"/>
          <w:szCs w:val="21"/>
          <w:highlight w:val="none"/>
        </w:rPr>
        <w:t>工程量清单（另册）</w:t>
      </w:r>
    </w:p>
    <w:p>
      <w:pPr>
        <w:pStyle w:val="18"/>
        <w:spacing w:after="0" w:line="360" w:lineRule="auto"/>
        <w:ind w:left="-2"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第八章  最高投标限价</w:t>
      </w:r>
    </w:p>
    <w:p>
      <w:pPr>
        <w:pStyle w:val="18"/>
        <w:spacing w:after="0" w:line="360" w:lineRule="auto"/>
        <w:ind w:left="-2" w:firstLine="422" w:firstLineChars="200"/>
        <w:rPr>
          <w:rFonts w:hint="eastAsia" w:ascii="宋体" w:hAnsi="宋体" w:eastAsia="宋体" w:cs="宋体"/>
          <w:color w:val="auto"/>
          <w:sz w:val="21"/>
          <w:szCs w:val="21"/>
          <w:highlight w:val="none"/>
        </w:rPr>
      </w:pPr>
      <w:r>
        <w:rPr>
          <w:rFonts w:hint="eastAsia" w:ascii="宋体" w:hAnsi="宋体" w:eastAsia="宋体" w:cs="宋体"/>
          <w:b/>
          <w:bCs/>
          <w:color w:val="auto"/>
          <w:kern w:val="0"/>
          <w:sz w:val="21"/>
          <w:szCs w:val="21"/>
          <w:highlight w:val="none"/>
        </w:rPr>
        <w:t>注：招标人应在技术条件（工程建设标准）中明确施工现场建筑垃圾源头减量的具体要求和建筑垃圾综合利用产品的使用要求。</w:t>
      </w:r>
    </w:p>
    <w:p>
      <w:pPr>
        <w:pStyle w:val="18"/>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7.2 投标人获取招标文件后，应仔细检查招标文件的所有内容，认真审阅招标文件中所有的事项、格式、条款和规范要求等，若投标人的投标文件没有按招标文件要求提交全部资料，或投标文件实质上没有响应招标文件的要求，招标人将按评标办法的规定予以拒绝，并且不允许投标人通过修改或撤消其不符合要求的差异或保留使之成为具有响应性的投标文件。</w:t>
      </w:r>
    </w:p>
    <w:p>
      <w:pPr>
        <w:pStyle w:val="18"/>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7.3 投标人一旦中标，招标文件的内容对招标人和中标人双方均有约束力。</w:t>
      </w:r>
    </w:p>
    <w:p>
      <w:pPr>
        <w:pStyle w:val="18"/>
        <w:spacing w:after="0"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8．招标答疑</w:t>
      </w:r>
    </w:p>
    <w:p>
      <w:pPr>
        <w:pStyle w:val="18"/>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8.1 投标人若对招标文件（包括招标图纸）中有疑问，可以书面形式通过</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交易平台提交给招标人或招标代理人，提交形式见本须知前附表第16项。</w:t>
      </w:r>
    </w:p>
    <w:p>
      <w:pPr>
        <w:pStyle w:val="18"/>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8.2招标答疑会会议纪要将在提交投标文件截止时间15日前在</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交易平台 “项目答疑纪要”专区公开发布。答疑纪要一经在</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交易平台发布，视作已发放给所有投标人。</w:t>
      </w:r>
    </w:p>
    <w:p>
      <w:pPr>
        <w:pStyle w:val="18"/>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8.3答疑会会议纪要为招标文件的一部分。</w:t>
      </w:r>
    </w:p>
    <w:p>
      <w:pPr>
        <w:pStyle w:val="18"/>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8.4若招标答疑会会议纪要与招标文件有矛盾，以答疑会议纪要最后发出的书面形式的文件为准。</w:t>
      </w:r>
    </w:p>
    <w:p>
      <w:pPr>
        <w:pStyle w:val="18"/>
        <w:spacing w:after="0"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9.招标文件的澄清与修改</w:t>
      </w:r>
    </w:p>
    <w:p>
      <w:pPr>
        <w:pStyle w:val="18"/>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9.1招标文件发出后,在提交投标文件截止时间15日前，招标人可对招标文件进行必要的澄清或修改。</w:t>
      </w:r>
    </w:p>
    <w:p>
      <w:pPr>
        <w:pStyle w:val="18"/>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9.2招标文件的澄清或修改将在</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交易平台“项目答疑纪要”专区公开发布。答疑纪要一经在</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交易平台发布，视作已发放给所有投标人，以</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交易平台上网发布时间作为送达时间。</w:t>
      </w:r>
    </w:p>
    <w:p>
      <w:pPr>
        <w:pStyle w:val="18"/>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9.3招标文件的修改内容为招标文件的组成部分。</w:t>
      </w:r>
    </w:p>
    <w:p>
      <w:pPr>
        <w:pStyle w:val="18"/>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9.4招标文件的澄清或修改均以书面形式明确的内容为准。当招标文件的澄清、修改、补充等在同一内容的表述不一致时，以最后发出的书面形式的文件为准。</w:t>
      </w:r>
    </w:p>
    <w:p>
      <w:pPr>
        <w:pStyle w:val="18"/>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9.5为使投标人在编制投标文件时有充分的时间对招标文件的澄清或修改等内容考虑进去，招标人将酌情延长提交投标文件的截止时间，具体时间将在招标文件的澄清或修改中予以明确。若澄清或修改中没有明确延长时间，即表示投标时间不延长。</w:t>
      </w:r>
    </w:p>
    <w:p>
      <w:pPr>
        <w:pStyle w:val="7"/>
        <w:spacing w:before="156" w:after="156" w:line="360" w:lineRule="auto"/>
        <w:rPr>
          <w:rFonts w:hint="eastAsia" w:ascii="宋体" w:hAnsi="宋体" w:eastAsia="宋体" w:cs="宋体"/>
          <w:color w:val="auto"/>
          <w:sz w:val="21"/>
          <w:szCs w:val="21"/>
          <w:highlight w:val="none"/>
        </w:rPr>
      </w:pPr>
      <w:bookmarkStart w:id="10" w:name="_Toc32542"/>
      <w:bookmarkStart w:id="11" w:name="_Toc21525495"/>
      <w:r>
        <w:rPr>
          <w:rFonts w:hint="eastAsia" w:ascii="宋体" w:hAnsi="宋体" w:eastAsia="宋体" w:cs="宋体"/>
          <w:color w:val="auto"/>
          <w:sz w:val="21"/>
          <w:szCs w:val="21"/>
          <w:highlight w:val="none"/>
        </w:rPr>
        <w:t>（三）投标文件的编制</w:t>
      </w:r>
      <w:bookmarkEnd w:id="10"/>
      <w:bookmarkEnd w:id="11"/>
    </w:p>
    <w:p>
      <w:pPr>
        <w:pStyle w:val="18"/>
        <w:spacing w:after="0"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10．投标文件的语言及度量衡单位</w:t>
      </w:r>
    </w:p>
    <w:p>
      <w:pPr>
        <w:pStyle w:val="18"/>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10.1 投标文件和与投标有关的所有文件均应使用中文。</w:t>
      </w:r>
    </w:p>
    <w:p>
      <w:pPr>
        <w:pStyle w:val="18"/>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10.2 除工程规范另有规定外，投标文件使用的度量衡单位，均采用中华人民共和国法定计量单位。</w:t>
      </w:r>
    </w:p>
    <w:p>
      <w:pPr>
        <w:pStyle w:val="18"/>
        <w:spacing w:after="0"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11．投标文件的组成</w:t>
      </w:r>
    </w:p>
    <w:p>
      <w:pPr>
        <w:pStyle w:val="18"/>
        <w:spacing w:after="0" w:line="360" w:lineRule="auto"/>
        <w:ind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11.1 投标文件由技术部分（含资格审查文件）和经济部分二部分投标文件组成</w:t>
      </w:r>
      <w:r>
        <w:rPr>
          <w:rFonts w:hint="eastAsia" w:ascii="宋体" w:hAnsi="宋体" w:eastAsia="宋体" w:cs="宋体"/>
          <w:b/>
          <w:color w:val="auto"/>
          <w:sz w:val="21"/>
          <w:szCs w:val="21"/>
          <w:highlight w:val="none"/>
        </w:rPr>
        <w:t>。</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11.2投标文件技术标部分主要包括下列内容:</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11.2.1 技术投标文件</w:t>
      </w:r>
      <w:r>
        <w:rPr>
          <w:rFonts w:hint="eastAsia" w:ascii="宋体" w:hAnsi="宋体" w:eastAsia="宋体" w:cs="宋体"/>
          <w:color w:val="auto"/>
          <w:sz w:val="21"/>
          <w:szCs w:val="21"/>
          <w:highlight w:val="none"/>
        </w:rPr>
        <w:t>(按招标文件的要求填写)</w:t>
      </w:r>
      <w:r>
        <w:rPr>
          <w:rFonts w:hint="eastAsia" w:ascii="宋体" w:hAnsi="宋体" w:eastAsia="宋体" w:cs="宋体"/>
          <w:bCs/>
          <w:color w:val="auto"/>
          <w:sz w:val="21"/>
          <w:szCs w:val="21"/>
          <w:highlight w:val="none"/>
        </w:rPr>
        <w:t>；</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11.2.2 资格审查文件：</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（1）投标人声明； </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（2）法定代表人证明书、法定代表人签字或盖章的本投标文件授权委托证明书；</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（3）企业营业执照（取自平台内上传件）；</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（4）企业资质证书（取自平台内上传件）；</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（5）建筑施工企业安全生产许可证（取自平台内上传件）；</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（6）项目负责人（按网上投标登记时选择拟投标的项目负责人）</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（7）专职安全员（按网上投标登记时选择拟投标的专职安全员）</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（8）拟委托技术负责人的相关证书、资料（具体要求由招标人明确）</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（9）拟委派项目负责人的建造师注册证书（取自平台内上传件）；  </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（10）项目负责人安全生产考核合格证明或在有效期内的安全考核合格证书（B类）或建筑施工企业项目负责人安全生产考核合格证书（取自平台内上传件）；</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（11）专职安全员须具有在有效期内的安全考核合格证书（C类）或建筑施工企业专职安全生产管理人员安全生产考核合格证书（取自平台内上传件）；</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（12）用于资格审查的业绩（设置业绩要求时选择此项，投标人</w:t>
      </w:r>
      <w:r>
        <w:rPr>
          <w:rFonts w:hint="eastAsia" w:ascii="宋体" w:hAnsi="宋体" w:eastAsia="宋体" w:cs="宋体"/>
          <w:color w:val="auto"/>
          <w:sz w:val="21"/>
          <w:szCs w:val="21"/>
          <w:highlight w:val="none"/>
        </w:rPr>
        <w:t>须提供类似工程业绩的项目名称及项目编号，具体格式由招标人自定</w:t>
      </w:r>
      <w:r>
        <w:rPr>
          <w:rFonts w:hint="eastAsia" w:ascii="宋体" w:hAnsi="宋体" w:eastAsia="宋体" w:cs="宋体"/>
          <w:bCs/>
          <w:color w:val="auto"/>
          <w:sz w:val="21"/>
          <w:szCs w:val="21"/>
          <w:highlight w:val="none"/>
        </w:rPr>
        <w:t>）；</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（13）资格审查前，投标人须在广州市住房和城乡建设局建立企业信用档案，拟担任本工程项目负责人、专职安全员须是本企业信用档案中的在册人员。</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（14）列明主办单位的联合体工作协议（采用联合体投标时需递交，投标人拟任本工程项目负责人应为联合体主办方信用档案中的在册人员，</w:t>
      </w:r>
      <w:r>
        <w:rPr>
          <w:rFonts w:hint="eastAsia" w:ascii="宋体" w:hAnsi="宋体" w:eastAsia="宋体" w:cs="宋体"/>
          <w:color w:val="auto"/>
          <w:sz w:val="21"/>
          <w:szCs w:val="21"/>
          <w:highlight w:val="none"/>
        </w:rPr>
        <w:t>联合体工作协议应明确约定各方拟承担的工作和责任</w:t>
      </w:r>
      <w:r>
        <w:rPr>
          <w:rFonts w:hint="eastAsia" w:ascii="宋体" w:hAnsi="宋体" w:eastAsia="宋体" w:cs="宋体"/>
          <w:bCs/>
          <w:color w:val="auto"/>
          <w:sz w:val="21"/>
          <w:szCs w:val="21"/>
          <w:highlight w:val="none"/>
        </w:rPr>
        <w:t xml:space="preserve">）； </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（15）</w:t>
      </w:r>
      <w:r>
        <w:rPr>
          <w:rFonts w:hint="eastAsia" w:ascii="宋体" w:hAnsi="宋体" w:eastAsia="宋体" w:cs="宋体"/>
          <w:color w:val="auto"/>
          <w:sz w:val="21"/>
          <w:szCs w:val="21"/>
          <w:highlight w:val="none"/>
        </w:rPr>
        <w:t>投标人具有在广州地区可使用适合本工程的机械设备的证明文件（提供沥青摊铺机自有发票或权属证明及设备现场全貌彩照（彩照须能反映其规格型号））。（含有市政道路面层沥青摊铺且沥青摊铺占预计发包价50%或以上的大、中修市政公用工程需提供该项内容的证明文件）。</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11.2.3项目管理机构配备。</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（1）投标人应列出该项目工程的施工组织机构构成和画出机构框架图及其负责人；</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（2）投标人应详细列出该施工组织机构中主要成员的名单、简历资料、职务职称和在本项目中拟担任的职务等资料，并附上有关证明材料扫描件；</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（3）其他辅助说明资料。</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11.2.4投标人在广州市可使用适合本工程的机械设备（附：机械设备为自有或租赁的说明；及承诺机械设备如属于租赁的，其租赁是不属于重复租赁）。</w:t>
      </w:r>
    </w:p>
    <w:p>
      <w:pPr>
        <w:tabs>
          <w:tab w:val="left" w:pos="1125"/>
        </w:tabs>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11.2.5施工组织设计或施工方案。</w:t>
      </w:r>
      <w:r>
        <w:rPr>
          <w:rFonts w:hint="eastAsia" w:ascii="宋体" w:hAnsi="宋体" w:eastAsia="宋体" w:cs="宋体"/>
          <w:bCs/>
          <w:color w:val="auto"/>
          <w:kern w:val="0"/>
          <w:sz w:val="21"/>
          <w:szCs w:val="21"/>
          <w:highlight w:val="none"/>
        </w:rPr>
        <w:t>（</w:t>
      </w:r>
      <w:r>
        <w:rPr>
          <w:rFonts w:hint="eastAsia" w:ascii="宋体" w:hAnsi="宋体" w:eastAsia="宋体" w:cs="宋体"/>
          <w:b/>
          <w:bCs/>
          <w:color w:val="auto"/>
          <w:kern w:val="0"/>
          <w:sz w:val="21"/>
          <w:szCs w:val="21"/>
          <w:highlight w:val="none"/>
        </w:rPr>
        <w:t>投标人在编制施工组织设计或施工方案时应按照招标人提出的施工现场建筑垃圾源头减量的具体要求以及建筑垃圾综合利用产品的使用要求提供相应措施。</w:t>
      </w:r>
      <w:r>
        <w:rPr>
          <w:rFonts w:hint="eastAsia" w:ascii="宋体" w:hAnsi="宋体" w:eastAsia="宋体" w:cs="宋体"/>
          <w:bCs/>
          <w:color w:val="auto"/>
          <w:kern w:val="0"/>
          <w:sz w:val="21"/>
          <w:szCs w:val="21"/>
          <w:highlight w:val="none"/>
        </w:rPr>
        <w:t>）</w:t>
      </w:r>
    </w:p>
    <w:p>
      <w:pPr>
        <w:tabs>
          <w:tab w:val="left" w:pos="1125"/>
        </w:tabs>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11.2.6按照</w:t>
      </w:r>
      <w:r>
        <w:rPr>
          <w:rFonts w:hint="eastAsia" w:ascii="宋体" w:hAnsi="宋体" w:eastAsia="宋体" w:cs="宋体"/>
          <w:bCs/>
          <w:color w:val="auto"/>
          <w:sz w:val="21"/>
          <w:szCs w:val="21"/>
          <w:highlight w:val="none"/>
        </w:rPr>
        <w:t>招标文件要求</w:t>
      </w:r>
      <w:r>
        <w:rPr>
          <w:rFonts w:hint="eastAsia" w:ascii="宋体" w:hAnsi="宋体" w:eastAsia="宋体" w:cs="宋体"/>
          <w:color w:val="auto"/>
          <w:sz w:val="21"/>
          <w:szCs w:val="21"/>
          <w:highlight w:val="none"/>
        </w:rPr>
        <w:t>填写的《参与编制技术标投标文件人员名单》。</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11.3 经济部分投标文件主要包括下列内容：</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11.3.1 经济投标文件(按招标文件的要求填写)。</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11.3.2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其中包括如下： </w:t>
      </w:r>
    </w:p>
    <w:p>
      <w:pPr>
        <w:spacing w:line="360" w:lineRule="auto"/>
        <w:ind w:firstLine="495" w:firstLineChars="23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（1）投标总价封面、扉页；</w:t>
      </w:r>
    </w:p>
    <w:p>
      <w:pPr>
        <w:spacing w:line="360" w:lineRule="auto"/>
        <w:ind w:firstLine="495" w:firstLineChars="23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（2）总说明</w:t>
      </w:r>
    </w:p>
    <w:p>
      <w:pPr>
        <w:spacing w:line="360" w:lineRule="auto"/>
        <w:ind w:firstLine="495" w:firstLineChars="23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（3）工程项目投标报价汇总表；</w:t>
      </w:r>
    </w:p>
    <w:p>
      <w:pPr>
        <w:spacing w:line="360" w:lineRule="auto"/>
        <w:ind w:firstLine="495" w:firstLineChars="23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（4）单项工程投标报价汇总表；</w:t>
      </w:r>
    </w:p>
    <w:p>
      <w:pPr>
        <w:spacing w:line="360" w:lineRule="auto"/>
        <w:ind w:firstLine="495" w:firstLineChars="23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（5）单位工程投标报价汇总表；</w:t>
      </w:r>
    </w:p>
    <w:p>
      <w:pPr>
        <w:spacing w:line="360" w:lineRule="auto"/>
        <w:ind w:firstLine="495" w:firstLineChars="23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（6）分部分项工程清单与计价表；</w:t>
      </w:r>
    </w:p>
    <w:p>
      <w:pPr>
        <w:spacing w:line="360" w:lineRule="auto"/>
        <w:ind w:firstLine="495" w:firstLineChars="23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（7）单价措施项目清单与计价表；</w:t>
      </w:r>
    </w:p>
    <w:p>
      <w:pPr>
        <w:spacing w:line="360" w:lineRule="auto"/>
        <w:ind w:firstLine="495" w:firstLineChars="23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（8）总价措施项目清单与计价表；</w:t>
      </w:r>
    </w:p>
    <w:p>
      <w:pPr>
        <w:spacing w:line="360" w:lineRule="auto"/>
        <w:ind w:firstLine="495" w:firstLineChars="23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（9）综合单价分析表；</w:t>
      </w:r>
    </w:p>
    <w:p>
      <w:pPr>
        <w:spacing w:line="360" w:lineRule="auto"/>
        <w:ind w:firstLine="495" w:firstLineChars="23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（10）其他项目清单与计价汇总表；</w:t>
      </w:r>
    </w:p>
    <w:p>
      <w:pPr>
        <w:spacing w:line="360" w:lineRule="auto"/>
        <w:ind w:firstLine="495" w:firstLineChars="23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（11）暂列金额明细表；</w:t>
      </w:r>
    </w:p>
    <w:p>
      <w:pPr>
        <w:spacing w:line="360" w:lineRule="auto"/>
        <w:ind w:firstLine="495" w:firstLineChars="23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（12）材料（工程设备）暂估价明细表；</w:t>
      </w:r>
    </w:p>
    <w:p>
      <w:pPr>
        <w:spacing w:line="360" w:lineRule="auto"/>
        <w:ind w:firstLine="495" w:firstLineChars="23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（13）专业工程暂估价明细表；</w:t>
      </w:r>
    </w:p>
    <w:p>
      <w:pPr>
        <w:spacing w:line="360" w:lineRule="auto"/>
        <w:ind w:firstLine="495" w:firstLineChars="23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（14）计日工表；</w:t>
      </w:r>
    </w:p>
    <w:p>
      <w:pPr>
        <w:spacing w:line="360" w:lineRule="auto"/>
        <w:ind w:firstLine="495" w:firstLineChars="23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（15）总承包服务计价表；</w:t>
      </w:r>
    </w:p>
    <w:p>
      <w:pPr>
        <w:spacing w:line="360" w:lineRule="auto"/>
        <w:ind w:firstLine="495" w:firstLineChars="23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（16）规费和税金项目计价表；</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（17）人工、主要材料和设备一览表</w:t>
      </w:r>
    </w:p>
    <w:p>
      <w:pPr>
        <w:tabs>
          <w:tab w:val="left" w:pos="1125"/>
        </w:tabs>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11.3.3按照</w:t>
      </w:r>
      <w:r>
        <w:rPr>
          <w:rFonts w:hint="eastAsia" w:ascii="宋体" w:hAnsi="宋体" w:eastAsia="宋体" w:cs="宋体"/>
          <w:bCs/>
          <w:color w:val="auto"/>
          <w:sz w:val="21"/>
          <w:szCs w:val="21"/>
          <w:highlight w:val="none"/>
        </w:rPr>
        <w:t>招标文件要求</w:t>
      </w:r>
      <w:r>
        <w:rPr>
          <w:rFonts w:hint="eastAsia" w:ascii="宋体" w:hAnsi="宋体" w:eastAsia="宋体" w:cs="宋体"/>
          <w:color w:val="auto"/>
          <w:sz w:val="21"/>
          <w:szCs w:val="21"/>
          <w:highlight w:val="none"/>
        </w:rPr>
        <w:t>填写的《参与编制经济标投标文件人员名单》。</w:t>
      </w:r>
    </w:p>
    <w:p>
      <w:pPr>
        <w:tabs>
          <w:tab w:val="left" w:pos="1125"/>
        </w:tabs>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11.3.4若投标人的投标报价低于工程成本警戒价的，投标人还须提供详细的施工组织设计、单价、措施性费用、单价分析表、主要材料价格表、投标人成本分析供评标委员会评审。</w:t>
      </w:r>
    </w:p>
    <w:p>
      <w:pPr>
        <w:pStyle w:val="18"/>
        <w:spacing w:after="0"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12．投标文件格式</w:t>
      </w:r>
    </w:p>
    <w:p>
      <w:pPr>
        <w:pStyle w:val="18"/>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12.1 投标文件包括本须知第11条中规定的内容，投标人提交的投标文件应当使用招标文件所提供的投标文件全部格式（表格可以按同样格式扩展）。</w:t>
      </w:r>
    </w:p>
    <w:p>
      <w:pPr>
        <w:pStyle w:val="18"/>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12.2 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pStyle w:val="18"/>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12.3 </w:t>
      </w:r>
      <w:r>
        <w:rPr>
          <w:rFonts w:hint="eastAsia" w:ascii="宋体" w:hAnsi="宋体" w:eastAsia="宋体" w:cs="宋体"/>
          <w:bCs/>
          <w:color w:val="auto"/>
          <w:sz w:val="21"/>
          <w:szCs w:val="21"/>
          <w:highlight w:val="none"/>
        </w:rPr>
        <w:t>投标文件应按</w:t>
      </w:r>
      <w:r>
        <w:rPr>
          <w:rFonts w:hint="eastAsia" w:ascii="宋体" w:hAnsi="宋体" w:eastAsia="宋体" w:cs="宋体"/>
          <w:color w:val="auto"/>
          <w:sz w:val="21"/>
          <w:szCs w:val="21"/>
          <w:highlight w:val="none"/>
        </w:rPr>
        <w:t>照交易平台关于全流程电子化项目的相关指南进行编制，详见：</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pStyle w:val="18"/>
        <w:spacing w:after="0" w:line="360" w:lineRule="auto"/>
        <w:ind w:firstLine="0"/>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如不按上述要求编制引起系统无法检索、读取相关信息的，其后果由投标人承担。</w:t>
      </w:r>
    </w:p>
    <w:p>
      <w:pPr>
        <w:pStyle w:val="18"/>
        <w:spacing w:after="0"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13．投标报价及造价承包和变更结算方式</w:t>
      </w:r>
    </w:p>
    <w:p>
      <w:pPr>
        <w:pStyle w:val="18"/>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13.1 本工程的投标报价采用投标须知前附表第12项所规定的方式。投标报价（含单价及总价）精确到“分”。</w:t>
      </w:r>
    </w:p>
    <w:p>
      <w:pPr>
        <w:pStyle w:val="18"/>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13.2招标人按照招标图纸制定招标工程量清单，该清单载于本招标文件第七章中，投标人按照招标人提供的招标工程量清单中列出的工程项目和工程量填报单价和合价，每一项目只允许有一个报价，任何有选择的报价将不予接受。投标人未填报单价或合价的工程项目，视为此项费用已包含在已标价工程量清单中其他项目的单价和合价之中，在实施后，此项目不得重新组价予以调整，招标人将不予支付。</w:t>
      </w:r>
    </w:p>
    <w:p>
      <w:pPr>
        <w:pStyle w:val="18"/>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13.3投标人的投标报价，应是按照投标须知前附表第8项的工期要求，在投标须知前附表第3项的建设地点，完成投标须知前附表第7项的招标范围内已由招标人制定的工程量清单列明工作的全部费用，包括但不限于完成工作的成本、利润、税金、技术措施费、大型机械进出场费、风险费以及政策性文件规定费用等，不得以任何理由予以重复计算。招标人提供的工程量清单或招标文件其他部分中有关规费、暂列金额、暂估价、绿色施工安全防护措施费等非竞争性项目明列了单价或合价的金额的，投标人应按照明列的单价或合价的金额报价，未按照规定金额报价的，由评标委员会按照招标文件规定的金额进行修正。</w:t>
      </w:r>
    </w:p>
    <w:p>
      <w:pPr>
        <w:pStyle w:val="18"/>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13.4投标人一旦中标，投标人对招标人提供的招标工程量清单中列出的工程项目所报出的综合单价，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关措施项目相应发生变化时，按系数或单一总价方式计价的措施项目费，工程量增加的措施项目费调增，工程量减少的措施项目费调减。</w:t>
      </w:r>
    </w:p>
    <w:p>
      <w:pPr>
        <w:pStyle w:val="18"/>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13.5工程项目实施期间和结算时，招标文件工程量清单中漏列而由监理单位和招标人现场签证确认的工程项目、原设计没有而由招标人批准设计变更产生的工程项目，视为新增项目，按以下顺序确定价格：</w:t>
      </w:r>
    </w:p>
    <w:p>
      <w:pPr>
        <w:pStyle w:val="18"/>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13.5.1中标的投标文件工程量清单中已有相同项目的适用综合单价，则沿用；</w:t>
      </w:r>
    </w:p>
    <w:p>
      <w:pPr>
        <w:pStyle w:val="18"/>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13.5.2中标的投标文件工程量清单中已有类似项目的综合单价，则按类似项目的综合单价对相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按广州市造价管理站同期《广州地区建设工程常用材料税前综合价格》计算，《广州地区建设工程常用材料税前综合价格》没有的材料单价，由招标人在招标文件中依法确定计价方式。</w:t>
      </w:r>
    </w:p>
    <w:p>
      <w:pPr>
        <w:pStyle w:val="18"/>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13.5.3 中标的投标文件工程量清单中没有相同项目或类似项目的，如可套取相关定额，则以相关定额为基数下浮计算单价,下浮率为中标价相对于最高投标限价的下浮率（下浮率=(最高投标限价-中标价)/ 最高投标限价）。</w:t>
      </w:r>
    </w:p>
    <w:p>
      <w:pPr>
        <w:pStyle w:val="18"/>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13.5.4 如相关定额没有相应子目的，其计价方式由招标人在本招标文件第三章中另行规定。未规定的，中标后双方协商约定。</w:t>
      </w:r>
    </w:p>
    <w:p>
      <w:pPr>
        <w:pStyle w:val="18"/>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13.6暂列金额、暂估价</w:t>
      </w:r>
    </w:p>
    <w:p>
      <w:pPr>
        <w:pStyle w:val="18"/>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13.6.1暂列金额指招标人在工程量清单中暂定并包括在合同价款中的一笔款项。用于施工合同签订时尚未确定或者不可预见的所需材料、设备、服务的采购，施工中可能发生的工程量变更、合同约定调整因素出现时的工程价款调整以及发生的索赔、现场签证等费用。</w:t>
      </w:r>
    </w:p>
    <w:p>
      <w:pPr>
        <w:pStyle w:val="18"/>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暂估价是指招标人在工程量清单中提供的用于支付必然发生但暂时不能确定价格的材料的单价以及专业工程的金额。</w:t>
      </w:r>
    </w:p>
    <w:p>
      <w:pPr>
        <w:pStyle w:val="18"/>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13.6.2在工程实施中，暂列金额、暂估价所包含的工作范围和图纸、标准深化固定后，按照工程专业、设备、材料类别等分类汇总的金额，达到法定招标范围标准的，应由招标人同中标人联合招标，确定承包人和承包价格。</w:t>
      </w:r>
    </w:p>
    <w:p>
      <w:pPr>
        <w:pStyle w:val="18"/>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13.6.3在工程实施中，暂列金额、暂估价所包含的工作范围和图纸、标准深化固定后，按照工程专业、设备、材料类别等分类汇总的金额，未达到法定招标范围标准但适用政府采购规定的，应按照政府采购规定确定承包人和承包价格。</w:t>
      </w:r>
    </w:p>
    <w:p>
      <w:pPr>
        <w:pStyle w:val="18"/>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13.6.4在工程实施中，暂列金额、暂估价所包含的工作范围和图纸、标准深化固定后，按照工程专业、设备、材料类别等分类汇总的金额，未达到法定招标范围标准也不适用政府采购规定，承包人有法定的承包资格的，由承包人承包，承包人无法定的承包资格但有法定的分包权的，由承包人分包，招标人同承包人结算的价格按本投标须知13.5款规定确定。</w:t>
      </w:r>
    </w:p>
    <w:p>
      <w:pPr>
        <w:pStyle w:val="18"/>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13.6.5在工程实施中，暂列金额、暂估价所包含的工作范围和图纸、标准深化固定后，按照工程专业、设备、材料类别等分类汇总的金额，未达到法定招标范围标准也不适用政府采购规定，承包人既无法定的承包资格又无法定的分包权的，由招标人另行发包。</w:t>
      </w:r>
    </w:p>
    <w:p>
      <w:pPr>
        <w:pStyle w:val="18"/>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13.6.6 在工程实施中，暂列金额、暂估价所包含的工作范围由其他承包人承包的，纳入本项目承包人的管理和协调范围，由其他承包人向本项目承包人承担质量、安全、文明施工、工期责任，本项目承包人向招标人承担责任。投标人应当充分考虑此项管理和协调所发生的费用，并将其纳入招标人提供的工程量清单中的适当项目报价中。招标人将视为此项管理和协调所发生的费用已包含在其它有价款的竞争性报价内，在实施后，招标人将不予支付。</w:t>
      </w:r>
    </w:p>
    <w:p>
      <w:pPr>
        <w:pStyle w:val="18"/>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13.7投标人可先到工地踏勘以充分了解工地位置、情况、道路、储存空间、装卸限制及任何其他足以影响承包价的情况，任何因忽视或误解工地情况而导致的索赔或工期延长申请将不被批准。</w:t>
      </w:r>
    </w:p>
    <w:p>
      <w:pPr>
        <w:pStyle w:val="18"/>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13.8属于承包人自行采购的主要材料、设备，招标人应当在招标文件中提出材料、设备的技术标准或者质量要求，或者提出不少于3个同等档次品牌或分包商供投标人报价时选择,凡招标人在招标文件中提出参考品牌的，必须在参考品牌后面加上“或相当于”字样。投标人在投标文件中应明确所选用主要材料、设备的品牌、厂家以及质量等级，并且应当符合招标文件的要求。</w:t>
      </w:r>
    </w:p>
    <w:p>
      <w:pPr>
        <w:pStyle w:val="18"/>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13.9招标人与中标人应本着实事求是、风险共担的原则，充分考虑施工合同履行期间人工、建筑材料、机械设备价格因素的影响。对于各类钢筋、混凝土等主要材料以及人工、机械设备等，应结合合同工期、各价格因素对工程总造价的影响等，合理约定调价机制。调价机制应由招标人在招标文件及合同中明确，内容包括调价范围（含材料、机械的具体名称、工种等）、价格变动时限、幅度以及相应的合同价款调整方法。</w:t>
      </w:r>
    </w:p>
    <w:p>
      <w:pPr>
        <w:pStyle w:val="18"/>
        <w:spacing w:after="0"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14．投标货币</w:t>
      </w:r>
    </w:p>
    <w:p>
      <w:pPr>
        <w:pStyle w:val="18"/>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14.1 本工程投标报价采用的币种为人民币。</w:t>
      </w:r>
    </w:p>
    <w:p>
      <w:pPr>
        <w:pStyle w:val="18"/>
        <w:spacing w:after="0" w:line="360" w:lineRule="auto"/>
        <w:ind w:firstLine="422" w:firstLineChars="200"/>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15．投标有效期</w:t>
      </w:r>
    </w:p>
    <w:p>
      <w:pPr>
        <w:pStyle w:val="18"/>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15.1 投标有效期见投标须知前附表第13项所规定的期限，在此期限内，凡符合本招标文件要求的投标文件均保持有效。</w:t>
      </w:r>
    </w:p>
    <w:p>
      <w:pPr>
        <w:pStyle w:val="18"/>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15.2 在特殊情况下，招标人在原定投标有效期内，可以根据需要以书面形式向投标人提出延长投标有效期的要求，对此要求投标人须以书面形式予以答复。投标人可以拒绝招标人这种要求，而不影响退还其投标保证金。同意延长投标有效期的投标人既不能要求也不允许修改其投标文件，但需要相应的延长投标保证金的有效期，在延长的投标有效期内，本须知第16条关于投标保证金的退还与不予退还的规定仍然适用。</w:t>
      </w:r>
    </w:p>
    <w:p>
      <w:pPr>
        <w:pStyle w:val="18"/>
        <w:spacing w:after="0"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16．投标保证金</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16.1投标人应按投标须知前附表第14项所述金额和时间递交</w:t>
      </w:r>
      <w:r>
        <w:rPr>
          <w:rFonts w:hint="eastAsia" w:ascii="宋体" w:hAnsi="宋体" w:eastAsia="宋体" w:cs="宋体"/>
          <w:bCs/>
          <w:color w:val="auto"/>
          <w:sz w:val="21"/>
          <w:szCs w:val="21"/>
          <w:highlight w:val="none"/>
        </w:rPr>
        <w:t>投标保证金</w:t>
      </w:r>
      <w:r>
        <w:rPr>
          <w:rFonts w:hint="eastAsia" w:ascii="宋体" w:hAnsi="宋体" w:eastAsia="宋体" w:cs="宋体"/>
          <w:color w:val="auto"/>
          <w:sz w:val="21"/>
          <w:szCs w:val="21"/>
          <w:highlight w:val="none"/>
        </w:rPr>
        <w:t>。招标人应当允许投标人自主选择现金、银行保函、保证保险、专业工程担保公司担保等方式缴纳投标保证金。</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16.1.1 采用现金或者支票形式提交的，投标保证金须从投标人的银行基本账户转出。</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16.1.2 依法必须招标的房屋建筑工程如采用非电子形式的银行保函、专业工程担保公司担保或保证保险提交投标保证金的，在开标前不强制要求投标人提交纸质原件，由中标候选人在中标候选人公示前提交并在网上公示，投标人应在投标文件中提交保函、担保或保证保险扫描件并加盖投标人电子印章。如投标人存在16.4条款所列情形的，应将纸质原件提交给招标人。</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16.1.3 采用电子形式的保函、担保或保证保险提交投标保证金的，应在招标文件中明确电子递交途径。</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16.2开标时投标人没有按要求提供投标保证金的，其投标文件将被否决；未按招标文件要求提交符合免予提供投标保证金相关证明材料，且未提交投标保证金的投标人，视为未按要求提供投标保证金。</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16.3投标保证金应依据法律法规的相关规定退还。</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16.4如有下列情况之一的，招标人可以不予退还投标保证金（是否退还投标保证金由招标人在招标文件中规定）：</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16.4.1因投标人原因造成投标文件未解密的；</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16.4.2投标人在投标有效期内撤销投标文件；</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16.4.3中标人未能在规定期限内按要求提交履约担保；</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16.4.4中标人未能在规定期限内签署合同协议。</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16.5投标人如存在下列情况之一的，将被拒绝在一定时期内参与招标人后续工程投标（拒绝时限需在招标文件中明确）：</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16.5.1投标人存在16.4条款所列情形且投标人提交的保函、担保或保证保险无法兑付的；</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16.5.2采用非电子形式提交投标保证金的投标人存在16.4条款所列情形，且未按招标人要求补交银行保函、专业工程担保公司担保或保证保险原件的；</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16.5.3按招标文件要求免于提供投标保证金的投标人存在16.4条款所列情形，且未按招标人要求补交投标保证金的；</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16.5.3按招标文件要求免于提供投标保证金的投标人存在16.4条款所列情形的。</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注：16.5.3款由招标人二选一，需在招标文件中明确。</w:t>
      </w:r>
    </w:p>
    <w:p>
      <w:pPr>
        <w:pStyle w:val="18"/>
        <w:spacing w:after="0"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17．投标文件的签署</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17.1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pStyle w:val="7"/>
        <w:spacing w:before="156" w:after="156" w:line="360" w:lineRule="auto"/>
        <w:rPr>
          <w:rFonts w:hint="eastAsia" w:ascii="宋体" w:hAnsi="宋体" w:eastAsia="宋体" w:cs="宋体"/>
          <w:color w:val="auto"/>
          <w:sz w:val="21"/>
          <w:szCs w:val="21"/>
          <w:highlight w:val="none"/>
        </w:rPr>
      </w:pPr>
      <w:bookmarkStart w:id="12" w:name="_Toc21525496"/>
      <w:bookmarkStart w:id="13" w:name="_Toc24057"/>
      <w:r>
        <w:rPr>
          <w:rFonts w:hint="eastAsia" w:ascii="宋体" w:hAnsi="宋体" w:eastAsia="宋体" w:cs="宋体"/>
          <w:color w:val="auto"/>
          <w:sz w:val="21"/>
          <w:szCs w:val="21"/>
          <w:highlight w:val="none"/>
        </w:rPr>
        <w:t>（四）投标文件的提交</w:t>
      </w:r>
      <w:bookmarkEnd w:id="12"/>
      <w:bookmarkEnd w:id="13"/>
    </w:p>
    <w:p>
      <w:pPr>
        <w:pStyle w:val="18"/>
        <w:spacing w:after="0"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18．</w:t>
      </w:r>
      <w:r>
        <w:rPr>
          <w:rFonts w:hint="eastAsia" w:ascii="宋体" w:hAnsi="宋体" w:eastAsia="宋体" w:cs="宋体"/>
          <w:b/>
          <w:color w:val="auto"/>
          <w:sz w:val="21"/>
          <w:szCs w:val="21"/>
          <w:highlight w:val="none"/>
        </w:rPr>
        <w:t>投标文件的密封和标记</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18.1递交的电子投标文件（不含备用光盘）必须进行加密。按照交易平台关于</w:t>
      </w:r>
      <w:r>
        <w:rPr>
          <w:rFonts w:hint="eastAsia" w:ascii="宋体" w:hAnsi="宋体" w:eastAsia="宋体" w:cs="宋体"/>
          <w:color w:val="auto"/>
          <w:sz w:val="21"/>
          <w:szCs w:val="21"/>
          <w:highlight w:val="none"/>
        </w:rPr>
        <w:t>全流程电子化项目的相关指南进行操作。详见：</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18.2 未按要求加密的投标文件，</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交易平台</w:t>
      </w:r>
      <w:r>
        <w:rPr>
          <w:rFonts w:hint="eastAsia" w:ascii="宋体" w:hAnsi="宋体" w:eastAsia="宋体" w:cs="宋体"/>
          <w:bCs/>
          <w:color w:val="auto"/>
          <w:sz w:val="21"/>
          <w:szCs w:val="21"/>
          <w:highlight w:val="none"/>
        </w:rPr>
        <w:t>将予以拒收。</w:t>
      </w: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19．投标文件的递交和接收</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19.1投标人通过</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交易平台递交电子投标文件。</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19.2投标人完成电子</w:t>
      </w:r>
      <w:r>
        <w:rPr>
          <w:rFonts w:hint="eastAsia" w:ascii="宋体" w:hAnsi="宋体" w:eastAsia="宋体" w:cs="宋体"/>
          <w:color w:val="auto"/>
          <w:sz w:val="21"/>
          <w:szCs w:val="21"/>
          <w:highlight w:val="none"/>
        </w:rPr>
        <w:t>投标文件</w:t>
      </w:r>
      <w:r>
        <w:rPr>
          <w:rFonts w:hint="eastAsia" w:ascii="宋体" w:hAnsi="宋体" w:eastAsia="宋体" w:cs="宋体"/>
          <w:bCs/>
          <w:color w:val="auto"/>
          <w:sz w:val="21"/>
          <w:szCs w:val="21"/>
          <w:highlight w:val="none"/>
        </w:rPr>
        <w:t>上传后，</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交易平台即时向投标人发出递交回执通知。递交时间以递交回执通知载明的传输完成时间为准。</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19.3逾期送达的电子投标文件，</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交易平台将予以拒收。</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19.4 投标截止前，招标人拒绝接收符合条件的投标文件，投标人可向招标投标监督机构投诉。</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19.5如技术标和经济标先后分别开启，</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交易平台将按招标文件规定的时间分别开启技术标和经济标。</w:t>
      </w: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20．投标文件提交的截止时间</w:t>
      </w:r>
    </w:p>
    <w:p>
      <w:pPr>
        <w:spacing w:line="360" w:lineRule="auto"/>
        <w:ind w:firstLine="420" w:firstLineChars="200"/>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20.1投标人应在投标须知前附表第17项所述的时间前提交投标文件。</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20.2招标人可按本须知第9条规定以招标文件修改的方式，酌情延长提交投标文件的截止时间。在此情况下，投标人的所有权利和义务以及投标人受制约的截止时间，均以延长后新的投标截止时间为准。</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20.3 到投标截止时间止，招标人收到的投标文件少于3家的，招标人将重新组织招标（当N个标段同时招标且不允许兼中时，若有效投标人不足N+2家，则重新组织招标）。</w:t>
      </w: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21．迟交的投标文件</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21.1 本须知前附表第17项规定的投标截止时间</w:t>
      </w:r>
      <w:r>
        <w:rPr>
          <w:rFonts w:hint="eastAsia" w:ascii="宋体" w:hAnsi="宋体" w:eastAsia="宋体" w:cs="宋体"/>
          <w:bCs/>
          <w:color w:val="auto"/>
          <w:sz w:val="21"/>
          <w:szCs w:val="21"/>
          <w:highlight w:val="none"/>
        </w:rPr>
        <w:t>后送达的电子投标文件，</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交易平台将予以拒收。</w:t>
      </w: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22．投标文件的修改与撤回</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22.1在规定的投标截止时间前，投标人可以修改或撤回已递交的投标文件，但应以书面形式通知招标人。</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22.2投标人修改或撤回已递交的投标文件，需在交易平台发出修改或撤回通知，并按要求加盖电子印章。</w:t>
      </w:r>
      <w:r>
        <w:rPr>
          <w:rFonts w:hint="eastAsia" w:ascii="宋体" w:hAnsi="宋体" w:eastAsia="宋体" w:cs="宋体"/>
          <w:bCs/>
          <w:iCs/>
          <w:color w:val="auto"/>
          <w:sz w:val="21"/>
          <w:szCs w:val="21"/>
          <w:highlight w:val="none"/>
        </w:rPr>
        <w:t>电子招标投标交易平台收到通知后，</w:t>
      </w:r>
      <w:r>
        <w:rPr>
          <w:rFonts w:hint="eastAsia" w:ascii="宋体" w:hAnsi="宋体" w:eastAsia="宋体" w:cs="宋体"/>
          <w:color w:val="auto"/>
          <w:sz w:val="21"/>
          <w:szCs w:val="21"/>
          <w:highlight w:val="none"/>
        </w:rPr>
        <w:t>即时向投标人发出确认回执通知。</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22.3修改后再次递交的，按19点的规定执行。</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22.4 在投标截止时间之后，投标人不得补充、修改和更换投标文件。</w:t>
      </w:r>
    </w:p>
    <w:p>
      <w:pPr>
        <w:pStyle w:val="7"/>
        <w:spacing w:before="156" w:after="156" w:line="360" w:lineRule="auto"/>
        <w:rPr>
          <w:rFonts w:hint="eastAsia" w:ascii="宋体" w:hAnsi="宋体" w:eastAsia="宋体" w:cs="宋体"/>
          <w:color w:val="auto"/>
          <w:sz w:val="21"/>
          <w:szCs w:val="21"/>
          <w:highlight w:val="none"/>
        </w:rPr>
      </w:pPr>
      <w:bookmarkStart w:id="14" w:name="_Toc21525497"/>
      <w:bookmarkStart w:id="15" w:name="_Toc13732"/>
      <w:r>
        <w:rPr>
          <w:rFonts w:hint="eastAsia" w:ascii="宋体" w:hAnsi="宋体" w:eastAsia="宋体" w:cs="宋体"/>
          <w:color w:val="auto"/>
          <w:sz w:val="21"/>
          <w:szCs w:val="21"/>
          <w:highlight w:val="none"/>
        </w:rPr>
        <w:t>（五）开标、评标、定标及合同签定</w:t>
      </w:r>
      <w:bookmarkEnd w:id="14"/>
      <w:bookmarkEnd w:id="15"/>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23、开标。</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详见第二章开标、评标及定标办法</w:t>
      </w: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24．评标过程的保密</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24.1 开标后，直至中标公示为止，凡属于对投标文件的审查、澄清、评价和比较有关的资料以及中标候选人的推荐情况，与评标有关的其他任何情况均严格保密。</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24.2 在投标文件的评审和比较、中标候选人推荐以及授予合同的过程中，投标人向招标人和评标委员会施加不公正影响的任何行为，都将会导致其投标被拒绝。</w:t>
      </w: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25．投标文件的澄清，计算错误的修正</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详见招标文件第二章开标、评标及定标办法</w:t>
      </w: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26．投标文件的评审、比较和否决</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详见招标文件第二章开标、评标及定标办法。</w:t>
      </w: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27．中标通知书</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27.1招标人将在</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交易平台、广东省招标投标监管网和中国招标投标公共服务平台公示中标候选人，公示期为三天。投标人或其他利害关系人对评标结果有异议的，应当在中标候选人公示期间提出，可以通过线下或线上的形式提出异议。线上提交的，应通过交易平台进行，招标人也应通过交易平台答复线上提交的异议。作出答复前，应当暂停招标投标活动。</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27.2招标人应当自确定中标人后，向招标投标监管机构提交招标投标情况的书面报告；经招投标监管机构备案后，方可发出中标通知书。</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27.3中标人必须在收到中标通知书后24小时之内以书面形式回复招标人，确认收到。</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27.4在产生中标候选人后，招标人将中标候选人的投标文件商务部分文件的所有内容（包括人员、业绩、奖项等资料）在</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交易平台和广东省招标投标监管网公开。</w:t>
      </w: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28．合同协议书的签订</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28.1 招标人与中标人将于中标通知书发出之日起30日内，按照招标文件和中标人的投标文件商定和签订合同，招标人和中标人不得再行订立背离合同实质性内容的其他协议。</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28.2中标通知书发出之日起30日后，中标人未按上款的规定与招标人订立合同，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28.3非经招标人同意，中标人在投标过程中使用的银行名称及帐号至完成竣工结算不得变更，否则招标人有权停止工程款项的拔付及至解除合同，由此造成的一切责任由中标人承担。</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28.4招标人支付工程款时，中标人应按规定开具发票。</w:t>
      </w: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29．履约担保</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29.1 在收到中标通知书后的</w:t>
      </w:r>
      <w:r>
        <w:rPr>
          <w:rFonts w:hint="eastAsia" w:ascii="宋体" w:hAnsi="宋体" w:eastAsia="宋体" w:cs="宋体"/>
          <w:b/>
          <w:color w:val="auto"/>
          <w:sz w:val="21"/>
          <w:szCs w:val="21"/>
          <w:highlight w:val="none"/>
        </w:rPr>
        <w:t>15日</w:t>
      </w:r>
      <w:r>
        <w:rPr>
          <w:rFonts w:hint="eastAsia" w:ascii="宋体" w:hAnsi="宋体" w:eastAsia="宋体" w:cs="宋体"/>
          <w:color w:val="auto"/>
          <w:sz w:val="21"/>
          <w:szCs w:val="21"/>
          <w:highlight w:val="none"/>
        </w:rPr>
        <w:t>内，中标人应按本须知前附表第20项的规定向招标人提交履约担保。</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29.2中标通知书发出之日起15日后，中标人未按上款的规定提交履约担保，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30．合同生效</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30.1在合同双方全权代表在合同协议书上签字，并分别加盖双方单位的公章后，合同正式生效。</w:t>
      </w: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31．其它费用</w:t>
      </w:r>
    </w:p>
    <w:p>
      <w:pPr>
        <w:pStyle w:val="18"/>
        <w:spacing w:after="0"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32．腐败与欺诈行为</w:t>
      </w:r>
    </w:p>
    <w:p>
      <w:pPr>
        <w:pStyle w:val="18"/>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在招标和合同实施期间，招标人要求投标人和承包人遵守最高的道德标准。</w:t>
      </w:r>
    </w:p>
    <w:p>
      <w:pPr>
        <w:pStyle w:val="18"/>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32．1对本条款的规定，特定义如下词汇：</w:t>
      </w:r>
    </w:p>
    <w:p>
      <w:pPr>
        <w:pStyle w:val="18"/>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1）、“腐败行为”是指在招标或合同执行期间，通过提供、给予、接受或索要任何有价值的东西，从而影响招标人有关人员工作的行为；</w:t>
      </w:r>
    </w:p>
    <w:p>
      <w:pPr>
        <w:pStyle w:val="18"/>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欺诈行为”是指通过提供伪证影响招标或合同执行，从而损害招标人利益的行为；也包括投标人之间串通（在提交投标文件之前或之后），人为地使招标过程失去竞争性，从而使招标人无法从公开的自由竞争中获得利益的行为。</w:t>
      </w:r>
    </w:p>
    <w:p>
      <w:pPr>
        <w:pStyle w:val="18"/>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32．2如果投标人被认定在本招标的竞争中有腐败或欺诈行为，则会被取消投标资格。</w:t>
      </w:r>
    </w:p>
    <w:p>
      <w:pPr>
        <w:pStyle w:val="18"/>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32.3投标人如在本项目中存在串通投标、弄虚作假骗取中标、行贿情形的，中标无效，行政监督部门将对其违法行为进行政处罚。该投标人将被招标人列入黑名单并限制其参与招标人后续项目的投标。</w:t>
      </w:r>
    </w:p>
    <w:p>
      <w:pPr>
        <w:pStyle w:val="18"/>
        <w:spacing w:after="0" w:line="360" w:lineRule="auto"/>
        <w:ind w:firstLine="480" w:firstLineChars="200"/>
        <w:rPr>
          <w:rFonts w:hint="eastAsia" w:ascii="宋体" w:hAnsi="宋体" w:eastAsia="宋体" w:cs="宋体"/>
          <w:color w:val="auto"/>
          <w:sz w:val="24"/>
          <w:szCs w:val="24"/>
          <w:highlight w:val="none"/>
        </w:rPr>
      </w:pPr>
    </w:p>
    <w:p>
      <w:pPr>
        <w:pStyle w:val="3"/>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bookmarkStart w:id="16" w:name="_Toc12835"/>
      <w:r>
        <w:rPr>
          <w:rFonts w:hint="eastAsia" w:ascii="宋体" w:hAnsi="宋体" w:eastAsia="宋体" w:cs="宋体"/>
          <w:b/>
          <w:bCs/>
          <w:color w:val="auto"/>
          <w:sz w:val="24"/>
          <w:szCs w:val="24"/>
          <w:highlight w:val="none"/>
        </w:rPr>
        <w:t>第二章  开标、评标及定标办法</w:t>
      </w:r>
      <w:bookmarkEnd w:id="16"/>
    </w:p>
    <w:p>
      <w:pPr>
        <w:pStyle w:val="5"/>
        <w:spacing w:line="360" w:lineRule="auto"/>
        <w:rPr>
          <w:rFonts w:hint="eastAsia" w:ascii="宋体" w:hAnsi="宋体" w:eastAsia="宋体" w:cs="宋体"/>
          <w:color w:val="auto"/>
          <w:sz w:val="24"/>
          <w:szCs w:val="24"/>
          <w:highlight w:val="none"/>
        </w:rPr>
      </w:pPr>
      <w:bookmarkStart w:id="17" w:name="_Toc20882"/>
      <w:r>
        <w:rPr>
          <w:rFonts w:hint="eastAsia" w:ascii="宋体" w:hAnsi="宋体" w:eastAsia="宋体" w:cs="宋体"/>
          <w:color w:val="auto"/>
          <w:sz w:val="24"/>
          <w:szCs w:val="24"/>
          <w:highlight w:val="none"/>
        </w:rPr>
        <w:t>一、开标、评标及定标办法修改表</w:t>
      </w:r>
      <w:bookmarkEnd w:id="17"/>
    </w:p>
    <w:p>
      <w:pPr>
        <w:pStyle w:val="18"/>
        <w:spacing w:after="0"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声明：本开标、评标及定标办法使用GZZB2018-3招标文件范本的开标、评标及定标办法通用条款，与该通用条款不同之处，均在本表中列明，并以现文为准，原文不再有效。本招标文件中不再转录开标、评标及定标办法通用条款，请投标人自行到广州市住房和城乡建设局网站（网址：</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HYPERLINK "http://www.gzcc.gov.cn/）下载GZZB2018-3"</w:instrText>
      </w:r>
      <w:r>
        <w:rPr>
          <w:rFonts w:hint="eastAsia" w:ascii="宋体" w:hAnsi="宋体" w:eastAsia="宋体" w:cs="宋体"/>
          <w:color w:val="auto"/>
          <w:sz w:val="21"/>
          <w:szCs w:val="21"/>
          <w:highlight w:val="none"/>
        </w:rPr>
        <w:fldChar w:fldCharType="separate"/>
      </w:r>
      <w:r>
        <w:rPr>
          <w:rFonts w:hint="eastAsia" w:ascii="宋体" w:hAnsi="宋体" w:eastAsia="宋体" w:cs="宋体"/>
          <w:b/>
          <w:color w:val="auto"/>
          <w:sz w:val="21"/>
          <w:szCs w:val="21"/>
          <w:highlight w:val="none"/>
        </w:rPr>
        <w:t>http://zfcj.gz.gov.cn/</w:t>
      </w:r>
      <w:r>
        <w:rPr>
          <w:rStyle w:val="23"/>
          <w:rFonts w:hint="eastAsia" w:ascii="宋体" w:hAnsi="宋体" w:eastAsia="宋体" w:cs="宋体"/>
          <w:b/>
          <w:color w:val="auto"/>
          <w:sz w:val="21"/>
          <w:szCs w:val="21"/>
          <w:highlight w:val="none"/>
        </w:rPr>
        <w:t>）下载GZZB2018-3</w:t>
      </w:r>
      <w:r>
        <w:rPr>
          <w:rFonts w:hint="eastAsia" w:ascii="宋体" w:hAnsi="宋体" w:eastAsia="宋体" w:cs="宋体"/>
          <w:color w:val="auto"/>
          <w:sz w:val="21"/>
          <w:szCs w:val="21"/>
          <w:highlight w:val="none"/>
        </w:rPr>
        <w:fldChar w:fldCharType="end"/>
      </w:r>
      <w:r>
        <w:rPr>
          <w:rFonts w:hint="eastAsia" w:ascii="宋体" w:hAnsi="宋体" w:eastAsia="宋体" w:cs="宋体"/>
          <w:b/>
          <w:color w:val="auto"/>
          <w:sz w:val="21"/>
          <w:szCs w:val="21"/>
          <w:highlight w:val="none"/>
        </w:rPr>
        <w:t>范本查阅。</w:t>
      </w:r>
    </w:p>
    <w:p>
      <w:pPr>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xml:space="preserve">条款号：36.1            </w:t>
      </w:r>
      <w:r>
        <w:rPr>
          <w:rFonts w:hint="eastAsia" w:ascii="宋体" w:hAnsi="宋体" w:eastAsia="宋体" w:cs="宋体"/>
          <w:b/>
          <w:color w:val="auto"/>
          <w:sz w:val="21"/>
          <w:szCs w:val="21"/>
          <w:highlight w:val="none"/>
          <w:lang w:val="en-US" w:eastAsia="zh-CN"/>
        </w:rPr>
        <w:t xml:space="preserve">                 </w:t>
      </w:r>
      <w:r>
        <w:rPr>
          <w:rFonts w:hint="eastAsia" w:ascii="宋体" w:hAnsi="宋体" w:eastAsia="宋体" w:cs="宋体"/>
          <w:b/>
          <w:color w:val="auto"/>
          <w:sz w:val="21"/>
          <w:szCs w:val="21"/>
          <w:highlight w:val="none"/>
        </w:rPr>
        <w:t>修改类型：修改</w:t>
      </w:r>
    </w:p>
    <w:p>
      <w:pPr>
        <w:spacing w:line="360" w:lineRule="auto"/>
        <w:ind w:firstLine="495" w:firstLineChars="235"/>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原文：</w:t>
      </w:r>
      <w:r>
        <w:rPr>
          <w:rFonts w:hint="eastAsia" w:ascii="宋体" w:hAnsi="宋体" w:eastAsia="宋体" w:cs="宋体"/>
          <w:color w:val="auto"/>
          <w:sz w:val="21"/>
          <w:szCs w:val="21"/>
          <w:highlight w:val="none"/>
        </w:rPr>
        <w:t>36.1招标人按投标须知前附表第18项所规定的时间和地点公开开标，并邀请所有投标人参加。截标后，开标开始时间因故推迟的，相关评标信息仍以原定的开标开始时间的信息为准。</w:t>
      </w:r>
    </w:p>
    <w:p>
      <w:pPr>
        <w:pBdr>
          <w:bottom w:val="single" w:color="auto" w:sz="6" w:space="1"/>
        </w:pBdr>
        <w:spacing w:line="360" w:lineRule="auto"/>
        <w:ind w:firstLine="424" w:firstLineChars="201"/>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现文：</w:t>
      </w:r>
      <w:r>
        <w:rPr>
          <w:rFonts w:hint="eastAsia" w:ascii="宋体" w:hAnsi="宋体" w:cs="宋体"/>
          <w:color w:val="auto"/>
          <w:szCs w:val="21"/>
          <w:highlight w:val="none"/>
        </w:rPr>
        <w:t>36.1招标人按投标须知前附表第18项所规定的时间和地点公开开标，并邀请所有投标人参加。截标后，开标开始时间因故推迟的，相关评标信息仍以原定的开标开始时间的信息为准。</w:t>
      </w:r>
      <w:r>
        <w:rPr>
          <w:rFonts w:hint="eastAsia" w:ascii="宋体" w:hAnsi="宋体" w:cs="宋体"/>
          <w:color w:val="auto"/>
          <w:szCs w:val="21"/>
          <w:highlight w:val="none"/>
          <w:u w:val="single"/>
        </w:rPr>
        <w:t>若投标人不参加开标会的，其投标文件在开标现场的投标人或招标人代表、招标代理机构代表及交易中心代表见证下公开开启、解密、公布，并视同该投标人认可开标结果</w:t>
      </w:r>
      <w:r>
        <w:rPr>
          <w:rFonts w:hint="eastAsia" w:ascii="宋体" w:hAnsi="宋体" w:eastAsia="宋体" w:cs="宋体"/>
          <w:color w:val="auto"/>
          <w:sz w:val="21"/>
          <w:szCs w:val="21"/>
          <w:highlight w:val="none"/>
        </w:rPr>
        <w:t>。</w:t>
      </w:r>
    </w:p>
    <w:p>
      <w:pPr>
        <w:spacing w:line="360" w:lineRule="auto"/>
        <w:ind w:firstLine="472" w:firstLineChars="224"/>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条款号：36.3                              修改类型：删除</w:t>
      </w:r>
    </w:p>
    <w:p>
      <w:pPr>
        <w:pBdr>
          <w:bottom w:val="single" w:color="auto" w:sz="6" w:space="1"/>
        </w:pBdr>
        <w:spacing w:line="360" w:lineRule="auto"/>
        <w:ind w:firstLine="472" w:firstLineChars="224"/>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原文：</w:t>
      </w:r>
      <w:r>
        <w:rPr>
          <w:rFonts w:hint="eastAsia" w:ascii="宋体" w:hAnsi="宋体" w:cs="宋体"/>
          <w:b w:val="0"/>
          <w:bCs/>
          <w:color w:val="auto"/>
          <w:szCs w:val="21"/>
          <w:highlight w:val="none"/>
          <w:lang w:val="en-US" w:eastAsia="zh-CN"/>
        </w:rPr>
        <w:t>36.3</w:t>
      </w:r>
      <w:r>
        <w:rPr>
          <w:rFonts w:hint="eastAsia" w:ascii="宋体" w:hAnsi="宋体" w:eastAsia="宋体" w:cs="宋体"/>
          <w:color w:val="auto"/>
          <w:szCs w:val="21"/>
          <w:highlight w:val="none"/>
        </w:rPr>
        <w:t>根据投标须知前附表第19项，如需抽取某一种评标办法供评标时使用的，应在开标前抽取。首先对招标文件中约定的若干种评标方法进行编号，再随机抽取某一编号，该编号所对应的评标办法供评标时使用。</w:t>
      </w:r>
    </w:p>
    <w:p>
      <w:pPr>
        <w:pStyle w:val="6"/>
        <w:spacing w:line="360" w:lineRule="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条款号：36.4                              修改类型：修改</w:t>
      </w:r>
    </w:p>
    <w:p>
      <w:pPr>
        <w:spacing w:line="360" w:lineRule="auto"/>
        <w:ind w:firstLine="422" w:firstLineChars="200"/>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原文：</w:t>
      </w:r>
      <w:r>
        <w:rPr>
          <w:rFonts w:hint="eastAsia" w:ascii="宋体" w:hAnsi="宋体" w:eastAsia="宋体" w:cs="宋体"/>
          <w:color w:val="auto"/>
          <w:szCs w:val="21"/>
          <w:highlight w:val="none"/>
        </w:rPr>
        <w:t>36.4若递交投标文件的投标人不足3家，则重新组织招标。（当N个标段同时招标且不允许兼中时，若有效投标人不足N+2家，则重新组织招标）</w:t>
      </w:r>
    </w:p>
    <w:p>
      <w:pPr>
        <w:pBdr>
          <w:bottom w:val="single" w:color="auto" w:sz="6" w:space="1"/>
        </w:pBdr>
        <w:spacing w:line="360" w:lineRule="auto"/>
        <w:ind w:firstLine="422" w:firstLineChars="200"/>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现文：</w:t>
      </w:r>
      <w:r>
        <w:rPr>
          <w:rFonts w:hint="eastAsia" w:ascii="宋体" w:hAnsi="宋体" w:eastAsia="宋体" w:cs="宋体"/>
          <w:color w:val="auto"/>
          <w:szCs w:val="21"/>
          <w:highlight w:val="none"/>
        </w:rPr>
        <w:t>36.4若递交投标文件的投标人不足3家，则重新组织招标。</w:t>
      </w:r>
    </w:p>
    <w:p>
      <w:pPr>
        <w:spacing w:line="360" w:lineRule="auto"/>
        <w:ind w:firstLine="472" w:firstLineChars="224"/>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 xml:space="preserve">条款号：36.5.1                      </w:t>
      </w:r>
      <w:r>
        <w:rPr>
          <w:rFonts w:hint="eastAsia" w:ascii="宋体" w:hAnsi="宋体" w:eastAsia="宋体" w:cs="宋体"/>
          <w:b/>
          <w:color w:val="auto"/>
          <w:szCs w:val="21"/>
          <w:highlight w:val="none"/>
          <w:lang w:val="en-US" w:eastAsia="zh-CN"/>
        </w:rPr>
        <w:t xml:space="preserve">      </w:t>
      </w:r>
      <w:r>
        <w:rPr>
          <w:rFonts w:hint="eastAsia" w:ascii="宋体" w:hAnsi="宋体" w:eastAsia="宋体" w:cs="宋体"/>
          <w:b/>
          <w:color w:val="auto"/>
          <w:szCs w:val="21"/>
          <w:highlight w:val="none"/>
        </w:rPr>
        <w:t>修改类型：修改</w:t>
      </w:r>
    </w:p>
    <w:p>
      <w:pPr>
        <w:spacing w:line="360" w:lineRule="auto"/>
        <w:ind w:firstLine="472" w:firstLineChars="224"/>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原文：</w:t>
      </w:r>
      <w:r>
        <w:rPr>
          <w:rFonts w:hint="eastAsia" w:ascii="宋体" w:hAnsi="宋体" w:eastAsia="宋体" w:cs="宋体"/>
          <w:color w:val="auto"/>
          <w:szCs w:val="21"/>
          <w:highlight w:val="none"/>
        </w:rPr>
        <w:t>36.5.1在投标截止时间后半小时内，投标人通过   交易平台对已递交的电子投标文件进行解密。投标人完成解密后，再由招标人进行解密。解密完成后，公布招标项目名称、投标人名称、投标保证金的递交情况、投标报价、工期及其他内容；</w:t>
      </w:r>
    </w:p>
    <w:p>
      <w:pPr>
        <w:pBdr>
          <w:bottom w:val="single" w:color="auto" w:sz="6" w:space="1"/>
        </w:pBdr>
        <w:spacing w:line="360" w:lineRule="auto"/>
        <w:ind w:firstLine="527" w:firstLineChars="250"/>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现文：</w:t>
      </w:r>
      <w:r>
        <w:rPr>
          <w:rFonts w:hint="eastAsia" w:ascii="宋体" w:hAnsi="宋体" w:eastAsia="宋体" w:cs="宋体"/>
          <w:color w:val="auto"/>
          <w:szCs w:val="21"/>
          <w:highlight w:val="none"/>
        </w:rPr>
        <w:t>36.5.1在投标截止时间后半小时内，投标人通过</w:t>
      </w:r>
      <w:r>
        <w:rPr>
          <w:rFonts w:hint="eastAsia" w:ascii="宋体" w:hAnsi="宋体" w:eastAsia="宋体" w:cs="宋体"/>
          <w:color w:val="auto"/>
          <w:szCs w:val="21"/>
          <w:highlight w:val="none"/>
          <w:u w:val="single"/>
          <w:lang w:eastAsia="zh-CN"/>
        </w:rPr>
        <w:t>广州交易集团有限公司（广州公共资源交易中心）</w:t>
      </w:r>
      <w:r>
        <w:rPr>
          <w:rFonts w:hint="eastAsia" w:ascii="宋体" w:hAnsi="宋体" w:eastAsia="宋体" w:cs="宋体"/>
          <w:color w:val="auto"/>
          <w:szCs w:val="21"/>
          <w:highlight w:val="none"/>
        </w:rPr>
        <w:t>交易平台对已递交的电子投标文件进行解密。投标人完成解密后，再由招标人</w:t>
      </w:r>
      <w:r>
        <w:rPr>
          <w:rFonts w:hint="eastAsia" w:ascii="宋体" w:hAnsi="宋体" w:eastAsia="宋体" w:cs="宋体"/>
          <w:color w:val="auto"/>
          <w:szCs w:val="21"/>
          <w:highlight w:val="none"/>
          <w:u w:val="single"/>
        </w:rPr>
        <w:t>或招标代理</w:t>
      </w:r>
      <w:r>
        <w:rPr>
          <w:rFonts w:hint="eastAsia" w:ascii="宋体" w:hAnsi="宋体" w:eastAsia="宋体" w:cs="宋体"/>
          <w:color w:val="auto"/>
          <w:szCs w:val="21"/>
          <w:highlight w:val="none"/>
        </w:rPr>
        <w:t>进行解密。解密完成后，</w:t>
      </w:r>
      <w:r>
        <w:rPr>
          <w:rFonts w:hint="eastAsia" w:ascii="宋体" w:hAnsi="宋体" w:eastAsia="宋体" w:cs="宋体"/>
          <w:color w:val="auto"/>
          <w:szCs w:val="21"/>
          <w:highlight w:val="none"/>
          <w:u w:val="single"/>
        </w:rPr>
        <w:t>公布招标项目名称、投标人名称、投标报价、工期及其他内容</w:t>
      </w:r>
      <w:r>
        <w:rPr>
          <w:rFonts w:hint="eastAsia" w:ascii="宋体" w:hAnsi="宋体" w:eastAsia="宋体" w:cs="宋体"/>
          <w:color w:val="auto"/>
          <w:szCs w:val="21"/>
          <w:highlight w:val="none"/>
        </w:rPr>
        <w:t>；</w:t>
      </w:r>
    </w:p>
    <w:p>
      <w:pPr>
        <w:spacing w:line="360" w:lineRule="auto"/>
        <w:ind w:firstLine="472" w:firstLineChars="224"/>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xml:space="preserve">条款号：36.5.3                     </w:t>
      </w:r>
      <w:r>
        <w:rPr>
          <w:rFonts w:hint="eastAsia" w:ascii="宋体" w:hAnsi="宋体" w:eastAsia="宋体" w:cs="宋体"/>
          <w:b/>
          <w:color w:val="auto"/>
          <w:sz w:val="21"/>
          <w:szCs w:val="21"/>
          <w:highlight w:val="none"/>
          <w:lang w:val="en-US" w:eastAsia="zh-CN"/>
        </w:rPr>
        <w:t xml:space="preserve"> </w:t>
      </w:r>
      <w:r>
        <w:rPr>
          <w:rFonts w:hint="eastAsia" w:ascii="宋体" w:hAnsi="宋体" w:eastAsia="宋体" w:cs="宋体"/>
          <w:b/>
          <w:color w:val="auto"/>
          <w:sz w:val="21"/>
          <w:szCs w:val="21"/>
          <w:highlight w:val="none"/>
        </w:rPr>
        <w:t xml:space="preserve"> 修改类型：修改</w:t>
      </w:r>
    </w:p>
    <w:p>
      <w:pPr>
        <w:spacing w:line="360" w:lineRule="auto"/>
        <w:ind w:firstLine="472" w:firstLineChars="224"/>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原文：</w:t>
      </w:r>
      <w:r>
        <w:rPr>
          <w:rFonts w:hint="eastAsia" w:ascii="宋体" w:hAnsi="宋体" w:eastAsia="宋体" w:cs="宋体"/>
          <w:color w:val="auto"/>
          <w:sz w:val="21"/>
          <w:szCs w:val="21"/>
          <w:highlight w:val="none"/>
        </w:rPr>
        <w:t>36.5.3投标人代表、招标人代表、监标人、记录人等有关人员在开标记录上签字确认；若有关人员不签字的，不影响开标程序；</w:t>
      </w:r>
    </w:p>
    <w:p>
      <w:pPr>
        <w:pBdr>
          <w:bottom w:val="single" w:color="auto" w:sz="6" w:space="1"/>
        </w:pBdr>
        <w:spacing w:line="360" w:lineRule="auto"/>
        <w:ind w:firstLine="424" w:firstLineChars="201"/>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现文：</w:t>
      </w:r>
      <w:r>
        <w:rPr>
          <w:rFonts w:hint="eastAsia" w:ascii="宋体" w:hAnsi="宋体" w:eastAsia="宋体" w:cs="宋体"/>
          <w:color w:val="auto"/>
          <w:sz w:val="21"/>
          <w:szCs w:val="21"/>
          <w:highlight w:val="none"/>
        </w:rPr>
        <w:t>36.5.3</w:t>
      </w:r>
      <w:r>
        <w:rPr>
          <w:rFonts w:hint="eastAsia" w:ascii="宋体" w:hAnsi="宋体" w:cs="宋体"/>
          <w:color w:val="auto"/>
          <w:szCs w:val="21"/>
          <w:highlight w:val="none"/>
        </w:rPr>
        <w:t>投标人代表、招标人代表、监标人、记录人等有关人员在开标记录上签字确认；若有关人员不签字的，不影响开标程序；</w:t>
      </w:r>
      <w:r>
        <w:rPr>
          <w:rFonts w:hint="eastAsia" w:ascii="宋体" w:hAnsi="宋体" w:cs="宋体"/>
          <w:color w:val="auto"/>
          <w:szCs w:val="21"/>
          <w:highlight w:val="none"/>
          <w:u w:val="single"/>
        </w:rPr>
        <w:t>若投标人不参加开标会的，或不签字确认的，视同该投标人认可开标结果</w:t>
      </w:r>
      <w:r>
        <w:rPr>
          <w:rFonts w:hint="eastAsia" w:ascii="宋体" w:hAnsi="宋体" w:eastAsia="宋体" w:cs="宋体"/>
          <w:color w:val="auto"/>
          <w:sz w:val="21"/>
          <w:szCs w:val="21"/>
          <w:highlight w:val="none"/>
          <w:u w:val="single"/>
        </w:rPr>
        <w:t>；</w:t>
      </w:r>
    </w:p>
    <w:p>
      <w:pPr>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条款号：38.1                               修改类型：修改</w:t>
      </w:r>
    </w:p>
    <w:p>
      <w:pPr>
        <w:pBdr>
          <w:bottom w:val="single" w:color="auto" w:sz="6" w:space="1"/>
        </w:pBdr>
        <w:spacing w:line="360" w:lineRule="auto"/>
        <w:ind w:firstLine="472" w:firstLineChars="224"/>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原文：</w:t>
      </w:r>
      <w:r>
        <w:rPr>
          <w:rFonts w:hint="eastAsia" w:ascii="宋体" w:hAnsi="宋体" w:eastAsia="宋体" w:cs="宋体"/>
          <w:color w:val="auto"/>
          <w:szCs w:val="21"/>
          <w:highlight w:val="none"/>
        </w:rPr>
        <w:t>38.1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的内容作出澄清。</w:t>
      </w:r>
    </w:p>
    <w:p>
      <w:pPr>
        <w:pBdr>
          <w:bottom w:val="single" w:color="auto" w:sz="6" w:space="1"/>
        </w:pBdr>
        <w:spacing w:line="360" w:lineRule="auto"/>
        <w:ind w:firstLine="472" w:firstLineChars="224"/>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现文：</w:t>
      </w:r>
      <w:r>
        <w:rPr>
          <w:rFonts w:hint="eastAsia" w:ascii="宋体" w:hAnsi="宋体" w:eastAsia="宋体" w:cs="宋体"/>
          <w:color w:val="auto"/>
          <w:szCs w:val="21"/>
          <w:highlight w:val="none"/>
        </w:rPr>
        <w:t>38.1</w:t>
      </w:r>
      <w:r>
        <w:rPr>
          <w:rFonts w:hint="eastAsia" w:ascii="宋体" w:hAnsi="宋体" w:cs="宋体"/>
          <w:color w:val="auto"/>
          <w:szCs w:val="21"/>
          <w:highlight w:val="none"/>
        </w:rPr>
        <w:t>为有助于投标文件的审查、评价和比较，评标期间，经评标委员会或评标委员会专业评审组中两人以上（含两人）</w:t>
      </w:r>
      <w:r>
        <w:rPr>
          <w:rFonts w:hint="eastAsia" w:ascii="宋体" w:hAnsi="宋体" w:cs="宋体"/>
          <w:color w:val="auto"/>
          <w:szCs w:val="21"/>
          <w:highlight w:val="none"/>
          <w:u w:val="single"/>
        </w:rPr>
        <w:t>的成员</w:t>
      </w:r>
      <w:r>
        <w:rPr>
          <w:rFonts w:hint="eastAsia" w:ascii="宋体" w:hAnsi="宋体" w:cs="宋体"/>
          <w:color w:val="auto"/>
          <w:szCs w:val="21"/>
          <w:highlight w:val="none"/>
        </w:rPr>
        <w:t>以书面形式提出动议，评标委员会或评标委员会专业评审组应当书面发出澄清通知，要求投标人对投标文件含义不明确</w:t>
      </w:r>
      <w:r>
        <w:rPr>
          <w:rFonts w:hint="eastAsia" w:ascii="宋体" w:hAnsi="宋体" w:cs="宋体"/>
          <w:color w:val="auto"/>
          <w:szCs w:val="21"/>
          <w:highlight w:val="none"/>
          <w:u w:val="single"/>
        </w:rPr>
        <w:t>、对同类问题表述不一致、有明显文字和计算错误的内容以及细微偏差</w:t>
      </w:r>
      <w:r>
        <w:rPr>
          <w:rFonts w:hint="eastAsia" w:ascii="宋体" w:hAnsi="宋体" w:cs="宋体"/>
          <w:color w:val="auto"/>
          <w:szCs w:val="21"/>
          <w:highlight w:val="none"/>
        </w:rPr>
        <w:t>的内容作出澄清</w:t>
      </w:r>
      <w:r>
        <w:rPr>
          <w:rFonts w:hint="eastAsia" w:ascii="宋体" w:hAnsi="宋体" w:eastAsia="宋体" w:cs="宋体"/>
          <w:color w:val="auto"/>
          <w:szCs w:val="21"/>
          <w:highlight w:val="none"/>
        </w:rPr>
        <w:t>。</w:t>
      </w:r>
    </w:p>
    <w:p>
      <w:pPr>
        <w:spacing w:line="360" w:lineRule="auto"/>
        <w:ind w:firstLine="472" w:firstLineChars="224"/>
        <w:rPr>
          <w:rFonts w:hint="eastAsia" w:ascii="宋体" w:hAnsi="宋体" w:cs="宋体"/>
          <w:color w:val="auto"/>
          <w:sz w:val="24"/>
          <w:szCs w:val="24"/>
          <w:highlight w:val="none"/>
        </w:rPr>
      </w:pPr>
      <w:r>
        <w:rPr>
          <w:rFonts w:hint="eastAsia" w:ascii="宋体" w:hAnsi="宋体" w:cs="宋体"/>
          <w:b/>
          <w:color w:val="auto"/>
          <w:szCs w:val="21"/>
          <w:highlight w:val="none"/>
        </w:rPr>
        <w:t>条款号：39.3                        修改类型：修改</w:t>
      </w:r>
    </w:p>
    <w:p>
      <w:pPr>
        <w:spacing w:line="360" w:lineRule="auto"/>
        <w:ind w:firstLine="422" w:firstLineChars="200"/>
        <w:rPr>
          <w:rFonts w:hint="eastAsia" w:ascii="宋体" w:hAnsi="宋体" w:cs="宋体"/>
          <w:color w:val="auto"/>
          <w:szCs w:val="21"/>
          <w:highlight w:val="none"/>
        </w:rPr>
      </w:pPr>
      <w:r>
        <w:rPr>
          <w:rFonts w:hint="eastAsia"/>
          <w:b/>
          <w:bCs/>
          <w:color w:val="auto"/>
          <w:szCs w:val="21"/>
          <w:highlight w:val="none"/>
        </w:rPr>
        <w:t>原文：</w:t>
      </w:r>
      <w:r>
        <w:rPr>
          <w:rFonts w:hint="eastAsia" w:ascii="宋体" w:hAnsi="宋体" w:cs="宋体"/>
          <w:color w:val="auto"/>
          <w:szCs w:val="21"/>
          <w:highlight w:val="none"/>
        </w:rPr>
        <w:t>39.3排名第一的中标候选人放弃中标、或因不可抗力提出不能履行合同，或者招标文件规定应当提交履约担保而在规定的期限内未能提交的，招标人可以确定排名第二的中标候选人为中标人。</w:t>
      </w:r>
    </w:p>
    <w:p>
      <w:pPr>
        <w:pBdr>
          <w:bottom w:val="single" w:color="auto" w:sz="6" w:space="1"/>
        </w:pBdr>
        <w:spacing w:line="360" w:lineRule="auto"/>
        <w:ind w:firstLine="472" w:firstLineChars="224"/>
        <w:rPr>
          <w:rFonts w:hint="eastAsia"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39.3</w:t>
      </w:r>
      <w:r>
        <w:rPr>
          <w:rFonts w:hint="eastAsia" w:ascii="宋体" w:hAnsi="宋体"/>
          <w:bCs/>
          <w:color w:val="auto"/>
          <w:szCs w:val="21"/>
          <w:highlight w:val="none"/>
        </w:rPr>
        <w:t>排名第一的中标候选人放弃中标、</w:t>
      </w:r>
      <w:r>
        <w:rPr>
          <w:rFonts w:hint="eastAsia" w:ascii="宋体" w:hAnsi="宋体" w:cs="宋体"/>
          <w:color w:val="auto"/>
          <w:szCs w:val="21"/>
          <w:highlight w:val="none"/>
        </w:rPr>
        <w:t>或因不可抗力提出不能履行合同，或者招标文件规定应当提交履约担保而在规定的期限内未能提交的，</w:t>
      </w:r>
      <w:r>
        <w:rPr>
          <w:rFonts w:hint="eastAsia" w:ascii="宋体" w:hAnsi="宋体"/>
          <w:bCs/>
          <w:color w:val="auto"/>
          <w:szCs w:val="21"/>
          <w:highlight w:val="none"/>
          <w:u w:val="single"/>
        </w:rPr>
        <w:t>或经核查发现委派的项目负责人已在其他在建项目中任本职的，或者被查实存在影响中标结果的违法行为等情形，不符合中标条件的，</w:t>
      </w:r>
      <w:r>
        <w:rPr>
          <w:rFonts w:hint="eastAsia" w:ascii="宋体" w:hAnsi="宋体"/>
          <w:bCs/>
          <w:color w:val="auto"/>
          <w:szCs w:val="21"/>
          <w:highlight w:val="none"/>
        </w:rPr>
        <w:t>招标人可以确定排名第二的中标候选人为中标人。</w:t>
      </w:r>
    </w:p>
    <w:p>
      <w:pPr>
        <w:spacing w:line="360" w:lineRule="auto"/>
        <w:ind w:firstLine="422"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b/>
          <w:color w:val="auto"/>
          <w:szCs w:val="21"/>
          <w:highlight w:val="none"/>
        </w:rPr>
        <w:t>条款号：</w:t>
      </w:r>
      <w:r>
        <w:rPr>
          <w:rFonts w:hint="eastAsia" w:ascii="宋体" w:hAnsi="宋体" w:eastAsia="宋体" w:cs="宋体"/>
          <w:b/>
          <w:bCs/>
          <w:color w:val="auto"/>
          <w:szCs w:val="21"/>
          <w:highlight w:val="none"/>
        </w:rPr>
        <w:t>（二）开标评标办法程序和细则</w:t>
      </w:r>
      <w:r>
        <w:rPr>
          <w:rFonts w:hint="eastAsia" w:ascii="宋体" w:hAnsi="宋体" w:eastAsia="宋体" w:cs="宋体"/>
          <w:b/>
          <w:color w:val="auto"/>
          <w:szCs w:val="21"/>
          <w:highlight w:val="none"/>
        </w:rPr>
        <w:t xml:space="preserve">    </w:t>
      </w:r>
      <w:r>
        <w:rPr>
          <w:rFonts w:hint="eastAsia" w:ascii="宋体" w:hAnsi="宋体" w:eastAsia="宋体" w:cs="宋体"/>
          <w:b/>
          <w:bCs/>
          <w:color w:val="auto"/>
          <w:szCs w:val="21"/>
          <w:highlight w:val="none"/>
        </w:rPr>
        <w:t>注：</w:t>
      </w:r>
      <w:r>
        <w:rPr>
          <w:rFonts w:hint="eastAsia" w:ascii="宋体" w:hAnsi="宋体" w:eastAsia="宋体" w:cs="宋体"/>
          <w:b/>
          <w:color w:val="auto"/>
          <w:szCs w:val="21"/>
          <w:highlight w:val="none"/>
        </w:rPr>
        <w:t xml:space="preserve">                   修改类型：</w:t>
      </w:r>
      <w:r>
        <w:rPr>
          <w:rFonts w:hint="eastAsia" w:ascii="宋体" w:hAnsi="宋体" w:eastAsia="宋体" w:cs="宋体"/>
          <w:b/>
          <w:color w:val="auto"/>
          <w:szCs w:val="21"/>
          <w:highlight w:val="none"/>
          <w:lang w:val="en-US" w:eastAsia="zh-CN"/>
        </w:rPr>
        <w:t>修改</w:t>
      </w:r>
    </w:p>
    <w:p>
      <w:pPr>
        <w:spacing w:line="360" w:lineRule="auto"/>
        <w:ind w:firstLine="422" w:firstLineChars="200"/>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原文：</w:t>
      </w:r>
      <w:r>
        <w:rPr>
          <w:rFonts w:hint="eastAsia" w:ascii="宋体" w:hAnsi="宋体" w:eastAsia="宋体" w:cs="宋体"/>
          <w:color w:val="auto"/>
          <w:szCs w:val="21"/>
          <w:highlight w:val="none"/>
        </w:rPr>
        <w:t>（二）开标评标办法程序和细则</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注：以下八种评标办法所述企业综合诚信评价分数即投标截止当日广州市工程招标代理行业协会网站上公布的企业综合诚信评价60日诚信分。</w:t>
      </w:r>
    </w:p>
    <w:p>
      <w:pPr>
        <w:pBdr>
          <w:bottom w:val="single" w:color="auto" w:sz="6" w:space="1"/>
        </w:pBdr>
        <w:spacing w:line="360" w:lineRule="auto"/>
        <w:ind w:firstLine="472" w:firstLineChars="224"/>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现文：</w:t>
      </w:r>
      <w:r>
        <w:rPr>
          <w:rFonts w:hint="eastAsia" w:ascii="宋体" w:hAnsi="宋体" w:eastAsia="宋体" w:cs="宋体"/>
          <w:color w:val="auto"/>
          <w:szCs w:val="21"/>
          <w:highlight w:val="none"/>
        </w:rPr>
        <w:t>（二）开标评标办法程序和细则</w:t>
      </w:r>
    </w:p>
    <w:p>
      <w:pPr>
        <w:pBdr>
          <w:bottom w:val="single" w:color="auto" w:sz="6" w:space="1"/>
        </w:pBdr>
        <w:spacing w:line="360" w:lineRule="auto"/>
        <w:ind w:firstLine="470" w:firstLineChars="224"/>
        <w:rPr>
          <w:rFonts w:hint="eastAsia" w:ascii="宋体" w:hAnsi="宋体" w:eastAsia="宋体" w:cs="宋体"/>
          <w:color w:val="auto"/>
          <w:szCs w:val="21"/>
          <w:highlight w:val="none"/>
        </w:rPr>
      </w:pPr>
      <w:r>
        <w:rPr>
          <w:rFonts w:hint="eastAsia" w:ascii="宋体" w:hAnsi="宋体" w:cs="宋体"/>
          <w:strike/>
          <w:color w:val="auto"/>
          <w:szCs w:val="21"/>
          <w:highlight w:val="none"/>
        </w:rPr>
        <w:t>注：以下八种评标办法所述企业综合诚信评价分数即投标截止当日广州市工程招标代理行业协会网站上公布的企业综合诚信评价</w:t>
      </w:r>
      <w:r>
        <w:rPr>
          <w:rFonts w:ascii="宋体" w:hAnsi="宋体" w:cs="宋体"/>
          <w:strike/>
          <w:color w:val="auto"/>
          <w:szCs w:val="21"/>
          <w:highlight w:val="none"/>
        </w:rPr>
        <w:t>60</w:t>
      </w:r>
      <w:r>
        <w:rPr>
          <w:rFonts w:hint="eastAsia" w:ascii="宋体" w:hAnsi="宋体" w:cs="宋体"/>
          <w:strike/>
          <w:color w:val="auto"/>
          <w:szCs w:val="21"/>
          <w:highlight w:val="none"/>
        </w:rPr>
        <w:t>日诚信分。</w:t>
      </w:r>
    </w:p>
    <w:p>
      <w:pPr>
        <w:spacing w:line="360" w:lineRule="auto"/>
        <w:ind w:firstLine="472" w:firstLineChars="224"/>
        <w:rPr>
          <w:rFonts w:hint="eastAsia"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Cs w:val="21"/>
          <w:highlight w:val="none"/>
        </w:rPr>
        <w:t>可选办法一（适合综合评分法一，技术标与经济标先后分别开启）</w:t>
      </w:r>
      <w:r>
        <w:rPr>
          <w:rFonts w:hint="eastAsia" w:ascii="宋体" w:hAnsi="宋体" w:cs="宋体"/>
          <w:b/>
          <w:color w:val="auto"/>
          <w:szCs w:val="21"/>
          <w:highlight w:val="none"/>
        </w:rPr>
        <w:t xml:space="preserve"> 修改类型：删除</w:t>
      </w:r>
    </w:p>
    <w:p>
      <w:pPr>
        <w:pBdr>
          <w:bottom w:val="single" w:color="auto" w:sz="6" w:space="1"/>
        </w:pBdr>
        <w:spacing w:line="360" w:lineRule="auto"/>
        <w:ind w:firstLine="472" w:firstLineChars="224"/>
        <w:rPr>
          <w:rFonts w:hint="eastAsia"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详见</w:t>
      </w:r>
      <w:r>
        <w:rPr>
          <w:rFonts w:hint="eastAsia" w:ascii="宋体" w:hAnsi="宋体" w:cs="宋体"/>
          <w:bCs/>
          <w:color w:val="auto"/>
          <w:szCs w:val="21"/>
          <w:highlight w:val="none"/>
        </w:rPr>
        <w:t>最新版广州市建设工程施工公开招标项目招标文件范本（适用于资格后审综合评分法、经评审的最低投标价法的施工电子招标项目）GZZB2018-3</w:t>
      </w:r>
      <w:r>
        <w:rPr>
          <w:rFonts w:hint="eastAsia" w:ascii="宋体" w:hAnsi="宋体" w:cs="宋体"/>
          <w:color w:val="auto"/>
          <w:szCs w:val="21"/>
          <w:highlight w:val="none"/>
        </w:rPr>
        <w:t>。</w:t>
      </w:r>
    </w:p>
    <w:p>
      <w:pPr>
        <w:spacing w:line="360" w:lineRule="auto"/>
        <w:ind w:firstLine="472" w:firstLineChars="224"/>
        <w:rPr>
          <w:rFonts w:hint="eastAsia"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Cs w:val="21"/>
          <w:highlight w:val="none"/>
        </w:rPr>
        <w:t>可选办法二（适合综合评分法一，技术标与经济标同时开启）</w:t>
      </w:r>
      <w:r>
        <w:rPr>
          <w:rFonts w:hint="eastAsia" w:ascii="宋体" w:hAnsi="宋体" w:cs="宋体"/>
          <w:b/>
          <w:color w:val="auto"/>
          <w:szCs w:val="21"/>
          <w:highlight w:val="none"/>
        </w:rPr>
        <w:t xml:space="preserve">     修改类型：删除</w:t>
      </w:r>
    </w:p>
    <w:p>
      <w:pPr>
        <w:pBdr>
          <w:bottom w:val="single" w:color="auto" w:sz="6" w:space="1"/>
        </w:pBdr>
        <w:spacing w:line="360" w:lineRule="auto"/>
        <w:ind w:firstLine="472" w:firstLineChars="224"/>
        <w:rPr>
          <w:rFonts w:hint="eastAsia"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详见</w:t>
      </w:r>
      <w:r>
        <w:rPr>
          <w:rFonts w:hint="eastAsia" w:ascii="宋体" w:hAnsi="宋体" w:cs="宋体"/>
          <w:bCs/>
          <w:color w:val="auto"/>
          <w:szCs w:val="21"/>
          <w:highlight w:val="none"/>
        </w:rPr>
        <w:t>最新版广州市建设工程施工公开招标项目招标文件范本（适用于资格后审综合评分法、经评审的最低投标价法的施工电子招标项目）GZZB2018-3</w:t>
      </w:r>
      <w:r>
        <w:rPr>
          <w:rFonts w:hint="eastAsia" w:ascii="宋体" w:hAnsi="宋体" w:cs="宋体"/>
          <w:color w:val="auto"/>
          <w:szCs w:val="21"/>
          <w:highlight w:val="none"/>
        </w:rPr>
        <w:t>。</w:t>
      </w:r>
    </w:p>
    <w:p>
      <w:pPr>
        <w:spacing w:line="360" w:lineRule="auto"/>
        <w:ind w:firstLine="472" w:firstLineChars="224"/>
        <w:rPr>
          <w:rFonts w:hint="eastAsia"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Cs w:val="21"/>
          <w:highlight w:val="none"/>
        </w:rPr>
        <w:t>可选办法三（适合综合评分法二，技术标与经济标先后分别开启）</w:t>
      </w:r>
      <w:r>
        <w:rPr>
          <w:rFonts w:hint="eastAsia" w:ascii="宋体" w:hAnsi="宋体" w:cs="宋体"/>
          <w:b/>
          <w:color w:val="auto"/>
          <w:szCs w:val="21"/>
          <w:highlight w:val="none"/>
        </w:rPr>
        <w:t xml:space="preserve"> 修改类型：删除</w:t>
      </w:r>
    </w:p>
    <w:p>
      <w:pPr>
        <w:pBdr>
          <w:bottom w:val="single" w:color="auto" w:sz="6" w:space="1"/>
        </w:pBdr>
        <w:spacing w:line="360" w:lineRule="auto"/>
        <w:ind w:firstLine="472" w:firstLineChars="224"/>
        <w:rPr>
          <w:rFonts w:hint="eastAsia"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详见</w:t>
      </w:r>
      <w:r>
        <w:rPr>
          <w:rFonts w:hint="eastAsia" w:ascii="宋体" w:hAnsi="宋体" w:cs="宋体"/>
          <w:bCs/>
          <w:color w:val="auto"/>
          <w:szCs w:val="21"/>
          <w:highlight w:val="none"/>
        </w:rPr>
        <w:t>最新版广州市建设工程施工公开招标项目招标文件范本（适用于资格后审综合评分法、经评审的最低投标价法的施工电子招标项目）GZZB2018-3</w:t>
      </w:r>
      <w:r>
        <w:rPr>
          <w:rFonts w:hint="eastAsia" w:ascii="宋体" w:hAnsi="宋体" w:cs="宋体"/>
          <w:color w:val="auto"/>
          <w:szCs w:val="21"/>
          <w:highlight w:val="none"/>
        </w:rPr>
        <w:t>。</w:t>
      </w:r>
    </w:p>
    <w:p>
      <w:pPr>
        <w:spacing w:line="360" w:lineRule="auto"/>
        <w:ind w:firstLine="472" w:firstLineChars="224"/>
        <w:rPr>
          <w:rFonts w:hint="eastAsia"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Cs w:val="21"/>
          <w:highlight w:val="none"/>
        </w:rPr>
        <w:t>可选办法四（适合综合评分法二，技术标与经济标同时开启）</w:t>
      </w:r>
      <w:r>
        <w:rPr>
          <w:rFonts w:hint="eastAsia" w:ascii="宋体" w:hAnsi="宋体" w:cs="宋体"/>
          <w:b/>
          <w:color w:val="auto"/>
          <w:szCs w:val="21"/>
          <w:highlight w:val="none"/>
        </w:rPr>
        <w:t xml:space="preserve">     修改类型：删除</w:t>
      </w:r>
    </w:p>
    <w:p>
      <w:pPr>
        <w:pBdr>
          <w:bottom w:val="single" w:color="auto" w:sz="6" w:space="1"/>
        </w:pBdr>
        <w:spacing w:line="360" w:lineRule="auto"/>
        <w:ind w:firstLine="472" w:firstLineChars="224"/>
        <w:rPr>
          <w:rFonts w:hint="eastAsia"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详见</w:t>
      </w:r>
      <w:r>
        <w:rPr>
          <w:rFonts w:hint="eastAsia" w:ascii="宋体" w:hAnsi="宋体" w:cs="宋体"/>
          <w:bCs/>
          <w:color w:val="auto"/>
          <w:szCs w:val="21"/>
          <w:highlight w:val="none"/>
        </w:rPr>
        <w:t>最新版广州市建设工程施工公开招标项目招标文件范本（适用于资格后审综合评分法、经评审的最低投标价法的施工电子招标项目）GZZB2018-3</w:t>
      </w:r>
      <w:r>
        <w:rPr>
          <w:rFonts w:hint="eastAsia" w:ascii="宋体" w:hAnsi="宋体" w:cs="宋体"/>
          <w:color w:val="auto"/>
          <w:szCs w:val="21"/>
          <w:highlight w:val="none"/>
        </w:rPr>
        <w:t>。</w:t>
      </w:r>
    </w:p>
    <w:p>
      <w:pPr>
        <w:spacing w:line="360" w:lineRule="auto"/>
        <w:ind w:firstLine="472" w:firstLineChars="224"/>
        <w:rPr>
          <w:rFonts w:hint="eastAsia"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Cs w:val="21"/>
          <w:highlight w:val="none"/>
        </w:rPr>
        <w:t>可选办法五（适合综合评分法三，技术标与经济标先后分别开启）</w:t>
      </w:r>
      <w:r>
        <w:rPr>
          <w:rFonts w:hint="eastAsia" w:ascii="宋体" w:hAnsi="宋体" w:cs="宋体"/>
          <w:b/>
          <w:color w:val="auto"/>
          <w:szCs w:val="21"/>
          <w:highlight w:val="none"/>
        </w:rPr>
        <w:t xml:space="preserve"> 修改类型：删除</w:t>
      </w:r>
    </w:p>
    <w:p>
      <w:pPr>
        <w:pBdr>
          <w:bottom w:val="single" w:color="auto" w:sz="6" w:space="1"/>
        </w:pBdr>
        <w:spacing w:line="360" w:lineRule="auto"/>
        <w:ind w:firstLine="472" w:firstLineChars="224"/>
        <w:rPr>
          <w:rFonts w:hint="eastAsia"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详见</w:t>
      </w:r>
      <w:r>
        <w:rPr>
          <w:rFonts w:hint="eastAsia" w:ascii="宋体" w:hAnsi="宋体" w:cs="宋体"/>
          <w:bCs/>
          <w:color w:val="auto"/>
          <w:szCs w:val="21"/>
          <w:highlight w:val="none"/>
        </w:rPr>
        <w:t>最新版广州市建设工程施工公开招标项目招标文件范本（适用于资格后审综合评分法、经评审的最低投标价法的施工电子招标项目）GZZB2018-3</w:t>
      </w:r>
      <w:r>
        <w:rPr>
          <w:rFonts w:hint="eastAsia" w:ascii="宋体" w:hAnsi="宋体" w:cs="宋体"/>
          <w:color w:val="auto"/>
          <w:szCs w:val="21"/>
          <w:highlight w:val="none"/>
        </w:rPr>
        <w:t>。</w:t>
      </w:r>
    </w:p>
    <w:p>
      <w:pPr>
        <w:spacing w:line="360" w:lineRule="auto"/>
        <w:ind w:firstLine="472" w:firstLineChars="224"/>
        <w:rPr>
          <w:rFonts w:hint="eastAsia"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Cs w:val="21"/>
          <w:highlight w:val="none"/>
        </w:rPr>
        <w:t>可选办法六（适合综合评分法三，技术标与经济标同时开启）</w:t>
      </w:r>
      <w:r>
        <w:rPr>
          <w:rFonts w:hint="eastAsia" w:ascii="宋体" w:hAnsi="宋体" w:cs="宋体"/>
          <w:b/>
          <w:color w:val="auto"/>
          <w:szCs w:val="21"/>
          <w:highlight w:val="none"/>
        </w:rPr>
        <w:t xml:space="preserve">     修改类型：删除</w:t>
      </w:r>
    </w:p>
    <w:p>
      <w:pPr>
        <w:pBdr>
          <w:bottom w:val="single" w:color="auto" w:sz="6" w:space="1"/>
        </w:pBdr>
        <w:spacing w:line="360" w:lineRule="auto"/>
        <w:ind w:firstLine="472" w:firstLineChars="224"/>
        <w:rPr>
          <w:rFonts w:hint="eastAsia"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详见</w:t>
      </w:r>
      <w:r>
        <w:rPr>
          <w:rFonts w:hint="eastAsia" w:ascii="宋体" w:hAnsi="宋体" w:cs="宋体"/>
          <w:bCs/>
          <w:color w:val="auto"/>
          <w:szCs w:val="21"/>
          <w:highlight w:val="none"/>
        </w:rPr>
        <w:t>最新版广州市建设工程施工公开招标项目招标文件范本（适用于资格后审综合评分法、经评审的最低投标价法的施工电子招标项目）GZZB2018-3</w:t>
      </w:r>
      <w:r>
        <w:rPr>
          <w:rFonts w:hint="eastAsia" w:ascii="宋体" w:hAnsi="宋体" w:cs="宋体"/>
          <w:color w:val="auto"/>
          <w:szCs w:val="21"/>
          <w:highlight w:val="none"/>
        </w:rPr>
        <w:t>。</w:t>
      </w:r>
    </w:p>
    <w:p>
      <w:pPr>
        <w:spacing w:line="360" w:lineRule="auto"/>
        <w:ind w:firstLine="472" w:firstLineChars="224"/>
        <w:rPr>
          <w:rFonts w:hint="eastAsia"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Cs w:val="21"/>
          <w:highlight w:val="none"/>
        </w:rPr>
        <w:t>可选办法七（适合综合评分法四，技术标与经济标同时开启）</w:t>
      </w:r>
      <w:r>
        <w:rPr>
          <w:rFonts w:hint="eastAsia" w:ascii="宋体" w:hAnsi="宋体" w:cs="宋体"/>
          <w:b/>
          <w:color w:val="auto"/>
          <w:szCs w:val="21"/>
          <w:highlight w:val="none"/>
        </w:rPr>
        <w:t xml:space="preserve">     修改类型：修改</w:t>
      </w:r>
    </w:p>
    <w:p>
      <w:pPr>
        <w:pBdr>
          <w:bottom w:val="single" w:color="auto" w:sz="6" w:space="1"/>
        </w:pBdr>
        <w:spacing w:line="360" w:lineRule="auto"/>
        <w:ind w:firstLine="472" w:firstLineChars="224"/>
        <w:rPr>
          <w:rFonts w:hint="eastAsia"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详见</w:t>
      </w:r>
      <w:r>
        <w:rPr>
          <w:rFonts w:hint="eastAsia" w:ascii="宋体" w:hAnsi="宋体" w:cs="宋体"/>
          <w:bCs/>
          <w:color w:val="auto"/>
          <w:szCs w:val="21"/>
          <w:highlight w:val="none"/>
        </w:rPr>
        <w:t>最新版广州市建设工程施工公开招标项目招标文件范本（适用于资格后审综合评分法、经评审的最低投标价法的施工电子招标项目）GZZB2018-3</w:t>
      </w:r>
    </w:p>
    <w:p>
      <w:pPr>
        <w:pBdr>
          <w:bottom w:val="single" w:color="auto" w:sz="6" w:space="1"/>
        </w:pBdr>
        <w:spacing w:line="360" w:lineRule="auto"/>
        <w:ind w:firstLine="472" w:firstLineChars="224"/>
        <w:rPr>
          <w:rFonts w:hint="eastAsia"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综合评分法</w:t>
      </w:r>
    </w:p>
    <w:p>
      <w:pPr>
        <w:spacing w:line="360" w:lineRule="auto"/>
        <w:ind w:firstLine="472" w:firstLineChars="224"/>
        <w:rPr>
          <w:rFonts w:hint="eastAsia"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 w:val="18"/>
          <w:szCs w:val="18"/>
          <w:highlight w:val="none"/>
        </w:rPr>
        <w:t xml:space="preserve">可选办法八（适合经评审的最低投标价法，技术标与经济标同时开启）       </w:t>
      </w:r>
      <w:r>
        <w:rPr>
          <w:rFonts w:hint="eastAsia" w:ascii="宋体" w:hAnsi="宋体" w:cs="宋体"/>
          <w:b/>
          <w:color w:val="auto"/>
          <w:szCs w:val="21"/>
          <w:highlight w:val="none"/>
        </w:rPr>
        <w:t>修改类型：删除</w:t>
      </w:r>
    </w:p>
    <w:p>
      <w:pPr>
        <w:pBdr>
          <w:bottom w:val="single" w:color="auto" w:sz="6" w:space="1"/>
        </w:pBdr>
        <w:spacing w:line="360" w:lineRule="auto"/>
        <w:ind w:firstLine="472" w:firstLineChars="224"/>
        <w:rPr>
          <w:rFonts w:hint="eastAsia"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详见</w:t>
      </w:r>
      <w:r>
        <w:rPr>
          <w:rFonts w:hint="eastAsia" w:ascii="宋体" w:hAnsi="宋体" w:cs="宋体"/>
          <w:bCs/>
          <w:color w:val="auto"/>
          <w:szCs w:val="21"/>
          <w:highlight w:val="none"/>
        </w:rPr>
        <w:t>最新版广州市建设工程施工公开招标项目招标文件范本（适用于资格后审综合评分法、经评审的最低投标价法的施工电子招标项目）GZZB2018-3</w:t>
      </w:r>
      <w:r>
        <w:rPr>
          <w:rFonts w:hint="eastAsia" w:ascii="宋体" w:hAnsi="宋体" w:cs="宋体"/>
          <w:color w:val="auto"/>
          <w:szCs w:val="21"/>
          <w:highlight w:val="none"/>
        </w:rPr>
        <w:t>。</w:t>
      </w:r>
    </w:p>
    <w:p>
      <w:pPr>
        <w:spacing w:line="360" w:lineRule="auto"/>
        <w:ind w:firstLine="472" w:firstLineChars="224"/>
        <w:rPr>
          <w:rFonts w:hint="eastAsia" w:ascii="宋体" w:hAnsi="宋体" w:cs="宋体"/>
          <w:b/>
          <w:color w:val="auto"/>
          <w:szCs w:val="21"/>
          <w:highlight w:val="none"/>
        </w:rPr>
      </w:pPr>
      <w:r>
        <w:rPr>
          <w:rFonts w:hint="eastAsia" w:ascii="宋体" w:hAnsi="宋体" w:cs="宋体"/>
          <w:b/>
          <w:color w:val="auto"/>
          <w:szCs w:val="21"/>
          <w:highlight w:val="none"/>
        </w:rPr>
        <w:t>条款号：41.1                        修改类型：修改</w:t>
      </w:r>
    </w:p>
    <w:p>
      <w:pPr>
        <w:pBdr>
          <w:bottom w:val="single" w:color="auto" w:sz="6" w:space="1"/>
        </w:pBdr>
        <w:spacing w:line="360" w:lineRule="auto"/>
        <w:ind w:firstLine="472" w:firstLineChars="224"/>
        <w:rPr>
          <w:rFonts w:hint="eastAsia"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41.1开标由招标人主持；</w:t>
      </w:r>
    </w:p>
    <w:p>
      <w:pPr>
        <w:pBdr>
          <w:bottom w:val="single" w:color="auto" w:sz="6" w:space="1"/>
        </w:pBdr>
        <w:spacing w:line="360" w:lineRule="auto"/>
        <w:ind w:firstLine="472" w:firstLineChars="224"/>
        <w:rPr>
          <w:rFonts w:hint="eastAsia"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41.1开标由招标人</w:t>
      </w:r>
      <w:r>
        <w:rPr>
          <w:rFonts w:hint="eastAsia" w:ascii="宋体" w:hAnsi="宋体" w:cs="宋体"/>
          <w:color w:val="auto"/>
          <w:szCs w:val="21"/>
          <w:highlight w:val="none"/>
          <w:u w:val="single"/>
        </w:rPr>
        <w:t>或招标代理</w:t>
      </w:r>
      <w:r>
        <w:rPr>
          <w:rFonts w:hint="eastAsia" w:ascii="宋体" w:hAnsi="宋体" w:cs="宋体"/>
          <w:color w:val="auto"/>
          <w:szCs w:val="21"/>
          <w:highlight w:val="none"/>
        </w:rPr>
        <w:t>主持；</w:t>
      </w:r>
    </w:p>
    <w:p>
      <w:pPr>
        <w:spacing w:line="360" w:lineRule="auto"/>
        <w:ind w:firstLine="472" w:firstLineChars="224"/>
        <w:rPr>
          <w:rFonts w:hint="eastAsia" w:ascii="宋体" w:hAnsi="宋体" w:cs="宋体"/>
          <w:b/>
          <w:color w:val="auto"/>
          <w:szCs w:val="21"/>
          <w:highlight w:val="none"/>
        </w:rPr>
      </w:pPr>
      <w:r>
        <w:rPr>
          <w:rFonts w:hint="eastAsia" w:ascii="宋体" w:hAnsi="宋体" w:cs="宋体"/>
          <w:b/>
          <w:color w:val="auto"/>
          <w:szCs w:val="21"/>
          <w:highlight w:val="none"/>
        </w:rPr>
        <w:t>条款号：41.2.1                      修改类型：修改</w:t>
      </w:r>
    </w:p>
    <w:p>
      <w:pPr>
        <w:spacing w:line="360" w:lineRule="auto"/>
        <w:ind w:firstLine="472" w:firstLineChars="224"/>
        <w:rPr>
          <w:rFonts w:hint="eastAsia"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41.2.1投标截止期前，各投标人递交投标文件（包括技术标投标文件、经济标投标文件）至</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交易平台。有关投标文件提交的事项详见第一章投标须知。</w:t>
      </w:r>
    </w:p>
    <w:p>
      <w:pPr>
        <w:pBdr>
          <w:bottom w:val="single" w:color="auto" w:sz="6" w:space="1"/>
        </w:pBdr>
        <w:spacing w:line="360" w:lineRule="auto"/>
        <w:ind w:firstLine="413" w:firstLineChars="196"/>
        <w:rPr>
          <w:rFonts w:hint="eastAsia"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41.2.1投标截止期前，各投标人递交投标文件</w:t>
      </w:r>
      <w:r>
        <w:rPr>
          <w:rFonts w:hint="eastAsia" w:ascii="宋体" w:hAnsi="宋体" w:cs="宋体"/>
          <w:color w:val="auto"/>
          <w:szCs w:val="21"/>
          <w:highlight w:val="none"/>
          <w:u w:val="single"/>
        </w:rPr>
        <w:t>[包括技术标投标文件（含资格审查文件）、经济标投标文件]</w:t>
      </w:r>
      <w:r>
        <w:rPr>
          <w:rFonts w:hint="eastAsia" w:ascii="宋体" w:hAnsi="宋体" w:cs="宋体"/>
          <w:color w:val="auto"/>
          <w:szCs w:val="21"/>
          <w:highlight w:val="none"/>
        </w:rPr>
        <w:t>至</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交易平台。有关投标文件提交的事项详见第一章投标须知。</w:t>
      </w:r>
    </w:p>
    <w:p>
      <w:pPr>
        <w:spacing w:line="360" w:lineRule="auto"/>
        <w:ind w:firstLine="472" w:firstLineChars="224"/>
        <w:rPr>
          <w:rFonts w:hint="eastAsia" w:ascii="宋体" w:hAnsi="宋体" w:cs="宋体"/>
          <w:b/>
          <w:color w:val="auto"/>
          <w:szCs w:val="21"/>
          <w:highlight w:val="none"/>
        </w:rPr>
      </w:pPr>
      <w:r>
        <w:rPr>
          <w:rFonts w:hint="eastAsia" w:ascii="宋体" w:hAnsi="宋体" w:cs="宋体"/>
          <w:b/>
          <w:color w:val="auto"/>
          <w:szCs w:val="21"/>
          <w:highlight w:val="none"/>
        </w:rPr>
        <w:t>条款号：41.2.2                      修改类型：修改</w:t>
      </w:r>
    </w:p>
    <w:p>
      <w:pPr>
        <w:pBdr>
          <w:bottom w:val="single" w:color="auto" w:sz="6" w:space="1"/>
        </w:pBdr>
        <w:spacing w:line="360" w:lineRule="auto"/>
        <w:ind w:firstLine="472" w:firstLineChars="224"/>
        <w:rPr>
          <w:rFonts w:hint="eastAsia"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41.2.2开标前，首先由招标人随机抽取确定该工程计算评标参考价的等分点值X。</w:t>
      </w:r>
    </w:p>
    <w:p>
      <w:pPr>
        <w:pBdr>
          <w:bottom w:val="single" w:color="auto" w:sz="6" w:space="1"/>
        </w:pBdr>
        <w:spacing w:line="360" w:lineRule="auto"/>
        <w:ind w:firstLine="472" w:firstLineChars="224"/>
        <w:rPr>
          <w:rFonts w:hint="eastAsia"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41.2.2开标前，首先由招标人</w:t>
      </w:r>
      <w:r>
        <w:rPr>
          <w:rFonts w:hint="eastAsia" w:ascii="宋体" w:hAnsi="宋体" w:cs="宋体"/>
          <w:color w:val="auto"/>
          <w:szCs w:val="21"/>
          <w:highlight w:val="none"/>
          <w:u w:val="single"/>
        </w:rPr>
        <w:t>或招标代理</w:t>
      </w:r>
      <w:r>
        <w:rPr>
          <w:rFonts w:hint="eastAsia" w:ascii="宋体" w:hAnsi="宋体" w:cs="宋体"/>
          <w:color w:val="auto"/>
          <w:szCs w:val="21"/>
          <w:highlight w:val="none"/>
        </w:rPr>
        <w:t>随机抽取确定该工程计算评标参考价的等分点值X。</w:t>
      </w:r>
    </w:p>
    <w:p>
      <w:pPr>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条款号：41.2.4.1                    修改类型：修改</w:t>
      </w:r>
    </w:p>
    <w:p>
      <w:pPr>
        <w:pBdr>
          <w:bottom w:val="single" w:color="auto" w:sz="6" w:space="1"/>
        </w:pBdr>
        <w:spacing w:line="360" w:lineRule="auto"/>
        <w:ind w:firstLine="422" w:firstLineChars="200"/>
        <w:rPr>
          <w:rFonts w:hint="eastAsia"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41.2.4.1</w:t>
      </w:r>
      <w:r>
        <w:rPr>
          <w:rFonts w:hint="eastAsia" w:ascii="宋体" w:hAnsi="宋体" w:cs="宋体"/>
          <w:color w:val="auto"/>
          <w:szCs w:val="21"/>
          <w:highlight w:val="none"/>
        </w:rPr>
        <w:t>开标时，公布：a、投标人名称；b、投标文件密封情况；c、投标报价；d、投标保证金；e、项目经理（负责人）名称；f、法定代表人证明及授权委托等主要内容及开标记录表中的其他必要内容。投标报价以数字和文字两种方式表述的，应公布文字表述的投标报价。</w:t>
      </w:r>
    </w:p>
    <w:p>
      <w:pPr>
        <w:pBdr>
          <w:bottom w:val="single" w:color="auto" w:sz="6" w:space="1"/>
        </w:pBdr>
        <w:spacing w:line="360" w:lineRule="auto"/>
        <w:ind w:firstLine="422" w:firstLineChars="200"/>
        <w:rPr>
          <w:rFonts w:hint="eastAsia"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41.2.4.1开标时，公布：a、投标人名称；b、投标文件密封情况；c、投标报价；</w:t>
      </w:r>
      <w:r>
        <w:rPr>
          <w:rFonts w:hint="eastAsia" w:ascii="宋体" w:hAnsi="宋体" w:cs="宋体"/>
          <w:strike/>
          <w:color w:val="auto"/>
          <w:szCs w:val="21"/>
          <w:highlight w:val="none"/>
        </w:rPr>
        <w:t>d、投标保证金；</w:t>
      </w:r>
      <w:r>
        <w:rPr>
          <w:rFonts w:hint="eastAsia" w:ascii="宋体" w:hAnsi="宋体" w:cs="宋体"/>
          <w:color w:val="auto"/>
          <w:szCs w:val="21"/>
          <w:highlight w:val="none"/>
        </w:rPr>
        <w:t>e、项目经理（负责人）名称；f、法定代表人证明及授权委托等主要内容及开标记录表中的其他必要内容。投标报价以数字和文字两种方式表述的，应公布文字表述的投标报价。</w:t>
      </w:r>
    </w:p>
    <w:p>
      <w:pPr>
        <w:spacing w:line="360" w:lineRule="auto"/>
        <w:ind w:firstLine="472" w:firstLineChars="224"/>
        <w:rPr>
          <w:rFonts w:hint="eastAsia" w:ascii="宋体" w:hAnsi="宋体" w:cs="宋体"/>
          <w:b/>
          <w:color w:val="auto"/>
          <w:szCs w:val="21"/>
          <w:highlight w:val="none"/>
        </w:rPr>
      </w:pPr>
      <w:r>
        <w:rPr>
          <w:rFonts w:hint="eastAsia" w:ascii="宋体" w:hAnsi="宋体" w:cs="宋体"/>
          <w:b/>
          <w:color w:val="auto"/>
          <w:szCs w:val="21"/>
          <w:highlight w:val="none"/>
        </w:rPr>
        <w:t>条款号：42.2                        修改类型：修改</w:t>
      </w:r>
    </w:p>
    <w:p>
      <w:pPr>
        <w:spacing w:line="360" w:lineRule="auto"/>
        <w:ind w:firstLine="422" w:firstLineChars="200"/>
        <w:rPr>
          <w:rFonts w:hint="eastAsia"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42.2评标委员会的组成：方式</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方式一：评标委员会为综合评标委员会，负责资格审查及评标工作。</w:t>
      </w:r>
    </w:p>
    <w:p>
      <w:pPr>
        <w:pBdr>
          <w:bottom w:val="single" w:color="auto" w:sz="6" w:space="1"/>
        </w:pBd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方式二：评标委员会由技术评审组和经济评审组组成。其中：资格审查及技术评审由技术评标组负责，经济评审由经济评审组负责。</w:t>
      </w:r>
    </w:p>
    <w:p>
      <w:pPr>
        <w:pBdr>
          <w:bottom w:val="single" w:color="auto" w:sz="6" w:space="1"/>
        </w:pBdr>
        <w:spacing w:line="360" w:lineRule="auto"/>
        <w:ind w:firstLine="422" w:firstLineChars="200"/>
        <w:rPr>
          <w:rFonts w:hint="eastAsia"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42.2评标委员会的组成：方式</w:t>
      </w:r>
      <w:r>
        <w:rPr>
          <w:rFonts w:hint="eastAsia" w:ascii="宋体" w:hAnsi="宋体" w:cs="宋体"/>
          <w:color w:val="auto"/>
          <w:szCs w:val="21"/>
          <w:highlight w:val="none"/>
          <w:u w:val="single"/>
        </w:rPr>
        <w:t>一：评标委员会为综合评标委员会，负责资格审查及评标工作。评标委员会</w:t>
      </w:r>
      <w:r>
        <w:rPr>
          <w:rFonts w:hint="eastAsia" w:ascii="宋体" w:hAnsi="宋体"/>
          <w:color w:val="auto"/>
          <w:szCs w:val="21"/>
          <w:highlight w:val="none"/>
          <w:u w:val="single"/>
        </w:rPr>
        <w:t>专家均由广东省综合评标评审专家库随机抽取，评标委员会人数为五人以上单数。</w:t>
      </w:r>
    </w:p>
    <w:p>
      <w:pPr>
        <w:spacing w:line="360" w:lineRule="auto"/>
        <w:ind w:firstLine="472" w:firstLineChars="224"/>
        <w:rPr>
          <w:rFonts w:hint="eastAsia" w:ascii="宋体" w:hAnsi="宋体" w:cs="宋体"/>
          <w:b/>
          <w:color w:val="auto"/>
          <w:szCs w:val="21"/>
          <w:highlight w:val="none"/>
        </w:rPr>
      </w:pPr>
      <w:r>
        <w:rPr>
          <w:rFonts w:hint="eastAsia" w:ascii="宋体" w:hAnsi="宋体" w:cs="宋体"/>
          <w:b/>
          <w:color w:val="auto"/>
          <w:szCs w:val="21"/>
          <w:highlight w:val="none"/>
        </w:rPr>
        <w:t>条款号：43.6                      　修改类型：修改</w:t>
      </w:r>
    </w:p>
    <w:p>
      <w:pPr>
        <w:widowControl/>
        <w:spacing w:line="360" w:lineRule="auto"/>
        <w:ind w:firstLine="422" w:firstLineChars="200"/>
        <w:jc w:val="left"/>
        <w:rPr>
          <w:rFonts w:hint="eastAsia" w:ascii="宋体" w:hAnsi="宋体" w:cs="宋体"/>
          <w:color w:val="auto"/>
          <w:kern w:val="0"/>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43.6资格审查合格的投标人少于3名的（当N个标段同时招标且不允许兼中时，资格审查合格的投标人少于N+2名），则本项目招标失败。</w:t>
      </w:r>
    </w:p>
    <w:p>
      <w:pPr>
        <w:pBdr>
          <w:bottom w:val="single" w:color="auto" w:sz="6" w:space="1"/>
        </w:pBdr>
        <w:spacing w:line="360" w:lineRule="auto"/>
        <w:ind w:firstLine="472" w:firstLineChars="224"/>
        <w:rPr>
          <w:rFonts w:hint="eastAsia" w:ascii="宋体" w:hAnsi="宋体" w:cs="宋体"/>
          <w:color w:val="auto"/>
          <w:szCs w:val="21"/>
          <w:highlight w:val="none"/>
          <w:u w:val="single"/>
        </w:rPr>
      </w:pPr>
      <w:r>
        <w:rPr>
          <w:rFonts w:hint="eastAsia" w:ascii="宋体" w:hAnsi="宋体" w:cs="宋体"/>
          <w:b/>
          <w:color w:val="auto"/>
          <w:szCs w:val="21"/>
          <w:highlight w:val="none"/>
        </w:rPr>
        <w:t>现文：</w:t>
      </w:r>
      <w:r>
        <w:rPr>
          <w:rFonts w:hint="eastAsia" w:ascii="宋体" w:hAnsi="宋体" w:cs="宋体"/>
          <w:color w:val="auto"/>
          <w:szCs w:val="21"/>
          <w:highlight w:val="none"/>
        </w:rPr>
        <w:t>43.6</w:t>
      </w:r>
      <w:r>
        <w:rPr>
          <w:rFonts w:hint="eastAsia" w:ascii="宋体" w:hAnsi="宋体" w:cs="宋体"/>
          <w:color w:val="auto"/>
          <w:szCs w:val="21"/>
          <w:highlight w:val="none"/>
          <w:u w:val="single"/>
        </w:rPr>
        <w:t>若满足资格审查合格条件（投标人合格条件）的投标申请人不足3名，则重新招标。</w:t>
      </w:r>
    </w:p>
    <w:p>
      <w:pPr>
        <w:spacing w:line="360" w:lineRule="auto"/>
        <w:ind w:firstLine="472" w:firstLineChars="224"/>
        <w:rPr>
          <w:rFonts w:hint="eastAsia" w:ascii="宋体" w:hAnsi="宋体" w:cs="宋体"/>
          <w:b/>
          <w:color w:val="auto"/>
          <w:szCs w:val="21"/>
          <w:highlight w:val="none"/>
        </w:rPr>
      </w:pPr>
      <w:r>
        <w:rPr>
          <w:rFonts w:hint="eastAsia" w:ascii="宋体" w:hAnsi="宋体" w:cs="宋体"/>
          <w:b/>
          <w:color w:val="auto"/>
          <w:szCs w:val="21"/>
          <w:highlight w:val="none"/>
        </w:rPr>
        <w:t>条款号：44.1                      　修改类型：修改</w:t>
      </w:r>
    </w:p>
    <w:p>
      <w:pPr>
        <w:spacing w:line="360" w:lineRule="auto"/>
        <w:ind w:firstLine="422" w:firstLineChars="200"/>
        <w:rPr>
          <w:rFonts w:hint="eastAsia"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4</w:t>
      </w:r>
      <w:r>
        <w:rPr>
          <w:rFonts w:hint="eastAsia" w:ascii="宋体" w:hAnsi="宋体" w:cs="宋体"/>
          <w:color w:val="auto"/>
          <w:szCs w:val="21"/>
          <w:highlight w:val="none"/>
        </w:rPr>
        <w:t>4.1技术标的有效性审查：投标文件中没有任一种列于本办法附表二《技术标有效性审查表》中情形的，为有效投标文件。否则其投标文件将被否决。被否决的投标人不参与下一阶段评审，不参与评标参考价的计算。如评标委员会成员的评审意见不一致时，以评标委员会过半数成员的意见作为评标委员会对该情形的认定结论。若通过技术标有效性审查的投标人不足三家，则重新招标。（当N个标段同时招标且不允许兼中时，若通过技术标有效性审查投标人不足N+2家，则重新招标）。评委发现投标文件中含义不明确、对同类问题表述不一致、有明显文字和计算错误的，应当要求投标人作必要的澄清、说明后再判定投标人是否通过有效性审查，不得直接否决投标。</w:t>
      </w:r>
    </w:p>
    <w:p>
      <w:pPr>
        <w:pBdr>
          <w:bottom w:val="single" w:color="auto" w:sz="6" w:space="1"/>
        </w:pBdr>
        <w:spacing w:line="360" w:lineRule="auto"/>
        <w:ind w:firstLine="413" w:firstLineChars="196"/>
        <w:rPr>
          <w:rFonts w:hint="eastAsia" w:ascii="宋体" w:hAnsi="宋体" w:cs="宋体"/>
          <w:color w:val="auto"/>
          <w:szCs w:val="21"/>
          <w:highlight w:val="none"/>
          <w:u w:val="single"/>
        </w:rPr>
      </w:pPr>
      <w:r>
        <w:rPr>
          <w:rFonts w:hint="eastAsia" w:ascii="宋体" w:hAnsi="宋体" w:cs="宋体"/>
          <w:b/>
          <w:color w:val="auto"/>
          <w:szCs w:val="21"/>
          <w:highlight w:val="none"/>
        </w:rPr>
        <w:t>现文：</w:t>
      </w:r>
      <w:r>
        <w:rPr>
          <w:rFonts w:ascii="宋体" w:hAnsi="宋体" w:cs="宋体"/>
          <w:color w:val="auto"/>
          <w:szCs w:val="21"/>
          <w:highlight w:val="none"/>
        </w:rPr>
        <w:t>4</w:t>
      </w:r>
      <w:r>
        <w:rPr>
          <w:rFonts w:hint="eastAsia" w:ascii="宋体" w:hAnsi="宋体" w:cs="宋体"/>
          <w:color w:val="auto"/>
          <w:szCs w:val="21"/>
          <w:highlight w:val="none"/>
        </w:rPr>
        <w:t>4.1技术标的有效性审查：投标文件中没有任一种列于本办法附表二《技术标有效性审查表》中情形的，为有效投标文件。否则其投标文件将被否决。被否决的投标人不参与下一阶段评审，不参与评标参考价的计算。如评标委员会成员的评审意见不一致时，以评标委员会过半数成员的意见作为评标委员会对该情形的认定结论。</w:t>
      </w:r>
      <w:r>
        <w:rPr>
          <w:rFonts w:hint="eastAsia" w:ascii="宋体" w:hAnsi="宋体" w:cs="宋体"/>
          <w:color w:val="auto"/>
          <w:szCs w:val="21"/>
          <w:highlight w:val="none"/>
          <w:u w:val="single"/>
        </w:rPr>
        <w:t>若通过技术标有效性审查的投标人不足三家，则重新招标。</w:t>
      </w:r>
      <w:r>
        <w:rPr>
          <w:rFonts w:hint="eastAsia" w:ascii="宋体" w:hAnsi="宋体" w:cs="宋体"/>
          <w:color w:val="auto"/>
          <w:szCs w:val="21"/>
          <w:highlight w:val="none"/>
        </w:rPr>
        <w:t>评委发现投标文件中含义不明确、对同类问题表述不一致、有明显文字和计算错误的，应当要求投标人作必要的澄清、说明后再判定投标人是否通过有效性审查，不得直接否决投标。</w:t>
      </w:r>
    </w:p>
    <w:p>
      <w:pPr>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条款号：45                      　　修改类型：修改</w:t>
      </w:r>
    </w:p>
    <w:p>
      <w:pPr>
        <w:pStyle w:val="18"/>
        <w:tabs>
          <w:tab w:val="left" w:pos="7380"/>
        </w:tabs>
        <w:spacing w:after="0" w:line="360" w:lineRule="auto"/>
        <w:ind w:firstLine="422" w:firstLineChars="200"/>
        <w:rPr>
          <w:rFonts w:ascii="宋体"/>
          <w:color w:val="auto"/>
          <w:sz w:val="21"/>
          <w:szCs w:val="21"/>
          <w:highlight w:val="none"/>
        </w:rPr>
      </w:pPr>
      <w:r>
        <w:rPr>
          <w:rFonts w:hint="eastAsia" w:ascii="宋体" w:hAnsi="宋体" w:cs="宋体"/>
          <w:b/>
          <w:color w:val="auto"/>
          <w:sz w:val="21"/>
          <w:szCs w:val="21"/>
          <w:highlight w:val="none"/>
        </w:rPr>
        <w:t>原文：</w:t>
      </w:r>
      <w:r>
        <w:rPr>
          <w:rFonts w:hint="eastAsia" w:ascii="宋体"/>
          <w:color w:val="auto"/>
          <w:sz w:val="21"/>
          <w:szCs w:val="21"/>
          <w:highlight w:val="none"/>
        </w:rPr>
        <w:t>45．经济标评审和得分汇总</w:t>
      </w:r>
    </w:p>
    <w:p>
      <w:pPr>
        <w:pStyle w:val="18"/>
        <w:tabs>
          <w:tab w:val="left" w:pos="7380"/>
        </w:tabs>
        <w:spacing w:after="0" w:line="360" w:lineRule="auto"/>
        <w:ind w:firstLineChars="200"/>
        <w:rPr>
          <w:rFonts w:ascii="宋体" w:hAnsi="宋体"/>
          <w:color w:val="auto"/>
          <w:sz w:val="21"/>
          <w:szCs w:val="21"/>
          <w:highlight w:val="none"/>
        </w:rPr>
      </w:pPr>
      <w:r>
        <w:rPr>
          <w:rFonts w:hint="eastAsia" w:ascii="宋体" w:hAnsi="宋体"/>
          <w:color w:val="auto"/>
          <w:sz w:val="21"/>
          <w:szCs w:val="21"/>
          <w:highlight w:val="none"/>
        </w:rPr>
        <w:t>45.1若通过技术标有效性审查的投标人中所有投标报价均大于等于最高投标限价，则本项目招标失败，由招标人依法重新招标。</w:t>
      </w:r>
    </w:p>
    <w:p>
      <w:pPr>
        <w:pStyle w:val="18"/>
        <w:tabs>
          <w:tab w:val="left" w:pos="7380"/>
        </w:tabs>
        <w:spacing w:after="0" w:line="360" w:lineRule="auto"/>
        <w:ind w:firstLineChars="200"/>
        <w:rPr>
          <w:rFonts w:ascii="宋体"/>
          <w:color w:val="auto"/>
          <w:sz w:val="21"/>
          <w:szCs w:val="21"/>
          <w:highlight w:val="none"/>
        </w:rPr>
      </w:pPr>
      <w:r>
        <w:rPr>
          <w:rFonts w:hint="eastAsia" w:ascii="宋体" w:hAnsi="宋体"/>
          <w:color w:val="auto"/>
          <w:sz w:val="21"/>
          <w:szCs w:val="21"/>
          <w:highlight w:val="none"/>
        </w:rPr>
        <w:t>45.2按方法</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计算评标参考价：</w:t>
      </w:r>
    </w:p>
    <w:p>
      <w:pPr>
        <w:widowControl/>
        <w:spacing w:line="360" w:lineRule="auto"/>
        <w:ind w:firstLine="422" w:firstLineChars="200"/>
        <w:rPr>
          <w:rFonts w:ascii="宋体" w:hAnsi="宋体"/>
          <w:b/>
          <w:bCs/>
          <w:color w:val="auto"/>
          <w:kern w:val="0"/>
          <w:szCs w:val="21"/>
          <w:highlight w:val="none"/>
        </w:rPr>
      </w:pPr>
      <w:r>
        <w:rPr>
          <w:rFonts w:hint="eastAsia" w:ascii="宋体" w:hAnsi="宋体" w:cs="仿宋"/>
          <w:b/>
          <w:bCs/>
          <w:color w:val="auto"/>
          <w:kern w:val="0"/>
          <w:szCs w:val="21"/>
          <w:highlight w:val="none"/>
        </w:rPr>
        <w:t>方法一：加权平均法</w:t>
      </w:r>
    </w:p>
    <w:p>
      <w:pPr>
        <w:spacing w:line="360" w:lineRule="auto"/>
        <w:ind w:firstLine="420" w:firstLineChars="200"/>
        <w:rPr>
          <w:rFonts w:ascii="宋体" w:hAnsi="宋体" w:cs="仿宋"/>
          <w:color w:val="auto"/>
          <w:szCs w:val="21"/>
          <w:highlight w:val="none"/>
        </w:rPr>
      </w:pPr>
      <w:r>
        <w:rPr>
          <w:rFonts w:hint="eastAsia" w:ascii="宋体" w:hAnsi="宋体" w:cs="仿宋"/>
          <w:color w:val="auto"/>
          <w:szCs w:val="21"/>
          <w:highlight w:val="none"/>
        </w:rPr>
        <w:t>技术标或技术标加诚信得分（具体由招标人自定）前</w:t>
      </w:r>
      <w:r>
        <w:rPr>
          <w:rFonts w:ascii="宋体" w:hAnsi="宋体" w:cs="仿宋"/>
          <w:color w:val="auto"/>
          <w:szCs w:val="21"/>
          <w:highlight w:val="none"/>
        </w:rPr>
        <w:t>N</w:t>
      </w:r>
      <w:r>
        <w:rPr>
          <w:rFonts w:hint="eastAsia" w:ascii="宋体" w:hAnsi="宋体" w:cs="仿宋"/>
          <w:color w:val="auto"/>
          <w:szCs w:val="21"/>
          <w:highlight w:val="none"/>
        </w:rPr>
        <w:t>名（N≥5，具体由招标人自定）的经济报价加权平均，计算评标参考价。公式如下：</w:t>
      </w:r>
    </w:p>
    <w:p>
      <w:pPr>
        <w:spacing w:line="360" w:lineRule="auto"/>
        <w:ind w:firstLine="420" w:firstLineChars="200"/>
        <w:rPr>
          <w:rFonts w:ascii="宋体" w:hAnsi="宋体" w:cs="仿宋"/>
          <w:color w:val="auto"/>
          <w:szCs w:val="21"/>
          <w:highlight w:val="none"/>
        </w:rPr>
      </w:pPr>
      <w:r>
        <w:rPr>
          <w:rFonts w:hint="eastAsia" w:ascii="宋体" w:hAnsi="宋体" w:cs="仿宋"/>
          <w:color w:val="auto"/>
          <w:szCs w:val="21"/>
          <w:highlight w:val="none"/>
        </w:rPr>
        <w:t>评标参考价</w:t>
      </w:r>
      <w:r>
        <w:rPr>
          <w:rFonts w:ascii="宋体" w:hAnsi="宋体" w:cs="仿宋"/>
          <w:color w:val="auto"/>
          <w:szCs w:val="21"/>
          <w:highlight w:val="none"/>
        </w:rPr>
        <w:t>=</w:t>
      </w:r>
      <w:r>
        <w:rPr>
          <w:rFonts w:hint="eastAsia" w:ascii="宋体" w:hAnsi="宋体" w:cs="仿宋"/>
          <w:color w:val="auto"/>
          <w:szCs w:val="21"/>
          <w:highlight w:val="none"/>
        </w:rPr>
        <w:t>Σ（投标人的投标报价</w:t>
      </w:r>
      <w:r>
        <w:rPr>
          <w:rFonts w:ascii="宋体" w:hAnsi="宋体" w:cs="仿宋"/>
          <w:color w:val="auto"/>
          <w:szCs w:val="21"/>
          <w:highlight w:val="none"/>
        </w:rPr>
        <w:t>*</w:t>
      </w:r>
      <w:r>
        <w:rPr>
          <w:rFonts w:hint="eastAsia" w:ascii="宋体" w:hAnsi="宋体" w:cs="仿宋"/>
          <w:color w:val="auto"/>
          <w:szCs w:val="21"/>
          <w:highlight w:val="none"/>
        </w:rPr>
        <w:t>报价权重）。</w:t>
      </w:r>
    </w:p>
    <w:p>
      <w:pPr>
        <w:spacing w:line="360" w:lineRule="auto"/>
        <w:ind w:firstLine="420" w:firstLineChars="200"/>
        <w:rPr>
          <w:rFonts w:ascii="宋体" w:hAnsi="宋体" w:cs="仿宋"/>
          <w:color w:val="auto"/>
          <w:szCs w:val="21"/>
          <w:highlight w:val="none"/>
        </w:rPr>
      </w:pPr>
      <w:r>
        <w:rPr>
          <w:rFonts w:hint="eastAsia" w:ascii="宋体" w:hAnsi="宋体" w:cs="仿宋"/>
          <w:color w:val="auto"/>
          <w:szCs w:val="21"/>
          <w:highlight w:val="none"/>
        </w:rPr>
        <w:t>其中：报价权重的计算方法为：将</w:t>
      </w:r>
      <w:r>
        <w:rPr>
          <w:rFonts w:ascii="宋体" w:hAnsi="宋体" w:cs="仿宋"/>
          <w:color w:val="auto"/>
          <w:szCs w:val="21"/>
          <w:highlight w:val="none"/>
        </w:rPr>
        <w:t>N</w:t>
      </w:r>
      <w:r>
        <w:rPr>
          <w:rFonts w:hint="eastAsia" w:ascii="宋体" w:hAnsi="宋体" w:cs="仿宋"/>
          <w:color w:val="auto"/>
          <w:szCs w:val="21"/>
          <w:highlight w:val="none"/>
        </w:rPr>
        <w:t>名投标人按技术分由高至低进行排序，第一名投标人的权重为（</w:t>
      </w:r>
      <w:r>
        <w:rPr>
          <w:rFonts w:ascii="宋体" w:hAnsi="宋体" w:cs="仿宋"/>
          <w:color w:val="auto"/>
          <w:szCs w:val="21"/>
          <w:highlight w:val="none"/>
        </w:rPr>
        <w:fldChar w:fldCharType="begin"/>
      </w:r>
      <w:r>
        <w:rPr>
          <w:rFonts w:ascii="宋体" w:hAnsi="宋体" w:cs="仿宋"/>
          <w:color w:val="auto"/>
          <w:szCs w:val="21"/>
          <w:highlight w:val="none"/>
        </w:rPr>
        <w:instrText xml:space="preserve"> QUOTE </w:instrText>
      </w:r>
      <w:r>
        <w:rPr>
          <w:rFonts w:ascii="宋体" w:hAnsi="宋体"/>
          <w:color w:val="auto"/>
          <w:szCs w:val="21"/>
          <w:highlight w:val="none"/>
        </w:rPr>
        <w:drawing>
          <wp:inline distT="0" distB="0" distL="114300" distR="114300">
            <wp:extent cx="381000" cy="447675"/>
            <wp:effectExtent l="0" t="0" r="0" b="8890"/>
            <wp:docPr id="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
                    <pic:cNvPicPr>
                      <a:picLocks noChangeAspect="1"/>
                    </pic:cNvPicPr>
                  </pic:nvPicPr>
                  <pic:blipFill>
                    <a:blip r:embed="rId19">
                      <a:clrChange>
                        <a:clrFrom>
                          <a:srgbClr val="FFFFFF"/>
                        </a:clrFrom>
                        <a:clrTo>
                          <a:srgbClr val="FFFFFF">
                            <a:alpha val="0"/>
                          </a:srgbClr>
                        </a:clrTo>
                      </a:clrChange>
                    </a:blip>
                    <a:stretch>
                      <a:fillRect/>
                    </a:stretch>
                  </pic:blipFill>
                  <pic:spPr>
                    <a:xfrm>
                      <a:off x="0" y="0"/>
                      <a:ext cx="381000" cy="447675"/>
                    </a:xfrm>
                    <a:prstGeom prst="rect">
                      <a:avLst/>
                    </a:prstGeom>
                    <a:noFill/>
                    <a:ln>
                      <a:noFill/>
                    </a:ln>
                  </pic:spPr>
                </pic:pic>
              </a:graphicData>
            </a:graphic>
          </wp:inline>
        </w:drawing>
      </w:r>
      <w:r>
        <w:rPr>
          <w:rFonts w:ascii="宋体" w:hAnsi="宋体" w:cs="仿宋"/>
          <w:color w:val="auto"/>
          <w:szCs w:val="21"/>
          <w:highlight w:val="none"/>
        </w:rPr>
        <w:fldChar w:fldCharType="separate"/>
      </w:r>
      <w:r>
        <w:rPr>
          <w:rFonts w:ascii="宋体" w:hAnsi="宋体"/>
          <w:color w:val="auto"/>
          <w:szCs w:val="21"/>
          <w:highlight w:val="none"/>
        </w:rPr>
        <w:drawing>
          <wp:inline distT="0" distB="0" distL="114300" distR="114300">
            <wp:extent cx="381000" cy="447675"/>
            <wp:effectExtent l="0" t="0" r="0" b="8890"/>
            <wp:docPr id="2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
                    <pic:cNvPicPr>
                      <a:picLocks noChangeAspect="1"/>
                    </pic:cNvPicPr>
                  </pic:nvPicPr>
                  <pic:blipFill>
                    <a:blip r:embed="rId19">
                      <a:clrChange>
                        <a:clrFrom>
                          <a:srgbClr val="FFFFFF"/>
                        </a:clrFrom>
                        <a:clrTo>
                          <a:srgbClr val="FFFFFF">
                            <a:alpha val="0"/>
                          </a:srgbClr>
                        </a:clrTo>
                      </a:clrChange>
                    </a:blip>
                    <a:stretch>
                      <a:fillRect/>
                    </a:stretch>
                  </pic:blipFill>
                  <pic:spPr>
                    <a:xfrm>
                      <a:off x="0" y="0"/>
                      <a:ext cx="381000" cy="447675"/>
                    </a:xfrm>
                    <a:prstGeom prst="rect">
                      <a:avLst/>
                    </a:prstGeom>
                    <a:noFill/>
                    <a:ln>
                      <a:noFill/>
                    </a:ln>
                  </pic:spPr>
                </pic:pic>
              </a:graphicData>
            </a:graphic>
          </wp:inline>
        </w:drawing>
      </w:r>
      <w:r>
        <w:rPr>
          <w:rFonts w:ascii="宋体" w:hAnsi="宋体" w:cs="仿宋"/>
          <w:color w:val="auto"/>
          <w:szCs w:val="21"/>
          <w:highlight w:val="none"/>
        </w:rPr>
        <w:fldChar w:fldCharType="end"/>
      </w:r>
      <w:r>
        <w:rPr>
          <w:rFonts w:hint="eastAsia" w:ascii="宋体" w:hAnsi="宋体" w:cs="仿宋"/>
          <w:color w:val="auto"/>
          <w:szCs w:val="21"/>
          <w:highlight w:val="none"/>
        </w:rPr>
        <w:t>），第二名投标人的权重为（</w:t>
      </w:r>
      <w:r>
        <w:rPr>
          <w:rFonts w:ascii="宋体" w:hAnsi="宋体" w:cs="仿宋"/>
          <w:color w:val="auto"/>
          <w:szCs w:val="21"/>
          <w:highlight w:val="none"/>
        </w:rPr>
        <w:fldChar w:fldCharType="begin"/>
      </w:r>
      <w:r>
        <w:rPr>
          <w:rFonts w:ascii="宋体" w:hAnsi="宋体" w:cs="仿宋"/>
          <w:color w:val="auto"/>
          <w:szCs w:val="21"/>
          <w:highlight w:val="none"/>
        </w:rPr>
        <w:instrText xml:space="preserve"> QUOTE </w:instrText>
      </w:r>
      <w:r>
        <w:rPr>
          <w:rFonts w:ascii="宋体" w:hAnsi="宋体"/>
          <w:color w:val="auto"/>
          <w:position w:val="-23"/>
          <w:szCs w:val="21"/>
          <w:highlight w:val="none"/>
        </w:rPr>
        <w:drawing>
          <wp:inline distT="0" distB="0" distL="114300" distR="114300">
            <wp:extent cx="323850" cy="400050"/>
            <wp:effectExtent l="0" t="0" r="0" b="0"/>
            <wp:docPr id="2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3"/>
                    <pic:cNvPicPr>
                      <a:picLocks noChangeAspect="1"/>
                    </pic:cNvPicPr>
                  </pic:nvPicPr>
                  <pic:blipFill>
                    <a:blip r:embed="rId20">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ascii="宋体" w:hAnsi="宋体" w:cs="仿宋"/>
          <w:color w:val="auto"/>
          <w:szCs w:val="21"/>
          <w:highlight w:val="none"/>
        </w:rPr>
        <w:fldChar w:fldCharType="separate"/>
      </w:r>
      <w:r>
        <w:rPr>
          <w:rFonts w:ascii="宋体" w:hAnsi="宋体"/>
          <w:color w:val="auto"/>
          <w:position w:val="-23"/>
          <w:szCs w:val="21"/>
          <w:highlight w:val="none"/>
        </w:rPr>
        <w:drawing>
          <wp:inline distT="0" distB="0" distL="114300" distR="114300">
            <wp:extent cx="323850" cy="400050"/>
            <wp:effectExtent l="0" t="0" r="0" b="0"/>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20">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ascii="宋体" w:hAnsi="宋体" w:cs="仿宋"/>
          <w:color w:val="auto"/>
          <w:szCs w:val="21"/>
          <w:highlight w:val="none"/>
        </w:rPr>
        <w:fldChar w:fldCharType="end"/>
      </w:r>
      <w:r>
        <w:rPr>
          <w:rFonts w:hint="eastAsia" w:ascii="宋体" w:hAnsi="宋体" w:cs="仿宋"/>
          <w:color w:val="auto"/>
          <w:szCs w:val="21"/>
          <w:highlight w:val="none"/>
        </w:rPr>
        <w:t>），以此类推，最后一名投标人的权重为（</w:t>
      </w:r>
      <w:r>
        <w:rPr>
          <w:rFonts w:ascii="宋体" w:hAnsi="宋体" w:cs="仿宋"/>
          <w:color w:val="auto"/>
          <w:szCs w:val="21"/>
          <w:highlight w:val="none"/>
        </w:rPr>
        <w:fldChar w:fldCharType="begin"/>
      </w:r>
      <w:r>
        <w:rPr>
          <w:rFonts w:ascii="宋体" w:hAnsi="宋体" w:cs="仿宋"/>
          <w:color w:val="auto"/>
          <w:szCs w:val="21"/>
          <w:highlight w:val="none"/>
        </w:rPr>
        <w:instrText xml:space="preserve"> QUOTE </w:instrText>
      </w:r>
      <w:r>
        <w:rPr>
          <w:rFonts w:ascii="宋体" w:hAnsi="宋体"/>
          <w:color w:val="auto"/>
          <w:position w:val="-23"/>
          <w:szCs w:val="21"/>
          <w:highlight w:val="none"/>
        </w:rPr>
        <w:drawing>
          <wp:inline distT="0" distB="0" distL="114300" distR="114300">
            <wp:extent cx="323850" cy="400050"/>
            <wp:effectExtent l="0" t="0" r="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21">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ascii="宋体" w:hAnsi="宋体" w:cs="仿宋"/>
          <w:color w:val="auto"/>
          <w:szCs w:val="21"/>
          <w:highlight w:val="none"/>
        </w:rPr>
        <w:fldChar w:fldCharType="separate"/>
      </w:r>
      <w:r>
        <w:rPr>
          <w:rFonts w:ascii="宋体" w:hAnsi="宋体"/>
          <w:color w:val="auto"/>
          <w:position w:val="-23"/>
          <w:szCs w:val="21"/>
          <w:highlight w:val="none"/>
        </w:rPr>
        <w:drawing>
          <wp:inline distT="0" distB="0" distL="114300" distR="114300">
            <wp:extent cx="323850" cy="4000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21">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ascii="宋体" w:hAnsi="宋体" w:cs="仿宋"/>
          <w:color w:val="auto"/>
          <w:szCs w:val="21"/>
          <w:highlight w:val="none"/>
        </w:rPr>
        <w:fldChar w:fldCharType="end"/>
      </w:r>
      <w:r>
        <w:rPr>
          <w:rFonts w:hint="eastAsia" w:ascii="宋体" w:hAnsi="宋体" w:cs="仿宋"/>
          <w:color w:val="auto"/>
          <w:szCs w:val="21"/>
          <w:highlight w:val="none"/>
        </w:rPr>
        <w:t>）。</w:t>
      </w:r>
    </w:p>
    <w:p>
      <w:pPr>
        <w:widowControl/>
        <w:spacing w:line="360" w:lineRule="auto"/>
        <w:ind w:firstLine="422" w:firstLineChars="200"/>
        <w:rPr>
          <w:rFonts w:ascii="宋体" w:hAnsi="宋体"/>
          <w:b/>
          <w:bCs/>
          <w:color w:val="auto"/>
          <w:kern w:val="0"/>
          <w:szCs w:val="21"/>
          <w:highlight w:val="none"/>
        </w:rPr>
      </w:pPr>
      <w:r>
        <w:rPr>
          <w:rFonts w:hint="eastAsia" w:ascii="宋体" w:hAnsi="宋体" w:cs="仿宋"/>
          <w:b/>
          <w:bCs/>
          <w:color w:val="auto"/>
          <w:kern w:val="0"/>
          <w:szCs w:val="21"/>
          <w:highlight w:val="none"/>
        </w:rPr>
        <w:t>方法二：区间抽取法</w:t>
      </w:r>
    </w:p>
    <w:p>
      <w:pPr>
        <w:widowControl/>
        <w:spacing w:line="360" w:lineRule="auto"/>
        <w:ind w:firstLine="420" w:firstLineChars="200"/>
        <w:rPr>
          <w:rFonts w:ascii="宋体" w:hAnsi="宋体"/>
          <w:color w:val="auto"/>
          <w:kern w:val="0"/>
          <w:szCs w:val="21"/>
          <w:highlight w:val="none"/>
        </w:rPr>
      </w:pPr>
      <w:r>
        <w:rPr>
          <w:rFonts w:hint="eastAsia" w:ascii="宋体" w:hAnsi="宋体" w:cs="仿宋"/>
          <w:color w:val="auto"/>
          <w:szCs w:val="21"/>
          <w:highlight w:val="none"/>
        </w:rPr>
        <w:t>设立入围合格分数线（技术标或技术标加诚信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pPr>
        <w:widowControl/>
        <w:spacing w:line="360" w:lineRule="auto"/>
        <w:ind w:firstLine="420" w:firstLineChars="200"/>
        <w:rPr>
          <w:rFonts w:ascii="宋体" w:hAnsi="宋体"/>
          <w:color w:val="auto"/>
          <w:kern w:val="0"/>
          <w:szCs w:val="21"/>
          <w:highlight w:val="none"/>
          <w:vertAlign w:val="subscript"/>
        </w:rPr>
      </w:pPr>
      <w:r>
        <w:rPr>
          <w:rFonts w:hint="eastAsia" w:ascii="宋体" w:hAnsi="宋体" w:cs="仿宋"/>
          <w:color w:val="auto"/>
          <w:kern w:val="0"/>
          <w:szCs w:val="21"/>
          <w:highlight w:val="none"/>
        </w:rPr>
        <w:t>评标参考价</w:t>
      </w:r>
      <w:r>
        <w:rPr>
          <w:rFonts w:ascii="宋体" w:hAnsi="宋体" w:cs="仿宋"/>
          <w:color w:val="auto"/>
          <w:kern w:val="0"/>
          <w:szCs w:val="21"/>
          <w:highlight w:val="none"/>
        </w:rPr>
        <w:t>=</w:t>
      </w:r>
      <w:r>
        <w:rPr>
          <w:rFonts w:hint="eastAsia" w:ascii="宋体" w:hAnsi="宋体" w:cs="仿宋"/>
          <w:color w:val="auto"/>
          <w:kern w:val="0"/>
          <w:szCs w:val="21"/>
          <w:highlight w:val="none"/>
        </w:rPr>
        <w:t>（</w:t>
      </w:r>
      <w:r>
        <w:rPr>
          <w:rFonts w:ascii="宋体" w:hAnsi="宋体" w:cs="仿宋"/>
          <w:color w:val="auto"/>
          <w:kern w:val="0"/>
          <w:szCs w:val="21"/>
          <w:highlight w:val="none"/>
        </w:rPr>
        <w:t>Q</w:t>
      </w:r>
      <w:r>
        <w:rPr>
          <w:rFonts w:hint="eastAsia" w:ascii="宋体" w:hAnsi="宋体" w:cs="仿宋"/>
          <w:color w:val="auto"/>
          <w:kern w:val="0"/>
          <w:szCs w:val="21"/>
          <w:highlight w:val="none"/>
          <w:vertAlign w:val="subscript"/>
        </w:rPr>
        <w:t>高</w:t>
      </w:r>
      <w:r>
        <w:rPr>
          <w:rFonts w:ascii="宋体" w:hAnsi="宋体" w:cs="仿宋"/>
          <w:color w:val="auto"/>
          <w:kern w:val="0"/>
          <w:szCs w:val="21"/>
          <w:highlight w:val="none"/>
        </w:rPr>
        <w:t>-Q</w:t>
      </w:r>
      <w:r>
        <w:rPr>
          <w:rFonts w:hint="eastAsia" w:ascii="宋体" w:hAnsi="宋体" w:cs="仿宋"/>
          <w:color w:val="auto"/>
          <w:kern w:val="0"/>
          <w:szCs w:val="21"/>
          <w:highlight w:val="none"/>
          <w:vertAlign w:val="subscript"/>
        </w:rPr>
        <w:t>低</w:t>
      </w:r>
      <w:r>
        <w:rPr>
          <w:rFonts w:hint="eastAsia" w:ascii="宋体" w:hAnsi="宋体" w:cs="仿宋"/>
          <w:color w:val="auto"/>
          <w:kern w:val="0"/>
          <w:szCs w:val="21"/>
          <w:highlight w:val="none"/>
        </w:rPr>
        <w:t>）</w:t>
      </w:r>
      <w:r>
        <w:rPr>
          <w:rFonts w:ascii="宋体" w:hAnsi="宋体" w:cs="仿宋"/>
          <w:color w:val="auto"/>
          <w:kern w:val="0"/>
          <w:szCs w:val="21"/>
          <w:highlight w:val="none"/>
        </w:rPr>
        <w:t>/100*</w:t>
      </w:r>
      <w:r>
        <w:rPr>
          <w:rFonts w:hint="eastAsia" w:ascii="宋体" w:hAnsi="宋体" w:cs="仿宋"/>
          <w:color w:val="auto"/>
          <w:kern w:val="0"/>
          <w:szCs w:val="21"/>
          <w:highlight w:val="none"/>
        </w:rPr>
        <w:t>Ｘ</w:t>
      </w:r>
      <w:r>
        <w:rPr>
          <w:rFonts w:ascii="宋体" w:hAnsi="宋体" w:cs="仿宋"/>
          <w:color w:val="auto"/>
          <w:kern w:val="0"/>
          <w:szCs w:val="21"/>
          <w:highlight w:val="none"/>
        </w:rPr>
        <w:t>+Q</w:t>
      </w:r>
      <w:r>
        <w:rPr>
          <w:rFonts w:hint="eastAsia" w:ascii="宋体" w:hAnsi="宋体" w:cs="仿宋"/>
          <w:color w:val="auto"/>
          <w:kern w:val="0"/>
          <w:szCs w:val="21"/>
          <w:highlight w:val="none"/>
          <w:vertAlign w:val="subscript"/>
        </w:rPr>
        <w:t>低</w:t>
      </w:r>
    </w:p>
    <w:p>
      <w:pPr>
        <w:widowControl/>
        <w:spacing w:line="360" w:lineRule="auto"/>
        <w:ind w:firstLine="420" w:firstLineChars="200"/>
        <w:rPr>
          <w:rFonts w:ascii="宋体" w:hAnsi="宋体"/>
          <w:color w:val="auto"/>
          <w:szCs w:val="21"/>
          <w:highlight w:val="none"/>
        </w:rPr>
      </w:pPr>
      <w:r>
        <w:rPr>
          <w:rFonts w:ascii="宋体" w:hAnsi="宋体" w:cs="仿宋"/>
          <w:color w:val="auto"/>
          <w:szCs w:val="21"/>
          <w:highlight w:val="none"/>
        </w:rPr>
        <w:t>Q</w:t>
      </w:r>
      <w:r>
        <w:rPr>
          <w:rFonts w:hint="eastAsia" w:ascii="宋体" w:hAnsi="宋体" w:cs="仿宋"/>
          <w:color w:val="auto"/>
          <w:szCs w:val="21"/>
          <w:highlight w:val="none"/>
          <w:vertAlign w:val="subscript"/>
        </w:rPr>
        <w:t>低</w:t>
      </w:r>
      <w:r>
        <w:rPr>
          <w:rFonts w:hint="eastAsia" w:ascii="宋体" w:hAnsi="宋体" w:cs="仿宋"/>
          <w:color w:val="auto"/>
          <w:szCs w:val="21"/>
          <w:highlight w:val="none"/>
        </w:rPr>
        <w:t>：为达到或超过技术标及格分数线的投标人最低报价与工程成本警示价两者中的较高值；</w:t>
      </w:r>
    </w:p>
    <w:p>
      <w:pPr>
        <w:spacing w:line="360" w:lineRule="auto"/>
        <w:ind w:firstLine="420" w:firstLineChars="200"/>
        <w:rPr>
          <w:rFonts w:ascii="宋体" w:hAnsi="宋体" w:cs="仿宋"/>
          <w:color w:val="auto"/>
          <w:szCs w:val="21"/>
          <w:highlight w:val="none"/>
        </w:rPr>
      </w:pPr>
      <w:r>
        <w:rPr>
          <w:rFonts w:ascii="宋体" w:hAnsi="宋体" w:cs="仿宋"/>
          <w:color w:val="auto"/>
          <w:kern w:val="0"/>
          <w:szCs w:val="21"/>
          <w:highlight w:val="none"/>
        </w:rPr>
        <w:t>Q</w:t>
      </w:r>
      <w:r>
        <w:rPr>
          <w:rFonts w:hint="eastAsia" w:ascii="宋体" w:hAnsi="宋体" w:cs="仿宋"/>
          <w:color w:val="auto"/>
          <w:kern w:val="0"/>
          <w:szCs w:val="21"/>
          <w:highlight w:val="none"/>
          <w:vertAlign w:val="subscript"/>
        </w:rPr>
        <w:t>高</w:t>
      </w:r>
      <w:r>
        <w:rPr>
          <w:rFonts w:hint="eastAsia" w:ascii="宋体" w:hAnsi="宋体" w:cs="仿宋"/>
          <w:color w:val="auto"/>
          <w:szCs w:val="21"/>
          <w:highlight w:val="none"/>
        </w:rPr>
        <w:t>：为最高投标限价</w:t>
      </w:r>
    </w:p>
    <w:p>
      <w:pPr>
        <w:spacing w:line="360" w:lineRule="auto"/>
        <w:ind w:firstLine="420" w:firstLineChars="200"/>
        <w:rPr>
          <w:rFonts w:ascii="宋体" w:hAnsi="宋体"/>
          <w:color w:val="auto"/>
          <w:szCs w:val="21"/>
          <w:highlight w:val="none"/>
        </w:rPr>
      </w:pPr>
      <w:r>
        <w:rPr>
          <w:rFonts w:ascii="宋体" w:hAnsi="宋体" w:cs="仿宋"/>
          <w:color w:val="auto"/>
          <w:szCs w:val="21"/>
          <w:highlight w:val="none"/>
        </w:rPr>
        <w:t>X:</w:t>
      </w:r>
      <w:r>
        <w:rPr>
          <w:rFonts w:hint="eastAsia" w:ascii="宋体" w:hAnsi="宋体" w:cs="仿宋"/>
          <w:color w:val="auto"/>
          <w:szCs w:val="21"/>
          <w:highlight w:val="none"/>
        </w:rPr>
        <w:t>为等分点值，在开标前从</w:t>
      </w:r>
      <w:r>
        <w:rPr>
          <w:rFonts w:ascii="宋体" w:hAnsi="宋体" w:cs="仿宋"/>
          <w:color w:val="auto"/>
          <w:szCs w:val="21"/>
          <w:highlight w:val="none"/>
        </w:rPr>
        <w:t>[0,100]</w:t>
      </w:r>
      <w:r>
        <w:rPr>
          <w:rFonts w:hint="eastAsia" w:ascii="宋体" w:hAnsi="宋体" w:cs="仿宋"/>
          <w:color w:val="auto"/>
          <w:szCs w:val="21"/>
          <w:highlight w:val="none"/>
        </w:rPr>
        <w:t>整数中随机抽取</w:t>
      </w:r>
    </w:p>
    <w:p>
      <w:pPr>
        <w:spacing w:line="360" w:lineRule="auto"/>
        <w:ind w:firstLine="420" w:firstLineChars="200"/>
        <w:rPr>
          <w:rFonts w:ascii="宋体" w:hAnsi="宋体"/>
          <w:color w:val="auto"/>
          <w:szCs w:val="21"/>
          <w:highlight w:val="none"/>
        </w:rPr>
      </w:pPr>
      <w:r>
        <w:rPr>
          <w:rFonts w:hint="eastAsia" w:ascii="宋体" w:hAnsi="宋体" w:cs="宋体"/>
          <w:color w:val="auto"/>
          <w:kern w:val="0"/>
          <w:szCs w:val="21"/>
          <w:highlight w:val="none"/>
        </w:rPr>
        <w:t>45.3</w:t>
      </w:r>
      <w:r>
        <w:rPr>
          <w:rFonts w:hint="eastAsia" w:ascii="宋体" w:hAnsi="宋体"/>
          <w:color w:val="auto"/>
          <w:szCs w:val="21"/>
          <w:highlight w:val="none"/>
        </w:rPr>
        <w:t>当标价等于评标参考价时得</w:t>
      </w:r>
      <w:r>
        <w:rPr>
          <w:rFonts w:ascii="宋体" w:hAnsi="宋体"/>
          <w:color w:val="auto"/>
          <w:szCs w:val="21"/>
          <w:highlight w:val="none"/>
        </w:rPr>
        <w:t>100</w:t>
      </w:r>
      <w:r>
        <w:rPr>
          <w:rFonts w:hint="eastAsia" w:ascii="宋体" w:hAnsi="宋体"/>
          <w:color w:val="auto"/>
          <w:szCs w:val="21"/>
          <w:highlight w:val="none"/>
        </w:rPr>
        <w:t>分，标价每高于评标参考价</w:t>
      </w:r>
      <w:r>
        <w:rPr>
          <w:rFonts w:ascii="宋体" w:hAnsi="宋体"/>
          <w:color w:val="auto"/>
          <w:szCs w:val="21"/>
          <w:highlight w:val="none"/>
        </w:rPr>
        <w:t>1%</w:t>
      </w:r>
      <w:r>
        <w:rPr>
          <w:rFonts w:hint="eastAsia" w:ascii="宋体" w:hAnsi="宋体"/>
          <w:color w:val="auto"/>
          <w:szCs w:val="21"/>
          <w:highlight w:val="none"/>
        </w:rPr>
        <w:t>，扣</w:t>
      </w:r>
      <w:r>
        <w:rPr>
          <w:rFonts w:ascii="宋体" w:hAnsi="宋体"/>
          <w:color w:val="auto"/>
          <w:szCs w:val="21"/>
          <w:highlight w:val="none"/>
        </w:rPr>
        <w:t>1.5</w:t>
      </w:r>
      <w:r>
        <w:rPr>
          <w:rFonts w:hint="eastAsia" w:ascii="宋体" w:hAnsi="宋体"/>
          <w:color w:val="auto"/>
          <w:szCs w:val="21"/>
          <w:highlight w:val="none"/>
        </w:rPr>
        <w:t>分，每低于评标参考价</w:t>
      </w:r>
      <w:r>
        <w:rPr>
          <w:rFonts w:ascii="宋体" w:hAnsi="宋体"/>
          <w:color w:val="auto"/>
          <w:szCs w:val="21"/>
          <w:highlight w:val="none"/>
        </w:rPr>
        <w:t>1%</w:t>
      </w:r>
      <w:r>
        <w:rPr>
          <w:rFonts w:hint="eastAsia" w:ascii="宋体" w:hAnsi="宋体"/>
          <w:color w:val="auto"/>
          <w:szCs w:val="21"/>
          <w:highlight w:val="none"/>
        </w:rPr>
        <w:t>，扣</w:t>
      </w:r>
      <w:r>
        <w:rPr>
          <w:rFonts w:ascii="宋体" w:hAnsi="宋体"/>
          <w:color w:val="auto"/>
          <w:szCs w:val="21"/>
          <w:highlight w:val="none"/>
        </w:rPr>
        <w:t>1</w:t>
      </w:r>
      <w:r>
        <w:rPr>
          <w:rFonts w:hint="eastAsia" w:ascii="宋体" w:hAnsi="宋体"/>
          <w:color w:val="auto"/>
          <w:szCs w:val="21"/>
          <w:highlight w:val="none"/>
        </w:rPr>
        <w:t>分，扣至</w:t>
      </w:r>
      <w:r>
        <w:rPr>
          <w:rFonts w:ascii="宋体" w:hAnsi="宋体"/>
          <w:color w:val="auto"/>
          <w:szCs w:val="21"/>
          <w:highlight w:val="none"/>
        </w:rPr>
        <w:t>0</w:t>
      </w:r>
      <w:r>
        <w:rPr>
          <w:rFonts w:hint="eastAsia" w:ascii="宋体" w:hAnsi="宋体"/>
          <w:color w:val="auto"/>
          <w:szCs w:val="21"/>
          <w:highlight w:val="none"/>
        </w:rPr>
        <w:t>分为止，得出经济分，精确到小数点后两位。</w:t>
      </w:r>
    </w:p>
    <w:p>
      <w:pPr>
        <w:spacing w:line="360" w:lineRule="auto"/>
        <w:ind w:firstLine="420" w:firstLineChars="200"/>
        <w:rPr>
          <w:rFonts w:hint="eastAsia" w:ascii="宋体" w:hAnsi="宋体" w:cs="宋体"/>
          <w:color w:val="auto"/>
          <w:szCs w:val="21"/>
          <w:highlight w:val="none"/>
        </w:rPr>
      </w:pPr>
      <w:r>
        <w:rPr>
          <w:rFonts w:hint="eastAsia" w:ascii="宋体" w:hAnsi="宋体"/>
          <w:color w:val="auto"/>
          <w:szCs w:val="21"/>
          <w:highlight w:val="none"/>
        </w:rPr>
        <w:t>45.4</w:t>
      </w:r>
      <w:r>
        <w:rPr>
          <w:rFonts w:hint="eastAsia" w:ascii="宋体"/>
          <w:color w:val="auto"/>
          <w:szCs w:val="21"/>
          <w:highlight w:val="none"/>
        </w:rPr>
        <w:t>计算通过技术标有效性审查的投标人总得分。投标人总得分=（技术得分×技术得分权重</w:t>
      </w:r>
      <w:r>
        <w:rPr>
          <w:rFonts w:hint="eastAsia" w:ascii="宋体" w:cs="宋体"/>
          <w:color w:val="auto"/>
          <w:szCs w:val="21"/>
          <w:highlight w:val="none"/>
        </w:rPr>
        <w:t>＋</w:t>
      </w:r>
      <w:r>
        <w:rPr>
          <w:rFonts w:hint="eastAsia" w:ascii="宋体"/>
          <w:color w:val="auto"/>
          <w:szCs w:val="21"/>
          <w:highlight w:val="none"/>
        </w:rPr>
        <w:t>经济得分×经济得分权重）×（1-综合诚信评价分数权重）</w:t>
      </w:r>
      <w:r>
        <w:rPr>
          <w:rFonts w:hint="eastAsia" w:ascii="宋体" w:cs="宋体"/>
          <w:color w:val="auto"/>
          <w:szCs w:val="21"/>
          <w:highlight w:val="none"/>
        </w:rPr>
        <w:t>＋</w:t>
      </w:r>
      <w:r>
        <w:rPr>
          <w:rFonts w:hint="eastAsia" w:ascii="宋体"/>
          <w:color w:val="auto"/>
          <w:szCs w:val="21"/>
          <w:highlight w:val="none"/>
        </w:rPr>
        <w:t>综合诚信评价排名得分×综合诚信评价分数权重）。技术、经济得分权重按投标须知前附表的规定执行。总得分四舍五入保留两位小数。</w:t>
      </w:r>
    </w:p>
    <w:p>
      <w:pPr>
        <w:pStyle w:val="18"/>
        <w:tabs>
          <w:tab w:val="left" w:pos="7380"/>
        </w:tabs>
        <w:spacing w:after="0" w:line="360" w:lineRule="auto"/>
        <w:ind w:firstLine="422" w:firstLineChars="200"/>
        <w:rPr>
          <w:rFonts w:ascii="宋体"/>
          <w:color w:val="auto"/>
          <w:sz w:val="21"/>
          <w:szCs w:val="21"/>
          <w:highlight w:val="none"/>
        </w:rPr>
      </w:pPr>
      <w:r>
        <w:rPr>
          <w:rFonts w:hint="eastAsia" w:ascii="宋体" w:hAnsi="宋体" w:cs="宋体"/>
          <w:b/>
          <w:bCs/>
          <w:color w:val="auto"/>
          <w:sz w:val="21"/>
          <w:szCs w:val="21"/>
          <w:highlight w:val="none"/>
        </w:rPr>
        <w:t>现文</w:t>
      </w:r>
      <w:r>
        <w:rPr>
          <w:rFonts w:hint="eastAsia" w:ascii="宋体" w:hAnsi="宋体" w:cs="宋体"/>
          <w:color w:val="auto"/>
          <w:sz w:val="21"/>
          <w:szCs w:val="21"/>
          <w:highlight w:val="none"/>
        </w:rPr>
        <w:t>：</w:t>
      </w:r>
      <w:r>
        <w:rPr>
          <w:rFonts w:hint="eastAsia" w:ascii="宋体"/>
          <w:color w:val="auto"/>
          <w:sz w:val="21"/>
          <w:szCs w:val="21"/>
          <w:highlight w:val="none"/>
        </w:rPr>
        <w:t>45．经济标评审和得分汇总</w:t>
      </w:r>
    </w:p>
    <w:p>
      <w:pPr>
        <w:pStyle w:val="18"/>
        <w:tabs>
          <w:tab w:val="left" w:pos="7380"/>
        </w:tabs>
        <w:spacing w:after="0" w:line="360" w:lineRule="auto"/>
        <w:ind w:firstLineChars="200"/>
        <w:rPr>
          <w:rFonts w:ascii="宋体" w:hAnsi="宋体"/>
          <w:color w:val="auto"/>
          <w:sz w:val="21"/>
          <w:szCs w:val="21"/>
          <w:highlight w:val="none"/>
        </w:rPr>
      </w:pPr>
      <w:r>
        <w:rPr>
          <w:rFonts w:hint="eastAsia" w:ascii="宋体" w:hAnsi="宋体"/>
          <w:color w:val="auto"/>
          <w:sz w:val="21"/>
          <w:szCs w:val="21"/>
          <w:highlight w:val="none"/>
        </w:rPr>
        <w:t>45.1若通过技术标有效性审查的投标人中所有投标报价均大于等于最高投标限价，则本项目招标失败，由招标人依法重新招标。</w:t>
      </w:r>
    </w:p>
    <w:p>
      <w:pPr>
        <w:pStyle w:val="18"/>
        <w:tabs>
          <w:tab w:val="left" w:pos="7380"/>
        </w:tabs>
        <w:spacing w:after="0" w:line="360" w:lineRule="auto"/>
        <w:ind w:firstLineChars="200"/>
        <w:rPr>
          <w:rFonts w:ascii="宋体"/>
          <w:color w:val="auto"/>
          <w:sz w:val="21"/>
          <w:szCs w:val="21"/>
          <w:highlight w:val="none"/>
        </w:rPr>
      </w:pPr>
      <w:r>
        <w:rPr>
          <w:rFonts w:hint="eastAsia" w:ascii="宋体" w:hAnsi="宋体"/>
          <w:color w:val="auto"/>
          <w:sz w:val="21"/>
          <w:szCs w:val="21"/>
          <w:highlight w:val="none"/>
        </w:rPr>
        <w:t>45.2按方法</w:t>
      </w:r>
      <w:r>
        <w:rPr>
          <w:rFonts w:hint="eastAsia" w:ascii="宋体" w:hAnsi="宋体"/>
          <w:color w:val="auto"/>
          <w:sz w:val="21"/>
          <w:szCs w:val="21"/>
          <w:highlight w:val="none"/>
          <w:u w:val="single"/>
        </w:rPr>
        <w:t>二区间抽取法</w:t>
      </w:r>
      <w:r>
        <w:rPr>
          <w:rFonts w:hint="eastAsia" w:ascii="宋体" w:hAnsi="宋体"/>
          <w:color w:val="auto"/>
          <w:sz w:val="21"/>
          <w:szCs w:val="21"/>
          <w:highlight w:val="none"/>
        </w:rPr>
        <w:t>计算评标参考价：</w:t>
      </w:r>
    </w:p>
    <w:p>
      <w:pPr>
        <w:widowControl/>
        <w:spacing w:line="360" w:lineRule="auto"/>
        <w:ind w:firstLine="422" w:firstLineChars="200"/>
        <w:rPr>
          <w:rFonts w:ascii="宋体" w:hAnsi="宋体"/>
          <w:b/>
          <w:bCs/>
          <w:strike/>
          <w:color w:val="auto"/>
          <w:kern w:val="0"/>
          <w:szCs w:val="21"/>
          <w:highlight w:val="none"/>
        </w:rPr>
      </w:pPr>
      <w:r>
        <w:rPr>
          <w:rFonts w:hint="eastAsia" w:ascii="宋体" w:hAnsi="宋体" w:cs="仿宋"/>
          <w:b/>
          <w:bCs/>
          <w:strike/>
          <w:color w:val="auto"/>
          <w:kern w:val="0"/>
          <w:szCs w:val="21"/>
          <w:highlight w:val="none"/>
        </w:rPr>
        <w:t>方法一：加权平均法</w:t>
      </w:r>
    </w:p>
    <w:p>
      <w:pPr>
        <w:spacing w:line="360" w:lineRule="auto"/>
        <w:ind w:firstLine="420" w:firstLineChars="200"/>
        <w:rPr>
          <w:rFonts w:ascii="宋体" w:hAnsi="宋体" w:cs="仿宋"/>
          <w:strike/>
          <w:color w:val="auto"/>
          <w:szCs w:val="21"/>
          <w:highlight w:val="none"/>
        </w:rPr>
      </w:pPr>
      <w:r>
        <w:rPr>
          <w:rFonts w:hint="eastAsia" w:ascii="宋体" w:hAnsi="宋体" w:cs="仿宋"/>
          <w:strike/>
          <w:color w:val="auto"/>
          <w:szCs w:val="21"/>
          <w:highlight w:val="none"/>
        </w:rPr>
        <w:t>技术标或技术标加诚信得分（具体由招标人自定）前</w:t>
      </w:r>
      <w:r>
        <w:rPr>
          <w:rFonts w:ascii="宋体" w:hAnsi="宋体" w:cs="仿宋"/>
          <w:strike/>
          <w:color w:val="auto"/>
          <w:szCs w:val="21"/>
          <w:highlight w:val="none"/>
        </w:rPr>
        <w:t>N</w:t>
      </w:r>
      <w:r>
        <w:rPr>
          <w:rFonts w:hint="eastAsia" w:ascii="宋体" w:hAnsi="宋体" w:cs="仿宋"/>
          <w:strike/>
          <w:color w:val="auto"/>
          <w:szCs w:val="21"/>
          <w:highlight w:val="none"/>
        </w:rPr>
        <w:t>名（N≥5，具体由招标人自定）的经济报价加权平均，计算评标参考价。公式如下：</w:t>
      </w:r>
    </w:p>
    <w:p>
      <w:pPr>
        <w:spacing w:line="360" w:lineRule="auto"/>
        <w:ind w:firstLine="420" w:firstLineChars="200"/>
        <w:rPr>
          <w:rFonts w:ascii="宋体" w:hAnsi="宋体" w:cs="仿宋"/>
          <w:strike/>
          <w:color w:val="auto"/>
          <w:szCs w:val="21"/>
          <w:highlight w:val="none"/>
        </w:rPr>
      </w:pPr>
      <w:r>
        <w:rPr>
          <w:rFonts w:hint="eastAsia" w:ascii="宋体" w:hAnsi="宋体" w:cs="仿宋"/>
          <w:strike/>
          <w:color w:val="auto"/>
          <w:szCs w:val="21"/>
          <w:highlight w:val="none"/>
        </w:rPr>
        <w:t>评标参考价</w:t>
      </w:r>
      <w:r>
        <w:rPr>
          <w:rFonts w:ascii="宋体" w:hAnsi="宋体" w:cs="仿宋"/>
          <w:strike/>
          <w:color w:val="auto"/>
          <w:szCs w:val="21"/>
          <w:highlight w:val="none"/>
        </w:rPr>
        <w:t>=</w:t>
      </w:r>
      <w:r>
        <w:rPr>
          <w:rFonts w:hint="eastAsia" w:ascii="宋体" w:hAnsi="宋体" w:cs="仿宋"/>
          <w:strike/>
          <w:color w:val="auto"/>
          <w:szCs w:val="21"/>
          <w:highlight w:val="none"/>
        </w:rPr>
        <w:t>Σ（投标人的投标报价</w:t>
      </w:r>
      <w:r>
        <w:rPr>
          <w:rFonts w:ascii="宋体" w:hAnsi="宋体" w:cs="仿宋"/>
          <w:strike/>
          <w:color w:val="auto"/>
          <w:szCs w:val="21"/>
          <w:highlight w:val="none"/>
        </w:rPr>
        <w:t>*</w:t>
      </w:r>
      <w:r>
        <w:rPr>
          <w:rFonts w:hint="eastAsia" w:ascii="宋体" w:hAnsi="宋体" w:cs="仿宋"/>
          <w:strike/>
          <w:color w:val="auto"/>
          <w:szCs w:val="21"/>
          <w:highlight w:val="none"/>
        </w:rPr>
        <w:t>报价权重）。</w:t>
      </w:r>
    </w:p>
    <w:p>
      <w:pPr>
        <w:spacing w:line="360" w:lineRule="auto"/>
        <w:ind w:firstLine="420" w:firstLineChars="200"/>
        <w:rPr>
          <w:rFonts w:ascii="宋体" w:hAnsi="宋体" w:cs="仿宋"/>
          <w:strike/>
          <w:color w:val="auto"/>
          <w:szCs w:val="21"/>
          <w:highlight w:val="none"/>
        </w:rPr>
      </w:pPr>
      <w:r>
        <w:rPr>
          <w:rFonts w:hint="eastAsia" w:ascii="宋体" w:hAnsi="宋体" w:cs="仿宋"/>
          <w:strike/>
          <w:color w:val="auto"/>
          <w:szCs w:val="21"/>
          <w:highlight w:val="none"/>
        </w:rPr>
        <w:t>其中：报价权重的计算方法为：将</w:t>
      </w:r>
      <w:r>
        <w:rPr>
          <w:rFonts w:ascii="宋体" w:hAnsi="宋体" w:cs="仿宋"/>
          <w:strike/>
          <w:color w:val="auto"/>
          <w:szCs w:val="21"/>
          <w:highlight w:val="none"/>
        </w:rPr>
        <w:t>N</w:t>
      </w:r>
      <w:r>
        <w:rPr>
          <w:rFonts w:hint="eastAsia" w:ascii="宋体" w:hAnsi="宋体" w:cs="仿宋"/>
          <w:strike/>
          <w:color w:val="auto"/>
          <w:szCs w:val="21"/>
          <w:highlight w:val="none"/>
        </w:rPr>
        <w:t>名投标人按技术分由高至低进行排序，第一名投标人的权重为（</w:t>
      </w:r>
      <w:r>
        <w:rPr>
          <w:rFonts w:ascii="宋体" w:hAnsi="宋体" w:cs="仿宋"/>
          <w:strike/>
          <w:color w:val="auto"/>
          <w:szCs w:val="21"/>
          <w:highlight w:val="none"/>
        </w:rPr>
        <w:fldChar w:fldCharType="begin"/>
      </w:r>
      <w:r>
        <w:rPr>
          <w:rFonts w:ascii="宋体" w:hAnsi="宋体" w:cs="仿宋"/>
          <w:strike/>
          <w:color w:val="auto"/>
          <w:szCs w:val="21"/>
          <w:highlight w:val="none"/>
        </w:rPr>
        <w:instrText xml:space="preserve"> QUOTE </w:instrText>
      </w:r>
      <w:r>
        <w:rPr>
          <w:rFonts w:ascii="宋体" w:hAnsi="宋体"/>
          <w:strike/>
          <w:color w:val="auto"/>
          <w:szCs w:val="21"/>
          <w:highlight w:val="none"/>
        </w:rPr>
        <w:drawing>
          <wp:inline distT="0" distB="0" distL="114300" distR="114300">
            <wp:extent cx="381000" cy="447675"/>
            <wp:effectExtent l="0" t="0" r="0"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9">
                      <a:clrChange>
                        <a:clrFrom>
                          <a:srgbClr val="FFFFFF"/>
                        </a:clrFrom>
                        <a:clrTo>
                          <a:srgbClr val="FFFFFF">
                            <a:alpha val="0"/>
                          </a:srgbClr>
                        </a:clrTo>
                      </a:clrChange>
                    </a:blip>
                    <a:stretch>
                      <a:fillRect/>
                    </a:stretch>
                  </pic:blipFill>
                  <pic:spPr>
                    <a:xfrm>
                      <a:off x="0" y="0"/>
                      <a:ext cx="381000" cy="447675"/>
                    </a:xfrm>
                    <a:prstGeom prst="rect">
                      <a:avLst/>
                    </a:prstGeom>
                    <a:noFill/>
                    <a:ln>
                      <a:noFill/>
                    </a:ln>
                  </pic:spPr>
                </pic:pic>
              </a:graphicData>
            </a:graphic>
          </wp:inline>
        </w:drawing>
      </w:r>
      <w:r>
        <w:rPr>
          <w:rFonts w:ascii="宋体" w:hAnsi="宋体" w:cs="仿宋"/>
          <w:strike/>
          <w:color w:val="auto"/>
          <w:szCs w:val="21"/>
          <w:highlight w:val="none"/>
        </w:rPr>
        <w:fldChar w:fldCharType="separate"/>
      </w:r>
      <w:r>
        <w:rPr>
          <w:rFonts w:ascii="宋体" w:hAnsi="宋体"/>
          <w:strike/>
          <w:color w:val="auto"/>
          <w:szCs w:val="21"/>
          <w:highlight w:val="none"/>
        </w:rPr>
        <w:drawing>
          <wp:inline distT="0" distB="0" distL="114300" distR="114300">
            <wp:extent cx="381000" cy="447675"/>
            <wp:effectExtent l="0" t="0" r="0" b="8890"/>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pic:cNvPicPr>
                      <a:picLocks noChangeAspect="1"/>
                    </pic:cNvPicPr>
                  </pic:nvPicPr>
                  <pic:blipFill>
                    <a:blip r:embed="rId19">
                      <a:clrChange>
                        <a:clrFrom>
                          <a:srgbClr val="FFFFFF"/>
                        </a:clrFrom>
                        <a:clrTo>
                          <a:srgbClr val="FFFFFF">
                            <a:alpha val="0"/>
                          </a:srgbClr>
                        </a:clrTo>
                      </a:clrChange>
                    </a:blip>
                    <a:stretch>
                      <a:fillRect/>
                    </a:stretch>
                  </pic:blipFill>
                  <pic:spPr>
                    <a:xfrm>
                      <a:off x="0" y="0"/>
                      <a:ext cx="381000" cy="447675"/>
                    </a:xfrm>
                    <a:prstGeom prst="rect">
                      <a:avLst/>
                    </a:prstGeom>
                    <a:noFill/>
                    <a:ln>
                      <a:noFill/>
                    </a:ln>
                  </pic:spPr>
                </pic:pic>
              </a:graphicData>
            </a:graphic>
          </wp:inline>
        </w:drawing>
      </w:r>
      <w:r>
        <w:rPr>
          <w:rFonts w:ascii="宋体" w:hAnsi="宋体" w:cs="仿宋"/>
          <w:strike/>
          <w:color w:val="auto"/>
          <w:szCs w:val="21"/>
          <w:highlight w:val="none"/>
        </w:rPr>
        <w:fldChar w:fldCharType="end"/>
      </w:r>
      <w:r>
        <w:rPr>
          <w:rFonts w:hint="eastAsia" w:ascii="宋体" w:hAnsi="宋体" w:cs="仿宋"/>
          <w:strike/>
          <w:color w:val="auto"/>
          <w:szCs w:val="21"/>
          <w:highlight w:val="none"/>
        </w:rPr>
        <w:t>），第二名投标人的权重为（</w:t>
      </w:r>
      <w:r>
        <w:rPr>
          <w:rFonts w:ascii="宋体" w:hAnsi="宋体" w:cs="仿宋"/>
          <w:strike/>
          <w:color w:val="auto"/>
          <w:szCs w:val="21"/>
          <w:highlight w:val="none"/>
        </w:rPr>
        <w:fldChar w:fldCharType="begin"/>
      </w:r>
      <w:r>
        <w:rPr>
          <w:rFonts w:ascii="宋体" w:hAnsi="宋体" w:cs="仿宋"/>
          <w:strike/>
          <w:color w:val="auto"/>
          <w:szCs w:val="21"/>
          <w:highlight w:val="none"/>
        </w:rPr>
        <w:instrText xml:space="preserve"> QUOTE </w:instrText>
      </w:r>
      <w:r>
        <w:rPr>
          <w:rFonts w:ascii="宋体" w:hAnsi="宋体"/>
          <w:strike/>
          <w:color w:val="auto"/>
          <w:position w:val="-23"/>
          <w:szCs w:val="21"/>
          <w:highlight w:val="none"/>
        </w:rPr>
        <w:drawing>
          <wp:inline distT="0" distB="0" distL="114300" distR="114300">
            <wp:extent cx="323850" cy="400050"/>
            <wp:effectExtent l="0" t="0" r="0" b="0"/>
            <wp:docPr id="2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9"/>
                    <pic:cNvPicPr>
                      <a:picLocks noChangeAspect="1"/>
                    </pic:cNvPicPr>
                  </pic:nvPicPr>
                  <pic:blipFill>
                    <a:blip r:embed="rId20">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ascii="宋体" w:hAnsi="宋体" w:cs="仿宋"/>
          <w:strike/>
          <w:color w:val="auto"/>
          <w:szCs w:val="21"/>
          <w:highlight w:val="none"/>
        </w:rPr>
        <w:fldChar w:fldCharType="separate"/>
      </w:r>
      <w:r>
        <w:rPr>
          <w:rFonts w:ascii="宋体" w:hAnsi="宋体"/>
          <w:strike/>
          <w:color w:val="auto"/>
          <w:position w:val="-23"/>
          <w:szCs w:val="21"/>
          <w:highlight w:val="none"/>
        </w:rPr>
        <w:drawing>
          <wp:inline distT="0" distB="0" distL="114300" distR="114300">
            <wp:extent cx="323850" cy="400050"/>
            <wp:effectExtent l="0" t="0" r="0" b="0"/>
            <wp:docPr id="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pic:cNvPicPr>
                      <a:picLocks noChangeAspect="1"/>
                    </pic:cNvPicPr>
                  </pic:nvPicPr>
                  <pic:blipFill>
                    <a:blip r:embed="rId20">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ascii="宋体" w:hAnsi="宋体" w:cs="仿宋"/>
          <w:strike/>
          <w:color w:val="auto"/>
          <w:szCs w:val="21"/>
          <w:highlight w:val="none"/>
        </w:rPr>
        <w:fldChar w:fldCharType="end"/>
      </w:r>
      <w:r>
        <w:rPr>
          <w:rFonts w:hint="eastAsia" w:ascii="宋体" w:hAnsi="宋体" w:cs="仿宋"/>
          <w:strike/>
          <w:color w:val="auto"/>
          <w:szCs w:val="21"/>
          <w:highlight w:val="none"/>
        </w:rPr>
        <w:t>），以此类推，最后一名投标人的权重为（</w:t>
      </w:r>
      <w:r>
        <w:rPr>
          <w:rFonts w:ascii="宋体" w:hAnsi="宋体" w:cs="仿宋"/>
          <w:strike/>
          <w:color w:val="auto"/>
          <w:szCs w:val="21"/>
          <w:highlight w:val="none"/>
        </w:rPr>
        <w:fldChar w:fldCharType="begin"/>
      </w:r>
      <w:r>
        <w:rPr>
          <w:rFonts w:ascii="宋体" w:hAnsi="宋体" w:cs="仿宋"/>
          <w:strike/>
          <w:color w:val="auto"/>
          <w:szCs w:val="21"/>
          <w:highlight w:val="none"/>
        </w:rPr>
        <w:instrText xml:space="preserve"> QUOTE </w:instrText>
      </w:r>
      <w:r>
        <w:rPr>
          <w:rFonts w:ascii="宋体" w:hAnsi="宋体"/>
          <w:strike/>
          <w:color w:val="auto"/>
          <w:position w:val="-23"/>
          <w:szCs w:val="21"/>
          <w:highlight w:val="none"/>
        </w:rPr>
        <w:drawing>
          <wp:inline distT="0" distB="0" distL="114300" distR="114300">
            <wp:extent cx="323850" cy="400050"/>
            <wp:effectExtent l="0" t="0" r="0" b="0"/>
            <wp:docPr id="1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pic:cNvPicPr>
                      <a:picLocks noChangeAspect="1"/>
                    </pic:cNvPicPr>
                  </pic:nvPicPr>
                  <pic:blipFill>
                    <a:blip r:embed="rId21">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ascii="宋体" w:hAnsi="宋体" w:cs="仿宋"/>
          <w:strike/>
          <w:color w:val="auto"/>
          <w:szCs w:val="21"/>
          <w:highlight w:val="none"/>
        </w:rPr>
        <w:fldChar w:fldCharType="separate"/>
      </w:r>
      <w:r>
        <w:rPr>
          <w:rFonts w:ascii="宋体" w:hAnsi="宋体"/>
          <w:strike/>
          <w:color w:val="auto"/>
          <w:position w:val="-23"/>
          <w:szCs w:val="21"/>
          <w:highlight w:val="none"/>
        </w:rPr>
        <w:drawing>
          <wp:inline distT="0" distB="0" distL="114300" distR="114300">
            <wp:extent cx="323850" cy="400050"/>
            <wp:effectExtent l="0" t="0" r="0" b="0"/>
            <wp:docPr id="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2"/>
                    <pic:cNvPicPr>
                      <a:picLocks noChangeAspect="1"/>
                    </pic:cNvPicPr>
                  </pic:nvPicPr>
                  <pic:blipFill>
                    <a:blip r:embed="rId21">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ascii="宋体" w:hAnsi="宋体" w:cs="仿宋"/>
          <w:strike/>
          <w:color w:val="auto"/>
          <w:szCs w:val="21"/>
          <w:highlight w:val="none"/>
        </w:rPr>
        <w:fldChar w:fldCharType="end"/>
      </w:r>
      <w:r>
        <w:rPr>
          <w:rFonts w:hint="eastAsia" w:ascii="宋体" w:hAnsi="宋体" w:cs="仿宋"/>
          <w:strike/>
          <w:color w:val="auto"/>
          <w:szCs w:val="21"/>
          <w:highlight w:val="none"/>
        </w:rPr>
        <w:t>）。</w:t>
      </w:r>
    </w:p>
    <w:p>
      <w:pPr>
        <w:widowControl/>
        <w:spacing w:line="360" w:lineRule="auto"/>
        <w:ind w:firstLine="422" w:firstLineChars="200"/>
        <w:rPr>
          <w:rFonts w:ascii="宋体" w:hAnsi="宋体"/>
          <w:b/>
          <w:bCs/>
          <w:color w:val="auto"/>
          <w:kern w:val="0"/>
          <w:szCs w:val="21"/>
          <w:highlight w:val="none"/>
        </w:rPr>
      </w:pPr>
      <w:r>
        <w:rPr>
          <w:rFonts w:hint="eastAsia" w:ascii="宋体" w:hAnsi="宋体" w:cs="仿宋"/>
          <w:b/>
          <w:bCs/>
          <w:color w:val="auto"/>
          <w:kern w:val="0"/>
          <w:szCs w:val="21"/>
          <w:highlight w:val="none"/>
        </w:rPr>
        <w:t>方法二：区间抽取法</w:t>
      </w:r>
    </w:p>
    <w:p>
      <w:pPr>
        <w:widowControl/>
        <w:spacing w:line="360" w:lineRule="auto"/>
        <w:ind w:firstLine="420" w:firstLineChars="200"/>
        <w:rPr>
          <w:rFonts w:ascii="宋体" w:hAnsi="宋体"/>
          <w:color w:val="auto"/>
          <w:kern w:val="0"/>
          <w:szCs w:val="21"/>
          <w:highlight w:val="none"/>
        </w:rPr>
      </w:pPr>
      <w:r>
        <w:rPr>
          <w:rFonts w:hint="eastAsia" w:ascii="宋体" w:hAnsi="宋体" w:cs="仿宋"/>
          <w:color w:val="auto"/>
          <w:szCs w:val="21"/>
          <w:highlight w:val="none"/>
        </w:rPr>
        <w:t>设立入围合格分数线（</w:t>
      </w:r>
      <w:r>
        <w:rPr>
          <w:rFonts w:hint="eastAsia" w:ascii="宋体" w:hAnsi="宋体" w:cs="仿宋"/>
          <w:color w:val="auto"/>
          <w:szCs w:val="21"/>
          <w:highlight w:val="none"/>
          <w:u w:val="single"/>
        </w:rPr>
        <w:t>技术标得分为</w:t>
      </w:r>
      <w:r>
        <w:rPr>
          <w:rFonts w:hint="eastAsia" w:ascii="宋体" w:hAnsi="宋体" w:cs="仿宋"/>
          <w:color w:val="auto"/>
          <w:szCs w:val="21"/>
          <w:highlight w:val="none"/>
          <w:u w:val="single"/>
          <w:lang w:val="en-US" w:eastAsia="zh-CN"/>
        </w:rPr>
        <w:t>8</w:t>
      </w:r>
      <w:r>
        <w:rPr>
          <w:rFonts w:hint="eastAsia" w:ascii="宋体" w:hAnsi="宋体" w:cs="仿宋"/>
          <w:color w:val="auto"/>
          <w:szCs w:val="21"/>
          <w:highlight w:val="none"/>
          <w:u w:val="single"/>
        </w:rPr>
        <w:t>0分</w:t>
      </w:r>
      <w:r>
        <w:rPr>
          <w:rFonts w:hint="eastAsia" w:ascii="宋体" w:hAnsi="宋体" w:cs="仿宋"/>
          <w:color w:val="auto"/>
          <w:szCs w:val="21"/>
          <w:highlight w:val="none"/>
        </w:rPr>
        <w:t>），达到或超过</w:t>
      </w:r>
      <w:r>
        <w:rPr>
          <w:rFonts w:hint="eastAsia" w:ascii="宋体" w:hAnsi="宋体" w:cs="仿宋"/>
          <w:color w:val="auto"/>
          <w:szCs w:val="21"/>
          <w:highlight w:val="none"/>
          <w:u w:val="single"/>
        </w:rPr>
        <w:t>入围合格分数线</w:t>
      </w:r>
      <w:r>
        <w:rPr>
          <w:rFonts w:hint="eastAsia" w:ascii="宋体" w:hAnsi="宋体" w:cs="仿宋"/>
          <w:color w:val="auto"/>
          <w:szCs w:val="21"/>
          <w:highlight w:val="none"/>
        </w:rPr>
        <w:t>的投标人的报价方能参与评标参考价的计算。将达到或超过</w:t>
      </w:r>
      <w:r>
        <w:rPr>
          <w:rFonts w:hint="eastAsia" w:ascii="宋体" w:hAnsi="宋体" w:cs="仿宋"/>
          <w:color w:val="auto"/>
          <w:szCs w:val="21"/>
          <w:highlight w:val="none"/>
          <w:u w:val="single"/>
        </w:rPr>
        <w:t>入围合格分数线</w:t>
      </w:r>
      <w:r>
        <w:rPr>
          <w:rFonts w:hint="eastAsia" w:ascii="宋体" w:hAnsi="宋体" w:cs="仿宋"/>
          <w:color w:val="auto"/>
          <w:szCs w:val="21"/>
          <w:highlight w:val="none"/>
        </w:rPr>
        <w:t>的投标报价由低至高进行排列，按以下公式计算评标参考价，计算公式如下：</w:t>
      </w:r>
    </w:p>
    <w:p>
      <w:pPr>
        <w:widowControl/>
        <w:spacing w:line="360" w:lineRule="auto"/>
        <w:ind w:firstLine="420" w:firstLineChars="200"/>
        <w:rPr>
          <w:rFonts w:ascii="宋体" w:hAnsi="宋体"/>
          <w:color w:val="auto"/>
          <w:kern w:val="0"/>
          <w:szCs w:val="21"/>
          <w:highlight w:val="none"/>
          <w:vertAlign w:val="subscript"/>
        </w:rPr>
      </w:pPr>
      <w:r>
        <w:rPr>
          <w:rFonts w:hint="eastAsia" w:ascii="宋体" w:hAnsi="宋体" w:cs="仿宋"/>
          <w:color w:val="auto"/>
          <w:kern w:val="0"/>
          <w:szCs w:val="21"/>
          <w:highlight w:val="none"/>
        </w:rPr>
        <w:t>评标参考价</w:t>
      </w:r>
      <w:r>
        <w:rPr>
          <w:rFonts w:ascii="宋体" w:hAnsi="宋体" w:cs="仿宋"/>
          <w:color w:val="auto"/>
          <w:kern w:val="0"/>
          <w:szCs w:val="21"/>
          <w:highlight w:val="none"/>
        </w:rPr>
        <w:t>=</w:t>
      </w:r>
      <w:r>
        <w:rPr>
          <w:rFonts w:hint="eastAsia" w:ascii="宋体" w:hAnsi="宋体" w:cs="仿宋"/>
          <w:color w:val="auto"/>
          <w:kern w:val="0"/>
          <w:szCs w:val="21"/>
          <w:highlight w:val="none"/>
        </w:rPr>
        <w:t>（</w:t>
      </w:r>
      <w:r>
        <w:rPr>
          <w:rFonts w:ascii="宋体" w:hAnsi="宋体" w:cs="仿宋"/>
          <w:color w:val="auto"/>
          <w:kern w:val="0"/>
          <w:szCs w:val="21"/>
          <w:highlight w:val="none"/>
        </w:rPr>
        <w:t>Q</w:t>
      </w:r>
      <w:r>
        <w:rPr>
          <w:rFonts w:hint="eastAsia" w:ascii="宋体" w:hAnsi="宋体" w:cs="仿宋"/>
          <w:color w:val="auto"/>
          <w:kern w:val="0"/>
          <w:szCs w:val="21"/>
          <w:highlight w:val="none"/>
          <w:vertAlign w:val="subscript"/>
        </w:rPr>
        <w:t>高</w:t>
      </w:r>
      <w:r>
        <w:rPr>
          <w:rFonts w:ascii="宋体" w:hAnsi="宋体" w:cs="仿宋"/>
          <w:color w:val="auto"/>
          <w:kern w:val="0"/>
          <w:szCs w:val="21"/>
          <w:highlight w:val="none"/>
        </w:rPr>
        <w:t>-Q</w:t>
      </w:r>
      <w:r>
        <w:rPr>
          <w:rFonts w:hint="eastAsia" w:ascii="宋体" w:hAnsi="宋体" w:cs="仿宋"/>
          <w:color w:val="auto"/>
          <w:kern w:val="0"/>
          <w:szCs w:val="21"/>
          <w:highlight w:val="none"/>
          <w:vertAlign w:val="subscript"/>
        </w:rPr>
        <w:t>低</w:t>
      </w:r>
      <w:r>
        <w:rPr>
          <w:rFonts w:hint="eastAsia" w:ascii="宋体" w:hAnsi="宋体" w:cs="仿宋"/>
          <w:color w:val="auto"/>
          <w:kern w:val="0"/>
          <w:szCs w:val="21"/>
          <w:highlight w:val="none"/>
        </w:rPr>
        <w:t>）</w:t>
      </w:r>
      <w:r>
        <w:rPr>
          <w:rFonts w:ascii="宋体" w:hAnsi="宋体" w:cs="仿宋"/>
          <w:color w:val="auto"/>
          <w:kern w:val="0"/>
          <w:szCs w:val="21"/>
          <w:highlight w:val="none"/>
        </w:rPr>
        <w:t>/100*</w:t>
      </w:r>
      <w:r>
        <w:rPr>
          <w:rFonts w:hint="eastAsia" w:ascii="宋体" w:hAnsi="宋体" w:cs="仿宋"/>
          <w:color w:val="auto"/>
          <w:kern w:val="0"/>
          <w:szCs w:val="21"/>
          <w:highlight w:val="none"/>
        </w:rPr>
        <w:t>Ｘ</w:t>
      </w:r>
      <w:r>
        <w:rPr>
          <w:rFonts w:ascii="宋体" w:hAnsi="宋体" w:cs="仿宋"/>
          <w:color w:val="auto"/>
          <w:kern w:val="0"/>
          <w:szCs w:val="21"/>
          <w:highlight w:val="none"/>
        </w:rPr>
        <w:t>+Q</w:t>
      </w:r>
      <w:r>
        <w:rPr>
          <w:rFonts w:hint="eastAsia" w:ascii="宋体" w:hAnsi="宋体" w:cs="仿宋"/>
          <w:color w:val="auto"/>
          <w:kern w:val="0"/>
          <w:szCs w:val="21"/>
          <w:highlight w:val="none"/>
          <w:vertAlign w:val="subscript"/>
        </w:rPr>
        <w:t>低</w:t>
      </w:r>
    </w:p>
    <w:p>
      <w:pPr>
        <w:widowControl/>
        <w:spacing w:line="360" w:lineRule="auto"/>
        <w:ind w:firstLine="420" w:firstLineChars="200"/>
        <w:rPr>
          <w:rFonts w:ascii="宋体" w:hAnsi="宋体"/>
          <w:color w:val="auto"/>
          <w:szCs w:val="21"/>
          <w:highlight w:val="none"/>
        </w:rPr>
      </w:pPr>
      <w:r>
        <w:rPr>
          <w:rFonts w:ascii="宋体" w:hAnsi="宋体" w:cs="仿宋"/>
          <w:color w:val="auto"/>
          <w:szCs w:val="21"/>
          <w:highlight w:val="none"/>
        </w:rPr>
        <w:t>Q</w:t>
      </w:r>
      <w:r>
        <w:rPr>
          <w:rFonts w:hint="eastAsia" w:ascii="宋体" w:hAnsi="宋体" w:cs="仿宋"/>
          <w:color w:val="auto"/>
          <w:szCs w:val="21"/>
          <w:highlight w:val="none"/>
          <w:vertAlign w:val="subscript"/>
        </w:rPr>
        <w:t>低</w:t>
      </w:r>
      <w:r>
        <w:rPr>
          <w:rFonts w:hint="eastAsia" w:ascii="宋体" w:hAnsi="宋体" w:cs="仿宋"/>
          <w:color w:val="auto"/>
          <w:szCs w:val="21"/>
          <w:highlight w:val="none"/>
        </w:rPr>
        <w:t>：为达到或超过</w:t>
      </w:r>
      <w:r>
        <w:rPr>
          <w:rFonts w:hint="eastAsia" w:ascii="宋体" w:hAnsi="宋体" w:cs="仿宋"/>
          <w:color w:val="auto"/>
          <w:szCs w:val="21"/>
          <w:highlight w:val="none"/>
          <w:u w:val="single"/>
        </w:rPr>
        <w:t>入围合格分数线</w:t>
      </w:r>
      <w:r>
        <w:rPr>
          <w:rFonts w:hint="eastAsia" w:ascii="宋体" w:hAnsi="宋体" w:cs="仿宋"/>
          <w:color w:val="auto"/>
          <w:szCs w:val="21"/>
          <w:highlight w:val="none"/>
        </w:rPr>
        <w:t>的投标人最低报价与工程成本警示价两者中的较高值；</w:t>
      </w:r>
    </w:p>
    <w:p>
      <w:pPr>
        <w:spacing w:line="360" w:lineRule="auto"/>
        <w:ind w:firstLine="420" w:firstLineChars="200"/>
        <w:rPr>
          <w:rFonts w:ascii="宋体" w:hAnsi="宋体" w:cs="仿宋"/>
          <w:color w:val="auto"/>
          <w:szCs w:val="21"/>
          <w:highlight w:val="none"/>
        </w:rPr>
      </w:pPr>
      <w:r>
        <w:rPr>
          <w:rFonts w:ascii="宋体" w:hAnsi="宋体" w:cs="仿宋"/>
          <w:color w:val="auto"/>
          <w:kern w:val="0"/>
          <w:szCs w:val="21"/>
          <w:highlight w:val="none"/>
        </w:rPr>
        <w:t>Q</w:t>
      </w:r>
      <w:r>
        <w:rPr>
          <w:rFonts w:hint="eastAsia" w:ascii="宋体" w:hAnsi="宋体" w:cs="仿宋"/>
          <w:color w:val="auto"/>
          <w:kern w:val="0"/>
          <w:szCs w:val="21"/>
          <w:highlight w:val="none"/>
          <w:vertAlign w:val="subscript"/>
        </w:rPr>
        <w:t>高</w:t>
      </w:r>
      <w:r>
        <w:rPr>
          <w:rFonts w:hint="eastAsia" w:ascii="宋体" w:hAnsi="宋体" w:cs="仿宋"/>
          <w:color w:val="auto"/>
          <w:szCs w:val="21"/>
          <w:highlight w:val="none"/>
        </w:rPr>
        <w:t>：为最高投标限价</w:t>
      </w:r>
    </w:p>
    <w:p>
      <w:pPr>
        <w:spacing w:line="360" w:lineRule="auto"/>
        <w:ind w:firstLine="420" w:firstLineChars="200"/>
        <w:rPr>
          <w:rFonts w:ascii="宋体" w:hAnsi="宋体"/>
          <w:color w:val="auto"/>
          <w:szCs w:val="21"/>
          <w:highlight w:val="none"/>
        </w:rPr>
      </w:pPr>
      <w:r>
        <w:rPr>
          <w:rFonts w:ascii="宋体" w:hAnsi="宋体" w:cs="仿宋"/>
          <w:color w:val="auto"/>
          <w:szCs w:val="21"/>
          <w:highlight w:val="none"/>
        </w:rPr>
        <w:t>X</w:t>
      </w:r>
      <w:r>
        <w:rPr>
          <w:rFonts w:hint="eastAsia" w:ascii="宋体" w:hAnsi="宋体" w:cs="仿宋"/>
          <w:color w:val="auto"/>
          <w:szCs w:val="21"/>
          <w:highlight w:val="none"/>
        </w:rPr>
        <w:t>：为等分点值，在开标前从</w:t>
      </w:r>
      <w:r>
        <w:rPr>
          <w:rFonts w:ascii="宋体" w:hAnsi="宋体" w:cs="仿宋"/>
          <w:color w:val="auto"/>
          <w:szCs w:val="21"/>
          <w:highlight w:val="none"/>
        </w:rPr>
        <w:t>[0,100]</w:t>
      </w:r>
      <w:r>
        <w:rPr>
          <w:rFonts w:hint="eastAsia" w:ascii="宋体" w:hAnsi="宋体" w:cs="仿宋"/>
          <w:color w:val="auto"/>
          <w:szCs w:val="21"/>
          <w:highlight w:val="none"/>
        </w:rPr>
        <w:t>整数中随机抽取</w:t>
      </w:r>
    </w:p>
    <w:p>
      <w:pPr>
        <w:spacing w:line="360" w:lineRule="auto"/>
        <w:ind w:firstLine="420" w:firstLineChars="200"/>
        <w:rPr>
          <w:rFonts w:ascii="宋体" w:hAnsi="宋体"/>
          <w:color w:val="auto"/>
          <w:szCs w:val="21"/>
          <w:highlight w:val="none"/>
        </w:rPr>
      </w:pPr>
      <w:r>
        <w:rPr>
          <w:rFonts w:hint="eastAsia" w:ascii="宋体" w:hAnsi="宋体" w:cs="宋体"/>
          <w:color w:val="auto"/>
          <w:kern w:val="0"/>
          <w:szCs w:val="21"/>
          <w:highlight w:val="none"/>
        </w:rPr>
        <w:t>45.3</w:t>
      </w:r>
      <w:r>
        <w:rPr>
          <w:rFonts w:hint="eastAsia" w:ascii="宋体" w:hAnsi="宋体"/>
          <w:color w:val="auto"/>
          <w:szCs w:val="21"/>
          <w:highlight w:val="none"/>
        </w:rPr>
        <w:t>当</w:t>
      </w:r>
      <w:r>
        <w:rPr>
          <w:rFonts w:hint="eastAsia" w:ascii="宋体" w:hAnsi="宋体"/>
          <w:color w:val="auto"/>
          <w:szCs w:val="21"/>
          <w:highlight w:val="none"/>
          <w:u w:val="single"/>
        </w:rPr>
        <w:t>投标总报价</w:t>
      </w:r>
      <w:r>
        <w:rPr>
          <w:rFonts w:hint="eastAsia" w:ascii="宋体" w:hAnsi="宋体"/>
          <w:color w:val="auto"/>
          <w:szCs w:val="21"/>
          <w:highlight w:val="none"/>
        </w:rPr>
        <w:t>等于评标参考价时得</w:t>
      </w:r>
      <w:r>
        <w:rPr>
          <w:rFonts w:ascii="宋体" w:hAnsi="宋体"/>
          <w:color w:val="auto"/>
          <w:szCs w:val="21"/>
          <w:highlight w:val="none"/>
        </w:rPr>
        <w:t>100</w:t>
      </w:r>
      <w:r>
        <w:rPr>
          <w:rFonts w:hint="eastAsia" w:ascii="宋体" w:hAnsi="宋体"/>
          <w:color w:val="auto"/>
          <w:szCs w:val="21"/>
          <w:highlight w:val="none"/>
        </w:rPr>
        <w:t>分，</w:t>
      </w:r>
      <w:r>
        <w:rPr>
          <w:rFonts w:hint="eastAsia" w:ascii="宋体" w:hAnsi="宋体"/>
          <w:color w:val="auto"/>
          <w:szCs w:val="21"/>
          <w:highlight w:val="none"/>
          <w:u w:val="single"/>
        </w:rPr>
        <w:t>投标总报价</w:t>
      </w:r>
      <w:r>
        <w:rPr>
          <w:rFonts w:hint="eastAsia" w:ascii="宋体" w:hAnsi="宋体"/>
          <w:color w:val="auto"/>
          <w:szCs w:val="21"/>
          <w:highlight w:val="none"/>
        </w:rPr>
        <w:t>每高于评标参考价</w:t>
      </w:r>
      <w:r>
        <w:rPr>
          <w:rFonts w:ascii="宋体" w:hAnsi="宋体"/>
          <w:color w:val="auto"/>
          <w:szCs w:val="21"/>
          <w:highlight w:val="none"/>
        </w:rPr>
        <w:t>1%</w:t>
      </w:r>
      <w:r>
        <w:rPr>
          <w:rFonts w:hint="eastAsia" w:ascii="宋体" w:hAnsi="宋体"/>
          <w:color w:val="auto"/>
          <w:szCs w:val="21"/>
          <w:highlight w:val="none"/>
        </w:rPr>
        <w:t>，扣</w:t>
      </w:r>
      <w:r>
        <w:rPr>
          <w:rFonts w:ascii="宋体" w:hAnsi="宋体"/>
          <w:color w:val="auto"/>
          <w:szCs w:val="21"/>
          <w:highlight w:val="none"/>
        </w:rPr>
        <w:t>1.5</w:t>
      </w:r>
      <w:r>
        <w:rPr>
          <w:rFonts w:hint="eastAsia" w:ascii="宋体" w:hAnsi="宋体"/>
          <w:color w:val="auto"/>
          <w:szCs w:val="21"/>
          <w:highlight w:val="none"/>
        </w:rPr>
        <w:t>分，每低于评标参考价</w:t>
      </w:r>
      <w:r>
        <w:rPr>
          <w:rFonts w:ascii="宋体" w:hAnsi="宋体"/>
          <w:color w:val="auto"/>
          <w:szCs w:val="21"/>
          <w:highlight w:val="none"/>
        </w:rPr>
        <w:t>1%</w:t>
      </w:r>
      <w:r>
        <w:rPr>
          <w:rFonts w:hint="eastAsia" w:ascii="宋体" w:hAnsi="宋体"/>
          <w:color w:val="auto"/>
          <w:szCs w:val="21"/>
          <w:highlight w:val="none"/>
        </w:rPr>
        <w:t>，扣</w:t>
      </w:r>
      <w:r>
        <w:rPr>
          <w:rFonts w:ascii="宋体" w:hAnsi="宋体"/>
          <w:color w:val="auto"/>
          <w:szCs w:val="21"/>
          <w:highlight w:val="none"/>
        </w:rPr>
        <w:t>1</w:t>
      </w:r>
      <w:r>
        <w:rPr>
          <w:rFonts w:hint="eastAsia" w:ascii="宋体" w:hAnsi="宋体"/>
          <w:color w:val="auto"/>
          <w:szCs w:val="21"/>
          <w:highlight w:val="none"/>
        </w:rPr>
        <w:t>分，扣至</w:t>
      </w:r>
      <w:r>
        <w:rPr>
          <w:rFonts w:ascii="宋体" w:hAnsi="宋体"/>
          <w:color w:val="auto"/>
          <w:szCs w:val="21"/>
          <w:highlight w:val="none"/>
        </w:rPr>
        <w:t>0</w:t>
      </w:r>
      <w:r>
        <w:rPr>
          <w:rFonts w:hint="eastAsia" w:ascii="宋体" w:hAnsi="宋体"/>
          <w:color w:val="auto"/>
          <w:szCs w:val="21"/>
          <w:highlight w:val="none"/>
        </w:rPr>
        <w:t>分为止，得出经济分，精确到小数点后两位。</w:t>
      </w:r>
    </w:p>
    <w:p>
      <w:pPr>
        <w:pBdr>
          <w:bottom w:val="single" w:color="auto" w:sz="6" w:space="1"/>
        </w:pBdr>
        <w:spacing w:line="360" w:lineRule="auto"/>
        <w:ind w:firstLine="470" w:firstLineChars="224"/>
        <w:rPr>
          <w:rFonts w:hint="eastAsia" w:ascii="宋体" w:hAnsi="宋体" w:cs="宋体"/>
          <w:strike/>
          <w:color w:val="auto"/>
          <w:szCs w:val="21"/>
          <w:highlight w:val="none"/>
        </w:rPr>
      </w:pPr>
      <w:r>
        <w:rPr>
          <w:rFonts w:hint="eastAsia" w:ascii="宋体" w:hAnsi="宋体"/>
          <w:color w:val="auto"/>
          <w:szCs w:val="21"/>
          <w:highlight w:val="none"/>
        </w:rPr>
        <w:t>45.4</w:t>
      </w:r>
      <w:r>
        <w:rPr>
          <w:rFonts w:hint="eastAsia" w:ascii="宋体"/>
          <w:color w:val="auto"/>
          <w:szCs w:val="21"/>
          <w:highlight w:val="none"/>
        </w:rPr>
        <w:t>计算通过技术标有效性审查的投标人总得分。投标人总得分=</w:t>
      </w:r>
      <w:r>
        <w:rPr>
          <w:rFonts w:hint="eastAsia" w:ascii="宋体"/>
          <w:color w:val="auto"/>
          <w:szCs w:val="21"/>
          <w:highlight w:val="none"/>
          <w:u w:val="single"/>
        </w:rPr>
        <w:t>技术分×技术分权重</w:t>
      </w:r>
      <w:r>
        <w:rPr>
          <w:rFonts w:hint="eastAsia" w:ascii="宋体" w:cs="宋体"/>
          <w:color w:val="auto"/>
          <w:szCs w:val="21"/>
          <w:highlight w:val="none"/>
          <w:u w:val="single"/>
        </w:rPr>
        <w:t>＋</w:t>
      </w:r>
      <w:r>
        <w:rPr>
          <w:rFonts w:hint="eastAsia" w:ascii="宋体"/>
          <w:color w:val="auto"/>
          <w:szCs w:val="21"/>
          <w:highlight w:val="none"/>
          <w:u w:val="single"/>
        </w:rPr>
        <w:t>经济分×经济分权重</w:t>
      </w:r>
      <w:r>
        <w:rPr>
          <w:rFonts w:hint="eastAsia" w:ascii="宋体"/>
          <w:color w:val="auto"/>
          <w:szCs w:val="21"/>
          <w:highlight w:val="none"/>
        </w:rPr>
        <w:t>。技术、经济得分权重按投标须知前附表的规定执行。总得分四舍五入保留两位小数。</w:t>
      </w:r>
    </w:p>
    <w:p>
      <w:pPr>
        <w:spacing w:line="360" w:lineRule="auto"/>
        <w:ind w:firstLine="422" w:firstLineChars="200"/>
        <w:rPr>
          <w:rFonts w:hint="eastAsia" w:ascii="宋体" w:hAnsi="宋体" w:cs="宋体"/>
          <w:b/>
          <w:color w:val="auto"/>
          <w:szCs w:val="21"/>
          <w:highlight w:val="none"/>
        </w:rPr>
      </w:pPr>
    </w:p>
    <w:p>
      <w:pPr>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条款号：46.2.8                      修改类型：修改</w:t>
      </w:r>
    </w:p>
    <w:p>
      <w:pPr>
        <w:pBdr>
          <w:bottom w:val="single" w:color="auto" w:sz="6" w:space="1"/>
        </w:pBdr>
        <w:spacing w:line="360" w:lineRule="auto"/>
        <w:ind w:firstLine="422" w:firstLineChars="200"/>
        <w:rPr>
          <w:rFonts w:hint="eastAsia"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46.2.8按上述修正错误的原则及方法调整或修正投标文件的投标报价，调整后的投标报价对投标人起约束作用。如果投标人不接受修正后的报价，则取消其投标资格，并且其投标保证金也将不予退还。</w:t>
      </w:r>
    </w:p>
    <w:p>
      <w:pPr>
        <w:pBdr>
          <w:bottom w:val="single" w:color="auto" w:sz="6" w:space="1"/>
        </w:pBdr>
        <w:spacing w:line="360" w:lineRule="auto"/>
        <w:ind w:firstLine="422" w:firstLineChars="200"/>
        <w:rPr>
          <w:rFonts w:hint="eastAsia"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46.2.8按上述修正错误的原则及方法调整或修正投标文件的投标报价，调整后的投标报价对投标人起约束作用。如果投标人不接受修正后的报价，</w:t>
      </w:r>
      <w:r>
        <w:rPr>
          <w:rFonts w:hint="eastAsia" w:ascii="宋体" w:hAnsi="宋体" w:cs="宋体"/>
          <w:color w:val="auto"/>
          <w:szCs w:val="21"/>
          <w:highlight w:val="none"/>
          <w:u w:val="single"/>
        </w:rPr>
        <w:t>则取消其投标资格</w:t>
      </w:r>
      <w:r>
        <w:rPr>
          <w:rFonts w:hint="eastAsia" w:ascii="宋体" w:hAnsi="宋体" w:cs="宋体"/>
          <w:color w:val="auto"/>
          <w:szCs w:val="21"/>
          <w:highlight w:val="none"/>
        </w:rPr>
        <w:t>。</w:t>
      </w:r>
    </w:p>
    <w:p>
      <w:pPr>
        <w:spacing w:line="360" w:lineRule="auto"/>
        <w:ind w:firstLine="472" w:firstLineChars="224"/>
        <w:rPr>
          <w:rFonts w:hint="eastAsia" w:ascii="宋体" w:hAnsi="宋体" w:cs="宋体"/>
          <w:b/>
          <w:color w:val="auto"/>
          <w:szCs w:val="21"/>
          <w:highlight w:val="none"/>
        </w:rPr>
      </w:pPr>
      <w:r>
        <w:rPr>
          <w:rFonts w:hint="eastAsia" w:ascii="宋体" w:hAnsi="宋体" w:cs="宋体"/>
          <w:b/>
          <w:color w:val="auto"/>
          <w:szCs w:val="21"/>
          <w:highlight w:val="none"/>
        </w:rPr>
        <w:t>条款号：48                      　　修改类型：修改</w:t>
      </w:r>
    </w:p>
    <w:p>
      <w:pPr>
        <w:widowControl/>
        <w:spacing w:line="360" w:lineRule="auto"/>
        <w:ind w:firstLine="422" w:firstLineChars="200"/>
        <w:jc w:val="left"/>
        <w:rPr>
          <w:rFonts w:hint="eastAsia" w:ascii="宋体" w:hAnsi="宋体" w:cs="宋体"/>
          <w:color w:val="auto"/>
          <w:kern w:val="0"/>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4</w:t>
      </w:r>
      <w:r>
        <w:rPr>
          <w:rFonts w:hint="eastAsia" w:ascii="宋体" w:hAnsi="宋体" w:cs="宋体"/>
          <w:color w:val="auto"/>
          <w:szCs w:val="21"/>
          <w:highlight w:val="none"/>
        </w:rPr>
        <w:t>8.评标委员会应在通过投标文件经济标有效性审查的投标人中，按步骤45.4确定的投标人第二阶段排序，推荐前</w:t>
      </w:r>
      <w:r>
        <w:rPr>
          <w:rFonts w:ascii="宋体" w:hAnsi="宋体" w:cs="宋体"/>
          <w:color w:val="auto"/>
          <w:szCs w:val="21"/>
          <w:highlight w:val="none"/>
        </w:rPr>
        <w:t>3</w:t>
      </w:r>
      <w:r>
        <w:rPr>
          <w:rFonts w:hint="eastAsia" w:ascii="宋体" w:hAnsi="宋体" w:cs="宋体"/>
          <w:color w:val="auto"/>
          <w:szCs w:val="21"/>
          <w:highlight w:val="none"/>
        </w:rPr>
        <w:t>名依次为第一中标候选人至第三中标候选人，并编制评标报告。</w:t>
      </w:r>
    </w:p>
    <w:p>
      <w:pPr>
        <w:pBdr>
          <w:bottom w:val="single" w:color="auto" w:sz="6" w:space="1"/>
        </w:pBdr>
        <w:spacing w:line="360" w:lineRule="auto"/>
        <w:ind w:firstLine="472" w:firstLineChars="224"/>
        <w:rPr>
          <w:rFonts w:hint="eastAsia" w:ascii="宋体" w:hAnsi="宋体" w:cs="宋体"/>
          <w:color w:val="auto"/>
          <w:szCs w:val="21"/>
          <w:highlight w:val="none"/>
          <w:u w:val="single"/>
        </w:rPr>
      </w:pPr>
      <w:r>
        <w:rPr>
          <w:rFonts w:hint="eastAsia" w:ascii="宋体" w:hAnsi="宋体" w:cs="宋体"/>
          <w:b/>
          <w:color w:val="auto"/>
          <w:szCs w:val="21"/>
          <w:highlight w:val="none"/>
        </w:rPr>
        <w:t>现文：</w:t>
      </w:r>
      <w:r>
        <w:rPr>
          <w:rFonts w:ascii="宋体" w:hAnsi="宋体" w:cs="宋体"/>
          <w:color w:val="auto"/>
          <w:szCs w:val="21"/>
          <w:highlight w:val="none"/>
        </w:rPr>
        <w:t>4</w:t>
      </w:r>
      <w:r>
        <w:rPr>
          <w:rFonts w:hint="eastAsia" w:ascii="宋体" w:hAnsi="宋体" w:cs="宋体"/>
          <w:color w:val="auto"/>
          <w:szCs w:val="21"/>
          <w:highlight w:val="none"/>
        </w:rPr>
        <w:t>8.评标委员会应在通过投标文件经济标有效性审查的投标人中，按步骤45.4确定的投标人</w:t>
      </w:r>
      <w:r>
        <w:rPr>
          <w:rFonts w:hint="eastAsia" w:ascii="宋体" w:hAnsi="宋体" w:cs="宋体"/>
          <w:color w:val="auto"/>
          <w:szCs w:val="21"/>
          <w:highlight w:val="none"/>
          <w:u w:val="single"/>
        </w:rPr>
        <w:t>总得分</w:t>
      </w:r>
      <w:r>
        <w:rPr>
          <w:rFonts w:hint="eastAsia" w:ascii="宋体" w:hAnsi="宋体" w:cs="宋体"/>
          <w:color w:val="auto"/>
          <w:szCs w:val="21"/>
          <w:highlight w:val="none"/>
        </w:rPr>
        <w:t>排序，推荐前</w:t>
      </w:r>
      <w:r>
        <w:rPr>
          <w:rFonts w:ascii="宋体" w:hAnsi="宋体" w:cs="宋体"/>
          <w:color w:val="auto"/>
          <w:szCs w:val="21"/>
          <w:highlight w:val="none"/>
        </w:rPr>
        <w:t>3</w:t>
      </w:r>
      <w:r>
        <w:rPr>
          <w:rFonts w:hint="eastAsia" w:ascii="宋体" w:hAnsi="宋体" w:cs="宋体"/>
          <w:color w:val="auto"/>
          <w:szCs w:val="21"/>
          <w:highlight w:val="none"/>
        </w:rPr>
        <w:t>名依次为第一中标候选人至第三中标候选人，并编制评标报告。</w:t>
      </w:r>
    </w:p>
    <w:p>
      <w:pPr>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b/>
          <w:color w:val="auto"/>
          <w:kern w:val="0"/>
          <w:szCs w:val="21"/>
          <w:highlight w:val="none"/>
        </w:rPr>
        <w:t>49</w:t>
      </w:r>
      <w:r>
        <w:rPr>
          <w:rFonts w:hint="eastAsia" w:ascii="宋体" w:hAnsi="宋体" w:cs="宋体"/>
          <w:b/>
          <w:color w:val="auto"/>
          <w:szCs w:val="21"/>
          <w:highlight w:val="none"/>
        </w:rPr>
        <w:t xml:space="preserve">                        　修改类型：修改</w:t>
      </w:r>
    </w:p>
    <w:p>
      <w:pPr>
        <w:spacing w:line="360" w:lineRule="auto"/>
        <w:ind w:firstLine="422" w:firstLineChars="200"/>
        <w:rPr>
          <w:rFonts w:hint="eastAsia"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49</w:t>
      </w:r>
      <w:r>
        <w:rPr>
          <w:rFonts w:hint="eastAsia" w:ascii="宋体" w:hAnsi="宋体"/>
          <w:color w:val="auto"/>
          <w:szCs w:val="21"/>
          <w:highlight w:val="none"/>
        </w:rPr>
        <w:t>若通过经济标有效性审查的投标人不足三家，应当依法重新招标。（当</w:t>
      </w:r>
      <w:r>
        <w:rPr>
          <w:rFonts w:ascii="宋体" w:hAnsi="宋体"/>
          <w:color w:val="auto"/>
          <w:szCs w:val="21"/>
          <w:highlight w:val="none"/>
        </w:rPr>
        <w:t>N</w:t>
      </w:r>
      <w:r>
        <w:rPr>
          <w:rFonts w:hint="eastAsia" w:ascii="宋体" w:hAnsi="宋体"/>
          <w:color w:val="auto"/>
          <w:szCs w:val="21"/>
          <w:highlight w:val="none"/>
        </w:rPr>
        <w:t>个标段同时招标且不允许兼中时，若有效投标人不足</w:t>
      </w:r>
      <w:r>
        <w:rPr>
          <w:rFonts w:ascii="宋体" w:hAnsi="宋体"/>
          <w:color w:val="auto"/>
          <w:szCs w:val="21"/>
          <w:highlight w:val="none"/>
        </w:rPr>
        <w:t>N+2</w:t>
      </w:r>
      <w:r>
        <w:rPr>
          <w:rFonts w:hint="eastAsia" w:ascii="宋体" w:hAnsi="宋体"/>
          <w:color w:val="auto"/>
          <w:szCs w:val="21"/>
          <w:highlight w:val="none"/>
        </w:rPr>
        <w:t>家，应当依法重新招标）</w:t>
      </w:r>
    </w:p>
    <w:p>
      <w:pPr>
        <w:pBdr>
          <w:bottom w:val="single" w:color="auto" w:sz="6" w:space="1"/>
        </w:pBdr>
        <w:spacing w:line="360" w:lineRule="auto"/>
        <w:ind w:firstLine="420" w:firstLineChars="199"/>
        <w:rPr>
          <w:rFonts w:hint="eastAsia" w:ascii="宋体" w:hAnsi="宋体" w:cs="宋体"/>
          <w:strike/>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：49</w:t>
      </w:r>
      <w:r>
        <w:rPr>
          <w:rFonts w:hint="eastAsia" w:ascii="宋体" w:hAnsi="宋体"/>
          <w:color w:val="auto"/>
          <w:szCs w:val="21"/>
          <w:highlight w:val="none"/>
          <w:u w:val="single"/>
        </w:rPr>
        <w:t>若通过经济标有效性审查的投标人不足三家，应当依法重新招标。</w:t>
      </w:r>
    </w:p>
    <w:p>
      <w:pPr>
        <w:spacing w:line="360" w:lineRule="auto"/>
        <w:ind w:firstLine="472" w:firstLineChars="224"/>
        <w:rPr>
          <w:b/>
          <w:color w:val="auto"/>
          <w:szCs w:val="21"/>
          <w:highlight w:val="none"/>
        </w:rPr>
      </w:pPr>
      <w:r>
        <w:rPr>
          <w:rFonts w:hint="eastAsia" w:ascii="宋体" w:hAnsi="宋体" w:cs="宋体"/>
          <w:b/>
          <w:color w:val="auto"/>
          <w:szCs w:val="21"/>
          <w:highlight w:val="none"/>
        </w:rPr>
        <w:t>条款号：附表一《资格审查表》                   修改类型：修改</w:t>
      </w:r>
    </w:p>
    <w:p>
      <w:pPr>
        <w:spacing w:line="360" w:lineRule="auto"/>
        <w:ind w:firstLine="472" w:firstLineChars="224"/>
        <w:rPr>
          <w:rFonts w:hint="eastAsia" w:ascii="宋体" w:hAnsi="宋体" w:cs="宋体"/>
          <w:bCs/>
          <w:color w:val="auto"/>
          <w:szCs w:val="21"/>
          <w:highlight w:val="none"/>
        </w:rPr>
      </w:pPr>
      <w:r>
        <w:rPr>
          <w:rFonts w:hint="eastAsia" w:ascii="宋体" w:hAnsi="宋体" w:cs="宋体"/>
          <w:b/>
          <w:color w:val="auto"/>
          <w:szCs w:val="21"/>
          <w:highlight w:val="none"/>
        </w:rPr>
        <w:t>原文：</w:t>
      </w:r>
      <w:r>
        <w:rPr>
          <w:rFonts w:hint="eastAsia" w:ascii="宋体" w:hAnsi="宋体" w:cs="宋体"/>
          <w:bCs/>
          <w:color w:val="auto"/>
          <w:szCs w:val="21"/>
          <w:highlight w:val="none"/>
        </w:rPr>
        <w:t>详见最新版广州市建设工程施工公开招标项目招标文件范本（适用于资格后审综合评分法、经评审的最低投标价法的施工电子招标项目）GZZB2018-3</w:t>
      </w:r>
    </w:p>
    <w:p>
      <w:pPr>
        <w:pBdr>
          <w:bottom w:val="single" w:color="auto" w:sz="6" w:space="1"/>
        </w:pBdr>
        <w:spacing w:line="360" w:lineRule="auto"/>
        <w:ind w:firstLine="422" w:firstLineChars="200"/>
        <w:rPr>
          <w:color w:val="auto"/>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详见本招标文件第二章附表一《资格审查表》</w:t>
      </w:r>
    </w:p>
    <w:p>
      <w:pPr>
        <w:spacing w:line="360" w:lineRule="auto"/>
        <w:ind w:firstLine="472" w:firstLineChars="224"/>
        <w:rPr>
          <w:rFonts w:hint="eastAsia" w:ascii="宋体" w:hAnsi="宋体" w:cs="宋体"/>
          <w:b/>
          <w:color w:val="auto"/>
          <w:szCs w:val="21"/>
          <w:highlight w:val="none"/>
        </w:rPr>
      </w:pPr>
      <w:r>
        <w:rPr>
          <w:rFonts w:hint="eastAsia" w:ascii="宋体" w:hAnsi="宋体" w:cs="宋体"/>
          <w:b/>
          <w:color w:val="auto"/>
          <w:szCs w:val="21"/>
          <w:highlight w:val="none"/>
        </w:rPr>
        <w:t>条款号：附表二 《技术标有效性审查表》          修改类型：修改</w:t>
      </w:r>
    </w:p>
    <w:p>
      <w:pPr>
        <w:spacing w:line="360" w:lineRule="auto"/>
        <w:ind w:firstLine="472" w:firstLineChars="224"/>
        <w:rPr>
          <w:rFonts w:hint="eastAsia" w:ascii="宋体" w:hAnsi="宋体" w:cs="宋体"/>
          <w:bCs/>
          <w:color w:val="auto"/>
          <w:szCs w:val="21"/>
          <w:highlight w:val="none"/>
        </w:rPr>
      </w:pPr>
      <w:r>
        <w:rPr>
          <w:rFonts w:hint="eastAsia" w:ascii="宋体" w:hAnsi="宋体" w:cs="宋体"/>
          <w:b/>
          <w:color w:val="auto"/>
          <w:szCs w:val="21"/>
          <w:highlight w:val="none"/>
        </w:rPr>
        <w:t>原文：</w:t>
      </w:r>
      <w:r>
        <w:rPr>
          <w:rFonts w:hint="eastAsia" w:ascii="宋体" w:hAnsi="宋体" w:cs="宋体"/>
          <w:bCs/>
          <w:color w:val="auto"/>
          <w:szCs w:val="21"/>
          <w:highlight w:val="none"/>
        </w:rPr>
        <w:t>详见最新版广州市建设工程施工公开招标项目招标文件范本（适用于资格后审综合评分法、经评审的最低投标价法的施工电子招标项目）GZZB2018-3</w:t>
      </w:r>
    </w:p>
    <w:p>
      <w:pPr>
        <w:pBdr>
          <w:bottom w:val="single" w:color="auto" w:sz="6" w:space="1"/>
        </w:pBdr>
        <w:spacing w:line="360" w:lineRule="auto"/>
        <w:ind w:firstLine="422" w:firstLineChars="200"/>
        <w:rPr>
          <w:rFonts w:hint="eastAsia"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详见本招标文件第二章附表二《技术标有效性审查表》</w:t>
      </w:r>
    </w:p>
    <w:p>
      <w:pPr>
        <w:spacing w:line="360" w:lineRule="auto"/>
        <w:ind w:firstLine="472" w:firstLineChars="224"/>
        <w:rPr>
          <w:rFonts w:hint="eastAsia" w:ascii="宋体" w:hAnsi="宋体" w:cs="宋体"/>
          <w:b/>
          <w:color w:val="auto"/>
          <w:szCs w:val="21"/>
          <w:highlight w:val="none"/>
        </w:rPr>
      </w:pPr>
      <w:r>
        <w:rPr>
          <w:rFonts w:hint="eastAsia" w:ascii="宋体" w:hAnsi="宋体" w:cs="宋体"/>
          <w:b/>
          <w:color w:val="auto"/>
          <w:szCs w:val="21"/>
          <w:highlight w:val="none"/>
        </w:rPr>
        <w:t>条款号：附表三《经济标有效性审查表》           修改类型：修改</w:t>
      </w:r>
    </w:p>
    <w:p>
      <w:pPr>
        <w:spacing w:line="360" w:lineRule="auto"/>
        <w:ind w:firstLine="472" w:firstLineChars="224"/>
        <w:rPr>
          <w:rFonts w:hint="eastAsia"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bCs/>
          <w:color w:val="auto"/>
          <w:szCs w:val="21"/>
          <w:highlight w:val="none"/>
        </w:rPr>
        <w:t>详见最新版广州市建设工程施工公开招标项目招标文件范本（适用于资格后审综合评分法、经评审的最低投标价法的施工电子招标项目）GZZB2018-3</w:t>
      </w:r>
    </w:p>
    <w:p>
      <w:pPr>
        <w:pBdr>
          <w:bottom w:val="single" w:color="auto" w:sz="6" w:space="1"/>
        </w:pBdr>
        <w:spacing w:line="360" w:lineRule="auto"/>
        <w:ind w:firstLine="472" w:firstLineChars="224"/>
        <w:rPr>
          <w:rFonts w:hint="eastAsia" w:ascii="宋体" w:hAnsi="宋体" w:cs="宋体"/>
          <w:b/>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详见本招标文件第二章附表三《经济标有效性审查表》</w:t>
      </w:r>
    </w:p>
    <w:p>
      <w:pPr>
        <w:spacing w:line="360" w:lineRule="auto"/>
        <w:ind w:firstLine="472" w:firstLineChars="224"/>
        <w:rPr>
          <w:rFonts w:hint="eastAsia" w:ascii="宋体" w:hAnsi="宋体" w:cs="宋体"/>
          <w:b/>
          <w:color w:val="auto"/>
          <w:szCs w:val="21"/>
          <w:highlight w:val="none"/>
        </w:rPr>
      </w:pPr>
      <w:r>
        <w:rPr>
          <w:rFonts w:hint="eastAsia" w:ascii="宋体" w:hAnsi="宋体" w:cs="宋体"/>
          <w:b/>
          <w:color w:val="auto"/>
          <w:szCs w:val="21"/>
          <w:highlight w:val="none"/>
        </w:rPr>
        <w:t xml:space="preserve">条款号：附表四《技术标详细审查评分表》         修改类型：修改  </w:t>
      </w:r>
    </w:p>
    <w:p>
      <w:pPr>
        <w:spacing w:line="360" w:lineRule="auto"/>
        <w:ind w:firstLine="472" w:firstLineChars="224"/>
        <w:rPr>
          <w:rFonts w:hint="eastAsia" w:ascii="宋体" w:hAnsi="宋体" w:cs="宋体"/>
          <w:bCs/>
          <w:color w:val="auto"/>
          <w:szCs w:val="21"/>
          <w:highlight w:val="none"/>
        </w:rPr>
      </w:pPr>
      <w:r>
        <w:rPr>
          <w:rFonts w:hint="eastAsia" w:ascii="宋体" w:hAnsi="宋体" w:cs="宋体"/>
          <w:b/>
          <w:color w:val="auto"/>
          <w:szCs w:val="21"/>
          <w:highlight w:val="none"/>
        </w:rPr>
        <w:t>原文：</w:t>
      </w:r>
      <w:r>
        <w:rPr>
          <w:rFonts w:hint="eastAsia" w:ascii="宋体" w:hAnsi="宋体" w:cs="宋体"/>
          <w:bCs/>
          <w:color w:val="auto"/>
          <w:szCs w:val="21"/>
          <w:highlight w:val="none"/>
        </w:rPr>
        <w:t>详见最新版广州市建设工程施工公开招标项目招标文件范本（适用于资格后审综合评分法、经评审的最低投标价法的施工电子招标项目）GZZB2018-3</w:t>
      </w:r>
    </w:p>
    <w:p>
      <w:pPr>
        <w:pBdr>
          <w:bottom w:val="single" w:color="auto" w:sz="6" w:space="1"/>
        </w:pBdr>
        <w:spacing w:line="360" w:lineRule="auto"/>
        <w:ind w:firstLine="472" w:firstLineChars="224"/>
        <w:rPr>
          <w:rFonts w:hint="eastAsia" w:ascii="宋体" w:hAnsi="宋体" w:cs="宋体"/>
          <w:b/>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详见本招标文件第二章附表四《技术标详细审查评分表》</w:t>
      </w:r>
    </w:p>
    <w:p>
      <w:pPr>
        <w:spacing w:line="360" w:lineRule="auto"/>
        <w:ind w:firstLine="472" w:firstLineChars="224"/>
        <w:rPr>
          <w:rFonts w:hint="eastAsia" w:ascii="宋体" w:hAnsi="宋体" w:cs="宋体"/>
          <w:b/>
          <w:color w:val="auto"/>
          <w:szCs w:val="21"/>
          <w:highlight w:val="none"/>
        </w:rPr>
      </w:pPr>
      <w:r>
        <w:rPr>
          <w:rFonts w:hint="eastAsia" w:ascii="宋体" w:hAnsi="宋体" w:cs="宋体"/>
          <w:b/>
          <w:color w:val="auto"/>
          <w:szCs w:val="21"/>
          <w:highlight w:val="none"/>
        </w:rPr>
        <w:t>条款号：附表五（适用于加权平均法）《经济标评分表》        修改类型：删除</w:t>
      </w:r>
    </w:p>
    <w:p>
      <w:pPr>
        <w:pBdr>
          <w:bottom w:val="single" w:color="auto" w:sz="6" w:space="1"/>
        </w:pBdr>
        <w:spacing w:line="360" w:lineRule="auto"/>
        <w:ind w:firstLine="472" w:firstLineChars="224"/>
        <w:rPr>
          <w:rFonts w:hint="eastAsia"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bCs/>
          <w:color w:val="auto"/>
          <w:szCs w:val="21"/>
          <w:highlight w:val="none"/>
        </w:rPr>
        <w:t>详见最新版广州市建设工程施工公开招标项目招标文件范本（适用于资格后审综合评分法、经评审的最低投标价法的施工电子招标项目）GZZB2018-3</w:t>
      </w:r>
    </w:p>
    <w:p>
      <w:pPr>
        <w:spacing w:line="360" w:lineRule="auto"/>
        <w:ind w:firstLine="211" w:firstLineChars="100"/>
        <w:rPr>
          <w:rFonts w:hint="eastAsia" w:ascii="宋体" w:hAnsi="宋体" w:eastAsia="宋体" w:cs="宋体"/>
          <w:b/>
          <w:strike/>
          <w:color w:val="auto"/>
          <w:szCs w:val="21"/>
          <w:highlight w:val="none"/>
        </w:rPr>
      </w:pPr>
      <w:r>
        <w:rPr>
          <w:rFonts w:hint="eastAsia" w:ascii="宋体" w:hAnsi="宋体" w:eastAsia="宋体" w:cs="宋体"/>
          <w:b/>
          <w:strike/>
          <w:color w:val="auto"/>
          <w:szCs w:val="21"/>
          <w:highlight w:val="none"/>
        </w:rPr>
        <w:t>注：以上修改，仅限于本范本中有可供选择条款的情形。</w:t>
      </w:r>
    </w:p>
    <w:p>
      <w:pPr>
        <w:spacing w:line="360" w:lineRule="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（以下无正文）</w:t>
      </w:r>
    </w:p>
    <w:p>
      <w:pPr>
        <w:spacing w:line="360" w:lineRule="auto"/>
        <w:rPr>
          <w:rFonts w:hint="eastAsia" w:ascii="宋体" w:hAnsi="宋体" w:eastAsia="宋体" w:cs="宋体"/>
          <w:b/>
          <w:color w:val="auto"/>
          <w:szCs w:val="21"/>
          <w:highlight w:val="none"/>
        </w:rPr>
      </w:pPr>
    </w:p>
    <w:p>
      <w:pPr>
        <w:spacing w:line="360" w:lineRule="auto"/>
        <w:rPr>
          <w:rFonts w:hint="eastAsia" w:ascii="宋体" w:hAnsi="宋体" w:eastAsia="宋体" w:cs="宋体"/>
          <w:b/>
          <w:color w:val="auto"/>
          <w:szCs w:val="21"/>
          <w:highlight w:val="none"/>
        </w:rPr>
      </w:pPr>
    </w:p>
    <w:p>
      <w:pPr>
        <w:spacing w:line="360" w:lineRule="auto"/>
        <w:ind w:firstLine="525"/>
        <w:rPr>
          <w:rFonts w:hint="eastAsia" w:ascii="宋体" w:hAnsi="宋体" w:eastAsia="宋体" w:cs="宋体"/>
          <w:color w:val="auto"/>
          <w:highlight w:val="none"/>
        </w:rPr>
      </w:pPr>
      <w:bookmarkStart w:id="18" w:name="_Toc5678"/>
      <w:bookmarkStart w:id="19" w:name="_Toc2272556"/>
      <w:bookmarkStart w:id="20" w:name="_Toc21525500"/>
      <w:bookmarkStart w:id="21" w:name="_Toc2272564"/>
      <w:r>
        <w:rPr>
          <w:rFonts w:hint="eastAsia" w:ascii="宋体" w:hAnsi="宋体" w:eastAsia="宋体" w:cs="宋体"/>
          <w:color w:val="auto"/>
          <w:highlight w:val="none"/>
        </w:rPr>
        <w:br w:type="page"/>
      </w:r>
    </w:p>
    <w:p>
      <w:pPr>
        <w:pStyle w:val="5"/>
        <w:spacing w:line="360" w:lineRule="auto"/>
        <w:ind w:firstLine="525"/>
        <w:rPr>
          <w:rFonts w:hint="eastAsia" w:ascii="宋体" w:hAnsi="宋体" w:eastAsia="宋体" w:cs="宋体"/>
          <w:color w:val="auto"/>
          <w:highlight w:val="none"/>
        </w:rPr>
      </w:pPr>
      <w:r>
        <w:rPr>
          <w:rFonts w:hint="eastAsia" w:ascii="宋体" w:hAnsi="宋体" w:eastAsia="宋体" w:cs="宋体"/>
          <w:color w:val="auto"/>
          <w:highlight w:val="none"/>
        </w:rPr>
        <w:t>二、开标、评标及定标办法</w:t>
      </w:r>
      <w:r>
        <w:rPr>
          <w:rFonts w:hint="eastAsia" w:ascii="宋体" w:hAnsi="宋体" w:eastAsia="宋体" w:cs="宋体"/>
          <w:color w:val="auto"/>
          <w:szCs w:val="30"/>
          <w:highlight w:val="none"/>
        </w:rPr>
        <w:t>通用条款</w:t>
      </w:r>
      <w:bookmarkEnd w:id="18"/>
      <w:bookmarkEnd w:id="19"/>
    </w:p>
    <w:p>
      <w:pPr>
        <w:pStyle w:val="7"/>
        <w:spacing w:before="156" w:after="156" w:line="360" w:lineRule="auto"/>
        <w:ind w:firstLine="422" w:firstLineChars="200"/>
        <w:rPr>
          <w:rFonts w:hint="eastAsia" w:ascii="宋体" w:hAnsi="宋体" w:eastAsia="宋体" w:cs="宋体"/>
          <w:b/>
          <w:bCs/>
          <w:color w:val="auto"/>
          <w:sz w:val="21"/>
          <w:szCs w:val="21"/>
          <w:highlight w:val="none"/>
        </w:rPr>
      </w:pPr>
      <w:bookmarkStart w:id="22" w:name="_Toc2272557"/>
      <w:bookmarkStart w:id="23" w:name="_Toc31373"/>
      <w:r>
        <w:rPr>
          <w:rFonts w:hint="eastAsia" w:ascii="宋体" w:hAnsi="宋体" w:eastAsia="宋体" w:cs="宋体"/>
          <w:b/>
          <w:bCs/>
          <w:color w:val="auto"/>
          <w:sz w:val="21"/>
          <w:szCs w:val="21"/>
          <w:highlight w:val="none"/>
        </w:rPr>
        <w:t>（一）总则</w:t>
      </w:r>
      <w:bookmarkEnd w:id="22"/>
      <w:bookmarkEnd w:id="23"/>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35 开标、评标及定标所依据的规则</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35.1《中华人民共和国招标投标法》；</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35.2《中华人民共和国招标投标法实施条例》；</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35.3《评标委员会和评标方法暂行规定》（七部委第12号令）</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35.4《工程建设项目施工招标投标办法》（七部委2003年第30号令）</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35.5《广东省实施〈中华人民共和国招标投标法〉办法》；</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35.6《房屋建筑和市政基础设施工程施工招标投标管理办法》（建设部令第89号）</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35.7《广东省加强建设工程招标投标监督管理的若干规定》（粤发[2004]4号）；</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35.8《广州市工程建设项目招标投标管理办法》（穗建规字〔2023〕12号）。</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35.9本项目招标文件。</w:t>
      </w:r>
    </w:p>
    <w:p>
      <w:pPr>
        <w:spacing w:line="360" w:lineRule="auto"/>
        <w:ind w:firstLine="422" w:firstLineChars="200"/>
        <w:rPr>
          <w:rFonts w:hint="eastAsia" w:ascii="宋体" w:hAnsi="宋体" w:eastAsia="宋体" w:cs="宋体"/>
          <w:b/>
          <w:bCs/>
          <w:color w:val="auto"/>
          <w:sz w:val="21"/>
          <w:szCs w:val="21"/>
          <w:highlight w:val="none"/>
        </w:rPr>
      </w:pP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36．开标</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36.1 招标人按投标须知前附表第18项所规定的时间和地点公开开标，并邀请所有投标人参加。截标后，开标开始时间因故推迟的，相关评标信息仍以原定的开标开始时间的信息为准。</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36.2 招标人在招标文件要求提交投标文件的截止时间前收到的投标文件，开标时都当众予以解密、公布。</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36.3根据投标须知前附表第19项，如需抽取某一种评标办法供评标时使用的，应在开标前抽取。首先对招标文件中约定的若干种评标方法进行编号，再随机抽取某一编号，该编号所对应的评标办法供评标时使用。</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36.4若递交投标文件的投标人不足3家，则重新组织招标。（当N个标段同时招标且不允许兼中时，若有效投标人不足N+2家，则重新组织招标）</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36.5按下列程序进行开标：</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36.5.1在投标截止时间后半小时内，投标人通过交易平台对已递交的电子投标文件进行解密。投标人完成解密后，再由招标人进行解密。解密完成后，公布招标项目名称、投标人名称、投标保证金的递交情况、投标报价、工期及其他内容；</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36.5.2备用光盘的读取按投标须知前附表第36项的规定执行；</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36.5.3投标人代表、招标人代表、监标人、记录人等有关人员在开标记录上签字确认；若有关人员不签字的，不影响开标程序；</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36.5.4开标结束。</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36.6投标截止时间前未完成投标文件传输的或因投标人之外的原因造成投标文件未解密且未按要求递交备用光盘的，视为投标人撤回投标文件。因投标人原因造成投标文件未解密或未在规定的时间内解密的，视为撤销其投标文件。</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36.7开标时，两个（含两个）以上的投标人加密打包投标文件电脑机器特征码一致的，不参与下一程序，并由评标委员会否决其投标。</w:t>
      </w:r>
    </w:p>
    <w:p>
      <w:pPr>
        <w:spacing w:line="360" w:lineRule="auto"/>
        <w:ind w:firstLine="422" w:firstLineChars="200"/>
        <w:rPr>
          <w:rFonts w:hint="eastAsia" w:ascii="宋体" w:hAnsi="宋体" w:eastAsia="宋体" w:cs="宋体"/>
          <w:b/>
          <w:bCs/>
          <w:color w:val="auto"/>
          <w:sz w:val="21"/>
          <w:szCs w:val="21"/>
          <w:highlight w:val="none"/>
        </w:rPr>
      </w:pP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37．评标</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37.1评标委员会由招标人依法组建。</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37.2评标委员会的职责及守则：</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37.2.1根据评标细则，对投标文件进行认真评审，完成评审报告；</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37.2.2向招标人报告评审意见，推荐合格的中标候选人。</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37.2.3</w:t>
      </w:r>
      <w:r>
        <w:rPr>
          <w:rFonts w:hint="eastAsia" w:ascii="宋体" w:hAnsi="宋体" w:eastAsia="宋体" w:cs="宋体"/>
          <w:b/>
          <w:bCs/>
          <w:color w:val="auto"/>
          <w:sz w:val="21"/>
          <w:szCs w:val="21"/>
          <w:highlight w:val="none"/>
        </w:rPr>
        <w:t xml:space="preserve"> </w:t>
      </w:r>
      <w:r>
        <w:rPr>
          <w:rFonts w:hint="eastAsia" w:ascii="宋体" w:hAnsi="宋体" w:eastAsia="宋体" w:cs="宋体"/>
          <w:color w:val="auto"/>
          <w:sz w:val="21"/>
          <w:szCs w:val="21"/>
          <w:highlight w:val="none"/>
        </w:rPr>
        <w:t>所有参加评标人员必须遵守国家、地方政府制定的有关工程招标投标的法则、规定，遵守有关工程招标投标的保密制度；如有违反者，给予行政处分；情节严重，构成犯罪的，由司法机关依法追究其刑事责任。</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37.2.4全体参与评标人员：</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37.2.4.1 必须遵守评标纪律、不得泄密；</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37.2.4.2 必须公正、不得循私；</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37.2.4.3 必须科学、不得草率；</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37.2.4.4 必须客观、不得带有成见；</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37.2.4.5 必须平等、不得强加于人；</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37.2.4.6 必须严谨、不得随意马虎。</w:t>
      </w:r>
    </w:p>
    <w:p>
      <w:pPr>
        <w:spacing w:line="360" w:lineRule="auto"/>
        <w:ind w:firstLine="420" w:firstLineChars="200"/>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37.3 评标工作开始前，招标人应当向评标委员会提供评标所需的信息，包括招标项目的范围、性质、特殊性、需求目标和实施要点，以及招标文件规定的评标方法、评标因素及标准等，但不得明示或者暗示其倾向或者排斥特定投标人</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37.</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 xml:space="preserve"> 评标结束后，评标委员会递交评标报告并依法推荐中标候选人。 </w:t>
      </w:r>
    </w:p>
    <w:p>
      <w:pPr>
        <w:spacing w:line="360" w:lineRule="auto"/>
        <w:ind w:firstLine="422" w:firstLineChars="200"/>
        <w:rPr>
          <w:rFonts w:hint="eastAsia" w:ascii="宋体" w:hAnsi="宋体" w:eastAsia="宋体" w:cs="宋体"/>
          <w:b/>
          <w:bCs/>
          <w:color w:val="auto"/>
          <w:sz w:val="21"/>
          <w:szCs w:val="21"/>
          <w:highlight w:val="none"/>
        </w:rPr>
      </w:pP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38．投标文件的澄清</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38.1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的内容作出澄清。</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38.2 投标人应以书面形式进行澄清，澄清中的承诺性意思表示在投标文件有效期内均对投标人有约束力。除评标委员会对评标中发现算术错误进行修正后要求投标人以澄清形式进行的核实和确认外，澄清不得超出投标文件的范围或改变投标文件的实质性内容，超出部分不作为评标委员会评审的依据。</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38.3 评标委员会或评标委员会专业评审组成员均应当阅读投标人的澄清，但应独立参考澄清对投标文件进行评审。</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38.4如果投标文件实质上不响应招标文件的各项要求，评标委员会将按照符合性审查标准予以拒绝，不接受投标人通过修改或撤销其不符合要求的差异或保留，使之成为具有响应性的投标。</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38.5投标人如在本项目中存在串通投标、弄虚作假、行贿情形且在评标过程中未被发现的，该投标不改变本项目评标结果排序，其中标无效。招标人按照《中华人民共和国招标投标法实施条例》第五十五条的规定依次确定中标人或重新招标。</w:t>
      </w: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39．定标</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39.1 招标人根据评标委员会递交的评标报告，最终审定中标人。</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39.2 依法必须进行公开招标的项目，招标人应当确定排名第一的中标候选人为中标人。</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39.3排名第一的中标候选人放弃中标、或因不可抗力提出不能履行合同，或者招标文件规定应当提交履约担保而在规定的期限内未能提交的，招标人可以确定排名第二的中标候选人为中标人。</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39.4排名第二的中标候选人出现前款所列的情形的，招标人可以确定排名第三的中标候选人为中标人。以此类推，如所有中标候选人均出现前款所列的情形，为招标失败，招标人依法重新招标。</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39.5 重新评标的，评标信息（含业绩、奖项等）仍以投标截止时投标人的信息为准。因特殊原因需要延长投标有效期，投标人拒绝延长投标有效期的，仍参与评标，但不被推荐为中标候选人。</w:t>
      </w:r>
    </w:p>
    <w:p>
      <w:pPr>
        <w:pStyle w:val="7"/>
        <w:spacing w:before="156" w:after="156" w:line="360" w:lineRule="auto"/>
        <w:ind w:firstLine="422" w:firstLineChars="200"/>
        <w:rPr>
          <w:rFonts w:hint="eastAsia" w:ascii="宋体" w:hAnsi="宋体" w:eastAsia="宋体" w:cs="宋体"/>
          <w:b/>
          <w:bCs/>
          <w:color w:val="auto"/>
          <w:sz w:val="21"/>
          <w:szCs w:val="21"/>
          <w:highlight w:val="none"/>
        </w:rPr>
      </w:pPr>
      <w:bookmarkStart w:id="24" w:name="_Toc9740"/>
      <w:bookmarkStart w:id="25" w:name="_Toc2272558"/>
      <w:r>
        <w:rPr>
          <w:rFonts w:hint="eastAsia" w:ascii="宋体" w:hAnsi="宋体" w:eastAsia="宋体" w:cs="宋体"/>
          <w:b/>
          <w:bCs/>
          <w:color w:val="auto"/>
          <w:sz w:val="21"/>
          <w:szCs w:val="21"/>
          <w:highlight w:val="none"/>
        </w:rPr>
        <w:t>（二）开标评标办法程序和细则</w:t>
      </w:r>
      <w:bookmarkEnd w:id="24"/>
      <w:bookmarkEnd w:id="25"/>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注：以下七种评标办法所述企业综合诚信评价分数即投标截止当日广州市工程招标代理行业协会网站上公布的企业综合诚信评价60日诚信分。</w:t>
      </w:r>
    </w:p>
    <w:p>
      <w:pPr>
        <w:pStyle w:val="7"/>
        <w:spacing w:before="156" w:after="156" w:line="360" w:lineRule="auto"/>
        <w:ind w:firstLine="420" w:firstLineChars="200"/>
        <w:rPr>
          <w:rFonts w:hint="eastAsia" w:ascii="宋体" w:hAnsi="宋体" w:eastAsia="宋体" w:cs="宋体"/>
          <w:color w:val="auto"/>
          <w:sz w:val="21"/>
          <w:szCs w:val="21"/>
          <w:highlight w:val="none"/>
        </w:rPr>
      </w:pPr>
      <w:bookmarkStart w:id="26" w:name="_Toc3121"/>
      <w:r>
        <w:rPr>
          <w:rFonts w:hint="eastAsia" w:ascii="宋体" w:hAnsi="宋体" w:eastAsia="宋体" w:cs="宋体"/>
          <w:color w:val="auto"/>
          <w:sz w:val="21"/>
          <w:szCs w:val="21"/>
          <w:highlight w:val="none"/>
        </w:rPr>
        <w:t>可选办法七（适合综合评分法四，技术标与经济标同时开启）</w:t>
      </w:r>
      <w:bookmarkEnd w:id="26"/>
    </w:p>
    <w:p>
      <w:pPr>
        <w:snapToGrid w:val="0"/>
        <w:spacing w:line="360" w:lineRule="auto"/>
        <w:ind w:firstLine="422" w:firstLineChars="200"/>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40．开标和评标程序</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40.1技术标（含资格审查文件）与经济标投标文件同时公开开标；</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40.2由评标委员会对所有已公开开标的投标人进行资格审查；</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40.3技术标投标文件有效性审查；</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40.4技术标详细审查评分；</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40.5经济标详细审查评分； </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40.6评标委员会按照投标人总得分由高至低排序；</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40.7经济标投标文件有效性审查；</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40.8评标委员会按排序向招标人推荐中标候选人名单，并递交资格审查报告及评标报告。</w:t>
      </w:r>
    </w:p>
    <w:p>
      <w:pPr>
        <w:snapToGrid w:val="0"/>
        <w:spacing w:line="360" w:lineRule="auto"/>
        <w:ind w:firstLine="422" w:firstLineChars="200"/>
        <w:rPr>
          <w:rFonts w:hint="eastAsia" w:ascii="宋体" w:hAnsi="宋体" w:eastAsia="宋体" w:cs="宋体"/>
          <w:b/>
          <w:bCs/>
          <w:color w:val="auto"/>
          <w:sz w:val="21"/>
          <w:szCs w:val="21"/>
          <w:highlight w:val="none"/>
        </w:rPr>
      </w:pPr>
    </w:p>
    <w:p>
      <w:pPr>
        <w:snapToGrid w:val="0"/>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41．开标细则</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41.1开标由招标人主持；</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41.2 细则</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41.2.1投标截止期前，各投标人递交投标文件（包括技术标投标文件、经济标投标文件）至</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交易平台。有关投标文件提交的事项详见第一章投标须知。 </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41.2.2开标前，首先由招标人随机抽取确定该工程计算评标参考价的等分点值X。</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41.2.3开标时，投标人代表有权参加现场开标或在线开标，也可以自主决定不参加开标，若投标人代表对开标过程有异议的，参加现场开标的应当在开标现场提出，同时出示本人身份证原件，招标人应当当场作出答复，并制作记录；参加在线开标的，投标人应通过交易平台在线提出，招标人应通过交易平台答复，答复后方可结束开标。</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41.2.4按36.5.1的规定完成解密后，公布下列内容，并予以记录，记录提交评标委员会评审： </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41.2.4.1开标时，公布：a、投标人名称；b、投标文件密封情况；c、投标报价；d、投标保证金；e、项目经理（负责人）名称；f、法定代表人证明及授权委托等主要内容及开标记录表中的其他必要内容。投标报价以数字和文字两种方式表述的，应公布文字表述的投标报价。</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41.3招标人对开标过程进行记录，并存档备查，投标人在技术标开标记录上签字。</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41.4 招标人将上述符合要求的投标文件，送至评标委员会进行评审。</w:t>
      </w:r>
    </w:p>
    <w:p>
      <w:pPr>
        <w:pStyle w:val="18"/>
        <w:tabs>
          <w:tab w:val="left" w:pos="7380"/>
        </w:tabs>
        <w:snapToGrid w:val="0"/>
        <w:spacing w:after="0" w:line="360" w:lineRule="auto"/>
        <w:ind w:firstLine="420" w:firstLineChars="200"/>
        <w:rPr>
          <w:rFonts w:hint="eastAsia" w:ascii="宋体" w:hAnsi="宋体" w:eastAsia="宋体" w:cs="宋体"/>
          <w:color w:val="auto"/>
          <w:sz w:val="21"/>
          <w:szCs w:val="21"/>
          <w:highlight w:val="none"/>
        </w:rPr>
      </w:pPr>
    </w:p>
    <w:p>
      <w:pPr>
        <w:pStyle w:val="18"/>
        <w:tabs>
          <w:tab w:val="left" w:pos="7380"/>
        </w:tabs>
        <w:snapToGrid w:val="0"/>
        <w:spacing w:after="0"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42. 资格审查及评标细则</w:t>
      </w:r>
    </w:p>
    <w:p>
      <w:pPr>
        <w:pStyle w:val="18"/>
        <w:tabs>
          <w:tab w:val="left" w:pos="7380"/>
        </w:tabs>
        <w:snapToGrid w:val="0"/>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42.1资格审查及评标均由招标人依法组建的评标委员会负责。</w:t>
      </w:r>
    </w:p>
    <w:p>
      <w:pPr>
        <w:pStyle w:val="18"/>
        <w:tabs>
          <w:tab w:val="left" w:pos="7380"/>
        </w:tabs>
        <w:snapToGrid w:val="0"/>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42.2评标委员会的组成：方式</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方式一：评标委员会为综合评标委员会，负责资格审查及评标工作。</w:t>
      </w:r>
    </w:p>
    <w:p>
      <w:pPr>
        <w:pStyle w:val="18"/>
        <w:tabs>
          <w:tab w:val="left" w:pos="7380"/>
        </w:tabs>
        <w:snapToGrid w:val="0"/>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方式二：评标委员会由技术评审组和经济评审组组成。其中：资格审查及技术评审由技术评标组负责，经济评审由经济评审组负责。</w:t>
      </w:r>
    </w:p>
    <w:p>
      <w:pPr>
        <w:pStyle w:val="18"/>
        <w:tabs>
          <w:tab w:val="left" w:pos="7380"/>
        </w:tabs>
        <w:snapToGrid w:val="0"/>
        <w:spacing w:after="0"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43．投标人资格审查</w:t>
      </w:r>
    </w:p>
    <w:p>
      <w:pPr>
        <w:pStyle w:val="18"/>
        <w:tabs>
          <w:tab w:val="left" w:pos="7380"/>
        </w:tabs>
        <w:snapToGrid w:val="0"/>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43.1资格审查文件中全部符合附表一《资格审查表》中情形的，为资格审查合格；否则为资格审查不合格。如评标委员会成员的评审意见不一致时，以评标委员会过半数成员的意见作为评标委员会对该情形的认定结论。评委发现资格审查文件中含义不明确、对同类问题表述不一致、有明显文字和计算错误的，应当要求投标人作必要的澄清、说明后再判定投标人是否通过资格审查，不得直接认定其不通过资格审查。</w:t>
      </w:r>
    </w:p>
    <w:p>
      <w:pPr>
        <w:pStyle w:val="18"/>
        <w:tabs>
          <w:tab w:val="left" w:pos="7380"/>
        </w:tabs>
        <w:snapToGrid w:val="0"/>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43.2汇总资格审查情况，编写资格审查报告。</w:t>
      </w:r>
    </w:p>
    <w:p>
      <w:pPr>
        <w:pStyle w:val="18"/>
        <w:tabs>
          <w:tab w:val="left" w:pos="7380"/>
        </w:tabs>
        <w:snapToGrid w:val="0"/>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43.3资格审查不合格的投标文件不参加下一阶段的评标，不参与评标参考价的计算。</w:t>
      </w:r>
    </w:p>
    <w:p>
      <w:pPr>
        <w:pStyle w:val="18"/>
        <w:tabs>
          <w:tab w:val="left" w:pos="7380"/>
        </w:tabs>
        <w:snapToGrid w:val="0"/>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43.4资格审查时，投标企业名称已经工商变更的，但企业及个人的资质证书未完成企业名称变更，仍然承认其有效。资质证书、安全生产许可证之间登记的信息不一致，应当允许投标人澄清，不得直接否决其投标。</w:t>
      </w:r>
    </w:p>
    <w:p>
      <w:pPr>
        <w:pStyle w:val="18"/>
        <w:tabs>
          <w:tab w:val="left" w:pos="7380"/>
        </w:tabs>
        <w:snapToGrid w:val="0"/>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43.5资审合格后，投标人的资格发生变化而不满足投标人合格条件，在发出中标通知书前，资格问题仍未解决的，招标人将取消其中标资格。</w:t>
      </w:r>
    </w:p>
    <w:p>
      <w:pPr>
        <w:pStyle w:val="18"/>
        <w:tabs>
          <w:tab w:val="left" w:pos="7380"/>
        </w:tabs>
        <w:snapToGrid w:val="0"/>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43.6资格审查合格的投标人少于3名的（当N个标段同时招标且不允许兼中时，资格审查合格的投标人少于N+2名），则本项目招标失败。</w:t>
      </w:r>
    </w:p>
    <w:p>
      <w:pPr>
        <w:pStyle w:val="18"/>
        <w:tabs>
          <w:tab w:val="left" w:pos="7380"/>
        </w:tabs>
        <w:snapToGrid w:val="0"/>
        <w:spacing w:after="0"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44．技术标评审</w:t>
      </w:r>
    </w:p>
    <w:p>
      <w:pPr>
        <w:pStyle w:val="18"/>
        <w:tabs>
          <w:tab w:val="left" w:pos="7380"/>
        </w:tabs>
        <w:snapToGrid w:val="0"/>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44.1技术标的有效性审查：投标文件中没有任一种列于本办法附表二《技术标有效性审查表》中情形的，为有效投标文件。否则其投标文件将被否决。被否决的投标人不参与下一阶段评审，不参与评标参考价的计算。如评标委员会成员的评审意见不一致时，以评标委员会过半数成员的意见作为评标委员会对该情形的认定结论。若通过技术标有效性审查的投标人不足三家，则重新招标。（当N个标段同时招标且不允许兼中时，若通过技术标有效性审查投标人不足N+2家，则重新招标）。评委发现投标文件中含义不明确、对同类问题表述不一致、有明显文字和计算错误的，应当要求投标人作必要的澄清、说明后再判定投标人是否通过有效性审查，不得直接否决投标。</w:t>
      </w:r>
    </w:p>
    <w:p>
      <w:pPr>
        <w:pStyle w:val="18"/>
        <w:tabs>
          <w:tab w:val="left" w:pos="7380"/>
        </w:tabs>
        <w:snapToGrid w:val="0"/>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44.2技术标详细审查评分：评标委员会按照附表四《技术标详细审查评分表》的标准，对通过技术标有效性审查的投标文件技术标进行详细审查，评出技术分，得分四舍五入精确到小数点后两位。</w:t>
      </w:r>
    </w:p>
    <w:p>
      <w:pPr>
        <w:pStyle w:val="18"/>
        <w:tabs>
          <w:tab w:val="left" w:pos="7380"/>
        </w:tabs>
        <w:snapToGrid w:val="0"/>
        <w:spacing w:after="0" w:line="360" w:lineRule="auto"/>
        <w:ind w:firstLine="422" w:firstLineChars="200"/>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45．经济标评审和得分汇总</w:t>
      </w:r>
    </w:p>
    <w:p>
      <w:pPr>
        <w:pStyle w:val="18"/>
        <w:tabs>
          <w:tab w:val="left" w:pos="7380"/>
        </w:tabs>
        <w:snapToGrid w:val="0"/>
        <w:spacing w:after="0"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45.</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若通过技术标有效性审查的投标人中所有投标报价均大于等于最高投标限价，则本项目招标失败，由招标人依法重新招标</w:t>
      </w:r>
      <w:r>
        <w:rPr>
          <w:rFonts w:hint="eastAsia" w:ascii="宋体" w:hAnsi="宋体" w:cs="宋体"/>
          <w:color w:val="auto"/>
          <w:sz w:val="21"/>
          <w:szCs w:val="21"/>
          <w:highlight w:val="none"/>
          <w:lang w:eastAsia="zh-CN"/>
        </w:rPr>
        <w:t>。</w:t>
      </w:r>
    </w:p>
    <w:p>
      <w:pPr>
        <w:pStyle w:val="18"/>
        <w:tabs>
          <w:tab w:val="left" w:pos="7380"/>
        </w:tabs>
        <w:snapToGrid w:val="0"/>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45.2</w:t>
      </w:r>
      <w:r>
        <w:rPr>
          <w:rFonts w:hint="eastAsia" w:ascii="宋体" w:hAnsi="宋体" w:eastAsia="宋体" w:cs="宋体"/>
          <w:color w:val="auto"/>
          <w:sz w:val="21"/>
          <w:szCs w:val="21"/>
          <w:highlight w:val="none"/>
        </w:rPr>
        <w:t>按方法</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计算评标参考价：</w:t>
      </w:r>
    </w:p>
    <w:p>
      <w:pPr>
        <w:widowControl/>
        <w:spacing w:line="360" w:lineRule="auto"/>
        <w:ind w:firstLine="422" w:firstLineChars="200"/>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方法一：加权平均法</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技术标或技术标加诚信得分（具体由招标人自定）前N名（N≥5，具体由招标人自定）的经济报价加权平均，计算评标参考价。公式如下：</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评标参考价=Σ（投标人的投标报价*报价权重）。</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其中：报价权重的计算方法为：将N名投标人按技术分由高至低进行排序，第一名投标人的权重为（</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QUOTE </w:instrText>
      </w:r>
      <w:r>
        <w:rPr>
          <w:rFonts w:hint="eastAsia" w:ascii="宋体" w:hAnsi="宋体" w:eastAsia="宋体" w:cs="宋体"/>
          <w:color w:val="auto"/>
          <w:sz w:val="21"/>
          <w:szCs w:val="21"/>
          <w:highlight w:val="none"/>
        </w:rPr>
        <w:drawing>
          <wp:inline distT="0" distB="0" distL="114300" distR="114300">
            <wp:extent cx="381000" cy="447675"/>
            <wp:effectExtent l="0" t="0" r="0" b="8890"/>
            <wp:docPr id="2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7"/>
                    <pic:cNvPicPr>
                      <a:picLocks noChangeAspect="1"/>
                    </pic:cNvPicPr>
                  </pic:nvPicPr>
                  <pic:blipFill>
                    <a:blip r:embed="rId19">
                      <a:clrChange>
                        <a:clrFrom>
                          <a:srgbClr val="FFFFFF"/>
                        </a:clrFrom>
                        <a:clrTo>
                          <a:srgbClr val="FFFFFF">
                            <a:alpha val="0"/>
                          </a:srgbClr>
                        </a:clrTo>
                      </a:clrChange>
                    </a:blip>
                    <a:stretch>
                      <a:fillRect/>
                    </a:stretch>
                  </pic:blipFill>
                  <pic:spPr>
                    <a:xfrm>
                      <a:off x="0" y="0"/>
                      <a:ext cx="381000" cy="447675"/>
                    </a:xfrm>
                    <a:prstGeom prst="rect">
                      <a:avLst/>
                    </a:prstGeom>
                    <a:noFill/>
                    <a:ln>
                      <a:noFill/>
                    </a:ln>
                  </pic:spPr>
                </pic:pic>
              </a:graphicData>
            </a:graphic>
          </wp:inline>
        </w:drawing>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drawing>
          <wp:inline distT="0" distB="0" distL="114300" distR="114300">
            <wp:extent cx="381000" cy="447675"/>
            <wp:effectExtent l="0" t="0" r="0" b="8890"/>
            <wp:docPr id="2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8"/>
                    <pic:cNvPicPr>
                      <a:picLocks noChangeAspect="1"/>
                    </pic:cNvPicPr>
                  </pic:nvPicPr>
                  <pic:blipFill>
                    <a:blip r:embed="rId19">
                      <a:clrChange>
                        <a:clrFrom>
                          <a:srgbClr val="FFFFFF"/>
                        </a:clrFrom>
                        <a:clrTo>
                          <a:srgbClr val="FFFFFF">
                            <a:alpha val="0"/>
                          </a:srgbClr>
                        </a:clrTo>
                      </a:clrChange>
                    </a:blip>
                    <a:stretch>
                      <a:fillRect/>
                    </a:stretch>
                  </pic:blipFill>
                  <pic:spPr>
                    <a:xfrm>
                      <a:off x="0" y="0"/>
                      <a:ext cx="381000" cy="447675"/>
                    </a:xfrm>
                    <a:prstGeom prst="rect">
                      <a:avLst/>
                    </a:prstGeom>
                    <a:noFill/>
                    <a:ln>
                      <a:noFill/>
                    </a:ln>
                  </pic:spPr>
                </pic:pic>
              </a:graphicData>
            </a:graphic>
          </wp:inline>
        </w:drawing>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），第二名投标人的权重为（</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QUOTE </w:instrText>
      </w:r>
      <w:r>
        <w:rPr>
          <w:rFonts w:hint="eastAsia" w:ascii="宋体" w:hAnsi="宋体" w:eastAsia="宋体" w:cs="宋体"/>
          <w:color w:val="auto"/>
          <w:position w:val="-23"/>
          <w:sz w:val="21"/>
          <w:szCs w:val="21"/>
          <w:highlight w:val="none"/>
        </w:rPr>
        <w:drawing>
          <wp:inline distT="0" distB="0" distL="114300" distR="114300">
            <wp:extent cx="323850" cy="400050"/>
            <wp:effectExtent l="0" t="0" r="0" b="0"/>
            <wp:docPr id="1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9"/>
                    <pic:cNvPicPr>
                      <a:picLocks noChangeAspect="1"/>
                    </pic:cNvPicPr>
                  </pic:nvPicPr>
                  <pic:blipFill>
                    <a:blip r:embed="rId20">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position w:val="-23"/>
          <w:sz w:val="21"/>
          <w:szCs w:val="21"/>
          <w:highlight w:val="none"/>
        </w:rPr>
        <w:drawing>
          <wp:inline distT="0" distB="0" distL="114300" distR="114300">
            <wp:extent cx="323850" cy="400050"/>
            <wp:effectExtent l="0" t="0" r="0" b="0"/>
            <wp:docPr id="2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0"/>
                    <pic:cNvPicPr>
                      <a:picLocks noChangeAspect="1"/>
                    </pic:cNvPicPr>
                  </pic:nvPicPr>
                  <pic:blipFill>
                    <a:blip r:embed="rId20">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），以此类推，最后一名投标人的权重为（</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QUOTE </w:instrText>
      </w:r>
      <w:r>
        <w:rPr>
          <w:rFonts w:hint="eastAsia" w:ascii="宋体" w:hAnsi="宋体" w:eastAsia="宋体" w:cs="宋体"/>
          <w:color w:val="auto"/>
          <w:position w:val="-23"/>
          <w:sz w:val="21"/>
          <w:szCs w:val="21"/>
          <w:highlight w:val="none"/>
        </w:rPr>
        <w:drawing>
          <wp:inline distT="0" distB="0" distL="114300" distR="114300">
            <wp:extent cx="323850" cy="400050"/>
            <wp:effectExtent l="0" t="0" r="0" b="0"/>
            <wp:docPr id="2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1"/>
                    <pic:cNvPicPr>
                      <a:picLocks noChangeAspect="1"/>
                    </pic:cNvPicPr>
                  </pic:nvPicPr>
                  <pic:blipFill>
                    <a:blip r:embed="rId21">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position w:val="-23"/>
          <w:sz w:val="21"/>
          <w:szCs w:val="21"/>
          <w:highlight w:val="none"/>
        </w:rPr>
        <w:drawing>
          <wp:inline distT="0" distB="0" distL="114300" distR="114300">
            <wp:extent cx="323850" cy="400050"/>
            <wp:effectExtent l="0" t="0" r="0" b="0"/>
            <wp:docPr id="2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2"/>
                    <pic:cNvPicPr>
                      <a:picLocks noChangeAspect="1"/>
                    </pic:cNvPicPr>
                  </pic:nvPicPr>
                  <pic:blipFill>
                    <a:blip r:embed="rId21">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w:t>
      </w:r>
    </w:p>
    <w:p>
      <w:pPr>
        <w:widowControl/>
        <w:spacing w:line="360" w:lineRule="auto"/>
        <w:ind w:firstLine="422" w:firstLineChars="200"/>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方法二：区间抽取法</w:t>
      </w:r>
    </w:p>
    <w:p>
      <w:pPr>
        <w:widowControl/>
        <w:snapToGrid w:val="0"/>
        <w:spacing w:line="360" w:lineRule="auto"/>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设立入围合格分数线（技术标或技术标加诚信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pPr>
        <w:widowControl/>
        <w:snapToGrid w:val="0"/>
        <w:spacing w:line="360" w:lineRule="auto"/>
        <w:ind w:firstLine="420" w:firstLineChars="200"/>
        <w:rPr>
          <w:rFonts w:hint="eastAsia" w:ascii="宋体" w:hAnsi="宋体" w:eastAsia="宋体" w:cs="宋体"/>
          <w:color w:val="auto"/>
          <w:kern w:val="0"/>
          <w:sz w:val="21"/>
          <w:szCs w:val="21"/>
          <w:highlight w:val="none"/>
          <w:vertAlign w:val="subscript"/>
        </w:rPr>
      </w:pPr>
      <w:r>
        <w:rPr>
          <w:rFonts w:hint="eastAsia" w:ascii="宋体" w:hAnsi="宋体" w:eastAsia="宋体" w:cs="宋体"/>
          <w:color w:val="auto"/>
          <w:kern w:val="0"/>
          <w:sz w:val="21"/>
          <w:szCs w:val="21"/>
          <w:highlight w:val="none"/>
        </w:rPr>
        <w:t>评标参考价=（Q</w:t>
      </w:r>
      <w:r>
        <w:rPr>
          <w:rFonts w:hint="eastAsia" w:ascii="宋体" w:hAnsi="宋体" w:eastAsia="宋体" w:cs="宋体"/>
          <w:color w:val="auto"/>
          <w:kern w:val="0"/>
          <w:sz w:val="21"/>
          <w:szCs w:val="21"/>
          <w:highlight w:val="none"/>
          <w:vertAlign w:val="subscript"/>
        </w:rPr>
        <w:t>高</w:t>
      </w:r>
      <w:r>
        <w:rPr>
          <w:rFonts w:hint="eastAsia" w:ascii="宋体" w:hAnsi="宋体" w:eastAsia="宋体" w:cs="宋体"/>
          <w:color w:val="auto"/>
          <w:kern w:val="0"/>
          <w:sz w:val="21"/>
          <w:szCs w:val="21"/>
          <w:highlight w:val="none"/>
        </w:rPr>
        <w:t>-Q</w:t>
      </w:r>
      <w:r>
        <w:rPr>
          <w:rFonts w:hint="eastAsia" w:ascii="宋体" w:hAnsi="宋体" w:eastAsia="宋体" w:cs="宋体"/>
          <w:color w:val="auto"/>
          <w:kern w:val="0"/>
          <w:sz w:val="21"/>
          <w:szCs w:val="21"/>
          <w:highlight w:val="none"/>
          <w:vertAlign w:val="subscript"/>
        </w:rPr>
        <w:t>低</w:t>
      </w:r>
      <w:r>
        <w:rPr>
          <w:rFonts w:hint="eastAsia" w:ascii="宋体" w:hAnsi="宋体" w:eastAsia="宋体" w:cs="宋体"/>
          <w:color w:val="auto"/>
          <w:kern w:val="0"/>
          <w:sz w:val="21"/>
          <w:szCs w:val="21"/>
          <w:highlight w:val="none"/>
        </w:rPr>
        <w:t>）/100*Ｘ+Q</w:t>
      </w:r>
      <w:r>
        <w:rPr>
          <w:rFonts w:hint="eastAsia" w:ascii="宋体" w:hAnsi="宋体" w:eastAsia="宋体" w:cs="宋体"/>
          <w:color w:val="auto"/>
          <w:kern w:val="0"/>
          <w:sz w:val="21"/>
          <w:szCs w:val="21"/>
          <w:highlight w:val="none"/>
          <w:vertAlign w:val="subscript"/>
        </w:rPr>
        <w:t>低</w:t>
      </w:r>
    </w:p>
    <w:p>
      <w:pPr>
        <w:widowControl/>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Q</w:t>
      </w:r>
      <w:r>
        <w:rPr>
          <w:rFonts w:hint="eastAsia" w:ascii="宋体" w:hAnsi="宋体" w:eastAsia="宋体" w:cs="宋体"/>
          <w:color w:val="auto"/>
          <w:sz w:val="21"/>
          <w:szCs w:val="21"/>
          <w:highlight w:val="none"/>
          <w:vertAlign w:val="subscript"/>
        </w:rPr>
        <w:t>低</w:t>
      </w:r>
      <w:r>
        <w:rPr>
          <w:rFonts w:hint="eastAsia" w:ascii="宋体" w:hAnsi="宋体" w:eastAsia="宋体" w:cs="宋体"/>
          <w:color w:val="auto"/>
          <w:sz w:val="21"/>
          <w:szCs w:val="21"/>
          <w:highlight w:val="none"/>
        </w:rPr>
        <w:t>：为达到或超过技术标及格分数线的投标人最低报价与工程成本警示价两者中的较高值；</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Q</w:t>
      </w:r>
      <w:r>
        <w:rPr>
          <w:rFonts w:hint="eastAsia" w:ascii="宋体" w:hAnsi="宋体" w:eastAsia="宋体" w:cs="宋体"/>
          <w:color w:val="auto"/>
          <w:kern w:val="0"/>
          <w:sz w:val="21"/>
          <w:szCs w:val="21"/>
          <w:highlight w:val="none"/>
          <w:vertAlign w:val="subscript"/>
        </w:rPr>
        <w:t>高</w:t>
      </w:r>
      <w:r>
        <w:rPr>
          <w:rFonts w:hint="eastAsia" w:ascii="宋体" w:hAnsi="宋体" w:eastAsia="宋体" w:cs="宋体"/>
          <w:color w:val="auto"/>
          <w:sz w:val="21"/>
          <w:szCs w:val="21"/>
          <w:highlight w:val="none"/>
        </w:rPr>
        <w:t>：为最高投标限价</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X:为等分点值，在开标前从[0,100]整数中随机抽取</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45.3</w:t>
      </w:r>
      <w:r>
        <w:rPr>
          <w:rFonts w:hint="eastAsia" w:ascii="宋体" w:hAnsi="宋体" w:eastAsia="宋体" w:cs="宋体"/>
          <w:color w:val="auto"/>
          <w:sz w:val="21"/>
          <w:szCs w:val="21"/>
          <w:highlight w:val="none"/>
        </w:rPr>
        <w:t>当标价等于评标参考价时得100分，标价每高于评标参考价1%，扣1.5分，每低于评标参考价1%，扣1分，扣至0分为止，得出经济分，精确到小数点后两位。</w:t>
      </w:r>
    </w:p>
    <w:p>
      <w:pPr>
        <w:pStyle w:val="18"/>
        <w:tabs>
          <w:tab w:val="left" w:pos="7380"/>
        </w:tabs>
        <w:snapToGrid w:val="0"/>
        <w:spacing w:after="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45.4计算通过技术标有效性审查的投标人总得分。投标人总得分=（技术得分×技术得分权重＋经济得分×经济得分权重）×（1-综合诚信评价分数权重）＋综合诚信评价排名得分×综合诚信评价分数权重）。技术、经济得分权重按投标须知前附表的规定执行。总得分四舍五入保留两位小数。</w:t>
      </w:r>
    </w:p>
    <w:p>
      <w:pPr>
        <w:pStyle w:val="18"/>
        <w:tabs>
          <w:tab w:val="left" w:pos="7380"/>
        </w:tabs>
        <w:snapToGrid w:val="0"/>
        <w:spacing w:after="0" w:line="360" w:lineRule="auto"/>
        <w:ind w:firstLine="422" w:firstLineChars="200"/>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46.经济标的有效性审查</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46.1经济标的有效性审查：按照投标人总得分排序，依次对投标文件进行经济标有效性审查，投标文件中没有任一种列于本办法附表三《经济标有效性审查表》中情形的，为有效投标文件，否则其投标文件将被否决。如评标委员会成员的评审意见不一致时，以评标委员会过半数成员的意见作为评标委员会对该情形的认定结论。评委发现投标文件中含义不明确、对同类问题表述不一致、有明显文字和计算错误、投标报价可能低于成本影响履约的，应当要求投标人作必要的澄清、说明后再判定投标人是否通过有效性审查，不得直接否决投标。</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46.2经济标的算术校核。评标委员会对进行经济标有效性审查的投标文件投标报价按照就低不就高的原则进行算术校核，具体标准如下：</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46.2.1如果数字表示的金额和用文字表示的金额不一致时，应以文字表示的金额为准；</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46.2.2经算术复核的投标人报价与其投标报价不一致时，按就低不就高原则确定其最终报价；</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46.2.3当单价与数量均符合招标文件要求时，若单价与数量的乘积与合价不一致时，按就低不就高原则确定修改单价或是合价。当单价与数量的乘积小于合价，以单价为准，修改合价，除非评标委员会认为单价有明显的小数点错误，此时应以标出的合价为准，并修改单价；当单价与数量的乘积大于合价，以合价为准，修改单价；</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46.2.4当合价、金额累加错误时，按就低不就高原则，如果累加修正值小于原累加值，则按累加修正值；如果累加修正值大于原累加值，则按原累加值；</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46.2.5如果投标人的有关规费、暂列金额、暂估价、绿色施工安全防护措施费等未按招标文件规定的金额填写的，由评标委员会按照招标文件规定的金额进行修正；</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46.2.6①分部分项工程量比招标文件少、单位比招标文件小或错误时，以招标文件的工程量或单位为准，合价不变，修改综合单价。分部分项工程量比招标文件多或单位比招标文件大时，工程量、单位、综合单价及合价均不作修改；②分部分项项目对比招标文件（招标工程量清单）漏项的，则该漏项费用视为已分配在其他项目中，不再修改；③分部分项工程量清单中的综合单价与综合单价分析表中的综合单价不一致时，以价低者为准；④分部分项工程量计价表中的项目编码或项目名称或计量单位或工程数量缺省或不填时，由评委以招标文件中招标人工程量清单为准进行修正；若同时缺省或不填项目编码和项目名称，则该项按增项处理；⑤分部分项项目增项的，不予修改；⑥其它招标文件规定需要修改的，均以就低不就高原则进行修改；</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46.2.7按就低不就高原则，当修正后报价小于原报价，总价按修正后报价；当修正后报价大于原报价，总价按原报价，并在签订合同时载明在结算价中扣除修正报价与原报价的差额。</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46.2.8按上述修正错误的原则及方法调整或修正投标文件的投标报价，调整后的投标报价对投标人起约束作用。如果投标人不接受修正后的报价，则取消其投标资格，并且其投标保证金也将不予退还。</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47.评标委员会按只有通过有效性审查的投标人的投标文件方可进入下一阶段评审的评审原则，根据有效性审查结果，取消被否决投标的投标人的排序，其余通过有效性审查的投标人的排序依次上升替补确定，以此类推。直至评审出3名投标人通过经济标有效性审查，经济标有效性审查结束。</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48.评标委员会应在通过投标文件经济标有效性审查的投标人中，按步骤45.4确定的投标人第二阶段排序，推荐前3名依次为第一中标候选人至第三中标候选人,并编制评标报告。</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49.若通过经济标有效性审查的投标人不足三家，应当依法重新招标。（当N个标段同时招标且不允许兼中时，若有效投标人不足N+2家，应当依法重新招标）</w:t>
      </w:r>
    </w:p>
    <w:bookmarkEnd w:id="20"/>
    <w:bookmarkEnd w:id="21"/>
    <w:p>
      <w:pPr>
        <w:spacing w:line="360" w:lineRule="auto"/>
        <w:rPr>
          <w:rFonts w:hint="eastAsia" w:ascii="宋体" w:hAnsi="宋体" w:eastAsia="宋体" w:cs="宋体"/>
          <w:color w:val="auto"/>
          <w:sz w:val="21"/>
          <w:szCs w:val="21"/>
          <w:highlight w:val="none"/>
        </w:rPr>
      </w:pPr>
    </w:p>
    <w:p>
      <w:pPr>
        <w:widowControl/>
        <w:snapToGrid w:val="0"/>
        <w:spacing w:line="360" w:lineRule="auto"/>
        <w:ind w:right="102"/>
        <w:jc w:val="left"/>
        <w:rPr>
          <w:rFonts w:hint="eastAsia" w:ascii="宋体" w:hAnsi="宋体" w:eastAsia="宋体" w:cs="宋体"/>
          <w:color w:val="auto"/>
          <w:sz w:val="21"/>
          <w:szCs w:val="21"/>
          <w:highlight w:val="none"/>
        </w:rPr>
        <w:sectPr>
          <w:headerReference r:id="rId5" w:type="first"/>
          <w:footerReference r:id="rId8" w:type="first"/>
          <w:headerReference r:id="rId3" w:type="default"/>
          <w:footerReference r:id="rId6" w:type="default"/>
          <w:headerReference r:id="rId4" w:type="even"/>
          <w:footerReference r:id="rId7" w:type="even"/>
          <w:endnotePr>
            <w:numFmt w:val="decimal"/>
          </w:endnotePr>
          <w:pgSz w:w="11906" w:h="16838"/>
          <w:pgMar w:top="1440" w:right="1080" w:bottom="1440" w:left="1080" w:header="851" w:footer="907" w:gutter="0"/>
          <w:cols w:space="720" w:num="1"/>
          <w:titlePg/>
          <w:docGrid w:type="lines" w:linePitch="312" w:charSpace="0"/>
        </w:sectPr>
      </w:pPr>
    </w:p>
    <w:p>
      <w:pPr>
        <w:widowControl/>
        <w:snapToGrid w:val="0"/>
        <w:spacing w:line="360" w:lineRule="auto"/>
        <w:ind w:right="102"/>
        <w:jc w:val="left"/>
        <w:rPr>
          <w:rFonts w:ascii="宋体"/>
          <w:color w:val="auto"/>
          <w:szCs w:val="21"/>
          <w:highlight w:val="none"/>
        </w:rPr>
      </w:pPr>
      <w:r>
        <w:rPr>
          <w:rFonts w:hint="eastAsia" w:ascii="宋体" w:hAnsi="宋体"/>
          <w:color w:val="auto"/>
          <w:szCs w:val="21"/>
          <w:highlight w:val="none"/>
        </w:rPr>
        <w:t>附表一：</w:t>
      </w:r>
    </w:p>
    <w:p>
      <w:pPr>
        <w:jc w:val="center"/>
        <w:rPr>
          <w:b/>
          <w:color w:val="auto"/>
          <w:sz w:val="32"/>
          <w:szCs w:val="32"/>
          <w:highlight w:val="none"/>
        </w:rPr>
      </w:pPr>
      <w:r>
        <w:rPr>
          <w:rFonts w:hint="eastAsia"/>
          <w:b/>
          <w:color w:val="auto"/>
          <w:sz w:val="32"/>
          <w:szCs w:val="32"/>
          <w:highlight w:val="none"/>
        </w:rPr>
        <w:t>资格审查表</w:t>
      </w:r>
    </w:p>
    <w:p>
      <w:pPr>
        <w:spacing w:line="360" w:lineRule="auto"/>
        <w:rPr>
          <w:color w:val="auto"/>
          <w:sz w:val="24"/>
          <w:szCs w:val="24"/>
          <w:highlight w:val="none"/>
        </w:rPr>
      </w:pPr>
      <w:r>
        <w:rPr>
          <w:rFonts w:hint="eastAsia"/>
          <w:color w:val="auto"/>
          <w:sz w:val="24"/>
          <w:szCs w:val="24"/>
          <w:highlight w:val="none"/>
        </w:rPr>
        <w:t>工程名称：</w:t>
      </w:r>
    </w:p>
    <w:p>
      <w:pPr>
        <w:spacing w:line="360" w:lineRule="auto"/>
        <w:rPr>
          <w:color w:val="auto"/>
          <w:sz w:val="24"/>
          <w:szCs w:val="24"/>
          <w:highlight w:val="none"/>
        </w:rPr>
      </w:pPr>
      <w:r>
        <w:rPr>
          <w:rFonts w:hint="eastAsia"/>
          <w:color w:val="auto"/>
          <w:sz w:val="24"/>
          <w:szCs w:val="24"/>
          <w:highlight w:val="none"/>
        </w:rPr>
        <w:t>投标人名称：</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6831"/>
        <w:gridCol w:w="6350"/>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tcBorders>
              <w:top w:val="single" w:color="auto" w:sz="4" w:space="0"/>
              <w:left w:val="single" w:color="auto" w:sz="4" w:space="0"/>
              <w:bottom w:val="single" w:color="auto" w:sz="4" w:space="0"/>
              <w:right w:val="single" w:color="auto" w:sz="4" w:space="0"/>
            </w:tcBorders>
            <w:noWrap w:val="0"/>
            <w:vAlign w:val="center"/>
          </w:tcPr>
          <w:p>
            <w:pPr>
              <w:spacing w:before="120" w:after="60"/>
              <w:jc w:val="center"/>
              <w:rPr>
                <w:rFonts w:ascii="宋体" w:hAnsi="宋体"/>
                <w:b/>
                <w:color w:val="auto"/>
                <w:szCs w:val="21"/>
                <w:highlight w:val="none"/>
              </w:rPr>
            </w:pPr>
            <w:r>
              <w:rPr>
                <w:rFonts w:hint="eastAsia" w:ascii="宋体" w:hAnsi="宋体"/>
                <w:b/>
                <w:color w:val="auto"/>
                <w:szCs w:val="21"/>
                <w:highlight w:val="none"/>
              </w:rPr>
              <w:t>序号</w:t>
            </w:r>
          </w:p>
        </w:tc>
        <w:tc>
          <w:tcPr>
            <w:tcW w:w="6831" w:type="dxa"/>
            <w:tcBorders>
              <w:top w:val="single" w:color="auto" w:sz="4" w:space="0"/>
              <w:left w:val="single" w:color="auto" w:sz="4" w:space="0"/>
              <w:bottom w:val="single" w:color="auto" w:sz="4" w:space="0"/>
              <w:right w:val="single" w:color="auto" w:sz="4" w:space="0"/>
            </w:tcBorders>
            <w:noWrap w:val="0"/>
            <w:vAlign w:val="center"/>
          </w:tcPr>
          <w:p>
            <w:pPr>
              <w:spacing w:before="120" w:after="60"/>
              <w:jc w:val="center"/>
              <w:rPr>
                <w:rFonts w:ascii="宋体" w:hAnsi="宋体"/>
                <w:b/>
                <w:color w:val="auto"/>
                <w:szCs w:val="21"/>
                <w:highlight w:val="none"/>
              </w:rPr>
            </w:pPr>
            <w:r>
              <w:rPr>
                <w:rFonts w:hint="eastAsia" w:ascii="宋体" w:hAnsi="宋体"/>
                <w:b/>
                <w:color w:val="auto"/>
                <w:szCs w:val="21"/>
                <w:highlight w:val="none"/>
              </w:rPr>
              <w:t>审查项目</w:t>
            </w:r>
          </w:p>
        </w:tc>
        <w:tc>
          <w:tcPr>
            <w:tcW w:w="6350" w:type="dxa"/>
            <w:tcBorders>
              <w:top w:val="single" w:color="auto" w:sz="4" w:space="0"/>
              <w:left w:val="single" w:color="auto" w:sz="4" w:space="0"/>
              <w:bottom w:val="single" w:color="auto" w:sz="4" w:space="0"/>
              <w:right w:val="single" w:color="auto" w:sz="4" w:space="0"/>
            </w:tcBorders>
            <w:noWrap w:val="0"/>
            <w:vAlign w:val="center"/>
          </w:tcPr>
          <w:p>
            <w:pPr>
              <w:spacing w:before="120" w:after="60"/>
              <w:jc w:val="center"/>
              <w:rPr>
                <w:rFonts w:ascii="宋体" w:hAnsi="宋体"/>
                <w:b/>
                <w:color w:val="auto"/>
                <w:szCs w:val="21"/>
                <w:highlight w:val="none"/>
              </w:rPr>
            </w:pPr>
            <w:r>
              <w:rPr>
                <w:rFonts w:hint="eastAsia" w:ascii="宋体" w:hAnsi="宋体"/>
                <w:b/>
                <w:color w:val="auto"/>
                <w:szCs w:val="21"/>
                <w:highlight w:val="none"/>
              </w:rPr>
              <w:t>须审查的资料</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before="120" w:after="60"/>
              <w:jc w:val="center"/>
              <w:rPr>
                <w:rFonts w:ascii="宋体" w:hAnsi="宋体"/>
                <w:b/>
                <w:color w:val="auto"/>
                <w:szCs w:val="21"/>
                <w:highlight w:val="none"/>
              </w:rPr>
            </w:pPr>
            <w:r>
              <w:rPr>
                <w:rFonts w:hint="eastAsia" w:ascii="宋体" w:hAnsi="宋体"/>
                <w:b/>
                <w:color w:val="auto"/>
                <w:szCs w:val="21"/>
                <w:highlight w:val="none"/>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7" w:type="dxa"/>
            <w:tcBorders>
              <w:top w:val="single" w:color="auto" w:sz="4" w:space="0"/>
              <w:left w:val="single" w:color="auto" w:sz="4" w:space="0"/>
              <w:bottom w:val="single" w:color="auto" w:sz="4" w:space="0"/>
              <w:right w:val="single" w:color="auto" w:sz="4" w:space="0"/>
            </w:tcBorders>
            <w:noWrap w:val="0"/>
            <w:vAlign w:val="center"/>
          </w:tcPr>
          <w:p>
            <w:pPr>
              <w:spacing w:before="120" w:after="60"/>
              <w:jc w:val="center"/>
              <w:rPr>
                <w:rFonts w:ascii="宋体" w:hAnsi="宋体"/>
                <w:color w:val="auto"/>
                <w:szCs w:val="21"/>
                <w:highlight w:val="none"/>
              </w:rPr>
            </w:pPr>
            <w:r>
              <w:rPr>
                <w:rFonts w:ascii="宋体" w:hAnsi="宋体"/>
                <w:color w:val="auto"/>
                <w:szCs w:val="21"/>
                <w:highlight w:val="none"/>
              </w:rPr>
              <w:t>1</w:t>
            </w:r>
          </w:p>
        </w:tc>
        <w:tc>
          <w:tcPr>
            <w:tcW w:w="6831" w:type="dxa"/>
            <w:tcBorders>
              <w:top w:val="single" w:color="auto" w:sz="4" w:space="0"/>
              <w:left w:val="single" w:color="auto" w:sz="4" w:space="0"/>
              <w:bottom w:val="single" w:color="auto" w:sz="4" w:space="0"/>
              <w:right w:val="single" w:color="auto" w:sz="4" w:space="0"/>
            </w:tcBorders>
            <w:noWrap w:val="0"/>
            <w:vAlign w:val="center"/>
          </w:tcPr>
          <w:p>
            <w:pPr>
              <w:spacing w:before="120" w:after="60"/>
              <w:rPr>
                <w:rFonts w:hint="eastAsia" w:ascii="宋体" w:hAnsi="宋体" w:eastAsia="宋体"/>
                <w:color w:val="auto"/>
                <w:szCs w:val="21"/>
                <w:highlight w:val="none"/>
                <w:lang w:eastAsia="zh-CN"/>
              </w:rPr>
            </w:pPr>
            <w:r>
              <w:rPr>
                <w:rFonts w:hint="eastAsia" w:ascii="宋体" w:hAnsi="宋体"/>
                <w:color w:val="auto"/>
                <w:szCs w:val="21"/>
                <w:highlight w:val="none"/>
              </w:rPr>
              <w:t>投标人参加投标的意思表达清楚，投标人代表被授权有效</w:t>
            </w:r>
            <w:r>
              <w:rPr>
                <w:rFonts w:hint="eastAsia" w:ascii="宋体" w:hAnsi="宋体"/>
                <w:color w:val="auto"/>
                <w:szCs w:val="21"/>
                <w:highlight w:val="none"/>
                <w:lang w:eastAsia="zh-CN"/>
              </w:rPr>
              <w:t>；</w:t>
            </w:r>
          </w:p>
        </w:tc>
        <w:tc>
          <w:tcPr>
            <w:tcW w:w="6350" w:type="dxa"/>
            <w:tcBorders>
              <w:top w:val="single" w:color="auto" w:sz="4" w:space="0"/>
              <w:left w:val="single" w:color="auto" w:sz="4" w:space="0"/>
              <w:bottom w:val="single" w:color="auto" w:sz="4" w:space="0"/>
              <w:right w:val="single" w:color="auto" w:sz="4" w:space="0"/>
            </w:tcBorders>
            <w:noWrap w:val="0"/>
            <w:vAlign w:val="center"/>
          </w:tcPr>
          <w:p>
            <w:pPr>
              <w:spacing w:before="120" w:after="60"/>
              <w:rPr>
                <w:rFonts w:hint="eastAsia" w:ascii="宋体" w:hAnsi="宋体" w:eastAsia="宋体"/>
                <w:color w:val="auto"/>
                <w:szCs w:val="21"/>
                <w:highlight w:val="none"/>
                <w:lang w:eastAsia="zh-CN"/>
              </w:rPr>
            </w:pPr>
            <w:r>
              <w:rPr>
                <w:rFonts w:hint="eastAsia" w:ascii="宋体" w:hAnsi="宋体"/>
                <w:color w:val="auto"/>
                <w:szCs w:val="21"/>
                <w:highlight w:val="none"/>
              </w:rPr>
              <w:t>投标人声明</w:t>
            </w:r>
            <w:r>
              <w:rPr>
                <w:rFonts w:hint="eastAsia" w:ascii="宋体" w:hAnsi="宋体"/>
                <w:color w:val="auto"/>
                <w:szCs w:val="21"/>
                <w:highlight w:val="none"/>
                <w:lang w:val="en-US" w:eastAsia="zh-CN"/>
              </w:rPr>
              <w:t>原件</w:t>
            </w:r>
            <w:r>
              <w:rPr>
                <w:rFonts w:hint="eastAsia" w:ascii="宋体" w:hAnsi="宋体"/>
                <w:color w:val="auto"/>
                <w:szCs w:val="21"/>
                <w:highlight w:val="none"/>
                <w:u w:val="single"/>
              </w:rPr>
              <w:t>扫描</w:t>
            </w:r>
            <w:r>
              <w:rPr>
                <w:rFonts w:hint="eastAsia" w:ascii="宋体" w:hAnsi="宋体"/>
                <w:color w:val="auto"/>
                <w:szCs w:val="21"/>
                <w:highlight w:val="none"/>
              </w:rPr>
              <w:t>、法定代表人证明书</w:t>
            </w:r>
            <w:r>
              <w:rPr>
                <w:rFonts w:hint="eastAsia" w:ascii="宋体" w:hAnsi="宋体"/>
                <w:color w:val="auto"/>
                <w:szCs w:val="21"/>
                <w:highlight w:val="none"/>
                <w:lang w:val="en-US" w:eastAsia="zh-CN"/>
              </w:rPr>
              <w:t>原件</w:t>
            </w:r>
            <w:r>
              <w:rPr>
                <w:rFonts w:hint="eastAsia" w:ascii="宋体" w:hAnsi="宋体"/>
                <w:color w:val="auto"/>
                <w:szCs w:val="21"/>
                <w:highlight w:val="none"/>
                <w:u w:val="single"/>
              </w:rPr>
              <w:t>扫描</w:t>
            </w:r>
            <w:r>
              <w:rPr>
                <w:rFonts w:hint="eastAsia" w:ascii="宋体" w:hAnsi="宋体"/>
                <w:color w:val="auto"/>
                <w:szCs w:val="21"/>
                <w:highlight w:val="none"/>
              </w:rPr>
              <w:t>；委托投标的还应提供法人授权委托证明书</w:t>
            </w:r>
            <w:r>
              <w:rPr>
                <w:rFonts w:hint="eastAsia" w:ascii="宋体" w:hAnsi="宋体"/>
                <w:color w:val="auto"/>
                <w:szCs w:val="21"/>
                <w:highlight w:val="none"/>
                <w:lang w:val="en-US" w:eastAsia="zh-CN"/>
              </w:rPr>
              <w:t>原件</w:t>
            </w:r>
            <w:r>
              <w:rPr>
                <w:rFonts w:hint="eastAsia" w:ascii="宋体" w:hAnsi="宋体"/>
                <w:color w:val="auto"/>
                <w:szCs w:val="21"/>
                <w:highlight w:val="none"/>
                <w:u w:val="single"/>
              </w:rPr>
              <w:t>扫描</w:t>
            </w:r>
            <w:r>
              <w:rPr>
                <w:rFonts w:hint="eastAsia" w:ascii="宋体" w:hAnsi="宋体"/>
                <w:color w:val="auto"/>
                <w:szCs w:val="21"/>
                <w:highlight w:val="none"/>
                <w:u w:val="single"/>
                <w:lang w:eastAsia="zh-CN"/>
              </w:rPr>
              <w:t>。</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before="120" w:after="6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tcBorders>
              <w:top w:val="single" w:color="auto" w:sz="4" w:space="0"/>
              <w:left w:val="single" w:color="auto" w:sz="4" w:space="0"/>
              <w:bottom w:val="single" w:color="auto" w:sz="4" w:space="0"/>
              <w:right w:val="single" w:color="auto" w:sz="4" w:space="0"/>
            </w:tcBorders>
            <w:noWrap w:val="0"/>
            <w:vAlign w:val="center"/>
          </w:tcPr>
          <w:p>
            <w:pPr>
              <w:spacing w:before="120" w:after="60"/>
              <w:jc w:val="center"/>
              <w:rPr>
                <w:rFonts w:ascii="宋体" w:hAnsi="宋体"/>
                <w:color w:val="auto"/>
                <w:szCs w:val="21"/>
                <w:highlight w:val="none"/>
              </w:rPr>
            </w:pPr>
            <w:r>
              <w:rPr>
                <w:rFonts w:ascii="宋体" w:hAnsi="宋体"/>
                <w:color w:val="auto"/>
                <w:szCs w:val="21"/>
                <w:highlight w:val="none"/>
              </w:rPr>
              <w:t>2</w:t>
            </w:r>
          </w:p>
        </w:tc>
        <w:tc>
          <w:tcPr>
            <w:tcW w:w="6831" w:type="dxa"/>
            <w:tcBorders>
              <w:top w:val="single" w:color="auto" w:sz="4" w:space="0"/>
              <w:left w:val="single" w:color="auto" w:sz="4" w:space="0"/>
              <w:bottom w:val="single" w:color="auto" w:sz="4" w:space="0"/>
              <w:right w:val="single" w:color="auto" w:sz="4" w:space="0"/>
            </w:tcBorders>
            <w:noWrap w:val="0"/>
            <w:vAlign w:val="center"/>
          </w:tcPr>
          <w:p>
            <w:pPr>
              <w:spacing w:before="120" w:after="60"/>
              <w:rPr>
                <w:rFonts w:hint="eastAsia" w:ascii="宋体" w:hAnsi="宋体" w:eastAsia="宋体"/>
                <w:color w:val="auto"/>
                <w:szCs w:val="21"/>
                <w:highlight w:val="none"/>
                <w:lang w:eastAsia="zh-CN"/>
              </w:rPr>
            </w:pPr>
            <w:r>
              <w:rPr>
                <w:rFonts w:hint="eastAsia" w:ascii="宋体" w:hAnsi="宋体"/>
                <w:color w:val="auto"/>
                <w:szCs w:val="21"/>
                <w:highlight w:val="none"/>
              </w:rPr>
              <w:t>投标人均具有独立法人资格，按国家法律经营</w:t>
            </w:r>
            <w:r>
              <w:rPr>
                <w:rFonts w:hint="eastAsia" w:ascii="宋体" w:hAnsi="宋体"/>
                <w:color w:val="auto"/>
                <w:szCs w:val="21"/>
                <w:highlight w:val="none"/>
                <w:lang w:eastAsia="zh-CN"/>
              </w:rPr>
              <w:t>；</w:t>
            </w:r>
          </w:p>
        </w:tc>
        <w:tc>
          <w:tcPr>
            <w:tcW w:w="6350" w:type="dxa"/>
            <w:tcBorders>
              <w:top w:val="single" w:color="auto" w:sz="4" w:space="0"/>
              <w:left w:val="single" w:color="auto" w:sz="4" w:space="0"/>
              <w:bottom w:val="single" w:color="auto" w:sz="4" w:space="0"/>
              <w:right w:val="single" w:color="auto" w:sz="4" w:space="0"/>
            </w:tcBorders>
            <w:noWrap w:val="0"/>
            <w:vAlign w:val="center"/>
          </w:tcPr>
          <w:p>
            <w:pPr>
              <w:spacing w:before="120" w:after="60"/>
              <w:rPr>
                <w:rFonts w:hint="eastAsia" w:ascii="宋体" w:hAnsi="宋体" w:eastAsia="宋体"/>
                <w:color w:val="auto"/>
                <w:szCs w:val="21"/>
                <w:highlight w:val="none"/>
                <w:lang w:eastAsia="zh-CN"/>
              </w:rPr>
            </w:pPr>
            <w:r>
              <w:rPr>
                <w:rFonts w:hint="eastAsia" w:ascii="宋体" w:hAnsi="宋体"/>
                <w:color w:val="auto"/>
                <w:szCs w:val="21"/>
                <w:highlight w:val="none"/>
              </w:rPr>
              <w:t>营业执照</w:t>
            </w:r>
            <w:r>
              <w:rPr>
                <w:rFonts w:hint="eastAsia" w:ascii="宋体" w:hAnsi="宋体"/>
                <w:color w:val="auto"/>
                <w:szCs w:val="21"/>
                <w:highlight w:val="none"/>
                <w:u w:val="single"/>
              </w:rPr>
              <w:t>扫描</w:t>
            </w:r>
            <w:r>
              <w:rPr>
                <w:color w:val="auto"/>
                <w:highlight w:val="none"/>
                <w:u w:val="single"/>
              </w:rPr>
              <w:t>件</w:t>
            </w:r>
            <w:r>
              <w:rPr>
                <w:rFonts w:hint="eastAsia"/>
                <w:color w:val="auto"/>
                <w:highlight w:val="none"/>
                <w:u w:val="single"/>
                <w:lang w:eastAsia="zh-CN"/>
              </w:rPr>
              <w:t>。</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before="120" w:after="6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27" w:type="dxa"/>
            <w:tcBorders>
              <w:top w:val="single" w:color="auto" w:sz="4" w:space="0"/>
              <w:left w:val="single" w:color="auto" w:sz="4" w:space="0"/>
              <w:bottom w:val="single" w:color="auto" w:sz="4" w:space="0"/>
              <w:right w:val="single" w:color="auto" w:sz="4" w:space="0"/>
            </w:tcBorders>
            <w:noWrap w:val="0"/>
            <w:vAlign w:val="center"/>
          </w:tcPr>
          <w:p>
            <w:pPr>
              <w:spacing w:before="120" w:after="60"/>
              <w:jc w:val="center"/>
              <w:rPr>
                <w:rFonts w:ascii="宋体" w:hAnsi="宋体"/>
                <w:color w:val="auto"/>
                <w:szCs w:val="21"/>
                <w:highlight w:val="none"/>
              </w:rPr>
            </w:pPr>
            <w:r>
              <w:rPr>
                <w:rFonts w:ascii="宋体" w:hAnsi="宋体"/>
                <w:color w:val="auto"/>
                <w:szCs w:val="21"/>
                <w:highlight w:val="none"/>
              </w:rPr>
              <w:t>3</w:t>
            </w:r>
          </w:p>
        </w:tc>
        <w:tc>
          <w:tcPr>
            <w:tcW w:w="6831" w:type="dxa"/>
            <w:tcBorders>
              <w:top w:val="single" w:color="auto" w:sz="4" w:space="0"/>
              <w:left w:val="single" w:color="auto" w:sz="4" w:space="0"/>
              <w:bottom w:val="single" w:color="auto" w:sz="4" w:space="0"/>
              <w:right w:val="single" w:color="auto" w:sz="4" w:space="0"/>
            </w:tcBorders>
            <w:noWrap w:val="0"/>
            <w:vAlign w:val="center"/>
          </w:tcPr>
          <w:p>
            <w:pPr>
              <w:spacing w:before="120" w:after="60"/>
              <w:rPr>
                <w:rFonts w:hint="eastAsia" w:ascii="宋体" w:hAnsi="宋体" w:eastAsia="宋体"/>
                <w:color w:val="auto"/>
                <w:szCs w:val="21"/>
                <w:highlight w:val="none"/>
                <w:lang w:eastAsia="zh-CN"/>
              </w:rPr>
            </w:pPr>
            <w:r>
              <w:rPr>
                <w:rFonts w:hint="eastAsia" w:ascii="宋体" w:hAnsi="宋体"/>
                <w:color w:val="auto"/>
                <w:szCs w:val="21"/>
                <w:highlight w:val="none"/>
              </w:rPr>
              <w:t>投标人均持有建设行政主管部门颁发的</w:t>
            </w:r>
            <w:r>
              <w:rPr>
                <w:rFonts w:hint="eastAsia" w:ascii="宋体" w:hAnsi="宋体"/>
                <w:color w:val="auto"/>
                <w:szCs w:val="21"/>
                <w:highlight w:val="none"/>
                <w:u w:val="single"/>
              </w:rPr>
              <w:t>有效期内的</w:t>
            </w:r>
            <w:r>
              <w:rPr>
                <w:rFonts w:hint="eastAsia" w:ascii="宋体" w:hAnsi="宋体"/>
                <w:color w:val="auto"/>
                <w:szCs w:val="21"/>
                <w:highlight w:val="none"/>
              </w:rPr>
              <w:t>企业资质证书及安全生产许可证；投标人资质符合公告要求</w:t>
            </w:r>
            <w:r>
              <w:rPr>
                <w:rFonts w:hint="eastAsia" w:ascii="宋体" w:hAnsi="宋体"/>
                <w:color w:val="auto"/>
                <w:szCs w:val="21"/>
                <w:highlight w:val="none"/>
                <w:lang w:eastAsia="zh-CN"/>
              </w:rPr>
              <w:t>；</w:t>
            </w:r>
          </w:p>
        </w:tc>
        <w:tc>
          <w:tcPr>
            <w:tcW w:w="6350" w:type="dxa"/>
            <w:tcBorders>
              <w:top w:val="single" w:color="auto" w:sz="4" w:space="0"/>
              <w:left w:val="single" w:color="auto" w:sz="4" w:space="0"/>
              <w:bottom w:val="single" w:color="auto" w:sz="4" w:space="0"/>
              <w:right w:val="single" w:color="auto" w:sz="4" w:space="0"/>
            </w:tcBorders>
            <w:noWrap w:val="0"/>
            <w:vAlign w:val="center"/>
          </w:tcPr>
          <w:p>
            <w:pPr>
              <w:spacing w:before="120" w:after="60"/>
              <w:rPr>
                <w:rFonts w:hint="eastAsia" w:ascii="宋体" w:hAnsi="宋体" w:eastAsia="宋体"/>
                <w:color w:val="auto"/>
                <w:szCs w:val="21"/>
                <w:highlight w:val="none"/>
                <w:u w:val="single"/>
                <w:lang w:eastAsia="zh-CN"/>
              </w:rPr>
            </w:pPr>
            <w:r>
              <w:rPr>
                <w:rFonts w:hint="eastAsia" w:ascii="宋体" w:hAnsi="宋体"/>
                <w:color w:val="auto"/>
                <w:szCs w:val="21"/>
                <w:highlight w:val="none"/>
              </w:rPr>
              <w:t>资质证书</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或符合招标公告规定的相关证明材料（如有）</w:t>
            </w:r>
            <w:r>
              <w:rPr>
                <w:rFonts w:hint="eastAsia" w:ascii="宋体" w:hAnsi="宋体"/>
                <w:color w:val="auto"/>
                <w:szCs w:val="21"/>
                <w:highlight w:val="none"/>
                <w:lang w:eastAsia="zh-CN"/>
              </w:rPr>
              <w:t>；</w:t>
            </w:r>
            <w:r>
              <w:rPr>
                <w:rFonts w:hint="eastAsia" w:ascii="宋体" w:hAnsi="宋体"/>
                <w:color w:val="auto"/>
                <w:szCs w:val="21"/>
                <w:highlight w:val="none"/>
              </w:rPr>
              <w:t>安全生产许可证</w:t>
            </w:r>
            <w:r>
              <w:rPr>
                <w:rFonts w:hint="eastAsia" w:ascii="宋体" w:hAnsi="宋体"/>
                <w:color w:val="auto"/>
                <w:szCs w:val="21"/>
                <w:highlight w:val="none"/>
                <w:u w:val="single"/>
              </w:rPr>
              <w:t>扫描件</w:t>
            </w:r>
            <w:r>
              <w:rPr>
                <w:rFonts w:hint="eastAsia" w:ascii="宋体" w:hAnsi="宋体"/>
                <w:color w:val="auto"/>
                <w:szCs w:val="21"/>
                <w:highlight w:val="none"/>
                <w:u w:val="single"/>
                <w:lang w:eastAsia="zh-CN"/>
              </w:rPr>
              <w:t>。</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before="120" w:after="6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tcBorders>
              <w:top w:val="single" w:color="auto" w:sz="4" w:space="0"/>
              <w:left w:val="single" w:color="auto" w:sz="4" w:space="0"/>
              <w:bottom w:val="single" w:color="auto" w:sz="4" w:space="0"/>
              <w:right w:val="single" w:color="auto" w:sz="4" w:space="0"/>
            </w:tcBorders>
            <w:noWrap w:val="0"/>
            <w:vAlign w:val="center"/>
          </w:tcPr>
          <w:p>
            <w:pPr>
              <w:spacing w:before="120" w:after="60"/>
              <w:jc w:val="center"/>
              <w:rPr>
                <w:rFonts w:ascii="宋体" w:hAnsi="宋体"/>
                <w:color w:val="auto"/>
                <w:szCs w:val="21"/>
                <w:highlight w:val="none"/>
              </w:rPr>
            </w:pPr>
            <w:r>
              <w:rPr>
                <w:rFonts w:ascii="宋体" w:hAnsi="宋体"/>
                <w:color w:val="auto"/>
                <w:szCs w:val="21"/>
                <w:highlight w:val="none"/>
              </w:rPr>
              <w:t>4</w:t>
            </w:r>
          </w:p>
        </w:tc>
        <w:tc>
          <w:tcPr>
            <w:tcW w:w="6831" w:type="dxa"/>
            <w:tcBorders>
              <w:top w:val="single" w:color="auto" w:sz="4" w:space="0"/>
              <w:left w:val="single" w:color="auto" w:sz="4" w:space="0"/>
              <w:bottom w:val="single" w:color="auto" w:sz="4" w:space="0"/>
              <w:right w:val="single" w:color="auto" w:sz="4" w:space="0"/>
            </w:tcBorders>
            <w:noWrap w:val="0"/>
            <w:vAlign w:val="center"/>
          </w:tcPr>
          <w:p>
            <w:pPr>
              <w:spacing w:before="120" w:after="60"/>
              <w:rPr>
                <w:rFonts w:hint="eastAsia" w:ascii="宋体" w:hAnsi="宋体" w:eastAsia="宋体"/>
                <w:color w:val="auto"/>
                <w:szCs w:val="21"/>
                <w:highlight w:val="none"/>
                <w:lang w:eastAsia="zh-CN"/>
              </w:rPr>
            </w:pPr>
            <w:r>
              <w:rPr>
                <w:rFonts w:hint="eastAsia" w:ascii="宋体" w:hAnsi="宋体"/>
                <w:color w:val="auto"/>
                <w:szCs w:val="21"/>
                <w:highlight w:val="none"/>
              </w:rPr>
              <w:t>投标人拟担任本工程项目负责人符合公告要求</w:t>
            </w:r>
            <w:r>
              <w:rPr>
                <w:rFonts w:hint="eastAsia" w:ascii="宋体" w:hAnsi="宋体"/>
                <w:color w:val="auto"/>
                <w:szCs w:val="21"/>
                <w:highlight w:val="none"/>
                <w:lang w:eastAsia="zh-CN"/>
              </w:rPr>
              <w:t>；</w:t>
            </w:r>
          </w:p>
        </w:tc>
        <w:tc>
          <w:tcPr>
            <w:tcW w:w="6350" w:type="dxa"/>
            <w:tcBorders>
              <w:top w:val="single" w:color="auto" w:sz="4" w:space="0"/>
              <w:left w:val="single" w:color="auto" w:sz="4" w:space="0"/>
              <w:bottom w:val="single" w:color="auto" w:sz="4" w:space="0"/>
              <w:right w:val="single" w:color="auto" w:sz="4" w:space="0"/>
            </w:tcBorders>
            <w:noWrap w:val="0"/>
            <w:vAlign w:val="center"/>
          </w:tcPr>
          <w:p>
            <w:pPr>
              <w:spacing w:before="120" w:after="60"/>
              <w:rPr>
                <w:rFonts w:ascii="宋体" w:hAnsi="宋体"/>
                <w:color w:val="auto"/>
                <w:szCs w:val="21"/>
                <w:highlight w:val="none"/>
              </w:rPr>
            </w:pPr>
            <w:r>
              <w:rPr>
                <w:rFonts w:hint="eastAsia" w:ascii="宋体" w:hAnsi="宋体"/>
                <w:color w:val="auto"/>
                <w:szCs w:val="21"/>
                <w:highlight w:val="none"/>
              </w:rPr>
              <w:t>使用有效期内的注册建造师注册证书</w:t>
            </w:r>
            <w:r>
              <w:rPr>
                <w:rFonts w:hint="eastAsia" w:ascii="宋体" w:hAnsi="宋体"/>
                <w:color w:val="auto"/>
                <w:szCs w:val="21"/>
                <w:highlight w:val="none"/>
                <w:u w:val="single"/>
              </w:rPr>
              <w:t>扫描件</w:t>
            </w:r>
            <w:r>
              <w:rPr>
                <w:rFonts w:hint="eastAsia" w:ascii="宋体" w:hAnsi="宋体"/>
                <w:color w:val="auto"/>
                <w:szCs w:val="21"/>
                <w:highlight w:val="none"/>
              </w:rPr>
              <w:t>。（注：</w:t>
            </w:r>
            <w:r>
              <w:rPr>
                <w:rFonts w:hint="eastAsia" w:ascii="宋体" w:hAnsi="宋体"/>
                <w:color w:val="auto"/>
                <w:szCs w:val="21"/>
                <w:highlight w:val="none"/>
                <w:u w:val="single"/>
              </w:rPr>
              <w:t>递交的注册建造师注册证书须符合招标公告第九条第4款注②的规定</w:t>
            </w:r>
            <w:r>
              <w:rPr>
                <w:rFonts w:hint="eastAsia" w:ascii="宋体" w:hAnsi="宋体"/>
                <w:color w:val="auto"/>
                <w:szCs w:val="21"/>
                <w:highlight w:val="none"/>
              </w:rPr>
              <w:t>。）</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before="120" w:after="6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tcBorders>
              <w:top w:val="single" w:color="auto" w:sz="4" w:space="0"/>
              <w:left w:val="single" w:color="auto" w:sz="4" w:space="0"/>
              <w:bottom w:val="single" w:color="auto" w:sz="4" w:space="0"/>
              <w:right w:val="single" w:color="auto" w:sz="4" w:space="0"/>
            </w:tcBorders>
            <w:noWrap w:val="0"/>
            <w:vAlign w:val="center"/>
          </w:tcPr>
          <w:p>
            <w:pPr>
              <w:spacing w:before="120" w:after="60"/>
              <w:jc w:val="center"/>
              <w:rPr>
                <w:rFonts w:ascii="宋体" w:hAnsi="宋体"/>
                <w:color w:val="auto"/>
                <w:szCs w:val="21"/>
                <w:highlight w:val="none"/>
              </w:rPr>
            </w:pPr>
            <w:r>
              <w:rPr>
                <w:rFonts w:ascii="宋体" w:hAnsi="宋体"/>
                <w:color w:val="auto"/>
                <w:szCs w:val="21"/>
                <w:highlight w:val="none"/>
              </w:rPr>
              <w:t>5</w:t>
            </w:r>
          </w:p>
        </w:tc>
        <w:tc>
          <w:tcPr>
            <w:tcW w:w="6831" w:type="dxa"/>
            <w:tcBorders>
              <w:top w:val="single" w:color="auto" w:sz="4" w:space="0"/>
              <w:left w:val="single" w:color="auto" w:sz="4" w:space="0"/>
              <w:bottom w:val="single" w:color="auto" w:sz="4" w:space="0"/>
              <w:right w:val="single" w:color="auto" w:sz="4" w:space="0"/>
            </w:tcBorders>
            <w:noWrap w:val="0"/>
            <w:vAlign w:val="center"/>
          </w:tcPr>
          <w:p>
            <w:pPr>
              <w:spacing w:before="120" w:after="60"/>
              <w:jc w:val="left"/>
              <w:rPr>
                <w:rFonts w:hint="eastAsia" w:ascii="宋体" w:hAnsi="宋体" w:eastAsia="宋体"/>
                <w:color w:val="auto"/>
                <w:szCs w:val="21"/>
                <w:highlight w:val="none"/>
                <w:lang w:eastAsia="zh-CN"/>
              </w:rPr>
            </w:pPr>
            <w:r>
              <w:rPr>
                <w:rFonts w:hint="eastAsia" w:ascii="宋体" w:hAnsi="宋体"/>
                <w:color w:val="auto"/>
                <w:szCs w:val="21"/>
                <w:highlight w:val="none"/>
              </w:rPr>
              <w:t>持有</w:t>
            </w:r>
            <w:r>
              <w:rPr>
                <w:rFonts w:hint="eastAsia" w:ascii="宋体" w:hAnsi="宋体"/>
                <w:color w:val="auto"/>
                <w:szCs w:val="21"/>
                <w:highlight w:val="none"/>
                <w:u w:val="single"/>
              </w:rPr>
              <w:t>有效期内的</w:t>
            </w:r>
            <w:r>
              <w:rPr>
                <w:rFonts w:hint="eastAsia" w:ascii="宋体" w:hAnsi="宋体"/>
                <w:color w:val="auto"/>
                <w:szCs w:val="21"/>
                <w:highlight w:val="none"/>
              </w:rPr>
              <w:t>项目负责人安全生产考核合格证（</w:t>
            </w:r>
            <w:r>
              <w:rPr>
                <w:rFonts w:ascii="宋体" w:hAnsi="宋体"/>
                <w:color w:val="auto"/>
                <w:szCs w:val="21"/>
                <w:highlight w:val="none"/>
              </w:rPr>
              <w:t>B</w:t>
            </w:r>
            <w:r>
              <w:rPr>
                <w:rFonts w:hint="eastAsia" w:ascii="宋体" w:hAnsi="宋体"/>
                <w:color w:val="auto"/>
                <w:szCs w:val="21"/>
                <w:highlight w:val="none"/>
              </w:rPr>
              <w:t>类）或建筑施工企业项目负责人安全生产考核合格证</w:t>
            </w:r>
            <w:r>
              <w:rPr>
                <w:rFonts w:hint="eastAsia" w:ascii="宋体" w:hAnsi="宋体"/>
                <w:color w:val="auto"/>
                <w:szCs w:val="21"/>
                <w:highlight w:val="none"/>
                <w:lang w:eastAsia="zh-CN"/>
              </w:rPr>
              <w:t>；</w:t>
            </w:r>
          </w:p>
        </w:tc>
        <w:tc>
          <w:tcPr>
            <w:tcW w:w="6350" w:type="dxa"/>
            <w:tcBorders>
              <w:top w:val="single" w:color="auto" w:sz="4" w:space="0"/>
              <w:left w:val="single" w:color="auto" w:sz="4" w:space="0"/>
              <w:bottom w:val="single" w:color="auto" w:sz="4" w:space="0"/>
              <w:right w:val="single" w:color="auto" w:sz="4" w:space="0"/>
            </w:tcBorders>
            <w:noWrap w:val="0"/>
            <w:vAlign w:val="center"/>
          </w:tcPr>
          <w:p>
            <w:pPr>
              <w:spacing w:before="120" w:after="60"/>
              <w:jc w:val="left"/>
              <w:rPr>
                <w:rFonts w:ascii="宋体" w:hAnsi="宋体"/>
                <w:color w:val="auto"/>
                <w:szCs w:val="21"/>
                <w:highlight w:val="none"/>
              </w:rPr>
            </w:pPr>
            <w:r>
              <w:rPr>
                <w:rFonts w:hint="eastAsia" w:ascii="宋体" w:hAnsi="宋体"/>
                <w:color w:val="auto"/>
                <w:szCs w:val="21"/>
                <w:highlight w:val="none"/>
              </w:rPr>
              <w:t>项目负责人安全生产考核合格证（B证）或建筑施工企业项目负责人安全生产考核合格证</w:t>
            </w:r>
            <w:r>
              <w:rPr>
                <w:rFonts w:hint="eastAsia" w:ascii="宋体" w:hAnsi="宋体"/>
                <w:color w:val="auto"/>
                <w:szCs w:val="21"/>
                <w:highlight w:val="none"/>
                <w:u w:val="single"/>
              </w:rPr>
              <w:t>扫描件。广东省建筑施工企业安全生产管理人员执行《广东省住房和城乡建设厅关于加快推进建筑施工企业安全生产管理人员考核合格证书电子证照办理相关工作的通知》（粤建质函〔2023〕754号），在10月底前完成换证业务，从2023年11月1日起，旧版电子证照停止使用。其他地区建筑施工企业安全生产管理人员执行属地安全生产管理人员考核合格证书电子证照相关规定。</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before="120" w:after="6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tcBorders>
              <w:top w:val="single" w:color="auto" w:sz="4" w:space="0"/>
              <w:left w:val="single" w:color="auto" w:sz="4" w:space="0"/>
              <w:bottom w:val="single" w:color="auto" w:sz="4" w:space="0"/>
              <w:right w:val="single" w:color="auto" w:sz="4" w:space="0"/>
            </w:tcBorders>
            <w:noWrap w:val="0"/>
            <w:vAlign w:val="center"/>
          </w:tcPr>
          <w:p>
            <w:pPr>
              <w:spacing w:before="120" w:after="60"/>
              <w:jc w:val="center"/>
              <w:rPr>
                <w:rFonts w:ascii="宋体" w:hAnsi="宋体"/>
                <w:color w:val="auto"/>
                <w:szCs w:val="21"/>
                <w:highlight w:val="none"/>
              </w:rPr>
            </w:pPr>
            <w:r>
              <w:rPr>
                <w:rFonts w:hint="eastAsia" w:ascii="宋体" w:hAnsi="宋体"/>
                <w:color w:val="auto"/>
                <w:szCs w:val="21"/>
                <w:highlight w:val="none"/>
              </w:rPr>
              <w:t>6</w:t>
            </w:r>
          </w:p>
        </w:tc>
        <w:tc>
          <w:tcPr>
            <w:tcW w:w="6831" w:type="dxa"/>
            <w:tcBorders>
              <w:top w:val="single" w:color="auto" w:sz="4" w:space="0"/>
              <w:left w:val="single" w:color="auto" w:sz="4" w:space="0"/>
              <w:bottom w:val="single" w:color="auto" w:sz="4" w:space="0"/>
              <w:right w:val="single" w:color="auto" w:sz="4" w:space="0"/>
            </w:tcBorders>
            <w:noWrap w:val="0"/>
            <w:vAlign w:val="center"/>
          </w:tcPr>
          <w:p>
            <w:pPr>
              <w:spacing w:before="120" w:after="60"/>
              <w:rPr>
                <w:rFonts w:hint="eastAsia" w:ascii="宋体" w:hAnsi="宋体" w:eastAsia="宋体"/>
                <w:color w:val="auto"/>
                <w:szCs w:val="21"/>
                <w:highlight w:val="none"/>
                <w:lang w:eastAsia="zh-CN"/>
              </w:rPr>
            </w:pPr>
            <w:r>
              <w:rPr>
                <w:rFonts w:hint="eastAsia" w:ascii="宋体" w:hAnsi="宋体"/>
                <w:color w:val="auto"/>
                <w:szCs w:val="21"/>
                <w:highlight w:val="none"/>
              </w:rPr>
              <w:t>投标人拟担任本工程技术负责人符合公告要求</w:t>
            </w:r>
            <w:r>
              <w:rPr>
                <w:rFonts w:hint="eastAsia" w:ascii="宋体" w:hAnsi="宋体"/>
                <w:color w:val="auto"/>
                <w:szCs w:val="21"/>
                <w:highlight w:val="none"/>
                <w:lang w:eastAsia="zh-CN"/>
              </w:rPr>
              <w:t>；</w:t>
            </w:r>
          </w:p>
        </w:tc>
        <w:tc>
          <w:tcPr>
            <w:tcW w:w="6350" w:type="dxa"/>
            <w:tcBorders>
              <w:top w:val="single" w:color="auto" w:sz="4" w:space="0"/>
              <w:left w:val="single" w:color="auto" w:sz="4" w:space="0"/>
              <w:bottom w:val="single" w:color="auto" w:sz="4" w:space="0"/>
              <w:right w:val="single" w:color="auto" w:sz="4" w:space="0"/>
            </w:tcBorders>
            <w:noWrap w:val="0"/>
            <w:vAlign w:val="center"/>
          </w:tcPr>
          <w:p>
            <w:pPr>
              <w:spacing w:before="120" w:after="60"/>
              <w:rPr>
                <w:rFonts w:hint="eastAsia" w:ascii="宋体" w:hAnsi="宋体" w:eastAsia="宋体"/>
                <w:color w:val="auto"/>
                <w:szCs w:val="21"/>
                <w:highlight w:val="none"/>
                <w:lang w:eastAsia="zh-CN"/>
              </w:rPr>
            </w:pPr>
            <w:r>
              <w:rPr>
                <w:rFonts w:hint="eastAsia" w:ascii="宋体" w:hAnsi="宋体" w:cs="宋体"/>
                <w:bCs/>
                <w:color w:val="auto"/>
                <w:szCs w:val="21"/>
                <w:highlight w:val="none"/>
                <w:u w:val="single"/>
              </w:rPr>
              <w:t>拟委派技术负责人的职称证书扫描件</w:t>
            </w:r>
            <w:r>
              <w:rPr>
                <w:rFonts w:hint="eastAsia" w:ascii="宋体" w:hAnsi="宋体" w:cs="宋体"/>
                <w:bCs/>
                <w:color w:val="auto"/>
                <w:szCs w:val="21"/>
                <w:highlight w:val="none"/>
                <w:u w:val="single"/>
                <w:lang w:eastAsia="zh-CN"/>
              </w:rPr>
              <w:t>。</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before="120" w:after="6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tcBorders>
              <w:top w:val="single" w:color="auto" w:sz="4" w:space="0"/>
              <w:left w:val="single" w:color="auto" w:sz="4" w:space="0"/>
              <w:bottom w:val="single" w:color="auto" w:sz="4" w:space="0"/>
              <w:right w:val="single" w:color="auto" w:sz="4" w:space="0"/>
            </w:tcBorders>
            <w:noWrap w:val="0"/>
            <w:vAlign w:val="center"/>
          </w:tcPr>
          <w:p>
            <w:pPr>
              <w:spacing w:before="120" w:after="60"/>
              <w:jc w:val="center"/>
              <w:rPr>
                <w:rFonts w:ascii="宋体" w:hAnsi="宋体"/>
                <w:color w:val="auto"/>
                <w:szCs w:val="21"/>
                <w:highlight w:val="none"/>
              </w:rPr>
            </w:pPr>
            <w:r>
              <w:rPr>
                <w:rFonts w:hint="eastAsia" w:ascii="宋体" w:hAnsi="宋体"/>
                <w:color w:val="auto"/>
                <w:szCs w:val="21"/>
                <w:highlight w:val="none"/>
              </w:rPr>
              <w:t>7</w:t>
            </w:r>
          </w:p>
        </w:tc>
        <w:tc>
          <w:tcPr>
            <w:tcW w:w="6831" w:type="dxa"/>
            <w:tcBorders>
              <w:top w:val="single" w:color="auto" w:sz="4" w:space="0"/>
              <w:left w:val="single" w:color="auto" w:sz="4" w:space="0"/>
              <w:bottom w:val="single" w:color="auto" w:sz="4" w:space="0"/>
              <w:right w:val="single" w:color="auto" w:sz="4" w:space="0"/>
            </w:tcBorders>
            <w:noWrap w:val="0"/>
            <w:vAlign w:val="center"/>
          </w:tcPr>
          <w:p>
            <w:pPr>
              <w:spacing w:before="120" w:after="60"/>
              <w:rPr>
                <w:rFonts w:hint="eastAsia" w:ascii="宋体" w:hAnsi="宋体" w:eastAsia="宋体"/>
                <w:color w:val="auto"/>
                <w:szCs w:val="21"/>
                <w:highlight w:val="none"/>
                <w:lang w:eastAsia="zh-CN"/>
              </w:rPr>
            </w:pPr>
            <w:r>
              <w:rPr>
                <w:rFonts w:hint="eastAsia" w:ascii="宋体" w:hAnsi="宋体"/>
                <w:color w:val="auto"/>
                <w:szCs w:val="21"/>
                <w:highlight w:val="none"/>
              </w:rPr>
              <w:t>专职安全员须具有</w:t>
            </w:r>
            <w:r>
              <w:rPr>
                <w:rFonts w:hint="eastAsia" w:ascii="宋体" w:hAnsi="宋体"/>
                <w:color w:val="auto"/>
                <w:szCs w:val="21"/>
                <w:highlight w:val="none"/>
                <w:u w:val="single"/>
              </w:rPr>
              <w:t>有效期内的</w:t>
            </w:r>
            <w:r>
              <w:rPr>
                <w:rFonts w:hint="eastAsia" w:ascii="宋体" w:hAnsi="宋体"/>
                <w:color w:val="auto"/>
                <w:szCs w:val="21"/>
                <w:highlight w:val="none"/>
              </w:rPr>
              <w:t>安全生产考核合格证（C证）或建筑施工企业专职安全生产管理人员安全生产考核合格证（C3）</w:t>
            </w:r>
            <w:r>
              <w:rPr>
                <w:rFonts w:hint="eastAsia" w:ascii="宋体" w:hAnsi="宋体"/>
                <w:color w:val="auto"/>
                <w:szCs w:val="21"/>
                <w:highlight w:val="none"/>
                <w:lang w:eastAsia="zh-CN"/>
              </w:rPr>
              <w:t>；</w:t>
            </w:r>
          </w:p>
        </w:tc>
        <w:tc>
          <w:tcPr>
            <w:tcW w:w="6350" w:type="dxa"/>
            <w:tcBorders>
              <w:top w:val="single" w:color="auto" w:sz="4" w:space="0"/>
              <w:left w:val="single" w:color="auto" w:sz="4" w:space="0"/>
              <w:bottom w:val="single" w:color="auto" w:sz="4" w:space="0"/>
              <w:right w:val="single" w:color="auto" w:sz="4" w:space="0"/>
            </w:tcBorders>
            <w:noWrap w:val="0"/>
            <w:vAlign w:val="center"/>
          </w:tcPr>
          <w:p>
            <w:pPr>
              <w:spacing w:before="120" w:after="60"/>
              <w:rPr>
                <w:rFonts w:ascii="宋体" w:hAnsi="宋体"/>
                <w:color w:val="auto"/>
                <w:szCs w:val="21"/>
                <w:highlight w:val="none"/>
              </w:rPr>
            </w:pPr>
            <w:r>
              <w:rPr>
                <w:rFonts w:hint="eastAsia" w:ascii="宋体" w:hAnsi="宋体"/>
                <w:color w:val="auto"/>
                <w:szCs w:val="21"/>
                <w:highlight w:val="none"/>
              </w:rPr>
              <w:t>专职安全员的安全生产考核合格证（C证）或建筑施工企业专职安全生产管理人员安全生产考核合格证</w:t>
            </w:r>
            <w:r>
              <w:rPr>
                <w:rFonts w:hint="eastAsia" w:ascii="宋体" w:hAnsi="宋体"/>
                <w:color w:val="auto"/>
                <w:szCs w:val="21"/>
                <w:highlight w:val="none"/>
                <w:u w:val="single"/>
              </w:rPr>
              <w:t>扫描件。根据《建筑施工企业主要负责人、项目负责人和专职安全生产管理人员安全生产管理规定》（住房城乡建设部令第17号）《关于印发建筑施工企业主要负责人、项目负责人和专职安全生产管理人员安全生产管理规定实施意见的通知》（建质〔2015〕206号），若投标人所属地区建设行政主管部门已对建筑施工企业专职安全生产管理人员实施机械、土建、综合分类管理的，本项目要求安全生产考核合格证（C类）或建筑施工企业专职安全生产管理人员安全生产考核合格证书须为综合类（C3）。广东省建筑施工企业安全生产管理人员执行《广东省住房和城乡建设厅关于加快推进建筑施工企业安全生产管理人员考核合格证书电子证照办理相关工作的通知》（粤建质函〔2023〕754号），在10月底前完成换证业务，从2023年11月1日起，旧版电子证照停止使用。其他地区建筑施工企业安全生产管理人员执行属地安全生产管理人员考核合格证书电子证照相关规定。</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before="120" w:after="6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427" w:type="dxa"/>
            <w:tcBorders>
              <w:top w:val="single" w:color="auto" w:sz="4" w:space="0"/>
              <w:left w:val="single" w:color="auto" w:sz="4" w:space="0"/>
              <w:bottom w:val="single" w:color="auto" w:sz="4" w:space="0"/>
              <w:right w:val="single" w:color="auto" w:sz="4" w:space="0"/>
            </w:tcBorders>
            <w:noWrap w:val="0"/>
            <w:vAlign w:val="center"/>
          </w:tcPr>
          <w:p>
            <w:pPr>
              <w:spacing w:before="120" w:after="60"/>
              <w:jc w:val="center"/>
              <w:rPr>
                <w:rFonts w:hint="eastAsia" w:ascii="宋体" w:hAnsi="宋体" w:eastAsia="宋体"/>
                <w:color w:val="auto"/>
                <w:szCs w:val="21"/>
                <w:highlight w:val="none"/>
                <w:u w:val="single"/>
                <w:lang w:eastAsia="zh-CN"/>
              </w:rPr>
            </w:pPr>
            <w:r>
              <w:rPr>
                <w:rFonts w:hint="eastAsia" w:ascii="宋体" w:hAnsi="宋体"/>
                <w:color w:val="auto"/>
                <w:szCs w:val="21"/>
                <w:highlight w:val="none"/>
                <w:u w:val="single"/>
                <w:lang w:val="en-US" w:eastAsia="zh-CN"/>
              </w:rPr>
              <w:t>8</w:t>
            </w:r>
          </w:p>
        </w:tc>
        <w:tc>
          <w:tcPr>
            <w:tcW w:w="6831" w:type="dxa"/>
            <w:tcBorders>
              <w:top w:val="single" w:color="auto" w:sz="4" w:space="0"/>
              <w:left w:val="single" w:color="auto" w:sz="4" w:space="0"/>
              <w:bottom w:val="single" w:color="auto" w:sz="4" w:space="0"/>
              <w:right w:val="single" w:color="auto" w:sz="4" w:space="0"/>
            </w:tcBorders>
            <w:noWrap w:val="0"/>
            <w:vAlign w:val="center"/>
          </w:tcPr>
          <w:p>
            <w:pPr>
              <w:spacing w:before="120" w:after="60"/>
              <w:rPr>
                <w:rFonts w:hint="eastAsia" w:ascii="宋体" w:hAnsi="宋体" w:eastAsia="宋体"/>
                <w:color w:val="auto"/>
                <w:szCs w:val="21"/>
                <w:highlight w:val="none"/>
                <w:lang w:eastAsia="zh-CN"/>
              </w:rPr>
            </w:pPr>
            <w:r>
              <w:rPr>
                <w:rFonts w:hint="eastAsia" w:ascii="宋体" w:hAnsi="宋体"/>
                <w:color w:val="auto"/>
                <w:szCs w:val="21"/>
                <w:highlight w:val="none"/>
              </w:rPr>
              <w:t>投标人提供的投标人声明符合公告要求</w:t>
            </w:r>
            <w:r>
              <w:rPr>
                <w:rFonts w:hint="eastAsia" w:ascii="宋体" w:hAnsi="宋体"/>
                <w:color w:val="auto"/>
                <w:szCs w:val="21"/>
                <w:highlight w:val="none"/>
                <w:lang w:eastAsia="zh-CN"/>
              </w:rPr>
              <w:t>；</w:t>
            </w:r>
          </w:p>
        </w:tc>
        <w:tc>
          <w:tcPr>
            <w:tcW w:w="6350" w:type="dxa"/>
            <w:tcBorders>
              <w:top w:val="single" w:color="auto" w:sz="4" w:space="0"/>
              <w:left w:val="single" w:color="auto" w:sz="4" w:space="0"/>
              <w:bottom w:val="single" w:color="auto" w:sz="4" w:space="0"/>
              <w:right w:val="single" w:color="auto" w:sz="4" w:space="0"/>
            </w:tcBorders>
            <w:noWrap w:val="0"/>
            <w:vAlign w:val="center"/>
          </w:tcPr>
          <w:p>
            <w:pPr>
              <w:spacing w:before="120" w:after="60"/>
              <w:jc w:val="left"/>
              <w:rPr>
                <w:rFonts w:hint="eastAsia" w:ascii="宋体" w:hAnsi="宋体" w:eastAsia="宋体"/>
                <w:color w:val="auto"/>
                <w:szCs w:val="21"/>
                <w:highlight w:val="none"/>
                <w:lang w:eastAsia="zh-CN"/>
              </w:rPr>
            </w:pPr>
            <w:r>
              <w:rPr>
                <w:rFonts w:hint="eastAsia" w:ascii="宋体" w:hAnsi="宋体"/>
                <w:color w:val="auto"/>
                <w:szCs w:val="21"/>
                <w:highlight w:val="none"/>
              </w:rPr>
              <w:t>投标人声明</w:t>
            </w:r>
            <w:r>
              <w:rPr>
                <w:rFonts w:hint="eastAsia" w:ascii="宋体" w:hAnsi="宋体"/>
                <w:color w:val="auto"/>
                <w:szCs w:val="21"/>
                <w:highlight w:val="none"/>
                <w:lang w:val="en-US" w:eastAsia="zh-CN"/>
              </w:rPr>
              <w:t>原件</w:t>
            </w:r>
            <w:r>
              <w:rPr>
                <w:rFonts w:hint="eastAsia" w:ascii="宋体" w:hAnsi="宋体"/>
                <w:color w:val="auto"/>
                <w:szCs w:val="21"/>
                <w:highlight w:val="none"/>
                <w:u w:val="single"/>
              </w:rPr>
              <w:t>扫描</w:t>
            </w:r>
            <w:r>
              <w:rPr>
                <w:rFonts w:hint="eastAsia" w:ascii="宋体" w:hAnsi="宋体"/>
                <w:color w:val="auto"/>
                <w:szCs w:val="21"/>
                <w:highlight w:val="none"/>
                <w:u w:val="single"/>
                <w:lang w:eastAsia="zh-CN"/>
              </w:rPr>
              <w:t>。</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before="120" w:after="6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427" w:type="dxa"/>
            <w:tcBorders>
              <w:top w:val="single" w:color="auto" w:sz="4" w:space="0"/>
              <w:left w:val="single" w:color="auto" w:sz="4" w:space="0"/>
              <w:bottom w:val="single" w:color="auto" w:sz="4" w:space="0"/>
              <w:right w:val="single" w:color="auto" w:sz="4" w:space="0"/>
            </w:tcBorders>
            <w:noWrap w:val="0"/>
            <w:vAlign w:val="center"/>
          </w:tcPr>
          <w:p>
            <w:pPr>
              <w:spacing w:before="120" w:after="60"/>
              <w:jc w:val="center"/>
              <w:rPr>
                <w:rFonts w:hint="default" w:ascii="宋体" w:hAnsi="宋体" w:eastAsia="宋体"/>
                <w:color w:val="auto"/>
                <w:szCs w:val="21"/>
                <w:highlight w:val="none"/>
                <w:u w:val="single"/>
                <w:lang w:val="en-US" w:eastAsia="zh-CN"/>
              </w:rPr>
            </w:pPr>
            <w:r>
              <w:rPr>
                <w:rFonts w:hint="eastAsia" w:ascii="宋体" w:hAnsi="宋体"/>
                <w:color w:val="auto"/>
                <w:szCs w:val="21"/>
                <w:highlight w:val="none"/>
                <w:u w:val="single"/>
                <w:lang w:val="en-US" w:eastAsia="zh-CN"/>
              </w:rPr>
              <w:t>9</w:t>
            </w:r>
          </w:p>
        </w:tc>
        <w:tc>
          <w:tcPr>
            <w:tcW w:w="6831" w:type="dxa"/>
            <w:tcBorders>
              <w:top w:val="single" w:color="auto" w:sz="4" w:space="0"/>
              <w:left w:val="single" w:color="auto" w:sz="4" w:space="0"/>
              <w:bottom w:val="single" w:color="auto" w:sz="4" w:space="0"/>
              <w:right w:val="single" w:color="auto" w:sz="4" w:space="0"/>
            </w:tcBorders>
            <w:noWrap w:val="0"/>
            <w:vAlign w:val="center"/>
          </w:tcPr>
          <w:p>
            <w:pPr>
              <w:spacing w:before="120" w:after="60"/>
              <w:rPr>
                <w:rFonts w:hint="eastAsia" w:ascii="宋体" w:hAnsi="宋体" w:eastAsia="宋体"/>
                <w:color w:val="auto"/>
                <w:szCs w:val="21"/>
                <w:highlight w:val="none"/>
                <w:lang w:eastAsia="zh-CN"/>
              </w:rPr>
            </w:pPr>
            <w:r>
              <w:rPr>
                <w:rFonts w:hint="eastAsia" w:ascii="宋体" w:hAnsi="宋体"/>
                <w:color w:val="auto"/>
                <w:szCs w:val="21"/>
                <w:highlight w:val="none"/>
              </w:rPr>
              <w:t>投标人声明中签字的项目负责人和技术负责人与本项目拟派的项目负责人和技术负责人一致</w:t>
            </w:r>
            <w:r>
              <w:rPr>
                <w:rFonts w:hint="eastAsia" w:ascii="宋体" w:hAnsi="宋体"/>
                <w:color w:val="auto"/>
                <w:szCs w:val="21"/>
                <w:highlight w:val="none"/>
                <w:lang w:eastAsia="zh-CN"/>
              </w:rPr>
              <w:t>；</w:t>
            </w:r>
          </w:p>
        </w:tc>
        <w:tc>
          <w:tcPr>
            <w:tcW w:w="6350" w:type="dxa"/>
            <w:tcBorders>
              <w:top w:val="single" w:color="auto" w:sz="4" w:space="0"/>
              <w:left w:val="single" w:color="auto" w:sz="4" w:space="0"/>
              <w:bottom w:val="single" w:color="auto" w:sz="4" w:space="0"/>
              <w:right w:val="single" w:color="auto" w:sz="4" w:space="0"/>
            </w:tcBorders>
            <w:noWrap w:val="0"/>
            <w:vAlign w:val="center"/>
          </w:tcPr>
          <w:p>
            <w:pPr>
              <w:spacing w:before="120" w:after="60"/>
              <w:rPr>
                <w:rFonts w:hint="eastAsia" w:ascii="宋体" w:hAnsi="宋体" w:eastAsia="宋体"/>
                <w:color w:val="auto"/>
                <w:szCs w:val="21"/>
                <w:highlight w:val="none"/>
                <w:lang w:eastAsia="zh-CN"/>
              </w:rPr>
            </w:pPr>
            <w:r>
              <w:rPr>
                <w:rFonts w:hint="eastAsia" w:ascii="宋体" w:hAnsi="宋体"/>
                <w:color w:val="auto"/>
                <w:szCs w:val="21"/>
                <w:highlight w:val="none"/>
              </w:rPr>
              <w:t>网上投标时选择拟投标的项目负责人、资格审查文件中拟委派的技术负责人及投标人声明</w:t>
            </w:r>
            <w:r>
              <w:rPr>
                <w:rFonts w:hint="eastAsia" w:ascii="宋体" w:hAnsi="宋体"/>
                <w:color w:val="auto"/>
                <w:szCs w:val="21"/>
                <w:highlight w:val="none"/>
                <w:lang w:eastAsia="zh-CN"/>
              </w:rPr>
              <w:t>。</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before="120" w:after="6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7" w:type="dxa"/>
            <w:tcBorders>
              <w:top w:val="single" w:color="auto" w:sz="4" w:space="0"/>
              <w:left w:val="single" w:color="auto" w:sz="4" w:space="0"/>
              <w:bottom w:val="single" w:color="auto" w:sz="4" w:space="0"/>
              <w:right w:val="single" w:color="auto" w:sz="4" w:space="0"/>
            </w:tcBorders>
            <w:noWrap w:val="0"/>
            <w:vAlign w:val="center"/>
          </w:tcPr>
          <w:p>
            <w:pPr>
              <w:spacing w:before="120" w:after="60"/>
              <w:jc w:val="center"/>
              <w:rPr>
                <w:rFonts w:hint="default" w:ascii="宋体" w:hAnsi="宋体" w:eastAsia="宋体"/>
                <w:color w:val="auto"/>
                <w:szCs w:val="21"/>
                <w:highlight w:val="none"/>
                <w:u w:val="single"/>
                <w:lang w:val="en-US" w:eastAsia="zh-CN"/>
              </w:rPr>
            </w:pPr>
            <w:r>
              <w:rPr>
                <w:rFonts w:hint="eastAsia" w:ascii="宋体" w:hAnsi="宋体"/>
                <w:color w:val="auto"/>
                <w:szCs w:val="21"/>
                <w:highlight w:val="none"/>
                <w:u w:val="single"/>
                <w:lang w:val="en-US" w:eastAsia="zh-CN"/>
              </w:rPr>
              <w:t>10</w:t>
            </w:r>
          </w:p>
        </w:tc>
        <w:tc>
          <w:tcPr>
            <w:tcW w:w="6831" w:type="dxa"/>
            <w:tcBorders>
              <w:top w:val="single" w:color="auto" w:sz="4" w:space="0"/>
              <w:left w:val="single" w:color="auto" w:sz="4" w:space="0"/>
              <w:bottom w:val="single" w:color="auto" w:sz="4" w:space="0"/>
              <w:right w:val="single" w:color="auto" w:sz="4" w:space="0"/>
            </w:tcBorders>
            <w:noWrap w:val="0"/>
            <w:vAlign w:val="center"/>
          </w:tcPr>
          <w:p>
            <w:pPr>
              <w:spacing w:before="120" w:after="60"/>
              <w:rPr>
                <w:rFonts w:hint="eastAsia" w:ascii="宋体" w:hAnsi="宋体" w:eastAsia="宋体"/>
                <w:color w:val="auto"/>
                <w:szCs w:val="21"/>
                <w:highlight w:val="none"/>
                <w:lang w:eastAsia="zh-CN"/>
              </w:rPr>
            </w:pPr>
            <w:r>
              <w:rPr>
                <w:rStyle w:val="25"/>
                <w:rFonts w:hint="default"/>
                <w:color w:val="auto"/>
                <w:sz w:val="21"/>
                <w:szCs w:val="21"/>
                <w:highlight w:val="none"/>
              </w:rPr>
              <w:t>关于联合体投标：本项目不接受联合体投标</w:t>
            </w:r>
            <w:r>
              <w:rPr>
                <w:rStyle w:val="25"/>
                <w:rFonts w:hint="eastAsia"/>
                <w:color w:val="auto"/>
                <w:sz w:val="21"/>
                <w:szCs w:val="21"/>
                <w:highlight w:val="none"/>
                <w:lang w:eastAsia="zh-CN"/>
              </w:rPr>
              <w:t>；</w:t>
            </w:r>
          </w:p>
        </w:tc>
        <w:tc>
          <w:tcPr>
            <w:tcW w:w="6350"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strike/>
                <w:color w:val="auto"/>
                <w:szCs w:val="21"/>
                <w:highlight w:val="none"/>
                <w:u w:val="single"/>
              </w:rPr>
            </w:pPr>
            <w:r>
              <w:rPr>
                <w:rFonts w:hint="eastAsia" w:ascii="宋体" w:hAnsi="宋体"/>
                <w:color w:val="auto"/>
                <w:szCs w:val="21"/>
                <w:highlight w:val="none"/>
                <w:u w:val="single"/>
              </w:rPr>
              <w:t>投标人没有以联合体投标登记。本项没有须审查的资料。</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before="120" w:after="6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427" w:type="dxa"/>
            <w:tcBorders>
              <w:top w:val="single" w:color="auto" w:sz="4" w:space="0"/>
              <w:left w:val="single" w:color="auto" w:sz="4" w:space="0"/>
              <w:bottom w:val="single" w:color="auto" w:sz="4" w:space="0"/>
              <w:right w:val="single" w:color="auto" w:sz="4" w:space="0"/>
            </w:tcBorders>
            <w:noWrap w:val="0"/>
            <w:vAlign w:val="center"/>
          </w:tcPr>
          <w:p>
            <w:pPr>
              <w:spacing w:before="120" w:after="60"/>
              <w:jc w:val="center"/>
              <w:rPr>
                <w:rFonts w:hint="eastAsia" w:ascii="宋体" w:hAnsi="宋体" w:eastAsia="宋体"/>
                <w:color w:val="auto"/>
                <w:szCs w:val="21"/>
                <w:highlight w:val="none"/>
                <w:u w:val="single"/>
                <w:lang w:eastAsia="zh-CN"/>
              </w:rPr>
            </w:pPr>
            <w:r>
              <w:rPr>
                <w:rFonts w:hint="eastAsia" w:ascii="宋体" w:hAnsi="宋体"/>
                <w:color w:val="auto"/>
                <w:szCs w:val="21"/>
                <w:highlight w:val="none"/>
                <w:u w:val="single"/>
              </w:rPr>
              <w:t>1</w:t>
            </w:r>
            <w:r>
              <w:rPr>
                <w:rFonts w:hint="eastAsia" w:ascii="宋体" w:hAnsi="宋体"/>
                <w:color w:val="auto"/>
                <w:szCs w:val="21"/>
                <w:highlight w:val="none"/>
                <w:u w:val="single"/>
                <w:lang w:val="en-US" w:eastAsia="zh-CN"/>
              </w:rPr>
              <w:t>1</w:t>
            </w:r>
          </w:p>
        </w:tc>
        <w:tc>
          <w:tcPr>
            <w:tcW w:w="6831" w:type="dxa"/>
            <w:tcBorders>
              <w:top w:val="single" w:color="auto" w:sz="4" w:space="0"/>
              <w:left w:val="single" w:color="auto" w:sz="4" w:space="0"/>
              <w:bottom w:val="single" w:color="auto" w:sz="4" w:space="0"/>
              <w:right w:val="single" w:color="auto" w:sz="4" w:space="0"/>
            </w:tcBorders>
            <w:noWrap w:val="0"/>
            <w:vAlign w:val="center"/>
          </w:tcPr>
          <w:p>
            <w:pPr>
              <w:spacing w:before="120" w:after="60"/>
              <w:rPr>
                <w:rFonts w:hint="eastAsia" w:ascii="宋体" w:hAnsi="宋体" w:eastAsia="宋体"/>
                <w:color w:val="auto"/>
                <w:szCs w:val="21"/>
                <w:highlight w:val="none"/>
                <w:lang w:eastAsia="zh-CN"/>
              </w:rPr>
            </w:pPr>
            <w:r>
              <w:rPr>
                <w:rFonts w:hint="eastAsia" w:ascii="宋体" w:hAnsi="宋体"/>
                <w:color w:val="auto"/>
                <w:szCs w:val="21"/>
                <w:highlight w:val="none"/>
                <w:u w:val="single"/>
              </w:rPr>
              <w:t>投标登记前，投标人须在广州交易集团有限公司（广州公共资源交易中心）企业库办理企业信息登记及拟担任本工程项目负责人、专职安全员须是本企业信息登记中的在册人员</w:t>
            </w:r>
            <w:r>
              <w:rPr>
                <w:rFonts w:hint="eastAsia" w:ascii="宋体" w:hAnsi="宋体"/>
                <w:color w:val="auto"/>
                <w:szCs w:val="21"/>
                <w:highlight w:val="none"/>
                <w:u w:val="single"/>
                <w:lang w:eastAsia="zh-CN"/>
              </w:rPr>
              <w:t>；</w:t>
            </w:r>
          </w:p>
        </w:tc>
        <w:tc>
          <w:tcPr>
            <w:tcW w:w="6350" w:type="dxa"/>
            <w:tcBorders>
              <w:top w:val="single" w:color="auto" w:sz="4" w:space="0"/>
              <w:left w:val="single" w:color="auto" w:sz="4" w:space="0"/>
              <w:bottom w:val="single" w:color="auto" w:sz="4" w:space="0"/>
              <w:right w:val="single" w:color="auto" w:sz="4" w:space="0"/>
            </w:tcBorders>
            <w:noWrap w:val="0"/>
            <w:vAlign w:val="center"/>
          </w:tcPr>
          <w:p>
            <w:pPr>
              <w:spacing w:before="120" w:after="60"/>
              <w:rPr>
                <w:rFonts w:hint="eastAsia" w:ascii="宋体" w:hAnsi="宋体" w:eastAsia="宋体"/>
                <w:color w:val="auto"/>
                <w:szCs w:val="21"/>
                <w:highlight w:val="none"/>
                <w:lang w:eastAsia="zh-CN"/>
              </w:rPr>
            </w:pPr>
            <w:r>
              <w:rPr>
                <w:rFonts w:hint="eastAsia" w:ascii="宋体" w:hAnsi="宋体"/>
                <w:color w:val="auto"/>
                <w:szCs w:val="21"/>
                <w:highlight w:val="none"/>
              </w:rPr>
              <w:t>投标人在</w:t>
            </w:r>
            <w:r>
              <w:rPr>
                <w:rFonts w:hint="eastAsia" w:ascii="宋体" w:hAnsi="宋体"/>
                <w:color w:val="auto"/>
                <w:szCs w:val="21"/>
                <w:highlight w:val="none"/>
                <w:u w:val="single"/>
              </w:rPr>
              <w:t>广州交易集团有限公司（广州公共资源交易中心）</w:t>
            </w:r>
            <w:r>
              <w:rPr>
                <w:rFonts w:hint="eastAsia"/>
                <w:color w:val="auto"/>
                <w:highlight w:val="none"/>
                <w:u w:val="single"/>
              </w:rPr>
              <w:t>企业</w:t>
            </w:r>
            <w:r>
              <w:rPr>
                <w:rFonts w:hint="eastAsia" w:ascii="宋体" w:hAnsi="宋体"/>
                <w:color w:val="auto"/>
                <w:szCs w:val="21"/>
                <w:highlight w:val="none"/>
              </w:rPr>
              <w:t>库内</w:t>
            </w:r>
            <w:r>
              <w:rPr>
                <w:rFonts w:hint="eastAsia" w:ascii="宋体" w:hAnsi="宋体"/>
                <w:color w:val="auto"/>
                <w:szCs w:val="21"/>
                <w:highlight w:val="none"/>
                <w:u w:val="single"/>
              </w:rPr>
              <w:t>信息</w:t>
            </w:r>
            <w:r>
              <w:rPr>
                <w:rFonts w:hint="eastAsia"/>
                <w:color w:val="auto"/>
                <w:highlight w:val="none"/>
                <w:u w:val="single"/>
              </w:rPr>
              <w:t>登记</w:t>
            </w:r>
            <w:r>
              <w:rPr>
                <w:rFonts w:hint="eastAsia" w:ascii="宋体" w:hAnsi="宋体"/>
                <w:color w:val="auto"/>
                <w:szCs w:val="21"/>
                <w:highlight w:val="none"/>
              </w:rPr>
              <w:t>的企业和人员信息</w:t>
            </w:r>
            <w:r>
              <w:rPr>
                <w:rFonts w:hint="eastAsia" w:ascii="宋体" w:hAnsi="宋体" w:cs="宋体"/>
                <w:bCs/>
                <w:color w:val="auto"/>
                <w:szCs w:val="21"/>
                <w:highlight w:val="none"/>
                <w:u w:val="single"/>
              </w:rPr>
              <w:t>（提供网页信息截图）</w:t>
            </w:r>
            <w:r>
              <w:rPr>
                <w:rFonts w:hint="eastAsia" w:ascii="宋体" w:hAnsi="宋体" w:cs="宋体"/>
                <w:bCs/>
                <w:color w:val="auto"/>
                <w:szCs w:val="21"/>
                <w:highlight w:val="none"/>
                <w:u w:val="single"/>
                <w:lang w:eastAsia="zh-CN"/>
              </w:rPr>
              <w:t>。</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before="120" w:after="6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427" w:type="dxa"/>
            <w:tcBorders>
              <w:top w:val="single" w:color="auto" w:sz="4" w:space="0"/>
              <w:left w:val="single" w:color="auto" w:sz="4" w:space="0"/>
              <w:bottom w:val="single" w:color="auto" w:sz="4" w:space="0"/>
              <w:right w:val="single" w:color="auto" w:sz="4" w:space="0"/>
            </w:tcBorders>
            <w:noWrap w:val="0"/>
            <w:vAlign w:val="center"/>
          </w:tcPr>
          <w:p>
            <w:pPr>
              <w:spacing w:before="120" w:after="60"/>
              <w:jc w:val="center"/>
              <w:rPr>
                <w:rFonts w:hint="eastAsia" w:ascii="宋体" w:hAnsi="宋体" w:eastAsia="宋体"/>
                <w:color w:val="auto"/>
                <w:szCs w:val="21"/>
                <w:highlight w:val="none"/>
                <w:u w:val="single"/>
                <w:lang w:eastAsia="zh-CN"/>
              </w:rPr>
            </w:pPr>
            <w:r>
              <w:rPr>
                <w:rFonts w:hint="eastAsia" w:ascii="宋体" w:hAnsi="宋体"/>
                <w:color w:val="auto"/>
                <w:szCs w:val="21"/>
                <w:highlight w:val="none"/>
                <w:u w:val="single"/>
              </w:rPr>
              <w:t>1</w:t>
            </w:r>
            <w:r>
              <w:rPr>
                <w:rFonts w:hint="eastAsia" w:ascii="宋体" w:hAnsi="宋体"/>
                <w:color w:val="auto"/>
                <w:szCs w:val="21"/>
                <w:highlight w:val="none"/>
                <w:u w:val="single"/>
                <w:lang w:val="en-US" w:eastAsia="zh-CN"/>
              </w:rPr>
              <w:t>2</w:t>
            </w:r>
          </w:p>
        </w:tc>
        <w:tc>
          <w:tcPr>
            <w:tcW w:w="6831" w:type="dxa"/>
            <w:tcBorders>
              <w:top w:val="single" w:color="auto" w:sz="4" w:space="0"/>
              <w:left w:val="single" w:color="auto" w:sz="4" w:space="0"/>
              <w:bottom w:val="single" w:color="auto" w:sz="4" w:space="0"/>
              <w:right w:val="single" w:color="auto" w:sz="4" w:space="0"/>
            </w:tcBorders>
            <w:noWrap w:val="0"/>
            <w:vAlign w:val="center"/>
          </w:tcPr>
          <w:p>
            <w:pPr>
              <w:spacing w:before="120" w:after="60"/>
              <w:rPr>
                <w:rFonts w:hint="eastAsia" w:ascii="宋体" w:hAnsi="宋体" w:eastAsia="宋体"/>
                <w:color w:val="auto"/>
                <w:szCs w:val="21"/>
                <w:highlight w:val="none"/>
                <w:lang w:eastAsia="zh-CN"/>
              </w:rPr>
            </w:pPr>
            <w:r>
              <w:rPr>
                <w:rFonts w:hint="eastAsia" w:ascii="宋体" w:hAnsi="宋体"/>
                <w:color w:val="auto"/>
                <w:szCs w:val="21"/>
                <w:highlight w:val="none"/>
              </w:rPr>
              <w:t>投标人未出现以下情形：与其它投标人的单位负责人为同一人或者存在控股、管理关系的（按投标人提供的《投标人声明》第八条内容进行评审）</w:t>
            </w:r>
            <w:r>
              <w:rPr>
                <w:rFonts w:hint="eastAsia" w:ascii="宋体" w:hAnsi="宋体"/>
                <w:color w:val="auto"/>
                <w:szCs w:val="21"/>
                <w:highlight w:val="none"/>
                <w:lang w:eastAsia="zh-CN"/>
              </w:rPr>
              <w:t>；</w:t>
            </w:r>
          </w:p>
        </w:tc>
        <w:tc>
          <w:tcPr>
            <w:tcW w:w="6350" w:type="dxa"/>
            <w:tcBorders>
              <w:top w:val="single" w:color="auto" w:sz="4" w:space="0"/>
              <w:left w:val="single" w:color="auto" w:sz="4" w:space="0"/>
              <w:bottom w:val="single" w:color="auto" w:sz="4" w:space="0"/>
              <w:right w:val="single" w:color="auto" w:sz="4" w:space="0"/>
            </w:tcBorders>
            <w:noWrap w:val="0"/>
            <w:vAlign w:val="center"/>
          </w:tcPr>
          <w:p>
            <w:pPr>
              <w:spacing w:before="120" w:after="60"/>
              <w:jc w:val="left"/>
              <w:rPr>
                <w:rFonts w:hint="eastAsia" w:ascii="宋体" w:hAnsi="宋体" w:eastAsia="宋体"/>
                <w:color w:val="auto"/>
                <w:szCs w:val="21"/>
                <w:highlight w:val="none"/>
                <w:lang w:eastAsia="zh-CN"/>
              </w:rPr>
            </w:pPr>
            <w:r>
              <w:rPr>
                <w:rFonts w:hint="eastAsia" w:ascii="宋体" w:hAnsi="宋体"/>
                <w:color w:val="auto"/>
                <w:szCs w:val="21"/>
                <w:highlight w:val="none"/>
              </w:rPr>
              <w:t>投标人声明</w:t>
            </w:r>
            <w:r>
              <w:rPr>
                <w:rFonts w:hint="eastAsia" w:ascii="宋体" w:hAnsi="宋体"/>
                <w:color w:val="auto"/>
                <w:szCs w:val="21"/>
                <w:highlight w:val="none"/>
                <w:lang w:val="en-US" w:eastAsia="zh-CN"/>
              </w:rPr>
              <w:t>原件</w:t>
            </w:r>
            <w:r>
              <w:rPr>
                <w:rFonts w:hint="eastAsia" w:ascii="宋体" w:hAnsi="宋体"/>
                <w:color w:val="auto"/>
                <w:szCs w:val="21"/>
                <w:highlight w:val="none"/>
                <w:u w:val="single"/>
              </w:rPr>
              <w:t>扫描</w:t>
            </w:r>
            <w:r>
              <w:rPr>
                <w:rFonts w:hint="eastAsia" w:ascii="宋体" w:hAnsi="宋体"/>
                <w:color w:val="auto"/>
                <w:szCs w:val="21"/>
                <w:highlight w:val="none"/>
                <w:u w:val="single"/>
                <w:lang w:eastAsia="zh-CN"/>
              </w:rPr>
              <w:t>。</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before="120" w:after="6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427" w:type="dxa"/>
            <w:tcBorders>
              <w:top w:val="single" w:color="auto" w:sz="4" w:space="0"/>
              <w:left w:val="single" w:color="auto" w:sz="4" w:space="0"/>
              <w:bottom w:val="single" w:color="auto" w:sz="4" w:space="0"/>
              <w:right w:val="single" w:color="auto" w:sz="4" w:space="0"/>
            </w:tcBorders>
            <w:noWrap w:val="0"/>
            <w:vAlign w:val="center"/>
          </w:tcPr>
          <w:p>
            <w:pPr>
              <w:spacing w:before="120" w:after="60"/>
              <w:jc w:val="center"/>
              <w:rPr>
                <w:rFonts w:hint="eastAsia" w:ascii="宋体" w:hAnsi="宋体" w:eastAsia="宋体"/>
                <w:color w:val="auto"/>
                <w:szCs w:val="21"/>
                <w:highlight w:val="none"/>
                <w:u w:val="single"/>
                <w:lang w:eastAsia="zh-CN"/>
              </w:rPr>
            </w:pPr>
            <w:r>
              <w:rPr>
                <w:rFonts w:hint="eastAsia" w:ascii="宋体" w:hAnsi="宋体"/>
                <w:color w:val="auto"/>
                <w:szCs w:val="21"/>
                <w:highlight w:val="none"/>
                <w:u w:val="single"/>
              </w:rPr>
              <w:t>1</w:t>
            </w:r>
            <w:r>
              <w:rPr>
                <w:rFonts w:hint="eastAsia" w:ascii="宋体" w:hAnsi="宋体"/>
                <w:color w:val="auto"/>
                <w:szCs w:val="21"/>
                <w:highlight w:val="none"/>
                <w:u w:val="single"/>
                <w:lang w:val="en-US" w:eastAsia="zh-CN"/>
              </w:rPr>
              <w:t>3</w:t>
            </w:r>
          </w:p>
        </w:tc>
        <w:tc>
          <w:tcPr>
            <w:tcW w:w="683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auto"/>
                <w:szCs w:val="21"/>
                <w:highlight w:val="none"/>
                <w:lang w:eastAsia="zh-CN"/>
              </w:rPr>
            </w:pPr>
            <w:r>
              <w:rPr>
                <w:rFonts w:hint="eastAsia" w:ascii="宋体" w:hAnsi="宋体"/>
                <w:color w:val="auto"/>
                <w:szCs w:val="21"/>
                <w:highlight w:val="none"/>
              </w:rPr>
              <w:t>投标人未被列入拖欠农民工工资失信联合惩戒对象名单</w:t>
            </w:r>
            <w:r>
              <w:rPr>
                <w:rFonts w:hint="eastAsia" w:ascii="宋体" w:hAnsi="宋体"/>
                <w:color w:val="auto"/>
                <w:szCs w:val="21"/>
                <w:highlight w:val="none"/>
                <w:lang w:eastAsia="zh-CN"/>
              </w:rPr>
              <w:t>；</w:t>
            </w:r>
          </w:p>
        </w:tc>
        <w:tc>
          <w:tcPr>
            <w:tcW w:w="6350"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auto"/>
                <w:szCs w:val="21"/>
                <w:highlight w:val="none"/>
                <w:u w:val="single"/>
              </w:rPr>
            </w:pPr>
            <w:r>
              <w:rPr>
                <w:rFonts w:hint="eastAsia" w:ascii="宋体" w:hAnsi="宋体"/>
                <w:color w:val="auto"/>
                <w:szCs w:val="21"/>
                <w:highlight w:val="none"/>
                <w:u w:val="single"/>
              </w:rPr>
              <w:t>投标人无需提供资料，资格审查时，按广州交易集团有限公司（广州公共资源交易中心）交易系统比对的结果进行评审。</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before="120" w:after="60"/>
              <w:jc w:val="center"/>
              <w:rPr>
                <w:rFonts w:ascii="宋体" w:hAnsi="宋体"/>
                <w:color w:val="auto"/>
                <w:szCs w:val="21"/>
                <w:highlight w:val="none"/>
              </w:rPr>
            </w:pPr>
          </w:p>
        </w:tc>
      </w:tr>
    </w:tbl>
    <w:p>
      <w:pPr>
        <w:ind w:firstLine="470" w:firstLineChars="224"/>
        <w:rPr>
          <w:rFonts w:ascii="宋体"/>
          <w:color w:val="auto"/>
          <w:szCs w:val="21"/>
          <w:highlight w:val="none"/>
        </w:rPr>
      </w:pPr>
      <w:r>
        <w:rPr>
          <w:rFonts w:hint="eastAsia" w:ascii="宋体" w:hAnsi="宋体"/>
          <w:color w:val="auto"/>
          <w:szCs w:val="21"/>
          <w:highlight w:val="none"/>
        </w:rPr>
        <w:t>备注：</w:t>
      </w:r>
      <w:r>
        <w:rPr>
          <w:rFonts w:ascii="宋体" w:hAnsi="宋体"/>
          <w:color w:val="auto"/>
          <w:szCs w:val="21"/>
          <w:highlight w:val="none"/>
        </w:rPr>
        <w:t>1</w:t>
      </w:r>
      <w:r>
        <w:rPr>
          <w:rFonts w:hint="eastAsia" w:ascii="宋体" w:hAnsi="宋体"/>
          <w:color w:val="auto"/>
          <w:szCs w:val="21"/>
          <w:highlight w:val="none"/>
        </w:rPr>
        <w:t>、每一项目符合的打“○”，不符合的打“×”；</w:t>
      </w:r>
    </w:p>
    <w:p>
      <w:pPr>
        <w:ind w:firstLine="470" w:firstLineChars="224"/>
        <w:rPr>
          <w:rFonts w:hint="eastAsia"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、若评委意见不一致时，则按少数服从多数的原则，作出评审结论。汇总后，出现一个“×”的结论为“不通过”。</w:t>
      </w:r>
    </w:p>
    <w:p>
      <w:pPr>
        <w:ind w:firstLine="470" w:firstLineChars="224"/>
        <w:rPr>
          <w:rFonts w:ascii="宋体" w:hAnsi="宋体"/>
          <w:color w:val="auto"/>
          <w:szCs w:val="21"/>
          <w:highlight w:val="none"/>
        </w:rPr>
      </w:pPr>
      <w:r>
        <w:rPr>
          <w:rFonts w:hint="eastAsia" w:ascii="宋体" w:hAnsi="宋体"/>
          <w:color w:val="auto"/>
          <w:szCs w:val="21"/>
          <w:highlight w:val="none"/>
        </w:rPr>
        <w:t>3.不得将文件顺序、明显的文字错误等列为否决投标的情形。评委发现资格审查文件中含义不明确、对同类问题表述不一致、有明显文字和计算错误的，应当要求投标人作必要的澄清、说明后再判定投标人是否通过资格审查，不得直接认定其不通过资格审查。</w:t>
      </w:r>
    </w:p>
    <w:p>
      <w:pPr>
        <w:rPr>
          <w:color w:val="auto"/>
          <w:highlight w:val="none"/>
        </w:rPr>
        <w:sectPr>
          <w:endnotePr>
            <w:numFmt w:val="decimal"/>
          </w:endnotePr>
          <w:pgSz w:w="16838" w:h="11906" w:orient="landscape"/>
          <w:pgMar w:top="1418" w:right="1134" w:bottom="1418" w:left="1247" w:header="851" w:footer="907" w:gutter="0"/>
          <w:cols w:space="720" w:num="1"/>
          <w:titlePg/>
          <w:docGrid w:type="linesAndChars" w:linePitch="312" w:charSpace="0"/>
        </w:sectPr>
      </w:pPr>
    </w:p>
    <w:p>
      <w:pPr>
        <w:rPr>
          <w:color w:val="auto"/>
          <w:szCs w:val="21"/>
          <w:highlight w:val="none"/>
        </w:rPr>
      </w:pPr>
      <w:r>
        <w:rPr>
          <w:rFonts w:hint="eastAsia"/>
          <w:color w:val="auto"/>
          <w:szCs w:val="21"/>
          <w:highlight w:val="none"/>
        </w:rPr>
        <w:t>附表二</w:t>
      </w:r>
    </w:p>
    <w:p>
      <w:pPr>
        <w:jc w:val="center"/>
        <w:rPr>
          <w:b/>
          <w:color w:val="auto"/>
          <w:sz w:val="36"/>
          <w:szCs w:val="36"/>
          <w:highlight w:val="none"/>
        </w:rPr>
      </w:pPr>
      <w:r>
        <w:rPr>
          <w:rFonts w:hint="eastAsia"/>
          <w:b/>
          <w:color w:val="auto"/>
          <w:sz w:val="36"/>
          <w:szCs w:val="36"/>
          <w:highlight w:val="none"/>
        </w:rPr>
        <w:t>技术标有效性审查表</w:t>
      </w:r>
    </w:p>
    <w:p>
      <w:pPr>
        <w:rPr>
          <w:color w:val="auto"/>
          <w:szCs w:val="21"/>
          <w:highlight w:val="none"/>
        </w:rPr>
      </w:pPr>
      <w:r>
        <w:rPr>
          <w:rFonts w:hint="eastAsia"/>
          <w:color w:val="auto"/>
          <w:szCs w:val="21"/>
          <w:highlight w:val="none"/>
        </w:rPr>
        <w:t>工程名称：</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8516"/>
        <w:gridCol w:w="921"/>
        <w:gridCol w:w="921"/>
        <w:gridCol w:w="922"/>
        <w:gridCol w:w="921"/>
        <w:gridCol w:w="921"/>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3" w:type="dxa"/>
            <w:tcBorders>
              <w:top w:val="single" w:color="auto" w:sz="4" w:space="0"/>
              <w:left w:val="single" w:color="auto" w:sz="4" w:space="0"/>
              <w:bottom w:val="single" w:color="auto" w:sz="4" w:space="0"/>
              <w:right w:val="single" w:color="auto" w:sz="4" w:space="0"/>
            </w:tcBorders>
            <w:noWrap w:val="0"/>
            <w:vAlign w:val="center"/>
          </w:tcPr>
          <w:p>
            <w:pPr>
              <w:adjustRightInd w:val="0"/>
              <w:rPr>
                <w:rFonts w:ascii="宋体" w:hAnsi="宋体"/>
                <w:color w:val="auto"/>
                <w:szCs w:val="21"/>
                <w:highlight w:val="none"/>
              </w:rPr>
            </w:pPr>
            <w:r>
              <w:rPr>
                <w:rFonts w:hint="eastAsia" w:ascii="宋体" w:hAnsi="宋体"/>
                <w:color w:val="auto"/>
                <w:szCs w:val="21"/>
                <w:highlight w:val="none"/>
              </w:rPr>
              <w:t>序号</w:t>
            </w:r>
          </w:p>
        </w:tc>
        <w:tc>
          <w:tcPr>
            <w:tcW w:w="8516" w:type="dxa"/>
            <w:tcBorders>
              <w:top w:val="single" w:color="auto" w:sz="4" w:space="0"/>
              <w:left w:val="single" w:color="auto" w:sz="4" w:space="0"/>
              <w:bottom w:val="single" w:color="auto" w:sz="4" w:space="0"/>
              <w:right w:val="single" w:color="auto" w:sz="4" w:space="0"/>
              <w:tl2br w:val="single" w:color="auto" w:sz="4" w:space="0"/>
            </w:tcBorders>
            <w:noWrap w:val="0"/>
            <w:vAlign w:val="top"/>
          </w:tcPr>
          <w:p>
            <w:pPr>
              <w:adjustRightInd w:val="0"/>
              <w:ind w:firstLine="3570" w:firstLineChars="1700"/>
              <w:rPr>
                <w:rFonts w:ascii="宋体" w:hAnsi="宋体"/>
                <w:color w:val="auto"/>
                <w:szCs w:val="21"/>
                <w:highlight w:val="none"/>
              </w:rPr>
            </w:pPr>
            <w:r>
              <w:rPr>
                <w:rFonts w:hint="eastAsia" w:ascii="宋体" w:hAnsi="宋体"/>
                <w:color w:val="auto"/>
                <w:szCs w:val="21"/>
                <w:highlight w:val="none"/>
              </w:rPr>
              <w:t>投标人</w:t>
            </w:r>
          </w:p>
          <w:p>
            <w:pPr>
              <w:adjustRightInd w:val="0"/>
              <w:rPr>
                <w:rFonts w:ascii="宋体" w:hAnsi="宋体"/>
                <w:color w:val="auto"/>
                <w:szCs w:val="21"/>
                <w:highlight w:val="none"/>
              </w:rPr>
            </w:pPr>
          </w:p>
          <w:p>
            <w:pPr>
              <w:adjustRightInd w:val="0"/>
              <w:rPr>
                <w:rFonts w:ascii="宋体" w:hAnsi="宋体"/>
                <w:color w:val="auto"/>
                <w:szCs w:val="21"/>
                <w:highlight w:val="none"/>
              </w:rPr>
            </w:pPr>
            <w:r>
              <w:rPr>
                <w:rFonts w:hint="eastAsia" w:ascii="宋体" w:hAnsi="宋体"/>
                <w:color w:val="auto"/>
                <w:szCs w:val="21"/>
                <w:highlight w:val="none"/>
              </w:rPr>
              <w:t>评审内容</w:t>
            </w:r>
          </w:p>
        </w:tc>
        <w:tc>
          <w:tcPr>
            <w:tcW w:w="921" w:type="dxa"/>
            <w:tcBorders>
              <w:top w:val="single" w:color="auto" w:sz="4" w:space="0"/>
              <w:left w:val="single" w:color="auto" w:sz="4" w:space="0"/>
              <w:bottom w:val="single" w:color="auto" w:sz="4" w:space="0"/>
              <w:right w:val="single" w:color="auto" w:sz="4" w:space="0"/>
            </w:tcBorders>
            <w:noWrap w:val="0"/>
            <w:vAlign w:val="top"/>
          </w:tcPr>
          <w:p>
            <w:pPr>
              <w:adjustRightInd w:val="0"/>
              <w:rPr>
                <w:rFonts w:ascii="宋体" w:hAnsi="宋体"/>
                <w:color w:val="auto"/>
                <w:szCs w:val="21"/>
                <w:highlight w:val="none"/>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adjustRightInd w:val="0"/>
              <w:rPr>
                <w:rFonts w:ascii="宋体" w:hAnsi="宋体"/>
                <w:color w:val="auto"/>
                <w:szCs w:val="21"/>
                <w:highlight w:val="none"/>
              </w:rPr>
            </w:pPr>
          </w:p>
        </w:tc>
        <w:tc>
          <w:tcPr>
            <w:tcW w:w="922" w:type="dxa"/>
            <w:tcBorders>
              <w:top w:val="single" w:color="auto" w:sz="4" w:space="0"/>
              <w:left w:val="single" w:color="auto" w:sz="4" w:space="0"/>
              <w:bottom w:val="single" w:color="auto" w:sz="4" w:space="0"/>
              <w:right w:val="single" w:color="auto" w:sz="4" w:space="0"/>
            </w:tcBorders>
            <w:noWrap w:val="0"/>
            <w:vAlign w:val="top"/>
          </w:tcPr>
          <w:p>
            <w:pPr>
              <w:adjustRightInd w:val="0"/>
              <w:rPr>
                <w:rFonts w:ascii="宋体" w:hAnsi="宋体"/>
                <w:color w:val="auto"/>
                <w:szCs w:val="21"/>
                <w:highlight w:val="none"/>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adjustRightInd w:val="0"/>
              <w:rPr>
                <w:rFonts w:ascii="宋体" w:hAnsi="宋体"/>
                <w:color w:val="auto"/>
                <w:szCs w:val="21"/>
                <w:highlight w:val="none"/>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adjustRightInd w:val="0"/>
              <w:rPr>
                <w:rFonts w:ascii="宋体" w:hAnsi="宋体"/>
                <w:color w:val="auto"/>
                <w:szCs w:val="21"/>
                <w:highlight w:val="none"/>
              </w:rPr>
            </w:pPr>
          </w:p>
        </w:tc>
        <w:tc>
          <w:tcPr>
            <w:tcW w:w="922" w:type="dxa"/>
            <w:tcBorders>
              <w:top w:val="single" w:color="auto" w:sz="4" w:space="0"/>
              <w:left w:val="single" w:color="auto" w:sz="4" w:space="0"/>
              <w:bottom w:val="single" w:color="auto" w:sz="4" w:space="0"/>
              <w:right w:val="single" w:color="auto" w:sz="4" w:space="0"/>
            </w:tcBorders>
            <w:noWrap w:val="0"/>
            <w:vAlign w:val="top"/>
          </w:tcPr>
          <w:p>
            <w:pPr>
              <w:adjustRightInd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23" w:type="dxa"/>
            <w:tcBorders>
              <w:top w:val="single" w:color="auto" w:sz="4" w:space="0"/>
              <w:left w:val="single" w:color="auto" w:sz="4" w:space="0"/>
              <w:bottom w:val="single" w:color="auto" w:sz="4" w:space="0"/>
              <w:right w:val="single" w:color="auto" w:sz="4" w:space="0"/>
            </w:tcBorders>
            <w:noWrap w:val="0"/>
            <w:vAlign w:val="center"/>
          </w:tcPr>
          <w:p>
            <w:pPr>
              <w:adjustRightInd w:val="0"/>
              <w:rPr>
                <w:rFonts w:ascii="宋体" w:hAnsi="宋体"/>
                <w:color w:val="auto"/>
                <w:szCs w:val="21"/>
                <w:highlight w:val="none"/>
              </w:rPr>
            </w:pPr>
            <w:r>
              <w:rPr>
                <w:rFonts w:hint="eastAsia" w:ascii="宋体" w:hAnsi="宋体"/>
                <w:color w:val="auto"/>
                <w:szCs w:val="21"/>
                <w:highlight w:val="none"/>
              </w:rPr>
              <w:t>1</w:t>
            </w:r>
          </w:p>
        </w:tc>
        <w:tc>
          <w:tcPr>
            <w:tcW w:w="8516" w:type="dxa"/>
            <w:tcBorders>
              <w:top w:val="single" w:color="auto" w:sz="4" w:space="0"/>
              <w:left w:val="single" w:color="auto" w:sz="4" w:space="0"/>
              <w:bottom w:val="single" w:color="auto" w:sz="4" w:space="0"/>
              <w:right w:val="single" w:color="auto" w:sz="4" w:space="0"/>
            </w:tcBorders>
            <w:noWrap w:val="0"/>
            <w:vAlign w:val="center"/>
          </w:tcPr>
          <w:p>
            <w:pPr>
              <w:adjustRightInd w:val="0"/>
              <w:rPr>
                <w:rFonts w:hint="eastAsia" w:ascii="宋体" w:hAnsi="宋体" w:cs="宋体"/>
                <w:color w:val="auto"/>
                <w:szCs w:val="21"/>
                <w:highlight w:val="none"/>
                <w:u w:val="single"/>
              </w:rPr>
            </w:pPr>
            <w:r>
              <w:rPr>
                <w:rFonts w:hint="eastAsia" w:ascii="宋体" w:hAnsi="宋体" w:cs="宋体"/>
                <w:color w:val="auto"/>
                <w:szCs w:val="21"/>
                <w:highlight w:val="none"/>
                <w:u w:val="single"/>
              </w:rPr>
              <w:t>《广州建设工程施工招标投标书（技术标）》中填报的投标总工期不符合招标文件要求的；</w:t>
            </w:r>
          </w:p>
        </w:tc>
        <w:tc>
          <w:tcPr>
            <w:tcW w:w="921" w:type="dxa"/>
            <w:tcBorders>
              <w:top w:val="single" w:color="auto" w:sz="4" w:space="0"/>
              <w:left w:val="single" w:color="auto" w:sz="4" w:space="0"/>
              <w:bottom w:val="single" w:color="auto" w:sz="4" w:space="0"/>
              <w:right w:val="single" w:color="auto" w:sz="4" w:space="0"/>
            </w:tcBorders>
            <w:noWrap w:val="0"/>
            <w:vAlign w:val="top"/>
          </w:tcPr>
          <w:p>
            <w:pPr>
              <w:adjustRightInd w:val="0"/>
              <w:rPr>
                <w:rFonts w:ascii="宋体" w:hAnsi="宋体"/>
                <w:color w:val="auto"/>
                <w:szCs w:val="21"/>
                <w:highlight w:val="none"/>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adjustRightInd w:val="0"/>
              <w:rPr>
                <w:rFonts w:ascii="宋体" w:hAnsi="宋体"/>
                <w:color w:val="auto"/>
                <w:szCs w:val="21"/>
                <w:highlight w:val="none"/>
              </w:rPr>
            </w:pPr>
          </w:p>
        </w:tc>
        <w:tc>
          <w:tcPr>
            <w:tcW w:w="922" w:type="dxa"/>
            <w:tcBorders>
              <w:top w:val="single" w:color="auto" w:sz="4" w:space="0"/>
              <w:left w:val="single" w:color="auto" w:sz="4" w:space="0"/>
              <w:bottom w:val="single" w:color="auto" w:sz="4" w:space="0"/>
              <w:right w:val="single" w:color="auto" w:sz="4" w:space="0"/>
            </w:tcBorders>
            <w:noWrap w:val="0"/>
            <w:vAlign w:val="top"/>
          </w:tcPr>
          <w:p>
            <w:pPr>
              <w:adjustRightInd w:val="0"/>
              <w:rPr>
                <w:rFonts w:ascii="宋体" w:hAnsi="宋体"/>
                <w:color w:val="auto"/>
                <w:szCs w:val="21"/>
                <w:highlight w:val="none"/>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adjustRightInd w:val="0"/>
              <w:rPr>
                <w:rFonts w:ascii="宋体" w:hAnsi="宋体"/>
                <w:color w:val="auto"/>
                <w:szCs w:val="21"/>
                <w:highlight w:val="none"/>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adjustRightInd w:val="0"/>
              <w:rPr>
                <w:rFonts w:ascii="宋体" w:hAnsi="宋体"/>
                <w:color w:val="auto"/>
                <w:szCs w:val="21"/>
                <w:highlight w:val="none"/>
              </w:rPr>
            </w:pPr>
          </w:p>
        </w:tc>
        <w:tc>
          <w:tcPr>
            <w:tcW w:w="922" w:type="dxa"/>
            <w:tcBorders>
              <w:top w:val="single" w:color="auto" w:sz="4" w:space="0"/>
              <w:left w:val="single" w:color="auto" w:sz="4" w:space="0"/>
              <w:bottom w:val="single" w:color="auto" w:sz="4" w:space="0"/>
              <w:right w:val="single" w:color="auto" w:sz="4" w:space="0"/>
            </w:tcBorders>
            <w:noWrap w:val="0"/>
            <w:vAlign w:val="top"/>
          </w:tcPr>
          <w:p>
            <w:pPr>
              <w:adjustRightInd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23" w:type="dxa"/>
            <w:tcBorders>
              <w:top w:val="single" w:color="auto" w:sz="4" w:space="0"/>
              <w:left w:val="single" w:color="auto" w:sz="4" w:space="0"/>
              <w:bottom w:val="single" w:color="auto" w:sz="4" w:space="0"/>
              <w:right w:val="single" w:color="auto" w:sz="4" w:space="0"/>
            </w:tcBorders>
            <w:noWrap w:val="0"/>
            <w:vAlign w:val="center"/>
          </w:tcPr>
          <w:p>
            <w:pPr>
              <w:adjustRightInd w:val="0"/>
              <w:rPr>
                <w:rFonts w:ascii="宋体" w:hAnsi="宋体"/>
                <w:color w:val="auto"/>
                <w:szCs w:val="21"/>
                <w:highlight w:val="none"/>
              </w:rPr>
            </w:pPr>
            <w:r>
              <w:rPr>
                <w:rFonts w:hint="eastAsia" w:ascii="宋体" w:hAnsi="宋体"/>
                <w:color w:val="auto"/>
                <w:szCs w:val="21"/>
                <w:highlight w:val="none"/>
              </w:rPr>
              <w:t>2</w:t>
            </w:r>
          </w:p>
        </w:tc>
        <w:tc>
          <w:tcPr>
            <w:tcW w:w="8516" w:type="dxa"/>
            <w:tcBorders>
              <w:top w:val="single" w:color="auto" w:sz="4" w:space="0"/>
              <w:left w:val="single" w:color="auto" w:sz="4" w:space="0"/>
              <w:bottom w:val="single" w:color="auto" w:sz="4" w:space="0"/>
              <w:right w:val="single" w:color="auto" w:sz="4" w:space="0"/>
            </w:tcBorders>
            <w:noWrap w:val="0"/>
            <w:vAlign w:val="center"/>
          </w:tcPr>
          <w:p>
            <w:pPr>
              <w:adjustRightInd w:val="0"/>
              <w:rPr>
                <w:rFonts w:hint="eastAsia" w:ascii="宋体" w:hAnsi="宋体" w:cs="宋体"/>
                <w:color w:val="auto"/>
                <w:szCs w:val="21"/>
                <w:highlight w:val="none"/>
              </w:rPr>
            </w:pPr>
            <w:r>
              <w:rPr>
                <w:rFonts w:hint="eastAsia" w:ascii="宋体" w:hAnsi="宋体" w:cs="宋体"/>
                <w:color w:val="auto"/>
                <w:szCs w:val="21"/>
                <w:highlight w:val="none"/>
                <w:u w:val="single"/>
              </w:rPr>
              <w:t>《广州建设工程施工招标投标书（技术标）》中填报的工程质量标准不符合招标文件要求的；</w:t>
            </w:r>
          </w:p>
        </w:tc>
        <w:tc>
          <w:tcPr>
            <w:tcW w:w="921" w:type="dxa"/>
            <w:tcBorders>
              <w:top w:val="single" w:color="auto" w:sz="4" w:space="0"/>
              <w:left w:val="single" w:color="auto" w:sz="4" w:space="0"/>
              <w:bottom w:val="single" w:color="auto" w:sz="4" w:space="0"/>
              <w:right w:val="single" w:color="auto" w:sz="4" w:space="0"/>
            </w:tcBorders>
            <w:noWrap w:val="0"/>
            <w:vAlign w:val="top"/>
          </w:tcPr>
          <w:p>
            <w:pPr>
              <w:adjustRightInd w:val="0"/>
              <w:rPr>
                <w:rFonts w:ascii="宋体" w:hAnsi="宋体"/>
                <w:color w:val="auto"/>
                <w:szCs w:val="21"/>
                <w:highlight w:val="none"/>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adjustRightInd w:val="0"/>
              <w:rPr>
                <w:rFonts w:ascii="宋体" w:hAnsi="宋体"/>
                <w:color w:val="auto"/>
                <w:szCs w:val="21"/>
                <w:highlight w:val="none"/>
              </w:rPr>
            </w:pPr>
          </w:p>
        </w:tc>
        <w:tc>
          <w:tcPr>
            <w:tcW w:w="922" w:type="dxa"/>
            <w:tcBorders>
              <w:top w:val="single" w:color="auto" w:sz="4" w:space="0"/>
              <w:left w:val="single" w:color="auto" w:sz="4" w:space="0"/>
              <w:bottom w:val="single" w:color="auto" w:sz="4" w:space="0"/>
              <w:right w:val="single" w:color="auto" w:sz="4" w:space="0"/>
            </w:tcBorders>
            <w:noWrap w:val="0"/>
            <w:vAlign w:val="top"/>
          </w:tcPr>
          <w:p>
            <w:pPr>
              <w:adjustRightInd w:val="0"/>
              <w:rPr>
                <w:rFonts w:ascii="宋体" w:hAnsi="宋体"/>
                <w:color w:val="auto"/>
                <w:szCs w:val="21"/>
                <w:highlight w:val="none"/>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adjustRightInd w:val="0"/>
              <w:rPr>
                <w:rFonts w:ascii="宋体" w:hAnsi="宋体"/>
                <w:color w:val="auto"/>
                <w:szCs w:val="21"/>
                <w:highlight w:val="none"/>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adjustRightInd w:val="0"/>
              <w:rPr>
                <w:rFonts w:ascii="宋体" w:hAnsi="宋体"/>
                <w:color w:val="auto"/>
                <w:szCs w:val="21"/>
                <w:highlight w:val="none"/>
              </w:rPr>
            </w:pPr>
          </w:p>
        </w:tc>
        <w:tc>
          <w:tcPr>
            <w:tcW w:w="922" w:type="dxa"/>
            <w:tcBorders>
              <w:top w:val="single" w:color="auto" w:sz="4" w:space="0"/>
              <w:left w:val="single" w:color="auto" w:sz="4" w:space="0"/>
              <w:bottom w:val="single" w:color="auto" w:sz="4" w:space="0"/>
              <w:right w:val="single" w:color="auto" w:sz="4" w:space="0"/>
            </w:tcBorders>
            <w:noWrap w:val="0"/>
            <w:vAlign w:val="top"/>
          </w:tcPr>
          <w:p>
            <w:pPr>
              <w:adjustRightInd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3" w:type="dxa"/>
            <w:tcBorders>
              <w:top w:val="single" w:color="auto" w:sz="4" w:space="0"/>
              <w:left w:val="single" w:color="auto" w:sz="4" w:space="0"/>
              <w:bottom w:val="single" w:color="auto" w:sz="4" w:space="0"/>
              <w:right w:val="single" w:color="auto" w:sz="4" w:space="0"/>
            </w:tcBorders>
            <w:noWrap w:val="0"/>
            <w:vAlign w:val="center"/>
          </w:tcPr>
          <w:p>
            <w:pPr>
              <w:adjustRightInd w:val="0"/>
              <w:rPr>
                <w:rFonts w:ascii="宋体" w:hAnsi="宋体"/>
                <w:color w:val="auto"/>
                <w:szCs w:val="21"/>
                <w:highlight w:val="none"/>
                <w:u w:val="single"/>
              </w:rPr>
            </w:pPr>
            <w:r>
              <w:rPr>
                <w:rFonts w:hint="eastAsia" w:ascii="宋体" w:hAnsi="宋体"/>
                <w:color w:val="auto"/>
                <w:szCs w:val="21"/>
                <w:highlight w:val="none"/>
                <w:u w:val="single"/>
              </w:rPr>
              <w:t>3</w:t>
            </w:r>
          </w:p>
        </w:tc>
        <w:tc>
          <w:tcPr>
            <w:tcW w:w="8516" w:type="dxa"/>
            <w:tcBorders>
              <w:top w:val="single" w:color="auto" w:sz="4" w:space="0"/>
              <w:left w:val="single" w:color="auto" w:sz="4" w:space="0"/>
              <w:bottom w:val="single" w:color="auto" w:sz="4" w:space="0"/>
              <w:right w:val="single" w:color="auto" w:sz="4" w:space="0"/>
            </w:tcBorders>
            <w:noWrap w:val="0"/>
            <w:vAlign w:val="center"/>
          </w:tcPr>
          <w:p>
            <w:pPr>
              <w:adjustRightInd w:val="0"/>
              <w:rPr>
                <w:rFonts w:ascii="宋体" w:hAnsi="宋体"/>
                <w:color w:val="auto"/>
                <w:szCs w:val="21"/>
                <w:highlight w:val="none"/>
              </w:rPr>
            </w:pPr>
            <w:r>
              <w:rPr>
                <w:rFonts w:hint="eastAsia" w:ascii="宋体" w:hAnsi="宋体"/>
                <w:color w:val="auto"/>
                <w:szCs w:val="21"/>
                <w:highlight w:val="none"/>
              </w:rPr>
              <w:t>投标文件中没有有效的法定代表人证明书，或由委托代理人签署的投标文件中没有法定代表人授权书；</w:t>
            </w:r>
          </w:p>
        </w:tc>
        <w:tc>
          <w:tcPr>
            <w:tcW w:w="921" w:type="dxa"/>
            <w:tcBorders>
              <w:top w:val="single" w:color="auto" w:sz="4" w:space="0"/>
              <w:left w:val="single" w:color="auto" w:sz="4" w:space="0"/>
              <w:bottom w:val="single" w:color="auto" w:sz="4" w:space="0"/>
              <w:right w:val="single" w:color="auto" w:sz="4" w:space="0"/>
            </w:tcBorders>
            <w:noWrap w:val="0"/>
            <w:vAlign w:val="top"/>
          </w:tcPr>
          <w:p>
            <w:pPr>
              <w:adjustRightInd w:val="0"/>
              <w:rPr>
                <w:rFonts w:ascii="宋体" w:hAnsi="宋体"/>
                <w:color w:val="auto"/>
                <w:szCs w:val="21"/>
                <w:highlight w:val="none"/>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adjustRightInd w:val="0"/>
              <w:rPr>
                <w:rFonts w:ascii="宋体" w:hAnsi="宋体"/>
                <w:color w:val="auto"/>
                <w:szCs w:val="21"/>
                <w:highlight w:val="none"/>
              </w:rPr>
            </w:pPr>
          </w:p>
        </w:tc>
        <w:tc>
          <w:tcPr>
            <w:tcW w:w="922" w:type="dxa"/>
            <w:tcBorders>
              <w:top w:val="single" w:color="auto" w:sz="4" w:space="0"/>
              <w:left w:val="single" w:color="auto" w:sz="4" w:space="0"/>
              <w:bottom w:val="single" w:color="auto" w:sz="4" w:space="0"/>
              <w:right w:val="single" w:color="auto" w:sz="4" w:space="0"/>
            </w:tcBorders>
            <w:noWrap w:val="0"/>
            <w:vAlign w:val="top"/>
          </w:tcPr>
          <w:p>
            <w:pPr>
              <w:adjustRightInd w:val="0"/>
              <w:rPr>
                <w:rFonts w:ascii="宋体" w:hAnsi="宋体"/>
                <w:color w:val="auto"/>
                <w:szCs w:val="21"/>
                <w:highlight w:val="none"/>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adjustRightInd w:val="0"/>
              <w:rPr>
                <w:rFonts w:ascii="宋体" w:hAnsi="宋体"/>
                <w:color w:val="auto"/>
                <w:szCs w:val="21"/>
                <w:highlight w:val="none"/>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adjustRightInd w:val="0"/>
              <w:rPr>
                <w:rFonts w:ascii="宋体" w:hAnsi="宋体"/>
                <w:color w:val="auto"/>
                <w:szCs w:val="21"/>
                <w:highlight w:val="none"/>
              </w:rPr>
            </w:pPr>
          </w:p>
        </w:tc>
        <w:tc>
          <w:tcPr>
            <w:tcW w:w="922" w:type="dxa"/>
            <w:tcBorders>
              <w:top w:val="single" w:color="auto" w:sz="4" w:space="0"/>
              <w:left w:val="single" w:color="auto" w:sz="4" w:space="0"/>
              <w:bottom w:val="single" w:color="auto" w:sz="4" w:space="0"/>
              <w:right w:val="single" w:color="auto" w:sz="4" w:space="0"/>
            </w:tcBorders>
            <w:noWrap w:val="0"/>
            <w:vAlign w:val="top"/>
          </w:tcPr>
          <w:p>
            <w:pPr>
              <w:adjustRightInd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3" w:type="dxa"/>
            <w:tcBorders>
              <w:top w:val="single" w:color="auto" w:sz="4" w:space="0"/>
              <w:left w:val="single" w:color="auto" w:sz="4" w:space="0"/>
              <w:bottom w:val="single" w:color="auto" w:sz="4" w:space="0"/>
              <w:right w:val="single" w:color="auto" w:sz="4" w:space="0"/>
            </w:tcBorders>
            <w:noWrap w:val="0"/>
            <w:vAlign w:val="center"/>
          </w:tcPr>
          <w:p>
            <w:pPr>
              <w:adjustRightInd w:val="0"/>
              <w:rPr>
                <w:rFonts w:ascii="宋体" w:hAnsi="宋体"/>
                <w:color w:val="auto"/>
                <w:szCs w:val="21"/>
                <w:highlight w:val="none"/>
                <w:u w:val="single"/>
              </w:rPr>
            </w:pPr>
            <w:r>
              <w:rPr>
                <w:rFonts w:hint="eastAsia" w:ascii="宋体" w:hAnsi="宋体"/>
                <w:color w:val="auto"/>
                <w:szCs w:val="21"/>
                <w:highlight w:val="none"/>
                <w:u w:val="single"/>
              </w:rPr>
              <w:t>4</w:t>
            </w:r>
          </w:p>
        </w:tc>
        <w:tc>
          <w:tcPr>
            <w:tcW w:w="8516" w:type="dxa"/>
            <w:tcBorders>
              <w:top w:val="single" w:color="auto" w:sz="4" w:space="0"/>
              <w:left w:val="single" w:color="auto" w:sz="4" w:space="0"/>
              <w:bottom w:val="single" w:color="auto" w:sz="4" w:space="0"/>
              <w:right w:val="single" w:color="auto" w:sz="4" w:space="0"/>
            </w:tcBorders>
            <w:noWrap w:val="0"/>
            <w:vAlign w:val="center"/>
          </w:tcPr>
          <w:p>
            <w:pPr>
              <w:adjustRightInd w:val="0"/>
              <w:rPr>
                <w:rFonts w:hint="eastAsia" w:ascii="宋体" w:hAnsi="宋体" w:cs="宋体"/>
                <w:color w:val="auto"/>
                <w:szCs w:val="21"/>
                <w:highlight w:val="none"/>
                <w:u w:val="single"/>
              </w:rPr>
            </w:pPr>
            <w:r>
              <w:rPr>
                <w:rFonts w:hint="eastAsia" w:ascii="宋体" w:hAnsi="宋体" w:cs="宋体"/>
                <w:color w:val="auto"/>
                <w:szCs w:val="21"/>
                <w:highlight w:val="none"/>
              </w:rPr>
              <w:t>投标文件未按规定的格式填写</w:t>
            </w:r>
            <w:r>
              <w:rPr>
                <w:rFonts w:hint="eastAsia" w:ascii="宋体" w:hAnsi="宋体" w:cs="宋体"/>
                <w:color w:val="auto"/>
                <w:szCs w:val="21"/>
                <w:highlight w:val="none"/>
                <w:u w:val="single"/>
              </w:rPr>
              <w:t>（指招标文件第四章提供格式的《广州建设工程施工招标投标书（技术标）》《投标函》《标函承诺书》《项目负责人驻场承诺书》《响应招标文件所附施工组织设计要点的承诺书》《危险性较大的分部分项工程安全管理措施》）</w:t>
            </w:r>
            <w:r>
              <w:rPr>
                <w:rFonts w:hint="eastAsia" w:ascii="宋体" w:hAnsi="宋体" w:cs="宋体"/>
                <w:color w:val="auto"/>
                <w:szCs w:val="21"/>
                <w:highlight w:val="none"/>
              </w:rPr>
              <w:t>，或主要内容（指投标文件组成内容）不全，或关键字迹模糊、无法辨认的；</w:t>
            </w:r>
          </w:p>
        </w:tc>
        <w:tc>
          <w:tcPr>
            <w:tcW w:w="921" w:type="dxa"/>
            <w:tcBorders>
              <w:top w:val="single" w:color="auto" w:sz="4" w:space="0"/>
              <w:left w:val="single" w:color="auto" w:sz="4" w:space="0"/>
              <w:bottom w:val="single" w:color="auto" w:sz="4" w:space="0"/>
              <w:right w:val="single" w:color="auto" w:sz="4" w:space="0"/>
            </w:tcBorders>
            <w:noWrap w:val="0"/>
            <w:vAlign w:val="top"/>
          </w:tcPr>
          <w:p>
            <w:pPr>
              <w:adjustRightInd w:val="0"/>
              <w:rPr>
                <w:rFonts w:ascii="宋体" w:hAnsi="宋体"/>
                <w:color w:val="auto"/>
                <w:szCs w:val="21"/>
                <w:highlight w:val="none"/>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adjustRightInd w:val="0"/>
              <w:rPr>
                <w:rFonts w:ascii="宋体" w:hAnsi="宋体"/>
                <w:color w:val="auto"/>
                <w:szCs w:val="21"/>
                <w:highlight w:val="none"/>
              </w:rPr>
            </w:pPr>
          </w:p>
        </w:tc>
        <w:tc>
          <w:tcPr>
            <w:tcW w:w="922" w:type="dxa"/>
            <w:tcBorders>
              <w:top w:val="single" w:color="auto" w:sz="4" w:space="0"/>
              <w:left w:val="single" w:color="auto" w:sz="4" w:space="0"/>
              <w:bottom w:val="single" w:color="auto" w:sz="4" w:space="0"/>
              <w:right w:val="single" w:color="auto" w:sz="4" w:space="0"/>
            </w:tcBorders>
            <w:noWrap w:val="0"/>
            <w:vAlign w:val="top"/>
          </w:tcPr>
          <w:p>
            <w:pPr>
              <w:adjustRightInd w:val="0"/>
              <w:rPr>
                <w:rFonts w:ascii="宋体" w:hAnsi="宋体"/>
                <w:color w:val="auto"/>
                <w:szCs w:val="21"/>
                <w:highlight w:val="none"/>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adjustRightInd w:val="0"/>
              <w:rPr>
                <w:rFonts w:ascii="宋体" w:hAnsi="宋体"/>
                <w:color w:val="auto"/>
                <w:szCs w:val="21"/>
                <w:highlight w:val="none"/>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adjustRightInd w:val="0"/>
              <w:rPr>
                <w:rFonts w:ascii="宋体" w:hAnsi="宋体"/>
                <w:color w:val="auto"/>
                <w:szCs w:val="21"/>
                <w:highlight w:val="none"/>
              </w:rPr>
            </w:pPr>
          </w:p>
        </w:tc>
        <w:tc>
          <w:tcPr>
            <w:tcW w:w="922" w:type="dxa"/>
            <w:tcBorders>
              <w:top w:val="single" w:color="auto" w:sz="4" w:space="0"/>
              <w:left w:val="single" w:color="auto" w:sz="4" w:space="0"/>
              <w:bottom w:val="single" w:color="auto" w:sz="4" w:space="0"/>
              <w:right w:val="single" w:color="auto" w:sz="4" w:space="0"/>
            </w:tcBorders>
            <w:noWrap w:val="0"/>
            <w:vAlign w:val="top"/>
          </w:tcPr>
          <w:p>
            <w:pPr>
              <w:adjustRightInd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3" w:type="dxa"/>
            <w:tcBorders>
              <w:top w:val="single" w:color="auto" w:sz="4" w:space="0"/>
              <w:left w:val="single" w:color="auto" w:sz="4" w:space="0"/>
              <w:bottom w:val="single" w:color="auto" w:sz="4" w:space="0"/>
              <w:right w:val="single" w:color="auto" w:sz="4" w:space="0"/>
            </w:tcBorders>
            <w:noWrap w:val="0"/>
            <w:vAlign w:val="center"/>
          </w:tcPr>
          <w:p>
            <w:pPr>
              <w:adjustRightInd w:val="0"/>
              <w:rPr>
                <w:rFonts w:ascii="宋体" w:hAnsi="宋体"/>
                <w:color w:val="auto"/>
                <w:szCs w:val="21"/>
                <w:highlight w:val="none"/>
                <w:u w:val="single"/>
              </w:rPr>
            </w:pPr>
            <w:r>
              <w:rPr>
                <w:rFonts w:ascii="宋体" w:hAnsi="宋体"/>
                <w:color w:val="auto"/>
                <w:szCs w:val="21"/>
                <w:highlight w:val="none"/>
                <w:u w:val="single"/>
              </w:rPr>
              <w:t>5</w:t>
            </w:r>
          </w:p>
        </w:tc>
        <w:tc>
          <w:tcPr>
            <w:tcW w:w="8516" w:type="dxa"/>
            <w:tcBorders>
              <w:top w:val="single" w:color="auto" w:sz="4" w:space="0"/>
              <w:left w:val="single" w:color="auto" w:sz="4" w:space="0"/>
              <w:bottom w:val="single" w:color="auto" w:sz="4" w:space="0"/>
              <w:right w:val="single" w:color="auto" w:sz="4" w:space="0"/>
            </w:tcBorders>
            <w:noWrap w:val="0"/>
            <w:vAlign w:val="center"/>
          </w:tcPr>
          <w:p>
            <w:pPr>
              <w:adjustRightInd w:val="0"/>
              <w:rPr>
                <w:rFonts w:ascii="宋体" w:hAnsi="宋体"/>
                <w:color w:val="auto"/>
                <w:szCs w:val="21"/>
                <w:highlight w:val="none"/>
              </w:rPr>
            </w:pPr>
            <w:r>
              <w:rPr>
                <w:rFonts w:hint="eastAsia" w:ascii="宋体" w:hAnsi="宋体"/>
                <w:color w:val="auto"/>
                <w:szCs w:val="21"/>
                <w:highlight w:val="none"/>
              </w:rPr>
              <w:t>投标人之间存在《广东省实施&lt;中华人民共和国招标投标法&gt;》第十六条所禁止的情形的；</w:t>
            </w:r>
          </w:p>
        </w:tc>
        <w:tc>
          <w:tcPr>
            <w:tcW w:w="921" w:type="dxa"/>
            <w:tcBorders>
              <w:top w:val="single" w:color="auto" w:sz="4" w:space="0"/>
              <w:left w:val="single" w:color="auto" w:sz="4" w:space="0"/>
              <w:bottom w:val="single" w:color="auto" w:sz="4" w:space="0"/>
              <w:right w:val="single" w:color="auto" w:sz="4" w:space="0"/>
            </w:tcBorders>
            <w:noWrap w:val="0"/>
            <w:vAlign w:val="top"/>
          </w:tcPr>
          <w:p>
            <w:pPr>
              <w:adjustRightInd w:val="0"/>
              <w:rPr>
                <w:rFonts w:ascii="宋体" w:hAnsi="宋体"/>
                <w:color w:val="auto"/>
                <w:szCs w:val="21"/>
                <w:highlight w:val="none"/>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adjustRightInd w:val="0"/>
              <w:rPr>
                <w:rFonts w:ascii="宋体" w:hAnsi="宋体"/>
                <w:color w:val="auto"/>
                <w:szCs w:val="21"/>
                <w:highlight w:val="none"/>
              </w:rPr>
            </w:pPr>
          </w:p>
        </w:tc>
        <w:tc>
          <w:tcPr>
            <w:tcW w:w="922" w:type="dxa"/>
            <w:tcBorders>
              <w:top w:val="single" w:color="auto" w:sz="4" w:space="0"/>
              <w:left w:val="single" w:color="auto" w:sz="4" w:space="0"/>
              <w:bottom w:val="single" w:color="auto" w:sz="4" w:space="0"/>
              <w:right w:val="single" w:color="auto" w:sz="4" w:space="0"/>
            </w:tcBorders>
            <w:noWrap w:val="0"/>
            <w:vAlign w:val="top"/>
          </w:tcPr>
          <w:p>
            <w:pPr>
              <w:adjustRightInd w:val="0"/>
              <w:rPr>
                <w:rFonts w:ascii="宋体" w:hAnsi="宋体"/>
                <w:color w:val="auto"/>
                <w:szCs w:val="21"/>
                <w:highlight w:val="none"/>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adjustRightInd w:val="0"/>
              <w:rPr>
                <w:rFonts w:ascii="宋体" w:hAnsi="宋体"/>
                <w:color w:val="auto"/>
                <w:szCs w:val="21"/>
                <w:highlight w:val="none"/>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adjustRightInd w:val="0"/>
              <w:rPr>
                <w:rFonts w:ascii="宋体" w:hAnsi="宋体"/>
                <w:color w:val="auto"/>
                <w:szCs w:val="21"/>
                <w:highlight w:val="none"/>
              </w:rPr>
            </w:pPr>
          </w:p>
        </w:tc>
        <w:tc>
          <w:tcPr>
            <w:tcW w:w="922" w:type="dxa"/>
            <w:tcBorders>
              <w:top w:val="single" w:color="auto" w:sz="4" w:space="0"/>
              <w:left w:val="single" w:color="auto" w:sz="4" w:space="0"/>
              <w:bottom w:val="single" w:color="auto" w:sz="4" w:space="0"/>
              <w:right w:val="single" w:color="auto" w:sz="4" w:space="0"/>
            </w:tcBorders>
            <w:noWrap w:val="0"/>
            <w:vAlign w:val="top"/>
          </w:tcPr>
          <w:p>
            <w:pPr>
              <w:adjustRightInd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3" w:type="dxa"/>
            <w:tcBorders>
              <w:top w:val="single" w:color="auto" w:sz="4" w:space="0"/>
              <w:left w:val="single" w:color="auto" w:sz="4" w:space="0"/>
              <w:bottom w:val="single" w:color="auto" w:sz="4" w:space="0"/>
              <w:right w:val="single" w:color="auto" w:sz="4" w:space="0"/>
            </w:tcBorders>
            <w:noWrap w:val="0"/>
            <w:vAlign w:val="center"/>
          </w:tcPr>
          <w:p>
            <w:pPr>
              <w:adjustRightInd w:val="0"/>
              <w:rPr>
                <w:rFonts w:ascii="宋体" w:hAnsi="宋体"/>
                <w:color w:val="auto"/>
                <w:szCs w:val="21"/>
                <w:highlight w:val="none"/>
                <w:u w:val="single"/>
              </w:rPr>
            </w:pPr>
            <w:r>
              <w:rPr>
                <w:rFonts w:ascii="宋体" w:hAnsi="宋体"/>
                <w:color w:val="auto"/>
                <w:szCs w:val="21"/>
                <w:highlight w:val="none"/>
                <w:u w:val="single"/>
              </w:rPr>
              <w:t>6</w:t>
            </w:r>
          </w:p>
        </w:tc>
        <w:tc>
          <w:tcPr>
            <w:tcW w:w="8516" w:type="dxa"/>
            <w:tcBorders>
              <w:top w:val="single" w:color="auto" w:sz="4" w:space="0"/>
              <w:left w:val="single" w:color="auto" w:sz="4" w:space="0"/>
              <w:bottom w:val="single" w:color="auto" w:sz="4" w:space="0"/>
              <w:right w:val="single" w:color="auto" w:sz="4" w:space="0"/>
            </w:tcBorders>
            <w:noWrap w:val="0"/>
            <w:vAlign w:val="center"/>
          </w:tcPr>
          <w:p>
            <w:pPr>
              <w:adjustRightInd w:val="0"/>
              <w:rPr>
                <w:rFonts w:hint="eastAsia" w:ascii="宋体" w:hAnsi="宋体" w:eastAsia="宋体"/>
                <w:color w:val="auto"/>
                <w:szCs w:val="21"/>
                <w:highlight w:val="none"/>
                <w:lang w:eastAsia="zh-CN"/>
              </w:rPr>
            </w:pPr>
            <w:r>
              <w:rPr>
                <w:rFonts w:hint="eastAsia" w:ascii="宋体" w:hAnsi="宋体"/>
                <w:color w:val="auto"/>
                <w:szCs w:val="21"/>
                <w:highlight w:val="none"/>
              </w:rPr>
              <w:t>无《参与编制技术标投标文件人员名单》的</w:t>
            </w:r>
            <w:r>
              <w:rPr>
                <w:rFonts w:hint="eastAsia" w:ascii="宋体" w:hAnsi="宋体"/>
                <w:color w:val="auto"/>
                <w:szCs w:val="21"/>
                <w:highlight w:val="none"/>
                <w:lang w:eastAsia="zh-CN"/>
              </w:rPr>
              <w:t>；</w:t>
            </w:r>
          </w:p>
        </w:tc>
        <w:tc>
          <w:tcPr>
            <w:tcW w:w="921" w:type="dxa"/>
            <w:tcBorders>
              <w:top w:val="single" w:color="auto" w:sz="4" w:space="0"/>
              <w:left w:val="single" w:color="auto" w:sz="4" w:space="0"/>
              <w:bottom w:val="single" w:color="auto" w:sz="4" w:space="0"/>
              <w:right w:val="single" w:color="auto" w:sz="4" w:space="0"/>
            </w:tcBorders>
            <w:noWrap w:val="0"/>
            <w:vAlign w:val="top"/>
          </w:tcPr>
          <w:p>
            <w:pPr>
              <w:adjustRightInd w:val="0"/>
              <w:rPr>
                <w:rFonts w:ascii="宋体" w:hAnsi="宋体"/>
                <w:color w:val="auto"/>
                <w:szCs w:val="21"/>
                <w:highlight w:val="none"/>
                <w:shd w:val="pct10" w:color="auto" w:fill="FFFFFF"/>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adjustRightInd w:val="0"/>
              <w:rPr>
                <w:rFonts w:ascii="宋体" w:hAnsi="宋体"/>
                <w:color w:val="auto"/>
                <w:szCs w:val="21"/>
                <w:highlight w:val="none"/>
                <w:shd w:val="pct10" w:color="auto" w:fill="FFFFFF"/>
              </w:rPr>
            </w:pPr>
          </w:p>
        </w:tc>
        <w:tc>
          <w:tcPr>
            <w:tcW w:w="922" w:type="dxa"/>
            <w:tcBorders>
              <w:top w:val="single" w:color="auto" w:sz="4" w:space="0"/>
              <w:left w:val="single" w:color="auto" w:sz="4" w:space="0"/>
              <w:bottom w:val="single" w:color="auto" w:sz="4" w:space="0"/>
              <w:right w:val="single" w:color="auto" w:sz="4" w:space="0"/>
            </w:tcBorders>
            <w:noWrap w:val="0"/>
            <w:vAlign w:val="top"/>
          </w:tcPr>
          <w:p>
            <w:pPr>
              <w:adjustRightInd w:val="0"/>
              <w:rPr>
                <w:rFonts w:ascii="宋体" w:hAnsi="宋体"/>
                <w:color w:val="auto"/>
                <w:szCs w:val="21"/>
                <w:highlight w:val="none"/>
                <w:shd w:val="pct10" w:color="auto" w:fill="FFFFFF"/>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adjustRightInd w:val="0"/>
              <w:rPr>
                <w:rFonts w:ascii="宋体" w:hAnsi="宋体"/>
                <w:color w:val="auto"/>
                <w:szCs w:val="21"/>
                <w:highlight w:val="none"/>
                <w:shd w:val="pct10" w:color="auto" w:fill="FFFFFF"/>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adjustRightInd w:val="0"/>
              <w:rPr>
                <w:rFonts w:ascii="宋体" w:hAnsi="宋体"/>
                <w:color w:val="auto"/>
                <w:szCs w:val="21"/>
                <w:highlight w:val="none"/>
                <w:shd w:val="pct10" w:color="auto" w:fill="FFFFFF"/>
              </w:rPr>
            </w:pPr>
          </w:p>
        </w:tc>
        <w:tc>
          <w:tcPr>
            <w:tcW w:w="922" w:type="dxa"/>
            <w:tcBorders>
              <w:top w:val="single" w:color="auto" w:sz="4" w:space="0"/>
              <w:left w:val="single" w:color="auto" w:sz="4" w:space="0"/>
              <w:bottom w:val="single" w:color="auto" w:sz="4" w:space="0"/>
              <w:right w:val="single" w:color="auto" w:sz="4" w:space="0"/>
            </w:tcBorders>
            <w:noWrap w:val="0"/>
            <w:vAlign w:val="top"/>
          </w:tcPr>
          <w:p>
            <w:pPr>
              <w:adjustRightInd w:val="0"/>
              <w:rPr>
                <w:rFonts w:ascii="宋体" w:hAnsi="宋体"/>
                <w:color w:val="auto"/>
                <w:szCs w:val="21"/>
                <w:highlight w:val="none"/>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3" w:type="dxa"/>
            <w:tcBorders>
              <w:top w:val="single" w:color="auto" w:sz="4" w:space="0"/>
              <w:left w:val="single" w:color="auto" w:sz="4" w:space="0"/>
              <w:bottom w:val="single" w:color="auto" w:sz="4" w:space="0"/>
              <w:right w:val="single" w:color="auto" w:sz="4" w:space="0"/>
            </w:tcBorders>
            <w:noWrap w:val="0"/>
            <w:vAlign w:val="center"/>
          </w:tcPr>
          <w:p>
            <w:pPr>
              <w:adjustRightInd w:val="0"/>
              <w:rPr>
                <w:rFonts w:ascii="宋体" w:hAnsi="宋体"/>
                <w:color w:val="auto"/>
                <w:szCs w:val="21"/>
                <w:highlight w:val="none"/>
                <w:u w:val="single"/>
              </w:rPr>
            </w:pPr>
            <w:r>
              <w:rPr>
                <w:rFonts w:hint="eastAsia" w:ascii="宋体" w:hAnsi="宋体"/>
                <w:color w:val="auto"/>
                <w:szCs w:val="21"/>
                <w:highlight w:val="none"/>
                <w:u w:val="single"/>
              </w:rPr>
              <w:t>7</w:t>
            </w:r>
          </w:p>
        </w:tc>
        <w:tc>
          <w:tcPr>
            <w:tcW w:w="8516" w:type="dxa"/>
            <w:tcBorders>
              <w:top w:val="single" w:color="auto" w:sz="4" w:space="0"/>
              <w:left w:val="single" w:color="auto" w:sz="4" w:space="0"/>
              <w:bottom w:val="single" w:color="auto" w:sz="4" w:space="0"/>
              <w:right w:val="single" w:color="auto" w:sz="4" w:space="0"/>
            </w:tcBorders>
            <w:noWrap w:val="0"/>
            <w:vAlign w:val="center"/>
          </w:tcPr>
          <w:p>
            <w:pPr>
              <w:adjustRightInd w:val="0"/>
              <w:rPr>
                <w:rFonts w:hint="eastAsia" w:ascii="宋体" w:hAnsi="宋体" w:eastAsia="宋体"/>
                <w:color w:val="auto"/>
                <w:szCs w:val="21"/>
                <w:highlight w:val="none"/>
                <w:lang w:eastAsia="zh-CN"/>
              </w:rPr>
            </w:pPr>
            <w:r>
              <w:rPr>
                <w:rFonts w:hint="eastAsia" w:ascii="宋体" w:hAnsi="宋体"/>
                <w:color w:val="auto"/>
                <w:szCs w:val="21"/>
                <w:highlight w:val="none"/>
              </w:rPr>
              <w:t>投标人与本项目其他投标人加密打包投标文件电脑机器特征码一致的[以</w:t>
            </w:r>
            <w:r>
              <w:rPr>
                <w:rFonts w:hint="eastAsia" w:ascii="宋体" w:hAnsi="宋体" w:cs="宋体"/>
                <w:color w:val="auto"/>
                <w:szCs w:val="21"/>
                <w:highlight w:val="none"/>
                <w:u w:val="single"/>
              </w:rPr>
              <w:t>广州交易集团有限公司（广州公共资源交易中心）</w:t>
            </w:r>
            <w:r>
              <w:rPr>
                <w:rFonts w:hint="eastAsia" w:ascii="宋体" w:hAnsi="宋体"/>
                <w:color w:val="auto"/>
                <w:szCs w:val="21"/>
                <w:highlight w:val="none"/>
              </w:rPr>
              <w:t>交易平台评标系统的检索信息为准]</w:t>
            </w:r>
            <w:r>
              <w:rPr>
                <w:rFonts w:hint="eastAsia" w:ascii="宋体" w:hAnsi="宋体"/>
                <w:color w:val="auto"/>
                <w:szCs w:val="21"/>
                <w:highlight w:val="none"/>
                <w:lang w:eastAsia="zh-CN"/>
              </w:rPr>
              <w:t>。</w:t>
            </w:r>
          </w:p>
        </w:tc>
        <w:tc>
          <w:tcPr>
            <w:tcW w:w="921" w:type="dxa"/>
            <w:tcBorders>
              <w:top w:val="single" w:color="auto" w:sz="4" w:space="0"/>
              <w:left w:val="single" w:color="auto" w:sz="4" w:space="0"/>
              <w:bottom w:val="single" w:color="auto" w:sz="4" w:space="0"/>
              <w:right w:val="single" w:color="auto" w:sz="4" w:space="0"/>
            </w:tcBorders>
            <w:noWrap w:val="0"/>
            <w:vAlign w:val="top"/>
          </w:tcPr>
          <w:p>
            <w:pPr>
              <w:adjustRightInd w:val="0"/>
              <w:rPr>
                <w:rFonts w:ascii="宋体" w:hAnsi="宋体"/>
                <w:color w:val="auto"/>
                <w:szCs w:val="21"/>
                <w:highlight w:val="none"/>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adjustRightInd w:val="0"/>
              <w:rPr>
                <w:rFonts w:ascii="宋体" w:hAnsi="宋体"/>
                <w:color w:val="auto"/>
                <w:szCs w:val="21"/>
                <w:highlight w:val="none"/>
              </w:rPr>
            </w:pPr>
          </w:p>
        </w:tc>
        <w:tc>
          <w:tcPr>
            <w:tcW w:w="922" w:type="dxa"/>
            <w:tcBorders>
              <w:top w:val="single" w:color="auto" w:sz="4" w:space="0"/>
              <w:left w:val="single" w:color="auto" w:sz="4" w:space="0"/>
              <w:bottom w:val="single" w:color="auto" w:sz="4" w:space="0"/>
              <w:right w:val="single" w:color="auto" w:sz="4" w:space="0"/>
            </w:tcBorders>
            <w:noWrap w:val="0"/>
            <w:vAlign w:val="top"/>
          </w:tcPr>
          <w:p>
            <w:pPr>
              <w:adjustRightInd w:val="0"/>
              <w:rPr>
                <w:rFonts w:ascii="宋体" w:hAnsi="宋体"/>
                <w:color w:val="auto"/>
                <w:szCs w:val="21"/>
                <w:highlight w:val="none"/>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adjustRightInd w:val="0"/>
              <w:rPr>
                <w:rFonts w:ascii="宋体" w:hAnsi="宋体"/>
                <w:color w:val="auto"/>
                <w:szCs w:val="21"/>
                <w:highlight w:val="none"/>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adjustRightInd w:val="0"/>
              <w:rPr>
                <w:rFonts w:ascii="宋体" w:hAnsi="宋体"/>
                <w:color w:val="auto"/>
                <w:szCs w:val="21"/>
                <w:highlight w:val="none"/>
              </w:rPr>
            </w:pPr>
          </w:p>
        </w:tc>
        <w:tc>
          <w:tcPr>
            <w:tcW w:w="922" w:type="dxa"/>
            <w:tcBorders>
              <w:top w:val="single" w:color="auto" w:sz="4" w:space="0"/>
              <w:left w:val="single" w:color="auto" w:sz="4" w:space="0"/>
              <w:bottom w:val="single" w:color="auto" w:sz="4" w:space="0"/>
              <w:right w:val="single" w:color="auto" w:sz="4" w:space="0"/>
            </w:tcBorders>
            <w:noWrap w:val="0"/>
            <w:vAlign w:val="top"/>
          </w:tcPr>
          <w:p>
            <w:pPr>
              <w:adjustRightInd w:val="0"/>
              <w:rPr>
                <w:rFonts w:ascii="宋体" w:hAnsi="宋体"/>
                <w:color w:val="auto"/>
                <w:szCs w:val="21"/>
                <w:highlight w:val="none"/>
              </w:rPr>
            </w:pPr>
          </w:p>
        </w:tc>
      </w:tr>
    </w:tbl>
    <w:p>
      <w:pPr>
        <w:rPr>
          <w:rFonts w:ascii="宋体" w:hAnsi="宋体"/>
          <w:color w:val="auto"/>
          <w:szCs w:val="21"/>
          <w:highlight w:val="none"/>
        </w:rPr>
      </w:pPr>
      <w:r>
        <w:rPr>
          <w:rFonts w:hint="eastAsia" w:ascii="宋体" w:hAnsi="宋体"/>
          <w:color w:val="auto"/>
          <w:szCs w:val="21"/>
          <w:highlight w:val="none"/>
        </w:rPr>
        <w:t>注：</w:t>
      </w:r>
      <w:r>
        <w:rPr>
          <w:rFonts w:ascii="宋体" w:hAnsi="宋体"/>
          <w:color w:val="auto"/>
          <w:szCs w:val="21"/>
          <w:highlight w:val="none"/>
        </w:rPr>
        <w:t>1.</w:t>
      </w:r>
      <w:r>
        <w:rPr>
          <w:rFonts w:hint="eastAsia" w:ascii="宋体" w:hAnsi="宋体"/>
          <w:color w:val="auto"/>
          <w:szCs w:val="21"/>
          <w:highlight w:val="none"/>
        </w:rPr>
        <w:t>本表使用GZZB2018-3招标文件范本，与范本内容不同之处均以下划线标明。技术标评审中，响应性、承诺性内容不应作为评分因素，可在该表中对上述内容进行符合性审查。审查标准须具备可操作性。</w:t>
      </w:r>
    </w:p>
    <w:p>
      <w:pPr>
        <w:rPr>
          <w:rFonts w:ascii="宋体" w:hAnsi="宋体"/>
          <w:color w:val="auto"/>
          <w:szCs w:val="21"/>
          <w:highlight w:val="none"/>
        </w:rPr>
      </w:pPr>
      <w:r>
        <w:rPr>
          <w:rFonts w:hint="eastAsia" w:ascii="宋体" w:hAnsi="宋体"/>
          <w:color w:val="auto"/>
          <w:szCs w:val="21"/>
          <w:highlight w:val="none"/>
        </w:rPr>
        <w:t xml:space="preserve">    2</w:t>
      </w:r>
      <w:r>
        <w:rPr>
          <w:rFonts w:ascii="宋体" w:hAnsi="宋体"/>
          <w:color w:val="auto"/>
          <w:szCs w:val="21"/>
          <w:highlight w:val="none"/>
        </w:rPr>
        <w:t>.</w:t>
      </w:r>
      <w:r>
        <w:rPr>
          <w:rFonts w:hint="eastAsia"/>
          <w:color w:val="auto"/>
          <w:highlight w:val="none"/>
        </w:rPr>
        <w:t xml:space="preserve"> </w:t>
      </w:r>
      <w:r>
        <w:rPr>
          <w:rFonts w:hint="eastAsia" w:ascii="宋体" w:hAnsi="宋体"/>
          <w:color w:val="auto"/>
          <w:szCs w:val="21"/>
          <w:highlight w:val="none"/>
        </w:rPr>
        <w:t>不得将文件顺序、明显的文字错误等列为否决投标的情形。评委发现投标文件中含义不明确、对同类问题表述不一致、有明显文字和计算错误的，应当要求投标人作必要的澄清、说明后再判定投标人是否通过有效性审查，不得直接否决投标，若出现评标委员会否决投标的，应在评标报告中载明否决投标的具体情形、原因。</w:t>
      </w:r>
    </w:p>
    <w:p>
      <w:pPr>
        <w:ind w:firstLine="420" w:firstLineChars="200"/>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w:t>
      </w:r>
      <w:r>
        <w:rPr>
          <w:rFonts w:hint="eastAsia" w:ascii="宋体" w:hAnsi="宋体"/>
          <w:color w:val="auto"/>
          <w:szCs w:val="21"/>
          <w:highlight w:val="none"/>
        </w:rPr>
        <w:t>凡出现以上任何一项情形，结论均为无效，否则就为有效。4</w:t>
      </w:r>
      <w:r>
        <w:rPr>
          <w:rFonts w:ascii="宋体" w:hAnsi="宋体"/>
          <w:color w:val="auto"/>
          <w:szCs w:val="21"/>
          <w:highlight w:val="none"/>
        </w:rPr>
        <w:t>.</w:t>
      </w:r>
      <w:r>
        <w:rPr>
          <w:rFonts w:hint="eastAsia" w:ascii="宋体" w:hAnsi="宋体"/>
          <w:color w:val="auto"/>
          <w:szCs w:val="21"/>
          <w:highlight w:val="none"/>
        </w:rPr>
        <w:t>如对本表中某种情形的评审意见不一致时，以评标委员会过半数成员的意见作为评标委员会对该情形的认定结论。</w:t>
      </w:r>
    </w:p>
    <w:p>
      <w:pPr>
        <w:rPr>
          <w:rFonts w:ascii="宋体" w:hAnsi="宋体"/>
          <w:color w:val="auto"/>
          <w:szCs w:val="21"/>
          <w:highlight w:val="none"/>
        </w:rPr>
      </w:pPr>
      <w:r>
        <w:rPr>
          <w:rFonts w:hint="eastAsia" w:ascii="宋体" w:hAnsi="宋体"/>
          <w:color w:val="auto"/>
          <w:szCs w:val="21"/>
          <w:highlight w:val="none"/>
        </w:rPr>
        <w:t>评委签名：</w:t>
      </w:r>
    </w:p>
    <w:p>
      <w:pPr>
        <w:rPr>
          <w:color w:val="auto"/>
          <w:szCs w:val="21"/>
          <w:highlight w:val="none"/>
        </w:rPr>
      </w:pPr>
      <w:r>
        <w:rPr>
          <w:color w:val="auto"/>
          <w:highlight w:val="none"/>
        </w:rPr>
        <w:br w:type="page"/>
      </w:r>
      <w:r>
        <w:rPr>
          <w:rFonts w:hint="eastAsia"/>
          <w:color w:val="auto"/>
          <w:szCs w:val="21"/>
          <w:highlight w:val="none"/>
        </w:rPr>
        <w:t>附表三</w:t>
      </w:r>
    </w:p>
    <w:p>
      <w:pPr>
        <w:jc w:val="center"/>
        <w:rPr>
          <w:b/>
          <w:color w:val="auto"/>
          <w:sz w:val="36"/>
          <w:szCs w:val="36"/>
          <w:highlight w:val="none"/>
        </w:rPr>
      </w:pPr>
      <w:r>
        <w:rPr>
          <w:rFonts w:hint="eastAsia"/>
          <w:b/>
          <w:color w:val="auto"/>
          <w:sz w:val="36"/>
          <w:szCs w:val="36"/>
          <w:highlight w:val="none"/>
        </w:rPr>
        <w:t>经济标有效性审查表</w:t>
      </w:r>
    </w:p>
    <w:p>
      <w:pPr>
        <w:rPr>
          <w:color w:val="auto"/>
          <w:szCs w:val="21"/>
          <w:highlight w:val="none"/>
        </w:rPr>
      </w:pPr>
      <w:r>
        <w:rPr>
          <w:rFonts w:hint="eastAsia"/>
          <w:color w:val="auto"/>
          <w:szCs w:val="21"/>
          <w:highlight w:val="none"/>
        </w:rPr>
        <w:t>工程名称：</w:t>
      </w:r>
    </w:p>
    <w:tbl>
      <w:tblPr>
        <w:tblStyle w:val="20"/>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7089"/>
        <w:gridCol w:w="1110"/>
        <w:gridCol w:w="1110"/>
        <w:gridCol w:w="1111"/>
        <w:gridCol w:w="1110"/>
        <w:gridCol w:w="1110"/>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序号</w:t>
            </w:r>
          </w:p>
        </w:tc>
        <w:tc>
          <w:tcPr>
            <w:tcW w:w="7089" w:type="dxa"/>
            <w:tcBorders>
              <w:top w:val="single" w:color="auto" w:sz="4" w:space="0"/>
              <w:left w:val="single" w:color="auto" w:sz="4" w:space="0"/>
              <w:bottom w:val="single" w:color="auto" w:sz="4" w:space="0"/>
              <w:right w:val="single" w:color="auto" w:sz="4" w:space="0"/>
              <w:tl2br w:val="single" w:color="auto" w:sz="4" w:space="0"/>
            </w:tcBorders>
            <w:noWrap w:val="0"/>
            <w:vAlign w:val="top"/>
          </w:tcPr>
          <w:p>
            <w:pPr>
              <w:ind w:firstLine="2940" w:firstLineChars="1400"/>
              <w:rPr>
                <w:rFonts w:ascii="宋体" w:hAnsi="宋体"/>
                <w:color w:val="auto"/>
                <w:szCs w:val="21"/>
                <w:highlight w:val="none"/>
              </w:rPr>
            </w:pPr>
            <w:r>
              <w:rPr>
                <w:rFonts w:hint="eastAsia" w:ascii="宋体" w:hAnsi="宋体"/>
                <w:color w:val="auto"/>
                <w:szCs w:val="21"/>
                <w:highlight w:val="none"/>
              </w:rPr>
              <w:t>投标人</w:t>
            </w:r>
          </w:p>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评审内容</w:t>
            </w:r>
          </w:p>
        </w:tc>
        <w:tc>
          <w:tcPr>
            <w:tcW w:w="111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ascii="宋体" w:hAnsi="宋体"/>
                <w:color w:val="auto"/>
                <w:szCs w:val="21"/>
                <w:highlight w:val="none"/>
              </w:rPr>
              <w:t>1</w:t>
            </w:r>
          </w:p>
        </w:tc>
        <w:tc>
          <w:tcPr>
            <w:tcW w:w="708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对同一招标项目出现两个或以上的投标报价，且没有申明哪个有效；</w:t>
            </w:r>
          </w:p>
        </w:tc>
        <w:tc>
          <w:tcPr>
            <w:tcW w:w="111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ascii="宋体" w:hAnsi="宋体"/>
                <w:color w:val="auto"/>
                <w:szCs w:val="21"/>
                <w:highlight w:val="none"/>
              </w:rPr>
              <w:t>2</w:t>
            </w:r>
          </w:p>
        </w:tc>
        <w:tc>
          <w:tcPr>
            <w:tcW w:w="708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投标报价高于最高投标限价的；</w:t>
            </w:r>
          </w:p>
        </w:tc>
        <w:tc>
          <w:tcPr>
            <w:tcW w:w="111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Cs w:val="21"/>
                <w:highlight w:val="none"/>
              </w:rPr>
            </w:pPr>
            <w:r>
              <w:rPr>
                <w:rFonts w:hint="eastAsia" w:ascii="宋体" w:hAnsi="宋体"/>
                <w:color w:val="auto"/>
                <w:szCs w:val="21"/>
                <w:highlight w:val="none"/>
              </w:rPr>
              <w:t>3</w:t>
            </w:r>
          </w:p>
        </w:tc>
        <w:tc>
          <w:tcPr>
            <w:tcW w:w="708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left="-2" w:leftChars="-1"/>
              <w:jc w:val="left"/>
              <w:rPr>
                <w:rFonts w:hint="eastAsia" w:ascii="宋体" w:hAnsi="宋体" w:cs="宋体"/>
                <w:color w:val="auto"/>
                <w:szCs w:val="21"/>
                <w:highlight w:val="none"/>
              </w:rPr>
            </w:pPr>
            <w:r>
              <w:rPr>
                <w:rFonts w:hint="eastAsia" w:ascii="宋体" w:hAnsi="宋体" w:cs="宋体"/>
                <w:color w:val="auto"/>
                <w:szCs w:val="21"/>
                <w:highlight w:val="none"/>
              </w:rPr>
              <w:t>投标报价低于成本</w:t>
            </w:r>
            <w:r>
              <w:rPr>
                <w:rFonts w:hint="eastAsia" w:ascii="宋体" w:hAnsi="宋体" w:cs="宋体"/>
                <w:color w:val="auto"/>
                <w:szCs w:val="21"/>
                <w:highlight w:val="none"/>
                <w:lang w:val="en-US" w:eastAsia="zh-CN"/>
              </w:rPr>
              <w:t>警戒价</w:t>
            </w:r>
            <w:r>
              <w:rPr>
                <w:rFonts w:hint="eastAsia" w:ascii="宋体" w:hAnsi="宋体" w:cs="宋体"/>
                <w:color w:val="auto"/>
                <w:szCs w:val="21"/>
                <w:highlight w:val="none"/>
                <w:u w:val="single"/>
              </w:rPr>
              <w:t>（投标人的报价明显低于其他投标报价或者低于成本警戒价，使得其投标报价可能低于其个别成本的，应当要求该投标人作出书面说明并提供相关证明材料。投标人不能合理说明或者不能提供相关证明材料的，由评标委员会认定该投标人以低于成本报价竞标）；</w:t>
            </w:r>
          </w:p>
        </w:tc>
        <w:tc>
          <w:tcPr>
            <w:tcW w:w="111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ascii="宋体" w:hAnsi="宋体"/>
                <w:color w:val="auto"/>
                <w:szCs w:val="21"/>
                <w:highlight w:val="none"/>
              </w:rPr>
              <w:t>4</w:t>
            </w:r>
          </w:p>
        </w:tc>
        <w:tc>
          <w:tcPr>
            <w:tcW w:w="708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算术复核后的投标报价与原投标报价相比存在</w:t>
            </w:r>
            <w:r>
              <w:rPr>
                <w:rFonts w:ascii="宋体" w:hAnsi="宋体"/>
                <w:color w:val="auto"/>
                <w:szCs w:val="21"/>
                <w:highlight w:val="none"/>
              </w:rPr>
              <w:t>1%</w:t>
            </w:r>
            <w:r>
              <w:rPr>
                <w:rFonts w:hint="eastAsia" w:ascii="宋体" w:hAnsi="宋体"/>
                <w:color w:val="auto"/>
                <w:szCs w:val="21"/>
                <w:highlight w:val="none"/>
              </w:rPr>
              <w:t>或以上误差的；</w:t>
            </w:r>
          </w:p>
        </w:tc>
        <w:tc>
          <w:tcPr>
            <w:tcW w:w="111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Cs w:val="21"/>
                <w:highlight w:val="none"/>
              </w:rPr>
            </w:pPr>
            <w:r>
              <w:rPr>
                <w:rFonts w:hint="eastAsia" w:ascii="宋体" w:hAnsi="宋体"/>
                <w:color w:val="auto"/>
                <w:szCs w:val="21"/>
                <w:highlight w:val="none"/>
              </w:rPr>
              <w:t>5</w:t>
            </w:r>
          </w:p>
        </w:tc>
        <w:tc>
          <w:tcPr>
            <w:tcW w:w="708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投标文件未按规定的格式填写</w:t>
            </w:r>
            <w:r>
              <w:rPr>
                <w:rFonts w:hint="eastAsia" w:ascii="宋体" w:hAnsi="宋体" w:cs="宋体"/>
                <w:color w:val="auto"/>
                <w:szCs w:val="21"/>
                <w:highlight w:val="none"/>
                <w:u w:val="single"/>
              </w:rPr>
              <w:t>（指招标文件第四章提供格式的《广州建设工程施工招标投标书（经济标）》《对投标文件编制的承诺》）</w:t>
            </w:r>
            <w:r>
              <w:rPr>
                <w:rFonts w:hint="eastAsia" w:ascii="宋体" w:hAnsi="宋体" w:cs="宋体"/>
                <w:color w:val="auto"/>
                <w:szCs w:val="21"/>
                <w:highlight w:val="none"/>
              </w:rPr>
              <w:t>，或主要内容不全，或关键字迹模糊、无法辨认的；</w:t>
            </w:r>
          </w:p>
        </w:tc>
        <w:tc>
          <w:tcPr>
            <w:tcW w:w="111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ascii="宋体" w:hAnsi="宋体"/>
                <w:color w:val="auto"/>
                <w:szCs w:val="21"/>
                <w:highlight w:val="none"/>
              </w:rPr>
              <w:t>6</w:t>
            </w:r>
          </w:p>
        </w:tc>
        <w:tc>
          <w:tcPr>
            <w:tcW w:w="708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olor w:val="auto"/>
                <w:szCs w:val="21"/>
                <w:highlight w:val="none"/>
                <w:lang w:eastAsia="zh-CN"/>
              </w:rPr>
            </w:pPr>
            <w:r>
              <w:rPr>
                <w:rFonts w:hint="eastAsia" w:ascii="宋体" w:hAnsi="宋体"/>
                <w:color w:val="auto"/>
                <w:szCs w:val="21"/>
                <w:highlight w:val="none"/>
              </w:rPr>
              <w:t>不同投标人的投标报价中分部分项工程量清单综合单价相似度达到80%及以上的[以</w:t>
            </w:r>
            <w:r>
              <w:rPr>
                <w:rFonts w:hint="eastAsia" w:ascii="宋体" w:hAnsi="宋体" w:cs="宋体"/>
                <w:color w:val="auto"/>
                <w:szCs w:val="21"/>
                <w:highlight w:val="none"/>
                <w:u w:val="single"/>
              </w:rPr>
              <w:t>广州交易集团有限公司（广州公共资源交易中心）</w:t>
            </w:r>
            <w:r>
              <w:rPr>
                <w:rFonts w:hint="eastAsia" w:ascii="宋体" w:hAnsi="宋体"/>
                <w:color w:val="auto"/>
                <w:szCs w:val="21"/>
                <w:highlight w:val="none"/>
              </w:rPr>
              <w:t>交易平台评标系统的检索信息为准]</w:t>
            </w:r>
            <w:r>
              <w:rPr>
                <w:rFonts w:hint="eastAsia" w:ascii="宋体" w:hAnsi="宋体"/>
                <w:color w:val="auto"/>
                <w:szCs w:val="21"/>
                <w:highlight w:val="none"/>
                <w:lang w:eastAsia="zh-CN"/>
              </w:rPr>
              <w:t>；</w:t>
            </w:r>
          </w:p>
        </w:tc>
        <w:tc>
          <w:tcPr>
            <w:tcW w:w="111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ascii="宋体" w:hAnsi="宋体"/>
                <w:color w:val="auto"/>
                <w:szCs w:val="21"/>
                <w:highlight w:val="none"/>
              </w:rPr>
              <w:t>7</w:t>
            </w:r>
          </w:p>
        </w:tc>
        <w:tc>
          <w:tcPr>
            <w:tcW w:w="708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投标人之间存在《广东省实施&lt;中华人民共和国招标投标法&gt;》第十六条所禁止的情形的；</w:t>
            </w:r>
          </w:p>
        </w:tc>
        <w:tc>
          <w:tcPr>
            <w:tcW w:w="111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ascii="宋体" w:hAnsi="宋体"/>
                <w:color w:val="auto"/>
                <w:szCs w:val="21"/>
                <w:highlight w:val="none"/>
              </w:rPr>
              <w:t>8</w:t>
            </w:r>
          </w:p>
        </w:tc>
        <w:tc>
          <w:tcPr>
            <w:tcW w:w="708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无《参与编制经济标投标文件人员名单》的；</w:t>
            </w:r>
          </w:p>
        </w:tc>
        <w:tc>
          <w:tcPr>
            <w:tcW w:w="111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ascii="宋体" w:hAnsi="宋体"/>
                <w:color w:val="auto"/>
                <w:szCs w:val="21"/>
                <w:highlight w:val="none"/>
              </w:rPr>
              <w:t>9</w:t>
            </w:r>
          </w:p>
        </w:tc>
        <w:tc>
          <w:tcPr>
            <w:tcW w:w="708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olor w:val="auto"/>
                <w:szCs w:val="21"/>
                <w:highlight w:val="none"/>
                <w:lang w:eastAsia="zh-CN"/>
              </w:rPr>
            </w:pPr>
            <w:r>
              <w:rPr>
                <w:rFonts w:hint="eastAsia" w:ascii="宋体" w:hAnsi="宋体"/>
                <w:color w:val="auto"/>
                <w:szCs w:val="21"/>
                <w:highlight w:val="none"/>
              </w:rPr>
              <w:t>无《对投标文件编制的承诺》</w:t>
            </w:r>
            <w:r>
              <w:rPr>
                <w:rFonts w:hint="eastAsia" w:ascii="宋体" w:hAnsi="宋体"/>
                <w:color w:val="auto"/>
                <w:szCs w:val="21"/>
                <w:highlight w:val="none"/>
                <w:lang w:eastAsia="zh-CN"/>
              </w:rPr>
              <w:t>；</w:t>
            </w:r>
          </w:p>
        </w:tc>
        <w:tc>
          <w:tcPr>
            <w:tcW w:w="111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10</w:t>
            </w:r>
          </w:p>
        </w:tc>
        <w:tc>
          <w:tcPr>
            <w:tcW w:w="708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olor w:val="auto"/>
                <w:szCs w:val="21"/>
                <w:highlight w:val="none"/>
                <w:lang w:eastAsia="zh-CN"/>
              </w:rPr>
            </w:pPr>
            <w:r>
              <w:rPr>
                <w:rFonts w:hint="eastAsia" w:ascii="宋体" w:hAnsi="宋体"/>
                <w:color w:val="auto"/>
                <w:szCs w:val="21"/>
                <w:highlight w:val="none"/>
              </w:rPr>
              <w:t>投标人与本项目其他投标人的投标文件工程量清单编制机器硬件信息一致的[以</w:t>
            </w:r>
            <w:r>
              <w:rPr>
                <w:rFonts w:hint="eastAsia" w:ascii="宋体" w:hAnsi="宋体" w:cs="宋体"/>
                <w:color w:val="auto"/>
                <w:szCs w:val="21"/>
                <w:highlight w:val="none"/>
                <w:u w:val="single"/>
              </w:rPr>
              <w:t>广州交易集团有限公司（广州公共资源交易中心）</w:t>
            </w:r>
            <w:r>
              <w:rPr>
                <w:rFonts w:hint="eastAsia" w:ascii="宋体" w:hAnsi="宋体"/>
                <w:color w:val="auto"/>
                <w:szCs w:val="21"/>
                <w:highlight w:val="none"/>
              </w:rPr>
              <w:t>交易平台评标系统的检索信息为准]</w:t>
            </w:r>
            <w:r>
              <w:rPr>
                <w:rFonts w:hint="eastAsia" w:ascii="宋体" w:hAnsi="宋体"/>
                <w:color w:val="auto"/>
                <w:szCs w:val="21"/>
                <w:highlight w:val="none"/>
                <w:lang w:eastAsia="zh-CN"/>
              </w:rPr>
              <w:t>。</w:t>
            </w:r>
          </w:p>
        </w:tc>
        <w:tc>
          <w:tcPr>
            <w:tcW w:w="111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11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r>
    </w:tbl>
    <w:p>
      <w:pPr>
        <w:ind w:firstLine="458"/>
        <w:rPr>
          <w:rFonts w:hint="eastAsia" w:ascii="宋体" w:hAnsi="宋体"/>
          <w:color w:val="auto"/>
          <w:szCs w:val="21"/>
          <w:highlight w:val="none"/>
        </w:rPr>
      </w:pPr>
      <w:r>
        <w:rPr>
          <w:rFonts w:hint="eastAsia" w:ascii="宋体" w:hAnsi="宋体"/>
          <w:color w:val="auto"/>
          <w:szCs w:val="21"/>
          <w:highlight w:val="none"/>
        </w:rPr>
        <w:t>注：</w:t>
      </w:r>
      <w:r>
        <w:rPr>
          <w:rFonts w:ascii="宋体" w:hAnsi="宋体"/>
          <w:color w:val="auto"/>
          <w:szCs w:val="21"/>
          <w:highlight w:val="none"/>
        </w:rPr>
        <w:t>1.</w:t>
      </w:r>
      <w:r>
        <w:rPr>
          <w:rFonts w:hint="eastAsia" w:ascii="宋体" w:hAnsi="宋体"/>
          <w:color w:val="auto"/>
          <w:szCs w:val="21"/>
          <w:highlight w:val="none"/>
        </w:rPr>
        <w:t>本表使用GZZB2018-3招标文件范本，与范本内容不同之处均以下划线标明。</w:t>
      </w:r>
    </w:p>
    <w:p>
      <w:pPr>
        <w:ind w:firstLine="458"/>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凡出现以上任何一项情形，结论均为无效，否则就为有效。</w:t>
      </w:r>
    </w:p>
    <w:p>
      <w:pPr>
        <w:ind w:firstLine="458"/>
        <w:rPr>
          <w:rFonts w:hint="eastAsia"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w:t>
      </w:r>
      <w:r>
        <w:rPr>
          <w:rFonts w:hint="eastAsia" w:ascii="宋体" w:hAnsi="宋体"/>
          <w:color w:val="auto"/>
          <w:szCs w:val="21"/>
          <w:highlight w:val="none"/>
        </w:rPr>
        <w:t>如对本表中某种情形的评审意见不一致时，以评标委员会过半数成员的意见作为评标委员会对该情形的认定结论。</w:t>
      </w:r>
    </w:p>
    <w:p>
      <w:pPr>
        <w:ind w:firstLine="458"/>
        <w:rPr>
          <w:rFonts w:hint="eastAsia" w:ascii="宋体" w:hAnsi="宋体"/>
          <w:color w:val="auto"/>
          <w:szCs w:val="21"/>
          <w:highlight w:val="none"/>
        </w:rPr>
      </w:pPr>
      <w:r>
        <w:rPr>
          <w:rFonts w:hint="eastAsia" w:ascii="宋体" w:hAnsi="宋体"/>
          <w:color w:val="auto"/>
          <w:szCs w:val="21"/>
          <w:highlight w:val="none"/>
        </w:rPr>
        <w:t>4.不得将文件顺序、明显的文字错误等列为否决投标的情形。评委发现投标文件中含义不明确、对同类问题表述不一致、有明显文字和计算错误、投标报价可能低于成本影响履约的，应当要求投标人作必要的澄清、说明后再判定投标人是否通过有效性审查，不得直接否决投标。</w:t>
      </w:r>
    </w:p>
    <w:p>
      <w:pPr>
        <w:pStyle w:val="6"/>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评委签名：</w:t>
      </w:r>
    </w:p>
    <w:p>
      <w:pPr>
        <w:spacing w:line="240" w:lineRule="auto"/>
        <w:jc w:val="left"/>
        <w:rPr>
          <w:rFonts w:hint="eastAsia" w:ascii="宋体" w:hAnsi="宋体" w:eastAsia="宋体" w:cs="宋体"/>
          <w:b/>
          <w:bCs/>
          <w:color w:val="auto"/>
          <w:sz w:val="24"/>
          <w:szCs w:val="24"/>
          <w:highlight w:val="none"/>
        </w:rPr>
        <w:sectPr>
          <w:footerReference r:id="rId9" w:type="default"/>
          <w:pgSz w:w="16840" w:h="11907" w:orient="landscape"/>
          <w:pgMar w:top="1418" w:right="1134" w:bottom="1418" w:left="1134" w:header="851" w:footer="992" w:gutter="0"/>
          <w:cols w:space="720" w:num="1"/>
          <w:docGrid w:type="lines" w:linePitch="312" w:charSpace="0"/>
        </w:sectPr>
      </w:pP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附表四</w:t>
      </w:r>
    </w:p>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技术标详细审查评分表</w:t>
      </w:r>
    </w:p>
    <w:tbl>
      <w:tblPr>
        <w:tblStyle w:val="20"/>
        <w:tblW w:w="14930" w:type="dxa"/>
        <w:jc w:val="center"/>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646"/>
        <w:gridCol w:w="1477"/>
        <w:gridCol w:w="810"/>
        <w:gridCol w:w="10795"/>
      </w:tblGrid>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blHeader/>
          <w:jc w:val="center"/>
        </w:trPr>
        <w:tc>
          <w:tcPr>
            <w:tcW w:w="1202" w:type="dxa"/>
            <w:tcBorders>
              <w:top w:val="single" w:color="auto" w:sz="8" w:space="0"/>
              <w:left w:val="single" w:color="auto" w:sz="8" w:space="0"/>
              <w:bottom w:val="single" w:color="auto" w:sz="4" w:space="0"/>
              <w:right w:val="single" w:color="auto" w:sz="4" w:space="0"/>
            </w:tcBorders>
            <w:noWrap w:val="0"/>
            <w:vAlign w:val="center"/>
          </w:tcPr>
          <w:p>
            <w:pPr>
              <w:pStyle w:val="2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评分项目</w:t>
            </w:r>
          </w:p>
        </w:tc>
        <w:tc>
          <w:tcPr>
            <w:tcW w:w="2123" w:type="dxa"/>
            <w:gridSpan w:val="2"/>
            <w:tcBorders>
              <w:top w:val="single" w:color="auto" w:sz="8" w:space="0"/>
              <w:left w:val="single" w:color="auto" w:sz="4" w:space="0"/>
              <w:bottom w:val="single" w:color="auto" w:sz="4" w:space="0"/>
              <w:right w:val="single" w:color="auto" w:sz="4" w:space="0"/>
            </w:tcBorders>
            <w:noWrap w:val="0"/>
            <w:vAlign w:val="center"/>
          </w:tcPr>
          <w:p>
            <w:pPr>
              <w:pStyle w:val="26"/>
              <w:ind w:left="-46" w:leftChars="-22" w:right="-107" w:rightChars="-5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评分内容</w:t>
            </w:r>
          </w:p>
        </w:tc>
        <w:tc>
          <w:tcPr>
            <w:tcW w:w="810" w:type="dxa"/>
            <w:tcBorders>
              <w:top w:val="single" w:color="auto" w:sz="8" w:space="0"/>
              <w:left w:val="single" w:color="auto" w:sz="4" w:space="0"/>
              <w:bottom w:val="single" w:color="auto" w:sz="4" w:space="0"/>
              <w:right w:val="single" w:color="auto" w:sz="4" w:space="0"/>
            </w:tcBorders>
            <w:noWrap w:val="0"/>
            <w:vAlign w:val="center"/>
          </w:tcPr>
          <w:p>
            <w:pPr>
              <w:pStyle w:val="26"/>
              <w:ind w:left="-107" w:leftChars="-51" w:right="-107" w:rightChars="-5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分值</w:t>
            </w:r>
          </w:p>
        </w:tc>
        <w:tc>
          <w:tcPr>
            <w:tcW w:w="10795" w:type="dxa"/>
            <w:tcBorders>
              <w:top w:val="single" w:color="auto" w:sz="8" w:space="0"/>
              <w:left w:val="single" w:color="auto" w:sz="4" w:space="0"/>
              <w:bottom w:val="single" w:color="auto" w:sz="4" w:space="0"/>
              <w:right w:val="single" w:color="auto" w:sz="4" w:space="0"/>
            </w:tcBorders>
            <w:noWrap w:val="0"/>
            <w:vAlign w:val="center"/>
          </w:tcPr>
          <w:p>
            <w:pPr>
              <w:pStyle w:val="26"/>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评审标准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1202" w:type="dxa"/>
            <w:vMerge w:val="restart"/>
            <w:tcBorders>
              <w:left w:val="single" w:color="auto" w:sz="8" w:space="0"/>
              <w:right w:val="single" w:color="auto" w:sz="4" w:space="0"/>
            </w:tcBorders>
            <w:noWrap w:val="0"/>
            <w:vAlign w:val="center"/>
          </w:tcPr>
          <w:p>
            <w:pPr>
              <w:pStyle w:val="2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一、项目组织管理机构能力（70分）</w:t>
            </w:r>
          </w:p>
        </w:tc>
        <w:tc>
          <w:tcPr>
            <w:tcW w:w="646" w:type="dxa"/>
            <w:vMerge w:val="restart"/>
            <w:tcBorders>
              <w:left w:val="single" w:color="auto" w:sz="4" w:space="0"/>
              <w:right w:val="single" w:color="auto" w:sz="4" w:space="0"/>
            </w:tcBorders>
            <w:noWrap w:val="0"/>
            <w:vAlign w:val="center"/>
          </w:tcPr>
          <w:p>
            <w:pPr>
              <w:widowControl/>
              <w:spacing w:line="2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项目管理机构</w:t>
            </w:r>
          </w:p>
        </w:tc>
        <w:tc>
          <w:tcPr>
            <w:tcW w:w="1477" w:type="dxa"/>
            <w:tcBorders>
              <w:left w:val="single" w:color="auto" w:sz="4" w:space="0"/>
              <w:bottom w:val="single" w:color="auto" w:sz="4" w:space="0"/>
              <w:right w:val="single" w:color="auto" w:sz="4" w:space="0"/>
            </w:tcBorders>
            <w:noWrap w:val="0"/>
            <w:vAlign w:val="center"/>
          </w:tcPr>
          <w:p>
            <w:pPr>
              <w:widowControl/>
              <w:spacing w:line="280" w:lineRule="exact"/>
              <w:ind w:left="-90" w:leftChars="-43" w:right="-107" w:rightChars="-51"/>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项目</w:t>
            </w:r>
            <w:r>
              <w:rPr>
                <w:rFonts w:hint="eastAsia" w:ascii="宋体" w:hAnsi="宋体" w:eastAsia="宋体" w:cs="宋体"/>
                <w:color w:val="auto"/>
                <w:sz w:val="21"/>
                <w:szCs w:val="21"/>
                <w:highlight w:val="none"/>
              </w:rPr>
              <w:t>负责人</w:t>
            </w:r>
          </w:p>
        </w:tc>
        <w:tc>
          <w:tcPr>
            <w:tcW w:w="810" w:type="dxa"/>
            <w:tcBorders>
              <w:left w:val="single" w:color="auto" w:sz="4" w:space="0"/>
              <w:bottom w:val="single" w:color="auto" w:sz="4" w:space="0"/>
              <w:right w:val="single" w:color="auto" w:sz="4" w:space="0"/>
            </w:tcBorders>
            <w:noWrap w:val="0"/>
            <w:vAlign w:val="center"/>
          </w:tcPr>
          <w:p>
            <w:pPr>
              <w:widowControl/>
              <w:spacing w:line="280" w:lineRule="exact"/>
              <w:ind w:left="-105" w:leftChars="-50" w:right="-107" w:rightChars="-5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w:t>
            </w:r>
          </w:p>
        </w:tc>
        <w:tc>
          <w:tcPr>
            <w:tcW w:w="10795" w:type="dxa"/>
            <w:tcBorders>
              <w:top w:val="single" w:color="auto" w:sz="4" w:space="0"/>
              <w:left w:val="single" w:color="auto" w:sz="4" w:space="0"/>
              <w:bottom w:val="single" w:color="auto" w:sz="4" w:space="0"/>
              <w:right w:val="single" w:color="auto" w:sz="4" w:space="0"/>
            </w:tcBorders>
            <w:noWrap w:val="0"/>
            <w:vAlign w:val="center"/>
          </w:tcPr>
          <w:p>
            <w:pPr>
              <w:pStyle w:val="26"/>
              <w:ind w:left="-63" w:leftChars="-30" w:right="-76" w:rightChars="-3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从业能力：具有市政公用工程类专业中级或以上技术职称，得20分。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1202" w:type="dxa"/>
            <w:vMerge w:val="continue"/>
            <w:tcBorders>
              <w:left w:val="single" w:color="auto" w:sz="8" w:space="0"/>
              <w:right w:val="single" w:color="auto" w:sz="4" w:space="0"/>
            </w:tcBorders>
            <w:noWrap w:val="0"/>
            <w:vAlign w:val="center"/>
          </w:tcPr>
          <w:p>
            <w:pPr>
              <w:spacing w:line="280" w:lineRule="exact"/>
              <w:jc w:val="center"/>
              <w:rPr>
                <w:rFonts w:hint="eastAsia" w:ascii="宋体" w:hAnsi="宋体" w:eastAsia="宋体" w:cs="宋体"/>
                <w:color w:val="auto"/>
                <w:sz w:val="21"/>
                <w:szCs w:val="21"/>
                <w:highlight w:val="none"/>
              </w:rPr>
            </w:pPr>
          </w:p>
        </w:tc>
        <w:tc>
          <w:tcPr>
            <w:tcW w:w="646" w:type="dxa"/>
            <w:vMerge w:val="continue"/>
            <w:tcBorders>
              <w:left w:val="single" w:color="auto" w:sz="4" w:space="0"/>
              <w:right w:val="single" w:color="auto" w:sz="4" w:space="0"/>
            </w:tcBorders>
            <w:noWrap w:val="0"/>
            <w:vAlign w:val="center"/>
          </w:tcPr>
          <w:p>
            <w:pPr>
              <w:widowControl/>
              <w:spacing w:line="280" w:lineRule="exact"/>
              <w:jc w:val="center"/>
              <w:rPr>
                <w:rFonts w:hint="eastAsia" w:ascii="宋体" w:hAnsi="宋体" w:eastAsia="宋体" w:cs="宋体"/>
                <w:color w:val="auto"/>
                <w:sz w:val="21"/>
                <w:szCs w:val="21"/>
                <w:highlight w:val="none"/>
              </w:rPr>
            </w:pPr>
          </w:p>
        </w:tc>
        <w:tc>
          <w:tcPr>
            <w:tcW w:w="1477" w:type="dxa"/>
            <w:tcBorders>
              <w:left w:val="single" w:color="auto" w:sz="4" w:space="0"/>
              <w:bottom w:val="single" w:color="auto" w:sz="4" w:space="0"/>
              <w:right w:val="single" w:color="auto" w:sz="4" w:space="0"/>
            </w:tcBorders>
            <w:noWrap w:val="0"/>
            <w:vAlign w:val="center"/>
          </w:tcPr>
          <w:p>
            <w:pPr>
              <w:widowControl/>
              <w:spacing w:line="280" w:lineRule="exact"/>
              <w:ind w:left="-90" w:leftChars="-43" w:right="-107" w:rightChars="-5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技术负责人</w:t>
            </w:r>
          </w:p>
        </w:tc>
        <w:tc>
          <w:tcPr>
            <w:tcW w:w="810" w:type="dxa"/>
            <w:tcBorders>
              <w:left w:val="single" w:color="auto" w:sz="4" w:space="0"/>
              <w:bottom w:val="single" w:color="auto" w:sz="4" w:space="0"/>
              <w:right w:val="single" w:color="auto" w:sz="4" w:space="0"/>
            </w:tcBorders>
            <w:noWrap w:val="0"/>
            <w:vAlign w:val="center"/>
          </w:tcPr>
          <w:p>
            <w:pPr>
              <w:widowControl/>
              <w:spacing w:line="280" w:lineRule="exact"/>
              <w:ind w:left="-105" w:leftChars="-50" w:right="-107" w:rightChars="-5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w:t>
            </w:r>
          </w:p>
        </w:tc>
        <w:tc>
          <w:tcPr>
            <w:tcW w:w="107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line="240" w:lineRule="exact"/>
              <w:ind w:left="-63" w:leftChars="-30" w:right="-76" w:rightChars="-36"/>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从业能力：具有</w:t>
            </w:r>
            <w:r>
              <w:rPr>
                <w:rFonts w:hint="eastAsia" w:ascii="宋体" w:hAnsi="宋体" w:eastAsia="宋体" w:cs="宋体"/>
                <w:iCs/>
                <w:color w:val="auto"/>
                <w:kern w:val="0"/>
                <w:sz w:val="21"/>
                <w:szCs w:val="21"/>
                <w:highlight w:val="none"/>
              </w:rPr>
              <w:t>市政公用工程类专业</w:t>
            </w:r>
            <w:r>
              <w:rPr>
                <w:rFonts w:hint="eastAsia" w:ascii="宋体" w:hAnsi="宋体" w:cs="宋体"/>
                <w:iCs/>
                <w:color w:val="auto"/>
                <w:kern w:val="0"/>
                <w:sz w:val="21"/>
                <w:szCs w:val="21"/>
                <w:highlight w:val="none"/>
                <w:lang w:val="en-US" w:eastAsia="zh-CN"/>
              </w:rPr>
              <w:t>副</w:t>
            </w:r>
            <w:r>
              <w:rPr>
                <w:rFonts w:hint="eastAsia" w:ascii="宋体" w:hAnsi="宋体" w:eastAsia="宋体" w:cs="宋体"/>
                <w:iCs/>
                <w:color w:val="auto"/>
                <w:kern w:val="0"/>
                <w:sz w:val="21"/>
                <w:szCs w:val="21"/>
                <w:highlight w:val="none"/>
              </w:rPr>
              <w:t>高级或以上技术职称，</w:t>
            </w:r>
            <w:r>
              <w:rPr>
                <w:rFonts w:hint="eastAsia" w:ascii="宋体" w:hAnsi="宋体" w:eastAsia="宋体" w:cs="宋体"/>
                <w:color w:val="auto"/>
                <w:kern w:val="0"/>
                <w:sz w:val="21"/>
                <w:szCs w:val="21"/>
                <w:highlight w:val="none"/>
              </w:rPr>
              <w:t>得20分；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202" w:type="dxa"/>
            <w:vMerge w:val="continue"/>
            <w:tcBorders>
              <w:left w:val="single" w:color="auto" w:sz="8" w:space="0"/>
              <w:right w:val="single" w:color="auto" w:sz="4" w:space="0"/>
            </w:tcBorders>
            <w:noWrap w:val="0"/>
            <w:vAlign w:val="center"/>
          </w:tcPr>
          <w:p>
            <w:pPr>
              <w:spacing w:line="280" w:lineRule="exact"/>
              <w:jc w:val="center"/>
              <w:rPr>
                <w:rFonts w:hint="eastAsia" w:ascii="宋体" w:hAnsi="宋体" w:eastAsia="宋体" w:cs="宋体"/>
                <w:color w:val="auto"/>
                <w:sz w:val="21"/>
                <w:szCs w:val="21"/>
                <w:highlight w:val="none"/>
              </w:rPr>
            </w:pPr>
          </w:p>
        </w:tc>
        <w:tc>
          <w:tcPr>
            <w:tcW w:w="646" w:type="dxa"/>
            <w:vMerge w:val="continue"/>
            <w:tcBorders>
              <w:left w:val="single" w:color="auto" w:sz="4" w:space="0"/>
              <w:right w:val="single" w:color="auto" w:sz="4" w:space="0"/>
            </w:tcBorders>
            <w:noWrap w:val="0"/>
            <w:vAlign w:val="center"/>
          </w:tcPr>
          <w:p>
            <w:pPr>
              <w:widowControl/>
              <w:spacing w:line="280" w:lineRule="exact"/>
              <w:jc w:val="center"/>
              <w:rPr>
                <w:rFonts w:hint="eastAsia" w:ascii="宋体" w:hAnsi="宋体" w:eastAsia="宋体" w:cs="宋体"/>
                <w:color w:val="auto"/>
                <w:sz w:val="21"/>
                <w:szCs w:val="21"/>
                <w:highlight w:val="none"/>
              </w:rPr>
            </w:pPr>
          </w:p>
        </w:tc>
        <w:tc>
          <w:tcPr>
            <w:tcW w:w="1477" w:type="dxa"/>
            <w:tcBorders>
              <w:left w:val="single" w:color="auto" w:sz="4" w:space="0"/>
              <w:bottom w:val="single" w:color="auto" w:sz="4" w:space="0"/>
              <w:right w:val="single" w:color="auto" w:sz="4" w:space="0"/>
            </w:tcBorders>
            <w:noWrap w:val="0"/>
            <w:vAlign w:val="center"/>
          </w:tcPr>
          <w:p>
            <w:pPr>
              <w:widowControl/>
              <w:spacing w:line="280" w:lineRule="exact"/>
              <w:ind w:left="-90" w:leftChars="-43" w:right="-107" w:rightChars="-51"/>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质量负责人</w:t>
            </w:r>
          </w:p>
        </w:tc>
        <w:tc>
          <w:tcPr>
            <w:tcW w:w="810" w:type="dxa"/>
            <w:tcBorders>
              <w:left w:val="single" w:color="auto" w:sz="4" w:space="0"/>
              <w:bottom w:val="single" w:color="auto" w:sz="4" w:space="0"/>
              <w:right w:val="single" w:color="auto" w:sz="4" w:space="0"/>
            </w:tcBorders>
            <w:noWrap w:val="0"/>
            <w:vAlign w:val="center"/>
          </w:tcPr>
          <w:p>
            <w:pPr>
              <w:widowControl/>
              <w:spacing w:line="280" w:lineRule="exact"/>
              <w:ind w:left="-105" w:leftChars="-50" w:right="-107" w:rightChars="-5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c>
          <w:tcPr>
            <w:tcW w:w="10795" w:type="dxa"/>
            <w:tcBorders>
              <w:top w:val="single" w:color="auto" w:sz="4" w:space="0"/>
              <w:left w:val="single" w:color="auto" w:sz="4" w:space="0"/>
              <w:bottom w:val="single" w:color="auto" w:sz="4" w:space="0"/>
              <w:right w:val="single" w:color="auto" w:sz="4" w:space="0"/>
            </w:tcBorders>
            <w:noWrap w:val="0"/>
            <w:vAlign w:val="center"/>
          </w:tcPr>
          <w:p>
            <w:pPr>
              <w:pStyle w:val="26"/>
              <w:ind w:left="-63" w:leftChars="-30" w:right="-76" w:rightChars="-3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从业能力：具有市政公用工程类专业中级或以上技术职称，得10分。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02" w:type="dxa"/>
            <w:vMerge w:val="continue"/>
            <w:tcBorders>
              <w:left w:val="single" w:color="auto" w:sz="8" w:space="0"/>
              <w:right w:val="single" w:color="auto" w:sz="4" w:space="0"/>
            </w:tcBorders>
            <w:noWrap w:val="0"/>
            <w:vAlign w:val="center"/>
          </w:tcPr>
          <w:p>
            <w:pPr>
              <w:spacing w:line="280" w:lineRule="exact"/>
              <w:jc w:val="center"/>
              <w:rPr>
                <w:rFonts w:hint="eastAsia" w:ascii="宋体" w:hAnsi="宋体" w:eastAsia="宋体" w:cs="宋体"/>
                <w:color w:val="auto"/>
                <w:sz w:val="21"/>
                <w:szCs w:val="21"/>
                <w:highlight w:val="none"/>
              </w:rPr>
            </w:pPr>
          </w:p>
        </w:tc>
        <w:tc>
          <w:tcPr>
            <w:tcW w:w="646" w:type="dxa"/>
            <w:vMerge w:val="continue"/>
            <w:tcBorders>
              <w:left w:val="single" w:color="auto" w:sz="4" w:space="0"/>
              <w:right w:val="single" w:color="auto" w:sz="4" w:space="0"/>
            </w:tcBorders>
            <w:noWrap w:val="0"/>
            <w:vAlign w:val="center"/>
          </w:tcPr>
          <w:p>
            <w:pPr>
              <w:widowControl/>
              <w:spacing w:line="280" w:lineRule="exact"/>
              <w:jc w:val="center"/>
              <w:rPr>
                <w:rFonts w:hint="eastAsia" w:ascii="宋体" w:hAnsi="宋体" w:eastAsia="宋体" w:cs="宋体"/>
                <w:color w:val="auto"/>
                <w:sz w:val="21"/>
                <w:szCs w:val="21"/>
                <w:highlight w:val="none"/>
              </w:rPr>
            </w:pPr>
          </w:p>
        </w:tc>
        <w:tc>
          <w:tcPr>
            <w:tcW w:w="1477" w:type="dxa"/>
            <w:tcBorders>
              <w:left w:val="single" w:color="auto" w:sz="4" w:space="0"/>
              <w:bottom w:val="single" w:color="auto" w:sz="4" w:space="0"/>
              <w:right w:val="single" w:color="auto" w:sz="4" w:space="0"/>
            </w:tcBorders>
            <w:noWrap w:val="0"/>
            <w:vAlign w:val="center"/>
          </w:tcPr>
          <w:p>
            <w:pPr>
              <w:widowControl/>
              <w:spacing w:line="280" w:lineRule="exact"/>
              <w:ind w:left="-90" w:leftChars="-43" w:right="-107" w:rightChars="-51"/>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安全负责人</w:t>
            </w:r>
          </w:p>
        </w:tc>
        <w:tc>
          <w:tcPr>
            <w:tcW w:w="810" w:type="dxa"/>
            <w:tcBorders>
              <w:left w:val="single" w:color="auto" w:sz="4" w:space="0"/>
              <w:bottom w:val="single" w:color="auto" w:sz="4" w:space="0"/>
              <w:right w:val="single" w:color="auto" w:sz="4" w:space="0"/>
            </w:tcBorders>
            <w:noWrap w:val="0"/>
            <w:vAlign w:val="center"/>
          </w:tcPr>
          <w:p>
            <w:pPr>
              <w:widowControl/>
              <w:spacing w:line="280" w:lineRule="exact"/>
              <w:ind w:left="-105" w:leftChars="-50" w:right="-107" w:rightChars="-5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c>
          <w:tcPr>
            <w:tcW w:w="107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ind w:left="-63" w:leftChars="-30" w:right="-76" w:rightChars="-36"/>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u w:val="none"/>
              </w:rPr>
              <w:t>从业能力</w:t>
            </w:r>
            <w:r>
              <w:rPr>
                <w:rFonts w:hint="eastAsia" w:ascii="宋体" w:hAnsi="宋体" w:eastAsia="宋体" w:cs="宋体"/>
                <w:color w:val="auto"/>
                <w:sz w:val="21"/>
                <w:szCs w:val="21"/>
                <w:highlight w:val="none"/>
                <w:u w:val="none"/>
              </w:rPr>
              <w:t>：具有安全工程专业中级或以上技术职称或市政公用工程类专业中级或以上技术职称，且具有安全生产考核合格证（B类）或安全生产考核合格证（C类）或建筑施工企业项目负责人安全生产考核合格证书或建筑施工企业专职安全生产管理人员安全生产考核合格证书（C3），得10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202" w:type="dxa"/>
            <w:vMerge w:val="continue"/>
            <w:tcBorders>
              <w:left w:val="single" w:color="auto" w:sz="8"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auto"/>
                <w:sz w:val="21"/>
                <w:szCs w:val="21"/>
                <w:highlight w:val="none"/>
              </w:rPr>
            </w:pPr>
          </w:p>
        </w:tc>
        <w:tc>
          <w:tcPr>
            <w:tcW w:w="646" w:type="dxa"/>
            <w:vMerge w:val="continue"/>
            <w:tcBorders>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eastAsia="宋体" w:cs="宋体"/>
                <w:color w:val="auto"/>
                <w:sz w:val="21"/>
                <w:szCs w:val="21"/>
                <w:highlight w:val="none"/>
              </w:rPr>
            </w:pPr>
          </w:p>
        </w:tc>
        <w:tc>
          <w:tcPr>
            <w:tcW w:w="1477" w:type="dxa"/>
            <w:tcBorders>
              <w:left w:val="single" w:color="auto" w:sz="4" w:space="0"/>
              <w:bottom w:val="single" w:color="auto" w:sz="4" w:space="0"/>
              <w:right w:val="single" w:color="auto" w:sz="4" w:space="0"/>
            </w:tcBorders>
            <w:noWrap w:val="0"/>
            <w:vAlign w:val="center"/>
          </w:tcPr>
          <w:p>
            <w:pPr>
              <w:widowControl/>
              <w:spacing w:line="280" w:lineRule="exact"/>
              <w:ind w:left="-90" w:leftChars="-43" w:right="-107" w:rightChars="-51"/>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造价负责人</w:t>
            </w:r>
          </w:p>
        </w:tc>
        <w:tc>
          <w:tcPr>
            <w:tcW w:w="810" w:type="dxa"/>
            <w:tcBorders>
              <w:left w:val="single" w:color="auto" w:sz="4" w:space="0"/>
              <w:bottom w:val="single" w:color="auto" w:sz="4" w:space="0"/>
              <w:right w:val="single" w:color="auto" w:sz="4" w:space="0"/>
            </w:tcBorders>
            <w:noWrap w:val="0"/>
            <w:vAlign w:val="center"/>
          </w:tcPr>
          <w:p>
            <w:pPr>
              <w:widowControl/>
              <w:spacing w:line="280" w:lineRule="exact"/>
              <w:ind w:left="-105" w:leftChars="-50" w:right="-107" w:rightChars="-5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c>
          <w:tcPr>
            <w:tcW w:w="10795" w:type="dxa"/>
            <w:tcBorders>
              <w:top w:val="single" w:color="auto" w:sz="4" w:space="0"/>
              <w:left w:val="single" w:color="auto" w:sz="4" w:space="0"/>
              <w:bottom w:val="single" w:color="auto" w:sz="4" w:space="0"/>
              <w:right w:val="single" w:color="auto" w:sz="4" w:space="0"/>
            </w:tcBorders>
            <w:noWrap w:val="0"/>
            <w:vAlign w:val="center"/>
          </w:tcPr>
          <w:p>
            <w:pPr>
              <w:pStyle w:val="26"/>
              <w:ind w:left="-63" w:leftChars="-30" w:right="-76" w:rightChars="-3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从业能力：具有有效的注册造价师（或一级注册造价师）证书、或具有工程造价类专业副高级或以上技术职称，得10分。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2" w:hRule="atLeast"/>
          <w:jc w:val="center"/>
        </w:trPr>
        <w:tc>
          <w:tcPr>
            <w:tcW w:w="14930" w:type="dxa"/>
            <w:gridSpan w:val="5"/>
            <w:tcBorders>
              <w:left w:val="single" w:color="auto" w:sz="8" w:space="0"/>
              <w:bottom w:val="single" w:color="auto" w:sz="4" w:space="0"/>
              <w:right w:val="single" w:color="auto" w:sz="4" w:space="0"/>
            </w:tcBorders>
            <w:noWrap w:val="0"/>
            <w:vAlign w:val="center"/>
          </w:tcPr>
          <w:p>
            <w:pPr>
              <w:pStyle w:val="2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注：①上述人员须提供身份证、毕业证书（大学专科（或以上）学历）及投标截止前一个月（</w:t>
            </w:r>
            <w:r>
              <w:rPr>
                <w:rFonts w:hint="eastAsia" w:ascii="宋体" w:hAnsi="宋体" w:eastAsia="宋体" w:cs="宋体"/>
                <w:color w:val="auto"/>
                <w:kern w:val="2"/>
                <w:sz w:val="21"/>
                <w:szCs w:val="21"/>
                <w:highlight w:val="none"/>
                <w:u w:val="none"/>
                <w:lang w:val="en-US" w:eastAsia="zh-CN" w:bidi="ar-SA"/>
              </w:rPr>
              <w:t>2024年6月</w:t>
            </w:r>
            <w:r>
              <w:rPr>
                <w:rFonts w:hint="eastAsia" w:ascii="宋体" w:hAnsi="宋体" w:eastAsia="宋体" w:cs="宋体"/>
                <w:color w:val="auto"/>
                <w:sz w:val="21"/>
                <w:szCs w:val="21"/>
                <w:highlight w:val="none"/>
              </w:rPr>
              <w:t>）有效社保证明，且须按相应要求提供职称证、有效期内的注册证及有效期内的安全生产考核合格证（B类）或安全生产考核合格证（C类）或建筑施工企业项目负责人安全生产考核合格证书或建筑施工企业专职安全生产管理人员安全生产考核合格证书（C3），所有资料为扫描件并加盖投标人电子公章；</w:t>
            </w:r>
          </w:p>
          <w:p>
            <w:pPr>
              <w:pStyle w:val="2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②项目负责人、技术负责人、质量负责人、安全负责人、造价负责人不得兼任，且安全负责人不能同时兼任专职安全员。</w:t>
            </w:r>
          </w:p>
          <w:p>
            <w:pPr>
              <w:pStyle w:val="2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有效的注册造价工程师指根据原人事部、原建设部发布的《造价工程师执业资格制度暂行规定》（人发〔1996〕77号）取得的造价工程师执业资格，并经注册且在有效期内；有效的注册一级造价工程师资格指根据住房城乡建设部、交通</w:t>
            </w:r>
            <w:bookmarkStart w:id="59" w:name="_GoBack"/>
            <w:bookmarkEnd w:id="59"/>
            <w:r>
              <w:rPr>
                <w:rFonts w:hint="eastAsia" w:ascii="宋体" w:hAnsi="宋体" w:eastAsia="宋体" w:cs="宋体"/>
                <w:color w:val="auto"/>
                <w:sz w:val="21"/>
                <w:szCs w:val="21"/>
                <w:highlight w:val="none"/>
              </w:rPr>
              <w:t>运输部、水利部、人力资源社会保障部发布的《造价工程师职业资格制度规定》《造价工程师职业资格考试实施办法》（建人〔2018〕67号）取得的一级造价工程师职业资格，并经注册且在有效期内。</w:t>
            </w:r>
          </w:p>
          <w:p>
            <w:pPr>
              <w:pStyle w:val="2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④广东省建筑施工企业安全生产管理人员执行《广东省住房和城乡建设厅关于加快推进建筑施工企业安全生产管理人员考核合格证书电子证照办理相关工作的通知》（粤建质函〔2023〕754号），在10月底前完成换证业务，从2023年11月1日起，旧版电子证照停止使用。其他地区建筑施工企业安全生产管理人员执行属地安全生产管理人员考核合格证书电子证照相关规定。</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02" w:type="dxa"/>
            <w:vMerge w:val="restart"/>
            <w:tcBorders>
              <w:top w:val="single" w:color="auto" w:sz="4" w:space="0"/>
              <w:left w:val="single" w:color="auto" w:sz="8" w:space="0"/>
              <w:right w:val="single" w:color="auto" w:sz="4" w:space="0"/>
            </w:tcBorders>
            <w:noWrap w:val="0"/>
            <w:vAlign w:val="center"/>
          </w:tcPr>
          <w:p>
            <w:pPr>
              <w:pStyle w:val="26"/>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二、企业资信（30分）</w:t>
            </w:r>
          </w:p>
        </w:tc>
        <w:tc>
          <w:tcPr>
            <w:tcW w:w="2123" w:type="dxa"/>
            <w:gridSpan w:val="2"/>
            <w:tcBorders>
              <w:left w:val="single" w:color="auto" w:sz="4" w:space="0"/>
              <w:bottom w:val="single" w:color="auto" w:sz="4" w:space="0"/>
              <w:right w:val="single" w:color="auto" w:sz="4" w:space="0"/>
            </w:tcBorders>
            <w:noWrap w:val="0"/>
            <w:vAlign w:val="center"/>
          </w:tcPr>
          <w:p>
            <w:pPr>
              <w:pStyle w:val="2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企业类似工程业绩</w:t>
            </w:r>
          </w:p>
        </w:tc>
        <w:tc>
          <w:tcPr>
            <w:tcW w:w="810"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10795" w:type="dxa"/>
            <w:tcBorders>
              <w:top w:val="single" w:color="auto" w:sz="4" w:space="0"/>
              <w:left w:val="single" w:color="auto" w:sz="4" w:space="0"/>
              <w:bottom w:val="single" w:color="auto" w:sz="4" w:space="0"/>
              <w:right w:val="single" w:color="auto" w:sz="4" w:space="0"/>
            </w:tcBorders>
            <w:noWrap w:val="0"/>
            <w:vAlign w:val="center"/>
          </w:tcPr>
          <w:p>
            <w:pPr>
              <w:pStyle w:val="26"/>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投标人自202</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年1月1日至今完成过质量合格</w:t>
            </w:r>
            <w:r>
              <w:rPr>
                <w:rFonts w:hint="eastAsia" w:ascii="宋体" w:hAnsi="宋体" w:eastAsia="宋体" w:cs="宋体"/>
                <w:color w:val="auto"/>
                <w:sz w:val="21"/>
                <w:szCs w:val="21"/>
                <w:highlight w:val="none"/>
                <w:lang w:val="en-US" w:eastAsia="zh-CN"/>
              </w:rPr>
              <w:t>的</w:t>
            </w:r>
            <w:r>
              <w:rPr>
                <w:rFonts w:hint="eastAsia" w:ascii="宋体" w:hAnsi="宋体" w:eastAsia="宋体" w:cs="宋体"/>
                <w:color w:val="auto"/>
                <w:sz w:val="21"/>
                <w:szCs w:val="21"/>
                <w:highlight w:val="none"/>
              </w:rPr>
              <w:t>工程造价大于或等于</w:t>
            </w:r>
            <w:r>
              <w:rPr>
                <w:rFonts w:hint="eastAsia" w:ascii="宋体" w:hAnsi="宋体" w:eastAsia="宋体" w:cs="宋体"/>
                <w:color w:val="auto"/>
                <w:kern w:val="2"/>
                <w:sz w:val="21"/>
                <w:szCs w:val="21"/>
                <w:highlight w:val="none"/>
                <w:u w:val="none"/>
                <w:lang w:val="en-US" w:eastAsia="zh-CN" w:bidi="ar-SA"/>
              </w:rPr>
              <w:t>3000</w:t>
            </w:r>
            <w:r>
              <w:rPr>
                <w:rFonts w:hint="eastAsia" w:ascii="宋体" w:hAnsi="宋体" w:eastAsia="宋体" w:cs="宋体"/>
                <w:color w:val="auto"/>
                <w:sz w:val="21"/>
                <w:szCs w:val="21"/>
                <w:highlight w:val="none"/>
              </w:rPr>
              <w:t>万元的</w:t>
            </w:r>
            <w:r>
              <w:rPr>
                <w:rFonts w:hint="eastAsia" w:ascii="宋体" w:hAnsi="宋体" w:eastAsia="宋体" w:cs="宋体"/>
                <w:color w:val="auto"/>
                <w:sz w:val="21"/>
                <w:szCs w:val="21"/>
                <w:highlight w:val="none"/>
                <w:lang w:val="en-US" w:eastAsia="zh-CN"/>
              </w:rPr>
              <w:t>类似</w:t>
            </w:r>
            <w:r>
              <w:rPr>
                <w:rFonts w:hint="eastAsia" w:ascii="宋体" w:hAnsi="宋体" w:eastAsia="宋体" w:cs="宋体"/>
                <w:color w:val="auto"/>
                <w:sz w:val="21"/>
                <w:szCs w:val="21"/>
                <w:highlight w:val="none"/>
              </w:rPr>
              <w:t>市政公用工程施工总承包或工程总承包施工部分业绩，一项得</w:t>
            </w:r>
            <w:r>
              <w:rPr>
                <w:rFonts w:hint="eastAsia" w:ascii="宋体" w:hAnsi="宋体" w:eastAsia="宋体" w:cs="宋体"/>
                <w:color w:val="auto"/>
                <w:sz w:val="21"/>
                <w:szCs w:val="21"/>
                <w:highlight w:val="none"/>
                <w:lang w:val="en-US"/>
              </w:rPr>
              <w:t>1</w:t>
            </w:r>
            <w:r>
              <w:rPr>
                <w:rFonts w:hint="eastAsia" w:ascii="宋体" w:hAnsi="宋体" w:eastAsia="宋体" w:cs="宋体"/>
                <w:color w:val="auto"/>
                <w:sz w:val="21"/>
                <w:szCs w:val="21"/>
                <w:highlight w:val="none"/>
              </w:rPr>
              <w:t>分，最多得8分。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02" w:type="dxa"/>
            <w:vMerge w:val="continue"/>
            <w:tcBorders>
              <w:left w:val="single" w:color="auto" w:sz="8" w:space="0"/>
              <w:right w:val="single" w:color="auto" w:sz="4" w:space="0"/>
            </w:tcBorders>
            <w:noWrap w:val="0"/>
            <w:vAlign w:val="center"/>
          </w:tcPr>
          <w:p>
            <w:pPr>
              <w:pStyle w:val="26"/>
              <w:ind w:firstLine="420" w:firstLineChars="200"/>
              <w:rPr>
                <w:rFonts w:hint="eastAsia" w:ascii="宋体" w:hAnsi="宋体" w:eastAsia="宋体" w:cs="宋体"/>
                <w:color w:val="auto"/>
                <w:sz w:val="21"/>
                <w:szCs w:val="21"/>
                <w:highlight w:val="none"/>
              </w:rPr>
            </w:pPr>
          </w:p>
        </w:tc>
        <w:tc>
          <w:tcPr>
            <w:tcW w:w="2123" w:type="dxa"/>
            <w:gridSpan w:val="2"/>
            <w:tcBorders>
              <w:left w:val="single" w:color="auto" w:sz="4" w:space="0"/>
              <w:bottom w:val="single" w:color="auto" w:sz="4" w:space="0"/>
              <w:right w:val="single" w:color="auto" w:sz="4" w:space="0"/>
            </w:tcBorders>
            <w:noWrap w:val="0"/>
            <w:vAlign w:val="center"/>
          </w:tcPr>
          <w:p>
            <w:pPr>
              <w:pStyle w:val="2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企业工程项目获奖情况</w:t>
            </w:r>
          </w:p>
        </w:tc>
        <w:tc>
          <w:tcPr>
            <w:tcW w:w="810"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10795" w:type="dxa"/>
            <w:tcBorders>
              <w:top w:val="single" w:color="auto" w:sz="4" w:space="0"/>
              <w:left w:val="single" w:color="auto" w:sz="4" w:space="0"/>
              <w:bottom w:val="single" w:color="auto" w:sz="4" w:space="0"/>
              <w:right w:val="single" w:color="auto" w:sz="4" w:space="0"/>
            </w:tcBorders>
            <w:noWrap w:val="0"/>
            <w:vAlign w:val="center"/>
          </w:tcPr>
          <w:p>
            <w:pPr>
              <w:pStyle w:val="26"/>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投标人自202</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年1月1日至今获得</w:t>
            </w:r>
            <w:r>
              <w:rPr>
                <w:rFonts w:hint="eastAsia" w:ascii="宋体" w:hAnsi="宋体" w:eastAsia="宋体" w:cs="宋体"/>
                <w:color w:val="auto"/>
                <w:sz w:val="21"/>
                <w:szCs w:val="21"/>
                <w:highlight w:val="none"/>
                <w:u w:val="single"/>
              </w:rPr>
              <w:t>市政公用</w:t>
            </w:r>
            <w:r>
              <w:rPr>
                <w:rFonts w:hint="eastAsia" w:ascii="宋体" w:hAnsi="宋体" w:eastAsia="宋体" w:cs="宋体"/>
                <w:color w:val="auto"/>
                <w:sz w:val="21"/>
                <w:szCs w:val="21"/>
                <w:highlight w:val="none"/>
              </w:rPr>
              <w:t>工程获得市级或以上奖项，一项得</w:t>
            </w:r>
            <w:r>
              <w:rPr>
                <w:rFonts w:hint="eastAsia" w:ascii="宋体" w:hAnsi="宋体" w:eastAsia="宋体" w:cs="宋体"/>
                <w:color w:val="auto"/>
                <w:sz w:val="21"/>
                <w:szCs w:val="21"/>
                <w:highlight w:val="none"/>
                <w:lang w:val="en-US"/>
              </w:rPr>
              <w:t>1</w:t>
            </w:r>
            <w:r>
              <w:rPr>
                <w:rFonts w:hint="eastAsia" w:ascii="宋体" w:hAnsi="宋体" w:eastAsia="宋体" w:cs="宋体"/>
                <w:color w:val="auto"/>
                <w:sz w:val="21"/>
                <w:szCs w:val="21"/>
                <w:highlight w:val="none"/>
              </w:rPr>
              <w:t>分，最多得8分。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02" w:type="dxa"/>
            <w:vMerge w:val="continue"/>
            <w:tcBorders>
              <w:left w:val="single" w:color="auto" w:sz="8" w:space="0"/>
              <w:right w:val="single" w:color="auto" w:sz="4" w:space="0"/>
            </w:tcBorders>
            <w:noWrap w:val="0"/>
            <w:vAlign w:val="center"/>
          </w:tcPr>
          <w:p>
            <w:pPr>
              <w:pStyle w:val="26"/>
              <w:ind w:firstLine="420" w:firstLineChars="200"/>
              <w:rPr>
                <w:rFonts w:hint="eastAsia" w:ascii="宋体" w:hAnsi="宋体" w:eastAsia="宋体" w:cs="宋体"/>
                <w:color w:val="auto"/>
                <w:sz w:val="21"/>
                <w:szCs w:val="21"/>
                <w:highlight w:val="none"/>
              </w:rPr>
            </w:pPr>
          </w:p>
        </w:tc>
        <w:tc>
          <w:tcPr>
            <w:tcW w:w="2123" w:type="dxa"/>
            <w:gridSpan w:val="2"/>
            <w:tcBorders>
              <w:left w:val="single" w:color="auto" w:sz="4" w:space="0"/>
              <w:bottom w:val="single" w:color="auto" w:sz="4" w:space="0"/>
              <w:right w:val="single" w:color="auto" w:sz="4" w:space="0"/>
            </w:tcBorders>
            <w:noWrap w:val="0"/>
            <w:vAlign w:val="center"/>
          </w:tcPr>
          <w:p>
            <w:pPr>
              <w:pStyle w:val="2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企业工程研发能力</w:t>
            </w:r>
          </w:p>
        </w:tc>
        <w:tc>
          <w:tcPr>
            <w:tcW w:w="810"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10795" w:type="dxa"/>
            <w:tcBorders>
              <w:top w:val="single" w:color="auto" w:sz="4" w:space="0"/>
              <w:left w:val="single" w:color="auto" w:sz="4" w:space="0"/>
              <w:bottom w:val="single" w:color="auto" w:sz="4" w:space="0"/>
              <w:right w:val="single" w:color="auto" w:sz="4" w:space="0"/>
            </w:tcBorders>
            <w:noWrap w:val="0"/>
            <w:vAlign w:val="center"/>
          </w:tcPr>
          <w:p>
            <w:pPr>
              <w:pStyle w:val="2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投标人自202</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年1月1日至今</w:t>
            </w:r>
            <w:r>
              <w:rPr>
                <w:rFonts w:hint="eastAsia" w:ascii="宋体" w:hAnsi="宋体" w:eastAsia="宋体" w:cs="宋体"/>
                <w:color w:val="auto"/>
                <w:sz w:val="21"/>
                <w:szCs w:val="21"/>
                <w:highlight w:val="none"/>
                <w:lang w:eastAsia="zh-CN"/>
              </w:rPr>
              <w:t>，作为主要完成单位或独立完成单位获得过市级或以上科学技术进步奖或科技进步奖或科学技术奖项，一项得1分，最多得8分。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jc w:val="center"/>
        </w:trPr>
        <w:tc>
          <w:tcPr>
            <w:tcW w:w="1202" w:type="dxa"/>
            <w:vMerge w:val="continue"/>
            <w:tcBorders>
              <w:left w:val="single" w:color="auto" w:sz="8" w:space="0"/>
              <w:right w:val="single" w:color="auto" w:sz="4" w:space="0"/>
            </w:tcBorders>
            <w:noWrap w:val="0"/>
            <w:vAlign w:val="center"/>
          </w:tcPr>
          <w:p>
            <w:pPr>
              <w:pStyle w:val="26"/>
              <w:ind w:firstLine="420" w:firstLineChars="200"/>
              <w:rPr>
                <w:rFonts w:hint="eastAsia" w:ascii="宋体" w:hAnsi="宋体" w:eastAsia="宋体" w:cs="宋体"/>
                <w:color w:val="auto"/>
                <w:sz w:val="21"/>
                <w:szCs w:val="21"/>
                <w:highlight w:val="none"/>
              </w:rPr>
            </w:pPr>
          </w:p>
        </w:tc>
        <w:tc>
          <w:tcPr>
            <w:tcW w:w="2123" w:type="dxa"/>
            <w:gridSpan w:val="2"/>
            <w:tcBorders>
              <w:left w:val="single" w:color="auto" w:sz="4" w:space="0"/>
              <w:right w:val="single" w:color="auto" w:sz="4" w:space="0"/>
            </w:tcBorders>
            <w:noWrap w:val="0"/>
            <w:vAlign w:val="center"/>
          </w:tcPr>
          <w:p>
            <w:pPr>
              <w:pStyle w:val="2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第三方评价</w:t>
            </w:r>
          </w:p>
        </w:tc>
        <w:tc>
          <w:tcPr>
            <w:tcW w:w="810" w:type="dxa"/>
            <w:tcBorders>
              <w:top w:val="single" w:color="auto" w:sz="4" w:space="0"/>
              <w:left w:val="single" w:color="auto" w:sz="4" w:space="0"/>
              <w:right w:val="single" w:color="auto" w:sz="4" w:space="0"/>
            </w:tcBorders>
            <w:noWrap w:val="0"/>
            <w:vAlign w:val="center"/>
          </w:tcPr>
          <w:p>
            <w:pPr>
              <w:pStyle w:val="2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10795" w:type="dxa"/>
            <w:tcBorders>
              <w:top w:val="single" w:color="auto" w:sz="4" w:space="0"/>
              <w:left w:val="single" w:color="auto" w:sz="4" w:space="0"/>
              <w:right w:val="single" w:color="auto" w:sz="4" w:space="0"/>
            </w:tcBorders>
            <w:noWrap w:val="0"/>
            <w:vAlign w:val="center"/>
          </w:tcPr>
          <w:p>
            <w:pPr>
              <w:pStyle w:val="2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投标人</w:t>
            </w:r>
            <w:r>
              <w:rPr>
                <w:rFonts w:hint="eastAsia" w:ascii="宋体" w:hAnsi="宋体" w:eastAsia="宋体" w:cs="宋体"/>
                <w:color w:val="auto"/>
                <w:sz w:val="21"/>
                <w:szCs w:val="21"/>
                <w:highlight w:val="none"/>
              </w:rPr>
              <w:t>自2020年至今获得过税务机关评定的“A级纳税人”称号得6分；自2020年至今获得过税务机关评定的“B级纳税人”称号得3分；自2020年至今获得过税务机关评定的“M级纳税人”称号一项得 1分。最多得6分。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3325" w:type="dxa"/>
            <w:gridSpan w:val="3"/>
            <w:tcBorders>
              <w:top w:val="single" w:color="auto" w:sz="4" w:space="0"/>
              <w:left w:val="single" w:color="auto" w:sz="8" w:space="0"/>
              <w:bottom w:val="single" w:color="auto" w:sz="4" w:space="0"/>
              <w:right w:val="single" w:color="auto" w:sz="4" w:space="0"/>
            </w:tcBorders>
            <w:noWrap w:val="0"/>
            <w:vAlign w:val="center"/>
          </w:tcPr>
          <w:p>
            <w:pPr>
              <w:pStyle w:val="26"/>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合计（一+二）</w:t>
            </w:r>
          </w:p>
        </w:tc>
        <w:tc>
          <w:tcPr>
            <w:tcW w:w="810" w:type="dxa"/>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w:t>
            </w:r>
          </w:p>
        </w:tc>
        <w:tc>
          <w:tcPr>
            <w:tcW w:w="10795" w:type="dxa"/>
            <w:tcBorders>
              <w:top w:val="single" w:color="auto" w:sz="4" w:space="0"/>
              <w:left w:val="single" w:color="auto" w:sz="4" w:space="0"/>
              <w:bottom w:val="single" w:color="auto" w:sz="4" w:space="0"/>
              <w:right w:val="single" w:color="auto" w:sz="4" w:space="0"/>
            </w:tcBorders>
            <w:noWrap w:val="0"/>
            <w:vAlign w:val="center"/>
          </w:tcPr>
          <w:p>
            <w:pPr>
              <w:pStyle w:val="26"/>
              <w:ind w:firstLine="420" w:firstLineChars="200"/>
              <w:jc w:val="center"/>
              <w:rPr>
                <w:rFonts w:hint="eastAsia" w:ascii="宋体" w:hAnsi="宋体" w:eastAsia="宋体" w:cs="宋体"/>
                <w:color w:val="auto"/>
                <w:sz w:val="21"/>
                <w:szCs w:val="21"/>
                <w:highlight w:val="none"/>
              </w:rPr>
            </w:pPr>
          </w:p>
        </w:tc>
      </w:tr>
    </w:tbl>
    <w:p>
      <w:pPr>
        <w:pStyle w:val="26"/>
        <w:ind w:firstLine="422" w:firstLineChars="200"/>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备注</w:t>
      </w:r>
      <w:r>
        <w:rPr>
          <w:rFonts w:hint="eastAsia" w:ascii="宋体" w:hAnsi="宋体" w:eastAsia="宋体" w:cs="宋体"/>
          <w:color w:val="auto"/>
          <w:sz w:val="21"/>
          <w:szCs w:val="21"/>
          <w:highlight w:val="none"/>
        </w:rPr>
        <w:t>：</w:t>
      </w:r>
    </w:p>
    <w:p>
      <w:pPr>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评委对业绩认定意见不一致时，则由招标人解释招标文件后，评委讨论业绩认定标准；经讨论后标准仍不一致时，则按少数服从多数处理。按少数服从多数仍不能形成一致意见时，对评标结果有不同意见的评标委员会成员应当以书面形式说明其不同意见和理由，评标报告应当注明该不同意见。评标委员会成员拒绝在评标报告上签字又不书面说明其不同意见和理由的，视为同意评标结果。 </w:t>
      </w:r>
    </w:p>
    <w:p>
      <w:pPr>
        <w:pStyle w:val="2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2</w:t>
      </w:r>
      <w:r>
        <w:rPr>
          <w:rFonts w:hint="eastAsia" w:ascii="宋体" w:hAnsi="宋体" w:eastAsia="宋体" w:cs="宋体"/>
          <w:b/>
          <w:bCs/>
          <w:color w:val="auto"/>
          <w:sz w:val="21"/>
          <w:szCs w:val="21"/>
          <w:highlight w:val="none"/>
        </w:rPr>
        <w:t>.企业类似工程业绩：</w:t>
      </w:r>
    </w:p>
    <w:p>
      <w:pPr>
        <w:pStyle w:val="26"/>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市政公用工程项目：业绩需提供相关证明材料。其中：工程总承包业绩包括勘察设计施工总承包或设计施工总承包或设计采购施工总承包或勘察设计采购施工总承包业绩等。投标人须提供业绩的中标通知书或免招标的相关证明、招标公告网页首页截图（适用于公开招标项目）、中标公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中标候选人公示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网页截图（适用于公开招标项目）、施工合同或工程总承包合同（不含补充合同）、竣工验收证明文件（验收文件至少具有建设单位、设计、施工和监理单位盖章）。完成时间以竣工验收证明材料为准。业绩金额以业绩中标通知书为准，若中标通知书没有显示中标金额或免招标的，以施工合同或工程总承包合同的施工费合同金额为准（不含补充合同）。上述资料显示的内容须一致且工程业绩须为</w:t>
      </w:r>
      <w:r>
        <w:rPr>
          <w:rFonts w:hint="eastAsia" w:ascii="宋体" w:hAnsi="宋体" w:eastAsia="宋体" w:cs="宋体"/>
          <w:color w:val="auto"/>
          <w:sz w:val="21"/>
          <w:szCs w:val="21"/>
          <w:highlight w:val="none"/>
          <w:u w:val="single"/>
          <w:lang w:eastAsia="zh-CN"/>
        </w:rPr>
        <w:t>市政公用工程施工总承包</w:t>
      </w:r>
      <w:r>
        <w:rPr>
          <w:rFonts w:hint="eastAsia" w:ascii="宋体" w:hAnsi="宋体" w:eastAsia="宋体" w:cs="宋体"/>
          <w:color w:val="auto"/>
          <w:sz w:val="21"/>
          <w:szCs w:val="21"/>
          <w:highlight w:val="none"/>
        </w:rPr>
        <w:t>资质方能承接的业绩。不符合上述条件或提供的资料不齐全的业绩不予评审。评标委员会对业绩的评审以投标人提供的完整的证明资料为依据（提供相关证明材料的，中标单位须准备相关证明材料的原件待查，如原件不齐或与投标文件不符的，招标人有权取消其中标人资格，并上报建设行政主管部门）。其中，市政公用工程包括：给水工程、排水工程、燃气工程、热力工程、城市道路工程、城市桥梁工程、城市隧道工程（指城市规划区内的穿山过江隧道、地铁隧道、地下交通工程、地下过街通道）、公共交通工程、轨道交通工程、环境卫生工程、照明工程、绿化工程。其中，若公开招标项目因客观事实无法提供招标公告网页首页截图、中标公示（中标候选人公示）网页截图的，投标人可出具单位盖章的说明情况（及相关证明）并承诺其资料真实性，若公示阶段期间投标人因此被举证存在上述网页截图的，招标人有权按《投标人声明》第十</w:t>
      </w:r>
      <w:r>
        <w:rPr>
          <w:rFonts w:hint="eastAsia" w:ascii="宋体" w:hAnsi="宋体" w:eastAsia="宋体" w:cs="宋体"/>
          <w:color w:val="auto"/>
          <w:sz w:val="21"/>
          <w:szCs w:val="21"/>
          <w:highlight w:val="none"/>
          <w:lang w:val="en-US" w:eastAsia="zh-CN"/>
        </w:rPr>
        <w:t>五</w:t>
      </w:r>
      <w:r>
        <w:rPr>
          <w:rFonts w:hint="eastAsia" w:ascii="宋体" w:hAnsi="宋体" w:eastAsia="宋体" w:cs="宋体"/>
          <w:color w:val="auto"/>
          <w:sz w:val="21"/>
          <w:szCs w:val="21"/>
          <w:highlight w:val="none"/>
        </w:rPr>
        <w:t>条执行。若投标人未出具任何说明情况（及相关证明），则按不符合上述条件或提供的资料不齐全的执行。</w:t>
      </w:r>
    </w:p>
    <w:p>
      <w:pPr>
        <w:pStyle w:val="26"/>
        <w:ind w:firstLine="36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3.企业工程项目获奖情况：</w:t>
      </w:r>
    </w:p>
    <w:p>
      <w:pPr>
        <w:pStyle w:val="26"/>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市政公用工程项目：只评质量奖项; 需提供获奖网页信息截图及奖项证书扫描件，时间以发证时间为准，并提供可明确该质量奖项背景项目为市政公用工程项目证明材料（如招标公告或其他证明材料）。其中国家级奖项包括：中国建设工程鲁班奖、国家优质工程金奖、国家优质工程奖、中国土木工程詹天佑奖；省、市级奖项是指由省、市级建设行政主管部门或行业协会颁发的工程质量类奖项。同一项目按最高级别奖项只计一次得分，以证书发证日期为准。若颁发机构非政府相关部门，还需提供该组织在“全国社会组织信用信息公示平台（试运行）”网站（https://xxgs.chinanpo.mca.gov.cn/gsxt/newList）（注：由于全国社会组织信用信息公示平台（试运行）属于试运行，平台名称及网址若有更新，以最新发布的为准。）“全国社会组织信用信息公示平台”栏查询结果截图，同时须提供其在查询结果“状态”栏必须为“正常”。其中，市政公用工程包括：给水工程、排水工程、燃气工程、热力工程、城市道路工程、城市桥梁工程、城市隧道工程（指城市规划区内的穿山过江隧道、地铁隧道、地下交通工程、地下过街通道）、公共交通工程、轨道交通工程、环境卫生工程、照明工程、绿化工程</w:t>
      </w:r>
      <w:r>
        <w:rPr>
          <w:rFonts w:hint="eastAsia" w:ascii="宋体" w:hAnsi="宋体" w:eastAsia="宋体" w:cs="宋体"/>
          <w:i w:val="0"/>
          <w:strike w:val="0"/>
          <w:color w:val="auto"/>
          <w:spacing w:val="0"/>
          <w:sz w:val="21"/>
          <w:szCs w:val="21"/>
          <w:highlight w:val="none"/>
          <w:u w:val="none"/>
        </w:rPr>
        <w:t>。</w:t>
      </w:r>
    </w:p>
    <w:p>
      <w:pPr>
        <w:pStyle w:val="26"/>
        <w:ind w:firstLine="36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bidi="ar"/>
        </w:rPr>
        <w:t>不符合条件的奖项不计分。</w:t>
      </w:r>
    </w:p>
    <w:p>
      <w:pPr>
        <w:pStyle w:val="26"/>
        <w:ind w:firstLine="36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4.企业工程研发能力：</w:t>
      </w:r>
    </w:p>
    <w:p>
      <w:pPr>
        <w:pStyle w:val="26"/>
        <w:ind w:firstLine="36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市级或以上科学技术进步奖或科技进步奖或科学技术奖：指市级或以上政府部门或中国社会组织依法依规设立的“科学技术进步奖”或“科技进步奖”或“科学技术奖”：须提供</w:t>
      </w:r>
      <w:r>
        <w:rPr>
          <w:rFonts w:hint="eastAsia" w:ascii="宋体" w:hAnsi="宋体" w:eastAsia="宋体" w:cs="宋体"/>
          <w:color w:val="auto"/>
          <w:sz w:val="21"/>
          <w:szCs w:val="21"/>
          <w:highlight w:val="none"/>
          <w:lang w:val="en-US" w:eastAsia="zh-CN"/>
        </w:rPr>
        <w:t>奖项</w:t>
      </w:r>
      <w:r>
        <w:rPr>
          <w:rFonts w:hint="eastAsia" w:ascii="宋体" w:hAnsi="宋体" w:eastAsia="宋体" w:cs="宋体"/>
          <w:color w:val="auto"/>
          <w:sz w:val="21"/>
          <w:szCs w:val="21"/>
          <w:highlight w:val="none"/>
        </w:rPr>
        <w:t>证书扫描件，时间以证书中载明的发证时间为准。①科学技术奖励发证机构须为市级或以上政府部门或在国家科学技术奖励工作办公室相关网站</w:t>
      </w:r>
      <w:r>
        <w:rPr>
          <w:rFonts w:hint="eastAsia" w:ascii="宋体" w:hAnsi="宋体" w:eastAsia="宋体" w:cs="宋体"/>
          <w:color w:val="auto"/>
          <w:sz w:val="21"/>
          <w:szCs w:val="21"/>
          <w:highlight w:val="none"/>
          <w:lang w:eastAsia="zh-CN"/>
        </w:rPr>
        <w:t>（https://www.nosta.gov.cn/pc/zh/shkjjl/jlmu/page_1.shtml，平台名称及网址若有更新，以最新发布的为准。）</w:t>
      </w:r>
      <w:r>
        <w:rPr>
          <w:rFonts w:hint="eastAsia" w:ascii="宋体" w:hAnsi="宋体" w:eastAsia="宋体" w:cs="宋体"/>
          <w:color w:val="auto"/>
          <w:sz w:val="21"/>
          <w:szCs w:val="21"/>
          <w:highlight w:val="none"/>
        </w:rPr>
        <w:t>或市级或以上科技行政部门相关网站可查询到的社会组织或按照《国家科学技术奖励条例》及《科技部关于进一步鼓励和规范社会力量设立科学技术奖的指导意见》的相关规定设立“科学技术奖”的中国社会组织 ；②中国社会组织（如协会、学会等）需提供其在国家或省级科技行政部门网页查询信息页截图及查询路径或提供发证机构符合科技行政部门要求具有设奖资格等相关证明材料，还</w:t>
      </w:r>
      <w:r>
        <w:rPr>
          <w:rFonts w:hint="eastAsia" w:ascii="宋体" w:hAnsi="宋体" w:eastAsia="宋体" w:cs="宋体"/>
          <w:i w:val="0"/>
          <w:strike w:val="0"/>
          <w:color w:val="auto"/>
          <w:spacing w:val="0"/>
          <w:sz w:val="21"/>
          <w:szCs w:val="21"/>
          <w:highlight w:val="none"/>
          <w:u w:val="none"/>
        </w:rPr>
        <w:t>须提供其在“全国社会组织信用信息公示平台（试运行</w:t>
      </w:r>
      <w:r>
        <w:rPr>
          <w:rFonts w:hint="eastAsia" w:ascii="宋体" w:hAnsi="宋体" w:eastAsia="宋体" w:cs="宋体"/>
          <w:i w:val="0"/>
          <w:strike w:val="0"/>
          <w:color w:val="auto"/>
          <w:spacing w:val="0"/>
          <w:sz w:val="21"/>
          <w:szCs w:val="21"/>
          <w:highlight w:val="none"/>
          <w:u w:val="none"/>
          <w:lang w:eastAsia="zh-CN"/>
        </w:rPr>
        <w:t>）</w:t>
      </w:r>
      <w:r>
        <w:rPr>
          <w:rFonts w:hint="eastAsia" w:ascii="宋体" w:hAnsi="宋体" w:eastAsia="宋体" w:cs="宋体"/>
          <w:i w:val="0"/>
          <w:strike w:val="0"/>
          <w:color w:val="auto"/>
          <w:spacing w:val="0"/>
          <w:sz w:val="21"/>
          <w:szCs w:val="21"/>
          <w:highlight w:val="none"/>
          <w:u w:val="none"/>
        </w:rPr>
        <w:t>”网站（https://xxgs.chinanpo.mca.gov.cn/gsxt/newList）（注：由于全国社会组织信用信息公示平台（试运行）属于试运行，平台名称及网址若有更新，以最新发布的为准。）“全国社会组织信用信息公示平台”栏查询结果截图，同时须提供其在查询结果“状态”栏必须为“正常”</w:t>
      </w:r>
      <w:r>
        <w:rPr>
          <w:rFonts w:hint="eastAsia" w:ascii="宋体" w:hAnsi="宋体" w:eastAsia="宋体" w:cs="宋体"/>
          <w:color w:val="auto"/>
          <w:sz w:val="21"/>
          <w:szCs w:val="21"/>
          <w:highlight w:val="none"/>
        </w:rPr>
        <w:t>；③仅计算【市政公用】工程获得的科学技术奖，证书上需明确其为【市政公用】工程获得的科学技术奖励，若无法明确，需提供当地行政主管部门或科技行政部门认可的组织出具的科学技术成果鉴定证书或第三方技术评价证明材料扫描件，并且在科学技术成果鉴定证书或第三方评价证明材料中需明确该科学技术奖励的研究背景项目为【市政公用】工程项目，无法提供证书清晰扫描件和科学技术成果鉴定证书或第三方评价证明材料扫描件的且无法证明该科学技术奖励为【市政公用】工程项目获得的科学技术奖励不得分。社会组织颁发的科技奖项无法提供发证单位在上述相关网页查询信息页截图及查询路径或提供其设奖资格证明材料的不得分。同一科学技术进步奖或科技进步奖或科学技术奖获得不同级别奖项的按最高级别只计一次得分。</w:t>
      </w:r>
    </w:p>
    <w:p>
      <w:pPr>
        <w:pStyle w:val="26"/>
        <w:ind w:firstLine="36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不符合上述条件的奖项不计分。</w:t>
      </w:r>
    </w:p>
    <w:p>
      <w:pPr>
        <w:pStyle w:val="26"/>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5.第三方评价：</w:t>
      </w:r>
    </w:p>
    <w:p>
      <w:pPr>
        <w:pStyle w:val="26"/>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纳税信用A级纳税人”须提供国家税务总局官网（http://www.chinatax.gov.cn/）“纳税信用A级纳税人名单公布栏”查询结果网页截图或其省级（含直辖市）税务局官网“纳税信用A级纳税人名单公布栏”查询结果网页截图，时间以国家税务总局或其省级（含直辖市）税务局网站纳税信用信息查询结果的网页截图公布的评价年度为准。“B级纳税人”和“M级纳税人”须提供市级或以上的税务机关颁发的相应等级证书扫描件或市级或以上税务局官网“纳税信用”等级查询结果网页截图，时间以证书或网页截图公布的评价年度为准。投标人获得过的纳税信用评价最高级别计分，不累计得分。上述资料显示的纳税人全称须与投标人名称一致，否则不得分。不满足上述要求或无提交上述资料不得分。</w:t>
      </w:r>
    </w:p>
    <w:p>
      <w:pPr>
        <w:pStyle w:val="26"/>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本表按百分制评分，所有评委每个分项的分数汇总后去掉一个最高分和一个最低分的算术平均值为投标人的最终得分。分数出现小数点，保留小数点后二位小数，第三位小数四舍五入,若投标人满足多个档次的，按最高档计分一次，不累计。</w:t>
      </w:r>
    </w:p>
    <w:p>
      <w:pPr>
        <w:pStyle w:val="26"/>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7.项目管理机构人员不得兼任。</w:t>
      </w:r>
    </w:p>
    <w:p>
      <w:pPr>
        <w:pStyle w:val="26"/>
        <w:ind w:firstLine="42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8.除了项目组织管理机构能力可计算投标人的分公司（不具备独立法人）或投标人的分支机构（不具备独立法人）外，评分表内其他评分项目只计算投标人自身（不计算投标人的分公司、子公司和分支机构），否则不得分。</w:t>
      </w:r>
    </w:p>
    <w:p>
      <w:pPr>
        <w:pStyle w:val="26"/>
        <w:ind w:firstLine="420"/>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u w:val="single"/>
          <w:lang w:val="en-US" w:eastAsia="zh-CN"/>
        </w:rPr>
        <w:t>9.投标人提供的网页信息截图或证明材料扫描件内容必须清晰可辨，如因网页信息截图或证明材料扫描件内容模糊导致评标时无法判断的，后果由投标人自负。</w:t>
      </w:r>
    </w:p>
    <w:p>
      <w:pPr>
        <w:spacing w:line="360" w:lineRule="auto"/>
        <w:rPr>
          <w:rFonts w:hint="eastAsia" w:ascii="宋体" w:hAnsi="宋体" w:eastAsia="宋体" w:cs="宋体"/>
          <w:b/>
          <w:bCs/>
          <w:color w:val="auto"/>
          <w:sz w:val="24"/>
          <w:szCs w:val="24"/>
          <w:highlight w:val="none"/>
        </w:rPr>
      </w:pPr>
    </w:p>
    <w:p>
      <w:pPr>
        <w:spacing w:line="24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br w:type="page"/>
      </w: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附表五（适用于区间抽取法）</w:t>
      </w:r>
    </w:p>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经济标评分表</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工程名称：</w:t>
      </w:r>
    </w:p>
    <w:tbl>
      <w:tblPr>
        <w:tblStyle w:val="20"/>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0"/>
        <w:gridCol w:w="1052"/>
        <w:gridCol w:w="1052"/>
        <w:gridCol w:w="1052"/>
        <w:gridCol w:w="1052"/>
        <w:gridCol w:w="1052"/>
        <w:gridCol w:w="1052"/>
        <w:gridCol w:w="1052"/>
        <w:gridCol w:w="1053"/>
        <w:gridCol w:w="1053"/>
        <w:gridCol w:w="1053"/>
        <w:gridCol w:w="1053"/>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17"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w:t>
            </w: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7"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717"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投标报价PT（元）</w:t>
            </w: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7"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17"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计算评标参考价的等分点值X</w:t>
            </w:r>
          </w:p>
        </w:tc>
        <w:tc>
          <w:tcPr>
            <w:tcW w:w="4282" w:type="pct"/>
            <w:gridSpan w:val="1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17"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评标参考价PC（元）</w:t>
            </w:r>
          </w:p>
        </w:tc>
        <w:tc>
          <w:tcPr>
            <w:tcW w:w="4282" w:type="pct"/>
            <w:gridSpan w:val="1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17"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偏差（（PT-PC）/PC）（%）</w:t>
            </w: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7"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717"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减分（A）</w:t>
            </w: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7"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17"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得分(I=100-A)</w:t>
            </w: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7"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17"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得分排名次序</w:t>
            </w: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c>
          <w:tcPr>
            <w:tcW w:w="357"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p>
        </w:tc>
      </w:tr>
    </w:tbl>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评委签名：</w:t>
      </w:r>
    </w:p>
    <w:p>
      <w:pPr>
        <w:spacing w:line="240" w:lineRule="auto"/>
        <w:jc w:val="left"/>
        <w:rPr>
          <w:rFonts w:hint="eastAsia" w:ascii="宋体" w:hAnsi="宋体" w:eastAsia="宋体" w:cs="宋体"/>
          <w:b/>
          <w:bCs/>
          <w:color w:val="auto"/>
          <w:sz w:val="24"/>
          <w:szCs w:val="24"/>
          <w:highlight w:val="none"/>
        </w:rPr>
        <w:sectPr>
          <w:pgSz w:w="16840" w:h="11907" w:orient="landscape"/>
          <w:pgMar w:top="1418" w:right="1134" w:bottom="1418" w:left="1134" w:header="851" w:footer="992" w:gutter="0"/>
          <w:cols w:space="720" w:num="1"/>
          <w:docGrid w:type="lines" w:linePitch="312" w:charSpace="0"/>
        </w:sectPr>
      </w:pP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附表六</w:t>
      </w:r>
    </w:p>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算术复核表</w:t>
      </w:r>
    </w:p>
    <w:p>
      <w:pPr>
        <w:jc w:val="center"/>
        <w:rPr>
          <w:rFonts w:hint="eastAsia" w:ascii="宋体" w:hAnsi="宋体" w:eastAsia="宋体" w:cs="宋体"/>
          <w:b/>
          <w:color w:val="auto"/>
          <w:sz w:val="24"/>
          <w:szCs w:val="24"/>
          <w:highlight w:val="none"/>
        </w:rPr>
      </w:pPr>
    </w:p>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工程名称：                                           投标人</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 xml:space="preserve">                                                  单位：元</w:t>
      </w:r>
    </w:p>
    <w:tbl>
      <w:tblPr>
        <w:tblStyle w:val="20"/>
        <w:tblW w:w="4998" w:type="pct"/>
        <w:tblInd w:w="0" w:type="dxa"/>
        <w:tblLayout w:type="autofit"/>
        <w:tblCellMar>
          <w:top w:w="0" w:type="dxa"/>
          <w:left w:w="108" w:type="dxa"/>
          <w:bottom w:w="0" w:type="dxa"/>
          <w:right w:w="108" w:type="dxa"/>
        </w:tblCellMar>
      </w:tblPr>
      <w:tblGrid>
        <w:gridCol w:w="585"/>
        <w:gridCol w:w="4422"/>
        <w:gridCol w:w="1540"/>
        <w:gridCol w:w="1514"/>
        <w:gridCol w:w="1911"/>
        <w:gridCol w:w="1408"/>
        <w:gridCol w:w="3402"/>
      </w:tblGrid>
      <w:tr>
        <w:tblPrEx>
          <w:tblCellMar>
            <w:top w:w="0" w:type="dxa"/>
            <w:left w:w="108" w:type="dxa"/>
            <w:bottom w:w="0" w:type="dxa"/>
            <w:right w:w="108" w:type="dxa"/>
          </w:tblCellMar>
        </w:tblPrEx>
        <w:trPr>
          <w:trHeight w:val="705" w:hRule="atLeast"/>
        </w:trPr>
        <w:tc>
          <w:tcPr>
            <w:tcW w:w="217"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编号</w:t>
            </w:r>
          </w:p>
        </w:tc>
        <w:tc>
          <w:tcPr>
            <w:tcW w:w="1514" w:type="pct"/>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算术校核项目</w:t>
            </w:r>
          </w:p>
        </w:tc>
        <w:tc>
          <w:tcPr>
            <w:tcW w:w="540" w:type="pct"/>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修正前投标</w:t>
            </w:r>
          </w:p>
          <w:p>
            <w:pP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报价A</w:t>
            </w:r>
          </w:p>
        </w:tc>
        <w:tc>
          <w:tcPr>
            <w:tcW w:w="531" w:type="pct"/>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修正后投标</w:t>
            </w:r>
          </w:p>
          <w:p>
            <w:pP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报价B</w:t>
            </w:r>
          </w:p>
        </w:tc>
        <w:tc>
          <w:tcPr>
            <w:tcW w:w="531" w:type="pct"/>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b/>
                <w:bCs/>
                <w:color w:val="auto"/>
                <w:kern w:val="0"/>
                <w:sz w:val="24"/>
                <w:szCs w:val="24"/>
                <w:highlight w:val="none"/>
                <w:lang w:eastAsia="zh-CN"/>
              </w:rPr>
            </w:pPr>
            <w:r>
              <w:rPr>
                <w:rFonts w:hint="eastAsia" w:ascii="宋体" w:hAnsi="宋体" w:eastAsia="宋体" w:cs="宋体"/>
                <w:b/>
                <w:bCs/>
                <w:color w:val="auto"/>
                <w:kern w:val="0"/>
                <w:sz w:val="24"/>
                <w:szCs w:val="24"/>
                <w:highlight w:val="none"/>
              </w:rPr>
              <w:t>修正率</w:t>
            </w:r>
          </w:p>
          <w:p>
            <w:pP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r=|A-B|/A*100%</w:t>
            </w:r>
          </w:p>
        </w:tc>
        <w:tc>
          <w:tcPr>
            <w:tcW w:w="495" w:type="pct"/>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经评审的最终投标报价</w:t>
            </w:r>
          </w:p>
        </w:tc>
        <w:tc>
          <w:tcPr>
            <w:tcW w:w="1169" w:type="pct"/>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当B&gt;A时，修正后报价与原报价的差额；当B≤A时,R=0</w:t>
            </w:r>
          </w:p>
        </w:tc>
      </w:tr>
      <w:tr>
        <w:tblPrEx>
          <w:tblCellMar>
            <w:top w:w="0" w:type="dxa"/>
            <w:left w:w="108" w:type="dxa"/>
            <w:bottom w:w="0" w:type="dxa"/>
            <w:right w:w="108" w:type="dxa"/>
          </w:tblCellMar>
        </w:tblPrEx>
        <w:trPr>
          <w:trHeight w:val="600" w:hRule="atLeast"/>
        </w:trPr>
        <w:tc>
          <w:tcPr>
            <w:tcW w:w="217" w:type="pct"/>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1514" w:type="pct"/>
            <w:tcBorders>
              <w:top w:val="nil"/>
              <w:left w:val="nil"/>
              <w:bottom w:val="single" w:color="auto" w:sz="4" w:space="0"/>
              <w:right w:val="single" w:color="auto" w:sz="4" w:space="0"/>
            </w:tcBorders>
            <w:noWrap w:val="0"/>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[单位工程1]</w:t>
            </w:r>
          </w:p>
        </w:tc>
        <w:tc>
          <w:tcPr>
            <w:tcW w:w="540" w:type="pct"/>
            <w:tcBorders>
              <w:top w:val="nil"/>
              <w:left w:val="nil"/>
              <w:bottom w:val="single" w:color="auto" w:sz="4" w:space="0"/>
              <w:right w:val="single" w:color="auto" w:sz="4" w:space="0"/>
            </w:tcBorders>
            <w:noWrap w:val="0"/>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531" w:type="pct"/>
            <w:tcBorders>
              <w:top w:val="nil"/>
              <w:left w:val="nil"/>
              <w:bottom w:val="single" w:color="auto" w:sz="4" w:space="0"/>
              <w:right w:val="single" w:color="auto" w:sz="4" w:space="0"/>
            </w:tcBorders>
            <w:noWrap w:val="0"/>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531" w:type="pct"/>
            <w:tcBorders>
              <w:top w:val="nil"/>
              <w:left w:val="nil"/>
              <w:bottom w:val="single" w:color="auto" w:sz="4" w:space="0"/>
              <w:right w:val="single" w:color="auto" w:sz="4" w:space="0"/>
            </w:tcBorders>
            <w:noWrap w:val="0"/>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495" w:type="pct"/>
            <w:tcBorders>
              <w:top w:val="nil"/>
              <w:left w:val="nil"/>
              <w:bottom w:val="single" w:color="auto" w:sz="4" w:space="0"/>
              <w:right w:val="single" w:color="auto" w:sz="4" w:space="0"/>
            </w:tcBorders>
            <w:noWrap w:val="0"/>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69" w:type="pct"/>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600" w:hRule="atLeast"/>
        </w:trPr>
        <w:tc>
          <w:tcPr>
            <w:tcW w:w="217" w:type="pct"/>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p>
        </w:tc>
        <w:tc>
          <w:tcPr>
            <w:tcW w:w="1514" w:type="pct"/>
            <w:tcBorders>
              <w:top w:val="nil"/>
              <w:left w:val="nil"/>
              <w:bottom w:val="single" w:color="auto" w:sz="4" w:space="0"/>
              <w:right w:val="single" w:color="auto" w:sz="4" w:space="0"/>
            </w:tcBorders>
            <w:noWrap w:val="0"/>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[单位工程2]</w:t>
            </w:r>
          </w:p>
        </w:tc>
        <w:tc>
          <w:tcPr>
            <w:tcW w:w="540" w:type="pct"/>
            <w:tcBorders>
              <w:top w:val="nil"/>
              <w:left w:val="nil"/>
              <w:bottom w:val="single" w:color="auto" w:sz="4" w:space="0"/>
              <w:right w:val="single" w:color="auto" w:sz="4" w:space="0"/>
            </w:tcBorders>
            <w:noWrap w:val="0"/>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531" w:type="pct"/>
            <w:tcBorders>
              <w:top w:val="nil"/>
              <w:left w:val="nil"/>
              <w:bottom w:val="single" w:color="auto" w:sz="4" w:space="0"/>
              <w:right w:val="single" w:color="auto" w:sz="4" w:space="0"/>
            </w:tcBorders>
            <w:noWrap w:val="0"/>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531" w:type="pct"/>
            <w:tcBorders>
              <w:top w:val="nil"/>
              <w:left w:val="nil"/>
              <w:bottom w:val="single" w:color="auto" w:sz="4" w:space="0"/>
              <w:right w:val="single" w:color="auto" w:sz="4" w:space="0"/>
            </w:tcBorders>
            <w:noWrap w:val="0"/>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495" w:type="pct"/>
            <w:tcBorders>
              <w:top w:val="nil"/>
              <w:left w:val="nil"/>
              <w:bottom w:val="single" w:color="auto" w:sz="4" w:space="0"/>
              <w:right w:val="single" w:color="auto" w:sz="4" w:space="0"/>
            </w:tcBorders>
            <w:noWrap w:val="0"/>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69" w:type="pct"/>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600" w:hRule="atLeast"/>
        </w:trPr>
        <w:tc>
          <w:tcPr>
            <w:tcW w:w="217" w:type="pct"/>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tc>
        <w:tc>
          <w:tcPr>
            <w:tcW w:w="1514" w:type="pct"/>
            <w:tcBorders>
              <w:top w:val="nil"/>
              <w:left w:val="nil"/>
              <w:bottom w:val="single" w:color="auto" w:sz="4" w:space="0"/>
              <w:right w:val="single" w:color="auto" w:sz="4" w:space="0"/>
            </w:tcBorders>
            <w:noWrap w:val="0"/>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tc>
        <w:tc>
          <w:tcPr>
            <w:tcW w:w="540" w:type="pct"/>
            <w:tcBorders>
              <w:top w:val="nil"/>
              <w:left w:val="nil"/>
              <w:bottom w:val="single" w:color="auto" w:sz="4" w:space="0"/>
              <w:right w:val="single" w:color="auto" w:sz="4" w:space="0"/>
            </w:tcBorders>
            <w:noWrap w:val="0"/>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531" w:type="pct"/>
            <w:tcBorders>
              <w:top w:val="nil"/>
              <w:left w:val="nil"/>
              <w:bottom w:val="single" w:color="auto" w:sz="4" w:space="0"/>
              <w:right w:val="single" w:color="auto" w:sz="4" w:space="0"/>
            </w:tcBorders>
            <w:noWrap w:val="0"/>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531" w:type="pct"/>
            <w:tcBorders>
              <w:top w:val="nil"/>
              <w:left w:val="nil"/>
              <w:bottom w:val="single" w:color="auto" w:sz="4" w:space="0"/>
              <w:right w:val="single" w:color="auto" w:sz="4" w:space="0"/>
            </w:tcBorders>
            <w:noWrap w:val="0"/>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495" w:type="pct"/>
            <w:tcBorders>
              <w:top w:val="nil"/>
              <w:left w:val="nil"/>
              <w:bottom w:val="single" w:color="auto" w:sz="4" w:space="0"/>
              <w:right w:val="single" w:color="auto" w:sz="4" w:space="0"/>
            </w:tcBorders>
            <w:noWrap w:val="0"/>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69" w:type="pct"/>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600" w:hRule="atLeast"/>
        </w:trPr>
        <w:tc>
          <w:tcPr>
            <w:tcW w:w="217" w:type="pct"/>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tc>
        <w:tc>
          <w:tcPr>
            <w:tcW w:w="1514" w:type="pct"/>
            <w:tcBorders>
              <w:top w:val="nil"/>
              <w:left w:val="nil"/>
              <w:bottom w:val="single" w:color="auto" w:sz="4" w:space="0"/>
              <w:right w:val="single" w:color="auto" w:sz="4" w:space="0"/>
            </w:tcBorders>
            <w:noWrap w:val="0"/>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tc>
        <w:tc>
          <w:tcPr>
            <w:tcW w:w="540" w:type="pct"/>
            <w:tcBorders>
              <w:top w:val="nil"/>
              <w:left w:val="nil"/>
              <w:bottom w:val="single" w:color="auto" w:sz="4" w:space="0"/>
              <w:right w:val="single" w:color="auto" w:sz="4" w:space="0"/>
            </w:tcBorders>
            <w:noWrap w:val="0"/>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531" w:type="pct"/>
            <w:tcBorders>
              <w:top w:val="nil"/>
              <w:left w:val="nil"/>
              <w:bottom w:val="single" w:color="auto" w:sz="4" w:space="0"/>
              <w:right w:val="single" w:color="auto" w:sz="4" w:space="0"/>
            </w:tcBorders>
            <w:noWrap w:val="0"/>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531" w:type="pct"/>
            <w:tcBorders>
              <w:top w:val="nil"/>
              <w:left w:val="nil"/>
              <w:bottom w:val="single" w:color="auto" w:sz="4" w:space="0"/>
              <w:right w:val="single" w:color="auto" w:sz="4" w:space="0"/>
            </w:tcBorders>
            <w:noWrap w:val="0"/>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495" w:type="pct"/>
            <w:tcBorders>
              <w:top w:val="nil"/>
              <w:left w:val="nil"/>
              <w:bottom w:val="single" w:color="auto" w:sz="4" w:space="0"/>
              <w:right w:val="single" w:color="auto" w:sz="4" w:space="0"/>
            </w:tcBorders>
            <w:noWrap w:val="0"/>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69" w:type="pct"/>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600" w:hRule="atLeast"/>
        </w:trPr>
        <w:tc>
          <w:tcPr>
            <w:tcW w:w="217" w:type="pct"/>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tc>
        <w:tc>
          <w:tcPr>
            <w:tcW w:w="1514" w:type="pct"/>
            <w:tcBorders>
              <w:top w:val="nil"/>
              <w:left w:val="nil"/>
              <w:bottom w:val="single" w:color="auto" w:sz="4" w:space="0"/>
              <w:right w:val="single" w:color="auto" w:sz="4" w:space="0"/>
            </w:tcBorders>
            <w:noWrap w:val="0"/>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tc>
        <w:tc>
          <w:tcPr>
            <w:tcW w:w="540" w:type="pct"/>
            <w:tcBorders>
              <w:top w:val="nil"/>
              <w:left w:val="nil"/>
              <w:bottom w:val="single" w:color="auto" w:sz="4" w:space="0"/>
              <w:right w:val="single" w:color="auto" w:sz="4" w:space="0"/>
            </w:tcBorders>
            <w:noWrap w:val="0"/>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531" w:type="pct"/>
            <w:tcBorders>
              <w:top w:val="nil"/>
              <w:left w:val="nil"/>
              <w:bottom w:val="single" w:color="auto" w:sz="4" w:space="0"/>
              <w:right w:val="single" w:color="auto" w:sz="4" w:space="0"/>
            </w:tcBorders>
            <w:noWrap w:val="0"/>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531" w:type="pct"/>
            <w:tcBorders>
              <w:top w:val="nil"/>
              <w:left w:val="nil"/>
              <w:bottom w:val="single" w:color="auto" w:sz="4" w:space="0"/>
              <w:right w:val="single" w:color="auto" w:sz="4" w:space="0"/>
            </w:tcBorders>
            <w:noWrap w:val="0"/>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495" w:type="pct"/>
            <w:tcBorders>
              <w:top w:val="nil"/>
              <w:left w:val="nil"/>
              <w:bottom w:val="single" w:color="auto" w:sz="4" w:space="0"/>
              <w:right w:val="single" w:color="auto" w:sz="4" w:space="0"/>
            </w:tcBorders>
            <w:noWrap w:val="0"/>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69" w:type="pct"/>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600" w:hRule="atLeast"/>
        </w:trPr>
        <w:tc>
          <w:tcPr>
            <w:tcW w:w="217" w:type="pct"/>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n</w:t>
            </w:r>
          </w:p>
        </w:tc>
        <w:tc>
          <w:tcPr>
            <w:tcW w:w="1514" w:type="pct"/>
            <w:tcBorders>
              <w:top w:val="nil"/>
              <w:left w:val="nil"/>
              <w:bottom w:val="single" w:color="auto" w:sz="4" w:space="0"/>
              <w:right w:val="single" w:color="auto" w:sz="4" w:space="0"/>
            </w:tcBorders>
            <w:noWrap w:val="0"/>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[单位工程n]</w:t>
            </w:r>
          </w:p>
        </w:tc>
        <w:tc>
          <w:tcPr>
            <w:tcW w:w="540" w:type="pct"/>
            <w:tcBorders>
              <w:top w:val="nil"/>
              <w:left w:val="nil"/>
              <w:bottom w:val="single" w:color="auto" w:sz="4" w:space="0"/>
              <w:right w:val="single" w:color="auto" w:sz="4" w:space="0"/>
            </w:tcBorders>
            <w:noWrap w:val="0"/>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531" w:type="pct"/>
            <w:tcBorders>
              <w:top w:val="nil"/>
              <w:left w:val="nil"/>
              <w:bottom w:val="single" w:color="auto" w:sz="4" w:space="0"/>
              <w:right w:val="single" w:color="auto" w:sz="4" w:space="0"/>
            </w:tcBorders>
            <w:noWrap w:val="0"/>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531" w:type="pct"/>
            <w:tcBorders>
              <w:top w:val="nil"/>
              <w:left w:val="nil"/>
              <w:bottom w:val="single" w:color="auto" w:sz="4" w:space="0"/>
              <w:right w:val="single" w:color="auto" w:sz="4" w:space="0"/>
            </w:tcBorders>
            <w:noWrap w:val="0"/>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495" w:type="pct"/>
            <w:tcBorders>
              <w:top w:val="nil"/>
              <w:left w:val="nil"/>
              <w:bottom w:val="single" w:color="auto" w:sz="4" w:space="0"/>
              <w:right w:val="single" w:color="auto" w:sz="4" w:space="0"/>
            </w:tcBorders>
            <w:noWrap w:val="0"/>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69" w:type="pct"/>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600" w:hRule="atLeast"/>
        </w:trPr>
        <w:tc>
          <w:tcPr>
            <w:tcW w:w="217" w:type="pct"/>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tc>
        <w:tc>
          <w:tcPr>
            <w:tcW w:w="1514" w:type="pct"/>
            <w:tcBorders>
              <w:top w:val="nil"/>
              <w:left w:val="nil"/>
              <w:bottom w:val="single" w:color="auto" w:sz="4" w:space="0"/>
              <w:right w:val="single" w:color="auto" w:sz="4" w:space="0"/>
            </w:tcBorders>
            <w:noWrap w:val="0"/>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投标总报价</w:t>
            </w:r>
          </w:p>
        </w:tc>
        <w:tc>
          <w:tcPr>
            <w:tcW w:w="540" w:type="pct"/>
            <w:tcBorders>
              <w:top w:val="nil"/>
              <w:left w:val="nil"/>
              <w:bottom w:val="single" w:color="auto" w:sz="4" w:space="0"/>
              <w:right w:val="single" w:color="auto" w:sz="4" w:space="0"/>
            </w:tcBorders>
            <w:noWrap w:val="0"/>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531" w:type="pct"/>
            <w:tcBorders>
              <w:top w:val="nil"/>
              <w:left w:val="nil"/>
              <w:bottom w:val="single" w:color="auto" w:sz="4" w:space="0"/>
              <w:right w:val="single" w:color="auto" w:sz="4" w:space="0"/>
            </w:tcBorders>
            <w:noWrap w:val="0"/>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531" w:type="pct"/>
            <w:tcBorders>
              <w:top w:val="nil"/>
              <w:left w:val="nil"/>
              <w:bottom w:val="single" w:color="auto" w:sz="4" w:space="0"/>
              <w:right w:val="single" w:color="auto" w:sz="4" w:space="0"/>
              <w:tr2bl w:val="single" w:color="auto" w:sz="4" w:space="0"/>
            </w:tcBorders>
            <w:noWrap w:val="0"/>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495" w:type="pct"/>
            <w:tcBorders>
              <w:top w:val="nil"/>
              <w:left w:val="nil"/>
              <w:bottom w:val="single" w:color="auto" w:sz="4" w:space="0"/>
              <w:right w:val="single" w:color="auto" w:sz="4" w:space="0"/>
            </w:tcBorders>
            <w:noWrap w:val="0"/>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69" w:type="pct"/>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∑A=A</w:t>
            </w:r>
            <w:r>
              <w:rPr>
                <w:rFonts w:hint="eastAsia" w:ascii="宋体" w:hAnsi="宋体" w:eastAsia="宋体" w:cs="宋体"/>
                <w:color w:val="auto"/>
                <w:kern w:val="0"/>
                <w:sz w:val="24"/>
                <w:szCs w:val="24"/>
                <w:highlight w:val="none"/>
                <w:vertAlign w:val="subscript"/>
              </w:rPr>
              <w:t>1</w:t>
            </w:r>
            <w:r>
              <w:rPr>
                <w:rFonts w:hint="eastAsia" w:ascii="宋体" w:hAnsi="宋体" w:eastAsia="宋体" w:cs="宋体"/>
                <w:color w:val="auto"/>
                <w:kern w:val="0"/>
                <w:sz w:val="24"/>
                <w:szCs w:val="24"/>
                <w:highlight w:val="none"/>
              </w:rPr>
              <w:t>+A</w:t>
            </w:r>
            <w:r>
              <w:rPr>
                <w:rFonts w:hint="eastAsia" w:ascii="宋体" w:hAnsi="宋体" w:eastAsia="宋体" w:cs="宋体"/>
                <w:color w:val="auto"/>
                <w:kern w:val="0"/>
                <w:sz w:val="24"/>
                <w:szCs w:val="24"/>
                <w:highlight w:val="none"/>
                <w:vertAlign w:val="subscript"/>
              </w:rPr>
              <w:t>2</w:t>
            </w:r>
            <w:r>
              <w:rPr>
                <w:rFonts w:hint="eastAsia" w:ascii="宋体" w:hAnsi="宋体" w:eastAsia="宋体" w:cs="宋体"/>
                <w:color w:val="auto"/>
                <w:kern w:val="0"/>
                <w:sz w:val="24"/>
                <w:szCs w:val="24"/>
                <w:highlight w:val="none"/>
              </w:rPr>
              <w:t>+…An；∑B=B</w:t>
            </w:r>
            <w:r>
              <w:rPr>
                <w:rFonts w:hint="eastAsia" w:ascii="宋体" w:hAnsi="宋体" w:eastAsia="宋体" w:cs="宋体"/>
                <w:color w:val="auto"/>
                <w:kern w:val="0"/>
                <w:sz w:val="24"/>
                <w:szCs w:val="24"/>
                <w:highlight w:val="none"/>
                <w:vertAlign w:val="subscript"/>
              </w:rPr>
              <w:t>1</w:t>
            </w:r>
            <w:r>
              <w:rPr>
                <w:rFonts w:hint="eastAsia" w:ascii="宋体" w:hAnsi="宋体" w:eastAsia="宋体" w:cs="宋体"/>
                <w:color w:val="auto"/>
                <w:kern w:val="0"/>
                <w:sz w:val="24"/>
                <w:szCs w:val="24"/>
                <w:highlight w:val="none"/>
              </w:rPr>
              <w:t>+B</w:t>
            </w:r>
            <w:r>
              <w:rPr>
                <w:rFonts w:hint="eastAsia" w:ascii="宋体" w:hAnsi="宋体" w:eastAsia="宋体" w:cs="宋体"/>
                <w:color w:val="auto"/>
                <w:kern w:val="0"/>
                <w:sz w:val="24"/>
                <w:szCs w:val="24"/>
                <w:highlight w:val="none"/>
                <w:vertAlign w:val="subscript"/>
              </w:rPr>
              <w:t>2</w:t>
            </w:r>
            <w:r>
              <w:rPr>
                <w:rFonts w:hint="eastAsia" w:ascii="宋体" w:hAnsi="宋体" w:eastAsia="宋体" w:cs="宋体"/>
                <w:color w:val="auto"/>
                <w:kern w:val="0"/>
                <w:sz w:val="24"/>
                <w:szCs w:val="24"/>
                <w:highlight w:val="none"/>
              </w:rPr>
              <w:t>+…Bn</w:t>
            </w:r>
          </w:p>
        </w:tc>
      </w:tr>
    </w:tbl>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修正原则：</w:t>
      </w:r>
      <w:r>
        <w:rPr>
          <w:rFonts w:hint="eastAsia" w:ascii="宋体" w:hAnsi="宋体" w:eastAsia="宋体" w:cs="宋体"/>
          <w:color w:val="auto"/>
          <w:sz w:val="24"/>
          <w:szCs w:val="24"/>
          <w:highlight w:val="none"/>
        </w:rPr>
        <w:t>按就低不就高原则，当修正后报价小于原报价，总价按修正后报价；当修正后报价大于原报价，总价按原报价，并在签订合同时载明在结算价中扣除修正报价与原报价的差额。</w:t>
      </w:r>
      <w:r>
        <w:rPr>
          <w:rFonts w:hint="eastAsia" w:ascii="宋体" w:hAnsi="宋体" w:eastAsia="宋体" w:cs="宋体"/>
          <w:color w:val="auto"/>
          <w:kern w:val="0"/>
          <w:sz w:val="24"/>
          <w:szCs w:val="24"/>
          <w:highlight w:val="none"/>
        </w:rPr>
        <w:tab/>
      </w:r>
    </w:p>
    <w:p>
      <w:pPr>
        <w:rPr>
          <w:rFonts w:hint="eastAsia" w:ascii="宋体" w:hAnsi="宋体" w:eastAsia="宋体" w:cs="宋体"/>
          <w:color w:val="auto"/>
          <w:kern w:val="0"/>
          <w:sz w:val="24"/>
          <w:szCs w:val="24"/>
          <w:highlight w:val="none"/>
        </w:rPr>
      </w:pPr>
    </w:p>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评委签名：</w:t>
      </w:r>
      <w:r>
        <w:rPr>
          <w:rFonts w:hint="eastAsia" w:ascii="宋体" w:hAnsi="宋体" w:eastAsia="宋体" w:cs="宋体"/>
          <w:color w:val="auto"/>
          <w:kern w:val="0"/>
          <w:sz w:val="24"/>
          <w:szCs w:val="24"/>
          <w:highlight w:val="none"/>
        </w:rPr>
        <w:tab/>
      </w:r>
      <w:r>
        <w:rPr>
          <w:rFonts w:hint="eastAsia" w:ascii="宋体" w:hAnsi="宋体" w:eastAsia="宋体" w:cs="宋体"/>
          <w:color w:val="auto"/>
          <w:kern w:val="0"/>
          <w:sz w:val="24"/>
          <w:szCs w:val="24"/>
          <w:highlight w:val="none"/>
        </w:rPr>
        <w:tab/>
      </w:r>
      <w:r>
        <w:rPr>
          <w:rFonts w:hint="eastAsia" w:ascii="宋体" w:hAnsi="宋体" w:eastAsia="宋体" w:cs="宋体"/>
          <w:color w:val="auto"/>
          <w:kern w:val="0"/>
          <w:sz w:val="24"/>
          <w:szCs w:val="24"/>
          <w:highlight w:val="none"/>
        </w:rPr>
        <w:tab/>
      </w:r>
      <w:r>
        <w:rPr>
          <w:rFonts w:hint="eastAsia" w:ascii="宋体" w:hAnsi="宋体" w:eastAsia="宋体" w:cs="宋体"/>
          <w:color w:val="auto"/>
          <w:kern w:val="0"/>
          <w:sz w:val="24"/>
          <w:szCs w:val="24"/>
          <w:highlight w:val="none"/>
        </w:rPr>
        <w:tab/>
      </w:r>
      <w:r>
        <w:rPr>
          <w:rFonts w:hint="eastAsia" w:ascii="宋体" w:hAnsi="宋体" w:eastAsia="宋体" w:cs="宋体"/>
          <w:color w:val="auto"/>
          <w:kern w:val="0"/>
          <w:sz w:val="24"/>
          <w:szCs w:val="24"/>
          <w:highlight w:val="none"/>
        </w:rPr>
        <w:tab/>
      </w:r>
      <w:r>
        <w:rPr>
          <w:rFonts w:hint="eastAsia" w:ascii="宋体" w:hAnsi="宋体" w:eastAsia="宋体" w:cs="宋体"/>
          <w:color w:val="auto"/>
          <w:kern w:val="0"/>
          <w:sz w:val="24"/>
          <w:szCs w:val="24"/>
          <w:highlight w:val="none"/>
        </w:rPr>
        <w:t>日期：</w:t>
      </w:r>
    </w:p>
    <w:p>
      <w:pPr>
        <w:spacing w:line="240" w:lineRule="auto"/>
        <w:jc w:val="left"/>
        <w:rPr>
          <w:rFonts w:hint="eastAsia" w:ascii="宋体" w:hAnsi="宋体" w:eastAsia="宋体" w:cs="宋体"/>
          <w:b/>
          <w:bCs/>
          <w:color w:val="auto"/>
          <w:sz w:val="24"/>
          <w:szCs w:val="24"/>
          <w:highlight w:val="none"/>
        </w:rPr>
        <w:sectPr>
          <w:pgSz w:w="16840" w:h="11907" w:orient="landscape"/>
          <w:pgMar w:top="1418" w:right="1134" w:bottom="1418" w:left="1134" w:header="851" w:footer="992" w:gutter="0"/>
          <w:cols w:space="720" w:num="1"/>
          <w:docGrid w:type="lines" w:linePitch="312" w:charSpace="0"/>
        </w:sectPr>
      </w:pPr>
    </w:p>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算术复核表</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工程名称：</w:t>
      </w:r>
    </w:p>
    <w:tbl>
      <w:tblPr>
        <w:tblStyle w:val="2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4"/>
        <w:gridCol w:w="4485"/>
        <w:gridCol w:w="2429"/>
        <w:gridCol w:w="3233"/>
        <w:gridCol w:w="3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360"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编号</w:t>
            </w:r>
          </w:p>
        </w:tc>
        <w:tc>
          <w:tcPr>
            <w:tcW w:w="1516"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投标人名称</w:t>
            </w:r>
          </w:p>
        </w:tc>
        <w:tc>
          <w:tcPr>
            <w:tcW w:w="82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原投标报价（A）</w:t>
            </w:r>
          </w:p>
        </w:tc>
        <w:tc>
          <w:tcPr>
            <w:tcW w:w="1093"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算数复核后投标报价（B）</w:t>
            </w:r>
          </w:p>
        </w:tc>
        <w:tc>
          <w:tcPr>
            <w:tcW w:w="1207"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误差率（r=|A-B|/A*100%）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rPr>
            </w:pPr>
          </w:p>
        </w:tc>
        <w:tc>
          <w:tcPr>
            <w:tcW w:w="1516"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rPr>
            </w:pPr>
          </w:p>
        </w:tc>
        <w:tc>
          <w:tcPr>
            <w:tcW w:w="82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rPr>
            </w:pPr>
          </w:p>
        </w:tc>
        <w:tc>
          <w:tcPr>
            <w:tcW w:w="1093"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rPr>
            </w:pPr>
          </w:p>
        </w:tc>
        <w:tc>
          <w:tcPr>
            <w:tcW w:w="1207"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rPr>
            </w:pPr>
          </w:p>
        </w:tc>
        <w:tc>
          <w:tcPr>
            <w:tcW w:w="1516"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rPr>
            </w:pPr>
          </w:p>
        </w:tc>
        <w:tc>
          <w:tcPr>
            <w:tcW w:w="82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rPr>
            </w:pPr>
          </w:p>
        </w:tc>
        <w:tc>
          <w:tcPr>
            <w:tcW w:w="1093"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rPr>
            </w:pPr>
          </w:p>
        </w:tc>
        <w:tc>
          <w:tcPr>
            <w:tcW w:w="1207"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rPr>
            </w:pPr>
          </w:p>
        </w:tc>
        <w:tc>
          <w:tcPr>
            <w:tcW w:w="1516"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rPr>
            </w:pPr>
          </w:p>
        </w:tc>
        <w:tc>
          <w:tcPr>
            <w:tcW w:w="82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rPr>
            </w:pPr>
          </w:p>
        </w:tc>
        <w:tc>
          <w:tcPr>
            <w:tcW w:w="1093"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rPr>
            </w:pPr>
          </w:p>
        </w:tc>
        <w:tc>
          <w:tcPr>
            <w:tcW w:w="1207"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rPr>
            </w:pPr>
          </w:p>
        </w:tc>
        <w:tc>
          <w:tcPr>
            <w:tcW w:w="1516"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rPr>
            </w:pPr>
          </w:p>
        </w:tc>
        <w:tc>
          <w:tcPr>
            <w:tcW w:w="82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rPr>
            </w:pPr>
          </w:p>
        </w:tc>
        <w:tc>
          <w:tcPr>
            <w:tcW w:w="1093"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rPr>
            </w:pPr>
          </w:p>
        </w:tc>
        <w:tc>
          <w:tcPr>
            <w:tcW w:w="1207"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rPr>
            </w:pPr>
          </w:p>
        </w:tc>
        <w:tc>
          <w:tcPr>
            <w:tcW w:w="1516"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rPr>
            </w:pPr>
          </w:p>
        </w:tc>
        <w:tc>
          <w:tcPr>
            <w:tcW w:w="82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rPr>
            </w:pPr>
          </w:p>
        </w:tc>
        <w:tc>
          <w:tcPr>
            <w:tcW w:w="1093"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rPr>
            </w:pPr>
          </w:p>
        </w:tc>
        <w:tc>
          <w:tcPr>
            <w:tcW w:w="1207"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rPr>
            </w:pPr>
          </w:p>
        </w:tc>
        <w:tc>
          <w:tcPr>
            <w:tcW w:w="1516"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rPr>
            </w:pPr>
          </w:p>
        </w:tc>
        <w:tc>
          <w:tcPr>
            <w:tcW w:w="82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rPr>
            </w:pPr>
          </w:p>
        </w:tc>
        <w:tc>
          <w:tcPr>
            <w:tcW w:w="1093"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rPr>
            </w:pPr>
          </w:p>
        </w:tc>
        <w:tc>
          <w:tcPr>
            <w:tcW w:w="1207"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rPr>
            </w:pPr>
          </w:p>
        </w:tc>
        <w:tc>
          <w:tcPr>
            <w:tcW w:w="1516"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rPr>
            </w:pPr>
          </w:p>
        </w:tc>
        <w:tc>
          <w:tcPr>
            <w:tcW w:w="82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rPr>
            </w:pPr>
          </w:p>
        </w:tc>
        <w:tc>
          <w:tcPr>
            <w:tcW w:w="1093"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rPr>
            </w:pPr>
          </w:p>
        </w:tc>
        <w:tc>
          <w:tcPr>
            <w:tcW w:w="1207"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rPr>
            </w:pPr>
          </w:p>
        </w:tc>
        <w:tc>
          <w:tcPr>
            <w:tcW w:w="1516"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rPr>
            </w:pPr>
          </w:p>
        </w:tc>
        <w:tc>
          <w:tcPr>
            <w:tcW w:w="82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rPr>
            </w:pPr>
          </w:p>
        </w:tc>
        <w:tc>
          <w:tcPr>
            <w:tcW w:w="1093"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rPr>
            </w:pPr>
          </w:p>
        </w:tc>
        <w:tc>
          <w:tcPr>
            <w:tcW w:w="1207"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rPr>
            </w:pPr>
          </w:p>
        </w:tc>
      </w:tr>
    </w:tbl>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评委签名：</w:t>
      </w:r>
    </w:p>
    <w:p>
      <w:pPr>
        <w:spacing w:line="240" w:lineRule="auto"/>
        <w:jc w:val="left"/>
        <w:rPr>
          <w:rFonts w:hint="eastAsia" w:ascii="宋体" w:hAnsi="宋体" w:eastAsia="宋体" w:cs="宋体"/>
          <w:b/>
          <w:bCs/>
          <w:color w:val="auto"/>
          <w:sz w:val="24"/>
          <w:szCs w:val="24"/>
          <w:highlight w:val="none"/>
        </w:rPr>
        <w:sectPr>
          <w:pgSz w:w="16840" w:h="11907" w:orient="landscape"/>
          <w:pgMar w:top="1418" w:right="1134" w:bottom="1418" w:left="1134" w:header="851" w:footer="992" w:gutter="0"/>
          <w:cols w:space="720" w:num="1"/>
          <w:docGrid w:type="lines" w:linePitch="312" w:charSpace="0"/>
        </w:sectPr>
      </w:pPr>
    </w:p>
    <w:p>
      <w:pPr>
        <w:pStyle w:val="3"/>
        <w:pageBreakBefore w:val="0"/>
        <w:kinsoku/>
        <w:overflowPunct/>
        <w:bidi w:val="0"/>
        <w:snapToGrid w:val="0"/>
        <w:spacing w:before="0" w:beforeAutospacing="0" w:after="0" w:afterAutospacing="0" w:line="360" w:lineRule="auto"/>
        <w:jc w:val="center"/>
        <w:rPr>
          <w:rFonts w:hint="eastAsia" w:ascii="宋体" w:hAnsi="宋体" w:eastAsia="宋体" w:cs="宋体"/>
          <w:b/>
          <w:bCs w:val="0"/>
          <w:color w:val="auto"/>
          <w:sz w:val="44"/>
          <w:szCs w:val="44"/>
          <w:highlight w:val="none"/>
        </w:rPr>
      </w:pPr>
      <w:bookmarkStart w:id="27" w:name="_Toc504053942"/>
      <w:bookmarkStart w:id="28" w:name="_Toc500249621"/>
      <w:bookmarkStart w:id="29" w:name="_Toc504659100"/>
      <w:r>
        <w:rPr>
          <w:rFonts w:hint="eastAsia" w:ascii="宋体" w:hAnsi="宋体" w:eastAsia="宋体" w:cs="宋体"/>
          <w:color w:val="auto"/>
          <w:highlight w:val="none"/>
        </w:rPr>
        <w:t xml:space="preserve">            </w:t>
      </w:r>
      <w:r>
        <w:rPr>
          <w:rFonts w:hint="eastAsia" w:ascii="宋体" w:hAnsi="宋体" w:eastAsia="宋体" w:cs="宋体"/>
          <w:b/>
          <w:bCs w:val="0"/>
          <w:color w:val="auto"/>
          <w:sz w:val="44"/>
          <w:szCs w:val="44"/>
          <w:highlight w:val="none"/>
        </w:rPr>
        <w:t xml:space="preserve">  </w:t>
      </w:r>
      <w:bookmarkEnd w:id="27"/>
      <w:bookmarkEnd w:id="28"/>
      <w:bookmarkEnd w:id="29"/>
      <w:bookmarkStart w:id="30" w:name="_Toc5789"/>
      <w:r>
        <w:rPr>
          <w:rFonts w:hint="eastAsia"/>
          <w:color w:val="auto"/>
          <w:highlight w:val="none"/>
        </w:rPr>
        <w:drawing>
          <wp:anchor distT="0" distB="0" distL="114300" distR="114300" simplePos="0" relativeHeight="251659264" behindDoc="0" locked="0" layoutInCell="1" allowOverlap="1">
            <wp:simplePos x="0" y="0"/>
            <wp:positionH relativeFrom="column">
              <wp:posOffset>3941445</wp:posOffset>
            </wp:positionH>
            <wp:positionV relativeFrom="paragraph">
              <wp:posOffset>134620</wp:posOffset>
            </wp:positionV>
            <wp:extent cx="2236470" cy="1798955"/>
            <wp:effectExtent l="0" t="0" r="11430" b="10795"/>
            <wp:wrapSquare wrapText="bothSides"/>
            <wp:docPr id="1" name="图片 10" descr="C:\Users\lanxing\Desktop\93b1542184114cf8b316f10d4b2d5c42.png93b1542184114cf8b316f10d4b2d5c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C:\Users\lanxing\Desktop\93b1542184114cf8b316f10d4b2d5c42.png93b1542184114cf8b316f10d4b2d5c42"/>
                    <pic:cNvPicPr>
                      <a:picLocks noChangeAspect="1"/>
                    </pic:cNvPicPr>
                  </pic:nvPicPr>
                  <pic:blipFill>
                    <a:blip r:embed="rId22"/>
                    <a:stretch>
                      <a:fillRect/>
                    </a:stretch>
                  </pic:blipFill>
                  <pic:spPr>
                    <a:xfrm>
                      <a:off x="0" y="0"/>
                      <a:ext cx="2236470" cy="1798955"/>
                    </a:xfrm>
                    <a:prstGeom prst="rect">
                      <a:avLst/>
                    </a:prstGeom>
                    <a:noFill/>
                    <a:ln>
                      <a:noFill/>
                    </a:ln>
                  </pic:spPr>
                </pic:pic>
              </a:graphicData>
            </a:graphic>
          </wp:anchor>
        </w:drawing>
      </w:r>
      <w:r>
        <w:rPr>
          <w:rFonts w:hint="eastAsia" w:ascii="宋体" w:hAnsi="宋体" w:eastAsia="宋体" w:cs="宋体"/>
          <w:b/>
          <w:bCs w:val="0"/>
          <w:color w:val="auto"/>
          <w:sz w:val="44"/>
          <w:szCs w:val="44"/>
          <w:highlight w:val="none"/>
        </w:rPr>
        <w:t>第三章  合同条款</w:t>
      </w:r>
      <w:bookmarkEnd w:id="30"/>
    </w:p>
    <w:p>
      <w:pPr>
        <w:ind w:firstLine="420" w:firstLineChars="200"/>
        <w:rPr>
          <w:color w:val="auto"/>
          <w:highlight w:val="none"/>
        </w:rPr>
      </w:pPr>
    </w:p>
    <w:p>
      <w:pPr>
        <w:rPr>
          <w:color w:val="auto"/>
          <w:highlight w:val="none"/>
        </w:rPr>
      </w:pPr>
    </w:p>
    <w:p>
      <w:pPr>
        <w:ind w:firstLine="420" w:firstLineChars="200"/>
        <w:rPr>
          <w:color w:val="auto"/>
          <w:highlight w:val="none"/>
        </w:rPr>
      </w:pPr>
    </w:p>
    <w:p>
      <w:pPr>
        <w:ind w:firstLine="420" w:firstLineChars="200"/>
        <w:rPr>
          <w:color w:val="auto"/>
          <w:highlight w:val="none"/>
        </w:rPr>
      </w:pPr>
      <w:r>
        <w:rPr>
          <w:color w:val="auto"/>
          <w:highlight w:val="none"/>
        </w:rPr>
        <w:drawing>
          <wp:inline distT="0" distB="0" distL="114300" distR="114300">
            <wp:extent cx="2497455" cy="259715"/>
            <wp:effectExtent l="0" t="0" r="17145" b="6985"/>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pic:cNvPicPr>
                  </pic:nvPicPr>
                  <pic:blipFill>
                    <a:blip r:embed="rId23"/>
                    <a:stretch>
                      <a:fillRect/>
                    </a:stretch>
                  </pic:blipFill>
                  <pic:spPr>
                    <a:xfrm>
                      <a:off x="0" y="0"/>
                      <a:ext cx="2497455" cy="259715"/>
                    </a:xfrm>
                    <a:prstGeom prst="rect">
                      <a:avLst/>
                    </a:prstGeom>
                    <a:noFill/>
                    <a:ln>
                      <a:noFill/>
                    </a:ln>
                  </pic:spPr>
                </pic:pic>
              </a:graphicData>
            </a:graphic>
          </wp:inline>
        </w:drawing>
      </w:r>
    </w:p>
    <w:p>
      <w:pPr>
        <w:ind w:firstLine="8400" w:firstLineChars="3500"/>
        <w:rPr>
          <w:color w:val="auto"/>
          <w:sz w:val="24"/>
          <w:highlight w:val="none"/>
        </w:rPr>
      </w:pPr>
      <w:r>
        <w:rPr>
          <w:rFonts w:hint="eastAsia"/>
          <w:color w:val="auto"/>
          <w:sz w:val="24"/>
          <w:highlight w:val="none"/>
        </w:rPr>
        <w:t xml:space="preserve">                            </w:t>
      </w:r>
    </w:p>
    <w:p>
      <w:pPr>
        <w:tabs>
          <w:tab w:val="left" w:pos="870"/>
        </w:tabs>
        <w:ind w:firstLine="240" w:firstLineChars="100"/>
        <w:rPr>
          <w:color w:val="auto"/>
          <w:sz w:val="24"/>
          <w:highlight w:val="none"/>
        </w:rPr>
      </w:pPr>
      <w:r>
        <w:rPr>
          <w:color w:val="auto"/>
          <w:sz w:val="24"/>
          <w:highlight w:val="none"/>
        </w:rPr>
        <w:drawing>
          <wp:anchor distT="0" distB="0" distL="114300" distR="114300" simplePos="0" relativeHeight="251662336" behindDoc="1" locked="0" layoutInCell="1" allowOverlap="0">
            <wp:simplePos x="0" y="0"/>
            <wp:positionH relativeFrom="column">
              <wp:posOffset>371475</wp:posOffset>
            </wp:positionH>
            <wp:positionV relativeFrom="paragraph">
              <wp:posOffset>39370</wp:posOffset>
            </wp:positionV>
            <wp:extent cx="790575" cy="161925"/>
            <wp:effectExtent l="0" t="0" r="9525" b="9525"/>
            <wp:wrapTight wrapText="bothSides">
              <wp:wrapPolygon>
                <wp:start x="16655" y="0"/>
                <wp:lineTo x="3123" y="0"/>
                <wp:lineTo x="0" y="2372"/>
                <wp:lineTo x="520" y="18974"/>
                <wp:lineTo x="21340" y="18974"/>
                <wp:lineTo x="21340" y="9487"/>
                <wp:lineTo x="18737" y="0"/>
                <wp:lineTo x="16655" y="0"/>
              </wp:wrapPolygon>
            </wp:wrapTight>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pic:cNvPicPr>
                  </pic:nvPicPr>
                  <pic:blipFill>
                    <a:blip r:embed="rId24"/>
                    <a:stretch>
                      <a:fillRect/>
                    </a:stretch>
                  </pic:blipFill>
                  <pic:spPr>
                    <a:xfrm>
                      <a:off x="0" y="0"/>
                      <a:ext cx="790575" cy="161925"/>
                    </a:xfrm>
                    <a:prstGeom prst="rect">
                      <a:avLst/>
                    </a:prstGeom>
                    <a:noFill/>
                    <a:ln>
                      <a:noFill/>
                    </a:ln>
                  </pic:spPr>
                </pic:pic>
              </a:graphicData>
            </a:graphic>
          </wp:anchor>
        </w:drawing>
      </w:r>
      <w:r>
        <w:rPr>
          <w:rFonts w:hint="eastAsia"/>
          <w:color w:val="auto"/>
          <w:sz w:val="24"/>
          <w:highlight w:val="none"/>
        </w:rPr>
        <w:t>穗开建管施[2023]  号 /                /</w:t>
      </w:r>
    </w:p>
    <w:p>
      <w:pPr>
        <w:rPr>
          <w:rFonts w:ascii="方正大标宋简体" w:eastAsia="方正大标宋简体"/>
          <w:color w:val="auto"/>
          <w:sz w:val="28"/>
          <w:szCs w:val="28"/>
          <w:highlight w:val="none"/>
        </w:rPr>
      </w:pPr>
      <w:r>
        <w:rPr>
          <w:rFonts w:hint="eastAsia" w:ascii="方正大标宋简体" w:eastAsia="方正大标宋简体"/>
          <w:color w:val="auto"/>
          <w:sz w:val="28"/>
          <w:szCs w:val="28"/>
          <w:highlight w:val="none"/>
        </w:rPr>
        <w:t xml:space="preserve"> </w:t>
      </w:r>
    </w:p>
    <w:p>
      <w:pPr>
        <w:ind w:firstLine="840" w:firstLineChars="400"/>
        <w:rPr>
          <w:color w:val="auto"/>
          <w:highlight w:val="none"/>
        </w:rPr>
      </w:pPr>
      <w:r>
        <w:rPr>
          <w:rFonts w:hint="eastAsia"/>
          <w:color w:val="auto"/>
          <w:highlight w:val="none"/>
        </w:rPr>
        <w:drawing>
          <wp:anchor distT="0" distB="0" distL="114300" distR="114300" simplePos="0" relativeHeight="251660288" behindDoc="0" locked="0" layoutInCell="1" allowOverlap="1">
            <wp:simplePos x="0" y="0"/>
            <wp:positionH relativeFrom="column">
              <wp:posOffset>171450</wp:posOffset>
            </wp:positionH>
            <wp:positionV relativeFrom="paragraph">
              <wp:posOffset>200660</wp:posOffset>
            </wp:positionV>
            <wp:extent cx="5295900" cy="590550"/>
            <wp:effectExtent l="0" t="0" r="0" b="0"/>
            <wp:wrapSquare wrapText="bothSides"/>
            <wp:docPr id="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pic:cNvPicPr>
                      <a:picLocks noChangeAspect="1"/>
                    </pic:cNvPicPr>
                  </pic:nvPicPr>
                  <pic:blipFill>
                    <a:blip r:embed="rId25"/>
                    <a:stretch>
                      <a:fillRect/>
                    </a:stretch>
                  </pic:blipFill>
                  <pic:spPr>
                    <a:xfrm>
                      <a:off x="0" y="0"/>
                      <a:ext cx="5295900" cy="590550"/>
                    </a:xfrm>
                    <a:prstGeom prst="rect">
                      <a:avLst/>
                    </a:prstGeom>
                    <a:noFill/>
                    <a:ln>
                      <a:noFill/>
                    </a:ln>
                  </pic:spPr>
                </pic:pic>
              </a:graphicData>
            </a:graphic>
          </wp:anchor>
        </w:drawing>
      </w:r>
    </w:p>
    <w:p>
      <w:pPr>
        <w:ind w:firstLine="840" w:firstLineChars="400"/>
        <w:rPr>
          <w:color w:val="auto"/>
          <w:highlight w:val="none"/>
        </w:rPr>
      </w:pPr>
      <w:r>
        <w:rPr>
          <w:rFonts w:hint="eastAsia"/>
          <w:color w:val="auto"/>
          <w:highlight w:val="none"/>
        </w:rPr>
        <w:t xml:space="preserve">                                                              </w:t>
      </w:r>
    </w:p>
    <w:p>
      <w:pPr>
        <w:snapToGrid/>
        <w:spacing w:line="240" w:lineRule="auto"/>
        <w:ind w:left="0" w:leftChars="0" w:firstLine="840" w:firstLineChars="400"/>
        <w:jc w:val="left"/>
        <w:rPr>
          <w:rFonts w:ascii="宋体" w:hAnsi="宋体"/>
          <w:color w:val="auto"/>
          <w:highlight w:val="none"/>
        </w:rPr>
      </w:pPr>
      <w:r>
        <w:rPr>
          <w:rFonts w:hint="eastAsia"/>
          <w:color w:val="auto"/>
          <w:highlight w:val="none"/>
        </w:rPr>
        <w:t xml:space="preserve">                    </w:t>
      </w:r>
    </w:p>
    <w:p>
      <w:pPr>
        <w:snapToGrid w:val="0"/>
        <w:spacing w:line="440" w:lineRule="exact"/>
        <w:ind w:left="-197" w:leftChars="-94"/>
        <w:jc w:val="center"/>
        <w:rPr>
          <w:rFonts w:ascii="宋体" w:hAnsi="宋体"/>
          <w:color w:val="auto"/>
          <w:highlight w:val="none"/>
        </w:rPr>
      </w:pPr>
    </w:p>
    <w:p>
      <w:pPr>
        <w:snapToGrid w:val="0"/>
        <w:spacing w:line="440" w:lineRule="exact"/>
        <w:ind w:left="-197" w:leftChars="-94"/>
        <w:jc w:val="center"/>
        <w:rPr>
          <w:rFonts w:ascii="宋体" w:hAnsi="宋体"/>
          <w:color w:val="auto"/>
          <w:highlight w:val="none"/>
        </w:rPr>
      </w:pPr>
    </w:p>
    <w:p>
      <w:pPr>
        <w:spacing w:line="480" w:lineRule="exact"/>
        <w:ind w:firstLine="1120" w:firstLineChars="400"/>
        <w:rPr>
          <w:rFonts w:hint="eastAsia" w:ascii="方正大标宋简体" w:hAnsi="仿宋" w:eastAsia="方正大标宋简体"/>
          <w:color w:val="auto"/>
          <w:sz w:val="28"/>
          <w:szCs w:val="28"/>
          <w:highlight w:val="none"/>
          <w:u w:val="single"/>
        </w:rPr>
      </w:pPr>
      <w:r>
        <w:rPr>
          <w:rFonts w:hint="eastAsia" w:ascii="仿宋_GB2312" w:hAnsi="仿宋" w:eastAsia="仿宋_GB2312"/>
          <w:color w:val="auto"/>
          <w:sz w:val="28"/>
          <w:szCs w:val="28"/>
          <w:highlight w:val="none"/>
        </w:rPr>
        <w:t>项目名称：</w:t>
      </w:r>
      <w:r>
        <w:rPr>
          <w:rFonts w:hint="eastAsia" w:ascii="方正大标宋简体" w:hAnsi="仿宋" w:eastAsia="方正大标宋简体"/>
          <w:color w:val="auto"/>
          <w:sz w:val="28"/>
          <w:szCs w:val="28"/>
          <w:highlight w:val="none"/>
          <w:u w:val="single"/>
        </w:rPr>
        <w:t xml:space="preserve">                                       </w:t>
      </w:r>
    </w:p>
    <w:p>
      <w:pPr>
        <w:spacing w:line="480" w:lineRule="exact"/>
        <w:ind w:firstLine="1120" w:firstLineChars="400"/>
        <w:rPr>
          <w:rFonts w:ascii="方正大标宋简体" w:hAnsi="仿宋" w:eastAsia="方正大标宋简体"/>
          <w:color w:val="auto"/>
          <w:sz w:val="28"/>
          <w:szCs w:val="28"/>
          <w:highlight w:val="none"/>
          <w:u w:val="single"/>
        </w:rPr>
      </w:pPr>
      <w:r>
        <w:rPr>
          <w:rFonts w:hint="eastAsia" w:ascii="仿宋_GB2312" w:hAnsi="仿宋" w:eastAsia="仿宋_GB2312"/>
          <w:color w:val="auto"/>
          <w:sz w:val="28"/>
          <w:szCs w:val="28"/>
          <w:highlight w:val="none"/>
        </w:rPr>
        <w:t xml:space="preserve">发包人（甲方）： </w:t>
      </w:r>
      <w:r>
        <w:rPr>
          <w:rFonts w:hint="eastAsia" w:ascii="方正大标宋简体" w:hAnsi="仿宋" w:eastAsia="方正大标宋简体"/>
          <w:color w:val="auto"/>
          <w:sz w:val="28"/>
          <w:szCs w:val="28"/>
          <w:highlight w:val="none"/>
          <w:u w:val="single"/>
        </w:rPr>
        <w:t xml:space="preserve">广州开发区财政投资建设项目管理中心      </w:t>
      </w:r>
    </w:p>
    <w:p>
      <w:pPr>
        <w:snapToGrid w:val="0"/>
        <w:spacing w:line="440" w:lineRule="exact"/>
        <w:ind w:firstLine="1120" w:firstLineChars="400"/>
        <w:rPr>
          <w:rFonts w:ascii="方正大标宋简体" w:hAnsi="宋体" w:eastAsia="方正大标宋简体"/>
          <w:color w:val="auto"/>
          <w:sz w:val="28"/>
          <w:szCs w:val="28"/>
          <w:highlight w:val="none"/>
          <w:u w:val="single"/>
        </w:rPr>
      </w:pPr>
      <w:r>
        <w:rPr>
          <w:rFonts w:hint="eastAsia" w:ascii="仿宋_GB2312" w:hAnsi="仿宋" w:eastAsia="仿宋_GB2312"/>
          <w:color w:val="auto"/>
          <w:sz w:val="28"/>
          <w:szCs w:val="28"/>
          <w:highlight w:val="none"/>
        </w:rPr>
        <w:t>承包人（乙方）：</w:t>
      </w:r>
      <w:r>
        <w:rPr>
          <w:rFonts w:hint="eastAsia" w:ascii="方正大标宋简体" w:hAnsi="宋体" w:eastAsia="方正大标宋简体"/>
          <w:color w:val="auto"/>
          <w:sz w:val="28"/>
          <w:szCs w:val="28"/>
          <w:highlight w:val="none"/>
          <w:u w:val="single"/>
        </w:rPr>
        <w:t xml:space="preserve">                                         </w:t>
      </w:r>
    </w:p>
    <w:p>
      <w:pPr>
        <w:spacing w:line="480" w:lineRule="exact"/>
        <w:ind w:firstLine="1120" w:firstLineChars="400"/>
        <w:rPr>
          <w:rFonts w:hint="eastAsia" w:ascii="方正大标宋简体" w:hAnsi="仿宋" w:eastAsia="方正大标宋简体"/>
          <w:color w:val="auto"/>
          <w:sz w:val="28"/>
          <w:szCs w:val="28"/>
          <w:highlight w:val="none"/>
          <w:u w:val="single"/>
        </w:rPr>
      </w:pPr>
      <w:r>
        <w:rPr>
          <w:rFonts w:hint="eastAsia" w:ascii="仿宋_GB2312" w:hAnsi="仿宋" w:eastAsia="仿宋_GB2312"/>
          <w:color w:val="auto"/>
          <w:sz w:val="28"/>
          <w:szCs w:val="28"/>
          <w:highlight w:val="none"/>
        </w:rPr>
        <w:t>合同签订日期：</w:t>
      </w:r>
      <w:r>
        <w:rPr>
          <w:rFonts w:hint="eastAsia" w:ascii="仿宋_GB2312" w:hAnsi="仿宋" w:eastAsia="仿宋_GB2312"/>
          <w:color w:val="auto"/>
          <w:sz w:val="28"/>
          <w:szCs w:val="28"/>
          <w:highlight w:val="none"/>
          <w:u w:val="single"/>
        </w:rPr>
        <w:t xml:space="preserve">     </w:t>
      </w:r>
      <w:r>
        <w:rPr>
          <w:rFonts w:hint="eastAsia" w:ascii="方正大标宋简体" w:hAnsi="仿宋" w:eastAsia="方正大标宋简体"/>
          <w:color w:val="auto"/>
          <w:sz w:val="28"/>
          <w:szCs w:val="28"/>
          <w:highlight w:val="none"/>
          <w:u w:val="single"/>
        </w:rPr>
        <w:t>202</w:t>
      </w:r>
      <w:r>
        <w:rPr>
          <w:rFonts w:hint="eastAsia" w:ascii="方正大标宋简体" w:hAnsi="仿宋" w:eastAsia="方正大标宋简体"/>
          <w:color w:val="auto"/>
          <w:sz w:val="28"/>
          <w:szCs w:val="28"/>
          <w:highlight w:val="none"/>
          <w:u w:val="single"/>
          <w:lang w:val="en-US" w:eastAsia="zh-CN"/>
        </w:rPr>
        <w:t>4</w:t>
      </w:r>
      <w:r>
        <w:rPr>
          <w:rFonts w:hint="eastAsia" w:ascii="方正大标宋简体" w:hAnsi="仿宋" w:eastAsia="方正大标宋简体"/>
          <w:color w:val="auto"/>
          <w:sz w:val="28"/>
          <w:szCs w:val="28"/>
          <w:highlight w:val="none"/>
          <w:u w:val="single"/>
        </w:rPr>
        <w:t xml:space="preserve">年  月    日         </w:t>
      </w:r>
    </w:p>
    <w:p>
      <w:pPr>
        <w:spacing w:line="480" w:lineRule="exact"/>
        <w:ind w:firstLine="1120" w:firstLineChars="400"/>
        <w:rPr>
          <w:rFonts w:ascii="方正大标宋简体" w:hAnsi="仿宋" w:eastAsia="方正大标宋简体"/>
          <w:color w:val="auto"/>
          <w:sz w:val="28"/>
          <w:szCs w:val="28"/>
          <w:highlight w:val="none"/>
          <w:u w:val="single"/>
        </w:rPr>
      </w:pPr>
      <w:r>
        <w:rPr>
          <w:rFonts w:hint="eastAsia" w:ascii="仿宋_GB2312" w:hAnsi="仿宋" w:eastAsia="仿宋_GB2312"/>
          <w:color w:val="auto"/>
          <w:sz w:val="28"/>
          <w:szCs w:val="28"/>
          <w:highlight w:val="none"/>
        </w:rPr>
        <w:t>签订地点：</w:t>
      </w:r>
      <w:r>
        <w:rPr>
          <w:rFonts w:hint="eastAsia" w:ascii="仿宋_GB2312" w:hAnsi="仿宋" w:eastAsia="仿宋_GB2312"/>
          <w:color w:val="auto"/>
          <w:sz w:val="28"/>
          <w:szCs w:val="28"/>
          <w:highlight w:val="none"/>
          <w:u w:val="single"/>
        </w:rPr>
        <w:t xml:space="preserve">           </w:t>
      </w:r>
      <w:r>
        <w:rPr>
          <w:rFonts w:hint="eastAsia" w:ascii="方正大标宋简体" w:hAnsi="仿宋" w:eastAsia="方正大标宋简体"/>
          <w:color w:val="auto"/>
          <w:sz w:val="28"/>
          <w:szCs w:val="28"/>
          <w:highlight w:val="none"/>
          <w:u w:val="single"/>
        </w:rPr>
        <w:t xml:space="preserve">广州市黄埔区           </w:t>
      </w:r>
    </w:p>
    <w:p>
      <w:pPr>
        <w:spacing w:line="480" w:lineRule="exact"/>
        <w:jc w:val="center"/>
        <w:rPr>
          <w:rFonts w:ascii="宋体" w:hAnsi="宋体"/>
          <w:color w:val="auto"/>
          <w:highlight w:val="none"/>
        </w:rPr>
      </w:pPr>
      <w:r>
        <w:rPr>
          <w:color w:val="auto"/>
          <w:highlight w:val="none"/>
        </w:rPr>
        <w:drawing>
          <wp:anchor distT="0" distB="0" distL="114300" distR="114300" simplePos="0" relativeHeight="251661312" behindDoc="0" locked="0" layoutInCell="1" allowOverlap="0">
            <wp:simplePos x="0" y="0"/>
            <wp:positionH relativeFrom="column">
              <wp:align>center</wp:align>
            </wp:positionH>
            <wp:positionV relativeFrom="paragraph">
              <wp:posOffset>742950</wp:posOffset>
            </wp:positionV>
            <wp:extent cx="7562850" cy="2633980"/>
            <wp:effectExtent l="0" t="0" r="0" b="13970"/>
            <wp:wrapSquare wrapText="bothSides"/>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26"/>
                    <a:stretch>
                      <a:fillRect/>
                    </a:stretch>
                  </pic:blipFill>
                  <pic:spPr>
                    <a:xfrm>
                      <a:off x="0" y="0"/>
                      <a:ext cx="7562850" cy="2633980"/>
                    </a:xfrm>
                    <a:prstGeom prst="rect">
                      <a:avLst/>
                    </a:prstGeom>
                    <a:noFill/>
                    <a:ln>
                      <a:noFill/>
                    </a:ln>
                  </pic:spPr>
                </pic:pic>
              </a:graphicData>
            </a:graphic>
          </wp:anchor>
        </w:drawing>
      </w:r>
    </w:p>
    <w:p>
      <w:pPr>
        <w:snapToGrid w:val="0"/>
        <w:spacing w:line="440" w:lineRule="exact"/>
        <w:ind w:left="-197" w:leftChars="-94"/>
        <w:jc w:val="center"/>
        <w:rPr>
          <w:rFonts w:ascii="宋体" w:hAnsi="宋体"/>
          <w:color w:val="auto"/>
          <w:highlight w:val="none"/>
        </w:rPr>
        <w:sectPr>
          <w:headerReference r:id="rId12" w:type="first"/>
          <w:footerReference r:id="rId15" w:type="first"/>
          <w:headerReference r:id="rId10" w:type="default"/>
          <w:footerReference r:id="rId13" w:type="default"/>
          <w:headerReference r:id="rId11" w:type="even"/>
          <w:footerReference r:id="rId14" w:type="even"/>
          <w:pgSz w:w="11906" w:h="16838"/>
          <w:pgMar w:top="1440" w:right="1440" w:bottom="1440" w:left="1440" w:header="4" w:footer="851" w:gutter="284"/>
          <w:cols w:space="720" w:num="1"/>
          <w:docGrid w:type="lines" w:linePitch="408" w:charSpace="0"/>
        </w:sectPr>
      </w:pPr>
    </w:p>
    <w:p>
      <w:pPr>
        <w:snapToGrid w:val="0"/>
        <w:spacing w:line="440" w:lineRule="exact"/>
        <w:jc w:val="center"/>
        <w:rPr>
          <w:rFonts w:ascii="宋体" w:hAnsi="宋体"/>
          <w:b/>
          <w:bCs/>
          <w:color w:val="auto"/>
          <w:sz w:val="28"/>
          <w:szCs w:val="28"/>
          <w:highlight w:val="none"/>
        </w:rPr>
      </w:pPr>
      <w:r>
        <w:rPr>
          <w:rFonts w:hint="eastAsia" w:ascii="宋体" w:hAnsi="宋体"/>
          <w:b/>
          <w:color w:val="auto"/>
          <w:sz w:val="28"/>
          <w:szCs w:val="28"/>
          <w:highlight w:val="none"/>
        </w:rPr>
        <w:t>第一部分</w:t>
      </w:r>
      <w:r>
        <w:rPr>
          <w:rFonts w:ascii="宋体" w:hAnsi="宋体"/>
          <w:b/>
          <w:color w:val="auto"/>
          <w:sz w:val="28"/>
          <w:szCs w:val="28"/>
          <w:highlight w:val="none"/>
        </w:rPr>
        <w:t xml:space="preserve">   </w:t>
      </w:r>
      <w:r>
        <w:rPr>
          <w:rFonts w:hint="eastAsia" w:ascii="宋体" w:hAnsi="宋体"/>
          <w:b/>
          <w:color w:val="auto"/>
          <w:sz w:val="28"/>
          <w:szCs w:val="28"/>
          <w:highlight w:val="none"/>
        </w:rPr>
        <w:t>协议书</w:t>
      </w:r>
    </w:p>
    <w:p>
      <w:pPr>
        <w:snapToGrid w:val="0"/>
        <w:spacing w:line="440" w:lineRule="exact"/>
        <w:ind w:firstLine="480"/>
        <w:rPr>
          <w:rFonts w:ascii="宋体" w:hAnsi="宋体"/>
          <w:color w:val="auto"/>
          <w:sz w:val="24"/>
          <w:highlight w:val="none"/>
          <w:u w:val="single"/>
        </w:rPr>
      </w:pPr>
      <w:r>
        <w:rPr>
          <w:rFonts w:hint="eastAsia" w:ascii="宋体" w:hAnsi="宋体"/>
          <w:color w:val="auto"/>
          <w:sz w:val="24"/>
          <w:highlight w:val="none"/>
        </w:rPr>
        <w:t>发包人（甲方）：</w:t>
      </w:r>
      <w:r>
        <w:rPr>
          <w:rFonts w:ascii="宋体" w:hAnsi="宋体"/>
          <w:color w:val="auto"/>
          <w:sz w:val="24"/>
          <w:highlight w:val="none"/>
          <w:u w:val="single"/>
        </w:rPr>
        <w:t xml:space="preserve">                             </w:t>
      </w:r>
      <w:r>
        <w:rPr>
          <w:rFonts w:hint="eastAsia" w:ascii="宋体" w:hAnsi="宋体"/>
          <w:color w:val="auto"/>
          <w:sz w:val="24"/>
          <w:highlight w:val="none"/>
        </w:rPr>
        <w:t>。</w:t>
      </w:r>
    </w:p>
    <w:p>
      <w:pPr>
        <w:snapToGrid w:val="0"/>
        <w:spacing w:line="440" w:lineRule="exact"/>
        <w:ind w:firstLine="480"/>
        <w:rPr>
          <w:rFonts w:ascii="宋体" w:hAnsi="宋体"/>
          <w:color w:val="auto"/>
          <w:sz w:val="24"/>
          <w:highlight w:val="none"/>
          <w:u w:val="single"/>
        </w:rPr>
      </w:pPr>
      <w:r>
        <w:rPr>
          <w:rFonts w:hint="eastAsia" w:ascii="宋体" w:hAnsi="宋体"/>
          <w:color w:val="auto"/>
          <w:sz w:val="24"/>
          <w:highlight w:val="none"/>
        </w:rPr>
        <w:t>承包人（乙方）：</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rPr>
        <w:t>。</w:t>
      </w:r>
    </w:p>
    <w:p>
      <w:pPr>
        <w:pStyle w:val="49"/>
        <w:snapToGrid w:val="0"/>
        <w:spacing w:line="440" w:lineRule="exact"/>
        <w:rPr>
          <w:rFonts w:ascii="宋体" w:hAnsi="宋体"/>
          <w:color w:val="auto"/>
          <w:szCs w:val="24"/>
          <w:highlight w:val="none"/>
        </w:rPr>
      </w:pPr>
      <w:r>
        <w:rPr>
          <w:rFonts w:hint="eastAsia" w:ascii="宋体" w:hAnsi="宋体"/>
          <w:color w:val="auto"/>
          <w:szCs w:val="24"/>
          <w:highlight w:val="none"/>
        </w:rPr>
        <w:t>依照《中华人民共和国民法典》、《中华人民共和国建筑法》及其他有关法律、行政法规，遵循平等、自愿、公平和诚实信用的原则，双方就本建设工程施工事项协商一致，订立本合同。</w:t>
      </w:r>
    </w:p>
    <w:p>
      <w:pPr>
        <w:snapToGrid w:val="0"/>
        <w:spacing w:line="440" w:lineRule="exact"/>
        <w:ind w:firstLine="482" w:firstLineChars="200"/>
        <w:rPr>
          <w:rFonts w:ascii="宋体" w:hAnsi="宋体"/>
          <w:b/>
          <w:bCs/>
          <w:color w:val="auto"/>
          <w:sz w:val="24"/>
          <w:highlight w:val="none"/>
        </w:rPr>
      </w:pPr>
      <w:r>
        <w:rPr>
          <w:rFonts w:hint="eastAsia" w:ascii="宋体" w:hAnsi="宋体"/>
          <w:b/>
          <w:bCs/>
          <w:color w:val="auto"/>
          <w:sz w:val="24"/>
          <w:highlight w:val="none"/>
        </w:rPr>
        <w:t>一、工程概况</w:t>
      </w:r>
    </w:p>
    <w:p>
      <w:pPr>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工程名称：</w:t>
      </w:r>
      <w:r>
        <w:rPr>
          <w:rFonts w:ascii="宋体" w:hAnsi="宋体"/>
          <w:bCs/>
          <w:color w:val="auto"/>
          <w:sz w:val="24"/>
          <w:highlight w:val="none"/>
          <w:u w:val="single"/>
        </w:rPr>
        <w:t xml:space="preserve">                            </w:t>
      </w:r>
      <w:r>
        <w:rPr>
          <w:rFonts w:hint="eastAsia" w:ascii="宋体" w:hAnsi="宋体"/>
          <w:bCs/>
          <w:color w:val="auto"/>
          <w:sz w:val="24"/>
          <w:highlight w:val="none"/>
        </w:rPr>
        <w:t>。</w:t>
      </w:r>
    </w:p>
    <w:p>
      <w:pPr>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工程地点：</w:t>
      </w:r>
      <w:r>
        <w:rPr>
          <w:rFonts w:ascii="宋体" w:hAnsi="宋体"/>
          <w:bCs/>
          <w:color w:val="auto"/>
          <w:sz w:val="24"/>
          <w:highlight w:val="none"/>
          <w:u w:val="single"/>
        </w:rPr>
        <w:t xml:space="preserve">                            </w:t>
      </w:r>
      <w:r>
        <w:rPr>
          <w:rFonts w:hint="eastAsia" w:ascii="宋体" w:hAnsi="宋体"/>
          <w:bCs/>
          <w:color w:val="auto"/>
          <w:sz w:val="24"/>
          <w:highlight w:val="none"/>
        </w:rPr>
        <w:t>。</w:t>
      </w:r>
    </w:p>
    <w:p>
      <w:pPr>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工程内容：</w:t>
      </w:r>
      <w:r>
        <w:rPr>
          <w:rFonts w:ascii="宋体" w:hAnsi="宋体"/>
          <w:color w:val="auto"/>
          <w:sz w:val="24"/>
          <w:highlight w:val="none"/>
          <w:u w:val="single"/>
        </w:rPr>
        <w:t xml:space="preserve">                          </w:t>
      </w:r>
      <w:r>
        <w:rPr>
          <w:rFonts w:hint="eastAsia" w:ascii="宋体" w:hAnsi="宋体"/>
          <w:color w:val="auto"/>
          <w:sz w:val="24"/>
          <w:highlight w:val="none"/>
        </w:rPr>
        <w:t>。具体内容以施工图纸及工程量清单为准。</w:t>
      </w:r>
    </w:p>
    <w:p>
      <w:pPr>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u w:val="single"/>
        </w:rPr>
        <w:t>建设业主有权根据工程实施情况，对承包人的承包范围和承包工程量进行适当调整</w:t>
      </w:r>
      <w:r>
        <w:rPr>
          <w:rFonts w:hint="eastAsia" w:ascii="宋体" w:hAnsi="宋体"/>
          <w:color w:val="auto"/>
          <w:sz w:val="24"/>
          <w:highlight w:val="none"/>
        </w:rPr>
        <w:t>。</w:t>
      </w:r>
    </w:p>
    <w:p>
      <w:pPr>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工程立项批准文号：</w:t>
      </w:r>
      <w:r>
        <w:rPr>
          <w:rFonts w:ascii="宋体" w:hAnsi="宋体"/>
          <w:color w:val="auto"/>
          <w:sz w:val="24"/>
          <w:highlight w:val="none"/>
          <w:u w:val="single"/>
        </w:rPr>
        <w:t xml:space="preserve">             </w:t>
      </w:r>
      <w:r>
        <w:rPr>
          <w:rFonts w:hint="eastAsia" w:ascii="宋体" w:hAnsi="宋体"/>
          <w:color w:val="auto"/>
          <w:sz w:val="24"/>
          <w:highlight w:val="none"/>
        </w:rPr>
        <w:t>。</w:t>
      </w:r>
    </w:p>
    <w:p>
      <w:pPr>
        <w:snapToGrid w:val="0"/>
        <w:spacing w:line="440" w:lineRule="exact"/>
        <w:ind w:firstLine="480"/>
        <w:jc w:val="left"/>
        <w:rPr>
          <w:rFonts w:ascii="宋体" w:hAnsi="宋体"/>
          <w:color w:val="auto"/>
          <w:sz w:val="24"/>
          <w:highlight w:val="none"/>
          <w:u w:val="single"/>
        </w:rPr>
      </w:pPr>
      <w:r>
        <w:rPr>
          <w:rFonts w:hint="eastAsia" w:ascii="宋体" w:hAnsi="宋体"/>
          <w:color w:val="auto"/>
          <w:sz w:val="24"/>
          <w:highlight w:val="none"/>
        </w:rPr>
        <w:t>资金来源：</w:t>
      </w:r>
      <w:r>
        <w:rPr>
          <w:rFonts w:hint="eastAsia" w:ascii="宋体" w:hAnsi="宋体"/>
          <w:color w:val="auto"/>
          <w:sz w:val="24"/>
          <w:highlight w:val="none"/>
          <w:u w:val="single"/>
        </w:rPr>
        <w:t>财政投资</w:t>
      </w:r>
      <w:r>
        <w:rPr>
          <w:rFonts w:hint="eastAsia" w:ascii="宋体" w:hAnsi="宋体"/>
          <w:color w:val="auto"/>
          <w:sz w:val="24"/>
          <w:highlight w:val="none"/>
        </w:rPr>
        <w:t>。</w:t>
      </w:r>
    </w:p>
    <w:p>
      <w:pPr>
        <w:snapToGrid w:val="0"/>
        <w:spacing w:line="440" w:lineRule="exact"/>
        <w:ind w:firstLine="482" w:firstLineChars="200"/>
        <w:rPr>
          <w:rFonts w:ascii="宋体" w:hAnsi="宋体"/>
          <w:b/>
          <w:bCs/>
          <w:color w:val="auto"/>
          <w:sz w:val="24"/>
          <w:highlight w:val="none"/>
        </w:rPr>
      </w:pPr>
      <w:r>
        <w:rPr>
          <w:rFonts w:hint="eastAsia" w:ascii="宋体" w:hAnsi="宋体"/>
          <w:b/>
          <w:bCs/>
          <w:color w:val="auto"/>
          <w:sz w:val="24"/>
          <w:highlight w:val="none"/>
        </w:rPr>
        <w:t>二、工程承包范围及承包方式</w:t>
      </w:r>
    </w:p>
    <w:p>
      <w:pPr>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（一）承包范围：</w:t>
      </w:r>
      <w:r>
        <w:rPr>
          <w:rFonts w:hint="eastAsia" w:ascii="宋体" w:hAnsi="宋体"/>
          <w:color w:val="auto"/>
          <w:sz w:val="24"/>
          <w:highlight w:val="none"/>
          <w:u w:val="single"/>
        </w:rPr>
        <w:t>按发包人确认的施工图纸、图纸会审纪录和有关变更文件、资料、招标文件、承包人投标文件以及双方签订的有关协议所包含的内容</w:t>
      </w:r>
      <w:r>
        <w:rPr>
          <w:rFonts w:hint="eastAsia" w:ascii="宋体" w:hAnsi="宋体"/>
          <w:color w:val="auto"/>
          <w:sz w:val="24"/>
          <w:highlight w:val="none"/>
        </w:rPr>
        <w:t>。</w:t>
      </w:r>
    </w:p>
    <w:p>
      <w:pPr>
        <w:snapToGrid w:val="0"/>
        <w:spacing w:line="440" w:lineRule="exact"/>
        <w:ind w:firstLine="480" w:firstLineChars="200"/>
        <w:rPr>
          <w:rFonts w:ascii="宋体" w:hAnsi="宋体"/>
          <w:color w:val="auto"/>
          <w:sz w:val="24"/>
          <w:highlight w:val="none"/>
          <w:u w:val="single"/>
        </w:rPr>
      </w:pPr>
      <w:r>
        <w:rPr>
          <w:rFonts w:hint="eastAsia" w:ascii="宋体" w:hAnsi="宋体"/>
          <w:color w:val="auto"/>
          <w:sz w:val="24"/>
          <w:highlight w:val="none"/>
        </w:rPr>
        <w:t>（二）承包方式：</w:t>
      </w:r>
      <w:r>
        <w:rPr>
          <w:rFonts w:ascii="宋体" w:hAnsi="宋体"/>
          <w:color w:val="auto"/>
          <w:sz w:val="24"/>
          <w:highlight w:val="none"/>
          <w:u w:val="single"/>
        </w:rPr>
        <w:t>包工、包料、包工期、包质量、包安全、包文</w:t>
      </w:r>
      <w:r>
        <w:rPr>
          <w:rFonts w:hint="eastAsia" w:ascii="宋体" w:hAnsi="宋体"/>
          <w:color w:val="auto"/>
          <w:sz w:val="24"/>
          <w:highlight w:val="none"/>
          <w:u w:val="single"/>
        </w:rPr>
        <w:t>明施工、包验收、包保修、综合单价包干，</w:t>
      </w:r>
      <w:r>
        <w:rPr>
          <w:rFonts w:ascii="宋体" w:hAnsi="宋体"/>
          <w:color w:val="auto"/>
          <w:sz w:val="24"/>
          <w:highlight w:val="none"/>
          <w:u w:val="single"/>
        </w:rPr>
        <w:t>措施项目费（除施工围蔽费用外）包干，施工围蔽清单综合单价包干，工程量按实计量</w:t>
      </w:r>
      <w:r>
        <w:rPr>
          <w:rFonts w:hint="eastAsia" w:ascii="宋体" w:hAnsi="宋体"/>
          <w:color w:val="auto"/>
          <w:sz w:val="24"/>
          <w:highlight w:val="none"/>
        </w:rPr>
        <w:t>。</w:t>
      </w:r>
    </w:p>
    <w:p>
      <w:pPr>
        <w:snapToGrid w:val="0"/>
        <w:spacing w:line="440" w:lineRule="exact"/>
        <w:ind w:firstLine="482" w:firstLineChars="200"/>
        <w:rPr>
          <w:rFonts w:ascii="宋体" w:hAnsi="宋体"/>
          <w:b/>
          <w:bCs/>
          <w:color w:val="auto"/>
          <w:sz w:val="24"/>
          <w:highlight w:val="none"/>
          <w:u w:val="single"/>
        </w:rPr>
      </w:pPr>
      <w:r>
        <w:rPr>
          <w:rFonts w:hint="eastAsia" w:ascii="宋体" w:hAnsi="宋体"/>
          <w:b/>
          <w:bCs/>
          <w:color w:val="auto"/>
          <w:sz w:val="24"/>
          <w:highlight w:val="none"/>
        </w:rPr>
        <w:t>三、合同工期</w:t>
      </w:r>
    </w:p>
    <w:p>
      <w:pPr>
        <w:snapToGrid w:val="0"/>
        <w:spacing w:line="440" w:lineRule="exact"/>
        <w:ind w:left="480"/>
        <w:rPr>
          <w:rFonts w:ascii="宋体" w:hAnsi="宋体"/>
          <w:color w:val="auto"/>
          <w:sz w:val="24"/>
          <w:highlight w:val="none"/>
          <w:u w:val="single"/>
        </w:rPr>
      </w:pPr>
      <w:r>
        <w:rPr>
          <w:rFonts w:hint="eastAsia" w:ascii="宋体" w:hAnsi="宋体"/>
          <w:color w:val="auto"/>
          <w:sz w:val="24"/>
          <w:highlight w:val="none"/>
        </w:rPr>
        <w:t>暂定开工日期：</w:t>
      </w:r>
      <w:r>
        <w:rPr>
          <w:rFonts w:ascii="宋体" w:hAnsi="宋体"/>
          <w:color w:val="auto"/>
          <w:sz w:val="24"/>
          <w:highlight w:val="none"/>
          <w:u w:val="single"/>
        </w:rPr>
        <w:t xml:space="preserve">     </w:t>
      </w:r>
      <w:r>
        <w:rPr>
          <w:rFonts w:hint="eastAsia" w:ascii="宋体" w:hAnsi="宋体"/>
          <w:color w:val="auto"/>
          <w:sz w:val="24"/>
          <w:highlight w:val="none"/>
        </w:rPr>
        <w:t>年</w:t>
      </w:r>
      <w:r>
        <w:rPr>
          <w:rFonts w:ascii="宋体" w:hAnsi="宋体"/>
          <w:color w:val="auto"/>
          <w:sz w:val="24"/>
          <w:highlight w:val="none"/>
          <w:u w:val="single"/>
        </w:rPr>
        <w:t xml:space="preserve">   </w:t>
      </w:r>
      <w:r>
        <w:rPr>
          <w:rFonts w:hint="eastAsia" w:ascii="宋体" w:hAnsi="宋体"/>
          <w:color w:val="auto"/>
          <w:sz w:val="24"/>
          <w:highlight w:val="none"/>
        </w:rPr>
        <w:t>月</w:t>
      </w:r>
      <w:r>
        <w:rPr>
          <w:rFonts w:ascii="宋体" w:hAnsi="宋体"/>
          <w:color w:val="auto"/>
          <w:sz w:val="24"/>
          <w:highlight w:val="none"/>
          <w:u w:val="single"/>
        </w:rPr>
        <w:t xml:space="preserve">   </w:t>
      </w:r>
      <w:r>
        <w:rPr>
          <w:rFonts w:hint="eastAsia" w:ascii="宋体" w:hAnsi="宋体"/>
          <w:color w:val="auto"/>
          <w:sz w:val="24"/>
          <w:highlight w:val="none"/>
        </w:rPr>
        <w:t>日</w:t>
      </w:r>
    </w:p>
    <w:p>
      <w:pPr>
        <w:snapToGrid w:val="0"/>
        <w:spacing w:line="440" w:lineRule="exact"/>
        <w:ind w:left="480"/>
        <w:rPr>
          <w:rFonts w:ascii="宋体" w:hAnsi="宋体"/>
          <w:color w:val="auto"/>
          <w:sz w:val="24"/>
          <w:highlight w:val="none"/>
          <w:u w:val="single"/>
        </w:rPr>
      </w:pPr>
      <w:r>
        <w:rPr>
          <w:rFonts w:hint="eastAsia" w:ascii="宋体" w:hAnsi="宋体"/>
          <w:color w:val="auto"/>
          <w:sz w:val="24"/>
          <w:highlight w:val="none"/>
        </w:rPr>
        <w:t>暂定竣工日期：</w:t>
      </w:r>
      <w:r>
        <w:rPr>
          <w:rFonts w:ascii="宋体" w:hAnsi="宋体"/>
          <w:color w:val="auto"/>
          <w:sz w:val="24"/>
          <w:highlight w:val="none"/>
          <w:u w:val="single"/>
        </w:rPr>
        <w:t xml:space="preserve">     </w:t>
      </w:r>
      <w:r>
        <w:rPr>
          <w:rFonts w:hint="eastAsia" w:ascii="宋体" w:hAnsi="宋体"/>
          <w:color w:val="auto"/>
          <w:sz w:val="24"/>
          <w:highlight w:val="none"/>
        </w:rPr>
        <w:t>年</w:t>
      </w:r>
      <w:r>
        <w:rPr>
          <w:rFonts w:ascii="宋体" w:hAnsi="宋体"/>
          <w:color w:val="auto"/>
          <w:sz w:val="24"/>
          <w:highlight w:val="none"/>
          <w:u w:val="single"/>
        </w:rPr>
        <w:t xml:space="preserve">   </w:t>
      </w:r>
      <w:r>
        <w:rPr>
          <w:rFonts w:hint="eastAsia" w:ascii="宋体" w:hAnsi="宋体"/>
          <w:color w:val="auto"/>
          <w:sz w:val="24"/>
          <w:highlight w:val="none"/>
        </w:rPr>
        <w:t>月</w:t>
      </w:r>
      <w:r>
        <w:rPr>
          <w:rFonts w:ascii="宋体" w:hAnsi="宋体"/>
          <w:color w:val="auto"/>
          <w:sz w:val="24"/>
          <w:highlight w:val="none"/>
          <w:u w:val="single"/>
        </w:rPr>
        <w:t xml:space="preserve">   </w:t>
      </w:r>
      <w:r>
        <w:rPr>
          <w:rFonts w:hint="eastAsia" w:ascii="宋体" w:hAnsi="宋体"/>
          <w:color w:val="auto"/>
          <w:sz w:val="24"/>
          <w:highlight w:val="none"/>
        </w:rPr>
        <w:t>日</w:t>
      </w:r>
    </w:p>
    <w:p>
      <w:pPr>
        <w:snapToGrid w:val="0"/>
        <w:spacing w:line="440" w:lineRule="exact"/>
        <w:ind w:left="480"/>
        <w:rPr>
          <w:rFonts w:ascii="宋体" w:hAnsi="宋体"/>
          <w:dstrike/>
          <w:color w:val="auto"/>
          <w:sz w:val="24"/>
          <w:highlight w:val="none"/>
        </w:rPr>
      </w:pPr>
      <w:r>
        <w:rPr>
          <w:rFonts w:hint="eastAsia" w:ascii="宋体" w:hAnsi="宋体"/>
          <w:color w:val="auto"/>
          <w:sz w:val="24"/>
          <w:highlight w:val="none"/>
        </w:rPr>
        <w:t>合同工期为</w:t>
      </w:r>
      <w:r>
        <w:rPr>
          <w:rFonts w:ascii="宋体" w:hAnsi="宋体"/>
          <w:color w:val="auto"/>
          <w:sz w:val="24"/>
          <w:highlight w:val="none"/>
          <w:u w:val="single"/>
        </w:rPr>
        <w:t xml:space="preserve">     </w:t>
      </w:r>
      <w:r>
        <w:rPr>
          <w:rFonts w:hint="eastAsia" w:ascii="宋体" w:hAnsi="宋体"/>
          <w:color w:val="auto"/>
          <w:sz w:val="24"/>
          <w:highlight w:val="none"/>
        </w:rPr>
        <w:t>日历天。</w:t>
      </w:r>
      <w:r>
        <w:rPr>
          <w:rFonts w:hint="eastAsia" w:ascii="宋体" w:hAnsi="宋体"/>
          <w:dstrike/>
          <w:color w:val="auto"/>
          <w:sz w:val="24"/>
          <w:highlight w:val="none"/>
        </w:rPr>
        <w:t>实际开工日期以批准的开工报告为准。</w:t>
      </w:r>
    </w:p>
    <w:p>
      <w:pPr>
        <w:snapToGrid w:val="0"/>
        <w:spacing w:line="440" w:lineRule="exact"/>
        <w:ind w:firstLine="482" w:firstLineChars="200"/>
        <w:rPr>
          <w:rFonts w:ascii="宋体" w:hAnsi="宋体"/>
          <w:b/>
          <w:bCs/>
          <w:color w:val="auto"/>
          <w:sz w:val="24"/>
          <w:highlight w:val="none"/>
        </w:rPr>
      </w:pPr>
      <w:r>
        <w:rPr>
          <w:rFonts w:hint="eastAsia" w:ascii="宋体" w:hAnsi="宋体"/>
          <w:b/>
          <w:bCs/>
          <w:color w:val="auto"/>
          <w:sz w:val="24"/>
          <w:highlight w:val="none"/>
        </w:rPr>
        <w:t>四、质量标准</w:t>
      </w:r>
    </w:p>
    <w:p>
      <w:pPr>
        <w:pStyle w:val="26"/>
        <w:snapToGrid w:val="0"/>
        <w:spacing w:line="400" w:lineRule="exact"/>
        <w:ind w:firstLine="480" w:firstLineChars="200"/>
        <w:rPr>
          <w:rFonts w:ascii="宋体" w:hAnsi="宋体"/>
          <w:color w:val="auto"/>
          <w:kern w:val="0"/>
          <w:sz w:val="24"/>
          <w:szCs w:val="24"/>
          <w:highlight w:val="none"/>
        </w:rPr>
      </w:pPr>
      <w:r>
        <w:rPr>
          <w:rFonts w:hint="eastAsia" w:ascii="宋体" w:hAnsi="宋体"/>
          <w:color w:val="auto"/>
          <w:kern w:val="0"/>
          <w:sz w:val="24"/>
          <w:highlight w:val="none"/>
        </w:rPr>
        <w:t>施工要求：符合设计图纸要求和国家、省、市相关法律法规规定要求及行业工程质量标准，</w:t>
      </w:r>
      <w:r>
        <w:rPr>
          <w:rFonts w:hint="eastAsia" w:ascii="宋体" w:hAnsi="宋体"/>
          <w:color w:val="auto"/>
          <w:kern w:val="0"/>
          <w:sz w:val="24"/>
          <w:highlight w:val="none"/>
          <w:u w:val="single"/>
        </w:rPr>
        <w:t>且达到投标承诺的</w:t>
      </w:r>
      <w:r>
        <w:rPr>
          <w:rFonts w:ascii="宋体" w:hAnsi="宋体"/>
          <w:color w:val="auto"/>
          <w:kern w:val="0"/>
          <w:sz w:val="24"/>
          <w:highlight w:val="none"/>
          <w:u w:val="single"/>
        </w:rPr>
        <w:t xml:space="preserve">       </w:t>
      </w:r>
      <w:r>
        <w:rPr>
          <w:rFonts w:hint="eastAsia" w:ascii="宋体" w:hAnsi="宋体"/>
          <w:color w:val="auto"/>
          <w:kern w:val="0"/>
          <w:sz w:val="24"/>
          <w:szCs w:val="24"/>
          <w:highlight w:val="none"/>
          <w:u w:val="single"/>
        </w:rPr>
        <w:t>标准</w:t>
      </w:r>
      <w:r>
        <w:rPr>
          <w:rFonts w:hint="eastAsia" w:ascii="宋体" w:hAnsi="宋体"/>
          <w:color w:val="auto"/>
          <w:kern w:val="0"/>
          <w:sz w:val="24"/>
          <w:szCs w:val="24"/>
          <w:highlight w:val="none"/>
        </w:rPr>
        <w:t>。</w:t>
      </w:r>
    </w:p>
    <w:p>
      <w:pPr>
        <w:spacing w:line="400" w:lineRule="exact"/>
        <w:ind w:firstLine="480" w:firstLineChars="200"/>
        <w:rPr>
          <w:rFonts w:ascii="宋体" w:hAnsi="宋体"/>
          <w:color w:val="auto"/>
          <w:kern w:val="0"/>
          <w:sz w:val="24"/>
          <w:szCs w:val="24"/>
          <w:highlight w:val="none"/>
          <w:u w:val="single"/>
        </w:rPr>
      </w:pPr>
      <w:r>
        <w:rPr>
          <w:rFonts w:hint="eastAsia" w:ascii="宋体" w:hAnsi="宋体"/>
          <w:color w:val="auto"/>
          <w:kern w:val="0"/>
          <w:sz w:val="24"/>
          <w:szCs w:val="24"/>
          <w:highlight w:val="none"/>
        </w:rPr>
        <w:t>工程质量标准：合格，</w:t>
      </w:r>
      <w:r>
        <w:rPr>
          <w:rFonts w:hint="eastAsia" w:ascii="宋体" w:hAnsi="宋体"/>
          <w:color w:val="auto"/>
          <w:kern w:val="0"/>
          <w:sz w:val="24"/>
          <w:szCs w:val="24"/>
          <w:highlight w:val="none"/>
          <w:u w:val="single"/>
        </w:rPr>
        <w:t>且达到投标承诺的</w:t>
      </w:r>
      <w:r>
        <w:rPr>
          <w:rFonts w:ascii="宋体" w:hAnsi="宋体"/>
          <w:color w:val="auto"/>
          <w:kern w:val="0"/>
          <w:sz w:val="24"/>
          <w:szCs w:val="24"/>
          <w:highlight w:val="none"/>
          <w:u w:val="single"/>
        </w:rPr>
        <w:t xml:space="preserve">    </w:t>
      </w:r>
      <w:r>
        <w:rPr>
          <w:rFonts w:hint="eastAsia" w:ascii="宋体" w:hAnsi="宋体"/>
          <w:color w:val="auto"/>
          <w:kern w:val="0"/>
          <w:sz w:val="24"/>
          <w:szCs w:val="24"/>
          <w:highlight w:val="none"/>
          <w:u w:val="single"/>
        </w:rPr>
        <w:t>标准。</w:t>
      </w:r>
    </w:p>
    <w:p>
      <w:pPr>
        <w:snapToGrid w:val="0"/>
        <w:spacing w:line="440" w:lineRule="exact"/>
        <w:ind w:firstLine="482" w:firstLineChars="200"/>
        <w:rPr>
          <w:rFonts w:ascii="宋体" w:hAnsi="宋体"/>
          <w:b/>
          <w:bCs/>
          <w:color w:val="auto"/>
          <w:sz w:val="24"/>
          <w:highlight w:val="none"/>
        </w:rPr>
      </w:pPr>
      <w:r>
        <w:rPr>
          <w:rFonts w:hint="eastAsia" w:ascii="宋体" w:hAnsi="宋体"/>
          <w:b/>
          <w:bCs/>
          <w:color w:val="auto"/>
          <w:sz w:val="24"/>
          <w:highlight w:val="none"/>
        </w:rPr>
        <w:t>五、合同价款</w:t>
      </w:r>
    </w:p>
    <w:p>
      <w:pPr>
        <w:spacing w:line="440" w:lineRule="exact"/>
        <w:ind w:firstLine="480" w:firstLineChars="200"/>
        <w:rPr>
          <w:rFonts w:ascii="宋体" w:hAnsi="宋体"/>
          <w:bCs/>
          <w:snapToGrid w:val="0"/>
          <w:color w:val="auto"/>
          <w:kern w:val="0"/>
          <w:sz w:val="24"/>
          <w:highlight w:val="none"/>
        </w:rPr>
      </w:pPr>
      <w:r>
        <w:rPr>
          <w:rFonts w:hint="eastAsia" w:ascii="宋体" w:hAnsi="宋体"/>
          <w:bCs/>
          <w:snapToGrid w:val="0"/>
          <w:color w:val="auto"/>
          <w:kern w:val="0"/>
          <w:sz w:val="24"/>
          <w:highlight w:val="none"/>
        </w:rPr>
        <w:t>合同价款暂定为￥</w:t>
      </w:r>
      <w:r>
        <w:rPr>
          <w:rFonts w:ascii="宋体" w:hAnsi="宋体"/>
          <w:bCs/>
          <w:snapToGrid w:val="0"/>
          <w:color w:val="auto"/>
          <w:kern w:val="0"/>
          <w:sz w:val="24"/>
          <w:highlight w:val="none"/>
          <w:u w:val="single"/>
        </w:rPr>
        <w:t xml:space="preserve">             </w:t>
      </w:r>
      <w:r>
        <w:rPr>
          <w:rFonts w:hint="eastAsia" w:ascii="宋体" w:hAnsi="宋体"/>
          <w:bCs/>
          <w:snapToGrid w:val="0"/>
          <w:color w:val="auto"/>
          <w:kern w:val="0"/>
          <w:sz w:val="24"/>
          <w:highlight w:val="none"/>
        </w:rPr>
        <w:t>元（大写：人民币</w:t>
      </w:r>
      <w:r>
        <w:rPr>
          <w:rFonts w:ascii="宋体" w:hAnsi="宋体"/>
          <w:bCs/>
          <w:snapToGrid w:val="0"/>
          <w:color w:val="auto"/>
          <w:kern w:val="0"/>
          <w:sz w:val="24"/>
          <w:highlight w:val="none"/>
          <w:u w:val="single"/>
        </w:rPr>
        <w:t xml:space="preserve">             </w:t>
      </w:r>
      <w:r>
        <w:rPr>
          <w:rFonts w:hint="eastAsia" w:ascii="宋体" w:hAnsi="宋体"/>
          <w:bCs/>
          <w:snapToGrid w:val="0"/>
          <w:color w:val="auto"/>
          <w:kern w:val="0"/>
          <w:sz w:val="24"/>
          <w:highlight w:val="none"/>
        </w:rPr>
        <w:t>），其中绿色施工安全防护措施费为</w:t>
      </w:r>
      <w:r>
        <w:rPr>
          <w:rFonts w:hint="eastAsia" w:ascii="宋体" w:hAnsi="宋体"/>
          <w:bCs/>
          <w:snapToGrid w:val="0"/>
          <w:color w:val="auto"/>
          <w:kern w:val="0"/>
          <w:sz w:val="24"/>
          <w:highlight w:val="none"/>
          <w:u w:val="single"/>
        </w:rPr>
        <w:t xml:space="preserve">        </w:t>
      </w:r>
      <w:r>
        <w:rPr>
          <w:rFonts w:hint="eastAsia" w:ascii="宋体" w:hAnsi="宋体"/>
          <w:bCs/>
          <w:snapToGrid w:val="0"/>
          <w:color w:val="auto"/>
          <w:kern w:val="0"/>
          <w:sz w:val="24"/>
          <w:highlight w:val="none"/>
        </w:rPr>
        <w:t>元、暂列金额为</w:t>
      </w:r>
      <w:r>
        <w:rPr>
          <w:rFonts w:hint="eastAsia" w:ascii="宋体" w:hAnsi="宋体"/>
          <w:bCs/>
          <w:snapToGrid w:val="0"/>
          <w:color w:val="auto"/>
          <w:kern w:val="0"/>
          <w:sz w:val="24"/>
          <w:highlight w:val="none"/>
          <w:u w:val="single"/>
        </w:rPr>
        <w:t xml:space="preserve">       </w:t>
      </w:r>
      <w:r>
        <w:rPr>
          <w:rFonts w:hint="eastAsia" w:ascii="宋体" w:hAnsi="宋体"/>
          <w:bCs/>
          <w:snapToGrid w:val="0"/>
          <w:color w:val="auto"/>
          <w:kern w:val="0"/>
          <w:sz w:val="24"/>
          <w:highlight w:val="none"/>
        </w:rPr>
        <w:t>元，人工费     元，工人工资比例为</w:t>
      </w:r>
      <w:r>
        <w:rPr>
          <w:rFonts w:hint="eastAsia" w:ascii="宋体" w:hAnsi="宋体"/>
          <w:bCs/>
          <w:snapToGrid w:val="0"/>
          <w:color w:val="auto"/>
          <w:kern w:val="0"/>
          <w:sz w:val="24"/>
          <w:highlight w:val="none"/>
          <w:u w:val="single"/>
        </w:rPr>
        <w:t xml:space="preserve">      </w:t>
      </w:r>
      <w:r>
        <w:rPr>
          <w:rFonts w:hint="eastAsia" w:ascii="宋体" w:hAnsi="宋体"/>
          <w:bCs/>
          <w:snapToGrid w:val="0"/>
          <w:color w:val="auto"/>
          <w:kern w:val="0"/>
          <w:sz w:val="24"/>
          <w:highlight w:val="none"/>
        </w:rPr>
        <w:t>。</w:t>
      </w:r>
    </w:p>
    <w:p>
      <w:pPr>
        <w:spacing w:line="440" w:lineRule="exact"/>
        <w:ind w:firstLine="480" w:firstLineChars="200"/>
        <w:rPr>
          <w:rFonts w:ascii="宋体" w:hAnsi="宋体"/>
          <w:bCs/>
          <w:snapToGrid w:val="0"/>
          <w:color w:val="auto"/>
          <w:kern w:val="0"/>
          <w:sz w:val="24"/>
          <w:highlight w:val="none"/>
        </w:rPr>
      </w:pPr>
      <w:r>
        <w:rPr>
          <w:rFonts w:hint="eastAsia" w:ascii="宋体" w:hAnsi="宋体"/>
          <w:bCs/>
          <w:snapToGrid w:val="0"/>
          <w:color w:val="auto"/>
          <w:kern w:val="0"/>
          <w:sz w:val="24"/>
          <w:highlight w:val="none"/>
          <w:u w:val="single"/>
        </w:rPr>
        <w:t>工程结算价款以广州开发区财政局审定结算为准</w:t>
      </w:r>
      <w:r>
        <w:rPr>
          <w:rFonts w:hint="eastAsia" w:ascii="宋体" w:hAnsi="宋体"/>
          <w:bCs/>
          <w:snapToGrid w:val="0"/>
          <w:color w:val="auto"/>
          <w:kern w:val="0"/>
          <w:sz w:val="24"/>
          <w:highlight w:val="none"/>
        </w:rPr>
        <w:t>。如遇审计部门审计发现本合同结算价款存在超付的情形，发包人有权据实要求承包人返还该部分款项。</w:t>
      </w:r>
    </w:p>
    <w:p>
      <w:pPr>
        <w:snapToGrid w:val="0"/>
        <w:spacing w:line="440" w:lineRule="exact"/>
        <w:ind w:firstLine="482" w:firstLineChars="200"/>
        <w:rPr>
          <w:rFonts w:ascii="宋体" w:hAnsi="宋体"/>
          <w:b/>
          <w:bCs/>
          <w:color w:val="auto"/>
          <w:sz w:val="24"/>
          <w:highlight w:val="none"/>
        </w:rPr>
      </w:pPr>
      <w:r>
        <w:rPr>
          <w:rFonts w:hint="eastAsia" w:ascii="宋体" w:hAnsi="宋体"/>
          <w:b/>
          <w:bCs/>
          <w:color w:val="auto"/>
          <w:sz w:val="24"/>
          <w:highlight w:val="none"/>
        </w:rPr>
        <w:t>六、组成合同的文件</w:t>
      </w:r>
    </w:p>
    <w:p>
      <w:pPr>
        <w:spacing w:line="440" w:lineRule="exact"/>
        <w:ind w:firstLine="444" w:firstLineChars="185"/>
        <w:rPr>
          <w:rFonts w:ascii="宋体" w:hAnsi="宋体"/>
          <w:color w:val="auto"/>
          <w:sz w:val="24"/>
          <w:highlight w:val="none"/>
        </w:rPr>
      </w:pPr>
      <w:r>
        <w:rPr>
          <w:rFonts w:hint="eastAsia" w:ascii="宋体" w:hAnsi="宋体"/>
          <w:color w:val="auto"/>
          <w:sz w:val="24"/>
          <w:highlight w:val="none"/>
        </w:rPr>
        <w:t>组成本合同的文件包括：</w:t>
      </w:r>
    </w:p>
    <w:p>
      <w:pPr>
        <w:spacing w:line="440" w:lineRule="exact"/>
        <w:ind w:firstLine="444" w:firstLineChars="185"/>
        <w:rPr>
          <w:rFonts w:ascii="宋体" w:hAnsi="宋体"/>
          <w:color w:val="auto"/>
          <w:sz w:val="24"/>
          <w:highlight w:val="none"/>
        </w:rPr>
      </w:pPr>
      <w:r>
        <w:rPr>
          <w:rFonts w:ascii="宋体" w:hAnsi="宋体"/>
          <w:color w:val="auto"/>
          <w:sz w:val="24"/>
          <w:highlight w:val="none"/>
        </w:rPr>
        <w:t>1.本合同履行期间发包人与承包人双方签订的补充合同（协议）或修正文件；</w:t>
      </w:r>
    </w:p>
    <w:p>
      <w:pPr>
        <w:spacing w:line="440" w:lineRule="exact"/>
        <w:ind w:firstLine="444" w:firstLineChars="185"/>
        <w:rPr>
          <w:rFonts w:ascii="宋体" w:hAnsi="宋体"/>
          <w:color w:val="auto"/>
          <w:sz w:val="24"/>
          <w:highlight w:val="none"/>
        </w:rPr>
      </w:pPr>
      <w:r>
        <w:rPr>
          <w:rFonts w:ascii="宋体" w:hAnsi="宋体"/>
          <w:color w:val="auto"/>
          <w:sz w:val="24"/>
          <w:highlight w:val="none"/>
        </w:rPr>
        <w:t>2.本合同协议书</w:t>
      </w:r>
      <w:r>
        <w:rPr>
          <w:rFonts w:hint="eastAsia" w:ascii="宋体" w:hAnsi="宋体"/>
          <w:color w:val="auto"/>
          <w:sz w:val="24"/>
          <w:highlight w:val="none"/>
        </w:rPr>
        <w:t>；</w:t>
      </w:r>
    </w:p>
    <w:p>
      <w:pPr>
        <w:spacing w:line="440" w:lineRule="exact"/>
        <w:ind w:firstLine="444" w:firstLineChars="185"/>
        <w:rPr>
          <w:rFonts w:ascii="宋体" w:hAnsi="宋体"/>
          <w:color w:val="auto"/>
          <w:sz w:val="24"/>
          <w:highlight w:val="none"/>
        </w:rPr>
      </w:pPr>
      <w:r>
        <w:rPr>
          <w:rFonts w:ascii="宋体" w:hAnsi="宋体"/>
          <w:color w:val="auto"/>
          <w:sz w:val="24"/>
          <w:highlight w:val="none"/>
        </w:rPr>
        <w:t>3.国家、广东省、广州市、广州开发区、</w:t>
      </w:r>
      <w:r>
        <w:rPr>
          <w:rFonts w:hint="eastAsia" w:ascii="宋体" w:hAnsi="宋体"/>
          <w:color w:val="auto"/>
          <w:sz w:val="24"/>
          <w:highlight w:val="none"/>
        </w:rPr>
        <w:t>黄埔</w:t>
      </w:r>
      <w:r>
        <w:rPr>
          <w:rFonts w:ascii="宋体" w:hAnsi="宋体"/>
          <w:color w:val="auto"/>
          <w:sz w:val="24"/>
          <w:highlight w:val="none"/>
        </w:rPr>
        <w:t>区关于本工程施工的有关文件（发包人在收到后尽快通报给承包人）；</w:t>
      </w:r>
    </w:p>
    <w:p>
      <w:pPr>
        <w:spacing w:line="440" w:lineRule="exact"/>
        <w:ind w:firstLine="444" w:firstLineChars="185"/>
        <w:rPr>
          <w:rFonts w:ascii="宋体" w:hAnsi="宋体"/>
          <w:color w:val="auto"/>
          <w:sz w:val="24"/>
          <w:highlight w:val="none"/>
        </w:rPr>
      </w:pPr>
      <w:r>
        <w:rPr>
          <w:rFonts w:ascii="宋体" w:hAnsi="宋体"/>
          <w:color w:val="auto"/>
          <w:sz w:val="24"/>
          <w:highlight w:val="none"/>
        </w:rPr>
        <w:t>4.</w:t>
      </w:r>
      <w:r>
        <w:rPr>
          <w:rFonts w:hint="eastAsia" w:ascii="宋体" w:hAnsi="宋体"/>
          <w:color w:val="auto"/>
          <w:sz w:val="24"/>
          <w:highlight w:val="none"/>
        </w:rPr>
        <w:t>建设业主</w:t>
      </w:r>
      <w:r>
        <w:rPr>
          <w:rFonts w:ascii="宋体" w:hAnsi="宋体"/>
          <w:color w:val="auto"/>
          <w:sz w:val="24"/>
          <w:highlight w:val="none"/>
        </w:rPr>
        <w:t>针对本工程建设管理的各项制度、规定；</w:t>
      </w:r>
    </w:p>
    <w:p>
      <w:pPr>
        <w:spacing w:line="440" w:lineRule="exact"/>
        <w:ind w:firstLine="444" w:firstLineChars="185"/>
        <w:rPr>
          <w:rFonts w:ascii="宋体" w:hAnsi="宋体"/>
          <w:color w:val="auto"/>
          <w:sz w:val="24"/>
          <w:highlight w:val="none"/>
        </w:rPr>
      </w:pPr>
      <w:r>
        <w:rPr>
          <w:rFonts w:ascii="宋体" w:hAnsi="宋体"/>
          <w:color w:val="auto"/>
          <w:sz w:val="24"/>
          <w:highlight w:val="none"/>
        </w:rPr>
        <w:t>5.中标通知书</w:t>
      </w:r>
      <w:r>
        <w:rPr>
          <w:rFonts w:hint="eastAsia" w:ascii="宋体" w:hAnsi="宋体"/>
          <w:color w:val="auto"/>
          <w:sz w:val="24"/>
          <w:highlight w:val="none"/>
        </w:rPr>
        <w:t>；</w:t>
      </w:r>
    </w:p>
    <w:p>
      <w:pPr>
        <w:spacing w:line="440" w:lineRule="exact"/>
        <w:ind w:firstLine="444" w:firstLineChars="185"/>
        <w:rPr>
          <w:rFonts w:ascii="宋体" w:hAnsi="宋体"/>
          <w:color w:val="auto"/>
          <w:sz w:val="24"/>
          <w:highlight w:val="none"/>
        </w:rPr>
      </w:pPr>
      <w:r>
        <w:rPr>
          <w:rFonts w:ascii="宋体" w:hAnsi="宋体"/>
          <w:color w:val="auto"/>
          <w:sz w:val="24"/>
          <w:highlight w:val="none"/>
        </w:rPr>
        <w:t>6.本合同专用条款</w:t>
      </w:r>
      <w:r>
        <w:rPr>
          <w:rFonts w:hint="eastAsia" w:ascii="宋体" w:hAnsi="宋体"/>
          <w:color w:val="auto"/>
          <w:sz w:val="24"/>
          <w:highlight w:val="none"/>
        </w:rPr>
        <w:t>；</w:t>
      </w:r>
    </w:p>
    <w:p>
      <w:pPr>
        <w:spacing w:line="440" w:lineRule="exact"/>
        <w:ind w:firstLine="444" w:firstLineChars="185"/>
        <w:rPr>
          <w:rFonts w:ascii="宋体" w:hAnsi="宋体"/>
          <w:color w:val="auto"/>
          <w:sz w:val="24"/>
          <w:highlight w:val="none"/>
        </w:rPr>
      </w:pPr>
      <w:r>
        <w:rPr>
          <w:rFonts w:ascii="宋体" w:hAnsi="宋体"/>
          <w:color w:val="auto"/>
          <w:sz w:val="24"/>
          <w:highlight w:val="none"/>
        </w:rPr>
        <w:t>7.招标文件及附件（包括补充、修改、澄清文件及答疑纪要等）</w:t>
      </w:r>
      <w:r>
        <w:rPr>
          <w:rFonts w:hint="eastAsia" w:ascii="宋体" w:hAnsi="宋体"/>
          <w:color w:val="auto"/>
          <w:sz w:val="24"/>
          <w:highlight w:val="none"/>
        </w:rPr>
        <w:t>；</w:t>
      </w:r>
    </w:p>
    <w:p>
      <w:pPr>
        <w:spacing w:line="440" w:lineRule="exact"/>
        <w:ind w:firstLine="444" w:firstLineChars="185"/>
        <w:rPr>
          <w:rFonts w:ascii="宋体" w:hAnsi="宋体"/>
          <w:color w:val="auto"/>
          <w:sz w:val="24"/>
          <w:highlight w:val="none"/>
        </w:rPr>
      </w:pPr>
      <w:r>
        <w:rPr>
          <w:rFonts w:ascii="宋体" w:hAnsi="宋体"/>
          <w:color w:val="auto"/>
          <w:sz w:val="24"/>
          <w:highlight w:val="none"/>
        </w:rPr>
        <w:t>8.本合同通用条款</w:t>
      </w:r>
      <w:r>
        <w:rPr>
          <w:rFonts w:hint="eastAsia" w:ascii="宋体" w:hAnsi="宋体"/>
          <w:color w:val="auto"/>
          <w:sz w:val="24"/>
          <w:highlight w:val="none"/>
        </w:rPr>
        <w:t>；</w:t>
      </w:r>
    </w:p>
    <w:p>
      <w:pPr>
        <w:spacing w:line="440" w:lineRule="exact"/>
        <w:ind w:firstLine="444" w:firstLineChars="185"/>
        <w:rPr>
          <w:rFonts w:ascii="宋体" w:hAnsi="宋体"/>
          <w:color w:val="auto"/>
          <w:sz w:val="24"/>
          <w:highlight w:val="none"/>
        </w:rPr>
      </w:pPr>
      <w:r>
        <w:rPr>
          <w:rFonts w:ascii="宋体" w:hAnsi="宋体"/>
          <w:color w:val="auto"/>
          <w:sz w:val="24"/>
          <w:highlight w:val="none"/>
        </w:rPr>
        <w:t>9.投标文件及附件</w:t>
      </w:r>
      <w:r>
        <w:rPr>
          <w:rFonts w:hint="eastAsia" w:ascii="宋体" w:hAnsi="宋体"/>
          <w:color w:val="auto"/>
          <w:sz w:val="24"/>
          <w:highlight w:val="none"/>
        </w:rPr>
        <w:t>；</w:t>
      </w:r>
    </w:p>
    <w:p>
      <w:pPr>
        <w:spacing w:line="440" w:lineRule="exact"/>
        <w:ind w:firstLine="444" w:firstLineChars="185"/>
        <w:rPr>
          <w:rFonts w:ascii="宋体" w:hAnsi="宋体"/>
          <w:color w:val="auto"/>
          <w:sz w:val="24"/>
          <w:highlight w:val="none"/>
        </w:rPr>
      </w:pPr>
      <w:r>
        <w:rPr>
          <w:rFonts w:ascii="宋体" w:hAnsi="宋体"/>
          <w:color w:val="auto"/>
          <w:sz w:val="24"/>
          <w:highlight w:val="none"/>
        </w:rPr>
        <w:t>10.标准、规范和其他有关技术文件</w:t>
      </w:r>
      <w:r>
        <w:rPr>
          <w:rFonts w:hint="eastAsia" w:ascii="宋体" w:hAnsi="宋体"/>
          <w:color w:val="auto"/>
          <w:sz w:val="24"/>
          <w:highlight w:val="none"/>
        </w:rPr>
        <w:t>；</w:t>
      </w:r>
    </w:p>
    <w:p>
      <w:pPr>
        <w:spacing w:line="440" w:lineRule="exact"/>
        <w:ind w:firstLine="444" w:firstLineChars="185"/>
        <w:rPr>
          <w:rFonts w:ascii="宋体" w:hAnsi="宋体"/>
          <w:color w:val="auto"/>
          <w:sz w:val="24"/>
          <w:highlight w:val="none"/>
        </w:rPr>
      </w:pPr>
      <w:r>
        <w:rPr>
          <w:rFonts w:ascii="宋体" w:hAnsi="宋体"/>
          <w:color w:val="auto"/>
          <w:sz w:val="24"/>
          <w:highlight w:val="none"/>
        </w:rPr>
        <w:t>11.图纸</w:t>
      </w:r>
      <w:r>
        <w:rPr>
          <w:rFonts w:hint="eastAsia" w:ascii="宋体" w:hAnsi="宋体"/>
          <w:color w:val="auto"/>
          <w:sz w:val="24"/>
          <w:highlight w:val="none"/>
        </w:rPr>
        <w:t>；</w:t>
      </w:r>
    </w:p>
    <w:p>
      <w:pPr>
        <w:spacing w:line="440" w:lineRule="exact"/>
        <w:ind w:firstLine="444" w:firstLineChars="185"/>
        <w:rPr>
          <w:rFonts w:ascii="宋体" w:hAnsi="宋体"/>
          <w:color w:val="auto"/>
          <w:sz w:val="24"/>
          <w:highlight w:val="none"/>
        </w:rPr>
      </w:pPr>
      <w:r>
        <w:rPr>
          <w:rFonts w:ascii="宋体" w:hAnsi="宋体"/>
          <w:color w:val="auto"/>
          <w:sz w:val="24"/>
          <w:highlight w:val="none"/>
        </w:rPr>
        <w:t>12.工程量清单</w:t>
      </w:r>
      <w:r>
        <w:rPr>
          <w:rFonts w:hint="eastAsia" w:ascii="宋体" w:hAnsi="宋体"/>
          <w:color w:val="auto"/>
          <w:sz w:val="24"/>
          <w:highlight w:val="none"/>
        </w:rPr>
        <w:t>；</w:t>
      </w:r>
    </w:p>
    <w:p>
      <w:pPr>
        <w:spacing w:line="440" w:lineRule="exact"/>
        <w:ind w:firstLine="444" w:firstLineChars="185"/>
        <w:rPr>
          <w:rFonts w:ascii="宋体" w:hAnsi="宋体"/>
          <w:color w:val="auto"/>
          <w:sz w:val="24"/>
          <w:highlight w:val="none"/>
        </w:rPr>
      </w:pPr>
      <w:r>
        <w:rPr>
          <w:rFonts w:ascii="宋体" w:hAnsi="宋体"/>
          <w:color w:val="auto"/>
          <w:sz w:val="24"/>
          <w:highlight w:val="none"/>
        </w:rPr>
        <w:t>13.合同附件（工程质量保修责任书、</w:t>
      </w:r>
      <w:r>
        <w:rPr>
          <w:rFonts w:hint="eastAsia" w:ascii="宋体" w:hAnsi="宋体"/>
          <w:color w:val="auto"/>
          <w:sz w:val="24"/>
          <w:highlight w:val="none"/>
        </w:rPr>
        <w:t>标函承诺书、项目负责人驻场承诺书、工程建设廉政协议书等）；</w:t>
      </w:r>
    </w:p>
    <w:p>
      <w:pPr>
        <w:pStyle w:val="50"/>
        <w:spacing w:line="440" w:lineRule="exact"/>
        <w:ind w:left="0" w:firstLine="480" w:firstLineChars="200"/>
        <w:rPr>
          <w:rFonts w:ascii="宋体" w:hAnsi="宋体" w:eastAsia="宋体"/>
          <w:color w:val="auto"/>
          <w:sz w:val="24"/>
          <w:highlight w:val="none"/>
        </w:rPr>
      </w:pPr>
      <w:r>
        <w:rPr>
          <w:rFonts w:hint="eastAsia" w:ascii="宋体" w:hAnsi="宋体" w:eastAsia="宋体"/>
          <w:color w:val="auto"/>
          <w:sz w:val="24"/>
          <w:highlight w:val="none"/>
        </w:rPr>
        <w:t>双方有关工程的洽商、变更等书面协议或文件视为本合同的组成部分。</w:t>
      </w:r>
    </w:p>
    <w:p>
      <w:pPr>
        <w:snapToGrid w:val="0"/>
        <w:spacing w:line="440" w:lineRule="exact"/>
        <w:ind w:firstLine="482" w:firstLineChars="200"/>
        <w:rPr>
          <w:rFonts w:ascii="宋体" w:hAnsi="宋体"/>
          <w:bCs/>
          <w:color w:val="auto"/>
          <w:sz w:val="24"/>
          <w:highlight w:val="none"/>
        </w:rPr>
      </w:pPr>
      <w:r>
        <w:rPr>
          <w:rFonts w:hint="eastAsia" w:ascii="宋体" w:hAnsi="宋体"/>
          <w:b/>
          <w:bCs/>
          <w:color w:val="auto"/>
          <w:sz w:val="24"/>
          <w:highlight w:val="none"/>
        </w:rPr>
        <w:t>七、协议书中有关词语含义与本合同第二部分《通用条款》中分别赋予它们的定义相同。</w:t>
      </w:r>
    </w:p>
    <w:p>
      <w:pPr>
        <w:snapToGrid w:val="0"/>
        <w:spacing w:line="440" w:lineRule="exact"/>
        <w:ind w:firstLine="482" w:firstLineChars="200"/>
        <w:rPr>
          <w:rFonts w:ascii="宋体" w:hAnsi="宋体"/>
          <w:bCs/>
          <w:color w:val="auto"/>
          <w:sz w:val="24"/>
          <w:highlight w:val="none"/>
        </w:rPr>
      </w:pPr>
      <w:r>
        <w:rPr>
          <w:rFonts w:hint="eastAsia" w:ascii="宋体" w:hAnsi="宋体"/>
          <w:b/>
          <w:bCs/>
          <w:color w:val="auto"/>
          <w:sz w:val="24"/>
          <w:highlight w:val="none"/>
        </w:rPr>
        <w:t>八、承包人向发包人承诺按照合同约定进行施工、竣工并在质量保修期内承担工程质量保修责任。</w:t>
      </w:r>
    </w:p>
    <w:p>
      <w:pPr>
        <w:snapToGrid w:val="0"/>
        <w:spacing w:line="440" w:lineRule="exact"/>
        <w:ind w:left="600" w:firstLine="482" w:firstLineChars="200"/>
        <w:rPr>
          <w:color w:val="auto"/>
          <w:highlight w:val="none"/>
        </w:rPr>
      </w:pPr>
      <w:r>
        <w:rPr>
          <w:rFonts w:hint="eastAsia" w:ascii="宋体" w:hAnsi="宋体"/>
          <w:b/>
          <w:bCs/>
          <w:color w:val="auto"/>
          <w:sz w:val="24"/>
          <w:highlight w:val="none"/>
        </w:rPr>
        <w:t>九、发包人向承包人承诺按照合同约定的期限和方式支付合同价款及其他应当支付的款项。</w:t>
      </w:r>
    </w:p>
    <w:p>
      <w:pPr>
        <w:snapToGrid w:val="0"/>
        <w:spacing w:line="440" w:lineRule="exact"/>
        <w:ind w:firstLine="482" w:firstLineChars="200"/>
        <w:rPr>
          <w:rFonts w:ascii="宋体" w:hAnsi="宋体"/>
          <w:b/>
          <w:bCs/>
          <w:color w:val="auto"/>
          <w:sz w:val="24"/>
          <w:highlight w:val="none"/>
        </w:rPr>
      </w:pPr>
      <w:r>
        <w:rPr>
          <w:rFonts w:hint="eastAsia" w:ascii="宋体" w:hAnsi="宋体"/>
          <w:b/>
          <w:bCs/>
          <w:color w:val="auto"/>
          <w:sz w:val="24"/>
          <w:highlight w:val="none"/>
        </w:rPr>
        <w:t>十、合同生效</w:t>
      </w:r>
    </w:p>
    <w:p>
      <w:pPr>
        <w:snapToGrid w:val="0"/>
        <w:spacing w:line="440" w:lineRule="exact"/>
        <w:ind w:firstLine="482"/>
        <w:rPr>
          <w:rFonts w:ascii="宋体" w:hAnsi="宋体"/>
          <w:color w:val="auto"/>
          <w:sz w:val="24"/>
          <w:highlight w:val="none"/>
        </w:rPr>
      </w:pPr>
      <w:r>
        <w:rPr>
          <w:rFonts w:hint="eastAsia" w:ascii="宋体" w:hAnsi="宋体"/>
          <w:color w:val="auto"/>
          <w:sz w:val="24"/>
          <w:highlight w:val="none"/>
        </w:rPr>
        <w:t>合同订立时间：</w:t>
      </w:r>
      <w:r>
        <w:rPr>
          <w:rFonts w:ascii="宋体" w:hAnsi="宋体"/>
          <w:color w:val="auto"/>
          <w:sz w:val="24"/>
          <w:highlight w:val="none"/>
          <w:u w:val="single"/>
        </w:rPr>
        <w:t xml:space="preserve">     </w:t>
      </w:r>
      <w:r>
        <w:rPr>
          <w:rFonts w:hint="eastAsia" w:ascii="宋体" w:hAnsi="宋体"/>
          <w:color w:val="auto"/>
          <w:sz w:val="24"/>
          <w:highlight w:val="none"/>
        </w:rPr>
        <w:t>年</w:t>
      </w:r>
      <w:r>
        <w:rPr>
          <w:rFonts w:ascii="宋体" w:hAnsi="宋体"/>
          <w:color w:val="auto"/>
          <w:sz w:val="24"/>
          <w:highlight w:val="none"/>
          <w:u w:val="single"/>
        </w:rPr>
        <w:t xml:space="preserve">   </w:t>
      </w:r>
      <w:r>
        <w:rPr>
          <w:rFonts w:hint="eastAsia" w:ascii="宋体" w:hAnsi="宋体"/>
          <w:color w:val="auto"/>
          <w:sz w:val="24"/>
          <w:highlight w:val="none"/>
        </w:rPr>
        <w:t>月</w:t>
      </w:r>
      <w:r>
        <w:rPr>
          <w:rFonts w:ascii="宋体" w:hAnsi="宋体"/>
          <w:color w:val="auto"/>
          <w:sz w:val="24"/>
          <w:highlight w:val="none"/>
        </w:rPr>
        <w:t xml:space="preserve"> </w:t>
      </w:r>
      <w:r>
        <w:rPr>
          <w:rFonts w:ascii="宋体" w:hAnsi="宋体"/>
          <w:color w:val="auto"/>
          <w:sz w:val="24"/>
          <w:highlight w:val="none"/>
          <w:u w:val="single"/>
        </w:rPr>
        <w:t xml:space="preserve">   </w:t>
      </w:r>
      <w:r>
        <w:rPr>
          <w:rFonts w:hint="eastAsia" w:ascii="宋体" w:hAnsi="宋体"/>
          <w:color w:val="auto"/>
          <w:sz w:val="24"/>
          <w:highlight w:val="none"/>
        </w:rPr>
        <w:t>日</w:t>
      </w:r>
    </w:p>
    <w:p>
      <w:pPr>
        <w:snapToGrid w:val="0"/>
        <w:spacing w:line="440" w:lineRule="exact"/>
        <w:ind w:firstLine="480"/>
        <w:rPr>
          <w:rFonts w:ascii="宋体" w:hAnsi="宋体"/>
          <w:color w:val="auto"/>
          <w:sz w:val="24"/>
          <w:highlight w:val="none"/>
        </w:rPr>
      </w:pPr>
      <w:r>
        <w:rPr>
          <w:rFonts w:hint="eastAsia" w:ascii="宋体" w:hAnsi="宋体"/>
          <w:color w:val="auto"/>
          <w:sz w:val="24"/>
          <w:highlight w:val="none"/>
        </w:rPr>
        <w:t>合同订立地点：</w:t>
      </w:r>
      <w:r>
        <w:rPr>
          <w:rFonts w:hint="eastAsia" w:ascii="宋体" w:hAnsi="宋体"/>
          <w:color w:val="auto"/>
          <w:sz w:val="24"/>
          <w:highlight w:val="none"/>
          <w:u w:val="single"/>
        </w:rPr>
        <w:t>广州市黄埔区</w:t>
      </w:r>
    </w:p>
    <w:p>
      <w:pPr>
        <w:snapToGrid w:val="0"/>
        <w:spacing w:line="440" w:lineRule="exact"/>
        <w:ind w:firstLine="480"/>
        <w:rPr>
          <w:rFonts w:ascii="宋体" w:hAnsi="宋体"/>
          <w:color w:val="auto"/>
          <w:sz w:val="24"/>
          <w:highlight w:val="none"/>
        </w:rPr>
      </w:pPr>
      <w:r>
        <w:rPr>
          <w:rFonts w:hint="eastAsia" w:ascii="宋体" w:hAnsi="宋体"/>
          <w:color w:val="auto"/>
          <w:sz w:val="24"/>
          <w:highlight w:val="none"/>
        </w:rPr>
        <w:t>本合同双方约定：</w:t>
      </w:r>
      <w:r>
        <w:rPr>
          <w:rFonts w:hint="eastAsia" w:ascii="宋体" w:hAnsi="宋体"/>
          <w:color w:val="auto"/>
          <w:sz w:val="24"/>
          <w:highlight w:val="none"/>
          <w:u w:val="single"/>
        </w:rPr>
        <w:t>双方签名、盖章并在承包人提交履约担保</w:t>
      </w:r>
      <w:r>
        <w:rPr>
          <w:rFonts w:hint="eastAsia" w:ascii="宋体" w:hAnsi="宋体"/>
          <w:color w:val="auto"/>
          <w:sz w:val="24"/>
          <w:highlight w:val="none"/>
        </w:rPr>
        <w:t>后生效。</w:t>
      </w:r>
    </w:p>
    <w:p>
      <w:pPr>
        <w:snapToGrid w:val="0"/>
        <w:spacing w:line="440" w:lineRule="exact"/>
        <w:rPr>
          <w:rFonts w:ascii="宋体" w:hAnsi="宋体"/>
          <w:color w:val="auto"/>
          <w:sz w:val="24"/>
          <w:highlight w:val="none"/>
        </w:rPr>
      </w:pPr>
      <w:r>
        <w:rPr>
          <w:rFonts w:ascii="宋体" w:hAnsi="宋体"/>
          <w:color w:val="auto"/>
          <w:sz w:val="24"/>
          <w:highlight w:val="none"/>
        </w:rPr>
        <w:br w:type="page"/>
      </w:r>
    </w:p>
    <w:tbl>
      <w:tblPr>
        <w:tblStyle w:val="20"/>
        <w:tblW w:w="0" w:type="auto"/>
        <w:tblInd w:w="0" w:type="dxa"/>
        <w:tblLayout w:type="fixed"/>
        <w:tblCellMar>
          <w:top w:w="0" w:type="dxa"/>
          <w:left w:w="108" w:type="dxa"/>
          <w:bottom w:w="0" w:type="dxa"/>
          <w:right w:w="108" w:type="dxa"/>
        </w:tblCellMar>
      </w:tblPr>
      <w:tblGrid>
        <w:gridCol w:w="4839"/>
        <w:gridCol w:w="4839"/>
      </w:tblGrid>
      <w:tr>
        <w:tblPrEx>
          <w:tblCellMar>
            <w:top w:w="0" w:type="dxa"/>
            <w:left w:w="108" w:type="dxa"/>
            <w:bottom w:w="0" w:type="dxa"/>
            <w:right w:w="108" w:type="dxa"/>
          </w:tblCellMar>
        </w:tblPrEx>
        <w:trPr>
          <w:trHeight w:val="1134" w:hRule="atLeast"/>
        </w:trPr>
        <w:tc>
          <w:tcPr>
            <w:tcW w:w="4839" w:type="dxa"/>
            <w:noWrap/>
          </w:tcPr>
          <w:p>
            <w:pPr>
              <w:snapToGrid w:val="0"/>
              <w:spacing w:line="440" w:lineRule="exact"/>
              <w:rPr>
                <w:rFonts w:ascii="宋体" w:hAnsi="宋体"/>
                <w:color w:val="auto"/>
                <w:sz w:val="24"/>
                <w:highlight w:val="none"/>
              </w:rPr>
            </w:pPr>
            <w:r>
              <w:rPr>
                <w:rFonts w:ascii="宋体" w:hAnsi="宋体"/>
                <w:color w:val="auto"/>
                <w:sz w:val="24"/>
                <w:highlight w:val="none"/>
              </w:rPr>
              <w:t>发包人：（公章）</w:t>
            </w:r>
          </w:p>
        </w:tc>
        <w:tc>
          <w:tcPr>
            <w:tcW w:w="4839" w:type="dxa"/>
            <w:noWrap/>
          </w:tcPr>
          <w:p>
            <w:pPr>
              <w:snapToGrid w:val="0"/>
              <w:spacing w:line="440" w:lineRule="exact"/>
              <w:rPr>
                <w:rFonts w:ascii="宋体" w:hAnsi="宋体"/>
                <w:color w:val="auto"/>
                <w:sz w:val="24"/>
                <w:highlight w:val="none"/>
              </w:rPr>
            </w:pPr>
            <w:r>
              <w:rPr>
                <w:rFonts w:ascii="宋体" w:hAnsi="宋体"/>
                <w:color w:val="auto"/>
                <w:sz w:val="24"/>
                <w:highlight w:val="none"/>
              </w:rPr>
              <w:t>承包人：（公章）</w:t>
            </w:r>
          </w:p>
        </w:tc>
      </w:tr>
      <w:tr>
        <w:tblPrEx>
          <w:tblCellMar>
            <w:top w:w="0" w:type="dxa"/>
            <w:left w:w="108" w:type="dxa"/>
            <w:bottom w:w="0" w:type="dxa"/>
            <w:right w:w="108" w:type="dxa"/>
          </w:tblCellMar>
        </w:tblPrEx>
        <w:trPr>
          <w:trHeight w:val="1134" w:hRule="atLeast"/>
        </w:trPr>
        <w:tc>
          <w:tcPr>
            <w:tcW w:w="4839" w:type="dxa"/>
            <w:noWrap/>
          </w:tcPr>
          <w:p>
            <w:pPr>
              <w:snapToGrid w:val="0"/>
              <w:spacing w:line="440" w:lineRule="exact"/>
              <w:rPr>
                <w:rFonts w:ascii="宋体" w:hAnsi="宋体"/>
                <w:color w:val="auto"/>
                <w:sz w:val="24"/>
                <w:highlight w:val="none"/>
              </w:rPr>
            </w:pPr>
            <w:r>
              <w:rPr>
                <w:rFonts w:hint="eastAsia" w:ascii="宋体" w:hAnsi="宋体"/>
                <w:color w:val="auto"/>
                <w:sz w:val="24"/>
                <w:highlight w:val="none"/>
              </w:rPr>
              <w:t>住</w:t>
            </w:r>
            <w:r>
              <w:rPr>
                <w:rFonts w:ascii="宋体" w:hAnsi="宋体"/>
                <w:color w:val="auto"/>
                <w:sz w:val="24"/>
                <w:highlight w:val="none"/>
              </w:rPr>
              <w:t xml:space="preserve">  </w:t>
            </w:r>
            <w:r>
              <w:rPr>
                <w:rFonts w:hint="eastAsia" w:ascii="宋体" w:hAnsi="宋体"/>
                <w:color w:val="auto"/>
                <w:sz w:val="24"/>
                <w:highlight w:val="none"/>
              </w:rPr>
              <w:t>所：</w:t>
            </w:r>
          </w:p>
        </w:tc>
        <w:tc>
          <w:tcPr>
            <w:tcW w:w="4839" w:type="dxa"/>
            <w:noWrap/>
          </w:tcPr>
          <w:p>
            <w:pPr>
              <w:snapToGrid w:val="0"/>
              <w:spacing w:line="440" w:lineRule="exact"/>
              <w:rPr>
                <w:rFonts w:ascii="宋体" w:hAnsi="宋体"/>
                <w:color w:val="auto"/>
                <w:sz w:val="24"/>
                <w:highlight w:val="none"/>
              </w:rPr>
            </w:pPr>
            <w:r>
              <w:rPr>
                <w:rFonts w:hint="eastAsia" w:ascii="宋体" w:hAnsi="宋体"/>
                <w:color w:val="auto"/>
                <w:sz w:val="24"/>
                <w:highlight w:val="none"/>
              </w:rPr>
              <w:t>住</w:t>
            </w:r>
            <w:r>
              <w:rPr>
                <w:rFonts w:ascii="宋体" w:hAnsi="宋体"/>
                <w:color w:val="auto"/>
                <w:sz w:val="24"/>
                <w:highlight w:val="none"/>
              </w:rPr>
              <w:t xml:space="preserve">  </w:t>
            </w:r>
            <w:r>
              <w:rPr>
                <w:rFonts w:hint="eastAsia" w:ascii="宋体" w:hAnsi="宋体"/>
                <w:color w:val="auto"/>
                <w:sz w:val="24"/>
                <w:highlight w:val="none"/>
              </w:rPr>
              <w:t>所：</w:t>
            </w:r>
          </w:p>
        </w:tc>
      </w:tr>
      <w:tr>
        <w:tblPrEx>
          <w:tblCellMar>
            <w:top w:w="0" w:type="dxa"/>
            <w:left w:w="108" w:type="dxa"/>
            <w:bottom w:w="0" w:type="dxa"/>
            <w:right w:w="108" w:type="dxa"/>
          </w:tblCellMar>
        </w:tblPrEx>
        <w:trPr>
          <w:trHeight w:val="1134" w:hRule="atLeast"/>
        </w:trPr>
        <w:tc>
          <w:tcPr>
            <w:tcW w:w="4839" w:type="dxa"/>
            <w:noWrap/>
          </w:tcPr>
          <w:p>
            <w:pPr>
              <w:snapToGrid w:val="0"/>
              <w:spacing w:line="440" w:lineRule="exact"/>
              <w:rPr>
                <w:rFonts w:ascii="宋体" w:hAnsi="宋体"/>
                <w:color w:val="auto"/>
                <w:sz w:val="24"/>
                <w:highlight w:val="none"/>
              </w:rPr>
            </w:pPr>
            <w:r>
              <w:rPr>
                <w:rFonts w:ascii="宋体" w:hAnsi="宋体"/>
                <w:color w:val="auto"/>
                <w:sz w:val="24"/>
                <w:highlight w:val="none"/>
              </w:rPr>
              <w:t>法定代表人：</w:t>
            </w:r>
          </w:p>
        </w:tc>
        <w:tc>
          <w:tcPr>
            <w:tcW w:w="4839" w:type="dxa"/>
            <w:noWrap/>
          </w:tcPr>
          <w:p>
            <w:pPr>
              <w:snapToGrid w:val="0"/>
              <w:spacing w:line="440" w:lineRule="exact"/>
              <w:rPr>
                <w:rFonts w:ascii="宋体" w:hAnsi="宋体"/>
                <w:color w:val="auto"/>
                <w:sz w:val="24"/>
                <w:highlight w:val="none"/>
              </w:rPr>
            </w:pPr>
            <w:r>
              <w:rPr>
                <w:rFonts w:ascii="宋体" w:hAnsi="宋体"/>
                <w:color w:val="auto"/>
                <w:sz w:val="24"/>
                <w:highlight w:val="none"/>
              </w:rPr>
              <w:t>法定代表人：</w:t>
            </w:r>
          </w:p>
        </w:tc>
      </w:tr>
      <w:tr>
        <w:tblPrEx>
          <w:tblCellMar>
            <w:top w:w="0" w:type="dxa"/>
            <w:left w:w="108" w:type="dxa"/>
            <w:bottom w:w="0" w:type="dxa"/>
            <w:right w:w="108" w:type="dxa"/>
          </w:tblCellMar>
        </w:tblPrEx>
        <w:trPr>
          <w:trHeight w:val="1134" w:hRule="atLeast"/>
        </w:trPr>
        <w:tc>
          <w:tcPr>
            <w:tcW w:w="4839" w:type="dxa"/>
            <w:noWrap/>
          </w:tcPr>
          <w:p>
            <w:pPr>
              <w:snapToGrid w:val="0"/>
              <w:spacing w:line="440" w:lineRule="exact"/>
              <w:rPr>
                <w:rFonts w:ascii="宋体" w:hAnsi="宋体"/>
                <w:color w:val="auto"/>
                <w:sz w:val="24"/>
                <w:highlight w:val="none"/>
              </w:rPr>
            </w:pPr>
            <w:r>
              <w:rPr>
                <w:rFonts w:hint="eastAsia" w:ascii="宋体" w:hAnsi="宋体"/>
                <w:color w:val="auto"/>
                <w:sz w:val="24"/>
                <w:highlight w:val="none"/>
              </w:rPr>
              <w:t>委托代理人：</w:t>
            </w:r>
          </w:p>
        </w:tc>
        <w:tc>
          <w:tcPr>
            <w:tcW w:w="4839" w:type="dxa"/>
            <w:noWrap/>
          </w:tcPr>
          <w:p>
            <w:pPr>
              <w:snapToGrid w:val="0"/>
              <w:spacing w:line="440" w:lineRule="exact"/>
              <w:rPr>
                <w:rFonts w:ascii="宋体" w:hAnsi="宋体"/>
                <w:color w:val="auto"/>
                <w:sz w:val="24"/>
                <w:highlight w:val="none"/>
              </w:rPr>
            </w:pPr>
            <w:r>
              <w:rPr>
                <w:rFonts w:hint="eastAsia" w:ascii="宋体" w:hAnsi="宋体"/>
                <w:color w:val="auto"/>
                <w:sz w:val="24"/>
                <w:highlight w:val="none"/>
              </w:rPr>
              <w:t>委托代理人：</w:t>
            </w:r>
          </w:p>
        </w:tc>
      </w:tr>
      <w:tr>
        <w:tblPrEx>
          <w:tblCellMar>
            <w:top w:w="0" w:type="dxa"/>
            <w:left w:w="108" w:type="dxa"/>
            <w:bottom w:w="0" w:type="dxa"/>
            <w:right w:w="108" w:type="dxa"/>
          </w:tblCellMar>
        </w:tblPrEx>
        <w:trPr>
          <w:trHeight w:val="1134" w:hRule="atLeast"/>
        </w:trPr>
        <w:tc>
          <w:tcPr>
            <w:tcW w:w="4839" w:type="dxa"/>
            <w:noWrap/>
          </w:tcPr>
          <w:p>
            <w:pPr>
              <w:snapToGrid w:val="0"/>
              <w:spacing w:line="440" w:lineRule="exact"/>
              <w:rPr>
                <w:rFonts w:ascii="宋体" w:hAnsi="宋体"/>
                <w:color w:val="auto"/>
                <w:sz w:val="24"/>
                <w:highlight w:val="none"/>
              </w:rPr>
            </w:pPr>
            <w:r>
              <w:rPr>
                <w:rFonts w:hint="eastAsia" w:ascii="宋体" w:hAnsi="宋体"/>
                <w:color w:val="auto"/>
                <w:sz w:val="24"/>
                <w:highlight w:val="none"/>
              </w:rPr>
              <w:t>电</w:t>
            </w:r>
            <w:r>
              <w:rPr>
                <w:rFonts w:ascii="宋体" w:hAnsi="宋体"/>
                <w:color w:val="auto"/>
                <w:sz w:val="24"/>
                <w:highlight w:val="none"/>
              </w:rPr>
              <w:t xml:space="preserve">   </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话：</w:t>
            </w:r>
          </w:p>
        </w:tc>
        <w:tc>
          <w:tcPr>
            <w:tcW w:w="4839" w:type="dxa"/>
            <w:noWrap/>
          </w:tcPr>
          <w:p>
            <w:pPr>
              <w:snapToGrid w:val="0"/>
              <w:spacing w:line="440" w:lineRule="exact"/>
              <w:rPr>
                <w:rFonts w:ascii="宋体" w:hAnsi="宋体"/>
                <w:color w:val="auto"/>
                <w:sz w:val="24"/>
                <w:highlight w:val="none"/>
              </w:rPr>
            </w:pPr>
            <w:r>
              <w:rPr>
                <w:rFonts w:hint="eastAsia" w:ascii="宋体" w:hAnsi="宋体"/>
                <w:color w:val="auto"/>
                <w:sz w:val="24"/>
                <w:highlight w:val="none"/>
              </w:rPr>
              <w:t>电</w:t>
            </w:r>
            <w:r>
              <w:rPr>
                <w:rFonts w:ascii="宋体" w:hAnsi="宋体"/>
                <w:color w:val="auto"/>
                <w:sz w:val="24"/>
                <w:highlight w:val="none"/>
              </w:rPr>
              <w:t xml:space="preserve">   </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话：</w:t>
            </w:r>
          </w:p>
        </w:tc>
      </w:tr>
      <w:tr>
        <w:tblPrEx>
          <w:tblCellMar>
            <w:top w:w="0" w:type="dxa"/>
            <w:left w:w="108" w:type="dxa"/>
            <w:bottom w:w="0" w:type="dxa"/>
            <w:right w:w="108" w:type="dxa"/>
          </w:tblCellMar>
        </w:tblPrEx>
        <w:trPr>
          <w:trHeight w:val="1134" w:hRule="atLeast"/>
        </w:trPr>
        <w:tc>
          <w:tcPr>
            <w:tcW w:w="4839" w:type="dxa"/>
            <w:noWrap/>
          </w:tcPr>
          <w:p>
            <w:pPr>
              <w:snapToGrid w:val="0"/>
              <w:spacing w:line="440" w:lineRule="exact"/>
              <w:rPr>
                <w:rFonts w:ascii="宋体" w:hAnsi="宋体"/>
                <w:color w:val="auto"/>
                <w:sz w:val="24"/>
                <w:highlight w:val="none"/>
              </w:rPr>
            </w:pPr>
            <w:r>
              <w:rPr>
                <w:rFonts w:hint="eastAsia" w:ascii="宋体" w:hAnsi="宋体"/>
                <w:color w:val="auto"/>
                <w:sz w:val="24"/>
                <w:highlight w:val="none"/>
              </w:rPr>
              <w:t>传</w:t>
            </w:r>
            <w:r>
              <w:rPr>
                <w:rFonts w:ascii="宋体" w:hAnsi="宋体"/>
                <w:color w:val="auto"/>
                <w:sz w:val="24"/>
                <w:highlight w:val="none"/>
              </w:rPr>
              <w:t xml:space="preserve">   </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真：</w:t>
            </w:r>
          </w:p>
        </w:tc>
        <w:tc>
          <w:tcPr>
            <w:tcW w:w="4839" w:type="dxa"/>
            <w:noWrap/>
          </w:tcPr>
          <w:p>
            <w:pPr>
              <w:snapToGrid w:val="0"/>
              <w:spacing w:line="440" w:lineRule="exact"/>
              <w:rPr>
                <w:rFonts w:ascii="宋体" w:hAnsi="宋体"/>
                <w:color w:val="auto"/>
                <w:sz w:val="24"/>
                <w:highlight w:val="none"/>
              </w:rPr>
            </w:pPr>
            <w:r>
              <w:rPr>
                <w:rFonts w:hint="eastAsia" w:ascii="宋体" w:hAnsi="宋体"/>
                <w:color w:val="auto"/>
                <w:sz w:val="24"/>
                <w:highlight w:val="none"/>
              </w:rPr>
              <w:t>传</w:t>
            </w:r>
            <w:r>
              <w:rPr>
                <w:rFonts w:ascii="宋体" w:hAnsi="宋体"/>
                <w:color w:val="auto"/>
                <w:sz w:val="24"/>
                <w:highlight w:val="none"/>
              </w:rPr>
              <w:t xml:space="preserve">   </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真：</w:t>
            </w:r>
          </w:p>
        </w:tc>
      </w:tr>
      <w:tr>
        <w:tblPrEx>
          <w:tblCellMar>
            <w:top w:w="0" w:type="dxa"/>
            <w:left w:w="108" w:type="dxa"/>
            <w:bottom w:w="0" w:type="dxa"/>
            <w:right w:w="108" w:type="dxa"/>
          </w:tblCellMar>
        </w:tblPrEx>
        <w:trPr>
          <w:trHeight w:val="1134" w:hRule="atLeast"/>
        </w:trPr>
        <w:tc>
          <w:tcPr>
            <w:tcW w:w="4839" w:type="dxa"/>
            <w:noWrap/>
          </w:tcPr>
          <w:p>
            <w:pPr>
              <w:snapToGrid w:val="0"/>
              <w:spacing w:line="440" w:lineRule="exact"/>
              <w:rPr>
                <w:rFonts w:ascii="宋体" w:hAnsi="宋体"/>
                <w:color w:val="auto"/>
                <w:sz w:val="24"/>
                <w:highlight w:val="none"/>
              </w:rPr>
            </w:pPr>
            <w:r>
              <w:rPr>
                <w:rFonts w:hint="eastAsia" w:ascii="宋体" w:hAnsi="宋体"/>
                <w:color w:val="auto"/>
                <w:sz w:val="24"/>
                <w:highlight w:val="none"/>
              </w:rPr>
              <w:t>开户银行：</w:t>
            </w:r>
          </w:p>
        </w:tc>
        <w:tc>
          <w:tcPr>
            <w:tcW w:w="4839" w:type="dxa"/>
            <w:noWrap/>
          </w:tcPr>
          <w:p>
            <w:pPr>
              <w:snapToGrid w:val="0"/>
              <w:spacing w:line="440" w:lineRule="exact"/>
              <w:rPr>
                <w:rFonts w:ascii="宋体" w:hAnsi="宋体"/>
                <w:color w:val="auto"/>
                <w:sz w:val="24"/>
                <w:highlight w:val="none"/>
              </w:rPr>
            </w:pPr>
            <w:r>
              <w:rPr>
                <w:rFonts w:hint="eastAsia" w:ascii="宋体" w:hAnsi="宋体"/>
                <w:color w:val="auto"/>
                <w:sz w:val="24"/>
                <w:highlight w:val="none"/>
              </w:rPr>
              <w:t>开户银行：</w:t>
            </w:r>
          </w:p>
        </w:tc>
      </w:tr>
      <w:tr>
        <w:tblPrEx>
          <w:tblCellMar>
            <w:top w:w="0" w:type="dxa"/>
            <w:left w:w="108" w:type="dxa"/>
            <w:bottom w:w="0" w:type="dxa"/>
            <w:right w:w="108" w:type="dxa"/>
          </w:tblCellMar>
        </w:tblPrEx>
        <w:trPr>
          <w:trHeight w:val="1134" w:hRule="atLeast"/>
        </w:trPr>
        <w:tc>
          <w:tcPr>
            <w:tcW w:w="4839" w:type="dxa"/>
            <w:noWrap/>
          </w:tcPr>
          <w:p>
            <w:pPr>
              <w:snapToGrid w:val="0"/>
              <w:spacing w:line="440" w:lineRule="exact"/>
              <w:rPr>
                <w:rFonts w:ascii="宋体" w:hAnsi="宋体"/>
                <w:color w:val="auto"/>
                <w:sz w:val="24"/>
                <w:highlight w:val="none"/>
              </w:rPr>
            </w:pPr>
            <w:r>
              <w:rPr>
                <w:rFonts w:hint="eastAsia" w:ascii="宋体" w:hAnsi="宋体"/>
                <w:color w:val="auto"/>
                <w:sz w:val="24"/>
                <w:highlight w:val="none"/>
              </w:rPr>
              <w:t>帐</w:t>
            </w:r>
            <w:r>
              <w:rPr>
                <w:rFonts w:ascii="宋体" w:hAnsi="宋体"/>
                <w:color w:val="auto"/>
                <w:sz w:val="24"/>
                <w:highlight w:val="none"/>
              </w:rPr>
              <w:t xml:space="preserve">    号：</w:t>
            </w:r>
          </w:p>
        </w:tc>
        <w:tc>
          <w:tcPr>
            <w:tcW w:w="4839" w:type="dxa"/>
            <w:noWrap/>
          </w:tcPr>
          <w:p>
            <w:pPr>
              <w:snapToGrid w:val="0"/>
              <w:spacing w:line="440" w:lineRule="exact"/>
              <w:rPr>
                <w:rFonts w:ascii="宋体" w:hAnsi="宋体"/>
                <w:color w:val="auto"/>
                <w:sz w:val="24"/>
                <w:highlight w:val="none"/>
              </w:rPr>
            </w:pPr>
            <w:r>
              <w:rPr>
                <w:rFonts w:hint="eastAsia" w:ascii="宋体" w:hAnsi="宋体"/>
                <w:color w:val="auto"/>
                <w:sz w:val="24"/>
                <w:highlight w:val="none"/>
              </w:rPr>
              <w:t>帐</w:t>
            </w:r>
            <w:r>
              <w:rPr>
                <w:rFonts w:ascii="宋体" w:hAnsi="宋体"/>
                <w:color w:val="auto"/>
                <w:sz w:val="24"/>
                <w:highlight w:val="none"/>
              </w:rPr>
              <w:t xml:space="preserve">    号：</w:t>
            </w:r>
          </w:p>
        </w:tc>
      </w:tr>
      <w:tr>
        <w:tblPrEx>
          <w:tblCellMar>
            <w:top w:w="0" w:type="dxa"/>
            <w:left w:w="108" w:type="dxa"/>
            <w:bottom w:w="0" w:type="dxa"/>
            <w:right w:w="108" w:type="dxa"/>
          </w:tblCellMar>
        </w:tblPrEx>
        <w:trPr>
          <w:trHeight w:val="1134" w:hRule="atLeast"/>
        </w:trPr>
        <w:tc>
          <w:tcPr>
            <w:tcW w:w="4839" w:type="dxa"/>
            <w:noWrap/>
          </w:tcPr>
          <w:p>
            <w:pPr>
              <w:snapToGrid w:val="0"/>
              <w:spacing w:line="440" w:lineRule="exact"/>
              <w:rPr>
                <w:rFonts w:ascii="宋体" w:hAnsi="宋体"/>
                <w:color w:val="auto"/>
                <w:sz w:val="24"/>
                <w:highlight w:val="none"/>
              </w:rPr>
            </w:pPr>
            <w:r>
              <w:rPr>
                <w:rFonts w:hint="eastAsia" w:ascii="宋体" w:hAnsi="宋体"/>
                <w:color w:val="auto"/>
                <w:sz w:val="24"/>
                <w:highlight w:val="none"/>
              </w:rPr>
              <w:t>邮政编码：</w:t>
            </w:r>
          </w:p>
        </w:tc>
        <w:tc>
          <w:tcPr>
            <w:tcW w:w="4839" w:type="dxa"/>
            <w:noWrap/>
          </w:tcPr>
          <w:p>
            <w:pPr>
              <w:snapToGrid w:val="0"/>
              <w:spacing w:line="440" w:lineRule="exact"/>
              <w:rPr>
                <w:rFonts w:ascii="宋体" w:hAnsi="宋体"/>
                <w:color w:val="auto"/>
                <w:sz w:val="24"/>
                <w:highlight w:val="none"/>
              </w:rPr>
            </w:pPr>
            <w:r>
              <w:rPr>
                <w:rFonts w:hint="eastAsia" w:ascii="宋体" w:hAnsi="宋体"/>
                <w:color w:val="auto"/>
                <w:sz w:val="24"/>
                <w:highlight w:val="none"/>
              </w:rPr>
              <w:t>邮政编码：</w:t>
            </w:r>
          </w:p>
        </w:tc>
      </w:tr>
    </w:tbl>
    <w:p>
      <w:pPr>
        <w:snapToGrid w:val="0"/>
        <w:spacing w:line="440" w:lineRule="exact"/>
        <w:ind w:firstLine="120" w:firstLineChars="50"/>
        <w:rPr>
          <w:rFonts w:ascii="宋体" w:hAnsi="宋体"/>
          <w:color w:val="auto"/>
          <w:sz w:val="24"/>
          <w:highlight w:val="none"/>
        </w:rPr>
      </w:pPr>
    </w:p>
    <w:p>
      <w:pPr>
        <w:snapToGrid w:val="0"/>
        <w:spacing w:line="440" w:lineRule="exact"/>
        <w:jc w:val="center"/>
        <w:rPr>
          <w:rFonts w:ascii="宋体" w:hAnsi="宋体"/>
          <w:color w:val="auto"/>
          <w:sz w:val="24"/>
          <w:highlight w:val="none"/>
        </w:rPr>
      </w:pPr>
      <w:r>
        <w:rPr>
          <w:rFonts w:ascii="宋体" w:hAnsi="宋体"/>
          <w:color w:val="auto"/>
          <w:sz w:val="24"/>
          <w:highlight w:val="none"/>
        </w:rPr>
        <w:br w:type="page"/>
      </w:r>
      <w:r>
        <w:rPr>
          <w:rFonts w:hint="eastAsia" w:ascii="宋体" w:hAnsi="宋体"/>
          <w:b/>
          <w:bCs/>
          <w:color w:val="auto"/>
          <w:sz w:val="28"/>
          <w:szCs w:val="28"/>
          <w:highlight w:val="none"/>
        </w:rPr>
        <w:t>第二部分</w:t>
      </w:r>
      <w:r>
        <w:rPr>
          <w:rFonts w:ascii="宋体" w:hAnsi="宋体"/>
          <w:b/>
          <w:bCs/>
          <w:color w:val="auto"/>
          <w:sz w:val="28"/>
          <w:szCs w:val="28"/>
          <w:highlight w:val="none"/>
        </w:rPr>
        <w:t xml:space="preserve"> </w:t>
      </w:r>
      <w:r>
        <w:rPr>
          <w:rFonts w:hint="eastAsia" w:ascii="宋体" w:hAnsi="宋体"/>
          <w:b/>
          <w:bCs/>
          <w:color w:val="auto"/>
          <w:sz w:val="28"/>
          <w:szCs w:val="28"/>
          <w:highlight w:val="none"/>
        </w:rPr>
        <w:t>通用条款</w:t>
      </w:r>
    </w:p>
    <w:p>
      <w:pPr>
        <w:spacing w:line="440" w:lineRule="exact"/>
        <w:jc w:val="center"/>
        <w:rPr>
          <w:rFonts w:ascii="宋体" w:hAnsi="宋体"/>
          <w:color w:val="auto"/>
          <w:sz w:val="24"/>
          <w:highlight w:val="none"/>
        </w:rPr>
      </w:pPr>
    </w:p>
    <w:p>
      <w:pPr>
        <w:spacing w:line="440" w:lineRule="exact"/>
        <w:ind w:firstLine="359" w:firstLineChars="171"/>
        <w:rPr>
          <w:rFonts w:ascii="宋体" w:hAnsi="宋体"/>
          <w:color w:val="auto"/>
          <w:sz w:val="21"/>
          <w:szCs w:val="21"/>
          <w:highlight w:val="none"/>
        </w:rPr>
      </w:pPr>
      <w:r>
        <w:rPr>
          <w:rFonts w:hint="eastAsia" w:ascii="宋体" w:hAnsi="宋体"/>
          <w:color w:val="auto"/>
          <w:sz w:val="21"/>
          <w:szCs w:val="21"/>
          <w:highlight w:val="none"/>
        </w:rPr>
        <w:t>一、词语定义及合同文件</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1.</w:t>
      </w:r>
      <w:r>
        <w:rPr>
          <w:rFonts w:hint="eastAsia" w:ascii="宋体" w:hAnsi="宋体"/>
          <w:color w:val="auto"/>
          <w:sz w:val="21"/>
          <w:szCs w:val="21"/>
          <w:highlight w:val="none"/>
        </w:rPr>
        <w:t>词语定义</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hint="eastAsia" w:ascii="宋体" w:hAnsi="宋体"/>
          <w:color w:val="auto"/>
          <w:sz w:val="21"/>
          <w:szCs w:val="21"/>
          <w:highlight w:val="none"/>
        </w:rPr>
        <w:t>下列词语除专用条款另有约定外，应具有本条所赋予的定义：</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1.1 通用条款：是根据法律、行政法规规定及建设工程施工的需要订立，通用于建设工程施工的条款。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1.2 专用条款：是发包人与承包人根据法律、行政法规规定，结合具体工程实际，经协商达成一致意见的条款，是对通用条款的具体化、补充或修改。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1.3 发包人：指在协议书中约定，具有工程发包主体资格和支付工程价款能力的当事人以及取得该当事人资格的合法继承人。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1.4 承包人：指在协议书中约定，被发包人接受的具有工程施工承包主体资格的当事人以及取得该当事人资格的合法继承人。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1.5 </w:t>
      </w:r>
      <w:r>
        <w:rPr>
          <w:rFonts w:hint="eastAsia" w:ascii="宋体" w:hAnsi="宋体"/>
          <w:color w:val="auto"/>
          <w:sz w:val="21"/>
          <w:szCs w:val="21"/>
          <w:highlight w:val="none"/>
        </w:rPr>
        <w:t>项目负责人：指承包人在专用条款中指定的负责施工管理和合同履行的代表。</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1.6 设计单位：指发包人委托的负责本工程设计并取得相应工程设计资质等级证书的单位。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1.7 监理单位：指发包人委托的负责本工程监理并取得相应在工程监理资质等级证书的单位。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1.8 工程师：指本工程监理单位委派的总监理工程师或发包人指定的履行本合同的代表，其具体身份和职权由发包人承包人在专用条款中约定。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1.9 工程造价管理部门：指国务院有关部门、县级以上人民政府建设行政主管部门或其委托的工程造价管理机构。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1.10 工程：指发包人承包人在协议书中约定的承包范围内的工程。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1.11 合同价款：指发包人承包人在协议书中约定，发包人用以支付承包人按照合同约定完成承包范围内全部工程并承担质量保修责任的款项。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1.12 追加合同价款：指在合同履行中发生需要增加合同价款的情况，经发包人确认后按计算合同价款的方法增加的合同价款。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1.13 </w:t>
      </w:r>
      <w:r>
        <w:rPr>
          <w:rFonts w:hint="eastAsia" w:ascii="宋体" w:hAnsi="宋体"/>
          <w:color w:val="auto"/>
          <w:sz w:val="21"/>
          <w:szCs w:val="21"/>
          <w:highlight w:val="none"/>
        </w:rPr>
        <w:t>费用：指不包含在合同价款之内的应当由发包人或承包人承担的经济支出。</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1.14 </w:t>
      </w:r>
      <w:r>
        <w:rPr>
          <w:rFonts w:hint="eastAsia" w:ascii="宋体" w:hAnsi="宋体"/>
          <w:color w:val="auto"/>
          <w:sz w:val="21"/>
          <w:szCs w:val="21"/>
          <w:highlight w:val="none"/>
        </w:rPr>
        <w:t>工期：指发包人承包人在协议书中约定，按总日历天数（包括法定节假日）计算的承包天数。</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1.15 开工日期：指发包人承包人在协议书中约定，承包人开始施工的绝对或相对的日期。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1.16 竣工日期：指发包人承包人在协议书中约定，承包人完成承包范围内工程的绝对或相对的日期。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1.17 图纸：指由发包人提供或承包人提供并经发包人批准，满足承包人施工需要的所有图纸（包括配套说明和有关资料）。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1.18 施工场地：指由发包人提供的用于工程施工的场所以及发包人在图纸中具体指定的供施工使用的任何其他场所。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1.19 书面形式：指合同书、信件和数据电文（包括电报、电传、传真、电子数据交换和电子邮件）等可以有形地表现所载内容的形式。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1.20 违约责任：指合同一方不履行合同义务或履行合同义务不符合约定所应承担的责任。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1.21 索赔：指在合同履行过程中，对于并非自己的过错，而是应由对方承担责任的情况造成的实际损失，向对方提出经济补偿和（或）工期顺延的要求。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1.22 不可抗力：指不能预见、不能避免并不能克服的客观情况。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1.23 小时或天：本合同中规定按小时计算时间的，从事件有效开始时计算（不扣除休息时间）；规定按天计算时间的，开始当天不计入，从次日开始计算。时限的最后一天是休息日或者其他法定节假日的，以节假日次日为时限的最后一天，但竣工日期除外。时限的最后一天的截止时间为当日24小时。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2、合同文件及解释顺序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2.1 合同文件应能相互解释，互为说明。除专用条款另有约定外，组成本合同的文件及优先解释顺序如下： </w:t>
      </w:r>
    </w:p>
    <w:p>
      <w:pPr>
        <w:spacing w:line="440" w:lineRule="exact"/>
        <w:ind w:firstLine="359" w:firstLineChars="171"/>
        <w:rPr>
          <w:rFonts w:ascii="宋体" w:hAnsi="宋体"/>
          <w:color w:val="auto"/>
          <w:sz w:val="21"/>
          <w:szCs w:val="21"/>
          <w:highlight w:val="none"/>
        </w:rPr>
      </w:pPr>
      <w:r>
        <w:rPr>
          <w:rFonts w:hint="eastAsia" w:ascii="宋体" w:hAnsi="宋体"/>
          <w:color w:val="auto"/>
          <w:sz w:val="21"/>
          <w:szCs w:val="21"/>
          <w:highlight w:val="none"/>
        </w:rPr>
        <w:t>（</w:t>
      </w:r>
      <w:r>
        <w:rPr>
          <w:rFonts w:ascii="宋体" w:hAnsi="宋体"/>
          <w:color w:val="auto"/>
          <w:sz w:val="21"/>
          <w:szCs w:val="21"/>
          <w:highlight w:val="none"/>
        </w:rPr>
        <w:t xml:space="preserve">1）本合同协议书 </w:t>
      </w:r>
    </w:p>
    <w:p>
      <w:pPr>
        <w:spacing w:line="440" w:lineRule="exact"/>
        <w:ind w:firstLine="359" w:firstLineChars="171"/>
        <w:rPr>
          <w:rFonts w:ascii="宋体" w:hAnsi="宋体"/>
          <w:color w:val="auto"/>
          <w:sz w:val="21"/>
          <w:szCs w:val="21"/>
          <w:highlight w:val="none"/>
        </w:rPr>
      </w:pPr>
      <w:r>
        <w:rPr>
          <w:rFonts w:hint="eastAsia" w:ascii="宋体" w:hAnsi="宋体"/>
          <w:color w:val="auto"/>
          <w:sz w:val="21"/>
          <w:szCs w:val="21"/>
          <w:highlight w:val="none"/>
        </w:rPr>
        <w:t>（</w:t>
      </w:r>
      <w:r>
        <w:rPr>
          <w:rFonts w:ascii="宋体" w:hAnsi="宋体"/>
          <w:color w:val="auto"/>
          <w:sz w:val="21"/>
          <w:szCs w:val="21"/>
          <w:highlight w:val="none"/>
        </w:rPr>
        <w:t xml:space="preserve">2）中标通知书 </w:t>
      </w:r>
    </w:p>
    <w:p>
      <w:pPr>
        <w:spacing w:line="440" w:lineRule="exact"/>
        <w:ind w:firstLine="359" w:firstLineChars="171"/>
        <w:rPr>
          <w:rFonts w:ascii="宋体" w:hAnsi="宋体"/>
          <w:color w:val="auto"/>
          <w:sz w:val="21"/>
          <w:szCs w:val="21"/>
          <w:highlight w:val="none"/>
        </w:rPr>
      </w:pPr>
      <w:r>
        <w:rPr>
          <w:rFonts w:hint="eastAsia" w:ascii="宋体" w:hAnsi="宋体"/>
          <w:color w:val="auto"/>
          <w:sz w:val="21"/>
          <w:szCs w:val="21"/>
          <w:highlight w:val="none"/>
        </w:rPr>
        <w:t>（</w:t>
      </w:r>
      <w:r>
        <w:rPr>
          <w:rFonts w:ascii="宋体" w:hAnsi="宋体"/>
          <w:color w:val="auto"/>
          <w:sz w:val="21"/>
          <w:szCs w:val="21"/>
          <w:highlight w:val="none"/>
        </w:rPr>
        <w:t xml:space="preserve">3）投标书及其附件 </w:t>
      </w:r>
    </w:p>
    <w:p>
      <w:pPr>
        <w:spacing w:line="440" w:lineRule="exact"/>
        <w:ind w:firstLine="359" w:firstLineChars="171"/>
        <w:rPr>
          <w:rFonts w:ascii="宋体" w:hAnsi="宋体"/>
          <w:color w:val="auto"/>
          <w:sz w:val="21"/>
          <w:szCs w:val="21"/>
          <w:highlight w:val="none"/>
        </w:rPr>
      </w:pPr>
      <w:r>
        <w:rPr>
          <w:rFonts w:hint="eastAsia" w:ascii="宋体" w:hAnsi="宋体"/>
          <w:color w:val="auto"/>
          <w:sz w:val="21"/>
          <w:szCs w:val="21"/>
          <w:highlight w:val="none"/>
        </w:rPr>
        <w:t>（</w:t>
      </w:r>
      <w:r>
        <w:rPr>
          <w:rFonts w:ascii="宋体" w:hAnsi="宋体"/>
          <w:color w:val="auto"/>
          <w:sz w:val="21"/>
          <w:szCs w:val="21"/>
          <w:highlight w:val="none"/>
        </w:rPr>
        <w:t xml:space="preserve">4）本合同专用条款 </w:t>
      </w:r>
    </w:p>
    <w:p>
      <w:pPr>
        <w:spacing w:line="440" w:lineRule="exact"/>
        <w:ind w:firstLine="359" w:firstLineChars="171"/>
        <w:rPr>
          <w:rFonts w:ascii="宋体" w:hAnsi="宋体"/>
          <w:color w:val="auto"/>
          <w:sz w:val="21"/>
          <w:szCs w:val="21"/>
          <w:highlight w:val="none"/>
        </w:rPr>
      </w:pPr>
      <w:r>
        <w:rPr>
          <w:rFonts w:hint="eastAsia" w:ascii="宋体" w:hAnsi="宋体"/>
          <w:color w:val="auto"/>
          <w:sz w:val="21"/>
          <w:szCs w:val="21"/>
          <w:highlight w:val="none"/>
        </w:rPr>
        <w:t>（</w:t>
      </w:r>
      <w:r>
        <w:rPr>
          <w:rFonts w:ascii="宋体" w:hAnsi="宋体"/>
          <w:color w:val="auto"/>
          <w:sz w:val="21"/>
          <w:szCs w:val="21"/>
          <w:highlight w:val="none"/>
        </w:rPr>
        <w:t xml:space="preserve">5）本合同通用条款 </w:t>
      </w:r>
    </w:p>
    <w:p>
      <w:pPr>
        <w:spacing w:line="440" w:lineRule="exact"/>
        <w:ind w:firstLine="359" w:firstLineChars="171"/>
        <w:rPr>
          <w:rFonts w:ascii="宋体" w:hAnsi="宋体"/>
          <w:color w:val="auto"/>
          <w:sz w:val="21"/>
          <w:szCs w:val="21"/>
          <w:highlight w:val="none"/>
        </w:rPr>
      </w:pPr>
      <w:r>
        <w:rPr>
          <w:rFonts w:hint="eastAsia" w:ascii="宋体" w:hAnsi="宋体"/>
          <w:color w:val="auto"/>
          <w:sz w:val="21"/>
          <w:szCs w:val="21"/>
          <w:highlight w:val="none"/>
        </w:rPr>
        <w:t>（</w:t>
      </w:r>
      <w:r>
        <w:rPr>
          <w:rFonts w:ascii="宋体" w:hAnsi="宋体"/>
          <w:color w:val="auto"/>
          <w:sz w:val="21"/>
          <w:szCs w:val="21"/>
          <w:highlight w:val="none"/>
        </w:rPr>
        <w:t xml:space="preserve">6）标准、规范及有关技术文件 </w:t>
      </w:r>
    </w:p>
    <w:p>
      <w:pPr>
        <w:spacing w:line="440" w:lineRule="exact"/>
        <w:ind w:firstLine="359" w:firstLineChars="171"/>
        <w:rPr>
          <w:rFonts w:ascii="宋体" w:hAnsi="宋体"/>
          <w:color w:val="auto"/>
          <w:sz w:val="21"/>
          <w:szCs w:val="21"/>
          <w:highlight w:val="none"/>
        </w:rPr>
      </w:pPr>
      <w:r>
        <w:rPr>
          <w:rFonts w:hint="eastAsia" w:ascii="宋体" w:hAnsi="宋体"/>
          <w:color w:val="auto"/>
          <w:sz w:val="21"/>
          <w:szCs w:val="21"/>
          <w:highlight w:val="none"/>
        </w:rPr>
        <w:t>（</w:t>
      </w:r>
      <w:r>
        <w:rPr>
          <w:rFonts w:ascii="宋体" w:hAnsi="宋体"/>
          <w:color w:val="auto"/>
          <w:sz w:val="21"/>
          <w:szCs w:val="21"/>
          <w:highlight w:val="none"/>
        </w:rPr>
        <w:t xml:space="preserve">7）图纸 </w:t>
      </w:r>
    </w:p>
    <w:p>
      <w:pPr>
        <w:spacing w:line="440" w:lineRule="exact"/>
        <w:ind w:firstLine="359" w:firstLineChars="171"/>
        <w:rPr>
          <w:rFonts w:ascii="宋体" w:hAnsi="宋体"/>
          <w:color w:val="auto"/>
          <w:sz w:val="21"/>
          <w:szCs w:val="21"/>
          <w:highlight w:val="none"/>
        </w:rPr>
      </w:pPr>
      <w:r>
        <w:rPr>
          <w:rFonts w:hint="eastAsia" w:ascii="宋体" w:hAnsi="宋体"/>
          <w:color w:val="auto"/>
          <w:sz w:val="21"/>
          <w:szCs w:val="21"/>
          <w:highlight w:val="none"/>
        </w:rPr>
        <w:t>（</w:t>
      </w:r>
      <w:r>
        <w:rPr>
          <w:rFonts w:ascii="宋体" w:hAnsi="宋体"/>
          <w:color w:val="auto"/>
          <w:sz w:val="21"/>
          <w:szCs w:val="21"/>
          <w:highlight w:val="none"/>
        </w:rPr>
        <w:t xml:space="preserve">8）工程量清单 </w:t>
      </w:r>
    </w:p>
    <w:p>
      <w:pPr>
        <w:spacing w:line="440" w:lineRule="exact"/>
        <w:ind w:firstLine="359" w:firstLineChars="171"/>
        <w:rPr>
          <w:rFonts w:ascii="宋体" w:hAnsi="宋体"/>
          <w:color w:val="auto"/>
          <w:sz w:val="21"/>
          <w:szCs w:val="21"/>
          <w:highlight w:val="none"/>
        </w:rPr>
      </w:pPr>
      <w:r>
        <w:rPr>
          <w:rFonts w:hint="eastAsia" w:ascii="宋体" w:hAnsi="宋体"/>
          <w:color w:val="auto"/>
          <w:sz w:val="21"/>
          <w:szCs w:val="21"/>
          <w:highlight w:val="none"/>
        </w:rPr>
        <w:t>（</w:t>
      </w:r>
      <w:r>
        <w:rPr>
          <w:rFonts w:ascii="宋体" w:hAnsi="宋体"/>
          <w:color w:val="auto"/>
          <w:sz w:val="21"/>
          <w:szCs w:val="21"/>
          <w:highlight w:val="none"/>
        </w:rPr>
        <w:t>9）工程报价单或预算书</w:t>
      </w:r>
    </w:p>
    <w:p>
      <w:pPr>
        <w:spacing w:line="440" w:lineRule="exact"/>
        <w:ind w:firstLine="359" w:firstLineChars="171"/>
        <w:rPr>
          <w:rFonts w:ascii="宋体" w:hAnsi="宋体"/>
          <w:color w:val="auto"/>
          <w:sz w:val="21"/>
          <w:szCs w:val="21"/>
          <w:highlight w:val="none"/>
        </w:rPr>
      </w:pPr>
      <w:r>
        <w:rPr>
          <w:rFonts w:hint="eastAsia" w:ascii="宋体" w:hAnsi="宋体"/>
          <w:color w:val="auto"/>
          <w:sz w:val="21"/>
          <w:szCs w:val="21"/>
          <w:highlight w:val="none"/>
        </w:rPr>
        <w:t>合同履行中，发包人承包人有关工程的洽商、变更等书面协议或文件视为本合同的组成部分。</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2.2当合同文件内容含糊不清或不相一致时，在不影响工程正常进行的情况下，由发包人承包人协商解决。双方也可以提请负责监理的工程师做出解释。双方协商不成或不同意负责监理的工程师的解释时，按本通用条款37条关于争议的约定处理。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3、语言文字和适用法律、标准及规范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3.1 语言文字 </w:t>
      </w:r>
    </w:p>
    <w:p>
      <w:pPr>
        <w:spacing w:line="440" w:lineRule="exact"/>
        <w:ind w:firstLine="359" w:firstLineChars="171"/>
        <w:rPr>
          <w:rFonts w:ascii="宋体" w:hAnsi="宋体"/>
          <w:color w:val="auto"/>
          <w:sz w:val="21"/>
          <w:szCs w:val="21"/>
          <w:highlight w:val="none"/>
        </w:rPr>
      </w:pPr>
      <w:r>
        <w:rPr>
          <w:rFonts w:hint="eastAsia" w:ascii="宋体" w:hAnsi="宋体"/>
          <w:color w:val="auto"/>
          <w:sz w:val="21"/>
          <w:szCs w:val="21"/>
          <w:highlight w:val="none"/>
        </w:rPr>
        <w:t>本合同文件使用汉语语言文字书写、解释和说明。如专用条款约定使用两种以上（含两种）语言文字时，汉语应为解释和说明本合同的标准语言文字。</w:t>
      </w:r>
    </w:p>
    <w:p>
      <w:pPr>
        <w:spacing w:line="440" w:lineRule="exact"/>
        <w:ind w:firstLine="359" w:firstLineChars="171"/>
        <w:rPr>
          <w:rFonts w:ascii="宋体" w:hAnsi="宋体"/>
          <w:color w:val="auto"/>
          <w:sz w:val="21"/>
          <w:szCs w:val="21"/>
          <w:highlight w:val="none"/>
        </w:rPr>
      </w:pPr>
      <w:r>
        <w:rPr>
          <w:rFonts w:hint="eastAsia" w:ascii="宋体" w:hAnsi="宋体"/>
          <w:color w:val="auto"/>
          <w:sz w:val="21"/>
          <w:szCs w:val="21"/>
          <w:highlight w:val="none"/>
        </w:rPr>
        <w:t>在少数民族地区，双方可以约定使用少数民族语言文字书写和解释、说明本合同。</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3.2 适用法律和法规 </w:t>
      </w:r>
    </w:p>
    <w:p>
      <w:pPr>
        <w:spacing w:line="440" w:lineRule="exact"/>
        <w:ind w:firstLine="359" w:firstLineChars="171"/>
        <w:rPr>
          <w:rFonts w:ascii="宋体" w:hAnsi="宋体"/>
          <w:color w:val="auto"/>
          <w:sz w:val="21"/>
          <w:szCs w:val="21"/>
          <w:highlight w:val="none"/>
        </w:rPr>
      </w:pPr>
      <w:r>
        <w:rPr>
          <w:rFonts w:hint="eastAsia" w:ascii="宋体" w:hAnsi="宋体"/>
          <w:color w:val="auto"/>
          <w:sz w:val="21"/>
          <w:szCs w:val="21"/>
          <w:highlight w:val="none"/>
        </w:rPr>
        <w:t>本合同文件适用国家的法律和行政法规。需要明示的法律、行政法规，由双方在专用条款中约定。</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3.3 适用标准、规范 </w:t>
      </w:r>
    </w:p>
    <w:p>
      <w:pPr>
        <w:spacing w:line="440" w:lineRule="exact"/>
        <w:ind w:firstLine="359" w:firstLineChars="171"/>
        <w:rPr>
          <w:rFonts w:ascii="宋体" w:hAnsi="宋体"/>
          <w:color w:val="auto"/>
          <w:sz w:val="21"/>
          <w:szCs w:val="21"/>
          <w:highlight w:val="none"/>
        </w:rPr>
      </w:pPr>
      <w:r>
        <w:rPr>
          <w:rFonts w:hint="eastAsia" w:ascii="宋体" w:hAnsi="宋体"/>
          <w:color w:val="auto"/>
          <w:sz w:val="21"/>
          <w:szCs w:val="21"/>
          <w:highlight w:val="none"/>
        </w:rPr>
        <w:t>双方在专用条款内约定适用国家标准、规范和名称；没有国家标准、规范但有行业标准、规范的，约定适用行业标准、规范的名称；没有国家和行业标准、规范的，约定适用工程所在地地方标准、规范的名称。发包人应按专用条款约定的时间向承包人提供一式两份约定的标准、规范。</w:t>
      </w:r>
    </w:p>
    <w:p>
      <w:pPr>
        <w:spacing w:line="440" w:lineRule="exact"/>
        <w:ind w:firstLine="359" w:firstLineChars="171"/>
        <w:rPr>
          <w:rFonts w:ascii="宋体" w:hAnsi="宋体"/>
          <w:color w:val="auto"/>
          <w:sz w:val="21"/>
          <w:szCs w:val="21"/>
          <w:highlight w:val="none"/>
        </w:rPr>
      </w:pPr>
      <w:r>
        <w:rPr>
          <w:rFonts w:hint="eastAsia" w:ascii="宋体" w:hAnsi="宋体"/>
          <w:color w:val="auto"/>
          <w:sz w:val="21"/>
          <w:szCs w:val="21"/>
          <w:highlight w:val="none"/>
        </w:rPr>
        <w:t>国内没有相应标准、规范的，由发包人按专用条款约定的时间向承包人</w:t>
      </w:r>
      <w:r>
        <w:rPr>
          <w:rFonts w:hint="eastAsia" w:ascii="宋体" w:hAnsi="宋体"/>
          <w:color w:val="auto"/>
          <w:spacing w:val="4"/>
          <w:sz w:val="21"/>
          <w:szCs w:val="21"/>
          <w:highlight w:val="none"/>
        </w:rPr>
        <w:t>提出施工技术要求，承包人按约定的时间和要求提出施工工艺，经发包人认</w:t>
      </w:r>
      <w:r>
        <w:rPr>
          <w:rFonts w:hint="eastAsia" w:ascii="宋体" w:hAnsi="宋体"/>
          <w:color w:val="auto"/>
          <w:sz w:val="21"/>
          <w:szCs w:val="21"/>
          <w:highlight w:val="none"/>
        </w:rPr>
        <w:t>可后执行。发包人要求使用国外标准、规范的，应负责提供中文译本。</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hint="eastAsia" w:ascii="宋体" w:hAnsi="宋体"/>
          <w:color w:val="auto"/>
          <w:sz w:val="21"/>
          <w:szCs w:val="21"/>
          <w:highlight w:val="none"/>
        </w:rPr>
        <w:t>本条所发生的购买、翻译标准、规范或制定施工工艺的费用，由发包人承担。</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4、图纸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4.1 </w:t>
      </w:r>
      <w:r>
        <w:rPr>
          <w:rFonts w:hint="eastAsia" w:ascii="宋体" w:hAnsi="宋体"/>
          <w:color w:val="auto"/>
          <w:sz w:val="21"/>
          <w:szCs w:val="21"/>
          <w:highlight w:val="none"/>
        </w:rPr>
        <w:t>发包人应按专用条款约定的日期和套数，向承包人提供图纸。承包人需要增加图纸套数的，发包人应代为复制，复制费用由承包人承担。发包人对工程有保密要求的，应在专用条款中提出保密要求，保密措施费用由发包人承担，承包人在约定保密期限内履行保密义务。</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4.2 承包人未经发包人同意，不得将本工程图纸转给第三人。工程质量保修期满后，除承包人存档需要的图纸外，应将全部图纸退还给发包人。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4.3 承包人应在施工现场保留一套完整图纸，供工程师及有关人员进行工程检查时使用。 </w:t>
      </w:r>
    </w:p>
    <w:p>
      <w:pPr>
        <w:spacing w:line="440" w:lineRule="exact"/>
        <w:ind w:firstLine="359" w:firstLineChars="171"/>
        <w:rPr>
          <w:rFonts w:ascii="宋体" w:hAnsi="宋体"/>
          <w:color w:val="auto"/>
          <w:sz w:val="21"/>
          <w:szCs w:val="21"/>
          <w:highlight w:val="none"/>
        </w:rPr>
      </w:pPr>
      <w:r>
        <w:rPr>
          <w:rFonts w:hint="eastAsia" w:ascii="宋体" w:hAnsi="宋体"/>
          <w:color w:val="auto"/>
          <w:sz w:val="21"/>
          <w:szCs w:val="21"/>
          <w:highlight w:val="none"/>
        </w:rPr>
        <w:t>二、双方一般权利和义务</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5、工程师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5.1实行工程监理的，发包人应在实施监理前将委托的监理单位名称、监理内容及监理权限以书面形式通知承包人。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5.2监理单位委派的总监理工程师在本合同中称工程师，其姓名、职务、职权由发包人承包人在专用条款内写明。工程师按合同约定行使职权，发包人在专用条款内要求工程师在行使某些职权前需要征得发包人批准的，工程师应征得发包人批准。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5.3 发包人派驻施工场地履行合同的代表在本合同中也称工程师，其姓名、职务、职权由发包人在专用条款内写明，但职权不得与监理单位委派的总监理工程师职权相互交叉。双方职权发生交叉或不明确时，由发包人予以明确，并以书面形式通知承包人。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5.4 </w:t>
      </w:r>
      <w:r>
        <w:rPr>
          <w:rFonts w:hint="eastAsia" w:ascii="宋体" w:hAnsi="宋体"/>
          <w:color w:val="auto"/>
          <w:sz w:val="21"/>
          <w:szCs w:val="21"/>
          <w:highlight w:val="none"/>
        </w:rPr>
        <w:t>合同履行中，发生影响发包人承包人双方权利或义务的事件时，负责监理的工程师应依据合同在其职权范围内客观公正地进行处理。一方对工程师的处理有异议时，按本通用条款</w:t>
      </w:r>
      <w:r>
        <w:rPr>
          <w:rFonts w:ascii="宋体" w:hAnsi="宋体"/>
          <w:color w:val="auto"/>
          <w:sz w:val="21"/>
          <w:szCs w:val="21"/>
          <w:highlight w:val="none"/>
        </w:rPr>
        <w:t xml:space="preserve">37条关于争议的约定处理。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5.5 </w:t>
      </w:r>
      <w:r>
        <w:rPr>
          <w:rFonts w:hint="eastAsia" w:ascii="宋体" w:hAnsi="宋体"/>
          <w:color w:val="auto"/>
          <w:sz w:val="21"/>
          <w:szCs w:val="21"/>
          <w:highlight w:val="none"/>
        </w:rPr>
        <w:t>除合同内有明确约定或经发包人同意外，负责监理的工程师无权解除本合同约定的承包人的任何权利与义务。</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5.6 不实行工程监理的，本合同中工程师专指发包人派驻施工现场履行合同的代表，其具体职权由发包人在专用条款中写明。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6、工程师的委派和指令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6.1工程师可委派工程师代表，行使合同约定的自己的职权，并可在认为必要时撤回委派。委派和撤回均应提前7天以书面形式通知承包人，负责监理的工程师还应将委派和撤回通知发包人。委派书和撤回通知作为本合同附件。 </w:t>
      </w:r>
    </w:p>
    <w:p>
      <w:pPr>
        <w:spacing w:line="440" w:lineRule="exact"/>
        <w:ind w:firstLine="359" w:firstLineChars="171"/>
        <w:rPr>
          <w:rFonts w:ascii="宋体" w:hAnsi="宋体"/>
          <w:color w:val="auto"/>
          <w:sz w:val="21"/>
          <w:szCs w:val="21"/>
          <w:highlight w:val="none"/>
        </w:rPr>
      </w:pPr>
      <w:r>
        <w:rPr>
          <w:rFonts w:hint="eastAsia" w:ascii="宋体" w:hAnsi="宋体"/>
          <w:color w:val="auto"/>
          <w:sz w:val="21"/>
          <w:szCs w:val="21"/>
          <w:highlight w:val="none"/>
        </w:rPr>
        <w:t>工程师代表在工程师授权范围内向承包人发出的任何书面形式的函件，与工程师发出的函件具有同等效力。承包人对工程师代表向其发出的任何书面形式的函件有疑问时，可将此函件提交工程师，工程师应进行确认。工程师代表发出指令有失误时，工程师应进行纠正。</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hint="eastAsia" w:ascii="宋体" w:hAnsi="宋体"/>
          <w:color w:val="auto"/>
          <w:sz w:val="21"/>
          <w:szCs w:val="21"/>
          <w:highlight w:val="none"/>
        </w:rPr>
        <w:t>除工程师或工程师代表外，发包人派驻工地的其他人员均无权向承包人发出任何指令。</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6.2 </w:t>
      </w:r>
      <w:r>
        <w:rPr>
          <w:rFonts w:hint="eastAsia" w:ascii="宋体" w:hAnsi="宋体"/>
          <w:color w:val="auto"/>
          <w:sz w:val="21"/>
          <w:szCs w:val="21"/>
          <w:highlight w:val="none"/>
        </w:rPr>
        <w:t>工程师的指令、通知由其本人签字后，以书面形式交给项目负责人，项目负责人在回执上签署姓名和收到时间后生效。确有必要时，工程师可发出口头指令，并在</w:t>
      </w:r>
      <w:r>
        <w:rPr>
          <w:rFonts w:ascii="宋体" w:hAnsi="宋体"/>
          <w:color w:val="auto"/>
          <w:sz w:val="21"/>
          <w:szCs w:val="21"/>
          <w:highlight w:val="none"/>
        </w:rPr>
        <w:t xml:space="preserve">48小时内给予书面确认，承包人对工程师的指令应予执行。工程师不能及时给予书面确认的，承包人应于工程师发出口头指令后7天内提出书面确认要求。工程师在承包人提出确认要求后48小时内不予答复的，视为口头指令已被确认。 </w:t>
      </w:r>
    </w:p>
    <w:p>
      <w:pPr>
        <w:spacing w:line="440" w:lineRule="exact"/>
        <w:ind w:firstLine="359" w:firstLineChars="171"/>
        <w:rPr>
          <w:rFonts w:ascii="宋体" w:hAnsi="宋体"/>
          <w:color w:val="auto"/>
          <w:sz w:val="21"/>
          <w:szCs w:val="21"/>
          <w:highlight w:val="none"/>
        </w:rPr>
      </w:pPr>
      <w:r>
        <w:rPr>
          <w:rFonts w:hint="eastAsia" w:ascii="宋体" w:hAnsi="宋体"/>
          <w:color w:val="auto"/>
          <w:sz w:val="21"/>
          <w:szCs w:val="21"/>
          <w:highlight w:val="none"/>
        </w:rPr>
        <w:t>承包人认为工程师指令不合理，应在收到指令后</w:t>
      </w:r>
      <w:r>
        <w:rPr>
          <w:rFonts w:ascii="宋体" w:hAnsi="宋体"/>
          <w:color w:val="auto"/>
          <w:sz w:val="21"/>
          <w:szCs w:val="21"/>
          <w:highlight w:val="none"/>
        </w:rPr>
        <w:t>24小时内向工程师提出修改指令的书面报告，工程师在收到承包人报告后24小时内</w:t>
      </w:r>
      <w:r>
        <w:rPr>
          <w:rFonts w:hint="eastAsia" w:ascii="宋体" w:hAnsi="宋体"/>
          <w:color w:val="auto"/>
          <w:sz w:val="21"/>
          <w:szCs w:val="21"/>
          <w:highlight w:val="none"/>
        </w:rPr>
        <w:t>作出修改指令或继续执行原指令的决定，并以书面形式通知承包人。紧急情况下，工程师要求承包人立即执行的指令或承包人虽有异议，但工程师决定仍继续执行的指令，承包人应予执行。因指令错误发生的追加合同价款和给承包人造成的损失由发包人承担，延误的工期相应顺延。</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hint="eastAsia" w:ascii="宋体" w:hAnsi="宋体"/>
          <w:color w:val="auto"/>
          <w:sz w:val="21"/>
          <w:szCs w:val="21"/>
          <w:highlight w:val="none"/>
        </w:rPr>
        <w:t>本款规定同样适用于由工程师代表发出的指令、通知。</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6.3 </w:t>
      </w:r>
      <w:r>
        <w:rPr>
          <w:rFonts w:hint="eastAsia" w:ascii="宋体" w:hAnsi="宋体"/>
          <w:color w:val="auto"/>
          <w:sz w:val="21"/>
          <w:szCs w:val="21"/>
          <w:highlight w:val="none"/>
        </w:rPr>
        <w:t>工程师应按合同约定，及时向承包人提供所需指令、批准并履行约定的</w:t>
      </w:r>
      <w:r>
        <w:rPr>
          <w:rFonts w:hint="eastAsia" w:ascii="宋体" w:hAnsi="宋体"/>
          <w:color w:val="auto"/>
          <w:spacing w:val="4"/>
          <w:sz w:val="21"/>
          <w:szCs w:val="21"/>
          <w:highlight w:val="none"/>
        </w:rPr>
        <w:t>其他义务。由于工程师未能按合同约定履行义务造成工期延误，发包人应承</w:t>
      </w:r>
      <w:r>
        <w:rPr>
          <w:rFonts w:hint="eastAsia" w:ascii="宋体" w:hAnsi="宋体"/>
          <w:color w:val="auto"/>
          <w:sz w:val="21"/>
          <w:szCs w:val="21"/>
          <w:highlight w:val="none"/>
        </w:rPr>
        <w:t>担延误造成的追加合同价款，并赔偿承包人有关损失，顺延延误的工期。</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6.4 如需更换工程师，发包人应至少提前7天以书面形式通知承包人，后任继续行使合同文件约定的前任的职权，履行前任的义务。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7、</w:t>
      </w:r>
      <w:r>
        <w:rPr>
          <w:rFonts w:hint="eastAsia" w:ascii="宋体" w:hAnsi="宋体"/>
          <w:color w:val="auto"/>
          <w:sz w:val="21"/>
          <w:szCs w:val="21"/>
          <w:highlight w:val="none"/>
        </w:rPr>
        <w:t>项目负责人</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7.1 </w:t>
      </w:r>
      <w:r>
        <w:rPr>
          <w:rFonts w:hint="eastAsia" w:ascii="宋体" w:hAnsi="宋体"/>
          <w:color w:val="auto"/>
          <w:sz w:val="21"/>
          <w:szCs w:val="21"/>
          <w:highlight w:val="none"/>
        </w:rPr>
        <w:t>项目负责人的姓名、职务在专用条款内写明。</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7.2 </w:t>
      </w:r>
      <w:r>
        <w:rPr>
          <w:rFonts w:hint="eastAsia" w:ascii="宋体" w:hAnsi="宋体"/>
          <w:color w:val="auto"/>
          <w:sz w:val="21"/>
          <w:szCs w:val="21"/>
          <w:highlight w:val="none"/>
        </w:rPr>
        <w:t>承包人依据合同发出的通知，以书面形式由项目负责人签字后送交工程师，工程师在回执上签署姓名和收到时间后生效。</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7.3 </w:t>
      </w:r>
      <w:r>
        <w:rPr>
          <w:rFonts w:hint="eastAsia" w:ascii="宋体" w:hAnsi="宋体"/>
          <w:color w:val="auto"/>
          <w:sz w:val="21"/>
          <w:szCs w:val="21"/>
          <w:highlight w:val="none"/>
        </w:rPr>
        <w:t>项目负责人按发包人认可的施工组织设计（施工方案）和工程师依据合同发出的指令组织施工。在情况紧急且无法与工程师联系时，项目负责人应当采取保证人员生命和工程、财产安全的紧急措施，并在采取措施后</w:t>
      </w:r>
      <w:r>
        <w:rPr>
          <w:rFonts w:ascii="宋体" w:hAnsi="宋体"/>
          <w:color w:val="auto"/>
          <w:sz w:val="21"/>
          <w:szCs w:val="21"/>
          <w:highlight w:val="none"/>
        </w:rPr>
        <w:t xml:space="preserve">48小时内向工程师送交报告。责任在发包人或第三人，由发包人承担由此发生的追加合同价款，相应顺延工期；责任在承包人，由承包人承担费用，不顺延工期。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7.4 </w:t>
      </w:r>
      <w:r>
        <w:rPr>
          <w:rFonts w:hint="eastAsia" w:ascii="宋体" w:hAnsi="宋体"/>
          <w:color w:val="auto"/>
          <w:sz w:val="21"/>
          <w:szCs w:val="21"/>
          <w:highlight w:val="none"/>
        </w:rPr>
        <w:t>承包人如需更换项目负责人，应至少提前</w:t>
      </w:r>
      <w:r>
        <w:rPr>
          <w:rFonts w:ascii="宋体" w:hAnsi="宋体"/>
          <w:color w:val="auto"/>
          <w:sz w:val="21"/>
          <w:szCs w:val="21"/>
          <w:highlight w:val="none"/>
        </w:rPr>
        <w:t xml:space="preserve">7天以书面形式通知发包人，并征得发包人同意。后任继续行使合同文件约定的前任的职权，履行前任的义务。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7.5 </w:t>
      </w:r>
      <w:r>
        <w:rPr>
          <w:rFonts w:hint="eastAsia" w:ascii="宋体" w:hAnsi="宋体"/>
          <w:color w:val="auto"/>
          <w:sz w:val="21"/>
          <w:szCs w:val="21"/>
          <w:highlight w:val="none"/>
        </w:rPr>
        <w:t>发包人可以与承包人协商，建议更换其认为不称职的项目负责人。</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8、发包人工作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8.1 发包人按专用条款约定的内容和时间完成以下工作: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 办理土地征用、拆迁补偿、平整施工场地等工作，使施工场地具备施工条件，在开工后继续负责解决以上事项遗留问题；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 将施工所需水、电、电讯线路从施工场地外部接至专用条款约定地点，保证施工期间的需要；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 开通施工场地与城乡公共道路的通道，以及专用条款约定的施工场地内的主要道路，满足施工运输的需要，保证施工期间的畅通。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(4) 向承包人提供施工场地的工程地质和地下管线资料，对资料的真实准确性负责；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(5) </w:t>
      </w:r>
      <w:r>
        <w:rPr>
          <w:rFonts w:hint="eastAsia" w:ascii="宋体" w:hAnsi="宋体"/>
          <w:color w:val="auto"/>
          <w:sz w:val="21"/>
          <w:szCs w:val="21"/>
          <w:highlight w:val="none"/>
        </w:rPr>
        <w:t>办理施工许可证及其他施工所需证件、批件和临时用地、停水、停电、中断道路交通、爆破作业等的申请批准文件（证明承包人自身资质的证件除外）；</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(6) </w:t>
      </w:r>
      <w:r>
        <w:rPr>
          <w:rFonts w:hint="eastAsia" w:ascii="宋体" w:hAnsi="宋体"/>
          <w:color w:val="auto"/>
          <w:sz w:val="21"/>
          <w:szCs w:val="21"/>
          <w:highlight w:val="none"/>
        </w:rPr>
        <w:t>确定水准点与坐标控制点，以书面形式交给承包人，进行现场交验；</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(7) </w:t>
      </w:r>
      <w:r>
        <w:rPr>
          <w:rFonts w:hint="eastAsia" w:ascii="宋体" w:hAnsi="宋体"/>
          <w:color w:val="auto"/>
          <w:sz w:val="21"/>
          <w:szCs w:val="21"/>
          <w:highlight w:val="none"/>
        </w:rPr>
        <w:t>组织承包人和设计单位进行图纸会审和设计交底；</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(8) 协调管理施工场地周围地下管线和邻近建筑物、构筑物（包括文物保护建筑）、古树名木的保护工作，承担有关费用；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(9) 发包人应做的其他工作，双方在专用条款内约定。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8.2 发包人未履行8.1款各项义务，导致工期延误或给承包人造成损失的，发包人赔偿承包人有关损失，顺延延误的工期。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9、承包人工作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9.1 承包人按专用条款约定的内容和时间完成以下工作：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(1)</w:t>
      </w:r>
      <w:r>
        <w:rPr>
          <w:rFonts w:hint="eastAsia" w:ascii="宋体" w:hAnsi="宋体"/>
          <w:color w:val="auto"/>
          <w:sz w:val="21"/>
          <w:szCs w:val="21"/>
          <w:highlight w:val="none"/>
        </w:rPr>
        <w:t>根据发包人委托，在其设计资质等级和业务允许的范围内，完成施工图设计或与工程配套的设计，经工程师确认后使用，发包人承担由此发生的费用；</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(2)</w:t>
      </w:r>
      <w:r>
        <w:rPr>
          <w:rFonts w:hint="eastAsia" w:ascii="宋体" w:hAnsi="宋体"/>
          <w:color w:val="auto"/>
          <w:sz w:val="21"/>
          <w:szCs w:val="21"/>
          <w:highlight w:val="none"/>
        </w:rPr>
        <w:t>向工程师提供年、季、月度工程进度计划及相应进度统计报表；</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(3)</w:t>
      </w:r>
      <w:r>
        <w:rPr>
          <w:rFonts w:hint="eastAsia" w:ascii="宋体" w:hAnsi="宋体"/>
          <w:color w:val="auto"/>
          <w:sz w:val="21"/>
          <w:szCs w:val="21"/>
          <w:highlight w:val="none"/>
        </w:rPr>
        <w:t>根据工程需要，提供和维修非夜间施工使用的照明、围栏设施，并负责安全保卫；</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(4)</w:t>
      </w:r>
      <w:r>
        <w:rPr>
          <w:rFonts w:hint="eastAsia" w:ascii="宋体" w:hAnsi="宋体"/>
          <w:color w:val="auto"/>
          <w:sz w:val="21"/>
          <w:szCs w:val="21"/>
          <w:highlight w:val="none"/>
        </w:rPr>
        <w:t>按专用条款约定的数量和要求，向发包人提供施工场地办公和生活的房屋及设施，发包人承担由此发生的费用；</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(5)</w:t>
      </w:r>
      <w:r>
        <w:rPr>
          <w:rFonts w:hint="eastAsia" w:ascii="宋体" w:hAnsi="宋体"/>
          <w:color w:val="auto"/>
          <w:sz w:val="21"/>
          <w:szCs w:val="21"/>
          <w:highlight w:val="none"/>
        </w:rPr>
        <w:t>遵守政府有关主管部门对施工场地交通、施工噪音以及环境保护和安全生产等的管理规定，按规定办理有关手续，并以书面形式通知发包人，发包人承担由此发生的费用，因承包人责任造成的罚款除外；</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(6)</w:t>
      </w:r>
      <w:r>
        <w:rPr>
          <w:rFonts w:hint="eastAsia" w:ascii="宋体" w:hAnsi="宋体"/>
          <w:color w:val="auto"/>
          <w:sz w:val="21"/>
          <w:szCs w:val="21"/>
          <w:highlight w:val="none"/>
        </w:rPr>
        <w:t>已竣工工程未交付发包人之前，承包人按专用条款约定负责已完工程的保护工作，保护期间发生损坏，承包人自费予以修复；发包人要求承包人采取特殊措施保护的工程部位和相应的追加合同价款，双方在专用条款内约定；</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(7)</w:t>
      </w:r>
      <w:r>
        <w:rPr>
          <w:rFonts w:hint="eastAsia" w:ascii="宋体" w:hAnsi="宋体"/>
          <w:color w:val="auto"/>
          <w:sz w:val="21"/>
          <w:szCs w:val="21"/>
          <w:highlight w:val="none"/>
        </w:rPr>
        <w:t>按专用条款约定做好施工场地地下管线和邻近建筑物、构筑物（包括文物保护建筑）、古树名木的保护工作；</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(8)</w:t>
      </w:r>
      <w:r>
        <w:rPr>
          <w:rFonts w:hint="eastAsia" w:ascii="宋体" w:hAnsi="宋体"/>
          <w:color w:val="auto"/>
          <w:sz w:val="21"/>
          <w:szCs w:val="21"/>
          <w:highlight w:val="none"/>
        </w:rPr>
        <w:t>保证施工场地清洁符合环境卫生管理的有关规定，交工前清理现场达到专用条款约定的要求，承担因自身原因违反有关规定造成的损失和罚款；</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(9)</w:t>
      </w:r>
      <w:r>
        <w:rPr>
          <w:rFonts w:hint="eastAsia" w:ascii="宋体" w:hAnsi="宋体"/>
          <w:color w:val="auto"/>
          <w:spacing w:val="-6"/>
          <w:sz w:val="21"/>
          <w:szCs w:val="21"/>
          <w:highlight w:val="none"/>
        </w:rPr>
        <w:t>办理施工许可证及施工所需证件、批件和临时用地、停水、停电、中断</w:t>
      </w:r>
      <w:r>
        <w:rPr>
          <w:rFonts w:hint="eastAsia" w:ascii="宋体" w:hAnsi="宋体"/>
          <w:color w:val="auto"/>
          <w:sz w:val="21"/>
          <w:szCs w:val="21"/>
          <w:highlight w:val="none"/>
        </w:rPr>
        <w:t>道路交通、爆破作业等的申请批准手续（证明承包人自身资质的证件除外）；</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(10)承包人应做的其他工作，双方在专用条款内约定。</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9.2承包人未能履行9.1款各项义务，造成发包人损失的，承包人赔偿发包人有关损失。</w:t>
      </w:r>
    </w:p>
    <w:p>
      <w:pPr>
        <w:spacing w:line="440" w:lineRule="exact"/>
        <w:ind w:firstLine="359" w:firstLineChars="171"/>
        <w:rPr>
          <w:rFonts w:ascii="宋体" w:hAnsi="宋体"/>
          <w:color w:val="auto"/>
          <w:sz w:val="21"/>
          <w:szCs w:val="21"/>
          <w:highlight w:val="none"/>
        </w:rPr>
      </w:pPr>
      <w:r>
        <w:rPr>
          <w:rFonts w:hint="eastAsia" w:ascii="宋体" w:hAnsi="宋体"/>
          <w:color w:val="auto"/>
          <w:sz w:val="21"/>
          <w:szCs w:val="21"/>
          <w:highlight w:val="none"/>
        </w:rPr>
        <w:t>三、施工组织设计和工期</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10、进度计划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10.1 承包人应按专用条款约定的日期，将施工组织设计和工程进度计划提交工程师，工程师按专用条款约定的时间予以确认或提出修改意见，逾期不确认也不提出书面意见的，视为同意。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10.2群体工程中单位工程分期进行施工的，承包人应按照发包人提供图纸及有关资料的时间，按单位工程编制进度计划，其具体内容双方在专用条款中约定。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10.3承包人必须按工程师确认的进度计划组织施工，接受工程师对进度的检查、监督。工程实际进度与经确认的进度计划不符时，承包人应按工程师的要求提出改进措施，经工程师确认后执行。因承包人的原因导致实际进度与进度计划不符，承包人无权就改进措施提出追加合同价款。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11、开工及延期开工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11.1承包人应当按照协议书约定的开工日期开工。承包人不能按时开工，应当不迟于协议书约定的开工日期前7天，以书面形式向工程师提出延期开工的理由和要求。工程师应当在接到延期开工申请后的48小时内以书面形式答复承包人。工程师在接到延期开工申请后48小时内不答复，视为同意承包人要求，工期相应顺延。工程师不同意延期要求或承包人未在规定时间内提出延期开工要求，工期不予顺延。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11.2因发包人原因不能按照协议书约定的开工日期开工，工程师应以书面形式通知承</w:t>
      </w:r>
      <w:r>
        <w:rPr>
          <w:rFonts w:hint="eastAsia" w:ascii="宋体" w:hAnsi="宋体"/>
          <w:color w:val="auto"/>
          <w:sz w:val="21"/>
          <w:szCs w:val="21"/>
          <w:highlight w:val="none"/>
        </w:rPr>
        <w:t>包人，推迟开工日期。发包人赔偿承包人因延期开工造成的损失，并相应顺延工期。</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12、暂停施工 </w:t>
      </w:r>
    </w:p>
    <w:p>
      <w:pPr>
        <w:spacing w:line="440" w:lineRule="exact"/>
        <w:ind w:firstLine="359" w:firstLineChars="171"/>
        <w:rPr>
          <w:rFonts w:ascii="宋体" w:hAnsi="宋体"/>
          <w:color w:val="auto"/>
          <w:sz w:val="21"/>
          <w:szCs w:val="21"/>
          <w:highlight w:val="none"/>
        </w:rPr>
      </w:pPr>
      <w:r>
        <w:rPr>
          <w:rFonts w:hint="eastAsia" w:ascii="宋体" w:hAnsi="宋体"/>
          <w:color w:val="auto"/>
          <w:sz w:val="21"/>
          <w:szCs w:val="21"/>
          <w:highlight w:val="none"/>
        </w:rPr>
        <w:t>工程师认为确有必要暂停施工时，应当以书面形式要求承包人暂停施工，并在提出要求后</w:t>
      </w:r>
      <w:r>
        <w:rPr>
          <w:rFonts w:ascii="宋体" w:hAnsi="宋体"/>
          <w:color w:val="auto"/>
          <w:sz w:val="21"/>
          <w:szCs w:val="21"/>
          <w:highlight w:val="none"/>
        </w:rPr>
        <w:t xml:space="preserve">48小时内提出书面处理意见。承包人应当按工程师要求停止施工，并妥善保护已完工程。承包人实施工程师做出的处理意见后，可以书面形式提出复工要求，工程师应当在48小时内给予答复。工程师未能在规定时间内提出处理意见，或收到承包人复工要求后48小时内未予答复，承包人可自行复工。因发包人原因造成停工的，由发包人承担所发生的追加合同价款，赔偿承包人由此造成的损失，相应顺延工期；因承包人原因造成停工的，由承包人承担发生的费用，工期不予顺延。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13、工期延误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13.1因以下原因造成工期延误，经工程师确认工期相应顺延；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 发包人未能按专用条款的约定提供图纸及开工条件；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 </w:t>
      </w:r>
      <w:r>
        <w:rPr>
          <w:rFonts w:hint="eastAsia" w:ascii="宋体" w:hAnsi="宋体"/>
          <w:color w:val="auto"/>
          <w:sz w:val="21"/>
          <w:szCs w:val="21"/>
          <w:highlight w:val="none"/>
        </w:rPr>
        <w:t>发包人未能按约定日期支付工程预付款、进度款，致使施工不能正常进行；</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 </w:t>
      </w:r>
      <w:r>
        <w:rPr>
          <w:rFonts w:hint="eastAsia" w:ascii="宋体" w:hAnsi="宋体"/>
          <w:color w:val="auto"/>
          <w:sz w:val="21"/>
          <w:szCs w:val="21"/>
          <w:highlight w:val="none"/>
        </w:rPr>
        <w:t>工程师未按合同约定提供所需指令、批准等，致使施工不能正常进行；</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(4) 设计变更和工程量增加；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(5) </w:t>
      </w:r>
      <w:r>
        <w:rPr>
          <w:rFonts w:hint="eastAsia" w:ascii="宋体" w:hAnsi="宋体"/>
          <w:color w:val="auto"/>
          <w:sz w:val="21"/>
          <w:szCs w:val="21"/>
          <w:highlight w:val="none"/>
        </w:rPr>
        <w:t>一周内非承包人原因停水、停电、停气造成停工累计超过</w:t>
      </w:r>
      <w:r>
        <w:rPr>
          <w:rFonts w:ascii="宋体" w:hAnsi="宋体"/>
          <w:color w:val="auto"/>
          <w:sz w:val="21"/>
          <w:szCs w:val="21"/>
          <w:highlight w:val="none"/>
        </w:rPr>
        <w:t>8小时；</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(6) </w:t>
      </w:r>
      <w:r>
        <w:rPr>
          <w:rFonts w:hint="eastAsia" w:ascii="宋体" w:hAnsi="宋体"/>
          <w:color w:val="auto"/>
          <w:sz w:val="21"/>
          <w:szCs w:val="21"/>
          <w:highlight w:val="none"/>
        </w:rPr>
        <w:t>不可抗力；</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(7) </w:t>
      </w:r>
      <w:r>
        <w:rPr>
          <w:rFonts w:hint="eastAsia" w:ascii="宋体" w:hAnsi="宋体"/>
          <w:color w:val="auto"/>
          <w:sz w:val="21"/>
          <w:szCs w:val="21"/>
          <w:highlight w:val="none"/>
        </w:rPr>
        <w:t>专用条款中约定或工程师同意工期顺延的其他情况。</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13.2承包人在13.1款情况发生后14天内，就延误的工期以书面形式向工程师提出报告。工程师在收到报告后14天内予以确认，逾期不予确认也不提出修改意见，视为同意顺延工期。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14、工程竣工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14.1 承包人必须按照协议书约定的竣工日期或工程师同意顺延的工期竣工。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14.2 因承包人原因不能按照协议书约定的竣工日期或工程师同意顺延的工期竣工的，承包人承担违约责任。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14.3 施工中发包人如需提前竣工，双方协商一致后就应签订提前竣工协议，作为合同文件组成部分。提前竣工协议应包括承包人为保证工程质量和安全采取的措施、发包人为提前竣工提供的条件以及提前竣工所需的追加合同价款等内容。 </w:t>
      </w:r>
    </w:p>
    <w:p>
      <w:pPr>
        <w:spacing w:line="440" w:lineRule="exact"/>
        <w:ind w:firstLine="359" w:firstLineChars="171"/>
        <w:rPr>
          <w:rFonts w:ascii="宋体" w:hAnsi="宋体"/>
          <w:color w:val="auto"/>
          <w:sz w:val="21"/>
          <w:szCs w:val="21"/>
          <w:highlight w:val="none"/>
        </w:rPr>
      </w:pPr>
      <w:r>
        <w:rPr>
          <w:rFonts w:hint="eastAsia" w:ascii="宋体" w:hAnsi="宋体"/>
          <w:color w:val="auto"/>
          <w:sz w:val="21"/>
          <w:szCs w:val="21"/>
          <w:highlight w:val="none"/>
        </w:rPr>
        <w:t>四、质量与检验</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15、工程质量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1</w:t>
      </w:r>
      <w:r>
        <w:rPr>
          <w:rFonts w:ascii="宋体" w:hAnsi="宋体"/>
          <w:color w:val="auto"/>
          <w:spacing w:val="6"/>
          <w:sz w:val="21"/>
          <w:szCs w:val="21"/>
          <w:highlight w:val="none"/>
        </w:rPr>
        <w:t xml:space="preserve">5.1 </w:t>
      </w:r>
      <w:r>
        <w:rPr>
          <w:rFonts w:hint="eastAsia" w:ascii="宋体" w:hAnsi="宋体"/>
          <w:color w:val="auto"/>
          <w:spacing w:val="6"/>
          <w:sz w:val="21"/>
          <w:szCs w:val="21"/>
          <w:highlight w:val="none"/>
        </w:rPr>
        <w:t>工程质量应当达到协议书约定的质量标准，质量标准的评定以国家或</w:t>
      </w:r>
      <w:r>
        <w:rPr>
          <w:rFonts w:hint="eastAsia" w:ascii="宋体" w:hAnsi="宋体"/>
          <w:color w:val="auto"/>
          <w:sz w:val="21"/>
          <w:szCs w:val="21"/>
          <w:highlight w:val="none"/>
        </w:rPr>
        <w:t>行业的质量检验评定标准为依据。因承包人原因工程质量达不到约定的质量标准，承包人承担违约责任。</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15.2 双方对工程质量有争议，由双方同意的工程质量检测机构鉴定，所需费用及因此造成的损失，由责任方承担。双方均有责任，由双方根据其责任分别承担。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16、检查和返工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16.1 承包人应认真按照标准、规范和设计图纸要求以及工程师依据合同发出的指令施工，随时接受工程师的检查检验，为检查检验提供便利条件。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16.2 工程质量达不到约定标准的部分，工程师一经发现，应要求承包人拆除和重新施工，承包人应按工程师的要求拆除和重新施工，直到符合约定标准。因承包人原因达不到约定标准，由承包人承担拆除和重新施工的费用，工期不予顺延。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16.3 工程师的检查检验不应影响施工正常进行。如影响施工正常进行，检查检验不合格时，影响正常施工的费用由承包人承担。除此之外影响正常施工的追加合同价款由发包人承担，相应顺延工期。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16.4 因工程师指令失误或其他非承包人原因发生的追加合同价款，由发包人承担。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17、隐蔽工程和中间验收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17.1 </w:t>
      </w:r>
      <w:r>
        <w:rPr>
          <w:rFonts w:hint="eastAsia" w:ascii="宋体" w:hAnsi="宋体"/>
          <w:color w:val="auto"/>
          <w:sz w:val="21"/>
          <w:szCs w:val="21"/>
          <w:highlight w:val="none"/>
        </w:rPr>
        <w:t>工程具备隐蔽条件或达到专用条款约定的中间验收部位，承包人进行自检，并在隐蔽或中间验收前</w:t>
      </w:r>
      <w:r>
        <w:rPr>
          <w:rFonts w:ascii="宋体" w:hAnsi="宋体"/>
          <w:color w:val="auto"/>
          <w:sz w:val="21"/>
          <w:szCs w:val="21"/>
          <w:highlight w:val="none"/>
        </w:rPr>
        <w:t>48小时以书面形式通知工程师验收。通知包括隐蔽和中间验收的内容、验收时间和地点。承包人准备验收记录，验收合格，</w:t>
      </w:r>
      <w:r>
        <w:rPr>
          <w:rFonts w:hint="eastAsia" w:ascii="宋体" w:hAnsi="宋体"/>
          <w:color w:val="auto"/>
          <w:spacing w:val="4"/>
          <w:sz w:val="21"/>
          <w:szCs w:val="21"/>
          <w:highlight w:val="none"/>
        </w:rPr>
        <w:t>工程师在验收记录上签字后，承包人可进行隐蔽和继续施工。验收不合格</w:t>
      </w:r>
      <w:r>
        <w:rPr>
          <w:rFonts w:hint="eastAsia" w:ascii="宋体" w:hAnsi="宋体"/>
          <w:color w:val="auto"/>
          <w:sz w:val="21"/>
          <w:szCs w:val="21"/>
          <w:highlight w:val="none"/>
        </w:rPr>
        <w:t>，承包人在工程师限定的时间内修改后重新验收。</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17.2 工程师不能按时进行验收，应在验收前24小时以书面形式向承包人提出延期要求，延期不能超过48小时。工程师未能按以上时间提出延期要求，不进行验收，承包人可自行组织验收，工程师应承认验收记录。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17.3 </w:t>
      </w:r>
      <w:r>
        <w:rPr>
          <w:rFonts w:hint="eastAsia" w:ascii="宋体" w:hAnsi="宋体"/>
          <w:color w:val="auto"/>
          <w:sz w:val="21"/>
          <w:szCs w:val="21"/>
          <w:highlight w:val="none"/>
        </w:rPr>
        <w:t>经工程师验收，工程质量符合标准、规范和设计图纸等要求，验收</w:t>
      </w:r>
      <w:r>
        <w:rPr>
          <w:rFonts w:ascii="宋体" w:hAnsi="宋体"/>
          <w:color w:val="auto"/>
          <w:sz w:val="21"/>
          <w:szCs w:val="21"/>
          <w:highlight w:val="none"/>
        </w:rPr>
        <w:t>24</w:t>
      </w:r>
      <w:r>
        <w:rPr>
          <w:rFonts w:hint="eastAsia" w:ascii="宋体" w:hAnsi="宋体"/>
          <w:color w:val="auto"/>
          <w:spacing w:val="4"/>
          <w:sz w:val="21"/>
          <w:szCs w:val="21"/>
          <w:highlight w:val="none"/>
        </w:rPr>
        <w:t>小时后，工程师不在验收记录上签字，视为工程师已经认可验收记录，承包</w:t>
      </w:r>
      <w:r>
        <w:rPr>
          <w:rFonts w:hint="eastAsia" w:ascii="宋体" w:hAnsi="宋体"/>
          <w:color w:val="auto"/>
          <w:sz w:val="21"/>
          <w:szCs w:val="21"/>
          <w:highlight w:val="none"/>
        </w:rPr>
        <w:t>人可进行隐蔽或继续施工。</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18、重新检验 </w:t>
      </w:r>
    </w:p>
    <w:p>
      <w:pPr>
        <w:spacing w:line="440" w:lineRule="exact"/>
        <w:ind w:firstLine="359" w:firstLineChars="171"/>
        <w:rPr>
          <w:rFonts w:ascii="宋体" w:hAnsi="宋体"/>
          <w:color w:val="auto"/>
          <w:sz w:val="21"/>
          <w:szCs w:val="21"/>
          <w:highlight w:val="none"/>
        </w:rPr>
      </w:pPr>
      <w:r>
        <w:rPr>
          <w:rFonts w:hint="eastAsia" w:ascii="宋体" w:hAnsi="宋体"/>
          <w:color w:val="auto"/>
          <w:sz w:val="21"/>
          <w:szCs w:val="21"/>
          <w:highlight w:val="none"/>
        </w:rPr>
        <w:t>无论工程师是否进行验收，当其要求对已经隐蔽的工程重新检验时，承包人应按要求进行剥离或开孔，并在检验后重新覆盖或修复。检验合格，发包人承担由此发生的全部追加合同价款，赔偿承包人损失，并相应顺延工期。检验不合格，承包人承担发生的全部费用，工期不予顺延。</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19、工程试车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19.1 双方约定需要试车的，试车内容应与承包人承包的安装范围相一致。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19.2 设备安装工程具备单机无负荷试车条件，承包人组织试车，并在试车前48小时以书面形式通知工程师。通知包括试车内容、时间、地点。承包人准备试车记录，发包人根据承包人要求为试车提供必要条件。试车合格，工程师在试车记录上签字。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19.3 工程师不能按时参加试车，须在开始试车前24小时以书面形式向承包人提出延期要求，延期不能超过48小时。工程师未能按以上时间提出延期要求，不参加试车，应承认试车记录。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19.4 设备安装工程具备无负荷联动试车条件，发包人组织试车，并在试车前48小时以书面形式通知承包人。通知包括试车内容、时间、地点和对承包人的要求，承包人按要求做好准备工作。试车合格，双方在试车记录上签字。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19.5双方责任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 由于设计原因试车达不到验收要求，发包人应要求设计单位修改设计，承包人按修改后的设计重新安装。发包人承担修改设计、拆除及重新安装的全部费用和追加合同价款，工期相应顺延。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 由于设备制造原因试车达不到验收要求，由该设备采购一方负责重新购置或修理，承包人负责拆除和重新安装。设备由承包人采购的，由承包人承担修理或重新购置、拆除及重新安装的费用，工期不予顺延；设备由发包人采购的，发包人承担上述各项追加合同价款，工期相应顺延。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 由于承包人施工原因试车达不到验收要求，承包人按工程师要求重新安装和试车，并承担重新安装和试车的费用，工期不予顺延。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(4) </w:t>
      </w:r>
      <w:r>
        <w:rPr>
          <w:rFonts w:hint="eastAsia" w:ascii="宋体" w:hAnsi="宋体"/>
          <w:color w:val="auto"/>
          <w:sz w:val="21"/>
          <w:szCs w:val="21"/>
          <w:highlight w:val="none"/>
        </w:rPr>
        <w:t>试车费用除已包括在合同价款之内或专用条款另有约定外，均由发包人承担。</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(5) 工程师在试车合格后不在试车记录上签字，试车结束24小时后，视为工程师已经认可试车记录，承包人可继续施工或办理竣工手续。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19.6 投料试车应在工程竣工验收后由发包人负责，如发包人要求在工程竣工验收前进行或需要承包人配合时，应征得承包人同意，另行签订补充协议。 </w:t>
      </w:r>
    </w:p>
    <w:p>
      <w:pPr>
        <w:spacing w:line="440" w:lineRule="exact"/>
        <w:ind w:firstLine="359" w:firstLineChars="171"/>
        <w:rPr>
          <w:rFonts w:ascii="宋体" w:hAnsi="宋体"/>
          <w:color w:val="auto"/>
          <w:sz w:val="21"/>
          <w:szCs w:val="21"/>
          <w:highlight w:val="none"/>
        </w:rPr>
      </w:pPr>
      <w:r>
        <w:rPr>
          <w:rFonts w:hint="eastAsia" w:ascii="宋体" w:hAnsi="宋体"/>
          <w:color w:val="auto"/>
          <w:sz w:val="21"/>
          <w:szCs w:val="21"/>
          <w:highlight w:val="none"/>
        </w:rPr>
        <w:t>五、安全施工</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20、安全施工与检查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20.1承包人应遵守工程建设安全生产有关管理规定，严格按安全标准组织施工，并随时接受行业安全检查人员依法实施的监督检查，采取必要的安全防护措施，消除事故隐患。由于承包人安全措施不力造成事故的责任和因此发生的费用，由承包人承担。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20.2发包人应对其在施工场地的工作人员进行安全教育，并对他们的安全负责。发包人不得要求承包人违反安全管理的规定进行施工。因发包人原因导致的安全事故，由发包人承担相应责任及发生的费用。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21、安全防护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21.1承包人在动力设备、输电线路、地下管道、密封防震车间、易燃易爆地段以及临街交通要道附近施工时，施工开始前应向工程师提出安全防护措施，经工程师认可后实施，防护措施费用由发包人承担。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21.2实施爆破作业，在放射、毒害性环境中施工（含储存、运输、使用）及使用毒害性、腐蚀性物品施工时，承包人应在施工前14天以书面形式通知工</w:t>
      </w:r>
      <w:r>
        <w:rPr>
          <w:rFonts w:hint="eastAsia" w:ascii="宋体" w:hAnsi="宋体"/>
          <w:color w:val="auto"/>
          <w:spacing w:val="2"/>
          <w:sz w:val="21"/>
          <w:szCs w:val="21"/>
          <w:highlight w:val="none"/>
        </w:rPr>
        <w:t>程师，并提出相应的安全防护措施，经工程师认可后实施</w:t>
      </w:r>
      <w:r>
        <w:rPr>
          <w:rFonts w:ascii="宋体" w:hAnsi="宋体"/>
          <w:color w:val="auto"/>
          <w:spacing w:val="2"/>
          <w:sz w:val="21"/>
          <w:szCs w:val="21"/>
          <w:highlight w:val="none"/>
        </w:rPr>
        <w:t>,由发包人承担安全</w:t>
      </w:r>
      <w:r>
        <w:rPr>
          <w:rFonts w:hint="eastAsia" w:ascii="宋体" w:hAnsi="宋体"/>
          <w:color w:val="auto"/>
          <w:sz w:val="21"/>
          <w:szCs w:val="21"/>
          <w:highlight w:val="none"/>
        </w:rPr>
        <w:t>防护措施费用。</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22、事故处理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22.1发生重大伤亡及其他安全事故，承包人应按有关规定立即上报有关部门并通知工程师，同时按政府有关部门要求处理，由事故责任方承担发生的费用。</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22.2发包人承包人对事故责任有争议时，应按政府有关部门的认定处理。 </w:t>
      </w:r>
    </w:p>
    <w:p>
      <w:pPr>
        <w:spacing w:line="440" w:lineRule="exact"/>
        <w:ind w:firstLine="359" w:firstLineChars="171"/>
        <w:rPr>
          <w:rFonts w:ascii="宋体" w:hAnsi="宋体"/>
          <w:color w:val="auto"/>
          <w:sz w:val="21"/>
          <w:szCs w:val="21"/>
          <w:highlight w:val="none"/>
        </w:rPr>
      </w:pPr>
      <w:r>
        <w:rPr>
          <w:rFonts w:hint="eastAsia" w:ascii="宋体" w:hAnsi="宋体"/>
          <w:color w:val="auto"/>
          <w:sz w:val="21"/>
          <w:szCs w:val="21"/>
          <w:highlight w:val="none"/>
        </w:rPr>
        <w:t>六、合同价款与支付</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23、合同价款及调整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23.1招标工程的合同价款由发包人承包人依据中标通知书中的中标价格在协议书内约定。非招标工程的合同价款由发包人承包人依据工程预算书在协议书内约定。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23.2合同价款在协议书内约定后，任何一方不得擅自改变。下列三种确定合同价款的方式，双方可在专用条款内约定采用其中一种：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 固定价格合同。双方在专用条款内约定合同价款包含的风险范围和风险费用的计算方法，在约定的风险范围内合同价款不再调整。风险范围以外的合同价款调整方法，应当在专用条款内约定。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 </w:t>
      </w:r>
      <w:r>
        <w:rPr>
          <w:rFonts w:hint="eastAsia" w:ascii="宋体" w:hAnsi="宋体"/>
          <w:color w:val="auto"/>
          <w:sz w:val="21"/>
          <w:szCs w:val="21"/>
          <w:highlight w:val="none"/>
        </w:rPr>
        <w:t>可调价格合同。合同价款可根据双方的约定而调整，双方在专用条款内约定合同价款调整方法。</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 成本加酬金合同。合同价款包括成本和酬金两部分，双方在专用条款内约定成本构成和酬金的计算方法。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23.3可调价格合同中合同价款的调整因素包括：</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 法律、行政法规和国家有关政策变化影响合同价款；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 工程造价管理部门公布的价格调整；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 一周内非承包人原因停水、停电、停气造成的停工累计超过8小时；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(4) 双方约定的其他因素。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23.4承包人应当在23.3款情况发生后14天内，将调整原因、金额以书面形式通知工程师，工程师确认调整金额后作为追加合同价款，与工程款同期支付。工程师收到承包人通知后14天内不予确认也不提出修改意见，视为已经同意该项调整。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24、工程预付款 </w:t>
      </w:r>
    </w:p>
    <w:p>
      <w:pPr>
        <w:spacing w:line="440" w:lineRule="exact"/>
        <w:ind w:firstLine="359" w:firstLineChars="171"/>
        <w:rPr>
          <w:rFonts w:ascii="宋体" w:hAnsi="宋体"/>
          <w:color w:val="auto"/>
          <w:sz w:val="21"/>
          <w:szCs w:val="21"/>
          <w:highlight w:val="none"/>
        </w:rPr>
      </w:pPr>
      <w:r>
        <w:rPr>
          <w:rFonts w:hint="eastAsia" w:ascii="宋体" w:hAnsi="宋体"/>
          <w:color w:val="auto"/>
          <w:sz w:val="21"/>
          <w:szCs w:val="21"/>
          <w:highlight w:val="none"/>
        </w:rPr>
        <w:t>实行工程预付款的，双方应当在专用条款内约定发包人向承包人预付工程款的时间和数额，开工后按约定的时间和比例逐次扣回。预付时间应不迟于约定的开工日期前</w:t>
      </w:r>
      <w:r>
        <w:rPr>
          <w:rFonts w:ascii="宋体" w:hAnsi="宋体"/>
          <w:color w:val="auto"/>
          <w:sz w:val="21"/>
          <w:szCs w:val="21"/>
          <w:highlight w:val="none"/>
        </w:rPr>
        <w:t xml:space="preserve">7天。发包人不按约定预付，承包人在约定预付时间7天后向发包人发出要求预付的通知，发包人收到通知后仍不能按要求预付，承包人可在发出通告后7天停止施工，发包人应从约定应付之日起向承包人支付应付款的贷款利息，并承担违约责任。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25、工程量的确认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25.1 承包人应按专用条款约定的时间，向工程师提交已完工程量的报告。工程师接到报告后7天内按设计图纸核实已完工程量（以下称计量），并在计量前24小时通知承包人，承包人应为计量提供便利条件并派人参加。承包人收到通知后不参加计量，计量结果有效，作为工程价款支付的依据。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25.2 工程师收到承包人报告后7天内未进行计量，从第8天起，承包人报告中开列的工程量即视为被确认，作为工程价款支付的依据。工程师不按约定时间通知承包人，致使承包人未能参加计量，计量结果无效。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25.3对承包人超出设计图纸范围和因承包人原因造成返工的工程量，工程师不予计量。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26、工程款（进度款）支付。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26.1 在确认计量结果后14天内，发包人应向承包人支付工程款（进度款）。按约定时间发包人应扣回的预付款，与工程款（进度款）同期结算。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26.2 本通用条款第23条确定调整的合同价款，第31条工程变更调整的合同价款及其他条款中约定的追加合同价款，应与工程款（进度款）同期调整支付。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26.3 发包人超过约定的支付时间不支付工程款（进度款），承包人可向发包人发出要求付款的通知，发包人收到承包人通知后仍不能按要求付款，可与承包人协商签订延期付款协议，经承包人同意后可延期支付。协议应明确延期支付的时间和从计量结果确认后第15天起计算应付款的贷款利息。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26.4 发包人不按合同约定支付工程款（进度款），双方又未达成延期付款协议，导致施工无法进行，承包人可停止施工，由发包人承担违约责任。 </w:t>
      </w:r>
    </w:p>
    <w:p>
      <w:pPr>
        <w:spacing w:line="440" w:lineRule="exact"/>
        <w:ind w:firstLine="359" w:firstLineChars="171"/>
        <w:rPr>
          <w:rFonts w:ascii="宋体" w:hAnsi="宋体"/>
          <w:color w:val="auto"/>
          <w:sz w:val="21"/>
          <w:szCs w:val="21"/>
          <w:highlight w:val="none"/>
        </w:rPr>
      </w:pPr>
      <w:r>
        <w:rPr>
          <w:rFonts w:hint="eastAsia" w:ascii="宋体" w:hAnsi="宋体"/>
          <w:color w:val="auto"/>
          <w:sz w:val="21"/>
          <w:szCs w:val="21"/>
          <w:highlight w:val="none"/>
        </w:rPr>
        <w:t>七、材料设备供应</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27、发包人供应材料设备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27.1 实行发包人供应材料设备的，双方应当约定发包人供应材料设备的一览表，作为本合同附件（附件2）。一览表包括发包人供应材料设备的品种、规格、型号、数量、单价、质量等级、提供时间和地点。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27.2 发包人按一览表约定的内容提供材料设备，并向承包人提供产品合格证明，对其质量负责。发包人在所供材料设备到货前24小时，以书面形式通知承包人，由承包人派人与发包人共同清点。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27.3 发包人供应的材料设备，承包人派人参加清点后由承包人妥善保管，发包人支付相应保管费用。因承包人原因发生丢失损坏，由承包人负责赔偿。 </w:t>
      </w:r>
    </w:p>
    <w:p>
      <w:pPr>
        <w:spacing w:line="440" w:lineRule="exact"/>
        <w:ind w:firstLine="359" w:firstLineChars="171"/>
        <w:rPr>
          <w:rFonts w:ascii="宋体" w:hAnsi="宋体"/>
          <w:color w:val="auto"/>
          <w:sz w:val="21"/>
          <w:szCs w:val="21"/>
          <w:highlight w:val="none"/>
        </w:rPr>
      </w:pPr>
      <w:r>
        <w:rPr>
          <w:rFonts w:hint="eastAsia" w:ascii="宋体" w:hAnsi="宋体"/>
          <w:color w:val="auto"/>
          <w:sz w:val="21"/>
          <w:szCs w:val="21"/>
          <w:highlight w:val="none"/>
        </w:rPr>
        <w:t>发包人未通知承包人清点，承包人不负责材料设备的保管，丢失损坏由发包人负责。</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27.4发包人供应的材料设备与一览表不符时，发包人承担有关责任。发包人应承担责任的具体内容，双方根据下列情况在专用条款内约定。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 材料设备单价与一览表不符，由发包人承担所有价差；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 材料设备的品种、规格、型号、质量等级与一览表不符，承包人可拒绝接收保管，由发包人运出施工场地并重新采购；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 发包人供应的材料规格、型号与一览表不符，经发包人同意，承包人可代为调剂串换，由发包人承担相应费用；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(4) 到货地点与一览表不符，由发包人负责运至一览表指定地点：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(5) 供应数量少于一览表约定的数量时，由发包人补齐，多于一览表约定数量时，发包人负责将多出部分运出施工场地；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(6) 到货时间早于一览表约定时间，由发包人承担因此发生的保管费用；到货时间迟于一览表约定的供应时间，发包人赔偿由此造成的承包人损失，造成工期延误的，相应顺延工期。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27.5发包人供应的材料设备使用前，由承包人负责检验或试验，不合格的不得使用，检验或试验费用由发包人承担。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27.6发包人供应材料设备的结算方法，双方在专用条款内约定。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28、承包人采购材料设备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28.1 </w:t>
      </w:r>
      <w:r>
        <w:rPr>
          <w:rFonts w:hint="eastAsia" w:ascii="宋体" w:hAnsi="宋体"/>
          <w:color w:val="auto"/>
          <w:sz w:val="21"/>
          <w:szCs w:val="21"/>
          <w:highlight w:val="none"/>
        </w:rPr>
        <w:t>承包人负责采购材料设备的，应按照专用条款约定及设计和有关标准要求采购，并提供产品合格证明，对材料设备质量负责。承包人在材料设备到货前</w:t>
      </w:r>
      <w:r>
        <w:rPr>
          <w:rFonts w:ascii="宋体" w:hAnsi="宋体"/>
          <w:color w:val="auto"/>
          <w:sz w:val="21"/>
          <w:szCs w:val="21"/>
          <w:highlight w:val="none"/>
        </w:rPr>
        <w:t>24小时通知工程师清点。</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28.2</w:t>
      </w:r>
      <w:r>
        <w:rPr>
          <w:rFonts w:ascii="宋体" w:hAnsi="宋体"/>
          <w:color w:val="auto"/>
          <w:spacing w:val="8"/>
          <w:sz w:val="21"/>
          <w:szCs w:val="21"/>
          <w:highlight w:val="none"/>
        </w:rPr>
        <w:t xml:space="preserve"> 承包人采购的材料设备与设计或标准要求不符时，承包人应按工程师要</w:t>
      </w:r>
      <w:r>
        <w:rPr>
          <w:rFonts w:hint="eastAsia" w:ascii="宋体" w:hAnsi="宋体"/>
          <w:color w:val="auto"/>
          <w:sz w:val="21"/>
          <w:szCs w:val="21"/>
          <w:highlight w:val="none"/>
        </w:rPr>
        <w:t>求的时间运出施工场地，重新采购符合要求的产品，承担由此发生的费用，由此延误的工期不予顺延。</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28.3 承包人采购的材料设备在使用前，承包人应按工程师的要求进行检验或试验，不合格的不得使用，检验或试验费用由承包人承担。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28.4 工程师发现承包人采购并使用不符合设计或标准要求的材料设备时，应要求由承包人负责修复、拆除或重新采购，并承担发生的费用，由此延误的工期不予顺延。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28.5 承包人需要使用代用材料时，应经工程师认可后才能使用，由此增减的合同价款双方以书面形式议定。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28.6 由承包人采购的材料设备，发包人不得指定生产厂或供应商。 </w:t>
      </w:r>
    </w:p>
    <w:p>
      <w:pPr>
        <w:spacing w:line="440" w:lineRule="exact"/>
        <w:ind w:firstLine="359" w:firstLineChars="171"/>
        <w:rPr>
          <w:rFonts w:ascii="宋体" w:hAnsi="宋体"/>
          <w:color w:val="auto"/>
          <w:sz w:val="21"/>
          <w:szCs w:val="21"/>
          <w:highlight w:val="none"/>
        </w:rPr>
      </w:pPr>
      <w:r>
        <w:rPr>
          <w:rFonts w:hint="eastAsia" w:ascii="宋体" w:hAnsi="宋体"/>
          <w:color w:val="auto"/>
          <w:sz w:val="21"/>
          <w:szCs w:val="21"/>
          <w:highlight w:val="none"/>
        </w:rPr>
        <w:t>八、工程变更</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29、工程设计变更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29.1施工中发包人需对原工程设计进行变更，应提前14天以书面形式向承包人发出变更通知。变更超过原设计标准或批准的建设规模时，发包人应报规划管理部门和其他有关部门重新审查批准，并由原设计单位提供变更的相应图纸和说明。承包人按照工程师发出的变更通知及有关要求，进行下列需要的变更：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 更改工程有关部分的标高、基线、位置和尺寸；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 增减合同中约定的工程量；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 改变有关工程的施工时间和顺序；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(4) 其他有关工程变更需要的附加工作。 </w:t>
      </w:r>
    </w:p>
    <w:p>
      <w:pPr>
        <w:spacing w:line="440" w:lineRule="exact"/>
        <w:ind w:firstLine="359" w:firstLineChars="171"/>
        <w:rPr>
          <w:rFonts w:ascii="宋体" w:hAnsi="宋体"/>
          <w:color w:val="auto"/>
          <w:sz w:val="21"/>
          <w:szCs w:val="21"/>
          <w:highlight w:val="none"/>
        </w:rPr>
      </w:pPr>
      <w:r>
        <w:rPr>
          <w:rFonts w:hint="eastAsia" w:ascii="宋体" w:hAnsi="宋体"/>
          <w:color w:val="auto"/>
          <w:sz w:val="21"/>
          <w:szCs w:val="21"/>
          <w:highlight w:val="none"/>
        </w:rPr>
        <w:t>因变更导致合同价款的增减及造成的承包人损失，由发包人承担，延误的工期相应顺延。</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29.2施工中承包人不得对原工程设计进行变更。因承包人擅自变更设计发生的费用和由此导致发包人的直接损失，由承包人承担，延误的工期不予顺延。</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29.3承包人在施工中提出的合理化建议涉及到对设计图纸或施工组织设计的更改及对材料、设备的换用，须经工程师同意。未经同意擅自更改或换用时，承包人承担由此发生的费用，并赔偿发包人的有关损失，延误的工期不予顺延。</w:t>
      </w:r>
    </w:p>
    <w:p>
      <w:pPr>
        <w:spacing w:line="440" w:lineRule="exact"/>
        <w:ind w:firstLine="359" w:firstLineChars="171"/>
        <w:rPr>
          <w:rFonts w:ascii="宋体" w:hAnsi="宋体"/>
          <w:color w:val="auto"/>
          <w:sz w:val="21"/>
          <w:szCs w:val="21"/>
          <w:highlight w:val="none"/>
        </w:rPr>
      </w:pPr>
      <w:r>
        <w:rPr>
          <w:rFonts w:hint="eastAsia" w:ascii="宋体" w:hAnsi="宋体"/>
          <w:color w:val="auto"/>
          <w:sz w:val="21"/>
          <w:szCs w:val="21"/>
          <w:highlight w:val="none"/>
        </w:rPr>
        <w:t>工程师同意采用承包人合理化建议，所发生的费用和获得的收益，发包人承包人另行约定分担或分享。</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30、其他变更 </w:t>
      </w:r>
    </w:p>
    <w:p>
      <w:pPr>
        <w:spacing w:line="440" w:lineRule="exact"/>
        <w:ind w:firstLine="359" w:firstLineChars="171"/>
        <w:rPr>
          <w:rFonts w:ascii="宋体" w:hAnsi="宋体"/>
          <w:color w:val="auto"/>
          <w:sz w:val="21"/>
          <w:szCs w:val="21"/>
          <w:highlight w:val="none"/>
        </w:rPr>
      </w:pPr>
      <w:r>
        <w:rPr>
          <w:rFonts w:hint="eastAsia" w:ascii="宋体" w:hAnsi="宋体"/>
          <w:color w:val="auto"/>
          <w:sz w:val="21"/>
          <w:szCs w:val="21"/>
          <w:highlight w:val="none"/>
        </w:rPr>
        <w:t>合同履行中发包人要求变更工程质量标准及发生其他实质性变更，由双方协商解决。</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31、确定变更价款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31.1承包人在工程变更确定后14天内，提出变更工程价款的报告，经工程师确认后调整合同价款。变更合同价款按下列方法进行：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 合同中已有适用于变更工程的价格，按合同已有的价格变更合同价款；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 合同中只有类似于变更工程的价格，可以参照类似价格变更合同价款；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 合同中没有适用或类似于变更工程的价格，由承包人提出适当的变更价格，经工程师确认后执行。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31.2承包人在双方确定变更后14天内不向工程师提出变更工程价款报告时，视为该项变更不涉及合同价款的变更。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31.3工程师应在收到变更工程价款报告之日起14天内予以确认，工程师无正当理由不确认时，自变更工程价款报告送达之日起14天后视为变更工程价款报告已被确认。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31.4工程师不同意承包人提出的变更价款，按本通用条款第37条关于争议的约定处理。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31.5工程师确认增加的工程变更价款作为追加合同价款，与工程款同期支付。</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31.6因承包人自身原因导致的工程变更，承包人无权要求追加合同价款。 </w:t>
      </w:r>
    </w:p>
    <w:p>
      <w:pPr>
        <w:spacing w:line="440" w:lineRule="exact"/>
        <w:ind w:firstLine="359" w:firstLineChars="171"/>
        <w:rPr>
          <w:rFonts w:ascii="宋体" w:hAnsi="宋体"/>
          <w:color w:val="auto"/>
          <w:sz w:val="21"/>
          <w:szCs w:val="21"/>
          <w:highlight w:val="none"/>
        </w:rPr>
      </w:pPr>
      <w:r>
        <w:rPr>
          <w:rFonts w:hint="eastAsia" w:ascii="宋体" w:hAnsi="宋体"/>
          <w:color w:val="auto"/>
          <w:sz w:val="21"/>
          <w:szCs w:val="21"/>
          <w:highlight w:val="none"/>
        </w:rPr>
        <w:t>九、竣工验收与结算</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32、竣工验收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32.1 </w:t>
      </w:r>
      <w:r>
        <w:rPr>
          <w:rFonts w:hint="eastAsia" w:ascii="宋体" w:hAnsi="宋体"/>
          <w:color w:val="auto"/>
          <w:sz w:val="21"/>
          <w:szCs w:val="21"/>
          <w:highlight w:val="none"/>
        </w:rPr>
        <w:t>工程具备竣工验收条件，承包人按国家工程竣工验收有关规定，向发包人提供完整竣工资料及竣工验收报告。双方约定由承包人提供竣工图的，应当在专用条款内约定提供的日期和份数。</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32.2 </w:t>
      </w:r>
      <w:r>
        <w:rPr>
          <w:rFonts w:hint="eastAsia" w:ascii="宋体" w:hAnsi="宋体"/>
          <w:color w:val="auto"/>
          <w:sz w:val="21"/>
          <w:szCs w:val="21"/>
          <w:highlight w:val="none"/>
        </w:rPr>
        <w:t>发包人收到竣工验收报告后</w:t>
      </w:r>
      <w:r>
        <w:rPr>
          <w:rFonts w:ascii="宋体" w:hAnsi="宋体"/>
          <w:color w:val="auto"/>
          <w:sz w:val="21"/>
          <w:szCs w:val="21"/>
          <w:highlight w:val="none"/>
        </w:rPr>
        <w:t>28天内组织有关单位验收，并在验收后14天内给予认可或提出修改意见。承包人按要求修改，并承担由自身原因造成修改的费用。</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32.3 发包人收到承包人送交的竣工验收报告后28天内不组织验收，或验收后14天内不提出修改意见，视为竣工验收报告已被认可。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32.4 工程竣工验收通过，承包人送交竣工验收报告的日期为实际竣工日期。工程按发包人要求修改后通过竣工验收的，实际竣工日期为承包人修改后提请发包人验收的日期。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32.5 发包人收到承包人竣工验收报告后28天内不组织验收，从第29天起承担工程保管及一切意外责任。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32.6 中间交工工程的范围和竣工时间，双方在专用条款内约定，其验收程序按本通用条款32.1款至32.4款办理。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32.7 因特殊原因，发包人要求部分单位工程或工程部位甩项竣工的，双方另行签订甩项竣工协议，明确双方责任和工程价款支付方法。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32.8 工程未经竣工验收或竣工验收未通过的，发包人不得使用。发包人强行使用时，由此发生的质量问题及其他问题，由发包人承担责任。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33、竣工结算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33.1 工程竣工验收报告经发包人认可后28天内，承包人向发包人递交竣工结算报告及完整的结算资料，双方按照协议书约定的合同价款及专用条款约定的合同价款调整内容，进行工程竣工结算。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33.2 发包人收到承包人递交的竣工结算报告及结算资料后28天内进行核实，给予确认或者提出修改意见。发包人确认竣工结算报告后通知经办银行向承包人支付工程竣工结算价款。承包人收到竣工结算价款后14天内将竣工工程交付发包人。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33.3 </w:t>
      </w:r>
      <w:r>
        <w:rPr>
          <w:rFonts w:hint="eastAsia" w:ascii="宋体" w:hAnsi="宋体"/>
          <w:color w:val="auto"/>
          <w:sz w:val="21"/>
          <w:szCs w:val="21"/>
          <w:highlight w:val="none"/>
        </w:rPr>
        <w:t>发包人收到竣工结算报告及结算资料后</w:t>
      </w:r>
      <w:r>
        <w:rPr>
          <w:rFonts w:ascii="宋体" w:hAnsi="宋体"/>
          <w:color w:val="auto"/>
          <w:sz w:val="21"/>
          <w:szCs w:val="21"/>
          <w:highlight w:val="none"/>
        </w:rPr>
        <w:t>28天内无正当理由不支付工程竣工结算价款，从第29天起按承包人同期向银行贷款利率支付拖欠工程价款的利息，并承担违约责任。</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33.4 </w:t>
      </w:r>
      <w:r>
        <w:rPr>
          <w:rFonts w:hint="eastAsia" w:ascii="宋体" w:hAnsi="宋体"/>
          <w:color w:val="auto"/>
          <w:sz w:val="21"/>
          <w:szCs w:val="21"/>
          <w:highlight w:val="none"/>
        </w:rPr>
        <w:t>发包人收到竣工结算报告及结算资料后</w:t>
      </w:r>
      <w:r>
        <w:rPr>
          <w:rFonts w:ascii="宋体" w:hAnsi="宋体"/>
          <w:color w:val="auto"/>
          <w:sz w:val="21"/>
          <w:szCs w:val="21"/>
          <w:highlight w:val="none"/>
        </w:rPr>
        <w:t>28天内不支付工程竣工结算价款，承包人可以催告发包人支付结算价款。发包人在收到竣工结算报告及结算资料后56天内仍不支付的，承包人可以与发包人协议将该工程折价，也可以由承包人申请人民法院将该工程依法拍卖，承包人就该工程折价或者拍卖的价款优先受偿。</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33.5 工程竣工验收报告经发包人认可后28天内，承包人未能向发包人递交竣工结算报告及完整的结算资料，造成工程竣工结算不能正常进行或工程竣工结算价款不能及时支付，发包人要求交付工程的，承包人应当交付；发包人不要求交付工程的，承包人承担保管责任。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33.6 发包人承包人对工程竣工结算价款发生争议时，按本通用条款37条关于争议的约定处理。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34、质量保修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34.1 承包人应按法律、行政法规或国家关于工程质量保修的有关规定，对交付发包人使用的工程在质量保修期内承担质量保修责任。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34.2 质量保修工作的实施。承包人应在工程竣工验收之前，与发包人签订质量保修书，作为本合同附件（附件3）。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34.3 质量保修书的主要内容包括：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 质量保修项目内容及范围；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 质量保修期；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 质量保修责任；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(4) 质量保修金的支付方法。 </w:t>
      </w:r>
    </w:p>
    <w:p>
      <w:pPr>
        <w:spacing w:line="440" w:lineRule="exact"/>
        <w:ind w:firstLine="359" w:firstLineChars="171"/>
        <w:rPr>
          <w:rFonts w:ascii="宋体" w:hAnsi="宋体"/>
          <w:color w:val="auto"/>
          <w:sz w:val="21"/>
          <w:szCs w:val="21"/>
          <w:highlight w:val="none"/>
        </w:rPr>
      </w:pPr>
      <w:r>
        <w:rPr>
          <w:rFonts w:hint="eastAsia" w:ascii="宋体" w:hAnsi="宋体"/>
          <w:color w:val="auto"/>
          <w:sz w:val="21"/>
          <w:szCs w:val="21"/>
          <w:highlight w:val="none"/>
        </w:rPr>
        <w:t>十、违约、索赔和争议</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35、违约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35.1发包人违约。当发生下列情况时：</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 本通用条款第24条提到的发包人不按时支付工程预付款；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 本通用条款第26.4款提到的发包人不按合同约定支付工程款，导致施工无法进行；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 </w:t>
      </w:r>
      <w:r>
        <w:rPr>
          <w:rFonts w:hint="eastAsia" w:ascii="宋体" w:hAnsi="宋体"/>
          <w:color w:val="auto"/>
          <w:sz w:val="21"/>
          <w:szCs w:val="21"/>
          <w:highlight w:val="none"/>
        </w:rPr>
        <w:t>本通用条款第</w:t>
      </w:r>
      <w:r>
        <w:rPr>
          <w:rFonts w:ascii="宋体" w:hAnsi="宋体"/>
          <w:color w:val="auto"/>
          <w:sz w:val="21"/>
          <w:szCs w:val="21"/>
          <w:highlight w:val="none"/>
        </w:rPr>
        <w:t>33.3款提到的发包人无正当理由不支付工程竣工结算价款；</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(4) 发包人不履行合同义务或不按合同约定履行义务的其他情况。 </w:t>
      </w:r>
    </w:p>
    <w:p>
      <w:pPr>
        <w:spacing w:line="440" w:lineRule="exact"/>
        <w:ind w:firstLine="359" w:firstLineChars="171"/>
        <w:rPr>
          <w:rFonts w:ascii="宋体" w:hAnsi="宋体"/>
          <w:color w:val="auto"/>
          <w:sz w:val="21"/>
          <w:szCs w:val="21"/>
          <w:highlight w:val="none"/>
        </w:rPr>
      </w:pPr>
      <w:r>
        <w:rPr>
          <w:rFonts w:hint="eastAsia" w:ascii="宋体" w:hAnsi="宋体"/>
          <w:color w:val="auto"/>
          <w:sz w:val="21"/>
          <w:szCs w:val="21"/>
          <w:highlight w:val="none"/>
        </w:rPr>
        <w:t>发包人承担违约责任，赔偿因其违约给承包人造成的经济损失，顺延延误的工期。双方在专用条款内约定发包人赔偿承包人损失的计算方法或者发包人应当支付违约金的数额或计算方法。</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35.2承包人违约。当发生下列情况时：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 本通用条款第14.2款提到的因承包人原因不能按照协议书约定的竣工日期或工程师同意顺延的工期竣工；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 本通用条款第15.1款提到的因承包人原因工程质量达不到协议书约定的质量标准；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 承包人不履行合同义务或不按合同约定履行义务的其他情况。 </w:t>
      </w:r>
    </w:p>
    <w:p>
      <w:pPr>
        <w:spacing w:line="440" w:lineRule="exact"/>
        <w:ind w:firstLine="359" w:firstLineChars="171"/>
        <w:rPr>
          <w:rFonts w:ascii="宋体" w:hAnsi="宋体"/>
          <w:color w:val="auto"/>
          <w:sz w:val="21"/>
          <w:szCs w:val="21"/>
          <w:highlight w:val="none"/>
        </w:rPr>
      </w:pPr>
      <w:r>
        <w:rPr>
          <w:rFonts w:hint="eastAsia" w:ascii="宋体" w:hAnsi="宋体"/>
          <w:color w:val="auto"/>
          <w:sz w:val="21"/>
          <w:szCs w:val="21"/>
          <w:highlight w:val="none"/>
        </w:rPr>
        <w:t>承包人承担违约责任，赔偿因其违约给发包人造成的损失。双方在专用条款内约定承包人赔偿发包人损失的计算方法或者承包人应当支付违约金的数额或计算方法。</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35.3一方违约后，另一方要求违约方继续履行合同时，违约方承担上述违约责任后仍应继续履行合同。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36、索赔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36.1当</w:t>
      </w:r>
      <w:r>
        <w:rPr>
          <w:rFonts w:hint="eastAsia" w:ascii="宋体" w:hAnsi="宋体"/>
          <w:color w:val="auto"/>
          <w:sz w:val="21"/>
          <w:szCs w:val="21"/>
          <w:highlight w:val="none"/>
        </w:rPr>
        <w:t>一方向另一方提出索赔时，要有正当索赔理由，且有索赔事件发生时的有效证据。</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36.2发包人未能按合同约定履行自己的各项义务或发生错误以及应由发包人承担责任的其他情况，造成工期延误和（或）承包人不能及时得到合同价款及承包人的其他经济损失，承包人可按下列程序以书面形式向发包人索赔：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 索赔事件发生后28天内，向工程师发出索赔意向通知；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 发出索赔意向通知后28天内，向工程师提出延长工期和（或）补偿经济损失的索赔报告及有关资料；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 工程师在收到承包人送交的索赔报告及有关资料后，于28天内给予答复，或要求承包人进一步补充索赔理由和证据；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(4) 工程师在收到承包人送交的索赔报告和有关资料后28天内未予答复或未对承包人作进一步要求，视为该项索赔已经认可；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(5) 当该索赔事件持续进行时，承包人应当阶段性向工程师发出索赔意向，在索赔事件终了后28天内，向工程师送交索赔的有关资料和最终索赔报告。索赔答复程序与（3）、（4）规定相同。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36.3承包人未能按合同约定履行自己的各项义务或发生错误，给发包人造成经济损失，发包人可按36.2款确定的时限向承包人提出索赔。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37、争议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37.1发包人承包人在履行合同时发生争议，可以和解或者要求有关主管部门调解。当事人不愿和解、调解或者和解、调解不成的，双方可以在专用条款内约定以下一种方式解决争议： </w:t>
      </w:r>
    </w:p>
    <w:p>
      <w:pPr>
        <w:spacing w:line="440" w:lineRule="exact"/>
        <w:ind w:firstLine="359" w:firstLineChars="171"/>
        <w:rPr>
          <w:rFonts w:ascii="宋体" w:hAnsi="宋体"/>
          <w:color w:val="auto"/>
          <w:sz w:val="21"/>
          <w:szCs w:val="21"/>
          <w:highlight w:val="none"/>
        </w:rPr>
      </w:pPr>
      <w:r>
        <w:rPr>
          <w:rFonts w:hint="eastAsia" w:ascii="宋体" w:hAnsi="宋体"/>
          <w:color w:val="auto"/>
          <w:sz w:val="21"/>
          <w:szCs w:val="21"/>
          <w:highlight w:val="none"/>
        </w:rPr>
        <w:t>第一种解决方式：双方达成仲裁协议，向约定的仲裁委员会申请仲裁；</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hint="eastAsia" w:ascii="宋体" w:hAnsi="宋体"/>
          <w:color w:val="auto"/>
          <w:sz w:val="21"/>
          <w:szCs w:val="21"/>
          <w:highlight w:val="none"/>
        </w:rPr>
        <w:t>第二种解决方式：向有管辖权的人民法院起诉。</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37.2发生争议后，除非出现下列情况的，双方都应继续履行合同，保持施工连续，保护好已完工程：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 单方违约导致合同确已无法履行，双方协议停止施工；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 调解要求停止施工，且为双方接受；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 仲裁机构要求停止施工；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(4) 法院要求停止施工。 </w:t>
      </w:r>
    </w:p>
    <w:p>
      <w:pPr>
        <w:spacing w:line="440" w:lineRule="exact"/>
        <w:ind w:firstLine="359" w:firstLineChars="171"/>
        <w:rPr>
          <w:rFonts w:ascii="宋体" w:hAnsi="宋体"/>
          <w:color w:val="auto"/>
          <w:sz w:val="21"/>
          <w:szCs w:val="21"/>
          <w:highlight w:val="none"/>
        </w:rPr>
      </w:pPr>
      <w:r>
        <w:rPr>
          <w:rFonts w:hint="eastAsia" w:ascii="宋体" w:hAnsi="宋体"/>
          <w:color w:val="auto"/>
          <w:sz w:val="21"/>
          <w:szCs w:val="21"/>
          <w:highlight w:val="none"/>
        </w:rPr>
        <w:t>十一、其他</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38、工程分包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38.1 承包人按专用条款的约定分包所承包的部分工程，并与分包单位签订分包合同。非经发包人同意，承包人不得将承包工程的任何部分分包。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38.2 承包人不得将其承包的全部工程转包给他人，也不得将其承包的全部工程肢解以后以分包的名义分别转包给他人。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38.3 工程分包不能解除承包人任何责任与义务。承包人应在分包场地派驻相应管理人员，保证本合同的履行。分包单位的任何违约行为或疏忽导致工程损害或给发包人造成其他损失，承包人承担连带责任。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38.4分包工程价款由承包人与分包单位结算。发包人未经承包人同意不得以任何形式向分包单位支付各种工程款项。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39、不可抗力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39.1 </w:t>
      </w:r>
      <w:r>
        <w:rPr>
          <w:rFonts w:hint="eastAsia" w:ascii="宋体" w:hAnsi="宋体"/>
          <w:color w:val="auto"/>
          <w:sz w:val="21"/>
          <w:szCs w:val="21"/>
          <w:highlight w:val="none"/>
        </w:rPr>
        <w:t>不可抗力包括因战争、动乱、空中飞行物体坠落或其他非发包人承包人责任造成的爆炸、火灾，以及专用条款约定的风、雨、雪、洪、震等自然灾害。</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39.2 不可抗力事件发生后，承包人应立即通知工程师，并在力所能及的条件下迅速采取措施，尽力减少损失，发包人应协助承包人采取措施。工程师认为应当暂停施工的，承包人应暂停施工。不可抗力事件结束后48小时内承包人向工程师通报受害情况和损失情况，及预计清理和修复的费用。不可抗力事件持续发生，承包人应每隔7天向工程师报告一次受害情况。不可抗力事件结束后14天内，承包人向工程师提交清理和修复费用的正式报告及有关资料。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39.3 </w:t>
      </w:r>
      <w:r>
        <w:rPr>
          <w:rFonts w:hint="eastAsia" w:ascii="宋体" w:hAnsi="宋体"/>
          <w:color w:val="auto"/>
          <w:sz w:val="21"/>
          <w:szCs w:val="21"/>
          <w:highlight w:val="none"/>
        </w:rPr>
        <w:t>因不可抗力事件导致的费用及延误的工期由双方按以下方法分别承担：</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 </w:t>
      </w:r>
      <w:r>
        <w:rPr>
          <w:rFonts w:hint="eastAsia" w:ascii="宋体" w:hAnsi="宋体"/>
          <w:color w:val="auto"/>
          <w:sz w:val="21"/>
          <w:szCs w:val="21"/>
          <w:highlight w:val="none"/>
        </w:rPr>
        <w:t>工程本身的损害、因工程损害导致第三人人员伤亡和财产损失以及运至施工场地用于施工的材料和待安装的设备的损害，由发包人承担；</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 发包人承包人人员伤亡由其所在单位负责，并承担相应费用；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(3) 承包人机械设备损坏及停工损失，由承包人承担；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(4) 停工期间，承包人应工程师要求留在施工场地的必要的管理人员及保卫人员的费用由发包人承担；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(5) 工程所需清理、修复费用，由发包人承担；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(6) 延误的工期相应顺延。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39.4因合同一方迟延履行合同后发生不可抗力的，不能免除迟延履行方的相应责任。</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40、保险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40.1工程开工前，发包人为建设工程和施工场地内的自有人员及第三</w:t>
      </w:r>
      <w:r>
        <w:rPr>
          <w:rFonts w:hint="eastAsia" w:ascii="宋体" w:hAnsi="宋体"/>
          <w:color w:val="auto"/>
          <w:sz w:val="21"/>
          <w:szCs w:val="21"/>
          <w:highlight w:val="none"/>
        </w:rPr>
        <w:t>人人员生命财产办理保险，支付保险费用。</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40.2运至施工场内用于工程的材料和待安装设备，由发包人办理保险，并支付保险费用。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40.3发包人可以将有关保险事项委托承包人办理，费用由发包人承担。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40.4承包人必须为从事危险作业的职工办理意外伤害保险，并为施工场地内自有人员生命财产和施工机械设备办理保险，支付保险费用。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40.5保险事故发生时，发包人承包人有责任尽力采取必要的措施，防止或者减少损失。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40.6具体投保内容和相关责任，发包人承包人在专用条款中约定。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41、担保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41.1发包人、承包人为了全面履行合同，应互相提供以下担保：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 发包人向承包人提供履约担保，按合同约定支付工程价款及履行合同约定的其他义务。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 承包人向发包人提供履约担保，按合同约定履行自己的各项义务。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41.2 一方违约后，另一方可要求提供担保的第三人承担相应责任。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41.3 提供担保的内容、方式和相关责任，发包人承包人除在专用条款中约定外，被担保方与担保方还应签订担保合同，作为本合同附件。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42、专利技术及特殊工艺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42.1 </w:t>
      </w:r>
      <w:r>
        <w:rPr>
          <w:rFonts w:hint="eastAsia" w:ascii="宋体" w:hAnsi="宋体"/>
          <w:color w:val="auto"/>
          <w:sz w:val="21"/>
          <w:szCs w:val="21"/>
          <w:highlight w:val="none"/>
        </w:rPr>
        <w:t>发包人要求使用专利技术或特殊工艺，应负责办理相应的申报手续，承担申报、试验、使用等费用；承包人提出使用专利技术或特殊工艺，应取得工程师认可，承包人负责办理申报手续并承担有关费用。</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42.2 擅自使用专利技术侵犯他人专利权的，责任者依法承担相应责任。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43、文物和地下障碍物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43.1 </w:t>
      </w:r>
      <w:r>
        <w:rPr>
          <w:rFonts w:hint="eastAsia" w:ascii="宋体" w:hAnsi="宋体"/>
          <w:color w:val="auto"/>
          <w:sz w:val="21"/>
          <w:szCs w:val="21"/>
          <w:highlight w:val="none"/>
        </w:rPr>
        <w:t>在施工中发现古墓、古建筑遗址等文物及化石或其他有考古、地质研究等价值的物品时，承包人应立即保护好现场并于</w:t>
      </w:r>
      <w:r>
        <w:rPr>
          <w:rFonts w:ascii="宋体" w:hAnsi="宋体"/>
          <w:color w:val="auto"/>
          <w:sz w:val="21"/>
          <w:szCs w:val="21"/>
          <w:highlight w:val="none"/>
        </w:rPr>
        <w:t>4小时内以书面形式通知工程师，工程师应于收到书面通知后24小时内报告当地文物管理部门，发包人承包人按文物管理部门的要求采取妥善保护措施。发包人承担由此发生的费用，顺延延误的工期。</w:t>
      </w:r>
    </w:p>
    <w:p>
      <w:pPr>
        <w:spacing w:line="440" w:lineRule="exact"/>
        <w:ind w:firstLine="359" w:firstLineChars="171"/>
        <w:rPr>
          <w:rFonts w:ascii="宋体" w:hAnsi="宋体"/>
          <w:color w:val="auto"/>
          <w:sz w:val="21"/>
          <w:szCs w:val="21"/>
          <w:highlight w:val="none"/>
        </w:rPr>
      </w:pPr>
      <w:r>
        <w:rPr>
          <w:rFonts w:hint="eastAsia" w:ascii="宋体" w:hAnsi="宋体"/>
          <w:color w:val="auto"/>
          <w:sz w:val="21"/>
          <w:szCs w:val="21"/>
          <w:highlight w:val="none"/>
        </w:rPr>
        <w:t>如发现后隐瞒不报，致使文物遭受破坏，责任者依法承担相应责任。</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43.2 </w:t>
      </w:r>
      <w:r>
        <w:rPr>
          <w:rFonts w:hint="eastAsia" w:ascii="宋体" w:hAnsi="宋体"/>
          <w:color w:val="auto"/>
          <w:sz w:val="21"/>
          <w:szCs w:val="21"/>
          <w:highlight w:val="none"/>
        </w:rPr>
        <w:t>施工中发现影响施工的地下障碍物时，承包人应于</w:t>
      </w:r>
      <w:r>
        <w:rPr>
          <w:rFonts w:ascii="宋体" w:hAnsi="宋体"/>
          <w:color w:val="auto"/>
          <w:sz w:val="21"/>
          <w:szCs w:val="21"/>
          <w:highlight w:val="none"/>
        </w:rPr>
        <w:t>8小时内以书面形式通知工程师，同时提出处置</w:t>
      </w:r>
      <w:r>
        <w:rPr>
          <w:rFonts w:hint="eastAsia" w:ascii="宋体" w:hAnsi="宋体"/>
          <w:color w:val="auto"/>
          <w:sz w:val="21"/>
          <w:szCs w:val="21"/>
          <w:highlight w:val="none"/>
        </w:rPr>
        <w:t>方案，工程师收到</w:t>
      </w:r>
      <w:r>
        <w:rPr>
          <w:rFonts w:ascii="宋体" w:hAnsi="宋体"/>
          <w:color w:val="auto"/>
          <w:sz w:val="21"/>
          <w:szCs w:val="21"/>
          <w:highlight w:val="none"/>
        </w:rPr>
        <w:t>处置</w:t>
      </w:r>
      <w:r>
        <w:rPr>
          <w:rFonts w:hint="eastAsia" w:ascii="宋体" w:hAnsi="宋体"/>
          <w:color w:val="auto"/>
          <w:sz w:val="21"/>
          <w:szCs w:val="21"/>
          <w:highlight w:val="none"/>
        </w:rPr>
        <w:t>方案后</w:t>
      </w:r>
      <w:r>
        <w:rPr>
          <w:rFonts w:ascii="宋体" w:hAnsi="宋体"/>
          <w:color w:val="auto"/>
          <w:sz w:val="21"/>
          <w:szCs w:val="21"/>
          <w:highlight w:val="none"/>
        </w:rPr>
        <w:t>24小时内予以认可或提出修正方案。发包人承担由此发生的费用，顺延延误的工期。</w:t>
      </w:r>
    </w:p>
    <w:p>
      <w:pPr>
        <w:spacing w:line="440" w:lineRule="exact"/>
        <w:ind w:firstLine="359" w:firstLineChars="171"/>
        <w:rPr>
          <w:rFonts w:ascii="宋体" w:hAnsi="宋体"/>
          <w:color w:val="auto"/>
          <w:sz w:val="21"/>
          <w:szCs w:val="21"/>
          <w:highlight w:val="none"/>
        </w:rPr>
      </w:pPr>
      <w:r>
        <w:rPr>
          <w:rFonts w:hint="eastAsia" w:ascii="宋体" w:hAnsi="宋体"/>
          <w:color w:val="auto"/>
          <w:sz w:val="21"/>
          <w:szCs w:val="21"/>
          <w:highlight w:val="none"/>
        </w:rPr>
        <w:t>所发现的地下障碍物有归属单位时，发包人应报请有关部门协同处置。</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44、合同解除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44.1 发包人承包人协商一致，可以解除合同。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44.2 发生本通用条款第26.4款情况，停止施工超过56天，发包人仍不支付工程款（进度款），承包人有权解除合同。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44.3 发生本通用条款第38.2款禁止的情况，承包人将其承包的全部工程转包给他人或者肢解以后以分包的名义分别转包给他人，发包人有权解除合同。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44.4 有下列情形之一的，发包人承包人可以解除合同：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(1) 因不可抗力致使合同无法履行；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(2) </w:t>
      </w:r>
      <w:r>
        <w:rPr>
          <w:rFonts w:hint="eastAsia" w:ascii="宋体" w:hAnsi="宋体"/>
          <w:color w:val="auto"/>
          <w:sz w:val="21"/>
          <w:szCs w:val="21"/>
          <w:highlight w:val="none"/>
        </w:rPr>
        <w:t>因一方违约（包括因发包人原因造成工程停建或缓建）致使合同无法履行。</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44.5一方依据44.2、44.3、44.4款约定要求解除合同的，应以书面形式向对方发出解除合同的通知，并在发出通知前7天告知对方，通知到达对方时合同解除。对解除合同有争议的，按本通用条款第37条关于争议的约定处理。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44.6合同解除后，承包人应妥善做好已完工程和已购材料、设备的保护和移交工作，按发包人要求将自有机械设备和人员撤出施工场地。发包人应为承包人撤出提供必要条件，支付以上所发生的费用，并按合同约定支付已完工程价款。已经订货的材料、设备由订货方负责退货或解除订货合同，不能退还的货款和因退货、解除订货合同发生的费用，由发包人承担，因未及时退货造成的损失由责任方承担。除此之外，有过错的一方应当赔偿因</w:t>
      </w:r>
      <w:r>
        <w:rPr>
          <w:rFonts w:hint="eastAsia" w:ascii="宋体" w:hAnsi="宋体"/>
          <w:color w:val="auto"/>
          <w:sz w:val="21"/>
          <w:szCs w:val="21"/>
          <w:highlight w:val="none"/>
        </w:rPr>
        <w:t>合同解除给对方造成的损失。</w:t>
      </w:r>
      <w:r>
        <w:rPr>
          <w:rFonts w:ascii="宋体" w:hAnsi="宋体"/>
          <w:color w:val="auto"/>
          <w:sz w:val="21"/>
          <w:szCs w:val="21"/>
          <w:highlight w:val="none"/>
        </w:rPr>
        <w:t xml:space="preserve">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44.7合同解除后，不影响双方在合同中约定的结算和清理条款的效力。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45、合同生效与终止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45.1双方在协议书中约定合同生效方式。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45.2除本通用条款第34条外，发包人承包人履行合同全部义务，竣工结算价款支付完毕，承包人向发包人交付竣工工程后，本合同即告终止。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45.3合同的权利义务终止后，发包人承包人应当遵循诚实信用原则，履行通知、协助、保密等义务。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46、合同份数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46.1本合同正本两份，具有同等效力，由发包人承包人分别保存一份。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46.2本合同副本份数，由双方根据需要在专用条款内约定。 </w:t>
      </w:r>
    </w:p>
    <w:p>
      <w:pPr>
        <w:spacing w:line="440" w:lineRule="exact"/>
        <w:ind w:firstLine="359" w:firstLineChars="171"/>
        <w:rPr>
          <w:rFonts w:ascii="宋体" w:hAnsi="宋体"/>
          <w:color w:val="auto"/>
          <w:sz w:val="21"/>
          <w:szCs w:val="21"/>
          <w:highlight w:val="none"/>
        </w:rPr>
      </w:pPr>
      <w:r>
        <w:rPr>
          <w:rFonts w:ascii="宋体" w:hAnsi="宋体"/>
          <w:color w:val="auto"/>
          <w:sz w:val="21"/>
          <w:szCs w:val="21"/>
          <w:highlight w:val="none"/>
        </w:rPr>
        <w:t xml:space="preserve">47、补充条款 </w:t>
      </w:r>
    </w:p>
    <w:p>
      <w:pPr>
        <w:spacing w:line="440" w:lineRule="exact"/>
        <w:ind w:firstLine="359" w:firstLineChars="171"/>
        <w:rPr>
          <w:rFonts w:ascii="宋体" w:hAnsi="宋体"/>
          <w:color w:val="auto"/>
          <w:sz w:val="21"/>
          <w:szCs w:val="21"/>
          <w:highlight w:val="none"/>
        </w:rPr>
      </w:pPr>
      <w:r>
        <w:rPr>
          <w:rFonts w:hint="eastAsia" w:ascii="宋体" w:hAnsi="宋体"/>
          <w:color w:val="auto"/>
          <w:sz w:val="21"/>
          <w:szCs w:val="21"/>
          <w:highlight w:val="none"/>
        </w:rPr>
        <w:t>双方根据有关法律、行政法规规定，结合工程实际，经协商一致后，可对本通用条款内容具体化，补充或修改，在专用条款内约定。</w:t>
      </w:r>
    </w:p>
    <w:p>
      <w:pPr>
        <w:spacing w:line="440" w:lineRule="exact"/>
        <w:ind w:firstLine="359" w:firstLineChars="171"/>
        <w:jc w:val="center"/>
        <w:rPr>
          <w:rFonts w:ascii="宋体" w:hAnsi="宋体"/>
          <w:b/>
          <w:color w:val="auto"/>
          <w:sz w:val="28"/>
          <w:szCs w:val="28"/>
          <w:highlight w:val="none"/>
        </w:rPr>
      </w:pPr>
      <w:r>
        <w:rPr>
          <w:rFonts w:ascii="宋体" w:hAnsi="宋体"/>
          <w:color w:val="auto"/>
          <w:sz w:val="21"/>
          <w:szCs w:val="21"/>
          <w:highlight w:val="none"/>
        </w:rPr>
        <w:br w:type="page"/>
      </w:r>
      <w:r>
        <w:rPr>
          <w:rFonts w:hint="eastAsia" w:ascii="宋体" w:hAnsi="宋体"/>
          <w:b/>
          <w:color w:val="auto"/>
          <w:sz w:val="28"/>
          <w:szCs w:val="28"/>
          <w:highlight w:val="none"/>
        </w:rPr>
        <w:t>第三部分</w:t>
      </w:r>
      <w:r>
        <w:rPr>
          <w:rFonts w:ascii="宋体" w:hAnsi="宋体"/>
          <w:b/>
          <w:color w:val="auto"/>
          <w:sz w:val="28"/>
          <w:szCs w:val="28"/>
          <w:highlight w:val="none"/>
        </w:rPr>
        <w:t xml:space="preserve">  </w:t>
      </w:r>
      <w:r>
        <w:rPr>
          <w:rFonts w:hint="eastAsia" w:ascii="宋体" w:hAnsi="宋体"/>
          <w:b/>
          <w:color w:val="auto"/>
          <w:sz w:val="28"/>
          <w:szCs w:val="28"/>
          <w:highlight w:val="none"/>
        </w:rPr>
        <w:t>专用条款</w:t>
      </w:r>
    </w:p>
    <w:p>
      <w:pPr>
        <w:snapToGrid w:val="0"/>
        <w:spacing w:line="440" w:lineRule="exact"/>
        <w:ind w:firstLine="397"/>
        <w:rPr>
          <w:rFonts w:ascii="宋体" w:hAnsi="宋体"/>
          <w:b/>
          <w:color w:val="auto"/>
          <w:sz w:val="24"/>
          <w:highlight w:val="none"/>
        </w:rPr>
      </w:pPr>
    </w:p>
    <w:p>
      <w:pPr>
        <w:snapToGrid w:val="0"/>
        <w:spacing w:line="440" w:lineRule="exact"/>
        <w:ind w:firstLine="397"/>
        <w:rPr>
          <w:rFonts w:ascii="宋体" w:hAnsi="宋体" w:cs="宋体"/>
          <w:b/>
          <w:color w:val="auto"/>
          <w:sz w:val="24"/>
          <w:highlight w:val="none"/>
        </w:rPr>
      </w:pPr>
      <w:r>
        <w:rPr>
          <w:rFonts w:hint="eastAsia" w:ascii="宋体" w:hAnsi="宋体" w:cs="宋体"/>
          <w:b/>
          <w:color w:val="auto"/>
          <w:sz w:val="24"/>
          <w:highlight w:val="none"/>
        </w:rPr>
        <w:t>一、词语定义及合同文件</w:t>
      </w:r>
    </w:p>
    <w:p>
      <w:pPr>
        <w:snapToGrid w:val="0"/>
        <w:spacing w:line="440" w:lineRule="exact"/>
        <w:ind w:firstLine="482" w:firstLineChars="200"/>
        <w:rPr>
          <w:rFonts w:ascii="宋体" w:hAnsi="宋体" w:cs="宋体"/>
          <w:color w:val="auto"/>
          <w:sz w:val="24"/>
          <w:szCs w:val="24"/>
          <w:highlight w:val="none"/>
        </w:rPr>
      </w:pPr>
      <w:r>
        <w:rPr>
          <w:rFonts w:ascii="宋体" w:hAnsi="宋体" w:cs="宋体"/>
          <w:b/>
          <w:bCs/>
          <w:color w:val="auto"/>
          <w:sz w:val="24"/>
          <w:highlight w:val="none"/>
        </w:rPr>
        <w:t>1.词语定义</w:t>
      </w:r>
    </w:p>
    <w:p>
      <w:pPr>
        <w:snapToGrid w:val="0"/>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1.6</w:t>
      </w:r>
      <w:r>
        <w:rPr>
          <w:rFonts w:hint="eastAsia" w:ascii="宋体" w:hAnsi="宋体" w:cs="宋体"/>
          <w:color w:val="auto"/>
          <w:sz w:val="24"/>
          <w:szCs w:val="24"/>
          <w:highlight w:val="none"/>
        </w:rPr>
        <w:t>设计单位</w:t>
      </w:r>
    </w:p>
    <w:p>
      <w:pPr>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本合同工程的设计单位是：</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1.7</w:t>
      </w:r>
      <w:r>
        <w:rPr>
          <w:rFonts w:hint="eastAsia" w:ascii="宋体" w:hAnsi="宋体" w:cs="宋体"/>
          <w:color w:val="auto"/>
          <w:sz w:val="24"/>
          <w:szCs w:val="24"/>
          <w:highlight w:val="none"/>
        </w:rPr>
        <w:t>监理单位</w:t>
      </w:r>
    </w:p>
    <w:p>
      <w:pPr>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本合同工程的监理单位是：</w:t>
      </w:r>
      <w:r>
        <w:rPr>
          <w:rFonts w:ascii="宋体" w:hAnsi="宋体" w:cs="宋体"/>
          <w:color w:val="auto"/>
          <w:sz w:val="24"/>
          <w:szCs w:val="24"/>
          <w:highlight w:val="none"/>
          <w:u w:val="single"/>
        </w:rPr>
        <w:t xml:space="preserve">                       </w:t>
      </w:r>
      <w:r>
        <w:rPr>
          <w:rFonts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1.24招标控制价：</w:t>
      </w:r>
      <w:r>
        <w:rPr>
          <w:rFonts w:hint="eastAsia" w:ascii="宋体" w:hAnsi="宋体" w:cs="宋体"/>
          <w:color w:val="auto"/>
          <w:sz w:val="24"/>
          <w:szCs w:val="24"/>
          <w:highlight w:val="none"/>
          <w:u w:val="single"/>
        </w:rPr>
        <w:t>指经招标人确定的最高投标限价，并在广州公共资源交易中心开发区、黄埔区交易部公示</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1.25中标下浮率：</w:t>
      </w:r>
      <w:r>
        <w:rPr>
          <w:rFonts w:hint="eastAsia" w:ascii="宋体" w:hAnsi="宋体" w:cs="宋体"/>
          <w:color w:val="auto"/>
          <w:sz w:val="24"/>
          <w:szCs w:val="24"/>
          <w:highlight w:val="none"/>
          <w:u w:val="single"/>
        </w:rPr>
        <w:t>中标下浮率</w:t>
      </w:r>
      <w:r>
        <w:rPr>
          <w:rFonts w:ascii="宋体" w:hAnsi="宋体" w:cs="宋体"/>
          <w:color w:val="auto"/>
          <w:sz w:val="24"/>
          <w:szCs w:val="24"/>
          <w:highlight w:val="none"/>
          <w:u w:val="single"/>
        </w:rPr>
        <w:t>=</w:t>
      </w: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1-中标价格÷招标控制价</w:t>
      </w: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100%,</w:t>
      </w:r>
      <w:r>
        <w:rPr>
          <w:rFonts w:hint="eastAsia" w:ascii="宋体" w:hAnsi="宋体" w:cs="宋体"/>
          <w:color w:val="auto"/>
          <w:sz w:val="24"/>
          <w:szCs w:val="24"/>
          <w:highlight w:val="none"/>
          <w:u w:val="single"/>
        </w:rPr>
        <w:t>式中的中标价格及招标控制价均不含不可竞争的绿色施工安全防护措施费及暂列金额。</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1.26工人工资比例=</w:t>
      </w:r>
      <w:r>
        <w:rPr>
          <w:rFonts w:hint="eastAsia" w:ascii="宋体" w:hAnsi="宋体" w:cs="宋体"/>
          <w:color w:val="auto"/>
          <w:sz w:val="24"/>
          <w:szCs w:val="24"/>
          <w:highlight w:val="none"/>
        </w:rPr>
        <w:t>中标的人工费金额</w:t>
      </w:r>
      <w:r>
        <w:rPr>
          <w:rFonts w:ascii="宋体" w:hAnsi="宋体" w:cs="宋体"/>
          <w:color w:val="auto"/>
          <w:sz w:val="24"/>
          <w:szCs w:val="24"/>
          <w:highlight w:val="none"/>
        </w:rPr>
        <w:t>÷</w:t>
      </w:r>
      <w:r>
        <w:rPr>
          <w:rFonts w:hint="eastAsia" w:ascii="宋体" w:hAnsi="宋体" w:cs="宋体"/>
          <w:color w:val="auto"/>
          <w:sz w:val="24"/>
          <w:szCs w:val="24"/>
          <w:highlight w:val="none"/>
        </w:rPr>
        <w:t>中标价格</w:t>
      </w:r>
    </w:p>
    <w:p>
      <w:pPr>
        <w:snapToGrid w:val="0"/>
        <w:spacing w:line="440" w:lineRule="exact"/>
        <w:ind w:firstLine="482" w:firstLineChars="200"/>
        <w:rPr>
          <w:rFonts w:ascii="宋体" w:hAnsi="宋体" w:cs="宋体"/>
          <w:b/>
          <w:color w:val="auto"/>
          <w:sz w:val="24"/>
          <w:highlight w:val="none"/>
        </w:rPr>
      </w:pPr>
      <w:r>
        <w:rPr>
          <w:rFonts w:ascii="宋体" w:hAnsi="宋体" w:cs="宋体"/>
          <w:b/>
          <w:color w:val="auto"/>
          <w:sz w:val="24"/>
          <w:highlight w:val="none"/>
        </w:rPr>
        <w:t>2</w:t>
      </w:r>
      <w:r>
        <w:rPr>
          <w:rFonts w:hint="eastAsia" w:ascii="宋体" w:hAnsi="宋体" w:cs="宋体"/>
          <w:b/>
          <w:color w:val="auto"/>
          <w:sz w:val="24"/>
          <w:highlight w:val="none"/>
        </w:rPr>
        <w:t>、合同文件及解释顺序</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2.1</w:t>
      </w:r>
      <w:r>
        <w:rPr>
          <w:rFonts w:hint="eastAsia" w:ascii="宋体" w:hAnsi="宋体" w:cs="宋体"/>
          <w:color w:val="auto"/>
          <w:sz w:val="24"/>
          <w:szCs w:val="24"/>
          <w:highlight w:val="none"/>
        </w:rPr>
        <w:t>合同文件组成及解释顺序：</w:t>
      </w:r>
      <w:r>
        <w:rPr>
          <w:rFonts w:ascii="宋体" w:hAnsi="宋体" w:cs="宋体"/>
          <w:color w:val="auto"/>
          <w:sz w:val="24"/>
          <w:szCs w:val="24"/>
          <w:highlight w:val="none"/>
          <w:u w:val="single"/>
        </w:rPr>
        <w:t>1.</w:t>
      </w:r>
      <w:r>
        <w:rPr>
          <w:rFonts w:hint="eastAsia" w:ascii="宋体" w:hAnsi="宋体" w:cs="宋体"/>
          <w:color w:val="auto"/>
          <w:sz w:val="24"/>
          <w:szCs w:val="24"/>
          <w:highlight w:val="none"/>
          <w:u w:val="single"/>
        </w:rPr>
        <w:t>本合同履行期间发包人与承包人双方签订的补充合同（协议）或修正文件；</w:t>
      </w:r>
      <w:r>
        <w:rPr>
          <w:rFonts w:ascii="宋体" w:hAnsi="宋体" w:cs="宋体"/>
          <w:color w:val="auto"/>
          <w:sz w:val="24"/>
          <w:szCs w:val="24"/>
          <w:highlight w:val="none"/>
          <w:u w:val="single"/>
        </w:rPr>
        <w:t>2.</w:t>
      </w:r>
      <w:r>
        <w:rPr>
          <w:rFonts w:hint="eastAsia" w:ascii="宋体" w:hAnsi="宋体" w:cs="宋体"/>
          <w:color w:val="auto"/>
          <w:sz w:val="24"/>
          <w:szCs w:val="24"/>
          <w:highlight w:val="none"/>
          <w:u w:val="single"/>
        </w:rPr>
        <w:t>本合同协议书；</w:t>
      </w:r>
      <w:r>
        <w:rPr>
          <w:rFonts w:ascii="宋体" w:hAnsi="宋体" w:cs="宋体"/>
          <w:color w:val="auto"/>
          <w:sz w:val="24"/>
          <w:szCs w:val="24"/>
          <w:highlight w:val="none"/>
          <w:u w:val="single"/>
        </w:rPr>
        <w:t>3.</w:t>
      </w:r>
      <w:r>
        <w:rPr>
          <w:rFonts w:hint="eastAsia" w:ascii="宋体" w:hAnsi="宋体" w:cs="宋体"/>
          <w:color w:val="auto"/>
          <w:sz w:val="24"/>
          <w:szCs w:val="24"/>
          <w:highlight w:val="none"/>
          <w:u w:val="single"/>
        </w:rPr>
        <w:t>国家、广东省、广州市、广州开发区黄埔区关于本工程施工的有关文件（发包人在收到后尽快通报给承包人）；</w:t>
      </w:r>
      <w:r>
        <w:rPr>
          <w:rFonts w:ascii="宋体" w:hAnsi="宋体" w:cs="宋体"/>
          <w:color w:val="auto"/>
          <w:sz w:val="24"/>
          <w:szCs w:val="24"/>
          <w:highlight w:val="none"/>
          <w:u w:val="single"/>
        </w:rPr>
        <w:t>4.</w:t>
      </w:r>
      <w:r>
        <w:rPr>
          <w:rFonts w:hint="eastAsia" w:ascii="宋体" w:hAnsi="宋体" w:cs="宋体"/>
          <w:color w:val="auto"/>
          <w:sz w:val="24"/>
          <w:szCs w:val="24"/>
          <w:highlight w:val="none"/>
          <w:u w:val="single"/>
        </w:rPr>
        <w:t>发包人针对本工程建设管理的各项制度、规定；</w:t>
      </w:r>
      <w:r>
        <w:rPr>
          <w:rFonts w:ascii="宋体" w:hAnsi="宋体" w:cs="宋体"/>
          <w:color w:val="auto"/>
          <w:sz w:val="24"/>
          <w:szCs w:val="24"/>
          <w:highlight w:val="none"/>
          <w:u w:val="single"/>
        </w:rPr>
        <w:t>5.</w:t>
      </w:r>
      <w:r>
        <w:rPr>
          <w:rFonts w:hint="eastAsia" w:ascii="宋体" w:hAnsi="宋体" w:cs="宋体"/>
          <w:color w:val="auto"/>
          <w:sz w:val="24"/>
          <w:szCs w:val="24"/>
          <w:highlight w:val="none"/>
          <w:u w:val="single"/>
        </w:rPr>
        <w:t>中标通知书；</w:t>
      </w:r>
      <w:r>
        <w:rPr>
          <w:rFonts w:ascii="宋体" w:hAnsi="宋体" w:cs="宋体"/>
          <w:color w:val="auto"/>
          <w:sz w:val="24"/>
          <w:szCs w:val="24"/>
          <w:highlight w:val="none"/>
          <w:u w:val="single"/>
        </w:rPr>
        <w:t>6.</w:t>
      </w:r>
      <w:r>
        <w:rPr>
          <w:rFonts w:hint="eastAsia" w:ascii="宋体" w:hAnsi="宋体" w:cs="宋体"/>
          <w:color w:val="auto"/>
          <w:sz w:val="24"/>
          <w:szCs w:val="24"/>
          <w:highlight w:val="none"/>
          <w:u w:val="single"/>
        </w:rPr>
        <w:t>本合同专用条款；</w:t>
      </w:r>
      <w:r>
        <w:rPr>
          <w:rFonts w:ascii="宋体" w:hAnsi="宋体" w:cs="宋体"/>
          <w:color w:val="auto"/>
          <w:sz w:val="24"/>
          <w:szCs w:val="24"/>
          <w:highlight w:val="none"/>
          <w:u w:val="single"/>
        </w:rPr>
        <w:t>7.</w:t>
      </w:r>
      <w:r>
        <w:rPr>
          <w:rFonts w:hint="eastAsia" w:ascii="宋体" w:hAnsi="宋体" w:cs="宋体"/>
          <w:color w:val="auto"/>
          <w:sz w:val="24"/>
          <w:szCs w:val="24"/>
          <w:highlight w:val="none"/>
          <w:u w:val="single"/>
        </w:rPr>
        <w:t>招标文件及附件（包括补充、修改、澄清文件及答疑纪要等）；</w:t>
      </w:r>
      <w:r>
        <w:rPr>
          <w:rFonts w:ascii="宋体" w:hAnsi="宋体" w:cs="宋体"/>
          <w:color w:val="auto"/>
          <w:sz w:val="24"/>
          <w:szCs w:val="24"/>
          <w:highlight w:val="none"/>
          <w:u w:val="single"/>
        </w:rPr>
        <w:t>8.</w:t>
      </w:r>
      <w:r>
        <w:rPr>
          <w:rFonts w:hint="eastAsia" w:ascii="宋体" w:hAnsi="宋体" w:cs="宋体"/>
          <w:color w:val="auto"/>
          <w:sz w:val="24"/>
          <w:szCs w:val="24"/>
          <w:highlight w:val="none"/>
          <w:u w:val="single"/>
        </w:rPr>
        <w:t>本合同通用条款；</w:t>
      </w:r>
      <w:r>
        <w:rPr>
          <w:rFonts w:ascii="宋体" w:hAnsi="宋体" w:cs="宋体"/>
          <w:color w:val="auto"/>
          <w:sz w:val="24"/>
          <w:szCs w:val="24"/>
          <w:highlight w:val="none"/>
          <w:u w:val="single"/>
        </w:rPr>
        <w:t>9.</w:t>
      </w:r>
      <w:r>
        <w:rPr>
          <w:rFonts w:hint="eastAsia" w:ascii="宋体" w:hAnsi="宋体" w:cs="宋体"/>
          <w:color w:val="auto"/>
          <w:sz w:val="24"/>
          <w:szCs w:val="24"/>
          <w:highlight w:val="none"/>
          <w:u w:val="single"/>
        </w:rPr>
        <w:t>投标文件及附件；</w:t>
      </w:r>
      <w:r>
        <w:rPr>
          <w:rFonts w:ascii="宋体" w:hAnsi="宋体" w:cs="宋体"/>
          <w:color w:val="auto"/>
          <w:sz w:val="24"/>
          <w:szCs w:val="24"/>
          <w:highlight w:val="none"/>
          <w:u w:val="single"/>
        </w:rPr>
        <w:t>10.</w:t>
      </w:r>
      <w:r>
        <w:rPr>
          <w:rFonts w:hint="eastAsia" w:ascii="宋体" w:hAnsi="宋体" w:cs="宋体"/>
          <w:color w:val="auto"/>
          <w:sz w:val="24"/>
          <w:szCs w:val="24"/>
          <w:highlight w:val="none"/>
          <w:u w:val="single"/>
        </w:rPr>
        <w:t>标准、规范和其他有关技术文件；</w:t>
      </w:r>
      <w:r>
        <w:rPr>
          <w:rFonts w:ascii="宋体" w:hAnsi="宋体" w:cs="宋体"/>
          <w:color w:val="auto"/>
          <w:sz w:val="24"/>
          <w:szCs w:val="24"/>
          <w:highlight w:val="none"/>
          <w:u w:val="single"/>
        </w:rPr>
        <w:t>11.</w:t>
      </w:r>
      <w:r>
        <w:rPr>
          <w:rFonts w:hint="eastAsia" w:ascii="宋体" w:hAnsi="宋体" w:cs="宋体"/>
          <w:color w:val="auto"/>
          <w:sz w:val="24"/>
          <w:szCs w:val="24"/>
          <w:highlight w:val="none"/>
          <w:u w:val="single"/>
        </w:rPr>
        <w:t>图纸；</w:t>
      </w:r>
      <w:r>
        <w:rPr>
          <w:rFonts w:ascii="宋体" w:hAnsi="宋体" w:cs="宋体"/>
          <w:color w:val="auto"/>
          <w:sz w:val="24"/>
          <w:szCs w:val="24"/>
          <w:highlight w:val="none"/>
          <w:u w:val="single"/>
        </w:rPr>
        <w:t>12.</w:t>
      </w:r>
      <w:r>
        <w:rPr>
          <w:rFonts w:hint="eastAsia" w:ascii="宋体" w:hAnsi="宋体" w:cs="宋体"/>
          <w:color w:val="auto"/>
          <w:sz w:val="24"/>
          <w:szCs w:val="24"/>
          <w:highlight w:val="none"/>
          <w:u w:val="single"/>
        </w:rPr>
        <w:t>工程量清单；</w:t>
      </w:r>
      <w:r>
        <w:rPr>
          <w:rFonts w:ascii="宋体" w:hAnsi="宋体" w:cs="宋体"/>
          <w:color w:val="auto"/>
          <w:sz w:val="24"/>
          <w:szCs w:val="24"/>
          <w:highlight w:val="none"/>
          <w:u w:val="single"/>
        </w:rPr>
        <w:t>13.</w:t>
      </w:r>
      <w:r>
        <w:rPr>
          <w:rFonts w:hint="eastAsia" w:ascii="宋体" w:hAnsi="宋体" w:cs="宋体"/>
          <w:color w:val="auto"/>
          <w:sz w:val="24"/>
          <w:szCs w:val="24"/>
          <w:highlight w:val="none"/>
          <w:u w:val="single"/>
        </w:rPr>
        <w:t>合同附件（工程质量保修责任书、标函承诺书、项目负责人驻场承诺书、工程建设廉政协议书等）</w:t>
      </w:r>
      <w:r>
        <w:rPr>
          <w:rFonts w:hint="eastAsia" w:ascii="宋体" w:hAnsi="宋体" w:cs="宋体"/>
          <w:color w:val="auto"/>
          <w:sz w:val="24"/>
          <w:szCs w:val="24"/>
          <w:highlight w:val="none"/>
        </w:rPr>
        <w:t>。</w:t>
      </w:r>
    </w:p>
    <w:p>
      <w:pPr>
        <w:snapToGrid w:val="0"/>
        <w:spacing w:line="440" w:lineRule="exact"/>
        <w:ind w:firstLine="397"/>
        <w:rPr>
          <w:rFonts w:ascii="宋体" w:hAnsi="宋体" w:cs="宋体"/>
          <w:b/>
          <w:color w:val="auto"/>
          <w:sz w:val="24"/>
          <w:highlight w:val="none"/>
        </w:rPr>
      </w:pPr>
      <w:r>
        <w:rPr>
          <w:rFonts w:ascii="宋体" w:hAnsi="宋体" w:cs="宋体"/>
          <w:b/>
          <w:color w:val="auto"/>
          <w:sz w:val="24"/>
          <w:highlight w:val="none"/>
        </w:rPr>
        <w:t>3</w:t>
      </w:r>
      <w:r>
        <w:rPr>
          <w:rFonts w:hint="eastAsia" w:ascii="宋体" w:hAnsi="宋体" w:cs="宋体"/>
          <w:b/>
          <w:color w:val="auto"/>
          <w:sz w:val="24"/>
          <w:highlight w:val="none"/>
        </w:rPr>
        <w:t>、语言文字和适用法律、标准及规范</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3.1</w:t>
      </w:r>
      <w:r>
        <w:rPr>
          <w:rFonts w:hint="eastAsia" w:ascii="宋体" w:hAnsi="宋体" w:cs="宋体"/>
          <w:color w:val="auto"/>
          <w:sz w:val="24"/>
          <w:szCs w:val="24"/>
          <w:highlight w:val="none"/>
        </w:rPr>
        <w:t>本合同除使用汉语外，还使用</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语言文字。</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3.2</w:t>
      </w:r>
      <w:r>
        <w:rPr>
          <w:rFonts w:hint="eastAsia" w:ascii="宋体" w:hAnsi="宋体" w:cs="宋体"/>
          <w:color w:val="auto"/>
          <w:sz w:val="24"/>
          <w:szCs w:val="24"/>
          <w:highlight w:val="none"/>
        </w:rPr>
        <w:t>适用法律和法规</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需要明示的法律、行政法规：</w:t>
      </w:r>
      <w:r>
        <w:rPr>
          <w:rFonts w:hint="eastAsia" w:ascii="宋体" w:hAnsi="宋体" w:cs="宋体"/>
          <w:color w:val="auto"/>
          <w:sz w:val="24"/>
          <w:szCs w:val="24"/>
          <w:highlight w:val="none"/>
          <w:u w:val="single"/>
        </w:rPr>
        <w:t>按照现行的法律、法规</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3.3</w:t>
      </w:r>
      <w:r>
        <w:rPr>
          <w:rFonts w:hint="eastAsia" w:ascii="宋体" w:hAnsi="宋体" w:cs="宋体"/>
          <w:color w:val="auto"/>
          <w:sz w:val="24"/>
          <w:szCs w:val="24"/>
          <w:highlight w:val="none"/>
        </w:rPr>
        <w:t>适用标准、规范</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适用标准、规范的名称：</w:t>
      </w:r>
      <w:r>
        <w:rPr>
          <w:rFonts w:hint="eastAsia" w:ascii="宋体" w:hAnsi="宋体" w:cs="宋体"/>
          <w:color w:val="auto"/>
          <w:sz w:val="24"/>
          <w:szCs w:val="24"/>
          <w:highlight w:val="none"/>
          <w:u w:val="single"/>
        </w:rPr>
        <w:t>相应工种现行施工规范</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发包人提供标准、规范的时间：</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国内没有相应标准、规范时的约定：</w:t>
      </w:r>
      <w:r>
        <w:rPr>
          <w:rFonts w:hint="eastAsia" w:ascii="宋体" w:hAnsi="宋体" w:cs="宋体"/>
          <w:color w:val="auto"/>
          <w:sz w:val="24"/>
          <w:szCs w:val="24"/>
          <w:highlight w:val="none"/>
          <w:u w:val="single"/>
        </w:rPr>
        <w:t>按施工图纸，招标文件和广州开发区相关规定及答疑纪要的要求执行</w:t>
      </w:r>
      <w:r>
        <w:rPr>
          <w:rFonts w:hint="eastAsia" w:ascii="宋体" w:hAnsi="宋体" w:cs="宋体"/>
          <w:color w:val="auto"/>
          <w:sz w:val="24"/>
          <w:szCs w:val="24"/>
          <w:highlight w:val="none"/>
        </w:rPr>
        <w:t>。</w:t>
      </w:r>
    </w:p>
    <w:p>
      <w:pPr>
        <w:snapToGrid w:val="0"/>
        <w:spacing w:line="440" w:lineRule="exact"/>
        <w:ind w:firstLine="397"/>
        <w:rPr>
          <w:rFonts w:ascii="宋体" w:hAnsi="宋体" w:cs="宋体"/>
          <w:b/>
          <w:color w:val="auto"/>
          <w:sz w:val="24"/>
          <w:highlight w:val="none"/>
        </w:rPr>
      </w:pPr>
      <w:r>
        <w:rPr>
          <w:rFonts w:ascii="宋体" w:hAnsi="宋体" w:cs="宋体"/>
          <w:b/>
          <w:color w:val="auto"/>
          <w:sz w:val="24"/>
          <w:highlight w:val="none"/>
        </w:rPr>
        <w:t>4</w:t>
      </w:r>
      <w:r>
        <w:rPr>
          <w:rFonts w:hint="eastAsia" w:ascii="宋体" w:hAnsi="宋体" w:cs="宋体"/>
          <w:b/>
          <w:color w:val="auto"/>
          <w:sz w:val="24"/>
          <w:highlight w:val="none"/>
        </w:rPr>
        <w:t>、图纸</w:t>
      </w:r>
    </w:p>
    <w:p>
      <w:pPr>
        <w:snapToGrid w:val="0"/>
        <w:spacing w:line="440" w:lineRule="exact"/>
        <w:ind w:firstLine="315"/>
        <w:rPr>
          <w:rFonts w:ascii="宋体" w:hAnsi="宋体" w:cs="宋体"/>
          <w:color w:val="auto"/>
          <w:sz w:val="24"/>
          <w:szCs w:val="24"/>
          <w:highlight w:val="none"/>
          <w:u w:val="single"/>
        </w:rPr>
      </w:pPr>
      <w:r>
        <w:rPr>
          <w:rFonts w:ascii="宋体" w:hAnsi="宋体" w:cs="宋体"/>
          <w:color w:val="auto"/>
          <w:sz w:val="24"/>
          <w:szCs w:val="24"/>
          <w:highlight w:val="none"/>
        </w:rPr>
        <w:t>4.1</w:t>
      </w:r>
      <w:r>
        <w:rPr>
          <w:rFonts w:hint="eastAsia" w:ascii="宋体" w:hAnsi="宋体" w:cs="宋体"/>
          <w:color w:val="auto"/>
          <w:sz w:val="24"/>
          <w:szCs w:val="24"/>
          <w:highlight w:val="none"/>
        </w:rPr>
        <w:t>发包人向承包人提供图纸日期和套数：</w:t>
      </w:r>
      <w:r>
        <w:rPr>
          <w:rFonts w:hint="eastAsia" w:ascii="宋体" w:hAnsi="宋体" w:cs="宋体"/>
          <w:color w:val="auto"/>
          <w:sz w:val="24"/>
          <w:szCs w:val="24"/>
          <w:highlight w:val="none"/>
          <w:u w:val="single"/>
        </w:rPr>
        <w:t>开工前提供肆套图纸</w:t>
      </w:r>
      <w:r>
        <w:rPr>
          <w:rFonts w:hint="eastAsia" w:ascii="宋体" w:hAnsi="宋体" w:cs="宋体"/>
          <w:color w:val="auto"/>
          <w:sz w:val="24"/>
          <w:szCs w:val="24"/>
          <w:highlight w:val="none"/>
        </w:rPr>
        <w:t>。</w:t>
      </w:r>
    </w:p>
    <w:p>
      <w:pPr>
        <w:snapToGrid w:val="0"/>
        <w:spacing w:line="440" w:lineRule="exact"/>
        <w:ind w:left="997" w:leftChars="132" w:hanging="720" w:hangingChars="300"/>
        <w:rPr>
          <w:rFonts w:ascii="宋体" w:hAnsi="宋体" w:cs="宋体"/>
          <w:color w:val="auto"/>
          <w:sz w:val="24"/>
          <w:szCs w:val="24"/>
          <w:highlight w:val="none"/>
          <w:u w:val="single"/>
        </w:rPr>
      </w:pPr>
      <w:r>
        <w:rPr>
          <w:rFonts w:hint="eastAsia" w:ascii="宋体" w:hAnsi="宋体" w:cs="宋体"/>
          <w:color w:val="auto"/>
          <w:sz w:val="24"/>
          <w:szCs w:val="24"/>
          <w:highlight w:val="none"/>
        </w:rPr>
        <w:t>发包人对图纸的保密要求：</w:t>
      </w:r>
      <w:r>
        <w:rPr>
          <w:rFonts w:hint="eastAsia" w:ascii="宋体" w:hAnsi="宋体" w:cs="宋体"/>
          <w:color w:val="auto"/>
          <w:sz w:val="24"/>
          <w:szCs w:val="24"/>
          <w:highlight w:val="none"/>
          <w:u w:val="single"/>
        </w:rPr>
        <w:t>按本合同通用条款</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使用国外图纸的要求及费用承担：</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440" w:lineRule="exact"/>
        <w:ind w:firstLine="397"/>
        <w:rPr>
          <w:rFonts w:ascii="宋体" w:hAnsi="宋体" w:cs="宋体"/>
          <w:b/>
          <w:color w:val="auto"/>
          <w:sz w:val="24"/>
          <w:highlight w:val="none"/>
        </w:rPr>
      </w:pPr>
      <w:r>
        <w:rPr>
          <w:rFonts w:hint="eastAsia" w:ascii="宋体" w:hAnsi="宋体" w:cs="宋体"/>
          <w:b/>
          <w:color w:val="auto"/>
          <w:sz w:val="24"/>
          <w:highlight w:val="none"/>
        </w:rPr>
        <w:t>二、双方一般权利和义务</w:t>
      </w:r>
    </w:p>
    <w:p>
      <w:pPr>
        <w:snapToGrid w:val="0"/>
        <w:spacing w:line="440" w:lineRule="exact"/>
        <w:ind w:firstLine="397"/>
        <w:rPr>
          <w:rFonts w:ascii="宋体" w:hAnsi="宋体" w:cs="宋体"/>
          <w:b/>
          <w:color w:val="auto"/>
          <w:sz w:val="24"/>
          <w:highlight w:val="none"/>
        </w:rPr>
      </w:pPr>
      <w:r>
        <w:rPr>
          <w:rFonts w:ascii="宋体" w:hAnsi="宋体" w:cs="宋体"/>
          <w:b/>
          <w:color w:val="auto"/>
          <w:sz w:val="24"/>
          <w:highlight w:val="none"/>
        </w:rPr>
        <w:t>5</w:t>
      </w:r>
      <w:r>
        <w:rPr>
          <w:rFonts w:hint="eastAsia" w:ascii="宋体" w:hAnsi="宋体" w:cs="宋体"/>
          <w:b/>
          <w:color w:val="auto"/>
          <w:sz w:val="24"/>
          <w:highlight w:val="none"/>
        </w:rPr>
        <w:t>、工程师</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5.2</w:t>
      </w:r>
      <w:r>
        <w:rPr>
          <w:rFonts w:hint="eastAsia" w:ascii="宋体" w:hAnsi="宋体" w:cs="宋体"/>
          <w:color w:val="auto"/>
          <w:sz w:val="24"/>
          <w:szCs w:val="24"/>
          <w:highlight w:val="none"/>
        </w:rPr>
        <w:t>监理单位委派的工程师</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姓名：</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，职务：</w:t>
      </w:r>
      <w:r>
        <w:rPr>
          <w:rFonts w:hint="eastAsia" w:ascii="宋体" w:hAnsi="宋体" w:cs="宋体"/>
          <w:color w:val="auto"/>
          <w:sz w:val="24"/>
          <w:szCs w:val="24"/>
          <w:highlight w:val="none"/>
          <w:u w:val="single"/>
        </w:rPr>
        <w:t>总监理工程师</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发包人委托的职权：</w:t>
      </w:r>
      <w:r>
        <w:rPr>
          <w:rFonts w:hint="eastAsia" w:ascii="宋体" w:hAnsi="宋体" w:cs="宋体"/>
          <w:color w:val="auto"/>
          <w:sz w:val="24"/>
          <w:szCs w:val="24"/>
          <w:highlight w:val="none"/>
          <w:u w:val="single"/>
        </w:rPr>
        <w:t>对本工程进行全过程的监理</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需要取得发包人批准才能行使的职权：</w:t>
      </w:r>
      <w:r>
        <w:rPr>
          <w:rFonts w:hint="eastAsia" w:ascii="宋体" w:hAnsi="宋体" w:cs="宋体"/>
          <w:color w:val="auto"/>
          <w:sz w:val="24"/>
          <w:szCs w:val="24"/>
          <w:highlight w:val="none"/>
          <w:u w:val="single"/>
        </w:rPr>
        <w:t>按发包人与监理单位签订的监理合同有关规定执行，涉及变更签证或费用</w:t>
      </w:r>
      <w:r>
        <w:rPr>
          <w:rFonts w:hint="eastAsia" w:ascii="宋体" w:hAnsi="宋体" w:cs="宋体"/>
          <w:color w:val="auto"/>
          <w:sz w:val="24"/>
          <w:szCs w:val="24"/>
          <w:highlight w:val="none"/>
        </w:rPr>
        <w:t>调整、发布开工、停工、复工令等均需经</w:t>
      </w:r>
      <w:r>
        <w:rPr>
          <w:rFonts w:hint="eastAsia" w:ascii="宋体" w:hAnsi="宋体" w:cs="宋体"/>
          <w:color w:val="auto"/>
          <w:sz w:val="24"/>
          <w:szCs w:val="24"/>
          <w:highlight w:val="none"/>
          <w:u w:val="single"/>
        </w:rPr>
        <w:t>发包人书面认可</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义务：</w:t>
      </w:r>
      <w:r>
        <w:rPr>
          <w:rFonts w:hint="eastAsia" w:ascii="宋体" w:hAnsi="宋体" w:cs="宋体"/>
          <w:color w:val="auto"/>
          <w:sz w:val="24"/>
          <w:szCs w:val="24"/>
          <w:highlight w:val="none"/>
          <w:u w:val="single"/>
        </w:rPr>
        <w:t>常驻现场，代表监理单位履行与发包人签订的监理合同</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5.3</w:t>
      </w:r>
      <w:r>
        <w:rPr>
          <w:rFonts w:hint="eastAsia" w:ascii="宋体" w:hAnsi="宋体" w:cs="宋体"/>
          <w:color w:val="auto"/>
          <w:sz w:val="24"/>
          <w:szCs w:val="24"/>
          <w:highlight w:val="none"/>
        </w:rPr>
        <w:t>发包人派驻的工程师</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姓名：</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，职务：</w:t>
      </w:r>
      <w:r>
        <w:rPr>
          <w:rFonts w:hint="eastAsia" w:ascii="宋体" w:hAnsi="宋体" w:cs="宋体"/>
          <w:color w:val="auto"/>
          <w:sz w:val="24"/>
          <w:szCs w:val="24"/>
          <w:highlight w:val="none"/>
          <w:u w:val="single"/>
        </w:rPr>
        <w:t>工程师</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职权：</w:t>
      </w:r>
      <w:r>
        <w:rPr>
          <w:rFonts w:hint="eastAsia" w:ascii="宋体" w:hAnsi="宋体" w:cs="宋体"/>
          <w:color w:val="auto"/>
          <w:sz w:val="24"/>
          <w:szCs w:val="24"/>
          <w:highlight w:val="none"/>
          <w:u w:val="single"/>
        </w:rPr>
        <w:t>发包人代表，行使发包人的权利</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pacing w:val="-8"/>
          <w:sz w:val="24"/>
          <w:szCs w:val="24"/>
          <w:highlight w:val="none"/>
          <w:u w:val="single"/>
        </w:rPr>
      </w:pPr>
      <w:r>
        <w:rPr>
          <w:rFonts w:hint="eastAsia" w:ascii="宋体" w:hAnsi="宋体" w:cs="宋体"/>
          <w:color w:val="auto"/>
          <w:spacing w:val="-8"/>
          <w:sz w:val="24"/>
          <w:szCs w:val="24"/>
          <w:highlight w:val="none"/>
        </w:rPr>
        <w:t>义务：</w:t>
      </w:r>
      <w:r>
        <w:rPr>
          <w:rFonts w:hint="eastAsia" w:ascii="宋体" w:hAnsi="宋体" w:cs="宋体"/>
          <w:color w:val="auto"/>
          <w:spacing w:val="-8"/>
          <w:sz w:val="24"/>
          <w:szCs w:val="24"/>
          <w:highlight w:val="none"/>
          <w:u w:val="single"/>
        </w:rPr>
        <w:t>常驻现场，代表发包人负责工程质量、进度、技术、投资控制等施工期间的日常管理工作，履行与承包人签订的本建设工程施工合同。</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5.6</w:t>
      </w:r>
      <w:r>
        <w:rPr>
          <w:rFonts w:hint="eastAsia" w:ascii="宋体" w:hAnsi="宋体" w:cs="宋体"/>
          <w:color w:val="auto"/>
          <w:sz w:val="24"/>
          <w:szCs w:val="24"/>
          <w:highlight w:val="none"/>
        </w:rPr>
        <w:t>不实行监理的，工程师的职权：</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440" w:lineRule="exact"/>
        <w:ind w:firstLine="397"/>
        <w:rPr>
          <w:rFonts w:ascii="宋体" w:hAnsi="宋体" w:cs="宋体"/>
          <w:b/>
          <w:color w:val="auto"/>
          <w:sz w:val="24"/>
          <w:highlight w:val="none"/>
        </w:rPr>
      </w:pPr>
      <w:r>
        <w:rPr>
          <w:rFonts w:ascii="宋体" w:hAnsi="宋体" w:cs="宋体"/>
          <w:b/>
          <w:color w:val="auto"/>
          <w:sz w:val="24"/>
          <w:highlight w:val="none"/>
        </w:rPr>
        <w:t>7</w:t>
      </w:r>
      <w:r>
        <w:rPr>
          <w:rFonts w:hint="eastAsia" w:ascii="宋体" w:hAnsi="宋体" w:cs="宋体"/>
          <w:b/>
          <w:color w:val="auto"/>
          <w:sz w:val="24"/>
          <w:highlight w:val="none"/>
        </w:rPr>
        <w:t>、项目负责人</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7.1</w:t>
      </w: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项目负责人</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姓名：</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，职权：</w:t>
      </w:r>
      <w:r>
        <w:rPr>
          <w:rFonts w:hint="eastAsia" w:ascii="宋体" w:hAnsi="宋体" w:cs="宋体"/>
          <w:color w:val="auto"/>
          <w:sz w:val="24"/>
          <w:szCs w:val="24"/>
          <w:highlight w:val="none"/>
          <w:u w:val="single"/>
        </w:rPr>
        <w:t>代表承包人全权处理本工程的一切事务</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义务：</w:t>
      </w:r>
      <w:r>
        <w:rPr>
          <w:rFonts w:hint="eastAsia" w:ascii="宋体" w:hAnsi="宋体" w:cs="宋体"/>
          <w:color w:val="auto"/>
          <w:sz w:val="24"/>
          <w:szCs w:val="24"/>
          <w:highlight w:val="none"/>
          <w:u w:val="single"/>
        </w:rPr>
        <w:t>按照在投标文件中签署的（或在签订本合同前补充签署的）《项目负责人驻场承诺书》中的承诺常驻现场，代表承包人履行与发包人签订的本建设工程施工合同</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7.4</w:t>
      </w:r>
      <w:r>
        <w:rPr>
          <w:rFonts w:hint="eastAsia" w:ascii="宋体" w:hAnsi="宋体" w:cs="宋体"/>
          <w:color w:val="auto"/>
          <w:sz w:val="24"/>
          <w:szCs w:val="24"/>
          <w:highlight w:val="none"/>
          <w:u w:val="single"/>
        </w:rPr>
        <w:t>承包人如需更换项目负责人或技术负责人，按有关规定执行，后任继续行使合同文件约定的前任的职权，履行前任的义务。未征得发包人书面同意，承包人不得更换项目负责人</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7.5</w:t>
      </w:r>
      <w:r>
        <w:rPr>
          <w:rFonts w:hint="eastAsia" w:ascii="宋体" w:hAnsi="宋体" w:cs="宋体"/>
          <w:color w:val="auto"/>
          <w:sz w:val="24"/>
          <w:szCs w:val="24"/>
          <w:highlight w:val="none"/>
          <w:u w:val="single"/>
        </w:rPr>
        <w:t>发包人可以与承包人协商，建议更换其认为不称职的项目负责人，承包人应及时采纳发包人的建议予以更换，新更换的项目负责人应满足招标文件及本项目相应的资质要求并能胜任本项目的项目负责人工作</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7.6</w:t>
      </w:r>
      <w:r>
        <w:rPr>
          <w:rFonts w:hint="eastAsia" w:ascii="宋体" w:hAnsi="宋体" w:cs="宋体"/>
          <w:color w:val="auto"/>
          <w:sz w:val="24"/>
          <w:szCs w:val="24"/>
          <w:highlight w:val="none"/>
          <w:u w:val="single"/>
        </w:rPr>
        <w:t>承包人项目负责人不得兼任其他工程项目负责人，否则发包人可按单方面终止合同处理</w:t>
      </w:r>
      <w:r>
        <w:rPr>
          <w:rFonts w:hint="eastAsia" w:ascii="宋体" w:hAnsi="宋体" w:cs="宋体"/>
          <w:color w:val="auto"/>
          <w:sz w:val="24"/>
          <w:szCs w:val="24"/>
          <w:highlight w:val="none"/>
        </w:rPr>
        <w:t>。</w:t>
      </w:r>
    </w:p>
    <w:p>
      <w:pPr>
        <w:adjustRightInd w:val="0"/>
        <w:snapToGrid w:val="0"/>
        <w:spacing w:line="440" w:lineRule="exact"/>
        <w:ind w:right="11" w:firstLine="360" w:firstLineChars="150"/>
        <w:outlineLvl w:val="3"/>
        <w:rPr>
          <w:rFonts w:ascii="宋体" w:hAnsi="宋体" w:cs="宋体"/>
          <w:color w:val="auto"/>
          <w:sz w:val="24"/>
          <w:szCs w:val="24"/>
          <w:highlight w:val="none"/>
        </w:rPr>
      </w:pPr>
      <w:r>
        <w:rPr>
          <w:rFonts w:ascii="宋体" w:hAnsi="宋体" w:cs="宋体"/>
          <w:color w:val="auto"/>
          <w:sz w:val="24"/>
          <w:szCs w:val="24"/>
          <w:highlight w:val="none"/>
        </w:rPr>
        <w:t xml:space="preserve"> 7.7现场管理机构</w:t>
      </w:r>
    </w:p>
    <w:p>
      <w:pPr>
        <w:adjustRightInd w:val="0"/>
        <w:snapToGrid w:val="0"/>
        <w:spacing w:line="440" w:lineRule="exact"/>
        <w:ind w:firstLine="48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1）承包人必须按照投标文件的承诺建立现场管理机构，严格执行现行建设工程项目管理规范，并积极主动接受建设行政主管部门的监督和检查。</w:t>
      </w:r>
    </w:p>
    <w:p>
      <w:pPr>
        <w:adjustRightInd w:val="0"/>
        <w:snapToGrid w:val="0"/>
        <w:spacing w:line="440" w:lineRule="exact"/>
        <w:ind w:right="11" w:firstLine="460" w:firstLineChars="192"/>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2）现场管理机构各部主要组织管理人员在开工前必须全部到位，并接受总监理工程师和发包人代表的查验。承包人委派的现场管理机构各部主要组织管理人员不得有兼职情况存在，并需接受监理单位的监督。</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7.8现场管理机构各部主要组织管理人员应与投标文件保持一致，发包人不要求更换时不得更换。因特殊情况需要更换的，承包人应以书面形式向监理单位提出意向（附前任和后任人员的详细履历资料），经总监理工程师签署意见后向发包人提出申请，征得发包人同意后方可更换。承包人必须保证后任人员的资质、资历、业绩、实际工作能力不低于前任人员的素质。</w:t>
      </w:r>
    </w:p>
    <w:p>
      <w:pPr>
        <w:snapToGrid w:val="0"/>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7.9合同签订后，项目负责人、项目班子主要成员不到位，则工程师不签发开工令，工期不顺延。施工中班子主要成员离开工地应向工程师请假，经批准后才能离开，擅自离开工地，工程师将发出停工令，待人员回到岗位后才批准复工，由此产生的工期和经济损失由承包人自负，造成发包人和建设管理方损失的，发包人和建设管理方保留索赔的权利。</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7.10尽管承包人已按投标文件附表中所列的数量派遣了各类管理人员，但若监理工程师经论证认为这些人员仍不足以适应现场施工的需要且不能保证工程质量时，监理工程师有权要求承包人继续增派或雇佣这类人员，并书面通知承包人和抄送发包人。承包人在接到上述通知后应立即执行监理工程师的上述指示，不得无故拖延。</w:t>
      </w:r>
    </w:p>
    <w:p>
      <w:pPr>
        <w:snapToGrid w:val="0"/>
        <w:spacing w:line="440" w:lineRule="exact"/>
        <w:ind w:firstLine="397"/>
        <w:rPr>
          <w:rFonts w:ascii="宋体" w:hAnsi="宋体" w:cs="宋体"/>
          <w:b/>
          <w:color w:val="auto"/>
          <w:sz w:val="24"/>
          <w:highlight w:val="none"/>
        </w:rPr>
      </w:pPr>
      <w:r>
        <w:rPr>
          <w:rFonts w:ascii="宋体" w:hAnsi="宋体" w:cs="宋体"/>
          <w:b/>
          <w:color w:val="auto"/>
          <w:sz w:val="24"/>
          <w:highlight w:val="none"/>
        </w:rPr>
        <w:t>8</w:t>
      </w:r>
      <w:r>
        <w:rPr>
          <w:rFonts w:hint="eastAsia" w:ascii="宋体" w:hAnsi="宋体" w:cs="宋体"/>
          <w:b/>
          <w:color w:val="auto"/>
          <w:sz w:val="24"/>
          <w:highlight w:val="none"/>
        </w:rPr>
        <w:t>、发包人工作</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8.1</w:t>
      </w:r>
      <w:r>
        <w:rPr>
          <w:rFonts w:hint="eastAsia" w:ascii="宋体" w:hAnsi="宋体" w:cs="宋体"/>
          <w:color w:val="auto"/>
          <w:sz w:val="24"/>
          <w:szCs w:val="24"/>
          <w:highlight w:val="none"/>
        </w:rPr>
        <w:t>发包人应按约定的时间和要求完成以下工作：</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）施工场地具备施工条件的要求及完成的时间：</w:t>
      </w:r>
      <w:r>
        <w:rPr>
          <w:rFonts w:hint="eastAsia" w:ascii="宋体" w:hAnsi="宋体" w:cs="宋体"/>
          <w:color w:val="auto"/>
          <w:sz w:val="24"/>
          <w:szCs w:val="24"/>
          <w:highlight w:val="none"/>
          <w:u w:val="single"/>
        </w:rPr>
        <w:t>土地征收、拆迁补偿工作完成时间原则上在开工前；因土地征收和拆迁补偿进度原因不能按时移交场地的，可采取分段逐步方式移交施工场地</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）将施工所需的水、电、电讯线路接至施工场地的时间、地点和供应要求：</w:t>
      </w:r>
      <w:r>
        <w:rPr>
          <w:rFonts w:hint="eastAsia" w:ascii="宋体" w:hAnsi="宋体" w:cs="宋体"/>
          <w:color w:val="auto"/>
          <w:sz w:val="24"/>
          <w:szCs w:val="24"/>
          <w:highlight w:val="none"/>
          <w:u w:val="single"/>
        </w:rPr>
        <w:t>由承包人自行解决，费用已包在本工程中标总造价中</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）施工场地与公共道路的通道开通时间和要求：</w:t>
      </w:r>
      <w:r>
        <w:rPr>
          <w:rFonts w:hint="eastAsia" w:ascii="宋体" w:hAnsi="宋体" w:cs="宋体"/>
          <w:color w:val="auto"/>
          <w:sz w:val="24"/>
          <w:szCs w:val="24"/>
          <w:highlight w:val="none"/>
          <w:u w:val="single"/>
        </w:rPr>
        <w:t>通道按现状，不论满足施工要求与否，该通道及施工便道均由承包人自行解决，费用已包在本工程中标总造价中</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rPr>
        <w:t>）工程地质和地下管线资料的提供时间：</w:t>
      </w:r>
      <w:r>
        <w:rPr>
          <w:rFonts w:hint="eastAsia" w:ascii="宋体" w:hAnsi="宋体" w:cs="宋体"/>
          <w:color w:val="auto"/>
          <w:sz w:val="24"/>
          <w:szCs w:val="24"/>
          <w:highlight w:val="none"/>
          <w:u w:val="single"/>
        </w:rPr>
        <w:t>根据施工计划提前提供</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rPr>
        <w:t>）由发包人办理的施工所需证件、批件的名称和完成时间：</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6</w:t>
      </w:r>
      <w:r>
        <w:rPr>
          <w:rFonts w:hint="eastAsia" w:ascii="宋体" w:hAnsi="宋体" w:cs="宋体"/>
          <w:color w:val="auto"/>
          <w:sz w:val="24"/>
          <w:szCs w:val="24"/>
          <w:highlight w:val="none"/>
        </w:rPr>
        <w:t>）水准点与坐标控制点交验要求：</w:t>
      </w:r>
      <w:r>
        <w:rPr>
          <w:rFonts w:hint="eastAsia" w:ascii="宋体" w:hAnsi="宋体" w:cs="宋体"/>
          <w:color w:val="auto"/>
          <w:sz w:val="24"/>
          <w:szCs w:val="24"/>
          <w:highlight w:val="none"/>
          <w:u w:val="single"/>
        </w:rPr>
        <w:t>开工前交验</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7</w:t>
      </w:r>
      <w:r>
        <w:rPr>
          <w:rFonts w:hint="eastAsia" w:ascii="宋体" w:hAnsi="宋体" w:cs="宋体"/>
          <w:color w:val="auto"/>
          <w:sz w:val="24"/>
          <w:szCs w:val="24"/>
          <w:highlight w:val="none"/>
        </w:rPr>
        <w:t>）图纸会审和设计交底时间：</w:t>
      </w:r>
      <w:r>
        <w:rPr>
          <w:rFonts w:hint="eastAsia" w:ascii="宋体" w:hAnsi="宋体" w:cs="宋体"/>
          <w:color w:val="auto"/>
          <w:sz w:val="24"/>
          <w:szCs w:val="24"/>
          <w:highlight w:val="none"/>
          <w:u w:val="single"/>
        </w:rPr>
        <w:t>工程施工前</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8</w:t>
      </w:r>
      <w:r>
        <w:rPr>
          <w:rFonts w:hint="eastAsia" w:ascii="宋体" w:hAnsi="宋体" w:cs="宋体"/>
          <w:color w:val="auto"/>
          <w:sz w:val="24"/>
          <w:szCs w:val="24"/>
          <w:highlight w:val="none"/>
        </w:rPr>
        <w:t>）协调处理施工场地周围地下管线和邻近建筑物、构筑物（含文物保护建筑）、古树名木的保护工作：</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9</w:t>
      </w:r>
      <w:r>
        <w:rPr>
          <w:rFonts w:hint="eastAsia" w:ascii="宋体" w:hAnsi="宋体" w:cs="宋体"/>
          <w:color w:val="auto"/>
          <w:sz w:val="24"/>
          <w:szCs w:val="24"/>
          <w:highlight w:val="none"/>
        </w:rPr>
        <w:t>）双方约定发包人应做的其他工作：</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发包人按现有场地移交给承包人，承包人应无条件接受。</w:t>
      </w:r>
      <w:r>
        <w:rPr>
          <w:rFonts w:ascii="宋体" w:hAnsi="宋体" w:cs="宋体"/>
          <w:color w:val="auto"/>
          <w:sz w:val="24"/>
          <w:szCs w:val="24"/>
          <w:highlight w:val="none"/>
          <w:u w:val="single"/>
        </w:rPr>
        <w:t xml:space="preserve">   </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8.2</w:t>
      </w:r>
      <w:r>
        <w:rPr>
          <w:rFonts w:hint="eastAsia" w:ascii="宋体" w:hAnsi="宋体" w:cs="宋体"/>
          <w:color w:val="auto"/>
          <w:sz w:val="24"/>
          <w:szCs w:val="24"/>
          <w:highlight w:val="none"/>
        </w:rPr>
        <w:t>发包人委托承包人办理的工作：</w:t>
      </w:r>
      <w:r>
        <w:rPr>
          <w:rFonts w:hint="eastAsia" w:ascii="宋体" w:hAnsi="宋体" w:cs="宋体"/>
          <w:color w:val="auto"/>
          <w:sz w:val="24"/>
          <w:szCs w:val="24"/>
          <w:highlight w:val="none"/>
          <w:u w:val="single"/>
        </w:rPr>
        <w:t>工程质监登记、合同鉴证、施工许可证、购买印花税等一切施工所需的审批、申领手续以及规划验收、消防验收、环保验收、防雷报建及验收、永久用水接驳及验收等工作。费用按政策规定各自承担相应部分。</w:t>
      </w:r>
    </w:p>
    <w:p>
      <w:pPr>
        <w:snapToGrid w:val="0"/>
        <w:spacing w:line="440" w:lineRule="exact"/>
        <w:ind w:firstLine="397"/>
        <w:rPr>
          <w:rFonts w:ascii="宋体" w:hAnsi="宋体" w:cs="宋体"/>
          <w:b/>
          <w:color w:val="auto"/>
          <w:sz w:val="24"/>
          <w:highlight w:val="none"/>
        </w:rPr>
      </w:pPr>
      <w:r>
        <w:rPr>
          <w:rFonts w:ascii="宋体" w:hAnsi="宋体" w:cs="宋体"/>
          <w:b/>
          <w:color w:val="auto"/>
          <w:sz w:val="24"/>
          <w:highlight w:val="none"/>
        </w:rPr>
        <w:t>9</w:t>
      </w:r>
      <w:r>
        <w:rPr>
          <w:rFonts w:hint="eastAsia" w:ascii="宋体" w:hAnsi="宋体" w:cs="宋体"/>
          <w:b/>
          <w:color w:val="auto"/>
          <w:sz w:val="24"/>
          <w:highlight w:val="none"/>
        </w:rPr>
        <w:t>、承包人工作</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9.1</w:t>
      </w:r>
      <w:r>
        <w:rPr>
          <w:rFonts w:hint="eastAsia" w:ascii="宋体" w:hAnsi="宋体" w:cs="宋体"/>
          <w:color w:val="auto"/>
          <w:sz w:val="24"/>
          <w:szCs w:val="24"/>
          <w:highlight w:val="none"/>
        </w:rPr>
        <w:t>承包人应按约定时间和要求，完成以下工作：</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）需由设计资质等级和业务范围允许的承包人完成的设计文件提交时间：</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）应提供计划、报表的名称及完成时间：</w:t>
      </w:r>
      <w:r>
        <w:rPr>
          <w:rFonts w:hint="eastAsia" w:ascii="宋体" w:hAnsi="宋体" w:cs="宋体"/>
          <w:color w:val="auto"/>
          <w:sz w:val="24"/>
          <w:szCs w:val="24"/>
          <w:highlight w:val="none"/>
          <w:u w:val="single"/>
        </w:rPr>
        <w:t>施工组织设计、管理人员架构表，于开工前三天报。提交工程年、季、月度计划及进度统计报表</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3）承担施工安全保卫工作及非夜间施工照明的责任和要求：</w:t>
      </w:r>
      <w:r>
        <w:rPr>
          <w:rFonts w:hint="eastAsia" w:ascii="宋体" w:hAnsi="宋体" w:cs="宋体"/>
          <w:color w:val="auto"/>
          <w:sz w:val="24"/>
          <w:szCs w:val="24"/>
          <w:highlight w:val="none"/>
          <w:u w:val="single"/>
        </w:rPr>
        <w:t>按招标文件要求及国家、省、市、区相关规定执行，并满足本工程需要</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根据工程需要，提供和维护施工使用的照明、围栏设施和警卫，并负责整个现场的安全生产和绿色施工、安全保卫。</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rPr>
        <w:t>承包人自行解决办公、交通、生活及通讯等设施，费用已包含在本工程中标总造价中；</w:t>
      </w:r>
      <w:r>
        <w:rPr>
          <w:rFonts w:ascii="宋体" w:hAnsi="宋体" w:cs="宋体"/>
          <w:color w:val="auto"/>
          <w:sz w:val="24"/>
          <w:szCs w:val="24"/>
          <w:highlight w:val="none"/>
        </w:rPr>
        <w:t>向发包人或监理工程师提供的办公、交通和生活、通讯设施的要求：</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5）需承包人办理有关施工场地交通、环卫和施工噪音管理等手续：</w:t>
      </w:r>
      <w:r>
        <w:rPr>
          <w:rFonts w:hint="eastAsia" w:ascii="宋体" w:hAnsi="宋体" w:cs="宋体"/>
          <w:color w:val="auto"/>
          <w:sz w:val="24"/>
          <w:szCs w:val="24"/>
          <w:highlight w:val="none"/>
          <w:u w:val="single"/>
        </w:rPr>
        <w:t>承包人按本合同通用条款要求执行，并承担相关费用</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6</w:t>
      </w:r>
      <w:r>
        <w:rPr>
          <w:rFonts w:hint="eastAsia" w:ascii="宋体" w:hAnsi="宋体" w:cs="宋体"/>
          <w:color w:val="auto"/>
          <w:sz w:val="24"/>
          <w:szCs w:val="24"/>
          <w:highlight w:val="none"/>
        </w:rPr>
        <w:t>）已完工程成品保护的特殊要求及费用承担：</w:t>
      </w:r>
      <w:r>
        <w:rPr>
          <w:rFonts w:hint="eastAsia" w:ascii="宋体" w:hAnsi="宋体" w:cs="宋体"/>
          <w:color w:val="auto"/>
          <w:sz w:val="24"/>
          <w:szCs w:val="24"/>
          <w:highlight w:val="none"/>
          <w:u w:val="single"/>
        </w:rPr>
        <w:t>按本合同通用条款执行</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7</w:t>
      </w:r>
      <w:r>
        <w:rPr>
          <w:rFonts w:hint="eastAsia" w:ascii="宋体" w:hAnsi="宋体" w:cs="宋体"/>
          <w:color w:val="auto"/>
          <w:sz w:val="24"/>
          <w:szCs w:val="24"/>
          <w:highlight w:val="none"/>
        </w:rPr>
        <w:t>）施工场地周围地下管线和邻近建筑物、构筑物（含文物保护建筑）、古树名木的保护要求及费用承担：</w:t>
      </w:r>
      <w:r>
        <w:rPr>
          <w:rFonts w:hint="eastAsia" w:ascii="宋体" w:hAnsi="宋体" w:cs="宋体"/>
          <w:color w:val="auto"/>
          <w:sz w:val="24"/>
          <w:szCs w:val="24"/>
          <w:highlight w:val="none"/>
          <w:u w:val="single"/>
        </w:rPr>
        <w:t>除文物保护外的保护费全部由承包人承担</w:t>
      </w:r>
      <w:r>
        <w:rPr>
          <w:rFonts w:hint="eastAsia" w:ascii="宋体" w:hAnsi="宋体" w:cs="宋体"/>
          <w:color w:val="auto"/>
          <w:sz w:val="24"/>
          <w:szCs w:val="24"/>
          <w:highlight w:val="none"/>
        </w:rPr>
        <w:t>。</w:t>
      </w:r>
    </w:p>
    <w:p>
      <w:pPr>
        <w:snapToGrid w:val="0"/>
        <w:spacing w:line="440" w:lineRule="exact"/>
        <w:ind w:left="397"/>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8）</w:t>
      </w:r>
      <w:r>
        <w:rPr>
          <w:rFonts w:hint="eastAsia" w:ascii="宋体" w:hAnsi="宋体" w:cs="宋体"/>
          <w:color w:val="auto"/>
          <w:sz w:val="24"/>
          <w:szCs w:val="24"/>
          <w:highlight w:val="none"/>
        </w:rPr>
        <w:t>施工场地清洁卫生的要求：</w:t>
      </w:r>
      <w:r>
        <w:rPr>
          <w:rFonts w:hint="eastAsia" w:ascii="宋体" w:hAnsi="宋体" w:cs="宋体"/>
          <w:color w:val="auto"/>
          <w:sz w:val="24"/>
          <w:szCs w:val="24"/>
          <w:highlight w:val="none"/>
          <w:u w:val="single"/>
        </w:rPr>
        <w:t>满足</w:t>
      </w:r>
      <w:r>
        <w:rPr>
          <w:rFonts w:hint="eastAsia" w:ascii="宋体" w:hAnsi="宋体" w:cs="宋体"/>
          <w:color w:val="auto"/>
          <w:spacing w:val="-10"/>
          <w:sz w:val="24"/>
          <w:szCs w:val="24"/>
          <w:highlight w:val="none"/>
          <w:u w:val="single"/>
        </w:rPr>
        <w:t>文明施工要求及广州市、黄埔区关于扬尘治理的有关要求</w:t>
      </w:r>
      <w:r>
        <w:rPr>
          <w:rFonts w:hint="eastAsia" w:ascii="宋体" w:hAnsi="宋体" w:cs="宋体"/>
          <w:color w:val="auto"/>
          <w:spacing w:val="-10"/>
          <w:sz w:val="24"/>
          <w:szCs w:val="24"/>
          <w:highlight w:val="none"/>
        </w:rPr>
        <w:t>。</w:t>
      </w:r>
      <w:r>
        <w:rPr>
          <w:rFonts w:hint="eastAsia" w:ascii="宋体" w:hAnsi="宋体" w:cs="宋体"/>
          <w:color w:val="auto"/>
          <w:sz w:val="24"/>
          <w:szCs w:val="24"/>
          <w:highlight w:val="none"/>
          <w:u w:val="single"/>
        </w:rPr>
        <w:t>保证施工场地清洁符合环境卫生管理的有关规定，交工前清理现场达到合同约定的要求（包括建筑物周围余土、垃圾、生产和生活临时设施拆除），并将门窗、玻璃、地面擦扫干净，厕所厨房的排水和给水管道清理干净、畅通，做到工完场清。承担因自身原因违反有关规定造成的损失和罚款。</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9）双方约定承包人应做的其他工作：</w:t>
      </w:r>
    </w:p>
    <w:p>
      <w:pPr>
        <w:snapToGrid w:val="0"/>
        <w:spacing w:line="440" w:lineRule="exact"/>
        <w:rPr>
          <w:rFonts w:ascii="宋体" w:hAnsi="宋体" w:cs="宋体"/>
          <w:color w:val="auto"/>
          <w:sz w:val="24"/>
          <w:szCs w:val="24"/>
          <w:highlight w:val="none"/>
          <w:u w:val="single"/>
        </w:rPr>
      </w:pP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①承包人应根据相关规定及发包人的要求、合同约定对发包人另行发包的专业承包单位进行统一管理和配合服务。包括但不限于：项目总进度计划协调管理；公共临时设施管理；公共文明施工和安全生产设施管理；现场综合管理；内部沟通与外部协调；总体设计与技术督导的协调配合；为发包人另行发包的专业承包单位提供标高、基准点与平面控制、轴线；提供工作面（含基础、预埋件、预留孔洞）；提供施工用水、用电的接驳点；成品保护；协助发包人办理项目竣工验收、竣工资料和竣工备案；为发包人另行发包的专业承包单位提供生产、生活用场地；提供公共运输道路和通道；提供公共水平、垂直运输设施；提供公共外排栅、外脚手架；负责组织整体竣工验收及整体工程资料汇总及整理工作以及其它管理和配合服务。承包人应按照</w:t>
      </w:r>
      <w:r>
        <w:rPr>
          <w:rFonts w:hint="eastAsia" w:ascii="宋体" w:hAnsi="宋体" w:cs="宋体"/>
          <w:color w:val="auto"/>
          <w:sz w:val="24"/>
          <w:highlight w:val="none"/>
          <w:u w:val="single"/>
        </w:rPr>
        <w:t>《广州市住房和城乡建设局关于规范房屋建筑工程施工承发包管理的通知》(穗建规字〔2019〕10号)</w:t>
      </w:r>
      <w:r>
        <w:rPr>
          <w:rFonts w:hint="eastAsia" w:ascii="宋体" w:hAnsi="宋体" w:cs="宋体"/>
          <w:color w:val="auto"/>
          <w:sz w:val="24"/>
          <w:szCs w:val="24"/>
          <w:highlight w:val="none"/>
          <w:u w:val="single"/>
        </w:rPr>
        <w:t>的规定，对本工程所有专业承包工程负全面管理责任，对施工现场的安全生产、文明施工等工作负总责。承包人对发包人单独发包的专业工程的安全生产、文明施工等工作承担连带责任。承包人应主动配合发包人单独发包的其他专业承包工程的施工，承担由于自身管理、配合服务和协调不到位而导致的违约责任和连带违约责任。（注：总承包工程适用本条款）</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　②承包人应按照《广州市建筑施工实名制管理办法》的规定，进场施工前在市建设领域管理应用信息平台上进行实名制登记并安排专职人员进行动态维护，实名制信息内容包含但不限以下内容：建筑从业人员基本信息、作业工人考勤与工资支付信息、施工进度情况信息等。承包人应对依法分包的专业工程和劳务工程的承包人实施统一管理，督促落实实名制管理。发包人及监理单位将不定期抽查承包人实名制管理的执行情况，如发现违反本合同有关约定的，将追究承包人相应违约责任。</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③承包人应按照《广州市建设领域工人工资支付分账管理实施细则》的规定选择商业银行开立工人工资支付专用账户，在用工之日起</w:t>
      </w:r>
      <w:r>
        <w:rPr>
          <w:rFonts w:ascii="宋体" w:hAnsi="宋体" w:cs="宋体"/>
          <w:color w:val="auto"/>
          <w:sz w:val="24"/>
          <w:szCs w:val="24"/>
          <w:highlight w:val="none"/>
        </w:rPr>
        <w:t>15日内为每个工人办理工人工资个人账户，保证按时足额支付工人工资。承包人应对</w:t>
      </w:r>
      <w:r>
        <w:rPr>
          <w:rFonts w:hint="eastAsia" w:ascii="宋体" w:hAnsi="宋体" w:cs="宋体"/>
          <w:color w:val="auto"/>
          <w:sz w:val="24"/>
          <w:szCs w:val="24"/>
          <w:highlight w:val="none"/>
        </w:rPr>
        <w:t>依法分包的专业工程和劳务工程的承包人实施统一管理，严格按国家、省、市关于农民工工资实施总承包单位代发制度的相关规定代发分包单位工人工资。</w:t>
      </w:r>
    </w:p>
    <w:p>
      <w:pPr>
        <w:snapToGrid w:val="0"/>
        <w:spacing w:line="440" w:lineRule="exact"/>
        <w:ind w:firstLine="397"/>
        <w:rPr>
          <w:rFonts w:ascii="宋体" w:hAnsi="宋体" w:cs="宋体"/>
          <w:color w:val="auto"/>
          <w:sz w:val="24"/>
          <w:highlight w:val="none"/>
        </w:rPr>
      </w:pPr>
      <w:r>
        <w:rPr>
          <w:rFonts w:hint="eastAsia" w:ascii="宋体" w:hAnsi="宋体" w:cs="宋体"/>
          <w:color w:val="auto"/>
          <w:sz w:val="24"/>
          <w:szCs w:val="24"/>
          <w:highlight w:val="none"/>
        </w:rPr>
        <w:t>④承包人应当建立工人考勤、工资结算和支付等管理台账，存档备查，并将相关信息按月报送发包人及监理单位。</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10）承包人应在本项目中投入使用燃料电池汽车等新能源工程车,且投入数量占本项目投入的建筑垃圾自卸车（渣土车）总数比例不得低于40%，相关费用已包含在合同价中，不另行计取。</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11）承包人应当建立燃料电池汽车等新能源工程车投入管理台账备查，并将投入现场的影像等相关资料按要求报送发包人及监理单位核查。</w:t>
      </w:r>
      <w:r>
        <w:rPr>
          <w:rFonts w:hint="eastAsia" w:ascii="宋体" w:hAnsi="宋体" w:cs="宋体"/>
          <w:color w:val="auto"/>
          <w:sz w:val="24"/>
          <w:szCs w:val="24"/>
          <w:highlight w:val="none"/>
        </w:rPr>
        <w:t>（适用于一般项目）</w:t>
      </w:r>
    </w:p>
    <w:p>
      <w:pPr>
        <w:snapToGrid w:val="0"/>
        <w:spacing w:line="440" w:lineRule="exact"/>
        <w:ind w:firstLine="397"/>
        <w:rPr>
          <w:rFonts w:ascii="宋体" w:hAnsi="宋体" w:cs="宋体"/>
          <w:color w:val="auto"/>
          <w:sz w:val="24"/>
          <w:szCs w:val="24"/>
          <w:highlight w:val="none"/>
        </w:rPr>
      </w:pPr>
    </w:p>
    <w:p>
      <w:pPr>
        <w:snapToGrid w:val="0"/>
        <w:spacing w:line="440" w:lineRule="exact"/>
        <w:ind w:firstLine="397"/>
        <w:rPr>
          <w:rFonts w:ascii="宋体" w:hAnsi="宋体" w:cs="宋体"/>
          <w:b/>
          <w:color w:val="auto"/>
          <w:sz w:val="24"/>
          <w:highlight w:val="none"/>
        </w:rPr>
      </w:pPr>
      <w:r>
        <w:rPr>
          <w:rFonts w:hint="eastAsia" w:ascii="宋体" w:hAnsi="宋体" w:cs="宋体"/>
          <w:b/>
          <w:color w:val="auto"/>
          <w:sz w:val="24"/>
          <w:highlight w:val="none"/>
        </w:rPr>
        <w:t>三、施工组织设计和工期</w:t>
      </w:r>
    </w:p>
    <w:p>
      <w:pPr>
        <w:snapToGrid w:val="0"/>
        <w:spacing w:line="440" w:lineRule="exact"/>
        <w:ind w:firstLine="397"/>
        <w:rPr>
          <w:rFonts w:ascii="宋体" w:hAnsi="宋体" w:cs="宋体"/>
          <w:b/>
          <w:color w:val="auto"/>
          <w:sz w:val="24"/>
          <w:highlight w:val="none"/>
        </w:rPr>
      </w:pPr>
      <w:r>
        <w:rPr>
          <w:rFonts w:ascii="宋体" w:hAnsi="宋体" w:cs="宋体"/>
          <w:b/>
          <w:color w:val="auto"/>
          <w:sz w:val="24"/>
          <w:highlight w:val="none"/>
        </w:rPr>
        <w:t>10</w:t>
      </w:r>
      <w:r>
        <w:rPr>
          <w:rFonts w:hint="eastAsia" w:ascii="宋体" w:hAnsi="宋体" w:cs="宋体"/>
          <w:b/>
          <w:color w:val="auto"/>
          <w:sz w:val="24"/>
          <w:highlight w:val="none"/>
        </w:rPr>
        <w:t>、进度计划</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10.1</w:t>
      </w:r>
      <w:r>
        <w:rPr>
          <w:rFonts w:hint="eastAsia" w:ascii="宋体" w:hAnsi="宋体" w:cs="宋体"/>
          <w:color w:val="auto"/>
          <w:sz w:val="24"/>
          <w:szCs w:val="24"/>
          <w:highlight w:val="none"/>
        </w:rPr>
        <w:t>承包人提供施工组织设计</w:t>
      </w:r>
      <w:r>
        <w:rPr>
          <w:rFonts w:ascii="宋体" w:hAnsi="宋体" w:cs="宋体"/>
          <w:color w:val="auto"/>
          <w:sz w:val="24"/>
          <w:szCs w:val="24"/>
          <w:highlight w:val="none"/>
        </w:rPr>
        <w:t>(施工方案)和进度计划时间：</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u w:val="single"/>
        </w:rPr>
        <w:t>承包人应于接到中标通知书后</w:t>
      </w:r>
      <w:r>
        <w:rPr>
          <w:rFonts w:ascii="宋体" w:hAnsi="宋体" w:cs="宋体"/>
          <w:color w:val="auto"/>
          <w:sz w:val="24"/>
          <w:szCs w:val="24"/>
          <w:highlight w:val="none"/>
          <w:u w:val="single"/>
        </w:rPr>
        <w:t>4天内向发包人提交总体工程进度计划（网络计划），并</w:t>
      </w:r>
      <w:r>
        <w:rPr>
          <w:rFonts w:hint="eastAsia" w:ascii="宋体" w:hAnsi="宋体" w:cs="宋体"/>
          <w:color w:val="auto"/>
          <w:sz w:val="24"/>
          <w:szCs w:val="24"/>
          <w:highlight w:val="none"/>
          <w:u w:val="single"/>
        </w:rPr>
        <w:t>于开工前</w:t>
      </w:r>
      <w:r>
        <w:rPr>
          <w:rFonts w:ascii="宋体" w:hAnsi="宋体" w:cs="宋体"/>
          <w:color w:val="auto"/>
          <w:sz w:val="24"/>
          <w:szCs w:val="24"/>
          <w:highlight w:val="none"/>
          <w:u w:val="single"/>
        </w:rPr>
        <w:t>3天内提交施工组织设计（施工方案）给发包人</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承包人提交的施工组织设计应当按监理工程师及国家、省、市及广州开发区关于施工承包管理的要求编制</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承包人编制的工程进度计划内容应全面详实，且应针对承包管理范围内的各专业承包工程及建筑工程的全部或分项施工作业和特点提出施工方法、施工穿插顺序及时间安排，并在各节点位置标注相应的工程量、资金使用计划、人机组织及材料消耗量</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u w:val="single"/>
        </w:rPr>
        <w:t>总监理工程师在接到承包人提交的施工组织设计和工程进度计划后，予以确认或提出修改意见</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工程师确认的时间：</w:t>
      </w:r>
      <w:r>
        <w:rPr>
          <w:rFonts w:hint="eastAsia" w:ascii="宋体" w:hAnsi="宋体" w:cs="宋体"/>
          <w:color w:val="auto"/>
          <w:sz w:val="24"/>
          <w:szCs w:val="24"/>
          <w:highlight w:val="none"/>
          <w:u w:val="single"/>
        </w:rPr>
        <w:t>开工前</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10.2</w:t>
      </w:r>
      <w:r>
        <w:rPr>
          <w:rFonts w:hint="eastAsia" w:ascii="宋体" w:hAnsi="宋体" w:cs="宋体"/>
          <w:color w:val="auto"/>
          <w:sz w:val="24"/>
          <w:szCs w:val="24"/>
          <w:highlight w:val="none"/>
          <w:u w:val="single"/>
        </w:rPr>
        <w:t>为便于总监理工程师掌握和控制工期，承包人应于每周一及每月底向总监理工程师填报各专业工程（含各分部、分项工程及专业承包工程）的周计划完成情况及当月进度计划完成情况（没完成计划的必须说明原因），并在此基础上更新工程进度计划、资金计划和其它工作计划。总监理工程师在接到报告后予以确认或提出书面意见，承包人必须按照总监理工程师的确认或者书面意见执行。（报监理工程师的同时，抄送一份给发包人。）</w:t>
      </w:r>
    </w:p>
    <w:p>
      <w:pPr>
        <w:snapToGrid w:val="0"/>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10.3</w:t>
      </w:r>
      <w:r>
        <w:rPr>
          <w:rFonts w:hint="eastAsia" w:ascii="宋体" w:hAnsi="宋体" w:cs="宋体"/>
          <w:color w:val="auto"/>
          <w:sz w:val="24"/>
          <w:szCs w:val="24"/>
          <w:highlight w:val="none"/>
          <w:u w:val="single"/>
        </w:rPr>
        <w:t>工程实际进度与经总监理工程师确认的进度计划或者更新进度计划不符时，总监理工程师认为本工程或其中任何部分工程进度滞后而不能按预定工期完工，则应将此情况通知承包人，承包人应据此编制修改工程进度计划，采取总监理工程师同意的必要措施加快工程进度，属承包人原因，则承包人无权要求发包人支付任何附加费用。如承包人未能在工程师发布指令后</w:t>
      </w:r>
      <w:r>
        <w:rPr>
          <w:rFonts w:ascii="宋体" w:hAnsi="宋体" w:cs="宋体"/>
          <w:color w:val="auto"/>
          <w:sz w:val="24"/>
          <w:szCs w:val="24"/>
          <w:highlight w:val="none"/>
          <w:u w:val="single"/>
        </w:rPr>
        <w:t>10天内采取有效措施，工程进度仍然无明显改进，发包人有权解除部分或全部合同，将未完工程另行发包给其他有能力的第三方，承包人必须无条件服从，由此所造成的全部损失由承包人承担，并追究承包人的违约赔偿责任</w:t>
      </w:r>
      <w:r>
        <w:rPr>
          <w:rFonts w:hint="eastAsia" w:ascii="宋体" w:hAnsi="宋体" w:cs="宋体"/>
          <w:color w:val="auto"/>
          <w:sz w:val="24"/>
          <w:szCs w:val="24"/>
          <w:highlight w:val="none"/>
        </w:rPr>
        <w:t>。</w:t>
      </w:r>
    </w:p>
    <w:p>
      <w:pPr>
        <w:snapToGrid w:val="0"/>
        <w:spacing w:line="440" w:lineRule="exact"/>
        <w:ind w:firstLine="482" w:firstLineChars="200"/>
        <w:rPr>
          <w:rFonts w:ascii="宋体" w:hAnsi="宋体" w:cs="宋体"/>
          <w:b/>
          <w:color w:val="auto"/>
          <w:sz w:val="24"/>
          <w:highlight w:val="none"/>
        </w:rPr>
      </w:pPr>
      <w:r>
        <w:rPr>
          <w:rFonts w:ascii="宋体" w:hAnsi="宋体" w:cs="宋体"/>
          <w:b/>
          <w:color w:val="auto"/>
          <w:sz w:val="24"/>
          <w:highlight w:val="none"/>
        </w:rPr>
        <w:t>11、开工及延期开工</w:t>
      </w:r>
    </w:p>
    <w:p>
      <w:pPr>
        <w:snapToGrid w:val="0"/>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11.1</w:t>
      </w:r>
      <w:r>
        <w:rPr>
          <w:rFonts w:hint="eastAsia" w:ascii="宋体" w:hAnsi="宋体" w:cs="宋体"/>
          <w:color w:val="auto"/>
          <w:sz w:val="24"/>
          <w:szCs w:val="24"/>
          <w:highlight w:val="none"/>
        </w:rPr>
        <w:t>开工日期和竣工日期</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11.1.1</w:t>
      </w:r>
      <w:r>
        <w:rPr>
          <w:rFonts w:hint="eastAsia" w:ascii="宋体" w:hAnsi="宋体" w:cs="宋体"/>
          <w:color w:val="auto"/>
          <w:sz w:val="24"/>
          <w:szCs w:val="24"/>
          <w:highlight w:val="none"/>
        </w:rPr>
        <w:t>本工程工期为</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日历天。其中开工时间初定为</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日。（具体开工日期以发包人或监理单位开工令或批准的开工报告日期为准）</w:t>
      </w:r>
    </w:p>
    <w:p>
      <w:pPr>
        <w:snapToGrid w:val="0"/>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11.1.2</w:t>
      </w:r>
      <w:r>
        <w:rPr>
          <w:rFonts w:hint="eastAsia" w:ascii="宋体" w:hAnsi="宋体" w:cs="宋体"/>
          <w:color w:val="auto"/>
          <w:sz w:val="24"/>
          <w:szCs w:val="24"/>
          <w:highlight w:val="none"/>
        </w:rPr>
        <w:t>承包人必须采取一切有效措施保证竣工日期，不得延误。除非发生了以下情形：</w:t>
      </w:r>
    </w:p>
    <w:p>
      <w:pPr>
        <w:snapToGrid w:val="0"/>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u w:val="single"/>
        </w:rPr>
        <w:t>政府对本工程建设项目作出停建、缓建的决定</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u w:val="single"/>
        </w:rPr>
        <w:t>重大设计变更导致本工程在规划、使用、功能方面有重大调整</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u w:val="single"/>
        </w:rPr>
        <w:t>不可抗力持续影响而延误工期超过</w:t>
      </w:r>
      <w:r>
        <w:rPr>
          <w:rFonts w:ascii="宋体" w:hAnsi="宋体" w:cs="宋体"/>
          <w:color w:val="auto"/>
          <w:sz w:val="24"/>
          <w:szCs w:val="24"/>
          <w:highlight w:val="none"/>
          <w:u w:val="single"/>
        </w:rPr>
        <w:t>12</w:t>
      </w:r>
      <w:r>
        <w:rPr>
          <w:rFonts w:hint="eastAsia" w:ascii="宋体" w:hAnsi="宋体" w:cs="宋体"/>
          <w:color w:val="auto"/>
          <w:sz w:val="24"/>
          <w:szCs w:val="24"/>
          <w:highlight w:val="none"/>
          <w:u w:val="single"/>
        </w:rPr>
        <w:t>天以上</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u w:val="single"/>
        </w:rPr>
        <w:t>本合同专用条款约定的其他非承包人原因导致的工期延误</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11.2</w:t>
      </w:r>
      <w:r>
        <w:rPr>
          <w:rFonts w:hint="eastAsia" w:ascii="宋体" w:hAnsi="宋体" w:cs="宋体"/>
          <w:color w:val="auto"/>
          <w:sz w:val="24"/>
          <w:szCs w:val="24"/>
          <w:highlight w:val="none"/>
        </w:rPr>
        <w:t>延期开工：</w:t>
      </w:r>
    </w:p>
    <w:p>
      <w:pPr>
        <w:adjustRightInd w:val="0"/>
        <w:snapToGrid w:val="0"/>
        <w:spacing w:line="440" w:lineRule="exact"/>
        <w:ind w:right="11" w:firstLine="420" w:firstLineChars="175"/>
        <w:rPr>
          <w:rFonts w:ascii="宋体" w:hAnsi="宋体" w:cs="宋体"/>
          <w:color w:val="auto"/>
          <w:sz w:val="24"/>
          <w:szCs w:val="24"/>
          <w:highlight w:val="none"/>
          <w:u w:val="single"/>
        </w:rPr>
      </w:pPr>
      <w:r>
        <w:rPr>
          <w:rFonts w:ascii="宋体" w:hAnsi="宋体" w:cs="宋体"/>
          <w:color w:val="auto"/>
          <w:sz w:val="24"/>
          <w:szCs w:val="24"/>
          <w:highlight w:val="none"/>
        </w:rPr>
        <w:t>11.2.1</w:t>
      </w:r>
      <w:r>
        <w:rPr>
          <w:rFonts w:hint="eastAsia" w:ascii="宋体" w:hAnsi="宋体" w:cs="宋体"/>
          <w:color w:val="auto"/>
          <w:sz w:val="24"/>
          <w:szCs w:val="24"/>
          <w:highlight w:val="none"/>
          <w:u w:val="single"/>
        </w:rPr>
        <w:t>因发包人原因不能按照协议书约定的开工日期开工或暂停施工的，总监理工程师应通知承包人推迟开工日期，经监理单位、发包人确认后，工期可相应顺延，但不作费用补偿</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11.2.2</w:t>
      </w:r>
      <w:r>
        <w:rPr>
          <w:rFonts w:hint="eastAsia" w:ascii="宋体" w:hAnsi="宋体" w:cs="宋体"/>
          <w:color w:val="auto"/>
          <w:sz w:val="24"/>
          <w:szCs w:val="24"/>
          <w:highlight w:val="none"/>
          <w:u w:val="single"/>
        </w:rPr>
        <w:t>承包人未能主动及时地履行其协调、配合服务义务而造成专业承包单位无法开工，由此产生的工期延误等损失由承包人承担，并承担违约责任</w:t>
      </w:r>
      <w:r>
        <w:rPr>
          <w:rFonts w:hint="eastAsia" w:ascii="宋体" w:hAnsi="宋体" w:cs="宋体"/>
          <w:color w:val="auto"/>
          <w:sz w:val="24"/>
          <w:szCs w:val="24"/>
          <w:highlight w:val="none"/>
        </w:rPr>
        <w:t>。</w:t>
      </w:r>
    </w:p>
    <w:p>
      <w:pPr>
        <w:snapToGrid w:val="0"/>
        <w:spacing w:line="440" w:lineRule="exact"/>
        <w:ind w:firstLine="482" w:firstLineChars="200"/>
        <w:rPr>
          <w:rFonts w:ascii="宋体" w:hAnsi="宋体" w:cs="宋体"/>
          <w:b/>
          <w:color w:val="auto"/>
          <w:sz w:val="24"/>
          <w:highlight w:val="none"/>
        </w:rPr>
      </w:pPr>
      <w:r>
        <w:rPr>
          <w:rFonts w:ascii="宋体" w:hAnsi="宋体" w:cs="宋体"/>
          <w:b/>
          <w:color w:val="auto"/>
          <w:sz w:val="24"/>
          <w:highlight w:val="none"/>
        </w:rPr>
        <w:t>12、暂停施工</w:t>
      </w:r>
    </w:p>
    <w:p>
      <w:pPr>
        <w:snapToGrid w:val="0"/>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12.1因下列原因，总监理工程师报经发包人同意，可通知承包人暂停施工：</w:t>
      </w:r>
    </w:p>
    <w:p>
      <w:pPr>
        <w:snapToGrid w:val="0"/>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u w:val="single"/>
        </w:rPr>
        <w:t>工程设计发生重大变更</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u w:val="single"/>
        </w:rPr>
        <w:t>不可抗力</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u w:val="single"/>
        </w:rPr>
        <w:t>质量事故</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u w:val="single"/>
        </w:rPr>
        <w:t>安全生产事故</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u w:val="single"/>
        </w:rPr>
        <w:t>因承包人管理不善，可能导致现场混乱</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6）</w:t>
      </w:r>
      <w:r>
        <w:rPr>
          <w:rFonts w:hint="eastAsia" w:ascii="宋体" w:hAnsi="宋体" w:cs="宋体"/>
          <w:color w:val="auto"/>
          <w:sz w:val="24"/>
          <w:szCs w:val="24"/>
          <w:highlight w:val="none"/>
          <w:u w:val="single"/>
        </w:rPr>
        <w:t>承包人违规施工，经监理工程师通知改正但仍不执行</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承包人不得以与发包人有争议为由或者以争议未解决为由而单方面停工。否则，应按约定承担工期延误的违约责任</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因发生上述第（</w:t>
      </w:r>
      <w:r>
        <w:rPr>
          <w:rFonts w:ascii="宋体" w:hAnsi="宋体" w:cs="宋体"/>
          <w:color w:val="auto"/>
          <w:sz w:val="24"/>
          <w:szCs w:val="24"/>
          <w:highlight w:val="none"/>
          <w:u w:val="single"/>
        </w:rPr>
        <w:t>1）、（2）项原因而暂停施工</w:t>
      </w:r>
      <w:r>
        <w:rPr>
          <w:rFonts w:hint="eastAsia" w:ascii="宋体" w:hAnsi="宋体" w:cs="宋体"/>
          <w:color w:val="auto"/>
          <w:sz w:val="24"/>
          <w:szCs w:val="24"/>
          <w:highlight w:val="none"/>
          <w:u w:val="single"/>
        </w:rPr>
        <w:t>的，工期可协商调整，因发生上述第（</w:t>
      </w:r>
      <w:r>
        <w:rPr>
          <w:rFonts w:ascii="宋体" w:hAnsi="宋体" w:cs="宋体"/>
          <w:color w:val="auto"/>
          <w:sz w:val="24"/>
          <w:szCs w:val="24"/>
          <w:highlight w:val="none"/>
          <w:u w:val="single"/>
        </w:rPr>
        <w:t>3）、（4）、（5）、（6）项原因而暂停施工</w:t>
      </w:r>
      <w:r>
        <w:rPr>
          <w:rFonts w:hint="eastAsia" w:ascii="宋体" w:hAnsi="宋体" w:cs="宋体"/>
          <w:color w:val="auto"/>
          <w:sz w:val="24"/>
          <w:szCs w:val="24"/>
          <w:highlight w:val="none"/>
          <w:u w:val="single"/>
        </w:rPr>
        <w:t>的，工期不予顺延</w:t>
      </w:r>
      <w:r>
        <w:rPr>
          <w:rFonts w:ascii="宋体" w:hAnsi="宋体" w:cs="宋体"/>
          <w:color w:val="auto"/>
          <w:sz w:val="24"/>
          <w:szCs w:val="24"/>
          <w:highlight w:val="none"/>
          <w:u w:val="single"/>
        </w:rPr>
        <w:t>,承包人必须承担由此发生的费用并向发包人承担违约责任</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12.2为了保证工程质量安全，凡</w:t>
      </w:r>
      <w:r>
        <w:rPr>
          <w:rFonts w:hint="eastAsia" w:ascii="宋体" w:hAnsi="宋体" w:cs="宋体"/>
          <w:color w:val="auto"/>
          <w:sz w:val="24"/>
          <w:szCs w:val="24"/>
          <w:highlight w:val="none"/>
        </w:rPr>
        <w:t>承包人出现下列情况之一（不限于此）的，总监理工程师有权下达停工令，责令承包人停工整改，由此造成的损失由承包人自行承担，工期不予顺延，如果造成工期延误的，承包人还应承担违约责任。</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(1)</w:t>
      </w:r>
      <w:r>
        <w:rPr>
          <w:rFonts w:hint="eastAsia" w:ascii="宋体" w:hAnsi="宋体" w:cs="宋体"/>
          <w:color w:val="auto"/>
          <w:sz w:val="24"/>
          <w:szCs w:val="24"/>
          <w:highlight w:val="none"/>
          <w:u w:val="single"/>
        </w:rPr>
        <w:t>拒绝监理单位管理</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(2)</w:t>
      </w:r>
      <w:r>
        <w:rPr>
          <w:rFonts w:hint="eastAsia" w:ascii="宋体" w:hAnsi="宋体" w:cs="宋体"/>
          <w:color w:val="auto"/>
          <w:sz w:val="24"/>
          <w:szCs w:val="24"/>
          <w:highlight w:val="none"/>
          <w:u w:val="single"/>
        </w:rPr>
        <w:t>施工组织设计（方案）未获总监理工程师批准而进行施工</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(3)</w:t>
      </w:r>
      <w:r>
        <w:rPr>
          <w:rFonts w:hint="eastAsia" w:ascii="宋体" w:hAnsi="宋体" w:cs="宋体"/>
          <w:color w:val="auto"/>
          <w:sz w:val="24"/>
          <w:szCs w:val="24"/>
          <w:highlight w:val="none"/>
          <w:u w:val="single"/>
        </w:rPr>
        <w:t>未经监理单位检验而进行下一道工序作业者</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w:t>
      </w:r>
      <w:r>
        <w:rPr>
          <w:rFonts w:hint="eastAsia" w:ascii="宋体" w:hAnsi="宋体" w:cs="宋体"/>
          <w:color w:val="auto"/>
          <w:sz w:val="24"/>
          <w:szCs w:val="24"/>
          <w:highlight w:val="none"/>
          <w:u w:val="single"/>
        </w:rPr>
        <w:t>擅自采用未经监理单位及发包人认可或批准的材料的，或者使用的原材料、构配件不合格或未经检查确认的，或者擅自采用未经认可的代用材料的</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(5)</w:t>
      </w:r>
      <w:r>
        <w:rPr>
          <w:rFonts w:hint="eastAsia" w:ascii="宋体" w:hAnsi="宋体" w:cs="宋体"/>
          <w:color w:val="auto"/>
          <w:sz w:val="24"/>
          <w:szCs w:val="24"/>
          <w:highlight w:val="none"/>
          <w:u w:val="single"/>
        </w:rPr>
        <w:t>擅自变更设计图纸的要求</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(6)</w:t>
      </w:r>
      <w:r>
        <w:rPr>
          <w:rFonts w:hint="eastAsia" w:ascii="宋体" w:hAnsi="宋体" w:cs="宋体"/>
          <w:color w:val="auto"/>
          <w:sz w:val="24"/>
          <w:szCs w:val="24"/>
          <w:highlight w:val="none"/>
          <w:u w:val="single"/>
        </w:rPr>
        <w:t>转包工程</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(7)</w:t>
      </w:r>
      <w:r>
        <w:rPr>
          <w:rFonts w:hint="eastAsia" w:ascii="宋体" w:hAnsi="宋体" w:cs="宋体"/>
          <w:color w:val="auto"/>
          <w:sz w:val="24"/>
          <w:szCs w:val="24"/>
          <w:highlight w:val="none"/>
          <w:u w:val="single"/>
        </w:rPr>
        <w:t>擅自让未经总监理工程师批准的专业承包单位进场作业</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(8)</w:t>
      </w:r>
      <w:r>
        <w:rPr>
          <w:rFonts w:hint="eastAsia" w:ascii="宋体" w:hAnsi="宋体" w:cs="宋体"/>
          <w:color w:val="auto"/>
          <w:sz w:val="24"/>
          <w:szCs w:val="24"/>
          <w:highlight w:val="none"/>
          <w:u w:val="single"/>
        </w:rPr>
        <w:t>存在安全隐患，未按监理单位要求及时进行整改</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(9)</w:t>
      </w:r>
      <w:r>
        <w:rPr>
          <w:rFonts w:hint="eastAsia" w:ascii="宋体" w:hAnsi="宋体" w:cs="宋体"/>
          <w:color w:val="auto"/>
          <w:sz w:val="24"/>
          <w:szCs w:val="24"/>
          <w:highlight w:val="none"/>
          <w:u w:val="single"/>
        </w:rPr>
        <w:t>未按双方约定的资料上报要求上报所需资料的</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12.3因不可抗力引起工程停工，工期按</w:t>
      </w:r>
      <w:r>
        <w:rPr>
          <w:rFonts w:hint="eastAsia" w:ascii="宋体" w:hAnsi="宋体" w:cs="宋体"/>
          <w:color w:val="auto"/>
          <w:sz w:val="24"/>
          <w:szCs w:val="24"/>
          <w:highlight w:val="none"/>
          <w:u w:val="single"/>
        </w:rPr>
        <w:t>专用条款</w:t>
      </w:r>
      <w:r>
        <w:rPr>
          <w:rFonts w:ascii="宋体" w:hAnsi="宋体" w:cs="宋体"/>
          <w:color w:val="auto"/>
          <w:sz w:val="24"/>
          <w:szCs w:val="24"/>
          <w:highlight w:val="none"/>
          <w:u w:val="single"/>
        </w:rPr>
        <w:t>第12.1款</w:t>
      </w:r>
      <w:r>
        <w:rPr>
          <w:rFonts w:hint="eastAsia" w:ascii="宋体" w:hAnsi="宋体" w:cs="宋体"/>
          <w:color w:val="auto"/>
          <w:sz w:val="24"/>
          <w:szCs w:val="24"/>
          <w:highlight w:val="none"/>
        </w:rPr>
        <w:t>约定执行，费用承担按以下原则：</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u w:val="single"/>
        </w:rPr>
        <w:t>因工程损害导致第三方人员伤亡和财产损失，如系在工程竣工验收合格移交给发包人使用前造成的，费用由承包人承担；如系在工程竣工验收合格移交给发包人使用后发生的，费用由发包人承担</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u w:val="single"/>
        </w:rPr>
        <w:t>运至施工场地用于施工的材料和待安装的设备的损害，属发包人供应的由发包人承担；属承包人采购的由承包人承担</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u w:val="single"/>
        </w:rPr>
        <w:t>发包人承包人人员伤亡由其所在单位负责，并承担相应费用</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u w:val="single"/>
        </w:rPr>
        <w:t>承包人机械设备损坏及停工损失由承包人承担</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u w:val="single"/>
        </w:rPr>
        <w:t>停工期间，承包人应总监理工程师要求留在施工场地的必要的管理人员及保卫人员的费用由承包人承担</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6）</w:t>
      </w:r>
      <w:r>
        <w:rPr>
          <w:rFonts w:hint="eastAsia" w:ascii="宋体" w:hAnsi="宋体" w:cs="宋体"/>
          <w:color w:val="auto"/>
          <w:sz w:val="24"/>
          <w:szCs w:val="24"/>
          <w:highlight w:val="none"/>
          <w:u w:val="single"/>
        </w:rPr>
        <w:t>工程所需清理、修复费用由发包人承担</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12.4</w:t>
      </w:r>
      <w:r>
        <w:rPr>
          <w:rFonts w:hint="eastAsia" w:ascii="宋体" w:hAnsi="宋体" w:cs="宋体"/>
          <w:color w:val="auto"/>
          <w:sz w:val="24"/>
          <w:szCs w:val="24"/>
          <w:highlight w:val="none"/>
          <w:u w:val="single"/>
        </w:rPr>
        <w:t>由于承包人自身原因或施工承包管理、配合及协调不力，而导致专业承包工程停工，产生的费用由承包人承担</w:t>
      </w:r>
      <w:r>
        <w:rPr>
          <w:rFonts w:hint="eastAsia" w:ascii="宋体" w:hAnsi="宋体" w:cs="宋体"/>
          <w:color w:val="auto"/>
          <w:sz w:val="24"/>
          <w:szCs w:val="24"/>
          <w:highlight w:val="none"/>
        </w:rPr>
        <w:t>。</w:t>
      </w:r>
    </w:p>
    <w:p>
      <w:pPr>
        <w:snapToGrid w:val="0"/>
        <w:spacing w:line="440" w:lineRule="exact"/>
        <w:ind w:firstLine="397"/>
        <w:rPr>
          <w:rFonts w:ascii="宋体" w:hAnsi="宋体" w:cs="宋体"/>
          <w:b/>
          <w:color w:val="auto"/>
          <w:sz w:val="24"/>
          <w:highlight w:val="none"/>
        </w:rPr>
      </w:pPr>
      <w:r>
        <w:rPr>
          <w:rFonts w:ascii="宋体" w:hAnsi="宋体" w:cs="宋体"/>
          <w:b/>
          <w:color w:val="auto"/>
          <w:sz w:val="24"/>
          <w:highlight w:val="none"/>
        </w:rPr>
        <w:t>13、工期延误</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13.2</w:t>
      </w:r>
      <w:r>
        <w:rPr>
          <w:rFonts w:hint="eastAsia" w:ascii="宋体" w:hAnsi="宋体" w:cs="宋体"/>
          <w:color w:val="auto"/>
          <w:sz w:val="24"/>
          <w:szCs w:val="24"/>
          <w:highlight w:val="none"/>
          <w:u w:val="single"/>
        </w:rPr>
        <w:t>对于非因承包人原因发生的工期延误，承包人应当在工期延误事件发生后</w:t>
      </w:r>
      <w:r>
        <w:rPr>
          <w:rFonts w:ascii="宋体" w:hAnsi="宋体" w:cs="宋体"/>
          <w:color w:val="auto"/>
          <w:sz w:val="24"/>
          <w:szCs w:val="24"/>
          <w:highlight w:val="none"/>
          <w:u w:val="single"/>
        </w:rPr>
        <w:t>7天内就延误的内容经总监理工程师向发包人提出书面报告，逾期不报告，发包人不予确认；发包人在收到经总监理工程师确认报告后15个工作日内予以答复，逾期不予答复，承包人即可视为延期要求已被确认。经确认同意延期，可顺延工期，但不作费用补偿</w:t>
      </w:r>
      <w:r>
        <w:rPr>
          <w:rFonts w:hint="eastAsia" w:ascii="宋体" w:hAnsi="宋体" w:cs="宋体"/>
          <w:color w:val="auto"/>
          <w:sz w:val="24"/>
          <w:szCs w:val="24"/>
          <w:highlight w:val="none"/>
        </w:rPr>
        <w:t>。</w:t>
      </w:r>
    </w:p>
    <w:p>
      <w:pPr>
        <w:snapToGrid w:val="0"/>
        <w:spacing w:line="440" w:lineRule="exact"/>
        <w:ind w:firstLine="397"/>
        <w:rPr>
          <w:rFonts w:ascii="宋体" w:hAnsi="宋体" w:cs="宋体"/>
          <w:b/>
          <w:color w:val="auto"/>
          <w:sz w:val="24"/>
          <w:highlight w:val="none"/>
        </w:rPr>
      </w:pPr>
      <w:r>
        <w:rPr>
          <w:rFonts w:hint="eastAsia" w:ascii="宋体" w:hAnsi="宋体" w:cs="宋体"/>
          <w:b/>
          <w:color w:val="auto"/>
          <w:sz w:val="24"/>
          <w:highlight w:val="none"/>
        </w:rPr>
        <w:t>四、质量与验收</w:t>
      </w:r>
    </w:p>
    <w:p>
      <w:pPr>
        <w:snapToGrid w:val="0"/>
        <w:spacing w:line="440" w:lineRule="exact"/>
        <w:ind w:firstLine="397"/>
        <w:rPr>
          <w:rFonts w:ascii="宋体" w:hAnsi="宋体" w:cs="宋体"/>
          <w:b/>
          <w:color w:val="auto"/>
          <w:sz w:val="24"/>
          <w:highlight w:val="none"/>
        </w:rPr>
      </w:pPr>
      <w:r>
        <w:rPr>
          <w:rFonts w:ascii="宋体" w:hAnsi="宋体" w:cs="宋体"/>
          <w:b/>
          <w:color w:val="auto"/>
          <w:sz w:val="24"/>
          <w:highlight w:val="none"/>
        </w:rPr>
        <w:t>15、工程质量</w:t>
      </w:r>
    </w:p>
    <w:p>
      <w:pPr>
        <w:snapToGrid w:val="0"/>
        <w:spacing w:line="440" w:lineRule="exact"/>
        <w:ind w:firstLine="397"/>
        <w:rPr>
          <w:rFonts w:ascii="宋体" w:hAnsi="宋体" w:cs="宋体"/>
          <w:bCs/>
          <w:color w:val="auto"/>
          <w:sz w:val="24"/>
          <w:szCs w:val="24"/>
          <w:highlight w:val="none"/>
        </w:rPr>
      </w:pPr>
      <w:r>
        <w:rPr>
          <w:rFonts w:ascii="宋体" w:hAnsi="宋体" w:cs="宋体"/>
          <w:bCs/>
          <w:color w:val="auto"/>
          <w:sz w:val="24"/>
          <w:szCs w:val="24"/>
          <w:highlight w:val="none"/>
        </w:rPr>
        <w:t>15.3</w:t>
      </w:r>
      <w:r>
        <w:rPr>
          <w:rFonts w:hint="eastAsia" w:ascii="宋体" w:hAnsi="宋体" w:cs="宋体"/>
          <w:bCs/>
          <w:color w:val="auto"/>
          <w:sz w:val="24"/>
          <w:szCs w:val="24"/>
          <w:highlight w:val="none"/>
          <w:u w:val="single"/>
        </w:rPr>
        <w:t>承包人必须严格按照设计施工图和国家及行业颁发的现行有关设计、施工及验收规范的要求进行施工，确保工程质量，</w:t>
      </w:r>
      <w:r>
        <w:rPr>
          <w:rFonts w:hint="eastAsia" w:ascii="宋体" w:hAnsi="宋体" w:cs="宋体"/>
          <w:bCs/>
          <w:color w:val="auto"/>
          <w:sz w:val="24"/>
          <w:highlight w:val="none"/>
        </w:rPr>
        <w:t>工程的质量标准要求合格，且达到投标承诺的质量标准</w:t>
      </w:r>
      <w:r>
        <w:rPr>
          <w:rFonts w:hint="eastAsia" w:ascii="宋体" w:hAnsi="宋体" w:cs="宋体"/>
          <w:bCs/>
          <w:color w:val="auto"/>
          <w:sz w:val="24"/>
          <w:szCs w:val="24"/>
          <w:highlight w:val="none"/>
          <w:u w:val="single"/>
        </w:rPr>
        <w:t>。承包人对图纸中存在的问题有责任和义务提前以书面形式报告工程师及发包人，以供发包人同监理人核实并及时要求设计方修改设计图纸</w:t>
      </w:r>
      <w:r>
        <w:rPr>
          <w:rFonts w:hint="eastAsia" w:ascii="宋体" w:hAnsi="宋体" w:cs="宋体"/>
          <w:bCs/>
          <w:color w:val="auto"/>
          <w:sz w:val="24"/>
          <w:szCs w:val="24"/>
          <w:highlight w:val="none"/>
        </w:rPr>
        <w:t>。</w:t>
      </w:r>
    </w:p>
    <w:p>
      <w:pPr>
        <w:snapToGrid w:val="0"/>
        <w:spacing w:line="440" w:lineRule="exact"/>
        <w:ind w:firstLine="397"/>
        <w:rPr>
          <w:rFonts w:ascii="宋体" w:hAnsi="宋体" w:cs="宋体"/>
          <w:bCs/>
          <w:color w:val="auto"/>
          <w:sz w:val="24"/>
          <w:szCs w:val="24"/>
          <w:highlight w:val="none"/>
        </w:rPr>
      </w:pPr>
      <w:r>
        <w:rPr>
          <w:rFonts w:ascii="宋体" w:hAnsi="宋体" w:cs="宋体"/>
          <w:bCs/>
          <w:color w:val="auto"/>
          <w:sz w:val="24"/>
          <w:szCs w:val="24"/>
          <w:highlight w:val="none"/>
        </w:rPr>
        <w:t>15.4</w:t>
      </w:r>
      <w:r>
        <w:rPr>
          <w:rFonts w:hint="eastAsia" w:ascii="宋体" w:hAnsi="宋体" w:cs="宋体"/>
          <w:bCs/>
          <w:color w:val="auto"/>
          <w:sz w:val="24"/>
          <w:szCs w:val="24"/>
          <w:highlight w:val="none"/>
          <w:u w:val="single"/>
        </w:rPr>
        <w:t>本工程项目的所有材料、设备及配件须达到现行中华人民共和国以及省、自治区、直辖市或行业的工程建设标准、规范的要求，产品应有生产许可证书、出厂合格证书，经监理工程师和发包人代表认可后方可使用</w:t>
      </w:r>
      <w:r>
        <w:rPr>
          <w:rFonts w:hint="eastAsia" w:ascii="宋体" w:hAnsi="宋体" w:cs="宋体"/>
          <w:bCs/>
          <w:color w:val="auto"/>
          <w:sz w:val="24"/>
          <w:szCs w:val="24"/>
          <w:highlight w:val="none"/>
        </w:rPr>
        <w:t>。</w:t>
      </w:r>
    </w:p>
    <w:p>
      <w:pPr>
        <w:snapToGrid w:val="0"/>
        <w:spacing w:line="440" w:lineRule="exact"/>
        <w:ind w:firstLine="397"/>
        <w:rPr>
          <w:rFonts w:ascii="宋体" w:hAnsi="宋体" w:cs="宋体"/>
          <w:bCs/>
          <w:color w:val="auto"/>
          <w:sz w:val="24"/>
          <w:szCs w:val="24"/>
          <w:highlight w:val="none"/>
        </w:rPr>
      </w:pPr>
      <w:r>
        <w:rPr>
          <w:rFonts w:ascii="宋体" w:hAnsi="宋体" w:cs="宋体"/>
          <w:bCs/>
          <w:color w:val="auto"/>
          <w:sz w:val="24"/>
          <w:szCs w:val="24"/>
          <w:highlight w:val="none"/>
        </w:rPr>
        <w:t>15.5</w:t>
      </w:r>
      <w:r>
        <w:rPr>
          <w:rFonts w:hint="eastAsia" w:ascii="宋体" w:hAnsi="宋体" w:cs="宋体"/>
          <w:bCs/>
          <w:color w:val="auto"/>
          <w:sz w:val="24"/>
          <w:szCs w:val="24"/>
          <w:highlight w:val="none"/>
          <w:u w:val="single"/>
        </w:rPr>
        <w:t>工程质量不符合设计要求、质量不合格者，监理工程师可指令承包人停工或返工，返工费用由承包人承担，工期不予顺延</w:t>
      </w:r>
      <w:r>
        <w:rPr>
          <w:rFonts w:hint="eastAsia" w:ascii="宋体" w:hAnsi="宋体" w:cs="宋体"/>
          <w:bCs/>
          <w:color w:val="auto"/>
          <w:sz w:val="24"/>
          <w:szCs w:val="24"/>
          <w:highlight w:val="none"/>
        </w:rPr>
        <w:t>。</w:t>
      </w:r>
    </w:p>
    <w:p>
      <w:pPr>
        <w:snapToGrid w:val="0"/>
        <w:spacing w:line="440" w:lineRule="exact"/>
        <w:ind w:firstLine="397"/>
        <w:rPr>
          <w:rFonts w:ascii="宋体" w:hAnsi="宋体" w:cs="宋体"/>
          <w:bCs/>
          <w:color w:val="auto"/>
          <w:sz w:val="24"/>
          <w:szCs w:val="24"/>
          <w:highlight w:val="none"/>
        </w:rPr>
      </w:pPr>
      <w:r>
        <w:rPr>
          <w:rFonts w:ascii="宋体" w:hAnsi="宋体" w:cs="宋体"/>
          <w:bCs/>
          <w:color w:val="auto"/>
          <w:sz w:val="24"/>
          <w:szCs w:val="24"/>
          <w:highlight w:val="none"/>
        </w:rPr>
        <w:t>15.6</w:t>
      </w:r>
      <w:r>
        <w:rPr>
          <w:rFonts w:hint="eastAsia" w:ascii="宋体" w:hAnsi="宋体" w:cs="宋体"/>
          <w:bCs/>
          <w:color w:val="auto"/>
          <w:sz w:val="24"/>
          <w:szCs w:val="24"/>
          <w:highlight w:val="none"/>
          <w:u w:val="single"/>
        </w:rPr>
        <w:t>发生须紧急抢修事故，承包人接到通知后，应立即到达事故现场抢修；否则，发包人可以另委托单位抢修，属承包人施工质量问题造成的修复等费用全部由承包人承担</w:t>
      </w:r>
      <w:r>
        <w:rPr>
          <w:rFonts w:hint="eastAsia" w:ascii="宋体" w:hAnsi="宋体" w:cs="宋体"/>
          <w:bCs/>
          <w:color w:val="auto"/>
          <w:sz w:val="24"/>
          <w:szCs w:val="24"/>
          <w:highlight w:val="none"/>
        </w:rPr>
        <w:t>。</w:t>
      </w:r>
    </w:p>
    <w:p>
      <w:pPr>
        <w:snapToGrid w:val="0"/>
        <w:spacing w:line="440" w:lineRule="exact"/>
        <w:ind w:firstLine="397"/>
        <w:rPr>
          <w:rFonts w:ascii="宋体" w:hAnsi="宋体" w:cs="宋体"/>
          <w:bCs/>
          <w:color w:val="auto"/>
          <w:sz w:val="24"/>
          <w:szCs w:val="24"/>
          <w:highlight w:val="none"/>
        </w:rPr>
      </w:pPr>
      <w:r>
        <w:rPr>
          <w:rFonts w:ascii="宋体" w:hAnsi="宋体" w:cs="宋体"/>
          <w:bCs/>
          <w:color w:val="auto"/>
          <w:sz w:val="24"/>
          <w:szCs w:val="24"/>
          <w:highlight w:val="none"/>
        </w:rPr>
        <w:t>15.7</w:t>
      </w:r>
      <w:r>
        <w:rPr>
          <w:rFonts w:hint="eastAsia" w:ascii="宋体" w:hAnsi="宋体" w:cs="宋体"/>
          <w:bCs/>
          <w:color w:val="auto"/>
          <w:sz w:val="24"/>
          <w:szCs w:val="24"/>
          <w:highlight w:val="none"/>
          <w:u w:val="single"/>
        </w:rPr>
        <w:t>本工程按照本合同专用条款</w:t>
      </w:r>
      <w:r>
        <w:rPr>
          <w:rFonts w:ascii="宋体" w:hAnsi="宋体" w:cs="宋体"/>
          <w:bCs/>
          <w:color w:val="auto"/>
          <w:sz w:val="24"/>
          <w:szCs w:val="24"/>
          <w:highlight w:val="none"/>
          <w:u w:val="single"/>
        </w:rPr>
        <w:t>3.3的约定进行质量验收。若承包人有违反操作规程和标准或施工质量不符合规定的，发包人及监理工程师有权令其停止（或暂停）施工，由此造成的损失均由承包人负责。如在施工过程中颁发新的</w:t>
      </w:r>
      <w:r>
        <w:rPr>
          <w:rFonts w:hint="eastAsia" w:ascii="宋体" w:hAnsi="宋体" w:cs="宋体"/>
          <w:bCs/>
          <w:color w:val="auto"/>
          <w:sz w:val="24"/>
          <w:szCs w:val="24"/>
          <w:highlight w:val="none"/>
          <w:u w:val="single"/>
        </w:rPr>
        <w:t>质量标准规范版本的，是否采用新版本规定，由监理工程师与有关各方洽商决定</w:t>
      </w:r>
      <w:r>
        <w:rPr>
          <w:rFonts w:hint="eastAsia" w:ascii="宋体" w:hAnsi="宋体" w:cs="宋体"/>
          <w:bCs/>
          <w:color w:val="auto"/>
          <w:sz w:val="24"/>
          <w:szCs w:val="24"/>
          <w:highlight w:val="none"/>
        </w:rPr>
        <w:t>。</w:t>
      </w:r>
    </w:p>
    <w:p>
      <w:pPr>
        <w:snapToGrid w:val="0"/>
        <w:spacing w:line="440" w:lineRule="exact"/>
        <w:ind w:firstLine="397"/>
        <w:rPr>
          <w:rFonts w:ascii="宋体" w:hAnsi="宋体" w:cs="宋体"/>
          <w:b/>
          <w:color w:val="auto"/>
          <w:sz w:val="24"/>
          <w:highlight w:val="none"/>
        </w:rPr>
      </w:pPr>
      <w:r>
        <w:rPr>
          <w:rFonts w:ascii="宋体" w:hAnsi="宋体" w:cs="宋体"/>
          <w:b/>
          <w:color w:val="auto"/>
          <w:sz w:val="24"/>
          <w:highlight w:val="none"/>
        </w:rPr>
        <w:t>16、检查和返工</w:t>
      </w:r>
    </w:p>
    <w:p>
      <w:pPr>
        <w:snapToGrid w:val="0"/>
        <w:spacing w:line="440" w:lineRule="exact"/>
        <w:ind w:firstLine="397"/>
        <w:rPr>
          <w:rFonts w:ascii="宋体" w:hAnsi="宋体" w:cs="宋体"/>
          <w:bCs/>
          <w:color w:val="auto"/>
          <w:sz w:val="24"/>
          <w:szCs w:val="24"/>
          <w:highlight w:val="none"/>
        </w:rPr>
      </w:pPr>
      <w:r>
        <w:rPr>
          <w:rFonts w:ascii="宋体" w:hAnsi="宋体" w:cs="宋体"/>
          <w:bCs/>
          <w:color w:val="auto"/>
          <w:sz w:val="24"/>
          <w:szCs w:val="24"/>
          <w:highlight w:val="none"/>
        </w:rPr>
        <w:t>16.3工程师的检查检验：</w:t>
      </w:r>
      <w:r>
        <w:rPr>
          <w:rFonts w:hint="eastAsia" w:ascii="宋体" w:hAnsi="宋体" w:cs="宋体"/>
          <w:bCs/>
          <w:color w:val="auto"/>
          <w:sz w:val="24"/>
          <w:szCs w:val="24"/>
          <w:highlight w:val="none"/>
          <w:u w:val="single"/>
        </w:rPr>
        <w:t>工程师按规范、标准、设计图纸要求和频率所进行的检查检测不应成为承包人工期顺延的理由</w:t>
      </w:r>
      <w:r>
        <w:rPr>
          <w:rFonts w:hint="eastAsia" w:ascii="宋体" w:hAnsi="宋体" w:cs="宋体"/>
          <w:bCs/>
          <w:color w:val="auto"/>
          <w:sz w:val="24"/>
          <w:szCs w:val="24"/>
          <w:highlight w:val="none"/>
        </w:rPr>
        <w:t>。</w:t>
      </w:r>
    </w:p>
    <w:p>
      <w:pPr>
        <w:snapToGrid w:val="0"/>
        <w:spacing w:line="440" w:lineRule="exact"/>
        <w:ind w:firstLine="397"/>
        <w:rPr>
          <w:rFonts w:ascii="宋体" w:hAnsi="宋体" w:cs="宋体"/>
          <w:b/>
          <w:color w:val="auto"/>
          <w:sz w:val="24"/>
          <w:highlight w:val="none"/>
        </w:rPr>
      </w:pPr>
      <w:r>
        <w:rPr>
          <w:rFonts w:ascii="宋体" w:hAnsi="宋体" w:cs="宋体"/>
          <w:b/>
          <w:color w:val="auto"/>
          <w:sz w:val="24"/>
          <w:highlight w:val="none"/>
        </w:rPr>
        <w:t>17</w:t>
      </w:r>
      <w:r>
        <w:rPr>
          <w:rFonts w:hint="eastAsia" w:ascii="宋体" w:hAnsi="宋体" w:cs="宋体"/>
          <w:b/>
          <w:color w:val="auto"/>
          <w:sz w:val="24"/>
          <w:highlight w:val="none"/>
        </w:rPr>
        <w:t>、隐蔽工程和中间验收</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17.1</w:t>
      </w:r>
      <w:r>
        <w:rPr>
          <w:rFonts w:hint="eastAsia" w:ascii="宋体" w:hAnsi="宋体" w:cs="宋体"/>
          <w:color w:val="auto"/>
          <w:sz w:val="24"/>
          <w:szCs w:val="24"/>
          <w:highlight w:val="none"/>
        </w:rPr>
        <w:t>双方约定中间验收部位：</w:t>
      </w:r>
      <w:r>
        <w:rPr>
          <w:rFonts w:hint="eastAsia" w:ascii="宋体" w:hAnsi="宋体" w:cs="宋体"/>
          <w:color w:val="auto"/>
          <w:sz w:val="24"/>
          <w:szCs w:val="24"/>
          <w:highlight w:val="none"/>
          <w:u w:val="single"/>
        </w:rPr>
        <w:t>按相应工程施工及验收规范要求执行</w:t>
      </w:r>
      <w:r>
        <w:rPr>
          <w:rFonts w:hint="eastAsia" w:ascii="宋体" w:hAnsi="宋体" w:cs="宋体"/>
          <w:color w:val="auto"/>
          <w:sz w:val="24"/>
          <w:szCs w:val="24"/>
          <w:highlight w:val="none"/>
        </w:rPr>
        <w:t>。</w:t>
      </w:r>
    </w:p>
    <w:p>
      <w:pPr>
        <w:snapToGrid w:val="0"/>
        <w:spacing w:line="440" w:lineRule="exact"/>
        <w:ind w:firstLine="397"/>
        <w:rPr>
          <w:rFonts w:ascii="宋体" w:hAnsi="宋体" w:cs="宋体"/>
          <w:b/>
          <w:color w:val="auto"/>
          <w:sz w:val="24"/>
          <w:highlight w:val="none"/>
        </w:rPr>
      </w:pPr>
      <w:r>
        <w:rPr>
          <w:rFonts w:ascii="宋体" w:hAnsi="宋体" w:cs="宋体"/>
          <w:b/>
          <w:color w:val="auto"/>
          <w:sz w:val="24"/>
          <w:highlight w:val="none"/>
        </w:rPr>
        <w:t>19</w:t>
      </w:r>
      <w:r>
        <w:rPr>
          <w:rFonts w:hint="eastAsia" w:ascii="宋体" w:hAnsi="宋体" w:cs="宋体"/>
          <w:b/>
          <w:color w:val="auto"/>
          <w:sz w:val="24"/>
          <w:highlight w:val="none"/>
        </w:rPr>
        <w:t>、工程试车</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19.5</w:t>
      </w:r>
      <w:r>
        <w:rPr>
          <w:rFonts w:hint="eastAsia" w:ascii="宋体" w:hAnsi="宋体" w:cs="宋体"/>
          <w:color w:val="auto"/>
          <w:sz w:val="24"/>
          <w:szCs w:val="24"/>
          <w:highlight w:val="none"/>
        </w:rPr>
        <w:t>试车费用的承担：</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highlight w:val="none"/>
        </w:rPr>
      </w:pPr>
      <w:r>
        <w:rPr>
          <w:rFonts w:hint="eastAsia" w:ascii="宋体" w:hAnsi="宋体" w:cs="宋体"/>
          <w:b/>
          <w:color w:val="auto"/>
          <w:sz w:val="24"/>
          <w:highlight w:val="none"/>
        </w:rPr>
        <w:t>五、安全施工</w:t>
      </w:r>
    </w:p>
    <w:p>
      <w:pPr>
        <w:snapToGrid w:val="0"/>
        <w:spacing w:line="440" w:lineRule="exact"/>
        <w:ind w:firstLine="397"/>
        <w:rPr>
          <w:rFonts w:ascii="宋体" w:hAnsi="宋体" w:cs="宋体"/>
          <w:b/>
          <w:color w:val="auto"/>
          <w:sz w:val="24"/>
          <w:highlight w:val="none"/>
        </w:rPr>
      </w:pPr>
      <w:r>
        <w:rPr>
          <w:rFonts w:ascii="宋体" w:hAnsi="宋体" w:cs="宋体"/>
          <w:b/>
          <w:color w:val="auto"/>
          <w:sz w:val="24"/>
          <w:highlight w:val="none"/>
        </w:rPr>
        <w:t>20、安全施工与检查</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20.3</w:t>
      </w:r>
      <w:r>
        <w:rPr>
          <w:rFonts w:hint="eastAsia" w:ascii="宋体" w:hAnsi="宋体" w:cs="宋体"/>
          <w:color w:val="auto"/>
          <w:sz w:val="24"/>
          <w:szCs w:val="24"/>
          <w:highlight w:val="none"/>
          <w:u w:val="single"/>
        </w:rPr>
        <w:t>承包人应建立安全责任制，明确各部门安全工作的岗位责任人，建立健全正常运转的各种安全工作保证体系和规章制度，将安全生产目标分解落实到实处</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20.4</w:t>
      </w:r>
      <w:r>
        <w:rPr>
          <w:rFonts w:hint="eastAsia" w:ascii="宋体" w:hAnsi="宋体" w:cs="宋体"/>
          <w:color w:val="auto"/>
          <w:sz w:val="24"/>
          <w:szCs w:val="24"/>
          <w:highlight w:val="none"/>
          <w:u w:val="single"/>
        </w:rPr>
        <w:t>承包人按规定数量配置安全员</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20.5</w:t>
      </w:r>
      <w:r>
        <w:rPr>
          <w:rFonts w:hint="eastAsia" w:ascii="宋体" w:hAnsi="宋体" w:cs="宋体"/>
          <w:color w:val="auto"/>
          <w:sz w:val="24"/>
          <w:szCs w:val="24"/>
          <w:highlight w:val="none"/>
          <w:u w:val="single"/>
        </w:rPr>
        <w:t>承包人在开工前须向质量安全监督机构提交备案的书面资料</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20.6</w:t>
      </w:r>
      <w:r>
        <w:rPr>
          <w:rFonts w:hint="eastAsia" w:ascii="宋体" w:hAnsi="宋体" w:cs="宋体"/>
          <w:color w:val="auto"/>
          <w:sz w:val="24"/>
          <w:szCs w:val="24"/>
          <w:highlight w:val="none"/>
          <w:u w:val="single"/>
        </w:rPr>
        <w:t>承包人在编制施工组织设计时，应当根据工程的特点编制相应的安全技术措施</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20.7</w:t>
      </w:r>
      <w:r>
        <w:rPr>
          <w:rFonts w:hint="eastAsia" w:ascii="宋体" w:hAnsi="宋体" w:cs="宋体"/>
          <w:color w:val="auto"/>
          <w:sz w:val="24"/>
          <w:szCs w:val="24"/>
          <w:highlight w:val="none"/>
          <w:u w:val="single"/>
        </w:rPr>
        <w:t>承包人按有关安全和防护的规定组织施工生产，不得使用不合标准的防护器材、机具和材料</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20.8</w:t>
      </w:r>
      <w:r>
        <w:rPr>
          <w:rFonts w:hint="eastAsia" w:ascii="宋体" w:hAnsi="宋体" w:cs="宋体"/>
          <w:color w:val="auto"/>
          <w:sz w:val="24"/>
          <w:szCs w:val="24"/>
          <w:highlight w:val="none"/>
          <w:u w:val="single"/>
        </w:rPr>
        <w:t>在工程实施期间，施工场地一经移交给承包人，承包人即对自身施工场地负有全过程、全面的管理责任，必须对自身施工场地范围内的治安秩序、安全保卫、环境卫生以及周围房屋、市政设施等负全责，对自身施工场地范围内的交通道路、用水、用电、场地内的协调进行的管理和协调。承包人需对其施工场地布置、人员的管理、交通组织制订详细的方案，对施工时段作出合理安排，必须采用全封闭施工方案，确保不对周边环境、道路、行人和相邻施工现场造成不利影响，不得干扰周围居民的正常生活，不得影响学生的上课及正常的活动</w:t>
      </w:r>
      <w:r>
        <w:rPr>
          <w:rFonts w:hint="eastAsia" w:ascii="宋体" w:hAnsi="宋体" w:cs="宋体"/>
          <w:color w:val="auto"/>
          <w:sz w:val="24"/>
          <w:szCs w:val="24"/>
          <w:highlight w:val="none"/>
        </w:rPr>
        <w:t>。</w:t>
      </w:r>
    </w:p>
    <w:p>
      <w:pPr>
        <w:snapToGrid w:val="0"/>
        <w:spacing w:line="440" w:lineRule="exact"/>
        <w:ind w:firstLine="397"/>
        <w:rPr>
          <w:rFonts w:ascii="宋体" w:hAnsi="宋体" w:cs="宋体"/>
          <w:b/>
          <w:color w:val="auto"/>
          <w:sz w:val="24"/>
          <w:highlight w:val="none"/>
        </w:rPr>
      </w:pPr>
      <w:r>
        <w:rPr>
          <w:rFonts w:ascii="宋体" w:hAnsi="宋体" w:cs="宋体"/>
          <w:b/>
          <w:color w:val="auto"/>
          <w:sz w:val="24"/>
          <w:highlight w:val="none"/>
        </w:rPr>
        <w:t>21、安全防护</w:t>
      </w:r>
    </w:p>
    <w:p>
      <w:pPr>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21.3</w:t>
      </w:r>
      <w:r>
        <w:rPr>
          <w:rFonts w:hint="eastAsia" w:ascii="宋体" w:hAnsi="宋体" w:cs="宋体"/>
          <w:color w:val="auto"/>
          <w:sz w:val="24"/>
          <w:szCs w:val="24"/>
          <w:highlight w:val="none"/>
          <w:u w:val="single"/>
        </w:rPr>
        <w:t>承包人应在施工现场采取维护安全、防范危险、预防火灾等措施，在特殊作业环境应对作业人员采取劳动保护措施</w:t>
      </w:r>
      <w:r>
        <w:rPr>
          <w:rFonts w:hint="eastAsia" w:ascii="宋体" w:hAnsi="宋体" w:cs="宋体"/>
          <w:color w:val="auto"/>
          <w:sz w:val="24"/>
          <w:szCs w:val="24"/>
          <w:highlight w:val="none"/>
        </w:rPr>
        <w:t>。</w:t>
      </w:r>
    </w:p>
    <w:p>
      <w:pPr>
        <w:tabs>
          <w:tab w:val="left" w:pos="2340"/>
        </w:tabs>
        <w:spacing w:line="440" w:lineRule="exact"/>
        <w:jc w:val="left"/>
        <w:rPr>
          <w:rFonts w:ascii="宋体" w:hAnsi="宋体" w:cs="宋体"/>
          <w:color w:val="auto"/>
          <w:sz w:val="24"/>
          <w:highlight w:val="none"/>
        </w:rPr>
      </w:pPr>
      <w:r>
        <w:rPr>
          <w:rFonts w:ascii="宋体" w:hAnsi="宋体" w:cs="宋体"/>
          <w:color w:val="auto"/>
          <w:sz w:val="24"/>
          <w:szCs w:val="24"/>
          <w:highlight w:val="none"/>
        </w:rPr>
        <w:t xml:space="preserve">    21.4</w:t>
      </w:r>
      <w:r>
        <w:rPr>
          <w:rFonts w:hint="eastAsia" w:ascii="宋体" w:hAnsi="宋体" w:cs="宋体"/>
          <w:color w:val="auto"/>
          <w:sz w:val="24"/>
          <w:highlight w:val="none"/>
          <w:u w:val="single"/>
        </w:rPr>
        <w:t>承包人应加强周边学校、居民住宅的环境保护，制定绿色施工安全防护措施（包括防尘、防噪音、施工围蔽等），施工现场严格按照《广州市建设工程文明施工管理规定》（广州市人民政府令第158号）、《广州市建设工程现场文明施工管理办法》（</w:t>
      </w:r>
      <w:r>
        <w:rPr>
          <w:rFonts w:hint="eastAsia" w:ascii="宋体" w:hAnsi="宋体" w:cs="宋体"/>
          <w:bCs/>
          <w:smallCaps/>
          <w:color w:val="auto"/>
          <w:sz w:val="24"/>
          <w:highlight w:val="none"/>
          <w:u w:val="single"/>
        </w:rPr>
        <w:t>穗建质</w:t>
      </w:r>
      <w:r>
        <w:rPr>
          <w:rFonts w:hint="eastAsia" w:ascii="宋体" w:hAnsi="宋体" w:cs="宋体"/>
          <w:color w:val="auto"/>
          <w:sz w:val="24"/>
          <w:highlight w:val="none"/>
          <w:u w:val="single"/>
        </w:rPr>
        <w:t>〔2008〕</w:t>
      </w:r>
      <w:r>
        <w:rPr>
          <w:rFonts w:hint="eastAsia" w:ascii="宋体" w:hAnsi="宋体" w:cs="宋体"/>
          <w:bCs/>
          <w:smallCaps/>
          <w:color w:val="auto"/>
          <w:sz w:val="24"/>
          <w:highlight w:val="none"/>
          <w:u w:val="single"/>
        </w:rPr>
        <w:t>937号）</w:t>
      </w:r>
      <w:r>
        <w:rPr>
          <w:rFonts w:hint="eastAsia" w:ascii="宋体" w:hAnsi="宋体" w:cs="宋体"/>
          <w:color w:val="auto"/>
          <w:sz w:val="24"/>
          <w:highlight w:val="none"/>
          <w:u w:val="single"/>
        </w:rPr>
        <w:t>、《关于进一步加强我区建设工地文明施工管理的通知》（穗开规建〔2006〕74号）、《广州市住房和城乡建设委员会关于印发建设工程扬尘防治“6个100%”管理标准细化措施的通知》（穗建质〔2018〕1394号）及其他相关规定实施，施工围蔽严格按照、《关于进一步加强规范建设施工现场围蔽的通知》（穗建质〔2018〕1008号）、《广州市建设工程绿色施工围蔽指导图集（V2.0版）》(穗建质〔2020〕1号）、《关于进一步落实我区市政建设项目施工围蔽提升工作的通知》（穗埔建[2019]123号）及</w:t>
      </w:r>
      <w:r>
        <w:rPr>
          <w:rFonts w:hint="eastAsia" w:ascii="宋体" w:hAnsi="宋体" w:cs="宋体"/>
          <w:color w:val="auto"/>
          <w:sz w:val="24"/>
          <w:szCs w:val="24"/>
          <w:highlight w:val="none"/>
          <w:u w:val="single"/>
        </w:rPr>
        <w:t>《黄埔区住房和城乡建设局</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广州开发区建设和交通局关于进一步规范全区建设工程施工围蔽标准的通知》（穗埔建﹝</w:t>
      </w:r>
      <w:r>
        <w:rPr>
          <w:rFonts w:ascii="宋体" w:hAnsi="宋体" w:cs="宋体"/>
          <w:color w:val="auto"/>
          <w:sz w:val="24"/>
          <w:szCs w:val="24"/>
          <w:highlight w:val="none"/>
          <w:u w:val="single"/>
        </w:rPr>
        <w:t>2020﹞183号）实施。</w:t>
      </w:r>
      <w:r>
        <w:rPr>
          <w:rFonts w:ascii="宋体" w:hAnsi="宋体" w:cs="宋体"/>
          <w:color w:val="auto"/>
          <w:sz w:val="24"/>
          <w:highlight w:val="none"/>
        </w:rPr>
        <w:t>以上文件要求不一致的，以后发布文件为准，若相关部门发布有关施工围蔽新文件规定的，按新规定执行。</w:t>
      </w:r>
      <w:r>
        <w:rPr>
          <w:rFonts w:hint="eastAsia" w:ascii="宋体" w:hAnsi="宋体" w:cs="宋体"/>
          <w:color w:val="auto"/>
          <w:sz w:val="24"/>
          <w:highlight w:val="none"/>
          <w:u w:val="single"/>
        </w:rPr>
        <w:t>如承包人未及时按要求做好围蔽、落实工地扬尘防治等绿色施工安全防护措施，业主可另行委托单位实施，业主在工程款中扣减相应措施费用。承包人应当在项目施工前编制扬尘污染防治专项方案和扬尘污染防治费用使用计划，明确扬尘控制目标、防治部位、控制措施，并将扬尘污染防治费用专项使用。</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21.5</w:t>
      </w:r>
      <w:r>
        <w:rPr>
          <w:rFonts w:hint="eastAsia" w:ascii="宋体" w:hAnsi="宋体" w:cs="宋体"/>
          <w:color w:val="auto"/>
          <w:sz w:val="24"/>
          <w:szCs w:val="24"/>
          <w:highlight w:val="none"/>
          <w:u w:val="single"/>
        </w:rPr>
        <w:t>承包人应按规定对工程施工人员进行安全教育和管理</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21.6</w:t>
      </w:r>
      <w:r>
        <w:rPr>
          <w:rFonts w:hint="eastAsia" w:ascii="宋体" w:hAnsi="宋体" w:cs="宋体"/>
          <w:color w:val="auto"/>
          <w:sz w:val="24"/>
          <w:szCs w:val="24"/>
          <w:highlight w:val="none"/>
          <w:u w:val="single"/>
        </w:rPr>
        <w:t>承包人应书面记录专项安全施工组织设计方案审查、安全检查、安全技术交底、安全隐患整改、安全教育等重要安全管理活动</w:t>
      </w:r>
      <w:r>
        <w:rPr>
          <w:rFonts w:hint="eastAsia" w:ascii="宋体" w:hAnsi="宋体" w:cs="宋体"/>
          <w:color w:val="auto"/>
          <w:sz w:val="24"/>
          <w:szCs w:val="24"/>
          <w:highlight w:val="none"/>
        </w:rPr>
        <w:t>。</w:t>
      </w:r>
    </w:p>
    <w:p>
      <w:pPr>
        <w:spacing w:line="440" w:lineRule="exact"/>
        <w:ind w:firstLine="360" w:firstLineChars="150"/>
        <w:rPr>
          <w:rFonts w:ascii="宋体" w:hAnsi="宋体" w:cs="宋体"/>
          <w:color w:val="auto"/>
          <w:sz w:val="24"/>
          <w:szCs w:val="24"/>
          <w:highlight w:val="none"/>
          <w:u w:val="single"/>
        </w:rPr>
      </w:pPr>
      <w:r>
        <w:rPr>
          <w:rFonts w:ascii="宋体" w:hAnsi="宋体" w:cs="宋体"/>
          <w:color w:val="auto"/>
          <w:sz w:val="24"/>
          <w:szCs w:val="24"/>
          <w:highlight w:val="none"/>
          <w:u w:val="single"/>
        </w:rPr>
        <w:t>21.7承包人用于本项目的非标起重机械设备须严格执行</w:t>
      </w:r>
      <w:r>
        <w:rPr>
          <w:rFonts w:hint="eastAsia" w:ascii="宋体" w:hAnsi="宋体" w:cs="宋体"/>
          <w:color w:val="auto"/>
          <w:sz w:val="24"/>
          <w:szCs w:val="24"/>
          <w:highlight w:val="none"/>
          <w:u w:val="single"/>
        </w:rPr>
        <w:t>《关于印发</w:t>
      </w:r>
      <w:r>
        <w:rPr>
          <w:rFonts w:ascii="宋体" w:hAnsi="宋体" w:cs="宋体"/>
          <w:color w:val="auto"/>
          <w:sz w:val="24"/>
          <w:szCs w:val="24"/>
          <w:highlight w:val="none"/>
          <w:u w:val="single"/>
        </w:rPr>
        <w:t>&lt;</w:t>
      </w:r>
      <w:r>
        <w:rPr>
          <w:rFonts w:hint="eastAsia" w:ascii="宋体" w:hAnsi="宋体" w:cs="宋体"/>
          <w:color w:val="auto"/>
          <w:sz w:val="24"/>
          <w:szCs w:val="24"/>
          <w:highlight w:val="none"/>
          <w:u w:val="single"/>
        </w:rPr>
        <w:t>广州市非标建筑起重机械管理办法</w:t>
      </w:r>
      <w:r>
        <w:rPr>
          <w:rFonts w:ascii="宋体" w:hAnsi="宋体" w:cs="宋体"/>
          <w:color w:val="auto"/>
          <w:sz w:val="24"/>
          <w:szCs w:val="24"/>
          <w:highlight w:val="none"/>
          <w:u w:val="single"/>
        </w:rPr>
        <w:t>&gt;</w:t>
      </w:r>
      <w:r>
        <w:rPr>
          <w:rFonts w:hint="eastAsia" w:ascii="宋体" w:hAnsi="宋体" w:cs="宋体"/>
          <w:color w:val="auto"/>
          <w:sz w:val="24"/>
          <w:szCs w:val="24"/>
          <w:highlight w:val="none"/>
          <w:u w:val="single"/>
        </w:rPr>
        <w:t>的通知》</w:t>
      </w:r>
      <w:r>
        <w:rPr>
          <w:rFonts w:ascii="宋体" w:hAnsi="宋体" w:cs="宋体"/>
          <w:color w:val="auto"/>
          <w:sz w:val="24"/>
          <w:szCs w:val="24"/>
          <w:highlight w:val="none"/>
          <w:u w:val="single"/>
        </w:rPr>
        <w:t>(穗建质[2010]999号)</w:t>
      </w:r>
      <w:r>
        <w:rPr>
          <w:rFonts w:hint="eastAsia" w:ascii="宋体" w:hAnsi="宋体" w:cs="宋体"/>
          <w:color w:val="auto"/>
          <w:sz w:val="24"/>
          <w:szCs w:val="24"/>
          <w:highlight w:val="none"/>
          <w:u w:val="single"/>
        </w:rPr>
        <w:t>的相关规定，非标起重机械设备是指没有国家或行业制造标准的各类起重机械设备，如非标架桥设备、</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竖井提升设备、非标龙门吊、贝雷架式或扒杆式起重装置等。</w:t>
      </w:r>
    </w:p>
    <w:p>
      <w:pPr>
        <w:spacing w:line="440" w:lineRule="exact"/>
        <w:ind w:firstLine="360" w:firstLineChars="150"/>
        <w:rPr>
          <w:rFonts w:ascii="宋体" w:hAnsi="宋体" w:cs="宋体"/>
          <w:color w:val="auto"/>
          <w:sz w:val="24"/>
          <w:szCs w:val="24"/>
          <w:highlight w:val="none"/>
          <w:u w:val="single"/>
        </w:rPr>
      </w:pPr>
      <w:r>
        <w:rPr>
          <w:rFonts w:ascii="宋体" w:hAnsi="宋体" w:cs="宋体"/>
          <w:color w:val="auto"/>
          <w:sz w:val="24"/>
          <w:szCs w:val="24"/>
          <w:highlight w:val="none"/>
          <w:u w:val="single"/>
        </w:rPr>
        <w:t>21.8承包人用于本项目的起重设备须严格执行《关于建筑起重机械设备安全监督管理的通知》【穗建安监字[2006]24号】、《关于加强建设工地塔式起重机安全管理的若干规定》【穗建安监字[2006]5号】、《关于加强塔式起重机等垂直运输设备及附着升降脚手架施工安全监督管理的通知》</w:t>
      </w: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穗建筑[2003]84号</w:t>
      </w:r>
      <w:r>
        <w:rPr>
          <w:rFonts w:hint="eastAsia" w:ascii="宋体" w:hAnsi="宋体" w:cs="宋体"/>
          <w:color w:val="auto"/>
          <w:sz w:val="24"/>
          <w:szCs w:val="24"/>
          <w:highlight w:val="none"/>
          <w:u w:val="single"/>
        </w:rPr>
        <w:t>】等相关规定。</w:t>
      </w:r>
    </w:p>
    <w:p>
      <w:pPr>
        <w:spacing w:line="440" w:lineRule="exact"/>
        <w:ind w:firstLine="360" w:firstLineChars="150"/>
        <w:rPr>
          <w:rFonts w:ascii="宋体" w:hAnsi="宋体" w:cs="宋体"/>
          <w:color w:val="auto"/>
          <w:sz w:val="24"/>
          <w:szCs w:val="24"/>
          <w:highlight w:val="none"/>
          <w:u w:val="single"/>
        </w:rPr>
      </w:pPr>
      <w:r>
        <w:rPr>
          <w:rFonts w:ascii="宋体" w:hAnsi="宋体" w:cs="宋体"/>
          <w:color w:val="auto"/>
          <w:sz w:val="24"/>
          <w:szCs w:val="24"/>
          <w:highlight w:val="none"/>
          <w:u w:val="single"/>
        </w:rPr>
        <w:t>21.9承包人在工程实施过程中，按照国家、省、市的相关规定制定相关的专项安全施工方案（如高支模、基坑支护、沉井等），组织专家评审通过后，报监理人、发包人审批后方可开展专项工程的施工。</w:t>
      </w:r>
    </w:p>
    <w:p>
      <w:pPr>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21.10根据《广州市城乡建设委员会关于印发广州市建设工程施工机械设备环保管理整治联合行动工作方案的函》（穗建质函[2014]2763号）要求，承包人应按上述文件规定执行，确保所有在用施工机械设备整洁、安全、有效，防止尾气污染的超标排放。所有施工机械必须具有出厂合格证明文件或进口设备检测证明文件，机械设备必须使用广州市推广使用的车用燃油。承包人应对正使用的机械设备定期维护保养并采取有效措施减少污染排放。承包人未按上述要求执行的，视为未按约定投入机械设备，按35.2.6</w:t>
      </w:r>
      <w:r>
        <w:rPr>
          <w:rFonts w:hint="eastAsia" w:ascii="宋体" w:hAnsi="宋体" w:cs="宋体"/>
          <w:color w:val="auto"/>
          <w:sz w:val="24"/>
          <w:szCs w:val="24"/>
          <w:highlight w:val="none"/>
        </w:rPr>
        <w:t>款（</w:t>
      </w:r>
      <w:r>
        <w:rPr>
          <w:rFonts w:ascii="宋体" w:hAnsi="宋体" w:cs="宋体"/>
          <w:color w:val="auto"/>
          <w:sz w:val="24"/>
          <w:szCs w:val="24"/>
          <w:highlight w:val="none"/>
        </w:rPr>
        <w:t>2）项承担违约责任。</w:t>
      </w:r>
    </w:p>
    <w:p>
      <w:pPr>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21.11承包人在施工期间要确保工程外场地清洁及道路畅通，如须使用他方道路，则还必须负责养护、保洁责任，否则责任自负。施工和警示标志明显，因施工造成人身损害和财产损失的，由承包人承担责任。</w:t>
      </w:r>
    </w:p>
    <w:p>
      <w:pPr>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21.12承包人必须考虑安全、环保等因素在局部施工范围进行施工，现场围蔽不符合国家有关安全措施及技术要求的，不得开展施工作业，由此造成的工期延长，由承包人自己负责，当作延误工期处理。</w:t>
      </w:r>
    </w:p>
    <w:p>
      <w:pPr>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21.13承包人应注意对现有的道路、供水管、排水管、绿化、路灯、电力与通讯设施等进行保护，如因承包人原因损坏，承包人应无条件修复，由此引起的任何安全事故由承包人负责，并承担由此产生的一切费用。若承包人不能按要求修复的，则由发包人委托其它单位修复，费用从承包人工程款中扣付。</w:t>
      </w:r>
    </w:p>
    <w:p>
      <w:pPr>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21.14承包人应对当地现有的交通道路状况进行充分调查，充分考虑该路段的交通疏导问题和文明施工，制定可行的交通疏导（包括场内和场外）方案，确保原有道路的交通畅通和施工临时排水的通畅，并符合施工环保要求。承包人应与交警及公路管理部门协商，取得同意和协助，并负责承担道路改线或改善和其他费用。相关费用计入措施项目费中，结算时按发包人批准的实施方案，按合同约定结算。如果承包人不及时按要求设置，发包人可以另行委托实施。发包人按实际发生的费用在工程款中扣除，承包人不得有任何异议。</w:t>
      </w:r>
    </w:p>
    <w:p>
      <w:pPr>
        <w:snapToGrid w:val="0"/>
        <w:spacing w:line="440" w:lineRule="exact"/>
        <w:ind w:firstLine="397"/>
        <w:rPr>
          <w:rFonts w:ascii="宋体" w:hAnsi="宋体" w:cs="宋体"/>
          <w:b/>
          <w:color w:val="auto"/>
          <w:sz w:val="24"/>
          <w:highlight w:val="none"/>
        </w:rPr>
      </w:pPr>
      <w:r>
        <w:rPr>
          <w:rFonts w:ascii="宋体" w:hAnsi="宋体" w:cs="宋体"/>
          <w:b/>
          <w:color w:val="auto"/>
          <w:sz w:val="24"/>
          <w:highlight w:val="none"/>
        </w:rPr>
        <w:t>22、事故处理</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22.3</w:t>
      </w:r>
      <w:r>
        <w:rPr>
          <w:rFonts w:hint="eastAsia" w:ascii="宋体" w:hAnsi="宋体" w:cs="宋体"/>
          <w:color w:val="auto"/>
          <w:sz w:val="24"/>
          <w:szCs w:val="24"/>
          <w:highlight w:val="none"/>
        </w:rPr>
        <w:t>如发生安全事故，除按法定程序办理有关事宜外，还必须按以下程序进行处理：</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22.3.1</w:t>
      </w:r>
      <w:r>
        <w:rPr>
          <w:rFonts w:hint="eastAsia" w:ascii="宋体" w:hAnsi="宋体" w:cs="宋体"/>
          <w:color w:val="auto"/>
          <w:sz w:val="24"/>
          <w:szCs w:val="24"/>
          <w:highlight w:val="none"/>
          <w:u w:val="single"/>
        </w:rPr>
        <w:t>报告安全事故：安全事故发生后，承包人应在</w:t>
      </w:r>
      <w:r>
        <w:rPr>
          <w:rFonts w:ascii="宋体" w:hAnsi="宋体" w:cs="宋体"/>
          <w:color w:val="auto"/>
          <w:sz w:val="24"/>
          <w:szCs w:val="24"/>
          <w:highlight w:val="none"/>
          <w:u w:val="single"/>
        </w:rPr>
        <w:t>1小时内用最快的信息传递手段，将发生事故的时间、地点、伤亡人数、事故原因等情况，报工程师和发包人</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22.3.2</w:t>
      </w:r>
      <w:r>
        <w:rPr>
          <w:rFonts w:hint="eastAsia" w:ascii="宋体" w:hAnsi="宋体" w:cs="宋体"/>
          <w:color w:val="auto"/>
          <w:sz w:val="24"/>
          <w:szCs w:val="24"/>
          <w:highlight w:val="none"/>
          <w:u w:val="single"/>
        </w:rPr>
        <w:t>事故处理：承包人负责抢救伤员、排除险情，防止事故扩大蔓延，保护好现场，并做好标志，启动保险理赔程序</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22.3.3</w:t>
      </w:r>
      <w:r>
        <w:rPr>
          <w:rFonts w:hint="eastAsia" w:ascii="宋体" w:hAnsi="宋体" w:cs="宋体"/>
          <w:color w:val="auto"/>
          <w:sz w:val="24"/>
          <w:szCs w:val="24"/>
          <w:highlight w:val="none"/>
          <w:u w:val="single"/>
        </w:rPr>
        <w:t>事故调查：承包人应组织内部技术安全、质量部门的人员组成调查组，开展调查，并配合做好发包人或政府有关部门组织的调查工作</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22.3.4</w:t>
      </w:r>
      <w:r>
        <w:rPr>
          <w:rFonts w:hint="eastAsia" w:ascii="宋体" w:hAnsi="宋体" w:cs="宋体"/>
          <w:color w:val="auto"/>
          <w:sz w:val="24"/>
          <w:szCs w:val="24"/>
          <w:highlight w:val="none"/>
          <w:u w:val="single"/>
        </w:rPr>
        <w:t>调查报告：承包人应把事故发生经过、原因、性质、损失、责任、处理意见、纠正和预防措施撰写成调查报告，送工程师会审后报发包人</w:t>
      </w:r>
      <w:r>
        <w:rPr>
          <w:rFonts w:hint="eastAsia" w:ascii="宋体" w:hAnsi="宋体" w:cs="宋体"/>
          <w:color w:val="auto"/>
          <w:sz w:val="24"/>
          <w:szCs w:val="24"/>
          <w:highlight w:val="none"/>
        </w:rPr>
        <w:t>。</w:t>
      </w:r>
    </w:p>
    <w:p>
      <w:pPr>
        <w:snapToGrid w:val="0"/>
        <w:spacing w:line="440" w:lineRule="exact"/>
        <w:ind w:firstLine="397"/>
        <w:rPr>
          <w:rFonts w:ascii="宋体" w:hAnsi="宋体" w:cs="宋体"/>
          <w:b/>
          <w:color w:val="auto"/>
          <w:sz w:val="24"/>
          <w:highlight w:val="none"/>
        </w:rPr>
      </w:pPr>
      <w:r>
        <w:rPr>
          <w:rFonts w:hint="eastAsia" w:ascii="宋体" w:hAnsi="宋体" w:cs="宋体"/>
          <w:b/>
          <w:color w:val="auto"/>
          <w:sz w:val="24"/>
          <w:highlight w:val="none"/>
        </w:rPr>
        <w:t>六、合同价款与支付</w:t>
      </w:r>
    </w:p>
    <w:p>
      <w:pPr>
        <w:snapToGrid w:val="0"/>
        <w:spacing w:line="440" w:lineRule="exact"/>
        <w:ind w:firstLine="397"/>
        <w:rPr>
          <w:rFonts w:ascii="宋体" w:hAnsi="宋体" w:cs="宋体"/>
          <w:color w:val="auto"/>
          <w:sz w:val="24"/>
          <w:highlight w:val="none"/>
          <w:u w:val="single"/>
        </w:rPr>
      </w:pPr>
      <w:r>
        <w:rPr>
          <w:rFonts w:ascii="宋体" w:hAnsi="宋体" w:cs="宋体"/>
          <w:b/>
          <w:color w:val="auto"/>
          <w:sz w:val="24"/>
          <w:highlight w:val="none"/>
        </w:rPr>
        <w:t>23</w:t>
      </w:r>
      <w:r>
        <w:rPr>
          <w:rFonts w:hint="eastAsia" w:ascii="宋体" w:hAnsi="宋体" w:cs="宋体"/>
          <w:b/>
          <w:color w:val="auto"/>
          <w:sz w:val="24"/>
          <w:highlight w:val="none"/>
        </w:rPr>
        <w:t>、合同价款及调整</w:t>
      </w:r>
    </w:p>
    <w:p>
      <w:pPr>
        <w:snapToGrid w:val="0"/>
        <w:spacing w:line="440" w:lineRule="exact"/>
        <w:ind w:firstLine="360" w:firstLineChars="150"/>
        <w:rPr>
          <w:rFonts w:ascii="宋体" w:hAnsi="宋体" w:cs="宋体"/>
          <w:color w:val="auto"/>
          <w:sz w:val="24"/>
          <w:szCs w:val="24"/>
          <w:highlight w:val="none"/>
        </w:rPr>
      </w:pPr>
      <w:r>
        <w:rPr>
          <w:rFonts w:ascii="宋体" w:hAnsi="宋体" w:cs="宋体"/>
          <w:color w:val="auto"/>
          <w:sz w:val="24"/>
          <w:szCs w:val="24"/>
          <w:highlight w:val="none"/>
        </w:rPr>
        <w:t>23.2</w:t>
      </w:r>
      <w:r>
        <w:rPr>
          <w:rFonts w:hint="eastAsia" w:ascii="宋体" w:hAnsi="宋体" w:cs="宋体"/>
          <w:color w:val="auto"/>
          <w:sz w:val="24"/>
          <w:szCs w:val="24"/>
          <w:highlight w:val="none"/>
        </w:rPr>
        <w:t>本合同价款按照</w:t>
      </w:r>
      <w:r>
        <w:rPr>
          <w:rFonts w:hint="eastAsia" w:ascii="宋体" w:hAnsi="宋体" w:cs="宋体"/>
          <w:color w:val="auto"/>
          <w:sz w:val="24"/>
          <w:szCs w:val="24"/>
          <w:highlight w:val="none"/>
          <w:u w:val="single"/>
        </w:rPr>
        <w:t>协议书第五条、专用条款</w:t>
      </w:r>
      <w:r>
        <w:rPr>
          <w:rFonts w:ascii="宋体" w:hAnsi="宋体" w:cs="宋体"/>
          <w:color w:val="auto"/>
          <w:sz w:val="24"/>
          <w:szCs w:val="24"/>
          <w:highlight w:val="none"/>
          <w:u w:val="single"/>
        </w:rPr>
        <w:t>23.3款</w:t>
      </w:r>
      <w:r>
        <w:rPr>
          <w:rFonts w:hint="eastAsia" w:ascii="宋体" w:hAnsi="宋体" w:cs="宋体"/>
          <w:color w:val="auto"/>
          <w:sz w:val="24"/>
          <w:szCs w:val="24"/>
          <w:highlight w:val="none"/>
          <w:u w:val="single"/>
        </w:rPr>
        <w:t>和专用条款</w:t>
      </w:r>
      <w:r>
        <w:rPr>
          <w:rFonts w:ascii="宋体" w:hAnsi="宋体" w:cs="宋体"/>
          <w:color w:val="auto"/>
          <w:sz w:val="24"/>
          <w:szCs w:val="24"/>
          <w:highlight w:val="none"/>
          <w:u w:val="single"/>
        </w:rPr>
        <w:t>23.5款</w:t>
      </w:r>
      <w:r>
        <w:rPr>
          <w:rFonts w:ascii="宋体" w:hAnsi="宋体" w:cs="宋体"/>
          <w:color w:val="auto"/>
          <w:sz w:val="24"/>
          <w:szCs w:val="24"/>
          <w:highlight w:val="none"/>
        </w:rPr>
        <w:t>约定</w:t>
      </w:r>
      <w:r>
        <w:rPr>
          <w:rFonts w:hint="eastAsia" w:ascii="宋体" w:hAnsi="宋体" w:cs="宋体"/>
          <w:color w:val="auto"/>
          <w:sz w:val="24"/>
          <w:szCs w:val="24"/>
          <w:highlight w:val="none"/>
        </w:rPr>
        <w:t>执行，最终按结算终审部门审定价结算。</w:t>
      </w:r>
    </w:p>
    <w:p>
      <w:pPr>
        <w:snapToGrid w:val="0"/>
        <w:spacing w:line="440" w:lineRule="exact"/>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本合同价款采用分部分项工程量清单固定综合单价方式确定，具体办法如下：</w:t>
      </w:r>
    </w:p>
    <w:p>
      <w:pPr>
        <w:snapToGrid w:val="0"/>
        <w:spacing w:line="440" w:lineRule="exact"/>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分部分项工程量清单费：</w:t>
      </w:r>
      <w:r>
        <w:rPr>
          <w:rFonts w:hint="eastAsia" w:ascii="宋体" w:hAnsi="宋体" w:cs="宋体"/>
          <w:color w:val="auto"/>
          <w:sz w:val="24"/>
          <w:szCs w:val="24"/>
          <w:highlight w:val="none"/>
          <w:u w:val="single"/>
        </w:rPr>
        <w:t>除专用条款</w:t>
      </w:r>
      <w:r>
        <w:rPr>
          <w:rFonts w:ascii="宋体" w:hAnsi="宋体" w:cs="宋体"/>
          <w:color w:val="auto"/>
          <w:sz w:val="24"/>
          <w:szCs w:val="24"/>
          <w:highlight w:val="none"/>
          <w:u w:val="single"/>
        </w:rPr>
        <w:t>23.5.1及</w:t>
      </w:r>
      <w:r>
        <w:rPr>
          <w:rFonts w:hint="eastAsia" w:ascii="宋体" w:hAnsi="宋体" w:cs="宋体"/>
          <w:color w:val="auto"/>
          <w:sz w:val="24"/>
          <w:szCs w:val="24"/>
          <w:highlight w:val="none"/>
          <w:u w:val="single"/>
        </w:rPr>
        <w:t>专用条款</w:t>
      </w:r>
      <w:r>
        <w:rPr>
          <w:rFonts w:ascii="宋体" w:hAnsi="宋体" w:cs="宋体"/>
          <w:color w:val="auto"/>
          <w:sz w:val="24"/>
          <w:szCs w:val="24"/>
          <w:highlight w:val="none"/>
          <w:u w:val="single"/>
        </w:rPr>
        <w:t>23.5.2规定情况外，分部分项工程量清单综合单价固定不变，工程量按实计量</w:t>
      </w:r>
      <w:r>
        <w:rPr>
          <w:rFonts w:hint="eastAsia" w:ascii="宋体" w:hAnsi="宋体" w:cs="宋体"/>
          <w:color w:val="auto"/>
          <w:sz w:val="24"/>
          <w:szCs w:val="24"/>
          <w:highlight w:val="none"/>
        </w:rPr>
        <w:t>。</w:t>
      </w:r>
    </w:p>
    <w:p>
      <w:pPr>
        <w:snapToGrid w:val="0"/>
        <w:spacing w:line="440" w:lineRule="exact"/>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措施项目费：</w:t>
      </w:r>
      <w:r>
        <w:rPr>
          <w:rFonts w:hint="eastAsia" w:ascii="宋体" w:hAnsi="宋体" w:cs="宋体"/>
          <w:color w:val="auto"/>
          <w:sz w:val="24"/>
          <w:szCs w:val="24"/>
          <w:highlight w:val="none"/>
          <w:u w:val="single"/>
        </w:rPr>
        <w:t>措施项目费（除施工围蔽费用外）固定不变，包干使用，结算时不予调整，施工围蔽清单综合单价固定不变，工程量按实计量</w:t>
      </w:r>
      <w:r>
        <w:rPr>
          <w:rFonts w:hint="eastAsia" w:ascii="宋体" w:hAnsi="宋体" w:cs="宋体"/>
          <w:color w:val="auto"/>
          <w:sz w:val="24"/>
          <w:szCs w:val="24"/>
          <w:highlight w:val="none"/>
        </w:rPr>
        <w:t>。</w:t>
      </w:r>
    </w:p>
    <w:p>
      <w:pPr>
        <w:snapToGrid w:val="0"/>
        <w:spacing w:line="440" w:lineRule="exact"/>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其他项目部分：</w:t>
      </w:r>
    </w:p>
    <w:p>
      <w:pPr>
        <w:snapToGrid w:val="0"/>
        <w:spacing w:line="440" w:lineRule="exact"/>
        <w:ind w:firstLine="360" w:firstLineChars="150"/>
        <w:rPr>
          <w:rFonts w:ascii="宋体" w:hAnsi="宋体" w:cs="宋体"/>
          <w:color w:val="auto"/>
          <w:sz w:val="24"/>
          <w:szCs w:val="24"/>
          <w:highlight w:val="none"/>
        </w:rPr>
      </w:pPr>
      <w:r>
        <w:rPr>
          <w:rFonts w:ascii="宋体" w:hAnsi="宋体" w:cs="宋体"/>
          <w:color w:val="auto"/>
          <w:sz w:val="24"/>
          <w:szCs w:val="24"/>
          <w:highlight w:val="none"/>
        </w:rPr>
        <w:fldChar w:fldCharType="begin"/>
      </w:r>
      <w:r>
        <w:rPr>
          <w:rFonts w:ascii="宋体" w:hAnsi="宋体" w:cs="宋体"/>
          <w:color w:val="auto"/>
          <w:sz w:val="24"/>
          <w:szCs w:val="24"/>
          <w:highlight w:val="none"/>
        </w:rPr>
        <w:instrText xml:space="preserve"> eq \o\ac(</w:instrText>
      </w:r>
      <w:r>
        <w:rPr>
          <w:rFonts w:hint="eastAsia" w:ascii="宋体" w:hAnsi="宋体" w:cs="宋体"/>
          <w:color w:val="auto"/>
          <w:position w:val="-4"/>
          <w:sz w:val="36"/>
          <w:szCs w:val="24"/>
          <w:highlight w:val="none"/>
        </w:rPr>
        <w:instrText xml:space="preserve">○</w:instrText>
      </w:r>
      <w:r>
        <w:rPr>
          <w:rFonts w:ascii="宋体" w:hAnsi="宋体" w:cs="宋体"/>
          <w:color w:val="auto"/>
          <w:sz w:val="24"/>
          <w:szCs w:val="24"/>
          <w:highlight w:val="none"/>
        </w:rPr>
        <w:instrText xml:space="preserve">,1)</w:instrText>
      </w:r>
      <w:r>
        <w:rPr>
          <w:rFonts w:ascii="宋体" w:hAnsi="宋体" w:cs="宋体"/>
          <w:color w:val="auto"/>
          <w:sz w:val="24"/>
          <w:szCs w:val="24"/>
          <w:highlight w:val="none"/>
        </w:rPr>
        <w:fldChar w:fldCharType="end"/>
      </w:r>
      <w:r>
        <w:rPr>
          <w:rFonts w:hint="eastAsia" w:ascii="宋体" w:hAnsi="宋体" w:cs="宋体"/>
          <w:color w:val="auto"/>
          <w:sz w:val="24"/>
          <w:szCs w:val="24"/>
          <w:highlight w:val="none"/>
          <w:u w:val="single"/>
        </w:rPr>
        <w:t>招标人部分为暂定价，按实际签订的专业承包合同或预留金使用情况进行调整和结算</w:t>
      </w:r>
      <w:r>
        <w:rPr>
          <w:rFonts w:hint="eastAsia" w:ascii="宋体" w:hAnsi="宋体" w:cs="宋体"/>
          <w:color w:val="auto"/>
          <w:sz w:val="24"/>
          <w:szCs w:val="24"/>
          <w:highlight w:val="none"/>
        </w:rPr>
        <w:t>；</w:t>
      </w:r>
    </w:p>
    <w:p>
      <w:pPr>
        <w:snapToGrid w:val="0"/>
        <w:spacing w:line="440" w:lineRule="exact"/>
        <w:ind w:firstLine="360" w:firstLineChars="150"/>
        <w:rPr>
          <w:rFonts w:ascii="宋体" w:hAnsi="宋体" w:cs="宋体"/>
          <w:color w:val="auto"/>
          <w:sz w:val="24"/>
          <w:szCs w:val="24"/>
          <w:highlight w:val="none"/>
          <w:u w:val="single"/>
        </w:rPr>
      </w:pPr>
      <w:r>
        <w:rPr>
          <w:rFonts w:ascii="宋体" w:hAnsi="宋体" w:cs="宋体"/>
          <w:color w:val="auto"/>
          <w:sz w:val="24"/>
          <w:szCs w:val="24"/>
          <w:highlight w:val="none"/>
        </w:rPr>
        <w:fldChar w:fldCharType="begin"/>
      </w:r>
      <w:r>
        <w:rPr>
          <w:rFonts w:ascii="宋体" w:hAnsi="宋体" w:cs="宋体"/>
          <w:color w:val="auto"/>
          <w:sz w:val="24"/>
          <w:szCs w:val="24"/>
          <w:highlight w:val="none"/>
        </w:rPr>
        <w:instrText xml:space="preserve"> eq \o\ac(</w:instrText>
      </w:r>
      <w:r>
        <w:rPr>
          <w:rFonts w:hint="eastAsia" w:ascii="宋体" w:hAnsi="宋体" w:cs="宋体"/>
          <w:color w:val="auto"/>
          <w:position w:val="-4"/>
          <w:sz w:val="36"/>
          <w:szCs w:val="24"/>
          <w:highlight w:val="none"/>
        </w:rPr>
        <w:instrText xml:space="preserve">○</w:instrText>
      </w:r>
      <w:r>
        <w:rPr>
          <w:rFonts w:ascii="宋体" w:hAnsi="宋体" w:cs="宋体"/>
          <w:color w:val="auto"/>
          <w:sz w:val="24"/>
          <w:szCs w:val="24"/>
          <w:highlight w:val="none"/>
        </w:rPr>
        <w:instrText xml:space="preserve">,2)</w:instrText>
      </w:r>
      <w:r>
        <w:rPr>
          <w:rFonts w:ascii="宋体" w:hAnsi="宋体" w:cs="宋体"/>
          <w:color w:val="auto"/>
          <w:sz w:val="24"/>
          <w:szCs w:val="24"/>
          <w:highlight w:val="none"/>
        </w:rPr>
        <w:fldChar w:fldCharType="end"/>
      </w:r>
      <w:r>
        <w:rPr>
          <w:rFonts w:hint="eastAsia" w:ascii="宋体" w:hAnsi="宋体" w:cs="宋体"/>
          <w:color w:val="auto"/>
          <w:sz w:val="24"/>
          <w:szCs w:val="24"/>
          <w:highlight w:val="none"/>
          <w:u w:val="single"/>
        </w:rPr>
        <w:t>投标人部分为固定价格，结算时不作调整。（若实际没有发生，在结算时扣除未发生项目的费用）</w:t>
      </w:r>
    </w:p>
    <w:p>
      <w:pPr>
        <w:snapToGrid w:val="0"/>
        <w:spacing w:line="440" w:lineRule="exact"/>
        <w:ind w:firstLine="360" w:firstLineChars="150"/>
        <w:rPr>
          <w:rFonts w:ascii="宋体" w:hAnsi="宋体" w:cs="宋体"/>
          <w:color w:val="auto"/>
          <w:sz w:val="24"/>
          <w:szCs w:val="24"/>
          <w:highlight w:val="none"/>
        </w:rPr>
      </w:pPr>
      <w:r>
        <w:rPr>
          <w:rFonts w:hint="eastAsia" w:ascii="宋体" w:hAnsi="宋体" w:cs="宋体"/>
          <w:color w:val="auto"/>
          <w:sz w:val="24"/>
          <w:highlight w:val="none"/>
        </w:rPr>
        <w:t>③</w:t>
      </w:r>
      <w:r>
        <w:rPr>
          <w:rFonts w:hint="eastAsia" w:ascii="宋体" w:hAnsi="宋体" w:cs="宋体"/>
          <w:color w:val="auto"/>
          <w:sz w:val="24"/>
          <w:szCs w:val="24"/>
          <w:highlight w:val="none"/>
          <w:u w:val="single"/>
        </w:rPr>
        <w:t>投标人预算包干费部分按投标人报价中的费率取费，费率结算时不作调整。</w:t>
      </w:r>
    </w:p>
    <w:p>
      <w:pPr>
        <w:snapToGrid w:val="0"/>
        <w:spacing w:line="440" w:lineRule="exact"/>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u w:val="single"/>
        </w:rPr>
        <w:t>税金：税金按实计取，费率固定不变</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23.3</w:t>
      </w:r>
      <w:r>
        <w:rPr>
          <w:rFonts w:hint="eastAsia" w:ascii="宋体" w:hAnsi="宋体" w:cs="宋体"/>
          <w:color w:val="auto"/>
          <w:sz w:val="24"/>
          <w:szCs w:val="24"/>
          <w:highlight w:val="none"/>
        </w:rPr>
        <w:t>双方约定合同价款的调整因素：</w:t>
      </w:r>
    </w:p>
    <w:p>
      <w:pPr>
        <w:numPr>
          <w:ilvl w:val="0"/>
          <w:numId w:val="2"/>
        </w:num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u w:val="single"/>
        </w:rPr>
        <w:t>发包人及监理单位共同确认工程量偏差</w:t>
      </w:r>
      <w:r>
        <w:rPr>
          <w:rFonts w:hint="eastAsia" w:ascii="宋体" w:hAnsi="宋体" w:cs="宋体"/>
          <w:color w:val="auto"/>
          <w:sz w:val="24"/>
          <w:szCs w:val="24"/>
          <w:highlight w:val="none"/>
        </w:rPr>
        <w:t>；</w:t>
      </w:r>
    </w:p>
    <w:p>
      <w:pPr>
        <w:numPr>
          <w:ilvl w:val="0"/>
          <w:numId w:val="2"/>
        </w:num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u w:val="single"/>
        </w:rPr>
        <w:t>发包人及监理单位共同确认工程变更、签证和新增工程</w:t>
      </w:r>
      <w:r>
        <w:rPr>
          <w:rFonts w:hint="eastAsia" w:ascii="宋体" w:hAnsi="宋体" w:cs="宋体"/>
          <w:color w:val="auto"/>
          <w:sz w:val="24"/>
          <w:szCs w:val="24"/>
          <w:highlight w:val="none"/>
        </w:rPr>
        <w:t>；</w:t>
      </w:r>
    </w:p>
    <w:p>
      <w:pPr>
        <w:numPr>
          <w:ilvl w:val="0"/>
          <w:numId w:val="2"/>
        </w:num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u w:val="single"/>
        </w:rPr>
        <w:t>物价变化</w:t>
      </w:r>
      <w:r>
        <w:rPr>
          <w:rFonts w:hint="eastAsia" w:ascii="宋体" w:hAnsi="宋体" w:cs="宋体"/>
          <w:color w:val="auto"/>
          <w:sz w:val="24"/>
          <w:szCs w:val="24"/>
          <w:highlight w:val="none"/>
        </w:rPr>
        <w:t>；</w:t>
      </w:r>
    </w:p>
    <w:p>
      <w:pPr>
        <w:numPr>
          <w:ilvl w:val="0"/>
          <w:numId w:val="2"/>
        </w:num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u w:val="single"/>
        </w:rPr>
        <w:t>费用索赔事件或发包人负责的其他情况</w:t>
      </w:r>
      <w:r>
        <w:rPr>
          <w:rFonts w:hint="eastAsia" w:ascii="宋体" w:hAnsi="宋体" w:cs="宋体"/>
          <w:color w:val="auto"/>
          <w:sz w:val="24"/>
          <w:szCs w:val="24"/>
          <w:highlight w:val="none"/>
        </w:rPr>
        <w:t>。</w:t>
      </w:r>
    </w:p>
    <w:p>
      <w:pPr>
        <w:snapToGrid w:val="0"/>
        <w:spacing w:line="440" w:lineRule="exact"/>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以上调整事项涉及的价款计价原则按专用条款</w:t>
      </w:r>
      <w:r>
        <w:rPr>
          <w:rFonts w:ascii="宋体" w:hAnsi="宋体" w:cs="宋体"/>
          <w:color w:val="auto"/>
          <w:sz w:val="24"/>
          <w:szCs w:val="24"/>
          <w:highlight w:val="none"/>
        </w:rPr>
        <w:t>23.5款约定执行。</w:t>
      </w:r>
    </w:p>
    <w:p>
      <w:pPr>
        <w:snapToGrid w:val="0"/>
        <w:spacing w:line="440" w:lineRule="exact"/>
        <w:ind w:firstLine="338" w:firstLineChars="141"/>
        <w:rPr>
          <w:rFonts w:ascii="宋体" w:hAnsi="宋体" w:cs="宋体"/>
          <w:color w:val="auto"/>
          <w:sz w:val="24"/>
          <w:szCs w:val="24"/>
          <w:highlight w:val="none"/>
        </w:rPr>
      </w:pPr>
      <w:r>
        <w:rPr>
          <w:rFonts w:ascii="宋体" w:hAnsi="宋体" w:cs="宋体"/>
          <w:color w:val="auto"/>
          <w:sz w:val="24"/>
          <w:szCs w:val="24"/>
          <w:highlight w:val="none"/>
        </w:rPr>
        <w:t>23.4</w:t>
      </w:r>
      <w:r>
        <w:rPr>
          <w:rFonts w:hint="eastAsia" w:ascii="宋体" w:hAnsi="宋体" w:cs="宋体"/>
          <w:color w:val="auto"/>
          <w:sz w:val="24"/>
          <w:szCs w:val="24"/>
          <w:highlight w:val="none"/>
        </w:rPr>
        <w:t>承包人应在专用条款</w:t>
      </w:r>
      <w:r>
        <w:rPr>
          <w:rFonts w:ascii="宋体" w:hAnsi="宋体" w:cs="宋体"/>
          <w:color w:val="auto"/>
          <w:sz w:val="24"/>
          <w:szCs w:val="24"/>
          <w:highlight w:val="none"/>
        </w:rPr>
        <w:t>23.3款情况发生后</w:t>
      </w:r>
      <w:r>
        <w:rPr>
          <w:rFonts w:ascii="宋体" w:hAnsi="宋体" w:cs="宋体"/>
          <w:color w:val="auto"/>
          <w:sz w:val="24"/>
          <w:szCs w:val="24"/>
          <w:highlight w:val="none"/>
          <w:u w:val="single"/>
        </w:rPr>
        <w:t>3天</w:t>
      </w:r>
      <w:r>
        <w:rPr>
          <w:rFonts w:ascii="宋体" w:hAnsi="宋体" w:cs="宋体"/>
          <w:color w:val="auto"/>
          <w:sz w:val="24"/>
          <w:szCs w:val="24"/>
          <w:highlight w:val="none"/>
        </w:rPr>
        <w:t>内，将调整原因、金额以书面形式通知监理单位，必须经监理单位和发包人书面批准后作为调整合同价款的依据</w:t>
      </w:r>
      <w:r>
        <w:rPr>
          <w:rFonts w:hint="eastAsia" w:ascii="宋体" w:hAnsi="宋体" w:cs="宋体"/>
          <w:color w:val="auto"/>
          <w:sz w:val="24"/>
          <w:szCs w:val="24"/>
          <w:highlight w:val="none"/>
        </w:rPr>
        <w:t>。对承包人在没有得到发包人的同意和正式盖章书面函件的前提下进行的调整，发包人不予认可，一切责任和后果由承包人承担。</w:t>
      </w:r>
    </w:p>
    <w:p>
      <w:pPr>
        <w:snapToGrid w:val="0"/>
        <w:spacing w:line="440" w:lineRule="exact"/>
        <w:ind w:firstLine="338" w:firstLineChars="141"/>
        <w:rPr>
          <w:rFonts w:ascii="宋体" w:hAnsi="宋体" w:cs="宋体"/>
          <w:color w:val="auto"/>
          <w:sz w:val="24"/>
          <w:szCs w:val="24"/>
          <w:highlight w:val="none"/>
        </w:rPr>
      </w:pPr>
      <w:r>
        <w:rPr>
          <w:rFonts w:ascii="宋体" w:hAnsi="宋体" w:cs="宋体"/>
          <w:color w:val="auto"/>
          <w:sz w:val="24"/>
          <w:szCs w:val="24"/>
          <w:highlight w:val="none"/>
        </w:rPr>
        <w:t>23.5</w:t>
      </w:r>
      <w:r>
        <w:rPr>
          <w:rFonts w:hint="eastAsia" w:ascii="宋体" w:hAnsi="宋体" w:cs="宋体"/>
          <w:color w:val="auto"/>
          <w:sz w:val="24"/>
          <w:szCs w:val="24"/>
          <w:highlight w:val="none"/>
          <w:u w:val="single"/>
        </w:rPr>
        <w:t>合同价款调整原则</w:t>
      </w:r>
    </w:p>
    <w:p>
      <w:pPr>
        <w:snapToGrid w:val="0"/>
        <w:spacing w:line="440" w:lineRule="exact"/>
        <w:ind w:firstLine="338" w:firstLineChars="141"/>
        <w:rPr>
          <w:rFonts w:ascii="宋体" w:hAnsi="宋体" w:cs="宋体"/>
          <w:color w:val="auto"/>
          <w:sz w:val="24"/>
          <w:szCs w:val="24"/>
          <w:highlight w:val="none"/>
        </w:rPr>
      </w:pPr>
      <w:r>
        <w:rPr>
          <w:rFonts w:ascii="宋体" w:hAnsi="宋体" w:cs="宋体"/>
          <w:color w:val="auto"/>
          <w:sz w:val="24"/>
          <w:szCs w:val="24"/>
          <w:highlight w:val="none"/>
        </w:rPr>
        <w:t>23.5.1</w:t>
      </w:r>
      <w:r>
        <w:rPr>
          <w:rFonts w:hint="eastAsia" w:ascii="宋体" w:hAnsi="宋体" w:cs="宋体"/>
          <w:color w:val="auto"/>
          <w:sz w:val="24"/>
          <w:szCs w:val="24"/>
          <w:highlight w:val="none"/>
          <w:u w:val="single"/>
        </w:rPr>
        <w:t>变更、签证工程和新增工程：工程项目实施期间和结算时，招标文件工程量清单中漏列而由监理单位和招标人现场签证确认的工程项目；由于设计需要或项目建设实际需要，会引致工程量清单内数量发生变化、或工程量清单内项目的局部内容发生变化、或新增了工程量清单内没有的项目；原设计没有而由招标人批准设计变更产生的工程项目及经监理单位和招标人现场签证确认的工程项目；合同所确定的工程内容以外，非施工单位原因造成而施工过程中实际发生且需支付工程费用的，并经监理单位和招标人现场签证确认工程实际内容。变更、签证工程和新增工程按以下办法确定价格</w:t>
      </w:r>
      <w:r>
        <w:rPr>
          <w:rFonts w:hint="eastAsia" w:ascii="宋体" w:hAnsi="宋体" w:cs="宋体"/>
          <w:color w:val="auto"/>
          <w:sz w:val="24"/>
          <w:szCs w:val="24"/>
          <w:highlight w:val="none"/>
        </w:rPr>
        <w:t>。</w:t>
      </w:r>
    </w:p>
    <w:p>
      <w:pPr>
        <w:snapToGrid w:val="0"/>
        <w:spacing w:line="440" w:lineRule="exact"/>
        <w:ind w:firstLine="338" w:firstLineChars="141"/>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u w:val="single"/>
        </w:rPr>
        <w:t>合同工程量清单中有相同适用项目的，则采用该项目投标综合单价；合同工程量清单中相同适用项目有多个的，取最有利于发包人的相同适用项目的投标综合单价。但新增工程量超过</w:t>
      </w:r>
      <w:r>
        <w:rPr>
          <w:rFonts w:ascii="宋体" w:hAnsi="宋体" w:cs="宋体"/>
          <w:color w:val="auto"/>
          <w:sz w:val="24"/>
          <w:szCs w:val="24"/>
          <w:highlight w:val="none"/>
          <w:u w:val="single"/>
        </w:rPr>
        <w:t>15%的，比较招标控制价对应的综合单价并执行中标下浮率和投标综合单价，取两者的较小值作为超出15%的新增工程量的综合单价</w:t>
      </w:r>
      <w:r>
        <w:rPr>
          <w:rFonts w:hint="eastAsia" w:ascii="宋体" w:hAnsi="宋体" w:cs="宋体"/>
          <w:color w:val="auto"/>
          <w:sz w:val="24"/>
          <w:szCs w:val="24"/>
          <w:highlight w:val="none"/>
        </w:rPr>
        <w:t>。</w:t>
      </w:r>
    </w:p>
    <w:p>
      <w:pPr>
        <w:snapToGrid w:val="0"/>
        <w:spacing w:line="440" w:lineRule="exact"/>
        <w:ind w:firstLine="338" w:firstLineChars="141"/>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u w:val="single"/>
        </w:rPr>
        <w:t>合同工程量清单中无相同适用项目、只有类似适用项目的，则按类似项目的综合单价对相应子目、消耗量、材料设备价格等进行调整换算，原管理费、利润水平不变，仅调整主材和主要设备价格。如合同工程量清单中类似项目的综合单价有两个以上，则由发包人按消耗量最少、管理费和利润取费最低的优先顺序选择类似项目综合单价进行换算。所换算主材及设备价格执行工程造价管理机构发布的实际施工月份《广州地区建设工程常用材料税前综合价格》（实际施工跨月份的，则按监理单位确认的各月施工完成的工程量为基础分别进行计算）；《广州地区建设工程常用材料税前综合价格》没有的材料、设备单价，参考实际施工期《广州地区建设工程材料（设备）厂商价格信息》计算税前价格（实际施工跨月份的，则按监理单位确认的各月施工完成的工程量为基础分别进行计算），</w:t>
      </w:r>
      <w:r>
        <w:rPr>
          <w:rFonts w:hint="eastAsia" w:ascii="宋体" w:hAnsi="宋体" w:cs="宋体"/>
          <w:color w:val="auto"/>
          <w:sz w:val="24"/>
          <w:highlight w:val="none"/>
        </w:rPr>
        <w:t>且需对选用的厂商价格信息重新进行市场调研询价后方可使用。</w:t>
      </w:r>
      <w:r>
        <w:rPr>
          <w:rFonts w:hint="eastAsia" w:ascii="宋体" w:hAnsi="宋体" w:cs="宋体"/>
          <w:color w:val="auto"/>
          <w:sz w:val="24"/>
          <w:szCs w:val="24"/>
          <w:highlight w:val="none"/>
          <w:u w:val="single"/>
        </w:rPr>
        <w:t>《广州地区建设工程常用材料税前综合价格》及《广州地区建设工程材料（设备）厂商价格信息》均没有的材料、设备价格，由发包人、监理单位、承包人结合市场价共同协商确定。按上述原则调整后的换算综合单价最终均应执行中标下浮率</w:t>
      </w:r>
      <w:r>
        <w:rPr>
          <w:rFonts w:hint="eastAsia" w:ascii="宋体" w:hAnsi="宋体" w:cs="宋体"/>
          <w:color w:val="auto"/>
          <w:sz w:val="24"/>
          <w:szCs w:val="24"/>
          <w:highlight w:val="none"/>
        </w:rPr>
        <w:t>。</w:t>
      </w:r>
    </w:p>
    <w:p>
      <w:pPr>
        <w:snapToGrid w:val="0"/>
        <w:spacing w:line="440" w:lineRule="exact"/>
        <w:ind w:firstLine="338" w:firstLineChars="141"/>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u w:val="single"/>
        </w:rPr>
        <w:t>合同工程量清单报价中没有相同或类似适用项目的，按以下原则计价</w:t>
      </w:r>
      <w:r>
        <w:rPr>
          <w:rFonts w:hint="eastAsia" w:ascii="宋体" w:hAnsi="宋体" w:cs="宋体"/>
          <w:color w:val="auto"/>
          <w:sz w:val="24"/>
          <w:szCs w:val="24"/>
          <w:highlight w:val="none"/>
        </w:rPr>
        <w:t>：</w:t>
      </w:r>
    </w:p>
    <w:p>
      <w:pPr>
        <w:snapToGrid w:val="0"/>
        <w:spacing w:line="440" w:lineRule="exact"/>
        <w:ind w:firstLine="338" w:firstLineChars="141"/>
        <w:rPr>
          <w:rFonts w:ascii="宋体" w:hAnsi="宋体" w:cs="宋体"/>
          <w:color w:val="auto"/>
          <w:sz w:val="24"/>
          <w:szCs w:val="24"/>
          <w:highlight w:val="none"/>
        </w:rPr>
      </w:pPr>
      <w:r>
        <w:rPr>
          <w:rFonts w:hint="eastAsia" w:ascii="宋体" w:hAnsi="宋体" w:cs="宋体"/>
          <w:color w:val="auto"/>
          <w:sz w:val="24"/>
          <w:szCs w:val="24"/>
          <w:highlight w:val="none"/>
        </w:rPr>
        <w:t>①</w:t>
      </w:r>
      <w:r>
        <w:rPr>
          <w:rFonts w:ascii="宋体" w:hAnsi="宋体" w:cs="宋体"/>
          <w:color w:val="auto"/>
          <w:sz w:val="24"/>
          <w:szCs w:val="24"/>
          <w:highlight w:val="none"/>
        </w:rPr>
        <w:t xml:space="preserve"> </w:t>
      </w:r>
      <w:r>
        <w:rPr>
          <w:rFonts w:hint="eastAsia" w:ascii="宋体" w:hAnsi="宋体" w:cs="宋体"/>
          <w:color w:val="auto"/>
          <w:sz w:val="24"/>
          <w:szCs w:val="24"/>
          <w:highlight w:val="none"/>
          <w:u w:val="single"/>
        </w:rPr>
        <w:t>由承包人依据变更工程资料，计量原则，按《广东省市政工程综合定额》（</w:t>
      </w:r>
      <w:r>
        <w:rPr>
          <w:rFonts w:ascii="宋体" w:hAnsi="宋体" w:cs="宋体"/>
          <w:color w:val="auto"/>
          <w:sz w:val="24"/>
          <w:szCs w:val="24"/>
          <w:highlight w:val="none"/>
          <w:u w:val="single"/>
        </w:rPr>
        <w:t>2018年）、《广东省房屋建筑与装饰工程综合定额》（2018年）、《广东省通用安装工程综合定额》（2018年）、《广东省园林绿化工程综合定额》（2018年）、《广东省建设工程施工机具台班费用编制规则（2018）</w:t>
      </w:r>
      <w:r>
        <w:rPr>
          <w:rFonts w:hint="eastAsia" w:ascii="宋体" w:hAnsi="宋体" w:cs="宋体"/>
          <w:color w:val="auto"/>
          <w:sz w:val="24"/>
          <w:szCs w:val="24"/>
          <w:highlight w:val="none"/>
          <w:u w:val="single"/>
        </w:rPr>
        <w:t>等相关定额标准及工程实施期工程造价管理机构发布的材料设备参考价格编制综合单价并执行中标下浮率。其中材料、设备价格执行工程造价管理机构发布的实际施工月份《广州地区建设工程常用材料税前综合价格》（实际施工跨月份的，则按监理单位确认的各月施工完成的工程量为基础分别进行计算）；《广州地区建设工程常用材料税前综合价格》没有的材料、设备单价，参考实际施工期《广州地区建设工程材料（设备）厂商价格信息》计算税前价格（实际施工跨月份的，则按监理单位确认的各月施工完成的工程量为基础分别进行计算）</w:t>
      </w:r>
      <w:r>
        <w:rPr>
          <w:rFonts w:hint="eastAsia" w:ascii="宋体" w:hAnsi="宋体" w:cs="宋体"/>
          <w:color w:val="auto"/>
          <w:sz w:val="24"/>
          <w:highlight w:val="none"/>
        </w:rPr>
        <w:t>，且需对选用的厂商价格信息重新进行市场调研询价后方可使用。</w:t>
      </w:r>
      <w:r>
        <w:rPr>
          <w:rFonts w:hint="eastAsia" w:ascii="宋体" w:hAnsi="宋体" w:cs="宋体"/>
          <w:color w:val="auto"/>
          <w:sz w:val="24"/>
          <w:szCs w:val="24"/>
          <w:highlight w:val="none"/>
          <w:u w:val="single"/>
        </w:rPr>
        <w:t>《广州地区建设工程常用材料税前综合价格》及《广州地区建设工程材料（设备）厂商价格信息》均没有的相关价格的，由发包人、监理单位、承包人结合市场价共同协商确定</w:t>
      </w:r>
      <w:r>
        <w:rPr>
          <w:rFonts w:hint="eastAsia" w:ascii="宋体" w:hAnsi="宋体" w:cs="宋体"/>
          <w:color w:val="auto"/>
          <w:sz w:val="24"/>
          <w:szCs w:val="24"/>
          <w:highlight w:val="none"/>
        </w:rPr>
        <w:t>。</w:t>
      </w:r>
    </w:p>
    <w:p>
      <w:pPr>
        <w:snapToGrid w:val="0"/>
        <w:spacing w:line="440" w:lineRule="exact"/>
        <w:ind w:firstLine="338" w:firstLineChars="141"/>
        <w:rPr>
          <w:rFonts w:ascii="宋体" w:hAnsi="宋体" w:cs="宋体"/>
          <w:color w:val="auto"/>
          <w:sz w:val="24"/>
          <w:szCs w:val="24"/>
          <w:highlight w:val="none"/>
        </w:rPr>
      </w:pPr>
      <w:r>
        <w:rPr>
          <w:rFonts w:hint="eastAsia" w:ascii="宋体" w:hAnsi="宋体" w:cs="宋体"/>
          <w:color w:val="auto"/>
          <w:sz w:val="24"/>
          <w:szCs w:val="24"/>
          <w:highlight w:val="none"/>
        </w:rPr>
        <w:t>②</w:t>
      </w:r>
      <w:r>
        <w:rPr>
          <w:rFonts w:ascii="宋体" w:hAnsi="宋体" w:cs="宋体"/>
          <w:color w:val="auto"/>
          <w:sz w:val="24"/>
          <w:szCs w:val="24"/>
          <w:highlight w:val="none"/>
        </w:rPr>
        <w:t xml:space="preserve"> </w:t>
      </w:r>
      <w:r>
        <w:rPr>
          <w:rFonts w:hint="eastAsia" w:ascii="宋体" w:hAnsi="宋体" w:cs="宋体"/>
          <w:color w:val="auto"/>
          <w:sz w:val="24"/>
          <w:szCs w:val="24"/>
          <w:highlight w:val="none"/>
          <w:u w:val="single"/>
        </w:rPr>
        <w:t>合同工程量清单没有相同或相类似且无相关定额的项目，承包人参照《广东省市政工程综合定额》（</w:t>
      </w:r>
      <w:r>
        <w:rPr>
          <w:rFonts w:ascii="宋体" w:hAnsi="宋体" w:cs="宋体"/>
          <w:color w:val="auto"/>
          <w:sz w:val="24"/>
          <w:szCs w:val="24"/>
          <w:highlight w:val="none"/>
          <w:u w:val="single"/>
        </w:rPr>
        <w:t>2018年）、《广东省房屋建筑与装饰工程综合定额》（2018年）、《广东省通用安装工程综合定额》（2018年）、《广东省园林绿化工程综合定额》（2018年）、《广东省建设工程施工机具台班费用编制规则（2018</w:t>
      </w:r>
      <w:r>
        <w:rPr>
          <w:rFonts w:hint="eastAsia" w:ascii="宋体" w:hAnsi="宋体" w:cs="宋体"/>
          <w:color w:val="auto"/>
          <w:sz w:val="24"/>
          <w:szCs w:val="24"/>
          <w:highlight w:val="none"/>
          <w:u w:val="single"/>
        </w:rPr>
        <w:t>）等相关定额编制原则（上述定额查找不到的可参考其它相关定额或由发包人与承包人协商确定）及工程实施期工程造价管理机构发布的材料设备参考价格编制综合单价并执行中标下浮率。其中材料、设备价格执行工程造价管理机构发布的实际施工月份《广州地区建设工程常用材料税前综合价格》（实际施工跨月份的，则按监理单位确认的各月施工完成的工程量为基础分别进行计算）；《广州地区建设工程常用材料税前综合价格》没有的材料、设备单价，参考实际施工期《广州地区建设工程材料（设备）厂商价格信息》计算税前价格（实际施工跨月份的，则按监理单位确认的各月施工完成的工程量为基础分别进行计算）</w:t>
      </w:r>
      <w:r>
        <w:rPr>
          <w:rFonts w:hint="eastAsia" w:ascii="宋体" w:hAnsi="宋体" w:cs="宋体"/>
          <w:color w:val="auto"/>
          <w:sz w:val="24"/>
          <w:highlight w:val="none"/>
        </w:rPr>
        <w:t>，且需对选用的厂商价格信息重新进行市场调研询价后方可使用。</w:t>
      </w:r>
      <w:r>
        <w:rPr>
          <w:rFonts w:hint="eastAsia" w:ascii="宋体" w:hAnsi="宋体" w:cs="宋体"/>
          <w:color w:val="auto"/>
          <w:sz w:val="24"/>
          <w:szCs w:val="24"/>
          <w:highlight w:val="none"/>
          <w:u w:val="single"/>
        </w:rPr>
        <w:t>《广州地区建设工程常用材料税前综合价格》及《广州地区建设工程材料（设备）厂商价格信息》均没有的相关价格的，由发包人、监理单位、承包人结合市场价共同协商确定</w:t>
      </w:r>
      <w:r>
        <w:rPr>
          <w:rFonts w:hint="eastAsia" w:ascii="宋体" w:hAnsi="宋体" w:cs="宋体"/>
          <w:color w:val="auto"/>
          <w:sz w:val="24"/>
          <w:szCs w:val="24"/>
          <w:highlight w:val="none"/>
        </w:rPr>
        <w:t>。</w:t>
      </w:r>
    </w:p>
    <w:p>
      <w:pPr>
        <w:pStyle w:val="44"/>
        <w:adjustRightInd w:val="0"/>
        <w:snapToGrid w:val="0"/>
        <w:spacing w:line="440" w:lineRule="exact"/>
        <w:ind w:right="11"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u w:val="single"/>
        </w:rPr>
        <w:t>按上述原则确定价格时，措施项目费用（除施工围蔽外）不计取</w:t>
      </w:r>
      <w:r>
        <w:rPr>
          <w:rFonts w:ascii="宋体" w:hAnsi="宋体" w:cs="宋体"/>
          <w:color w:val="auto"/>
          <w:sz w:val="24"/>
          <w:szCs w:val="24"/>
          <w:highlight w:val="none"/>
          <w:u w:val="single"/>
        </w:rPr>
        <w:t>,清单计价及</w:t>
      </w:r>
      <w:r>
        <w:rPr>
          <w:rFonts w:hint="eastAsia" w:ascii="宋体" w:hAnsi="宋体" w:cs="宋体"/>
          <w:color w:val="auto"/>
          <w:sz w:val="24"/>
          <w:szCs w:val="24"/>
          <w:highlight w:val="none"/>
          <w:u w:val="single"/>
        </w:rPr>
        <w:t>税金的计取，应符合《广东省住房和城乡建设厅关于营业税改征增值税后调整广东省建设工程计价依据的通知》（粤建市【</w:t>
      </w:r>
      <w:r>
        <w:rPr>
          <w:rFonts w:ascii="宋体" w:hAnsi="宋体" w:cs="宋体"/>
          <w:color w:val="auto"/>
          <w:sz w:val="24"/>
          <w:szCs w:val="24"/>
          <w:highlight w:val="none"/>
          <w:u w:val="single"/>
        </w:rPr>
        <w:t>2016】1113号）、《广州市住房和城乡建设委员会转发关于营业税改增值税后调整广东省建设工程计价依据有关事项的通知》（穗建筑【2016】744号）及《广州市建设工程造价管理站关于营业税改征增值税后广州市建设工程计价有关问题的通知》（穗建造价【2016】31号）</w:t>
      </w:r>
      <w:r>
        <w:rPr>
          <w:rFonts w:hint="eastAsia" w:ascii="宋体" w:hAnsi="宋体" w:cs="宋体"/>
          <w:color w:val="auto"/>
          <w:sz w:val="24"/>
          <w:szCs w:val="24"/>
          <w:highlight w:val="none"/>
          <w:u w:val="single"/>
        </w:rPr>
        <w:t>、《广东省住房和城乡建设厅关于印发</w:t>
      </w:r>
      <w:r>
        <w:rPr>
          <w:rFonts w:ascii="宋体" w:hAnsi="宋体" w:cs="宋体"/>
          <w:color w:val="auto"/>
          <w:sz w:val="24"/>
          <w:szCs w:val="24"/>
          <w:highlight w:val="none"/>
          <w:u w:val="single"/>
        </w:rPr>
        <w:t>&lt;</w:t>
      </w:r>
      <w:r>
        <w:rPr>
          <w:rFonts w:hint="eastAsia" w:ascii="宋体" w:hAnsi="宋体" w:cs="宋体"/>
          <w:color w:val="auto"/>
          <w:sz w:val="24"/>
          <w:szCs w:val="24"/>
          <w:highlight w:val="none"/>
          <w:u w:val="single"/>
        </w:rPr>
        <w:t>广东省建设工程计价依据（</w:t>
      </w:r>
      <w:r>
        <w:rPr>
          <w:rFonts w:ascii="宋体" w:hAnsi="宋体" w:cs="宋体"/>
          <w:color w:val="auto"/>
          <w:sz w:val="24"/>
          <w:szCs w:val="24"/>
          <w:highlight w:val="none"/>
          <w:u w:val="single"/>
        </w:rPr>
        <w:t>2018)&gt;</w:t>
      </w:r>
      <w:r>
        <w:rPr>
          <w:rFonts w:hint="eastAsia" w:ascii="宋体" w:hAnsi="宋体" w:cs="宋体"/>
          <w:color w:val="auto"/>
          <w:sz w:val="24"/>
          <w:szCs w:val="24"/>
          <w:highlight w:val="none"/>
          <w:u w:val="single"/>
        </w:rPr>
        <w:t>的通知》（穗建市〔</w:t>
      </w:r>
      <w:r>
        <w:rPr>
          <w:rFonts w:ascii="宋体" w:hAnsi="宋体" w:cs="宋体"/>
          <w:color w:val="auto"/>
          <w:sz w:val="24"/>
          <w:szCs w:val="24"/>
          <w:highlight w:val="none"/>
          <w:u w:val="single"/>
        </w:rPr>
        <w:t>2019〕6号）</w:t>
      </w:r>
      <w:r>
        <w:rPr>
          <w:rFonts w:hint="eastAsia" w:ascii="宋体" w:hAnsi="宋体" w:cs="宋体"/>
          <w:color w:val="auto"/>
          <w:sz w:val="24"/>
          <w:szCs w:val="24"/>
          <w:highlight w:val="none"/>
          <w:u w:val="single"/>
        </w:rPr>
        <w:t>等相关文件的规定。</w:t>
      </w:r>
    </w:p>
    <w:p>
      <w:pPr>
        <w:snapToGrid w:val="0"/>
        <w:spacing w:line="440" w:lineRule="exact"/>
        <w:ind w:firstLine="338" w:firstLineChars="141"/>
        <w:rPr>
          <w:rFonts w:ascii="宋体" w:hAnsi="宋体" w:cs="宋体"/>
          <w:color w:val="auto"/>
          <w:sz w:val="24"/>
          <w:szCs w:val="24"/>
          <w:highlight w:val="none"/>
        </w:rPr>
      </w:pPr>
      <w:r>
        <w:rPr>
          <w:rFonts w:ascii="宋体" w:hAnsi="宋体" w:cs="宋体"/>
          <w:color w:val="auto"/>
          <w:sz w:val="24"/>
          <w:szCs w:val="24"/>
          <w:highlight w:val="none"/>
        </w:rPr>
        <w:t xml:space="preserve">23.5.2 </w:t>
      </w:r>
      <w:r>
        <w:rPr>
          <w:rFonts w:hint="eastAsia" w:ascii="宋体" w:hAnsi="宋体" w:cs="宋体"/>
          <w:color w:val="auto"/>
          <w:sz w:val="24"/>
          <w:szCs w:val="24"/>
          <w:highlight w:val="none"/>
          <w:u w:val="single"/>
        </w:rPr>
        <w:t>工程量发生变化时，如项目综合单价与招标控制价对应的综合单价×（</w:t>
      </w:r>
      <w:r>
        <w:rPr>
          <w:rFonts w:ascii="宋体" w:hAnsi="宋体" w:cs="宋体"/>
          <w:color w:val="auto"/>
          <w:sz w:val="24"/>
          <w:szCs w:val="24"/>
          <w:highlight w:val="none"/>
          <w:u w:val="single"/>
        </w:rPr>
        <w:t>1-中标下浮率)（下称基价）偏差超过一定幅度时，相应调整项目综合单价。其中项目综合单价＞（1+15%）×基价且工程量增加的，增加部分工程量的综合单价按基价执行；项目综合单价＜（1-15%）×基价且工程量减少的，减少部分工程量的综合单价按基价执行，并从合同价款中扣除</w:t>
      </w:r>
      <w:r>
        <w:rPr>
          <w:rFonts w:hint="eastAsia" w:ascii="宋体" w:hAnsi="宋体" w:cs="宋体"/>
          <w:color w:val="auto"/>
          <w:sz w:val="24"/>
          <w:szCs w:val="24"/>
          <w:highlight w:val="none"/>
        </w:rPr>
        <w:t>。</w:t>
      </w:r>
    </w:p>
    <w:p>
      <w:pPr>
        <w:snapToGrid w:val="0"/>
        <w:spacing w:line="440" w:lineRule="exact"/>
        <w:ind w:firstLine="338" w:firstLineChars="141"/>
        <w:rPr>
          <w:rFonts w:ascii="宋体" w:hAnsi="宋体" w:cs="宋体"/>
          <w:color w:val="auto"/>
          <w:sz w:val="24"/>
          <w:szCs w:val="24"/>
          <w:highlight w:val="none"/>
        </w:rPr>
      </w:pPr>
      <w:r>
        <w:rPr>
          <w:rFonts w:ascii="宋体" w:hAnsi="宋体" w:cs="宋体"/>
          <w:color w:val="auto"/>
          <w:sz w:val="24"/>
          <w:szCs w:val="24"/>
          <w:highlight w:val="none"/>
        </w:rPr>
        <w:t>23.5.3</w:t>
      </w:r>
      <w:r>
        <w:rPr>
          <w:rFonts w:hint="eastAsia" w:ascii="宋体" w:hAnsi="宋体" w:cs="宋体"/>
          <w:color w:val="auto"/>
          <w:sz w:val="24"/>
          <w:szCs w:val="24"/>
          <w:highlight w:val="none"/>
          <w:u w:val="single"/>
        </w:rPr>
        <w:t>物价涨跌的价格调整</w:t>
      </w:r>
    </w:p>
    <w:p>
      <w:pPr>
        <w:snapToGrid w:val="0"/>
        <w:spacing w:line="440" w:lineRule="exact"/>
        <w:ind w:firstLine="338" w:firstLineChars="141"/>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1）合同履行期间，出现工程造价管理机构发布的人工、材料、工程设备和施工设备、机械台班单价涨跌超过本工程招标文件规定的投标截止日期</w:t>
      </w:r>
      <w:r>
        <w:rPr>
          <w:rFonts w:hint="eastAsia" w:ascii="宋体" w:hAnsi="宋体" w:cs="宋体"/>
          <w:color w:val="auto"/>
          <w:sz w:val="24"/>
          <w:szCs w:val="24"/>
          <w:highlight w:val="none"/>
          <w:u w:val="single"/>
        </w:rPr>
        <w:t>前第</w:t>
      </w:r>
      <w:r>
        <w:rPr>
          <w:rFonts w:ascii="宋体" w:hAnsi="宋体" w:cs="宋体"/>
          <w:color w:val="auto"/>
          <w:sz w:val="24"/>
          <w:szCs w:val="24"/>
          <w:highlight w:val="none"/>
          <w:u w:val="single"/>
        </w:rPr>
        <w:t>28天</w:t>
      </w:r>
      <w:r>
        <w:rPr>
          <w:rFonts w:hint="eastAsia" w:ascii="宋体" w:hAnsi="宋体" w:cs="宋体"/>
          <w:color w:val="auto"/>
          <w:sz w:val="24"/>
          <w:szCs w:val="24"/>
          <w:highlight w:val="none"/>
          <w:u w:val="single"/>
        </w:rPr>
        <w:t>时广州市建设工程造价管理部门发布的人工、材料、工程设备和施工设备、机械台班相应单价且符合以下规定的，应调整合同价款。</w:t>
      </w:r>
    </w:p>
    <w:p>
      <w:pPr>
        <w:snapToGrid w:val="0"/>
        <w:spacing w:line="440" w:lineRule="exact"/>
        <w:ind w:firstLine="338" w:firstLineChars="141"/>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承包人承担工料机价格涨跌幅度在</w:t>
      </w:r>
      <w:r>
        <w:rPr>
          <w:rFonts w:ascii="宋体" w:hAnsi="宋体" w:cs="宋体"/>
          <w:color w:val="auto"/>
          <w:sz w:val="24"/>
          <w:szCs w:val="24"/>
          <w:highlight w:val="none"/>
          <w:u w:val="single"/>
        </w:rPr>
        <w:t xml:space="preserve">10%以内（含10%）的风险，不予调整合同价款；工料机价格涨跌幅度超过10%时，可以调整合同价款, </w:t>
      </w:r>
      <w:r>
        <w:rPr>
          <w:rFonts w:hint="eastAsia" w:ascii="宋体" w:hAnsi="宋体" w:cs="宋体"/>
          <w:color w:val="auto"/>
          <w:sz w:val="24"/>
          <w:szCs w:val="24"/>
          <w:highlight w:val="none"/>
          <w:u w:val="single"/>
        </w:rPr>
        <w:t>调整范围为人工、机械台班、砂、碎石、石屑，及《印发</w:t>
      </w:r>
      <w:r>
        <w:rPr>
          <w:rFonts w:ascii="宋体" w:hAnsi="宋体" w:cs="宋体"/>
          <w:color w:val="auto"/>
          <w:sz w:val="24"/>
          <w:szCs w:val="24"/>
          <w:highlight w:val="none"/>
          <w:u w:val="single"/>
        </w:rPr>
        <w:t>&lt;</w:t>
      </w:r>
      <w:r>
        <w:rPr>
          <w:rFonts w:hint="eastAsia" w:ascii="宋体" w:hAnsi="宋体" w:cs="宋体"/>
          <w:color w:val="auto"/>
          <w:sz w:val="24"/>
          <w:szCs w:val="24"/>
          <w:highlight w:val="none"/>
          <w:u w:val="single"/>
        </w:rPr>
        <w:t>关于区财政投资工程人工、材料（设备）、机械价格调整的意见</w:t>
      </w:r>
      <w:r>
        <w:rPr>
          <w:rFonts w:ascii="宋体" w:hAnsi="宋体" w:cs="宋体"/>
          <w:color w:val="auto"/>
          <w:sz w:val="24"/>
          <w:szCs w:val="24"/>
          <w:highlight w:val="none"/>
          <w:u w:val="single"/>
        </w:rPr>
        <w:t>&gt;</w:t>
      </w:r>
      <w:r>
        <w:rPr>
          <w:rFonts w:hint="eastAsia" w:ascii="宋体" w:hAnsi="宋体" w:cs="宋体"/>
          <w:color w:val="auto"/>
          <w:sz w:val="24"/>
          <w:szCs w:val="24"/>
          <w:highlight w:val="none"/>
          <w:u w:val="single"/>
        </w:rPr>
        <w:t>的通知》（穗开环建〔</w:t>
      </w:r>
      <w:r>
        <w:rPr>
          <w:rFonts w:ascii="宋体" w:hAnsi="宋体" w:cs="宋体"/>
          <w:color w:val="auto"/>
          <w:sz w:val="24"/>
          <w:szCs w:val="24"/>
          <w:highlight w:val="none"/>
          <w:u w:val="single"/>
        </w:rPr>
        <w:t>2008〕59号）附件《各类工程可调价差材料（设备）清单》中对应工程类别规定的可调价材料（设备）且属《广州地区建设工程常用材料税前综合价格》（以下简称“综合价格”）包含的材料、设备；“综合价格”中没有的材料、设备均不予调整。</w:t>
      </w:r>
    </w:p>
    <w:p>
      <w:pPr>
        <w:snapToGrid w:val="0"/>
        <w:spacing w:line="440" w:lineRule="exact"/>
        <w:ind w:firstLine="338" w:firstLineChars="141"/>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2）价款调整的方法</w:t>
      </w:r>
    </w:p>
    <w:p>
      <w:pPr>
        <w:snapToGrid w:val="0"/>
        <w:spacing w:line="440" w:lineRule="exact"/>
        <w:ind w:firstLine="338" w:firstLineChars="141"/>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①当人工、机械台班、可调价格的材料设备价格上涨幅度超过</w:t>
      </w:r>
      <w:r>
        <w:rPr>
          <w:rFonts w:ascii="宋体" w:hAnsi="宋体" w:cs="宋体"/>
          <w:color w:val="auto"/>
          <w:sz w:val="24"/>
          <w:szCs w:val="24"/>
          <w:highlight w:val="none"/>
          <w:u w:val="single"/>
        </w:rPr>
        <w:t>10%时，超出10%的部分由发包人承担；当人工、机械台班、可调价格的材料设备价格下跌幅度超过10%时，超出10%的部分由承包人退回发包人。人工、机械台班价格按实际发生的数量调整，材料（设备）按各类工程消耗的主要材料（设备）进行调整。</w:t>
      </w:r>
    </w:p>
    <w:p>
      <w:pPr>
        <w:snapToGrid w:val="0"/>
        <w:spacing w:line="440" w:lineRule="exact"/>
        <w:ind w:firstLine="338" w:firstLineChars="141"/>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②</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价款调整以各调价工料机的数量乘以单价价差，再乘以（</w:t>
      </w:r>
      <w:r>
        <w:rPr>
          <w:rFonts w:ascii="宋体" w:hAnsi="宋体" w:cs="宋体"/>
          <w:color w:val="auto"/>
          <w:sz w:val="24"/>
          <w:szCs w:val="24"/>
          <w:highlight w:val="none"/>
          <w:u w:val="single"/>
        </w:rPr>
        <w:t>1-中标下浮率）计算。各工料机的数量按该当期实际完成的适用投标单价项目的工程量计取，各调价工料机的单价价差以广州市建设工程造价管理部门发布的价格信息为依据，按施工当月信息价格与招标文件规定的投标截止日期</w:t>
      </w:r>
      <w:r>
        <w:rPr>
          <w:rFonts w:hint="eastAsia" w:ascii="宋体" w:hAnsi="宋体" w:cs="宋体"/>
          <w:color w:val="auto"/>
          <w:sz w:val="24"/>
          <w:szCs w:val="24"/>
          <w:highlight w:val="none"/>
          <w:u w:val="single"/>
        </w:rPr>
        <w:t>前第</w:t>
      </w:r>
      <w:r>
        <w:rPr>
          <w:rFonts w:ascii="宋体" w:hAnsi="宋体" w:cs="宋体"/>
          <w:color w:val="auto"/>
          <w:sz w:val="24"/>
          <w:szCs w:val="24"/>
          <w:highlight w:val="none"/>
          <w:u w:val="single"/>
        </w:rPr>
        <w:t>28天</w:t>
      </w:r>
      <w:r>
        <w:rPr>
          <w:rFonts w:hint="eastAsia" w:ascii="宋体" w:hAnsi="宋体" w:cs="宋体"/>
          <w:color w:val="auto"/>
          <w:sz w:val="24"/>
          <w:szCs w:val="24"/>
          <w:highlight w:val="none"/>
          <w:u w:val="single"/>
        </w:rPr>
        <w:t>时广州市建设工程造价管理部门发布的人工、材料、工程设备和施工设备、机械台班信息价格差值计取。</w:t>
      </w:r>
    </w:p>
    <w:p>
      <w:pPr>
        <w:snapToGrid w:val="0"/>
        <w:spacing w:line="440" w:lineRule="exact"/>
        <w:ind w:firstLine="338" w:firstLineChars="141"/>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③</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价款调整以月为单位计算，结算时一次性调整，如施工期间需调整价款的，经发包人、承包人协商一致后可签订价差补充协议，作为追加（减）合同价款和支付工程进度款的依据。</w:t>
      </w:r>
    </w:p>
    <w:p>
      <w:pPr>
        <w:snapToGrid w:val="0"/>
        <w:spacing w:line="440" w:lineRule="exact"/>
        <w:ind w:firstLine="338" w:firstLineChars="141"/>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④</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各调价材料、设备的信息价格按广州市建设工程造价管理部门发布的当月</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“综合价格”计取，综合价格中没有的材料、设备单价，价差不予调整。</w:t>
      </w:r>
    </w:p>
    <w:p>
      <w:pPr>
        <w:snapToGrid w:val="0"/>
        <w:spacing w:line="440" w:lineRule="exact"/>
        <w:ind w:firstLine="338" w:firstLineChars="141"/>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3）由于承包人原因导致工期延误的，所延误时段内物价上涨的风险全部由承包人承担，不予调整；如物价下跌，则仍按第（2）款约定计算及扣回相应价款。</w:t>
      </w:r>
    </w:p>
    <w:p>
      <w:pPr>
        <w:snapToGrid w:val="0"/>
        <w:spacing w:line="440" w:lineRule="exact"/>
        <w:ind w:firstLine="338" w:firstLineChars="141"/>
        <w:rPr>
          <w:rFonts w:ascii="宋体" w:hAnsi="宋体" w:cs="宋体"/>
          <w:b/>
          <w:color w:val="auto"/>
          <w:sz w:val="24"/>
          <w:highlight w:val="none"/>
        </w:rPr>
      </w:pPr>
      <w:r>
        <w:rPr>
          <w:rFonts w:ascii="宋体" w:hAnsi="宋体" w:cs="宋体"/>
          <w:color w:val="auto"/>
          <w:sz w:val="24"/>
          <w:highlight w:val="none"/>
        </w:rPr>
        <w:t>24</w:t>
      </w:r>
      <w:r>
        <w:rPr>
          <w:rFonts w:hint="eastAsia" w:ascii="宋体" w:hAnsi="宋体" w:cs="宋体"/>
          <w:b/>
          <w:color w:val="auto"/>
          <w:sz w:val="24"/>
          <w:highlight w:val="none"/>
        </w:rPr>
        <w:t>、工程预付款、工人工资</w:t>
      </w:r>
    </w:p>
    <w:p>
      <w:pPr>
        <w:snapToGrid w:val="0"/>
        <w:spacing w:line="440" w:lineRule="exact"/>
        <w:ind w:firstLine="338" w:firstLineChars="141"/>
        <w:rPr>
          <w:rFonts w:ascii="宋体" w:hAnsi="宋体" w:cs="宋体"/>
          <w:color w:val="auto"/>
          <w:sz w:val="24"/>
          <w:szCs w:val="24"/>
          <w:highlight w:val="none"/>
        </w:rPr>
      </w:pPr>
      <w:r>
        <w:rPr>
          <w:rFonts w:ascii="宋体" w:hAnsi="宋体" w:cs="宋体"/>
          <w:color w:val="auto"/>
          <w:sz w:val="24"/>
          <w:szCs w:val="24"/>
          <w:highlight w:val="none"/>
        </w:rPr>
        <w:t>24.1工程预付款</w:t>
      </w:r>
    </w:p>
    <w:p>
      <w:pPr>
        <w:snapToGrid w:val="0"/>
        <w:spacing w:line="440" w:lineRule="exact"/>
        <w:ind w:firstLine="338" w:firstLineChars="141"/>
        <w:rPr>
          <w:rFonts w:ascii="宋体" w:hAnsi="宋体" w:cs="宋体"/>
          <w:color w:val="auto"/>
          <w:sz w:val="24"/>
          <w:szCs w:val="24"/>
          <w:highlight w:val="none"/>
        </w:rPr>
      </w:pPr>
      <w:r>
        <w:rPr>
          <w:rFonts w:ascii="宋体" w:hAnsi="宋体" w:cs="宋体"/>
          <w:color w:val="auto"/>
          <w:sz w:val="24"/>
          <w:szCs w:val="24"/>
          <w:highlight w:val="none"/>
        </w:rPr>
        <w:t xml:space="preserve">24.1.1发包人向承包人预付工程款的时间和金额或占合同价款总额的比例：按广州开发区财政投资建设项目管理中心 </w:t>
      </w:r>
      <w:r>
        <w:rPr>
          <w:rFonts w:hint="eastAsia" w:ascii="宋体" w:hAnsi="宋体" w:cs="宋体"/>
          <w:color w:val="auto"/>
          <w:sz w:val="24"/>
          <w:szCs w:val="24"/>
          <w:highlight w:val="none"/>
        </w:rPr>
        <w:t>《关于加强建设工程预付款管理的通知》及相关规定核查，承包人相关情况符合要求，且合同生效及财政拨款到位后，发包人预付合同价【扣除绿色施工安全防护措施费，若工程量清单中有暂定金则扣除暂定金（含暂列金额和暂估价）部分】的</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20</w:t>
      </w:r>
      <w:r>
        <w:rPr>
          <w:rFonts w:ascii="宋体" w:hAnsi="宋体" w:cs="宋体"/>
          <w:color w:val="auto"/>
          <w:sz w:val="24"/>
          <w:szCs w:val="24"/>
          <w:highlight w:val="none"/>
          <w:u w:val="single"/>
        </w:rPr>
        <w:t xml:space="preserve">  </w:t>
      </w:r>
      <w:r>
        <w:rPr>
          <w:rFonts w:ascii="宋体" w:hAnsi="宋体" w:cs="宋体"/>
          <w:color w:val="auto"/>
          <w:sz w:val="24"/>
          <w:szCs w:val="24"/>
          <w:highlight w:val="none"/>
        </w:rPr>
        <w:t>%作为预付款，但最高不超过</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3000</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万元。预付款中，（预付款×工人工资比例）的部分需支付至工人工资专用账户。</w:t>
      </w:r>
    </w:p>
    <w:p>
      <w:pPr>
        <w:snapToGrid w:val="0"/>
        <w:spacing w:line="440" w:lineRule="exact"/>
        <w:ind w:firstLine="338" w:firstLineChars="141"/>
        <w:rPr>
          <w:rFonts w:ascii="宋体" w:hAnsi="宋体" w:cs="宋体"/>
          <w:color w:val="auto"/>
          <w:sz w:val="24"/>
          <w:szCs w:val="24"/>
          <w:highlight w:val="none"/>
        </w:rPr>
      </w:pPr>
      <w:r>
        <w:rPr>
          <w:rFonts w:ascii="宋体" w:hAnsi="宋体" w:cs="宋体"/>
          <w:color w:val="auto"/>
          <w:sz w:val="24"/>
          <w:szCs w:val="24"/>
          <w:highlight w:val="none"/>
        </w:rPr>
        <w:t xml:space="preserve"> 24.1.2承包人收取预付款后，应优先用于按有关规定缴纳工伤保险和办理建筑意外伤害险，专款专用。</w:t>
      </w:r>
    </w:p>
    <w:p>
      <w:pPr>
        <w:snapToGrid w:val="0"/>
        <w:spacing w:line="440" w:lineRule="exact"/>
        <w:ind w:firstLine="338" w:firstLineChars="141"/>
        <w:rPr>
          <w:rFonts w:ascii="宋体" w:hAnsi="宋体" w:cs="宋体"/>
          <w:color w:val="auto"/>
          <w:sz w:val="24"/>
          <w:szCs w:val="24"/>
          <w:highlight w:val="none"/>
        </w:rPr>
      </w:pPr>
      <w:r>
        <w:rPr>
          <w:rFonts w:ascii="宋体" w:hAnsi="宋体" w:cs="宋体"/>
          <w:color w:val="auto"/>
          <w:sz w:val="24"/>
          <w:szCs w:val="24"/>
          <w:highlight w:val="none"/>
        </w:rPr>
        <w:t xml:space="preserve"> 24.1.3扣回预付款的时间、比例：按本合同专用条款26条约定执行。</w:t>
      </w:r>
    </w:p>
    <w:p>
      <w:pPr>
        <w:snapToGrid w:val="0"/>
        <w:spacing w:line="440" w:lineRule="exact"/>
        <w:ind w:firstLine="338" w:firstLineChars="141"/>
        <w:rPr>
          <w:rFonts w:ascii="宋体" w:hAnsi="宋体" w:cs="宋体"/>
          <w:color w:val="auto"/>
          <w:sz w:val="24"/>
          <w:szCs w:val="24"/>
          <w:highlight w:val="none"/>
        </w:rPr>
      </w:pPr>
      <w:r>
        <w:rPr>
          <w:rFonts w:ascii="宋体" w:hAnsi="宋体" w:cs="宋体"/>
          <w:color w:val="auto"/>
          <w:sz w:val="24"/>
          <w:szCs w:val="24"/>
          <w:highlight w:val="none"/>
        </w:rPr>
        <w:t>24.2工人工资</w:t>
      </w:r>
    </w:p>
    <w:p>
      <w:pPr>
        <w:snapToGrid w:val="0"/>
        <w:spacing w:line="440" w:lineRule="exact"/>
        <w:ind w:firstLine="338" w:firstLineChars="141"/>
        <w:rPr>
          <w:rFonts w:ascii="宋体" w:hAnsi="宋体" w:cs="宋体"/>
          <w:color w:val="auto"/>
          <w:sz w:val="24"/>
          <w:szCs w:val="24"/>
          <w:highlight w:val="none"/>
        </w:rPr>
      </w:pPr>
      <w:r>
        <w:rPr>
          <w:rFonts w:ascii="宋体" w:hAnsi="宋体" w:cs="宋体"/>
          <w:color w:val="auto"/>
          <w:sz w:val="24"/>
          <w:szCs w:val="24"/>
          <w:highlight w:val="none"/>
        </w:rPr>
        <w:t>24.2.1</w:t>
      </w:r>
      <w:r>
        <w:rPr>
          <w:rFonts w:hint="eastAsia" w:ascii="宋体" w:hAnsi="宋体" w:cs="宋体"/>
          <w:color w:val="auto"/>
          <w:sz w:val="24"/>
          <w:szCs w:val="24"/>
          <w:highlight w:val="none"/>
        </w:rPr>
        <w:t>承包人需按有关规定与商业银行另行签订广州市建设领域工人工资支付专用账户管理协议、开设专用账户并报发包人备案</w:t>
      </w:r>
      <w:r>
        <w:rPr>
          <w:rFonts w:ascii="宋体" w:hAnsi="宋体" w:cs="宋体"/>
          <w:color w:val="auto"/>
          <w:sz w:val="24"/>
          <w:szCs w:val="24"/>
          <w:highlight w:val="none"/>
        </w:rPr>
        <w:t>,工人工资支付至专用账户</w:t>
      </w:r>
      <w:r>
        <w:rPr>
          <w:rFonts w:hint="eastAsia" w:ascii="宋体" w:hAnsi="宋体" w:cs="宋体"/>
          <w:color w:val="auto"/>
          <w:sz w:val="24"/>
          <w:szCs w:val="24"/>
          <w:highlight w:val="none"/>
        </w:rPr>
        <w:t>。</w:t>
      </w:r>
    </w:p>
    <w:p>
      <w:pPr>
        <w:snapToGrid w:val="0"/>
        <w:spacing w:line="440" w:lineRule="exact"/>
        <w:ind w:firstLine="338" w:firstLineChars="141"/>
        <w:rPr>
          <w:rFonts w:ascii="宋体" w:hAnsi="宋体" w:cs="宋体"/>
          <w:color w:val="auto"/>
          <w:sz w:val="24"/>
          <w:szCs w:val="24"/>
          <w:highlight w:val="none"/>
        </w:rPr>
      </w:pPr>
      <w:r>
        <w:rPr>
          <w:rFonts w:ascii="宋体" w:hAnsi="宋体" w:cs="宋体"/>
          <w:color w:val="auto"/>
          <w:sz w:val="24"/>
          <w:szCs w:val="24"/>
          <w:highlight w:val="none"/>
        </w:rPr>
        <w:t>24.2.2工人工资进度款与工程进度款同步支付，其中每期需支付的工程进度款×工人工资比例为该期工人工资进度款，支付至工人工资专用账户。</w:t>
      </w:r>
    </w:p>
    <w:p>
      <w:pPr>
        <w:snapToGrid w:val="0"/>
        <w:spacing w:line="440" w:lineRule="exact"/>
        <w:ind w:firstLine="360" w:firstLineChars="150"/>
        <w:rPr>
          <w:rFonts w:ascii="宋体" w:hAnsi="宋体" w:cs="宋体"/>
          <w:color w:val="auto"/>
          <w:sz w:val="24"/>
          <w:highlight w:val="none"/>
        </w:rPr>
      </w:pPr>
      <w:r>
        <w:rPr>
          <w:rFonts w:ascii="宋体" w:hAnsi="宋体" w:cs="宋体"/>
          <w:color w:val="auto"/>
          <w:sz w:val="24"/>
          <w:highlight w:val="none"/>
        </w:rPr>
        <w:t>25</w:t>
      </w:r>
      <w:r>
        <w:rPr>
          <w:rFonts w:hint="eastAsia" w:ascii="宋体" w:hAnsi="宋体" w:cs="宋体"/>
          <w:b/>
          <w:color w:val="auto"/>
          <w:sz w:val="24"/>
          <w:highlight w:val="none"/>
        </w:rPr>
        <w:t>、工程量确认</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25.1</w:t>
      </w:r>
      <w:r>
        <w:rPr>
          <w:rFonts w:hint="eastAsia" w:ascii="宋体" w:hAnsi="宋体" w:cs="宋体"/>
          <w:color w:val="auto"/>
          <w:sz w:val="24"/>
          <w:szCs w:val="24"/>
          <w:highlight w:val="none"/>
        </w:rPr>
        <w:t>承包人向工程师提交已完工程量报告的时间：</w:t>
      </w:r>
      <w:r>
        <w:rPr>
          <w:rFonts w:hint="eastAsia" w:ascii="宋体" w:hAnsi="宋体" w:cs="宋体"/>
          <w:color w:val="auto"/>
          <w:sz w:val="24"/>
          <w:szCs w:val="24"/>
          <w:highlight w:val="none"/>
          <w:u w:val="single"/>
        </w:rPr>
        <w:t>自开工之日起每周及每月报告已完成工程状况</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25.2双方一致同意不适用通用条款25.2款</w:t>
      </w:r>
      <w:r>
        <w:rPr>
          <w:rFonts w:hint="eastAsia" w:ascii="宋体" w:hAnsi="宋体" w:cs="宋体"/>
          <w:color w:val="auto"/>
          <w:sz w:val="24"/>
          <w:szCs w:val="24"/>
          <w:highlight w:val="none"/>
        </w:rPr>
        <w:t>，承包人完成工程量必须经发包人书面确认。</w:t>
      </w:r>
    </w:p>
    <w:p>
      <w:pPr>
        <w:snapToGrid w:val="0"/>
        <w:spacing w:line="440" w:lineRule="exact"/>
        <w:ind w:firstLine="397"/>
        <w:rPr>
          <w:rFonts w:ascii="宋体" w:hAnsi="宋体" w:cs="宋体"/>
          <w:color w:val="auto"/>
          <w:sz w:val="24"/>
          <w:highlight w:val="none"/>
        </w:rPr>
      </w:pPr>
      <w:r>
        <w:rPr>
          <w:rFonts w:ascii="宋体" w:hAnsi="宋体" w:cs="宋体"/>
          <w:color w:val="auto"/>
          <w:sz w:val="24"/>
          <w:highlight w:val="none"/>
        </w:rPr>
        <w:t>26</w:t>
      </w:r>
      <w:r>
        <w:rPr>
          <w:rFonts w:hint="eastAsia" w:ascii="宋体" w:hAnsi="宋体" w:cs="宋体"/>
          <w:color w:val="auto"/>
          <w:sz w:val="24"/>
          <w:highlight w:val="none"/>
        </w:rPr>
        <w:t>、</w:t>
      </w:r>
      <w:r>
        <w:rPr>
          <w:rFonts w:hint="eastAsia" w:ascii="宋体" w:hAnsi="宋体" w:cs="宋体"/>
          <w:b/>
          <w:color w:val="auto"/>
          <w:sz w:val="24"/>
          <w:highlight w:val="none"/>
        </w:rPr>
        <w:t>工程款（进度款）支付</w:t>
      </w:r>
    </w:p>
    <w:p>
      <w:pPr>
        <w:snapToGrid w:val="0"/>
        <w:spacing w:line="440" w:lineRule="exact"/>
        <w:ind w:firstLine="480"/>
        <w:rPr>
          <w:rFonts w:ascii="宋体" w:hAnsi="宋体" w:cs="宋体"/>
          <w:color w:val="auto"/>
          <w:sz w:val="24"/>
          <w:szCs w:val="24"/>
          <w:highlight w:val="none"/>
        </w:rPr>
      </w:pPr>
      <w:r>
        <w:rPr>
          <w:rFonts w:ascii="宋体" w:hAnsi="宋体" w:cs="宋体"/>
          <w:color w:val="auto"/>
          <w:sz w:val="24"/>
          <w:szCs w:val="24"/>
          <w:highlight w:val="none"/>
        </w:rPr>
        <w:t>26.1双方约定的工程款（进度款）支付采取如下的</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26.1.2 </w:t>
      </w:r>
      <w:r>
        <w:rPr>
          <w:rFonts w:hint="eastAsia" w:ascii="宋体" w:hAnsi="宋体" w:cs="宋体"/>
          <w:color w:val="auto"/>
          <w:sz w:val="24"/>
          <w:szCs w:val="24"/>
          <w:highlight w:val="none"/>
        </w:rPr>
        <w:t>方式进行：</w:t>
      </w:r>
    </w:p>
    <w:p>
      <w:pPr>
        <w:snapToGrid w:val="0"/>
        <w:spacing w:line="440" w:lineRule="exact"/>
        <w:ind w:firstLine="480"/>
        <w:rPr>
          <w:rFonts w:ascii="宋体" w:hAnsi="宋体" w:cs="宋体"/>
          <w:color w:val="auto"/>
          <w:sz w:val="24"/>
          <w:szCs w:val="24"/>
          <w:highlight w:val="none"/>
        </w:rPr>
      </w:pPr>
      <w:r>
        <w:rPr>
          <w:rFonts w:ascii="宋体" w:hAnsi="宋体" w:cs="宋体"/>
          <w:color w:val="auto"/>
          <w:sz w:val="24"/>
          <w:szCs w:val="24"/>
          <w:highlight w:val="none"/>
        </w:rPr>
        <w:t>26.1.1</w:t>
      </w:r>
      <w:r>
        <w:rPr>
          <w:rFonts w:hint="eastAsia" w:ascii="宋体" w:hAnsi="宋体" w:cs="宋体"/>
          <w:color w:val="auto"/>
          <w:sz w:val="24"/>
          <w:szCs w:val="24"/>
          <w:highlight w:val="none"/>
        </w:rPr>
        <w:t>按累计完成工作量百分率支付工程款（进度款）方式：</w:t>
      </w:r>
    </w:p>
    <w:p>
      <w:pPr>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u w:val="single"/>
        </w:rPr>
        <w:t>当完成工作量达到</w:t>
      </w:r>
      <w:r>
        <w:rPr>
          <w:rFonts w:ascii="宋体" w:hAnsi="宋体" w:cs="宋体"/>
          <w:color w:val="auto"/>
          <w:sz w:val="24"/>
          <w:szCs w:val="24"/>
          <w:highlight w:val="none"/>
          <w:u w:val="single"/>
        </w:rPr>
        <w:t>60%</w:t>
      </w:r>
      <w:r>
        <w:rPr>
          <w:rFonts w:hint="eastAsia" w:ascii="宋体" w:hAnsi="宋体" w:cs="宋体"/>
          <w:color w:val="auto"/>
          <w:sz w:val="24"/>
          <w:szCs w:val="24"/>
          <w:highlight w:val="none"/>
          <w:u w:val="single"/>
        </w:rPr>
        <w:t>时，支付工程进度款</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累计付款(含已支付的</w:t>
      </w:r>
      <w:r>
        <w:rPr>
          <w:rFonts w:hint="eastAsia" w:ascii="宋体" w:hAnsi="宋体" w:cs="宋体"/>
          <w:color w:val="auto"/>
          <w:sz w:val="24"/>
          <w:szCs w:val="24"/>
          <w:highlight w:val="none"/>
          <w:u w:val="single"/>
        </w:rPr>
        <w:t>绿色施工安全防护措施费</w:t>
      </w:r>
      <w:r>
        <w:rPr>
          <w:rFonts w:ascii="宋体" w:hAnsi="宋体" w:cs="宋体"/>
          <w:color w:val="auto"/>
          <w:sz w:val="24"/>
          <w:szCs w:val="24"/>
          <w:highlight w:val="none"/>
          <w:u w:val="single"/>
        </w:rPr>
        <w:t>)至合同价款</w:t>
      </w:r>
      <w:r>
        <w:rPr>
          <w:rFonts w:hint="eastAsia" w:ascii="宋体" w:hAnsi="宋体" w:cs="宋体"/>
          <w:color w:val="auto"/>
          <w:sz w:val="24"/>
          <w:szCs w:val="24"/>
          <w:highlight w:val="none"/>
          <w:u w:val="single"/>
        </w:rPr>
        <w:t>若有暂定金</w:t>
      </w:r>
      <w:r>
        <w:rPr>
          <w:rFonts w:ascii="宋体" w:hAnsi="宋体" w:cs="宋体"/>
          <w:color w:val="auto"/>
          <w:sz w:val="24"/>
          <w:szCs w:val="24"/>
          <w:highlight w:val="none"/>
          <w:u w:val="single"/>
        </w:rPr>
        <w:t>(含暂列金额和暂估价)</w:t>
      </w:r>
      <w:r>
        <w:rPr>
          <w:rFonts w:hint="eastAsia" w:ascii="宋体" w:hAnsi="宋体" w:cs="宋体"/>
          <w:color w:val="auto"/>
          <w:sz w:val="24"/>
          <w:szCs w:val="24"/>
          <w:highlight w:val="none"/>
          <w:u w:val="single"/>
        </w:rPr>
        <w:t>扣除未计量部分暂定金</w:t>
      </w:r>
      <w:r>
        <w:rPr>
          <w:rFonts w:ascii="宋体" w:hAnsi="宋体" w:cs="宋体"/>
          <w:color w:val="auto"/>
          <w:sz w:val="24"/>
          <w:szCs w:val="24"/>
          <w:highlight w:val="none"/>
          <w:u w:val="single"/>
        </w:rPr>
        <w:t>(含暂列金额和暂估价)</w:t>
      </w:r>
      <w:r>
        <w:rPr>
          <w:rFonts w:hint="eastAsia" w:ascii="宋体" w:hAnsi="宋体" w:cs="宋体"/>
          <w:color w:val="auto"/>
          <w:sz w:val="24"/>
          <w:szCs w:val="24"/>
          <w:highlight w:val="none"/>
          <w:u w:val="single"/>
        </w:rPr>
        <w:t>后的</w:t>
      </w:r>
      <w:r>
        <w:rPr>
          <w:rFonts w:ascii="宋体" w:hAnsi="宋体" w:cs="宋体"/>
          <w:color w:val="auto"/>
          <w:sz w:val="24"/>
          <w:szCs w:val="24"/>
          <w:highlight w:val="none"/>
          <w:u w:val="single"/>
        </w:rPr>
        <w:t>55%</w:t>
      </w:r>
      <w:r>
        <w:rPr>
          <w:rFonts w:hint="eastAsia" w:ascii="宋体" w:hAnsi="宋体" w:cs="宋体"/>
          <w:color w:val="auto"/>
          <w:sz w:val="24"/>
          <w:szCs w:val="24"/>
          <w:highlight w:val="none"/>
          <w:u w:val="single"/>
        </w:rPr>
        <w:t>】</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u w:val="single"/>
        </w:rPr>
        <w:t>工程完工，并通过初验后支付合同价款</w:t>
      </w:r>
      <w:r>
        <w:rPr>
          <w:rFonts w:ascii="宋体" w:hAnsi="宋体" w:cs="宋体"/>
          <w:color w:val="auto"/>
          <w:sz w:val="24"/>
          <w:szCs w:val="24"/>
          <w:highlight w:val="none"/>
          <w:u w:val="single"/>
        </w:rPr>
        <w:t>30%</w:t>
      </w: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累计付款(含</w:t>
      </w:r>
      <w:r>
        <w:rPr>
          <w:rFonts w:hint="eastAsia" w:ascii="宋体" w:hAnsi="宋体" w:cs="宋体"/>
          <w:color w:val="auto"/>
          <w:sz w:val="24"/>
          <w:szCs w:val="24"/>
          <w:highlight w:val="none"/>
          <w:u w:val="single"/>
        </w:rPr>
        <w:t>绿色施工安全防护措施费）</w:t>
      </w:r>
      <w:r>
        <w:rPr>
          <w:rFonts w:ascii="宋体" w:hAnsi="宋体" w:cs="宋体"/>
          <w:color w:val="auto"/>
          <w:sz w:val="24"/>
          <w:szCs w:val="24"/>
          <w:highlight w:val="none"/>
          <w:u w:val="single"/>
        </w:rPr>
        <w:t>至合同价款</w:t>
      </w:r>
      <w:r>
        <w:rPr>
          <w:rFonts w:hint="eastAsia" w:ascii="宋体" w:hAnsi="宋体" w:cs="宋体"/>
          <w:color w:val="auto"/>
          <w:sz w:val="24"/>
          <w:szCs w:val="24"/>
          <w:highlight w:val="none"/>
          <w:u w:val="single"/>
        </w:rPr>
        <w:t>若有暂定金</w:t>
      </w:r>
      <w:r>
        <w:rPr>
          <w:rFonts w:ascii="宋体" w:hAnsi="宋体" w:cs="宋体"/>
          <w:color w:val="auto"/>
          <w:sz w:val="24"/>
          <w:szCs w:val="24"/>
          <w:highlight w:val="none"/>
          <w:u w:val="single"/>
        </w:rPr>
        <w:t>(含暂列金额和暂估价)</w:t>
      </w:r>
      <w:r>
        <w:rPr>
          <w:rFonts w:hint="eastAsia" w:ascii="宋体" w:hAnsi="宋体" w:cs="宋体"/>
          <w:color w:val="auto"/>
          <w:sz w:val="24"/>
          <w:szCs w:val="24"/>
          <w:highlight w:val="none"/>
          <w:u w:val="single"/>
        </w:rPr>
        <w:t>扣除未计量部分暂定金</w:t>
      </w:r>
      <w:r>
        <w:rPr>
          <w:rFonts w:ascii="宋体" w:hAnsi="宋体" w:cs="宋体"/>
          <w:color w:val="auto"/>
          <w:sz w:val="24"/>
          <w:szCs w:val="24"/>
          <w:highlight w:val="none"/>
          <w:u w:val="single"/>
        </w:rPr>
        <w:t>(含暂列金额和暂估价)</w:t>
      </w:r>
      <w:r>
        <w:rPr>
          <w:rFonts w:hint="eastAsia" w:ascii="宋体" w:hAnsi="宋体" w:cs="宋体"/>
          <w:color w:val="auto"/>
          <w:sz w:val="24"/>
          <w:szCs w:val="24"/>
          <w:highlight w:val="none"/>
          <w:u w:val="single"/>
        </w:rPr>
        <w:t>后的</w:t>
      </w:r>
      <w:r>
        <w:rPr>
          <w:rFonts w:ascii="宋体" w:hAnsi="宋体" w:cs="宋体"/>
          <w:color w:val="auto"/>
          <w:sz w:val="24"/>
          <w:szCs w:val="24"/>
          <w:highlight w:val="none"/>
          <w:u w:val="single"/>
        </w:rPr>
        <w:t>85%</w:t>
      </w:r>
      <w:r>
        <w:rPr>
          <w:rFonts w:hint="eastAsia" w:ascii="宋体" w:hAnsi="宋体" w:cs="宋体"/>
          <w:color w:val="auto"/>
          <w:sz w:val="24"/>
          <w:szCs w:val="24"/>
          <w:highlight w:val="none"/>
          <w:u w:val="single"/>
        </w:rPr>
        <w:t>】</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u w:val="single"/>
        </w:rPr>
        <w:t>工程通过验收并经广州开发区财政局审定施工结算后支付工程款</w:t>
      </w:r>
      <w:r>
        <w:rPr>
          <w:rFonts w:ascii="宋体" w:hAnsi="宋体" w:cs="宋体"/>
          <w:color w:val="auto"/>
          <w:sz w:val="24"/>
          <w:szCs w:val="24"/>
          <w:highlight w:val="none"/>
          <w:u w:val="single"/>
        </w:rPr>
        <w:t>(</w:t>
      </w:r>
      <w:r>
        <w:rPr>
          <w:rFonts w:hint="eastAsia" w:ascii="宋体" w:hAnsi="宋体" w:cs="宋体"/>
          <w:color w:val="auto"/>
          <w:sz w:val="24"/>
          <w:szCs w:val="24"/>
          <w:highlight w:val="none"/>
          <w:u w:val="single"/>
        </w:rPr>
        <w:t>含绿色施工安全防护措施费）至结算价的</w:t>
      </w:r>
      <w:r>
        <w:rPr>
          <w:rFonts w:ascii="宋体" w:hAnsi="宋体" w:cs="宋体"/>
          <w:color w:val="auto"/>
          <w:sz w:val="24"/>
          <w:szCs w:val="24"/>
          <w:highlight w:val="none"/>
          <w:u w:val="single"/>
        </w:rPr>
        <w:t>97%；工程结算价款额度的3%作为</w:t>
      </w:r>
      <w:r>
        <w:rPr>
          <w:rFonts w:hint="eastAsia" w:ascii="宋体" w:hAnsi="宋体" w:cs="宋体"/>
          <w:color w:val="auto"/>
          <w:sz w:val="24"/>
          <w:szCs w:val="24"/>
          <w:highlight w:val="none"/>
          <w:u w:val="single"/>
        </w:rPr>
        <w:t>质量</w:t>
      </w:r>
      <w:r>
        <w:rPr>
          <w:rFonts w:ascii="宋体" w:hAnsi="宋体" w:cs="宋体"/>
          <w:color w:val="auto"/>
          <w:sz w:val="24"/>
          <w:szCs w:val="24"/>
          <w:highlight w:val="none"/>
          <w:u w:val="single"/>
        </w:rPr>
        <w:t>保修金，待</w:t>
      </w:r>
      <w:r>
        <w:rPr>
          <w:rFonts w:hint="eastAsia" w:ascii="宋体" w:hAnsi="宋体" w:cs="宋体"/>
          <w:color w:val="auto"/>
          <w:sz w:val="24"/>
          <w:szCs w:val="24"/>
          <w:highlight w:val="none"/>
          <w:u w:val="single"/>
        </w:rPr>
        <w:t>缺陷责任</w:t>
      </w:r>
      <w:r>
        <w:rPr>
          <w:rFonts w:ascii="宋体" w:hAnsi="宋体" w:cs="宋体"/>
          <w:color w:val="auto"/>
          <w:sz w:val="24"/>
          <w:szCs w:val="24"/>
          <w:highlight w:val="none"/>
          <w:u w:val="single"/>
        </w:rPr>
        <w:t>期结束后结清（不计利息）</w:t>
      </w:r>
      <w:r>
        <w:rPr>
          <w:rFonts w:hint="eastAsia" w:ascii="宋体" w:hAnsi="宋体" w:cs="宋体"/>
          <w:color w:val="auto"/>
          <w:sz w:val="24"/>
          <w:szCs w:val="24"/>
          <w:highlight w:val="none"/>
        </w:rPr>
        <w:t>。</w:t>
      </w:r>
    </w:p>
    <w:p>
      <w:pPr>
        <w:snapToGrid w:val="0"/>
        <w:spacing w:line="440" w:lineRule="exact"/>
        <w:ind w:firstLine="338" w:firstLineChars="141"/>
        <w:rPr>
          <w:rFonts w:ascii="宋体" w:hAnsi="宋体" w:cs="宋体"/>
          <w:color w:val="auto"/>
          <w:sz w:val="24"/>
          <w:szCs w:val="24"/>
          <w:highlight w:val="none"/>
        </w:rPr>
      </w:pPr>
      <w:r>
        <w:rPr>
          <w:rFonts w:hint="eastAsia" w:ascii="宋体" w:hAnsi="宋体" w:cs="宋体"/>
          <w:color w:val="auto"/>
          <w:sz w:val="24"/>
          <w:szCs w:val="24"/>
          <w:highlight w:val="none"/>
        </w:rPr>
        <w:t>上述所有款项均在广州开发区财政局审定该专项资金并拨款到位后支付，每期需支付的工程进度款×工人工资比例为该期工人工资进度款，支付至工人工资专用账户。办理工程款财政请款手续的时间不计入付款期限。</w:t>
      </w:r>
    </w:p>
    <w:p>
      <w:pPr>
        <w:snapToGrid w:val="0"/>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26.1.2按月度支付工程款（进度款）</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u w:val="single"/>
        </w:rPr>
        <w:t>承包人每月上报完成工程量报表，经监理审核及发包人确认后，发包人按经审定月度完成工程量的</w:t>
      </w:r>
      <w:r>
        <w:rPr>
          <w:rFonts w:ascii="宋体" w:hAnsi="宋体" w:cs="宋体"/>
          <w:color w:val="auto"/>
          <w:sz w:val="24"/>
          <w:szCs w:val="24"/>
          <w:highlight w:val="none"/>
          <w:u w:val="single"/>
        </w:rPr>
        <w:t>85%支付工程进度款</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u w:val="single"/>
        </w:rPr>
        <w:t>从本工程发生的第一次进度款支付起，发包人每次按审定月度完成工程量的</w:t>
      </w:r>
      <w:r>
        <w:rPr>
          <w:rFonts w:ascii="宋体" w:hAnsi="宋体" w:cs="宋体"/>
          <w:color w:val="auto"/>
          <w:sz w:val="24"/>
          <w:szCs w:val="24"/>
          <w:highlight w:val="none"/>
          <w:u w:val="single"/>
        </w:rPr>
        <w:t>85%中之50%扣回预付款，每次按审定月度完成工程量的85%扣除应扣回的预付款后支付承包人当次的工程进度款，直至预付款全部扣回完毕止。预付款扣回完毕后，发包人按审定月度完成工程量的85%支付工程进度款；工程完工，累计支付</w:t>
      </w:r>
      <w:r>
        <w:rPr>
          <w:rFonts w:hint="eastAsia" w:ascii="宋体" w:hAnsi="宋体" w:cs="宋体"/>
          <w:color w:val="auto"/>
          <w:sz w:val="24"/>
          <w:szCs w:val="24"/>
          <w:highlight w:val="none"/>
          <w:u w:val="single"/>
        </w:rPr>
        <w:t>工程款（含绿色施工安全防护措施费）至合同价若有暂定金（含暂列金额及暂估价）则扣除未计量部分暂定金后的</w:t>
      </w:r>
      <w:r>
        <w:rPr>
          <w:rFonts w:ascii="宋体" w:hAnsi="宋体" w:cs="宋体"/>
          <w:color w:val="auto"/>
          <w:sz w:val="24"/>
          <w:szCs w:val="24"/>
          <w:highlight w:val="none"/>
          <w:u w:val="single"/>
        </w:rPr>
        <w:t>85%</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u w:val="single"/>
        </w:rPr>
        <w:t>工程通过验收并经广州开发区财政局审定施工结算后支付工程款（含绿色施工安全防护措施费）至结算价的</w:t>
      </w:r>
      <w:r>
        <w:rPr>
          <w:rFonts w:ascii="宋体" w:hAnsi="宋体" w:cs="宋体"/>
          <w:color w:val="auto"/>
          <w:sz w:val="24"/>
          <w:szCs w:val="24"/>
          <w:highlight w:val="none"/>
          <w:u w:val="single"/>
        </w:rPr>
        <w:t>97%；工程结算价款额度的3%作为</w:t>
      </w:r>
      <w:r>
        <w:rPr>
          <w:rFonts w:hint="eastAsia" w:ascii="宋体" w:hAnsi="宋体" w:cs="宋体"/>
          <w:color w:val="auto"/>
          <w:sz w:val="24"/>
          <w:szCs w:val="24"/>
          <w:highlight w:val="none"/>
          <w:u w:val="single"/>
        </w:rPr>
        <w:t>质量</w:t>
      </w:r>
      <w:r>
        <w:rPr>
          <w:rFonts w:ascii="宋体" w:hAnsi="宋体" w:cs="宋体"/>
          <w:color w:val="auto"/>
          <w:sz w:val="24"/>
          <w:szCs w:val="24"/>
          <w:highlight w:val="none"/>
          <w:u w:val="single"/>
        </w:rPr>
        <w:t>保修金，待</w:t>
      </w:r>
      <w:r>
        <w:rPr>
          <w:rFonts w:hint="eastAsia" w:ascii="宋体" w:hAnsi="宋体" w:cs="宋体"/>
          <w:color w:val="auto"/>
          <w:sz w:val="24"/>
          <w:szCs w:val="24"/>
          <w:highlight w:val="none"/>
          <w:u w:val="single"/>
        </w:rPr>
        <w:t>缺陷责任</w:t>
      </w:r>
      <w:r>
        <w:rPr>
          <w:rFonts w:ascii="宋体" w:hAnsi="宋体" w:cs="宋体"/>
          <w:color w:val="auto"/>
          <w:sz w:val="24"/>
          <w:szCs w:val="24"/>
          <w:highlight w:val="none"/>
          <w:u w:val="single"/>
        </w:rPr>
        <w:t>期结束后结清（不计利息）</w:t>
      </w:r>
      <w:r>
        <w:rPr>
          <w:rFonts w:hint="eastAsia" w:ascii="宋体" w:hAnsi="宋体" w:cs="宋体"/>
          <w:color w:val="auto"/>
          <w:sz w:val="24"/>
          <w:szCs w:val="24"/>
          <w:highlight w:val="none"/>
        </w:rPr>
        <w:t>。</w:t>
      </w:r>
    </w:p>
    <w:p>
      <w:pPr>
        <w:snapToGrid w:val="0"/>
        <w:spacing w:line="440" w:lineRule="exact"/>
        <w:ind w:firstLine="338" w:firstLineChars="141"/>
        <w:rPr>
          <w:rFonts w:ascii="宋体" w:hAnsi="宋体" w:cs="宋体"/>
          <w:color w:val="auto"/>
          <w:sz w:val="24"/>
          <w:szCs w:val="24"/>
          <w:highlight w:val="none"/>
        </w:rPr>
      </w:pPr>
      <w:r>
        <w:rPr>
          <w:rFonts w:hint="eastAsia" w:ascii="宋体" w:hAnsi="宋体" w:cs="宋体"/>
          <w:color w:val="auto"/>
          <w:sz w:val="24"/>
          <w:szCs w:val="24"/>
          <w:highlight w:val="none"/>
        </w:rPr>
        <w:t>上述所有款项均在广州开发区财政局审定该专项资金并拨款到位后支付，每期需支付的工程进度款×工人工资比例为该期工人工资进度款，支付至工人工资专用账户。办理工程款财政请款手续的时间不计入付款期限。</w:t>
      </w:r>
    </w:p>
    <w:p>
      <w:pPr>
        <w:adjustRightInd w:val="0"/>
        <w:snapToGrid w:val="0"/>
        <w:spacing w:line="440" w:lineRule="exact"/>
        <w:ind w:right="11" w:firstLine="420" w:firstLineChars="175"/>
        <w:rPr>
          <w:rFonts w:ascii="宋体" w:hAnsi="宋体" w:cs="宋体"/>
          <w:color w:val="auto"/>
          <w:sz w:val="24"/>
          <w:szCs w:val="24"/>
          <w:highlight w:val="none"/>
        </w:rPr>
      </w:pPr>
      <w:r>
        <w:rPr>
          <w:rFonts w:ascii="宋体" w:hAnsi="宋体" w:cs="宋体"/>
          <w:color w:val="auto"/>
          <w:sz w:val="24"/>
          <w:szCs w:val="24"/>
          <w:highlight w:val="none"/>
        </w:rPr>
        <w:t>26.2所有因变更、签证及价格调整等原因所调整增加的工程价款均应由承包人按广州开发区、</w:t>
      </w:r>
      <w:r>
        <w:rPr>
          <w:rFonts w:hint="eastAsia" w:ascii="宋体" w:hAnsi="宋体" w:cs="宋体"/>
          <w:color w:val="auto"/>
          <w:sz w:val="24"/>
          <w:szCs w:val="24"/>
          <w:highlight w:val="none"/>
        </w:rPr>
        <w:t>黄埔</w:t>
      </w:r>
      <w:r>
        <w:rPr>
          <w:rFonts w:ascii="宋体" w:hAnsi="宋体" w:cs="宋体"/>
          <w:color w:val="auto"/>
          <w:sz w:val="24"/>
          <w:szCs w:val="24"/>
          <w:highlight w:val="none"/>
        </w:rPr>
        <w:t>区及发包人相关规定程序，报监理初审，并经发包人审批同意后，按审定金额另行签订补充协议支付，或在工程结算中一并支付。</w:t>
      </w:r>
    </w:p>
    <w:p>
      <w:pPr>
        <w:snapToGrid w:val="0"/>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26.4</w:t>
      </w:r>
      <w:r>
        <w:rPr>
          <w:rFonts w:hint="eastAsia" w:ascii="宋体" w:hAnsi="宋体" w:cs="宋体"/>
          <w:color w:val="auto"/>
          <w:sz w:val="24"/>
          <w:szCs w:val="24"/>
          <w:highlight w:val="none"/>
        </w:rPr>
        <w:t>工程价款的支付条件：</w:t>
      </w:r>
    </w:p>
    <w:p>
      <w:pPr>
        <w:snapToGrid w:val="0"/>
        <w:spacing w:line="440" w:lineRule="exact"/>
        <w:ind w:firstLine="480"/>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1）支付</w:t>
      </w:r>
      <w:r>
        <w:rPr>
          <w:rFonts w:hint="eastAsia" w:ascii="宋体" w:hAnsi="宋体" w:cs="宋体"/>
          <w:color w:val="auto"/>
          <w:sz w:val="24"/>
          <w:szCs w:val="24"/>
          <w:highlight w:val="none"/>
        </w:rPr>
        <w:t>预付</w:t>
      </w:r>
      <w:r>
        <w:rPr>
          <w:rFonts w:ascii="宋体" w:hAnsi="宋体" w:cs="宋体"/>
          <w:color w:val="auto"/>
          <w:sz w:val="24"/>
          <w:szCs w:val="24"/>
          <w:highlight w:val="none"/>
        </w:rPr>
        <w:t>款：</w:t>
      </w:r>
      <w:r>
        <w:rPr>
          <w:rFonts w:hint="eastAsia" w:ascii="宋体" w:hAnsi="宋体" w:cs="宋体"/>
          <w:color w:val="auto"/>
          <w:sz w:val="24"/>
          <w:szCs w:val="24"/>
          <w:highlight w:val="none"/>
          <w:u w:val="single"/>
        </w:rPr>
        <w:t>承包人已与发包人签订工程施工合同，承包人承诺的项目管理人员、机械设备到位。已生效的履约担保已按发包人要求准时提交发包人，工程已经监理工程师批准动工，该工程财政拨款已到位。如工程因用地、拆迁等原因导致不能全面开工，则预付款的支付按可开工部分的工程量占总工程量的比例做相应调整</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2）支付工程款（进度款）：</w:t>
      </w:r>
      <w:r>
        <w:rPr>
          <w:rFonts w:hint="eastAsia" w:ascii="宋体" w:hAnsi="宋体" w:cs="宋体"/>
          <w:color w:val="auto"/>
          <w:sz w:val="24"/>
          <w:szCs w:val="24"/>
          <w:highlight w:val="none"/>
          <w:u w:val="single"/>
        </w:rPr>
        <w:t>承包人必须及时向监理工程师提供其完成工作量的计量支付汇总报表和相应的分项工程计量支付报表。完成的全部分项工程数量均需有监理工程师的签认手续，计算依据和相关的质量合格证明资料，需通过测量确定数量的必须附有完整的测量资料且有监理工程师的签认</w:t>
      </w:r>
      <w:r>
        <w:rPr>
          <w:rFonts w:hint="eastAsia" w:ascii="宋体" w:hAnsi="宋体" w:cs="宋体"/>
          <w:color w:val="auto"/>
          <w:sz w:val="24"/>
          <w:szCs w:val="24"/>
          <w:highlight w:val="none"/>
        </w:rPr>
        <w:t>。</w:t>
      </w:r>
    </w:p>
    <w:p>
      <w:pPr>
        <w:pStyle w:val="26"/>
        <w:snapToGrid w:val="0"/>
        <w:spacing w:line="440" w:lineRule="exact"/>
        <w:ind w:firstLine="480" w:firstLineChars="200"/>
        <w:rPr>
          <w:rFonts w:ascii="宋体" w:hAnsi="宋体" w:cs="宋体"/>
          <w:color w:val="auto"/>
          <w:sz w:val="24"/>
          <w:szCs w:val="24"/>
          <w:highlight w:val="none"/>
        </w:rPr>
      </w:pPr>
    </w:p>
    <w:p>
      <w:pPr>
        <w:pStyle w:val="26"/>
        <w:snapToGrid w:val="0"/>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26.5</w:t>
      </w:r>
      <w:r>
        <w:rPr>
          <w:rFonts w:hint="eastAsia" w:ascii="宋体" w:hAnsi="宋体" w:cs="宋体"/>
          <w:color w:val="auto"/>
          <w:sz w:val="24"/>
          <w:szCs w:val="24"/>
          <w:highlight w:val="none"/>
          <w:u w:val="single"/>
        </w:rPr>
        <w:t>绿色施工安全防护措施费</w:t>
      </w:r>
      <w:r>
        <w:rPr>
          <w:rFonts w:hint="eastAsia" w:ascii="宋体" w:hAnsi="宋体" w:cs="宋体"/>
          <w:color w:val="auto"/>
          <w:sz w:val="24"/>
          <w:szCs w:val="24"/>
          <w:highlight w:val="none"/>
        </w:rPr>
        <w:t>支付的支付条件：</w:t>
      </w:r>
    </w:p>
    <w:p>
      <w:pPr>
        <w:pStyle w:val="26"/>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u w:val="single"/>
        </w:rPr>
        <w:t>绿色施工安全防护措施费</w:t>
      </w:r>
      <w:r>
        <w:rPr>
          <w:rFonts w:hint="eastAsia" w:ascii="宋体" w:hAnsi="宋体" w:cs="宋体"/>
          <w:color w:val="auto"/>
          <w:sz w:val="24"/>
          <w:szCs w:val="24"/>
          <w:highlight w:val="none"/>
        </w:rPr>
        <w:t>按在工程投标最高报价中的</w:t>
      </w:r>
      <w:r>
        <w:rPr>
          <w:rFonts w:hint="eastAsia" w:ascii="宋体" w:hAnsi="宋体" w:cs="宋体"/>
          <w:color w:val="auto"/>
          <w:sz w:val="24"/>
          <w:szCs w:val="24"/>
          <w:highlight w:val="none"/>
          <w:u w:val="single"/>
        </w:rPr>
        <w:t>绿色施工安全防护措施费</w:t>
      </w:r>
      <w:r>
        <w:rPr>
          <w:rFonts w:hint="eastAsia" w:ascii="宋体" w:hAnsi="宋体" w:cs="宋体"/>
          <w:color w:val="auto"/>
          <w:sz w:val="24"/>
          <w:szCs w:val="24"/>
          <w:highlight w:val="none"/>
        </w:rPr>
        <w:t>用计取，专款专用，并从本施工合同价款中提取（</w:t>
      </w:r>
      <w:r>
        <w:rPr>
          <w:rFonts w:hint="eastAsia" w:ascii="宋体" w:hAnsi="宋体" w:cs="宋体"/>
          <w:color w:val="auto"/>
          <w:sz w:val="24"/>
          <w:szCs w:val="24"/>
          <w:highlight w:val="none"/>
          <w:u w:val="single"/>
        </w:rPr>
        <w:t>绿色施工安全防护措施费</w:t>
      </w:r>
      <w:r>
        <w:rPr>
          <w:rFonts w:hint="eastAsia" w:ascii="宋体" w:hAnsi="宋体" w:cs="宋体"/>
          <w:color w:val="auto"/>
          <w:sz w:val="24"/>
          <w:szCs w:val="24"/>
          <w:highlight w:val="none"/>
        </w:rPr>
        <w:t>已包含在本工程中标价即施工合同价中）。该费用根据《关于加强安全文明施工管理及措施费支付管理的通知》（穗开建管〔</w:t>
      </w:r>
      <w:r>
        <w:rPr>
          <w:rFonts w:ascii="宋体" w:hAnsi="宋体" w:cs="宋体"/>
          <w:color w:val="auto"/>
          <w:sz w:val="24"/>
          <w:szCs w:val="24"/>
          <w:highlight w:val="none"/>
        </w:rPr>
        <w:t>2015〕7号）及“穗建筑【2008】967号</w:t>
      </w:r>
      <w:r>
        <w:rPr>
          <w:rFonts w:hint="eastAsia" w:ascii="宋体" w:hAnsi="宋体" w:cs="宋体"/>
          <w:color w:val="auto"/>
          <w:sz w:val="24"/>
          <w:szCs w:val="24"/>
          <w:highlight w:val="none"/>
        </w:rPr>
        <w:t>及“穗建筑【</w:t>
      </w:r>
      <w:r>
        <w:rPr>
          <w:rFonts w:ascii="宋体" w:hAnsi="宋体" w:cs="宋体"/>
          <w:color w:val="auto"/>
          <w:sz w:val="24"/>
          <w:szCs w:val="24"/>
          <w:highlight w:val="none"/>
        </w:rPr>
        <w:t>2018】981号</w:t>
      </w:r>
      <w:r>
        <w:rPr>
          <w:rFonts w:hint="eastAsia" w:ascii="宋体" w:hAnsi="宋体" w:cs="宋体"/>
          <w:color w:val="auto"/>
          <w:sz w:val="24"/>
          <w:szCs w:val="24"/>
          <w:highlight w:val="none"/>
        </w:rPr>
        <w:t>”文规定，分阶段支付</w:t>
      </w:r>
      <w:r>
        <w:rPr>
          <w:rFonts w:hint="eastAsia" w:ascii="宋体" w:hAnsi="宋体" w:cs="宋体"/>
          <w:color w:val="auto"/>
          <w:sz w:val="24"/>
          <w:szCs w:val="24"/>
          <w:highlight w:val="none"/>
          <w:u w:val="single"/>
        </w:rPr>
        <w:t>绿色施工安全防护措施费</w:t>
      </w:r>
      <w:r>
        <w:rPr>
          <w:rFonts w:hint="eastAsia" w:ascii="宋体" w:hAnsi="宋体" w:cs="宋体"/>
          <w:color w:val="auto"/>
          <w:sz w:val="24"/>
          <w:szCs w:val="24"/>
          <w:highlight w:val="none"/>
        </w:rPr>
        <w:t>：</w:t>
      </w:r>
    </w:p>
    <w:p>
      <w:pPr>
        <w:spacing w:line="440" w:lineRule="exact"/>
        <w:rPr>
          <w:rFonts w:ascii="宋体" w:hAnsi="宋体" w:cs="宋体"/>
          <w:color w:val="auto"/>
          <w:sz w:val="24"/>
          <w:szCs w:val="24"/>
          <w:highlight w:val="none"/>
        </w:rPr>
      </w:pPr>
      <w:r>
        <w:rPr>
          <w:rFonts w:ascii="宋体" w:hAnsi="宋体" w:cs="宋体"/>
          <w:color w:val="auto"/>
          <w:sz w:val="24"/>
          <w:szCs w:val="24"/>
          <w:highlight w:val="none"/>
        </w:rPr>
        <w:t xml:space="preserve">   1</w:t>
      </w:r>
      <w:r>
        <w:rPr>
          <w:rFonts w:hint="eastAsia" w:ascii="宋体" w:hAnsi="宋体" w:cs="宋体"/>
          <w:color w:val="auto"/>
          <w:sz w:val="24"/>
          <w:szCs w:val="24"/>
          <w:highlight w:val="none"/>
        </w:rPr>
        <w:t>、施工单位进场完成工地围墙、大门、临时设施、洗车槽、水枪、场内道路硬化、绿化、钢筋堆放点及加工场、垃圾收集点等部位的建设或布置后，由广州开发区安监机构、建设业主、代建单位（如有）、监理单位根据《广州市建设工程文明施工管理规定》、《广州市建设工程文明施工标准》等有关规定，对施工现场进行现场验收并拍照留存，《建设工程项目申办施工许可证安全文明施工现场查勘表》或者《建设工程项目安全生产及文明施工检查记录表》评为合格或以上且财政拨款到位后，支付绿色施工安全防护措施费的</w:t>
      </w:r>
      <w:r>
        <w:rPr>
          <w:rFonts w:ascii="宋体" w:hAnsi="宋体" w:cs="宋体"/>
          <w:color w:val="auto"/>
          <w:sz w:val="24"/>
          <w:szCs w:val="24"/>
          <w:highlight w:val="none"/>
        </w:rPr>
        <w:t>50%</w:t>
      </w:r>
      <w:r>
        <w:rPr>
          <w:rFonts w:hint="eastAsia" w:ascii="宋体" w:hAnsi="宋体" w:cs="宋体"/>
          <w:color w:val="auto"/>
          <w:sz w:val="24"/>
          <w:szCs w:val="24"/>
          <w:highlight w:val="none"/>
        </w:rPr>
        <w:t>。</w:t>
      </w:r>
    </w:p>
    <w:p>
      <w:pPr>
        <w:spacing w:line="440" w:lineRule="exact"/>
        <w:rPr>
          <w:rFonts w:ascii="宋体" w:hAnsi="宋体" w:cs="宋体"/>
          <w:color w:val="auto"/>
          <w:sz w:val="24"/>
          <w:szCs w:val="24"/>
          <w:highlight w:val="none"/>
        </w:rPr>
      </w:pPr>
      <w:r>
        <w:rPr>
          <w:rFonts w:ascii="宋体" w:hAnsi="宋体" w:cs="宋体"/>
          <w:color w:val="auto"/>
          <w:sz w:val="24"/>
          <w:szCs w:val="24"/>
          <w:highlight w:val="none"/>
        </w:rPr>
        <w:t xml:space="preserve">   2</w:t>
      </w:r>
      <w:r>
        <w:rPr>
          <w:rFonts w:hint="eastAsia" w:ascii="宋体" w:hAnsi="宋体" w:cs="宋体"/>
          <w:color w:val="auto"/>
          <w:sz w:val="24"/>
          <w:szCs w:val="24"/>
          <w:highlight w:val="none"/>
        </w:rPr>
        <w:t>、房建工程完成主体结构封顶、市政工程完成路基工作、其它工程完成合同约定工程量的</w:t>
      </w:r>
      <w:r>
        <w:rPr>
          <w:rFonts w:ascii="宋体" w:hAnsi="宋体" w:cs="宋体"/>
          <w:color w:val="auto"/>
          <w:sz w:val="24"/>
          <w:szCs w:val="24"/>
          <w:highlight w:val="none"/>
        </w:rPr>
        <w:t>60%</w:t>
      </w:r>
      <w:r>
        <w:rPr>
          <w:rFonts w:hint="eastAsia" w:ascii="宋体" w:hAnsi="宋体" w:cs="宋体"/>
          <w:color w:val="auto"/>
          <w:sz w:val="24"/>
          <w:szCs w:val="24"/>
          <w:highlight w:val="none"/>
        </w:rPr>
        <w:t>后，再次按上述要求进行现场验收并拍照留存，《建筑工程安全中间检查评价表》或者《建设工程项目安全生产及文明施工检查记录表》评为合格或以上且财政拨款到位后，再支付绿色施工安全防护措施费的</w:t>
      </w:r>
      <w:r>
        <w:rPr>
          <w:rFonts w:ascii="宋体" w:hAnsi="宋体" w:cs="宋体"/>
          <w:color w:val="auto"/>
          <w:sz w:val="24"/>
          <w:szCs w:val="24"/>
          <w:highlight w:val="none"/>
        </w:rPr>
        <w:t>40%</w:t>
      </w:r>
      <w:r>
        <w:rPr>
          <w:rFonts w:hint="eastAsia" w:ascii="宋体" w:hAnsi="宋体" w:cs="宋体"/>
          <w:color w:val="auto"/>
          <w:sz w:val="24"/>
          <w:szCs w:val="24"/>
          <w:highlight w:val="none"/>
        </w:rPr>
        <w:t>。</w:t>
      </w:r>
    </w:p>
    <w:p>
      <w:pPr>
        <w:spacing w:line="440" w:lineRule="exact"/>
        <w:rPr>
          <w:rFonts w:ascii="宋体" w:hAnsi="宋体" w:cs="宋体"/>
          <w:color w:val="auto"/>
          <w:sz w:val="24"/>
          <w:szCs w:val="24"/>
          <w:highlight w:val="none"/>
        </w:rPr>
      </w:pPr>
      <w:r>
        <w:rPr>
          <w:rFonts w:ascii="宋体" w:hAnsi="宋体" w:cs="宋体"/>
          <w:color w:val="auto"/>
          <w:sz w:val="24"/>
          <w:szCs w:val="24"/>
          <w:highlight w:val="none"/>
        </w:rPr>
        <w:t xml:space="preserve">    3</w:t>
      </w:r>
      <w:r>
        <w:rPr>
          <w:rFonts w:hint="eastAsia" w:ascii="宋体" w:hAnsi="宋体" w:cs="宋体"/>
          <w:color w:val="auto"/>
          <w:sz w:val="24"/>
          <w:szCs w:val="24"/>
          <w:highlight w:val="none"/>
        </w:rPr>
        <w:t>、工程完工，《建设工程施工安全评价书》评为合格或以上后，再支付相应绿色施工安全防护措施费的</w:t>
      </w:r>
      <w:r>
        <w:rPr>
          <w:rFonts w:ascii="宋体" w:hAnsi="宋体" w:cs="宋体"/>
          <w:color w:val="auto"/>
          <w:sz w:val="24"/>
          <w:szCs w:val="24"/>
          <w:highlight w:val="none"/>
        </w:rPr>
        <w:t>10%</w:t>
      </w:r>
      <w:r>
        <w:rPr>
          <w:rFonts w:hint="eastAsia" w:ascii="宋体" w:hAnsi="宋体" w:cs="宋体"/>
          <w:color w:val="auto"/>
          <w:sz w:val="24"/>
          <w:szCs w:val="24"/>
          <w:highlight w:val="none"/>
        </w:rPr>
        <w:t>。</w:t>
      </w:r>
    </w:p>
    <w:p>
      <w:pPr>
        <w:pStyle w:val="46"/>
        <w:spacing w:line="440" w:lineRule="exact"/>
        <w:ind w:firstLine="480" w:firstLineChars="200"/>
        <w:outlineLvl w:val="1"/>
        <w:rPr>
          <w:rFonts w:ascii="宋体" w:hAnsi="宋体" w:cs="宋体"/>
          <w:color w:val="auto"/>
          <w:sz w:val="24"/>
          <w:szCs w:val="24"/>
          <w:highlight w:val="none"/>
        </w:rPr>
      </w:pPr>
      <w:r>
        <w:rPr>
          <w:rFonts w:ascii="宋体" w:hAnsi="宋体" w:cs="宋体"/>
          <w:color w:val="auto"/>
          <w:sz w:val="24"/>
          <w:szCs w:val="24"/>
          <w:highlight w:val="none"/>
        </w:rPr>
        <w:t>26.6根据广州市环境保护局《关于开展建筑施工扬尘排污费征收工作的通知》（穗环〔2015〕114号）及广州开发区建设和环境保护局《关于开展建筑施工扬尘排污费征收工作的通知》（穗开环〔2015〕20号）规定，本工程需向环保部门交纳建筑施工扬尘排污费，该费用由环保部门根据《广州市建筑施工扬尘排放量核算办法》和《排污费征收标准及计算方法》核定。根据环保部门开具的《排放污染物与排污费缴纳金额核定表》，超标及落后产能部分由承包人承担，其余部分由发包人承担。缴纳方式如下：由承包人以发包人名义先行垫付资金向环保部门缴纳，并在10个工作日内凭缴费凭证就除超标及落后产能外的费用向发包人提交报销申请，逾期未提出申请视为放弃相关权利。</w:t>
      </w:r>
    </w:p>
    <w:p>
      <w:pPr>
        <w:snapToGrid w:val="0"/>
        <w:spacing w:line="440" w:lineRule="exact"/>
        <w:ind w:firstLine="480" w:firstLineChars="200"/>
        <w:rPr>
          <w:rFonts w:ascii="宋体" w:hAnsi="宋体" w:cs="宋体"/>
          <w:color w:val="auto"/>
          <w:sz w:val="24"/>
          <w:szCs w:val="24"/>
          <w:highlight w:val="none"/>
        </w:rPr>
      </w:pPr>
    </w:p>
    <w:p>
      <w:pPr>
        <w:snapToGrid w:val="0"/>
        <w:spacing w:line="440" w:lineRule="exact"/>
        <w:ind w:firstLine="397"/>
        <w:rPr>
          <w:rFonts w:ascii="宋体" w:hAnsi="宋体" w:cs="宋体"/>
          <w:b/>
          <w:color w:val="auto"/>
          <w:sz w:val="24"/>
          <w:highlight w:val="none"/>
        </w:rPr>
      </w:pPr>
      <w:r>
        <w:rPr>
          <w:rFonts w:hint="eastAsia" w:ascii="宋体" w:hAnsi="宋体" w:cs="宋体"/>
          <w:b/>
          <w:color w:val="auto"/>
          <w:sz w:val="24"/>
          <w:highlight w:val="none"/>
        </w:rPr>
        <w:t>七、材料设备供应</w:t>
      </w:r>
    </w:p>
    <w:p>
      <w:pPr>
        <w:snapToGrid w:val="0"/>
        <w:spacing w:line="440" w:lineRule="exact"/>
        <w:ind w:firstLine="397"/>
        <w:rPr>
          <w:rFonts w:ascii="宋体" w:hAnsi="宋体" w:cs="宋体"/>
          <w:b/>
          <w:color w:val="auto"/>
          <w:sz w:val="24"/>
          <w:highlight w:val="none"/>
        </w:rPr>
      </w:pPr>
      <w:r>
        <w:rPr>
          <w:rFonts w:ascii="宋体" w:hAnsi="宋体" w:cs="宋体"/>
          <w:b/>
          <w:color w:val="auto"/>
          <w:sz w:val="24"/>
          <w:highlight w:val="none"/>
        </w:rPr>
        <w:t>27</w:t>
      </w:r>
      <w:r>
        <w:rPr>
          <w:rFonts w:hint="eastAsia" w:ascii="宋体" w:hAnsi="宋体" w:cs="宋体"/>
          <w:b/>
          <w:color w:val="auto"/>
          <w:sz w:val="24"/>
          <w:highlight w:val="none"/>
        </w:rPr>
        <w:t>、发包人供应材料设备</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27.4</w:t>
      </w:r>
      <w:r>
        <w:rPr>
          <w:rFonts w:hint="eastAsia" w:ascii="宋体" w:hAnsi="宋体" w:cs="宋体"/>
          <w:color w:val="auto"/>
          <w:sz w:val="24"/>
          <w:szCs w:val="24"/>
          <w:highlight w:val="none"/>
        </w:rPr>
        <w:t>发包人供应的材料设备与一览表不符时，双方约定发包人承担责任如下：</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材料设备单价与一览表不符：</w:t>
      </w:r>
      <w:r>
        <w:rPr>
          <w:rFonts w:ascii="宋体" w:hAnsi="宋体" w:cs="宋体"/>
          <w:color w:val="auto"/>
          <w:sz w:val="24"/>
          <w:highlight w:val="none"/>
          <w:u w:val="single"/>
        </w:rPr>
        <mc:AlternateContent>
          <mc:Choice Requires="wps">
            <w:drawing>
              <wp:anchor distT="0" distB="0" distL="114300" distR="114300" simplePos="0" relativeHeight="251663360" behindDoc="0" locked="0" layoutInCell="0" allowOverlap="1">
                <wp:simplePos x="0" y="0"/>
                <wp:positionH relativeFrom="column">
                  <wp:posOffset>3556000</wp:posOffset>
                </wp:positionH>
                <wp:positionV relativeFrom="paragraph">
                  <wp:posOffset>0</wp:posOffset>
                </wp:positionV>
                <wp:extent cx="635" cy="0"/>
                <wp:effectExtent l="0" t="4445" r="0" b="5080"/>
                <wp:wrapNone/>
                <wp:docPr id="5" name="直接连接符 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80pt;margin-top:0pt;height:0pt;width:0.05pt;z-index:251663360;mso-width-relative:page;mso-height-relative:page;" filled="f" stroked="t" coordsize="21600,21600" o:allowincell="f" o:gfxdata="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zl5BDTAAAABQEAAA8AAAAAAAAAAQAgAAAAIgAAAGRycy9kb3ducmV2LnhtbFBLAQIUABQA&#10;AAAIAIdO4kB30ANz9QEAAO4DAAAOAAAAAAAAAAEAIAAAACIBAABkcnMvZTJvRG9jLnhtbFBLBQYA&#10;AAAABgAGAFkBAACJBQAAAAA=&#10;">
                <v:fill on="f" focussize="0,0"/>
                <v:stroke color="#000000" joinstyle="round"/>
                <v:imagedata o:title=""/>
                <o:lock v:ext="edit" aspectratio="f"/>
              </v:line>
            </w:pict>
          </mc:Fallback>
        </mc:AlternateConten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材料设备的品种、规格、型号、质量等级与一览表不符：</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承包人可代为调剂串换的材料：</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rPr>
        <w:t>到货地点与一览表不符：</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rPr>
        <w:t>供应数量与一览表不符：</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tabs>
          <w:tab w:val="left" w:pos="700"/>
        </w:tabs>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6</w:t>
      </w:r>
      <w:r>
        <w:rPr>
          <w:rFonts w:hint="eastAsia" w:ascii="宋体" w:hAnsi="宋体" w:cs="宋体"/>
          <w:color w:val="auto"/>
          <w:sz w:val="24"/>
          <w:szCs w:val="24"/>
          <w:highlight w:val="none"/>
        </w:rPr>
        <w:t>）到货时间与一览表不符；</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tabs>
          <w:tab w:val="left" w:pos="700"/>
        </w:tabs>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27.6</w:t>
      </w:r>
      <w:r>
        <w:rPr>
          <w:rFonts w:hint="eastAsia" w:ascii="宋体" w:hAnsi="宋体" w:cs="宋体"/>
          <w:color w:val="auto"/>
          <w:sz w:val="24"/>
          <w:szCs w:val="24"/>
          <w:highlight w:val="none"/>
        </w:rPr>
        <w:t>发包人供应材料设备的结算方法：</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440" w:lineRule="exact"/>
        <w:ind w:firstLine="397"/>
        <w:rPr>
          <w:rFonts w:ascii="宋体" w:hAnsi="宋体" w:cs="宋体"/>
          <w:b/>
          <w:color w:val="auto"/>
          <w:sz w:val="24"/>
          <w:highlight w:val="none"/>
        </w:rPr>
      </w:pPr>
      <w:r>
        <w:rPr>
          <w:rFonts w:ascii="宋体" w:hAnsi="宋体" w:cs="宋体"/>
          <w:b/>
          <w:color w:val="auto"/>
          <w:sz w:val="24"/>
          <w:highlight w:val="none"/>
        </w:rPr>
        <w:t>28</w:t>
      </w:r>
      <w:r>
        <w:rPr>
          <w:rFonts w:hint="eastAsia" w:ascii="宋体" w:hAnsi="宋体" w:cs="宋体"/>
          <w:b/>
          <w:color w:val="auto"/>
          <w:sz w:val="24"/>
          <w:highlight w:val="none"/>
        </w:rPr>
        <w:t>、承包人采购材料设备</w:t>
      </w:r>
    </w:p>
    <w:p>
      <w:pPr>
        <w:spacing w:line="440" w:lineRule="exact"/>
        <w:rPr>
          <w:rFonts w:ascii="宋体" w:hAnsi="宋体" w:cs="宋体"/>
          <w:color w:val="auto"/>
          <w:sz w:val="24"/>
          <w:szCs w:val="24"/>
          <w:highlight w:val="none"/>
          <w:u w:val="single"/>
        </w:rPr>
      </w:pPr>
      <w:r>
        <w:rPr>
          <w:rFonts w:ascii="宋体" w:hAnsi="宋体" w:cs="宋体"/>
          <w:color w:val="auto"/>
          <w:sz w:val="24"/>
          <w:szCs w:val="24"/>
          <w:highlight w:val="none"/>
        </w:rPr>
        <w:t>28.1</w:t>
      </w:r>
      <w:r>
        <w:rPr>
          <w:rFonts w:hint="eastAsia" w:ascii="宋体" w:hAnsi="宋体" w:cs="宋体"/>
          <w:color w:val="auto"/>
          <w:sz w:val="24"/>
          <w:szCs w:val="24"/>
          <w:highlight w:val="none"/>
        </w:rPr>
        <w:t>承包人采购材料设备的约定：</w:t>
      </w:r>
      <w:r>
        <w:rPr>
          <w:rFonts w:hint="eastAsia" w:ascii="宋体" w:hAnsi="宋体" w:cs="宋体"/>
          <w:color w:val="auto"/>
          <w:sz w:val="24"/>
          <w:szCs w:val="24"/>
          <w:highlight w:val="none"/>
          <w:u w:val="single"/>
        </w:rPr>
        <w:t>由承包人负责采购材料设备的，按招标文件规定和本合同专用条款第</w:t>
      </w:r>
      <w:r>
        <w:rPr>
          <w:rFonts w:ascii="宋体" w:hAnsi="宋体" w:cs="宋体"/>
          <w:color w:val="auto"/>
          <w:sz w:val="24"/>
          <w:szCs w:val="24"/>
          <w:highlight w:val="none"/>
          <w:u w:val="single"/>
        </w:rPr>
        <w:t>47.28</w:t>
      </w:r>
      <w:r>
        <w:rPr>
          <w:rFonts w:hint="eastAsia" w:ascii="宋体" w:hAnsi="宋体" w:cs="宋体"/>
          <w:color w:val="auto"/>
          <w:sz w:val="24"/>
          <w:szCs w:val="24"/>
          <w:highlight w:val="none"/>
          <w:u w:val="single"/>
        </w:rPr>
        <w:t>条约定、工程设计的有关标准并以符合相关行政主管部门颁发的环保标准或要求进行采购，对材料设备质量负责。承包人应将各项材料设备的供货人及品种、规格、数量和供货时间等报送监理人审批，并向监理人提交其负责提供材料设备的合格证明和质量证明文件，满足合同约定的质量标准，承包人在材料设备到货前</w:t>
      </w:r>
      <w:r>
        <w:rPr>
          <w:rFonts w:ascii="宋体" w:hAnsi="宋体" w:cs="宋体"/>
          <w:color w:val="auto"/>
          <w:sz w:val="24"/>
          <w:szCs w:val="24"/>
          <w:highlight w:val="none"/>
          <w:u w:val="single"/>
        </w:rPr>
        <w:t>24小时通知工程师清点。</w:t>
      </w:r>
    </w:p>
    <w:p>
      <w:pPr>
        <w:spacing w:line="440" w:lineRule="exact"/>
        <w:rPr>
          <w:rFonts w:ascii="宋体" w:hAnsi="宋体" w:cs="宋体"/>
          <w:color w:val="auto"/>
          <w:sz w:val="24"/>
          <w:szCs w:val="24"/>
          <w:highlight w:val="none"/>
          <w:u w:val="single"/>
        </w:rPr>
      </w:pPr>
      <w:r>
        <w:rPr>
          <w:rFonts w:ascii="宋体" w:hAnsi="宋体" w:cs="宋体"/>
          <w:color w:val="auto"/>
          <w:sz w:val="24"/>
          <w:szCs w:val="24"/>
          <w:highlight w:val="none"/>
          <w:u w:val="single"/>
        </w:rPr>
        <w:t>28.2对承包人提供的材料和设备，承包人应会同监理人、发包人进行检验和交货验收，查验材料合格证明和产品合格证书，并按合同约定和监理人或发包人的指示，进行材料的抽样检验和工程设备的检验检测，检验检测结果提交监理人。不合格的不得使用，检验或试验费用由承包人承担。</w:t>
      </w:r>
    </w:p>
    <w:p>
      <w:pPr>
        <w:spacing w:line="440" w:lineRule="exact"/>
        <w:rPr>
          <w:rFonts w:ascii="宋体" w:hAnsi="宋体" w:cs="宋体"/>
          <w:color w:val="auto"/>
          <w:sz w:val="24"/>
          <w:szCs w:val="24"/>
          <w:highlight w:val="none"/>
          <w:u w:val="single"/>
        </w:rPr>
      </w:pPr>
      <w:r>
        <w:rPr>
          <w:rFonts w:ascii="宋体" w:hAnsi="宋体" w:cs="宋体"/>
          <w:color w:val="auto"/>
          <w:sz w:val="24"/>
          <w:szCs w:val="24"/>
          <w:highlight w:val="none"/>
          <w:u w:val="single"/>
        </w:rPr>
        <w:t>28.3所有材料、设备报价必须报监理、业主同意后方可使用。</w:t>
      </w:r>
    </w:p>
    <w:p>
      <w:pPr>
        <w:snapToGrid w:val="0"/>
        <w:spacing w:line="440" w:lineRule="exact"/>
        <w:ind w:firstLine="397"/>
        <w:rPr>
          <w:rFonts w:ascii="宋体" w:hAnsi="宋体" w:cs="宋体"/>
          <w:b/>
          <w:color w:val="auto"/>
          <w:sz w:val="24"/>
          <w:highlight w:val="none"/>
        </w:rPr>
      </w:pPr>
      <w:r>
        <w:rPr>
          <w:rFonts w:hint="eastAsia" w:ascii="宋体" w:hAnsi="宋体" w:cs="宋体"/>
          <w:b/>
          <w:color w:val="auto"/>
          <w:sz w:val="24"/>
          <w:highlight w:val="none"/>
        </w:rPr>
        <w:t>八、工程变更</w:t>
      </w:r>
    </w:p>
    <w:p>
      <w:pPr>
        <w:snapToGrid w:val="0"/>
        <w:spacing w:line="440" w:lineRule="exact"/>
        <w:ind w:firstLine="397"/>
        <w:rPr>
          <w:rFonts w:ascii="宋体" w:hAnsi="宋体" w:cs="宋体"/>
          <w:b/>
          <w:color w:val="auto"/>
          <w:sz w:val="24"/>
          <w:highlight w:val="none"/>
        </w:rPr>
      </w:pPr>
      <w:r>
        <w:rPr>
          <w:rFonts w:ascii="宋体" w:hAnsi="宋体" w:cs="宋体"/>
          <w:b/>
          <w:color w:val="auto"/>
          <w:sz w:val="24"/>
          <w:highlight w:val="none"/>
        </w:rPr>
        <w:t>29、工程设计变更</w:t>
      </w:r>
    </w:p>
    <w:p>
      <w:pPr>
        <w:snapToGrid w:val="0"/>
        <w:spacing w:line="440" w:lineRule="exact"/>
        <w:ind w:firstLine="397"/>
        <w:rPr>
          <w:rFonts w:hint="eastAsia" w:ascii="宋体" w:hAnsi="宋体" w:cs="宋体"/>
          <w:color w:val="auto"/>
          <w:sz w:val="24"/>
          <w:szCs w:val="24"/>
          <w:highlight w:val="none"/>
          <w:u w:val="single"/>
        </w:rPr>
      </w:pPr>
      <w:r>
        <w:rPr>
          <w:rFonts w:ascii="宋体" w:hAnsi="宋体" w:cs="宋体"/>
          <w:color w:val="auto"/>
          <w:sz w:val="24"/>
          <w:szCs w:val="24"/>
          <w:highlight w:val="none"/>
        </w:rPr>
        <w:t>29.4</w:t>
      </w:r>
      <w:r>
        <w:rPr>
          <w:rFonts w:hint="eastAsia" w:ascii="宋体" w:hAnsi="宋体" w:cs="宋体"/>
          <w:color w:val="auto"/>
          <w:sz w:val="24"/>
          <w:szCs w:val="24"/>
          <w:highlight w:val="none"/>
          <w:u w:val="single"/>
        </w:rPr>
        <w:t>开工前，发包人组织承包人、监理单位、设计单位对施工图纸进行会审。</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同时，如实施工程变更，承包人应以书面形式通知发包人和监理工程师，经监理工程师审查并报发包人同意后，由发包人与设计单位商定修改或变更设计方案进行实施</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29.5</w:t>
      </w:r>
      <w:r>
        <w:rPr>
          <w:rFonts w:hint="eastAsia" w:ascii="宋体" w:hAnsi="宋体" w:cs="宋体"/>
          <w:color w:val="auto"/>
          <w:sz w:val="24"/>
          <w:szCs w:val="24"/>
          <w:highlight w:val="none"/>
          <w:u w:val="single"/>
        </w:rPr>
        <w:t>变更应由监理工程师发出变更指令，没有监理工程师的指令，承包人不得进行上述变更</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29.6</w:t>
      </w:r>
      <w:r>
        <w:rPr>
          <w:rFonts w:hint="eastAsia" w:ascii="宋体" w:hAnsi="宋体" w:cs="宋体"/>
          <w:color w:val="auto"/>
          <w:sz w:val="24"/>
          <w:szCs w:val="24"/>
          <w:highlight w:val="none"/>
          <w:u w:val="single"/>
        </w:rPr>
        <w:t>按施工图纸实施使得工程量少于施工合同工程量清单中已确定或有规定的数量的，则该项工程量减少不需要任何指令</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29.7</w:t>
      </w:r>
      <w:r>
        <w:rPr>
          <w:rFonts w:hint="eastAsia" w:ascii="宋体" w:hAnsi="宋体" w:cs="宋体"/>
          <w:color w:val="auto"/>
          <w:sz w:val="24"/>
          <w:szCs w:val="24"/>
          <w:highlight w:val="none"/>
          <w:u w:val="single"/>
        </w:rPr>
        <w:t>所有涉及工期和工程量的变更均应获得发包人书面批准才能生效</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29.8</w:t>
      </w:r>
      <w:r>
        <w:rPr>
          <w:rFonts w:hint="eastAsia" w:ascii="宋体" w:hAnsi="宋体" w:cs="宋体"/>
          <w:color w:val="auto"/>
          <w:sz w:val="24"/>
          <w:szCs w:val="24"/>
          <w:highlight w:val="none"/>
          <w:u w:val="single"/>
        </w:rPr>
        <w:t>当发包人提出变更通知，承包人认为产生了增加费用，承包人应在发包人提出通知要求后</w:t>
      </w:r>
      <w:r>
        <w:rPr>
          <w:rFonts w:ascii="宋体" w:hAnsi="宋体" w:cs="宋体"/>
          <w:color w:val="auto"/>
          <w:sz w:val="24"/>
          <w:szCs w:val="24"/>
          <w:highlight w:val="none"/>
          <w:u w:val="single"/>
        </w:rPr>
        <w:t>3-7天（时间视变更大小而定）内向发包人提交增加费用报告，报告内应说明变更原因、增加费用金额、增加费用计算书，若承包人不在规定的时间内提供增加费用报告，该类变更所涉及的增加费用视为包括在合同价款中。发包人提出变更通知的时间是指承包人收取变更通知时进行登记交接的时间</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29.9</w:t>
      </w:r>
      <w:r>
        <w:rPr>
          <w:rFonts w:hint="eastAsia" w:ascii="宋体" w:hAnsi="宋体" w:cs="宋体"/>
          <w:color w:val="auto"/>
          <w:sz w:val="24"/>
          <w:szCs w:val="24"/>
          <w:highlight w:val="none"/>
          <w:u w:val="single"/>
        </w:rPr>
        <w:t>工程变更申报程序按广州开发区、黄埔区以及建设业主的有关规定执行</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29.10</w:t>
      </w:r>
      <w:r>
        <w:rPr>
          <w:rFonts w:ascii="宋体" w:hAnsi="宋体" w:cs="宋体"/>
          <w:color w:val="auto"/>
          <w:sz w:val="24"/>
          <w:szCs w:val="24"/>
          <w:highlight w:val="none"/>
          <w:u w:val="single"/>
        </w:rPr>
        <w:t>工程实施过程中发包人有权对承包内容和范围进行调整，如实际工程量相对施工图纸及施工合同工程量发生变化，承包人不得有任何异议，且承包人不得以任何理由要求发包人补偿任何费用（承包人要充分考虑最不利因素影响）。涉及本合同约定的合同价款调整的，按相关约定处理</w:t>
      </w:r>
      <w:r>
        <w:rPr>
          <w:rFonts w:hint="eastAsia" w:ascii="宋体" w:hAnsi="宋体" w:cs="宋体"/>
          <w:color w:val="auto"/>
          <w:sz w:val="24"/>
          <w:szCs w:val="24"/>
          <w:highlight w:val="none"/>
        </w:rPr>
        <w:t>。</w:t>
      </w:r>
    </w:p>
    <w:p>
      <w:pPr>
        <w:snapToGrid w:val="0"/>
        <w:spacing w:line="440" w:lineRule="exact"/>
        <w:ind w:firstLine="397"/>
        <w:rPr>
          <w:rFonts w:ascii="宋体" w:hAnsi="宋体" w:cs="宋体"/>
          <w:b/>
          <w:color w:val="auto"/>
          <w:sz w:val="24"/>
          <w:highlight w:val="none"/>
        </w:rPr>
      </w:pPr>
      <w:r>
        <w:rPr>
          <w:rFonts w:ascii="宋体" w:hAnsi="宋体" w:cs="宋体"/>
          <w:b/>
          <w:color w:val="auto"/>
          <w:sz w:val="24"/>
          <w:highlight w:val="none"/>
        </w:rPr>
        <w:t>30、其它变更</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30.1工程现场签证：</w:t>
      </w:r>
      <w:r>
        <w:rPr>
          <w:rFonts w:hint="eastAsia" w:ascii="宋体" w:hAnsi="宋体" w:cs="宋体"/>
          <w:color w:val="auto"/>
          <w:sz w:val="24"/>
          <w:szCs w:val="24"/>
          <w:highlight w:val="none"/>
          <w:u w:val="single"/>
        </w:rPr>
        <w:t>工程现场签证是指施工生产活动中用以证实在施工中遇到的某些特殊情况的一种书面证明资料，一般指按承发包合同约定，由承发包双方代表就施工过程中涉及合同价款之外的责任事件所作的签认证明</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u w:val="single"/>
        </w:rPr>
        <w:t>承包人需对施工图纸进行会审，如需对工程量清单错漏进行确认，承包人需在前四分之一工期阶段内且最长不得超过中标通知书发出之日起</w:t>
      </w:r>
      <w:r>
        <w:rPr>
          <w:rFonts w:ascii="宋体" w:hAnsi="宋体" w:cs="宋体"/>
          <w:color w:val="auto"/>
          <w:sz w:val="24"/>
          <w:szCs w:val="24"/>
          <w:highlight w:val="none"/>
          <w:u w:val="single"/>
        </w:rPr>
        <w:t>6个月内向发包人提出，</w:t>
      </w:r>
      <w:r>
        <w:rPr>
          <w:rFonts w:hint="eastAsia" w:ascii="宋体" w:hAnsi="宋体" w:cs="宋体"/>
          <w:color w:val="auto"/>
          <w:sz w:val="24"/>
          <w:szCs w:val="24"/>
          <w:highlight w:val="none"/>
          <w:u w:val="single"/>
        </w:rPr>
        <w:t>并按</w:t>
      </w:r>
      <w:r>
        <w:rPr>
          <w:rFonts w:hint="eastAsia" w:ascii="宋体" w:hAnsi="宋体" w:cs="宋体"/>
          <w:color w:val="auto"/>
          <w:sz w:val="24"/>
          <w:highlight w:val="none"/>
          <w:u w:val="single"/>
        </w:rPr>
        <w:t>《广州开发区财政投资建设项目管理中心工程量清单错漏申报管理办法（2021年）》（穗开建管〔2021〕78号）</w:t>
      </w:r>
      <w:r>
        <w:rPr>
          <w:rFonts w:hint="eastAsia" w:ascii="宋体" w:hAnsi="宋体" w:cs="宋体"/>
          <w:color w:val="auto"/>
          <w:sz w:val="24"/>
          <w:szCs w:val="24"/>
          <w:highlight w:val="none"/>
          <w:u w:val="single"/>
        </w:rPr>
        <w:t>办理申报手续，同时需配合发包人的复核工作，双方对复核结果盖章签名后方可作为最终结算依据；如因特殊原因，承包人无法在规定时间内申报的，经发包人同意后方可申报。承包人未按上述规定进行申报的，发包人对应申报而未办理申报手续的漏量漏项不予确认。</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30.2签证的计价：</w:t>
      </w:r>
      <w:r>
        <w:rPr>
          <w:rFonts w:hint="eastAsia" w:ascii="宋体" w:hAnsi="宋体" w:cs="宋体"/>
          <w:color w:val="auto"/>
          <w:sz w:val="24"/>
          <w:szCs w:val="24"/>
          <w:highlight w:val="none"/>
          <w:u w:val="single"/>
        </w:rPr>
        <w:t>按招标文件及合同中关于工程变更的计价有关规定执行</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30.3签证实施前所需的施工方案：</w:t>
      </w:r>
      <w:r>
        <w:rPr>
          <w:rFonts w:hint="eastAsia" w:ascii="宋体" w:hAnsi="宋体" w:cs="宋体"/>
          <w:color w:val="auto"/>
          <w:sz w:val="24"/>
          <w:szCs w:val="24"/>
          <w:highlight w:val="none"/>
          <w:u w:val="single"/>
        </w:rPr>
        <w:t>若签证事件发生时，需使用没有被监理工程师批准过的施工方案，则必须将该施工方案提前报监理工程师和发包人批准，经批准后才能实施，否则发包人将按最经济的施工方案对该签证进行计价</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30.4</w:t>
      </w:r>
      <w:r>
        <w:rPr>
          <w:rFonts w:hint="eastAsia" w:ascii="宋体" w:hAnsi="宋体" w:cs="宋体"/>
          <w:color w:val="auto"/>
          <w:sz w:val="24"/>
          <w:szCs w:val="24"/>
          <w:highlight w:val="none"/>
          <w:u w:val="single"/>
        </w:rPr>
        <w:t>工程现场签证申报程序按广州开发区、黄埔区以及建设业主的有关规定执行</w:t>
      </w:r>
      <w:r>
        <w:rPr>
          <w:rFonts w:hint="eastAsia" w:ascii="宋体" w:hAnsi="宋体" w:cs="宋体"/>
          <w:color w:val="auto"/>
          <w:sz w:val="24"/>
          <w:szCs w:val="24"/>
          <w:highlight w:val="none"/>
        </w:rPr>
        <w:t>。</w:t>
      </w:r>
    </w:p>
    <w:p>
      <w:pPr>
        <w:snapToGrid w:val="0"/>
        <w:spacing w:line="440" w:lineRule="exact"/>
        <w:ind w:firstLine="397"/>
        <w:rPr>
          <w:rFonts w:ascii="宋体" w:hAnsi="宋体" w:cs="宋体"/>
          <w:b/>
          <w:color w:val="auto"/>
          <w:sz w:val="24"/>
          <w:highlight w:val="none"/>
        </w:rPr>
      </w:pPr>
      <w:r>
        <w:rPr>
          <w:rFonts w:ascii="宋体" w:hAnsi="宋体" w:cs="宋体"/>
          <w:b/>
          <w:color w:val="auto"/>
          <w:sz w:val="24"/>
          <w:highlight w:val="none"/>
        </w:rPr>
        <w:t>31、确定变更价款</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31.1</w:t>
      </w:r>
      <w:r>
        <w:rPr>
          <w:rFonts w:ascii="宋体" w:hAnsi="宋体" w:cs="宋体"/>
          <w:color w:val="auto"/>
          <w:sz w:val="24"/>
          <w:szCs w:val="24"/>
          <w:highlight w:val="none"/>
          <w:u w:val="single"/>
        </w:rPr>
        <w:t>承包人在工程变更确定后14天内，提出变更工程价款的报告，经工程师确认后调整合同价款。</w:t>
      </w:r>
      <w:r>
        <w:rPr>
          <w:rFonts w:hint="eastAsia" w:ascii="宋体" w:hAnsi="宋体" w:cs="宋体"/>
          <w:color w:val="auto"/>
          <w:sz w:val="24"/>
          <w:szCs w:val="24"/>
          <w:highlight w:val="none"/>
          <w:u w:val="single"/>
        </w:rPr>
        <w:t>变更合同价款确定原则按本合同相关约定执行</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31.3</w:t>
      </w:r>
      <w:r>
        <w:rPr>
          <w:rFonts w:ascii="宋体" w:hAnsi="宋体" w:cs="宋体"/>
          <w:color w:val="auto"/>
          <w:sz w:val="24"/>
          <w:szCs w:val="24"/>
          <w:highlight w:val="none"/>
          <w:u w:val="single"/>
        </w:rPr>
        <w:t>所有变更工程价款的报告必须按规定程序报发包人审核确认</w:t>
      </w:r>
      <w:r>
        <w:rPr>
          <w:rFonts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31.5</w:t>
      </w:r>
      <w:r>
        <w:rPr>
          <w:rFonts w:ascii="宋体" w:hAnsi="宋体" w:cs="宋体"/>
          <w:color w:val="auto"/>
          <w:sz w:val="24"/>
          <w:szCs w:val="24"/>
          <w:highlight w:val="none"/>
          <w:u w:val="single"/>
        </w:rPr>
        <w:t>工程变更价款的支付按本合同相关约定支付</w:t>
      </w:r>
      <w:r>
        <w:rPr>
          <w:rFonts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31.7</w:t>
      </w:r>
      <w:r>
        <w:rPr>
          <w:rFonts w:hint="eastAsia" w:ascii="宋体" w:hAnsi="宋体" w:cs="宋体"/>
          <w:color w:val="auto"/>
          <w:sz w:val="24"/>
          <w:szCs w:val="24"/>
          <w:highlight w:val="none"/>
          <w:u w:val="single"/>
        </w:rPr>
        <w:t>发生上述规定的变更后，承包人在收到发包人变更通知的</w:t>
      </w:r>
      <w:r>
        <w:rPr>
          <w:rFonts w:ascii="宋体" w:hAnsi="宋体" w:cs="宋体"/>
          <w:color w:val="auto"/>
          <w:sz w:val="24"/>
          <w:szCs w:val="24"/>
          <w:highlight w:val="none"/>
          <w:u w:val="single"/>
        </w:rPr>
        <w:t>7天内按合同文件规定的计价方式内容编出变更工程建议送交监理单位</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31.8</w:t>
      </w:r>
      <w:r>
        <w:rPr>
          <w:rFonts w:hint="eastAsia" w:ascii="宋体" w:hAnsi="宋体" w:cs="宋体"/>
          <w:color w:val="auto"/>
          <w:sz w:val="24"/>
          <w:szCs w:val="24"/>
          <w:highlight w:val="none"/>
          <w:u w:val="single"/>
        </w:rPr>
        <w:t>在工程变更价款计算时，承包人应按招标文件相关规定编制变更工程的预算，提供变更依据及详细的计算资料，报监理单位和发包人批准</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31.9</w:t>
      </w:r>
      <w:r>
        <w:rPr>
          <w:rFonts w:hint="eastAsia" w:ascii="宋体" w:hAnsi="宋体" w:cs="宋体"/>
          <w:color w:val="auto"/>
          <w:sz w:val="24"/>
          <w:szCs w:val="24"/>
          <w:highlight w:val="none"/>
          <w:u w:val="single"/>
        </w:rPr>
        <w:t>工程变更、签证申报程序按广州开发区、黄埔区以及建设业主的有关规定执行</w:t>
      </w:r>
      <w:r>
        <w:rPr>
          <w:rFonts w:hint="eastAsia" w:ascii="宋体" w:hAnsi="宋体" w:cs="宋体"/>
          <w:color w:val="auto"/>
          <w:sz w:val="24"/>
          <w:szCs w:val="24"/>
          <w:highlight w:val="none"/>
        </w:rPr>
        <w:t>。</w:t>
      </w:r>
    </w:p>
    <w:p>
      <w:pPr>
        <w:snapToGrid w:val="0"/>
        <w:spacing w:line="440" w:lineRule="exact"/>
        <w:ind w:firstLine="397"/>
        <w:rPr>
          <w:rFonts w:ascii="宋体" w:hAnsi="宋体" w:cs="宋体"/>
          <w:b/>
          <w:color w:val="auto"/>
          <w:sz w:val="24"/>
          <w:highlight w:val="none"/>
        </w:rPr>
      </w:pPr>
      <w:r>
        <w:rPr>
          <w:rFonts w:hint="eastAsia" w:ascii="宋体" w:hAnsi="宋体" w:cs="宋体"/>
          <w:b/>
          <w:color w:val="auto"/>
          <w:sz w:val="24"/>
          <w:highlight w:val="none"/>
        </w:rPr>
        <w:t>九、竣工验收与结算</w:t>
      </w:r>
    </w:p>
    <w:p>
      <w:pPr>
        <w:snapToGrid w:val="0"/>
        <w:spacing w:line="440" w:lineRule="exact"/>
        <w:ind w:firstLine="397"/>
        <w:rPr>
          <w:rFonts w:ascii="宋体" w:hAnsi="宋体" w:cs="宋体"/>
          <w:b/>
          <w:color w:val="auto"/>
          <w:sz w:val="24"/>
          <w:highlight w:val="none"/>
        </w:rPr>
      </w:pPr>
      <w:r>
        <w:rPr>
          <w:rFonts w:ascii="宋体" w:hAnsi="宋体" w:cs="宋体"/>
          <w:b/>
          <w:color w:val="auto"/>
          <w:sz w:val="24"/>
          <w:highlight w:val="none"/>
        </w:rPr>
        <w:t>32</w:t>
      </w:r>
      <w:r>
        <w:rPr>
          <w:rFonts w:hint="eastAsia" w:ascii="宋体" w:hAnsi="宋体" w:cs="宋体"/>
          <w:b/>
          <w:color w:val="auto"/>
          <w:sz w:val="24"/>
          <w:highlight w:val="none"/>
        </w:rPr>
        <w:t>、竣工验收</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32.1</w:t>
      </w:r>
      <w:r>
        <w:rPr>
          <w:rFonts w:hint="eastAsia" w:ascii="宋体" w:hAnsi="宋体" w:cs="宋体"/>
          <w:color w:val="auto"/>
          <w:sz w:val="24"/>
          <w:szCs w:val="24"/>
          <w:highlight w:val="none"/>
        </w:rPr>
        <w:t>承包人提供竣工图纸的约定：</w:t>
      </w:r>
      <w:r>
        <w:rPr>
          <w:rFonts w:hint="eastAsia" w:ascii="宋体" w:hAnsi="宋体" w:cs="宋体"/>
          <w:color w:val="auto"/>
          <w:sz w:val="24"/>
          <w:szCs w:val="24"/>
          <w:highlight w:val="none"/>
          <w:u w:val="single"/>
        </w:rPr>
        <w:t>承包人工程竣工资料必须按照国家及广州市、开发区有关工程竣工资料档案管理的要求进行整理归档。承包人在工程竣工验收合格后四十五个日历天内，向建设单位提供符合要求按规格编制成册的工程竣工图及有关的技术档案资料一式伍份</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32.6</w:t>
      </w:r>
      <w:r>
        <w:rPr>
          <w:rFonts w:hint="eastAsia" w:ascii="宋体" w:hAnsi="宋体" w:cs="宋体"/>
          <w:color w:val="auto"/>
          <w:sz w:val="24"/>
          <w:szCs w:val="24"/>
          <w:highlight w:val="none"/>
        </w:rPr>
        <w:t>中间交工工程的范围和竣工时间：</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440" w:lineRule="exact"/>
        <w:ind w:firstLine="397"/>
        <w:rPr>
          <w:rFonts w:ascii="宋体" w:hAnsi="宋体" w:cs="宋体"/>
          <w:b/>
          <w:color w:val="auto"/>
          <w:sz w:val="24"/>
          <w:highlight w:val="none"/>
        </w:rPr>
      </w:pPr>
      <w:r>
        <w:rPr>
          <w:rFonts w:ascii="宋体" w:hAnsi="宋体" w:cs="宋体"/>
          <w:b/>
          <w:color w:val="auto"/>
          <w:sz w:val="24"/>
          <w:highlight w:val="none"/>
        </w:rPr>
        <w:t>33、竣工结算</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承发包双方一致同意不适用</w:t>
      </w:r>
      <w:r>
        <w:rPr>
          <w:rFonts w:hint="eastAsia" w:ascii="宋体" w:hAnsi="宋体" w:cs="宋体"/>
          <w:color w:val="auto"/>
          <w:sz w:val="24"/>
          <w:szCs w:val="24"/>
          <w:highlight w:val="none"/>
          <w:u w:val="single"/>
        </w:rPr>
        <w:t>通用条款</w:t>
      </w:r>
      <w:r>
        <w:rPr>
          <w:rFonts w:ascii="宋体" w:hAnsi="宋体" w:cs="宋体"/>
          <w:color w:val="auto"/>
          <w:sz w:val="24"/>
          <w:szCs w:val="24"/>
          <w:highlight w:val="none"/>
          <w:u w:val="single"/>
        </w:rPr>
        <w:t>33.2款、33.3款、33.4款</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竣工结算办法：</w:t>
      </w:r>
      <w:r>
        <w:rPr>
          <w:rFonts w:hint="eastAsia" w:ascii="宋体" w:hAnsi="宋体" w:cs="宋体"/>
          <w:color w:val="auto"/>
          <w:sz w:val="24"/>
          <w:szCs w:val="24"/>
          <w:highlight w:val="none"/>
          <w:u w:val="single"/>
        </w:rPr>
        <w:t>所有工程量（含暂定工程量的结算）的结算均以广州开发区财政局审定的金额为准。工程竣工后，承包人编制本工程的结算书送监理单位审核，经监理单位审核后送发包人复审，按规定送广州开发区财政局审核，并以区财政局审定本工程的结算为准</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竣工结算提交时间：</w:t>
      </w:r>
      <w:r>
        <w:rPr>
          <w:rFonts w:hint="eastAsia" w:ascii="宋体" w:hAnsi="宋体" w:cs="宋体"/>
          <w:color w:val="auto"/>
          <w:sz w:val="24"/>
          <w:szCs w:val="24"/>
          <w:highlight w:val="none"/>
          <w:u w:val="single"/>
        </w:rPr>
        <w:t>承包人须按《广州开发区财政投资建设项目管理中心施工类合同结算编审指引（试行）》及区有关规定编制及办理建设项目工程结算</w:t>
      </w:r>
      <w:r>
        <w:rPr>
          <w:rFonts w:hint="eastAsia" w:ascii="宋体" w:hAnsi="宋体" w:cs="宋体"/>
          <w:color w:val="auto"/>
          <w:sz w:val="24"/>
          <w:szCs w:val="24"/>
          <w:highlight w:val="none"/>
        </w:rPr>
        <w:t>。</w:t>
      </w:r>
    </w:p>
    <w:p>
      <w:pPr>
        <w:pStyle w:val="45"/>
        <w:spacing w:line="440" w:lineRule="exact"/>
        <w:rPr>
          <w:rFonts w:ascii="宋体" w:hAnsi="宋体" w:cs="宋体"/>
          <w:color w:val="auto"/>
          <w:sz w:val="24"/>
          <w:szCs w:val="24"/>
          <w:highlight w:val="none"/>
        </w:rPr>
      </w:pPr>
      <w:r>
        <w:rPr>
          <w:rFonts w:ascii="宋体" w:hAnsi="宋体" w:cs="宋体"/>
          <w:b/>
          <w:bCs/>
          <w:color w:val="auto"/>
          <w:sz w:val="24"/>
          <w:szCs w:val="24"/>
          <w:highlight w:val="none"/>
        </w:rPr>
        <w:t xml:space="preserve">    </w:t>
      </w:r>
      <w:r>
        <w:rPr>
          <w:rFonts w:hint="eastAsia" w:ascii="宋体" w:hAnsi="宋体" w:cs="宋体"/>
          <w:color w:val="auto"/>
          <w:sz w:val="24"/>
          <w:szCs w:val="24"/>
          <w:highlight w:val="none"/>
          <w:u w:val="single"/>
        </w:rPr>
        <w:t>承包人未按前款规定的期限和内容编制及办理建设项目工程结算（非承包人原因无法办理工程结算的情况除外），经发包人或代建单位或监理人书面通知之日起</w:t>
      </w:r>
      <w:r>
        <w:rPr>
          <w:rFonts w:ascii="宋体" w:hAnsi="宋体" w:cs="宋体"/>
          <w:color w:val="auto"/>
          <w:sz w:val="24"/>
          <w:szCs w:val="24"/>
          <w:highlight w:val="none"/>
          <w:u w:val="single"/>
        </w:rPr>
        <w:t>2个月内（最长期限不得超过6个月）仍未提交编制及办理建设项目工程结算的相关文件的，监理人和发包人有权根据发包人已有资料进行审核，并报区财政局审定，区财政局审定的竣工结算合同总价视同是经承包人认可的工程竣工结算合同总价。</w:t>
      </w:r>
    </w:p>
    <w:p>
      <w:pPr>
        <w:snapToGrid w:val="0"/>
        <w:spacing w:line="440" w:lineRule="exact"/>
        <w:ind w:firstLine="397"/>
        <w:rPr>
          <w:rFonts w:ascii="宋体" w:hAnsi="宋体" w:cs="宋体"/>
          <w:b/>
          <w:color w:val="auto"/>
          <w:sz w:val="24"/>
          <w:highlight w:val="none"/>
        </w:rPr>
      </w:pPr>
      <w:r>
        <w:rPr>
          <w:rFonts w:hint="eastAsia" w:ascii="宋体" w:hAnsi="宋体" w:cs="宋体"/>
          <w:b/>
          <w:color w:val="auto"/>
          <w:sz w:val="24"/>
          <w:highlight w:val="none"/>
        </w:rPr>
        <w:t>十、违约、索赔和争议</w:t>
      </w:r>
    </w:p>
    <w:p>
      <w:pPr>
        <w:snapToGrid w:val="0"/>
        <w:spacing w:line="440" w:lineRule="exact"/>
        <w:ind w:firstLine="397"/>
        <w:rPr>
          <w:rFonts w:ascii="宋体" w:hAnsi="宋体" w:cs="宋体"/>
          <w:b/>
          <w:color w:val="auto"/>
          <w:sz w:val="24"/>
          <w:highlight w:val="none"/>
        </w:rPr>
      </w:pPr>
      <w:r>
        <w:rPr>
          <w:rFonts w:ascii="宋体" w:hAnsi="宋体" w:cs="宋体"/>
          <w:b/>
          <w:color w:val="auto"/>
          <w:sz w:val="24"/>
          <w:highlight w:val="none"/>
        </w:rPr>
        <w:t>35</w:t>
      </w:r>
      <w:r>
        <w:rPr>
          <w:rFonts w:hint="eastAsia" w:ascii="宋体" w:hAnsi="宋体" w:cs="宋体"/>
          <w:b/>
          <w:color w:val="auto"/>
          <w:sz w:val="24"/>
          <w:highlight w:val="none"/>
        </w:rPr>
        <w:t>、违约</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35.1</w:t>
      </w:r>
      <w:r>
        <w:rPr>
          <w:rFonts w:hint="eastAsia" w:ascii="宋体" w:hAnsi="宋体" w:cs="宋体"/>
          <w:color w:val="auto"/>
          <w:sz w:val="24"/>
          <w:szCs w:val="24"/>
          <w:highlight w:val="none"/>
        </w:rPr>
        <w:t>本合同中关于发包人违约的具体责任如下：</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本合同通用条款第</w:t>
      </w:r>
      <w:r>
        <w:rPr>
          <w:rFonts w:ascii="宋体" w:hAnsi="宋体" w:cs="宋体"/>
          <w:color w:val="auto"/>
          <w:sz w:val="24"/>
          <w:szCs w:val="24"/>
          <w:highlight w:val="none"/>
        </w:rPr>
        <w:t>35.1条约定发包人违约应承担的责任：</w:t>
      </w:r>
      <w:r>
        <w:rPr>
          <w:rFonts w:hint="eastAsia" w:ascii="宋体" w:hAnsi="宋体" w:cs="宋体"/>
          <w:color w:val="auto"/>
          <w:sz w:val="24"/>
          <w:szCs w:val="24"/>
          <w:highlight w:val="none"/>
          <w:u w:val="single"/>
        </w:rPr>
        <w:t>顺延工期，但不作费用赔偿</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双方约定的发包人其他违约责任：</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35.2</w:t>
      </w:r>
      <w:r>
        <w:rPr>
          <w:rFonts w:hint="eastAsia" w:ascii="宋体" w:hAnsi="宋体" w:cs="宋体"/>
          <w:color w:val="auto"/>
          <w:sz w:val="24"/>
          <w:szCs w:val="24"/>
          <w:highlight w:val="none"/>
        </w:rPr>
        <w:t>本合同中关于承包人违约的具体责任如下：</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35.2.1工期延误的违约责任</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u w:val="single"/>
        </w:rPr>
        <w:t>承包人未按发包人或监理单位开工令要求时间开工的，每迟延开工</w:t>
      </w:r>
      <w:r>
        <w:rPr>
          <w:rFonts w:ascii="宋体" w:hAnsi="宋体" w:cs="宋体"/>
          <w:color w:val="auto"/>
          <w:sz w:val="24"/>
          <w:szCs w:val="24"/>
          <w:highlight w:val="none"/>
          <w:u w:val="single"/>
        </w:rPr>
        <w:t>1</w:t>
      </w:r>
      <w:r>
        <w:rPr>
          <w:rFonts w:hint="eastAsia" w:ascii="宋体" w:hAnsi="宋体" w:cs="宋体"/>
          <w:color w:val="auto"/>
          <w:sz w:val="24"/>
          <w:szCs w:val="24"/>
          <w:highlight w:val="none"/>
          <w:u w:val="single"/>
        </w:rPr>
        <w:t>天，应向发包人支付违约金</w:t>
      </w:r>
      <w:r>
        <w:rPr>
          <w:rFonts w:ascii="宋体" w:hAnsi="宋体" w:cs="宋体"/>
          <w:color w:val="auto"/>
          <w:sz w:val="24"/>
          <w:szCs w:val="24"/>
          <w:highlight w:val="none"/>
          <w:u w:val="single"/>
        </w:rPr>
        <w:t>5000元；迟延开工超过20</w:t>
      </w:r>
      <w:r>
        <w:rPr>
          <w:rFonts w:hint="eastAsia" w:ascii="宋体" w:hAnsi="宋体" w:cs="宋体"/>
          <w:color w:val="auto"/>
          <w:sz w:val="24"/>
          <w:szCs w:val="24"/>
          <w:highlight w:val="none"/>
          <w:u w:val="single"/>
        </w:rPr>
        <w:t>天的，发包人有权根据实际情况单方面解除合同</w:t>
      </w:r>
      <w:r>
        <w:rPr>
          <w:rFonts w:hint="eastAsia" w:ascii="宋体" w:hAnsi="宋体" w:cs="宋体"/>
          <w:color w:val="auto"/>
          <w:sz w:val="24"/>
          <w:szCs w:val="24"/>
          <w:highlight w:val="none"/>
        </w:rPr>
        <w:t>。</w:t>
      </w:r>
    </w:p>
    <w:p>
      <w:pPr>
        <w:spacing w:line="440" w:lineRule="exact"/>
        <w:ind w:firstLine="56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因承包人的原因造成工期延误，其中属节点工期延误，从延误的第一天起，每天支付违约金</w:t>
      </w:r>
      <w:r>
        <w:rPr>
          <w:rFonts w:ascii="宋体" w:hAnsi="宋体" w:cs="宋体"/>
          <w:color w:val="auto"/>
          <w:sz w:val="24"/>
          <w:szCs w:val="24"/>
          <w:highlight w:val="none"/>
          <w:u w:val="single"/>
        </w:rPr>
        <w:t>5000</w:t>
      </w:r>
      <w:r>
        <w:rPr>
          <w:rFonts w:hint="eastAsia" w:ascii="宋体" w:hAnsi="宋体" w:cs="宋体"/>
          <w:color w:val="auto"/>
          <w:sz w:val="24"/>
          <w:szCs w:val="24"/>
          <w:highlight w:val="none"/>
          <w:u w:val="single"/>
        </w:rPr>
        <w:t>元，如在下一个节点赶回工期，可免除上述违约金。属总工期延误，从总工期延误的第一天起，每天支付违约金</w:t>
      </w:r>
      <w:r>
        <w:rPr>
          <w:rFonts w:ascii="宋体" w:hAnsi="宋体" w:cs="宋体"/>
          <w:color w:val="auto"/>
          <w:sz w:val="24"/>
          <w:szCs w:val="24"/>
          <w:highlight w:val="none"/>
          <w:u w:val="single"/>
        </w:rPr>
        <w:t>20000元</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延误工期超过</w:t>
      </w:r>
      <w:r>
        <w:rPr>
          <w:rFonts w:ascii="宋体" w:hAnsi="宋体" w:cs="宋体"/>
          <w:color w:val="auto"/>
          <w:sz w:val="24"/>
          <w:szCs w:val="24"/>
          <w:highlight w:val="none"/>
          <w:u w:val="single"/>
        </w:rPr>
        <w:t>20天的，发包人可视情况终止合同。</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承包人必须按期完成主要工序的施工任务，若属承包人原因逾期达</w:t>
      </w:r>
      <w:r>
        <w:rPr>
          <w:rFonts w:ascii="宋体" w:hAnsi="宋体" w:cs="宋体"/>
          <w:color w:val="auto"/>
          <w:sz w:val="24"/>
          <w:szCs w:val="24"/>
          <w:highlight w:val="none"/>
          <w:u w:val="single"/>
        </w:rPr>
        <w:t>10天未完成主要节点的施工任务时，</w:t>
      </w:r>
      <w:r>
        <w:rPr>
          <w:rFonts w:hint="eastAsia" w:ascii="宋体" w:hAnsi="宋体" w:cs="宋体"/>
          <w:color w:val="auto"/>
          <w:sz w:val="24"/>
          <w:szCs w:val="24"/>
          <w:highlight w:val="none"/>
          <w:u w:val="single"/>
        </w:rPr>
        <w:t>除按第（</w:t>
      </w:r>
      <w:r>
        <w:rPr>
          <w:rFonts w:ascii="宋体" w:hAnsi="宋体" w:cs="宋体"/>
          <w:color w:val="auto"/>
          <w:sz w:val="24"/>
          <w:szCs w:val="24"/>
          <w:highlight w:val="none"/>
          <w:u w:val="single"/>
        </w:rPr>
        <w:t>2）项约定承担违约责任外，</w:t>
      </w:r>
      <w:r>
        <w:rPr>
          <w:rFonts w:hint="eastAsia" w:ascii="宋体" w:hAnsi="宋体" w:cs="宋体"/>
          <w:color w:val="auto"/>
          <w:sz w:val="24"/>
          <w:szCs w:val="24"/>
          <w:highlight w:val="none"/>
          <w:u w:val="single"/>
        </w:rPr>
        <w:t>发包人可要求撤换项目负责人，承包人应予以执行，并在总工期不调整的前提下自行消化节点工期的延误。逾期</w:t>
      </w:r>
      <w:r>
        <w:rPr>
          <w:rFonts w:ascii="宋体" w:hAnsi="宋体" w:cs="宋体"/>
          <w:color w:val="auto"/>
          <w:sz w:val="24"/>
          <w:szCs w:val="24"/>
          <w:highlight w:val="none"/>
          <w:u w:val="single"/>
        </w:rPr>
        <w:t>20天未完成主要节点的施工任务时，属承包人进度严重违约行为，发包人可</w:t>
      </w:r>
      <w:r>
        <w:rPr>
          <w:rFonts w:hint="eastAsia" w:ascii="宋体" w:hAnsi="宋体" w:cs="宋体"/>
          <w:color w:val="auto"/>
          <w:sz w:val="24"/>
          <w:szCs w:val="24"/>
          <w:highlight w:val="none"/>
          <w:u w:val="single"/>
        </w:rPr>
        <w:t>单方面终止合同，将承包人作不良纪录报区建设行政主管部门备案。并由承包人承担相应的进度严重违约责任</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承包人承担的进度严重违约责任为：如果承包人出现进度严重违约事件，则须无条件接受发包人终止合同，并在接到终止合同通知书之日起</w:t>
      </w:r>
      <w:r>
        <w:rPr>
          <w:rFonts w:ascii="宋体" w:hAnsi="宋体" w:cs="宋体"/>
          <w:color w:val="auto"/>
          <w:sz w:val="24"/>
          <w:szCs w:val="24"/>
          <w:highlight w:val="none"/>
          <w:u w:val="single"/>
        </w:rPr>
        <w:t>5个</w:t>
      </w:r>
      <w:r>
        <w:rPr>
          <w:rFonts w:hint="eastAsia" w:ascii="宋体" w:hAnsi="宋体" w:cs="宋体"/>
          <w:color w:val="auto"/>
          <w:sz w:val="24"/>
          <w:szCs w:val="24"/>
          <w:highlight w:val="none"/>
          <w:u w:val="single"/>
        </w:rPr>
        <w:t>日历天内（发包人应予以配合），在监理工程师的监督下退场完毕。退场完毕后由监理工程师出具《退出完结证明书》，并据此进行相关结算。承包人按履约担保金额支付违约金。给发包人造成的损失超过履约担保金额的部分，承包人还应承担赔偿责任</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工程施工过程中（竣工验收前），承包人必须按发包人、监理人的要求及时为专业工程（电信、电力管线、电力走廊、煤气、道路绿化、路灯、交通设施等）提供工作面及为专业工程穿插施工所需各项配合工作给予方便，承包人应在施工方案中充分考虑专业工程穿插施工所需的穿插工作面及工期，由于承包人未能给予专业工程穿插施工，造成总施工工期的延误，施工工期不予顺延，承包人承担由于工期延误所产生的损失。因承包人原因造成其他专业工程工期延误的，从延误其他专业工程工期第一天起，每延误一天，承包人支付</w:t>
      </w:r>
      <w:r>
        <w:rPr>
          <w:rFonts w:ascii="宋体" w:hAnsi="宋体" w:cs="宋体"/>
          <w:color w:val="auto"/>
          <w:sz w:val="24"/>
          <w:szCs w:val="24"/>
          <w:highlight w:val="none"/>
          <w:u w:val="single"/>
        </w:rPr>
        <w:t>5000元违约金</w:t>
      </w:r>
      <w:r>
        <w:rPr>
          <w:rFonts w:hint="eastAsia" w:ascii="宋体" w:hAnsi="宋体" w:cs="宋体"/>
          <w:color w:val="auto"/>
          <w:sz w:val="24"/>
          <w:szCs w:val="24"/>
          <w:highlight w:val="none"/>
        </w:rPr>
        <w:t>。</w:t>
      </w:r>
    </w:p>
    <w:p>
      <w:pPr>
        <w:snapToGrid w:val="0"/>
        <w:spacing w:line="440" w:lineRule="exact"/>
        <w:ind w:firstLine="397"/>
        <w:rPr>
          <w:rFonts w:ascii="宋体" w:hAns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w:t>
      </w:r>
      <w:r>
        <w:rPr>
          <w:rFonts w:ascii="宋体" w:hAnsi="宋体" w:cs="宋体"/>
          <w:snapToGrid w:val="0"/>
          <w:color w:val="auto"/>
          <w:kern w:val="0"/>
          <w:sz w:val="24"/>
          <w:szCs w:val="24"/>
          <w:highlight w:val="none"/>
        </w:rPr>
        <w:t>6</w:t>
      </w:r>
      <w:r>
        <w:rPr>
          <w:rFonts w:hint="eastAsia" w:ascii="宋体" w:hAnsi="宋体" w:cs="宋体"/>
          <w:snapToGrid w:val="0"/>
          <w:color w:val="auto"/>
          <w:kern w:val="0"/>
          <w:sz w:val="24"/>
          <w:szCs w:val="24"/>
          <w:highlight w:val="none"/>
        </w:rPr>
        <w:t>）</w:t>
      </w:r>
      <w:r>
        <w:rPr>
          <w:rFonts w:hint="eastAsia" w:ascii="宋体" w:hAnsi="宋体" w:cs="宋体"/>
          <w:snapToGrid w:val="0"/>
          <w:color w:val="auto"/>
          <w:kern w:val="0"/>
          <w:sz w:val="24"/>
          <w:szCs w:val="24"/>
          <w:highlight w:val="none"/>
          <w:u w:val="single"/>
        </w:rPr>
        <w:t>承包人违反合同专用条款的约定和发包人的规定，逾期完成竣工档案的整理、移交、送审备案工作的，每逾期</w:t>
      </w:r>
      <w:r>
        <w:rPr>
          <w:rFonts w:ascii="宋体" w:hAnsi="宋体" w:cs="宋体"/>
          <w:snapToGrid w:val="0"/>
          <w:color w:val="auto"/>
          <w:kern w:val="0"/>
          <w:sz w:val="24"/>
          <w:szCs w:val="24"/>
          <w:highlight w:val="none"/>
          <w:u w:val="single"/>
        </w:rPr>
        <w:t>1天，承包人支付违约金5000元</w:t>
      </w:r>
      <w:r>
        <w:rPr>
          <w:rFonts w:hint="eastAsia" w:ascii="宋体" w:hAnsi="宋体" w:cs="宋体"/>
          <w:snapToGrid w:val="0"/>
          <w:color w:val="auto"/>
          <w:kern w:val="0"/>
          <w:sz w:val="24"/>
          <w:szCs w:val="24"/>
          <w:highlight w:val="none"/>
        </w:rPr>
        <w:t>。</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35.2.2</w:t>
      </w:r>
      <w:r>
        <w:rPr>
          <w:rFonts w:hint="eastAsia" w:ascii="宋体" w:hAnsi="宋体" w:cs="宋体"/>
          <w:color w:val="auto"/>
          <w:sz w:val="24"/>
          <w:szCs w:val="24"/>
          <w:highlight w:val="none"/>
        </w:rPr>
        <w:t>安全、文明施工要求及违约处理：</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承包人必须按本合同的约定编制施工组织设计（施工方案、包括安全文明施工措施），经过监理人和发包人审核确认后按其施工，不得随意更改。如果根据实际情况确需修改，则需经工程师及发包人审批同意。如果未经工程师及发包人审批同意而擅自更改施工组织设计（施工方案，包括安全文明施工措施）或不按照施工组织设计（施工方案，包括安全文明施工措施）施工，则发包人将扣减更改部分的造价（该造价按广东省相关综合定额和取费标准计算，不下浮）；同时，每擅自更改一次，承包人需支付</w:t>
      </w:r>
      <w:r>
        <w:rPr>
          <w:rFonts w:ascii="宋体" w:hAnsi="宋体" w:cs="宋体"/>
          <w:color w:val="auto"/>
          <w:sz w:val="24"/>
          <w:szCs w:val="24"/>
          <w:highlight w:val="none"/>
          <w:u w:val="single"/>
        </w:rPr>
        <w:t>10000</w:t>
      </w:r>
      <w:r>
        <w:rPr>
          <w:rFonts w:hint="eastAsia" w:ascii="宋体" w:hAnsi="宋体" w:cs="宋体"/>
          <w:color w:val="auto"/>
          <w:sz w:val="24"/>
          <w:szCs w:val="24"/>
          <w:highlight w:val="none"/>
          <w:u w:val="single"/>
        </w:rPr>
        <w:t>元人民币违约金给发包人</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承包人应严格遵守国家、省、市及开发区有关防火、爆破和施工安全以及文明施工、深夜施工、环卫和城市管理等规定，建立规章制度和防护措施，并组织施工。在相关部门的检查中，承包人施工场地被评为不合格工地或被通报批评或者被新闻媒体曝光的，每发生一次，承包人支付</w:t>
      </w:r>
      <w:r>
        <w:rPr>
          <w:rFonts w:ascii="宋体" w:hAnsi="宋体" w:cs="宋体"/>
          <w:color w:val="auto"/>
          <w:sz w:val="24"/>
          <w:szCs w:val="24"/>
          <w:highlight w:val="none"/>
          <w:u w:val="single"/>
        </w:rPr>
        <w:t>10000元违约金</w:t>
      </w:r>
      <w:r>
        <w:rPr>
          <w:rFonts w:hint="eastAsia" w:ascii="宋体" w:hAnsi="宋体" w:cs="宋体"/>
          <w:color w:val="auto"/>
          <w:sz w:val="24"/>
          <w:szCs w:val="24"/>
          <w:highlight w:val="none"/>
          <w:u w:val="single"/>
        </w:rPr>
        <w:t>，如发包人因此被相关部门处罚的，罚金由承包人承担</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u w:val="single"/>
        </w:rPr>
        <w:t>如果承包人未按招投标文件及本合同要求做好安全、文明施工相关措施，经监理工程师或发包人检查发现的，每发现一次，承包人支付</w:t>
      </w:r>
      <w:r>
        <w:rPr>
          <w:rFonts w:ascii="宋体" w:hAnsi="宋体" w:cs="宋体"/>
          <w:color w:val="auto"/>
          <w:sz w:val="24"/>
          <w:szCs w:val="24"/>
          <w:highlight w:val="none"/>
          <w:u w:val="single"/>
        </w:rPr>
        <w:t>5000元违约金，并按发包人或监理单位要求限期整改，未在限期内完成整改的，每延期一天，承包人支付10000元违约金</w:t>
      </w:r>
      <w:r>
        <w:rPr>
          <w:rFonts w:hint="eastAsia" w:ascii="宋体" w:hAnsi="宋体" w:cs="宋体"/>
          <w:color w:val="auto"/>
          <w:sz w:val="24"/>
          <w:szCs w:val="24"/>
          <w:highlight w:val="none"/>
        </w:rPr>
        <w:t>。</w:t>
      </w:r>
    </w:p>
    <w:p>
      <w:pPr>
        <w:snapToGrid w:val="0"/>
        <w:spacing w:line="440" w:lineRule="exact"/>
        <w:ind w:firstLine="397"/>
        <w:rPr>
          <w:rFonts w:ascii="宋体" w:hAnsi="宋体" w:cs="宋体"/>
          <w:snapToGrid w:val="0"/>
          <w:color w:val="auto"/>
          <w:kern w:val="0"/>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u w:val="single"/>
        </w:rPr>
        <w:t>在施工过程中发生安全事故的，除按照国家、省、市规定进行处理外。若导致人员伤亡的，承包人按下列办法支付违约金：如发生死亡事故，死亡</w:t>
      </w:r>
      <w:r>
        <w:rPr>
          <w:rFonts w:ascii="宋体" w:hAnsi="宋体" w:cs="宋体"/>
          <w:color w:val="auto"/>
          <w:sz w:val="24"/>
          <w:szCs w:val="24"/>
          <w:highlight w:val="none"/>
          <w:u w:val="single"/>
        </w:rPr>
        <w:t>1人，</w:t>
      </w:r>
      <w:r>
        <w:rPr>
          <w:rFonts w:hint="eastAsia" w:ascii="宋体" w:hAnsi="宋体" w:cs="宋体"/>
          <w:color w:val="auto"/>
          <w:sz w:val="24"/>
          <w:szCs w:val="24"/>
          <w:highlight w:val="none"/>
          <w:u w:val="single"/>
        </w:rPr>
        <w:t>支付</w:t>
      </w:r>
      <w:r>
        <w:rPr>
          <w:rFonts w:ascii="宋体" w:hAnsi="宋体" w:cs="宋体"/>
          <w:color w:val="auto"/>
          <w:sz w:val="24"/>
          <w:szCs w:val="24"/>
          <w:highlight w:val="none"/>
          <w:u w:val="single"/>
        </w:rPr>
        <w:t>20万元；死亡2人，</w:t>
      </w:r>
      <w:r>
        <w:rPr>
          <w:rFonts w:hint="eastAsia" w:ascii="宋体" w:hAnsi="宋体" w:cs="宋体"/>
          <w:color w:val="auto"/>
          <w:sz w:val="24"/>
          <w:szCs w:val="24"/>
          <w:highlight w:val="none"/>
          <w:u w:val="single"/>
        </w:rPr>
        <w:t>支付</w:t>
      </w:r>
      <w:r>
        <w:rPr>
          <w:rFonts w:ascii="宋体" w:hAnsi="宋体" w:cs="宋体"/>
          <w:color w:val="auto"/>
          <w:sz w:val="24"/>
          <w:szCs w:val="24"/>
          <w:highlight w:val="none"/>
          <w:u w:val="single"/>
        </w:rPr>
        <w:t>40万元；死亡3人或以上，</w:t>
      </w:r>
      <w:r>
        <w:rPr>
          <w:rFonts w:hint="eastAsia" w:ascii="宋体" w:hAnsi="宋体" w:cs="宋体"/>
          <w:color w:val="auto"/>
          <w:sz w:val="24"/>
          <w:szCs w:val="24"/>
          <w:highlight w:val="none"/>
          <w:u w:val="single"/>
        </w:rPr>
        <w:t>支付</w:t>
      </w:r>
      <w:r>
        <w:rPr>
          <w:rFonts w:ascii="宋体" w:hAnsi="宋体" w:cs="宋体"/>
          <w:color w:val="auto"/>
          <w:sz w:val="24"/>
          <w:szCs w:val="24"/>
          <w:highlight w:val="none"/>
          <w:u w:val="single"/>
        </w:rPr>
        <w:t>80万元。如发生重伤事故，重伤1人，</w:t>
      </w:r>
      <w:r>
        <w:rPr>
          <w:rFonts w:hint="eastAsia" w:ascii="宋体" w:hAnsi="宋体" w:cs="宋体"/>
          <w:color w:val="auto"/>
          <w:sz w:val="24"/>
          <w:szCs w:val="24"/>
          <w:highlight w:val="none"/>
          <w:u w:val="single"/>
        </w:rPr>
        <w:t>支付</w:t>
      </w:r>
      <w:r>
        <w:rPr>
          <w:rFonts w:ascii="宋体" w:hAnsi="宋体" w:cs="宋体"/>
          <w:color w:val="auto"/>
          <w:sz w:val="24"/>
          <w:szCs w:val="24"/>
          <w:highlight w:val="none"/>
          <w:u w:val="single"/>
        </w:rPr>
        <w:t>10万元；重伤2人，</w:t>
      </w:r>
      <w:r>
        <w:rPr>
          <w:rFonts w:hint="eastAsia" w:ascii="宋体" w:hAnsi="宋体" w:cs="宋体"/>
          <w:color w:val="auto"/>
          <w:sz w:val="24"/>
          <w:szCs w:val="24"/>
          <w:highlight w:val="none"/>
          <w:u w:val="single"/>
        </w:rPr>
        <w:t>支付</w:t>
      </w:r>
      <w:r>
        <w:rPr>
          <w:rFonts w:ascii="宋体" w:hAnsi="宋体" w:cs="宋体"/>
          <w:color w:val="auto"/>
          <w:sz w:val="24"/>
          <w:szCs w:val="24"/>
          <w:highlight w:val="none"/>
          <w:u w:val="single"/>
        </w:rPr>
        <w:t>20万元；重伤3人或以上，</w:t>
      </w:r>
      <w:r>
        <w:rPr>
          <w:rFonts w:hint="eastAsia" w:ascii="宋体" w:hAnsi="宋体" w:cs="宋体"/>
          <w:color w:val="auto"/>
          <w:sz w:val="24"/>
          <w:szCs w:val="24"/>
          <w:highlight w:val="none"/>
          <w:u w:val="single"/>
        </w:rPr>
        <w:t>支付</w:t>
      </w:r>
      <w:r>
        <w:rPr>
          <w:rFonts w:ascii="宋体" w:hAnsi="宋体" w:cs="宋体"/>
          <w:color w:val="auto"/>
          <w:sz w:val="24"/>
          <w:szCs w:val="24"/>
          <w:highlight w:val="none"/>
          <w:u w:val="single"/>
        </w:rPr>
        <w:t>40万元。因承包人原因发生一般安全事故，未造成人员伤亡</w:t>
      </w:r>
      <w:r>
        <w:rPr>
          <w:rFonts w:hint="eastAsia" w:ascii="宋体" w:hAnsi="宋体" w:cs="宋体"/>
          <w:color w:val="auto"/>
          <w:sz w:val="24"/>
          <w:szCs w:val="24"/>
          <w:highlight w:val="none"/>
          <w:u w:val="single"/>
        </w:rPr>
        <w:t>或造成人员轻伤及轻微财产损失的，每发生一次，承包人支付违约金</w:t>
      </w:r>
      <w:r>
        <w:rPr>
          <w:rFonts w:ascii="宋体" w:hAnsi="宋体" w:cs="宋体"/>
          <w:color w:val="auto"/>
          <w:sz w:val="24"/>
          <w:szCs w:val="24"/>
          <w:highlight w:val="none"/>
          <w:u w:val="single"/>
        </w:rPr>
        <w:t>5000元</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在本工程余泥渣土清运施工和建筑垃圾排放运输时，承包人必须严格执行《广州市建筑废弃物管理条例（</w:t>
      </w:r>
      <w:r>
        <w:rPr>
          <w:rFonts w:ascii="宋体" w:hAnsi="宋体" w:cs="宋体"/>
          <w:color w:val="auto"/>
          <w:sz w:val="24"/>
          <w:szCs w:val="24"/>
          <w:highlight w:val="none"/>
          <w:u w:val="single"/>
        </w:rPr>
        <w:t>2015年修正本）》</w:t>
      </w:r>
      <w:r>
        <w:rPr>
          <w:rFonts w:hint="eastAsia" w:ascii="宋体" w:hAnsi="宋体" w:cs="宋体"/>
          <w:color w:val="auto"/>
          <w:sz w:val="24"/>
          <w:szCs w:val="24"/>
          <w:highlight w:val="none"/>
          <w:u w:val="single"/>
        </w:rPr>
        <w:t>、《广州市市容环境卫生管理规定》、《广州市建设工程现场文明施工管理办法》《关于加强施工现场余泥渣土排放管理工作的通知》（穗建筑【</w:t>
      </w:r>
      <w:r>
        <w:rPr>
          <w:rFonts w:ascii="宋体" w:hAnsi="宋体" w:cs="宋体"/>
          <w:color w:val="auto"/>
          <w:sz w:val="24"/>
          <w:szCs w:val="24"/>
          <w:highlight w:val="none"/>
          <w:u w:val="single"/>
        </w:rPr>
        <w:t>2008】60号）等广州市、</w:t>
      </w:r>
      <w:r>
        <w:rPr>
          <w:rFonts w:hint="eastAsia" w:ascii="宋体" w:hAnsi="宋体" w:cs="宋体"/>
          <w:color w:val="auto"/>
          <w:sz w:val="24"/>
          <w:szCs w:val="24"/>
          <w:highlight w:val="none"/>
          <w:u w:val="single"/>
        </w:rPr>
        <w:t>黄埔</w:t>
      </w:r>
      <w:r>
        <w:rPr>
          <w:rFonts w:ascii="宋体" w:hAnsi="宋体" w:cs="宋体"/>
          <w:color w:val="auto"/>
          <w:sz w:val="24"/>
          <w:szCs w:val="24"/>
          <w:highlight w:val="none"/>
          <w:u w:val="single"/>
        </w:rPr>
        <w:t>区相关管理规定的标准和要求，保证落实“</w:t>
      </w:r>
      <w:r>
        <w:rPr>
          <w:rFonts w:hint="eastAsia" w:ascii="宋体" w:hAnsi="宋体" w:cs="宋体"/>
          <w:color w:val="auto"/>
          <w:sz w:val="24"/>
          <w:szCs w:val="24"/>
          <w:highlight w:val="none"/>
          <w:u w:val="single"/>
        </w:rPr>
        <w:t>一不准进，三不准出”规定，办齐排放有关证照，雇请有合格准运证车辆和具备资质的运输企业，设立专职人员管理余泥渣土、建筑垃圾的运输工作，并对分包单位依法排放余泥渣土、建筑垃圾进行监管。承包人因违反本款约定所造成的一切责任后果全部由承包人承担。经发包人或相关部门检查发现承包人未执行本款约定的，每发现一次，承包人支付</w:t>
      </w:r>
      <w:r>
        <w:rPr>
          <w:rFonts w:ascii="宋体" w:hAnsi="宋体" w:cs="宋体"/>
          <w:color w:val="auto"/>
          <w:sz w:val="24"/>
          <w:szCs w:val="24"/>
          <w:highlight w:val="none"/>
          <w:u w:val="single"/>
        </w:rPr>
        <w:t>5000元违约金。同时，发包人将根据承包人</w:t>
      </w:r>
      <w:r>
        <w:rPr>
          <w:rFonts w:hint="eastAsia" w:ascii="宋体" w:hAnsi="宋体" w:cs="宋体"/>
          <w:color w:val="auto"/>
          <w:sz w:val="24"/>
          <w:szCs w:val="24"/>
          <w:highlight w:val="none"/>
          <w:u w:val="single"/>
        </w:rPr>
        <w:t>违反余泥渣土运输管理有关规定而造成的不良后果的严重程度，上报区建设行政主管部门进行处理</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35.2.3工程质量方面的违约责任</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1）承包人必须保证用于本合同工程所有的材料设备的品牌、型号、规格、质量等符合本合同及招投标文件的要求，严禁假冒伪劣产品，严禁以次充好，严禁未经发包人批准即以其他产品（包括承包人的产品）顶替本合同及招投标文件中规定的产品。承包人在施工中偷工减料、使用不合格的建筑材料、建筑构配件或设备、不按照工程设计图纸、施工技术标准施工，或者未对建筑材料、建筑构配件、设备、商品混凝土进行检验，或者未对涉及结构安全的试块、试件以及有关材料取样送检的，应负责无偿修理或返工，并应支付合同价款百分之二的违约金给发包人</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2）承包人在缺陷责任期内，未能对工程接收证书所列的缺陷清单的内容或缺陷责任期内发生的缺陷进行修复，而又拒绝按监理人指示再进行修复，发包人可委托其他单位修复，所需费用由承包人承担，发包人可在工程质量保修金中抵扣，保修金不足抵扣的，由承包人另行支付。</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3）对施工质量问题存在争议，应请国家认可的第三方机构出具检测报告，检测费用由责任方承担。</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u w:val="single"/>
        </w:rPr>
        <w:t>35.2.4关于第三方质量安全评估的违约责任：</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承包人应严格遵守中心制定的建设工程第三方质量安全评估服务相关管理办法，配合完成第三方质量安全评估工作。根据每次评估结果，经评估确定为一般违约情况的，承包人每次应支付</w:t>
      </w:r>
      <w:r>
        <w:rPr>
          <w:rFonts w:ascii="宋体" w:hAnsi="宋体" w:cs="宋体"/>
          <w:color w:val="auto"/>
          <w:sz w:val="24"/>
          <w:szCs w:val="24"/>
          <w:highlight w:val="none"/>
          <w:u w:val="single"/>
        </w:rPr>
        <w:t>10000元违约金给发包人；经评估确定为严重违约情况的，承包人每次应支付50000元违约金给发包人。</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35.2.5关于农民工工资支付的违约责任</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u w:val="single"/>
        </w:rPr>
        <w:t>承包人拖欠农民工工资（含代发的分包单位工人工资），被农民工投诉属实的，承包人必须在</w:t>
      </w:r>
      <w:r>
        <w:rPr>
          <w:rFonts w:ascii="宋体" w:hAnsi="宋体" w:cs="宋体"/>
          <w:color w:val="auto"/>
          <w:sz w:val="24"/>
          <w:szCs w:val="24"/>
          <w:highlight w:val="none"/>
          <w:u w:val="single"/>
        </w:rPr>
        <w:t>3天内发放拖欠的款项。若继续拖延被投诉2次及以上，经查实，承包人除应立即支付拖欠款项外，还应支付10000</w:t>
      </w:r>
      <w:r>
        <w:rPr>
          <w:rFonts w:hint="eastAsia" w:ascii="宋体" w:hAnsi="宋体" w:cs="宋体"/>
          <w:color w:val="auto"/>
          <w:sz w:val="24"/>
          <w:szCs w:val="24"/>
          <w:highlight w:val="none"/>
          <w:u w:val="single"/>
        </w:rPr>
        <w:t>违约金给发包人。因承包人拖欠农民工工资，导致农民工采取停工、集聚围阻发包人办公地点甚至政府办公部门等过激行动的，承包人应支付</w:t>
      </w:r>
      <w:r>
        <w:rPr>
          <w:rFonts w:ascii="宋体" w:hAnsi="宋体" w:cs="宋体"/>
          <w:color w:val="auto"/>
          <w:sz w:val="24"/>
          <w:szCs w:val="24"/>
          <w:highlight w:val="none"/>
          <w:u w:val="single"/>
        </w:rPr>
        <w:t>50000</w:t>
      </w:r>
      <w:r>
        <w:rPr>
          <w:rFonts w:hint="eastAsia" w:ascii="宋体" w:hAnsi="宋体" w:cs="宋体"/>
          <w:color w:val="auto"/>
          <w:sz w:val="24"/>
          <w:szCs w:val="24"/>
          <w:highlight w:val="none"/>
          <w:u w:val="single"/>
        </w:rPr>
        <w:t>元违约金，并立即采取切实有效措施予以整改；拒不采取切实有效措施整改的，或整改效果不明显的，发包人可用承包人工程款垫付。若承包人在本工程内发生无故拖欠农民工工资现象，将被作不良记录，上报区建设行政主管部门</w:t>
      </w:r>
      <w:r>
        <w:rPr>
          <w:rFonts w:hint="eastAsia" w:ascii="宋体" w:hAnsi="宋体" w:cs="宋体"/>
          <w:color w:val="auto"/>
          <w:sz w:val="24"/>
          <w:szCs w:val="24"/>
          <w:highlight w:val="none"/>
        </w:rPr>
        <w:t>。</w:t>
      </w:r>
    </w:p>
    <w:p>
      <w:pPr>
        <w:pStyle w:val="44"/>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35.2.6</w:t>
      </w:r>
      <w:r>
        <w:rPr>
          <w:rFonts w:hint="eastAsia" w:ascii="宋体" w:hAnsi="宋体" w:cs="宋体"/>
          <w:color w:val="auto"/>
          <w:sz w:val="24"/>
          <w:szCs w:val="24"/>
          <w:highlight w:val="none"/>
        </w:rPr>
        <w:t>项目管理机构人员、机械设备、劳动力到位方面的违约责任：</w:t>
      </w:r>
    </w:p>
    <w:p>
      <w:pPr>
        <w:pStyle w:val="44"/>
        <w:numPr>
          <w:ilvl w:val="0"/>
          <w:numId w:val="3"/>
        </w:num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承包人必须保证投标文件中确定的项目负责人及其项目技术负责人、主要施工管理人员能及时地、始终地参与本工程施工管理，在未征得发包人书面同意之前不得更换。如未征得发包人书面同意，擅自更换项目负责人或项目技术负责人的，承包人每更换一人次，需支付</w:t>
      </w:r>
      <w:r>
        <w:rPr>
          <w:rFonts w:ascii="宋体" w:hAnsi="宋体" w:cs="宋体"/>
          <w:color w:val="auto"/>
          <w:sz w:val="24"/>
          <w:szCs w:val="24"/>
          <w:highlight w:val="none"/>
          <w:u w:val="single"/>
        </w:rPr>
        <w:t>50000元违约金给发包人，擅自更换主要施工管理人员的，每更换一人次，承包人需支付30000元违约金给发包人</w:t>
      </w:r>
      <w:r>
        <w:rPr>
          <w:rFonts w:hint="eastAsia" w:ascii="宋体" w:hAnsi="宋体" w:cs="宋体"/>
          <w:color w:val="auto"/>
          <w:sz w:val="24"/>
          <w:szCs w:val="24"/>
          <w:highlight w:val="none"/>
        </w:rPr>
        <w:t>。但征得</w:t>
      </w:r>
      <w:r>
        <w:rPr>
          <w:rFonts w:hint="eastAsia" w:ascii="宋体" w:hAnsi="宋体" w:cs="宋体"/>
          <w:color w:val="auto"/>
          <w:sz w:val="24"/>
          <w:szCs w:val="24"/>
          <w:highlight w:val="none"/>
          <w:u w:val="single"/>
        </w:rPr>
        <w:t>发包人书面同意更换或因发包人按本协议要求更换仍需支付违约金，具体为：更换项目负责人或项目技术负责人的，承包人每更换一人次，需支付</w:t>
      </w:r>
      <w:r>
        <w:rPr>
          <w:rFonts w:ascii="宋体" w:hAnsi="宋体" w:cs="宋体"/>
          <w:color w:val="auto"/>
          <w:sz w:val="24"/>
          <w:szCs w:val="24"/>
          <w:highlight w:val="none"/>
          <w:u w:val="single"/>
        </w:rPr>
        <w:t>30000元违约金给发包人，更换主要施工管理人员的，每更换一人次，承包人需支付10000元违约金给发包人</w:t>
      </w:r>
    </w:p>
    <w:p>
      <w:pPr>
        <w:pStyle w:val="44"/>
        <w:snapToGrid w:val="0"/>
        <w:spacing w:line="440" w:lineRule="exact"/>
        <w:rPr>
          <w:rFonts w:ascii="宋体" w:hAnsi="宋体" w:cs="宋体"/>
          <w:color w:val="auto"/>
          <w:sz w:val="24"/>
          <w:szCs w:val="24"/>
          <w:highlight w:val="none"/>
          <w:u w:val="single"/>
        </w:rPr>
      </w:pPr>
      <w:r>
        <w:rPr>
          <w:rFonts w:ascii="宋体" w:hAnsi="宋体" w:cs="宋体"/>
          <w:color w:val="auto"/>
          <w:sz w:val="24"/>
          <w:szCs w:val="24"/>
          <w:highlight w:val="none"/>
        </w:rPr>
        <w:t xml:space="preserve">    （2</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如果承包人未按投标文件中的《拟投入本工程施工的主要机械设备配备表》投入机械设备，经监理工程师或发包人代表检查发现的，将书面告知限期整改，未在限期内完成整改的，每延期一天，承包人需支付</w:t>
      </w:r>
      <w:r>
        <w:rPr>
          <w:rFonts w:ascii="宋体" w:hAnsi="宋体" w:cs="宋体"/>
          <w:color w:val="auto"/>
          <w:sz w:val="24"/>
          <w:szCs w:val="24"/>
          <w:highlight w:val="none"/>
          <w:u w:val="single"/>
        </w:rPr>
        <w:t>10000元违约金给发包人。且承包人应按照本合同相关约定投入相应比例的新能源工程车，否则发包人有权要求其限期整改，逾期不整改的，每缺少提供一台，承包人支付违约金20000元/台。</w:t>
      </w:r>
    </w:p>
    <w:p>
      <w:pPr>
        <w:pStyle w:val="44"/>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如果承包人未投标文件中的人力投入计划投入人力，经监理工程师和发包人代表检查发现的，每发现一次，承包人支付</w:t>
      </w:r>
      <w:r>
        <w:rPr>
          <w:rFonts w:ascii="宋体" w:hAnsi="宋体" w:cs="宋体"/>
          <w:color w:val="auto"/>
          <w:sz w:val="24"/>
          <w:szCs w:val="24"/>
          <w:highlight w:val="none"/>
          <w:u w:val="single"/>
        </w:rPr>
        <w:t>10000元违约金给发包人</w:t>
      </w:r>
      <w:r>
        <w:rPr>
          <w:rFonts w:hint="eastAsia" w:ascii="宋体" w:hAnsi="宋体" w:cs="宋体"/>
          <w:color w:val="auto"/>
          <w:sz w:val="24"/>
          <w:szCs w:val="24"/>
          <w:highlight w:val="none"/>
        </w:rPr>
        <w:t>。</w:t>
      </w:r>
    </w:p>
    <w:p>
      <w:pPr>
        <w:pStyle w:val="44"/>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如果检查发现承包人超过三次未按承诺投入的人力、机械、物力组织施工，发包人将作为不良纪录报区建设行政主管部门备案。如果检查发现承包人没有按施工组织设计的进度安排推进工程建设，使主要工序的工期延误超过</w:t>
      </w:r>
      <w:r>
        <w:rPr>
          <w:rFonts w:ascii="宋体" w:hAnsi="宋体" w:cs="宋体"/>
          <w:color w:val="auto"/>
          <w:sz w:val="24"/>
          <w:szCs w:val="24"/>
          <w:highlight w:val="none"/>
          <w:u w:val="single"/>
        </w:rPr>
        <w:t>10天，没有按发包人的意见撤换现场负责人；或者按发包人的意见撤换现场负责人后，仍然无法有效控制工程进度，</w:t>
      </w:r>
      <w:r>
        <w:rPr>
          <w:rFonts w:hint="eastAsia" w:ascii="宋体" w:hAnsi="宋体" w:cs="宋体"/>
          <w:color w:val="auto"/>
          <w:sz w:val="24"/>
          <w:szCs w:val="24"/>
          <w:highlight w:val="none"/>
          <w:u w:val="single"/>
        </w:rPr>
        <w:t>承包人除需按本条第（</w:t>
      </w:r>
      <w:r>
        <w:rPr>
          <w:rFonts w:ascii="宋体" w:hAnsi="宋体" w:cs="宋体"/>
          <w:color w:val="auto"/>
          <w:sz w:val="24"/>
          <w:szCs w:val="24"/>
          <w:highlight w:val="none"/>
          <w:u w:val="single"/>
        </w:rPr>
        <w:t>1）项支付违约金外，发包人将发出书面警告，警告发出后15</w:t>
      </w:r>
      <w:r>
        <w:rPr>
          <w:rFonts w:hint="eastAsia" w:ascii="宋体" w:hAnsi="宋体" w:cs="宋体"/>
          <w:color w:val="auto"/>
          <w:sz w:val="24"/>
          <w:szCs w:val="24"/>
          <w:highlight w:val="none"/>
          <w:u w:val="single"/>
        </w:rPr>
        <w:t>天内，主要工序的工期延误仍然超过</w:t>
      </w:r>
      <w:r>
        <w:rPr>
          <w:rFonts w:ascii="宋体" w:hAnsi="宋体" w:cs="宋体"/>
          <w:color w:val="auto"/>
          <w:sz w:val="24"/>
          <w:szCs w:val="24"/>
          <w:highlight w:val="none"/>
          <w:u w:val="single"/>
        </w:rPr>
        <w:t>10天，发包人将作为不良纪录报区建</w:t>
      </w:r>
      <w:r>
        <w:rPr>
          <w:rFonts w:hint="eastAsia" w:ascii="宋体" w:hAnsi="宋体" w:cs="宋体"/>
          <w:color w:val="auto"/>
          <w:sz w:val="24"/>
          <w:szCs w:val="24"/>
          <w:highlight w:val="none"/>
          <w:u w:val="single"/>
        </w:rPr>
        <w:t>设行政主管部门备案。对此，承包人不得有异议</w:t>
      </w:r>
      <w:r>
        <w:rPr>
          <w:rFonts w:hint="eastAsia" w:ascii="宋体" w:hAnsi="宋体" w:cs="宋体"/>
          <w:color w:val="auto"/>
          <w:sz w:val="24"/>
          <w:szCs w:val="24"/>
          <w:highlight w:val="none"/>
        </w:rPr>
        <w:t>。</w:t>
      </w:r>
    </w:p>
    <w:p>
      <w:pPr>
        <w:pStyle w:val="44"/>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承包人的项目负责人、技术负责人、安全负责人、质量负责人、防火负责人等必须常驻施工现场，且须无条件参加每周的工地例会以及发包人书面通知的其它会议，如有缺席，则每人每缺席一次，承包人需支付</w:t>
      </w:r>
      <w:r>
        <w:rPr>
          <w:rFonts w:ascii="宋体" w:hAnsi="宋体" w:cs="宋体"/>
          <w:color w:val="auto"/>
          <w:sz w:val="24"/>
          <w:szCs w:val="24"/>
          <w:highlight w:val="none"/>
          <w:u w:val="single"/>
        </w:rPr>
        <w:t>5000元人民币违约金</w:t>
      </w:r>
      <w:r>
        <w:rPr>
          <w:rFonts w:hint="eastAsia" w:ascii="宋体" w:hAnsi="宋体" w:cs="宋体"/>
          <w:color w:val="auto"/>
          <w:sz w:val="24"/>
          <w:szCs w:val="24"/>
          <w:highlight w:val="none"/>
        </w:rPr>
        <w:t>。</w:t>
      </w:r>
    </w:p>
    <w:p>
      <w:pPr>
        <w:snapToGrid w:val="0"/>
        <w:spacing w:line="440" w:lineRule="exact"/>
        <w:rPr>
          <w:rFonts w:ascii="宋体" w:hAnsi="宋体" w:cs="宋体"/>
          <w:color w:val="auto"/>
          <w:sz w:val="24"/>
          <w:szCs w:val="24"/>
          <w:highlight w:val="none"/>
        </w:rPr>
      </w:pPr>
      <w:r>
        <w:rPr>
          <w:rFonts w:ascii="宋体" w:hAnsi="宋体" w:cs="宋体"/>
          <w:color w:val="auto"/>
          <w:sz w:val="24"/>
          <w:szCs w:val="24"/>
          <w:highlight w:val="none"/>
        </w:rPr>
        <w:t xml:space="preserve">    35.2.7工程转包违约责任</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u w:val="single"/>
        </w:rPr>
        <w:t>合同约定的工程项目承包人不得转包，必须分包的少量子项工程和专业工程，事先需取得监理人、发包人的审查同意后方可进场施工。否则，发包人有权单方面终止合同，并令其立即退场，工程项目另行处理，承包人还应按履约担保金额支付违约金，发包人的损失超过履约担保金额的部分，承包人还应承担赔偿责任</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承包人在本工程中有转包、转让、出借资质证书或者以其他方式允许他人以本企业的名义承揽工程的，发包人将解除合同，承包人按合同价的</w:t>
      </w:r>
      <w:r>
        <w:rPr>
          <w:rFonts w:ascii="宋体" w:hAnsi="宋体" w:cs="宋体"/>
          <w:color w:val="auto"/>
          <w:sz w:val="24"/>
          <w:szCs w:val="24"/>
          <w:highlight w:val="none"/>
          <w:u w:val="single"/>
        </w:rPr>
        <w:t>10%承担违约金。因此导致发包人损失超出违约金的部分，承包人应负责赔偿。</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35.2.8解除合同的违约责任</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u w:val="single"/>
        </w:rPr>
        <w:t>35.2.8.1因承包人严重违约</w:t>
      </w:r>
      <w:r>
        <w:rPr>
          <w:rFonts w:hint="eastAsia" w:ascii="宋体" w:hAnsi="宋体" w:cs="宋体"/>
          <w:color w:val="auto"/>
          <w:sz w:val="24"/>
          <w:szCs w:val="24"/>
          <w:highlight w:val="none"/>
          <w:u w:val="single"/>
        </w:rPr>
        <w:t>导致发包人单方面解除合同或承包人违约擅自解除合同的，承包人应向发包人支付本合同价款</w:t>
      </w:r>
      <w:r>
        <w:rPr>
          <w:rFonts w:ascii="宋体" w:hAnsi="宋体" w:cs="宋体"/>
          <w:color w:val="auto"/>
          <w:sz w:val="24"/>
          <w:szCs w:val="24"/>
          <w:highlight w:val="none"/>
          <w:u w:val="single"/>
        </w:rPr>
        <w:t>10%的违约金，因解除合同导致发包人的损失超过违约金的部分，承包人还应承担赔偿责任。合同解除后，承包人应妥善做好已完工程和已购材料、设备的保护和移交工作。发包人可派员进驻施工场地，另行组织人员或委托其他承包人施工。发包人因继续完成该工程的需要，有权扣留使用承包人在现场的材料、设备和临时设施，也可要求承包人自行将自有机械设备和人员撤出施工场地，但发包人的这一行为不免除承包人应承担的违约责任，也不影响发包人根据合同约定享有的索赔权利。</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u w:val="single"/>
        </w:rPr>
        <w:t>35.2.8.2不适用通用条款44.6条的约定。</w:t>
      </w:r>
    </w:p>
    <w:p>
      <w:pPr>
        <w:tabs>
          <w:tab w:val="left" w:pos="8280"/>
        </w:tabs>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35.2.9</w:t>
      </w:r>
      <w:r>
        <w:rPr>
          <w:rFonts w:hint="eastAsia" w:ascii="宋体" w:hAnsi="宋体" w:cs="宋体"/>
          <w:color w:val="auto"/>
          <w:sz w:val="24"/>
          <w:szCs w:val="24"/>
          <w:highlight w:val="none"/>
        </w:rPr>
        <w:t>办理结算的违约责任：</w:t>
      </w:r>
    </w:p>
    <w:p>
      <w:pPr>
        <w:tabs>
          <w:tab w:val="left" w:pos="8280"/>
        </w:tabs>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承包人不执行《广州开发区财政投资建设项目管理中心施工类合同结算编审指引（试行）》有关规定的，须按该指引有关规定承担违约责任</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35.2.10</w:t>
      </w:r>
      <w:r>
        <w:rPr>
          <w:rFonts w:hint="eastAsia" w:ascii="宋体" w:hAnsi="宋体" w:cs="宋体"/>
          <w:color w:val="auto"/>
          <w:sz w:val="24"/>
          <w:szCs w:val="24"/>
          <w:highlight w:val="none"/>
          <w:u w:val="single"/>
        </w:rPr>
        <w:t>除上述违约责任外，因承包人履行本合同不符合约定或相关规定，发包人可根据实际情况，给予承包人通报批评及作不良记录等处罚措施；情节严重的，可报请上级行政主管部门给予相应处罚</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u w:val="single"/>
        </w:rPr>
        <w:t>35.2.11</w:t>
      </w:r>
      <w:r>
        <w:rPr>
          <w:rFonts w:hint="eastAsia" w:ascii="宋体" w:hAnsi="宋体" w:cs="宋体"/>
          <w:color w:val="auto"/>
          <w:sz w:val="24"/>
          <w:szCs w:val="24"/>
          <w:highlight w:val="none"/>
          <w:u w:val="single"/>
        </w:rPr>
        <w:t>承包人违约责任的认定方式、送达程序及违约金的处理</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1）认定方式：以发包人发出的通知、通报、会议纪要等书面文件确定的内容为准。</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2）送达程序：发包人以下列方式之一将书面违约处理决定送达承包人：</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u w:val="single"/>
        </w:rPr>
        <w:t>1）承包人现场管理机构工作人员签收。</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u w:val="single"/>
        </w:rPr>
        <w:t>2）承包人其他工作人员签收。</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u w:val="single"/>
        </w:rPr>
        <w:t>3）发包人邮寄送达。</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3）发包人以书面形式作出的违约处理决定一经送达承包人立即生效。承包人如有足够证据证明不应由其承担违约责任的，应在收到违约处理决定后3天内以书面形式向发包人提出异议并附上有关证据。发包人在收到承包人的异议后15个工作日内审核完毕且作出书面决定并通知承包人。在异议审核期间，承包人须正常施工，不得以审核未确定为由拖延或者中止工程施工。</w:t>
      </w:r>
    </w:p>
    <w:p>
      <w:pPr>
        <w:snapToGrid w:val="0"/>
        <w:spacing w:line="440" w:lineRule="exact"/>
        <w:ind w:firstLine="397"/>
        <w:rPr>
          <w:rFonts w:ascii="宋体" w:hAnsi="宋体" w:cs="宋体"/>
          <w:b/>
          <w:color w:val="auto"/>
          <w:sz w:val="24"/>
          <w:highlight w:val="none"/>
        </w:rPr>
      </w:pPr>
      <w:r>
        <w:rPr>
          <w:rFonts w:ascii="宋体" w:hAnsi="宋体" w:cs="宋体"/>
          <w:b/>
          <w:color w:val="auto"/>
          <w:sz w:val="24"/>
          <w:highlight w:val="none"/>
        </w:rPr>
        <w:t>37</w:t>
      </w:r>
      <w:r>
        <w:rPr>
          <w:rFonts w:hint="eastAsia" w:ascii="宋体" w:hAnsi="宋体" w:cs="宋体"/>
          <w:b/>
          <w:color w:val="auto"/>
          <w:sz w:val="24"/>
          <w:highlight w:val="none"/>
        </w:rPr>
        <w:t>、争议</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37.1</w:t>
      </w:r>
      <w:r>
        <w:rPr>
          <w:rFonts w:hint="eastAsia" w:ascii="宋体" w:hAnsi="宋体" w:cs="宋体"/>
          <w:color w:val="auto"/>
          <w:sz w:val="24"/>
          <w:szCs w:val="24"/>
          <w:highlight w:val="none"/>
        </w:rPr>
        <w:t>双方约定，在履行合同过程中产生争议时：</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）由双方协商解决；</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）协商不成的，向</w:t>
      </w:r>
      <w:r>
        <w:rPr>
          <w:rFonts w:hint="eastAsia" w:ascii="宋体" w:hAnsi="宋体" w:cs="宋体"/>
          <w:color w:val="auto"/>
          <w:sz w:val="24"/>
          <w:szCs w:val="24"/>
          <w:highlight w:val="none"/>
          <w:u w:val="single"/>
        </w:rPr>
        <w:t>工程所在地</w:t>
      </w:r>
      <w:r>
        <w:rPr>
          <w:rFonts w:hint="eastAsia" w:ascii="宋体" w:hAnsi="宋体" w:cs="宋体"/>
          <w:color w:val="auto"/>
          <w:sz w:val="24"/>
          <w:szCs w:val="24"/>
          <w:highlight w:val="none"/>
        </w:rPr>
        <w:t>人民法院提起诉讼。</w:t>
      </w:r>
    </w:p>
    <w:p>
      <w:pPr>
        <w:snapToGrid w:val="0"/>
        <w:spacing w:line="440" w:lineRule="exact"/>
        <w:ind w:firstLine="397"/>
        <w:rPr>
          <w:rFonts w:ascii="宋体" w:hAnsi="宋体" w:cs="宋体"/>
          <w:b/>
          <w:color w:val="auto"/>
          <w:sz w:val="24"/>
          <w:highlight w:val="none"/>
        </w:rPr>
      </w:pPr>
      <w:r>
        <w:rPr>
          <w:rFonts w:hint="eastAsia" w:ascii="宋体" w:hAnsi="宋体" w:cs="宋体"/>
          <w:b/>
          <w:color w:val="auto"/>
          <w:sz w:val="24"/>
          <w:highlight w:val="none"/>
        </w:rPr>
        <w:t>十一、其他</w:t>
      </w:r>
    </w:p>
    <w:p>
      <w:pPr>
        <w:snapToGrid w:val="0"/>
        <w:spacing w:line="440" w:lineRule="exact"/>
        <w:ind w:firstLine="397"/>
        <w:rPr>
          <w:rFonts w:ascii="宋体" w:hAnsi="宋体" w:cs="宋体"/>
          <w:b/>
          <w:color w:val="auto"/>
          <w:sz w:val="24"/>
          <w:highlight w:val="none"/>
        </w:rPr>
      </w:pPr>
      <w:r>
        <w:rPr>
          <w:rFonts w:ascii="宋体" w:hAnsi="宋体" w:cs="宋体"/>
          <w:b/>
          <w:color w:val="auto"/>
          <w:sz w:val="24"/>
          <w:highlight w:val="none"/>
        </w:rPr>
        <w:t>38</w:t>
      </w:r>
      <w:r>
        <w:rPr>
          <w:rFonts w:hint="eastAsia" w:ascii="宋体" w:hAnsi="宋体" w:cs="宋体"/>
          <w:b/>
          <w:color w:val="auto"/>
          <w:sz w:val="24"/>
          <w:highlight w:val="none"/>
        </w:rPr>
        <w:t>、工程分包</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38.1（1）本工程发包人同意承包人分包的工程：</w:t>
      </w:r>
      <w:r>
        <w:rPr>
          <w:rFonts w:hint="eastAsia" w:ascii="宋体" w:hAnsi="宋体" w:cs="宋体"/>
          <w:color w:val="auto"/>
          <w:sz w:val="24"/>
          <w:szCs w:val="24"/>
          <w:highlight w:val="none"/>
        </w:rPr>
        <w:t>非主体非关键工程。承包人分包工程的，需先报发包人同意，分包合同签订后必须报发包人备案。承包人与分包单位签订的分包合同中应明确工人工资比例及支付期限。</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劳务分包必须严格执行广州市相关规定，禁止分包劳务给无资质单位或个人。在发包人同意承包人进行劳务分包的情况下，劳务分包单位须与向政府相关部门备案的劳务分包的单位一致，不得私自变更劳务分包单位。</w:t>
      </w:r>
    </w:p>
    <w:p>
      <w:pPr>
        <w:snapToGrid w:val="0"/>
        <w:spacing w:line="440" w:lineRule="exact"/>
        <w:ind w:firstLine="397"/>
        <w:rPr>
          <w:rFonts w:ascii="宋体" w:hAnsi="宋体" w:cs="宋体"/>
          <w:b/>
          <w:color w:val="auto"/>
          <w:sz w:val="24"/>
          <w:highlight w:val="none"/>
        </w:rPr>
      </w:pPr>
      <w:r>
        <w:rPr>
          <w:rFonts w:ascii="宋体" w:hAnsi="宋体" w:cs="宋体"/>
          <w:b/>
          <w:color w:val="auto"/>
          <w:sz w:val="24"/>
          <w:highlight w:val="none"/>
        </w:rPr>
        <w:t>39</w:t>
      </w:r>
      <w:r>
        <w:rPr>
          <w:rFonts w:hint="eastAsia" w:ascii="宋体" w:hAnsi="宋体" w:cs="宋体"/>
          <w:b/>
          <w:color w:val="auto"/>
          <w:sz w:val="24"/>
          <w:highlight w:val="none"/>
        </w:rPr>
        <w:t>、不可抗力</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39.1</w:t>
      </w:r>
      <w:r>
        <w:rPr>
          <w:rFonts w:hint="eastAsia" w:ascii="宋体" w:hAnsi="宋体" w:cs="宋体"/>
          <w:color w:val="auto"/>
          <w:sz w:val="24"/>
          <w:szCs w:val="24"/>
          <w:highlight w:val="none"/>
        </w:rPr>
        <w:t>双方关于不可抗力的约定：按本合同通用条款执行，自然灾害的范围及其认定方式，按下述约定执行：</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u w:val="single"/>
        </w:rPr>
        <w:t>异常天气：仅指</w:t>
      </w:r>
      <w:r>
        <w:rPr>
          <w:rFonts w:ascii="宋体" w:hAnsi="宋体" w:cs="宋体"/>
          <w:color w:val="auto"/>
          <w:sz w:val="24"/>
          <w:szCs w:val="24"/>
          <w:highlight w:val="none"/>
          <w:u w:val="single"/>
        </w:rPr>
        <w:t>50年一遇以上（含50年）的洪水、10级（含本数）以上台风，因异常天气袭击工地为确保安全而停工的，承包人应于台风、洪水天气结束之日起七日内，向当地气象部门索取工程所在地台风、暴雨天气资料或报告（含气象实况及对此分析的内容），连同施工日志、现场照片办理证据保全公证，方可认定为是不可抗力</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u w:val="single"/>
        </w:rPr>
        <w:t>里氏</w:t>
      </w:r>
      <w:r>
        <w:rPr>
          <w:rFonts w:ascii="宋体" w:hAnsi="宋体" w:cs="宋体"/>
          <w:color w:val="auto"/>
          <w:sz w:val="24"/>
          <w:szCs w:val="24"/>
          <w:highlight w:val="none"/>
          <w:u w:val="single"/>
        </w:rPr>
        <w:t>5级（含本数）以上地震</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39.3双方关于不可抗力事件导致的</w:t>
      </w:r>
      <w:r>
        <w:rPr>
          <w:rFonts w:hint="eastAsia" w:ascii="宋体" w:hAnsi="宋体" w:cs="宋体"/>
          <w:color w:val="auto"/>
          <w:sz w:val="24"/>
          <w:szCs w:val="24"/>
          <w:highlight w:val="none"/>
        </w:rPr>
        <w:t>费用承担</w:t>
      </w:r>
      <w:r>
        <w:rPr>
          <w:rFonts w:hint="eastAsia" w:ascii="宋体" w:hAnsi="宋体" w:cs="宋体"/>
          <w:color w:val="auto"/>
          <w:sz w:val="24"/>
          <w:szCs w:val="24"/>
          <w:highlight w:val="none"/>
          <w:u w:val="single"/>
        </w:rPr>
        <w:t>按本专用条款</w:t>
      </w:r>
      <w:r>
        <w:rPr>
          <w:rFonts w:ascii="宋体" w:hAnsi="宋体" w:cs="宋体"/>
          <w:color w:val="auto"/>
          <w:sz w:val="24"/>
          <w:szCs w:val="24"/>
          <w:highlight w:val="none"/>
          <w:u w:val="single"/>
        </w:rPr>
        <w:t>12.3款约定</w:t>
      </w:r>
      <w:r>
        <w:rPr>
          <w:rFonts w:ascii="宋体" w:hAnsi="宋体" w:cs="宋体"/>
          <w:color w:val="auto"/>
          <w:sz w:val="24"/>
          <w:szCs w:val="24"/>
          <w:highlight w:val="none"/>
        </w:rPr>
        <w:t>执行</w:t>
      </w:r>
      <w:r>
        <w:rPr>
          <w:rFonts w:hint="eastAsia" w:ascii="宋体" w:hAnsi="宋体" w:cs="宋体"/>
          <w:color w:val="auto"/>
          <w:sz w:val="24"/>
          <w:szCs w:val="24"/>
          <w:highlight w:val="none"/>
        </w:rPr>
        <w:t>。</w:t>
      </w:r>
    </w:p>
    <w:p>
      <w:pPr>
        <w:snapToGrid w:val="0"/>
        <w:spacing w:line="440" w:lineRule="exact"/>
        <w:ind w:firstLine="397"/>
        <w:rPr>
          <w:rFonts w:ascii="宋体" w:hAnsi="宋体" w:cs="宋体"/>
          <w:b/>
          <w:color w:val="auto"/>
          <w:sz w:val="24"/>
          <w:highlight w:val="none"/>
        </w:rPr>
      </w:pPr>
      <w:r>
        <w:rPr>
          <w:rFonts w:ascii="宋体" w:hAnsi="宋体" w:cs="宋体"/>
          <w:b/>
          <w:color w:val="auto"/>
          <w:sz w:val="24"/>
          <w:highlight w:val="none"/>
        </w:rPr>
        <w:t>40</w:t>
      </w:r>
      <w:r>
        <w:rPr>
          <w:rFonts w:hint="eastAsia" w:ascii="宋体" w:hAnsi="宋体" w:cs="宋体"/>
          <w:b/>
          <w:color w:val="auto"/>
          <w:sz w:val="24"/>
          <w:highlight w:val="none"/>
        </w:rPr>
        <w:t>、保险</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40.2承包人对其运至施工场地内用于工程的材料和待安装设备办理保险并支付保险费</w:t>
      </w:r>
      <w:r>
        <w:rPr>
          <w:rFonts w:hint="eastAsia" w:ascii="宋体" w:hAnsi="宋体" w:cs="宋体"/>
          <w:color w:val="auto"/>
          <w:sz w:val="24"/>
          <w:szCs w:val="24"/>
          <w:highlight w:val="none"/>
        </w:rPr>
        <w:t>用。</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40.6</w:t>
      </w:r>
      <w:r>
        <w:rPr>
          <w:rFonts w:hint="eastAsia" w:ascii="宋体" w:hAnsi="宋体" w:cs="宋体"/>
          <w:color w:val="auto"/>
          <w:sz w:val="24"/>
          <w:szCs w:val="24"/>
          <w:highlight w:val="none"/>
        </w:rPr>
        <w:t>本工程双方约定投保内容如下：</w:t>
      </w:r>
    </w:p>
    <w:p>
      <w:pPr>
        <w:snapToGrid w:val="0"/>
        <w:spacing w:line="440" w:lineRule="exact"/>
        <w:ind w:left="397"/>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发包人投保内容：</w:t>
      </w:r>
      <w:r>
        <w:rPr>
          <w:rFonts w:hint="eastAsia" w:ascii="宋体" w:hAnsi="宋体" w:cs="宋体"/>
          <w:color w:val="auto"/>
          <w:sz w:val="24"/>
          <w:szCs w:val="24"/>
          <w:highlight w:val="none"/>
          <w:u w:val="single"/>
        </w:rPr>
        <w:t>按广州市建设项目劳动保险相关规定投保</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发包人委托承包人办理的保险事项：</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440" w:lineRule="exact"/>
        <w:ind w:left="397"/>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承包人投保内容：</w:t>
      </w:r>
      <w:r>
        <w:rPr>
          <w:rFonts w:hint="eastAsia" w:ascii="宋体" w:hAnsi="宋体" w:cs="宋体"/>
          <w:color w:val="auto"/>
          <w:sz w:val="24"/>
          <w:szCs w:val="24"/>
          <w:highlight w:val="none"/>
          <w:u w:val="single"/>
        </w:rPr>
        <w:t>开工前承包人应当投保安全生产责任保险，且该保险保障场所应包含本项目，合同价视作已含该项费用。承包人未按规定购买安全生产责任保险，发包人可视严重程度拒绝该单位一定时期内参与后续工程投标</w:t>
      </w:r>
      <w:r>
        <w:rPr>
          <w:rFonts w:hint="eastAsia" w:ascii="宋体" w:hAnsi="宋体" w:cs="宋体"/>
          <w:color w:val="auto"/>
          <w:sz w:val="24"/>
          <w:szCs w:val="24"/>
          <w:highlight w:val="none"/>
        </w:rPr>
        <w:t>。</w:t>
      </w:r>
    </w:p>
    <w:p>
      <w:pPr>
        <w:snapToGrid w:val="0"/>
        <w:spacing w:line="440" w:lineRule="exact"/>
        <w:ind w:firstLine="397"/>
        <w:rPr>
          <w:rFonts w:ascii="宋体" w:hAnsi="宋体" w:cs="宋体"/>
          <w:b/>
          <w:color w:val="auto"/>
          <w:sz w:val="24"/>
          <w:highlight w:val="none"/>
        </w:rPr>
      </w:pPr>
      <w:r>
        <w:rPr>
          <w:rFonts w:ascii="宋体" w:hAnsi="宋体" w:cs="宋体"/>
          <w:b/>
          <w:color w:val="auto"/>
          <w:sz w:val="24"/>
          <w:highlight w:val="none"/>
        </w:rPr>
        <w:t>41</w:t>
      </w:r>
      <w:r>
        <w:rPr>
          <w:rFonts w:hint="eastAsia" w:ascii="宋体" w:hAnsi="宋体" w:cs="宋体"/>
          <w:b/>
          <w:color w:val="auto"/>
          <w:sz w:val="24"/>
          <w:highlight w:val="none"/>
        </w:rPr>
        <w:t>、担保</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41.1</w:t>
      </w:r>
      <w:r>
        <w:rPr>
          <w:rFonts w:hint="eastAsia" w:ascii="宋体" w:hAnsi="宋体" w:cs="宋体"/>
          <w:color w:val="auto"/>
          <w:sz w:val="24"/>
          <w:szCs w:val="24"/>
          <w:highlight w:val="none"/>
        </w:rPr>
        <w:t>本工程双方约定担保事项如下：</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发包人向承包人提供履约担保，担保方式为：</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，担保合同作为本合同附件。</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承包人按如下方式向发包人提供履约担保：</w:t>
      </w:r>
    </w:p>
    <w:p>
      <w:pPr>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①</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履约担保：</w:t>
      </w:r>
      <w:r>
        <w:rPr>
          <w:rFonts w:hint="eastAsia" w:ascii="宋体" w:hAnsi="宋体" w:cs="宋体"/>
          <w:color w:val="auto"/>
          <w:sz w:val="24"/>
          <w:szCs w:val="24"/>
          <w:highlight w:val="none"/>
          <w:u w:val="single"/>
        </w:rPr>
        <w:t>承包人向发包人提交担保金额为中标价</w:t>
      </w:r>
      <w:r>
        <w:rPr>
          <w:rFonts w:ascii="宋体" w:hAnsi="宋体" w:cs="宋体"/>
          <w:color w:val="auto"/>
          <w:sz w:val="24"/>
          <w:szCs w:val="24"/>
          <w:highlight w:val="none"/>
          <w:u w:val="single"/>
        </w:rPr>
        <w:t>10%</w:t>
      </w:r>
      <w:r>
        <w:rPr>
          <w:rFonts w:hint="eastAsia" w:ascii="宋体" w:hAnsi="宋体" w:cs="宋体"/>
          <w:color w:val="auto"/>
          <w:sz w:val="24"/>
          <w:szCs w:val="24"/>
          <w:highlight w:val="none"/>
          <w:u w:val="single"/>
        </w:rPr>
        <w:t>的履约担保，以银行保函形式提交。履约担保为银行保函的，须广州市内分行以上的银行开具的无条件、不可撤销的保函，保函有效期至工程竣工验收合格之日。履约银行保函到期但工程尚未竣工的，承包人应自觉办理保函延期手续，确保担保期限不出现空缺，否则，发包人不予支付工程款</w:t>
      </w:r>
      <w:r>
        <w:rPr>
          <w:rFonts w:hint="eastAsia" w:ascii="宋体" w:hAnsi="宋体" w:cs="宋体"/>
          <w:color w:val="auto"/>
          <w:sz w:val="24"/>
          <w:szCs w:val="24"/>
          <w:highlight w:val="none"/>
        </w:rPr>
        <w:t>。</w:t>
      </w:r>
    </w:p>
    <w:p>
      <w:pPr>
        <w:snapToGrid w:val="0"/>
        <w:spacing w:line="440" w:lineRule="exact"/>
        <w:ind w:firstLine="338" w:firstLineChars="141"/>
        <w:rPr>
          <w:rFonts w:ascii="宋体" w:hAnsi="宋体" w:cs="宋体"/>
          <w:color w:val="auto"/>
          <w:sz w:val="24"/>
          <w:szCs w:val="24"/>
          <w:highlight w:val="none"/>
        </w:rPr>
      </w:pPr>
      <w:r>
        <w:rPr>
          <w:rFonts w:hint="eastAsia" w:ascii="宋体" w:hAnsi="宋体" w:cs="宋体"/>
          <w:color w:val="auto"/>
          <w:sz w:val="24"/>
          <w:szCs w:val="24"/>
          <w:highlight w:val="none"/>
        </w:rPr>
        <w:t>首次办理履约保函，如合同工期低于</w:t>
      </w:r>
      <w:r>
        <w:rPr>
          <w:rFonts w:ascii="宋体" w:hAnsi="宋体" w:cs="宋体"/>
          <w:color w:val="auto"/>
          <w:sz w:val="24"/>
          <w:szCs w:val="24"/>
          <w:highlight w:val="none"/>
        </w:rPr>
        <w:t>1年的，担保期限可按合同工期，如合同工期高于1年的，担保期限不低于1年。</w:t>
      </w:r>
    </w:p>
    <w:p>
      <w:pPr>
        <w:snapToGrid w:val="0"/>
        <w:spacing w:line="440" w:lineRule="exact"/>
        <w:ind w:firstLine="338" w:firstLineChars="141"/>
        <w:rPr>
          <w:rFonts w:ascii="宋体" w:hAnsi="宋体" w:cs="宋体"/>
          <w:color w:val="auto"/>
          <w:sz w:val="24"/>
          <w:szCs w:val="24"/>
          <w:highlight w:val="none"/>
        </w:rPr>
      </w:pPr>
      <w:r>
        <w:rPr>
          <w:rFonts w:hint="eastAsia" w:ascii="宋体" w:hAnsi="宋体" w:cs="宋体"/>
          <w:color w:val="auto"/>
          <w:sz w:val="24"/>
          <w:szCs w:val="24"/>
          <w:highlight w:val="none"/>
        </w:rPr>
        <w:t>履约保函</w:t>
      </w:r>
      <w:r>
        <w:rPr>
          <w:rFonts w:hint="eastAsia" w:ascii="宋体" w:hAnsi="宋体" w:cs="宋体"/>
          <w:color w:val="auto"/>
          <w:sz w:val="24"/>
          <w:szCs w:val="24"/>
          <w:highlight w:val="none"/>
          <w:u w:val="single"/>
        </w:rPr>
        <w:t>办理延期手续</w:t>
      </w:r>
      <w:r>
        <w:rPr>
          <w:rFonts w:hint="eastAsia" w:ascii="宋体" w:hAnsi="宋体" w:cs="宋体"/>
          <w:color w:val="auto"/>
          <w:sz w:val="24"/>
          <w:szCs w:val="24"/>
          <w:highlight w:val="none"/>
        </w:rPr>
        <w:t>时，若项目的完成工程量不足一半，担保金额按中标价的</w:t>
      </w:r>
      <w:r>
        <w:rPr>
          <w:rFonts w:ascii="宋体" w:hAnsi="宋体" w:cs="宋体"/>
          <w:color w:val="auto"/>
          <w:sz w:val="24"/>
          <w:szCs w:val="24"/>
          <w:highlight w:val="none"/>
        </w:rPr>
        <w:t>10%；若项目的完成工程量超过一半，担保金额可按中标价的5%；其他特殊情况需调整的，需报发包人审议同意。</w:t>
      </w:r>
    </w:p>
    <w:p>
      <w:pPr>
        <w:snapToGrid w:val="0"/>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②</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履约担保的返还方式：</w:t>
      </w:r>
      <w:r>
        <w:rPr>
          <w:rFonts w:ascii="宋体" w:hAnsi="宋体" w:cs="宋体"/>
          <w:color w:val="auto"/>
          <w:sz w:val="24"/>
          <w:szCs w:val="24"/>
          <w:highlight w:val="none"/>
          <w:u w:val="single"/>
        </w:rPr>
        <w:t>履约担保为银行保函的，在工程验收合格</w:t>
      </w:r>
      <w:r>
        <w:rPr>
          <w:rFonts w:hint="eastAsia" w:ascii="宋体" w:hAnsi="宋体" w:cs="宋体"/>
          <w:color w:val="auto"/>
          <w:sz w:val="24"/>
          <w:szCs w:val="24"/>
          <w:highlight w:val="none"/>
          <w:u w:val="single"/>
        </w:rPr>
        <w:t>后返还承包人</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u w:val="single"/>
        </w:rPr>
        <w:t>银行保函的管理和格式按《广州开发区财政投资建设项目管理中心建设工程保函管理细则》执行</w:t>
      </w:r>
      <w:r>
        <w:rPr>
          <w:rFonts w:hint="eastAsia" w:ascii="宋体" w:hAnsi="宋体" w:cs="宋体"/>
          <w:color w:val="auto"/>
          <w:sz w:val="24"/>
          <w:szCs w:val="24"/>
          <w:highlight w:val="none"/>
        </w:rPr>
        <w:t>。</w:t>
      </w:r>
    </w:p>
    <w:p>
      <w:pPr>
        <w:adjustRightInd w:val="0"/>
        <w:snapToGrid w:val="0"/>
        <w:spacing w:line="440" w:lineRule="exact"/>
        <w:ind w:right="11" w:firstLine="480" w:firstLineChars="200"/>
        <w:outlineLvl w:val="3"/>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3）承包人提交的履约担保是对本合同约定的承包人的全部义务（包括但不限于承包人违约后应支付的违约金和赔偿金）的担保，承包人的任何一次不履行或不完全履行合同义务的行为，发包人均有权提出索赔。</w:t>
      </w:r>
    </w:p>
    <w:p>
      <w:pPr>
        <w:snapToGrid w:val="0"/>
        <w:spacing w:line="440" w:lineRule="exact"/>
        <w:ind w:firstLine="397"/>
        <w:rPr>
          <w:rFonts w:ascii="宋体" w:hAnsi="宋体" w:cs="宋体"/>
          <w:b/>
          <w:color w:val="auto"/>
          <w:sz w:val="24"/>
          <w:highlight w:val="none"/>
        </w:rPr>
      </w:pPr>
      <w:r>
        <w:rPr>
          <w:rFonts w:ascii="宋体" w:hAnsi="宋体" w:cs="宋体"/>
          <w:b/>
          <w:color w:val="auto"/>
          <w:sz w:val="24"/>
          <w:highlight w:val="none"/>
        </w:rPr>
        <w:t>46</w:t>
      </w:r>
      <w:r>
        <w:rPr>
          <w:rFonts w:hint="eastAsia" w:ascii="宋体" w:hAnsi="宋体" w:cs="宋体"/>
          <w:b/>
          <w:color w:val="auto"/>
          <w:sz w:val="24"/>
          <w:highlight w:val="none"/>
        </w:rPr>
        <w:t>、合同份数</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46.1</w:t>
      </w:r>
      <w:r>
        <w:rPr>
          <w:rFonts w:hint="eastAsia" w:ascii="宋体" w:hAnsi="宋体" w:cs="宋体"/>
          <w:color w:val="auto"/>
          <w:sz w:val="24"/>
          <w:szCs w:val="24"/>
          <w:highlight w:val="none"/>
        </w:rPr>
        <w:t>双方约定合同正副本份数：</w:t>
      </w:r>
      <w:r>
        <w:rPr>
          <w:rFonts w:hint="eastAsia" w:ascii="宋体" w:hAnsi="宋体" w:cs="宋体"/>
          <w:color w:val="auto"/>
          <w:sz w:val="24"/>
          <w:szCs w:val="24"/>
          <w:highlight w:val="none"/>
          <w:u w:val="single"/>
        </w:rPr>
        <w:t>共拾份，正本一式贰份，发包人承包人各执壹份；副本捌份，发包人肆份，承包人叁份，监理人壹份</w:t>
      </w:r>
      <w:r>
        <w:rPr>
          <w:rFonts w:hint="eastAsia" w:ascii="宋体" w:hAnsi="宋体" w:cs="宋体"/>
          <w:color w:val="auto"/>
          <w:sz w:val="24"/>
          <w:szCs w:val="24"/>
          <w:highlight w:val="none"/>
        </w:rPr>
        <w:t>。</w:t>
      </w:r>
    </w:p>
    <w:p>
      <w:pPr>
        <w:snapToGrid w:val="0"/>
        <w:spacing w:line="440" w:lineRule="exact"/>
        <w:ind w:firstLine="397"/>
        <w:rPr>
          <w:rFonts w:ascii="宋体" w:hAnsi="宋体" w:cs="宋体"/>
          <w:b/>
          <w:color w:val="auto"/>
          <w:sz w:val="24"/>
          <w:highlight w:val="none"/>
        </w:rPr>
      </w:pPr>
      <w:r>
        <w:rPr>
          <w:rFonts w:ascii="宋体" w:hAnsi="宋体" w:cs="宋体"/>
          <w:b/>
          <w:color w:val="auto"/>
          <w:sz w:val="24"/>
          <w:highlight w:val="none"/>
        </w:rPr>
        <w:t>47</w:t>
      </w:r>
      <w:r>
        <w:rPr>
          <w:rFonts w:hint="eastAsia" w:ascii="宋体" w:hAnsi="宋体" w:cs="宋体"/>
          <w:b/>
          <w:color w:val="auto"/>
          <w:sz w:val="24"/>
          <w:highlight w:val="none"/>
        </w:rPr>
        <w:t>、补充条款</w:t>
      </w:r>
    </w:p>
    <w:p>
      <w:pPr>
        <w:spacing w:line="44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b/>
          <w:color w:val="auto"/>
          <w:sz w:val="24"/>
          <w:szCs w:val="24"/>
          <w:highlight w:val="none"/>
        </w:rPr>
        <w:t>安全、文明、科学、规范的施工要求</w:t>
      </w:r>
      <w:r>
        <w:rPr>
          <w:rFonts w:hint="eastAsia" w:ascii="宋体" w:hAnsi="宋体" w:eastAsia="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47.1</w:t>
      </w:r>
      <w:r>
        <w:rPr>
          <w:rFonts w:hint="eastAsia" w:ascii="宋体" w:hAnsi="宋体" w:cs="宋体"/>
          <w:color w:val="auto"/>
          <w:sz w:val="24"/>
          <w:szCs w:val="24"/>
          <w:highlight w:val="none"/>
          <w:u w:val="single"/>
        </w:rPr>
        <w:t>承包人在开工前，必须按照广州市、开发区有关要求办理好相应的施工手续方可开工</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47.2</w:t>
      </w:r>
      <w:r>
        <w:rPr>
          <w:rFonts w:hint="eastAsia" w:ascii="宋体" w:hAnsi="宋体" w:cs="宋体"/>
          <w:color w:val="auto"/>
          <w:sz w:val="24"/>
          <w:szCs w:val="24"/>
          <w:highlight w:val="none"/>
          <w:u w:val="single"/>
        </w:rPr>
        <w:t>施工范围的具体位置及可交付承包人施工安排的用地范围，由承包人根据现场勘察情况报发包人同意确定，建筑轴线控制基点由承包人联系规划局提供</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47.3</w:t>
      </w:r>
      <w:r>
        <w:rPr>
          <w:rFonts w:hint="eastAsia" w:ascii="宋体" w:hAnsi="宋体" w:cs="宋体"/>
          <w:color w:val="auto"/>
          <w:sz w:val="24"/>
          <w:szCs w:val="24"/>
          <w:highlight w:val="none"/>
          <w:u w:val="single"/>
        </w:rPr>
        <w:t>承包人必须保证在收到中标通知书后五天内进场作好施工准备，十五天内提交有关开工报告、施工组织设计、主要材料厂家、材料品牌的选择报验，完成本工程所需的相关工作（如配合比试验、土工试验、场地原地面标高测量、导线放线及复测工作、水准点加密、现场临时设施建设等工作），经监理工程师批准开工或下达开工令后正式施工</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47.4</w:t>
      </w:r>
      <w:r>
        <w:rPr>
          <w:rFonts w:hint="eastAsia" w:ascii="宋体" w:hAnsi="宋体" w:cs="宋体"/>
          <w:color w:val="auto"/>
          <w:sz w:val="24"/>
          <w:szCs w:val="24"/>
          <w:highlight w:val="none"/>
          <w:u w:val="single"/>
        </w:rPr>
        <w:t>承包人在施工期间要确保工程外场地清洁及道路畅通，如须使用他方道路，则还必须负责养护、保洁责任，否则责任自负。施工和警示标志明显，因施工造成人身损害和财产损失的，由承包人承担责任</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47.5</w:t>
      </w:r>
      <w:r>
        <w:rPr>
          <w:rFonts w:hint="eastAsia" w:ascii="宋体" w:hAnsi="宋体" w:cs="宋体"/>
          <w:color w:val="auto"/>
          <w:sz w:val="24"/>
          <w:szCs w:val="24"/>
          <w:highlight w:val="none"/>
          <w:u w:val="single"/>
        </w:rPr>
        <w:t>承包人必须考虑安全、环保等因素在局部施工范围进行围蔽施工，现场围蔽不符合国家有关安全措施及技术要求的，不得开展施工作业，由此造成的工期延长，由承包人自己负责，当作延误工期处理</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47.6</w:t>
      </w:r>
      <w:r>
        <w:rPr>
          <w:rFonts w:hint="eastAsia" w:ascii="宋体" w:hAnsi="宋体" w:cs="宋体"/>
          <w:color w:val="auto"/>
          <w:sz w:val="24"/>
          <w:szCs w:val="24"/>
          <w:highlight w:val="none"/>
          <w:u w:val="single"/>
        </w:rPr>
        <w:t>承包人应注意对现有的道路、供水管、排水管、绿化、路灯、电力与通讯设施等进行保护，如因承包人原因损坏，承包人应无条件修复，由此引起的任何安全事故由承包人负责，并承担由此产生的一切费用。若承包人不能按要求修复的，则由发包人委托其它单位修复，费用从承包人工程款中扣付</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47.7</w:t>
      </w:r>
      <w:r>
        <w:rPr>
          <w:rFonts w:hint="eastAsia" w:ascii="宋体" w:hAnsi="宋体" w:cs="宋体"/>
          <w:color w:val="auto"/>
          <w:sz w:val="24"/>
          <w:szCs w:val="24"/>
          <w:highlight w:val="none"/>
          <w:u w:val="single"/>
        </w:rPr>
        <w:t>场内土方开挖时，承包人向发包人书面申请，并按发包人的书面批复进行调配平衡，不得任意处置，多余土方由承包人自行安排外运，竣工退场时必须清理施工现场，并达到发包人要求；若承包人未及时外运，则由发包人另行委托其他单位外运，所需费用从承包人工程款中扣付</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47.8</w:t>
      </w:r>
      <w:r>
        <w:rPr>
          <w:rFonts w:hint="eastAsia" w:ascii="宋体" w:hAnsi="宋体" w:cs="宋体"/>
          <w:color w:val="auto"/>
          <w:sz w:val="24"/>
          <w:szCs w:val="24"/>
          <w:highlight w:val="none"/>
          <w:u w:val="single"/>
        </w:rPr>
        <w:t>若遇阻碍施工需拆迁的旧建（构）筑物、地下孤石等障碍物，由承包人负责清障，所需清障费用经监理、发包人现场签证调整</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47.9</w:t>
      </w:r>
      <w:r>
        <w:rPr>
          <w:rFonts w:hint="eastAsia" w:ascii="宋体" w:hAnsi="宋体" w:cs="宋体"/>
          <w:color w:val="auto"/>
          <w:sz w:val="24"/>
          <w:szCs w:val="24"/>
          <w:highlight w:val="none"/>
          <w:u w:val="single"/>
        </w:rPr>
        <w:t>在工程完成初验及工程实物移交给发包人或开发区有关的接收单位或部门后一个月内，承包人必须拆除本工程全部的施工临时设施，做到工完场清；否则，发包人有权安排清拆，由此所发生的一切费用在承包人的结算工程款中扣除</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47.10</w:t>
      </w:r>
      <w:r>
        <w:rPr>
          <w:rFonts w:hint="eastAsia" w:ascii="宋体" w:hAnsi="宋体" w:cs="宋体"/>
          <w:color w:val="auto"/>
          <w:sz w:val="24"/>
          <w:szCs w:val="24"/>
          <w:highlight w:val="none"/>
          <w:u w:val="single"/>
        </w:rPr>
        <w:t>双方根据国家有关规定，结合具体工程约定质量缺陷责任期如下</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1、</w:t>
      </w:r>
      <w:r>
        <w:rPr>
          <w:rFonts w:hint="eastAsia" w:ascii="宋体" w:hAnsi="宋体" w:cs="宋体"/>
          <w:color w:val="auto"/>
          <w:sz w:val="24"/>
          <w:szCs w:val="24"/>
          <w:highlight w:val="none"/>
          <w:u w:val="single"/>
        </w:rPr>
        <w:t>基础设施工程、房屋建筑的地基基础工程和主体结构工程为</w:t>
      </w:r>
      <w:r>
        <w:rPr>
          <w:rFonts w:ascii="宋体" w:hAnsi="宋体" w:cs="宋体"/>
          <w:color w:val="auto"/>
          <w:sz w:val="24"/>
          <w:szCs w:val="24"/>
          <w:highlight w:val="none"/>
          <w:u w:val="single"/>
        </w:rPr>
        <w:t>2年</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2、</w:t>
      </w:r>
      <w:r>
        <w:rPr>
          <w:rFonts w:hint="eastAsia" w:ascii="宋体" w:hAnsi="宋体" w:cs="宋体"/>
          <w:color w:val="auto"/>
          <w:sz w:val="24"/>
          <w:szCs w:val="24"/>
          <w:highlight w:val="none"/>
          <w:u w:val="single"/>
        </w:rPr>
        <w:t>屋面防水工程为</w:t>
      </w:r>
      <w:r>
        <w:rPr>
          <w:rFonts w:ascii="宋体" w:hAnsi="宋体" w:cs="宋体"/>
          <w:color w:val="auto"/>
          <w:sz w:val="24"/>
          <w:szCs w:val="24"/>
          <w:highlight w:val="none"/>
          <w:u w:val="single"/>
        </w:rPr>
        <w:t xml:space="preserve"> 2 </w:t>
      </w:r>
      <w:r>
        <w:rPr>
          <w:rFonts w:hint="eastAsia" w:ascii="宋体" w:hAnsi="宋体" w:cs="宋体"/>
          <w:color w:val="auto"/>
          <w:sz w:val="24"/>
          <w:szCs w:val="24"/>
          <w:highlight w:val="none"/>
          <w:u w:val="single"/>
        </w:rPr>
        <w:t>年，室外装饰工程为</w:t>
      </w:r>
      <w:r>
        <w:rPr>
          <w:rFonts w:ascii="宋体" w:hAnsi="宋体" w:cs="宋体"/>
          <w:color w:val="auto"/>
          <w:sz w:val="24"/>
          <w:szCs w:val="24"/>
          <w:highlight w:val="none"/>
          <w:u w:val="single"/>
        </w:rPr>
        <w:t xml:space="preserve"> 2 年</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3、</w:t>
      </w:r>
      <w:r>
        <w:rPr>
          <w:rFonts w:hint="eastAsia" w:ascii="宋体" w:hAnsi="宋体" w:cs="宋体"/>
          <w:color w:val="auto"/>
          <w:sz w:val="24"/>
          <w:szCs w:val="24"/>
          <w:highlight w:val="none"/>
          <w:u w:val="single"/>
        </w:rPr>
        <w:t>电力管线、上下水管线安装工程为</w:t>
      </w:r>
      <w:r>
        <w:rPr>
          <w:rFonts w:ascii="宋体" w:hAnsi="宋体" w:cs="宋体"/>
          <w:color w:val="auto"/>
          <w:sz w:val="24"/>
          <w:szCs w:val="24"/>
          <w:highlight w:val="none"/>
          <w:u w:val="single"/>
        </w:rPr>
        <w:t xml:space="preserve"> 2 </w:t>
      </w:r>
      <w:r>
        <w:rPr>
          <w:rFonts w:hint="eastAsia" w:ascii="宋体" w:hAnsi="宋体" w:cs="宋体"/>
          <w:color w:val="auto"/>
          <w:sz w:val="24"/>
          <w:szCs w:val="24"/>
          <w:highlight w:val="none"/>
          <w:u w:val="single"/>
        </w:rPr>
        <w:t>年</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w:t>
      </w:r>
      <w:r>
        <w:rPr>
          <w:rFonts w:hint="eastAsia" w:ascii="宋体" w:hAnsi="宋体" w:cs="宋体"/>
          <w:color w:val="auto"/>
          <w:sz w:val="24"/>
          <w:szCs w:val="24"/>
          <w:highlight w:val="none"/>
          <w:u w:val="single"/>
        </w:rPr>
        <w:t>供热及供冷为</w:t>
      </w:r>
      <w:r>
        <w:rPr>
          <w:rFonts w:ascii="宋体" w:hAnsi="宋体" w:cs="宋体"/>
          <w:color w:val="auto"/>
          <w:sz w:val="24"/>
          <w:szCs w:val="24"/>
          <w:highlight w:val="none"/>
          <w:u w:val="single"/>
        </w:rPr>
        <w:t xml:space="preserve"> 2 </w:t>
      </w:r>
      <w:r>
        <w:rPr>
          <w:rFonts w:hint="eastAsia" w:ascii="宋体" w:hAnsi="宋体" w:cs="宋体"/>
          <w:color w:val="auto"/>
          <w:sz w:val="24"/>
          <w:szCs w:val="24"/>
          <w:highlight w:val="none"/>
          <w:u w:val="single"/>
        </w:rPr>
        <w:t>个采暖期及供冷期</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5、</w:t>
      </w:r>
      <w:r>
        <w:rPr>
          <w:rFonts w:hint="eastAsia" w:ascii="宋体" w:hAnsi="宋体" w:cs="宋体"/>
          <w:color w:val="auto"/>
          <w:sz w:val="24"/>
          <w:szCs w:val="24"/>
          <w:highlight w:val="none"/>
          <w:u w:val="single"/>
        </w:rPr>
        <w:t>室外的上下水和小区道路等市政公用工程为</w:t>
      </w:r>
      <w:r>
        <w:rPr>
          <w:rFonts w:ascii="宋体" w:hAnsi="宋体" w:cs="宋体"/>
          <w:color w:val="auto"/>
          <w:sz w:val="24"/>
          <w:szCs w:val="24"/>
          <w:highlight w:val="none"/>
          <w:u w:val="single"/>
        </w:rPr>
        <w:t xml:space="preserve"> 2 年</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6、</w:t>
      </w:r>
      <w:r>
        <w:rPr>
          <w:rFonts w:hint="eastAsia" w:ascii="宋体" w:hAnsi="宋体" w:cs="宋体"/>
          <w:color w:val="auto"/>
          <w:sz w:val="24"/>
          <w:szCs w:val="24"/>
          <w:highlight w:val="none"/>
          <w:u w:val="single"/>
        </w:rPr>
        <w:t>市政道路排水工程为</w:t>
      </w:r>
      <w:r>
        <w:rPr>
          <w:rFonts w:ascii="宋体" w:hAnsi="宋体" w:cs="宋体"/>
          <w:color w:val="auto"/>
          <w:sz w:val="24"/>
          <w:szCs w:val="24"/>
          <w:highlight w:val="none"/>
          <w:u w:val="single"/>
        </w:rPr>
        <w:t xml:space="preserve"> 2 年，市政供水工程为 2 年</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7、</w:t>
      </w:r>
      <w:r>
        <w:rPr>
          <w:rFonts w:hint="eastAsia" w:ascii="宋体" w:hAnsi="宋体" w:cs="宋体"/>
          <w:color w:val="auto"/>
          <w:sz w:val="24"/>
          <w:szCs w:val="24"/>
          <w:highlight w:val="none"/>
          <w:u w:val="single"/>
        </w:rPr>
        <w:t>市政供电工程为</w:t>
      </w:r>
      <w:r>
        <w:rPr>
          <w:rFonts w:ascii="宋体" w:hAnsi="宋体" w:cs="宋体"/>
          <w:color w:val="auto"/>
          <w:sz w:val="24"/>
          <w:szCs w:val="24"/>
          <w:highlight w:val="none"/>
          <w:u w:val="single"/>
        </w:rPr>
        <w:t xml:space="preserve"> 2 年，市政道路照明工程 2 年，市政交通设施工程为 2 年</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8、</w:t>
      </w:r>
      <w:r>
        <w:rPr>
          <w:rFonts w:hint="eastAsia" w:ascii="宋体" w:hAnsi="宋体" w:cs="宋体"/>
          <w:color w:val="auto"/>
          <w:sz w:val="24"/>
          <w:szCs w:val="24"/>
          <w:highlight w:val="none"/>
          <w:u w:val="single"/>
        </w:rPr>
        <w:t>园林建筑工程为</w:t>
      </w:r>
      <w:r>
        <w:rPr>
          <w:rFonts w:ascii="宋体" w:hAnsi="宋体" w:cs="宋体"/>
          <w:color w:val="auto"/>
          <w:sz w:val="24"/>
          <w:szCs w:val="24"/>
          <w:highlight w:val="none"/>
          <w:u w:val="single"/>
        </w:rPr>
        <w:t>1年，喷淋工程为2年，胸径15cm</w:t>
      </w:r>
      <w:r>
        <w:rPr>
          <w:rFonts w:hint="eastAsia" w:ascii="宋体" w:hAnsi="宋体" w:cs="宋体"/>
          <w:color w:val="auto"/>
          <w:sz w:val="24"/>
          <w:szCs w:val="24"/>
          <w:highlight w:val="none"/>
          <w:u w:val="single"/>
        </w:rPr>
        <w:t>以内（含</w:t>
      </w:r>
      <w:r>
        <w:rPr>
          <w:rFonts w:ascii="宋体" w:hAnsi="宋体" w:cs="宋体"/>
          <w:color w:val="auto"/>
          <w:sz w:val="24"/>
          <w:szCs w:val="24"/>
          <w:highlight w:val="none"/>
          <w:u w:val="single"/>
        </w:rPr>
        <w:t>15cm</w:t>
      </w:r>
      <w:r>
        <w:rPr>
          <w:rFonts w:hint="eastAsia" w:ascii="宋体" w:hAnsi="宋体" w:cs="宋体"/>
          <w:color w:val="auto"/>
          <w:sz w:val="24"/>
          <w:szCs w:val="24"/>
          <w:highlight w:val="none"/>
          <w:u w:val="single"/>
        </w:rPr>
        <w:t>）的苗木养护期为</w:t>
      </w:r>
      <w:r>
        <w:rPr>
          <w:rFonts w:ascii="宋体" w:hAnsi="宋体" w:cs="宋体"/>
          <w:color w:val="auto"/>
          <w:sz w:val="24"/>
          <w:szCs w:val="24"/>
          <w:highlight w:val="none"/>
          <w:u w:val="single"/>
        </w:rPr>
        <w:t>3个月，胸径15cm</w:t>
      </w:r>
      <w:r>
        <w:rPr>
          <w:rFonts w:hint="eastAsia" w:ascii="宋体" w:hAnsi="宋体" w:cs="宋体"/>
          <w:color w:val="auto"/>
          <w:sz w:val="24"/>
          <w:szCs w:val="24"/>
          <w:highlight w:val="none"/>
          <w:u w:val="single"/>
        </w:rPr>
        <w:t>以上的苗木养护期为</w:t>
      </w:r>
      <w:r>
        <w:rPr>
          <w:rFonts w:ascii="宋体" w:hAnsi="宋体" w:cs="宋体"/>
          <w:color w:val="auto"/>
          <w:sz w:val="24"/>
          <w:szCs w:val="24"/>
          <w:highlight w:val="none"/>
          <w:u w:val="single"/>
        </w:rPr>
        <w:t>1年</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9、</w:t>
      </w:r>
      <w:r>
        <w:rPr>
          <w:rFonts w:hint="eastAsia" w:ascii="宋体" w:hAnsi="宋体" w:cs="宋体"/>
          <w:color w:val="auto"/>
          <w:sz w:val="24"/>
          <w:szCs w:val="24"/>
          <w:highlight w:val="none"/>
          <w:u w:val="single"/>
        </w:rPr>
        <w:t>除上述专业工程外其它工程的质量缺陷责任期按相关规定或经双方另行协商确定</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本工程质量缺陷责任期从广州开发区管委会或其相关职能部门批准的提前移交之日或者正式通过竣工验收之日（以先发生日期为准）算起。缺陷责任期内，由承包人原因造成的缺陷，承包人应负责维修，并承担鉴定及维修费用。如承包人不维修也不承担费用，发包人可按合同约定扣除质量保修金，并由承包人承担违约责任。承包人维修并承担相应费用后，不免除对工程的一般损失赔偿责任</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47.11</w:t>
      </w:r>
      <w:r>
        <w:rPr>
          <w:rFonts w:hint="eastAsia" w:ascii="宋体" w:hAnsi="宋体" w:cs="宋体"/>
          <w:color w:val="auto"/>
          <w:sz w:val="24"/>
          <w:szCs w:val="24"/>
          <w:highlight w:val="none"/>
          <w:u w:val="single"/>
        </w:rPr>
        <w:t>本工程的保修期按本合同《工程质量保修责任书》规定的保修期限实行。在保修期内因施工质量而造成返修，其费用由承包人负责。工程质量按市政工程现行验评标准组织验收认定</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47.12施工现场生活区应设置信息公示栏，每月10日前将上月作业工人考勤和工资结算和支付信息在信息公示栏进行公示，公示期不少于5天。</w:t>
      </w:r>
    </w:p>
    <w:p>
      <w:pPr>
        <w:spacing w:line="440" w:lineRule="exact"/>
        <w:ind w:firstLine="480" w:firstLineChars="200"/>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w:t>
      </w:r>
      <w:r>
        <w:rPr>
          <w:rFonts w:hint="eastAsia" w:ascii="宋体" w:hAnsi="宋体" w:eastAsia="宋体" w:cs="宋体"/>
          <w:b/>
          <w:color w:val="auto"/>
          <w:sz w:val="24"/>
          <w:szCs w:val="24"/>
          <w:highlight w:val="none"/>
        </w:rPr>
        <w:t>农民工佣工要求</w:t>
      </w:r>
      <w:r>
        <w:rPr>
          <w:rFonts w:hint="eastAsia" w:ascii="宋体" w:hAnsi="宋体" w:eastAsia="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47.13</w:t>
      </w:r>
      <w:r>
        <w:rPr>
          <w:rFonts w:hint="eastAsia" w:ascii="宋体" w:hAnsi="宋体" w:cs="宋体"/>
          <w:color w:val="auto"/>
          <w:sz w:val="24"/>
          <w:szCs w:val="24"/>
          <w:highlight w:val="none"/>
          <w:u w:val="single"/>
        </w:rPr>
        <w:t>承包人必须按照穗开规『</w:t>
      </w:r>
      <w:r>
        <w:rPr>
          <w:rFonts w:ascii="宋体" w:hAnsi="宋体" w:cs="宋体"/>
          <w:color w:val="auto"/>
          <w:sz w:val="24"/>
          <w:szCs w:val="24"/>
          <w:highlight w:val="none"/>
          <w:u w:val="single"/>
        </w:rPr>
        <w:t>2004』58号文的有关要求及规定优先使用广州开发区的农民工</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47.14</w:t>
      </w:r>
      <w:r>
        <w:rPr>
          <w:rFonts w:hint="eastAsia" w:ascii="宋体" w:hAnsi="宋体" w:cs="宋体"/>
          <w:color w:val="auto"/>
          <w:sz w:val="24"/>
          <w:szCs w:val="24"/>
          <w:highlight w:val="none"/>
          <w:u w:val="single"/>
        </w:rPr>
        <w:t>承包人必须严格执行穗开纪</w:t>
      </w:r>
      <w:r>
        <w:rPr>
          <w:rFonts w:ascii="宋体" w:hAnsi="宋体" w:cs="宋体"/>
          <w:color w:val="auto"/>
          <w:sz w:val="24"/>
          <w:szCs w:val="24"/>
          <w:highlight w:val="none"/>
          <w:u w:val="single"/>
        </w:rPr>
        <w:t>[2005]10号文的规定和要求，在本工程施工中使用劳工时，一律由承包人签订用工合同，建立工资直接支付制度，承包人每月按时发放劳工工资，自觉接受发包人和主管部门的监督，不论何种原因决不拖欠或克扣劳工工资。否则，可由员工代表知会有关部门，或拨打投诉电话。承包人必须将上述内容在本工程开工的十日内向全体员工张榜公开。如承包人违约，发包人有权解除合同，并追究承包人由此给发包人造成的一切损失</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47.15</w:t>
      </w:r>
      <w:r>
        <w:rPr>
          <w:rFonts w:hint="eastAsia" w:ascii="宋体" w:hAnsi="宋体" w:cs="宋体"/>
          <w:color w:val="auto"/>
          <w:sz w:val="24"/>
          <w:szCs w:val="24"/>
          <w:highlight w:val="none"/>
          <w:u w:val="single"/>
        </w:rPr>
        <w:t>承包人应按照《广州市住房和城乡建设委员会关于印发</w:t>
      </w:r>
      <w:r>
        <w:rPr>
          <w:rFonts w:ascii="宋体" w:hAnsi="宋体" w:cs="宋体"/>
          <w:color w:val="auto"/>
          <w:sz w:val="24"/>
          <w:szCs w:val="24"/>
          <w:highlight w:val="none"/>
          <w:u w:val="single"/>
        </w:rPr>
        <w:t>&lt;</w:t>
      </w:r>
      <w:r>
        <w:rPr>
          <w:rFonts w:hint="eastAsia" w:ascii="宋体" w:hAnsi="宋体" w:cs="宋体"/>
          <w:color w:val="auto"/>
          <w:sz w:val="24"/>
          <w:szCs w:val="24"/>
          <w:highlight w:val="none"/>
          <w:u w:val="single"/>
        </w:rPr>
        <w:t>广州市建筑施工实名制管理办法</w:t>
      </w:r>
      <w:r>
        <w:rPr>
          <w:rFonts w:ascii="宋体" w:hAnsi="宋体" w:cs="宋体"/>
          <w:color w:val="auto"/>
          <w:sz w:val="24"/>
          <w:szCs w:val="24"/>
          <w:highlight w:val="none"/>
          <w:u w:val="single"/>
        </w:rPr>
        <w:t>&gt;</w:t>
      </w:r>
      <w:r>
        <w:rPr>
          <w:rFonts w:hint="eastAsia" w:ascii="宋体" w:hAnsi="宋体" w:cs="宋体"/>
          <w:color w:val="auto"/>
          <w:sz w:val="24"/>
          <w:szCs w:val="24"/>
          <w:highlight w:val="none"/>
          <w:u w:val="single"/>
        </w:rPr>
        <w:t>的通知》（穗建规字</w:t>
      </w:r>
      <w:r>
        <w:rPr>
          <w:rFonts w:ascii="宋体" w:hAnsi="宋体" w:cs="宋体"/>
          <w:color w:val="auto"/>
          <w:sz w:val="24"/>
          <w:szCs w:val="24"/>
          <w:highlight w:val="none"/>
          <w:u w:val="single"/>
        </w:rPr>
        <w:t>[2017]4号）、《关于印发广州市建设领域工人工资支付分帐管理实施细则的通知》（穗建规字[2020]37号）、《广州市根治拖欠农民工工资工作领导小组办公室关于广州市建设领域工程项目全面实施农民工工资总包代发制度的通知》及广州市黄埔区、开发区对应出台的相关文件规定办理建筑工地实名制管理和工人工资支付分帐管理事宜；防止出现拖欠工人工资情况。承包人违法转包、分包工程的或其他承包人原因导致相应工程出现拖欠工人工资情况的，承包人对拖欠工人工资承担清偿责任，对此引起的纠纷负全责，造成</w:t>
      </w:r>
      <w:r>
        <w:rPr>
          <w:rFonts w:hint="eastAsia" w:ascii="宋体" w:hAnsi="宋体" w:cs="宋体"/>
          <w:color w:val="auto"/>
          <w:sz w:val="24"/>
          <w:szCs w:val="24"/>
          <w:highlight w:val="none"/>
          <w:u w:val="single"/>
        </w:rPr>
        <w:t>发包人损失（包括但不限于发包人因此而支付的赔偿款、律师费、诉讼费、保全费、公证费、鉴定费等）的，承包人须承担全部责任。</w:t>
      </w:r>
    </w:p>
    <w:p>
      <w:pPr>
        <w:spacing w:line="440" w:lineRule="exact"/>
        <w:ind w:firstLine="480" w:firstLineChars="200"/>
        <w:rPr>
          <w:rFonts w:ascii="宋体" w:hAnsi="宋体" w:cs="宋体"/>
          <w:b/>
          <w:color w:val="auto"/>
          <w:sz w:val="24"/>
          <w:szCs w:val="24"/>
          <w:highlight w:val="none"/>
        </w:rPr>
      </w:pPr>
      <w:r>
        <w:rPr>
          <w:rFonts w:ascii="宋体" w:hAnsi="宋体" w:cs="宋体"/>
          <w:color w:val="auto"/>
          <w:sz w:val="24"/>
          <w:szCs w:val="24"/>
          <w:highlight w:val="none"/>
        </w:rPr>
        <w:t>47.16</w:t>
      </w:r>
      <w:r>
        <w:rPr>
          <w:rFonts w:hint="eastAsia" w:ascii="宋体" w:hAnsi="宋体" w:cs="宋体"/>
          <w:color w:val="auto"/>
          <w:sz w:val="24"/>
          <w:szCs w:val="24"/>
          <w:highlight w:val="none"/>
          <w:u w:val="single"/>
        </w:rPr>
        <w:t>若承包人在本工程内发生无故拖欠农民工工资现象，将被作不良记录，上报区建设行政主管部门</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若承包人转包或者违法分包造成拖欠工人工资的，除上报区建设行政主管部门外，还将提请省建设行业主管部门禁止在广东省行政区域范围内承包工程。</w:t>
      </w:r>
    </w:p>
    <w:p>
      <w:pPr>
        <w:snapToGrid w:val="0"/>
        <w:spacing w:line="440" w:lineRule="exact"/>
        <w:ind w:firstLine="480"/>
        <w:rPr>
          <w:rFonts w:ascii="宋体" w:hAnsi="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b/>
          <w:color w:val="auto"/>
          <w:sz w:val="24"/>
          <w:szCs w:val="24"/>
          <w:highlight w:val="none"/>
        </w:rPr>
        <w:t>项目管理机构人员、机械设备、劳动力到位方面的要求</w:t>
      </w:r>
      <w:r>
        <w:rPr>
          <w:rFonts w:hint="eastAsia" w:ascii="宋体" w:hAnsi="宋体" w:eastAsia="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47.17</w:t>
      </w:r>
      <w:r>
        <w:rPr>
          <w:rFonts w:hint="eastAsia" w:ascii="宋体" w:hAnsi="宋体" w:cs="宋体"/>
          <w:color w:val="auto"/>
          <w:sz w:val="24"/>
          <w:szCs w:val="24"/>
          <w:highlight w:val="none"/>
          <w:u w:val="single"/>
        </w:rPr>
        <w:t>合同签订后，项目负责人、项目班子主要成员不到位，则工程师不签发开工令，工期不顺延。施工中班子主要成员离开工地应向工程师请假，经批准后才能离开，擅自离开工地，工程师将发出停工令，待人员回到岗位后才批准复工，由此产生的工期和经济损失由承包人自负，造成发包人和建设管理方损失的，发包人和建设管理方保留索赔的权利</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47.18</w:t>
      </w:r>
      <w:r>
        <w:rPr>
          <w:rFonts w:hint="eastAsia" w:ascii="宋体" w:hAnsi="宋体" w:cs="宋体"/>
          <w:color w:val="auto"/>
          <w:sz w:val="24"/>
          <w:szCs w:val="24"/>
          <w:highlight w:val="none"/>
          <w:u w:val="single"/>
        </w:rPr>
        <w:t>尽管承包人已按投标文件附表中所列的数量派遣了各类管理人员，但若监理工程师经论证认为这些人员仍不足以适应现场施工的需要且不能保证工程质量时，监理工程师有权要求承包人继续增派或雇佣这类人员，并书面通知承包人和抄送发包人。承包人在接到上述通知后应立即执行监理工程师的上述指示，不得无故拖延</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47.19</w:t>
      </w:r>
      <w:r>
        <w:rPr>
          <w:rFonts w:hint="eastAsia" w:ascii="宋体" w:hAnsi="宋体" w:cs="宋体"/>
          <w:color w:val="auto"/>
          <w:sz w:val="24"/>
          <w:szCs w:val="24"/>
          <w:highlight w:val="none"/>
          <w:u w:val="single"/>
        </w:rPr>
        <w:t>现场施工时，施工员（技术员）不在施工现场不得施工，否则发包人可随时要求停工，工期延误由承包人负责</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47.20</w:t>
      </w:r>
      <w:r>
        <w:rPr>
          <w:rFonts w:hint="eastAsia" w:ascii="宋体" w:hAnsi="宋体" w:cs="宋体"/>
          <w:color w:val="auto"/>
          <w:sz w:val="24"/>
          <w:szCs w:val="24"/>
          <w:highlight w:val="none"/>
          <w:u w:val="single"/>
        </w:rPr>
        <w:t>承包人派往现场的管理人员若因不负责任、或玩忽职守、或严重失职等给发包人造成经济损失，承包人承担相应的经济责任和连带法律责任</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b/>
          <w:color w:val="auto"/>
          <w:sz w:val="24"/>
          <w:szCs w:val="24"/>
          <w:highlight w:val="none"/>
        </w:rPr>
        <w:t>投标报价及造价承包和变更结算方式的要求</w:t>
      </w:r>
      <w:r>
        <w:rPr>
          <w:rFonts w:hint="eastAsia" w:ascii="宋体" w:hAnsi="宋体" w:eastAsia="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47.21</w:t>
      </w:r>
      <w:r>
        <w:rPr>
          <w:rFonts w:hint="eastAsia" w:ascii="宋体" w:hAnsi="宋体" w:cs="宋体"/>
          <w:color w:val="auto"/>
          <w:sz w:val="24"/>
          <w:szCs w:val="24"/>
          <w:highlight w:val="none"/>
          <w:u w:val="single"/>
        </w:rPr>
        <w:t>工程量清单报价中有关问题的说明：</w:t>
      </w:r>
    </w:p>
    <w:p>
      <w:pPr>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①</w:t>
      </w:r>
      <w:r>
        <w:rPr>
          <w:rFonts w:ascii="宋体" w:hAnsi="宋体" w:cs="宋体"/>
          <w:color w:val="auto"/>
          <w:sz w:val="24"/>
          <w:szCs w:val="24"/>
          <w:highlight w:val="none"/>
        </w:rPr>
        <w:t xml:space="preserve"> </w:t>
      </w:r>
      <w:r>
        <w:rPr>
          <w:rFonts w:hint="eastAsia" w:ascii="宋体" w:hAnsi="宋体" w:cs="宋体"/>
          <w:color w:val="auto"/>
          <w:sz w:val="24"/>
          <w:szCs w:val="24"/>
          <w:highlight w:val="none"/>
          <w:u w:val="single"/>
        </w:rPr>
        <w:t>投标时</w:t>
      </w:r>
      <w:r>
        <w:rPr>
          <w:rFonts w:ascii="宋体" w:hAnsi="宋体" w:cs="宋体"/>
          <w:color w:val="auto"/>
          <w:sz w:val="24"/>
          <w:szCs w:val="24"/>
          <w:highlight w:val="none"/>
          <w:u w:val="single"/>
        </w:rPr>
        <w:t>,土方</w:t>
      </w:r>
      <w:r>
        <w:rPr>
          <w:rFonts w:hint="eastAsia" w:ascii="宋体" w:hAnsi="宋体" w:cs="宋体"/>
          <w:color w:val="auto"/>
          <w:sz w:val="24"/>
          <w:szCs w:val="24"/>
          <w:highlight w:val="none"/>
          <w:u w:val="single"/>
        </w:rPr>
        <w:t>的弃运距离暂按</w:t>
      </w:r>
      <w:r>
        <w:rPr>
          <w:rFonts w:ascii="宋体" w:hAnsi="宋体" w:cs="宋体"/>
          <w:color w:val="auto"/>
          <w:sz w:val="24"/>
          <w:szCs w:val="24"/>
          <w:highlight w:val="none"/>
          <w:u w:val="single"/>
        </w:rPr>
        <w:t>15km</w:t>
      </w:r>
      <w:r>
        <w:rPr>
          <w:rFonts w:hint="eastAsia" w:ascii="宋体" w:hAnsi="宋体" w:cs="宋体"/>
          <w:color w:val="auto"/>
          <w:sz w:val="24"/>
          <w:szCs w:val="24"/>
          <w:highlight w:val="none"/>
          <w:u w:val="single"/>
        </w:rPr>
        <w:t>内考虑，超过</w:t>
      </w:r>
      <w:r>
        <w:rPr>
          <w:rFonts w:ascii="宋体" w:hAnsi="宋体" w:cs="宋体"/>
          <w:color w:val="auto"/>
          <w:sz w:val="24"/>
          <w:szCs w:val="24"/>
          <w:highlight w:val="none"/>
          <w:u w:val="single"/>
        </w:rPr>
        <w:t>15km</w:t>
      </w:r>
      <w:r>
        <w:rPr>
          <w:rFonts w:hint="eastAsia" w:ascii="宋体" w:hAnsi="宋体" w:cs="宋体"/>
          <w:color w:val="auto"/>
          <w:sz w:val="24"/>
          <w:szCs w:val="24"/>
          <w:highlight w:val="none"/>
          <w:u w:val="single"/>
        </w:rPr>
        <w:t>按</w:t>
      </w:r>
      <w:r>
        <w:rPr>
          <w:rFonts w:ascii="宋体" w:hAnsi="宋体" w:cs="宋体"/>
          <w:color w:val="auto"/>
          <w:sz w:val="24"/>
          <w:szCs w:val="24"/>
          <w:highlight w:val="none"/>
          <w:u w:val="single"/>
        </w:rPr>
        <w:t>15km</w:t>
      </w:r>
      <w:r>
        <w:rPr>
          <w:rFonts w:hint="eastAsia" w:ascii="宋体" w:hAnsi="宋体" w:cs="宋体"/>
          <w:color w:val="auto"/>
          <w:sz w:val="24"/>
          <w:szCs w:val="24"/>
          <w:highlight w:val="none"/>
          <w:u w:val="single"/>
        </w:rPr>
        <w:t>计算，结算时按招标人确认的实际运距计算</w:t>
      </w:r>
      <w:r>
        <w:rPr>
          <w:rFonts w:ascii="宋体" w:hAnsi="宋体" w:cs="宋体"/>
          <w:color w:val="auto"/>
          <w:sz w:val="24"/>
          <w:szCs w:val="24"/>
          <w:highlight w:val="none"/>
          <w:u w:val="single"/>
        </w:rPr>
        <w:t>,实际运距超过15公里</w:t>
      </w:r>
      <w:r>
        <w:rPr>
          <w:rFonts w:hint="eastAsia" w:ascii="宋体" w:hAnsi="宋体" w:cs="宋体"/>
          <w:color w:val="auto"/>
          <w:sz w:val="24"/>
          <w:szCs w:val="24"/>
          <w:highlight w:val="none"/>
          <w:u w:val="single"/>
        </w:rPr>
        <w:t>时按</w:t>
      </w:r>
      <w:r>
        <w:rPr>
          <w:rFonts w:ascii="宋体" w:hAnsi="宋体" w:cs="宋体"/>
          <w:color w:val="auto"/>
          <w:sz w:val="24"/>
          <w:szCs w:val="24"/>
          <w:highlight w:val="none"/>
          <w:u w:val="single"/>
        </w:rPr>
        <w:t>15公里</w:t>
      </w:r>
      <w:r>
        <w:rPr>
          <w:rFonts w:hint="eastAsia" w:ascii="宋体" w:hAnsi="宋体" w:cs="宋体"/>
          <w:color w:val="auto"/>
          <w:sz w:val="24"/>
          <w:szCs w:val="24"/>
          <w:highlight w:val="none"/>
          <w:u w:val="single"/>
        </w:rPr>
        <w:t>包干。</w:t>
      </w:r>
    </w:p>
    <w:p>
      <w:pPr>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lang w:val="en-US" w:eastAsia="zh-CN"/>
        </w:rPr>
        <w:t>②</w:t>
      </w:r>
      <w:r>
        <w:rPr>
          <w:rFonts w:ascii="宋体" w:hAnsi="宋体" w:cs="宋体"/>
          <w:color w:val="auto"/>
          <w:sz w:val="24"/>
          <w:szCs w:val="24"/>
          <w:highlight w:val="none"/>
          <w:u w:val="single"/>
        </w:rPr>
        <w:t xml:space="preserve"> 工程量清单中措施项目清单费计价表中的绿色施工安全防护措施费执行</w:t>
      </w:r>
      <w:r>
        <w:rPr>
          <w:rFonts w:hint="eastAsia" w:ascii="宋体" w:hAnsi="宋体" w:cs="宋体"/>
          <w:color w:val="auto"/>
          <w:sz w:val="24"/>
          <w:szCs w:val="24"/>
          <w:highlight w:val="none"/>
          <w:u w:val="single"/>
        </w:rPr>
        <w:t>《广东省住房和城乡建设厅关于印发</w:t>
      </w:r>
      <w:r>
        <w:rPr>
          <w:rFonts w:ascii="宋体" w:hAnsi="宋体" w:cs="宋体"/>
          <w:color w:val="auto"/>
          <w:sz w:val="24"/>
          <w:szCs w:val="24"/>
          <w:highlight w:val="none"/>
          <w:u w:val="single"/>
        </w:rPr>
        <w:t>&lt;</w:t>
      </w:r>
      <w:r>
        <w:rPr>
          <w:rFonts w:hint="eastAsia" w:ascii="宋体" w:hAnsi="宋体" w:cs="宋体"/>
          <w:color w:val="auto"/>
          <w:sz w:val="24"/>
          <w:szCs w:val="24"/>
          <w:highlight w:val="none"/>
          <w:u w:val="single"/>
        </w:rPr>
        <w:t>广东省建设工程计价依据（</w:t>
      </w:r>
      <w:r>
        <w:rPr>
          <w:rFonts w:ascii="宋体" w:hAnsi="宋体" w:cs="宋体"/>
          <w:color w:val="auto"/>
          <w:sz w:val="24"/>
          <w:szCs w:val="24"/>
          <w:highlight w:val="none"/>
          <w:u w:val="single"/>
        </w:rPr>
        <w:t>2018)&gt;</w:t>
      </w:r>
      <w:r>
        <w:rPr>
          <w:rFonts w:hint="eastAsia" w:ascii="宋体" w:hAnsi="宋体" w:cs="宋体"/>
          <w:color w:val="auto"/>
          <w:sz w:val="24"/>
          <w:szCs w:val="24"/>
          <w:highlight w:val="none"/>
          <w:u w:val="single"/>
        </w:rPr>
        <w:t>的通知》（穗建市〔</w:t>
      </w:r>
      <w:r>
        <w:rPr>
          <w:rFonts w:ascii="宋体" w:hAnsi="宋体" w:cs="宋体"/>
          <w:color w:val="auto"/>
          <w:sz w:val="24"/>
          <w:szCs w:val="24"/>
          <w:highlight w:val="none"/>
          <w:u w:val="single"/>
        </w:rPr>
        <w:t>2019〕6号）文，</w:t>
      </w:r>
      <w:r>
        <w:rPr>
          <w:rFonts w:hint="eastAsia" w:ascii="宋体" w:hAnsi="宋体" w:cs="宋体"/>
          <w:color w:val="auto"/>
          <w:sz w:val="24"/>
          <w:szCs w:val="24"/>
          <w:highlight w:val="none"/>
          <w:u w:val="single"/>
        </w:rPr>
        <w:t>绿色施工安全防护措施费</w:t>
      </w:r>
      <w:r>
        <w:rPr>
          <w:rFonts w:ascii="宋体" w:hAnsi="宋体" w:cs="宋体"/>
          <w:color w:val="auto"/>
          <w:sz w:val="24"/>
          <w:szCs w:val="24"/>
          <w:highlight w:val="none"/>
          <w:u w:val="single"/>
        </w:rPr>
        <w:t>按</w:t>
      </w:r>
      <w:r>
        <w:rPr>
          <w:rFonts w:hint="eastAsia" w:ascii="宋体" w:hAnsi="宋体" w:cs="宋体"/>
          <w:color w:val="auto"/>
          <w:sz w:val="24"/>
          <w:szCs w:val="24"/>
          <w:highlight w:val="none"/>
          <w:u w:val="single"/>
        </w:rPr>
        <w:t>发包人公布的本工程招标控制价中的绿色施工安全防护措施费计取，作为非竞争费用，在投标报价中单列，不参与投标竞价，该费用从工程施工中标价中提取，专款专用</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47.22</w:t>
      </w:r>
      <w:r>
        <w:rPr>
          <w:rFonts w:hint="eastAsia" w:ascii="宋体" w:hAnsi="宋体" w:cs="宋体"/>
          <w:color w:val="auto"/>
          <w:sz w:val="24"/>
          <w:szCs w:val="24"/>
          <w:highlight w:val="none"/>
          <w:u w:val="single"/>
        </w:rPr>
        <w:t>本工程承包人通过现场考察，提出具体施工方案，无论在工程施工期间或是在质量保修期内，若因施工而引起的一切索赔、赔偿、诉讼费用和其他开支，由承包人承担全部责任。该项费用在措施项目费中设有独立单项项目，该费用包干使用（施工围蔽费用除外），且承包人不得以任何理由要求发包人另行增加该部分费用（承包人要充分考虑最不利因素影响而采用的施工方案所需的费用）</w:t>
      </w:r>
      <w:r>
        <w:rPr>
          <w:rFonts w:hint="eastAsia" w:ascii="宋体" w:hAnsi="宋体" w:cs="宋体"/>
          <w:color w:val="auto"/>
          <w:sz w:val="24"/>
          <w:szCs w:val="24"/>
          <w:highlight w:val="none"/>
        </w:rPr>
        <w:t>。</w:t>
      </w:r>
    </w:p>
    <w:p>
      <w:pPr>
        <w:pBdr>
          <w:top w:val="single" w:color="auto" w:sz="4" w:space="1"/>
          <w:bottom w:val="single" w:color="auto" w:sz="6" w:space="1"/>
        </w:pBd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47.23</w:t>
      </w:r>
      <w:r>
        <w:rPr>
          <w:rFonts w:hint="eastAsia" w:ascii="宋体" w:hAnsi="宋体" w:cs="宋体"/>
          <w:color w:val="auto"/>
          <w:sz w:val="24"/>
          <w:szCs w:val="24"/>
          <w:highlight w:val="none"/>
          <w:u w:val="single"/>
        </w:rPr>
        <w:t>承包人应结合本工程招标内容对现场进行充分的调查，充分考虑工程招标内容及施工组织方案，承包单位应与相关管理部门（如铁路管理部门）协商，取得同意协调，按要求完成工程招标内容，工程及相关费用包含在合同价中，不另行计费。如果承包人不及时按要求完成，发包人可以另行委托实施，发包人按实际发生的费用在工程款中扣除，承包人不得有任何异议。</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47.24</w:t>
      </w:r>
      <w:r>
        <w:rPr>
          <w:rFonts w:hint="eastAsia" w:ascii="宋体" w:hAnsi="宋体" w:cs="宋体"/>
          <w:color w:val="auto"/>
          <w:sz w:val="24"/>
          <w:szCs w:val="24"/>
          <w:highlight w:val="none"/>
          <w:u w:val="single"/>
        </w:rPr>
        <w:t>承包人应根据区相关主管部门批复的水土保持实施方案及相关规定完成本工程的水土保持工作，承担防止水土流失职责，相关费用包含在合同价中，不另行计费。如果承包人不及时按要求完成上述工作，发包人可以另行委托实施，发包人按实际发生的费用在工程款中扣除，承包人不得有任何异议。</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47.25</w:t>
      </w:r>
      <w:r>
        <w:rPr>
          <w:rFonts w:hint="eastAsia" w:ascii="宋体" w:hAnsi="宋体" w:cs="宋体"/>
          <w:color w:val="auto"/>
          <w:sz w:val="24"/>
          <w:szCs w:val="24"/>
          <w:highlight w:val="none"/>
          <w:u w:val="single"/>
        </w:rPr>
        <w:t>承包人应使用绿色生产达标企业生产的混凝土，若不遵守承诺，自愿按不履行合同约定处理。</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47.26</w:t>
      </w:r>
      <w:r>
        <w:rPr>
          <w:rFonts w:hint="eastAsia" w:ascii="宋体" w:hAnsi="宋体" w:cs="宋体"/>
          <w:color w:val="auto"/>
          <w:sz w:val="24"/>
          <w:szCs w:val="24"/>
          <w:highlight w:val="none"/>
          <w:u w:val="single"/>
        </w:rPr>
        <w:t>承包人人应按有关规定协助发包人完成公共排水设施竣工图纸备案工作。</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47.27</w:t>
      </w:r>
      <w:r>
        <w:rPr>
          <w:rFonts w:hint="eastAsia" w:ascii="宋体" w:hAnsi="宋体" w:cs="宋体"/>
          <w:color w:val="auto"/>
          <w:sz w:val="24"/>
          <w:szCs w:val="24"/>
          <w:highlight w:val="none"/>
          <w:u w:val="single"/>
        </w:rPr>
        <w:t>在整个合同执行期间发包人如发现有不合理投标报价的，发包人有权按有关规定和合同约定进行调整，并将书面通知承包人，并以此作为结算依据</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47.28</w:t>
      </w:r>
      <w:r>
        <w:rPr>
          <w:rFonts w:hint="eastAsia" w:ascii="宋体" w:hAnsi="宋体" w:cs="宋体"/>
          <w:color w:val="auto"/>
          <w:sz w:val="24"/>
          <w:highlight w:val="none"/>
          <w:u w:val="single"/>
        </w:rPr>
        <w:t>所有材料品牌选择均须报发包人、监理工程师确认，且经检验合格后方能使用。</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47.29</w:t>
      </w:r>
      <w:r>
        <w:rPr>
          <w:rFonts w:hint="eastAsia" w:ascii="宋体" w:hAnsi="宋体" w:cs="宋体"/>
          <w:color w:val="auto"/>
          <w:sz w:val="24"/>
          <w:szCs w:val="24"/>
          <w:highlight w:val="none"/>
          <w:u w:val="single"/>
        </w:rPr>
        <w:t>在本工程实施过程中，若与其他工程发生重叠情况或因征地拆迁问题而无法实施的工程，发包人有权取消重叠部分及无法实施部分的工程量，并按照减少的工程量扣除相应的工程款，承包人不得有异议。另外，由于前述原因造成的工程损失，发包人不予赔偿</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47.30</w:t>
      </w:r>
      <w:r>
        <w:rPr>
          <w:rFonts w:hint="eastAsia" w:ascii="宋体" w:hAnsi="宋体" w:cs="宋体"/>
          <w:color w:val="auto"/>
          <w:sz w:val="24"/>
          <w:szCs w:val="24"/>
          <w:highlight w:val="none"/>
          <w:u w:val="single"/>
        </w:rPr>
        <w:t>在承包人严重违约、不可抗力或政府政策性调整情况下或根据工程实施实际情况，发包人可对本合同承包范围和承包内容进行调整，发包人对承包人的损失不予补偿（本合同其他条款约定可进行造价调整的除外）</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47.31</w:t>
      </w:r>
      <w:r>
        <w:rPr>
          <w:rFonts w:hint="eastAsia" w:ascii="宋体" w:hAnsi="宋体" w:cs="宋体"/>
          <w:color w:val="auto"/>
          <w:sz w:val="24"/>
          <w:szCs w:val="24"/>
          <w:highlight w:val="none"/>
          <w:u w:val="single"/>
        </w:rPr>
        <w:t>承包人须按照发包人与监理人签订的委托监理合同接受监理人的全过程监理</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47.32</w:t>
      </w:r>
      <w:r>
        <w:rPr>
          <w:rFonts w:hint="eastAsia" w:ascii="宋体" w:hAnsi="宋体" w:cs="宋体"/>
          <w:color w:val="auto"/>
          <w:sz w:val="24"/>
          <w:szCs w:val="24"/>
          <w:highlight w:val="none"/>
          <w:u w:val="single"/>
        </w:rPr>
        <w:t>如广州开发区、黄埔区对工程竣工验收及备案有相关规定，则本合同执行该规定</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47.33</w:t>
      </w:r>
      <w:r>
        <w:rPr>
          <w:rFonts w:hint="eastAsia" w:ascii="宋体" w:hAnsi="宋体" w:cs="宋体"/>
          <w:color w:val="auto"/>
          <w:sz w:val="24"/>
          <w:szCs w:val="24"/>
          <w:highlight w:val="none"/>
          <w:u w:val="single"/>
        </w:rPr>
        <w:t>如果审计机关依法对本工程实施审计，发包人、承包人及监理单位应积极配合</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47.34</w:t>
      </w:r>
      <w:r>
        <w:rPr>
          <w:rFonts w:hint="eastAsia" w:ascii="宋体" w:hAnsi="宋体" w:cs="宋体"/>
          <w:color w:val="auto"/>
          <w:sz w:val="24"/>
          <w:szCs w:val="24"/>
          <w:highlight w:val="none"/>
          <w:u w:val="single"/>
        </w:rPr>
        <w:t>本合同在实施过程中所发生的文件来往，双方不得拒绝签收。如果发生类似事件，发文一方可以监理工程师签收为准，视为送达</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47.35</w:t>
      </w:r>
      <w:r>
        <w:rPr>
          <w:rFonts w:hint="eastAsia" w:ascii="宋体" w:hAnsi="宋体" w:cs="宋体"/>
          <w:color w:val="auto"/>
          <w:sz w:val="24"/>
          <w:szCs w:val="24"/>
          <w:highlight w:val="none"/>
          <w:u w:val="single"/>
        </w:rPr>
        <w:t>关于现场文件送达后的时效约定：如果涉及到安全、质量、工期（或进度）、经济、技术方案等的报审文件，在发往现场项目部的同时，抄送一份给对方公司，按约定的时效执行；如果属于一般性文件，就直接发往对方现场项目部，项目部如果在约定的时效内未作答复，发文一方再追加一份给对方公司并重新约定答复时效，如果对方公司仍然没有答复，则按重新约定的时效执行</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47.36</w:t>
      </w:r>
      <w:r>
        <w:rPr>
          <w:rFonts w:hint="eastAsia" w:ascii="宋体" w:hAnsi="宋体" w:cs="宋体"/>
          <w:color w:val="auto"/>
          <w:sz w:val="24"/>
          <w:szCs w:val="24"/>
          <w:highlight w:val="none"/>
          <w:u w:val="single"/>
        </w:rPr>
        <w:t>在本合同实施过程中所发生的违约金、罚款、扣款等费用，经监理工程师核实并通知承包人后直接作为财务扣款依据（无需承包人签认或同意），可由发包人在履约担保中主张或在工程款中扣除，承包人对此无异议</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47.37</w:t>
      </w:r>
      <w:r>
        <w:rPr>
          <w:rFonts w:hint="eastAsia" w:ascii="宋体" w:hAnsi="宋体" w:cs="宋体"/>
          <w:color w:val="auto"/>
          <w:sz w:val="24"/>
          <w:szCs w:val="24"/>
          <w:highlight w:val="none"/>
          <w:u w:val="single"/>
        </w:rPr>
        <w:t>承包人施工过程中不得侵犯他人的专利权或者其他合法权益，否则由承包人承担相关责任，并保证不因该侵权行为影响工程建设</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47.38</w:t>
      </w:r>
      <w:r>
        <w:rPr>
          <w:rFonts w:hint="eastAsia" w:ascii="宋体" w:hAnsi="宋体" w:cs="宋体"/>
          <w:color w:val="auto"/>
          <w:sz w:val="24"/>
          <w:szCs w:val="24"/>
          <w:highlight w:val="none"/>
          <w:u w:val="single"/>
        </w:rPr>
        <w:t>承包人与发包人签订合同时所提供的开户银行名称及帐号不得擅自变更，如需变更必须征得发包人的书面同意，否则发包人有权停止工程款的拨付，所造成的一切后果由承包人承担</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47.39</w:t>
      </w:r>
      <w:r>
        <w:rPr>
          <w:rFonts w:hint="eastAsia" w:ascii="宋体" w:hAnsi="宋体" w:cs="宋体"/>
          <w:color w:val="auto"/>
          <w:sz w:val="24"/>
          <w:szCs w:val="24"/>
          <w:highlight w:val="none"/>
          <w:u w:val="single"/>
        </w:rPr>
        <w:t>如发包人为本工程的代建单位，则本工程建设业主同时享有本合同项下属发包人的权利，并且合同中约定需发包人审批的事项，必须经建设业主审批同意后方可实施</w:t>
      </w:r>
      <w:r>
        <w:rPr>
          <w:rFonts w:hint="eastAsia" w:ascii="宋体" w:hAnsi="宋体" w:cs="宋体"/>
          <w:color w:val="auto"/>
          <w:sz w:val="24"/>
          <w:szCs w:val="24"/>
          <w:highlight w:val="none"/>
        </w:rPr>
        <w:t>。</w:t>
      </w:r>
    </w:p>
    <w:p>
      <w:pPr>
        <w:spacing w:line="440" w:lineRule="exact"/>
        <w:ind w:firstLine="480" w:firstLineChars="200"/>
        <w:rPr>
          <w:rFonts w:ascii="宋体" w:hAnsi="宋体" w:cs="宋体"/>
          <w:i/>
          <w:color w:val="auto"/>
          <w:sz w:val="24"/>
          <w:szCs w:val="24"/>
          <w:highlight w:val="none"/>
        </w:rPr>
      </w:pPr>
      <w:r>
        <w:rPr>
          <w:rFonts w:ascii="宋体" w:hAnsi="宋体" w:cs="宋体"/>
          <w:color w:val="auto"/>
          <w:sz w:val="24"/>
          <w:szCs w:val="24"/>
          <w:highlight w:val="none"/>
        </w:rPr>
        <w:t>47.40</w:t>
      </w:r>
      <w:r>
        <w:rPr>
          <w:rFonts w:hint="eastAsia" w:ascii="宋体" w:hAnsi="宋体" w:cs="宋体"/>
          <w:color w:val="auto"/>
          <w:sz w:val="24"/>
          <w:szCs w:val="24"/>
          <w:highlight w:val="none"/>
          <w:u w:val="single"/>
        </w:rPr>
        <w:t>《广州开发区财政投资建设项目管理中心</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绿化景观工程计量管理办法》将作为合同附件，各相关单位须遵照执行</w:t>
      </w:r>
      <w:r>
        <w:rPr>
          <w:rFonts w:hint="eastAsia" w:ascii="宋体" w:hAnsi="宋体" w:cs="宋体"/>
          <w:color w:val="auto"/>
          <w:sz w:val="24"/>
          <w:szCs w:val="24"/>
          <w:highlight w:val="none"/>
        </w:rPr>
        <w:t>。</w:t>
      </w:r>
      <w:r>
        <w:rPr>
          <w:rFonts w:ascii="宋体" w:hAnsi="宋体" w:cs="宋体"/>
          <w:i/>
          <w:color w:val="auto"/>
          <w:sz w:val="24"/>
          <w:szCs w:val="24"/>
          <w:highlight w:val="none"/>
        </w:rPr>
        <w:t>(</w:t>
      </w:r>
      <w:r>
        <w:rPr>
          <w:rFonts w:hint="eastAsia" w:ascii="宋体" w:hAnsi="宋体" w:cs="宋体"/>
          <w:i/>
          <w:color w:val="auto"/>
          <w:sz w:val="24"/>
          <w:szCs w:val="24"/>
          <w:highlight w:val="none"/>
        </w:rPr>
        <w:t>注：该条款适用于绿化施工工程</w:t>
      </w:r>
      <w:r>
        <w:rPr>
          <w:rFonts w:ascii="宋体" w:hAnsi="宋体" w:cs="宋体"/>
          <w:i/>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47.41</w:t>
      </w:r>
      <w:r>
        <w:rPr>
          <w:rFonts w:hint="eastAsia" w:ascii="宋体" w:hAnsi="宋体" w:cs="宋体"/>
          <w:color w:val="auto"/>
          <w:sz w:val="24"/>
          <w:szCs w:val="24"/>
          <w:highlight w:val="none"/>
          <w:u w:val="single"/>
        </w:rPr>
        <w:t>工程获得国家、省级、市级所发奖项的，可给予通报表彰，但不给予任何物质奖励</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47.42</w:t>
      </w:r>
      <w:r>
        <w:rPr>
          <w:rFonts w:hint="eastAsia" w:ascii="宋体" w:hAnsi="宋体" w:cs="宋体"/>
          <w:color w:val="auto"/>
          <w:sz w:val="24"/>
          <w:szCs w:val="24"/>
          <w:highlight w:val="none"/>
          <w:u w:val="single"/>
        </w:rPr>
        <w:t>如本合同需缴纳合同印花税，承包人需在有关税务部门规定期限及结清本合同费用前，代缴按规定属发包人缴纳的部分，代缴后发包人按代缴金额实报实销。承包人未按规定期限代缴印花税的，因此产生的滞纳金由承包人承担。</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47.43</w:t>
      </w:r>
      <w:r>
        <w:rPr>
          <w:rFonts w:hint="eastAsia" w:ascii="宋体" w:hAnsi="宋体" w:cs="宋体"/>
          <w:color w:val="auto"/>
          <w:sz w:val="24"/>
          <w:szCs w:val="24"/>
          <w:highlight w:val="none"/>
          <w:u w:val="single"/>
        </w:rPr>
        <w:t>如承包人为联合体的，本合同由联合体的主办方负责签订。并由联合体主办方负责开具合同价款全额发票、收取合同款项，联合体主办方收取合同款项后由联合体各方自行分配相应款项，或由联合体各方负责开具其对应价款的全额发票，具体分配事宜与发包人无关。</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47.44</w:t>
      </w:r>
      <w:r>
        <w:rPr>
          <w:rFonts w:hint="eastAsia" w:ascii="宋体" w:hAnsi="宋体" w:cs="宋体"/>
          <w:color w:val="auto"/>
          <w:sz w:val="24"/>
          <w:szCs w:val="24"/>
          <w:highlight w:val="none"/>
          <w:u w:val="single"/>
        </w:rPr>
        <w:t>如承包人及承包人的项目负责人存在因与工程项目施工相关的车辆运输而被最高人民法院在“信用中国”网站或各级信用信息共享平台中列入失信被执行人名单或被交通运输行政主管部门在“信用交通”网站列入严重违法超限超载运输失信当事人名单或被工商行政管理机关在全国企业信用信息公示系统中列入严重违法失信企业名单或被黄埔区、广州开发区公安、城管、住建、交通、水务、规自等部门列入黑名单、不良行为记录（处罚有效期内）的，经发包人核实，发包人有权终止合同。</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47.45</w:t>
      </w:r>
      <w:r>
        <w:rPr>
          <w:rFonts w:hint="eastAsia" w:ascii="宋体" w:hAnsi="宋体" w:cs="宋体"/>
          <w:color w:val="auto"/>
          <w:sz w:val="24"/>
          <w:szCs w:val="24"/>
          <w:highlight w:val="none"/>
          <w:u w:val="single"/>
        </w:rPr>
        <w:t>如承包人将工程施工过程中产生的土石方、建筑垃圾及施工过程中使用的建筑材料、设备等的运输委托给被最高人民法院在“信用中国”网站或各级信用信息共享平台中列入失信被执行人名单或被交通运输行政主管部门在“信用交通”网站列入严重违法超限超载运输失信当事人名单或被工商行政管理机关在全国企业信用信息公示系统中列入严重违法失信企业名单或被黄埔区、广州开发区公安、城管、住建、交通、水务、规自等部门列入黑名单、不良行为记录（处罚有效期内）的单位或个体经营者运输的，经发包人核实，发包人有权终止合同。</w:t>
      </w:r>
    </w:p>
    <w:p>
      <w:pPr>
        <w:spacing w:line="440" w:lineRule="exact"/>
        <w:ind w:firstLine="480" w:firstLineChars="200"/>
        <w:rPr>
          <w:rFonts w:ascii="宋体" w:hAnsi="宋体" w:cs="宋体"/>
          <w:color w:val="auto"/>
          <w:sz w:val="24"/>
          <w:highlight w:val="none"/>
        </w:rPr>
      </w:pPr>
      <w:r>
        <w:rPr>
          <w:rFonts w:ascii="宋体" w:hAnsi="宋体" w:cs="宋体"/>
          <w:color w:val="auto"/>
          <w:sz w:val="24"/>
          <w:highlight w:val="none"/>
        </w:rPr>
        <w:t>47.4</w:t>
      </w:r>
      <w:r>
        <w:rPr>
          <w:rFonts w:hint="eastAsia" w:ascii="宋体" w:hAnsi="宋体" w:cs="宋体"/>
          <w:color w:val="auto"/>
          <w:sz w:val="24"/>
          <w:highlight w:val="none"/>
        </w:rPr>
        <w:t>6</w:t>
      </w:r>
      <w:r>
        <w:rPr>
          <w:rFonts w:ascii="宋体" w:hAnsi="宋体" w:cs="宋体"/>
          <w:color w:val="auto"/>
          <w:sz w:val="24"/>
          <w:highlight w:val="none"/>
        </w:rPr>
        <w:t>开工前中标人应当投保安全生产责任保险，且该保险保障场所应包含中标项目。投标人的投标报价视为包含该项目费用。中标人未按规定购买安全生产责任保险，招标人可视严重程度拒绝该单位一定时期内参与后续工程投标。</w:t>
      </w:r>
    </w:p>
    <w:p>
      <w:pPr>
        <w:spacing w:line="440" w:lineRule="exact"/>
        <w:ind w:firstLine="480" w:firstLineChars="200"/>
        <w:rPr>
          <w:rFonts w:ascii="宋体" w:hAnsi="宋体" w:cs="宋体"/>
          <w:color w:val="auto"/>
          <w:sz w:val="24"/>
          <w:highlight w:val="none"/>
          <w:u w:val="single"/>
        </w:rPr>
      </w:pPr>
      <w:r>
        <w:rPr>
          <w:rFonts w:ascii="宋体" w:hAnsi="宋体" w:cs="宋体"/>
          <w:color w:val="auto"/>
          <w:sz w:val="24"/>
          <w:szCs w:val="24"/>
          <w:highlight w:val="none"/>
          <w:u w:val="single"/>
        </w:rPr>
        <w:t>47.47</w:t>
      </w:r>
      <w:r>
        <w:rPr>
          <w:rFonts w:hint="eastAsia" w:ascii="宋体" w:hAnsi="宋体" w:cs="宋体"/>
          <w:color w:val="auto"/>
          <w:sz w:val="24"/>
          <w:highlight w:val="none"/>
          <w:u w:val="single"/>
        </w:rPr>
        <w:t xml:space="preserve"> 承包人在施工过程中应严格执行《城市绿化条例》、《广东省城市绿化条例》、《广州市绿化条例》、《广州市城市树木保护管理规定（试行）》（穗林业园林规字〔2022〕1号）等法规规定。不得破坏树木和树木立地生境，不得随意更改树木根颈处的地形标高。对可能影响绿地使用功能或树木正常生长的，应采取避让和保护措施。涉及树木周边环境施工时，承包人应对可能受损的树木采取保护措施，包括设立保护区域、使用保护物料包裹树干、设置临时支撑、定期检查树木健康状况等。工程建设应符合相关规划和标准，保证树木的生长空间。相关费用包含在合同价中，不另行计费。如果承包人不及时按要求完成，发包人可以另行委托实施，发包人按实际发生的费用在工程款中扣除，承包人不得有任何异议。</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highlight w:val="none"/>
          <w:u w:val="single"/>
        </w:rPr>
        <w:t xml:space="preserve">47.48 </w:t>
      </w:r>
      <w:r>
        <w:rPr>
          <w:rFonts w:hint="eastAsia" w:ascii="宋体" w:hAnsi="宋体" w:cs="宋体"/>
          <w:color w:val="auto"/>
          <w:sz w:val="24"/>
          <w:highlight w:val="none"/>
          <w:u w:val="single"/>
        </w:rPr>
        <w:t>承包人应严格保护古树名木、古树后续资源、行道树、大树等树木，禁止擅自砍伐树木，禁止擅自迁移树木。如承包人未经批准擅自砍伐树木、损害绿化、损害树木及绿化保护设施的，发包人将上报绿化行政主管部门，视情节轻重给予相应处罚，构成犯罪的将依法移交相关机关追究刑事责任。</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47.49 承包人应切实遵守《中华人民共和国文物保护法》、《中华人民共和国文物保护法实施条例》、《广州市文物保护规定》等文物保护相关法律、法规规定，在工程施工前，协助发包人按规定履行文物保护相关审批手续，及配合相关单位完成考古调查、勘探相关工作。不得因施工发生损毁文物的情况。承包人应加强对其施工队伍及分包单位（如有）关于文物保护相关法律、法规的宣传教育，保证施工全过程不违反文物保护相关规定。如因承包人原因发生未履行文物考古调查、勘探等前置工作擅自开工建设的，由承包人承担全部法律责任，发包人将上报文物行政主管部门，视情节轻重给予相应处罚，构成犯罪的将依法移交相关机关追究刑事责任。</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 xml:space="preserve">47.50 </w:t>
      </w:r>
      <w:r>
        <w:rPr>
          <w:rFonts w:hint="eastAsia" w:ascii="宋体" w:hAnsi="宋体" w:cs="宋体"/>
          <w:color w:val="auto"/>
          <w:sz w:val="24"/>
          <w:szCs w:val="24"/>
          <w:highlight w:val="none"/>
          <w:u w:val="single"/>
        </w:rPr>
        <w:t>未尽事宜，经双方友好协商解决。</w:t>
      </w:r>
    </w:p>
    <w:p>
      <w:pPr>
        <w:spacing w:line="440" w:lineRule="exact"/>
        <w:ind w:firstLine="420" w:firstLineChars="200"/>
        <w:rPr>
          <w:rFonts w:ascii="宋体" w:hAnsi="宋体"/>
          <w:color w:val="auto"/>
          <w:sz w:val="21"/>
          <w:szCs w:val="21"/>
          <w:highlight w:val="none"/>
          <w:u w:val="single"/>
        </w:rPr>
      </w:pPr>
    </w:p>
    <w:p>
      <w:pPr>
        <w:spacing w:line="440" w:lineRule="exact"/>
        <w:ind w:firstLine="420" w:firstLineChars="200"/>
        <w:rPr>
          <w:rFonts w:ascii="宋体" w:hAnsi="宋体"/>
          <w:color w:val="auto"/>
          <w:sz w:val="21"/>
          <w:szCs w:val="21"/>
          <w:highlight w:val="none"/>
          <w:u w:val="single"/>
        </w:rPr>
      </w:pPr>
    </w:p>
    <w:p>
      <w:pPr>
        <w:spacing w:line="440" w:lineRule="exact"/>
        <w:ind w:firstLine="420" w:firstLineChars="200"/>
        <w:rPr>
          <w:rFonts w:ascii="宋体" w:hAnsi="宋体"/>
          <w:color w:val="auto"/>
          <w:sz w:val="21"/>
          <w:szCs w:val="21"/>
          <w:highlight w:val="none"/>
          <w:u w:val="single"/>
        </w:rPr>
      </w:pPr>
    </w:p>
    <w:p>
      <w:pPr>
        <w:spacing w:line="440" w:lineRule="exact"/>
        <w:ind w:firstLine="420" w:firstLineChars="200"/>
        <w:rPr>
          <w:rFonts w:ascii="宋体" w:hAnsi="宋体"/>
          <w:color w:val="auto"/>
          <w:sz w:val="21"/>
          <w:szCs w:val="21"/>
          <w:highlight w:val="none"/>
          <w:u w:val="single"/>
        </w:rPr>
      </w:pPr>
    </w:p>
    <w:p>
      <w:pPr>
        <w:spacing w:line="440" w:lineRule="exact"/>
        <w:ind w:firstLine="420" w:firstLineChars="200"/>
        <w:rPr>
          <w:rFonts w:ascii="宋体" w:hAnsi="宋体"/>
          <w:color w:val="auto"/>
          <w:sz w:val="21"/>
          <w:szCs w:val="21"/>
          <w:highlight w:val="none"/>
          <w:u w:val="single"/>
        </w:rPr>
      </w:pPr>
    </w:p>
    <w:p>
      <w:pPr>
        <w:spacing w:line="440" w:lineRule="exact"/>
        <w:ind w:firstLine="420" w:firstLineChars="200"/>
        <w:rPr>
          <w:rFonts w:ascii="宋体" w:hAnsi="宋体"/>
          <w:color w:val="auto"/>
          <w:sz w:val="21"/>
          <w:szCs w:val="21"/>
          <w:highlight w:val="none"/>
          <w:u w:val="single"/>
        </w:rPr>
      </w:pPr>
    </w:p>
    <w:p>
      <w:pPr>
        <w:spacing w:line="440" w:lineRule="exact"/>
        <w:ind w:firstLine="420" w:firstLineChars="200"/>
        <w:rPr>
          <w:rFonts w:ascii="宋体" w:hAnsi="宋体"/>
          <w:color w:val="auto"/>
          <w:sz w:val="21"/>
          <w:szCs w:val="21"/>
          <w:highlight w:val="none"/>
          <w:u w:val="single"/>
        </w:rPr>
      </w:pPr>
    </w:p>
    <w:p>
      <w:pPr>
        <w:rPr>
          <w:rFonts w:ascii="宋体" w:hAnsi="宋体"/>
          <w:color w:val="auto"/>
          <w:sz w:val="21"/>
          <w:szCs w:val="21"/>
          <w:highlight w:val="none"/>
          <w:u w:val="single"/>
        </w:rPr>
      </w:pPr>
      <w:r>
        <w:rPr>
          <w:rFonts w:ascii="宋体" w:hAnsi="宋体"/>
          <w:color w:val="auto"/>
          <w:sz w:val="21"/>
          <w:szCs w:val="21"/>
          <w:highlight w:val="none"/>
          <w:u w:val="single"/>
        </w:rPr>
        <w:br w:type="page"/>
      </w:r>
    </w:p>
    <w:p>
      <w:pPr>
        <w:pStyle w:val="2"/>
        <w:rPr>
          <w:color w:val="auto"/>
          <w:highlight w:val="none"/>
        </w:rPr>
      </w:pPr>
    </w:p>
    <w:p>
      <w:pPr>
        <w:numPr>
          <w:ilvl w:val="0"/>
          <w:numId w:val="4"/>
        </w:numPr>
        <w:jc w:val="center"/>
        <w:rPr>
          <w:rFonts w:ascii="宋体" w:hAnsi="宋体" w:cs="宋体"/>
          <w:b/>
          <w:bCs/>
          <w:color w:val="auto"/>
          <w:sz w:val="28"/>
          <w:szCs w:val="28"/>
          <w:highlight w:val="none"/>
        </w:rPr>
      </w:pPr>
      <w:r>
        <w:rPr>
          <w:rFonts w:ascii="宋体" w:hAnsi="宋体" w:cs="宋体"/>
          <w:b/>
          <w:color w:val="auto"/>
          <w:sz w:val="28"/>
          <w:szCs w:val="28"/>
          <w:highlight w:val="none"/>
        </w:rPr>
        <w:t xml:space="preserve"> </w:t>
      </w:r>
      <w:r>
        <w:rPr>
          <w:rFonts w:hint="eastAsia" w:ascii="宋体" w:hAnsi="宋体" w:cs="宋体"/>
          <w:b/>
          <w:bCs/>
          <w:color w:val="auto"/>
          <w:sz w:val="28"/>
          <w:szCs w:val="28"/>
          <w:highlight w:val="none"/>
        </w:rPr>
        <w:t>绿化种植专篇</w:t>
      </w:r>
    </w:p>
    <w:p>
      <w:pPr>
        <w:spacing w:line="440" w:lineRule="exact"/>
        <w:rPr>
          <w:rFonts w:ascii="宋体" w:hAnsi="宋体" w:cs="宋体"/>
          <w:color w:val="auto"/>
          <w:sz w:val="24"/>
          <w:highlight w:val="none"/>
        </w:rPr>
      </w:pPr>
      <w:r>
        <w:rPr>
          <w:rFonts w:hint="eastAsia" w:ascii="宋体" w:hAnsi="宋体" w:cs="宋体"/>
          <w:color w:val="auto"/>
          <w:sz w:val="24"/>
          <w:highlight w:val="none"/>
        </w:rPr>
        <w:t>（本专篇适用于绿化建设项目、房建及道路配套绿化项目。）</w:t>
      </w:r>
    </w:p>
    <w:p>
      <w:pPr>
        <w:spacing w:line="440" w:lineRule="exact"/>
        <w:rPr>
          <w:rFonts w:ascii="宋体" w:hAnsi="宋体" w:cs="宋体"/>
          <w:color w:val="auto"/>
          <w:sz w:val="24"/>
          <w:szCs w:val="24"/>
          <w:highlight w:val="none"/>
        </w:rPr>
      </w:pPr>
    </w:p>
    <w:p>
      <w:pPr>
        <w:spacing w:line="440" w:lineRule="exact"/>
        <w:rPr>
          <w:rFonts w:ascii="宋体" w:hAnsi="宋体" w:cs="宋体"/>
          <w:color w:val="auto"/>
          <w:sz w:val="24"/>
          <w:szCs w:val="24"/>
          <w:highlight w:val="none"/>
        </w:rPr>
      </w:pPr>
      <w:r>
        <w:rPr>
          <w:rFonts w:hint="eastAsia" w:ascii="宋体" w:hAnsi="宋体" w:cs="宋体"/>
          <w:color w:val="auto"/>
          <w:sz w:val="24"/>
          <w:szCs w:val="24"/>
          <w:highlight w:val="none"/>
        </w:rPr>
        <w:t>发包人（甲方）：</w:t>
      </w:r>
      <w:r>
        <w:rPr>
          <w:rFonts w:hint="eastAsia" w:ascii="宋体" w:hAnsi="宋体" w:cs="宋体"/>
          <w:color w:val="auto"/>
          <w:sz w:val="24"/>
          <w:szCs w:val="24"/>
          <w:highlight w:val="none"/>
          <w:u w:val="single"/>
        </w:rPr>
        <w:t>广州开发区财政投资建设项目管理中心</w:t>
      </w:r>
    </w:p>
    <w:p>
      <w:pPr>
        <w:spacing w:line="440" w:lineRule="exact"/>
        <w:rPr>
          <w:rFonts w:ascii="宋体" w:hAnsi="宋体" w:cs="宋体"/>
          <w:color w:val="auto"/>
          <w:sz w:val="24"/>
          <w:szCs w:val="24"/>
          <w:highlight w:val="none"/>
        </w:rPr>
      </w:pPr>
      <w:r>
        <w:rPr>
          <w:rFonts w:hint="eastAsia" w:ascii="宋体" w:hAnsi="宋体" w:cs="宋体"/>
          <w:color w:val="auto"/>
          <w:sz w:val="24"/>
          <w:szCs w:val="24"/>
          <w:highlight w:val="none"/>
        </w:rPr>
        <w:t>承包人（乙方）：</w:t>
      </w:r>
      <w:r>
        <w:rPr>
          <w:rFonts w:ascii="宋体" w:hAnsi="宋体" w:cs="宋体"/>
          <w:color w:val="auto"/>
          <w:sz w:val="24"/>
          <w:szCs w:val="24"/>
          <w:highlight w:val="none"/>
          <w:u w:val="single"/>
        </w:rPr>
        <w:t xml:space="preserve">                    </w:t>
      </w:r>
    </w:p>
    <w:p>
      <w:pPr>
        <w:spacing w:line="44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为提高绿化苗木选取和种植苗木质量，加强科学绿化建设和管理，提升</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项目绿化种植和养护管理标准，制订本项目绿化种植专篇。</w:t>
      </w:r>
    </w:p>
    <w:p>
      <w:pPr>
        <w:spacing w:line="440" w:lineRule="exact"/>
        <w:ind w:firstLine="482" w:firstLineChars="200"/>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一、绿化种植、养护内容及范围</w:t>
      </w:r>
    </w:p>
    <w:p>
      <w:pPr>
        <w:spacing w:line="440" w:lineRule="exact"/>
        <w:ind w:firstLine="480" w:firstLineChars="200"/>
        <w:jc w:val="left"/>
        <w:rPr>
          <w:rFonts w:ascii="宋体" w:hAnsi="宋体" w:cs="宋体"/>
          <w:color w:val="auto"/>
          <w:kern w:val="0"/>
          <w:sz w:val="24"/>
          <w:szCs w:val="24"/>
          <w:highlight w:val="none"/>
        </w:rPr>
      </w:pPr>
      <w:r>
        <w:rPr>
          <w:rFonts w:ascii="宋体" w:hAnsi="宋体" w:cs="宋体"/>
          <w:color w:val="auto"/>
          <w:kern w:val="0"/>
          <w:sz w:val="24"/>
          <w:szCs w:val="24"/>
          <w:highlight w:val="none"/>
        </w:rPr>
        <w:t>1、本项目绿化工程</w:t>
      </w:r>
      <w:r>
        <w:rPr>
          <w:rFonts w:hint="eastAsia" w:ascii="宋体" w:hAnsi="宋体" w:cs="宋体"/>
          <w:color w:val="auto"/>
          <w:kern w:val="0"/>
          <w:sz w:val="24"/>
          <w:szCs w:val="24"/>
          <w:highlight w:val="none"/>
        </w:rPr>
        <w:t>范围：</w:t>
      </w:r>
      <w:r>
        <w:rPr>
          <w:rFonts w:ascii="宋体" w:hAnsi="宋体" w:cs="宋体"/>
          <w:color w:val="auto"/>
          <w:kern w:val="0"/>
          <w:sz w:val="24"/>
          <w:szCs w:val="24"/>
          <w:highlight w:val="none"/>
          <w:u w:val="single"/>
        </w:rPr>
        <w:t xml:space="preserve">  </w:t>
      </w:r>
      <w:r>
        <w:rPr>
          <w:rFonts w:hint="eastAsia" w:ascii="宋体" w:hAnsi="宋体" w:cs="宋体"/>
          <w:color w:val="auto"/>
          <w:sz w:val="24"/>
          <w:szCs w:val="24"/>
          <w:highlight w:val="none"/>
          <w:u w:val="single"/>
        </w:rPr>
        <w:t>本项目施工合同约定的承包范围内的全部绿化工程内容</w:t>
      </w:r>
      <w:r>
        <w:rPr>
          <w:rFonts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w:t>
      </w:r>
    </w:p>
    <w:p>
      <w:pPr>
        <w:pStyle w:val="9"/>
        <w:spacing w:line="440" w:lineRule="exact"/>
        <w:rPr>
          <w:rFonts w:ascii="宋体" w:hAnsi="宋体" w:cs="宋体"/>
          <w:color w:val="auto"/>
          <w:sz w:val="24"/>
          <w:szCs w:val="24"/>
          <w:highlight w:val="none"/>
        </w:rPr>
      </w:pPr>
      <w:r>
        <w:rPr>
          <w:rFonts w:ascii="宋体" w:hAnsi="宋体" w:cs="宋体"/>
          <w:color w:val="auto"/>
          <w:kern w:val="0"/>
          <w:sz w:val="24"/>
          <w:szCs w:val="24"/>
          <w:highlight w:val="none"/>
        </w:rPr>
        <w:t xml:space="preserve">    2、</w:t>
      </w:r>
      <w:r>
        <w:rPr>
          <w:rFonts w:hint="eastAsia" w:ascii="宋体" w:hAnsi="宋体" w:eastAsia="宋体" w:cs="宋体"/>
          <w:color w:val="auto"/>
          <w:kern w:val="0"/>
          <w:sz w:val="24"/>
          <w:highlight w:val="none"/>
        </w:rPr>
        <w:t>本项目苗木供应清单，详见招标工程量清单。</w:t>
      </w:r>
    </w:p>
    <w:p>
      <w:pPr>
        <w:spacing w:line="440" w:lineRule="exact"/>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二、质量要求</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要求符合国家、省、市园林绿化规程、检评标准、相关要求及行业标准，包括但不限于以下：</w:t>
      </w:r>
      <w:r>
        <w:rPr>
          <w:rFonts w:ascii="宋体" w:hAnsi="宋体" w:cs="宋体"/>
          <w:color w:val="auto"/>
          <w:sz w:val="24"/>
          <w:szCs w:val="24"/>
          <w:highlight w:val="none"/>
        </w:rPr>
        <w:t xml:space="preserve"> </w:t>
      </w:r>
    </w:p>
    <w:p>
      <w:pPr>
        <w:spacing w:line="440" w:lineRule="exact"/>
        <w:ind w:firstLine="482" w:firstLineChars="200"/>
        <w:rPr>
          <w:rFonts w:ascii="宋体" w:hAnsi="宋体" w:cs="宋体"/>
          <w:b/>
          <w:bCs/>
          <w:color w:val="auto"/>
          <w:sz w:val="24"/>
          <w:szCs w:val="24"/>
          <w:highlight w:val="none"/>
        </w:rPr>
      </w:pPr>
      <w:r>
        <w:rPr>
          <w:rFonts w:ascii="宋体" w:hAnsi="宋体" w:cs="宋体"/>
          <w:b/>
          <w:bCs/>
          <w:color w:val="auto"/>
          <w:sz w:val="24"/>
          <w:szCs w:val="24"/>
          <w:highlight w:val="none"/>
        </w:rPr>
        <w:t xml:space="preserve">1、 </w:t>
      </w:r>
      <w:r>
        <w:rPr>
          <w:rFonts w:hint="eastAsia" w:ascii="宋体" w:hAnsi="宋体" w:cs="宋体"/>
          <w:b/>
          <w:bCs/>
          <w:color w:val="auto"/>
          <w:sz w:val="24"/>
          <w:szCs w:val="24"/>
          <w:highlight w:val="none"/>
        </w:rPr>
        <w:t>相关法律法规与政策文件</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《城市绿化条例》（</w:t>
      </w:r>
      <w:r>
        <w:rPr>
          <w:rFonts w:ascii="宋体" w:hAnsi="宋体" w:cs="宋体"/>
          <w:color w:val="auto"/>
          <w:sz w:val="24"/>
          <w:szCs w:val="24"/>
          <w:highlight w:val="none"/>
        </w:rPr>
        <w:t xml:space="preserve">2017 </w:t>
      </w:r>
      <w:r>
        <w:rPr>
          <w:rFonts w:hint="eastAsia" w:ascii="宋体" w:hAnsi="宋体" w:cs="宋体"/>
          <w:color w:val="auto"/>
          <w:sz w:val="24"/>
          <w:szCs w:val="24"/>
          <w:highlight w:val="none"/>
        </w:rPr>
        <w:t>年修订）；</w:t>
      </w:r>
    </w:p>
    <w:p>
      <w:pPr>
        <w:pStyle w:val="18"/>
        <w:spacing w:line="440" w:lineRule="exact"/>
        <w:ind w:firstLine="480" w:firstLineChars="200"/>
        <w:rPr>
          <w:rFonts w:ascii="宋体" w:hAnsi="宋体" w:cs="宋体"/>
          <w:color w:val="auto"/>
          <w:sz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《广东省城市绿化条例》（</w:t>
      </w:r>
      <w:r>
        <w:rPr>
          <w:rFonts w:ascii="宋体" w:hAnsi="宋体" w:cs="宋体"/>
          <w:color w:val="auto"/>
          <w:sz w:val="24"/>
          <w:szCs w:val="24"/>
          <w:highlight w:val="none"/>
        </w:rPr>
        <w:t xml:space="preserve">2022 </w:t>
      </w:r>
      <w:r>
        <w:rPr>
          <w:rFonts w:hint="eastAsia" w:ascii="宋体" w:hAnsi="宋体" w:cs="宋体"/>
          <w:color w:val="auto"/>
          <w:sz w:val="24"/>
          <w:szCs w:val="24"/>
          <w:highlight w:val="none"/>
        </w:rPr>
        <w:t>年修订）</w:t>
      </w:r>
    </w:p>
    <w:p>
      <w:pPr>
        <w:pStyle w:val="18"/>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《广州市绿化条例》（</w:t>
      </w:r>
      <w:r>
        <w:rPr>
          <w:rFonts w:ascii="宋体" w:hAnsi="宋体" w:cs="宋体"/>
          <w:color w:val="auto"/>
          <w:sz w:val="24"/>
          <w:szCs w:val="24"/>
          <w:highlight w:val="none"/>
        </w:rPr>
        <w:t xml:space="preserve">2022 </w:t>
      </w:r>
      <w:r>
        <w:rPr>
          <w:rFonts w:hint="eastAsia" w:ascii="宋体" w:hAnsi="宋体" w:cs="宋体"/>
          <w:color w:val="auto"/>
          <w:sz w:val="24"/>
          <w:szCs w:val="24"/>
          <w:highlight w:val="none"/>
        </w:rPr>
        <w:t>年修订）</w:t>
      </w:r>
    </w:p>
    <w:p>
      <w:pPr>
        <w:pStyle w:val="18"/>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rPr>
        <w:t>《国务院办公厅关于科学绿化的指导意见》（国办发〔</w:t>
      </w:r>
      <w:r>
        <w:rPr>
          <w:rFonts w:ascii="宋体" w:hAnsi="宋体" w:cs="宋体"/>
          <w:color w:val="auto"/>
          <w:sz w:val="24"/>
          <w:szCs w:val="24"/>
          <w:highlight w:val="none"/>
        </w:rPr>
        <w:t xml:space="preserve">2021〕19 </w:t>
      </w:r>
      <w:r>
        <w:rPr>
          <w:rFonts w:hint="eastAsia" w:ascii="宋体" w:hAnsi="宋体" w:cs="宋体"/>
          <w:color w:val="auto"/>
          <w:sz w:val="24"/>
          <w:szCs w:val="24"/>
          <w:highlight w:val="none"/>
        </w:rPr>
        <w:t>号）</w:t>
      </w:r>
    </w:p>
    <w:p>
      <w:pPr>
        <w:pStyle w:val="18"/>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rPr>
        <w:t>）《中共广东省委关于深入推进绿美广东生态建设的决定》（</w:t>
      </w:r>
      <w:r>
        <w:rPr>
          <w:rFonts w:ascii="宋体" w:hAnsi="宋体" w:cs="宋体"/>
          <w:color w:val="auto"/>
          <w:sz w:val="24"/>
          <w:szCs w:val="24"/>
          <w:highlight w:val="none"/>
        </w:rPr>
        <w:t xml:space="preserve">2022 </w:t>
      </w:r>
      <w:r>
        <w:rPr>
          <w:rFonts w:hint="eastAsia" w:ascii="宋体" w:hAnsi="宋体" w:cs="宋体"/>
          <w:color w:val="auto"/>
          <w:sz w:val="24"/>
          <w:szCs w:val="24"/>
          <w:highlight w:val="none"/>
        </w:rPr>
        <w:t>年</w:t>
      </w:r>
      <w:r>
        <w:rPr>
          <w:rFonts w:ascii="宋体" w:hAnsi="宋体" w:cs="宋体"/>
          <w:color w:val="auto"/>
          <w:sz w:val="24"/>
          <w:szCs w:val="24"/>
          <w:highlight w:val="none"/>
        </w:rPr>
        <w:t xml:space="preserve"> 12 </w:t>
      </w:r>
      <w:r>
        <w:rPr>
          <w:rFonts w:hint="eastAsia" w:ascii="宋体" w:hAnsi="宋体" w:cs="宋体"/>
          <w:color w:val="auto"/>
          <w:sz w:val="24"/>
          <w:szCs w:val="24"/>
          <w:highlight w:val="none"/>
        </w:rPr>
        <w:t>月</w:t>
      </w:r>
      <w:r>
        <w:rPr>
          <w:rFonts w:ascii="宋体" w:hAnsi="宋体" w:cs="宋体"/>
          <w:color w:val="auto"/>
          <w:sz w:val="24"/>
          <w:szCs w:val="24"/>
          <w:highlight w:val="none"/>
        </w:rPr>
        <w:t xml:space="preserve"> 8 </w:t>
      </w:r>
      <w:r>
        <w:rPr>
          <w:rFonts w:hint="eastAsia" w:ascii="宋体" w:hAnsi="宋体" w:cs="宋体"/>
          <w:color w:val="auto"/>
          <w:sz w:val="24"/>
          <w:szCs w:val="24"/>
          <w:highlight w:val="none"/>
        </w:rPr>
        <w:t>日中国共产党广东省第十三届委员会第二次全体会议通过）</w:t>
      </w:r>
    </w:p>
    <w:p>
      <w:pPr>
        <w:pStyle w:val="18"/>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6</w:t>
      </w:r>
      <w:r>
        <w:rPr>
          <w:rFonts w:hint="eastAsia" w:ascii="宋体" w:hAnsi="宋体" w:cs="宋体"/>
          <w:color w:val="auto"/>
          <w:sz w:val="24"/>
          <w:szCs w:val="24"/>
          <w:highlight w:val="none"/>
        </w:rPr>
        <w:t>）《广东省人民政府办公厅关于科学绿化的实施意见》（粤府办〔</w:t>
      </w:r>
      <w:r>
        <w:rPr>
          <w:rFonts w:ascii="宋体" w:hAnsi="宋体" w:cs="宋体"/>
          <w:color w:val="auto"/>
          <w:sz w:val="24"/>
          <w:szCs w:val="24"/>
          <w:highlight w:val="none"/>
        </w:rPr>
        <w:t xml:space="preserve">2021〕48 </w:t>
      </w:r>
      <w:r>
        <w:rPr>
          <w:rFonts w:hint="eastAsia" w:ascii="宋体" w:hAnsi="宋体" w:cs="宋体"/>
          <w:color w:val="auto"/>
          <w:sz w:val="24"/>
          <w:szCs w:val="24"/>
          <w:highlight w:val="none"/>
        </w:rPr>
        <w:t>号）</w:t>
      </w:r>
    </w:p>
    <w:p>
      <w:pPr>
        <w:pStyle w:val="18"/>
        <w:spacing w:line="440" w:lineRule="exact"/>
        <w:ind w:firstLine="280" w:firstLineChars="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7</w:t>
      </w:r>
      <w:r>
        <w:rPr>
          <w:rFonts w:hint="eastAsia" w:ascii="宋体" w:hAnsi="宋体" w:cs="宋体"/>
          <w:color w:val="auto"/>
          <w:sz w:val="24"/>
          <w:szCs w:val="24"/>
          <w:highlight w:val="none"/>
        </w:rPr>
        <w:t>）中共广州市委办公厅</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广州市人民政府办公厅印发《广州市关于科学绿化的实施意见》的通知（穗办〔</w:t>
      </w:r>
      <w:r>
        <w:rPr>
          <w:rFonts w:ascii="宋体" w:hAnsi="宋体" w:cs="宋体"/>
          <w:color w:val="auto"/>
          <w:sz w:val="24"/>
          <w:szCs w:val="24"/>
          <w:highlight w:val="none"/>
        </w:rPr>
        <w:t>2021〕11号</w:t>
      </w:r>
      <w:r>
        <w:rPr>
          <w:rFonts w:hint="eastAsia" w:ascii="宋体" w:hAnsi="宋体" w:cs="宋体"/>
          <w:color w:val="auto"/>
          <w:sz w:val="24"/>
          <w:szCs w:val="24"/>
          <w:highlight w:val="none"/>
        </w:rPr>
        <w:t>）</w:t>
      </w:r>
    </w:p>
    <w:p>
      <w:pPr>
        <w:pStyle w:val="18"/>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8</w:t>
      </w:r>
      <w:r>
        <w:rPr>
          <w:rFonts w:hint="eastAsia" w:ascii="宋体" w:hAnsi="宋体" w:cs="宋体"/>
          <w:color w:val="auto"/>
          <w:sz w:val="24"/>
          <w:szCs w:val="24"/>
          <w:highlight w:val="none"/>
        </w:rPr>
        <w:t>）《广州市林业和园林局关于印发广州市树木修剪技术指引（试行）的通知》（穗林业园林通〔</w:t>
      </w:r>
      <w:r>
        <w:rPr>
          <w:rFonts w:ascii="宋体" w:hAnsi="宋体" w:cs="宋体"/>
          <w:color w:val="auto"/>
          <w:sz w:val="24"/>
          <w:szCs w:val="24"/>
          <w:highlight w:val="none"/>
        </w:rPr>
        <w:t xml:space="preserve">2021〕153 </w:t>
      </w:r>
      <w:r>
        <w:rPr>
          <w:rFonts w:hint="eastAsia" w:ascii="宋体" w:hAnsi="宋体" w:cs="宋体"/>
          <w:color w:val="auto"/>
          <w:sz w:val="24"/>
          <w:szCs w:val="24"/>
          <w:highlight w:val="none"/>
        </w:rPr>
        <w:t>号）</w:t>
      </w:r>
    </w:p>
    <w:p>
      <w:pPr>
        <w:pStyle w:val="18"/>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9</w:t>
      </w:r>
      <w:r>
        <w:rPr>
          <w:rFonts w:hint="eastAsia" w:ascii="宋体" w:hAnsi="宋体" w:cs="宋体"/>
          <w:color w:val="auto"/>
          <w:sz w:val="24"/>
          <w:szCs w:val="24"/>
          <w:highlight w:val="none"/>
        </w:rPr>
        <w:t>）《广州市林业和园林局关于规范提升全市树木支撑的通知》（穗林业园林通〔</w:t>
      </w:r>
      <w:r>
        <w:rPr>
          <w:rFonts w:ascii="宋体" w:hAnsi="宋体" w:cs="宋体"/>
          <w:color w:val="auto"/>
          <w:sz w:val="24"/>
          <w:szCs w:val="24"/>
          <w:highlight w:val="none"/>
        </w:rPr>
        <w:t xml:space="preserve">2019〕100 </w:t>
      </w:r>
      <w:r>
        <w:rPr>
          <w:rFonts w:hint="eastAsia" w:ascii="宋体" w:hAnsi="宋体" w:cs="宋体"/>
          <w:color w:val="auto"/>
          <w:sz w:val="24"/>
          <w:szCs w:val="24"/>
          <w:highlight w:val="none"/>
        </w:rPr>
        <w:t>号）</w:t>
      </w:r>
    </w:p>
    <w:p>
      <w:pPr>
        <w:pStyle w:val="18"/>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10）</w:t>
      </w:r>
      <w:r>
        <w:rPr>
          <w:rFonts w:hint="eastAsia" w:ascii="宋体" w:hAnsi="宋体" w:cs="宋体"/>
          <w:color w:val="auto"/>
          <w:sz w:val="24"/>
          <w:szCs w:val="24"/>
          <w:highlight w:val="none"/>
        </w:rPr>
        <w:t>黄埔区住房和城乡建设局 广州开发区建设和交通局关于印发《黄埔区绿化苗木选用及种植技术指引（</w:t>
      </w:r>
      <w:r>
        <w:rPr>
          <w:rFonts w:ascii="宋体" w:hAnsi="宋体" w:cs="宋体"/>
          <w:color w:val="auto"/>
          <w:sz w:val="24"/>
          <w:szCs w:val="24"/>
          <w:highlight w:val="none"/>
        </w:rPr>
        <w:t>1.0版）</w:t>
      </w:r>
      <w:r>
        <w:rPr>
          <w:rFonts w:hint="eastAsia" w:ascii="宋体" w:hAnsi="宋体" w:cs="宋体"/>
          <w:color w:val="auto"/>
          <w:sz w:val="24"/>
          <w:szCs w:val="24"/>
          <w:highlight w:val="none"/>
        </w:rPr>
        <w:t>》《黄埔区园林绿化养护技术指引（</w:t>
      </w:r>
      <w:r>
        <w:rPr>
          <w:rFonts w:ascii="宋体" w:hAnsi="宋体" w:cs="宋体"/>
          <w:color w:val="auto"/>
          <w:sz w:val="24"/>
          <w:szCs w:val="24"/>
          <w:highlight w:val="none"/>
        </w:rPr>
        <w:t>1.0版）</w:t>
      </w:r>
      <w:r>
        <w:rPr>
          <w:rFonts w:hint="eastAsia" w:ascii="宋体" w:hAnsi="宋体" w:cs="宋体"/>
          <w:color w:val="auto"/>
          <w:sz w:val="24"/>
          <w:szCs w:val="24"/>
          <w:highlight w:val="none"/>
        </w:rPr>
        <w:t>》的通知（穗埔建〔</w:t>
      </w:r>
      <w:r>
        <w:rPr>
          <w:rFonts w:ascii="宋体" w:hAnsi="宋体" w:cs="宋体"/>
          <w:color w:val="auto"/>
          <w:sz w:val="24"/>
          <w:szCs w:val="24"/>
          <w:highlight w:val="none"/>
        </w:rPr>
        <w:t>2023</w:t>
      </w:r>
      <w:r>
        <w:rPr>
          <w:rFonts w:hint="eastAsia" w:ascii="宋体" w:hAnsi="宋体" w:cs="宋体"/>
          <w:color w:val="auto"/>
          <w:sz w:val="24"/>
          <w:szCs w:val="24"/>
          <w:highlight w:val="none"/>
        </w:rPr>
        <w:t>〕</w:t>
      </w:r>
      <w:r>
        <w:rPr>
          <w:rFonts w:ascii="宋体" w:hAnsi="宋体" w:cs="宋体"/>
          <w:color w:val="auto"/>
          <w:sz w:val="24"/>
          <w:szCs w:val="24"/>
          <w:highlight w:val="none"/>
        </w:rPr>
        <w:t>93 号</w:t>
      </w:r>
      <w:r>
        <w:rPr>
          <w:rFonts w:hint="eastAsia" w:ascii="宋体" w:hAnsi="宋体" w:cs="宋体"/>
          <w:color w:val="auto"/>
          <w:sz w:val="24"/>
          <w:szCs w:val="24"/>
          <w:highlight w:val="none"/>
        </w:rPr>
        <w:t>）</w:t>
      </w:r>
    </w:p>
    <w:p>
      <w:pPr>
        <w:pStyle w:val="18"/>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 xml:space="preserve">11） </w:t>
      </w:r>
      <w:r>
        <w:rPr>
          <w:rFonts w:hint="eastAsia" w:ascii="宋体" w:hAnsi="宋体" w:cs="宋体"/>
          <w:color w:val="auto"/>
          <w:sz w:val="24"/>
          <w:szCs w:val="24"/>
          <w:highlight w:val="none"/>
        </w:rPr>
        <w:t>《黄埔区住房和城乡建设局</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广州开发区建设和交通局关于加强科学绿化工作的提醒函》（穗埔建函</w:t>
      </w:r>
      <w:r>
        <w:rPr>
          <w:rFonts w:ascii="宋体" w:hAnsi="宋体" w:cs="宋体"/>
          <w:color w:val="auto"/>
          <w:sz w:val="24"/>
          <w:szCs w:val="24"/>
          <w:highlight w:val="none"/>
        </w:rPr>
        <w:t>[2023]2767号）</w:t>
      </w:r>
    </w:p>
    <w:p>
      <w:pPr>
        <w:spacing w:line="440" w:lineRule="exact"/>
        <w:jc w:val="left"/>
        <w:rPr>
          <w:rFonts w:ascii="宋体" w:hAnsi="宋体" w:cs="宋体"/>
          <w:b/>
          <w:bCs/>
          <w:color w:val="auto"/>
          <w:sz w:val="24"/>
          <w:szCs w:val="24"/>
          <w:highlight w:val="none"/>
        </w:rPr>
      </w:pPr>
      <w:r>
        <w:rPr>
          <w:rFonts w:ascii="宋体" w:hAnsi="宋体" w:cs="宋体"/>
          <w:b/>
          <w:bCs/>
          <w:color w:val="auto"/>
          <w:sz w:val="24"/>
          <w:szCs w:val="24"/>
          <w:highlight w:val="none"/>
        </w:rPr>
        <w:t>2、 相关标准规范</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1）《园林绿化工程项目规范》（GB55014-2021）；</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2）《城市园林绿化评价标准》GBT 50563-2010；</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3）《城市绿地草坪建植与管理技术规程》GBT 19535.2-2004；</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4）《城市园林绿化评价标准》[附条文说明]GB/T 50563-2010</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5）《地表水环境质量标准》GB 3838-2002</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 xml:space="preserve">6）《园林树木安全性评价技术规范》DB4401/T17—2019 </w:t>
      </w:r>
      <w:r>
        <w:rPr>
          <w:rFonts w:hint="eastAsia" w:ascii="宋体" w:hAnsi="宋体" w:cs="宋体"/>
          <w:color w:val="auto"/>
          <w:sz w:val="24"/>
          <w:szCs w:val="24"/>
          <w:highlight w:val="none"/>
        </w:rPr>
        <w:t>；</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 xml:space="preserve">7）《广东城市绿化工程施工和验收规范》DBBT581-2009 </w:t>
      </w:r>
      <w:r>
        <w:rPr>
          <w:rFonts w:hint="eastAsia" w:ascii="宋体" w:hAnsi="宋体" w:cs="宋体"/>
          <w:color w:val="auto"/>
          <w:sz w:val="24"/>
          <w:szCs w:val="24"/>
          <w:highlight w:val="none"/>
        </w:rPr>
        <w:t>；</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8）《城市园林绿化工程施工及验收规范》DB11/T 212-2017；</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9）《城市园林绿化用苗-木本苗木分级》DB440300/T 28—2006。</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10）《城市绿化和园林绿地用植物材料-木本苗》CJT 24-1999；</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 xml:space="preserve">11）《城市绿化和园林绿地用植物材料- </w:t>
      </w:r>
      <w:r>
        <w:rPr>
          <w:rFonts w:hint="eastAsia" w:ascii="宋体" w:hAnsi="宋体" w:cs="宋体"/>
          <w:color w:val="auto"/>
          <w:sz w:val="24"/>
          <w:szCs w:val="24"/>
          <w:highlight w:val="none"/>
        </w:rPr>
        <w:t>球根花卉种球》</w:t>
      </w:r>
      <w:r>
        <w:rPr>
          <w:rFonts w:ascii="宋体" w:hAnsi="宋体" w:cs="宋体"/>
          <w:color w:val="auto"/>
          <w:sz w:val="24"/>
          <w:szCs w:val="24"/>
          <w:highlight w:val="none"/>
        </w:rPr>
        <w:t>CJT</w:t>
      </w:r>
    </w:p>
    <w:p>
      <w:pPr>
        <w:spacing w:line="440" w:lineRule="exact"/>
        <w:jc w:val="left"/>
        <w:rPr>
          <w:rFonts w:ascii="宋体" w:hAnsi="宋体" w:cs="宋体"/>
          <w:color w:val="auto"/>
          <w:sz w:val="24"/>
          <w:szCs w:val="24"/>
          <w:highlight w:val="none"/>
        </w:rPr>
      </w:pPr>
      <w:r>
        <w:rPr>
          <w:rFonts w:ascii="宋体" w:hAnsi="宋体" w:cs="宋体"/>
          <w:color w:val="auto"/>
          <w:sz w:val="24"/>
          <w:szCs w:val="24"/>
          <w:highlight w:val="none"/>
        </w:rPr>
        <w:t xml:space="preserve">135-2001 </w:t>
      </w:r>
      <w:r>
        <w:rPr>
          <w:rFonts w:hint="eastAsia" w:ascii="宋体" w:hAnsi="宋体" w:cs="宋体"/>
          <w:color w:val="auto"/>
          <w:sz w:val="24"/>
          <w:szCs w:val="24"/>
          <w:highlight w:val="none"/>
        </w:rPr>
        <w:t>；</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12）《绿化种植土壤》CJ/T340-2016；</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13）《园林植物筛选通用技术要求》CJT 512-2017；</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14）《城市主要绿化竹种苗木等级》LYT 2345-2014；</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15）《绿化全冠苗木栽植技术规程》LYT 2632-2016；</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16）《森林植物检疫技术规程》</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17）《广州市主要乡土和适生植物名录》</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18</w:t>
      </w:r>
      <w:r>
        <w:rPr>
          <w:rFonts w:hint="eastAsia" w:ascii="宋体" w:hAnsi="宋体" w:cs="宋体"/>
          <w:color w:val="auto"/>
          <w:sz w:val="24"/>
          <w:szCs w:val="24"/>
          <w:highlight w:val="none"/>
        </w:rPr>
        <w:t>）《城市道路绿化规划与设计规范》</w:t>
      </w:r>
    </w:p>
    <w:p>
      <w:pPr>
        <w:spacing w:line="440" w:lineRule="exact"/>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三、绿化种植、养护要求</w:t>
      </w:r>
    </w:p>
    <w:p>
      <w:pPr>
        <w:numPr>
          <w:ilvl w:val="0"/>
          <w:numId w:val="5"/>
        </w:numPr>
        <w:spacing w:line="440" w:lineRule="exact"/>
        <w:ind w:firstLine="549" w:firstLineChars="228"/>
        <w:rPr>
          <w:rFonts w:ascii="宋体" w:hAnsi="宋体" w:cs="宋体"/>
          <w:b/>
          <w:bCs/>
          <w:color w:val="auto"/>
          <w:sz w:val="24"/>
          <w:szCs w:val="24"/>
          <w:highlight w:val="none"/>
        </w:rPr>
      </w:pPr>
      <w:r>
        <w:rPr>
          <w:rFonts w:hint="eastAsia" w:ascii="宋体" w:hAnsi="宋体" w:cs="宋体"/>
          <w:b/>
          <w:bCs/>
          <w:color w:val="auto"/>
          <w:sz w:val="24"/>
          <w:szCs w:val="24"/>
          <w:highlight w:val="none"/>
        </w:rPr>
        <w:t>绿化苗木选用和种植过程要求</w:t>
      </w:r>
      <w:r>
        <w:rPr>
          <w:rFonts w:ascii="宋体" w:hAnsi="宋体" w:cs="宋体"/>
          <w:b/>
          <w:bCs/>
          <w:color w:val="auto"/>
          <w:sz w:val="24"/>
          <w:szCs w:val="24"/>
          <w:highlight w:val="none"/>
        </w:rPr>
        <w:t xml:space="preserve"> </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承包人应严格按照本项目《苗木供应清单》要求选用苗木，执行《黄埔区绿化苗木选用及种植技术指引（</w:t>
      </w:r>
      <w:r>
        <w:rPr>
          <w:rFonts w:ascii="宋体" w:hAnsi="宋体" w:cs="宋体"/>
          <w:color w:val="auto"/>
          <w:sz w:val="24"/>
          <w:szCs w:val="24"/>
          <w:highlight w:val="none"/>
        </w:rPr>
        <w:t>1.0版）》，</w:t>
      </w:r>
      <w:r>
        <w:rPr>
          <w:rFonts w:hint="eastAsia" w:ascii="宋体" w:hAnsi="宋体" w:cs="宋体"/>
          <w:color w:val="auto"/>
          <w:sz w:val="24"/>
          <w:szCs w:val="24"/>
          <w:highlight w:val="none"/>
        </w:rPr>
        <w:t>加强对绿化种植全过程的监管监控，严格把控好绿化苗木品质，精细化深翻整理绿地，因地制宜塑造地形，保证土质营养成分及酸碱度，高标准高质量开挖种植穴，严格控制种植穴的尺寸，确保做到深挖浅埋的要求，规范绿化苗木选苗、起苗、包扎、修剪，做足做全绿化苗木运输保护措施，标准化进行绿化种植、淋水、支撑、挂牌等工作，提高绿化种植成活率，促进绿化苗木健康茁壮成长，并在规定时间内整理好苗木种植资料。项目中使用的苗木，应来自珠三角地区正规苗圃场生产培育苗木，不应使用古树名木或从森林中移栽的大树。因改造而需迁移的树木应通过有效截枝、控根等技术措施进行迁地抚育，达到种植标准后，方可作为大规格苗木重新应用于园林绿化中。</w:t>
      </w:r>
    </w:p>
    <w:p>
      <w:pPr>
        <w:spacing w:line="440" w:lineRule="exact"/>
        <w:ind w:firstLine="482" w:firstLineChars="200"/>
        <w:rPr>
          <w:rFonts w:ascii="宋体" w:hAnsi="宋体" w:cs="宋体"/>
          <w:b/>
          <w:bCs/>
          <w:color w:val="auto"/>
          <w:sz w:val="24"/>
          <w:szCs w:val="24"/>
          <w:highlight w:val="none"/>
        </w:rPr>
      </w:pPr>
      <w:r>
        <w:rPr>
          <w:rFonts w:ascii="宋体" w:hAnsi="宋体" w:cs="宋体"/>
          <w:b/>
          <w:bCs/>
          <w:color w:val="auto"/>
          <w:sz w:val="24"/>
          <w:szCs w:val="24"/>
          <w:highlight w:val="none"/>
        </w:rPr>
        <w:t>2、绿化养护技术及时间要求</w:t>
      </w:r>
    </w:p>
    <w:p>
      <w:pPr>
        <w:pStyle w:val="2"/>
        <w:spacing w:line="440" w:lineRule="exact"/>
        <w:ind w:left="0" w:leftChars="0" w:firstLine="560" w:firstLineChars="0"/>
        <w:rPr>
          <w:rFonts w:hint="default" w:ascii="宋体" w:hAnsi="宋体" w:cs="宋体"/>
          <w:color w:val="auto"/>
          <w:sz w:val="24"/>
          <w:szCs w:val="24"/>
          <w:highlight w:val="none"/>
        </w:rPr>
      </w:pPr>
      <w:r>
        <w:rPr>
          <w:rFonts w:ascii="宋体" w:hAnsi="宋体" w:cs="宋体"/>
          <w:color w:val="auto"/>
          <w:sz w:val="24"/>
          <w:szCs w:val="24"/>
          <w:highlight w:val="none"/>
        </w:rPr>
        <w:t>承包人应认真学习并执行《黄埔区园林绿化养护技术指引（</w:t>
      </w:r>
      <w:r>
        <w:rPr>
          <w:rFonts w:hint="default" w:ascii="宋体" w:hAnsi="宋体" w:cs="宋体"/>
          <w:color w:val="auto"/>
          <w:sz w:val="24"/>
          <w:szCs w:val="24"/>
          <w:highlight w:val="none"/>
        </w:rPr>
        <w:t>1.0版）》的具体要求，规范项目中</w:t>
      </w:r>
      <w:r>
        <w:rPr>
          <w:rFonts w:ascii="宋体" w:hAnsi="宋体" w:cs="宋体"/>
          <w:color w:val="auto"/>
          <w:sz w:val="24"/>
          <w:szCs w:val="24"/>
          <w:highlight w:val="none"/>
        </w:rPr>
        <w:t>绿化灌溉、施肥、修剪、病虫害综合防治、日常养护管理工作。</w:t>
      </w:r>
    </w:p>
    <w:p>
      <w:pPr>
        <w:snapToGrid w:val="0"/>
        <w:spacing w:line="440" w:lineRule="exact"/>
        <w:ind w:firstLine="581" w:firstLineChars="241"/>
        <w:rPr>
          <w:rFonts w:hint="default" w:ascii="宋体" w:hAnsi="宋体" w:cs="宋体"/>
          <w:color w:val="auto"/>
          <w:sz w:val="24"/>
          <w:szCs w:val="28"/>
          <w:highlight w:val="none"/>
        </w:rPr>
      </w:pPr>
      <w:r>
        <w:rPr>
          <w:rFonts w:hint="eastAsia" w:ascii="宋体" w:hAnsi="宋体" w:cs="宋体"/>
          <w:b/>
          <w:bCs/>
          <w:color w:val="auto"/>
          <w:sz w:val="24"/>
          <w:szCs w:val="28"/>
          <w:highlight w:val="none"/>
        </w:rPr>
        <w:t>养护期：</w:t>
      </w:r>
      <w:r>
        <w:rPr>
          <w:rFonts w:hint="eastAsia" w:ascii="宋体" w:hAnsi="宋体"/>
          <w:color w:val="auto"/>
          <w:sz w:val="24"/>
          <w:highlight w:val="none"/>
        </w:rPr>
        <w:t>胸径</w:t>
      </w:r>
      <w:r>
        <w:rPr>
          <w:rFonts w:ascii="宋体" w:hAnsi="宋体"/>
          <w:color w:val="auto"/>
          <w:sz w:val="24"/>
          <w:highlight w:val="none"/>
        </w:rPr>
        <w:t>15cm</w:t>
      </w:r>
      <w:r>
        <w:rPr>
          <w:rFonts w:hint="eastAsia" w:ascii="宋体" w:hAnsi="宋体"/>
          <w:color w:val="auto"/>
          <w:sz w:val="24"/>
          <w:highlight w:val="none"/>
        </w:rPr>
        <w:t>以内（含</w:t>
      </w:r>
      <w:r>
        <w:rPr>
          <w:rFonts w:ascii="宋体" w:hAnsi="宋体"/>
          <w:color w:val="auto"/>
          <w:sz w:val="24"/>
          <w:highlight w:val="none"/>
        </w:rPr>
        <w:t>15cm</w:t>
      </w:r>
      <w:r>
        <w:rPr>
          <w:rFonts w:hint="eastAsia" w:ascii="宋体" w:hAnsi="宋体"/>
          <w:color w:val="auto"/>
          <w:sz w:val="24"/>
          <w:highlight w:val="none"/>
        </w:rPr>
        <w:t>）的苗木养护期为</w:t>
      </w:r>
      <w:r>
        <w:rPr>
          <w:rFonts w:hint="eastAsia" w:ascii="宋体" w:hAnsi="宋体" w:cs="宋体"/>
          <w:color w:val="auto"/>
          <w:sz w:val="24"/>
          <w:highlight w:val="none"/>
        </w:rPr>
        <w:t>自本项目绿化工程通过竣工验收之日起</w:t>
      </w:r>
      <w:r>
        <w:rPr>
          <w:rFonts w:ascii="宋体" w:hAnsi="宋体"/>
          <w:color w:val="auto"/>
          <w:sz w:val="24"/>
          <w:highlight w:val="none"/>
          <w:u w:val="single"/>
        </w:rPr>
        <w:t xml:space="preserve"> 3</w:t>
      </w:r>
      <w:r>
        <w:rPr>
          <w:rFonts w:hint="eastAsia" w:ascii="宋体" w:hAnsi="宋体"/>
          <w:color w:val="auto"/>
          <w:sz w:val="24"/>
          <w:highlight w:val="none"/>
          <w:u w:val="single"/>
        </w:rPr>
        <w:t xml:space="preserve"> </w:t>
      </w:r>
      <w:r>
        <w:rPr>
          <w:rFonts w:hint="eastAsia" w:ascii="宋体" w:hAnsi="宋体"/>
          <w:color w:val="auto"/>
          <w:sz w:val="24"/>
          <w:highlight w:val="none"/>
        </w:rPr>
        <w:t>个月，胸径</w:t>
      </w:r>
      <w:r>
        <w:rPr>
          <w:rFonts w:ascii="宋体" w:hAnsi="宋体"/>
          <w:color w:val="auto"/>
          <w:sz w:val="24"/>
          <w:highlight w:val="none"/>
        </w:rPr>
        <w:t>15cm</w:t>
      </w:r>
      <w:r>
        <w:rPr>
          <w:rFonts w:hint="eastAsia" w:ascii="宋体" w:hAnsi="宋体"/>
          <w:color w:val="auto"/>
          <w:sz w:val="24"/>
          <w:highlight w:val="none"/>
        </w:rPr>
        <w:t>以上的苗木养护期为</w:t>
      </w:r>
      <w:r>
        <w:rPr>
          <w:rFonts w:hint="eastAsia" w:ascii="宋体" w:hAnsi="宋体" w:cs="宋体"/>
          <w:color w:val="auto"/>
          <w:sz w:val="24"/>
          <w:highlight w:val="none"/>
        </w:rPr>
        <w:t>自本项目绿化工程通过竣工验收之日起</w:t>
      </w:r>
      <w:r>
        <w:rPr>
          <w:rFonts w:ascii="宋体" w:hAnsi="宋体"/>
          <w:color w:val="auto"/>
          <w:sz w:val="24"/>
          <w:highlight w:val="none"/>
          <w:u w:val="single"/>
        </w:rPr>
        <w:t xml:space="preserve"> 1</w:t>
      </w:r>
      <w:r>
        <w:rPr>
          <w:rFonts w:hint="eastAsia" w:ascii="宋体" w:hAnsi="宋体"/>
          <w:color w:val="auto"/>
          <w:sz w:val="24"/>
          <w:highlight w:val="none"/>
          <w:u w:val="single"/>
        </w:rPr>
        <w:t xml:space="preserve"> </w:t>
      </w:r>
      <w:r>
        <w:rPr>
          <w:rFonts w:hint="eastAsia" w:ascii="宋体" w:hAnsi="宋体"/>
          <w:color w:val="auto"/>
          <w:sz w:val="24"/>
          <w:highlight w:val="none"/>
        </w:rPr>
        <w:t>年。</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szCs w:val="24"/>
          <w:highlight w:val="none"/>
        </w:rPr>
        <w:t>养护期内，承包人需负责项目中绿化灌溉、施肥、修剪、病虫害综合防治、日常养护管理工作，及时更换不符合清单要求的苗木，提高绿化种植成活率，确保绿化移交时符合《黄埔区绿化苗木选用及种植技术指引（</w:t>
      </w:r>
      <w:r>
        <w:rPr>
          <w:rFonts w:ascii="宋体" w:hAnsi="宋体" w:cs="宋体"/>
          <w:color w:val="auto"/>
          <w:sz w:val="24"/>
          <w:szCs w:val="24"/>
          <w:highlight w:val="none"/>
        </w:rPr>
        <w:t>1.0版）》</w:t>
      </w:r>
      <w:r>
        <w:rPr>
          <w:rFonts w:hint="eastAsia" w:ascii="宋体" w:hAnsi="宋体" w:cs="宋体"/>
          <w:color w:val="auto"/>
          <w:sz w:val="24"/>
          <w:szCs w:val="24"/>
          <w:highlight w:val="none"/>
        </w:rPr>
        <w:t>《黄埔区园林绿化养护技术指引（</w:t>
      </w:r>
      <w:r>
        <w:rPr>
          <w:rFonts w:ascii="宋体" w:hAnsi="宋体" w:cs="宋体"/>
          <w:color w:val="auto"/>
          <w:sz w:val="24"/>
          <w:szCs w:val="24"/>
          <w:highlight w:val="none"/>
        </w:rPr>
        <w:t>1.0版）》及发包人要求。</w:t>
      </w:r>
    </w:p>
    <w:p>
      <w:pPr>
        <w:spacing w:line="440" w:lineRule="exact"/>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四、责任与义务</w:t>
      </w:r>
    </w:p>
    <w:p>
      <w:pPr>
        <w:spacing w:line="440" w:lineRule="exact"/>
        <w:jc w:val="left"/>
        <w:rPr>
          <w:rFonts w:ascii="宋体" w:hAnsi="宋体" w:cs="宋体"/>
          <w:color w:val="auto"/>
          <w:sz w:val="24"/>
          <w:szCs w:val="24"/>
          <w:highlight w:val="none"/>
        </w:rPr>
      </w:pPr>
      <w:r>
        <w:rPr>
          <w:rFonts w:ascii="宋体" w:hAnsi="宋体" w:cs="宋体"/>
          <w:color w:val="auto"/>
          <w:sz w:val="24"/>
          <w:szCs w:val="24"/>
          <w:highlight w:val="none"/>
        </w:rPr>
        <w:t>1、承包人应严格按照本项目《苗木供应清单》执行苗木选用、种植和养护工作。</w:t>
      </w:r>
      <w:r>
        <w:rPr>
          <w:rFonts w:hint="eastAsia" w:ascii="宋体" w:hAnsi="宋体" w:cs="宋体"/>
          <w:color w:val="auto"/>
          <w:sz w:val="24"/>
          <w:szCs w:val="24"/>
          <w:highlight w:val="none"/>
        </w:rPr>
        <w:t>如经发包人</w:t>
      </w:r>
      <w:r>
        <w:rPr>
          <w:rFonts w:hint="eastAsia" w:ascii="宋体" w:hAnsi="宋体" w:cs="宋体"/>
          <w:color w:val="auto"/>
          <w:kern w:val="0"/>
          <w:sz w:val="24"/>
          <w:szCs w:val="24"/>
          <w:highlight w:val="none"/>
        </w:rPr>
        <w:t>或本项目监理单位</w:t>
      </w:r>
      <w:r>
        <w:rPr>
          <w:rFonts w:hint="eastAsia" w:ascii="宋体" w:hAnsi="宋体" w:cs="宋体"/>
          <w:color w:val="auto"/>
          <w:sz w:val="24"/>
          <w:szCs w:val="24"/>
          <w:highlight w:val="none"/>
        </w:rPr>
        <w:t>巡查发现苗木不符合清单要求的，应按照发包人或者监理单位的要求及时更换；每逾期一天，由发包人扣减绿化工程造价的万分之一作为违约金。同时，发包人有权另行委托其他服务单位实施整改，以保证按时按质按量完成整改，所需费用从承包人工程款中全额扣除。</w:t>
      </w:r>
    </w:p>
    <w:p>
      <w:pPr>
        <w:spacing w:line="440" w:lineRule="exact"/>
        <w:jc w:val="left"/>
        <w:rPr>
          <w:rFonts w:ascii="宋体" w:hAnsi="宋体" w:cs="宋体"/>
          <w:color w:val="auto"/>
          <w:sz w:val="24"/>
          <w:szCs w:val="24"/>
          <w:highlight w:val="none"/>
        </w:rPr>
      </w:pPr>
      <w:r>
        <w:rPr>
          <w:rFonts w:ascii="宋体" w:hAnsi="宋体" w:cs="宋体"/>
          <w:color w:val="auto"/>
          <w:sz w:val="24"/>
          <w:szCs w:val="24"/>
          <w:highlight w:val="none"/>
        </w:rPr>
        <w:t>2、承包人应规范苗木种植过程及绿化灌溉、施肥、修剪、病虫害综合防治、日常养护管理等工作，发包人应不定期对承包人绿化种植成效进行抽查、加强对绿化种植全过程的监管监控，如承包人绿化种植效果达不到项目要求，发包人有权要求其限期整改。</w:t>
      </w:r>
      <w:r>
        <w:rPr>
          <w:rFonts w:hint="eastAsia" w:ascii="宋体" w:hAnsi="宋体" w:cs="宋体"/>
          <w:color w:val="auto"/>
          <w:sz w:val="24"/>
          <w:szCs w:val="24"/>
          <w:highlight w:val="none"/>
        </w:rPr>
        <w:t>每逾期一天，由发包人扣减绿化工程造价的万分之一作为违约金。同时，发包人有权另行委托其他服务单位实施整改，以保证按时按质按量完成整改，所需费用从承包人工程款中全额扣除。</w:t>
      </w:r>
    </w:p>
    <w:p>
      <w:pPr>
        <w:pStyle w:val="18"/>
        <w:spacing w:line="440" w:lineRule="exact"/>
        <w:ind w:firstLine="241"/>
        <w:rPr>
          <w:rFonts w:ascii="宋体" w:hAnsi="宋体" w:cs="宋体"/>
          <w:b/>
          <w:bCs/>
          <w:color w:val="auto"/>
          <w:sz w:val="24"/>
          <w:szCs w:val="24"/>
          <w:highlight w:val="none"/>
        </w:rPr>
      </w:pPr>
      <w:r>
        <w:rPr>
          <w:rFonts w:hint="eastAsia" w:ascii="宋体" w:hAnsi="宋体" w:cs="宋体"/>
          <w:b/>
          <w:bCs/>
          <w:color w:val="auto"/>
          <w:sz w:val="24"/>
          <w:szCs w:val="24"/>
          <w:highlight w:val="none"/>
        </w:rPr>
        <w:t>五、其它</w:t>
      </w:r>
    </w:p>
    <w:p>
      <w:pPr>
        <w:pStyle w:val="18"/>
        <w:spacing w:line="440" w:lineRule="exact"/>
        <w:ind w:firstLine="240"/>
        <w:rPr>
          <w:rFonts w:ascii="宋体" w:hAnsi="宋体" w:cs="宋体"/>
          <w:color w:val="auto"/>
          <w:sz w:val="24"/>
          <w:szCs w:val="24"/>
          <w:highlight w:val="none"/>
        </w:rPr>
      </w:pPr>
      <w:r>
        <w:rPr>
          <w:rFonts w:hint="eastAsia" w:ascii="宋体" w:hAnsi="宋体" w:cs="宋体"/>
          <w:color w:val="auto"/>
          <w:sz w:val="24"/>
          <w:szCs w:val="24"/>
          <w:highlight w:val="none"/>
        </w:rPr>
        <w:t>本专篇是为规范本项目绿化工程种植、养护工作制定，未提及的内容均按施工合同专用条款的约定执行。</w:t>
      </w:r>
    </w:p>
    <w:p>
      <w:pPr>
        <w:spacing w:line="520" w:lineRule="exact"/>
        <w:rPr>
          <w:rFonts w:ascii="宋体" w:hAnsi="宋体" w:cs="宋体"/>
          <w:color w:val="auto"/>
          <w:sz w:val="24"/>
          <w:highlight w:val="none"/>
        </w:rPr>
      </w:pPr>
    </w:p>
    <w:p>
      <w:pPr>
        <w:spacing w:line="520" w:lineRule="exact"/>
        <w:jc w:val="center"/>
        <w:rPr>
          <w:rFonts w:ascii="宋体" w:hAnsi="宋体" w:cs="宋体"/>
          <w:color w:val="auto"/>
          <w:sz w:val="24"/>
          <w:highlight w:val="none"/>
        </w:rPr>
      </w:pPr>
    </w:p>
    <w:p>
      <w:pPr>
        <w:spacing w:line="520" w:lineRule="exact"/>
        <w:jc w:val="center"/>
        <w:rPr>
          <w:rFonts w:ascii="宋体" w:hAnsi="宋体" w:cs="宋体"/>
          <w:color w:val="auto"/>
          <w:sz w:val="24"/>
          <w:highlight w:val="none"/>
        </w:rPr>
      </w:pPr>
    </w:p>
    <w:p>
      <w:pPr>
        <w:spacing w:line="520" w:lineRule="exact"/>
        <w:rPr>
          <w:rFonts w:ascii="宋体" w:hAnsi="宋体" w:cs="宋体"/>
          <w:color w:val="auto"/>
          <w:sz w:val="24"/>
          <w:highlight w:val="none"/>
        </w:rPr>
      </w:pPr>
      <w:r>
        <w:rPr>
          <w:rFonts w:hint="eastAsia" w:ascii="宋体" w:hAnsi="宋体" w:cs="宋体"/>
          <w:color w:val="auto"/>
          <w:sz w:val="24"/>
          <w:highlight w:val="none"/>
        </w:rPr>
        <w:t>附表：</w:t>
      </w:r>
    </w:p>
    <w:p>
      <w:pPr>
        <w:spacing w:line="520" w:lineRule="exact"/>
        <w:jc w:val="center"/>
        <w:rPr>
          <w:rFonts w:ascii="宋体" w:hAnsi="宋体" w:cs="宋体"/>
          <w:color w:val="auto"/>
          <w:sz w:val="24"/>
          <w:highlight w:val="none"/>
        </w:rPr>
      </w:pPr>
      <w:r>
        <w:rPr>
          <w:rFonts w:hint="eastAsia" w:ascii="宋体" w:hAnsi="宋体" w:cs="宋体"/>
          <w:color w:val="auto"/>
          <w:sz w:val="24"/>
          <w:highlight w:val="none"/>
        </w:rPr>
        <w:t>苗木供应清单</w:t>
      </w:r>
    </w:p>
    <w:p>
      <w:pPr>
        <w:pStyle w:val="13"/>
        <w:spacing w:line="520" w:lineRule="exact"/>
        <w:ind w:left="0" w:leftChars="0"/>
        <w:rPr>
          <w:rFonts w:ascii="宋体" w:hAnsi="宋体" w:cs="宋体"/>
          <w:color w:val="auto"/>
          <w:sz w:val="24"/>
          <w:highlight w:val="none"/>
        </w:rPr>
      </w:pPr>
      <w:r>
        <w:rPr>
          <w:rFonts w:hint="eastAsia" w:ascii="宋体" w:hAnsi="宋体" w:cs="宋体"/>
          <w:color w:val="auto"/>
          <w:sz w:val="24"/>
          <w:highlight w:val="none"/>
        </w:rPr>
        <w:t>项目名称：</w:t>
      </w:r>
    </w:p>
    <w:tbl>
      <w:tblPr>
        <w:tblStyle w:val="20"/>
        <w:tblW w:w="9352" w:type="dxa"/>
        <w:tblInd w:w="93" w:type="dxa"/>
        <w:tblLayout w:type="fixed"/>
        <w:tblCellMar>
          <w:top w:w="0" w:type="dxa"/>
          <w:left w:w="108" w:type="dxa"/>
          <w:bottom w:w="0" w:type="dxa"/>
          <w:right w:w="108" w:type="dxa"/>
        </w:tblCellMar>
      </w:tblPr>
      <w:tblGrid>
        <w:gridCol w:w="549"/>
        <w:gridCol w:w="750"/>
        <w:gridCol w:w="1080"/>
        <w:gridCol w:w="1003"/>
        <w:gridCol w:w="1006"/>
        <w:gridCol w:w="884"/>
        <w:gridCol w:w="1080"/>
        <w:gridCol w:w="1080"/>
        <w:gridCol w:w="953"/>
        <w:gridCol w:w="967"/>
      </w:tblGrid>
      <w:tr>
        <w:tblPrEx>
          <w:tblCellMar>
            <w:top w:w="0" w:type="dxa"/>
            <w:left w:w="108" w:type="dxa"/>
            <w:bottom w:w="0" w:type="dxa"/>
            <w:right w:w="108" w:type="dxa"/>
          </w:tblCellMar>
        </w:tblPrEx>
        <w:trPr>
          <w:trHeight w:val="435" w:hRule="atLeast"/>
        </w:trPr>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cs="宋体"/>
                <w:color w:val="auto"/>
                <w:sz w:val="24"/>
                <w:highlight w:val="none"/>
              </w:rPr>
            </w:pPr>
            <w:r>
              <w:rPr>
                <w:rStyle w:val="25"/>
                <w:rFonts w:hint="default"/>
                <w:color w:val="auto"/>
                <w:sz w:val="24"/>
                <w:szCs w:val="24"/>
                <w:highlight w:val="none"/>
              </w:rPr>
              <w:t>序号</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cs="宋体"/>
                <w:color w:val="auto"/>
                <w:sz w:val="24"/>
                <w:highlight w:val="none"/>
              </w:rPr>
            </w:pPr>
            <w:r>
              <w:rPr>
                <w:rStyle w:val="25"/>
                <w:rFonts w:hint="default"/>
                <w:color w:val="auto"/>
                <w:sz w:val="24"/>
                <w:szCs w:val="24"/>
                <w:highlight w:val="none"/>
              </w:rPr>
              <w:t>苗木名称</w:t>
            </w:r>
          </w:p>
        </w:tc>
        <w:tc>
          <w:tcPr>
            <w:tcW w:w="613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cs="宋体"/>
                <w:color w:val="auto"/>
                <w:sz w:val="24"/>
                <w:highlight w:val="none"/>
              </w:rPr>
            </w:pPr>
            <w:r>
              <w:rPr>
                <w:rStyle w:val="25"/>
                <w:rFonts w:hint="default"/>
                <w:color w:val="auto"/>
                <w:sz w:val="24"/>
                <w:szCs w:val="24"/>
                <w:highlight w:val="none"/>
              </w:rPr>
              <w:t>规格（ 单位：CM）</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cs="宋体"/>
                <w:color w:val="auto"/>
                <w:sz w:val="24"/>
                <w:highlight w:val="none"/>
              </w:rPr>
            </w:pPr>
            <w:r>
              <w:rPr>
                <w:rStyle w:val="25"/>
                <w:rFonts w:hint="default"/>
                <w:color w:val="auto"/>
                <w:sz w:val="24"/>
                <w:szCs w:val="24"/>
                <w:highlight w:val="none"/>
              </w:rPr>
              <w:t>规格（ 单位：个）</w:t>
            </w:r>
          </w:p>
        </w:tc>
      </w:tr>
      <w:tr>
        <w:tblPrEx>
          <w:tblCellMar>
            <w:top w:w="0" w:type="dxa"/>
            <w:left w:w="108" w:type="dxa"/>
            <w:bottom w:w="0" w:type="dxa"/>
            <w:right w:w="108" w:type="dxa"/>
          </w:tblCellMar>
        </w:tblPrEx>
        <w:trPr>
          <w:trHeight w:val="420"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exact"/>
              <w:jc w:val="center"/>
              <w:rPr>
                <w:rFonts w:ascii="宋体" w:hAnsi="宋体" w:cs="宋体"/>
                <w:color w:val="auto"/>
                <w:sz w:val="24"/>
                <w:highlight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exact"/>
              <w:jc w:val="center"/>
              <w:rPr>
                <w:rFonts w:ascii="宋体" w:hAnsi="宋体" w:cs="宋体"/>
                <w:color w:val="auto"/>
                <w:sz w:val="24"/>
                <w:highlight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left"/>
              <w:textAlignment w:val="center"/>
              <w:rPr>
                <w:rFonts w:ascii="宋体" w:hAnsi="宋体" w:cs="宋体"/>
                <w:color w:val="auto"/>
                <w:sz w:val="24"/>
                <w:highlight w:val="none"/>
              </w:rPr>
            </w:pPr>
            <w:r>
              <w:rPr>
                <w:rStyle w:val="25"/>
                <w:rFonts w:hint="default"/>
                <w:color w:val="auto"/>
                <w:sz w:val="24"/>
                <w:szCs w:val="24"/>
                <w:highlight w:val="none"/>
              </w:rPr>
              <w:t>胸（ 地）径(Ф)</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left"/>
              <w:textAlignment w:val="center"/>
              <w:rPr>
                <w:rFonts w:ascii="宋体" w:hAnsi="宋体" w:cs="宋体"/>
                <w:color w:val="auto"/>
                <w:sz w:val="24"/>
                <w:highlight w:val="none"/>
              </w:rPr>
            </w:pPr>
            <w:r>
              <w:rPr>
                <w:rStyle w:val="25"/>
                <w:rFonts w:hint="default"/>
                <w:color w:val="auto"/>
                <w:sz w:val="24"/>
                <w:szCs w:val="24"/>
                <w:highlight w:val="none"/>
              </w:rPr>
              <w:t>株高（H）</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left"/>
              <w:textAlignment w:val="center"/>
              <w:rPr>
                <w:rFonts w:ascii="宋体" w:hAnsi="宋体" w:cs="宋体"/>
                <w:color w:val="auto"/>
                <w:sz w:val="24"/>
                <w:highlight w:val="none"/>
              </w:rPr>
            </w:pPr>
            <w:r>
              <w:rPr>
                <w:rStyle w:val="25"/>
                <w:rFonts w:hint="default"/>
                <w:color w:val="auto"/>
                <w:sz w:val="24"/>
                <w:szCs w:val="24"/>
                <w:highlight w:val="none"/>
              </w:rPr>
              <w:t>分枝点高(Ⓗ</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left"/>
              <w:textAlignment w:val="center"/>
              <w:rPr>
                <w:rFonts w:ascii="宋体" w:hAnsi="宋体" w:cs="宋体"/>
                <w:color w:val="auto"/>
                <w:sz w:val="24"/>
                <w:highlight w:val="none"/>
              </w:rPr>
            </w:pPr>
            <w:r>
              <w:rPr>
                <w:rStyle w:val="25"/>
                <w:rFonts w:hint="default"/>
                <w:color w:val="auto"/>
                <w:sz w:val="24"/>
                <w:szCs w:val="24"/>
                <w:highlight w:val="none"/>
              </w:rPr>
              <w:t xml:space="preserve"> 冠幅（P）</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cs="宋体"/>
                <w:color w:val="auto"/>
                <w:sz w:val="24"/>
                <w:highlight w:val="none"/>
              </w:rPr>
            </w:pPr>
            <w:r>
              <w:rPr>
                <w:rStyle w:val="25"/>
                <w:rFonts w:hint="default"/>
                <w:color w:val="auto"/>
                <w:sz w:val="24"/>
                <w:szCs w:val="24"/>
                <w:highlight w:val="none"/>
              </w:rPr>
              <w:t>土球规格直径* 高度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left"/>
              <w:textAlignment w:val="center"/>
              <w:rPr>
                <w:rFonts w:ascii="宋体" w:hAnsi="宋体" w:cs="宋体"/>
                <w:color w:val="auto"/>
                <w:sz w:val="24"/>
                <w:highlight w:val="none"/>
              </w:rPr>
            </w:pPr>
            <w:r>
              <w:rPr>
                <w:rStyle w:val="25"/>
                <w:rFonts w:hint="default"/>
                <w:color w:val="auto"/>
                <w:sz w:val="24"/>
                <w:szCs w:val="24"/>
                <w:highlight w:val="none"/>
              </w:rPr>
              <w:t>种植穴直径* 高度</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left"/>
              <w:textAlignment w:val="center"/>
              <w:rPr>
                <w:rFonts w:ascii="宋体" w:hAnsi="宋体" w:cs="宋体"/>
                <w:color w:val="auto"/>
                <w:sz w:val="24"/>
                <w:highlight w:val="none"/>
              </w:rPr>
            </w:pPr>
            <w:r>
              <w:rPr>
                <w:rStyle w:val="25"/>
                <w:rFonts w:hint="default"/>
                <w:color w:val="auto"/>
                <w:sz w:val="24"/>
                <w:szCs w:val="24"/>
                <w:highlight w:val="none"/>
              </w:rPr>
              <w:t>层托数(T)</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left"/>
              <w:textAlignment w:val="center"/>
              <w:rPr>
                <w:rFonts w:ascii="宋体" w:hAnsi="宋体" w:cs="宋体"/>
                <w:color w:val="auto"/>
                <w:sz w:val="24"/>
                <w:highlight w:val="none"/>
              </w:rPr>
            </w:pPr>
            <w:r>
              <w:rPr>
                <w:rStyle w:val="25"/>
                <w:rFonts w:hint="default"/>
                <w:color w:val="auto"/>
                <w:sz w:val="24"/>
                <w:szCs w:val="24"/>
                <w:highlight w:val="none"/>
              </w:rPr>
              <w:t>分枝数量</w:t>
            </w:r>
          </w:p>
        </w:tc>
      </w:tr>
      <w:tr>
        <w:tblPrEx>
          <w:tblCellMar>
            <w:top w:w="0" w:type="dxa"/>
            <w:left w:w="108" w:type="dxa"/>
            <w:bottom w:w="0" w:type="dxa"/>
            <w:right w:w="108" w:type="dxa"/>
          </w:tblCellMar>
        </w:tblPrEx>
        <w:trPr>
          <w:trHeight w:val="27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highlight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highlight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highlight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highlight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highlight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highlight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highlight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highlight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highlight w:val="none"/>
              </w:rPr>
            </w:pPr>
          </w:p>
        </w:tc>
      </w:tr>
      <w:tr>
        <w:tblPrEx>
          <w:tblCellMar>
            <w:top w:w="0" w:type="dxa"/>
            <w:left w:w="108" w:type="dxa"/>
            <w:bottom w:w="0" w:type="dxa"/>
            <w:right w:w="108" w:type="dxa"/>
          </w:tblCellMar>
        </w:tblPrEx>
        <w:trPr>
          <w:trHeight w:val="27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highlight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highlight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highlight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highlight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highlight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highlight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highlight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highlight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highlight w:val="none"/>
              </w:rPr>
            </w:pPr>
          </w:p>
        </w:tc>
      </w:tr>
    </w:tbl>
    <w:p>
      <w:pPr>
        <w:pStyle w:val="13"/>
        <w:spacing w:line="480" w:lineRule="exact"/>
        <w:ind w:left="0" w:leftChars="0"/>
        <w:rPr>
          <w:color w:val="auto"/>
          <w:sz w:val="24"/>
          <w:highlight w:val="none"/>
        </w:rPr>
      </w:pPr>
    </w:p>
    <w:p>
      <w:pPr>
        <w:numPr>
          <w:ilvl w:val="255"/>
          <w:numId w:val="0"/>
        </w:numPr>
        <w:jc w:val="both"/>
        <w:rPr>
          <w:rFonts w:ascii="宋体" w:hAnsi="宋体" w:cs="宋体"/>
          <w:b/>
          <w:bCs/>
          <w:color w:val="auto"/>
          <w:sz w:val="28"/>
          <w:szCs w:val="28"/>
          <w:highlight w:val="none"/>
        </w:rPr>
      </w:pPr>
    </w:p>
    <w:p>
      <w:pPr>
        <w:numPr>
          <w:ilvl w:val="255"/>
          <w:numId w:val="0"/>
        </w:numPr>
        <w:jc w:val="both"/>
        <w:rPr>
          <w:rFonts w:ascii="宋体" w:hAnsi="宋体" w:cs="宋体"/>
          <w:b/>
          <w:bCs/>
          <w:color w:val="auto"/>
          <w:sz w:val="28"/>
          <w:szCs w:val="28"/>
          <w:highlight w:val="none"/>
        </w:rPr>
      </w:pPr>
    </w:p>
    <w:p>
      <w:pPr>
        <w:numPr>
          <w:ilvl w:val="255"/>
          <w:numId w:val="0"/>
        </w:numPr>
        <w:jc w:val="both"/>
        <w:rPr>
          <w:rFonts w:ascii="宋体" w:hAnsi="宋体" w:cs="宋体"/>
          <w:b/>
          <w:bCs/>
          <w:color w:val="auto"/>
          <w:sz w:val="28"/>
          <w:szCs w:val="28"/>
          <w:highlight w:val="none"/>
        </w:rPr>
      </w:pPr>
    </w:p>
    <w:p>
      <w:pPr>
        <w:numPr>
          <w:ilvl w:val="255"/>
          <w:numId w:val="0"/>
        </w:numPr>
        <w:jc w:val="both"/>
        <w:rPr>
          <w:rFonts w:ascii="宋体" w:hAnsi="宋体" w:cs="宋体"/>
          <w:b/>
          <w:bCs/>
          <w:color w:val="auto"/>
          <w:sz w:val="28"/>
          <w:szCs w:val="28"/>
          <w:highlight w:val="none"/>
        </w:rPr>
      </w:pPr>
    </w:p>
    <w:p>
      <w:pPr>
        <w:numPr>
          <w:ilvl w:val="255"/>
          <w:numId w:val="0"/>
        </w:numPr>
        <w:jc w:val="both"/>
        <w:rPr>
          <w:rFonts w:ascii="宋体" w:hAnsi="宋体" w:cs="宋体"/>
          <w:b/>
          <w:bCs/>
          <w:color w:val="auto"/>
          <w:sz w:val="28"/>
          <w:szCs w:val="28"/>
          <w:highlight w:val="none"/>
        </w:rPr>
      </w:pPr>
    </w:p>
    <w:p>
      <w:pPr>
        <w:numPr>
          <w:ilvl w:val="255"/>
          <w:numId w:val="0"/>
        </w:numPr>
        <w:jc w:val="both"/>
        <w:rPr>
          <w:rFonts w:ascii="宋体" w:hAnsi="宋体" w:cs="宋体"/>
          <w:b/>
          <w:bCs/>
          <w:color w:val="auto"/>
          <w:sz w:val="28"/>
          <w:szCs w:val="28"/>
          <w:highlight w:val="none"/>
        </w:rPr>
      </w:pPr>
    </w:p>
    <w:p>
      <w:pPr>
        <w:numPr>
          <w:ilvl w:val="255"/>
          <w:numId w:val="0"/>
        </w:numPr>
        <w:jc w:val="both"/>
        <w:rPr>
          <w:rFonts w:ascii="宋体" w:hAnsi="宋体" w:cs="宋体"/>
          <w:b/>
          <w:bCs/>
          <w:color w:val="auto"/>
          <w:sz w:val="28"/>
          <w:szCs w:val="28"/>
          <w:highlight w:val="none"/>
        </w:rPr>
      </w:pPr>
    </w:p>
    <w:p>
      <w:pPr>
        <w:numPr>
          <w:ilvl w:val="255"/>
          <w:numId w:val="0"/>
        </w:numPr>
        <w:jc w:val="both"/>
        <w:rPr>
          <w:rFonts w:ascii="宋体" w:hAnsi="宋体" w:cs="宋体"/>
          <w:b/>
          <w:bCs/>
          <w:color w:val="auto"/>
          <w:sz w:val="28"/>
          <w:szCs w:val="28"/>
          <w:highlight w:val="none"/>
        </w:rPr>
      </w:pPr>
    </w:p>
    <w:p>
      <w:pPr>
        <w:numPr>
          <w:ilvl w:val="255"/>
          <w:numId w:val="0"/>
        </w:numPr>
        <w:jc w:val="both"/>
        <w:rPr>
          <w:rFonts w:ascii="宋体" w:hAnsi="宋体" w:cs="宋体"/>
          <w:b/>
          <w:bCs/>
          <w:color w:val="auto"/>
          <w:sz w:val="28"/>
          <w:szCs w:val="28"/>
          <w:highlight w:val="none"/>
        </w:rPr>
      </w:pPr>
    </w:p>
    <w:p>
      <w:pPr>
        <w:numPr>
          <w:ilvl w:val="255"/>
          <w:numId w:val="0"/>
        </w:numPr>
        <w:jc w:val="both"/>
        <w:rPr>
          <w:rFonts w:ascii="宋体" w:hAnsi="宋体" w:cs="宋体"/>
          <w:b/>
          <w:bCs/>
          <w:color w:val="auto"/>
          <w:sz w:val="28"/>
          <w:szCs w:val="28"/>
          <w:highlight w:val="none"/>
        </w:rPr>
      </w:pPr>
    </w:p>
    <w:p>
      <w:pPr>
        <w:numPr>
          <w:ilvl w:val="255"/>
          <w:numId w:val="0"/>
        </w:numPr>
        <w:jc w:val="both"/>
        <w:rPr>
          <w:rFonts w:ascii="宋体" w:hAnsi="宋体" w:cs="宋体"/>
          <w:b/>
          <w:bCs/>
          <w:color w:val="auto"/>
          <w:sz w:val="28"/>
          <w:szCs w:val="28"/>
          <w:highlight w:val="none"/>
        </w:rPr>
      </w:pPr>
    </w:p>
    <w:p>
      <w:pPr>
        <w:numPr>
          <w:ilvl w:val="255"/>
          <w:numId w:val="0"/>
        </w:numPr>
        <w:jc w:val="both"/>
        <w:rPr>
          <w:rFonts w:ascii="宋体" w:hAnsi="宋体" w:cs="宋体"/>
          <w:b/>
          <w:bCs/>
          <w:color w:val="auto"/>
          <w:sz w:val="28"/>
          <w:szCs w:val="28"/>
          <w:highlight w:val="none"/>
        </w:rPr>
      </w:pPr>
    </w:p>
    <w:p>
      <w:pPr>
        <w:numPr>
          <w:ilvl w:val="255"/>
          <w:numId w:val="0"/>
        </w:numPr>
        <w:jc w:val="both"/>
        <w:rPr>
          <w:rFonts w:ascii="宋体" w:hAnsi="宋体" w:cs="宋体"/>
          <w:b/>
          <w:bCs/>
          <w:color w:val="auto"/>
          <w:sz w:val="28"/>
          <w:szCs w:val="28"/>
          <w:highlight w:val="none"/>
        </w:rPr>
      </w:pPr>
    </w:p>
    <w:p>
      <w:pPr>
        <w:spacing w:line="440" w:lineRule="exact"/>
        <w:rPr>
          <w:rFonts w:ascii="宋体" w:hAnsi="宋体"/>
          <w:color w:val="auto"/>
          <w:sz w:val="28"/>
          <w:szCs w:val="28"/>
          <w:highlight w:val="none"/>
        </w:rPr>
      </w:pPr>
      <w:r>
        <w:rPr>
          <w:rFonts w:hint="eastAsia" w:ascii="宋体" w:hAnsi="宋体"/>
          <w:color w:val="auto"/>
          <w:sz w:val="21"/>
          <w:szCs w:val="21"/>
          <w:highlight w:val="none"/>
        </w:rPr>
        <w:t xml:space="preserve">                         </w:t>
      </w:r>
      <w:r>
        <w:rPr>
          <w:rFonts w:ascii="宋体" w:hAnsi="宋体"/>
          <w:color w:val="auto"/>
          <w:sz w:val="28"/>
          <w:szCs w:val="28"/>
          <w:highlight w:val="none"/>
        </w:rPr>
        <w:t xml:space="preserve"> </w:t>
      </w:r>
    </w:p>
    <w:p>
      <w:pPr>
        <w:spacing w:line="440" w:lineRule="exact"/>
        <w:ind w:firstLine="1960" w:firstLineChars="700"/>
        <w:rPr>
          <w:rFonts w:ascii="宋体" w:hAnsi="宋体"/>
          <w:b/>
          <w:color w:val="auto"/>
          <w:sz w:val="28"/>
          <w:szCs w:val="28"/>
          <w:highlight w:val="none"/>
        </w:rPr>
      </w:pPr>
      <w:r>
        <w:rPr>
          <w:rFonts w:ascii="宋体" w:hAnsi="宋体"/>
          <w:color w:val="auto"/>
          <w:sz w:val="28"/>
          <w:szCs w:val="28"/>
          <w:highlight w:val="none"/>
        </w:rPr>
        <w:t xml:space="preserve"> </w:t>
      </w:r>
      <w:r>
        <w:rPr>
          <w:rFonts w:hint="eastAsia" w:ascii="宋体" w:hAnsi="宋体"/>
          <w:b/>
          <w:color w:val="auto"/>
          <w:sz w:val="28"/>
          <w:szCs w:val="28"/>
          <w:highlight w:val="none"/>
        </w:rPr>
        <w:t>第五部分</w:t>
      </w:r>
      <w:r>
        <w:rPr>
          <w:rFonts w:ascii="宋体" w:hAnsi="宋体"/>
          <w:b/>
          <w:color w:val="auto"/>
          <w:sz w:val="28"/>
          <w:szCs w:val="28"/>
          <w:highlight w:val="none"/>
        </w:rPr>
        <w:t xml:space="preserve">  </w:t>
      </w:r>
      <w:r>
        <w:rPr>
          <w:rFonts w:hint="eastAsia" w:ascii="宋体" w:hAnsi="宋体"/>
          <w:b/>
          <w:color w:val="auto"/>
          <w:sz w:val="28"/>
          <w:szCs w:val="28"/>
          <w:highlight w:val="none"/>
        </w:rPr>
        <w:t>工程质量保修责任书</w:t>
      </w:r>
    </w:p>
    <w:p>
      <w:pPr>
        <w:snapToGrid w:val="0"/>
        <w:spacing w:line="440" w:lineRule="exact"/>
        <w:rPr>
          <w:rFonts w:ascii="宋体" w:hAnsi="宋体"/>
          <w:color w:val="auto"/>
          <w:sz w:val="24"/>
          <w:highlight w:val="none"/>
        </w:rPr>
      </w:pPr>
      <w:r>
        <w:rPr>
          <w:rFonts w:hint="eastAsia" w:ascii="宋体" w:hAnsi="宋体"/>
          <w:color w:val="auto"/>
          <w:sz w:val="24"/>
          <w:highlight w:val="none"/>
        </w:rPr>
        <w:t>发包人（全称）：</w:t>
      </w:r>
      <w:r>
        <w:rPr>
          <w:rFonts w:ascii="宋体" w:hAnsi="宋体"/>
          <w:color w:val="auto"/>
          <w:sz w:val="24"/>
          <w:highlight w:val="none"/>
          <w:u w:val="single"/>
        </w:rPr>
        <w:t xml:space="preserve">                             </w:t>
      </w:r>
      <w:r>
        <w:rPr>
          <w:rFonts w:hint="eastAsia" w:ascii="宋体" w:hAnsi="宋体"/>
          <w:color w:val="auto"/>
          <w:sz w:val="24"/>
          <w:highlight w:val="none"/>
        </w:rPr>
        <w:t>。</w:t>
      </w:r>
    </w:p>
    <w:p>
      <w:pPr>
        <w:snapToGrid w:val="0"/>
        <w:spacing w:line="440" w:lineRule="exact"/>
        <w:rPr>
          <w:rFonts w:ascii="宋体" w:hAnsi="宋体"/>
          <w:color w:val="auto"/>
          <w:sz w:val="24"/>
          <w:highlight w:val="none"/>
        </w:rPr>
      </w:pPr>
      <w:r>
        <w:rPr>
          <w:rFonts w:hint="eastAsia" w:ascii="宋体" w:hAnsi="宋体"/>
          <w:color w:val="auto"/>
          <w:sz w:val="24"/>
          <w:highlight w:val="none"/>
        </w:rPr>
        <w:t>承包人（全称）：</w:t>
      </w:r>
      <w:r>
        <w:rPr>
          <w:rFonts w:ascii="宋体" w:hAnsi="宋体"/>
          <w:color w:val="auto"/>
          <w:sz w:val="24"/>
          <w:highlight w:val="none"/>
          <w:u w:val="single"/>
        </w:rPr>
        <w:t xml:space="preserve">                             </w:t>
      </w:r>
      <w:r>
        <w:rPr>
          <w:rFonts w:hint="eastAsia" w:ascii="宋体" w:hAnsi="宋体"/>
          <w:color w:val="auto"/>
          <w:sz w:val="24"/>
          <w:highlight w:val="none"/>
        </w:rPr>
        <w:t>。</w:t>
      </w:r>
    </w:p>
    <w:p>
      <w:pPr>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为保证</w:t>
      </w:r>
      <w:r>
        <w:rPr>
          <w:rFonts w:ascii="宋体" w:hAnsi="宋体"/>
          <w:color w:val="auto"/>
          <w:sz w:val="24"/>
          <w:highlight w:val="none"/>
          <w:u w:val="single"/>
        </w:rPr>
        <w:t xml:space="preserve">                工程</w:t>
      </w:r>
      <w:r>
        <w:rPr>
          <w:rFonts w:hint="eastAsia" w:ascii="宋体" w:hAnsi="宋体"/>
          <w:color w:val="auto"/>
          <w:sz w:val="24"/>
          <w:highlight w:val="none"/>
        </w:rPr>
        <w:t>在合理使用期限内正常使用，发包人承包人协商一致签订工程质量保修责任书。承包人在质量保修期内按照有关管理规定及双方约定承担本工程质量保修责任。</w:t>
      </w:r>
    </w:p>
    <w:p>
      <w:pPr>
        <w:numPr>
          <w:ilvl w:val="0"/>
          <w:numId w:val="6"/>
        </w:numPr>
        <w:tabs>
          <w:tab w:val="left" w:pos="1120"/>
        </w:tabs>
        <w:snapToGrid w:val="0"/>
        <w:spacing w:line="440" w:lineRule="exact"/>
        <w:ind w:hanging="240"/>
        <w:rPr>
          <w:rFonts w:ascii="宋体" w:hAnsi="宋体"/>
          <w:b/>
          <w:bCs/>
          <w:color w:val="auto"/>
          <w:sz w:val="24"/>
          <w:highlight w:val="none"/>
        </w:rPr>
      </w:pPr>
      <w:r>
        <w:rPr>
          <w:rFonts w:hint="eastAsia" w:ascii="宋体" w:hAnsi="宋体"/>
          <w:b/>
          <w:bCs/>
          <w:color w:val="auto"/>
          <w:sz w:val="24"/>
          <w:highlight w:val="none"/>
        </w:rPr>
        <w:t>工程质量保修范围和内容</w:t>
      </w:r>
    </w:p>
    <w:p>
      <w:pPr>
        <w:snapToGrid w:val="0"/>
        <w:spacing w:line="440" w:lineRule="exact"/>
        <w:ind w:firstLine="578" w:firstLineChars="241"/>
        <w:rPr>
          <w:rFonts w:ascii="宋体" w:hAnsi="宋体"/>
          <w:color w:val="auto"/>
          <w:sz w:val="24"/>
          <w:highlight w:val="none"/>
        </w:rPr>
      </w:pPr>
      <w:r>
        <w:rPr>
          <w:rFonts w:hint="eastAsia" w:ascii="宋体" w:hAnsi="宋体"/>
          <w:color w:val="auto"/>
          <w:sz w:val="24"/>
          <w:highlight w:val="none"/>
        </w:rPr>
        <w:t>质量保修范围包括基础工程、主体路基、路面、桥涵构造物工程、给排水、防护工程以及本建设工程施工合同中所含的其它项目。具体质量保修内容双方约定如下：</w:t>
      </w:r>
    </w:p>
    <w:p>
      <w:pPr>
        <w:snapToGrid w:val="0"/>
        <w:spacing w:line="440" w:lineRule="exact"/>
        <w:ind w:firstLine="578" w:firstLineChars="241"/>
        <w:rPr>
          <w:rFonts w:ascii="宋体" w:hAnsi="宋体"/>
          <w:color w:val="auto"/>
          <w:sz w:val="24"/>
          <w:highlight w:val="none"/>
          <w:u w:val="single"/>
        </w:rPr>
      </w:pPr>
      <w:r>
        <w:rPr>
          <w:rFonts w:hint="eastAsia" w:ascii="宋体" w:hAnsi="宋体"/>
          <w:color w:val="auto"/>
          <w:sz w:val="24"/>
          <w:highlight w:val="none"/>
          <w:u w:val="single"/>
        </w:rPr>
        <w:t>按施工合同约定的承包范围内的全部工程内容</w:t>
      </w:r>
      <w:r>
        <w:rPr>
          <w:rFonts w:hint="eastAsia" w:ascii="宋体" w:hAnsi="宋体"/>
          <w:color w:val="auto"/>
          <w:sz w:val="24"/>
          <w:highlight w:val="none"/>
        </w:rPr>
        <w:t>。</w:t>
      </w:r>
    </w:p>
    <w:p>
      <w:pPr>
        <w:numPr>
          <w:ilvl w:val="0"/>
          <w:numId w:val="6"/>
        </w:numPr>
        <w:tabs>
          <w:tab w:val="left" w:pos="1120"/>
        </w:tabs>
        <w:snapToGrid w:val="0"/>
        <w:spacing w:line="440" w:lineRule="exact"/>
        <w:ind w:hanging="240"/>
        <w:rPr>
          <w:rFonts w:ascii="宋体" w:hAnsi="宋体"/>
          <w:b/>
          <w:bCs/>
          <w:color w:val="auto"/>
          <w:sz w:val="24"/>
          <w:highlight w:val="none"/>
        </w:rPr>
      </w:pPr>
      <w:r>
        <w:rPr>
          <w:rFonts w:hint="eastAsia" w:ascii="宋体" w:hAnsi="宋体"/>
          <w:b/>
          <w:bCs/>
          <w:color w:val="auto"/>
          <w:sz w:val="24"/>
          <w:highlight w:val="none"/>
        </w:rPr>
        <w:t>质量保修期</w:t>
      </w:r>
    </w:p>
    <w:p>
      <w:pPr>
        <w:snapToGrid w:val="0"/>
        <w:spacing w:line="440" w:lineRule="exact"/>
        <w:ind w:firstLine="578" w:firstLineChars="241"/>
        <w:rPr>
          <w:rFonts w:ascii="宋体" w:hAnsi="宋体"/>
          <w:color w:val="auto"/>
          <w:sz w:val="24"/>
          <w:highlight w:val="none"/>
        </w:rPr>
      </w:pPr>
      <w:r>
        <w:rPr>
          <w:rFonts w:hint="eastAsia" w:ascii="宋体" w:hAnsi="宋体"/>
          <w:color w:val="auto"/>
          <w:sz w:val="24"/>
          <w:highlight w:val="none"/>
        </w:rPr>
        <w:t>质量保修期从广州开发区管委会或其相关职能部门批准的提前移交之日或者正式通过竣工验收之日（以先发生日期为准）算起。</w:t>
      </w:r>
    </w:p>
    <w:p>
      <w:pPr>
        <w:snapToGrid w:val="0"/>
        <w:spacing w:line="440" w:lineRule="exact"/>
        <w:ind w:firstLine="578" w:firstLineChars="241"/>
        <w:rPr>
          <w:rFonts w:ascii="宋体" w:hAnsi="宋体"/>
          <w:color w:val="auto"/>
          <w:sz w:val="24"/>
          <w:highlight w:val="none"/>
        </w:rPr>
      </w:pPr>
      <w:r>
        <w:rPr>
          <w:rFonts w:hint="eastAsia" w:ascii="宋体" w:hAnsi="宋体"/>
          <w:color w:val="auto"/>
          <w:sz w:val="24"/>
          <w:highlight w:val="none"/>
        </w:rPr>
        <w:t>双方根据国家有关规定，结合具体工程约定质量保修期如下：</w:t>
      </w:r>
    </w:p>
    <w:p>
      <w:pPr>
        <w:snapToGrid w:val="0"/>
        <w:spacing w:line="440" w:lineRule="exact"/>
        <w:ind w:firstLine="578" w:firstLineChars="241"/>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基础设施工程、房屋建筑的地基基础和主体结构工程为设计文件规定的该工程合理使用年限；</w:t>
      </w:r>
    </w:p>
    <w:p>
      <w:pPr>
        <w:snapToGrid w:val="0"/>
        <w:spacing w:line="440" w:lineRule="exact"/>
        <w:ind w:firstLine="578" w:firstLineChars="241"/>
        <w:rPr>
          <w:rFonts w:ascii="宋体" w:hAnsi="宋体"/>
          <w:color w:val="auto"/>
          <w:sz w:val="24"/>
          <w:highlight w:val="none"/>
        </w:rPr>
      </w:pPr>
      <w:r>
        <w:rPr>
          <w:rFonts w:hint="eastAsia" w:ascii="宋体" w:hAnsi="宋体"/>
          <w:color w:val="auto"/>
          <w:sz w:val="24"/>
          <w:highlight w:val="none"/>
        </w:rPr>
        <w:t>2、电力管线、上下水管线安装工程为</w:t>
      </w:r>
      <w:r>
        <w:rPr>
          <w:rFonts w:ascii="宋体" w:hAnsi="宋体"/>
          <w:color w:val="auto"/>
          <w:sz w:val="24"/>
          <w:highlight w:val="none"/>
          <w:u w:val="single"/>
        </w:rPr>
        <w:t xml:space="preserve"> 2 </w:t>
      </w:r>
      <w:r>
        <w:rPr>
          <w:rFonts w:hint="eastAsia" w:ascii="宋体" w:hAnsi="宋体"/>
          <w:color w:val="auto"/>
          <w:sz w:val="24"/>
          <w:highlight w:val="none"/>
        </w:rPr>
        <w:t>年；</w:t>
      </w:r>
    </w:p>
    <w:p>
      <w:pPr>
        <w:snapToGrid w:val="0"/>
        <w:spacing w:line="440" w:lineRule="exact"/>
        <w:ind w:firstLine="578" w:firstLineChars="241"/>
        <w:rPr>
          <w:rFonts w:ascii="宋体" w:hAnsi="宋体"/>
          <w:color w:val="auto"/>
          <w:sz w:val="24"/>
          <w:highlight w:val="none"/>
        </w:rPr>
      </w:pPr>
      <w:r>
        <w:rPr>
          <w:rFonts w:hint="eastAsia" w:ascii="宋体" w:hAnsi="宋体"/>
          <w:color w:val="auto"/>
          <w:sz w:val="24"/>
          <w:highlight w:val="none"/>
        </w:rPr>
        <w:t>3</w:t>
      </w:r>
      <w:r>
        <w:rPr>
          <w:rFonts w:ascii="宋体" w:hAnsi="宋体"/>
          <w:color w:val="auto"/>
          <w:sz w:val="24"/>
          <w:highlight w:val="none"/>
        </w:rPr>
        <w:t>、供热及供冷为</w:t>
      </w:r>
      <w:r>
        <w:rPr>
          <w:rFonts w:ascii="宋体" w:hAnsi="宋体"/>
          <w:color w:val="auto"/>
          <w:sz w:val="24"/>
          <w:highlight w:val="none"/>
          <w:u w:val="single"/>
        </w:rPr>
        <w:t xml:space="preserve"> </w:t>
      </w:r>
      <w:r>
        <w:rPr>
          <w:rFonts w:hint="eastAsia" w:ascii="宋体" w:hAnsi="宋体"/>
          <w:color w:val="auto"/>
          <w:sz w:val="24"/>
          <w:highlight w:val="none"/>
          <w:u w:val="single"/>
        </w:rPr>
        <w:t>2</w:t>
      </w:r>
      <w:r>
        <w:rPr>
          <w:rFonts w:ascii="宋体" w:hAnsi="宋体"/>
          <w:color w:val="auto"/>
          <w:sz w:val="24"/>
          <w:highlight w:val="none"/>
          <w:u w:val="single"/>
        </w:rPr>
        <w:t xml:space="preserve"> </w:t>
      </w:r>
      <w:r>
        <w:rPr>
          <w:rFonts w:hint="eastAsia" w:ascii="宋体" w:hAnsi="宋体"/>
          <w:color w:val="auto"/>
          <w:sz w:val="24"/>
          <w:highlight w:val="none"/>
        </w:rPr>
        <w:t>个采暖期及供冷期；</w:t>
      </w:r>
    </w:p>
    <w:p>
      <w:pPr>
        <w:snapToGrid w:val="0"/>
        <w:spacing w:line="440" w:lineRule="exact"/>
        <w:ind w:firstLine="578" w:firstLineChars="241"/>
        <w:rPr>
          <w:rFonts w:ascii="宋体" w:hAnsi="宋体"/>
          <w:color w:val="auto"/>
          <w:sz w:val="24"/>
          <w:highlight w:val="none"/>
        </w:rPr>
      </w:pPr>
      <w:r>
        <w:rPr>
          <w:rFonts w:hint="eastAsia" w:ascii="宋体" w:hAnsi="宋体"/>
          <w:color w:val="auto"/>
          <w:sz w:val="24"/>
          <w:highlight w:val="none"/>
        </w:rPr>
        <w:t>4</w:t>
      </w:r>
      <w:r>
        <w:rPr>
          <w:rFonts w:ascii="宋体" w:hAnsi="宋体"/>
          <w:color w:val="auto"/>
          <w:sz w:val="24"/>
          <w:highlight w:val="none"/>
        </w:rPr>
        <w:t>、室外的上下水和小区道路等市政公用工程为</w:t>
      </w:r>
      <w:r>
        <w:rPr>
          <w:rFonts w:ascii="宋体" w:hAnsi="宋体"/>
          <w:color w:val="auto"/>
          <w:sz w:val="24"/>
          <w:highlight w:val="none"/>
          <w:u w:val="single"/>
        </w:rPr>
        <w:t xml:space="preserve">       </w:t>
      </w:r>
      <w:r>
        <w:rPr>
          <w:rFonts w:hint="eastAsia" w:ascii="宋体" w:hAnsi="宋体"/>
          <w:color w:val="auto"/>
          <w:sz w:val="24"/>
          <w:highlight w:val="none"/>
        </w:rPr>
        <w:t>年；</w:t>
      </w:r>
    </w:p>
    <w:p>
      <w:pPr>
        <w:snapToGrid w:val="0"/>
        <w:spacing w:line="440" w:lineRule="exact"/>
        <w:ind w:firstLine="578" w:firstLineChars="241"/>
        <w:rPr>
          <w:rFonts w:ascii="宋体" w:hAnsi="宋体"/>
          <w:color w:val="auto"/>
          <w:sz w:val="24"/>
          <w:highlight w:val="none"/>
          <w:u w:val="single"/>
        </w:rPr>
      </w:pPr>
      <w:r>
        <w:rPr>
          <w:rFonts w:hint="eastAsia" w:ascii="宋体" w:hAnsi="宋体"/>
          <w:color w:val="auto"/>
          <w:sz w:val="24"/>
          <w:highlight w:val="none"/>
        </w:rPr>
        <w:t>5</w:t>
      </w:r>
      <w:r>
        <w:rPr>
          <w:rFonts w:ascii="宋体" w:hAnsi="宋体"/>
          <w:color w:val="auto"/>
          <w:sz w:val="24"/>
          <w:highlight w:val="none"/>
        </w:rPr>
        <w:t>、市政道</w:t>
      </w:r>
      <w:r>
        <w:rPr>
          <w:rFonts w:hint="eastAsia" w:ascii="宋体" w:hAnsi="宋体"/>
          <w:color w:val="auto"/>
          <w:sz w:val="24"/>
          <w:highlight w:val="none"/>
        </w:rPr>
        <w:t>路</w:t>
      </w:r>
      <w:r>
        <w:rPr>
          <w:rFonts w:ascii="宋体" w:hAnsi="宋体"/>
          <w:color w:val="auto"/>
          <w:sz w:val="24"/>
          <w:highlight w:val="none"/>
        </w:rPr>
        <w:t>排水工程为</w:t>
      </w:r>
      <w:r>
        <w:rPr>
          <w:rFonts w:ascii="宋体" w:hAnsi="宋体"/>
          <w:color w:val="auto"/>
          <w:sz w:val="24"/>
          <w:highlight w:val="none"/>
          <w:u w:val="single"/>
        </w:rPr>
        <w:t xml:space="preserve"> 2 </w:t>
      </w:r>
      <w:r>
        <w:rPr>
          <w:rFonts w:hint="eastAsia" w:ascii="宋体" w:hAnsi="宋体"/>
          <w:color w:val="auto"/>
          <w:sz w:val="24"/>
          <w:highlight w:val="none"/>
        </w:rPr>
        <w:t>年，市政供水工程为</w:t>
      </w:r>
      <w:r>
        <w:rPr>
          <w:rFonts w:ascii="宋体" w:hAnsi="宋体"/>
          <w:color w:val="auto"/>
          <w:sz w:val="24"/>
          <w:highlight w:val="none"/>
          <w:u w:val="single"/>
        </w:rPr>
        <w:t xml:space="preserve"> 2 </w:t>
      </w:r>
      <w:r>
        <w:rPr>
          <w:rFonts w:hint="eastAsia" w:ascii="宋体" w:hAnsi="宋体"/>
          <w:color w:val="auto"/>
          <w:sz w:val="24"/>
          <w:highlight w:val="none"/>
        </w:rPr>
        <w:t>年；</w:t>
      </w:r>
    </w:p>
    <w:p>
      <w:pPr>
        <w:snapToGrid w:val="0"/>
        <w:spacing w:line="440" w:lineRule="exact"/>
        <w:ind w:firstLine="578" w:firstLineChars="241"/>
        <w:rPr>
          <w:rFonts w:ascii="宋体" w:hAnsi="宋体"/>
          <w:color w:val="auto"/>
          <w:sz w:val="24"/>
          <w:highlight w:val="none"/>
        </w:rPr>
      </w:pPr>
      <w:r>
        <w:rPr>
          <w:rFonts w:hint="eastAsia" w:ascii="宋体" w:hAnsi="宋体"/>
          <w:color w:val="auto"/>
          <w:sz w:val="24"/>
          <w:highlight w:val="none"/>
        </w:rPr>
        <w:t>6、市政供电工程为</w:t>
      </w:r>
      <w:r>
        <w:rPr>
          <w:rFonts w:ascii="宋体" w:hAnsi="宋体"/>
          <w:color w:val="auto"/>
          <w:sz w:val="24"/>
          <w:highlight w:val="none"/>
          <w:u w:val="single"/>
        </w:rPr>
        <w:t xml:space="preserve"> 2 </w:t>
      </w:r>
      <w:r>
        <w:rPr>
          <w:rFonts w:hint="eastAsia" w:ascii="宋体" w:hAnsi="宋体"/>
          <w:color w:val="auto"/>
          <w:sz w:val="24"/>
          <w:highlight w:val="none"/>
        </w:rPr>
        <w:t>年，市政道路照明工程</w:t>
      </w:r>
      <w:r>
        <w:rPr>
          <w:rFonts w:ascii="宋体" w:hAnsi="宋体"/>
          <w:color w:val="auto"/>
          <w:sz w:val="24"/>
          <w:highlight w:val="none"/>
          <w:u w:val="single"/>
        </w:rPr>
        <w:t xml:space="preserve"> 2 </w:t>
      </w:r>
      <w:r>
        <w:rPr>
          <w:rFonts w:hint="eastAsia" w:ascii="宋体" w:hAnsi="宋体"/>
          <w:color w:val="auto"/>
          <w:sz w:val="24"/>
          <w:highlight w:val="none"/>
        </w:rPr>
        <w:t>年，市政交通设施工程为</w:t>
      </w:r>
      <w:r>
        <w:rPr>
          <w:rFonts w:ascii="宋体" w:hAnsi="宋体"/>
          <w:color w:val="auto"/>
          <w:sz w:val="24"/>
          <w:highlight w:val="none"/>
          <w:u w:val="single"/>
        </w:rPr>
        <w:t xml:space="preserve">   </w:t>
      </w:r>
      <w:r>
        <w:rPr>
          <w:rFonts w:hint="eastAsia" w:ascii="宋体" w:hAnsi="宋体"/>
          <w:color w:val="auto"/>
          <w:sz w:val="24"/>
          <w:highlight w:val="none"/>
        </w:rPr>
        <w:t>年。</w:t>
      </w:r>
    </w:p>
    <w:p>
      <w:pPr>
        <w:snapToGrid w:val="0"/>
        <w:spacing w:line="440" w:lineRule="exact"/>
        <w:ind w:firstLine="578" w:firstLineChars="241"/>
        <w:rPr>
          <w:rFonts w:ascii="宋体" w:hAnsi="宋体"/>
          <w:color w:val="auto"/>
          <w:sz w:val="24"/>
          <w:highlight w:val="none"/>
        </w:rPr>
      </w:pPr>
      <w:r>
        <w:rPr>
          <w:rFonts w:hint="eastAsia" w:ascii="宋体" w:hAnsi="宋体"/>
          <w:color w:val="auto"/>
          <w:sz w:val="24"/>
          <w:highlight w:val="none"/>
        </w:rPr>
        <w:t>7、园林建筑工程为</w:t>
      </w:r>
      <w:r>
        <w:rPr>
          <w:rFonts w:ascii="宋体" w:hAnsi="宋体"/>
          <w:color w:val="auto"/>
          <w:sz w:val="24"/>
          <w:highlight w:val="none"/>
          <w:u w:val="single"/>
        </w:rPr>
        <w:t xml:space="preserve"> 1 </w:t>
      </w:r>
      <w:r>
        <w:rPr>
          <w:rFonts w:hint="eastAsia" w:ascii="宋体" w:hAnsi="宋体"/>
          <w:color w:val="auto"/>
          <w:sz w:val="24"/>
          <w:highlight w:val="none"/>
        </w:rPr>
        <w:t>年，喷淋工程为</w:t>
      </w:r>
      <w:r>
        <w:rPr>
          <w:rFonts w:ascii="宋体" w:hAnsi="宋体"/>
          <w:color w:val="auto"/>
          <w:sz w:val="24"/>
          <w:highlight w:val="none"/>
          <w:u w:val="single"/>
        </w:rPr>
        <w:t xml:space="preserve"> 2</w:t>
      </w:r>
      <w:r>
        <w:rPr>
          <w:rFonts w:hint="eastAsia" w:ascii="宋体" w:hAnsi="宋体"/>
          <w:color w:val="auto"/>
          <w:sz w:val="24"/>
          <w:highlight w:val="none"/>
          <w:u w:val="single"/>
        </w:rPr>
        <w:t xml:space="preserve"> </w:t>
      </w:r>
      <w:r>
        <w:rPr>
          <w:rFonts w:hint="eastAsia" w:ascii="宋体" w:hAnsi="宋体"/>
          <w:color w:val="auto"/>
          <w:sz w:val="24"/>
          <w:highlight w:val="none"/>
        </w:rPr>
        <w:t>年，胸径</w:t>
      </w:r>
      <w:r>
        <w:rPr>
          <w:rFonts w:ascii="宋体" w:hAnsi="宋体"/>
          <w:color w:val="auto"/>
          <w:sz w:val="24"/>
          <w:highlight w:val="none"/>
        </w:rPr>
        <w:t>15cm</w:t>
      </w:r>
      <w:r>
        <w:rPr>
          <w:rFonts w:hint="eastAsia" w:ascii="宋体" w:hAnsi="宋体"/>
          <w:color w:val="auto"/>
          <w:sz w:val="24"/>
          <w:highlight w:val="none"/>
        </w:rPr>
        <w:t>以内（含</w:t>
      </w:r>
      <w:r>
        <w:rPr>
          <w:rFonts w:ascii="宋体" w:hAnsi="宋体"/>
          <w:color w:val="auto"/>
          <w:sz w:val="24"/>
          <w:highlight w:val="none"/>
        </w:rPr>
        <w:t>15cm</w:t>
      </w:r>
      <w:r>
        <w:rPr>
          <w:rFonts w:hint="eastAsia" w:ascii="宋体" w:hAnsi="宋体"/>
          <w:color w:val="auto"/>
          <w:sz w:val="24"/>
          <w:highlight w:val="none"/>
        </w:rPr>
        <w:t>）的苗木养护期为</w:t>
      </w:r>
      <w:r>
        <w:rPr>
          <w:rFonts w:ascii="宋体" w:hAnsi="宋体"/>
          <w:color w:val="auto"/>
          <w:sz w:val="24"/>
          <w:highlight w:val="none"/>
          <w:u w:val="single"/>
        </w:rPr>
        <w:t xml:space="preserve"> 3</w:t>
      </w:r>
      <w:r>
        <w:rPr>
          <w:rFonts w:hint="eastAsia" w:ascii="宋体" w:hAnsi="宋体"/>
          <w:color w:val="auto"/>
          <w:sz w:val="24"/>
          <w:highlight w:val="none"/>
          <w:u w:val="single"/>
        </w:rPr>
        <w:t xml:space="preserve"> </w:t>
      </w:r>
      <w:r>
        <w:rPr>
          <w:rFonts w:hint="eastAsia" w:ascii="宋体" w:hAnsi="宋体"/>
          <w:color w:val="auto"/>
          <w:sz w:val="24"/>
          <w:highlight w:val="none"/>
        </w:rPr>
        <w:t>个月，胸径</w:t>
      </w:r>
      <w:r>
        <w:rPr>
          <w:rFonts w:ascii="宋体" w:hAnsi="宋体"/>
          <w:color w:val="auto"/>
          <w:sz w:val="24"/>
          <w:highlight w:val="none"/>
        </w:rPr>
        <w:t>15cm</w:t>
      </w:r>
      <w:r>
        <w:rPr>
          <w:rFonts w:hint="eastAsia" w:ascii="宋体" w:hAnsi="宋体"/>
          <w:color w:val="auto"/>
          <w:sz w:val="24"/>
          <w:highlight w:val="none"/>
        </w:rPr>
        <w:t>以上的苗木养护期为</w:t>
      </w:r>
      <w:r>
        <w:rPr>
          <w:rFonts w:ascii="宋体" w:hAnsi="宋体"/>
          <w:color w:val="auto"/>
          <w:sz w:val="24"/>
          <w:highlight w:val="none"/>
          <w:u w:val="single"/>
        </w:rPr>
        <w:t xml:space="preserve"> 1</w:t>
      </w:r>
      <w:r>
        <w:rPr>
          <w:rFonts w:hint="eastAsia" w:ascii="宋体" w:hAnsi="宋体"/>
          <w:color w:val="auto"/>
          <w:sz w:val="24"/>
          <w:highlight w:val="none"/>
          <w:u w:val="single"/>
        </w:rPr>
        <w:t xml:space="preserve"> </w:t>
      </w:r>
      <w:r>
        <w:rPr>
          <w:rFonts w:hint="eastAsia" w:ascii="宋体" w:hAnsi="宋体"/>
          <w:color w:val="auto"/>
          <w:sz w:val="24"/>
          <w:highlight w:val="none"/>
        </w:rPr>
        <w:t>年。</w:t>
      </w:r>
    </w:p>
    <w:p>
      <w:pPr>
        <w:snapToGrid w:val="0"/>
        <w:spacing w:line="440" w:lineRule="exact"/>
        <w:ind w:firstLine="578" w:firstLineChars="241"/>
        <w:rPr>
          <w:rFonts w:ascii="宋体" w:hAnsi="宋体"/>
          <w:color w:val="auto"/>
          <w:sz w:val="24"/>
          <w:highlight w:val="none"/>
        </w:rPr>
      </w:pPr>
      <w:r>
        <w:rPr>
          <w:rFonts w:hint="eastAsia" w:ascii="宋体" w:hAnsi="宋体"/>
          <w:color w:val="auto"/>
          <w:sz w:val="24"/>
          <w:highlight w:val="none"/>
        </w:rPr>
        <w:t>8、其他约定：</w:t>
      </w:r>
      <w:r>
        <w:rPr>
          <w:rFonts w:hint="eastAsia" w:ascii="宋体" w:hAnsi="宋体"/>
          <w:color w:val="auto"/>
          <w:sz w:val="24"/>
          <w:highlight w:val="none"/>
          <w:u w:val="single"/>
        </w:rPr>
        <w:t>按相关规定执行</w:t>
      </w:r>
      <w:r>
        <w:rPr>
          <w:rFonts w:hint="eastAsia" w:ascii="宋体" w:hAnsi="宋体"/>
          <w:color w:val="auto"/>
          <w:sz w:val="24"/>
          <w:highlight w:val="none"/>
        </w:rPr>
        <w:t>。</w:t>
      </w:r>
    </w:p>
    <w:p>
      <w:pPr>
        <w:numPr>
          <w:ilvl w:val="0"/>
          <w:numId w:val="6"/>
        </w:numPr>
        <w:tabs>
          <w:tab w:val="left" w:pos="1120"/>
        </w:tabs>
        <w:snapToGrid w:val="0"/>
        <w:spacing w:line="440" w:lineRule="exact"/>
        <w:ind w:hanging="420"/>
        <w:rPr>
          <w:rFonts w:ascii="宋体" w:hAnsi="宋体"/>
          <w:b/>
          <w:color w:val="auto"/>
          <w:sz w:val="24"/>
          <w:highlight w:val="none"/>
        </w:rPr>
      </w:pPr>
      <w:r>
        <w:rPr>
          <w:rFonts w:hint="eastAsia" w:ascii="宋体" w:hAnsi="宋体"/>
          <w:b/>
          <w:color w:val="auto"/>
          <w:sz w:val="24"/>
          <w:highlight w:val="none"/>
        </w:rPr>
        <w:t>质量保修责任</w:t>
      </w:r>
    </w:p>
    <w:p>
      <w:pPr>
        <w:tabs>
          <w:tab w:val="left" w:pos="980"/>
        </w:tabs>
        <w:snapToGrid w:val="0"/>
        <w:spacing w:line="440" w:lineRule="exact"/>
        <w:ind w:firstLine="480" w:firstLineChars="200"/>
        <w:rPr>
          <w:rFonts w:ascii="宋体" w:hAnsi="宋体"/>
          <w:color w:val="auto"/>
          <w:sz w:val="24"/>
          <w:highlight w:val="none"/>
        </w:rPr>
      </w:pPr>
      <w:r>
        <w:rPr>
          <w:rFonts w:ascii="宋体" w:hAnsi="宋体"/>
          <w:bCs/>
          <w:color w:val="auto"/>
          <w:sz w:val="24"/>
          <w:highlight w:val="none"/>
        </w:rPr>
        <w:t>1、</w:t>
      </w:r>
      <w:r>
        <w:rPr>
          <w:rFonts w:hint="eastAsia" w:ascii="宋体" w:hAnsi="宋体"/>
          <w:color w:val="auto"/>
          <w:sz w:val="24"/>
          <w:highlight w:val="none"/>
        </w:rPr>
        <w:t>属于保修范围的内容项目，承包人应在接到修理通知之日后七天内派人员修理。承包人不在约定期内派人修理，发包人可委托其他人员修理，修理费用从质量保修金内扣除。</w:t>
      </w:r>
    </w:p>
    <w:p>
      <w:pPr>
        <w:tabs>
          <w:tab w:val="left" w:pos="980"/>
        </w:tabs>
        <w:snapToGrid w:val="0"/>
        <w:spacing w:line="440" w:lineRule="exact"/>
        <w:ind w:firstLine="480" w:firstLineChars="200"/>
        <w:rPr>
          <w:rFonts w:ascii="宋体" w:hAnsi="宋体"/>
          <w:color w:val="auto"/>
          <w:sz w:val="24"/>
          <w:highlight w:val="none"/>
        </w:rPr>
      </w:pPr>
      <w:r>
        <w:rPr>
          <w:rFonts w:ascii="宋体" w:hAnsi="宋体"/>
          <w:color w:val="auto"/>
          <w:sz w:val="24"/>
          <w:highlight w:val="none"/>
        </w:rPr>
        <w:t>2、发生须紧急抢修事故（如给水管道破裂，排水管道严重堵塞，构造物破坏、损坏，路面严重坍塌等），承包人接到事故通知后，应立即到达事故现场抢修。非承包人施工质量引起的事故，抢修费用由发包人承担。</w:t>
      </w:r>
    </w:p>
    <w:p>
      <w:pPr>
        <w:tabs>
          <w:tab w:val="left" w:pos="980"/>
        </w:tabs>
        <w:snapToGrid w:val="0"/>
        <w:spacing w:line="440" w:lineRule="exact"/>
        <w:ind w:firstLine="480" w:firstLineChars="200"/>
        <w:rPr>
          <w:rFonts w:ascii="宋体" w:hAnsi="宋体"/>
          <w:color w:val="auto"/>
          <w:sz w:val="24"/>
          <w:highlight w:val="none"/>
        </w:rPr>
      </w:pPr>
      <w:r>
        <w:rPr>
          <w:rFonts w:ascii="宋体" w:hAnsi="宋体"/>
          <w:color w:val="auto"/>
          <w:sz w:val="24"/>
          <w:highlight w:val="none"/>
        </w:rPr>
        <w:t>3、国家规定的土木、土建、市政工程合理使用期限内，承包人确保主体工程和桥涵构造物的质量和安全。因承包人原因致使工程在合理使用期限内因质量或安全方面的缺陷造成人身和财产损害的，承包人应承担损害赔偿责任。</w:t>
      </w:r>
    </w:p>
    <w:p>
      <w:pPr>
        <w:numPr>
          <w:ilvl w:val="0"/>
          <w:numId w:val="6"/>
        </w:numPr>
        <w:tabs>
          <w:tab w:val="left" w:pos="1120"/>
        </w:tabs>
        <w:snapToGrid w:val="0"/>
        <w:spacing w:line="440" w:lineRule="exact"/>
        <w:ind w:hanging="420"/>
        <w:rPr>
          <w:rFonts w:ascii="宋体" w:hAnsi="宋体"/>
          <w:b/>
          <w:bCs/>
          <w:color w:val="auto"/>
          <w:sz w:val="24"/>
          <w:highlight w:val="none"/>
        </w:rPr>
      </w:pPr>
      <w:r>
        <w:rPr>
          <w:rFonts w:hint="eastAsia" w:ascii="宋体" w:hAnsi="宋体"/>
          <w:b/>
          <w:bCs/>
          <w:color w:val="auto"/>
          <w:sz w:val="24"/>
          <w:highlight w:val="none"/>
        </w:rPr>
        <w:t>质量保修金的支付</w:t>
      </w:r>
    </w:p>
    <w:p>
      <w:pPr>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本工程约定的工程质量保修金为施工合同结算总价款的</w:t>
      </w:r>
      <w:r>
        <w:rPr>
          <w:rFonts w:hint="eastAsia" w:ascii="宋体" w:hAnsi="宋体"/>
          <w:color w:val="auto"/>
          <w:sz w:val="24"/>
          <w:highlight w:val="none"/>
          <w:u w:val="single"/>
        </w:rPr>
        <w:t>3</w:t>
      </w:r>
      <w:r>
        <w:rPr>
          <w:rFonts w:ascii="宋体" w:hAnsi="宋体"/>
          <w:color w:val="auto"/>
          <w:sz w:val="24"/>
          <w:highlight w:val="none"/>
        </w:rPr>
        <w:t>%。</w:t>
      </w:r>
    </w:p>
    <w:p>
      <w:pPr>
        <w:snapToGrid w:val="0"/>
        <w:spacing w:line="440" w:lineRule="exact"/>
        <w:ind w:firstLine="520" w:firstLineChars="250"/>
        <w:rPr>
          <w:rFonts w:ascii="宋体" w:hAnsi="宋体"/>
          <w:color w:val="auto"/>
          <w:spacing w:val="-32"/>
          <w:sz w:val="24"/>
          <w:highlight w:val="none"/>
        </w:rPr>
      </w:pPr>
      <w:r>
        <w:rPr>
          <w:rFonts w:hint="eastAsia" w:ascii="宋体" w:hAnsi="宋体"/>
          <w:color w:val="auto"/>
          <w:spacing w:val="-16"/>
          <w:sz w:val="24"/>
          <w:highlight w:val="none"/>
        </w:rPr>
        <w:t>本工程双方约定工程质量保修金金额为</w:t>
      </w:r>
      <w:r>
        <w:rPr>
          <w:rFonts w:ascii="宋体" w:hAnsi="宋体"/>
          <w:color w:val="auto"/>
          <w:sz w:val="24"/>
          <w:highlight w:val="none"/>
          <w:u w:val="single"/>
        </w:rPr>
        <w:t xml:space="preserve">(大写)    /      </w:t>
      </w:r>
      <w:r>
        <w:rPr>
          <w:rFonts w:hint="eastAsia" w:ascii="宋体" w:hAnsi="宋体"/>
          <w:color w:val="auto"/>
          <w:spacing w:val="-32"/>
          <w:sz w:val="24"/>
          <w:highlight w:val="none"/>
        </w:rPr>
        <w:t>。</w:t>
      </w:r>
    </w:p>
    <w:p>
      <w:pPr>
        <w:snapToGrid w:val="0"/>
        <w:spacing w:line="440" w:lineRule="exact"/>
        <w:ind w:firstLine="480" w:firstLineChars="200"/>
        <w:rPr>
          <w:rFonts w:ascii="宋体" w:hAnsi="宋体"/>
          <w:bCs/>
          <w:color w:val="auto"/>
          <w:sz w:val="24"/>
          <w:highlight w:val="none"/>
        </w:rPr>
      </w:pPr>
      <w:r>
        <w:rPr>
          <w:rFonts w:hint="eastAsia" w:ascii="宋体" w:hAnsi="宋体"/>
          <w:color w:val="auto"/>
          <w:sz w:val="24"/>
          <w:highlight w:val="none"/>
        </w:rPr>
        <w:t>质量保修金银行利率为</w:t>
      </w:r>
      <w:r>
        <w:rPr>
          <w:rFonts w:ascii="宋体" w:hAnsi="宋体"/>
          <w:color w:val="auto"/>
          <w:sz w:val="24"/>
          <w:highlight w:val="none"/>
          <w:u w:val="single"/>
        </w:rPr>
        <w:t xml:space="preserve">      /     </w:t>
      </w:r>
      <w:r>
        <w:rPr>
          <w:rFonts w:ascii="宋体" w:hAnsi="宋体"/>
          <w:color w:val="auto"/>
          <w:sz w:val="24"/>
          <w:highlight w:val="none"/>
        </w:rPr>
        <w:t>。</w:t>
      </w:r>
    </w:p>
    <w:p>
      <w:pPr>
        <w:numPr>
          <w:ilvl w:val="0"/>
          <w:numId w:val="6"/>
        </w:numPr>
        <w:tabs>
          <w:tab w:val="left" w:pos="1120"/>
        </w:tabs>
        <w:snapToGrid w:val="0"/>
        <w:spacing w:line="440" w:lineRule="exact"/>
        <w:ind w:hanging="420"/>
        <w:rPr>
          <w:rFonts w:ascii="宋体" w:hAnsi="宋体"/>
          <w:b/>
          <w:color w:val="auto"/>
          <w:sz w:val="24"/>
          <w:highlight w:val="none"/>
        </w:rPr>
      </w:pPr>
      <w:r>
        <w:rPr>
          <w:rFonts w:hint="eastAsia" w:ascii="宋体" w:hAnsi="宋体"/>
          <w:b/>
          <w:color w:val="auto"/>
          <w:sz w:val="24"/>
          <w:highlight w:val="none"/>
        </w:rPr>
        <w:t>其他</w:t>
      </w:r>
    </w:p>
    <w:p>
      <w:pPr>
        <w:tabs>
          <w:tab w:val="left" w:pos="980"/>
        </w:tabs>
        <w:spacing w:line="440" w:lineRule="exact"/>
        <w:ind w:firstLine="480" w:firstLineChars="200"/>
        <w:rPr>
          <w:rFonts w:ascii="宋体" w:hAnsi="宋体"/>
          <w:color w:val="auto"/>
          <w:sz w:val="24"/>
          <w:highlight w:val="none"/>
          <w:u w:val="single"/>
        </w:rPr>
      </w:pPr>
      <w:r>
        <w:rPr>
          <w:rFonts w:hint="eastAsia" w:ascii="宋体" w:hAnsi="宋体"/>
          <w:color w:val="auto"/>
          <w:sz w:val="24"/>
          <w:highlight w:val="none"/>
        </w:rPr>
        <w:t>双方约定的其他工程质量保修事项：</w:t>
      </w:r>
      <w:r>
        <w:rPr>
          <w:rFonts w:hint="eastAsia" w:ascii="宋体" w:hAnsi="宋体"/>
          <w:color w:val="auto"/>
          <w:sz w:val="24"/>
          <w:highlight w:val="none"/>
          <w:u w:val="single"/>
        </w:rPr>
        <w:t>保留经广州开发区财政局核定的结算总造价的3</w:t>
      </w:r>
      <w:r>
        <w:rPr>
          <w:rFonts w:ascii="宋体" w:hAnsi="宋体"/>
          <w:color w:val="auto"/>
          <w:sz w:val="24"/>
          <w:highlight w:val="none"/>
          <w:u w:val="single"/>
        </w:rPr>
        <w:t>%作为保修金，在</w:t>
      </w:r>
      <w:r>
        <w:rPr>
          <w:rFonts w:hint="eastAsia" w:ascii="宋体" w:hAnsi="宋体"/>
          <w:color w:val="auto"/>
          <w:sz w:val="24"/>
          <w:highlight w:val="none"/>
          <w:u w:val="single"/>
        </w:rPr>
        <w:t>质量缺陷责任</w:t>
      </w:r>
      <w:r>
        <w:rPr>
          <w:rFonts w:ascii="宋体" w:hAnsi="宋体"/>
          <w:color w:val="auto"/>
          <w:sz w:val="24"/>
          <w:highlight w:val="none"/>
          <w:u w:val="single"/>
        </w:rPr>
        <w:t>期满后结清（不计利息）。</w:t>
      </w:r>
    </w:p>
    <w:p>
      <w:pPr>
        <w:tabs>
          <w:tab w:val="left" w:pos="980"/>
        </w:tabs>
        <w:spacing w:line="440" w:lineRule="exact"/>
        <w:ind w:firstLine="480" w:firstLineChars="200"/>
        <w:rPr>
          <w:rFonts w:ascii="宋体" w:hAnsi="宋体"/>
          <w:color w:val="auto"/>
          <w:sz w:val="24"/>
          <w:highlight w:val="none"/>
        </w:rPr>
      </w:pPr>
      <w:r>
        <w:rPr>
          <w:rFonts w:hint="eastAsia" w:ascii="宋体" w:hAnsi="宋体"/>
          <w:color w:val="auto"/>
          <w:sz w:val="24"/>
          <w:highlight w:val="none"/>
        </w:rPr>
        <w:t>本工程质量保修责任书作为施工合同附件，由施工合同发包人与承包人双方共同签署。</w:t>
      </w:r>
    </w:p>
    <w:p>
      <w:pPr>
        <w:pStyle w:val="49"/>
        <w:spacing w:line="440" w:lineRule="exact"/>
        <w:ind w:firstLine="0"/>
        <w:jc w:val="left"/>
        <w:rPr>
          <w:rFonts w:ascii="宋体" w:hAnsi="宋体"/>
          <w:color w:val="auto"/>
          <w:szCs w:val="24"/>
          <w:highlight w:val="none"/>
        </w:rPr>
      </w:pPr>
    </w:p>
    <w:p>
      <w:pPr>
        <w:pStyle w:val="49"/>
        <w:spacing w:line="440" w:lineRule="exact"/>
        <w:ind w:firstLine="0"/>
        <w:jc w:val="left"/>
        <w:rPr>
          <w:rFonts w:ascii="宋体" w:hAnsi="宋体"/>
          <w:color w:val="auto"/>
          <w:szCs w:val="24"/>
          <w:highlight w:val="none"/>
        </w:rPr>
      </w:pPr>
    </w:p>
    <w:p>
      <w:pPr>
        <w:pStyle w:val="49"/>
        <w:spacing w:line="440" w:lineRule="exact"/>
        <w:ind w:firstLine="0"/>
        <w:jc w:val="left"/>
        <w:rPr>
          <w:rFonts w:ascii="宋体" w:hAnsi="宋体"/>
          <w:color w:val="auto"/>
          <w:szCs w:val="24"/>
          <w:highlight w:val="none"/>
        </w:rPr>
      </w:pPr>
    </w:p>
    <w:p>
      <w:pPr>
        <w:pStyle w:val="49"/>
        <w:spacing w:line="440" w:lineRule="exact"/>
        <w:ind w:firstLine="0"/>
        <w:jc w:val="left"/>
        <w:rPr>
          <w:rFonts w:ascii="宋体" w:hAnsi="宋体"/>
          <w:color w:val="auto"/>
          <w:szCs w:val="24"/>
          <w:highlight w:val="none"/>
        </w:rPr>
      </w:pPr>
    </w:p>
    <w:p>
      <w:pPr>
        <w:pStyle w:val="49"/>
        <w:spacing w:line="440" w:lineRule="exact"/>
        <w:ind w:firstLine="0"/>
        <w:jc w:val="left"/>
        <w:rPr>
          <w:rFonts w:ascii="宋体" w:hAnsi="宋体"/>
          <w:color w:val="auto"/>
          <w:szCs w:val="24"/>
          <w:highlight w:val="none"/>
        </w:rPr>
      </w:pPr>
    </w:p>
    <w:p>
      <w:pPr>
        <w:pStyle w:val="49"/>
        <w:spacing w:line="440" w:lineRule="exact"/>
        <w:ind w:firstLine="397"/>
        <w:jc w:val="left"/>
        <w:rPr>
          <w:rFonts w:ascii="宋体" w:hAnsi="宋体"/>
          <w:color w:val="auto"/>
          <w:szCs w:val="24"/>
          <w:highlight w:val="none"/>
        </w:rPr>
      </w:pPr>
      <w:r>
        <w:rPr>
          <w:rFonts w:hint="eastAsia" w:ascii="宋体" w:hAnsi="宋体"/>
          <w:color w:val="auto"/>
          <w:szCs w:val="24"/>
          <w:highlight w:val="none"/>
        </w:rPr>
        <w:t>发包人（公章）：</w:t>
      </w:r>
      <w:r>
        <w:rPr>
          <w:rFonts w:ascii="宋体" w:hAnsi="宋体"/>
          <w:color w:val="auto"/>
          <w:szCs w:val="24"/>
          <w:highlight w:val="none"/>
        </w:rPr>
        <w:t xml:space="preserve">                       </w:t>
      </w:r>
      <w:r>
        <w:rPr>
          <w:rFonts w:hint="eastAsia" w:ascii="宋体" w:hAnsi="宋体"/>
          <w:color w:val="auto"/>
          <w:szCs w:val="24"/>
          <w:highlight w:val="none"/>
        </w:rPr>
        <w:t>承包人（公章）：</w:t>
      </w:r>
    </w:p>
    <w:p>
      <w:pPr>
        <w:pStyle w:val="49"/>
        <w:spacing w:line="440" w:lineRule="exact"/>
        <w:ind w:firstLine="397"/>
        <w:jc w:val="left"/>
        <w:rPr>
          <w:rFonts w:ascii="宋体" w:hAnsi="宋体"/>
          <w:color w:val="auto"/>
          <w:szCs w:val="24"/>
          <w:highlight w:val="none"/>
        </w:rPr>
      </w:pPr>
    </w:p>
    <w:p>
      <w:pPr>
        <w:pStyle w:val="49"/>
        <w:spacing w:line="440" w:lineRule="exact"/>
        <w:ind w:firstLine="397"/>
        <w:jc w:val="left"/>
        <w:rPr>
          <w:rFonts w:ascii="宋体" w:hAnsi="宋体"/>
          <w:color w:val="auto"/>
          <w:szCs w:val="24"/>
          <w:highlight w:val="none"/>
        </w:rPr>
      </w:pPr>
    </w:p>
    <w:p>
      <w:pPr>
        <w:pStyle w:val="49"/>
        <w:spacing w:line="440" w:lineRule="exact"/>
        <w:ind w:firstLine="397"/>
        <w:jc w:val="left"/>
        <w:rPr>
          <w:rFonts w:ascii="宋体" w:hAnsi="宋体"/>
          <w:color w:val="auto"/>
          <w:szCs w:val="24"/>
          <w:highlight w:val="none"/>
        </w:rPr>
      </w:pPr>
      <w:r>
        <w:rPr>
          <w:rFonts w:hint="eastAsia" w:ascii="宋体" w:hAnsi="宋体"/>
          <w:color w:val="auto"/>
          <w:szCs w:val="24"/>
          <w:highlight w:val="none"/>
        </w:rPr>
        <w:t>法定代表人：</w:t>
      </w:r>
      <w:r>
        <w:rPr>
          <w:rFonts w:ascii="宋体" w:hAnsi="宋体"/>
          <w:color w:val="auto"/>
          <w:szCs w:val="24"/>
          <w:highlight w:val="none"/>
        </w:rPr>
        <w:t xml:space="preserve">                          </w:t>
      </w:r>
      <w:r>
        <w:rPr>
          <w:rFonts w:hint="eastAsia" w:ascii="宋体" w:hAnsi="宋体"/>
          <w:color w:val="auto"/>
          <w:szCs w:val="24"/>
          <w:highlight w:val="none"/>
        </w:rPr>
        <w:t>法定代表人：</w:t>
      </w:r>
    </w:p>
    <w:p>
      <w:pPr>
        <w:pStyle w:val="49"/>
        <w:spacing w:line="440" w:lineRule="exact"/>
        <w:ind w:firstLine="397"/>
        <w:jc w:val="left"/>
        <w:rPr>
          <w:rFonts w:ascii="宋体" w:hAnsi="宋体"/>
          <w:color w:val="auto"/>
          <w:szCs w:val="24"/>
          <w:highlight w:val="none"/>
        </w:rPr>
      </w:pPr>
    </w:p>
    <w:p>
      <w:pPr>
        <w:pStyle w:val="49"/>
        <w:spacing w:line="440" w:lineRule="exact"/>
        <w:ind w:firstLine="397"/>
        <w:jc w:val="left"/>
        <w:rPr>
          <w:rFonts w:ascii="宋体" w:hAnsi="宋体"/>
          <w:color w:val="auto"/>
          <w:szCs w:val="24"/>
          <w:highlight w:val="none"/>
        </w:rPr>
      </w:pPr>
    </w:p>
    <w:p>
      <w:pPr>
        <w:pStyle w:val="49"/>
        <w:spacing w:line="440" w:lineRule="exact"/>
        <w:ind w:firstLine="397"/>
        <w:jc w:val="left"/>
        <w:rPr>
          <w:rFonts w:ascii="宋体" w:hAnsi="宋体"/>
          <w:color w:val="auto"/>
          <w:szCs w:val="24"/>
          <w:highlight w:val="none"/>
        </w:rPr>
      </w:pPr>
      <w:r>
        <w:rPr>
          <w:rFonts w:hint="eastAsia" w:ascii="宋体" w:hAnsi="宋体"/>
          <w:color w:val="auto"/>
          <w:szCs w:val="24"/>
          <w:highlight w:val="none"/>
        </w:rPr>
        <w:t>委托代理人：</w:t>
      </w:r>
      <w:r>
        <w:rPr>
          <w:rFonts w:ascii="宋体" w:hAnsi="宋体"/>
          <w:color w:val="auto"/>
          <w:szCs w:val="24"/>
          <w:highlight w:val="none"/>
        </w:rPr>
        <w:t xml:space="preserve">                          </w:t>
      </w:r>
      <w:r>
        <w:rPr>
          <w:rFonts w:hint="eastAsia" w:ascii="宋体" w:hAnsi="宋体"/>
          <w:color w:val="auto"/>
          <w:szCs w:val="24"/>
          <w:highlight w:val="none"/>
        </w:rPr>
        <w:t>委托代理人：</w:t>
      </w:r>
    </w:p>
    <w:p>
      <w:pPr>
        <w:pStyle w:val="49"/>
        <w:spacing w:line="440" w:lineRule="exact"/>
        <w:ind w:firstLine="397"/>
        <w:jc w:val="left"/>
        <w:rPr>
          <w:rFonts w:ascii="宋体" w:hAnsi="宋体"/>
          <w:color w:val="auto"/>
          <w:szCs w:val="24"/>
          <w:highlight w:val="none"/>
        </w:rPr>
      </w:pPr>
    </w:p>
    <w:p>
      <w:pPr>
        <w:pStyle w:val="49"/>
        <w:spacing w:line="440" w:lineRule="exact"/>
        <w:ind w:firstLine="397"/>
        <w:jc w:val="left"/>
        <w:rPr>
          <w:rFonts w:ascii="宋体" w:hAnsi="宋体"/>
          <w:color w:val="auto"/>
          <w:szCs w:val="24"/>
          <w:highlight w:val="none"/>
        </w:rPr>
      </w:pPr>
    </w:p>
    <w:p>
      <w:pPr>
        <w:pStyle w:val="49"/>
        <w:spacing w:line="440" w:lineRule="exact"/>
        <w:ind w:firstLine="397"/>
        <w:jc w:val="left"/>
        <w:rPr>
          <w:rFonts w:ascii="宋体" w:hAnsi="宋体"/>
          <w:color w:val="auto"/>
          <w:szCs w:val="24"/>
          <w:highlight w:val="none"/>
        </w:rPr>
      </w:pPr>
      <w:r>
        <w:rPr>
          <w:rFonts w:hint="eastAsia" w:ascii="宋体" w:hAnsi="宋体"/>
          <w:color w:val="auto"/>
          <w:szCs w:val="24"/>
          <w:highlight w:val="none"/>
        </w:rPr>
        <w:t>签订时间：</w:t>
      </w:r>
      <w:r>
        <w:rPr>
          <w:rFonts w:ascii="宋体" w:hAnsi="宋体"/>
          <w:color w:val="auto"/>
          <w:szCs w:val="24"/>
          <w:highlight w:val="none"/>
        </w:rPr>
        <w:t xml:space="preserve">   </w:t>
      </w:r>
      <w:r>
        <w:rPr>
          <w:rFonts w:hint="eastAsia" w:ascii="宋体" w:hAnsi="宋体"/>
          <w:color w:val="auto"/>
          <w:szCs w:val="24"/>
          <w:highlight w:val="none"/>
        </w:rPr>
        <w:t>年</w:t>
      </w:r>
      <w:r>
        <w:rPr>
          <w:rFonts w:ascii="宋体" w:hAnsi="宋体"/>
          <w:color w:val="auto"/>
          <w:szCs w:val="24"/>
          <w:highlight w:val="none"/>
        </w:rPr>
        <w:t xml:space="preserve">  </w:t>
      </w:r>
      <w:r>
        <w:rPr>
          <w:rFonts w:hint="eastAsia" w:ascii="宋体" w:hAnsi="宋体"/>
          <w:color w:val="auto"/>
          <w:szCs w:val="24"/>
          <w:highlight w:val="none"/>
        </w:rPr>
        <w:t>月</w:t>
      </w:r>
      <w:r>
        <w:rPr>
          <w:rFonts w:ascii="宋体" w:hAnsi="宋体"/>
          <w:color w:val="auto"/>
          <w:szCs w:val="24"/>
          <w:highlight w:val="none"/>
        </w:rPr>
        <w:t xml:space="preserve">    </w:t>
      </w:r>
      <w:r>
        <w:rPr>
          <w:rFonts w:hint="eastAsia" w:ascii="宋体" w:hAnsi="宋体"/>
          <w:color w:val="auto"/>
          <w:szCs w:val="24"/>
          <w:highlight w:val="none"/>
        </w:rPr>
        <w:t>日</w:t>
      </w:r>
    </w:p>
    <w:p>
      <w:pPr>
        <w:pStyle w:val="49"/>
        <w:spacing w:line="440" w:lineRule="exact"/>
        <w:ind w:firstLine="397"/>
        <w:jc w:val="left"/>
        <w:rPr>
          <w:rFonts w:ascii="宋体" w:hAnsi="宋体"/>
          <w:color w:val="auto"/>
          <w:szCs w:val="24"/>
          <w:highlight w:val="none"/>
        </w:rPr>
      </w:pPr>
    </w:p>
    <w:p>
      <w:pPr>
        <w:pStyle w:val="49"/>
        <w:spacing w:line="440" w:lineRule="exact"/>
        <w:ind w:firstLine="397"/>
        <w:jc w:val="left"/>
        <w:rPr>
          <w:rFonts w:ascii="宋体" w:hAnsi="宋体"/>
          <w:color w:val="auto"/>
          <w:szCs w:val="24"/>
          <w:highlight w:val="none"/>
        </w:rPr>
      </w:pPr>
    </w:p>
    <w:p>
      <w:pPr>
        <w:pStyle w:val="49"/>
        <w:spacing w:line="440" w:lineRule="exact"/>
        <w:ind w:firstLine="397"/>
        <w:jc w:val="left"/>
        <w:rPr>
          <w:rFonts w:ascii="宋体" w:hAnsi="宋体"/>
          <w:color w:val="auto"/>
          <w:szCs w:val="24"/>
          <w:highlight w:val="none"/>
        </w:rPr>
      </w:pPr>
    </w:p>
    <w:p>
      <w:pPr>
        <w:pStyle w:val="49"/>
        <w:spacing w:line="440" w:lineRule="exact"/>
        <w:ind w:firstLine="397"/>
        <w:jc w:val="left"/>
        <w:rPr>
          <w:rFonts w:ascii="宋体" w:hAnsi="宋体"/>
          <w:color w:val="auto"/>
          <w:szCs w:val="24"/>
          <w:highlight w:val="none"/>
        </w:rPr>
      </w:pPr>
    </w:p>
    <w:p>
      <w:pPr>
        <w:pStyle w:val="49"/>
        <w:spacing w:line="440" w:lineRule="exact"/>
        <w:ind w:firstLine="397"/>
        <w:jc w:val="left"/>
        <w:rPr>
          <w:rFonts w:ascii="宋体" w:hAnsi="宋体"/>
          <w:color w:val="auto"/>
          <w:szCs w:val="24"/>
          <w:highlight w:val="none"/>
        </w:rPr>
      </w:pPr>
    </w:p>
    <w:p>
      <w:pPr>
        <w:rPr>
          <w:rFonts w:ascii="宋体" w:hAnsi="宋体"/>
          <w:color w:val="auto"/>
          <w:szCs w:val="24"/>
          <w:highlight w:val="none"/>
        </w:rPr>
      </w:pPr>
      <w:r>
        <w:rPr>
          <w:rFonts w:ascii="宋体" w:hAnsi="宋体"/>
          <w:color w:val="auto"/>
          <w:szCs w:val="24"/>
          <w:highlight w:val="none"/>
        </w:rPr>
        <w:br w:type="page"/>
      </w:r>
    </w:p>
    <w:p>
      <w:pPr>
        <w:pStyle w:val="49"/>
        <w:spacing w:line="440" w:lineRule="exact"/>
        <w:ind w:firstLine="397"/>
        <w:jc w:val="left"/>
        <w:rPr>
          <w:rFonts w:ascii="宋体" w:hAnsi="宋体"/>
          <w:color w:val="auto"/>
          <w:szCs w:val="24"/>
          <w:highlight w:val="none"/>
        </w:rPr>
      </w:pPr>
    </w:p>
    <w:p>
      <w:pPr>
        <w:pStyle w:val="47"/>
        <w:adjustRightInd w:val="0"/>
        <w:snapToGrid w:val="0"/>
        <w:rPr>
          <w:rFonts w:ascii="宋体" w:hAnsi="宋体"/>
          <w:b/>
          <w:bCs/>
          <w:color w:val="auto"/>
          <w:sz w:val="28"/>
          <w:szCs w:val="28"/>
          <w:highlight w:val="none"/>
        </w:rPr>
      </w:pPr>
      <w:r>
        <w:rPr>
          <w:rFonts w:ascii="宋体" w:hAnsi="宋体" w:cs="宋体"/>
          <w:b/>
          <w:bCs/>
          <w:snapToGrid w:val="0"/>
          <w:color w:val="auto"/>
          <w:kern w:val="0"/>
          <w:sz w:val="28"/>
          <w:szCs w:val="28"/>
          <w:highlight w:val="none"/>
        </w:rPr>
        <w:t xml:space="preserve"> 附件：            </w:t>
      </w:r>
      <w:r>
        <w:rPr>
          <w:rFonts w:ascii="宋体" w:hAnsi="宋体" w:cs="宋体"/>
          <w:snapToGrid w:val="0"/>
          <w:color w:val="auto"/>
          <w:kern w:val="0"/>
          <w:sz w:val="28"/>
          <w:szCs w:val="28"/>
          <w:highlight w:val="none"/>
        </w:rPr>
        <w:t xml:space="preserve">  </w:t>
      </w:r>
      <w:r>
        <w:rPr>
          <w:rFonts w:hint="eastAsia" w:ascii="宋体" w:hAnsi="宋体" w:cs="宋体"/>
          <w:b/>
          <w:bCs/>
          <w:snapToGrid w:val="0"/>
          <w:color w:val="auto"/>
          <w:kern w:val="0"/>
          <w:sz w:val="28"/>
          <w:szCs w:val="28"/>
          <w:highlight w:val="none"/>
        </w:rPr>
        <w:t>工程建设项目廉政责任书</w:t>
      </w:r>
    </w:p>
    <w:p>
      <w:pPr>
        <w:pStyle w:val="48"/>
        <w:adjustRightInd w:val="0"/>
        <w:snapToGrid w:val="0"/>
        <w:spacing w:line="400" w:lineRule="exact"/>
        <w:ind w:firstLine="0"/>
        <w:rPr>
          <w:rFonts w:ascii="宋体" w:hAnsi="宋体"/>
          <w:snapToGrid w:val="0"/>
          <w:color w:val="auto"/>
          <w:kern w:val="0"/>
          <w:sz w:val="24"/>
          <w:highlight w:val="none"/>
        </w:rPr>
      </w:pPr>
    </w:p>
    <w:p>
      <w:pPr>
        <w:pStyle w:val="47"/>
        <w:adjustRightInd w:val="0"/>
        <w:snapToGrid w:val="0"/>
        <w:spacing w:line="400" w:lineRule="exact"/>
        <w:ind w:left="495" w:hanging="495"/>
        <w:rPr>
          <w:rFonts w:ascii="宋体" w:hAnsi="宋体"/>
          <w:color w:val="auto"/>
          <w:sz w:val="24"/>
          <w:highlight w:val="none"/>
          <w:u w:val="single"/>
        </w:rPr>
      </w:pPr>
      <w:r>
        <w:rPr>
          <w:rFonts w:hint="eastAsia" w:ascii="宋体" w:hAnsi="宋体"/>
          <w:color w:val="auto"/>
          <w:sz w:val="24"/>
          <w:highlight w:val="none"/>
        </w:rPr>
        <w:t>工程项目名称：</w:t>
      </w:r>
      <w:r>
        <w:rPr>
          <w:rFonts w:hint="eastAsia" w:ascii="宋体" w:hAnsi="宋体"/>
          <w:color w:val="auto"/>
          <w:sz w:val="24"/>
          <w:highlight w:val="none"/>
          <w:u w:val="single"/>
        </w:rPr>
        <w:t xml:space="preserve">                                </w:t>
      </w:r>
    </w:p>
    <w:p>
      <w:pPr>
        <w:pStyle w:val="47"/>
        <w:adjustRightInd w:val="0"/>
        <w:snapToGrid w:val="0"/>
        <w:spacing w:line="400" w:lineRule="exact"/>
        <w:ind w:left="495" w:hanging="495"/>
        <w:rPr>
          <w:rFonts w:ascii="宋体" w:hAnsi="宋体"/>
          <w:color w:val="auto"/>
          <w:sz w:val="24"/>
          <w:highlight w:val="none"/>
        </w:rPr>
      </w:pPr>
      <w:r>
        <w:rPr>
          <w:rFonts w:hint="eastAsia" w:ascii="宋体" w:hAnsi="宋体"/>
          <w:color w:val="auto"/>
          <w:sz w:val="24"/>
          <w:highlight w:val="none"/>
        </w:rPr>
        <w:t>工程项目地址：</w:t>
      </w:r>
      <w:r>
        <w:rPr>
          <w:rFonts w:hint="eastAsia" w:ascii="宋体" w:hAnsi="宋体"/>
          <w:color w:val="auto"/>
          <w:sz w:val="24"/>
          <w:highlight w:val="none"/>
          <w:u w:val="single"/>
        </w:rPr>
        <w:t xml:space="preserve">                                </w:t>
      </w:r>
    </w:p>
    <w:p>
      <w:pPr>
        <w:pStyle w:val="47"/>
        <w:adjustRightInd w:val="0"/>
        <w:snapToGrid w:val="0"/>
        <w:spacing w:line="400" w:lineRule="exact"/>
        <w:rPr>
          <w:rFonts w:ascii="宋体" w:hAnsi="宋体"/>
          <w:color w:val="auto"/>
          <w:sz w:val="24"/>
          <w:highlight w:val="none"/>
          <w:u w:val="single"/>
        </w:rPr>
      </w:pPr>
      <w:r>
        <w:rPr>
          <w:rFonts w:hint="eastAsia" w:ascii="宋体" w:hAnsi="宋体"/>
          <w:color w:val="auto"/>
          <w:sz w:val="24"/>
          <w:highlight w:val="none"/>
        </w:rPr>
        <w:t xml:space="preserve">甲方： </w:t>
      </w:r>
      <w:r>
        <w:rPr>
          <w:rFonts w:hint="eastAsia" w:ascii="宋体" w:hAnsi="宋体"/>
          <w:color w:val="auto"/>
          <w:sz w:val="24"/>
          <w:highlight w:val="none"/>
          <w:u w:val="single"/>
        </w:rPr>
        <w:t xml:space="preserve">                                       </w:t>
      </w:r>
    </w:p>
    <w:p>
      <w:pPr>
        <w:pStyle w:val="47"/>
        <w:adjustRightInd w:val="0"/>
        <w:snapToGrid w:val="0"/>
        <w:spacing w:line="400" w:lineRule="exact"/>
        <w:rPr>
          <w:rFonts w:ascii="宋体" w:hAnsi="宋体"/>
          <w:color w:val="auto"/>
          <w:sz w:val="24"/>
          <w:highlight w:val="none"/>
        </w:rPr>
      </w:pPr>
      <w:r>
        <w:rPr>
          <w:rFonts w:hint="eastAsia" w:ascii="宋体" w:hAnsi="宋体"/>
          <w:color w:val="auto"/>
          <w:sz w:val="24"/>
          <w:highlight w:val="none"/>
        </w:rPr>
        <w:t xml:space="preserve">乙方： </w:t>
      </w:r>
      <w:r>
        <w:rPr>
          <w:rFonts w:hint="eastAsia" w:ascii="宋体" w:hAnsi="宋体"/>
          <w:color w:val="auto"/>
          <w:sz w:val="24"/>
          <w:highlight w:val="none"/>
          <w:u w:val="single"/>
        </w:rPr>
        <w:t xml:space="preserve">                                       </w:t>
      </w:r>
    </w:p>
    <w:p>
      <w:pPr>
        <w:pStyle w:val="47"/>
        <w:adjustRightInd w:val="0"/>
        <w:snapToGrid w:val="0"/>
        <w:spacing w:line="400" w:lineRule="exact"/>
        <w:rPr>
          <w:rFonts w:ascii="宋体" w:hAnsi="宋体"/>
          <w:color w:val="auto"/>
          <w:sz w:val="24"/>
          <w:highlight w:val="none"/>
        </w:rPr>
      </w:pPr>
    </w:p>
    <w:p>
      <w:pPr>
        <w:adjustRightInd w:val="0"/>
        <w:snapToGrid w:val="0"/>
        <w:spacing w:line="440" w:lineRule="exact"/>
        <w:ind w:firstLine="482"/>
        <w:rPr>
          <w:rFonts w:ascii="宋体" w:hAnsi="宋体" w:cs="宋体"/>
          <w:color w:val="auto"/>
          <w:kern w:val="0"/>
          <w:sz w:val="24"/>
          <w:highlight w:val="none"/>
        </w:rPr>
      </w:pPr>
      <w:r>
        <w:rPr>
          <w:rFonts w:hint="eastAsia" w:ascii="宋体" w:hAnsi="宋体" w:cs="宋体"/>
          <w:snapToGrid w:val="0"/>
          <w:color w:val="auto"/>
          <w:kern w:val="0"/>
          <w:sz w:val="24"/>
          <w:highlight w:val="none"/>
        </w:rPr>
        <w:t>为加强工程建设中的廉政建设，规范工程建设项目的各项活动，防止发生各种谋取不正当利益的违法违纪行为，保护国家、集体和当事人的合法权益，根据国家有关工程建设的法律法规和廉政建设责任制规定，特订立本廉政责任书。</w:t>
      </w:r>
    </w:p>
    <w:p>
      <w:pPr>
        <w:adjustRightInd w:val="0"/>
        <w:snapToGrid w:val="0"/>
        <w:spacing w:line="440" w:lineRule="exact"/>
        <w:ind w:firstLine="482"/>
        <w:rPr>
          <w:rFonts w:ascii="宋体" w:hAnsi="宋体" w:cs="宋体"/>
          <w:b/>
          <w:color w:val="auto"/>
          <w:kern w:val="0"/>
          <w:sz w:val="24"/>
          <w:highlight w:val="none"/>
        </w:rPr>
      </w:pPr>
      <w:r>
        <w:rPr>
          <w:rFonts w:hint="eastAsia" w:ascii="宋体" w:hAnsi="宋体" w:cs="宋体"/>
          <w:b/>
          <w:snapToGrid w:val="0"/>
          <w:color w:val="auto"/>
          <w:kern w:val="0"/>
          <w:sz w:val="24"/>
          <w:highlight w:val="none"/>
        </w:rPr>
        <w:t>第一条</w:t>
      </w:r>
      <w:r>
        <w:rPr>
          <w:rFonts w:hint="eastAsia" w:ascii="宋体" w:hAnsi="宋体" w:cs="宋体"/>
          <w:snapToGrid w:val="0"/>
          <w:color w:val="auto"/>
          <w:kern w:val="0"/>
          <w:sz w:val="24"/>
          <w:highlight w:val="none"/>
        </w:rPr>
        <w:t>甲、乙双方的责任</w:t>
      </w:r>
    </w:p>
    <w:p>
      <w:pPr>
        <w:adjustRightInd w:val="0"/>
        <w:snapToGrid w:val="0"/>
        <w:spacing w:line="440" w:lineRule="exact"/>
        <w:ind w:firstLine="482"/>
        <w:rPr>
          <w:rFonts w:ascii="宋体" w:hAnsi="宋体" w:cs="宋体"/>
          <w:color w:val="auto"/>
          <w:kern w:val="0"/>
          <w:sz w:val="24"/>
          <w:highlight w:val="none"/>
        </w:rPr>
      </w:pPr>
      <w:r>
        <w:rPr>
          <w:rFonts w:hint="eastAsia" w:ascii="宋体" w:hAnsi="宋体" w:cs="宋体"/>
          <w:snapToGrid w:val="0"/>
          <w:color w:val="auto"/>
          <w:kern w:val="0"/>
          <w:sz w:val="24"/>
          <w:highlight w:val="none"/>
        </w:rPr>
        <w:t>（一）应严格遵守国家关于市场准入、项目招标投标、</w:t>
      </w:r>
      <w:r>
        <w:rPr>
          <w:rFonts w:hint="eastAsia" w:ascii="宋体" w:hAnsi="宋体" w:cs="宋体"/>
          <w:color w:val="auto"/>
          <w:kern w:val="0"/>
          <w:sz w:val="24"/>
          <w:highlight w:val="none"/>
        </w:rPr>
        <w:t>工程建设和市场活动</w:t>
      </w:r>
      <w:r>
        <w:rPr>
          <w:rFonts w:hint="eastAsia" w:ascii="宋体" w:hAnsi="宋体" w:cs="宋体"/>
          <w:snapToGrid w:val="0"/>
          <w:color w:val="auto"/>
          <w:kern w:val="0"/>
          <w:sz w:val="24"/>
          <w:highlight w:val="none"/>
        </w:rPr>
        <w:t>等有关法律、法规、相关政策，以及廉政建设的各项规定。</w:t>
      </w:r>
    </w:p>
    <w:p>
      <w:pPr>
        <w:adjustRightInd w:val="0"/>
        <w:snapToGrid w:val="0"/>
        <w:spacing w:line="440" w:lineRule="exact"/>
        <w:ind w:firstLine="482"/>
        <w:rPr>
          <w:rFonts w:ascii="宋体" w:hAnsi="宋体" w:cs="宋体"/>
          <w:color w:val="auto"/>
          <w:kern w:val="0"/>
          <w:sz w:val="24"/>
          <w:highlight w:val="none"/>
        </w:rPr>
      </w:pPr>
      <w:r>
        <w:rPr>
          <w:rFonts w:hint="eastAsia" w:ascii="宋体" w:hAnsi="宋体" w:cs="宋体"/>
          <w:snapToGrid w:val="0"/>
          <w:color w:val="auto"/>
          <w:kern w:val="0"/>
          <w:sz w:val="24"/>
          <w:highlight w:val="none"/>
        </w:rPr>
        <w:t>（二）严格执行建设工程项目承发包合同文件，自觉按合同办事。</w:t>
      </w:r>
    </w:p>
    <w:p>
      <w:pPr>
        <w:adjustRightInd w:val="0"/>
        <w:snapToGrid w:val="0"/>
        <w:spacing w:line="440" w:lineRule="exact"/>
        <w:ind w:firstLine="482"/>
        <w:rPr>
          <w:rFonts w:ascii="宋体" w:hAnsi="宋体" w:cs="宋体"/>
          <w:color w:val="auto"/>
          <w:kern w:val="0"/>
          <w:sz w:val="24"/>
          <w:highlight w:val="none"/>
        </w:rPr>
      </w:pPr>
      <w:r>
        <w:rPr>
          <w:rFonts w:hint="eastAsia" w:ascii="宋体" w:hAnsi="宋体" w:cs="宋体"/>
          <w:snapToGrid w:val="0"/>
          <w:color w:val="auto"/>
          <w:kern w:val="0"/>
          <w:sz w:val="24"/>
          <w:highlight w:val="none"/>
        </w:rPr>
        <w:t>（三）业务活动必须坚持公开、公平、公正、诚信、透明的原则（除法律法规另有规定者外），不得为获取不正当的利益，损害国家、集体和对方利益，不得</w:t>
      </w:r>
      <w:r>
        <w:rPr>
          <w:rFonts w:hint="eastAsia" w:ascii="宋体" w:hAnsi="宋体" w:cs="宋体"/>
          <w:color w:val="auto"/>
          <w:kern w:val="0"/>
          <w:sz w:val="24"/>
          <w:highlight w:val="none"/>
        </w:rPr>
        <w:t>违反工程建设过程管理的规章制度。</w:t>
      </w:r>
    </w:p>
    <w:p>
      <w:pPr>
        <w:adjustRightInd w:val="0"/>
        <w:snapToGrid w:val="0"/>
        <w:spacing w:line="440" w:lineRule="exact"/>
        <w:ind w:firstLine="482"/>
        <w:rPr>
          <w:rFonts w:ascii="宋体" w:hAnsi="宋体" w:cs="宋体"/>
          <w:color w:val="auto"/>
          <w:kern w:val="0"/>
          <w:sz w:val="24"/>
          <w:highlight w:val="none"/>
        </w:rPr>
      </w:pPr>
      <w:r>
        <w:rPr>
          <w:rFonts w:hint="eastAsia" w:ascii="宋体" w:hAnsi="宋体" w:cs="宋体"/>
          <w:snapToGrid w:val="0"/>
          <w:color w:val="auto"/>
          <w:kern w:val="0"/>
          <w:sz w:val="24"/>
          <w:highlight w:val="none"/>
        </w:rPr>
        <w:t>（四）发现对方在业务活动中有违规、违纪、违法行为的，应及时提醒对方，情节严重的，应向其上级主管部门或纪检监察、司法等有关机关举报。</w:t>
      </w:r>
    </w:p>
    <w:p>
      <w:pPr>
        <w:adjustRightInd w:val="0"/>
        <w:snapToGrid w:val="0"/>
        <w:spacing w:line="440" w:lineRule="exact"/>
        <w:ind w:firstLine="482"/>
        <w:rPr>
          <w:rFonts w:ascii="宋体" w:hAnsi="宋体" w:cs="宋体"/>
          <w:color w:val="auto"/>
          <w:kern w:val="0"/>
          <w:sz w:val="24"/>
          <w:highlight w:val="none"/>
        </w:rPr>
      </w:pPr>
      <w:r>
        <w:rPr>
          <w:rFonts w:hint="eastAsia" w:ascii="宋体" w:hAnsi="宋体" w:cs="宋体"/>
          <w:b/>
          <w:snapToGrid w:val="0"/>
          <w:color w:val="auto"/>
          <w:kern w:val="0"/>
          <w:sz w:val="24"/>
          <w:highlight w:val="none"/>
        </w:rPr>
        <w:t>第二条</w:t>
      </w:r>
      <w:r>
        <w:rPr>
          <w:rFonts w:hint="eastAsia" w:ascii="宋体" w:hAnsi="宋体" w:cs="宋体"/>
          <w:snapToGrid w:val="0"/>
          <w:color w:val="auto"/>
          <w:kern w:val="0"/>
          <w:sz w:val="24"/>
          <w:highlight w:val="none"/>
        </w:rPr>
        <w:t>甲方的责任</w:t>
      </w:r>
    </w:p>
    <w:p>
      <w:pPr>
        <w:adjustRightInd w:val="0"/>
        <w:snapToGrid w:val="0"/>
        <w:spacing w:line="440" w:lineRule="exact"/>
        <w:ind w:firstLine="482"/>
        <w:rPr>
          <w:rFonts w:ascii="宋体" w:hAnsi="宋体" w:cs="宋体"/>
          <w:color w:val="auto"/>
          <w:kern w:val="0"/>
          <w:sz w:val="24"/>
          <w:highlight w:val="none"/>
        </w:rPr>
      </w:pPr>
      <w:r>
        <w:rPr>
          <w:rFonts w:hint="eastAsia" w:ascii="宋体" w:hAnsi="宋体" w:cs="宋体"/>
          <w:snapToGrid w:val="0"/>
          <w:color w:val="auto"/>
          <w:kern w:val="0"/>
          <w:sz w:val="24"/>
          <w:highlight w:val="none"/>
        </w:rPr>
        <w:t>甲方的领导和从事本建设工程项目的工作人员，在工程建设的事前、事中、事后应遵守以下规定：</w:t>
      </w:r>
    </w:p>
    <w:p>
      <w:pPr>
        <w:adjustRightInd w:val="0"/>
        <w:snapToGrid w:val="0"/>
        <w:spacing w:line="440" w:lineRule="exact"/>
        <w:ind w:firstLine="482"/>
        <w:rPr>
          <w:rFonts w:ascii="宋体" w:hAnsi="宋体" w:cs="宋体"/>
          <w:color w:val="auto"/>
          <w:kern w:val="0"/>
          <w:sz w:val="24"/>
          <w:highlight w:val="none"/>
        </w:rPr>
      </w:pPr>
      <w:r>
        <w:rPr>
          <w:rFonts w:hint="eastAsia" w:ascii="宋体" w:hAnsi="宋体" w:cs="宋体"/>
          <w:snapToGrid w:val="0"/>
          <w:color w:val="auto"/>
          <w:kern w:val="0"/>
          <w:sz w:val="24"/>
          <w:highlight w:val="none"/>
        </w:rPr>
        <w:t>（一）不准向乙方和相关单位索要或接受回扣、礼金、有价证券、贵重物品和好处费、感谢费等。</w:t>
      </w:r>
    </w:p>
    <w:p>
      <w:pPr>
        <w:adjustRightInd w:val="0"/>
        <w:snapToGrid w:val="0"/>
        <w:spacing w:line="440" w:lineRule="exact"/>
        <w:ind w:firstLine="482"/>
        <w:rPr>
          <w:rFonts w:ascii="宋体" w:hAnsi="宋体" w:cs="宋体"/>
          <w:color w:val="auto"/>
          <w:kern w:val="0"/>
          <w:sz w:val="24"/>
          <w:highlight w:val="none"/>
        </w:rPr>
      </w:pPr>
      <w:r>
        <w:rPr>
          <w:rFonts w:hint="eastAsia" w:ascii="宋体" w:hAnsi="宋体" w:cs="宋体"/>
          <w:snapToGrid w:val="0"/>
          <w:color w:val="auto"/>
          <w:kern w:val="0"/>
          <w:sz w:val="24"/>
          <w:highlight w:val="none"/>
        </w:rPr>
        <w:t>（二）不准在乙方和相关单位报销任何应由甲方或个人支付的费用。</w:t>
      </w:r>
    </w:p>
    <w:p>
      <w:pPr>
        <w:adjustRightInd w:val="0"/>
        <w:snapToGrid w:val="0"/>
        <w:spacing w:line="440" w:lineRule="exact"/>
        <w:ind w:firstLine="482"/>
        <w:rPr>
          <w:rFonts w:ascii="宋体" w:hAnsi="宋体" w:cs="宋体"/>
          <w:color w:val="auto"/>
          <w:kern w:val="0"/>
          <w:sz w:val="24"/>
          <w:highlight w:val="none"/>
        </w:rPr>
      </w:pPr>
      <w:r>
        <w:rPr>
          <w:rFonts w:hint="eastAsia" w:ascii="宋体" w:hAnsi="宋体" w:cs="宋体"/>
          <w:snapToGrid w:val="0"/>
          <w:color w:val="auto"/>
          <w:kern w:val="0"/>
          <w:sz w:val="24"/>
          <w:highlight w:val="none"/>
        </w:rPr>
        <w:t>（三）不准要求、暗示或接受乙方和相关单位为个人装修住房、婚丧嫁娶、配偶子女的工作安排以及出国（境）、旅游等提供方便。</w:t>
      </w:r>
    </w:p>
    <w:p>
      <w:pPr>
        <w:adjustRightInd w:val="0"/>
        <w:snapToGrid w:val="0"/>
        <w:spacing w:line="440" w:lineRule="exact"/>
        <w:ind w:firstLine="482"/>
        <w:rPr>
          <w:rFonts w:ascii="宋体" w:hAnsi="宋体" w:cs="宋体"/>
          <w:color w:val="auto"/>
          <w:kern w:val="0"/>
          <w:sz w:val="24"/>
          <w:highlight w:val="none"/>
        </w:rPr>
      </w:pPr>
      <w:r>
        <w:rPr>
          <w:rFonts w:hint="eastAsia" w:ascii="宋体" w:hAnsi="宋体" w:cs="宋体"/>
          <w:snapToGrid w:val="0"/>
          <w:color w:val="auto"/>
          <w:kern w:val="0"/>
          <w:sz w:val="24"/>
          <w:highlight w:val="none"/>
        </w:rPr>
        <w:t>（四）不准参加有可能影响公正执行公务的乙方及相关单位的宴请、健身、娱乐等活动。</w:t>
      </w:r>
    </w:p>
    <w:p>
      <w:pPr>
        <w:adjustRightInd w:val="0"/>
        <w:snapToGrid w:val="0"/>
        <w:spacing w:line="440" w:lineRule="exact"/>
        <w:ind w:firstLine="482"/>
        <w:rPr>
          <w:rFonts w:ascii="宋体" w:hAnsi="宋体" w:cs="宋体"/>
          <w:color w:val="auto"/>
          <w:kern w:val="0"/>
          <w:sz w:val="24"/>
          <w:highlight w:val="none"/>
        </w:rPr>
      </w:pPr>
      <w:r>
        <w:rPr>
          <w:rFonts w:hint="eastAsia" w:ascii="宋体" w:hAnsi="宋体" w:cs="宋体"/>
          <w:snapToGrid w:val="0"/>
          <w:color w:val="auto"/>
          <w:kern w:val="0"/>
          <w:sz w:val="24"/>
          <w:highlight w:val="none"/>
        </w:rPr>
        <w:t>（五）不准向乙方介绍或为配偶、子女、亲属参与同甲方项目工程合同有关的设备、材料、工程分包、劳务等经济活动。不得以任何理由向乙方和相关单位推荐分包单位。</w:t>
      </w:r>
    </w:p>
    <w:p>
      <w:pPr>
        <w:adjustRightInd w:val="0"/>
        <w:snapToGrid w:val="0"/>
        <w:spacing w:line="440" w:lineRule="exact"/>
        <w:ind w:firstLine="482"/>
        <w:rPr>
          <w:rFonts w:ascii="宋体" w:hAnsi="宋体" w:cs="宋体"/>
          <w:color w:val="auto"/>
          <w:kern w:val="0"/>
          <w:sz w:val="24"/>
          <w:highlight w:val="none"/>
        </w:rPr>
      </w:pPr>
      <w:r>
        <w:rPr>
          <w:rFonts w:hint="eastAsia" w:ascii="宋体" w:hAnsi="宋体" w:cs="宋体"/>
          <w:b/>
          <w:snapToGrid w:val="0"/>
          <w:color w:val="auto"/>
          <w:kern w:val="0"/>
          <w:sz w:val="24"/>
          <w:highlight w:val="none"/>
        </w:rPr>
        <w:t>第三条</w:t>
      </w:r>
      <w:r>
        <w:rPr>
          <w:rFonts w:hint="eastAsia" w:ascii="宋体" w:hAnsi="宋体" w:cs="宋体"/>
          <w:snapToGrid w:val="0"/>
          <w:color w:val="auto"/>
          <w:kern w:val="0"/>
          <w:sz w:val="24"/>
          <w:highlight w:val="none"/>
        </w:rPr>
        <w:t>乙方的责任</w:t>
      </w:r>
    </w:p>
    <w:p>
      <w:pPr>
        <w:adjustRightInd w:val="0"/>
        <w:snapToGrid w:val="0"/>
        <w:spacing w:line="440" w:lineRule="exact"/>
        <w:ind w:firstLine="482"/>
        <w:rPr>
          <w:rFonts w:ascii="宋体" w:hAnsi="宋体" w:cs="宋体"/>
          <w:color w:val="auto"/>
          <w:kern w:val="0"/>
          <w:sz w:val="24"/>
          <w:highlight w:val="none"/>
        </w:rPr>
      </w:pPr>
      <w:r>
        <w:rPr>
          <w:rFonts w:hint="eastAsia" w:ascii="宋体" w:hAnsi="宋体" w:cs="宋体"/>
          <w:snapToGrid w:val="0"/>
          <w:color w:val="auto"/>
          <w:kern w:val="0"/>
          <w:sz w:val="24"/>
          <w:highlight w:val="none"/>
        </w:rPr>
        <w:t>应与甲方保持正常的业务交往，按照有关法律法规和程序开展业务工作，严格执行</w:t>
      </w:r>
      <w:r>
        <w:rPr>
          <w:rFonts w:hint="eastAsia" w:ascii="宋体" w:hAnsi="宋体" w:cs="宋体"/>
          <w:color w:val="auto"/>
          <w:kern w:val="0"/>
          <w:sz w:val="24"/>
          <w:highlight w:val="none"/>
        </w:rPr>
        <w:t>工程建设过程管理的有关方针、政策，尤其是强制性标准和规范</w:t>
      </w:r>
      <w:r>
        <w:rPr>
          <w:rFonts w:hint="eastAsia" w:ascii="宋体" w:hAnsi="宋体" w:cs="宋体"/>
          <w:snapToGrid w:val="0"/>
          <w:color w:val="auto"/>
          <w:kern w:val="0"/>
          <w:sz w:val="24"/>
          <w:highlight w:val="none"/>
        </w:rPr>
        <w:t>，并遵守以下规定：</w:t>
      </w:r>
    </w:p>
    <w:p>
      <w:pPr>
        <w:adjustRightInd w:val="0"/>
        <w:snapToGrid w:val="0"/>
        <w:spacing w:line="440" w:lineRule="exact"/>
        <w:ind w:firstLine="482"/>
        <w:rPr>
          <w:rFonts w:ascii="宋体" w:hAnsi="宋体" w:cs="宋体"/>
          <w:color w:val="auto"/>
          <w:kern w:val="0"/>
          <w:sz w:val="24"/>
          <w:highlight w:val="none"/>
        </w:rPr>
      </w:pPr>
      <w:r>
        <w:rPr>
          <w:rFonts w:hint="eastAsia" w:ascii="宋体" w:hAnsi="宋体" w:cs="宋体"/>
          <w:snapToGrid w:val="0"/>
          <w:color w:val="auto"/>
          <w:kern w:val="0"/>
          <w:sz w:val="24"/>
          <w:highlight w:val="none"/>
        </w:rPr>
        <w:t>（一）不准以任何理由向甲方、相关单位及其工作人员索要、接受或赠送礼金、有价证券、贵重物品及回扣、好处费、感谢费等。</w:t>
      </w:r>
    </w:p>
    <w:p>
      <w:pPr>
        <w:adjustRightInd w:val="0"/>
        <w:snapToGrid w:val="0"/>
        <w:spacing w:line="440" w:lineRule="exact"/>
        <w:ind w:firstLine="482"/>
        <w:rPr>
          <w:rFonts w:ascii="宋体" w:hAnsi="宋体" w:cs="宋体"/>
          <w:color w:val="auto"/>
          <w:kern w:val="0"/>
          <w:sz w:val="24"/>
          <w:highlight w:val="none"/>
        </w:rPr>
      </w:pPr>
      <w:r>
        <w:rPr>
          <w:rFonts w:hint="eastAsia" w:ascii="宋体" w:hAnsi="宋体" w:cs="宋体"/>
          <w:snapToGrid w:val="0"/>
          <w:color w:val="auto"/>
          <w:kern w:val="0"/>
          <w:sz w:val="24"/>
          <w:highlight w:val="none"/>
        </w:rPr>
        <w:t>（二）不准以任何理由为甲方和相关单位报销应由对方或个人支付的费用。</w:t>
      </w:r>
    </w:p>
    <w:p>
      <w:pPr>
        <w:adjustRightInd w:val="0"/>
        <w:snapToGrid w:val="0"/>
        <w:spacing w:line="440" w:lineRule="exact"/>
        <w:ind w:firstLine="482"/>
        <w:rPr>
          <w:rFonts w:ascii="宋体" w:hAnsi="宋体" w:cs="宋体"/>
          <w:color w:val="auto"/>
          <w:kern w:val="0"/>
          <w:sz w:val="24"/>
          <w:highlight w:val="none"/>
        </w:rPr>
      </w:pPr>
      <w:r>
        <w:rPr>
          <w:rFonts w:hint="eastAsia" w:ascii="宋体" w:hAnsi="宋体" w:cs="宋体"/>
          <w:snapToGrid w:val="0"/>
          <w:color w:val="auto"/>
          <w:kern w:val="0"/>
          <w:sz w:val="24"/>
          <w:highlight w:val="none"/>
        </w:rPr>
        <w:t>（三）不准接受或暗示为甲方、相关单位或个人装修住房、婚丧嫁娶、配偶子女的工作安排以及出国（境）、旅游等提供方便。</w:t>
      </w:r>
    </w:p>
    <w:p>
      <w:pPr>
        <w:adjustRightInd w:val="0"/>
        <w:snapToGrid w:val="0"/>
        <w:spacing w:line="440" w:lineRule="exact"/>
        <w:ind w:firstLine="482"/>
        <w:rPr>
          <w:rFonts w:ascii="宋体" w:hAnsi="宋体" w:cs="宋体"/>
          <w:color w:val="auto"/>
          <w:kern w:val="0"/>
          <w:sz w:val="24"/>
          <w:highlight w:val="none"/>
        </w:rPr>
      </w:pPr>
      <w:r>
        <w:rPr>
          <w:rFonts w:hint="eastAsia" w:ascii="宋体" w:hAnsi="宋体" w:cs="宋体"/>
          <w:snapToGrid w:val="0"/>
          <w:color w:val="auto"/>
          <w:kern w:val="0"/>
          <w:sz w:val="24"/>
          <w:highlight w:val="none"/>
        </w:rPr>
        <w:t>（四）不准以任何理由为甲方、相关单位或个人组织有可能影响公正执行公务的宴请、健身、娱乐等活动。</w:t>
      </w:r>
    </w:p>
    <w:p>
      <w:pPr>
        <w:adjustRightInd w:val="0"/>
        <w:snapToGrid w:val="0"/>
        <w:spacing w:line="440" w:lineRule="exact"/>
        <w:ind w:firstLine="482"/>
        <w:rPr>
          <w:rFonts w:ascii="宋体" w:hAnsi="宋体" w:cs="宋体"/>
          <w:color w:val="auto"/>
          <w:kern w:val="0"/>
          <w:sz w:val="24"/>
          <w:highlight w:val="none"/>
        </w:rPr>
      </w:pPr>
      <w:r>
        <w:rPr>
          <w:rFonts w:hint="eastAsia" w:ascii="宋体" w:hAnsi="宋体" w:cs="宋体"/>
          <w:b/>
          <w:snapToGrid w:val="0"/>
          <w:color w:val="auto"/>
          <w:kern w:val="0"/>
          <w:sz w:val="24"/>
          <w:highlight w:val="none"/>
        </w:rPr>
        <w:t>第四条</w:t>
      </w:r>
      <w:r>
        <w:rPr>
          <w:rFonts w:hint="eastAsia" w:ascii="宋体" w:hAnsi="宋体" w:cs="宋体"/>
          <w:snapToGrid w:val="0"/>
          <w:color w:val="auto"/>
          <w:kern w:val="0"/>
          <w:sz w:val="24"/>
          <w:highlight w:val="none"/>
        </w:rPr>
        <w:t>违约责任</w:t>
      </w:r>
    </w:p>
    <w:p>
      <w:pPr>
        <w:adjustRightInd w:val="0"/>
        <w:snapToGrid w:val="0"/>
        <w:spacing w:line="440" w:lineRule="exact"/>
        <w:ind w:firstLine="482"/>
        <w:rPr>
          <w:rFonts w:ascii="宋体" w:hAnsi="宋体" w:cs="宋体"/>
          <w:color w:val="auto"/>
          <w:kern w:val="0"/>
          <w:sz w:val="24"/>
          <w:highlight w:val="none"/>
        </w:rPr>
      </w:pPr>
      <w:r>
        <w:rPr>
          <w:rFonts w:hint="eastAsia" w:ascii="宋体" w:hAnsi="宋体" w:cs="宋体"/>
          <w:snapToGrid w:val="0"/>
          <w:color w:val="auto"/>
          <w:kern w:val="0"/>
          <w:sz w:val="24"/>
          <w:highlight w:val="none"/>
        </w:rPr>
        <w:t>（一）甲方工作人员有违反本廉政责任书第一、第二条责任行为的，按照管理权限，依据有关法律法规和规定给予党纪、政纪处分或组织处理；涉嫌犯罪的，移交司法机关追究刑事责任；给乙方单位造成经济损失的，应予以赔偿。</w:t>
      </w:r>
    </w:p>
    <w:p>
      <w:pPr>
        <w:adjustRightInd w:val="0"/>
        <w:snapToGrid w:val="0"/>
        <w:spacing w:line="440" w:lineRule="exact"/>
        <w:ind w:firstLine="482"/>
        <w:rPr>
          <w:rFonts w:ascii="宋体" w:hAnsi="宋体" w:cs="宋体"/>
          <w:color w:val="auto"/>
          <w:kern w:val="0"/>
          <w:sz w:val="24"/>
          <w:highlight w:val="none"/>
        </w:rPr>
      </w:pPr>
      <w:r>
        <w:rPr>
          <w:rFonts w:hint="eastAsia" w:ascii="宋体" w:hAnsi="宋体" w:cs="宋体"/>
          <w:snapToGrid w:val="0"/>
          <w:color w:val="auto"/>
          <w:kern w:val="0"/>
          <w:sz w:val="24"/>
          <w:highlight w:val="none"/>
        </w:rPr>
        <w:t>（二）乙方工作人员有违反本廉政责任书第一、三条责任行为的，按照管理权限，依据有关法律法规和规定给予党纪、政纪处分或组织处理；涉嫌犯罪的，移交司法机关追究刑事责任；给甲方单位造成经济损失的，应予以赔偿。</w:t>
      </w:r>
    </w:p>
    <w:p>
      <w:pPr>
        <w:adjustRightInd w:val="0"/>
        <w:snapToGrid w:val="0"/>
        <w:spacing w:line="440" w:lineRule="exact"/>
        <w:ind w:firstLine="482"/>
        <w:rPr>
          <w:rFonts w:ascii="宋体" w:hAnsi="宋体" w:cs="宋体"/>
          <w:b/>
          <w:color w:val="auto"/>
          <w:kern w:val="0"/>
          <w:sz w:val="24"/>
          <w:highlight w:val="none"/>
        </w:rPr>
      </w:pPr>
      <w:r>
        <w:rPr>
          <w:rFonts w:hint="eastAsia" w:ascii="宋体" w:hAnsi="宋体" w:cs="宋体"/>
          <w:b/>
          <w:snapToGrid w:val="0"/>
          <w:color w:val="auto"/>
          <w:kern w:val="0"/>
          <w:sz w:val="24"/>
          <w:highlight w:val="none"/>
        </w:rPr>
        <w:t>第五条</w:t>
      </w:r>
      <w:r>
        <w:rPr>
          <w:rFonts w:hint="eastAsia" w:ascii="宋体" w:hAnsi="宋体" w:cs="宋体"/>
          <w:snapToGrid w:val="0"/>
          <w:color w:val="auto"/>
          <w:kern w:val="0"/>
          <w:sz w:val="24"/>
          <w:highlight w:val="none"/>
        </w:rPr>
        <w:t>本廉政责任书作为合同的附件，与合同具有同等法律效力。经双方签署后立即生效。</w:t>
      </w:r>
    </w:p>
    <w:p>
      <w:pPr>
        <w:adjustRightInd w:val="0"/>
        <w:snapToGrid w:val="0"/>
        <w:spacing w:line="440" w:lineRule="exact"/>
        <w:ind w:firstLine="482"/>
        <w:rPr>
          <w:rFonts w:ascii="宋体" w:hAnsi="宋体" w:cs="宋体"/>
          <w:b/>
          <w:color w:val="auto"/>
          <w:kern w:val="0"/>
          <w:sz w:val="24"/>
          <w:highlight w:val="none"/>
        </w:rPr>
      </w:pPr>
      <w:r>
        <w:rPr>
          <w:rFonts w:hint="eastAsia" w:ascii="宋体" w:hAnsi="宋体" w:cs="宋体"/>
          <w:b/>
          <w:snapToGrid w:val="0"/>
          <w:color w:val="auto"/>
          <w:kern w:val="0"/>
          <w:sz w:val="24"/>
          <w:highlight w:val="none"/>
        </w:rPr>
        <w:t>第六条</w:t>
      </w:r>
      <w:r>
        <w:rPr>
          <w:rFonts w:hint="eastAsia" w:ascii="宋体" w:hAnsi="宋体" w:cs="宋体"/>
          <w:snapToGrid w:val="0"/>
          <w:color w:val="auto"/>
          <w:kern w:val="0"/>
          <w:sz w:val="24"/>
          <w:highlight w:val="none"/>
        </w:rPr>
        <w:t>本廉政责任书的有效期与合同的有效期相同。</w:t>
      </w:r>
    </w:p>
    <w:p>
      <w:pPr>
        <w:adjustRightInd w:val="0"/>
        <w:snapToGrid w:val="0"/>
        <w:spacing w:line="440" w:lineRule="exact"/>
        <w:rPr>
          <w:rFonts w:ascii="宋体" w:hAnsi="宋体" w:cs="宋体"/>
          <w:color w:val="auto"/>
          <w:kern w:val="0"/>
          <w:sz w:val="24"/>
          <w:highlight w:val="none"/>
        </w:rPr>
      </w:pPr>
      <w:r>
        <w:rPr>
          <w:rFonts w:hint="eastAsia" w:ascii="宋体" w:hAnsi="宋体" w:cs="宋体"/>
          <w:b/>
          <w:color w:val="auto"/>
          <w:kern w:val="0"/>
          <w:sz w:val="24"/>
          <w:highlight w:val="none"/>
        </w:rPr>
        <w:t xml:space="preserve">    </w:t>
      </w:r>
      <w:r>
        <w:rPr>
          <w:rFonts w:hint="eastAsia" w:ascii="宋体" w:hAnsi="宋体" w:cs="宋体"/>
          <w:b/>
          <w:snapToGrid w:val="0"/>
          <w:color w:val="auto"/>
          <w:kern w:val="0"/>
          <w:sz w:val="24"/>
          <w:highlight w:val="none"/>
        </w:rPr>
        <w:t>第七条</w:t>
      </w:r>
      <w:r>
        <w:rPr>
          <w:rFonts w:hint="eastAsia" w:ascii="宋体" w:hAnsi="宋体" w:cs="宋体"/>
          <w:snapToGrid w:val="0"/>
          <w:color w:val="auto"/>
          <w:kern w:val="0"/>
          <w:sz w:val="24"/>
          <w:highlight w:val="none"/>
        </w:rPr>
        <w:t>本廉政责任书份数和合同份数一致</w:t>
      </w:r>
      <w:r>
        <w:rPr>
          <w:rFonts w:hint="eastAsia" w:ascii="宋体" w:hAnsi="宋体" w:cs="宋体"/>
          <w:bCs/>
          <w:color w:val="auto"/>
          <w:kern w:val="0"/>
          <w:sz w:val="24"/>
          <w:highlight w:val="none"/>
        </w:rPr>
        <w:t>。</w:t>
      </w:r>
    </w:p>
    <w:p>
      <w:pPr>
        <w:adjustRightInd w:val="0"/>
        <w:snapToGrid w:val="0"/>
        <w:spacing w:line="380" w:lineRule="exact"/>
        <w:ind w:right="11"/>
        <w:rPr>
          <w:rFonts w:ascii="宋体" w:hAnsi="宋体" w:cs="宋体"/>
          <w:snapToGrid w:val="0"/>
          <w:color w:val="auto"/>
          <w:kern w:val="0"/>
          <w:sz w:val="24"/>
          <w:highlight w:val="none"/>
        </w:rPr>
      </w:pPr>
    </w:p>
    <w:p>
      <w:pPr>
        <w:pStyle w:val="47"/>
        <w:adjustRightInd w:val="0"/>
        <w:snapToGrid w:val="0"/>
        <w:spacing w:line="360" w:lineRule="auto"/>
        <w:ind w:left="1920" w:right="11" w:hanging="1920" w:hangingChars="800"/>
        <w:rPr>
          <w:rFonts w:ascii="宋体" w:hAnsi="宋体"/>
          <w:color w:val="auto"/>
          <w:sz w:val="24"/>
          <w:highlight w:val="none"/>
        </w:rPr>
      </w:pPr>
      <w:r>
        <w:rPr>
          <w:rFonts w:hint="eastAsia" w:ascii="宋体" w:hAnsi="宋体"/>
          <w:color w:val="auto"/>
          <w:sz w:val="24"/>
          <w:highlight w:val="none"/>
        </w:rPr>
        <w:t xml:space="preserve">甲方：                                 乙方： </w:t>
      </w:r>
    </w:p>
    <w:p>
      <w:pPr>
        <w:pStyle w:val="47"/>
        <w:adjustRightInd w:val="0"/>
        <w:snapToGrid w:val="0"/>
        <w:spacing w:line="360" w:lineRule="auto"/>
        <w:ind w:left="1917" w:leftChars="513" w:right="11" w:hanging="840" w:hangingChars="350"/>
        <w:rPr>
          <w:rFonts w:ascii="宋体" w:hAnsi="宋体"/>
          <w:color w:val="auto"/>
          <w:sz w:val="24"/>
          <w:highlight w:val="none"/>
        </w:rPr>
      </w:pPr>
      <w:r>
        <w:rPr>
          <w:rFonts w:hint="eastAsia" w:ascii="宋体" w:hAnsi="宋体"/>
          <w:color w:val="auto"/>
          <w:sz w:val="24"/>
          <w:highlight w:val="none"/>
        </w:rPr>
        <w:t xml:space="preserve">                          </w:t>
      </w:r>
    </w:p>
    <w:p>
      <w:pPr>
        <w:pStyle w:val="47"/>
        <w:adjustRightInd w:val="0"/>
        <w:snapToGrid w:val="0"/>
        <w:spacing w:line="360" w:lineRule="auto"/>
        <w:ind w:right="11"/>
        <w:rPr>
          <w:rFonts w:ascii="宋体" w:hAnsi="宋体"/>
          <w:color w:val="auto"/>
          <w:sz w:val="24"/>
          <w:highlight w:val="none"/>
        </w:rPr>
      </w:pPr>
      <w:r>
        <w:rPr>
          <w:rFonts w:hint="eastAsia" w:ascii="宋体" w:hAnsi="宋体"/>
          <w:color w:val="auto"/>
          <w:sz w:val="24"/>
          <w:highlight w:val="none"/>
        </w:rPr>
        <w:t>法定代表人：                           法定代表人：</w:t>
      </w:r>
    </w:p>
    <w:p>
      <w:pPr>
        <w:pStyle w:val="47"/>
        <w:tabs>
          <w:tab w:val="left" w:pos="5460"/>
        </w:tabs>
        <w:adjustRightInd w:val="0"/>
        <w:snapToGrid w:val="0"/>
        <w:spacing w:line="360" w:lineRule="auto"/>
        <w:ind w:left="-2" w:leftChars="-1" w:right="11"/>
        <w:rPr>
          <w:rFonts w:ascii="宋体" w:hAnsi="宋体"/>
          <w:color w:val="auto"/>
          <w:sz w:val="24"/>
          <w:highlight w:val="none"/>
        </w:rPr>
      </w:pPr>
    </w:p>
    <w:p>
      <w:pPr>
        <w:pStyle w:val="47"/>
        <w:tabs>
          <w:tab w:val="left" w:pos="5460"/>
        </w:tabs>
        <w:adjustRightInd w:val="0"/>
        <w:snapToGrid w:val="0"/>
        <w:spacing w:line="360" w:lineRule="auto"/>
        <w:ind w:left="-2" w:leftChars="-1" w:right="11"/>
        <w:rPr>
          <w:rFonts w:ascii="宋体" w:hAnsi="宋体"/>
          <w:color w:val="auto"/>
          <w:sz w:val="24"/>
          <w:highlight w:val="none"/>
        </w:rPr>
      </w:pPr>
      <w:r>
        <w:rPr>
          <w:rFonts w:hint="eastAsia" w:ascii="宋体" w:hAnsi="宋体"/>
          <w:color w:val="auto"/>
          <w:sz w:val="24"/>
          <w:highlight w:val="none"/>
        </w:rPr>
        <w:t>委托代理人：                           委托代理人：</w:t>
      </w:r>
    </w:p>
    <w:p>
      <w:pPr>
        <w:pStyle w:val="47"/>
        <w:tabs>
          <w:tab w:val="left" w:pos="5460"/>
        </w:tabs>
        <w:adjustRightInd w:val="0"/>
        <w:snapToGrid w:val="0"/>
        <w:spacing w:line="400" w:lineRule="exact"/>
        <w:ind w:left="-2" w:leftChars="-1" w:right="11"/>
        <w:rPr>
          <w:rFonts w:ascii="宋体" w:hAnsi="宋体"/>
          <w:color w:val="auto"/>
          <w:sz w:val="24"/>
          <w:highlight w:val="none"/>
        </w:rPr>
      </w:pPr>
    </w:p>
    <w:p>
      <w:pPr>
        <w:pStyle w:val="47"/>
        <w:tabs>
          <w:tab w:val="left" w:pos="5460"/>
        </w:tabs>
        <w:adjustRightInd w:val="0"/>
        <w:snapToGrid w:val="0"/>
        <w:spacing w:line="400" w:lineRule="exact"/>
        <w:ind w:left="-2" w:leftChars="-1" w:right="11"/>
        <w:rPr>
          <w:rFonts w:ascii="宋体" w:hAnsi="宋体"/>
          <w:color w:val="auto"/>
          <w:sz w:val="24"/>
          <w:highlight w:val="none"/>
        </w:rPr>
      </w:pPr>
      <w:r>
        <w:rPr>
          <w:rFonts w:hint="eastAsia" w:ascii="宋体" w:hAnsi="宋体"/>
          <w:color w:val="auto"/>
          <w:sz w:val="24"/>
          <w:highlight w:val="none"/>
        </w:rPr>
        <w:t>签约日期：</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日                      </w:t>
      </w:r>
    </w:p>
    <w:p>
      <w:pPr>
        <w:pStyle w:val="47"/>
        <w:spacing w:line="400" w:lineRule="exact"/>
        <w:rPr>
          <w:rFonts w:hAnsi="宋体" w:eastAsia="仿宋_GB2312"/>
          <w:color w:val="auto"/>
          <w:sz w:val="28"/>
          <w:szCs w:val="28"/>
          <w:highlight w:val="none"/>
        </w:rPr>
      </w:pPr>
      <w:r>
        <w:rPr>
          <w:rFonts w:hint="eastAsia" w:ascii="宋体" w:hAnsi="宋体"/>
          <w:color w:val="auto"/>
          <w:sz w:val="24"/>
          <w:highlight w:val="none"/>
        </w:rPr>
        <w:t>签约地点：广东省广州市黄埔区。</w:t>
      </w:r>
    </w:p>
    <w:p>
      <w:pPr>
        <w:jc w:val="left"/>
        <w:rPr>
          <w:rFonts w:hint="eastAsia" w:ascii="宋体" w:hAnsi="宋体" w:eastAsia="宋体" w:cs="宋体"/>
          <w:color w:val="auto"/>
          <w:highlight w:val="none"/>
        </w:rPr>
      </w:pPr>
    </w:p>
    <w:p>
      <w:pPr>
        <w:pStyle w:val="3"/>
        <w:jc w:val="center"/>
        <w:rPr>
          <w:rFonts w:hint="eastAsia" w:ascii="宋体" w:hAnsi="宋体" w:eastAsia="宋体" w:cs="宋体"/>
          <w:b/>
          <w:bCs w:val="0"/>
          <w:color w:val="auto"/>
          <w:sz w:val="32"/>
          <w:szCs w:val="32"/>
          <w:highlight w:val="none"/>
        </w:rPr>
      </w:pP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rPr>
          <w:rFonts w:hint="eastAsia"/>
          <w:color w:val="auto"/>
          <w:highlight w:val="none"/>
        </w:rPr>
      </w:pPr>
      <w:bookmarkStart w:id="31" w:name="_Toc30083"/>
    </w:p>
    <w:p>
      <w:pPr>
        <w:pStyle w:val="3"/>
        <w:jc w:val="center"/>
        <w:rPr>
          <w:rFonts w:hint="eastAsia" w:ascii="宋体" w:hAnsi="宋体" w:eastAsia="宋体" w:cs="宋体"/>
          <w:b/>
          <w:bCs w:val="0"/>
          <w:color w:val="auto"/>
          <w:sz w:val="32"/>
          <w:szCs w:val="32"/>
          <w:highlight w:val="none"/>
        </w:rPr>
      </w:pPr>
      <w:r>
        <w:rPr>
          <w:rFonts w:hint="eastAsia" w:ascii="宋体" w:hAnsi="宋体" w:eastAsia="宋体" w:cs="宋体"/>
          <w:b/>
          <w:bCs w:val="0"/>
          <w:color w:val="auto"/>
          <w:sz w:val="32"/>
          <w:szCs w:val="32"/>
          <w:highlight w:val="none"/>
        </w:rPr>
        <w:t>第四章  投标文件格式</w:t>
      </w:r>
      <w:bookmarkEnd w:id="31"/>
    </w:p>
    <w:p>
      <w:pPr>
        <w:autoSpaceDE w:val="0"/>
        <w:autoSpaceDN w:val="0"/>
        <w:adjustRightInd w:val="0"/>
        <w:spacing w:line="360" w:lineRule="auto"/>
        <w:rPr>
          <w:rFonts w:hint="eastAsia" w:ascii="宋体" w:hAnsi="宋体" w:eastAsia="宋体" w:cs="宋体"/>
          <w:color w:val="auto"/>
          <w:sz w:val="32"/>
          <w:szCs w:val="32"/>
          <w:highlight w:val="none"/>
        </w:rPr>
      </w:pPr>
    </w:p>
    <w:p>
      <w:pPr>
        <w:autoSpaceDE w:val="0"/>
        <w:autoSpaceDN w:val="0"/>
        <w:adjustRightInd w:val="0"/>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w:t>
      </w:r>
      <w:r>
        <w:rPr>
          <w:rFonts w:ascii="宋体"/>
          <w:color w:val="auto"/>
          <w:sz w:val="32"/>
          <w:szCs w:val="32"/>
          <w:highlight w:val="none"/>
        </w:rPr>
        <w:t>投标文件</w:t>
      </w:r>
      <w:r>
        <w:rPr>
          <w:rFonts w:hint="eastAsia" w:ascii="宋体"/>
          <w:color w:val="auto"/>
          <w:sz w:val="32"/>
          <w:szCs w:val="32"/>
          <w:highlight w:val="none"/>
        </w:rPr>
        <w:t>技术标部分（含资格审查文件）</w:t>
      </w:r>
      <w:r>
        <w:rPr>
          <w:rFonts w:ascii="宋体"/>
          <w:color w:val="auto"/>
          <w:sz w:val="32"/>
          <w:szCs w:val="32"/>
          <w:highlight w:val="none"/>
        </w:rPr>
        <w:t>格式</w:t>
      </w:r>
    </w:p>
    <w:p>
      <w:pPr>
        <w:topLinePunct w:val="0"/>
        <w:adjustRightInd/>
        <w:snapToGrid/>
        <w:spacing w:after="0" w:afterLines="-2147483648"/>
        <w:jc w:val="left"/>
        <w:rPr>
          <w:rFonts w:hint="eastAsia" w:ascii="宋体" w:hAnsi="宋体" w:eastAsia="宋体" w:cs="宋体"/>
          <w:bCs/>
          <w:color w:val="auto"/>
          <w:spacing w:val="4"/>
          <w:kern w:val="0"/>
          <w:sz w:val="24"/>
          <w:szCs w:val="24"/>
          <w:highlight w:val="none"/>
        </w:rPr>
      </w:pPr>
      <w:bookmarkStart w:id="32" w:name="_Toc6493845"/>
    </w:p>
    <w:p>
      <w:pPr>
        <w:topLinePunct/>
        <w:adjustRightInd w:val="0"/>
        <w:snapToGrid w:val="0"/>
        <w:spacing w:after="156" w:afterLines="50"/>
        <w:jc w:val="left"/>
        <w:rPr>
          <w:rFonts w:hint="eastAsia" w:ascii="宋体" w:hAnsi="宋体" w:eastAsia="宋体" w:cs="宋体"/>
          <w:bCs/>
          <w:color w:val="auto"/>
          <w:spacing w:val="4"/>
          <w:kern w:val="0"/>
          <w:sz w:val="24"/>
          <w:szCs w:val="24"/>
          <w:highlight w:val="none"/>
          <w:lang w:eastAsia="zh-CN"/>
        </w:rPr>
      </w:pPr>
      <w:r>
        <w:rPr>
          <w:rFonts w:hint="eastAsia"/>
          <w:color w:val="auto"/>
          <w:sz w:val="24"/>
          <w:szCs w:val="24"/>
          <w:highlight w:val="none"/>
        </w:rPr>
        <w:t>技术标</w:t>
      </w:r>
      <w:r>
        <w:rPr>
          <w:rFonts w:hint="eastAsia" w:ascii="宋体" w:hAnsi="宋体" w:eastAsia="宋体" w:cs="宋体"/>
          <w:bCs/>
          <w:color w:val="auto"/>
          <w:spacing w:val="4"/>
          <w:kern w:val="0"/>
          <w:sz w:val="24"/>
          <w:szCs w:val="24"/>
          <w:highlight w:val="none"/>
        </w:rPr>
        <w:t>格式一</w:t>
      </w:r>
      <w:bookmarkEnd w:id="32"/>
      <w:r>
        <w:rPr>
          <w:rFonts w:hint="eastAsia" w:ascii="宋体" w:hAnsi="宋体" w:cs="宋体"/>
          <w:bCs/>
          <w:color w:val="auto"/>
          <w:spacing w:val="4"/>
          <w:kern w:val="0"/>
          <w:sz w:val="24"/>
          <w:szCs w:val="24"/>
          <w:highlight w:val="none"/>
          <w:lang w:eastAsia="zh-CN"/>
        </w:rPr>
        <w:t>：</w:t>
      </w:r>
    </w:p>
    <w:p>
      <w:pPr>
        <w:autoSpaceDE w:val="0"/>
        <w:autoSpaceDN w:val="0"/>
        <w:adjustRightInd w:val="0"/>
        <w:jc w:val="center"/>
        <w:outlineLvl w:val="1"/>
        <w:rPr>
          <w:rFonts w:hint="eastAsia" w:ascii="宋体" w:hAnsi="宋体" w:eastAsia="宋体" w:cs="宋体"/>
          <w:b/>
          <w:bCs/>
          <w:color w:val="auto"/>
          <w:sz w:val="36"/>
          <w:szCs w:val="36"/>
          <w:highlight w:val="none"/>
          <w:lang w:val="zh-CN"/>
        </w:rPr>
      </w:pPr>
      <w:bookmarkStart w:id="33" w:name="_Toc10308"/>
      <w:bookmarkStart w:id="34" w:name="_Toc17590"/>
      <w:r>
        <w:rPr>
          <w:rFonts w:hint="eastAsia" w:ascii="宋体" w:hAnsi="宋体" w:eastAsia="宋体" w:cs="宋体"/>
          <w:b/>
          <w:bCs/>
          <w:color w:val="auto"/>
          <w:sz w:val="36"/>
          <w:szCs w:val="36"/>
          <w:highlight w:val="none"/>
          <w:lang w:val="zh-CN"/>
        </w:rPr>
        <w:t>广州建设工程施工招标投标书（技术标）</w:t>
      </w:r>
      <w:bookmarkEnd w:id="33"/>
      <w:bookmarkEnd w:id="34"/>
    </w:p>
    <w:tbl>
      <w:tblPr>
        <w:tblStyle w:val="20"/>
        <w:tblpPr w:leftFromText="180" w:rightFromText="180" w:vertAnchor="text" w:horzAnchor="margin" w:tblpXSpec="center" w:tblpY="27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4"/>
        <w:gridCol w:w="2211"/>
        <w:gridCol w:w="3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33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宋体"/>
                <w:bCs/>
                <w:color w:val="auto"/>
                <w:sz w:val="24"/>
                <w:szCs w:val="24"/>
                <w:highlight w:val="none"/>
                <w:lang w:val="zh-CN"/>
              </w:rPr>
            </w:pPr>
            <w:r>
              <w:rPr>
                <w:rFonts w:hint="eastAsia" w:ascii="宋体" w:hAnsi="宋体" w:eastAsia="宋体" w:cs="宋体"/>
                <w:color w:val="auto"/>
                <w:sz w:val="24"/>
                <w:szCs w:val="24"/>
                <w:highlight w:val="none"/>
                <w:lang w:val="zh-CN"/>
              </w:rPr>
              <w:t>工 程 名 称</w:t>
            </w:r>
          </w:p>
        </w:tc>
        <w:tc>
          <w:tcPr>
            <w:tcW w:w="6045"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宋体" w:hAnsi="宋体" w:eastAsia="宋体" w:cs="宋体"/>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33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投标总工期</w:t>
            </w:r>
          </w:p>
        </w:tc>
        <w:tc>
          <w:tcPr>
            <w:tcW w:w="6045"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宋体" w:hAnsi="宋体" w:eastAsia="宋体" w:cs="宋体"/>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33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工程质量标准</w:t>
            </w:r>
          </w:p>
        </w:tc>
        <w:tc>
          <w:tcPr>
            <w:tcW w:w="6045"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宋体" w:hAnsi="宋体" w:eastAsia="宋体" w:cs="宋体"/>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3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宋体"/>
                <w:bCs/>
                <w:color w:val="auto"/>
                <w:sz w:val="24"/>
                <w:szCs w:val="24"/>
                <w:highlight w:val="none"/>
                <w:lang w:val="zh-CN"/>
              </w:rPr>
            </w:pPr>
            <w:r>
              <w:rPr>
                <w:rFonts w:hint="eastAsia" w:ascii="宋体" w:hAnsi="宋体" w:eastAsia="宋体" w:cs="宋体"/>
                <w:color w:val="auto"/>
                <w:sz w:val="24"/>
                <w:szCs w:val="24"/>
                <w:highlight w:val="none"/>
                <w:lang w:val="zh-CN"/>
              </w:rPr>
              <w:t>保 修 期 限</w:t>
            </w:r>
          </w:p>
        </w:tc>
        <w:tc>
          <w:tcPr>
            <w:tcW w:w="6045"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宋体" w:hAnsi="宋体" w:eastAsia="宋体" w:cs="宋体"/>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3334" w:type="dxa"/>
            <w:tcBorders>
              <w:top w:val="single" w:color="auto" w:sz="4" w:space="0"/>
              <w:left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宋体"/>
                <w:bCs/>
                <w:color w:val="auto"/>
                <w:sz w:val="24"/>
                <w:szCs w:val="24"/>
                <w:highlight w:val="none"/>
                <w:lang w:val="zh-CN"/>
              </w:rPr>
            </w:pPr>
            <w:r>
              <w:rPr>
                <w:rFonts w:hint="eastAsia" w:ascii="宋体" w:hAnsi="宋体" w:eastAsia="宋体" w:cs="宋体"/>
                <w:color w:val="auto"/>
                <w:sz w:val="24"/>
                <w:szCs w:val="24"/>
                <w:highlight w:val="none"/>
                <w:lang w:val="zh-CN"/>
              </w:rPr>
              <w:t>委派的项目负责人</w:t>
            </w:r>
          </w:p>
        </w:tc>
        <w:tc>
          <w:tcPr>
            <w:tcW w:w="22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   名</w:t>
            </w:r>
          </w:p>
        </w:tc>
        <w:tc>
          <w:tcPr>
            <w:tcW w:w="3834"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宋体" w:hAnsi="宋体" w:eastAsia="宋体" w:cs="宋体"/>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3334" w:type="dxa"/>
            <w:tcBorders>
              <w:top w:val="single" w:color="auto" w:sz="4" w:space="0"/>
              <w:left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委派的专职安全员</w:t>
            </w:r>
          </w:p>
        </w:tc>
        <w:tc>
          <w:tcPr>
            <w:tcW w:w="221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姓   名</w:t>
            </w:r>
          </w:p>
        </w:tc>
        <w:tc>
          <w:tcPr>
            <w:tcW w:w="3834"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宋体" w:hAnsi="宋体" w:eastAsia="宋体" w:cs="宋体"/>
                <w:bCs/>
                <w:color w:val="auto"/>
                <w:sz w:val="24"/>
                <w:szCs w:val="24"/>
                <w:highlight w:val="none"/>
                <w:lang w:val="zh-CN"/>
              </w:rPr>
            </w:pPr>
          </w:p>
        </w:tc>
      </w:tr>
    </w:tbl>
    <w:p>
      <w:pPr>
        <w:autoSpaceDE w:val="0"/>
        <w:autoSpaceDN w:val="0"/>
        <w:adjustRightInd w:val="0"/>
        <w:spacing w:line="360" w:lineRule="auto"/>
        <w:rPr>
          <w:rFonts w:hint="eastAsia" w:ascii="宋体" w:hAnsi="宋体" w:eastAsia="宋体" w:cs="宋体"/>
          <w:snapToGrid w:val="0"/>
          <w:color w:val="auto"/>
          <w:spacing w:val="4"/>
          <w:kern w:val="0"/>
          <w:sz w:val="24"/>
          <w:szCs w:val="24"/>
          <w:highlight w:val="none"/>
          <w:lang w:eastAsia="zh-CN"/>
        </w:rPr>
      </w:pPr>
      <w:r>
        <w:rPr>
          <w:rFonts w:hint="eastAsia" w:ascii="宋体" w:hAnsi="宋体" w:eastAsia="宋体" w:cs="宋体"/>
          <w:b/>
          <w:color w:val="auto"/>
          <w:highlight w:val="none"/>
        </w:rPr>
        <w:br w:type="page"/>
      </w:r>
      <w:r>
        <w:rPr>
          <w:rFonts w:hint="eastAsia"/>
          <w:color w:val="auto"/>
          <w:sz w:val="24"/>
          <w:szCs w:val="24"/>
          <w:highlight w:val="none"/>
        </w:rPr>
        <w:t>技术标</w:t>
      </w:r>
      <w:r>
        <w:rPr>
          <w:rFonts w:hint="eastAsia" w:ascii="宋体" w:hAnsi="宋体" w:eastAsia="宋体" w:cs="宋体"/>
          <w:bCs/>
          <w:color w:val="auto"/>
          <w:sz w:val="24"/>
          <w:szCs w:val="24"/>
          <w:highlight w:val="none"/>
        </w:rPr>
        <w:t>格式二</w:t>
      </w:r>
      <w:r>
        <w:rPr>
          <w:rFonts w:hint="eastAsia" w:ascii="宋体" w:hAnsi="宋体" w:cs="宋体"/>
          <w:bCs/>
          <w:color w:val="auto"/>
          <w:sz w:val="24"/>
          <w:szCs w:val="24"/>
          <w:highlight w:val="none"/>
          <w:lang w:eastAsia="zh-CN"/>
        </w:rPr>
        <w:t>：</w:t>
      </w:r>
    </w:p>
    <w:p>
      <w:pPr>
        <w:topLinePunct/>
        <w:adjustRightInd w:val="0"/>
        <w:snapToGrid w:val="0"/>
        <w:spacing w:line="360" w:lineRule="auto"/>
        <w:jc w:val="center"/>
        <w:rPr>
          <w:rFonts w:hint="eastAsia" w:ascii="宋体" w:hAnsi="宋体" w:eastAsia="宋体" w:cs="宋体"/>
          <w:b/>
          <w:snapToGrid w:val="0"/>
          <w:color w:val="auto"/>
          <w:spacing w:val="4"/>
          <w:kern w:val="0"/>
          <w:sz w:val="32"/>
          <w:szCs w:val="32"/>
          <w:highlight w:val="none"/>
        </w:rPr>
      </w:pPr>
      <w:r>
        <w:rPr>
          <w:rFonts w:hint="eastAsia" w:ascii="宋体" w:hAnsi="宋体" w:eastAsia="宋体" w:cs="宋体"/>
          <w:b/>
          <w:snapToGrid w:val="0"/>
          <w:color w:val="auto"/>
          <w:spacing w:val="4"/>
          <w:kern w:val="0"/>
          <w:sz w:val="32"/>
          <w:szCs w:val="32"/>
          <w:highlight w:val="none"/>
        </w:rPr>
        <w:t>投 标 函</w:t>
      </w:r>
    </w:p>
    <w:p>
      <w:pPr>
        <w:topLinePunct/>
        <w:adjustRightInd w:val="0"/>
        <w:snapToGrid w:val="0"/>
        <w:spacing w:line="360" w:lineRule="auto"/>
        <w:rPr>
          <w:rFonts w:hint="eastAsia" w:ascii="宋体" w:hAnsi="宋体" w:eastAsia="宋体" w:cs="宋体"/>
          <w:snapToGrid w:val="0"/>
          <w:color w:val="auto"/>
          <w:spacing w:val="4"/>
          <w:kern w:val="0"/>
          <w:sz w:val="24"/>
          <w:szCs w:val="24"/>
          <w:highlight w:val="none"/>
        </w:rPr>
      </w:pPr>
      <w:r>
        <w:rPr>
          <w:rFonts w:hint="eastAsia" w:ascii="宋体" w:hAnsi="宋体" w:eastAsia="宋体" w:cs="宋体"/>
          <w:snapToGrid w:val="0"/>
          <w:color w:val="auto"/>
          <w:spacing w:val="4"/>
          <w:kern w:val="0"/>
          <w:sz w:val="24"/>
          <w:szCs w:val="24"/>
          <w:highlight w:val="none"/>
        </w:rPr>
        <w:t>致：</w:t>
      </w:r>
      <w:r>
        <w:rPr>
          <w:rFonts w:hint="eastAsia" w:ascii="宋体" w:hAnsi="宋体" w:eastAsia="宋体" w:cs="宋体"/>
          <w:snapToGrid w:val="0"/>
          <w:color w:val="auto"/>
          <w:spacing w:val="4"/>
          <w:kern w:val="0"/>
          <w:sz w:val="24"/>
          <w:szCs w:val="24"/>
          <w:highlight w:val="none"/>
          <w:u w:val="single"/>
        </w:rPr>
        <w:t xml:space="preserve"> （招标人名称）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1.根据已收到贵方的项目编号为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工程的招标文件，并已详细审核了全部招标文件及有关附件。</w:t>
      </w:r>
    </w:p>
    <w:p>
      <w:pPr>
        <w:snapToGrid w:val="0"/>
        <w:spacing w:line="360" w:lineRule="auto"/>
        <w:ind w:firstLine="523" w:firstLineChars="218"/>
        <w:rPr>
          <w:rFonts w:hint="eastAsia" w:ascii="宋体" w:hAnsi="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cs="宋体"/>
          <w:color w:val="auto"/>
          <w:sz w:val="24"/>
          <w:szCs w:val="24"/>
          <w:highlight w:val="none"/>
        </w:rPr>
        <w:t>遵照《中华人民共和国招标投标法》、《中华人民共和国招标投标法实施条例》、《广东省实施〈中华人民共和国招标投标法〉办法》、等有关规定，经考察现场和研究上述招标文件的投标须知、合同条款、标准和技术规范、图纸、工程量清单及其他有关文件后，我方承诺：</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愿以经济标中的投标报价并按上述合同条款、标准和技术规范、图纸、工程量清单等的要求承包上述工程的施工、竣工并修补其任何缺陷。</w:t>
      </w:r>
    </w:p>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3.我方同意所递交的投标文件在投标须知规定的投标有效期内有效，在此期间内我方的投标有可能中标，我方将受此约束。如果在投标有效期内撤回投标或放弃中标资格，我方的投标担保将不予退还，给贵方造成的损失超过我方投标担保金额的，贵方还有权要求我方对超过部分进行赔偿。</w:t>
      </w:r>
    </w:p>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4.我方理解贵方将不受必须接受你们所收到的最低标价或其它任何投标文件的约束。</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5.如果我方中标，我方保证按招标文件中规定的工期，在</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日历天内完成并移交本工程，质量标准达到</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要求。</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6.如果我方中标，我方将按照规定递交由招标人认可，并在招标文件中规定金额的履约保函。</w:t>
      </w:r>
    </w:p>
    <w:p>
      <w:pPr>
        <w:spacing w:line="360" w:lineRule="auto"/>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7.除非另外达成协议并生效，贵方的中标通知书和本投标文件将成为约束双方的合同文件的组成部分。</w:t>
      </w:r>
    </w:p>
    <w:p>
      <w:pPr>
        <w:spacing w:line="360" w:lineRule="auto"/>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8.如果我方中标，我方将实行项目经理负责制，并按投标文件配备项目管理班子。如未经招标人同意更换项目班子成员，招标人有权取消我公司的中标资格或单方面终止合同，由此造成的违约责任由我公司承担。</w:t>
      </w:r>
    </w:p>
    <w:p>
      <w:pPr>
        <w:spacing w:line="360" w:lineRule="auto"/>
        <w:ind w:firstLine="481"/>
        <w:rPr>
          <w:rFonts w:hint="eastAsia" w:ascii="宋体" w:hAnsi="宋体" w:cs="宋体"/>
          <w:b/>
          <w:bCs/>
          <w:color w:val="auto"/>
          <w:kern w:val="0"/>
          <w:sz w:val="24"/>
          <w:szCs w:val="24"/>
          <w:highlight w:val="none"/>
        </w:rPr>
      </w:pPr>
      <w:r>
        <w:rPr>
          <w:rFonts w:hint="eastAsia" w:ascii="宋体" w:hAnsi="宋体" w:cs="宋体"/>
          <w:b/>
          <w:bCs/>
          <w:color w:val="auto"/>
          <w:sz w:val="24"/>
          <w:szCs w:val="24"/>
          <w:highlight w:val="none"/>
        </w:rPr>
        <w:t>9.</w:t>
      </w:r>
      <w:r>
        <w:rPr>
          <w:rFonts w:hint="eastAsia" w:ascii="宋体" w:hAnsi="宋体" w:cs="宋体"/>
          <w:b/>
          <w:bCs/>
          <w:color w:val="auto"/>
          <w:kern w:val="0"/>
          <w:sz w:val="24"/>
          <w:szCs w:val="24"/>
          <w:highlight w:val="none"/>
        </w:rPr>
        <w:t>如我方中标,我方承诺：须按《广州开发区财政投资建设项目管理中心施工类合同结算编审指引（试行）》及广州开发区有关规定编制及办理建设项目工程结算。本公司未按上述规定的期限和内容编制及办理建设项目工程结算，经建设业主或代建单位或监理人书面通知之日起2个月内（最长期限不得超过6个月）仍未提交编制及办理建设项目工程结算的相关文件的，监理人和建设业主有权根据建设业主已有资料进行审核并报财政部门审定，财政部门审定的竣工结算合同总价视同是经我方认可的工程竣工结算合同总价。</w:t>
      </w:r>
    </w:p>
    <w:p>
      <w:pPr>
        <w:spacing w:line="360" w:lineRule="auto"/>
        <w:ind w:firstLine="481"/>
        <w:rPr>
          <w:rFonts w:hint="eastAsia" w:ascii="宋体" w:hAnsi="宋体" w:cs="宋体"/>
          <w:snapToGrid w:val="0"/>
          <w:color w:val="auto"/>
          <w:spacing w:val="4"/>
          <w:kern w:val="0"/>
          <w:sz w:val="24"/>
          <w:szCs w:val="24"/>
          <w:highlight w:val="none"/>
        </w:rPr>
      </w:pPr>
    </w:p>
    <w:p>
      <w:pPr>
        <w:topLinePunct/>
        <w:adjustRightInd w:val="0"/>
        <w:snapToGrid w:val="0"/>
        <w:spacing w:line="360" w:lineRule="auto"/>
        <w:ind w:firstLine="691" w:firstLineChars="279"/>
        <w:rPr>
          <w:rFonts w:hint="eastAsia" w:ascii="宋体" w:hAnsi="宋体" w:cs="宋体"/>
          <w:snapToGrid w:val="0"/>
          <w:color w:val="auto"/>
          <w:spacing w:val="4"/>
          <w:kern w:val="0"/>
          <w:sz w:val="24"/>
          <w:szCs w:val="24"/>
          <w:highlight w:val="none"/>
        </w:rPr>
      </w:pPr>
      <w:r>
        <w:rPr>
          <w:rFonts w:hint="eastAsia" w:ascii="宋体" w:hAnsi="宋体" w:cs="宋体"/>
          <w:snapToGrid w:val="0"/>
          <w:color w:val="auto"/>
          <w:spacing w:val="4"/>
          <w:kern w:val="0"/>
          <w:sz w:val="24"/>
          <w:szCs w:val="24"/>
          <w:highlight w:val="none"/>
        </w:rPr>
        <w:t xml:space="preserve">投 标 人（盖章）：    </w:t>
      </w:r>
    </w:p>
    <w:p>
      <w:pPr>
        <w:topLinePunct/>
        <w:adjustRightInd w:val="0"/>
        <w:snapToGrid w:val="0"/>
        <w:spacing w:line="360" w:lineRule="auto"/>
        <w:ind w:firstLine="691" w:firstLineChars="279"/>
        <w:rPr>
          <w:rFonts w:hint="eastAsia" w:ascii="宋体" w:hAnsi="宋体" w:cs="宋体"/>
          <w:snapToGrid w:val="0"/>
          <w:color w:val="auto"/>
          <w:spacing w:val="4"/>
          <w:kern w:val="0"/>
          <w:sz w:val="24"/>
          <w:szCs w:val="24"/>
          <w:highlight w:val="none"/>
        </w:rPr>
      </w:pPr>
      <w:r>
        <w:rPr>
          <w:rFonts w:hint="eastAsia" w:ascii="宋体" w:hAnsi="宋体" w:cs="宋体"/>
          <w:snapToGrid w:val="0"/>
          <w:color w:val="auto"/>
          <w:spacing w:val="4"/>
          <w:kern w:val="0"/>
          <w:sz w:val="24"/>
          <w:szCs w:val="24"/>
          <w:highlight w:val="none"/>
        </w:rPr>
        <w:t>法定代表人或授权代理人（签字或盖章）：</w:t>
      </w:r>
    </w:p>
    <w:p>
      <w:pPr>
        <w:topLinePunct/>
        <w:adjustRightInd w:val="0"/>
        <w:snapToGrid w:val="0"/>
        <w:spacing w:line="360" w:lineRule="auto"/>
        <w:ind w:firstLine="691" w:firstLineChars="279"/>
        <w:rPr>
          <w:rFonts w:hint="eastAsia" w:ascii="宋体" w:hAnsi="宋体" w:cs="宋体"/>
          <w:snapToGrid w:val="0"/>
          <w:color w:val="auto"/>
          <w:spacing w:val="4"/>
          <w:kern w:val="0"/>
          <w:sz w:val="24"/>
          <w:szCs w:val="24"/>
          <w:highlight w:val="none"/>
        </w:rPr>
      </w:pPr>
      <w:r>
        <w:rPr>
          <w:rFonts w:hint="eastAsia" w:ascii="宋体" w:hAnsi="宋体" w:cs="宋体"/>
          <w:snapToGrid w:val="0"/>
          <w:color w:val="auto"/>
          <w:spacing w:val="4"/>
          <w:kern w:val="0"/>
          <w:sz w:val="24"/>
          <w:szCs w:val="24"/>
          <w:highlight w:val="none"/>
        </w:rPr>
        <w:t xml:space="preserve">日    期：    年    月    日 </w:t>
      </w:r>
    </w:p>
    <w:p>
      <w:pPr>
        <w:topLinePunct/>
        <w:adjustRightInd w:val="0"/>
        <w:snapToGrid w:val="0"/>
        <w:spacing w:line="360" w:lineRule="auto"/>
        <w:ind w:firstLine="691" w:firstLineChars="279"/>
        <w:rPr>
          <w:rFonts w:hint="eastAsia" w:ascii="宋体" w:hAnsi="宋体" w:cs="宋体"/>
          <w:snapToGrid w:val="0"/>
          <w:color w:val="auto"/>
          <w:spacing w:val="4"/>
          <w:kern w:val="0"/>
          <w:sz w:val="24"/>
          <w:szCs w:val="24"/>
          <w:highlight w:val="none"/>
        </w:rPr>
      </w:pPr>
    </w:p>
    <w:p>
      <w:pPr>
        <w:spacing w:line="360" w:lineRule="auto"/>
        <w:jc w:val="left"/>
        <w:rPr>
          <w:rFonts w:hint="eastAsia" w:ascii="宋体" w:hAnsi="宋体" w:cs="宋体"/>
          <w:color w:val="auto"/>
          <w:sz w:val="24"/>
          <w:szCs w:val="24"/>
          <w:highlight w:val="none"/>
        </w:rPr>
      </w:pPr>
    </w:p>
    <w:p>
      <w:pPr>
        <w:spacing w:line="360" w:lineRule="auto"/>
        <w:jc w:val="left"/>
        <w:rPr>
          <w:rFonts w:hint="eastAsia" w:ascii="宋体" w:hAnsi="宋体" w:cs="宋体"/>
          <w:color w:val="auto"/>
          <w:szCs w:val="21"/>
          <w:highlight w:val="none"/>
        </w:rPr>
      </w:pPr>
    </w:p>
    <w:p>
      <w:pPr>
        <w:topLinePunct/>
        <w:adjustRightInd w:val="0"/>
        <w:snapToGrid w:val="0"/>
        <w:spacing w:line="360" w:lineRule="auto"/>
        <w:ind w:firstLine="585" w:firstLineChars="279"/>
        <w:rPr>
          <w:rFonts w:hint="eastAsia" w:ascii="宋体" w:hAnsi="宋体" w:eastAsia="宋体" w:cs="宋体"/>
          <w:b/>
          <w:color w:val="auto"/>
          <w:sz w:val="24"/>
          <w:szCs w:val="24"/>
          <w:highlight w:val="none"/>
        </w:rPr>
      </w:pPr>
      <w:r>
        <w:rPr>
          <w:rFonts w:hint="eastAsia" w:ascii="宋体" w:hAnsi="宋体" w:cs="宋体"/>
          <w:color w:val="auto"/>
          <w:szCs w:val="21"/>
          <w:highlight w:val="none"/>
        </w:rPr>
        <w:t>注：《投标函》第5条内容“在</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日历天内完成并移交本工程”横线上要求按照本工程《广州建设工程施工招标投标书（技术标）》承诺的投标总工期填写，否则视作未按规定的格式填写，作无效标处理；《投标函》第5条内容“质量标准达到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要求”横线上要求按照本工程《广州建设工程施工招标投标书（技术标）》承诺的质量标准填写，否则视作未按规定的格式填写，作无效标处理</w:t>
      </w:r>
      <w:r>
        <w:rPr>
          <w:rFonts w:hint="eastAsia" w:ascii="宋体" w:hAnsi="宋体" w:cs="宋体"/>
          <w:snapToGrid w:val="0"/>
          <w:color w:val="auto"/>
          <w:spacing w:val="4"/>
          <w:kern w:val="0"/>
          <w:sz w:val="24"/>
          <w:szCs w:val="24"/>
          <w:highlight w:val="none"/>
          <w:lang w:eastAsia="zh-CN"/>
        </w:rPr>
        <w:t>。</w:t>
      </w:r>
      <w:r>
        <w:rPr>
          <w:rFonts w:hint="eastAsia" w:ascii="宋体" w:hAnsi="宋体" w:eastAsia="宋体" w:cs="宋体"/>
          <w:snapToGrid w:val="0"/>
          <w:color w:val="auto"/>
          <w:spacing w:val="4"/>
          <w:kern w:val="0"/>
          <w:sz w:val="24"/>
          <w:szCs w:val="24"/>
          <w:highlight w:val="none"/>
        </w:rPr>
        <w:t xml:space="preserve"> </w:t>
      </w:r>
    </w:p>
    <w:p>
      <w:pPr>
        <w:widowControl/>
        <w:snapToGrid w:val="0"/>
        <w:spacing w:line="360" w:lineRule="auto"/>
        <w:ind w:right="102"/>
        <w:jc w:val="left"/>
        <w:rPr>
          <w:rFonts w:hint="eastAsia" w:ascii="宋体" w:hAnsi="宋体" w:eastAsia="宋体" w:cs="宋体"/>
          <w:color w:val="auto"/>
          <w:sz w:val="24"/>
          <w:szCs w:val="24"/>
          <w:highlight w:val="none"/>
          <w:lang w:eastAsia="zh-CN"/>
        </w:rPr>
      </w:pPr>
      <w:bookmarkStart w:id="35" w:name="_Toc474749524"/>
      <w:bookmarkStart w:id="36" w:name="_Toc478375101"/>
      <w:r>
        <w:rPr>
          <w:rFonts w:hint="eastAsia" w:ascii="宋体" w:hAnsi="宋体" w:eastAsia="宋体" w:cs="宋体"/>
          <w:bCs/>
          <w:color w:val="auto"/>
          <w:sz w:val="24"/>
          <w:szCs w:val="24"/>
          <w:highlight w:val="none"/>
        </w:rPr>
        <w:br w:type="page"/>
      </w:r>
      <w:r>
        <w:rPr>
          <w:rFonts w:hint="eastAsia"/>
          <w:color w:val="auto"/>
          <w:sz w:val="24"/>
          <w:szCs w:val="24"/>
          <w:highlight w:val="none"/>
        </w:rPr>
        <w:t>技术标</w:t>
      </w:r>
      <w:r>
        <w:rPr>
          <w:rFonts w:hint="eastAsia" w:ascii="宋体" w:hAnsi="宋体" w:eastAsia="宋体" w:cs="宋体"/>
          <w:color w:val="auto"/>
          <w:sz w:val="24"/>
          <w:szCs w:val="24"/>
          <w:highlight w:val="none"/>
        </w:rPr>
        <w:t>格式三</w:t>
      </w:r>
      <w:r>
        <w:rPr>
          <w:rFonts w:hint="eastAsia" w:ascii="宋体" w:hAnsi="宋体" w:cs="宋体"/>
          <w:color w:val="auto"/>
          <w:sz w:val="24"/>
          <w:szCs w:val="24"/>
          <w:highlight w:val="none"/>
          <w:lang w:eastAsia="zh-CN"/>
        </w:rPr>
        <w:t>：</w:t>
      </w:r>
    </w:p>
    <w:p>
      <w:pPr>
        <w:topLinePunct/>
        <w:adjustRightInd w:val="0"/>
        <w:snapToGrid w:val="0"/>
        <w:spacing w:line="360" w:lineRule="auto"/>
        <w:jc w:val="center"/>
        <w:rPr>
          <w:rFonts w:hint="eastAsia" w:ascii="宋体" w:hAnsi="宋体" w:eastAsia="宋体" w:cs="宋体"/>
          <w:b/>
          <w:color w:val="auto"/>
          <w:spacing w:val="4"/>
          <w:kern w:val="0"/>
          <w:sz w:val="36"/>
          <w:szCs w:val="36"/>
          <w:highlight w:val="none"/>
        </w:rPr>
      </w:pPr>
      <w:r>
        <w:rPr>
          <w:rFonts w:hint="eastAsia" w:ascii="宋体" w:hAnsi="宋体" w:eastAsia="宋体" w:cs="宋体"/>
          <w:b/>
          <w:color w:val="auto"/>
          <w:spacing w:val="4"/>
          <w:kern w:val="0"/>
          <w:sz w:val="36"/>
          <w:szCs w:val="36"/>
          <w:highlight w:val="none"/>
        </w:rPr>
        <w:t>已竣工验收的类似工程业绩表</w:t>
      </w:r>
    </w:p>
    <w:tbl>
      <w:tblPr>
        <w:tblStyle w:val="2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9"/>
        <w:gridCol w:w="2309"/>
        <w:gridCol w:w="2310"/>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trPr>
        <w:tc>
          <w:tcPr>
            <w:tcW w:w="125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w:t>
            </w:r>
          </w:p>
        </w:tc>
        <w:tc>
          <w:tcPr>
            <w:tcW w:w="125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25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25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25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工程名称</w:t>
            </w:r>
          </w:p>
        </w:tc>
        <w:tc>
          <w:tcPr>
            <w:tcW w:w="125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p>
        </w:tc>
        <w:tc>
          <w:tcPr>
            <w:tcW w:w="125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p>
        </w:tc>
        <w:tc>
          <w:tcPr>
            <w:tcW w:w="125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5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项目概况</w:t>
            </w:r>
          </w:p>
        </w:tc>
        <w:tc>
          <w:tcPr>
            <w:tcW w:w="125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p>
        </w:tc>
        <w:tc>
          <w:tcPr>
            <w:tcW w:w="125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p>
        </w:tc>
        <w:tc>
          <w:tcPr>
            <w:tcW w:w="125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25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工程对应的企业资质</w:t>
            </w:r>
          </w:p>
        </w:tc>
        <w:tc>
          <w:tcPr>
            <w:tcW w:w="125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p>
        </w:tc>
        <w:tc>
          <w:tcPr>
            <w:tcW w:w="125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p>
        </w:tc>
        <w:tc>
          <w:tcPr>
            <w:tcW w:w="125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1250" w:type="pct"/>
            <w:tcBorders>
              <w:top w:val="single" w:color="auto" w:sz="4" w:space="0"/>
              <w:left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中标金额或合同金额 (人民币：万元)</w:t>
            </w:r>
          </w:p>
        </w:tc>
        <w:tc>
          <w:tcPr>
            <w:tcW w:w="1250" w:type="pct"/>
            <w:tcBorders>
              <w:top w:val="single" w:color="auto" w:sz="4" w:space="0"/>
              <w:left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p>
        </w:tc>
        <w:tc>
          <w:tcPr>
            <w:tcW w:w="1250" w:type="pct"/>
            <w:tcBorders>
              <w:top w:val="single" w:color="auto" w:sz="4" w:space="0"/>
              <w:left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p>
        </w:tc>
        <w:tc>
          <w:tcPr>
            <w:tcW w:w="1250" w:type="pct"/>
            <w:tcBorders>
              <w:top w:val="single" w:color="auto" w:sz="4" w:space="0"/>
              <w:left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25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竣工日期</w:t>
            </w:r>
          </w:p>
        </w:tc>
        <w:tc>
          <w:tcPr>
            <w:tcW w:w="125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p>
        </w:tc>
        <w:tc>
          <w:tcPr>
            <w:tcW w:w="125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p>
        </w:tc>
        <w:tc>
          <w:tcPr>
            <w:tcW w:w="125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25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项目经理姓名</w:t>
            </w:r>
          </w:p>
        </w:tc>
        <w:tc>
          <w:tcPr>
            <w:tcW w:w="125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p>
        </w:tc>
        <w:tc>
          <w:tcPr>
            <w:tcW w:w="125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p>
        </w:tc>
        <w:tc>
          <w:tcPr>
            <w:tcW w:w="125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25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项目业主名称</w:t>
            </w:r>
          </w:p>
        </w:tc>
        <w:tc>
          <w:tcPr>
            <w:tcW w:w="125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p>
        </w:tc>
        <w:tc>
          <w:tcPr>
            <w:tcW w:w="125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p>
        </w:tc>
        <w:tc>
          <w:tcPr>
            <w:tcW w:w="125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125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竣工质量评定等级</w:t>
            </w:r>
          </w:p>
        </w:tc>
        <w:tc>
          <w:tcPr>
            <w:tcW w:w="125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p>
        </w:tc>
        <w:tc>
          <w:tcPr>
            <w:tcW w:w="125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p>
        </w:tc>
        <w:tc>
          <w:tcPr>
            <w:tcW w:w="125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125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工程获奖情况</w:t>
            </w:r>
          </w:p>
        </w:tc>
        <w:tc>
          <w:tcPr>
            <w:tcW w:w="125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p>
        </w:tc>
        <w:tc>
          <w:tcPr>
            <w:tcW w:w="125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p>
        </w:tc>
        <w:tc>
          <w:tcPr>
            <w:tcW w:w="125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p>
        </w:tc>
      </w:tr>
    </w:tbl>
    <w:p>
      <w:pPr>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w:t>
      </w:r>
      <w:r>
        <w:rPr>
          <w:rFonts w:hint="eastAsia" w:ascii="宋体" w:hAnsi="宋体"/>
          <w:color w:val="auto"/>
          <w:szCs w:val="21"/>
          <w:highlight w:val="none"/>
        </w:rPr>
        <w:t>由投标人按评审要求填写本表，并按《技术标详细审查评分表》要求附相关证明材料。</w:t>
      </w:r>
      <w:r>
        <w:rPr>
          <w:rFonts w:hint="eastAsia" w:ascii="宋体" w:hAnsi="宋体" w:eastAsia="宋体" w:cs="宋体"/>
          <w:color w:val="auto"/>
          <w:szCs w:val="21"/>
          <w:highlight w:val="none"/>
        </w:rPr>
        <w:t xml:space="preserve"> </w:t>
      </w:r>
    </w:p>
    <w:p>
      <w:pPr>
        <w:spacing w:line="360" w:lineRule="auto"/>
        <w:jc w:val="left"/>
        <w:rPr>
          <w:rFonts w:hint="eastAsia" w:ascii="宋体" w:hAnsi="宋体" w:eastAsia="宋体" w:cs="宋体"/>
          <w:color w:val="auto"/>
          <w:szCs w:val="21"/>
          <w:highlight w:val="none"/>
        </w:rPr>
      </w:pPr>
    </w:p>
    <w:p>
      <w:pPr>
        <w:topLinePunct/>
        <w:adjustRightInd w:val="0"/>
        <w:snapToGrid w:val="0"/>
        <w:spacing w:line="360" w:lineRule="auto"/>
        <w:ind w:firstLine="3596" w:firstLineChars="1450"/>
        <w:rPr>
          <w:rFonts w:hint="eastAsia" w:ascii="宋体" w:hAnsi="宋体" w:eastAsia="宋体" w:cs="宋体"/>
          <w:color w:val="auto"/>
          <w:spacing w:val="4"/>
          <w:kern w:val="0"/>
          <w:sz w:val="24"/>
          <w:szCs w:val="24"/>
          <w:highlight w:val="none"/>
        </w:rPr>
      </w:pPr>
      <w:r>
        <w:rPr>
          <w:rFonts w:hint="eastAsia" w:ascii="宋体" w:hAnsi="宋体" w:eastAsia="宋体" w:cs="宋体"/>
          <w:color w:val="auto"/>
          <w:spacing w:val="4"/>
          <w:kern w:val="0"/>
          <w:sz w:val="24"/>
          <w:szCs w:val="24"/>
          <w:highlight w:val="none"/>
        </w:rPr>
        <w:t>投标人（盖章）：　　</w:t>
      </w:r>
    </w:p>
    <w:p>
      <w:pPr>
        <w:topLinePunct/>
        <w:adjustRightInd w:val="0"/>
        <w:snapToGrid w:val="0"/>
        <w:spacing w:line="360" w:lineRule="auto"/>
        <w:ind w:firstLine="3596" w:firstLineChars="1450"/>
        <w:rPr>
          <w:rFonts w:hint="eastAsia" w:ascii="宋体" w:hAnsi="宋体" w:eastAsia="宋体" w:cs="宋体"/>
          <w:color w:val="auto"/>
          <w:spacing w:val="4"/>
          <w:kern w:val="0"/>
          <w:sz w:val="24"/>
          <w:szCs w:val="24"/>
          <w:highlight w:val="none"/>
        </w:rPr>
      </w:pPr>
      <w:r>
        <w:rPr>
          <w:rFonts w:hint="eastAsia" w:ascii="宋体" w:hAnsi="宋体" w:eastAsia="宋体" w:cs="宋体"/>
          <w:color w:val="auto"/>
          <w:spacing w:val="4"/>
          <w:kern w:val="0"/>
          <w:sz w:val="24"/>
          <w:szCs w:val="24"/>
          <w:highlight w:val="none"/>
        </w:rPr>
        <w:t>法定代表人或授权代理人(签字或盖章)：</w:t>
      </w:r>
    </w:p>
    <w:p>
      <w:pPr>
        <w:autoSpaceDE w:val="0"/>
        <w:autoSpaceDN w:val="0"/>
        <w:adjustRightInd w:val="0"/>
        <w:ind w:firstLine="3720" w:firstLineChars="1500"/>
        <w:rPr>
          <w:rFonts w:hint="eastAsia" w:ascii="宋体" w:hAnsi="宋体" w:eastAsia="宋体" w:cs="宋体"/>
          <w:color w:val="auto"/>
          <w:spacing w:val="4"/>
          <w:kern w:val="0"/>
          <w:sz w:val="24"/>
          <w:szCs w:val="24"/>
          <w:highlight w:val="none"/>
        </w:rPr>
      </w:pPr>
      <w:r>
        <w:rPr>
          <w:rFonts w:hint="eastAsia" w:ascii="宋体" w:hAnsi="宋体" w:eastAsia="宋体" w:cs="宋体"/>
          <w:color w:val="auto"/>
          <w:spacing w:val="4"/>
          <w:kern w:val="0"/>
          <w:sz w:val="24"/>
          <w:szCs w:val="24"/>
          <w:highlight w:val="none"/>
        </w:rPr>
        <w:t>日   期：    年    月    日</w:t>
      </w:r>
    </w:p>
    <w:p>
      <w:pPr>
        <w:ind w:firstLine="400" w:firstLineChars="200"/>
        <w:rPr>
          <w:rFonts w:hint="eastAsia" w:ascii="宋体" w:hAnsi="宋体" w:eastAsia="宋体" w:cs="宋体"/>
          <w:color w:val="auto"/>
          <w:sz w:val="20"/>
          <w:szCs w:val="24"/>
          <w:highlight w:val="none"/>
        </w:rPr>
      </w:pPr>
    </w:p>
    <w:p>
      <w:pPr>
        <w:autoSpaceDE w:val="0"/>
        <w:autoSpaceDN w:val="0"/>
        <w:adjustRightInd w:val="0"/>
        <w:spacing w:line="360" w:lineRule="auto"/>
        <w:jc w:val="center"/>
        <w:rPr>
          <w:rFonts w:hint="eastAsia" w:ascii="宋体" w:hAnsi="宋体" w:eastAsia="宋体" w:cs="宋体"/>
          <w:b/>
          <w:bCs/>
          <w:color w:val="auto"/>
          <w:sz w:val="36"/>
          <w:szCs w:val="36"/>
          <w:highlight w:val="none"/>
          <w:lang w:val="zh-CN"/>
        </w:rPr>
      </w:pPr>
    </w:p>
    <w:p>
      <w:pPr>
        <w:widowControl/>
        <w:snapToGrid w:val="0"/>
        <w:spacing w:line="360" w:lineRule="auto"/>
        <w:ind w:right="102"/>
        <w:jc w:val="left"/>
        <w:rPr>
          <w:rFonts w:hint="eastAsia" w:ascii="宋体" w:hAnsi="宋体" w:eastAsia="宋体" w:cs="宋体"/>
          <w:color w:val="auto"/>
          <w:sz w:val="24"/>
          <w:szCs w:val="24"/>
          <w:highlight w:val="none"/>
          <w:lang w:val="zh-CN"/>
        </w:rPr>
      </w:pPr>
    </w:p>
    <w:p>
      <w:pPr>
        <w:widowControl/>
        <w:snapToGrid w:val="0"/>
        <w:spacing w:line="360" w:lineRule="auto"/>
        <w:ind w:right="102"/>
        <w:jc w:val="left"/>
        <w:rPr>
          <w:rFonts w:hint="eastAsia" w:ascii="宋体" w:hAnsi="宋体" w:eastAsia="宋体" w:cs="宋体"/>
          <w:color w:val="auto"/>
          <w:sz w:val="24"/>
          <w:szCs w:val="24"/>
          <w:highlight w:val="none"/>
          <w:lang w:val="zh-CN"/>
        </w:rPr>
      </w:pPr>
    </w:p>
    <w:p>
      <w:pPr>
        <w:widowControl/>
        <w:snapToGrid w:val="0"/>
        <w:spacing w:line="360" w:lineRule="auto"/>
        <w:ind w:right="102"/>
        <w:jc w:val="left"/>
        <w:rPr>
          <w:rFonts w:hint="eastAsia" w:ascii="宋体" w:hAnsi="宋体" w:eastAsia="宋体" w:cs="宋体"/>
          <w:color w:val="auto"/>
          <w:sz w:val="24"/>
          <w:szCs w:val="24"/>
          <w:highlight w:val="none"/>
          <w:lang w:val="zh-CN"/>
        </w:rPr>
      </w:pPr>
    </w:p>
    <w:p>
      <w:pPr>
        <w:widowControl/>
        <w:snapToGrid w:val="0"/>
        <w:spacing w:line="360" w:lineRule="auto"/>
        <w:ind w:right="102"/>
        <w:jc w:val="left"/>
        <w:rPr>
          <w:rFonts w:hint="eastAsia" w:ascii="宋体" w:hAnsi="宋体" w:eastAsia="宋体" w:cs="宋体"/>
          <w:color w:val="auto"/>
          <w:sz w:val="24"/>
          <w:szCs w:val="24"/>
          <w:highlight w:val="none"/>
          <w:lang w:val="zh-CN"/>
        </w:rPr>
      </w:pPr>
    </w:p>
    <w:p>
      <w:pPr>
        <w:pStyle w:val="12"/>
        <w:rPr>
          <w:rFonts w:hint="eastAsia" w:ascii="宋体" w:hAnsi="宋体" w:eastAsia="宋体" w:cs="宋体"/>
          <w:color w:val="auto"/>
          <w:highlight w:val="none"/>
          <w:lang w:val="zh-CN"/>
        </w:rPr>
      </w:pPr>
    </w:p>
    <w:p>
      <w:pPr>
        <w:rPr>
          <w:rFonts w:hint="eastAsia" w:ascii="宋体" w:hAnsi="宋体" w:eastAsia="宋体" w:cs="宋体"/>
          <w:color w:val="auto"/>
          <w:highlight w:val="none"/>
          <w:lang w:val="zh-CN"/>
        </w:rPr>
      </w:pPr>
    </w:p>
    <w:p>
      <w:pPr>
        <w:pStyle w:val="2"/>
        <w:rPr>
          <w:rFonts w:hint="eastAsia"/>
          <w:color w:val="auto"/>
          <w:highlight w:val="none"/>
          <w:lang w:val="zh-CN"/>
        </w:rPr>
      </w:pPr>
    </w:p>
    <w:p>
      <w:pPr>
        <w:widowControl/>
        <w:snapToGrid w:val="0"/>
        <w:spacing w:line="360" w:lineRule="auto"/>
        <w:ind w:right="102"/>
        <w:jc w:val="left"/>
        <w:rPr>
          <w:rFonts w:hint="eastAsia" w:ascii="宋体" w:hAnsi="宋体" w:eastAsia="宋体" w:cs="宋体"/>
          <w:color w:val="auto"/>
          <w:sz w:val="24"/>
          <w:szCs w:val="24"/>
          <w:highlight w:val="none"/>
          <w:lang w:val="zh-CN"/>
        </w:rPr>
      </w:pPr>
    </w:p>
    <w:p>
      <w:pPr>
        <w:widowControl/>
        <w:snapToGrid w:val="0"/>
        <w:spacing w:line="360" w:lineRule="auto"/>
        <w:ind w:right="102"/>
        <w:jc w:val="left"/>
        <w:rPr>
          <w:rFonts w:hint="eastAsia" w:ascii="宋体" w:hAnsi="宋体" w:eastAsia="宋体" w:cs="宋体"/>
          <w:color w:val="auto"/>
          <w:sz w:val="24"/>
          <w:szCs w:val="24"/>
          <w:highlight w:val="none"/>
          <w:lang w:val="zh-CN"/>
        </w:rPr>
      </w:pPr>
    </w:p>
    <w:p>
      <w:pPr>
        <w:widowControl/>
        <w:snapToGrid w:val="0"/>
        <w:spacing w:line="360" w:lineRule="auto"/>
        <w:ind w:right="102"/>
        <w:jc w:val="left"/>
        <w:rPr>
          <w:rFonts w:hint="eastAsia" w:ascii="宋体" w:hAnsi="宋体" w:eastAsia="宋体" w:cs="宋体"/>
          <w:color w:val="auto"/>
          <w:sz w:val="24"/>
          <w:szCs w:val="24"/>
          <w:highlight w:val="none"/>
          <w:lang w:val="zh-CN"/>
        </w:rPr>
      </w:pPr>
    </w:p>
    <w:p>
      <w:pPr>
        <w:widowControl/>
        <w:snapToGrid w:val="0"/>
        <w:spacing w:line="360" w:lineRule="auto"/>
        <w:ind w:right="102"/>
        <w:jc w:val="left"/>
        <w:rPr>
          <w:rFonts w:hint="eastAsia" w:ascii="宋体" w:hAnsi="宋体" w:eastAsia="宋体" w:cs="宋体"/>
          <w:color w:val="auto"/>
          <w:sz w:val="24"/>
          <w:szCs w:val="24"/>
          <w:highlight w:val="none"/>
          <w:lang w:val="zh-CN"/>
        </w:rPr>
      </w:pPr>
    </w:p>
    <w:p>
      <w:pPr>
        <w:widowControl/>
        <w:snapToGrid w:val="0"/>
        <w:spacing w:line="360" w:lineRule="auto"/>
        <w:ind w:right="102"/>
        <w:jc w:val="left"/>
        <w:rPr>
          <w:rFonts w:hint="eastAsia" w:ascii="宋体" w:hAnsi="宋体" w:eastAsia="宋体" w:cs="宋体"/>
          <w:color w:val="auto"/>
          <w:sz w:val="24"/>
          <w:szCs w:val="24"/>
          <w:highlight w:val="none"/>
          <w:lang w:val="zh-CN"/>
        </w:rPr>
      </w:pPr>
      <w:r>
        <w:rPr>
          <w:rFonts w:hint="eastAsia"/>
          <w:color w:val="auto"/>
          <w:sz w:val="24"/>
          <w:szCs w:val="24"/>
          <w:highlight w:val="none"/>
        </w:rPr>
        <w:t>技术标</w:t>
      </w:r>
      <w:r>
        <w:rPr>
          <w:rFonts w:hint="eastAsia" w:ascii="宋体" w:hAnsi="宋体" w:eastAsia="宋体" w:cs="宋体"/>
          <w:color w:val="auto"/>
          <w:sz w:val="24"/>
          <w:szCs w:val="24"/>
          <w:highlight w:val="none"/>
          <w:lang w:val="zh-CN"/>
        </w:rPr>
        <w:t>格式四</w:t>
      </w:r>
      <w:r>
        <w:rPr>
          <w:rFonts w:hint="eastAsia" w:ascii="宋体" w:hAnsi="宋体" w:cs="宋体"/>
          <w:color w:val="auto"/>
          <w:sz w:val="24"/>
          <w:szCs w:val="24"/>
          <w:highlight w:val="none"/>
          <w:lang w:val="zh-CN"/>
        </w:rPr>
        <w:t>：</w:t>
      </w:r>
    </w:p>
    <w:p>
      <w:pPr>
        <w:autoSpaceDE w:val="0"/>
        <w:autoSpaceDN w:val="0"/>
        <w:adjustRightInd w:val="0"/>
        <w:spacing w:line="360" w:lineRule="auto"/>
        <w:jc w:val="center"/>
        <w:rPr>
          <w:rFonts w:hint="eastAsia" w:ascii="宋体" w:hAnsi="宋体" w:eastAsia="宋体" w:cs="宋体"/>
          <w:b/>
          <w:bCs/>
          <w:color w:val="auto"/>
          <w:sz w:val="36"/>
          <w:szCs w:val="36"/>
          <w:highlight w:val="none"/>
          <w:lang w:val="zh-CN"/>
        </w:rPr>
      </w:pPr>
      <w:r>
        <w:rPr>
          <w:rFonts w:hint="eastAsia" w:ascii="宋体" w:hAnsi="宋体" w:eastAsia="宋体" w:cs="宋体"/>
          <w:b/>
          <w:bCs/>
          <w:color w:val="auto"/>
          <w:sz w:val="36"/>
          <w:szCs w:val="36"/>
          <w:highlight w:val="none"/>
          <w:lang w:val="zh-CN"/>
        </w:rPr>
        <w:t>企业工程获奖情况表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5"/>
        <w:gridCol w:w="1507"/>
        <w:gridCol w:w="1506"/>
        <w:gridCol w:w="1507"/>
        <w:gridCol w:w="1506"/>
        <w:gridCol w:w="1506"/>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19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项目名称</w:t>
            </w:r>
          </w:p>
        </w:tc>
        <w:tc>
          <w:tcPr>
            <w:tcW w:w="1507"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项目概况</w:t>
            </w:r>
          </w:p>
        </w:tc>
        <w:tc>
          <w:tcPr>
            <w:tcW w:w="1506"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业主单位</w:t>
            </w:r>
          </w:p>
        </w:tc>
        <w:tc>
          <w:tcPr>
            <w:tcW w:w="1507"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完成情况</w:t>
            </w:r>
          </w:p>
        </w:tc>
        <w:tc>
          <w:tcPr>
            <w:tcW w:w="1506"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颁发单位</w:t>
            </w:r>
          </w:p>
        </w:tc>
        <w:tc>
          <w:tcPr>
            <w:tcW w:w="1506"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获奖奖项</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119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auto"/>
              <w:jc w:val="center"/>
              <w:rPr>
                <w:rFonts w:hint="eastAsia" w:ascii="宋体" w:hAnsi="宋体" w:eastAsia="宋体" w:cs="宋体"/>
                <w:color w:val="auto"/>
                <w:highlight w:val="none"/>
              </w:rPr>
            </w:pPr>
          </w:p>
        </w:tc>
        <w:tc>
          <w:tcPr>
            <w:tcW w:w="1507"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auto"/>
              <w:jc w:val="center"/>
              <w:rPr>
                <w:rFonts w:hint="eastAsia" w:ascii="宋体" w:hAnsi="宋体" w:eastAsia="宋体" w:cs="宋体"/>
                <w:color w:val="auto"/>
                <w:highlight w:val="none"/>
              </w:rPr>
            </w:pPr>
          </w:p>
        </w:tc>
        <w:tc>
          <w:tcPr>
            <w:tcW w:w="1506"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auto"/>
              <w:jc w:val="center"/>
              <w:rPr>
                <w:rFonts w:hint="eastAsia" w:ascii="宋体" w:hAnsi="宋体" w:eastAsia="宋体" w:cs="宋体"/>
                <w:color w:val="auto"/>
                <w:highlight w:val="none"/>
              </w:rPr>
            </w:pPr>
          </w:p>
        </w:tc>
        <w:tc>
          <w:tcPr>
            <w:tcW w:w="1507"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auto"/>
              <w:jc w:val="center"/>
              <w:rPr>
                <w:rFonts w:hint="eastAsia" w:ascii="宋体" w:hAnsi="宋体" w:eastAsia="宋体" w:cs="宋体"/>
                <w:color w:val="auto"/>
                <w:highlight w:val="none"/>
              </w:rPr>
            </w:pPr>
          </w:p>
        </w:tc>
        <w:tc>
          <w:tcPr>
            <w:tcW w:w="1506" w:type="dxa"/>
            <w:tcBorders>
              <w:top w:val="single" w:color="auto" w:sz="4" w:space="0"/>
              <w:left w:val="single" w:color="auto" w:sz="4" w:space="0"/>
              <w:bottom w:val="single" w:color="auto" w:sz="4" w:space="0"/>
              <w:right w:val="single" w:color="auto" w:sz="4" w:space="0"/>
            </w:tcBorders>
            <w:noWrap w:val="0"/>
            <w:vAlign w:val="top"/>
          </w:tcPr>
          <w:p>
            <w:pPr>
              <w:topLinePunct/>
              <w:spacing w:line="360" w:lineRule="auto"/>
              <w:jc w:val="center"/>
              <w:rPr>
                <w:rFonts w:hint="eastAsia" w:ascii="宋体" w:hAnsi="宋体" w:eastAsia="宋体" w:cs="宋体"/>
                <w:color w:val="auto"/>
                <w:highlight w:val="none"/>
              </w:rPr>
            </w:pPr>
          </w:p>
        </w:tc>
        <w:tc>
          <w:tcPr>
            <w:tcW w:w="1506"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auto"/>
              <w:jc w:val="center"/>
              <w:rPr>
                <w:rFonts w:hint="eastAsia" w:ascii="宋体" w:hAnsi="宋体" w:eastAsia="宋体" w:cs="宋体"/>
                <w:color w:val="auto"/>
                <w:highlight w:val="none"/>
              </w:rPr>
            </w:pPr>
          </w:p>
        </w:tc>
        <w:tc>
          <w:tcPr>
            <w:tcW w:w="1211"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auto"/>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119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auto"/>
              <w:jc w:val="center"/>
              <w:rPr>
                <w:rFonts w:hint="eastAsia" w:ascii="宋体" w:hAnsi="宋体" w:eastAsia="宋体" w:cs="宋体"/>
                <w:color w:val="auto"/>
                <w:highlight w:val="none"/>
              </w:rPr>
            </w:pPr>
          </w:p>
        </w:tc>
        <w:tc>
          <w:tcPr>
            <w:tcW w:w="1507"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auto"/>
              <w:jc w:val="center"/>
              <w:rPr>
                <w:rFonts w:hint="eastAsia" w:ascii="宋体" w:hAnsi="宋体" w:eastAsia="宋体" w:cs="宋体"/>
                <w:color w:val="auto"/>
                <w:highlight w:val="none"/>
              </w:rPr>
            </w:pPr>
          </w:p>
        </w:tc>
        <w:tc>
          <w:tcPr>
            <w:tcW w:w="1506"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auto"/>
              <w:jc w:val="center"/>
              <w:rPr>
                <w:rFonts w:hint="eastAsia" w:ascii="宋体" w:hAnsi="宋体" w:eastAsia="宋体" w:cs="宋体"/>
                <w:color w:val="auto"/>
                <w:highlight w:val="none"/>
              </w:rPr>
            </w:pPr>
          </w:p>
        </w:tc>
        <w:tc>
          <w:tcPr>
            <w:tcW w:w="1507"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auto"/>
              <w:jc w:val="center"/>
              <w:rPr>
                <w:rFonts w:hint="eastAsia" w:ascii="宋体" w:hAnsi="宋体" w:eastAsia="宋体" w:cs="宋体"/>
                <w:color w:val="auto"/>
                <w:highlight w:val="none"/>
              </w:rPr>
            </w:pPr>
          </w:p>
        </w:tc>
        <w:tc>
          <w:tcPr>
            <w:tcW w:w="1506" w:type="dxa"/>
            <w:tcBorders>
              <w:top w:val="single" w:color="auto" w:sz="4" w:space="0"/>
              <w:left w:val="single" w:color="auto" w:sz="4" w:space="0"/>
              <w:bottom w:val="single" w:color="auto" w:sz="4" w:space="0"/>
              <w:right w:val="single" w:color="auto" w:sz="4" w:space="0"/>
            </w:tcBorders>
            <w:noWrap w:val="0"/>
            <w:vAlign w:val="top"/>
          </w:tcPr>
          <w:p>
            <w:pPr>
              <w:topLinePunct/>
              <w:spacing w:line="360" w:lineRule="auto"/>
              <w:jc w:val="center"/>
              <w:rPr>
                <w:rFonts w:hint="eastAsia" w:ascii="宋体" w:hAnsi="宋体" w:eastAsia="宋体" w:cs="宋体"/>
                <w:color w:val="auto"/>
                <w:highlight w:val="none"/>
              </w:rPr>
            </w:pPr>
          </w:p>
        </w:tc>
        <w:tc>
          <w:tcPr>
            <w:tcW w:w="1506"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auto"/>
              <w:jc w:val="center"/>
              <w:rPr>
                <w:rFonts w:hint="eastAsia" w:ascii="宋体" w:hAnsi="宋体" w:eastAsia="宋体" w:cs="宋体"/>
                <w:color w:val="auto"/>
                <w:highlight w:val="none"/>
              </w:rPr>
            </w:pPr>
          </w:p>
        </w:tc>
        <w:tc>
          <w:tcPr>
            <w:tcW w:w="1211"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auto"/>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119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auto"/>
              <w:jc w:val="center"/>
              <w:rPr>
                <w:rFonts w:hint="eastAsia" w:ascii="宋体" w:hAnsi="宋体" w:eastAsia="宋体" w:cs="宋体"/>
                <w:color w:val="auto"/>
                <w:highlight w:val="none"/>
              </w:rPr>
            </w:pPr>
          </w:p>
        </w:tc>
        <w:tc>
          <w:tcPr>
            <w:tcW w:w="1507"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auto"/>
              <w:jc w:val="center"/>
              <w:rPr>
                <w:rFonts w:hint="eastAsia" w:ascii="宋体" w:hAnsi="宋体" w:eastAsia="宋体" w:cs="宋体"/>
                <w:color w:val="auto"/>
                <w:highlight w:val="none"/>
              </w:rPr>
            </w:pPr>
          </w:p>
        </w:tc>
        <w:tc>
          <w:tcPr>
            <w:tcW w:w="1506"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auto"/>
              <w:jc w:val="center"/>
              <w:rPr>
                <w:rFonts w:hint="eastAsia" w:ascii="宋体" w:hAnsi="宋体" w:eastAsia="宋体" w:cs="宋体"/>
                <w:color w:val="auto"/>
                <w:highlight w:val="none"/>
              </w:rPr>
            </w:pPr>
          </w:p>
        </w:tc>
        <w:tc>
          <w:tcPr>
            <w:tcW w:w="1507"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auto"/>
              <w:jc w:val="center"/>
              <w:rPr>
                <w:rFonts w:hint="eastAsia" w:ascii="宋体" w:hAnsi="宋体" w:eastAsia="宋体" w:cs="宋体"/>
                <w:color w:val="auto"/>
                <w:highlight w:val="none"/>
              </w:rPr>
            </w:pPr>
          </w:p>
        </w:tc>
        <w:tc>
          <w:tcPr>
            <w:tcW w:w="1506" w:type="dxa"/>
            <w:tcBorders>
              <w:top w:val="single" w:color="auto" w:sz="4" w:space="0"/>
              <w:left w:val="single" w:color="auto" w:sz="4" w:space="0"/>
              <w:bottom w:val="single" w:color="auto" w:sz="4" w:space="0"/>
              <w:right w:val="single" w:color="auto" w:sz="4" w:space="0"/>
            </w:tcBorders>
            <w:noWrap w:val="0"/>
            <w:vAlign w:val="top"/>
          </w:tcPr>
          <w:p>
            <w:pPr>
              <w:topLinePunct/>
              <w:spacing w:line="360" w:lineRule="auto"/>
              <w:jc w:val="center"/>
              <w:rPr>
                <w:rFonts w:hint="eastAsia" w:ascii="宋体" w:hAnsi="宋体" w:eastAsia="宋体" w:cs="宋体"/>
                <w:color w:val="auto"/>
                <w:highlight w:val="none"/>
              </w:rPr>
            </w:pPr>
          </w:p>
        </w:tc>
        <w:tc>
          <w:tcPr>
            <w:tcW w:w="1506"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auto"/>
              <w:jc w:val="center"/>
              <w:rPr>
                <w:rFonts w:hint="eastAsia" w:ascii="宋体" w:hAnsi="宋体" w:eastAsia="宋体" w:cs="宋体"/>
                <w:color w:val="auto"/>
                <w:highlight w:val="none"/>
              </w:rPr>
            </w:pPr>
          </w:p>
        </w:tc>
        <w:tc>
          <w:tcPr>
            <w:tcW w:w="1211"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auto"/>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119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auto"/>
              <w:jc w:val="center"/>
              <w:rPr>
                <w:rFonts w:hint="eastAsia" w:ascii="宋体" w:hAnsi="宋体" w:eastAsia="宋体" w:cs="宋体"/>
                <w:color w:val="auto"/>
                <w:highlight w:val="none"/>
              </w:rPr>
            </w:pPr>
          </w:p>
        </w:tc>
        <w:tc>
          <w:tcPr>
            <w:tcW w:w="1507"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auto"/>
              <w:jc w:val="center"/>
              <w:rPr>
                <w:rFonts w:hint="eastAsia" w:ascii="宋体" w:hAnsi="宋体" w:eastAsia="宋体" w:cs="宋体"/>
                <w:color w:val="auto"/>
                <w:highlight w:val="none"/>
              </w:rPr>
            </w:pPr>
          </w:p>
        </w:tc>
        <w:tc>
          <w:tcPr>
            <w:tcW w:w="1506"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auto"/>
              <w:jc w:val="center"/>
              <w:rPr>
                <w:rFonts w:hint="eastAsia" w:ascii="宋体" w:hAnsi="宋体" w:eastAsia="宋体" w:cs="宋体"/>
                <w:color w:val="auto"/>
                <w:highlight w:val="none"/>
              </w:rPr>
            </w:pPr>
          </w:p>
        </w:tc>
        <w:tc>
          <w:tcPr>
            <w:tcW w:w="1507"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auto"/>
              <w:jc w:val="center"/>
              <w:rPr>
                <w:rFonts w:hint="eastAsia" w:ascii="宋体" w:hAnsi="宋体" w:eastAsia="宋体" w:cs="宋体"/>
                <w:color w:val="auto"/>
                <w:highlight w:val="none"/>
              </w:rPr>
            </w:pPr>
          </w:p>
        </w:tc>
        <w:tc>
          <w:tcPr>
            <w:tcW w:w="1506" w:type="dxa"/>
            <w:tcBorders>
              <w:top w:val="single" w:color="auto" w:sz="4" w:space="0"/>
              <w:left w:val="single" w:color="auto" w:sz="4" w:space="0"/>
              <w:bottom w:val="single" w:color="auto" w:sz="4" w:space="0"/>
              <w:right w:val="single" w:color="auto" w:sz="4" w:space="0"/>
            </w:tcBorders>
            <w:noWrap w:val="0"/>
            <w:vAlign w:val="top"/>
          </w:tcPr>
          <w:p>
            <w:pPr>
              <w:topLinePunct/>
              <w:spacing w:line="360" w:lineRule="auto"/>
              <w:jc w:val="center"/>
              <w:rPr>
                <w:rFonts w:hint="eastAsia" w:ascii="宋体" w:hAnsi="宋体" w:eastAsia="宋体" w:cs="宋体"/>
                <w:color w:val="auto"/>
                <w:highlight w:val="none"/>
              </w:rPr>
            </w:pPr>
          </w:p>
        </w:tc>
        <w:tc>
          <w:tcPr>
            <w:tcW w:w="1506"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auto"/>
              <w:jc w:val="center"/>
              <w:rPr>
                <w:rFonts w:hint="eastAsia" w:ascii="宋体" w:hAnsi="宋体" w:eastAsia="宋体" w:cs="宋体"/>
                <w:color w:val="auto"/>
                <w:highlight w:val="none"/>
              </w:rPr>
            </w:pPr>
          </w:p>
        </w:tc>
        <w:tc>
          <w:tcPr>
            <w:tcW w:w="1211"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auto"/>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19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auto"/>
              <w:jc w:val="center"/>
              <w:rPr>
                <w:rFonts w:hint="eastAsia" w:ascii="宋体" w:hAnsi="宋体" w:eastAsia="宋体" w:cs="宋体"/>
                <w:color w:val="auto"/>
                <w:highlight w:val="none"/>
              </w:rPr>
            </w:pPr>
          </w:p>
        </w:tc>
        <w:tc>
          <w:tcPr>
            <w:tcW w:w="1507"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auto"/>
              <w:jc w:val="center"/>
              <w:rPr>
                <w:rFonts w:hint="eastAsia" w:ascii="宋体" w:hAnsi="宋体" w:eastAsia="宋体" w:cs="宋体"/>
                <w:color w:val="auto"/>
                <w:highlight w:val="none"/>
              </w:rPr>
            </w:pPr>
          </w:p>
        </w:tc>
        <w:tc>
          <w:tcPr>
            <w:tcW w:w="1506"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auto"/>
              <w:jc w:val="center"/>
              <w:rPr>
                <w:rFonts w:hint="eastAsia" w:ascii="宋体" w:hAnsi="宋体" w:eastAsia="宋体" w:cs="宋体"/>
                <w:color w:val="auto"/>
                <w:highlight w:val="none"/>
              </w:rPr>
            </w:pPr>
          </w:p>
        </w:tc>
        <w:tc>
          <w:tcPr>
            <w:tcW w:w="1507"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auto"/>
              <w:jc w:val="center"/>
              <w:rPr>
                <w:rFonts w:hint="eastAsia" w:ascii="宋体" w:hAnsi="宋体" w:eastAsia="宋体" w:cs="宋体"/>
                <w:color w:val="auto"/>
                <w:highlight w:val="none"/>
              </w:rPr>
            </w:pPr>
          </w:p>
        </w:tc>
        <w:tc>
          <w:tcPr>
            <w:tcW w:w="1506" w:type="dxa"/>
            <w:tcBorders>
              <w:top w:val="single" w:color="auto" w:sz="4" w:space="0"/>
              <w:left w:val="single" w:color="auto" w:sz="4" w:space="0"/>
              <w:bottom w:val="single" w:color="auto" w:sz="4" w:space="0"/>
              <w:right w:val="single" w:color="auto" w:sz="4" w:space="0"/>
            </w:tcBorders>
            <w:noWrap w:val="0"/>
            <w:vAlign w:val="top"/>
          </w:tcPr>
          <w:p>
            <w:pPr>
              <w:topLinePunct/>
              <w:spacing w:line="360" w:lineRule="auto"/>
              <w:jc w:val="center"/>
              <w:rPr>
                <w:rFonts w:hint="eastAsia" w:ascii="宋体" w:hAnsi="宋体" w:eastAsia="宋体" w:cs="宋体"/>
                <w:color w:val="auto"/>
                <w:highlight w:val="none"/>
              </w:rPr>
            </w:pPr>
          </w:p>
        </w:tc>
        <w:tc>
          <w:tcPr>
            <w:tcW w:w="1506"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auto"/>
              <w:jc w:val="center"/>
              <w:rPr>
                <w:rFonts w:hint="eastAsia" w:ascii="宋体" w:hAnsi="宋体" w:eastAsia="宋体" w:cs="宋体"/>
                <w:color w:val="auto"/>
                <w:highlight w:val="none"/>
              </w:rPr>
            </w:pPr>
          </w:p>
        </w:tc>
        <w:tc>
          <w:tcPr>
            <w:tcW w:w="1211"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auto"/>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119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auto"/>
              <w:jc w:val="center"/>
              <w:rPr>
                <w:rFonts w:hint="eastAsia" w:ascii="宋体" w:hAnsi="宋体" w:eastAsia="宋体" w:cs="宋体"/>
                <w:color w:val="auto"/>
                <w:highlight w:val="none"/>
              </w:rPr>
            </w:pPr>
          </w:p>
        </w:tc>
        <w:tc>
          <w:tcPr>
            <w:tcW w:w="1507"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auto"/>
              <w:jc w:val="center"/>
              <w:rPr>
                <w:rFonts w:hint="eastAsia" w:ascii="宋体" w:hAnsi="宋体" w:eastAsia="宋体" w:cs="宋体"/>
                <w:color w:val="auto"/>
                <w:highlight w:val="none"/>
              </w:rPr>
            </w:pPr>
          </w:p>
        </w:tc>
        <w:tc>
          <w:tcPr>
            <w:tcW w:w="1506"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auto"/>
              <w:jc w:val="center"/>
              <w:rPr>
                <w:rFonts w:hint="eastAsia" w:ascii="宋体" w:hAnsi="宋体" w:eastAsia="宋体" w:cs="宋体"/>
                <w:color w:val="auto"/>
                <w:highlight w:val="none"/>
              </w:rPr>
            </w:pPr>
          </w:p>
        </w:tc>
        <w:tc>
          <w:tcPr>
            <w:tcW w:w="1507"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auto"/>
              <w:jc w:val="center"/>
              <w:rPr>
                <w:rFonts w:hint="eastAsia" w:ascii="宋体" w:hAnsi="宋体" w:eastAsia="宋体" w:cs="宋体"/>
                <w:color w:val="auto"/>
                <w:highlight w:val="none"/>
              </w:rPr>
            </w:pPr>
          </w:p>
        </w:tc>
        <w:tc>
          <w:tcPr>
            <w:tcW w:w="1506" w:type="dxa"/>
            <w:tcBorders>
              <w:top w:val="single" w:color="auto" w:sz="4" w:space="0"/>
              <w:left w:val="single" w:color="auto" w:sz="4" w:space="0"/>
              <w:bottom w:val="single" w:color="auto" w:sz="4" w:space="0"/>
              <w:right w:val="single" w:color="auto" w:sz="4" w:space="0"/>
            </w:tcBorders>
            <w:noWrap w:val="0"/>
            <w:vAlign w:val="top"/>
          </w:tcPr>
          <w:p>
            <w:pPr>
              <w:topLinePunct/>
              <w:spacing w:line="360" w:lineRule="auto"/>
              <w:jc w:val="center"/>
              <w:rPr>
                <w:rFonts w:hint="eastAsia" w:ascii="宋体" w:hAnsi="宋体" w:eastAsia="宋体" w:cs="宋体"/>
                <w:color w:val="auto"/>
                <w:highlight w:val="none"/>
              </w:rPr>
            </w:pPr>
          </w:p>
        </w:tc>
        <w:tc>
          <w:tcPr>
            <w:tcW w:w="1506"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auto"/>
              <w:jc w:val="center"/>
              <w:rPr>
                <w:rFonts w:hint="eastAsia" w:ascii="宋体" w:hAnsi="宋体" w:eastAsia="宋体" w:cs="宋体"/>
                <w:color w:val="auto"/>
                <w:highlight w:val="none"/>
              </w:rPr>
            </w:pPr>
          </w:p>
        </w:tc>
        <w:tc>
          <w:tcPr>
            <w:tcW w:w="1211"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auto"/>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19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auto"/>
              <w:jc w:val="center"/>
              <w:rPr>
                <w:rFonts w:hint="eastAsia" w:ascii="宋体" w:hAnsi="宋体" w:eastAsia="宋体" w:cs="宋体"/>
                <w:color w:val="auto"/>
                <w:highlight w:val="none"/>
              </w:rPr>
            </w:pPr>
          </w:p>
        </w:tc>
        <w:tc>
          <w:tcPr>
            <w:tcW w:w="1507"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auto"/>
              <w:jc w:val="center"/>
              <w:rPr>
                <w:rFonts w:hint="eastAsia" w:ascii="宋体" w:hAnsi="宋体" w:eastAsia="宋体" w:cs="宋体"/>
                <w:color w:val="auto"/>
                <w:highlight w:val="none"/>
              </w:rPr>
            </w:pPr>
          </w:p>
        </w:tc>
        <w:tc>
          <w:tcPr>
            <w:tcW w:w="1506"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auto"/>
              <w:jc w:val="center"/>
              <w:rPr>
                <w:rFonts w:hint="eastAsia" w:ascii="宋体" w:hAnsi="宋体" w:eastAsia="宋体" w:cs="宋体"/>
                <w:color w:val="auto"/>
                <w:highlight w:val="none"/>
              </w:rPr>
            </w:pPr>
          </w:p>
        </w:tc>
        <w:tc>
          <w:tcPr>
            <w:tcW w:w="1507"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auto"/>
              <w:jc w:val="center"/>
              <w:rPr>
                <w:rFonts w:hint="eastAsia" w:ascii="宋体" w:hAnsi="宋体" w:eastAsia="宋体" w:cs="宋体"/>
                <w:color w:val="auto"/>
                <w:highlight w:val="none"/>
              </w:rPr>
            </w:pPr>
          </w:p>
        </w:tc>
        <w:tc>
          <w:tcPr>
            <w:tcW w:w="1506" w:type="dxa"/>
            <w:tcBorders>
              <w:top w:val="single" w:color="auto" w:sz="4" w:space="0"/>
              <w:left w:val="single" w:color="auto" w:sz="4" w:space="0"/>
              <w:bottom w:val="single" w:color="auto" w:sz="4" w:space="0"/>
              <w:right w:val="single" w:color="auto" w:sz="4" w:space="0"/>
            </w:tcBorders>
            <w:noWrap w:val="0"/>
            <w:vAlign w:val="top"/>
          </w:tcPr>
          <w:p>
            <w:pPr>
              <w:topLinePunct/>
              <w:spacing w:line="360" w:lineRule="auto"/>
              <w:jc w:val="center"/>
              <w:rPr>
                <w:rFonts w:hint="eastAsia" w:ascii="宋体" w:hAnsi="宋体" w:eastAsia="宋体" w:cs="宋体"/>
                <w:color w:val="auto"/>
                <w:highlight w:val="none"/>
              </w:rPr>
            </w:pPr>
          </w:p>
        </w:tc>
        <w:tc>
          <w:tcPr>
            <w:tcW w:w="1506"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auto"/>
              <w:jc w:val="center"/>
              <w:rPr>
                <w:rFonts w:hint="eastAsia" w:ascii="宋体" w:hAnsi="宋体" w:eastAsia="宋体" w:cs="宋体"/>
                <w:color w:val="auto"/>
                <w:highlight w:val="none"/>
              </w:rPr>
            </w:pPr>
          </w:p>
        </w:tc>
        <w:tc>
          <w:tcPr>
            <w:tcW w:w="1211"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auto"/>
              <w:jc w:val="center"/>
              <w:rPr>
                <w:rFonts w:hint="eastAsia" w:ascii="宋体" w:hAnsi="宋体" w:eastAsia="宋体" w:cs="宋体"/>
                <w:color w:val="auto"/>
                <w:highlight w:val="none"/>
              </w:rPr>
            </w:pPr>
          </w:p>
        </w:tc>
      </w:tr>
    </w:tbl>
    <w:p>
      <w:pPr>
        <w:spacing w:line="360" w:lineRule="auto"/>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注：</w:t>
      </w:r>
      <w:r>
        <w:rPr>
          <w:rFonts w:hint="eastAsia" w:ascii="宋体" w:hAnsi="宋体"/>
          <w:color w:val="auto"/>
          <w:szCs w:val="21"/>
          <w:highlight w:val="none"/>
        </w:rPr>
        <w:t>由投标人按评审要求填写本表，并按《技术标详细审查评分表》要求附相关证明材料</w:t>
      </w:r>
      <w:r>
        <w:rPr>
          <w:rFonts w:hint="eastAsia" w:ascii="宋体" w:hAnsi="宋体" w:cs="宋体"/>
          <w:color w:val="auto"/>
          <w:szCs w:val="24"/>
          <w:highlight w:val="none"/>
          <w:lang w:eastAsia="zh-CN"/>
        </w:rPr>
        <w:t>。</w:t>
      </w:r>
      <w:r>
        <w:rPr>
          <w:rFonts w:hint="eastAsia" w:ascii="宋体" w:hAnsi="宋体" w:eastAsia="宋体" w:cs="宋体"/>
          <w:color w:val="auto"/>
          <w:szCs w:val="24"/>
          <w:highlight w:val="none"/>
        </w:rPr>
        <w:t xml:space="preserve"> </w:t>
      </w:r>
    </w:p>
    <w:p>
      <w:pPr>
        <w:spacing w:line="360" w:lineRule="auto"/>
        <w:jc w:val="left"/>
        <w:rPr>
          <w:rFonts w:hint="eastAsia" w:ascii="宋体" w:hAnsi="宋体" w:eastAsia="宋体" w:cs="宋体"/>
          <w:color w:val="auto"/>
          <w:szCs w:val="24"/>
          <w:highlight w:val="none"/>
        </w:rPr>
      </w:pPr>
    </w:p>
    <w:p>
      <w:pPr>
        <w:spacing w:line="360" w:lineRule="auto"/>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投标人（盖章）：　　</w:t>
      </w:r>
    </w:p>
    <w:p>
      <w:pPr>
        <w:spacing w:line="360" w:lineRule="auto"/>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法定代表人或授权代理人(签字或盖章)：</w:t>
      </w:r>
    </w:p>
    <w:p>
      <w:pPr>
        <w:spacing w:line="360" w:lineRule="auto"/>
        <w:jc w:val="left"/>
        <w:rPr>
          <w:rFonts w:hint="eastAsia" w:ascii="宋体" w:hAnsi="宋体" w:eastAsia="宋体" w:cs="宋体"/>
          <w:bCs/>
          <w:color w:val="auto"/>
          <w:szCs w:val="24"/>
          <w:highlight w:val="none"/>
        </w:rPr>
      </w:pPr>
      <w:r>
        <w:rPr>
          <w:rFonts w:hint="eastAsia" w:ascii="宋体" w:hAnsi="宋体" w:eastAsia="宋体" w:cs="宋体"/>
          <w:color w:val="auto"/>
          <w:szCs w:val="24"/>
          <w:highlight w:val="none"/>
        </w:rPr>
        <w:t>日   期：    年    月    日</w:t>
      </w:r>
    </w:p>
    <w:p>
      <w:pPr>
        <w:spacing w:line="360" w:lineRule="auto"/>
        <w:jc w:val="left"/>
        <w:rPr>
          <w:rFonts w:hint="eastAsia" w:ascii="宋体" w:hAnsi="宋体" w:eastAsia="宋体" w:cs="宋体"/>
          <w:bCs/>
          <w:color w:val="auto"/>
          <w:szCs w:val="24"/>
          <w:highlight w:val="none"/>
        </w:rPr>
      </w:pPr>
    </w:p>
    <w:p>
      <w:pPr>
        <w:spacing w:line="360" w:lineRule="auto"/>
        <w:jc w:val="left"/>
        <w:rPr>
          <w:rFonts w:hint="eastAsia" w:ascii="宋体" w:hAnsi="宋体" w:eastAsia="宋体" w:cs="宋体"/>
          <w:bCs/>
          <w:color w:val="auto"/>
          <w:szCs w:val="24"/>
          <w:highlight w:val="none"/>
        </w:rPr>
      </w:pPr>
    </w:p>
    <w:p>
      <w:pPr>
        <w:spacing w:line="360" w:lineRule="auto"/>
        <w:jc w:val="left"/>
        <w:rPr>
          <w:rFonts w:hint="eastAsia" w:ascii="宋体" w:hAnsi="宋体" w:eastAsia="宋体" w:cs="宋体"/>
          <w:bCs/>
          <w:color w:val="auto"/>
          <w:szCs w:val="24"/>
          <w:highlight w:val="none"/>
        </w:rPr>
      </w:pPr>
    </w:p>
    <w:p>
      <w:pPr>
        <w:spacing w:line="360" w:lineRule="auto"/>
        <w:jc w:val="left"/>
        <w:rPr>
          <w:rFonts w:hint="eastAsia" w:ascii="宋体" w:hAnsi="宋体" w:eastAsia="宋体" w:cs="宋体"/>
          <w:bCs/>
          <w:color w:val="auto"/>
          <w:szCs w:val="24"/>
          <w:highlight w:val="none"/>
        </w:rPr>
      </w:pPr>
    </w:p>
    <w:p>
      <w:pPr>
        <w:spacing w:line="360" w:lineRule="auto"/>
        <w:jc w:val="left"/>
        <w:rPr>
          <w:rFonts w:hint="eastAsia" w:ascii="宋体" w:hAnsi="宋体" w:eastAsia="宋体" w:cs="宋体"/>
          <w:bCs/>
          <w:color w:val="auto"/>
          <w:szCs w:val="24"/>
          <w:highlight w:val="none"/>
        </w:rPr>
      </w:pPr>
    </w:p>
    <w:p>
      <w:pPr>
        <w:pStyle w:val="2"/>
        <w:rPr>
          <w:rFonts w:hint="eastAsia" w:ascii="宋体" w:hAnsi="宋体" w:eastAsia="宋体" w:cs="宋体"/>
          <w:bCs/>
          <w:color w:val="auto"/>
          <w:szCs w:val="24"/>
          <w:highlight w:val="none"/>
        </w:rPr>
      </w:pPr>
    </w:p>
    <w:p>
      <w:pPr>
        <w:rPr>
          <w:rFonts w:hint="eastAsia"/>
          <w:color w:val="auto"/>
          <w:highlight w:val="none"/>
        </w:rPr>
      </w:pPr>
    </w:p>
    <w:p>
      <w:pPr>
        <w:spacing w:line="360" w:lineRule="auto"/>
        <w:jc w:val="left"/>
        <w:rPr>
          <w:rFonts w:hint="eastAsia" w:ascii="宋体" w:hAnsi="宋体" w:eastAsia="宋体" w:cs="宋体"/>
          <w:bCs/>
          <w:color w:val="auto"/>
          <w:szCs w:val="24"/>
          <w:highlight w:val="none"/>
        </w:rPr>
      </w:pPr>
    </w:p>
    <w:p>
      <w:pPr>
        <w:topLinePunct/>
        <w:adjustRightInd w:val="0"/>
        <w:snapToGrid w:val="0"/>
        <w:spacing w:line="360" w:lineRule="auto"/>
        <w:rPr>
          <w:rFonts w:hint="eastAsia" w:ascii="宋体" w:hAnsi="宋体" w:eastAsia="宋体" w:cs="宋体"/>
          <w:b/>
          <w:snapToGrid w:val="0"/>
          <w:color w:val="auto"/>
          <w:spacing w:val="4"/>
          <w:kern w:val="0"/>
          <w:sz w:val="24"/>
          <w:szCs w:val="24"/>
          <w:highlight w:val="none"/>
        </w:rPr>
      </w:pPr>
      <w:r>
        <w:rPr>
          <w:rFonts w:hint="eastAsia"/>
          <w:color w:val="auto"/>
          <w:sz w:val="24"/>
          <w:szCs w:val="24"/>
          <w:highlight w:val="none"/>
        </w:rPr>
        <w:t>技术标</w:t>
      </w:r>
      <w:r>
        <w:rPr>
          <w:rFonts w:hint="eastAsia" w:ascii="宋体" w:hAnsi="宋体" w:eastAsia="宋体" w:cs="宋体"/>
          <w:bCs/>
          <w:color w:val="auto"/>
          <w:sz w:val="24"/>
          <w:szCs w:val="24"/>
          <w:highlight w:val="none"/>
        </w:rPr>
        <w:t>格式五：</w:t>
      </w:r>
      <w:r>
        <w:rPr>
          <w:rFonts w:hint="eastAsia" w:ascii="宋体" w:hAnsi="宋体" w:eastAsia="宋体" w:cs="宋体"/>
          <w:b/>
          <w:snapToGrid w:val="0"/>
          <w:color w:val="auto"/>
          <w:spacing w:val="4"/>
          <w:kern w:val="0"/>
          <w:sz w:val="24"/>
          <w:szCs w:val="24"/>
          <w:highlight w:val="none"/>
        </w:rPr>
        <w:t xml:space="preserve">                     </w:t>
      </w:r>
    </w:p>
    <w:p>
      <w:pPr>
        <w:topLinePunct/>
        <w:adjustRightInd w:val="0"/>
        <w:snapToGrid w:val="0"/>
        <w:spacing w:line="360" w:lineRule="auto"/>
        <w:jc w:val="center"/>
        <w:rPr>
          <w:rFonts w:hint="eastAsia" w:ascii="宋体" w:hAnsi="宋体" w:eastAsia="宋体" w:cs="宋体"/>
          <w:b/>
          <w:snapToGrid w:val="0"/>
          <w:color w:val="auto"/>
          <w:spacing w:val="4"/>
          <w:kern w:val="0"/>
          <w:sz w:val="24"/>
          <w:szCs w:val="24"/>
          <w:highlight w:val="none"/>
          <w:lang w:val="en-US" w:eastAsia="zh-CN"/>
        </w:rPr>
      </w:pPr>
      <w:r>
        <w:rPr>
          <w:rFonts w:hint="eastAsia" w:ascii="宋体" w:hAnsi="宋体" w:eastAsia="宋体" w:cs="宋体"/>
          <w:b/>
          <w:snapToGrid w:val="0"/>
          <w:color w:val="auto"/>
          <w:spacing w:val="4"/>
          <w:kern w:val="0"/>
          <w:sz w:val="24"/>
          <w:szCs w:val="24"/>
          <w:highlight w:val="none"/>
        </w:rPr>
        <w:t>投入主要人员汇总表</w:t>
      </w:r>
    </w:p>
    <w:tbl>
      <w:tblPr>
        <w:tblStyle w:val="20"/>
        <w:tblW w:w="999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128"/>
        <w:gridCol w:w="1806"/>
        <w:gridCol w:w="1476"/>
        <w:gridCol w:w="2380"/>
        <w:gridCol w:w="2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blHeader/>
        </w:trPr>
        <w:tc>
          <w:tcPr>
            <w:tcW w:w="9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b/>
                <w:color w:val="auto"/>
                <w:kern w:val="44"/>
                <w:szCs w:val="21"/>
                <w:highlight w:val="none"/>
              </w:rPr>
            </w:pPr>
            <w:r>
              <w:rPr>
                <w:rFonts w:hint="eastAsia" w:ascii="宋体" w:hAnsi="宋体" w:eastAsia="宋体" w:cs="宋体"/>
                <w:b/>
                <w:color w:val="auto"/>
                <w:kern w:val="44"/>
                <w:szCs w:val="21"/>
                <w:highlight w:val="none"/>
              </w:rPr>
              <w:t>序号</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b/>
                <w:color w:val="auto"/>
                <w:kern w:val="44"/>
                <w:szCs w:val="21"/>
                <w:highlight w:val="none"/>
              </w:rPr>
            </w:pPr>
            <w:r>
              <w:rPr>
                <w:rFonts w:hint="eastAsia" w:ascii="宋体" w:hAnsi="宋体" w:eastAsia="宋体" w:cs="宋体"/>
                <w:b/>
                <w:color w:val="auto"/>
                <w:kern w:val="44"/>
                <w:szCs w:val="21"/>
                <w:highlight w:val="none"/>
              </w:rPr>
              <w:t>姓名</w:t>
            </w:r>
          </w:p>
        </w:tc>
        <w:tc>
          <w:tcPr>
            <w:tcW w:w="18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b/>
                <w:color w:val="auto"/>
                <w:kern w:val="44"/>
                <w:szCs w:val="21"/>
                <w:highlight w:val="none"/>
                <w:lang w:eastAsia="zh-CN"/>
              </w:rPr>
            </w:pPr>
            <w:r>
              <w:rPr>
                <w:rFonts w:hint="eastAsia" w:ascii="宋体" w:hAnsi="宋体" w:eastAsia="宋体" w:cs="宋体"/>
                <w:b/>
                <w:color w:val="auto"/>
                <w:kern w:val="44"/>
                <w:szCs w:val="21"/>
                <w:highlight w:val="none"/>
                <w:lang w:eastAsia="zh-CN"/>
              </w:rPr>
              <w:t>职位</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b/>
                <w:color w:val="auto"/>
                <w:kern w:val="44"/>
                <w:szCs w:val="21"/>
                <w:highlight w:val="none"/>
                <w:lang w:eastAsia="zh-CN"/>
              </w:rPr>
            </w:pPr>
            <w:r>
              <w:rPr>
                <w:rFonts w:hint="eastAsia" w:ascii="宋体" w:hAnsi="宋体" w:eastAsia="宋体" w:cs="宋体"/>
                <w:b/>
                <w:color w:val="auto"/>
                <w:kern w:val="44"/>
                <w:szCs w:val="21"/>
                <w:highlight w:val="none"/>
                <w:lang w:eastAsia="zh-CN"/>
              </w:rPr>
              <w:t>专业类别</w:t>
            </w:r>
          </w:p>
        </w:tc>
        <w:tc>
          <w:tcPr>
            <w:tcW w:w="2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b/>
                <w:color w:val="auto"/>
                <w:kern w:val="44"/>
                <w:szCs w:val="21"/>
                <w:highlight w:val="none"/>
              </w:rPr>
            </w:pPr>
            <w:r>
              <w:rPr>
                <w:rFonts w:hint="eastAsia" w:ascii="宋体" w:hAnsi="宋体" w:eastAsia="宋体" w:cs="宋体"/>
                <w:b/>
                <w:color w:val="auto"/>
                <w:kern w:val="44"/>
                <w:szCs w:val="21"/>
                <w:highlight w:val="none"/>
              </w:rPr>
              <w:t>人员资格情况</w:t>
            </w:r>
          </w:p>
        </w:tc>
        <w:tc>
          <w:tcPr>
            <w:tcW w:w="2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b/>
                <w:color w:val="auto"/>
                <w:kern w:val="44"/>
                <w:szCs w:val="21"/>
                <w:highlight w:val="none"/>
              </w:rPr>
            </w:pPr>
            <w:r>
              <w:rPr>
                <w:rFonts w:hint="eastAsia" w:ascii="宋体" w:hAnsi="宋体" w:eastAsia="宋体" w:cs="宋体"/>
                <w:b/>
                <w:color w:val="auto"/>
                <w:kern w:val="44"/>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9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bCs/>
                <w:color w:val="auto"/>
                <w:spacing w:val="-10"/>
                <w:szCs w:val="21"/>
                <w:highlight w:val="none"/>
              </w:rPr>
            </w:pPr>
          </w:p>
        </w:tc>
        <w:tc>
          <w:tcPr>
            <w:tcW w:w="1128"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szCs w:val="21"/>
                <w:highlight w:val="none"/>
              </w:rPr>
            </w:pPr>
          </w:p>
        </w:tc>
        <w:tc>
          <w:tcPr>
            <w:tcW w:w="1806"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szCs w:val="21"/>
                <w:highlight w:val="none"/>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szCs w:val="21"/>
                <w:highlight w:val="none"/>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szCs w:val="21"/>
                <w:highlight w:val="none"/>
              </w:rPr>
            </w:pPr>
          </w:p>
        </w:tc>
        <w:tc>
          <w:tcPr>
            <w:tcW w:w="2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bCs/>
                <w:color w:val="auto"/>
                <w:spacing w:val="-1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9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bCs/>
                <w:color w:val="auto"/>
                <w:spacing w:val="-10"/>
                <w:szCs w:val="21"/>
                <w:highlight w:val="none"/>
              </w:rPr>
            </w:pPr>
          </w:p>
        </w:tc>
        <w:tc>
          <w:tcPr>
            <w:tcW w:w="1128"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szCs w:val="21"/>
                <w:highlight w:val="none"/>
              </w:rPr>
            </w:pPr>
          </w:p>
        </w:tc>
        <w:tc>
          <w:tcPr>
            <w:tcW w:w="1806"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szCs w:val="21"/>
                <w:highlight w:val="none"/>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szCs w:val="21"/>
                <w:highlight w:val="none"/>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szCs w:val="21"/>
                <w:highlight w:val="none"/>
              </w:rPr>
            </w:pPr>
          </w:p>
        </w:tc>
        <w:tc>
          <w:tcPr>
            <w:tcW w:w="2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bCs/>
                <w:color w:val="auto"/>
                <w:spacing w:val="-1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9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bCs/>
                <w:color w:val="auto"/>
                <w:spacing w:val="-10"/>
                <w:szCs w:val="21"/>
                <w:highlight w:val="none"/>
              </w:rPr>
            </w:pPr>
          </w:p>
        </w:tc>
        <w:tc>
          <w:tcPr>
            <w:tcW w:w="1128"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szCs w:val="21"/>
                <w:highlight w:val="none"/>
              </w:rPr>
            </w:pPr>
          </w:p>
        </w:tc>
        <w:tc>
          <w:tcPr>
            <w:tcW w:w="1806"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szCs w:val="21"/>
                <w:highlight w:val="none"/>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szCs w:val="21"/>
                <w:highlight w:val="none"/>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szCs w:val="21"/>
                <w:highlight w:val="none"/>
              </w:rPr>
            </w:pPr>
          </w:p>
        </w:tc>
        <w:tc>
          <w:tcPr>
            <w:tcW w:w="2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bCs/>
                <w:color w:val="auto"/>
                <w:spacing w:val="-1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901" w:type="dxa"/>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宋体" w:hAnsi="宋体" w:eastAsia="宋体" w:cs="宋体"/>
                <w:bCs/>
                <w:color w:val="auto"/>
                <w:spacing w:val="-10"/>
                <w:szCs w:val="21"/>
                <w:highlight w:val="none"/>
              </w:rPr>
            </w:pPr>
          </w:p>
        </w:tc>
        <w:tc>
          <w:tcPr>
            <w:tcW w:w="1128"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szCs w:val="21"/>
                <w:highlight w:val="none"/>
              </w:rPr>
            </w:pPr>
          </w:p>
        </w:tc>
        <w:tc>
          <w:tcPr>
            <w:tcW w:w="1806"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szCs w:val="21"/>
                <w:highlight w:val="none"/>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szCs w:val="21"/>
                <w:highlight w:val="none"/>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szCs w:val="21"/>
                <w:highlight w:val="none"/>
              </w:rPr>
            </w:pPr>
          </w:p>
        </w:tc>
        <w:tc>
          <w:tcPr>
            <w:tcW w:w="2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bCs/>
                <w:color w:val="auto"/>
                <w:spacing w:val="-1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901" w:type="dxa"/>
            <w:tcBorders>
              <w:left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szCs w:val="21"/>
                <w:highlight w:val="none"/>
              </w:rPr>
            </w:pPr>
          </w:p>
        </w:tc>
        <w:tc>
          <w:tcPr>
            <w:tcW w:w="1806"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szCs w:val="21"/>
                <w:highlight w:val="none"/>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szCs w:val="21"/>
                <w:highlight w:val="none"/>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szCs w:val="21"/>
                <w:highlight w:val="none"/>
              </w:rPr>
            </w:pPr>
          </w:p>
        </w:tc>
        <w:tc>
          <w:tcPr>
            <w:tcW w:w="2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bCs/>
                <w:color w:val="auto"/>
                <w:spacing w:val="-1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901" w:type="dxa"/>
            <w:tcBorders>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szCs w:val="21"/>
                <w:highlight w:val="none"/>
              </w:rPr>
            </w:pPr>
          </w:p>
        </w:tc>
        <w:tc>
          <w:tcPr>
            <w:tcW w:w="1806"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szCs w:val="21"/>
                <w:highlight w:val="none"/>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szCs w:val="21"/>
                <w:highlight w:val="none"/>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szCs w:val="21"/>
                <w:highlight w:val="none"/>
              </w:rPr>
            </w:pPr>
          </w:p>
        </w:tc>
        <w:tc>
          <w:tcPr>
            <w:tcW w:w="2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bCs/>
                <w:color w:val="auto"/>
                <w:spacing w:val="-1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901" w:type="dxa"/>
            <w:tcBorders>
              <w:top w:val="single" w:color="auto" w:sz="4" w:space="0"/>
              <w:left w:val="single" w:color="auto" w:sz="4" w:space="0"/>
              <w:right w:val="single" w:color="auto" w:sz="4" w:space="0"/>
            </w:tcBorders>
            <w:noWrap w:val="0"/>
            <w:vAlign w:val="center"/>
          </w:tcPr>
          <w:p>
            <w:pPr>
              <w:widowControl/>
              <w:adjustRightInd w:val="0"/>
              <w:snapToGrid w:val="0"/>
              <w:ind w:left="-361" w:leftChars="-172" w:firstLine="420" w:firstLineChars="200"/>
              <w:jc w:val="center"/>
              <w:rPr>
                <w:rFonts w:hint="eastAsia" w:ascii="宋体" w:hAnsi="宋体" w:eastAsia="宋体" w:cs="宋体"/>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hint="eastAsia" w:ascii="宋体" w:hAnsi="宋体" w:eastAsia="宋体" w:cs="宋体"/>
                <w:color w:val="auto"/>
                <w:szCs w:val="21"/>
                <w:highlight w:val="none"/>
              </w:rPr>
            </w:pPr>
          </w:p>
        </w:tc>
        <w:tc>
          <w:tcPr>
            <w:tcW w:w="180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hint="eastAsia" w:ascii="宋体" w:hAnsi="宋体" w:eastAsia="宋体" w:cs="宋体"/>
                <w:color w:val="auto"/>
                <w:szCs w:val="21"/>
                <w:highlight w:val="none"/>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hint="eastAsia" w:ascii="宋体" w:hAnsi="宋体" w:eastAsia="宋体" w:cs="宋体"/>
                <w:color w:val="auto"/>
                <w:szCs w:val="21"/>
                <w:highlight w:val="none"/>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hint="eastAsia" w:ascii="宋体" w:hAnsi="宋体" w:eastAsia="宋体" w:cs="宋体"/>
                <w:color w:val="auto"/>
                <w:szCs w:val="21"/>
                <w:highlight w:val="none"/>
              </w:rPr>
            </w:pPr>
          </w:p>
        </w:tc>
        <w:tc>
          <w:tcPr>
            <w:tcW w:w="2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bCs/>
                <w:color w:val="auto"/>
                <w:spacing w:val="-1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901" w:type="dxa"/>
            <w:tcBorders>
              <w:left w:val="single" w:color="auto" w:sz="4" w:space="0"/>
              <w:right w:val="single" w:color="auto" w:sz="4" w:space="0"/>
            </w:tcBorders>
            <w:noWrap w:val="0"/>
            <w:vAlign w:val="center"/>
          </w:tcPr>
          <w:p>
            <w:pPr>
              <w:widowControl/>
              <w:adjustRightInd w:val="0"/>
              <w:snapToGrid w:val="0"/>
              <w:ind w:left="-361" w:leftChars="-172" w:firstLine="420" w:firstLineChars="200"/>
              <w:jc w:val="center"/>
              <w:rPr>
                <w:rFonts w:hint="eastAsia" w:ascii="宋体" w:hAnsi="宋体" w:eastAsia="宋体" w:cs="宋体"/>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hint="eastAsia" w:ascii="宋体" w:hAnsi="宋体" w:eastAsia="宋体" w:cs="宋体"/>
                <w:color w:val="auto"/>
                <w:szCs w:val="21"/>
                <w:highlight w:val="none"/>
              </w:rPr>
            </w:pPr>
          </w:p>
        </w:tc>
        <w:tc>
          <w:tcPr>
            <w:tcW w:w="180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hint="eastAsia" w:ascii="宋体" w:hAnsi="宋体" w:eastAsia="宋体" w:cs="宋体"/>
                <w:color w:val="auto"/>
                <w:szCs w:val="21"/>
                <w:highlight w:val="none"/>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hint="eastAsia" w:ascii="宋体" w:hAnsi="宋体" w:eastAsia="宋体" w:cs="宋体"/>
                <w:color w:val="auto"/>
                <w:szCs w:val="21"/>
                <w:highlight w:val="none"/>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hint="eastAsia" w:ascii="宋体" w:hAnsi="宋体" w:eastAsia="宋体" w:cs="宋体"/>
                <w:color w:val="auto"/>
                <w:szCs w:val="21"/>
                <w:highlight w:val="none"/>
              </w:rPr>
            </w:pPr>
          </w:p>
        </w:tc>
        <w:tc>
          <w:tcPr>
            <w:tcW w:w="2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bCs/>
                <w:color w:val="auto"/>
                <w:spacing w:val="-1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901" w:type="dxa"/>
            <w:tcBorders>
              <w:left w:val="single" w:color="auto" w:sz="4" w:space="0"/>
              <w:bottom w:val="single" w:color="auto" w:sz="4" w:space="0"/>
              <w:right w:val="single" w:color="auto" w:sz="4" w:space="0"/>
            </w:tcBorders>
            <w:noWrap w:val="0"/>
            <w:vAlign w:val="center"/>
          </w:tcPr>
          <w:p>
            <w:pPr>
              <w:widowControl/>
              <w:adjustRightInd w:val="0"/>
              <w:snapToGrid w:val="0"/>
              <w:ind w:left="-361" w:leftChars="-172" w:firstLine="420" w:firstLineChars="200"/>
              <w:jc w:val="center"/>
              <w:rPr>
                <w:rFonts w:hint="eastAsia" w:ascii="宋体" w:hAnsi="宋体" w:eastAsia="宋体" w:cs="宋体"/>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hint="eastAsia" w:ascii="宋体" w:hAnsi="宋体" w:eastAsia="宋体" w:cs="宋体"/>
                <w:color w:val="auto"/>
                <w:szCs w:val="21"/>
                <w:highlight w:val="none"/>
              </w:rPr>
            </w:pPr>
          </w:p>
        </w:tc>
        <w:tc>
          <w:tcPr>
            <w:tcW w:w="180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hint="eastAsia" w:ascii="宋体" w:hAnsi="宋体" w:eastAsia="宋体" w:cs="宋体"/>
                <w:color w:val="auto"/>
                <w:szCs w:val="21"/>
                <w:highlight w:val="none"/>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hint="eastAsia" w:ascii="宋体" w:hAnsi="宋体" w:eastAsia="宋体" w:cs="宋体"/>
                <w:color w:val="auto"/>
                <w:szCs w:val="21"/>
                <w:highlight w:val="none"/>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hint="eastAsia" w:ascii="宋体" w:hAnsi="宋体" w:eastAsia="宋体" w:cs="宋体"/>
                <w:color w:val="auto"/>
                <w:szCs w:val="21"/>
                <w:highlight w:val="none"/>
              </w:rPr>
            </w:pPr>
          </w:p>
        </w:tc>
        <w:tc>
          <w:tcPr>
            <w:tcW w:w="2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bCs/>
                <w:color w:val="auto"/>
                <w:spacing w:val="-1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901" w:type="dxa"/>
            <w:tcBorders>
              <w:top w:val="single" w:color="auto" w:sz="4" w:space="0"/>
              <w:left w:val="single" w:color="auto" w:sz="4" w:space="0"/>
              <w:right w:val="single" w:color="auto" w:sz="4" w:space="0"/>
            </w:tcBorders>
            <w:noWrap w:val="0"/>
            <w:vAlign w:val="center"/>
          </w:tcPr>
          <w:p>
            <w:pPr>
              <w:adjustRightInd w:val="0"/>
              <w:snapToGrid w:val="0"/>
              <w:ind w:left="-361" w:leftChars="-172" w:firstLine="420" w:firstLineChars="200"/>
              <w:jc w:val="center"/>
              <w:rPr>
                <w:rFonts w:hint="eastAsia" w:ascii="宋体" w:hAnsi="宋体" w:eastAsia="宋体" w:cs="宋体"/>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szCs w:val="21"/>
                <w:highlight w:val="none"/>
              </w:rPr>
            </w:pPr>
          </w:p>
        </w:tc>
        <w:tc>
          <w:tcPr>
            <w:tcW w:w="1806"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szCs w:val="21"/>
                <w:highlight w:val="none"/>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szCs w:val="21"/>
                <w:highlight w:val="none"/>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szCs w:val="21"/>
                <w:highlight w:val="none"/>
              </w:rPr>
            </w:pPr>
          </w:p>
        </w:tc>
        <w:tc>
          <w:tcPr>
            <w:tcW w:w="2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bCs/>
                <w:color w:val="auto"/>
                <w:spacing w:val="-1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901" w:type="dxa"/>
            <w:tcBorders>
              <w:left w:val="single" w:color="auto" w:sz="4" w:space="0"/>
              <w:right w:val="single" w:color="auto" w:sz="4" w:space="0"/>
            </w:tcBorders>
            <w:noWrap w:val="0"/>
            <w:vAlign w:val="center"/>
          </w:tcPr>
          <w:p>
            <w:pPr>
              <w:adjustRightInd w:val="0"/>
              <w:snapToGrid w:val="0"/>
              <w:ind w:left="-361" w:leftChars="-172" w:firstLine="420" w:firstLineChars="200"/>
              <w:jc w:val="center"/>
              <w:rPr>
                <w:rFonts w:hint="eastAsia" w:ascii="宋体" w:hAnsi="宋体" w:eastAsia="宋体" w:cs="宋体"/>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szCs w:val="21"/>
                <w:highlight w:val="none"/>
              </w:rPr>
            </w:pPr>
          </w:p>
        </w:tc>
        <w:tc>
          <w:tcPr>
            <w:tcW w:w="1806"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szCs w:val="21"/>
                <w:highlight w:val="none"/>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szCs w:val="21"/>
                <w:highlight w:val="none"/>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szCs w:val="21"/>
                <w:highlight w:val="none"/>
              </w:rPr>
            </w:pPr>
          </w:p>
        </w:tc>
        <w:tc>
          <w:tcPr>
            <w:tcW w:w="2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bCs/>
                <w:color w:val="auto"/>
                <w:spacing w:val="-1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901" w:type="dxa"/>
            <w:tcBorders>
              <w:left w:val="single" w:color="auto" w:sz="4" w:space="0"/>
              <w:bottom w:val="single" w:color="auto" w:sz="4" w:space="0"/>
              <w:right w:val="single" w:color="auto" w:sz="4" w:space="0"/>
            </w:tcBorders>
            <w:noWrap w:val="0"/>
            <w:vAlign w:val="center"/>
          </w:tcPr>
          <w:p>
            <w:pPr>
              <w:adjustRightInd w:val="0"/>
              <w:snapToGrid w:val="0"/>
              <w:ind w:left="-361" w:leftChars="-172" w:firstLine="420" w:firstLineChars="200"/>
              <w:jc w:val="center"/>
              <w:rPr>
                <w:rFonts w:hint="eastAsia" w:ascii="宋体" w:hAnsi="宋体" w:eastAsia="宋体" w:cs="宋体"/>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szCs w:val="21"/>
                <w:highlight w:val="none"/>
              </w:rPr>
            </w:pPr>
          </w:p>
        </w:tc>
        <w:tc>
          <w:tcPr>
            <w:tcW w:w="1806"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szCs w:val="21"/>
                <w:highlight w:val="none"/>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szCs w:val="21"/>
                <w:highlight w:val="none"/>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szCs w:val="21"/>
                <w:highlight w:val="none"/>
              </w:rPr>
            </w:pPr>
          </w:p>
        </w:tc>
        <w:tc>
          <w:tcPr>
            <w:tcW w:w="2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bCs/>
                <w:color w:val="auto"/>
                <w:spacing w:val="-1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901" w:type="dxa"/>
            <w:tcBorders>
              <w:top w:val="single" w:color="auto" w:sz="4" w:space="0"/>
              <w:left w:val="single" w:color="auto" w:sz="4" w:space="0"/>
              <w:right w:val="single" w:color="auto" w:sz="4" w:space="0"/>
            </w:tcBorders>
            <w:noWrap w:val="0"/>
            <w:vAlign w:val="center"/>
          </w:tcPr>
          <w:p>
            <w:pPr>
              <w:adjustRightInd w:val="0"/>
              <w:snapToGrid w:val="0"/>
              <w:ind w:left="-361" w:leftChars="-172" w:firstLine="420" w:firstLineChars="200"/>
              <w:jc w:val="center"/>
              <w:rPr>
                <w:rFonts w:hint="eastAsia" w:ascii="宋体" w:hAnsi="宋体" w:eastAsia="宋体" w:cs="宋体"/>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kern w:val="0"/>
                <w:szCs w:val="21"/>
                <w:highlight w:val="none"/>
              </w:rPr>
            </w:pPr>
          </w:p>
        </w:tc>
        <w:tc>
          <w:tcPr>
            <w:tcW w:w="1806"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kern w:val="0"/>
                <w:szCs w:val="21"/>
                <w:highlight w:val="none"/>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kern w:val="0"/>
                <w:szCs w:val="21"/>
                <w:highlight w:val="none"/>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kern w:val="0"/>
                <w:szCs w:val="21"/>
                <w:highlight w:val="none"/>
              </w:rPr>
            </w:pPr>
          </w:p>
        </w:tc>
        <w:tc>
          <w:tcPr>
            <w:tcW w:w="2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bCs/>
                <w:color w:val="auto"/>
                <w:spacing w:val="-1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901" w:type="dxa"/>
            <w:tcBorders>
              <w:left w:val="single" w:color="auto" w:sz="4" w:space="0"/>
              <w:bottom w:val="single" w:color="auto" w:sz="4" w:space="0"/>
              <w:right w:val="single" w:color="auto" w:sz="4" w:space="0"/>
            </w:tcBorders>
            <w:noWrap w:val="0"/>
            <w:vAlign w:val="center"/>
          </w:tcPr>
          <w:p>
            <w:pPr>
              <w:adjustRightInd w:val="0"/>
              <w:snapToGrid w:val="0"/>
              <w:ind w:left="-361" w:leftChars="-172" w:firstLine="420" w:firstLineChars="200"/>
              <w:jc w:val="center"/>
              <w:rPr>
                <w:rFonts w:hint="eastAsia" w:ascii="宋体" w:hAnsi="宋体" w:eastAsia="宋体" w:cs="宋体"/>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kern w:val="0"/>
                <w:szCs w:val="21"/>
                <w:highlight w:val="none"/>
              </w:rPr>
            </w:pPr>
          </w:p>
        </w:tc>
        <w:tc>
          <w:tcPr>
            <w:tcW w:w="1806"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kern w:val="0"/>
                <w:szCs w:val="21"/>
                <w:highlight w:val="none"/>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kern w:val="0"/>
                <w:szCs w:val="21"/>
                <w:highlight w:val="none"/>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kern w:val="0"/>
                <w:szCs w:val="21"/>
                <w:highlight w:val="none"/>
              </w:rPr>
            </w:pPr>
          </w:p>
        </w:tc>
        <w:tc>
          <w:tcPr>
            <w:tcW w:w="2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bCs/>
                <w:color w:val="auto"/>
                <w:spacing w:val="-1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901" w:type="dxa"/>
            <w:tcBorders>
              <w:top w:val="single" w:color="auto" w:sz="4" w:space="0"/>
              <w:left w:val="single" w:color="auto" w:sz="4" w:space="0"/>
              <w:right w:val="single" w:color="auto" w:sz="4" w:space="0"/>
            </w:tcBorders>
            <w:noWrap w:val="0"/>
            <w:vAlign w:val="center"/>
          </w:tcPr>
          <w:p>
            <w:pPr>
              <w:adjustRightInd w:val="0"/>
              <w:snapToGrid w:val="0"/>
              <w:ind w:left="-361" w:leftChars="-172" w:firstLine="420" w:firstLineChars="200"/>
              <w:jc w:val="center"/>
              <w:rPr>
                <w:rFonts w:hint="eastAsia" w:ascii="宋体" w:hAnsi="宋体" w:eastAsia="宋体" w:cs="宋体"/>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kern w:val="0"/>
                <w:szCs w:val="21"/>
                <w:highlight w:val="none"/>
              </w:rPr>
            </w:pPr>
          </w:p>
        </w:tc>
        <w:tc>
          <w:tcPr>
            <w:tcW w:w="1806"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kern w:val="0"/>
                <w:szCs w:val="21"/>
                <w:highlight w:val="none"/>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kern w:val="0"/>
                <w:szCs w:val="21"/>
                <w:highlight w:val="none"/>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kern w:val="0"/>
                <w:szCs w:val="21"/>
                <w:highlight w:val="none"/>
              </w:rPr>
            </w:pPr>
          </w:p>
        </w:tc>
        <w:tc>
          <w:tcPr>
            <w:tcW w:w="2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bCs/>
                <w:color w:val="auto"/>
                <w:spacing w:val="-1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901" w:type="dxa"/>
            <w:tcBorders>
              <w:left w:val="single" w:color="auto" w:sz="4" w:space="0"/>
              <w:bottom w:val="single" w:color="auto" w:sz="4" w:space="0"/>
              <w:right w:val="single" w:color="auto" w:sz="4" w:space="0"/>
            </w:tcBorders>
            <w:noWrap w:val="0"/>
            <w:vAlign w:val="center"/>
          </w:tcPr>
          <w:p>
            <w:pPr>
              <w:adjustRightInd w:val="0"/>
              <w:snapToGrid w:val="0"/>
              <w:ind w:left="-361" w:leftChars="-172" w:firstLine="420" w:firstLineChars="200"/>
              <w:jc w:val="center"/>
              <w:rPr>
                <w:rFonts w:hint="eastAsia" w:ascii="宋体" w:hAnsi="宋体" w:eastAsia="宋体" w:cs="宋体"/>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kern w:val="0"/>
                <w:szCs w:val="21"/>
                <w:highlight w:val="none"/>
              </w:rPr>
            </w:pPr>
          </w:p>
        </w:tc>
        <w:tc>
          <w:tcPr>
            <w:tcW w:w="1806"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kern w:val="0"/>
                <w:szCs w:val="21"/>
                <w:highlight w:val="none"/>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kern w:val="0"/>
                <w:szCs w:val="21"/>
                <w:highlight w:val="none"/>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kern w:val="0"/>
                <w:szCs w:val="21"/>
                <w:highlight w:val="none"/>
              </w:rPr>
            </w:pPr>
          </w:p>
        </w:tc>
        <w:tc>
          <w:tcPr>
            <w:tcW w:w="2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bCs/>
                <w:color w:val="auto"/>
                <w:spacing w:val="-1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9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361" w:leftChars="-172" w:firstLine="436" w:firstLineChars="200"/>
              <w:jc w:val="center"/>
              <w:rPr>
                <w:rFonts w:hint="eastAsia" w:ascii="宋体" w:hAnsi="宋体" w:eastAsia="宋体" w:cs="宋体"/>
                <w:dstrike/>
                <w:color w:val="auto"/>
                <w:spacing w:val="4"/>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dstrike/>
                <w:color w:val="auto"/>
                <w:spacing w:val="4"/>
                <w:kern w:val="0"/>
                <w:szCs w:val="21"/>
                <w:highlight w:val="none"/>
              </w:rPr>
            </w:pPr>
          </w:p>
        </w:tc>
        <w:tc>
          <w:tcPr>
            <w:tcW w:w="1806"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dstrike/>
                <w:color w:val="auto"/>
                <w:spacing w:val="4"/>
                <w:kern w:val="0"/>
                <w:szCs w:val="21"/>
                <w:highlight w:val="none"/>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dstrike/>
                <w:color w:val="auto"/>
                <w:spacing w:val="4"/>
                <w:kern w:val="0"/>
                <w:szCs w:val="21"/>
                <w:highlight w:val="none"/>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dstrike/>
                <w:color w:val="auto"/>
                <w:spacing w:val="4"/>
                <w:kern w:val="0"/>
                <w:szCs w:val="21"/>
                <w:highlight w:val="none"/>
              </w:rPr>
            </w:pPr>
          </w:p>
        </w:tc>
        <w:tc>
          <w:tcPr>
            <w:tcW w:w="2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dstrike/>
                <w:color w:val="auto"/>
                <w:spacing w:val="4"/>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9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361" w:leftChars="-172" w:firstLine="420" w:firstLineChars="200"/>
              <w:jc w:val="center"/>
              <w:rPr>
                <w:rFonts w:hint="eastAsia" w:ascii="宋体" w:hAnsi="宋体" w:eastAsia="宋体" w:cs="宋体"/>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kern w:val="0"/>
                <w:szCs w:val="21"/>
                <w:highlight w:val="none"/>
              </w:rPr>
            </w:pPr>
          </w:p>
        </w:tc>
        <w:tc>
          <w:tcPr>
            <w:tcW w:w="1806"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kern w:val="0"/>
                <w:szCs w:val="21"/>
                <w:highlight w:val="none"/>
              </w:rPr>
            </w:pPr>
          </w:p>
        </w:tc>
        <w:tc>
          <w:tcPr>
            <w:tcW w:w="1476"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kern w:val="0"/>
                <w:szCs w:val="21"/>
                <w:highlight w:val="none"/>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kern w:val="0"/>
                <w:szCs w:val="21"/>
                <w:highlight w:val="none"/>
              </w:rPr>
            </w:pPr>
          </w:p>
        </w:tc>
        <w:tc>
          <w:tcPr>
            <w:tcW w:w="2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bCs/>
                <w:color w:val="auto"/>
                <w:spacing w:val="-10"/>
                <w:szCs w:val="21"/>
                <w:highlight w:val="none"/>
              </w:rPr>
            </w:pPr>
          </w:p>
        </w:tc>
      </w:tr>
    </w:tbl>
    <w:p>
      <w:pPr>
        <w:topLinePunct/>
        <w:adjustRightInd w:val="0"/>
        <w:snapToGrid w:val="0"/>
        <w:spacing w:line="240" w:lineRule="auto"/>
        <w:rPr>
          <w:rFonts w:hint="eastAsia" w:ascii="宋体" w:hAnsi="宋体" w:eastAsia="宋体" w:cs="宋体"/>
          <w:color w:val="auto"/>
          <w:spacing w:val="4"/>
          <w:kern w:val="0"/>
          <w:sz w:val="24"/>
          <w:szCs w:val="24"/>
          <w:highlight w:val="none"/>
          <w:lang w:eastAsia="zh-CN"/>
        </w:rPr>
      </w:pPr>
      <w:r>
        <w:rPr>
          <w:rFonts w:hint="eastAsia" w:ascii="宋体" w:hAnsi="宋体" w:eastAsia="宋体" w:cs="宋体"/>
          <w:color w:val="auto"/>
          <w:spacing w:val="4"/>
          <w:kern w:val="0"/>
          <w:sz w:val="24"/>
          <w:szCs w:val="24"/>
          <w:highlight w:val="none"/>
        </w:rPr>
        <w:t>注：</w:t>
      </w:r>
    </w:p>
    <w:p>
      <w:pPr>
        <w:topLinePunct/>
        <w:adjustRightInd w:val="0"/>
        <w:snapToGrid w:val="0"/>
        <w:spacing w:line="240" w:lineRule="auto"/>
        <w:rPr>
          <w:rFonts w:hint="eastAsia" w:ascii="宋体" w:hAnsi="宋体" w:eastAsia="宋体" w:cs="宋体"/>
          <w:color w:val="auto"/>
          <w:spacing w:val="4"/>
          <w:kern w:val="0"/>
          <w:sz w:val="24"/>
          <w:szCs w:val="24"/>
          <w:highlight w:val="none"/>
        </w:rPr>
      </w:pPr>
      <w:r>
        <w:rPr>
          <w:rFonts w:hint="eastAsia" w:ascii="宋体" w:hAnsi="宋体" w:eastAsia="宋体" w:cs="宋体"/>
          <w:color w:val="auto"/>
          <w:spacing w:val="4"/>
          <w:kern w:val="0"/>
          <w:sz w:val="24"/>
          <w:szCs w:val="24"/>
          <w:highlight w:val="none"/>
        </w:rPr>
        <w:t>1.本表投标人视本工程具体情况结合招标人对本工程的具体要求自行配备。</w:t>
      </w:r>
    </w:p>
    <w:p>
      <w:pPr>
        <w:topLinePunct/>
        <w:adjustRightInd w:val="0"/>
        <w:snapToGrid w:val="0"/>
        <w:spacing w:line="240" w:lineRule="auto"/>
        <w:rPr>
          <w:rFonts w:hint="eastAsia" w:ascii="宋体" w:hAnsi="宋体" w:eastAsia="宋体" w:cs="宋体"/>
          <w:color w:val="auto"/>
          <w:spacing w:val="4"/>
          <w:kern w:val="0"/>
          <w:sz w:val="24"/>
          <w:szCs w:val="24"/>
          <w:highlight w:val="none"/>
        </w:rPr>
      </w:pPr>
      <w:r>
        <w:rPr>
          <w:rFonts w:hint="eastAsia" w:ascii="宋体" w:hAnsi="宋体" w:eastAsia="宋体" w:cs="宋体"/>
          <w:color w:val="auto"/>
          <w:spacing w:val="4"/>
          <w:kern w:val="0"/>
          <w:sz w:val="24"/>
          <w:szCs w:val="24"/>
          <w:highlight w:val="none"/>
        </w:rPr>
        <w:t>2.上述人员须为投标单位人员，并须提供居民身份证及投标截止前近一个月（</w:t>
      </w:r>
      <w:r>
        <w:rPr>
          <w:rFonts w:hint="eastAsia" w:ascii="宋体" w:hAnsi="宋体" w:cs="宋体"/>
          <w:color w:val="auto"/>
          <w:sz w:val="24"/>
          <w:szCs w:val="24"/>
          <w:highlight w:val="none"/>
          <w:u w:val="none"/>
        </w:rPr>
        <w:t>202</w:t>
      </w:r>
      <w:r>
        <w:rPr>
          <w:rFonts w:hint="eastAsia" w:ascii="宋体" w:hAnsi="宋体" w:cs="宋体"/>
          <w:color w:val="auto"/>
          <w:sz w:val="24"/>
          <w:szCs w:val="24"/>
          <w:highlight w:val="none"/>
          <w:u w:val="none"/>
          <w:lang w:val="en-US" w:eastAsia="zh-CN"/>
        </w:rPr>
        <w:t>4</w:t>
      </w:r>
      <w:r>
        <w:rPr>
          <w:rFonts w:hint="eastAsia" w:ascii="宋体" w:hAnsi="宋体" w:cs="宋体"/>
          <w:color w:val="auto"/>
          <w:sz w:val="24"/>
          <w:szCs w:val="24"/>
          <w:highlight w:val="none"/>
          <w:u w:val="none"/>
        </w:rPr>
        <w:t>年</w:t>
      </w:r>
      <w:r>
        <w:rPr>
          <w:rFonts w:hint="eastAsia" w:ascii="宋体" w:hAnsi="宋体" w:cs="宋体"/>
          <w:color w:val="auto"/>
          <w:sz w:val="24"/>
          <w:szCs w:val="24"/>
          <w:highlight w:val="none"/>
          <w:u w:val="none"/>
          <w:lang w:val="en-US" w:eastAsia="zh-CN"/>
        </w:rPr>
        <w:t>6</w:t>
      </w:r>
      <w:r>
        <w:rPr>
          <w:rFonts w:hint="eastAsia" w:ascii="宋体" w:hAnsi="宋体" w:cs="宋体"/>
          <w:color w:val="auto"/>
          <w:sz w:val="24"/>
          <w:szCs w:val="24"/>
          <w:highlight w:val="none"/>
          <w:u w:val="none"/>
        </w:rPr>
        <w:t>月</w:t>
      </w:r>
      <w:r>
        <w:rPr>
          <w:rFonts w:hint="eastAsia" w:ascii="宋体" w:hAnsi="宋体" w:eastAsia="宋体" w:cs="宋体"/>
          <w:color w:val="auto"/>
          <w:spacing w:val="4"/>
          <w:kern w:val="0"/>
          <w:sz w:val="24"/>
          <w:szCs w:val="24"/>
          <w:highlight w:val="none"/>
        </w:rPr>
        <w:t>）有效社保证明。</w:t>
      </w:r>
    </w:p>
    <w:p>
      <w:pPr>
        <w:topLinePunct/>
        <w:adjustRightInd w:val="0"/>
        <w:snapToGrid w:val="0"/>
        <w:spacing w:line="240" w:lineRule="auto"/>
        <w:rPr>
          <w:rFonts w:hint="eastAsia" w:ascii="宋体" w:hAnsi="宋体" w:eastAsia="宋体" w:cs="宋体"/>
          <w:color w:val="auto"/>
          <w:spacing w:val="4"/>
          <w:kern w:val="0"/>
          <w:sz w:val="24"/>
          <w:szCs w:val="24"/>
          <w:highlight w:val="none"/>
        </w:rPr>
      </w:pPr>
      <w:r>
        <w:rPr>
          <w:rFonts w:hint="eastAsia" w:ascii="宋体" w:hAnsi="宋体" w:eastAsia="宋体" w:cs="宋体"/>
          <w:color w:val="auto"/>
          <w:spacing w:val="4"/>
          <w:kern w:val="0"/>
          <w:sz w:val="24"/>
          <w:szCs w:val="24"/>
          <w:highlight w:val="none"/>
        </w:rPr>
        <w:t>3.上述人员须按招标公告及《技术标详细审查评分表》相应要求提供居民身份证、职称证（如有），有效期内的注册证（如有）、岗位证（如有）或培训合格证（如有）等相关证明资料。所有资料为扫描件并加盖投标人电</w:t>
      </w:r>
      <w:r>
        <w:rPr>
          <w:rFonts w:hint="eastAsia" w:ascii="宋体" w:hAnsi="宋体" w:cs="宋体"/>
          <w:color w:val="auto"/>
          <w:spacing w:val="4"/>
          <w:kern w:val="0"/>
          <w:sz w:val="24"/>
          <w:szCs w:val="24"/>
          <w:highlight w:val="none"/>
          <w:lang w:val="en-US" w:eastAsia="zh-CN"/>
        </w:rPr>
        <w:t>子</w:t>
      </w:r>
      <w:r>
        <w:rPr>
          <w:rFonts w:hint="eastAsia" w:ascii="宋体" w:hAnsi="宋体" w:eastAsia="宋体" w:cs="宋体"/>
          <w:color w:val="auto"/>
          <w:spacing w:val="4"/>
          <w:kern w:val="0"/>
          <w:sz w:val="24"/>
          <w:szCs w:val="24"/>
          <w:highlight w:val="none"/>
        </w:rPr>
        <w:t>印章。</w:t>
      </w:r>
    </w:p>
    <w:p>
      <w:pPr>
        <w:topLinePunct/>
        <w:adjustRightInd w:val="0"/>
        <w:snapToGrid w:val="0"/>
        <w:spacing w:line="240" w:lineRule="auto"/>
        <w:rPr>
          <w:rFonts w:hint="eastAsia" w:ascii="宋体" w:hAnsi="宋体" w:eastAsia="宋体" w:cs="宋体"/>
          <w:color w:val="auto"/>
          <w:spacing w:val="4"/>
          <w:kern w:val="0"/>
          <w:sz w:val="24"/>
          <w:szCs w:val="24"/>
          <w:highlight w:val="none"/>
        </w:rPr>
      </w:pPr>
      <w:r>
        <w:rPr>
          <w:rFonts w:hint="eastAsia" w:ascii="宋体" w:hAnsi="宋体" w:eastAsia="宋体" w:cs="宋体"/>
          <w:color w:val="auto"/>
          <w:spacing w:val="4"/>
          <w:kern w:val="0"/>
          <w:sz w:val="24"/>
          <w:szCs w:val="24"/>
          <w:highlight w:val="none"/>
        </w:rPr>
        <w:t>4.本表中填报的所有人员均需接《主要人员简历表》格式要求提交《主要人员简历表》。</w:t>
      </w:r>
    </w:p>
    <w:p>
      <w:pPr>
        <w:topLinePunct/>
        <w:adjustRightInd w:val="0"/>
        <w:snapToGrid w:val="0"/>
        <w:spacing w:line="360" w:lineRule="auto"/>
        <w:ind w:firstLine="3596" w:firstLineChars="1450"/>
        <w:rPr>
          <w:rFonts w:hint="eastAsia" w:ascii="宋体" w:hAnsi="宋体" w:eastAsia="宋体" w:cs="宋体"/>
          <w:color w:val="auto"/>
          <w:spacing w:val="4"/>
          <w:kern w:val="0"/>
          <w:sz w:val="24"/>
          <w:szCs w:val="24"/>
          <w:highlight w:val="none"/>
        </w:rPr>
      </w:pPr>
    </w:p>
    <w:p>
      <w:pPr>
        <w:topLinePunct/>
        <w:adjustRightInd w:val="0"/>
        <w:snapToGrid w:val="0"/>
        <w:spacing w:line="360" w:lineRule="auto"/>
        <w:ind w:firstLine="3596" w:firstLineChars="1450"/>
        <w:rPr>
          <w:rFonts w:hint="eastAsia" w:ascii="宋体" w:hAnsi="宋体" w:eastAsia="宋体" w:cs="宋体"/>
          <w:color w:val="auto"/>
          <w:spacing w:val="4"/>
          <w:kern w:val="0"/>
          <w:sz w:val="24"/>
          <w:szCs w:val="24"/>
          <w:highlight w:val="none"/>
        </w:rPr>
      </w:pPr>
    </w:p>
    <w:p>
      <w:pPr>
        <w:topLinePunct/>
        <w:adjustRightInd w:val="0"/>
        <w:snapToGrid w:val="0"/>
        <w:spacing w:line="360" w:lineRule="auto"/>
        <w:ind w:firstLine="3596" w:firstLineChars="1450"/>
        <w:rPr>
          <w:rFonts w:hint="eastAsia" w:ascii="宋体" w:hAnsi="宋体" w:eastAsia="宋体" w:cs="宋体"/>
          <w:color w:val="auto"/>
          <w:spacing w:val="4"/>
          <w:kern w:val="0"/>
          <w:sz w:val="24"/>
          <w:szCs w:val="24"/>
          <w:highlight w:val="none"/>
        </w:rPr>
      </w:pPr>
      <w:r>
        <w:rPr>
          <w:rFonts w:hint="eastAsia" w:ascii="宋体" w:hAnsi="宋体" w:eastAsia="宋体" w:cs="宋体"/>
          <w:color w:val="auto"/>
          <w:spacing w:val="4"/>
          <w:kern w:val="0"/>
          <w:sz w:val="24"/>
          <w:szCs w:val="24"/>
          <w:highlight w:val="none"/>
        </w:rPr>
        <w:t>投标人（盖章）：　　</w:t>
      </w:r>
    </w:p>
    <w:p>
      <w:pPr>
        <w:topLinePunct/>
        <w:adjustRightInd w:val="0"/>
        <w:snapToGrid w:val="0"/>
        <w:spacing w:line="360" w:lineRule="auto"/>
        <w:ind w:firstLine="3596" w:firstLineChars="1450"/>
        <w:rPr>
          <w:rFonts w:hint="eastAsia" w:ascii="宋体" w:hAnsi="宋体" w:eastAsia="宋体" w:cs="宋体"/>
          <w:color w:val="auto"/>
          <w:spacing w:val="4"/>
          <w:kern w:val="0"/>
          <w:sz w:val="24"/>
          <w:szCs w:val="24"/>
          <w:highlight w:val="none"/>
        </w:rPr>
      </w:pPr>
      <w:r>
        <w:rPr>
          <w:rFonts w:hint="eastAsia" w:ascii="宋体" w:hAnsi="宋体" w:eastAsia="宋体" w:cs="宋体"/>
          <w:color w:val="auto"/>
          <w:spacing w:val="4"/>
          <w:kern w:val="0"/>
          <w:sz w:val="24"/>
          <w:szCs w:val="24"/>
          <w:highlight w:val="none"/>
        </w:rPr>
        <w:t>法定代表人或授权代理人(签字或盖章)：</w:t>
      </w:r>
    </w:p>
    <w:p>
      <w:pPr>
        <w:topLinePunct/>
        <w:adjustRightInd w:val="0"/>
        <w:snapToGrid w:val="0"/>
        <w:spacing w:before="120" w:after="120" w:line="360" w:lineRule="auto"/>
        <w:ind w:firstLine="3596" w:firstLineChars="1450"/>
        <w:rPr>
          <w:rFonts w:hint="eastAsia" w:ascii="宋体" w:hAnsi="宋体" w:eastAsia="宋体" w:cs="宋体"/>
          <w:color w:val="auto"/>
          <w:spacing w:val="4"/>
          <w:kern w:val="0"/>
          <w:sz w:val="24"/>
          <w:szCs w:val="24"/>
          <w:highlight w:val="none"/>
        </w:rPr>
      </w:pPr>
      <w:r>
        <w:rPr>
          <w:rFonts w:hint="eastAsia" w:ascii="宋体" w:hAnsi="宋体" w:eastAsia="宋体" w:cs="宋体"/>
          <w:color w:val="auto"/>
          <w:spacing w:val="4"/>
          <w:kern w:val="0"/>
          <w:sz w:val="24"/>
          <w:szCs w:val="24"/>
          <w:highlight w:val="none"/>
        </w:rPr>
        <w:t>日   期：    年    月    日</w:t>
      </w:r>
    </w:p>
    <w:p>
      <w:pPr>
        <w:topLinePunct/>
        <w:adjustRightInd w:val="0"/>
        <w:snapToGrid w:val="0"/>
        <w:spacing w:line="360" w:lineRule="auto"/>
        <w:rPr>
          <w:rFonts w:hint="eastAsia" w:ascii="宋体" w:hAnsi="宋体" w:eastAsia="宋体" w:cs="宋体"/>
          <w:b/>
          <w:snapToGrid w:val="0"/>
          <w:color w:val="auto"/>
          <w:spacing w:val="4"/>
          <w:kern w:val="0"/>
          <w:sz w:val="24"/>
          <w:szCs w:val="24"/>
          <w:highlight w:val="none"/>
        </w:rPr>
      </w:pPr>
    </w:p>
    <w:p>
      <w:pPr>
        <w:pStyle w:val="12"/>
        <w:rPr>
          <w:rFonts w:hint="eastAsia" w:ascii="宋体" w:hAnsi="宋体" w:eastAsia="宋体" w:cs="宋体"/>
          <w:color w:val="auto"/>
          <w:highlight w:val="none"/>
        </w:rPr>
      </w:pPr>
    </w:p>
    <w:p>
      <w:pPr>
        <w:topLinePunct/>
        <w:adjustRightInd w:val="0"/>
        <w:snapToGrid w:val="0"/>
        <w:spacing w:line="360" w:lineRule="auto"/>
        <w:jc w:val="center"/>
        <w:rPr>
          <w:rFonts w:hint="eastAsia" w:ascii="宋体" w:hAnsi="宋体" w:eastAsia="宋体" w:cs="宋体"/>
          <w:b/>
          <w:snapToGrid w:val="0"/>
          <w:color w:val="auto"/>
          <w:spacing w:val="4"/>
          <w:kern w:val="0"/>
          <w:sz w:val="36"/>
          <w:szCs w:val="36"/>
          <w:highlight w:val="none"/>
        </w:rPr>
      </w:pPr>
      <w:r>
        <w:rPr>
          <w:rFonts w:hint="eastAsia" w:ascii="宋体" w:hAnsi="宋体" w:eastAsia="宋体" w:cs="宋体"/>
          <w:b/>
          <w:snapToGrid w:val="0"/>
          <w:color w:val="auto"/>
          <w:spacing w:val="4"/>
          <w:kern w:val="0"/>
          <w:sz w:val="36"/>
          <w:szCs w:val="36"/>
          <w:highlight w:val="none"/>
        </w:rPr>
        <w:t>主要人员简历表</w:t>
      </w:r>
    </w:p>
    <w:p>
      <w:pPr>
        <w:topLinePunct/>
        <w:adjustRightInd w:val="0"/>
        <w:snapToGrid w:val="0"/>
        <w:spacing w:line="360" w:lineRule="auto"/>
        <w:rPr>
          <w:rFonts w:hint="eastAsia" w:ascii="宋体" w:hAnsi="宋体" w:eastAsia="宋体" w:cs="宋体"/>
          <w:color w:val="auto"/>
          <w:spacing w:val="4"/>
          <w:kern w:val="0"/>
          <w:sz w:val="24"/>
          <w:szCs w:val="24"/>
          <w:highlight w:val="none"/>
        </w:rPr>
      </w:pPr>
      <w:r>
        <w:rPr>
          <w:rFonts w:hint="eastAsia" w:ascii="宋体" w:hAnsi="宋体" w:eastAsia="宋体" w:cs="宋体"/>
          <w:color w:val="auto"/>
          <w:spacing w:val="4"/>
          <w:kern w:val="0"/>
          <w:sz w:val="24"/>
          <w:szCs w:val="24"/>
          <w:highlight w:val="none"/>
        </w:rPr>
        <w:t xml:space="preserve">工程名称： </w:t>
      </w:r>
    </w:p>
    <w:tbl>
      <w:tblPr>
        <w:tblStyle w:val="20"/>
        <w:tblW w:w="5000" w:type="pct"/>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1324"/>
        <w:gridCol w:w="1791"/>
        <w:gridCol w:w="1060"/>
        <w:gridCol w:w="592"/>
        <w:gridCol w:w="183"/>
        <w:gridCol w:w="1283"/>
        <w:gridCol w:w="1005"/>
        <w:gridCol w:w="346"/>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720" w:hRule="atLeast"/>
          <w:tblCellSpacing w:w="0" w:type="dxa"/>
          <w:jc w:val="center"/>
        </w:trPr>
        <w:tc>
          <w:tcPr>
            <w:tcW w:w="722" w:type="pct"/>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p>
        </w:tc>
        <w:tc>
          <w:tcPr>
            <w:tcW w:w="977" w:type="pct"/>
            <w:noWrap w:val="0"/>
            <w:vAlign w:val="center"/>
          </w:tcPr>
          <w:p>
            <w:pPr>
              <w:jc w:val="left"/>
              <w:rPr>
                <w:rFonts w:hint="eastAsia" w:ascii="宋体" w:hAnsi="宋体" w:eastAsia="宋体" w:cs="宋体"/>
                <w:color w:val="auto"/>
                <w:sz w:val="24"/>
                <w:szCs w:val="24"/>
                <w:highlight w:val="none"/>
              </w:rPr>
            </w:pPr>
          </w:p>
        </w:tc>
        <w:tc>
          <w:tcPr>
            <w:tcW w:w="578" w:type="pct"/>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性别</w:t>
            </w:r>
          </w:p>
        </w:tc>
        <w:tc>
          <w:tcPr>
            <w:tcW w:w="1122" w:type="pct"/>
            <w:gridSpan w:val="3"/>
            <w:noWrap w:val="0"/>
            <w:vAlign w:val="center"/>
          </w:tcPr>
          <w:p>
            <w:pPr>
              <w:jc w:val="left"/>
              <w:rPr>
                <w:rFonts w:hint="eastAsia" w:ascii="宋体" w:hAnsi="宋体" w:eastAsia="宋体" w:cs="宋体"/>
                <w:color w:val="auto"/>
                <w:sz w:val="24"/>
                <w:szCs w:val="24"/>
                <w:highlight w:val="none"/>
              </w:rPr>
            </w:pPr>
          </w:p>
        </w:tc>
        <w:tc>
          <w:tcPr>
            <w:tcW w:w="737" w:type="pct"/>
            <w:gridSpan w:val="2"/>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年龄</w:t>
            </w:r>
          </w:p>
        </w:tc>
        <w:tc>
          <w:tcPr>
            <w:tcW w:w="860" w:type="pct"/>
            <w:noWrap w:val="0"/>
            <w:vAlign w:val="center"/>
          </w:tcPr>
          <w:p>
            <w:pPr>
              <w:jc w:val="lef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735" w:hRule="atLeast"/>
          <w:tblCellSpacing w:w="0" w:type="dxa"/>
          <w:jc w:val="center"/>
        </w:trPr>
        <w:tc>
          <w:tcPr>
            <w:tcW w:w="722" w:type="pct"/>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职务</w:t>
            </w:r>
          </w:p>
        </w:tc>
        <w:tc>
          <w:tcPr>
            <w:tcW w:w="977" w:type="pct"/>
            <w:noWrap w:val="0"/>
            <w:vAlign w:val="center"/>
          </w:tcPr>
          <w:p>
            <w:pPr>
              <w:jc w:val="left"/>
              <w:rPr>
                <w:rFonts w:hint="eastAsia" w:ascii="宋体" w:hAnsi="宋体" w:eastAsia="宋体" w:cs="宋体"/>
                <w:color w:val="auto"/>
                <w:sz w:val="24"/>
                <w:szCs w:val="24"/>
                <w:highlight w:val="none"/>
              </w:rPr>
            </w:pPr>
          </w:p>
        </w:tc>
        <w:tc>
          <w:tcPr>
            <w:tcW w:w="578" w:type="pct"/>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职称</w:t>
            </w:r>
          </w:p>
        </w:tc>
        <w:tc>
          <w:tcPr>
            <w:tcW w:w="1122" w:type="pct"/>
            <w:gridSpan w:val="3"/>
            <w:noWrap w:val="0"/>
            <w:vAlign w:val="center"/>
          </w:tcPr>
          <w:p>
            <w:pPr>
              <w:jc w:val="left"/>
              <w:rPr>
                <w:rFonts w:hint="eastAsia" w:ascii="宋体" w:hAnsi="宋体" w:eastAsia="宋体" w:cs="宋体"/>
                <w:color w:val="auto"/>
                <w:sz w:val="24"/>
                <w:szCs w:val="24"/>
                <w:highlight w:val="none"/>
              </w:rPr>
            </w:pPr>
          </w:p>
        </w:tc>
        <w:tc>
          <w:tcPr>
            <w:tcW w:w="737" w:type="pct"/>
            <w:gridSpan w:val="2"/>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学历</w:t>
            </w:r>
          </w:p>
        </w:tc>
        <w:tc>
          <w:tcPr>
            <w:tcW w:w="860" w:type="pct"/>
            <w:noWrap w:val="0"/>
            <w:vAlign w:val="center"/>
          </w:tcPr>
          <w:p>
            <w:pPr>
              <w:jc w:val="lef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735" w:hRule="atLeast"/>
          <w:tblCellSpacing w:w="0" w:type="dxa"/>
          <w:jc w:val="center"/>
        </w:trPr>
        <w:tc>
          <w:tcPr>
            <w:tcW w:w="1699" w:type="pct"/>
            <w:gridSpan w:val="2"/>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参加工作时间</w:t>
            </w:r>
          </w:p>
        </w:tc>
        <w:tc>
          <w:tcPr>
            <w:tcW w:w="1001" w:type="pct"/>
            <w:gridSpan w:val="3"/>
            <w:noWrap w:val="0"/>
            <w:vAlign w:val="center"/>
          </w:tcPr>
          <w:p>
            <w:pPr>
              <w:jc w:val="left"/>
              <w:rPr>
                <w:rFonts w:hint="eastAsia" w:ascii="宋体" w:hAnsi="宋体" w:eastAsia="宋体" w:cs="宋体"/>
                <w:color w:val="auto"/>
                <w:sz w:val="24"/>
                <w:szCs w:val="24"/>
                <w:highlight w:val="none"/>
              </w:rPr>
            </w:pPr>
          </w:p>
        </w:tc>
        <w:tc>
          <w:tcPr>
            <w:tcW w:w="1248" w:type="pct"/>
            <w:gridSpan w:val="2"/>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担任相应职务年限</w:t>
            </w:r>
          </w:p>
        </w:tc>
        <w:tc>
          <w:tcPr>
            <w:tcW w:w="1049" w:type="pct"/>
            <w:gridSpan w:val="2"/>
            <w:noWrap w:val="0"/>
            <w:vAlign w:val="center"/>
          </w:tcPr>
          <w:p>
            <w:pPr>
              <w:jc w:val="lef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735" w:hRule="atLeast"/>
          <w:tblCellSpacing w:w="0" w:type="dxa"/>
          <w:jc w:val="center"/>
        </w:trPr>
        <w:tc>
          <w:tcPr>
            <w:tcW w:w="1699" w:type="pct"/>
            <w:gridSpan w:val="2"/>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毕业学校</w:t>
            </w:r>
          </w:p>
        </w:tc>
        <w:tc>
          <w:tcPr>
            <w:tcW w:w="3300" w:type="pct"/>
            <w:gridSpan w:val="7"/>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年  月毕业于     学校    系，学制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735" w:hRule="atLeast"/>
          <w:tblCellSpacing w:w="0" w:type="dxa"/>
          <w:jc w:val="center"/>
        </w:trPr>
        <w:tc>
          <w:tcPr>
            <w:tcW w:w="1699" w:type="pct"/>
            <w:gridSpan w:val="2"/>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资格证书号</w:t>
            </w:r>
          </w:p>
        </w:tc>
        <w:tc>
          <w:tcPr>
            <w:tcW w:w="3300" w:type="pct"/>
            <w:gridSpan w:val="7"/>
            <w:noWrap w:val="0"/>
            <w:vAlign w:val="center"/>
          </w:tcPr>
          <w:p>
            <w:pPr>
              <w:jc w:val="lef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735" w:hRule="atLeast"/>
          <w:tblCellSpacing w:w="0" w:type="dxa"/>
          <w:jc w:val="center"/>
        </w:trPr>
        <w:tc>
          <w:tcPr>
            <w:tcW w:w="5000" w:type="pct"/>
            <w:gridSpan w:val="9"/>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业绩简介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735" w:hRule="atLeast"/>
          <w:tblCellSpacing w:w="0" w:type="dxa"/>
          <w:jc w:val="center"/>
        </w:trPr>
        <w:tc>
          <w:tcPr>
            <w:tcW w:w="722" w:type="pct"/>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建设单位</w:t>
            </w:r>
          </w:p>
        </w:tc>
        <w:tc>
          <w:tcPr>
            <w:tcW w:w="977" w:type="pct"/>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tc>
        <w:tc>
          <w:tcPr>
            <w:tcW w:w="901" w:type="pct"/>
            <w:gridSpan w:val="2"/>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建设规模</w:t>
            </w:r>
          </w:p>
        </w:tc>
        <w:tc>
          <w:tcPr>
            <w:tcW w:w="800" w:type="pct"/>
            <w:gridSpan w:val="2"/>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开、竣工日期</w:t>
            </w:r>
          </w:p>
        </w:tc>
        <w:tc>
          <w:tcPr>
            <w:tcW w:w="737" w:type="pct"/>
            <w:gridSpan w:val="2"/>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在建或已完工程质量</w:t>
            </w:r>
          </w:p>
        </w:tc>
        <w:tc>
          <w:tcPr>
            <w:tcW w:w="860" w:type="pct"/>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735" w:hRule="atLeast"/>
          <w:tblCellSpacing w:w="0" w:type="dxa"/>
          <w:jc w:val="center"/>
        </w:trPr>
        <w:tc>
          <w:tcPr>
            <w:tcW w:w="722" w:type="pct"/>
            <w:noWrap w:val="0"/>
            <w:vAlign w:val="center"/>
          </w:tcPr>
          <w:p>
            <w:pPr>
              <w:jc w:val="left"/>
              <w:rPr>
                <w:rFonts w:hint="eastAsia" w:ascii="宋体" w:hAnsi="宋体" w:eastAsia="宋体" w:cs="宋体"/>
                <w:color w:val="auto"/>
                <w:sz w:val="24"/>
                <w:szCs w:val="24"/>
                <w:highlight w:val="none"/>
              </w:rPr>
            </w:pPr>
          </w:p>
        </w:tc>
        <w:tc>
          <w:tcPr>
            <w:tcW w:w="977" w:type="pct"/>
            <w:noWrap w:val="0"/>
            <w:vAlign w:val="center"/>
          </w:tcPr>
          <w:p>
            <w:pPr>
              <w:jc w:val="left"/>
              <w:rPr>
                <w:rFonts w:hint="eastAsia" w:ascii="宋体" w:hAnsi="宋体" w:eastAsia="宋体" w:cs="宋体"/>
                <w:color w:val="auto"/>
                <w:sz w:val="24"/>
                <w:szCs w:val="24"/>
                <w:highlight w:val="none"/>
              </w:rPr>
            </w:pPr>
          </w:p>
        </w:tc>
        <w:tc>
          <w:tcPr>
            <w:tcW w:w="901" w:type="pct"/>
            <w:gridSpan w:val="2"/>
            <w:noWrap w:val="0"/>
            <w:vAlign w:val="center"/>
          </w:tcPr>
          <w:p>
            <w:pPr>
              <w:jc w:val="left"/>
              <w:rPr>
                <w:rFonts w:hint="eastAsia" w:ascii="宋体" w:hAnsi="宋体" w:eastAsia="宋体" w:cs="宋体"/>
                <w:color w:val="auto"/>
                <w:sz w:val="24"/>
                <w:szCs w:val="24"/>
                <w:highlight w:val="none"/>
              </w:rPr>
            </w:pPr>
          </w:p>
        </w:tc>
        <w:tc>
          <w:tcPr>
            <w:tcW w:w="800" w:type="pct"/>
            <w:gridSpan w:val="2"/>
            <w:noWrap w:val="0"/>
            <w:vAlign w:val="center"/>
          </w:tcPr>
          <w:p>
            <w:pPr>
              <w:jc w:val="left"/>
              <w:rPr>
                <w:rFonts w:hint="eastAsia" w:ascii="宋体" w:hAnsi="宋体" w:eastAsia="宋体" w:cs="宋体"/>
                <w:color w:val="auto"/>
                <w:sz w:val="24"/>
                <w:szCs w:val="24"/>
                <w:highlight w:val="none"/>
              </w:rPr>
            </w:pPr>
          </w:p>
        </w:tc>
        <w:tc>
          <w:tcPr>
            <w:tcW w:w="737" w:type="pct"/>
            <w:gridSpan w:val="2"/>
            <w:noWrap w:val="0"/>
            <w:vAlign w:val="center"/>
          </w:tcPr>
          <w:p>
            <w:pPr>
              <w:jc w:val="left"/>
              <w:rPr>
                <w:rFonts w:hint="eastAsia" w:ascii="宋体" w:hAnsi="宋体" w:eastAsia="宋体" w:cs="宋体"/>
                <w:color w:val="auto"/>
                <w:sz w:val="24"/>
                <w:szCs w:val="24"/>
                <w:highlight w:val="none"/>
              </w:rPr>
            </w:pPr>
          </w:p>
        </w:tc>
        <w:tc>
          <w:tcPr>
            <w:tcW w:w="860" w:type="pct"/>
            <w:noWrap w:val="0"/>
            <w:vAlign w:val="center"/>
          </w:tcPr>
          <w:p>
            <w:pPr>
              <w:jc w:val="lef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735" w:hRule="atLeast"/>
          <w:tblCellSpacing w:w="0" w:type="dxa"/>
          <w:jc w:val="center"/>
        </w:trPr>
        <w:tc>
          <w:tcPr>
            <w:tcW w:w="722" w:type="pct"/>
            <w:noWrap w:val="0"/>
            <w:vAlign w:val="center"/>
          </w:tcPr>
          <w:p>
            <w:pPr>
              <w:jc w:val="left"/>
              <w:rPr>
                <w:rFonts w:hint="eastAsia" w:ascii="宋体" w:hAnsi="宋体" w:eastAsia="宋体" w:cs="宋体"/>
                <w:color w:val="auto"/>
                <w:sz w:val="24"/>
                <w:szCs w:val="24"/>
                <w:highlight w:val="none"/>
              </w:rPr>
            </w:pPr>
          </w:p>
        </w:tc>
        <w:tc>
          <w:tcPr>
            <w:tcW w:w="977" w:type="pct"/>
            <w:noWrap w:val="0"/>
            <w:vAlign w:val="center"/>
          </w:tcPr>
          <w:p>
            <w:pPr>
              <w:jc w:val="left"/>
              <w:rPr>
                <w:rFonts w:hint="eastAsia" w:ascii="宋体" w:hAnsi="宋体" w:eastAsia="宋体" w:cs="宋体"/>
                <w:color w:val="auto"/>
                <w:sz w:val="24"/>
                <w:szCs w:val="24"/>
                <w:highlight w:val="none"/>
              </w:rPr>
            </w:pPr>
          </w:p>
        </w:tc>
        <w:tc>
          <w:tcPr>
            <w:tcW w:w="901" w:type="pct"/>
            <w:gridSpan w:val="2"/>
            <w:noWrap w:val="0"/>
            <w:vAlign w:val="center"/>
          </w:tcPr>
          <w:p>
            <w:pPr>
              <w:jc w:val="left"/>
              <w:rPr>
                <w:rFonts w:hint="eastAsia" w:ascii="宋体" w:hAnsi="宋体" w:eastAsia="宋体" w:cs="宋体"/>
                <w:color w:val="auto"/>
                <w:sz w:val="24"/>
                <w:szCs w:val="24"/>
                <w:highlight w:val="none"/>
              </w:rPr>
            </w:pPr>
          </w:p>
        </w:tc>
        <w:tc>
          <w:tcPr>
            <w:tcW w:w="800" w:type="pct"/>
            <w:gridSpan w:val="2"/>
            <w:noWrap w:val="0"/>
            <w:vAlign w:val="center"/>
          </w:tcPr>
          <w:p>
            <w:pPr>
              <w:jc w:val="left"/>
              <w:rPr>
                <w:rFonts w:hint="eastAsia" w:ascii="宋体" w:hAnsi="宋体" w:eastAsia="宋体" w:cs="宋体"/>
                <w:color w:val="auto"/>
                <w:sz w:val="24"/>
                <w:szCs w:val="24"/>
                <w:highlight w:val="none"/>
              </w:rPr>
            </w:pPr>
          </w:p>
        </w:tc>
        <w:tc>
          <w:tcPr>
            <w:tcW w:w="737" w:type="pct"/>
            <w:gridSpan w:val="2"/>
            <w:noWrap w:val="0"/>
            <w:vAlign w:val="center"/>
          </w:tcPr>
          <w:p>
            <w:pPr>
              <w:jc w:val="left"/>
              <w:rPr>
                <w:rFonts w:hint="eastAsia" w:ascii="宋体" w:hAnsi="宋体" w:eastAsia="宋体" w:cs="宋体"/>
                <w:color w:val="auto"/>
                <w:sz w:val="24"/>
                <w:szCs w:val="24"/>
                <w:highlight w:val="none"/>
              </w:rPr>
            </w:pPr>
          </w:p>
        </w:tc>
        <w:tc>
          <w:tcPr>
            <w:tcW w:w="860" w:type="pct"/>
            <w:noWrap w:val="0"/>
            <w:vAlign w:val="center"/>
          </w:tcPr>
          <w:p>
            <w:pPr>
              <w:jc w:val="lef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735" w:hRule="atLeast"/>
          <w:tblCellSpacing w:w="0" w:type="dxa"/>
          <w:jc w:val="center"/>
        </w:trPr>
        <w:tc>
          <w:tcPr>
            <w:tcW w:w="722" w:type="pct"/>
            <w:noWrap w:val="0"/>
            <w:vAlign w:val="center"/>
          </w:tcPr>
          <w:p>
            <w:pPr>
              <w:jc w:val="left"/>
              <w:rPr>
                <w:rFonts w:hint="eastAsia" w:ascii="宋体" w:hAnsi="宋体" w:eastAsia="宋体" w:cs="宋体"/>
                <w:color w:val="auto"/>
                <w:sz w:val="24"/>
                <w:szCs w:val="24"/>
                <w:highlight w:val="none"/>
              </w:rPr>
            </w:pPr>
          </w:p>
        </w:tc>
        <w:tc>
          <w:tcPr>
            <w:tcW w:w="977" w:type="pct"/>
            <w:noWrap w:val="0"/>
            <w:vAlign w:val="center"/>
          </w:tcPr>
          <w:p>
            <w:pPr>
              <w:jc w:val="left"/>
              <w:rPr>
                <w:rFonts w:hint="eastAsia" w:ascii="宋体" w:hAnsi="宋体" w:eastAsia="宋体" w:cs="宋体"/>
                <w:color w:val="auto"/>
                <w:sz w:val="24"/>
                <w:szCs w:val="24"/>
                <w:highlight w:val="none"/>
              </w:rPr>
            </w:pPr>
          </w:p>
        </w:tc>
        <w:tc>
          <w:tcPr>
            <w:tcW w:w="901" w:type="pct"/>
            <w:gridSpan w:val="2"/>
            <w:noWrap w:val="0"/>
            <w:vAlign w:val="center"/>
          </w:tcPr>
          <w:p>
            <w:pPr>
              <w:jc w:val="left"/>
              <w:rPr>
                <w:rFonts w:hint="eastAsia" w:ascii="宋体" w:hAnsi="宋体" w:eastAsia="宋体" w:cs="宋体"/>
                <w:color w:val="auto"/>
                <w:sz w:val="24"/>
                <w:szCs w:val="24"/>
                <w:highlight w:val="none"/>
              </w:rPr>
            </w:pPr>
          </w:p>
        </w:tc>
        <w:tc>
          <w:tcPr>
            <w:tcW w:w="800" w:type="pct"/>
            <w:gridSpan w:val="2"/>
            <w:noWrap w:val="0"/>
            <w:vAlign w:val="center"/>
          </w:tcPr>
          <w:p>
            <w:pPr>
              <w:jc w:val="left"/>
              <w:rPr>
                <w:rFonts w:hint="eastAsia" w:ascii="宋体" w:hAnsi="宋体" w:eastAsia="宋体" w:cs="宋体"/>
                <w:color w:val="auto"/>
                <w:sz w:val="24"/>
                <w:szCs w:val="24"/>
                <w:highlight w:val="none"/>
              </w:rPr>
            </w:pPr>
          </w:p>
        </w:tc>
        <w:tc>
          <w:tcPr>
            <w:tcW w:w="737" w:type="pct"/>
            <w:gridSpan w:val="2"/>
            <w:noWrap w:val="0"/>
            <w:vAlign w:val="center"/>
          </w:tcPr>
          <w:p>
            <w:pPr>
              <w:jc w:val="left"/>
              <w:rPr>
                <w:rFonts w:hint="eastAsia" w:ascii="宋体" w:hAnsi="宋体" w:eastAsia="宋体" w:cs="宋体"/>
                <w:color w:val="auto"/>
                <w:sz w:val="24"/>
                <w:szCs w:val="24"/>
                <w:highlight w:val="none"/>
              </w:rPr>
            </w:pPr>
          </w:p>
        </w:tc>
        <w:tc>
          <w:tcPr>
            <w:tcW w:w="860" w:type="pct"/>
            <w:noWrap w:val="0"/>
            <w:vAlign w:val="center"/>
          </w:tcPr>
          <w:p>
            <w:pPr>
              <w:jc w:val="left"/>
              <w:rPr>
                <w:rFonts w:hint="eastAsia" w:ascii="宋体" w:hAnsi="宋体" w:eastAsia="宋体" w:cs="宋体"/>
                <w:color w:val="auto"/>
                <w:sz w:val="24"/>
                <w:szCs w:val="24"/>
                <w:highlight w:val="none"/>
              </w:rPr>
            </w:pPr>
          </w:p>
        </w:tc>
      </w:tr>
    </w:tbl>
    <w:p>
      <w:pPr>
        <w:topLinePunct/>
        <w:adjustRightInd w:val="0"/>
        <w:snapToGrid w:val="0"/>
        <w:spacing w:line="360" w:lineRule="auto"/>
        <w:ind w:firstLine="496" w:firstLineChars="200"/>
        <w:rPr>
          <w:rFonts w:hint="eastAsia" w:ascii="宋体" w:hAnsi="宋体" w:eastAsia="宋体" w:cs="宋体"/>
          <w:color w:val="auto"/>
          <w:spacing w:val="4"/>
          <w:kern w:val="0"/>
          <w:sz w:val="24"/>
          <w:szCs w:val="24"/>
          <w:highlight w:val="none"/>
        </w:rPr>
      </w:pPr>
    </w:p>
    <w:p>
      <w:pPr>
        <w:topLinePunct/>
        <w:adjustRightInd w:val="0"/>
        <w:snapToGrid w:val="0"/>
        <w:spacing w:line="360" w:lineRule="auto"/>
        <w:ind w:firstLine="4092" w:firstLineChars="1650"/>
        <w:jc w:val="both"/>
        <w:rPr>
          <w:rFonts w:hint="eastAsia" w:ascii="宋体" w:hAnsi="宋体" w:eastAsia="宋体" w:cs="宋体"/>
          <w:color w:val="auto"/>
          <w:spacing w:val="4"/>
          <w:kern w:val="0"/>
          <w:sz w:val="24"/>
          <w:szCs w:val="24"/>
          <w:highlight w:val="none"/>
        </w:rPr>
      </w:pPr>
      <w:r>
        <w:rPr>
          <w:rFonts w:hint="eastAsia" w:ascii="宋体" w:hAnsi="宋体" w:eastAsia="宋体" w:cs="宋体"/>
          <w:color w:val="auto"/>
          <w:spacing w:val="4"/>
          <w:kern w:val="0"/>
          <w:sz w:val="24"/>
          <w:szCs w:val="24"/>
          <w:highlight w:val="none"/>
        </w:rPr>
        <w:t>投标人（盖章）：　　</w:t>
      </w:r>
    </w:p>
    <w:p>
      <w:pPr>
        <w:topLinePunct/>
        <w:adjustRightInd w:val="0"/>
        <w:snapToGrid w:val="0"/>
        <w:spacing w:line="360" w:lineRule="auto"/>
        <w:ind w:firstLine="4092" w:firstLineChars="1650"/>
        <w:jc w:val="both"/>
        <w:rPr>
          <w:rFonts w:hint="eastAsia" w:ascii="宋体" w:hAnsi="宋体" w:eastAsia="宋体" w:cs="宋体"/>
          <w:color w:val="auto"/>
          <w:spacing w:val="4"/>
          <w:kern w:val="0"/>
          <w:sz w:val="24"/>
          <w:szCs w:val="24"/>
          <w:highlight w:val="none"/>
        </w:rPr>
      </w:pPr>
      <w:r>
        <w:rPr>
          <w:rFonts w:hint="eastAsia" w:ascii="宋体" w:hAnsi="宋体" w:eastAsia="宋体" w:cs="宋体"/>
          <w:color w:val="auto"/>
          <w:spacing w:val="4"/>
          <w:kern w:val="0"/>
          <w:sz w:val="24"/>
          <w:szCs w:val="24"/>
          <w:highlight w:val="none"/>
        </w:rPr>
        <w:t>法定代表人或授权代理人(签字或盖章)：</w:t>
      </w:r>
    </w:p>
    <w:p>
      <w:pPr>
        <w:topLinePunct/>
        <w:adjustRightInd w:val="0"/>
        <w:snapToGrid w:val="0"/>
        <w:spacing w:line="360" w:lineRule="auto"/>
        <w:ind w:firstLine="4092" w:firstLineChars="1650"/>
        <w:jc w:val="both"/>
        <w:rPr>
          <w:rFonts w:hint="eastAsia" w:ascii="宋体" w:hAnsi="宋体" w:eastAsia="宋体" w:cs="宋体"/>
          <w:color w:val="auto"/>
          <w:spacing w:val="4"/>
          <w:kern w:val="0"/>
          <w:sz w:val="24"/>
          <w:szCs w:val="24"/>
          <w:highlight w:val="none"/>
        </w:rPr>
      </w:pPr>
      <w:r>
        <w:rPr>
          <w:rFonts w:hint="eastAsia" w:ascii="宋体" w:hAnsi="宋体" w:eastAsia="宋体" w:cs="宋体"/>
          <w:color w:val="auto"/>
          <w:spacing w:val="4"/>
          <w:kern w:val="0"/>
          <w:sz w:val="24"/>
          <w:szCs w:val="24"/>
          <w:highlight w:val="none"/>
        </w:rPr>
        <w:t>日   期：    年    月    日</w:t>
      </w:r>
    </w:p>
    <w:p>
      <w:pPr>
        <w:pStyle w:val="2"/>
        <w:rPr>
          <w:rFonts w:hint="eastAsia"/>
          <w:color w:val="auto"/>
          <w:highlight w:val="none"/>
          <w:lang w:val="en-US" w:eastAsia="zh-CN"/>
        </w:rPr>
      </w:pPr>
    </w:p>
    <w:p>
      <w:pPr>
        <w:rPr>
          <w:rFonts w:hint="eastAsia"/>
          <w:color w:val="auto"/>
          <w:highlight w:val="none"/>
          <w:lang w:val="en-US" w:eastAsia="zh-CN"/>
        </w:rPr>
      </w:pPr>
    </w:p>
    <w:p>
      <w:pPr>
        <w:topLinePunct/>
        <w:adjustRightInd w:val="0"/>
        <w:snapToGrid w:val="0"/>
        <w:spacing w:line="360" w:lineRule="auto"/>
        <w:jc w:val="center"/>
        <w:rPr>
          <w:rFonts w:hint="eastAsia" w:ascii="宋体" w:hAnsi="宋体" w:eastAsia="宋体" w:cs="宋体"/>
          <w:b/>
          <w:snapToGrid w:val="0"/>
          <w:color w:val="auto"/>
          <w:spacing w:val="4"/>
          <w:kern w:val="0"/>
          <w:sz w:val="24"/>
          <w:szCs w:val="24"/>
          <w:highlight w:val="none"/>
        </w:rPr>
      </w:pPr>
    </w:p>
    <w:p>
      <w:pPr>
        <w:topLinePunct/>
        <w:adjustRightInd w:val="0"/>
        <w:snapToGrid w:val="0"/>
        <w:spacing w:line="360" w:lineRule="auto"/>
        <w:jc w:val="center"/>
        <w:rPr>
          <w:rFonts w:hint="eastAsia" w:ascii="宋体" w:hAnsi="宋体" w:eastAsia="宋体" w:cs="宋体"/>
          <w:b/>
          <w:snapToGrid w:val="0"/>
          <w:color w:val="auto"/>
          <w:spacing w:val="4"/>
          <w:kern w:val="0"/>
          <w:sz w:val="24"/>
          <w:szCs w:val="24"/>
          <w:highlight w:val="none"/>
        </w:rPr>
      </w:pPr>
    </w:p>
    <w:p>
      <w:pPr>
        <w:topLinePunct/>
        <w:adjustRightInd w:val="0"/>
        <w:snapToGrid w:val="0"/>
        <w:spacing w:line="360" w:lineRule="auto"/>
        <w:jc w:val="center"/>
        <w:rPr>
          <w:rFonts w:hint="eastAsia" w:ascii="宋体" w:hAnsi="宋体" w:eastAsia="宋体" w:cs="宋体"/>
          <w:b/>
          <w:snapToGrid w:val="0"/>
          <w:color w:val="auto"/>
          <w:spacing w:val="4"/>
          <w:kern w:val="0"/>
          <w:sz w:val="24"/>
          <w:szCs w:val="24"/>
          <w:highlight w:val="none"/>
        </w:rPr>
      </w:pPr>
    </w:p>
    <w:p>
      <w:pPr>
        <w:topLinePunct/>
        <w:adjustRightInd w:val="0"/>
        <w:snapToGrid w:val="0"/>
        <w:spacing w:before="156" w:beforeLines="50" w:after="156" w:afterLines="50" w:line="360" w:lineRule="auto"/>
        <w:jc w:val="left"/>
        <w:outlineLvl w:val="2"/>
        <w:rPr>
          <w:rFonts w:hint="eastAsia" w:ascii="宋体" w:hAnsi="宋体" w:eastAsia="宋体" w:cs="宋体"/>
          <w:snapToGrid w:val="0"/>
          <w:color w:val="auto"/>
          <w:spacing w:val="4"/>
          <w:kern w:val="0"/>
          <w:sz w:val="24"/>
          <w:szCs w:val="24"/>
          <w:highlight w:val="none"/>
          <w:lang w:eastAsia="zh-CN"/>
        </w:rPr>
      </w:pPr>
      <w:bookmarkStart w:id="37" w:name="_Toc13235"/>
      <w:bookmarkStart w:id="38" w:name="_Toc4573"/>
      <w:r>
        <w:rPr>
          <w:rFonts w:hint="eastAsia"/>
          <w:color w:val="auto"/>
          <w:sz w:val="24"/>
          <w:szCs w:val="24"/>
          <w:highlight w:val="none"/>
        </w:rPr>
        <w:t>技术标</w:t>
      </w:r>
      <w:r>
        <w:rPr>
          <w:rFonts w:hint="eastAsia" w:ascii="宋体" w:hAnsi="宋体" w:eastAsia="宋体" w:cs="宋体"/>
          <w:bCs/>
          <w:color w:val="auto"/>
          <w:spacing w:val="4"/>
          <w:kern w:val="0"/>
          <w:sz w:val="24"/>
          <w:szCs w:val="24"/>
          <w:highlight w:val="none"/>
        </w:rPr>
        <w:t>格式</w:t>
      </w:r>
      <w:bookmarkEnd w:id="35"/>
      <w:bookmarkEnd w:id="36"/>
      <w:r>
        <w:rPr>
          <w:rFonts w:hint="eastAsia" w:ascii="宋体" w:hAnsi="宋体" w:eastAsia="宋体" w:cs="宋体"/>
          <w:snapToGrid w:val="0"/>
          <w:color w:val="auto"/>
          <w:spacing w:val="4"/>
          <w:kern w:val="0"/>
          <w:sz w:val="24"/>
          <w:szCs w:val="24"/>
          <w:highlight w:val="none"/>
        </w:rPr>
        <w:t>六</w:t>
      </w:r>
      <w:bookmarkEnd w:id="37"/>
      <w:bookmarkEnd w:id="38"/>
      <w:r>
        <w:rPr>
          <w:rFonts w:hint="eastAsia" w:ascii="宋体" w:hAnsi="宋体" w:cs="宋体"/>
          <w:snapToGrid w:val="0"/>
          <w:color w:val="auto"/>
          <w:spacing w:val="4"/>
          <w:kern w:val="0"/>
          <w:sz w:val="24"/>
          <w:szCs w:val="24"/>
          <w:highlight w:val="none"/>
          <w:lang w:eastAsia="zh-CN"/>
        </w:rPr>
        <w:t>：</w:t>
      </w:r>
    </w:p>
    <w:p>
      <w:pPr>
        <w:tabs>
          <w:tab w:val="left" w:pos="720"/>
        </w:tabs>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标函承诺书</w:t>
      </w:r>
    </w:p>
    <w:p>
      <w:pPr>
        <w:pStyle w:val="28"/>
        <w:spacing w:line="360" w:lineRule="auto"/>
        <w:ind w:left="339" w:leftChars="101" w:hanging="127" w:hangingChars="53"/>
        <w:jc w:val="left"/>
        <w:rPr>
          <w:rFonts w:hint="eastAsia" w:ascii="宋体" w:hAnsi="宋体" w:eastAsia="宋体" w:cs="宋体"/>
          <w:color w:val="auto"/>
          <w:sz w:val="24"/>
          <w:szCs w:val="24"/>
          <w:highlight w:val="none"/>
          <w:u w:val="single"/>
        </w:rPr>
      </w:pPr>
    </w:p>
    <w:p>
      <w:pPr>
        <w:pStyle w:val="28"/>
        <w:spacing w:line="360" w:lineRule="auto"/>
        <w:ind w:left="339" w:leftChars="101" w:hanging="127" w:hangingChars="53"/>
        <w:jc w:val="left"/>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sz w:val="24"/>
          <w:szCs w:val="24"/>
          <w:highlight w:val="none"/>
          <w:u w:val="single"/>
        </w:rPr>
        <w:t>致：</w:t>
      </w:r>
      <w:r>
        <w:rPr>
          <w:rFonts w:hint="eastAsia" w:ascii="宋体" w:hAnsi="宋体" w:eastAsia="宋体" w:cs="宋体"/>
          <w:color w:val="auto"/>
          <w:sz w:val="24"/>
          <w:szCs w:val="24"/>
          <w:highlight w:val="none"/>
          <w:u w:val="single"/>
          <w:lang w:eastAsia="zh-CN"/>
        </w:rPr>
        <w:t>广州开发区财政投资建设项目管理中心</w:t>
      </w:r>
    </w:p>
    <w:p>
      <w:pPr>
        <w:spacing w:after="120"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如果在本招标工程中我司中标，我司将积极响应贵单位提出的合同条件及招标文件的要求，并做出如下承诺：</w:t>
      </w:r>
    </w:p>
    <w:p>
      <w:pPr>
        <w:spacing w:after="120"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1、若我公司中标，我公司承诺按时交纳履约保证金。</w:t>
      </w:r>
    </w:p>
    <w:p>
      <w:pPr>
        <w:spacing w:after="120" w:afterLines="50"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2、在本工程施工期间，拟投入的人力不少于下表中的人数</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0"/>
        <w:gridCol w:w="3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center"/>
              <w:rPr>
                <w:rFonts w:hint="eastAsia" w:ascii="宋体" w:hAnsi="宋体" w:cs="宋体"/>
                <w:color w:val="auto"/>
                <w:szCs w:val="21"/>
                <w:highlight w:val="none"/>
              </w:rPr>
            </w:pPr>
            <w:r>
              <w:rPr>
                <w:rFonts w:hint="eastAsia" w:ascii="宋体" w:hAnsi="宋体" w:cs="宋体"/>
                <w:color w:val="auto"/>
                <w:szCs w:val="21"/>
                <w:highlight w:val="none"/>
              </w:rPr>
              <w:t>工种</w:t>
            </w:r>
          </w:p>
        </w:tc>
        <w:tc>
          <w:tcPr>
            <w:tcW w:w="3783"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center"/>
              <w:rPr>
                <w:rFonts w:hint="eastAsia" w:ascii="宋体" w:hAnsi="宋体" w:cs="宋体"/>
                <w:color w:val="auto"/>
                <w:kern w:val="0"/>
                <w:szCs w:val="21"/>
                <w:highlight w:val="none"/>
              </w:rPr>
            </w:pPr>
            <w:r>
              <w:rPr>
                <w:rFonts w:hint="eastAsia" w:ascii="宋体" w:hAnsi="宋体" w:cs="宋体"/>
                <w:color w:val="auto"/>
                <w:szCs w:val="21"/>
                <w:highlight w:val="none"/>
              </w:rPr>
              <w:t>施工低峰期数量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noWrap w:val="0"/>
            <w:vAlign w:val="center"/>
          </w:tcPr>
          <w:p>
            <w:pPr>
              <w:ind w:left="-422" w:leftChars="-201" w:firstLine="420" w:firstLineChars="200"/>
              <w:jc w:val="center"/>
              <w:rPr>
                <w:rFonts w:hint="eastAsia" w:ascii="宋体" w:hAnsi="宋体" w:cs="宋体"/>
                <w:color w:val="auto"/>
                <w:kern w:val="0"/>
                <w:szCs w:val="21"/>
                <w:highlight w:val="none"/>
                <w:u w:val="single"/>
              </w:rPr>
            </w:pPr>
          </w:p>
        </w:tc>
        <w:tc>
          <w:tcPr>
            <w:tcW w:w="3783"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center"/>
              <w:rPr>
                <w:rFonts w:hint="eastAsia" w:ascii="宋体" w:hAnsi="宋体" w:cs="宋体"/>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center"/>
              <w:rPr>
                <w:rFonts w:hint="eastAsia" w:ascii="宋体" w:hAnsi="宋体" w:cs="宋体"/>
                <w:color w:val="auto"/>
                <w:kern w:val="0"/>
                <w:szCs w:val="21"/>
                <w:highlight w:val="none"/>
                <w:u w:val="single"/>
              </w:rPr>
            </w:pPr>
          </w:p>
        </w:tc>
        <w:tc>
          <w:tcPr>
            <w:tcW w:w="3783"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center"/>
              <w:rPr>
                <w:rFonts w:hint="eastAsia" w:ascii="宋体" w:hAnsi="宋体" w:cs="宋体"/>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center"/>
              <w:rPr>
                <w:rFonts w:hint="eastAsia" w:ascii="宋体" w:hAnsi="宋体" w:cs="宋体"/>
                <w:color w:val="auto"/>
                <w:kern w:val="0"/>
                <w:szCs w:val="21"/>
                <w:highlight w:val="none"/>
                <w:u w:val="single"/>
              </w:rPr>
            </w:pPr>
          </w:p>
        </w:tc>
        <w:tc>
          <w:tcPr>
            <w:tcW w:w="3783"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center"/>
              <w:rPr>
                <w:rFonts w:hint="eastAsia" w:ascii="宋体" w:hAnsi="宋体" w:cs="宋体"/>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center"/>
              <w:rPr>
                <w:rFonts w:hint="eastAsia" w:ascii="宋体" w:hAnsi="宋体" w:cs="宋体"/>
                <w:color w:val="auto"/>
                <w:kern w:val="0"/>
                <w:szCs w:val="21"/>
                <w:highlight w:val="none"/>
                <w:u w:val="single"/>
              </w:rPr>
            </w:pPr>
          </w:p>
        </w:tc>
        <w:tc>
          <w:tcPr>
            <w:tcW w:w="3783"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center"/>
              <w:rPr>
                <w:rFonts w:hint="eastAsia" w:ascii="宋体" w:hAnsi="宋体" w:cs="宋体"/>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center"/>
              <w:rPr>
                <w:rFonts w:hint="eastAsia" w:ascii="宋体" w:hAnsi="宋体" w:cs="宋体"/>
                <w:color w:val="auto"/>
                <w:kern w:val="0"/>
                <w:szCs w:val="21"/>
                <w:highlight w:val="none"/>
                <w:u w:val="single"/>
              </w:rPr>
            </w:pPr>
          </w:p>
        </w:tc>
        <w:tc>
          <w:tcPr>
            <w:tcW w:w="3783"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center"/>
              <w:rPr>
                <w:rFonts w:hint="eastAsia" w:ascii="宋体" w:hAnsi="宋体" w:cs="宋体"/>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center"/>
              <w:rPr>
                <w:rFonts w:hint="eastAsia" w:ascii="宋体" w:hAnsi="宋体" w:cs="宋体"/>
                <w:color w:val="auto"/>
                <w:kern w:val="0"/>
                <w:szCs w:val="21"/>
                <w:highlight w:val="none"/>
                <w:u w:val="single"/>
              </w:rPr>
            </w:pPr>
          </w:p>
        </w:tc>
        <w:tc>
          <w:tcPr>
            <w:tcW w:w="3783"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center"/>
              <w:rPr>
                <w:rFonts w:hint="eastAsia" w:ascii="宋体" w:hAnsi="宋体" w:cs="宋体"/>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center"/>
              <w:rPr>
                <w:rFonts w:hint="eastAsia" w:ascii="宋体" w:hAnsi="宋体" w:cs="宋体"/>
                <w:color w:val="auto"/>
                <w:kern w:val="0"/>
                <w:szCs w:val="21"/>
                <w:highlight w:val="none"/>
                <w:u w:val="single"/>
              </w:rPr>
            </w:pPr>
          </w:p>
        </w:tc>
        <w:tc>
          <w:tcPr>
            <w:tcW w:w="3783"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center"/>
              <w:rPr>
                <w:rFonts w:hint="eastAsia" w:ascii="宋体" w:hAnsi="宋体" w:cs="宋体"/>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center"/>
              <w:rPr>
                <w:rFonts w:hint="eastAsia" w:ascii="宋体" w:hAnsi="宋体" w:cs="宋体"/>
                <w:color w:val="auto"/>
                <w:szCs w:val="21"/>
                <w:highlight w:val="none"/>
                <w:u w:val="single"/>
              </w:rPr>
            </w:pPr>
          </w:p>
        </w:tc>
        <w:tc>
          <w:tcPr>
            <w:tcW w:w="3783"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center"/>
              <w:rPr>
                <w:rFonts w:hint="eastAsia" w:ascii="宋体" w:hAnsi="宋体" w:cs="宋体"/>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center"/>
              <w:rPr>
                <w:rFonts w:hint="eastAsia" w:ascii="宋体" w:hAnsi="宋体" w:cs="宋体"/>
                <w:color w:val="auto"/>
                <w:szCs w:val="21"/>
                <w:highlight w:val="none"/>
                <w:u w:val="single"/>
              </w:rPr>
            </w:pPr>
          </w:p>
        </w:tc>
        <w:tc>
          <w:tcPr>
            <w:tcW w:w="3783"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center"/>
              <w:rPr>
                <w:rFonts w:hint="eastAsia" w:ascii="宋体" w:hAnsi="宋体" w:cs="宋体"/>
                <w:color w:val="auto"/>
                <w:kern w:val="0"/>
                <w:szCs w:val="21"/>
                <w:highlight w:val="none"/>
                <w:u w:val="single"/>
              </w:rPr>
            </w:pPr>
          </w:p>
        </w:tc>
      </w:tr>
    </w:tbl>
    <w:p>
      <w:pPr>
        <w:spacing w:before="120" w:beforeLines="50" w:after="120" w:afterLines="50"/>
        <w:ind w:left="441" w:leftChars="210" w:firstLine="480" w:firstLineChars="200"/>
        <w:jc w:val="left"/>
        <w:rPr>
          <w:rFonts w:hint="eastAsia" w:ascii="宋体" w:hAnsi="宋体" w:cs="宋体"/>
          <w:color w:val="auto"/>
          <w:sz w:val="24"/>
          <w:szCs w:val="24"/>
          <w:highlight w:val="none"/>
          <w:u w:val="single"/>
        </w:rPr>
      </w:pPr>
    </w:p>
    <w:p>
      <w:pPr>
        <w:spacing w:before="120" w:beforeLines="50" w:after="120" w:afterLines="50"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3、在工程施工期间，拟投入的主要机械设备按投标文件所附的《拟投入本工程施工的主要机械设备配备表》。</w:t>
      </w:r>
    </w:p>
    <w:p>
      <w:pPr>
        <w:spacing w:after="120"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4、所选用的主要材料品牌符合招标文件的要求。</w:t>
      </w:r>
    </w:p>
    <w:p>
      <w:pPr>
        <w:spacing w:after="120" w:line="360" w:lineRule="auto"/>
        <w:ind w:firstLine="480" w:firstLineChars="200"/>
        <w:jc w:val="left"/>
        <w:rPr>
          <w:rFonts w:ascii="宋体" w:hAnsi="宋体" w:cs="宋体"/>
          <w:color w:val="auto"/>
          <w:sz w:val="24"/>
          <w:szCs w:val="24"/>
          <w:highlight w:val="none"/>
          <w:u w:val="single"/>
        </w:rPr>
      </w:pPr>
      <w:r>
        <w:rPr>
          <w:rFonts w:hint="eastAsia" w:ascii="宋体" w:hAnsi="宋体" w:cs="宋体"/>
          <w:color w:val="auto"/>
          <w:sz w:val="24"/>
          <w:szCs w:val="24"/>
          <w:highlight w:val="none"/>
        </w:rPr>
        <w:t>5、拟投入到本工程的主要技术人员、经济和管理人员按投标文件所附的《投入主要人员汇总表》。中标后，拟投入到本工程安全员人数不得低于住建部相关文件的最低要求。</w:t>
      </w:r>
    </w:p>
    <w:p>
      <w:pPr>
        <w:spacing w:after="120"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6、我公司保证拟派项目负责人符合《广州市住房和城乡建设局关于加强建筑工程项目负责人管理的通知》（穗建规字〔</w:t>
      </w:r>
      <w:r>
        <w:rPr>
          <w:rFonts w:ascii="宋体" w:hAnsi="宋体" w:cs="宋体"/>
          <w:color w:val="auto"/>
          <w:sz w:val="24"/>
          <w:szCs w:val="24"/>
          <w:highlight w:val="none"/>
        </w:rPr>
        <w:t>2020〕32号）文的要求，</w:t>
      </w:r>
      <w:r>
        <w:rPr>
          <w:rFonts w:hint="eastAsia" w:ascii="宋体" w:hAnsi="宋体" w:cs="宋体"/>
          <w:color w:val="auto"/>
          <w:sz w:val="24"/>
          <w:szCs w:val="24"/>
          <w:highlight w:val="none"/>
        </w:rPr>
        <w:t>并将严格按照招标文件要求，自签订合同之日起至工程竣工验收将常驻现场，严格按照有关工程项目管理的要求进行项目管理，如果不能够按照此要求实施，我方自愿接受贵中心的处罚措施。</w:t>
      </w:r>
    </w:p>
    <w:p>
      <w:pPr>
        <w:spacing w:after="120"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7、本工程施工过程中，我司将严格按照国家、省、市有关施工及验收规范、标准进行施工，确保本工程质量标准达到</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要求。</w:t>
      </w:r>
    </w:p>
    <w:p>
      <w:pPr>
        <w:spacing w:after="120"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8、在确保工程质量的前提下，我司严格控制工程工期，确保工程在</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日历天内完成。</w:t>
      </w:r>
    </w:p>
    <w:p>
      <w:pPr>
        <w:spacing w:after="120"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9、严格按照国家、省、市有关安全生产、文明施工要求，积极制定安全生产、文明施工措施，并严格执行，确保施工中符合安全生产、文明施工要求。在施工过程中,若发生重大伤亡事故，我方自愿接受贵中心的经济处罚：如发生死亡事故，死亡1人，支付20万元违约金；死亡2人，支付40万元违约金；死亡3人或以上，支付80万元违约金；如发生重伤事故，重伤1人，支付10万元违约金；重伤2人，支付20万元违约金；重伤3人或以上，支付40万元违约金。以上款项从工程款中扣除，扣除的款项均上缴国库。</w:t>
      </w:r>
    </w:p>
    <w:p>
      <w:pPr>
        <w:spacing w:after="120"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10、按照发包人、监理工程师的要求及时为各专业工程（电信、电力管线、电力走廊、煤气、道路绿化、路灯、交通设施等）提供工作面，并为专业工程穿插施工所需各项配合工作给予方便。</w:t>
      </w:r>
    </w:p>
    <w:p>
      <w:pPr>
        <w:spacing w:line="360" w:lineRule="auto"/>
        <w:ind w:firstLine="566" w:firstLineChars="236"/>
        <w:rPr>
          <w:rFonts w:hint="eastAsia" w:ascii="宋体" w:hAnsi="宋体" w:cs="宋体"/>
          <w:color w:val="auto"/>
          <w:sz w:val="24"/>
          <w:szCs w:val="24"/>
          <w:highlight w:val="none"/>
        </w:rPr>
      </w:pPr>
      <w:r>
        <w:rPr>
          <w:rFonts w:hint="eastAsia" w:ascii="宋体" w:hAnsi="宋体" w:cs="宋体"/>
          <w:color w:val="auto"/>
          <w:sz w:val="24"/>
          <w:szCs w:val="24"/>
          <w:highlight w:val="none"/>
        </w:rPr>
        <w:t>11、将按照招标过程中确定的范围，除了下表所列专业工程外，其余全部工程由我司自行施工。对工程分包，我司承诺按照招标文件的要求和有关规定履行总包单位的职责，在中标后提供分包单位的资质证明材料（如有必须分包的专业工程，请填入下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7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857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u w:val="single"/>
              </w:rPr>
            </w:pPr>
            <w:r>
              <w:rPr>
                <w:rFonts w:hint="eastAsia" w:ascii="宋体" w:hAnsi="宋体" w:cs="宋体"/>
                <w:color w:val="auto"/>
                <w:szCs w:val="21"/>
                <w:highlight w:val="none"/>
                <w:u w:val="single"/>
              </w:rPr>
              <w:t>必须分包的专业工程内容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ind w:left="-105" w:leftChars="-50" w:firstLine="90" w:firstLineChars="43"/>
              <w:jc w:val="center"/>
              <w:rPr>
                <w:rFonts w:hint="eastAsia" w:ascii="宋体" w:hAnsi="宋体" w:cs="宋体"/>
                <w:color w:val="auto"/>
                <w:szCs w:val="21"/>
                <w:highlight w:val="none"/>
                <w:u w:val="single"/>
              </w:rPr>
            </w:pPr>
            <w:r>
              <w:rPr>
                <w:rFonts w:hint="eastAsia" w:ascii="宋体" w:hAnsi="宋体" w:cs="宋体"/>
                <w:color w:val="auto"/>
                <w:szCs w:val="21"/>
                <w:highlight w:val="none"/>
                <w:u w:val="single"/>
              </w:rPr>
              <w:t>序号</w:t>
            </w:r>
          </w:p>
        </w:tc>
        <w:tc>
          <w:tcPr>
            <w:tcW w:w="75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u w:val="single"/>
              </w:rPr>
            </w:pPr>
            <w:r>
              <w:rPr>
                <w:rFonts w:hint="eastAsia" w:ascii="宋体" w:hAnsi="宋体" w:cs="宋体"/>
                <w:color w:val="auto"/>
                <w:szCs w:val="21"/>
                <w:highlight w:val="none"/>
                <w:u w:val="single"/>
              </w:rPr>
              <w:t>工程内容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Cs w:val="21"/>
                <w:highlight w:val="none"/>
                <w:u w:val="single"/>
              </w:rPr>
            </w:pPr>
          </w:p>
        </w:tc>
        <w:tc>
          <w:tcPr>
            <w:tcW w:w="752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Cs w:val="21"/>
                <w:highlight w:val="none"/>
                <w:u w:val="single"/>
              </w:rPr>
            </w:pPr>
          </w:p>
        </w:tc>
        <w:tc>
          <w:tcPr>
            <w:tcW w:w="752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Cs w:val="21"/>
                <w:highlight w:val="none"/>
                <w:u w:val="single"/>
              </w:rPr>
            </w:pPr>
          </w:p>
        </w:tc>
        <w:tc>
          <w:tcPr>
            <w:tcW w:w="752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Cs w:val="21"/>
                <w:highlight w:val="none"/>
                <w:u w:val="single"/>
              </w:rPr>
            </w:pPr>
          </w:p>
        </w:tc>
      </w:tr>
    </w:tbl>
    <w:p>
      <w:pPr>
        <w:tabs>
          <w:tab w:val="left" w:pos="315"/>
        </w:tabs>
        <w:spacing w:line="360" w:lineRule="auto"/>
        <w:ind w:left="19" w:leftChars="9" w:firstLine="480" w:firstLineChars="200"/>
        <w:rPr>
          <w:rFonts w:hint="eastAsia" w:ascii="宋体" w:hAnsi="宋体" w:cs="宋体"/>
          <w:color w:val="auto"/>
          <w:sz w:val="24"/>
          <w:szCs w:val="24"/>
          <w:highlight w:val="none"/>
        </w:rPr>
      </w:pPr>
      <w:r>
        <w:rPr>
          <w:rFonts w:hint="eastAsia" w:ascii="宋体" w:hAnsi="宋体"/>
          <w:color w:val="auto"/>
          <w:sz w:val="24"/>
          <w:szCs w:val="24"/>
          <w:highlight w:val="none"/>
        </w:rPr>
        <w:t>12、我司保证在中标后，严格按照 《广州市住房和城乡建设委员会关于印发&lt;广州市建筑施工实名制管理办法&gt;的通知》（穗建规字[2020]18号）、《关于印发广州市建设领域工人工资支付分帐管理实施细则的通知》（穗建规字[2020]37号）等最新规定及广州市黄埔区、开发区对应出台的相关文件规定办理建筑工地实名制管理和工人工资支付分帐管理事宜；加强对我司承包范围（含其专业分包、劳务分包范围）工人工资支付的管理，并对我司及其分包单位工人工资支付负总责，防止出现拖欠工人工资情况。若因违法转包、分包工程的或其他承包人原因导致相应工程出现拖欠工人工资情况的，我司将对拖欠工人工资承担清偿责任，对此引起的纠纷负全责，造成发包人损失（包括但不限于发包人因此而支付的赔偿款、律师费、诉讼费、保全费、公证费、鉴定费等）的，我司将承担全部责任。</w:t>
      </w:r>
    </w:p>
    <w:p>
      <w:pPr>
        <w:tabs>
          <w:tab w:val="left" w:pos="0"/>
        </w:tabs>
        <w:spacing w:line="360" w:lineRule="auto"/>
        <w:ind w:firstLine="424" w:firstLineChars="177"/>
        <w:rPr>
          <w:rFonts w:hint="eastAsia" w:ascii="宋体" w:hAnsi="宋体" w:cs="宋体"/>
          <w:color w:val="auto"/>
          <w:sz w:val="24"/>
          <w:szCs w:val="24"/>
          <w:highlight w:val="none"/>
        </w:rPr>
      </w:pPr>
      <w:r>
        <w:rPr>
          <w:rFonts w:hint="eastAsia" w:ascii="宋体" w:hAnsi="宋体" w:cs="宋体"/>
          <w:color w:val="auto"/>
          <w:sz w:val="24"/>
          <w:szCs w:val="24"/>
          <w:highlight w:val="none"/>
        </w:rPr>
        <w:t>13、我司保证在中标后，根据工程特点，编制本工程详细的施工组织设计和施工方案，并报监理和发包人审核批准，并严格按审批的意见和要求组织施工。</w:t>
      </w:r>
    </w:p>
    <w:p>
      <w:pPr>
        <w:spacing w:line="360" w:lineRule="auto"/>
        <w:ind w:firstLine="424" w:firstLineChars="177"/>
        <w:rPr>
          <w:rFonts w:hint="eastAsia" w:ascii="宋体" w:hAnsi="宋体" w:cs="宋体"/>
          <w:color w:val="auto"/>
          <w:sz w:val="24"/>
          <w:szCs w:val="24"/>
          <w:highlight w:val="none"/>
        </w:rPr>
      </w:pPr>
      <w:r>
        <w:rPr>
          <w:rFonts w:hint="eastAsia" w:ascii="宋体" w:hAnsi="宋体" w:cs="宋体"/>
          <w:color w:val="auto"/>
          <w:sz w:val="24"/>
          <w:szCs w:val="24"/>
          <w:highlight w:val="none"/>
        </w:rPr>
        <w:t>14、我司承诺积极响应并接受招标文件中合同专用专款关于合同价款的调整办法。</w:t>
      </w:r>
    </w:p>
    <w:p>
      <w:pPr>
        <w:spacing w:line="360" w:lineRule="auto"/>
        <w:ind w:firstLine="480" w:firstLineChars="200"/>
        <w:rPr>
          <w:rFonts w:hint="eastAsia" w:ascii="宋体" w:hAns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15、我司保证在中标后，施工现场严格按照《广州市建设工程文明施工管理规定》（广州市人民政府令62号）、《广州市建设工程现场文明施工管理办法》（穗建质〔2008〕937号）、《关于进一步加强我区建设工地文明施工管理的通知》（穗开规建〔2006〕74号）、《广州市住房和城乡建设委员会关于印发建设工程扬尘防治“6个100%”管理标准细化措施的通知》（穗建质〔2018〕1394号）及其他相关规定实施，施工围蔽严格按照《关于进一步规范建设工程施工现场围蔽的通知》（穗建质[2008]1008号）、《广州市建设工程绿色施工围蔽指导图集（V2.0版）》(穗建质〔2020〕1号）、《关于进一步落实我区市政建设项目施工围蔽提升工作的通知》（穗埔建[2019]123号）及《黄埔区住房和城乡建设局 广州开发区建设和交通局关于进一步规范全区建设工程施工围蔽标准的通知》（穗埔建﹝2020﹞183号）的相关文件要求的标准实施。以上文件要求不一致的，以后发布文件为准，若相关部门发布有关施工现场管理及施工围蔽新规定的，按新规定执行。我司随时接受监理、业主、安监机构等相关部门监督和检查，对在检查中发现不符合安全文明施工要求的，无条件进行整改。如不及时按要求整改，发包人有权不支付安全文明施工措施费，或另行委托单位实施，所发生的费用在本工程施工措施费中扣除，如不足抵扣可在本工程承包工程款中扣除，同时我司接受发包人根据实际情况对我司作出的其他处罚措施。发包人可将情况上报建设行政主管部门，视情况追究我司有关责任，可对我司或项目责任人作不良行为记录。</w:t>
      </w:r>
    </w:p>
    <w:p>
      <w:pPr>
        <w:spacing w:line="360" w:lineRule="auto"/>
        <w:ind w:left="318"/>
        <w:rPr>
          <w:rFonts w:hint="eastAsia" w:ascii="宋体" w:hAnsi="宋体" w:cs="宋体"/>
          <w:color w:val="auto"/>
          <w:sz w:val="24"/>
          <w:szCs w:val="24"/>
          <w:highlight w:val="none"/>
          <w:u w:val="single"/>
        </w:rPr>
      </w:pPr>
    </w:p>
    <w:p>
      <w:pPr>
        <w:spacing w:after="120" w:line="360" w:lineRule="auto"/>
        <w:ind w:left="420" w:leftChars="200" w:firstLine="3547" w:firstLineChars="1478"/>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投标单位（</w:t>
      </w:r>
      <w:r>
        <w:rPr>
          <w:rFonts w:hint="eastAsia" w:ascii="宋体" w:hAnsi="宋体" w:cs="宋体"/>
          <w:color w:val="auto"/>
          <w:sz w:val="24"/>
          <w:szCs w:val="24"/>
          <w:highlight w:val="none"/>
          <w:lang w:val="en-US" w:eastAsia="zh-CN"/>
        </w:rPr>
        <w:t>盖章</w:t>
      </w:r>
      <w:r>
        <w:rPr>
          <w:rFonts w:hint="eastAsia" w:ascii="宋体" w:hAnsi="宋体" w:cs="宋体"/>
          <w:color w:val="auto"/>
          <w:sz w:val="24"/>
          <w:szCs w:val="24"/>
          <w:highlight w:val="none"/>
        </w:rPr>
        <w:t xml:space="preserve">）： </w:t>
      </w:r>
    </w:p>
    <w:p>
      <w:pPr>
        <w:spacing w:after="120"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法人代表或其授权代理人（签名或盖章）：</w:t>
      </w:r>
    </w:p>
    <w:p>
      <w:pPr>
        <w:spacing w:after="120" w:line="360" w:lineRule="auto"/>
        <w:ind w:left="420" w:leftChars="200" w:right="560" w:firstLine="5040" w:firstLineChars="21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年  月  日</w:t>
      </w:r>
    </w:p>
    <w:p>
      <w:pPr>
        <w:spacing w:after="120" w:line="360" w:lineRule="auto"/>
        <w:ind w:left="420" w:leftChars="200"/>
        <w:jc w:val="left"/>
        <w:rPr>
          <w:rFonts w:hint="eastAsia" w:ascii="宋体" w:hAnsi="宋体" w:cs="宋体"/>
          <w:color w:val="auto"/>
          <w:sz w:val="24"/>
          <w:szCs w:val="24"/>
          <w:highlight w:val="none"/>
          <w:u w:val="single"/>
        </w:rPr>
      </w:pPr>
    </w:p>
    <w:p>
      <w:pPr>
        <w:spacing w:line="336" w:lineRule="auto"/>
        <w:ind w:left="-2" w:leftChars="-1"/>
        <w:rPr>
          <w:rFonts w:hint="eastAsia" w:ascii="宋体" w:hAnsi="宋体" w:cs="宋体"/>
          <w:color w:val="auto"/>
          <w:szCs w:val="21"/>
          <w:highlight w:val="none"/>
        </w:rPr>
      </w:pPr>
      <w:r>
        <w:rPr>
          <w:rFonts w:hint="eastAsia" w:ascii="宋体" w:hAnsi="宋体" w:cs="宋体"/>
          <w:color w:val="auto"/>
          <w:szCs w:val="21"/>
          <w:highlight w:val="none"/>
        </w:rPr>
        <w:t>注：</w:t>
      </w:r>
    </w:p>
    <w:p>
      <w:pPr>
        <w:spacing w:line="336" w:lineRule="auto"/>
        <w:ind w:left="-2" w:leftChars="-1"/>
        <w:jc w:val="left"/>
        <w:rPr>
          <w:rFonts w:hint="eastAsia" w:ascii="宋体" w:hAnsi="宋体" w:cs="宋体"/>
          <w:color w:val="auto"/>
          <w:szCs w:val="21"/>
          <w:highlight w:val="none"/>
        </w:rPr>
      </w:pPr>
      <w:r>
        <w:rPr>
          <w:rFonts w:hint="eastAsia" w:ascii="宋体" w:hAnsi="宋体" w:cs="宋体"/>
          <w:color w:val="auto"/>
          <w:szCs w:val="21"/>
          <w:highlight w:val="none"/>
        </w:rPr>
        <w:t>1、《标函承诺书》作为投标文件的“实质性响应”文件，投标人应如实填写，中标后必须按填报内容如期实施，否则按“弄虚作假骗取中标”处理。中标后，工程的监理单位将经常核验投标人是否按填报内容实施，行政管理机构也将随时抽查。</w:t>
      </w:r>
    </w:p>
    <w:p>
      <w:pPr>
        <w:spacing w:line="336" w:lineRule="auto"/>
        <w:ind w:left="-2" w:leftChars="-1"/>
        <w:jc w:val="left"/>
        <w:rPr>
          <w:rFonts w:hint="eastAsia" w:ascii="宋体" w:hAnsi="宋体" w:cs="宋体"/>
          <w:color w:val="auto"/>
          <w:szCs w:val="21"/>
          <w:highlight w:val="none"/>
        </w:rPr>
      </w:pPr>
      <w:r>
        <w:rPr>
          <w:rFonts w:hint="eastAsia" w:ascii="宋体" w:hAnsi="宋体" w:cs="宋体"/>
          <w:color w:val="auto"/>
          <w:szCs w:val="21"/>
          <w:highlight w:val="none"/>
        </w:rPr>
        <w:t>2、《标函承诺书》第7条内容“确保本工程质量标准达到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要求” 横线上要求按照本工程《广州建设工程施工招标投标书（技术标）》承诺的质量标准填写，否则视作未按规定的格式填写，作无效标处理。</w:t>
      </w:r>
    </w:p>
    <w:p>
      <w:pPr>
        <w:topLinePunct w:val="0"/>
        <w:adjustRightInd/>
        <w:snapToGrid/>
        <w:spacing w:before="0" w:beforeLines="-2147483648" w:after="0" w:afterLines="-2147483648" w:line="240" w:lineRule="auto"/>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Cs w:val="21"/>
          <w:highlight w:val="none"/>
        </w:rPr>
        <w:t>3、</w:t>
      </w:r>
      <w:r>
        <w:rPr>
          <w:rFonts w:hint="eastAsia" w:ascii="宋体" w:hAnsi="宋体" w:cs="宋体"/>
          <w:color w:val="auto"/>
          <w:szCs w:val="21"/>
          <w:highlight w:val="none"/>
        </w:rPr>
        <w:t>《标函承诺书》第8条内容“确保工程在</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日历天内完成”横线上要求按照本工程《广州建设工程施工招标投标书（技术标）》承诺的投标总工期填写，否则视作未按规定的格式填写，作无效标处理。</w:t>
      </w:r>
      <w:bookmarkStart w:id="39" w:name="_Toc14656"/>
      <w:bookmarkStart w:id="40" w:name="_Toc24943"/>
      <w:r>
        <w:rPr>
          <w:rFonts w:hint="eastAsia" w:ascii="宋体" w:hAnsi="宋体" w:eastAsia="宋体" w:cs="宋体"/>
          <w:color w:val="auto"/>
          <w:sz w:val="24"/>
          <w:szCs w:val="24"/>
          <w:highlight w:val="none"/>
        </w:rPr>
        <w:br w:type="page"/>
      </w:r>
    </w:p>
    <w:p>
      <w:pPr>
        <w:topLinePunct w:val="0"/>
        <w:adjustRightInd/>
        <w:snapToGrid/>
        <w:spacing w:before="0" w:beforeLines="-2147483648" w:after="0" w:afterLines="-2147483648" w:line="336" w:lineRule="auto"/>
        <w:ind w:left="-2" w:leftChars="-1"/>
        <w:jc w:val="left"/>
        <w:outlineLvl w:val="9"/>
        <w:rPr>
          <w:rFonts w:hint="eastAsia" w:ascii="宋体" w:hAnsi="宋体" w:eastAsia="宋体" w:cs="宋体"/>
          <w:snapToGrid w:val="0"/>
          <w:color w:val="auto"/>
          <w:spacing w:val="4"/>
          <w:kern w:val="0"/>
          <w:sz w:val="24"/>
          <w:szCs w:val="24"/>
          <w:highlight w:val="none"/>
          <w:lang w:eastAsia="zh-CN"/>
        </w:rPr>
      </w:pPr>
      <w:r>
        <w:rPr>
          <w:rFonts w:hint="eastAsia"/>
          <w:color w:val="auto"/>
          <w:sz w:val="24"/>
          <w:szCs w:val="24"/>
          <w:highlight w:val="none"/>
        </w:rPr>
        <w:t>技术标</w:t>
      </w:r>
      <w:r>
        <w:rPr>
          <w:rFonts w:hint="eastAsia" w:ascii="宋体" w:hAnsi="宋体" w:eastAsia="宋体" w:cs="宋体"/>
          <w:bCs/>
          <w:color w:val="auto"/>
          <w:spacing w:val="4"/>
          <w:kern w:val="0"/>
          <w:sz w:val="24"/>
          <w:szCs w:val="24"/>
          <w:highlight w:val="none"/>
        </w:rPr>
        <w:t>格式</w:t>
      </w:r>
      <w:r>
        <w:rPr>
          <w:rFonts w:hint="eastAsia" w:ascii="宋体" w:hAnsi="宋体" w:eastAsia="宋体" w:cs="宋体"/>
          <w:snapToGrid w:val="0"/>
          <w:color w:val="auto"/>
          <w:spacing w:val="4"/>
          <w:kern w:val="0"/>
          <w:sz w:val="24"/>
          <w:szCs w:val="24"/>
          <w:highlight w:val="none"/>
        </w:rPr>
        <w:t>七</w:t>
      </w:r>
      <w:bookmarkEnd w:id="39"/>
      <w:bookmarkEnd w:id="40"/>
      <w:r>
        <w:rPr>
          <w:rFonts w:hint="eastAsia" w:ascii="宋体" w:hAnsi="宋体" w:cs="宋体"/>
          <w:snapToGrid w:val="0"/>
          <w:color w:val="auto"/>
          <w:spacing w:val="4"/>
          <w:kern w:val="0"/>
          <w:sz w:val="24"/>
          <w:szCs w:val="24"/>
          <w:highlight w:val="none"/>
          <w:lang w:eastAsia="zh-CN"/>
        </w:rPr>
        <w:t>：</w:t>
      </w:r>
    </w:p>
    <w:p>
      <w:pPr>
        <w:pStyle w:val="18"/>
        <w:spacing w:after="0" w:line="336" w:lineRule="auto"/>
        <w:ind w:left="-2" w:leftChars="-1" w:firstLine="422" w:firstLineChars="175"/>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项目负责人驻场承诺书</w:t>
      </w:r>
    </w:p>
    <w:p>
      <w:pPr>
        <w:pStyle w:val="18"/>
        <w:spacing w:after="0" w:line="336" w:lineRule="auto"/>
        <w:ind w:left="-2" w:leftChars="-1" w:firstLineChars="175"/>
        <w:jc w:val="center"/>
        <w:rPr>
          <w:rFonts w:hint="eastAsia" w:ascii="宋体" w:hAnsi="宋体" w:eastAsia="宋体" w:cs="宋体"/>
          <w:color w:val="auto"/>
          <w:sz w:val="24"/>
          <w:szCs w:val="24"/>
          <w:highlight w:val="none"/>
          <w:u w:val="single"/>
        </w:rPr>
      </w:pPr>
    </w:p>
    <w:p>
      <w:pPr>
        <w:spacing w:line="336"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致（业主/监理）                                           ：</w:t>
      </w:r>
    </w:p>
    <w:p>
      <w:pPr>
        <w:spacing w:line="336" w:lineRule="auto"/>
        <w:rPr>
          <w:rFonts w:hint="eastAsia" w:ascii="宋体" w:hAnsi="宋体" w:eastAsia="宋体" w:cs="宋体"/>
          <w:color w:val="auto"/>
          <w:sz w:val="24"/>
          <w:szCs w:val="24"/>
          <w:highlight w:val="none"/>
          <w:u w:val="single"/>
        </w:rPr>
      </w:pPr>
    </w:p>
    <w:p>
      <w:pPr>
        <w:spacing w:line="336" w:lineRule="auto"/>
        <w:ind w:left="0" w:firstLine="523" w:firstLineChars="218"/>
        <w:jc w:val="left"/>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本人（姓名） ，项目负责人证书注册编号：             受（投标人</w:t>
      </w:r>
      <w:r>
        <w:rPr>
          <w:rFonts w:hint="eastAsia" w:ascii="宋体" w:hAnsi="宋体" w:cs="宋体"/>
          <w:color w:val="auto"/>
          <w:sz w:val="24"/>
          <w:szCs w:val="24"/>
          <w:highlight w:val="none"/>
          <w:u w:val="single"/>
          <w:lang w:val="en-US" w:eastAsia="zh-CN"/>
        </w:rPr>
        <w:t>名称</w:t>
      </w:r>
      <w:r>
        <w:rPr>
          <w:rFonts w:hint="eastAsia" w:ascii="宋体" w:hAnsi="宋体" w:cs="宋体"/>
          <w:color w:val="auto"/>
          <w:sz w:val="24"/>
          <w:szCs w:val="24"/>
          <w:highlight w:val="none"/>
          <w:u w:val="single"/>
        </w:rPr>
        <w:t>）委派，拟在</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rPr>
        <w:t>（项目名称）  担任项目负责人一职。为加强本工程项目管理，保证我公司在中标后严格履行与业主签定的工程建设承包合同，圆满的完成本项工程，我愿就此做出以下承诺；</w:t>
      </w:r>
    </w:p>
    <w:p>
      <w:pPr>
        <w:spacing w:line="336" w:lineRule="auto"/>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1．本人作为公司选派的本项目的项目负责人，我保证自即日起至项目竣工并通过验收之日止，自始至终全过程常驻工地现场，代表我公司全面负责本工程现场组织，指挥，管理，协调等工作。并承诺在本项目完成后的合同责任保修期内，根据项目实际保修工作需要也能随时到场负责指挥，安排应做的保修工作。</w:t>
      </w:r>
    </w:p>
    <w:p>
      <w:pPr>
        <w:spacing w:line="336" w:lineRule="auto"/>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2．如果本招标工程我公司中标，我本人保证在工程签订合同之日起至工程竣工验收完成期间只担任此工程的项目经理，不参加其他任何工程的报名和任何工作，不在其他任何工程担任本职务。</w:t>
      </w:r>
    </w:p>
    <w:p>
      <w:pPr>
        <w:spacing w:line="336" w:lineRule="auto"/>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3．除非征得业主的书面批准，否则如果违背以上承诺，不能常驻施工现场，我自愿接受业主给予我本人的批评和处罚，并同意业主就此作为我个人的不良纪录进一步上报区行业主管部门，项目负责人证书注册、备案、审批机构，直至广州市建委等有关部门并接受上述部门给予的通报和相关职能部门给予的扣证等处罚。</w:t>
      </w:r>
    </w:p>
    <w:p>
      <w:pPr>
        <w:spacing w:line="336" w:lineRule="auto"/>
        <w:ind w:firstLine="480" w:firstLineChars="200"/>
        <w:rPr>
          <w:rFonts w:hint="eastAsia" w:ascii="宋体" w:hAnsi="宋体" w:eastAsia="宋体" w:cs="宋体"/>
          <w:color w:val="auto"/>
          <w:sz w:val="24"/>
          <w:szCs w:val="24"/>
          <w:highlight w:val="none"/>
          <w:u w:val="single"/>
        </w:rPr>
      </w:pPr>
      <w:r>
        <w:rPr>
          <w:rFonts w:hint="eastAsia" w:ascii="宋体" w:hAnsi="宋体" w:cs="宋体"/>
          <w:color w:val="auto"/>
          <w:sz w:val="24"/>
          <w:szCs w:val="24"/>
          <w:highlight w:val="none"/>
          <w:u w:val="single"/>
        </w:rPr>
        <w:t>4．项目负责人本人身份证扫描件和相片扫描件</w:t>
      </w:r>
      <w:r>
        <w:rPr>
          <w:rFonts w:hint="eastAsia" w:ascii="宋体" w:hAnsi="宋体" w:eastAsia="宋体" w:cs="宋体"/>
          <w:color w:val="auto"/>
          <w:sz w:val="24"/>
          <w:szCs w:val="24"/>
          <w:highlight w:val="none"/>
          <w:u w:val="single"/>
        </w:rPr>
        <w:t>：</w:t>
      </w:r>
    </w:p>
    <w:p>
      <w:pPr>
        <w:spacing w:line="336" w:lineRule="auto"/>
        <w:rPr>
          <w:rFonts w:hint="eastAsia" w:ascii="宋体" w:hAnsi="宋体" w:eastAsia="宋体" w:cs="宋体"/>
          <w:color w:val="auto"/>
          <w:sz w:val="24"/>
          <w:szCs w:val="24"/>
          <w:highlight w:val="none"/>
          <w:u w:val="single"/>
        </w:rPr>
      </w:pPr>
    </w:p>
    <w:tbl>
      <w:tblPr>
        <w:tblStyle w:val="20"/>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3"/>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6043" w:type="dxa"/>
            <w:tcBorders>
              <w:top w:val="single" w:color="auto" w:sz="4" w:space="0"/>
              <w:left w:val="single" w:color="auto" w:sz="4" w:space="0"/>
              <w:bottom w:val="single" w:color="auto" w:sz="4" w:space="0"/>
              <w:right w:val="single" w:color="auto" w:sz="4" w:space="0"/>
            </w:tcBorders>
            <w:noWrap w:val="0"/>
            <w:vAlign w:val="top"/>
          </w:tcPr>
          <w:p>
            <w:pPr>
              <w:spacing w:line="336" w:lineRule="auto"/>
              <w:jc w:val="center"/>
              <w:rPr>
                <w:rFonts w:hint="eastAsia" w:ascii="宋体" w:hAnsi="宋体" w:eastAsia="宋体" w:cs="宋体"/>
                <w:color w:val="auto"/>
                <w:szCs w:val="21"/>
                <w:highlight w:val="none"/>
                <w:u w:val="single"/>
              </w:rPr>
            </w:pPr>
          </w:p>
          <w:p>
            <w:pPr>
              <w:spacing w:line="336" w:lineRule="auto"/>
              <w:jc w:val="center"/>
              <w:rPr>
                <w:rFonts w:hint="eastAsia" w:ascii="宋体" w:hAnsi="宋体" w:eastAsia="宋体" w:cs="宋体"/>
                <w:color w:val="auto"/>
                <w:szCs w:val="21"/>
                <w:highlight w:val="none"/>
                <w:u w:val="single"/>
              </w:rPr>
            </w:pPr>
          </w:p>
          <w:p>
            <w:pPr>
              <w:spacing w:line="336" w:lineRule="auto"/>
              <w:jc w:val="center"/>
              <w:rPr>
                <w:rFonts w:hint="eastAsia" w:ascii="宋体" w:hAnsi="宋体" w:eastAsia="宋体" w:cs="宋体"/>
                <w:color w:val="auto"/>
                <w:szCs w:val="21"/>
                <w:highlight w:val="none"/>
                <w:u w:val="single"/>
              </w:rPr>
            </w:pPr>
          </w:p>
          <w:p>
            <w:pPr>
              <w:spacing w:line="336" w:lineRule="auto"/>
              <w:jc w:val="center"/>
              <w:rPr>
                <w:rFonts w:hint="eastAsia" w:ascii="宋体" w:hAnsi="宋体" w:eastAsia="宋体" w:cs="宋体"/>
                <w:color w:val="auto"/>
                <w:szCs w:val="21"/>
                <w:highlight w:val="none"/>
                <w:u w:val="single"/>
              </w:rPr>
            </w:pPr>
            <w:r>
              <w:rPr>
                <w:rFonts w:hint="eastAsia" w:ascii="宋体" w:hAnsi="宋体" w:eastAsia="宋体" w:cs="宋体"/>
                <w:color w:val="auto"/>
                <w:sz w:val="24"/>
                <w:szCs w:val="24"/>
                <w:highlight w:val="none"/>
                <w:u w:val="single"/>
              </w:rPr>
              <w:t>身份证</w:t>
            </w:r>
            <w:r>
              <w:rPr>
                <w:rFonts w:hint="eastAsia" w:ascii="宋体" w:hAnsi="宋体" w:eastAsia="宋体" w:cs="宋体"/>
                <w:color w:val="auto"/>
                <w:sz w:val="24"/>
                <w:szCs w:val="24"/>
                <w:highlight w:val="none"/>
                <w:u w:val="single"/>
                <w:lang w:val="en-US" w:eastAsia="zh-CN"/>
              </w:rPr>
              <w:t>扫描件</w:t>
            </w:r>
          </w:p>
        </w:tc>
        <w:tc>
          <w:tcPr>
            <w:tcW w:w="2492" w:type="dxa"/>
            <w:tcBorders>
              <w:top w:val="single" w:color="auto" w:sz="4" w:space="0"/>
              <w:left w:val="single" w:color="auto" w:sz="4" w:space="0"/>
              <w:bottom w:val="single" w:color="auto" w:sz="4" w:space="0"/>
              <w:right w:val="single" w:color="auto" w:sz="4" w:space="0"/>
            </w:tcBorders>
            <w:noWrap w:val="0"/>
            <w:vAlign w:val="top"/>
          </w:tcPr>
          <w:p>
            <w:pPr>
              <w:spacing w:line="336" w:lineRule="auto"/>
              <w:jc w:val="center"/>
              <w:rPr>
                <w:rFonts w:hint="eastAsia" w:ascii="宋体" w:hAnsi="宋体" w:eastAsia="宋体" w:cs="宋体"/>
                <w:color w:val="auto"/>
                <w:szCs w:val="21"/>
                <w:highlight w:val="none"/>
                <w:u w:val="single"/>
              </w:rPr>
            </w:pPr>
          </w:p>
          <w:p>
            <w:pPr>
              <w:spacing w:line="336" w:lineRule="auto"/>
              <w:jc w:val="center"/>
              <w:rPr>
                <w:rFonts w:hint="eastAsia" w:ascii="宋体" w:hAnsi="宋体" w:eastAsia="宋体" w:cs="宋体"/>
                <w:color w:val="auto"/>
                <w:szCs w:val="21"/>
                <w:highlight w:val="none"/>
                <w:u w:val="single"/>
              </w:rPr>
            </w:pPr>
          </w:p>
          <w:p>
            <w:pPr>
              <w:spacing w:line="336" w:lineRule="auto"/>
              <w:jc w:val="center"/>
              <w:rPr>
                <w:rFonts w:hint="eastAsia" w:ascii="宋体" w:hAnsi="宋体" w:eastAsia="宋体" w:cs="宋体"/>
                <w:color w:val="auto"/>
                <w:szCs w:val="21"/>
                <w:highlight w:val="none"/>
                <w:u w:val="single"/>
              </w:rPr>
            </w:pPr>
          </w:p>
          <w:p>
            <w:pPr>
              <w:spacing w:line="336" w:lineRule="auto"/>
              <w:jc w:val="center"/>
              <w:rPr>
                <w:rFonts w:hint="eastAsia" w:ascii="宋体" w:hAnsi="宋体" w:eastAsia="宋体" w:cs="宋体"/>
                <w:color w:val="auto"/>
                <w:szCs w:val="21"/>
                <w:highlight w:val="none"/>
                <w:u w:val="single"/>
              </w:rPr>
            </w:pPr>
            <w:r>
              <w:rPr>
                <w:rFonts w:hint="eastAsia" w:ascii="宋体" w:hAnsi="宋体" w:eastAsia="宋体" w:cs="宋体"/>
                <w:color w:val="auto"/>
                <w:sz w:val="24"/>
                <w:szCs w:val="24"/>
                <w:highlight w:val="none"/>
                <w:u w:val="single"/>
              </w:rPr>
              <w:t>相片</w:t>
            </w:r>
            <w:r>
              <w:rPr>
                <w:rFonts w:hint="eastAsia" w:ascii="宋体" w:hAnsi="宋体" w:eastAsia="宋体" w:cs="宋体"/>
                <w:color w:val="auto"/>
                <w:sz w:val="24"/>
                <w:szCs w:val="24"/>
                <w:highlight w:val="none"/>
                <w:u w:val="single"/>
                <w:lang w:val="en-US" w:eastAsia="zh-CN"/>
              </w:rPr>
              <w:t>扫描件</w:t>
            </w:r>
          </w:p>
        </w:tc>
      </w:tr>
    </w:tbl>
    <w:p>
      <w:pPr>
        <w:spacing w:line="336" w:lineRule="auto"/>
        <w:rPr>
          <w:rFonts w:hint="eastAsia" w:ascii="宋体" w:hAnsi="宋体" w:eastAsia="宋体" w:cs="宋体"/>
          <w:color w:val="auto"/>
          <w:sz w:val="24"/>
          <w:szCs w:val="24"/>
          <w:highlight w:val="none"/>
          <w:u w:val="single"/>
        </w:rPr>
      </w:pPr>
    </w:p>
    <w:p>
      <w:pPr>
        <w:spacing w:line="336" w:lineRule="auto"/>
        <w:ind w:firstLine="3840" w:firstLineChars="1600"/>
        <w:rPr>
          <w:rFonts w:hint="default" w:ascii="宋体" w:hAnsi="宋体" w:eastAsia="宋体" w:cs="宋体"/>
          <w:color w:val="auto"/>
          <w:sz w:val="24"/>
          <w:szCs w:val="24"/>
          <w:highlight w:val="none"/>
          <w:u w:val="single"/>
          <w:lang w:val="en-US" w:eastAsia="zh-CN"/>
        </w:rPr>
      </w:pPr>
      <w:r>
        <w:rPr>
          <w:rFonts w:hint="eastAsia" w:ascii="宋体" w:hAnsi="宋体"/>
          <w:color w:val="auto"/>
          <w:sz w:val="24"/>
          <w:szCs w:val="20"/>
          <w:highlight w:val="none"/>
        </w:rPr>
        <w:t>投标人名称（盖章）</w:t>
      </w:r>
      <w:r>
        <w:rPr>
          <w:rFonts w:hint="eastAsia" w:ascii="宋体" w:hAnsi="宋体" w:cs="宋体"/>
          <w:color w:val="auto"/>
          <w:sz w:val="24"/>
          <w:szCs w:val="24"/>
          <w:highlight w:val="none"/>
          <w:u w:val="none"/>
          <w:lang w:eastAsia="zh-CN"/>
        </w:rPr>
        <w:t>：</w:t>
      </w:r>
      <w:r>
        <w:rPr>
          <w:rFonts w:hint="eastAsia" w:ascii="宋体" w:hAnsi="宋体" w:cs="宋体"/>
          <w:color w:val="auto"/>
          <w:sz w:val="24"/>
          <w:szCs w:val="24"/>
          <w:highlight w:val="none"/>
          <w:u w:val="single"/>
          <w:lang w:val="en-US" w:eastAsia="zh-CN"/>
        </w:rPr>
        <w:t xml:space="preserve">                </w:t>
      </w:r>
    </w:p>
    <w:p>
      <w:pPr>
        <w:snapToGrid/>
        <w:spacing w:line="336" w:lineRule="auto"/>
        <w:ind w:firstLine="3840" w:firstLineChars="1600"/>
        <w:jc w:val="left"/>
        <w:rPr>
          <w:rFonts w:hint="eastAsia" w:ascii="宋体" w:hAnsi="宋体" w:eastAsia="宋体" w:cs="Times New Roman"/>
          <w:color w:val="auto"/>
          <w:sz w:val="24"/>
          <w:szCs w:val="20"/>
          <w:highlight w:val="none"/>
        </w:rPr>
      </w:pPr>
      <w:r>
        <w:rPr>
          <w:rFonts w:hint="eastAsia" w:ascii="宋体" w:hAnsi="宋体" w:eastAsia="宋体" w:cs="宋体"/>
          <w:color w:val="auto"/>
          <w:sz w:val="24"/>
          <w:szCs w:val="24"/>
          <w:highlight w:val="none"/>
          <w:u w:val="none"/>
        </w:rPr>
        <w:t>项目负责人签名：</w:t>
      </w:r>
      <w:r>
        <w:rPr>
          <w:rFonts w:hint="eastAsia" w:ascii="宋体" w:hAnsi="宋体" w:eastAsia="宋体" w:cs="宋体"/>
          <w:color w:val="auto"/>
          <w:sz w:val="24"/>
          <w:szCs w:val="24"/>
          <w:highlight w:val="none"/>
          <w:u w:val="single"/>
        </w:rPr>
        <w:t xml:space="preserve">                 </w:t>
      </w:r>
    </w:p>
    <w:p>
      <w:pPr>
        <w:autoSpaceDE/>
        <w:autoSpaceDN/>
        <w:adjustRightInd/>
        <w:spacing w:line="336" w:lineRule="auto"/>
        <w:ind w:firstLine="3840" w:firstLineChars="1600"/>
        <w:rPr>
          <w:rFonts w:hint="eastAsia" w:ascii="宋体" w:hAnsi="宋体" w:eastAsia="宋体" w:cs="宋体"/>
          <w:bCs/>
          <w:color w:val="auto"/>
          <w:sz w:val="24"/>
          <w:szCs w:val="24"/>
          <w:highlight w:val="none"/>
        </w:rPr>
      </w:pPr>
      <w:r>
        <w:rPr>
          <w:rFonts w:hint="eastAsia" w:ascii="宋体" w:hAnsi="宋体" w:eastAsia="宋体" w:cs="Times New Roman"/>
          <w:color w:val="auto"/>
          <w:sz w:val="24"/>
          <w:szCs w:val="20"/>
          <w:highlight w:val="none"/>
        </w:rPr>
        <w:t>日期</w:t>
      </w:r>
      <w:r>
        <w:rPr>
          <w:rFonts w:hint="eastAsia" w:ascii="Times New Roman" w:hAnsi="宋体"/>
          <w:color w:val="auto"/>
          <w:sz w:val="24"/>
          <w:highlight w:val="none"/>
        </w:rPr>
        <w:t>：</w:t>
      </w:r>
      <w:r>
        <w:rPr>
          <w:rFonts w:hint="eastAsia" w:ascii="Times New Roman" w:hAnsi="宋体"/>
          <w:color w:val="auto"/>
          <w:sz w:val="24"/>
          <w:highlight w:val="none"/>
          <w:u w:val="single"/>
        </w:rPr>
        <w:t xml:space="preserve">      </w:t>
      </w:r>
      <w:r>
        <w:rPr>
          <w:rFonts w:hint="eastAsia" w:ascii="Times New Roman" w:hAnsi="宋体"/>
          <w:color w:val="auto"/>
          <w:sz w:val="24"/>
          <w:highlight w:val="none"/>
        </w:rPr>
        <w:t>年</w:t>
      </w:r>
      <w:r>
        <w:rPr>
          <w:rFonts w:hint="eastAsia" w:ascii="Times New Roman" w:hAnsi="宋体"/>
          <w:color w:val="auto"/>
          <w:sz w:val="24"/>
          <w:highlight w:val="none"/>
          <w:u w:val="single"/>
        </w:rPr>
        <w:t xml:space="preserve">    </w:t>
      </w:r>
      <w:r>
        <w:rPr>
          <w:rFonts w:hint="eastAsia" w:ascii="Times New Roman" w:hAnsi="宋体"/>
          <w:color w:val="auto"/>
          <w:sz w:val="24"/>
          <w:highlight w:val="none"/>
        </w:rPr>
        <w:t>月</w:t>
      </w:r>
      <w:r>
        <w:rPr>
          <w:rFonts w:hint="eastAsia" w:ascii="Times New Roman" w:hAnsi="宋体"/>
          <w:color w:val="auto"/>
          <w:sz w:val="24"/>
          <w:highlight w:val="none"/>
          <w:u w:val="single"/>
        </w:rPr>
        <w:t xml:space="preserve">    </w:t>
      </w:r>
      <w:r>
        <w:rPr>
          <w:rFonts w:hint="eastAsia" w:ascii="Times New Roman" w:hAnsi="宋体"/>
          <w:color w:val="auto"/>
          <w:sz w:val="24"/>
          <w:highlight w:val="none"/>
        </w:rPr>
        <w:t>日</w:t>
      </w:r>
    </w:p>
    <w:p>
      <w:pPr>
        <w:autoSpaceDE/>
        <w:autoSpaceDN/>
        <w:adjustRightInd/>
        <w:spacing w:line="240" w:lineRule="auto"/>
        <w:rPr>
          <w:rFonts w:hint="eastAsia"/>
          <w:color w:val="auto"/>
          <w:sz w:val="24"/>
          <w:szCs w:val="24"/>
          <w:highlight w:val="none"/>
        </w:rPr>
      </w:pPr>
      <w:r>
        <w:rPr>
          <w:rFonts w:hint="eastAsia"/>
          <w:color w:val="auto"/>
          <w:sz w:val="24"/>
          <w:szCs w:val="24"/>
          <w:highlight w:val="none"/>
        </w:rPr>
        <w:br w:type="page"/>
      </w:r>
    </w:p>
    <w:p>
      <w:pPr>
        <w:autoSpaceDE w:val="0"/>
        <w:autoSpaceDN w:val="0"/>
        <w:adjustRightInd w:val="0"/>
        <w:spacing w:line="360" w:lineRule="auto"/>
        <w:rPr>
          <w:rFonts w:hint="eastAsia" w:ascii="宋体" w:hAnsi="宋体" w:eastAsia="宋体" w:cs="宋体"/>
          <w:bCs/>
          <w:color w:val="auto"/>
          <w:sz w:val="24"/>
          <w:szCs w:val="24"/>
          <w:highlight w:val="none"/>
        </w:rPr>
      </w:pPr>
      <w:r>
        <w:rPr>
          <w:rFonts w:hint="eastAsia"/>
          <w:color w:val="auto"/>
          <w:sz w:val="24"/>
          <w:szCs w:val="24"/>
          <w:highlight w:val="none"/>
        </w:rPr>
        <w:t>技术标</w:t>
      </w:r>
      <w:r>
        <w:rPr>
          <w:rFonts w:hint="eastAsia" w:ascii="宋体" w:hAnsi="宋体" w:eastAsia="宋体" w:cs="宋体"/>
          <w:bCs/>
          <w:color w:val="auto"/>
          <w:spacing w:val="4"/>
          <w:kern w:val="0"/>
          <w:sz w:val="24"/>
          <w:szCs w:val="24"/>
          <w:highlight w:val="none"/>
        </w:rPr>
        <w:t>格式</w:t>
      </w:r>
      <w:r>
        <w:rPr>
          <w:rFonts w:hint="eastAsia" w:ascii="宋体" w:hAnsi="宋体" w:cs="宋体"/>
          <w:bCs/>
          <w:color w:val="auto"/>
          <w:sz w:val="24"/>
          <w:szCs w:val="24"/>
          <w:highlight w:val="none"/>
          <w:lang w:val="en-US" w:eastAsia="zh-CN"/>
        </w:rPr>
        <w:t>八</w:t>
      </w:r>
      <w:r>
        <w:rPr>
          <w:rFonts w:hint="eastAsia" w:ascii="宋体" w:hAnsi="宋体" w:eastAsia="宋体" w:cs="宋体"/>
          <w:bCs/>
          <w:color w:val="auto"/>
          <w:sz w:val="24"/>
          <w:szCs w:val="24"/>
          <w:highlight w:val="none"/>
        </w:rPr>
        <w:t>：</w:t>
      </w:r>
    </w:p>
    <w:p>
      <w:pPr>
        <w:pStyle w:val="31"/>
        <w:ind w:firstLine="496" w:firstLineChars="0"/>
        <w:rPr>
          <w:rFonts w:hint="eastAsia" w:ascii="宋体" w:hAnsi="宋体" w:eastAsia="宋体" w:cs="宋体"/>
          <w:color w:val="auto"/>
          <w:highlight w:val="none"/>
        </w:rPr>
      </w:pPr>
    </w:p>
    <w:p>
      <w:pPr>
        <w:pStyle w:val="31"/>
        <w:ind w:firstLine="496" w:firstLineChars="0"/>
        <w:rPr>
          <w:rFonts w:hint="eastAsia" w:ascii="宋体" w:hAnsi="宋体" w:eastAsia="宋体" w:cs="宋体"/>
          <w:color w:val="auto"/>
          <w:highlight w:val="none"/>
        </w:rPr>
      </w:pPr>
    </w:p>
    <w:p>
      <w:pPr>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响应招标文件所附施工组织设计要点</w:t>
      </w:r>
      <w:r>
        <w:rPr>
          <w:rFonts w:hint="eastAsia" w:ascii="宋体" w:hAnsi="宋体" w:cs="宋体"/>
          <w:b/>
          <w:color w:val="auto"/>
          <w:sz w:val="36"/>
          <w:szCs w:val="36"/>
          <w:highlight w:val="none"/>
          <w:lang w:val="en-US" w:eastAsia="zh-CN"/>
        </w:rPr>
        <w:t>的</w:t>
      </w:r>
      <w:r>
        <w:rPr>
          <w:rFonts w:hint="eastAsia" w:ascii="宋体" w:hAnsi="宋体" w:eastAsia="宋体" w:cs="宋体"/>
          <w:b/>
          <w:color w:val="auto"/>
          <w:sz w:val="36"/>
          <w:szCs w:val="36"/>
          <w:highlight w:val="none"/>
        </w:rPr>
        <w:t>承诺书</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u w:val="single"/>
        </w:rPr>
      </w:pPr>
      <w:r>
        <w:rPr>
          <w:rFonts w:hint="eastAsia" w:ascii="宋体" w:hAnsi="宋体"/>
          <w:color w:val="auto"/>
          <w:sz w:val="24"/>
          <w:szCs w:val="24"/>
          <w:highlight w:val="none"/>
          <w:u w:val="single"/>
        </w:rPr>
        <w:t>广州开发区财政投资建设项目管理中心</w:t>
      </w:r>
      <w:r>
        <w:rPr>
          <w:rFonts w:hint="eastAsia" w:ascii="宋体" w:hAnsi="宋体" w:eastAsia="宋体" w:cs="宋体"/>
          <w:color w:val="auto"/>
          <w:sz w:val="24"/>
          <w:highlight w:val="none"/>
        </w:rPr>
        <w:t>：</w:t>
      </w:r>
    </w:p>
    <w:p>
      <w:pPr>
        <w:spacing w:line="360" w:lineRule="auto"/>
        <w:ind w:firstLine="435"/>
        <w:rPr>
          <w:rFonts w:hint="eastAsia" w:ascii="宋体" w:hAnsi="宋体" w:eastAsia="宋体" w:cs="宋体"/>
          <w:color w:val="auto"/>
          <w:sz w:val="24"/>
          <w:highlight w:val="none"/>
        </w:rPr>
      </w:pPr>
      <w:r>
        <w:rPr>
          <w:rFonts w:hint="eastAsia" w:ascii="宋体" w:hAnsi="宋体" w:eastAsia="宋体" w:cs="宋体"/>
          <w:color w:val="auto"/>
          <w:sz w:val="24"/>
          <w:highlight w:val="none"/>
        </w:rPr>
        <w:t>我方承诺，如中标承建</w:t>
      </w:r>
      <w:r>
        <w:rPr>
          <w:rFonts w:hint="eastAsia" w:ascii="宋体" w:hAnsi="宋体" w:eastAsia="宋体" w:cs="宋体"/>
          <w:color w:val="auto"/>
          <w:sz w:val="24"/>
          <w:highlight w:val="none"/>
          <w:u w:val="single"/>
        </w:rPr>
        <w:t xml:space="preserve">         (项目名称)</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，将按招标文件所附的本工程</w:t>
      </w:r>
      <w:r>
        <w:rPr>
          <w:rFonts w:hint="eastAsia" w:ascii="宋体" w:hAnsi="宋体" w:eastAsia="宋体" w:cs="宋体"/>
          <w:color w:val="auto"/>
          <w:sz w:val="24"/>
          <w:highlight w:val="none"/>
          <w:u w:val="single"/>
        </w:rPr>
        <w:t>施工组织设计要点</w:t>
      </w:r>
      <w:r>
        <w:rPr>
          <w:rFonts w:hint="eastAsia" w:ascii="宋体" w:hAnsi="宋体" w:eastAsia="宋体" w:cs="宋体"/>
          <w:color w:val="auto"/>
          <w:sz w:val="24"/>
          <w:highlight w:val="none"/>
        </w:rPr>
        <w:t>进行响应的基础上自行组织施工。并承诺在中标后按招标文件所附的</w:t>
      </w:r>
      <w:r>
        <w:rPr>
          <w:rFonts w:hint="eastAsia" w:ascii="宋体" w:hAnsi="宋体" w:eastAsia="宋体" w:cs="宋体"/>
          <w:color w:val="auto"/>
          <w:sz w:val="24"/>
          <w:highlight w:val="none"/>
          <w:u w:val="single"/>
        </w:rPr>
        <w:t>施工组织设计要点</w:t>
      </w:r>
      <w:r>
        <w:rPr>
          <w:rFonts w:hint="eastAsia" w:ascii="宋体" w:hAnsi="宋体" w:eastAsia="宋体" w:cs="宋体"/>
          <w:color w:val="auto"/>
          <w:sz w:val="24"/>
          <w:highlight w:val="none"/>
        </w:rPr>
        <w:t>基础上编制详细的施工组织设计，并报经监理单位和建设单位审批后实施。</w:t>
      </w:r>
    </w:p>
    <w:p>
      <w:pPr>
        <w:spacing w:line="360" w:lineRule="auto"/>
        <w:ind w:firstLine="435"/>
        <w:rPr>
          <w:rFonts w:hint="eastAsia" w:ascii="宋体" w:hAnsi="宋体"/>
          <w:color w:val="auto"/>
          <w:sz w:val="24"/>
          <w:szCs w:val="20"/>
          <w:highlight w:val="none"/>
        </w:rPr>
      </w:pPr>
    </w:p>
    <w:p>
      <w:pPr>
        <w:spacing w:line="360" w:lineRule="auto"/>
        <w:ind w:firstLine="435"/>
        <w:rPr>
          <w:rFonts w:hint="eastAsia" w:ascii="宋体" w:hAnsi="宋体"/>
          <w:color w:val="auto"/>
          <w:sz w:val="24"/>
          <w:szCs w:val="20"/>
          <w:highlight w:val="none"/>
        </w:rPr>
      </w:pPr>
    </w:p>
    <w:p>
      <w:pPr>
        <w:spacing w:line="360" w:lineRule="auto"/>
        <w:ind w:firstLine="435"/>
        <w:rPr>
          <w:rFonts w:hint="eastAsia" w:ascii="宋体" w:hAnsi="宋体"/>
          <w:color w:val="auto"/>
          <w:sz w:val="24"/>
          <w:szCs w:val="20"/>
          <w:highlight w:val="none"/>
        </w:rPr>
      </w:pPr>
    </w:p>
    <w:p>
      <w:pPr>
        <w:spacing w:line="360" w:lineRule="auto"/>
        <w:ind w:firstLine="3000" w:firstLineChars="1250"/>
        <w:rPr>
          <w:rFonts w:hint="eastAsia" w:ascii="宋体" w:hAnsi="宋体"/>
          <w:color w:val="auto"/>
          <w:sz w:val="24"/>
          <w:szCs w:val="20"/>
          <w:highlight w:val="none"/>
          <w:u w:val="single"/>
        </w:rPr>
      </w:pPr>
      <w:r>
        <w:rPr>
          <w:rFonts w:hint="eastAsia" w:ascii="宋体" w:hAnsi="宋体"/>
          <w:color w:val="auto"/>
          <w:sz w:val="24"/>
          <w:szCs w:val="20"/>
          <w:highlight w:val="none"/>
        </w:rPr>
        <w:t>投标人名称（盖章）：</w:t>
      </w:r>
      <w:r>
        <w:rPr>
          <w:rFonts w:hint="eastAsia" w:ascii="宋体" w:hAnsi="宋体"/>
          <w:color w:val="auto"/>
          <w:sz w:val="24"/>
          <w:szCs w:val="20"/>
          <w:highlight w:val="none"/>
          <w:u w:val="single"/>
        </w:rPr>
        <w:t xml:space="preserve">                   </w:t>
      </w:r>
    </w:p>
    <w:p>
      <w:pPr>
        <w:spacing w:line="360" w:lineRule="auto"/>
        <w:ind w:firstLine="3000" w:firstLineChars="1250"/>
        <w:rPr>
          <w:rFonts w:hint="eastAsia" w:ascii="宋体" w:hAnsi="宋体"/>
          <w:color w:val="auto"/>
          <w:sz w:val="24"/>
          <w:szCs w:val="20"/>
          <w:highlight w:val="none"/>
          <w:u w:val="none"/>
        </w:rPr>
      </w:pPr>
      <w:r>
        <w:rPr>
          <w:rFonts w:hint="eastAsia" w:ascii="宋体" w:hAnsi="宋体"/>
          <w:color w:val="auto"/>
          <w:sz w:val="24"/>
          <w:szCs w:val="20"/>
          <w:highlight w:val="none"/>
        </w:rPr>
        <w:t>法定代表人或被授权人（签字或盖章）：</w:t>
      </w:r>
      <w:r>
        <w:rPr>
          <w:rFonts w:hint="eastAsia" w:ascii="宋体" w:hAnsi="宋体"/>
          <w:color w:val="auto"/>
          <w:sz w:val="24"/>
          <w:szCs w:val="20"/>
          <w:highlight w:val="none"/>
          <w:u w:val="single"/>
        </w:rPr>
        <w:t xml:space="preserve">         </w:t>
      </w:r>
    </w:p>
    <w:p>
      <w:pPr>
        <w:spacing w:line="360" w:lineRule="auto"/>
        <w:ind w:firstLine="3000" w:firstLineChars="1250"/>
        <w:rPr>
          <w:rFonts w:hint="eastAsia" w:ascii="宋体" w:hAnsi="宋体" w:eastAsia="宋体" w:cs="宋体"/>
          <w:color w:val="auto"/>
          <w:sz w:val="24"/>
          <w:highlight w:val="none"/>
        </w:rPr>
      </w:pPr>
      <w:r>
        <w:rPr>
          <w:rFonts w:hint="eastAsia" w:ascii="宋体" w:hAnsi="宋体"/>
          <w:color w:val="auto"/>
          <w:sz w:val="24"/>
          <w:szCs w:val="20"/>
          <w:highlight w:val="none"/>
        </w:rPr>
        <w:t>日期</w:t>
      </w:r>
      <w:r>
        <w:rPr>
          <w:rFonts w:hint="eastAsia" w:ascii="Times New Roman" w:hAnsi="宋体"/>
          <w:color w:val="auto"/>
          <w:sz w:val="24"/>
          <w:highlight w:val="none"/>
        </w:rPr>
        <w:t>：</w:t>
      </w:r>
      <w:r>
        <w:rPr>
          <w:rFonts w:hint="eastAsia" w:ascii="Times New Roman" w:hAnsi="宋体"/>
          <w:color w:val="auto"/>
          <w:sz w:val="24"/>
          <w:highlight w:val="none"/>
          <w:u w:val="single"/>
        </w:rPr>
        <w:t xml:space="preserve">      </w:t>
      </w:r>
      <w:r>
        <w:rPr>
          <w:rFonts w:hint="eastAsia" w:ascii="Times New Roman" w:hAnsi="宋体"/>
          <w:color w:val="auto"/>
          <w:sz w:val="24"/>
          <w:highlight w:val="none"/>
        </w:rPr>
        <w:t>年</w:t>
      </w:r>
      <w:r>
        <w:rPr>
          <w:rFonts w:hint="eastAsia" w:ascii="Times New Roman" w:hAnsi="宋体"/>
          <w:color w:val="auto"/>
          <w:sz w:val="24"/>
          <w:highlight w:val="none"/>
          <w:u w:val="single"/>
        </w:rPr>
        <w:t xml:space="preserve">    </w:t>
      </w:r>
      <w:r>
        <w:rPr>
          <w:rFonts w:hint="eastAsia" w:ascii="Times New Roman" w:hAnsi="宋体"/>
          <w:color w:val="auto"/>
          <w:sz w:val="24"/>
          <w:highlight w:val="none"/>
        </w:rPr>
        <w:t>月</w:t>
      </w:r>
      <w:r>
        <w:rPr>
          <w:rFonts w:hint="eastAsia" w:ascii="Times New Roman" w:hAnsi="宋体"/>
          <w:color w:val="auto"/>
          <w:sz w:val="24"/>
          <w:highlight w:val="none"/>
          <w:u w:val="single"/>
        </w:rPr>
        <w:t xml:space="preserve">    </w:t>
      </w:r>
      <w:r>
        <w:rPr>
          <w:rFonts w:hint="eastAsia" w:ascii="Times New Roman" w:hAnsi="宋体"/>
          <w:color w:val="auto"/>
          <w:sz w:val="24"/>
          <w:highlight w:val="none"/>
        </w:rPr>
        <w:t>日</w:t>
      </w:r>
      <w:r>
        <w:rPr>
          <w:rFonts w:ascii="宋体" w:hAnsi="宋体" w:cs="宋体"/>
          <w:b/>
          <w:color w:val="auto"/>
          <w:sz w:val="28"/>
          <w:szCs w:val="28"/>
          <w:highlight w:val="none"/>
        </w:rPr>
        <w:br w:type="page"/>
      </w:r>
    </w:p>
    <w:p>
      <w:pPr>
        <w:pStyle w:val="31"/>
        <w:ind w:firstLine="0" w:firstLineChars="0"/>
        <w:rPr>
          <w:rFonts w:hint="eastAsia" w:ascii="宋体" w:hAnsi="宋体" w:eastAsia="宋体" w:cs="宋体"/>
          <w:color w:val="auto"/>
          <w:highlight w:val="none"/>
        </w:rPr>
      </w:pPr>
      <w:r>
        <w:rPr>
          <w:rFonts w:hint="eastAsia"/>
          <w:color w:val="auto"/>
          <w:sz w:val="24"/>
          <w:szCs w:val="24"/>
          <w:highlight w:val="none"/>
        </w:rPr>
        <w:t>技术标</w:t>
      </w:r>
      <w:r>
        <w:rPr>
          <w:rFonts w:hint="eastAsia" w:ascii="宋体" w:hAnsi="宋体" w:eastAsia="宋体" w:cs="宋体"/>
          <w:bCs/>
          <w:color w:val="auto"/>
          <w:spacing w:val="4"/>
          <w:kern w:val="0"/>
          <w:sz w:val="24"/>
          <w:szCs w:val="24"/>
          <w:highlight w:val="none"/>
        </w:rPr>
        <w:t>格式</w:t>
      </w:r>
      <w:r>
        <w:rPr>
          <w:rFonts w:hint="eastAsia" w:cs="宋体"/>
          <w:color w:val="auto"/>
          <w:highlight w:val="none"/>
          <w:lang w:val="en-US" w:eastAsia="zh-CN"/>
        </w:rPr>
        <w:t>九</w:t>
      </w:r>
      <w:r>
        <w:rPr>
          <w:rFonts w:hint="eastAsia" w:ascii="宋体" w:hAnsi="宋体" w:eastAsia="宋体" w:cs="宋体"/>
          <w:color w:val="auto"/>
          <w:highlight w:val="none"/>
        </w:rPr>
        <w:t>：</w:t>
      </w:r>
    </w:p>
    <w:p>
      <w:pPr>
        <w:pStyle w:val="32"/>
        <w:ind w:firstLine="61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参与编制技术标投标文件人员名单</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1470"/>
        <w:gridCol w:w="2520"/>
        <w:gridCol w:w="2415"/>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116"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3"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姓名</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职务</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所承担工作</w:t>
            </w:r>
          </w:p>
        </w:tc>
        <w:tc>
          <w:tcPr>
            <w:tcW w:w="2415"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身份证号码</w:t>
            </w:r>
          </w:p>
        </w:tc>
        <w:tc>
          <w:tcPr>
            <w:tcW w:w="1448"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本人签名栏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63"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jc w:val="center"/>
              <w:rPr>
                <w:rFonts w:hint="eastAsia" w:ascii="宋体" w:hAnsi="宋体" w:eastAsia="宋体" w:cs="宋体"/>
                <w:color w:val="auto"/>
                <w:szCs w:val="21"/>
                <w:highlight w:val="none"/>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jc w:val="center"/>
              <w:rPr>
                <w:rFonts w:hint="eastAsia" w:ascii="宋体" w:hAnsi="宋体" w:eastAsia="宋体" w:cs="宋体"/>
                <w:color w:val="auto"/>
                <w:szCs w:val="21"/>
                <w:highlight w:val="none"/>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jc w:val="center"/>
              <w:rPr>
                <w:rFonts w:hint="eastAsia" w:ascii="宋体" w:hAnsi="宋体" w:eastAsia="宋体" w:cs="宋体"/>
                <w:color w:val="auto"/>
                <w:szCs w:val="21"/>
                <w:highlight w:val="none"/>
              </w:rPr>
            </w:pPr>
          </w:p>
        </w:tc>
        <w:tc>
          <w:tcPr>
            <w:tcW w:w="2415"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jc w:val="center"/>
              <w:rPr>
                <w:rFonts w:hint="eastAsia" w:ascii="宋体" w:hAnsi="宋体" w:eastAsia="宋体" w:cs="宋体"/>
                <w:color w:val="auto"/>
                <w:szCs w:val="21"/>
                <w:highlight w:val="none"/>
              </w:rPr>
            </w:pPr>
          </w:p>
        </w:tc>
        <w:tc>
          <w:tcPr>
            <w:tcW w:w="1448"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63"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jc w:val="center"/>
              <w:rPr>
                <w:rFonts w:hint="eastAsia" w:ascii="宋体" w:hAnsi="宋体" w:eastAsia="宋体" w:cs="宋体"/>
                <w:color w:val="auto"/>
                <w:szCs w:val="21"/>
                <w:highlight w:val="none"/>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jc w:val="center"/>
              <w:rPr>
                <w:rFonts w:hint="eastAsia" w:ascii="宋体" w:hAnsi="宋体" w:eastAsia="宋体" w:cs="宋体"/>
                <w:color w:val="auto"/>
                <w:szCs w:val="21"/>
                <w:highlight w:val="none"/>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jc w:val="center"/>
              <w:rPr>
                <w:rFonts w:hint="eastAsia" w:ascii="宋体" w:hAnsi="宋体" w:eastAsia="宋体" w:cs="宋体"/>
                <w:color w:val="auto"/>
                <w:szCs w:val="21"/>
                <w:highlight w:val="none"/>
              </w:rPr>
            </w:pPr>
          </w:p>
        </w:tc>
        <w:tc>
          <w:tcPr>
            <w:tcW w:w="2415"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jc w:val="center"/>
              <w:rPr>
                <w:rFonts w:hint="eastAsia" w:ascii="宋体" w:hAnsi="宋体" w:eastAsia="宋体" w:cs="宋体"/>
                <w:color w:val="auto"/>
                <w:szCs w:val="21"/>
                <w:highlight w:val="none"/>
              </w:rPr>
            </w:pPr>
          </w:p>
        </w:tc>
        <w:tc>
          <w:tcPr>
            <w:tcW w:w="1448"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63"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jc w:val="center"/>
              <w:rPr>
                <w:rFonts w:hint="eastAsia" w:ascii="宋体" w:hAnsi="宋体" w:eastAsia="宋体" w:cs="宋体"/>
                <w:color w:val="auto"/>
                <w:szCs w:val="21"/>
                <w:highlight w:val="none"/>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jc w:val="center"/>
              <w:rPr>
                <w:rFonts w:hint="eastAsia" w:ascii="宋体" w:hAnsi="宋体" w:eastAsia="宋体" w:cs="宋体"/>
                <w:color w:val="auto"/>
                <w:szCs w:val="21"/>
                <w:highlight w:val="none"/>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jc w:val="center"/>
              <w:rPr>
                <w:rFonts w:hint="eastAsia" w:ascii="宋体" w:hAnsi="宋体" w:eastAsia="宋体" w:cs="宋体"/>
                <w:color w:val="auto"/>
                <w:szCs w:val="21"/>
                <w:highlight w:val="none"/>
              </w:rPr>
            </w:pPr>
          </w:p>
        </w:tc>
        <w:tc>
          <w:tcPr>
            <w:tcW w:w="2415"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jc w:val="center"/>
              <w:rPr>
                <w:rFonts w:hint="eastAsia" w:ascii="宋体" w:hAnsi="宋体" w:eastAsia="宋体" w:cs="宋体"/>
                <w:color w:val="auto"/>
                <w:szCs w:val="21"/>
                <w:highlight w:val="none"/>
              </w:rPr>
            </w:pPr>
          </w:p>
        </w:tc>
        <w:tc>
          <w:tcPr>
            <w:tcW w:w="1448"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63"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jc w:val="center"/>
              <w:rPr>
                <w:rFonts w:hint="eastAsia" w:ascii="宋体" w:hAnsi="宋体" w:eastAsia="宋体" w:cs="宋体"/>
                <w:color w:val="auto"/>
                <w:szCs w:val="21"/>
                <w:highlight w:val="none"/>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jc w:val="center"/>
              <w:rPr>
                <w:rFonts w:hint="eastAsia" w:ascii="宋体" w:hAnsi="宋体" w:eastAsia="宋体" w:cs="宋体"/>
                <w:color w:val="auto"/>
                <w:szCs w:val="21"/>
                <w:highlight w:val="none"/>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jc w:val="center"/>
              <w:rPr>
                <w:rFonts w:hint="eastAsia" w:ascii="宋体" w:hAnsi="宋体" w:eastAsia="宋体" w:cs="宋体"/>
                <w:color w:val="auto"/>
                <w:szCs w:val="21"/>
                <w:highlight w:val="none"/>
              </w:rPr>
            </w:pPr>
          </w:p>
        </w:tc>
        <w:tc>
          <w:tcPr>
            <w:tcW w:w="2415"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jc w:val="center"/>
              <w:rPr>
                <w:rFonts w:hint="eastAsia" w:ascii="宋体" w:hAnsi="宋体" w:eastAsia="宋体" w:cs="宋体"/>
                <w:color w:val="auto"/>
                <w:szCs w:val="21"/>
                <w:highlight w:val="none"/>
              </w:rPr>
            </w:pPr>
          </w:p>
        </w:tc>
        <w:tc>
          <w:tcPr>
            <w:tcW w:w="1448"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63"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jc w:val="center"/>
              <w:rPr>
                <w:rFonts w:hint="eastAsia" w:ascii="宋体" w:hAnsi="宋体" w:eastAsia="宋体" w:cs="宋体"/>
                <w:color w:val="auto"/>
                <w:szCs w:val="21"/>
                <w:highlight w:val="none"/>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jc w:val="center"/>
              <w:rPr>
                <w:rFonts w:hint="eastAsia" w:ascii="宋体" w:hAnsi="宋体" w:eastAsia="宋体" w:cs="宋体"/>
                <w:color w:val="auto"/>
                <w:szCs w:val="21"/>
                <w:highlight w:val="none"/>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jc w:val="center"/>
              <w:rPr>
                <w:rFonts w:hint="eastAsia" w:ascii="宋体" w:hAnsi="宋体" w:eastAsia="宋体" w:cs="宋体"/>
                <w:color w:val="auto"/>
                <w:szCs w:val="21"/>
                <w:highlight w:val="none"/>
              </w:rPr>
            </w:pPr>
          </w:p>
        </w:tc>
        <w:tc>
          <w:tcPr>
            <w:tcW w:w="2415"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jc w:val="center"/>
              <w:rPr>
                <w:rFonts w:hint="eastAsia" w:ascii="宋体" w:hAnsi="宋体" w:eastAsia="宋体" w:cs="宋体"/>
                <w:color w:val="auto"/>
                <w:szCs w:val="21"/>
                <w:highlight w:val="none"/>
              </w:rPr>
            </w:pPr>
          </w:p>
        </w:tc>
        <w:tc>
          <w:tcPr>
            <w:tcW w:w="1448"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63"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jc w:val="center"/>
              <w:rPr>
                <w:rFonts w:hint="eastAsia" w:ascii="宋体" w:hAnsi="宋体" w:eastAsia="宋体" w:cs="宋体"/>
                <w:color w:val="auto"/>
                <w:szCs w:val="21"/>
                <w:highlight w:val="none"/>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jc w:val="center"/>
              <w:rPr>
                <w:rFonts w:hint="eastAsia" w:ascii="宋体" w:hAnsi="宋体" w:eastAsia="宋体" w:cs="宋体"/>
                <w:color w:val="auto"/>
                <w:szCs w:val="21"/>
                <w:highlight w:val="none"/>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jc w:val="center"/>
              <w:rPr>
                <w:rFonts w:hint="eastAsia" w:ascii="宋体" w:hAnsi="宋体" w:eastAsia="宋体" w:cs="宋体"/>
                <w:color w:val="auto"/>
                <w:szCs w:val="21"/>
                <w:highlight w:val="none"/>
              </w:rPr>
            </w:pPr>
          </w:p>
        </w:tc>
        <w:tc>
          <w:tcPr>
            <w:tcW w:w="2415"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jc w:val="center"/>
              <w:rPr>
                <w:rFonts w:hint="eastAsia" w:ascii="宋体" w:hAnsi="宋体" w:eastAsia="宋体" w:cs="宋体"/>
                <w:color w:val="auto"/>
                <w:szCs w:val="21"/>
                <w:highlight w:val="none"/>
              </w:rPr>
            </w:pPr>
          </w:p>
        </w:tc>
        <w:tc>
          <w:tcPr>
            <w:tcW w:w="1448"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63"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jc w:val="center"/>
              <w:rPr>
                <w:rFonts w:hint="eastAsia" w:ascii="宋体" w:hAnsi="宋体" w:eastAsia="宋体" w:cs="宋体"/>
                <w:color w:val="auto"/>
                <w:szCs w:val="21"/>
                <w:highlight w:val="none"/>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jc w:val="center"/>
              <w:rPr>
                <w:rFonts w:hint="eastAsia" w:ascii="宋体" w:hAnsi="宋体" w:eastAsia="宋体" w:cs="宋体"/>
                <w:color w:val="auto"/>
                <w:szCs w:val="21"/>
                <w:highlight w:val="none"/>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jc w:val="center"/>
              <w:rPr>
                <w:rFonts w:hint="eastAsia" w:ascii="宋体" w:hAnsi="宋体" w:eastAsia="宋体" w:cs="宋体"/>
                <w:color w:val="auto"/>
                <w:szCs w:val="21"/>
                <w:highlight w:val="none"/>
              </w:rPr>
            </w:pPr>
          </w:p>
        </w:tc>
        <w:tc>
          <w:tcPr>
            <w:tcW w:w="2415"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jc w:val="center"/>
              <w:rPr>
                <w:rFonts w:hint="eastAsia" w:ascii="宋体" w:hAnsi="宋体" w:eastAsia="宋体" w:cs="宋体"/>
                <w:color w:val="auto"/>
                <w:szCs w:val="21"/>
                <w:highlight w:val="none"/>
              </w:rPr>
            </w:pPr>
          </w:p>
        </w:tc>
        <w:tc>
          <w:tcPr>
            <w:tcW w:w="1448"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263"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jc w:val="center"/>
              <w:rPr>
                <w:rFonts w:hint="eastAsia" w:ascii="宋体" w:hAnsi="宋体" w:eastAsia="宋体" w:cs="宋体"/>
                <w:color w:val="auto"/>
                <w:szCs w:val="21"/>
                <w:highlight w:val="none"/>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jc w:val="center"/>
              <w:rPr>
                <w:rFonts w:hint="eastAsia" w:ascii="宋体" w:hAnsi="宋体" w:eastAsia="宋体" w:cs="宋体"/>
                <w:color w:val="auto"/>
                <w:szCs w:val="21"/>
                <w:highlight w:val="none"/>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jc w:val="center"/>
              <w:rPr>
                <w:rFonts w:hint="eastAsia" w:ascii="宋体" w:hAnsi="宋体" w:eastAsia="宋体" w:cs="宋体"/>
                <w:color w:val="auto"/>
                <w:szCs w:val="21"/>
                <w:highlight w:val="none"/>
              </w:rPr>
            </w:pPr>
          </w:p>
        </w:tc>
        <w:tc>
          <w:tcPr>
            <w:tcW w:w="2415"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jc w:val="center"/>
              <w:rPr>
                <w:rFonts w:hint="eastAsia" w:ascii="宋体" w:hAnsi="宋体" w:eastAsia="宋体" w:cs="宋体"/>
                <w:color w:val="auto"/>
                <w:szCs w:val="21"/>
                <w:highlight w:val="none"/>
              </w:rPr>
            </w:pPr>
          </w:p>
        </w:tc>
        <w:tc>
          <w:tcPr>
            <w:tcW w:w="1448"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jc w:val="center"/>
              <w:rPr>
                <w:rFonts w:hint="eastAsia" w:ascii="宋体" w:hAnsi="宋体" w:eastAsia="宋体" w:cs="宋体"/>
                <w:color w:val="auto"/>
                <w:szCs w:val="21"/>
                <w:highlight w:val="none"/>
              </w:rPr>
            </w:pPr>
          </w:p>
        </w:tc>
      </w:tr>
    </w:tbl>
    <w:p>
      <w:pPr>
        <w:autoSpaceDE w:val="0"/>
        <w:autoSpaceDN w:val="0"/>
        <w:adjustRightInd w:val="0"/>
        <w:spacing w:line="360" w:lineRule="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注：参与编制技术标书所有人员名单应包括如编制技术投标方案、负责清样校对、负责打印及复印等所有人员在内的人员名单。</w:t>
      </w:r>
    </w:p>
    <w:p>
      <w:pPr>
        <w:autoSpaceDE w:val="0"/>
        <w:autoSpaceDN w:val="0"/>
        <w:adjustRightInd w:val="0"/>
        <w:spacing w:line="360" w:lineRule="auto"/>
        <w:rPr>
          <w:rFonts w:hint="eastAsia" w:ascii="宋体" w:hAnsi="宋体" w:eastAsia="宋体" w:cs="宋体"/>
          <w:bCs/>
          <w:color w:val="auto"/>
          <w:sz w:val="24"/>
          <w:szCs w:val="24"/>
          <w:highlight w:val="none"/>
        </w:rPr>
      </w:pPr>
    </w:p>
    <w:p>
      <w:pPr>
        <w:autoSpaceDE w:val="0"/>
        <w:autoSpaceDN w:val="0"/>
        <w:adjustRightInd w:val="0"/>
        <w:spacing w:line="360" w:lineRule="auto"/>
        <w:rPr>
          <w:rFonts w:hint="eastAsia" w:ascii="宋体" w:hAnsi="宋体" w:eastAsia="宋体" w:cs="宋体"/>
          <w:bCs/>
          <w:color w:val="auto"/>
          <w:sz w:val="24"/>
          <w:szCs w:val="24"/>
          <w:highlight w:val="none"/>
        </w:rPr>
      </w:pPr>
    </w:p>
    <w:p>
      <w:pPr>
        <w:autoSpaceDE w:val="0"/>
        <w:autoSpaceDN w:val="0"/>
        <w:adjustRightInd w:val="0"/>
        <w:spacing w:line="360" w:lineRule="auto"/>
        <w:rPr>
          <w:rFonts w:hint="eastAsia" w:ascii="宋体" w:hAnsi="宋体" w:eastAsia="宋体" w:cs="宋体"/>
          <w:bCs/>
          <w:color w:val="auto"/>
          <w:sz w:val="24"/>
          <w:szCs w:val="24"/>
          <w:highlight w:val="none"/>
        </w:rPr>
      </w:pPr>
    </w:p>
    <w:p>
      <w:pPr>
        <w:autoSpaceDE w:val="0"/>
        <w:autoSpaceDN w:val="0"/>
        <w:adjustRightInd w:val="0"/>
        <w:spacing w:line="360" w:lineRule="auto"/>
        <w:rPr>
          <w:rFonts w:hint="eastAsia" w:ascii="宋体" w:hAnsi="宋体" w:eastAsia="宋体" w:cs="宋体"/>
          <w:bCs/>
          <w:color w:val="auto"/>
          <w:sz w:val="24"/>
          <w:szCs w:val="24"/>
          <w:highlight w:val="none"/>
        </w:rPr>
      </w:pPr>
    </w:p>
    <w:p>
      <w:pPr>
        <w:autoSpaceDE w:val="0"/>
        <w:autoSpaceDN w:val="0"/>
        <w:adjustRightInd w:val="0"/>
        <w:spacing w:line="360" w:lineRule="auto"/>
        <w:rPr>
          <w:rFonts w:hint="eastAsia" w:ascii="宋体" w:hAnsi="宋体" w:eastAsia="宋体" w:cs="宋体"/>
          <w:bCs/>
          <w:color w:val="auto"/>
          <w:sz w:val="24"/>
          <w:szCs w:val="24"/>
          <w:highlight w:val="none"/>
        </w:rPr>
      </w:pPr>
    </w:p>
    <w:p>
      <w:pPr>
        <w:autoSpaceDE w:val="0"/>
        <w:autoSpaceDN w:val="0"/>
        <w:adjustRightInd w:val="0"/>
        <w:spacing w:line="360" w:lineRule="auto"/>
        <w:rPr>
          <w:rFonts w:hint="eastAsia" w:ascii="宋体" w:hAnsi="宋体" w:eastAsia="宋体" w:cs="宋体"/>
          <w:bCs/>
          <w:color w:val="auto"/>
          <w:sz w:val="24"/>
          <w:szCs w:val="24"/>
          <w:highlight w:val="none"/>
        </w:rPr>
      </w:pPr>
    </w:p>
    <w:p>
      <w:pPr>
        <w:autoSpaceDE w:val="0"/>
        <w:autoSpaceDN w:val="0"/>
        <w:adjustRightInd w:val="0"/>
        <w:spacing w:line="360" w:lineRule="auto"/>
        <w:rPr>
          <w:rFonts w:hint="eastAsia" w:ascii="宋体" w:hAnsi="宋体" w:eastAsia="宋体" w:cs="宋体"/>
          <w:bCs/>
          <w:color w:val="auto"/>
          <w:sz w:val="24"/>
          <w:szCs w:val="24"/>
          <w:highlight w:val="none"/>
        </w:rPr>
      </w:pPr>
    </w:p>
    <w:p>
      <w:pPr>
        <w:autoSpaceDE w:val="0"/>
        <w:autoSpaceDN w:val="0"/>
        <w:adjustRightInd w:val="0"/>
        <w:spacing w:line="360" w:lineRule="auto"/>
        <w:rPr>
          <w:rFonts w:hint="eastAsia" w:ascii="宋体" w:hAnsi="宋体" w:eastAsia="宋体" w:cs="宋体"/>
          <w:bCs/>
          <w:color w:val="auto"/>
          <w:sz w:val="24"/>
          <w:szCs w:val="24"/>
          <w:highlight w:val="none"/>
        </w:rPr>
      </w:pPr>
    </w:p>
    <w:p>
      <w:pPr>
        <w:autoSpaceDE w:val="0"/>
        <w:autoSpaceDN w:val="0"/>
        <w:adjustRightInd w:val="0"/>
        <w:spacing w:line="360" w:lineRule="auto"/>
        <w:rPr>
          <w:rFonts w:hint="eastAsia" w:ascii="宋体" w:hAnsi="宋体" w:eastAsia="宋体" w:cs="宋体"/>
          <w:bCs/>
          <w:color w:val="auto"/>
          <w:sz w:val="24"/>
          <w:szCs w:val="24"/>
          <w:highlight w:val="none"/>
        </w:rPr>
      </w:pPr>
    </w:p>
    <w:p>
      <w:pPr>
        <w:autoSpaceDE w:val="0"/>
        <w:autoSpaceDN w:val="0"/>
        <w:adjustRightInd w:val="0"/>
        <w:spacing w:line="360" w:lineRule="auto"/>
        <w:rPr>
          <w:rFonts w:hint="eastAsia" w:ascii="宋体" w:hAnsi="宋体" w:eastAsia="宋体" w:cs="宋体"/>
          <w:bCs/>
          <w:color w:val="auto"/>
          <w:sz w:val="24"/>
          <w:szCs w:val="24"/>
          <w:highlight w:val="none"/>
        </w:rPr>
      </w:pPr>
    </w:p>
    <w:p>
      <w:pPr>
        <w:pStyle w:val="2"/>
        <w:rPr>
          <w:rFonts w:hint="eastAsia"/>
          <w:color w:val="auto"/>
          <w:highlight w:val="none"/>
        </w:rPr>
      </w:pPr>
    </w:p>
    <w:p>
      <w:pPr>
        <w:autoSpaceDE w:val="0"/>
        <w:autoSpaceDN w:val="0"/>
        <w:adjustRightInd w:val="0"/>
        <w:spacing w:line="360" w:lineRule="auto"/>
        <w:rPr>
          <w:rFonts w:hint="eastAsia" w:ascii="宋体" w:hAnsi="宋体" w:eastAsia="宋体" w:cs="宋体"/>
          <w:bCs/>
          <w:color w:val="auto"/>
          <w:sz w:val="24"/>
          <w:szCs w:val="24"/>
          <w:highlight w:val="none"/>
        </w:rPr>
      </w:pPr>
    </w:p>
    <w:p>
      <w:pPr>
        <w:autoSpaceDE w:val="0"/>
        <w:autoSpaceDN w:val="0"/>
        <w:adjustRightInd w:val="0"/>
        <w:spacing w:line="360" w:lineRule="auto"/>
        <w:rPr>
          <w:rFonts w:hint="eastAsia" w:ascii="宋体" w:hAnsi="宋体" w:eastAsia="宋体" w:cs="宋体"/>
          <w:bCs/>
          <w:color w:val="auto"/>
          <w:sz w:val="24"/>
          <w:szCs w:val="24"/>
          <w:highlight w:val="none"/>
        </w:rPr>
      </w:pPr>
    </w:p>
    <w:p>
      <w:pPr>
        <w:autoSpaceDE w:val="0"/>
        <w:autoSpaceDN w:val="0"/>
        <w:adjustRightInd w:val="0"/>
        <w:spacing w:line="360" w:lineRule="auto"/>
        <w:rPr>
          <w:rFonts w:hint="eastAsia" w:ascii="宋体" w:hAnsi="宋体" w:eastAsia="宋体" w:cs="宋体"/>
          <w:bCs/>
          <w:color w:val="auto"/>
          <w:sz w:val="24"/>
          <w:szCs w:val="24"/>
          <w:highlight w:val="none"/>
        </w:rPr>
      </w:pPr>
    </w:p>
    <w:p>
      <w:pPr>
        <w:autoSpaceDE w:val="0"/>
        <w:autoSpaceDN w:val="0"/>
        <w:adjustRightInd w:val="0"/>
        <w:spacing w:line="360" w:lineRule="auto"/>
        <w:rPr>
          <w:rFonts w:hint="eastAsia" w:ascii="宋体" w:hAnsi="宋体" w:eastAsia="宋体" w:cs="宋体"/>
          <w:bCs/>
          <w:color w:val="auto"/>
          <w:sz w:val="24"/>
          <w:szCs w:val="24"/>
          <w:highlight w:val="none"/>
        </w:rPr>
      </w:pPr>
    </w:p>
    <w:p>
      <w:pPr>
        <w:autoSpaceDE w:val="0"/>
        <w:autoSpaceDN w:val="0"/>
        <w:adjustRightInd w:val="0"/>
        <w:spacing w:line="360" w:lineRule="auto"/>
        <w:rPr>
          <w:rFonts w:hint="eastAsia" w:ascii="宋体" w:hAnsi="宋体" w:eastAsia="宋体" w:cs="宋体"/>
          <w:bCs/>
          <w:color w:val="auto"/>
          <w:sz w:val="24"/>
          <w:szCs w:val="24"/>
          <w:highlight w:val="none"/>
        </w:rPr>
      </w:pPr>
    </w:p>
    <w:p>
      <w:pPr>
        <w:pStyle w:val="31"/>
        <w:ind w:firstLine="0" w:firstLineChars="0"/>
        <w:rPr>
          <w:rFonts w:hint="eastAsia" w:ascii="宋体" w:hAnsi="宋体" w:eastAsia="宋体" w:cs="宋体"/>
          <w:bCs/>
          <w:color w:val="auto"/>
          <w:highlight w:val="none"/>
        </w:rPr>
      </w:pPr>
    </w:p>
    <w:p>
      <w:pPr>
        <w:pStyle w:val="31"/>
        <w:ind w:firstLine="0" w:firstLineChars="0"/>
        <w:rPr>
          <w:rFonts w:hint="eastAsia" w:ascii="宋体" w:hAnsi="宋体" w:eastAsia="宋体" w:cs="宋体"/>
          <w:color w:val="auto"/>
          <w:highlight w:val="none"/>
        </w:rPr>
      </w:pPr>
      <w:r>
        <w:rPr>
          <w:rFonts w:hint="eastAsia"/>
          <w:color w:val="auto"/>
          <w:sz w:val="24"/>
          <w:szCs w:val="24"/>
          <w:highlight w:val="none"/>
        </w:rPr>
        <w:t>技术标</w:t>
      </w:r>
      <w:r>
        <w:rPr>
          <w:rFonts w:hint="eastAsia" w:ascii="宋体" w:hAnsi="宋体" w:eastAsia="宋体" w:cs="宋体"/>
          <w:bCs/>
          <w:color w:val="auto"/>
          <w:spacing w:val="4"/>
          <w:kern w:val="0"/>
          <w:sz w:val="24"/>
          <w:szCs w:val="24"/>
          <w:highlight w:val="none"/>
        </w:rPr>
        <w:t>格式</w:t>
      </w:r>
      <w:r>
        <w:rPr>
          <w:rFonts w:hint="eastAsia" w:ascii="宋体" w:hAnsi="宋体" w:eastAsia="宋体" w:cs="宋体"/>
          <w:color w:val="auto"/>
          <w:highlight w:val="none"/>
        </w:rPr>
        <w:t>十：</w:t>
      </w:r>
    </w:p>
    <w:p>
      <w:pPr>
        <w:autoSpaceDE w:val="0"/>
        <w:autoSpaceDN w:val="0"/>
        <w:adjustRightInd w:val="0"/>
        <w:spacing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拟投入本工程施工的主要机械设备配备表</w:t>
      </w:r>
    </w:p>
    <w:tbl>
      <w:tblPr>
        <w:tblStyle w:val="2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0"/>
        <w:gridCol w:w="2856"/>
        <w:gridCol w:w="2024"/>
        <w:gridCol w:w="1559"/>
        <w:gridCol w:w="15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6" w:hRule="atLeast"/>
          <w:jc w:val="center"/>
        </w:trPr>
        <w:tc>
          <w:tcPr>
            <w:tcW w:w="79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w:t>
            </w:r>
          </w:p>
          <w:p>
            <w:pPr>
              <w:spacing w:line="240" w:lineRule="exact"/>
              <w:jc w:val="center"/>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号</w:t>
            </w:r>
          </w:p>
        </w:tc>
        <w:tc>
          <w:tcPr>
            <w:tcW w:w="285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设备名称</w:t>
            </w:r>
          </w:p>
        </w:tc>
        <w:tc>
          <w:tcPr>
            <w:tcW w:w="20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投入总数量</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来源</w:t>
            </w:r>
          </w:p>
          <w:p>
            <w:pPr>
              <w:spacing w:line="240" w:lineRule="exact"/>
              <w:jc w:val="center"/>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(自有/</w:t>
            </w:r>
          </w:p>
          <w:p>
            <w:pPr>
              <w:spacing w:line="240" w:lineRule="exact"/>
              <w:jc w:val="center"/>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租赁)</w:t>
            </w:r>
          </w:p>
        </w:tc>
        <w:tc>
          <w:tcPr>
            <w:tcW w:w="154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6" w:hRule="atLeast"/>
          <w:jc w:val="center"/>
        </w:trPr>
        <w:tc>
          <w:tcPr>
            <w:tcW w:w="79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宋体" w:hAnsi="宋体" w:eastAsia="宋体" w:cs="宋体"/>
                <w:color w:val="auto"/>
                <w:szCs w:val="21"/>
                <w:highlight w:val="none"/>
              </w:rPr>
            </w:pPr>
          </w:p>
        </w:tc>
        <w:tc>
          <w:tcPr>
            <w:tcW w:w="285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宋体" w:hAnsi="宋体" w:eastAsia="宋体" w:cs="宋体"/>
                <w:color w:val="auto"/>
                <w:szCs w:val="21"/>
                <w:highlight w:val="none"/>
              </w:rPr>
            </w:pPr>
          </w:p>
        </w:tc>
        <w:tc>
          <w:tcPr>
            <w:tcW w:w="20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宋体" w:hAnsi="宋体" w:eastAsia="宋体" w:cs="宋体"/>
                <w:color w:val="auto"/>
                <w:szCs w:val="21"/>
                <w:highlight w:val="none"/>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宋体" w:hAnsi="宋体" w:eastAsia="宋体" w:cs="宋体"/>
                <w:color w:val="auto"/>
                <w:szCs w:val="21"/>
                <w:highlight w:val="none"/>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6" w:hRule="atLeast"/>
          <w:jc w:val="center"/>
        </w:trPr>
        <w:tc>
          <w:tcPr>
            <w:tcW w:w="79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宋体" w:hAnsi="宋体" w:eastAsia="宋体" w:cs="宋体"/>
                <w:color w:val="auto"/>
                <w:szCs w:val="21"/>
                <w:highlight w:val="none"/>
              </w:rPr>
            </w:pPr>
          </w:p>
        </w:tc>
        <w:tc>
          <w:tcPr>
            <w:tcW w:w="285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宋体" w:hAnsi="宋体" w:eastAsia="宋体" w:cs="宋体"/>
                <w:color w:val="auto"/>
                <w:szCs w:val="21"/>
                <w:highlight w:val="none"/>
              </w:rPr>
            </w:pPr>
          </w:p>
        </w:tc>
        <w:tc>
          <w:tcPr>
            <w:tcW w:w="20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宋体" w:hAnsi="宋体" w:eastAsia="宋体" w:cs="宋体"/>
                <w:color w:val="auto"/>
                <w:szCs w:val="21"/>
                <w:highlight w:val="none"/>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宋体" w:hAnsi="宋体" w:eastAsia="宋体" w:cs="宋体"/>
                <w:color w:val="auto"/>
                <w:szCs w:val="21"/>
                <w:highlight w:val="none"/>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6" w:hRule="atLeast"/>
          <w:jc w:val="center"/>
        </w:trPr>
        <w:tc>
          <w:tcPr>
            <w:tcW w:w="79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宋体" w:hAnsi="宋体" w:eastAsia="宋体" w:cs="宋体"/>
                <w:color w:val="auto"/>
                <w:szCs w:val="21"/>
                <w:highlight w:val="none"/>
              </w:rPr>
            </w:pPr>
          </w:p>
        </w:tc>
        <w:tc>
          <w:tcPr>
            <w:tcW w:w="285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宋体" w:hAnsi="宋体" w:eastAsia="宋体" w:cs="宋体"/>
                <w:color w:val="auto"/>
                <w:szCs w:val="21"/>
                <w:highlight w:val="none"/>
              </w:rPr>
            </w:pPr>
          </w:p>
        </w:tc>
        <w:tc>
          <w:tcPr>
            <w:tcW w:w="20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宋体" w:hAnsi="宋体" w:eastAsia="宋体" w:cs="宋体"/>
                <w:color w:val="auto"/>
                <w:szCs w:val="21"/>
                <w:highlight w:val="none"/>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宋体" w:hAnsi="宋体" w:eastAsia="宋体" w:cs="宋体"/>
                <w:color w:val="auto"/>
                <w:szCs w:val="21"/>
                <w:highlight w:val="none"/>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6" w:hRule="atLeast"/>
          <w:jc w:val="center"/>
        </w:trPr>
        <w:tc>
          <w:tcPr>
            <w:tcW w:w="79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宋体" w:hAnsi="宋体" w:eastAsia="宋体" w:cs="宋体"/>
                <w:color w:val="auto"/>
                <w:szCs w:val="21"/>
                <w:highlight w:val="none"/>
              </w:rPr>
            </w:pPr>
          </w:p>
        </w:tc>
        <w:tc>
          <w:tcPr>
            <w:tcW w:w="285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宋体" w:hAnsi="宋体" w:eastAsia="宋体" w:cs="宋体"/>
                <w:color w:val="auto"/>
                <w:szCs w:val="21"/>
                <w:highlight w:val="none"/>
              </w:rPr>
            </w:pPr>
          </w:p>
        </w:tc>
        <w:tc>
          <w:tcPr>
            <w:tcW w:w="20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宋体" w:hAnsi="宋体" w:eastAsia="宋体" w:cs="宋体"/>
                <w:color w:val="auto"/>
                <w:szCs w:val="21"/>
                <w:highlight w:val="none"/>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宋体" w:hAnsi="宋体" w:eastAsia="宋体" w:cs="宋体"/>
                <w:color w:val="auto"/>
                <w:szCs w:val="21"/>
                <w:highlight w:val="none"/>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6" w:hRule="atLeast"/>
          <w:jc w:val="center"/>
        </w:trPr>
        <w:tc>
          <w:tcPr>
            <w:tcW w:w="79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宋体" w:hAnsi="宋体" w:eastAsia="宋体" w:cs="宋体"/>
                <w:color w:val="auto"/>
                <w:szCs w:val="21"/>
                <w:highlight w:val="none"/>
              </w:rPr>
            </w:pPr>
          </w:p>
        </w:tc>
        <w:tc>
          <w:tcPr>
            <w:tcW w:w="285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宋体" w:hAnsi="宋体" w:eastAsia="宋体" w:cs="宋体"/>
                <w:color w:val="auto"/>
                <w:szCs w:val="21"/>
                <w:highlight w:val="none"/>
              </w:rPr>
            </w:pPr>
          </w:p>
        </w:tc>
        <w:tc>
          <w:tcPr>
            <w:tcW w:w="20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宋体" w:hAnsi="宋体" w:eastAsia="宋体" w:cs="宋体"/>
                <w:color w:val="auto"/>
                <w:szCs w:val="21"/>
                <w:highlight w:val="none"/>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宋体" w:hAnsi="宋体" w:eastAsia="宋体" w:cs="宋体"/>
                <w:color w:val="auto"/>
                <w:szCs w:val="21"/>
                <w:highlight w:val="none"/>
              </w:rPr>
            </w:pPr>
          </w:p>
        </w:tc>
        <w:tc>
          <w:tcPr>
            <w:tcW w:w="1545" w:type="dxa"/>
            <w:tcBorders>
              <w:top w:val="single" w:color="auto" w:sz="4" w:space="0"/>
              <w:left w:val="single" w:color="auto" w:sz="4" w:space="0"/>
              <w:right w:val="single" w:color="auto" w:sz="4" w:space="0"/>
            </w:tcBorders>
            <w:noWrap w:val="0"/>
            <w:vAlign w:val="center"/>
          </w:tcPr>
          <w:p>
            <w:pPr>
              <w:spacing w:line="240" w:lineRule="exact"/>
              <w:jc w:val="center"/>
              <w:textAlignment w:val="center"/>
              <w:rPr>
                <w:rFonts w:hint="eastAsia" w:ascii="宋体" w:hAnsi="宋体" w:eastAsia="宋体" w:cs="宋体"/>
                <w:color w:val="auto"/>
                <w:szCs w:val="21"/>
                <w:highlight w:val="none"/>
              </w:rPr>
            </w:pPr>
          </w:p>
        </w:tc>
      </w:tr>
    </w:tbl>
    <w:p>
      <w:pPr>
        <w:tabs>
          <w:tab w:val="left" w:pos="720"/>
        </w:tabs>
        <w:snapToGrid w:val="0"/>
        <w:spacing w:line="360" w:lineRule="auto"/>
        <w:rPr>
          <w:rFonts w:hint="eastAsia" w:ascii="宋体" w:hAnsi="宋体" w:eastAsia="宋体" w:cs="宋体"/>
          <w:color w:val="auto"/>
          <w:highlight w:val="none"/>
        </w:rPr>
      </w:pPr>
    </w:p>
    <w:p>
      <w:pPr>
        <w:numPr>
          <w:ilvl w:val="-1"/>
          <w:numId w:val="0"/>
        </w:numPr>
        <w:tabs>
          <w:tab w:val="left" w:pos="720"/>
        </w:tabs>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注：</w:t>
      </w:r>
    </w:p>
    <w:p>
      <w:pPr>
        <w:numPr>
          <w:ilvl w:val="-1"/>
          <w:numId w:val="0"/>
        </w:numPr>
        <w:tabs>
          <w:tab w:val="left" w:pos="720"/>
        </w:tabs>
        <w:snapToGrid w:val="0"/>
        <w:spacing w:line="360" w:lineRule="auto"/>
        <w:ind w:firstLine="0" w:firstLineChars="0"/>
        <w:rPr>
          <w:rFonts w:hint="eastAsia" w:ascii="宋体" w:hAnsi="宋体" w:eastAsia="宋体" w:cs="宋体"/>
          <w:color w:val="auto"/>
          <w:highlight w:val="none"/>
        </w:rPr>
      </w:pPr>
      <w:r>
        <w:rPr>
          <w:rFonts w:hint="eastAsia" w:ascii="宋体" w:hAnsi="宋体"/>
          <w:color w:val="auto"/>
          <w:highlight w:val="none"/>
        </w:rPr>
        <w:t>1、设备名称及要求数量由投标人视本工程具体情况结合招标人对本工程的具体要求自行配备。2、为贯彻绿色发展理念，本项目应积极使用燃料电池汽车等新能源工程车，要求投标人投入的新能源工程车占投入的建筑垃圾自卸车（渣土车）总数比例不低于40%。一旦中标，必须全部到位，否则按合同违约处理</w:t>
      </w:r>
      <w:r>
        <w:rPr>
          <w:rFonts w:hint="eastAsia" w:ascii="宋体" w:hAnsi="宋体" w:eastAsia="宋体" w:cs="宋体"/>
          <w:color w:val="auto"/>
          <w:sz w:val="24"/>
          <w:szCs w:val="24"/>
          <w:highlight w:val="none"/>
        </w:rPr>
        <w:t>。</w:t>
      </w:r>
    </w:p>
    <w:p>
      <w:pPr>
        <w:ind w:right="-130" w:rightChars="-62"/>
        <w:rPr>
          <w:rFonts w:hint="eastAsia" w:ascii="宋体" w:hAnsi="宋体" w:eastAsia="宋体" w:cs="宋体"/>
          <w:color w:val="auto"/>
          <w:highlight w:val="none"/>
        </w:rPr>
      </w:pPr>
    </w:p>
    <w:p>
      <w:pPr>
        <w:topLinePunct/>
        <w:adjustRightInd w:val="0"/>
        <w:snapToGrid w:val="0"/>
        <w:spacing w:line="360" w:lineRule="auto"/>
        <w:ind w:firstLine="3161" w:firstLineChars="1450"/>
        <w:rPr>
          <w:rFonts w:hint="eastAsia" w:ascii="宋体" w:hAnsi="宋体" w:eastAsia="宋体" w:cs="宋体"/>
          <w:snapToGrid w:val="0"/>
          <w:color w:val="auto"/>
          <w:spacing w:val="4"/>
          <w:kern w:val="0"/>
          <w:szCs w:val="21"/>
          <w:highlight w:val="none"/>
        </w:rPr>
      </w:pPr>
    </w:p>
    <w:p>
      <w:pPr>
        <w:topLinePunct/>
        <w:adjustRightInd w:val="0"/>
        <w:snapToGrid w:val="0"/>
        <w:spacing w:line="360" w:lineRule="auto"/>
        <w:ind w:firstLine="3161" w:firstLineChars="1450"/>
        <w:rPr>
          <w:rFonts w:hint="eastAsia" w:ascii="宋体" w:hAnsi="宋体" w:eastAsia="宋体" w:cs="宋体"/>
          <w:snapToGrid w:val="0"/>
          <w:color w:val="auto"/>
          <w:spacing w:val="4"/>
          <w:kern w:val="0"/>
          <w:szCs w:val="21"/>
          <w:highlight w:val="none"/>
        </w:rPr>
      </w:pPr>
      <w:r>
        <w:rPr>
          <w:rFonts w:hint="eastAsia" w:ascii="宋体" w:hAnsi="宋体" w:eastAsia="宋体" w:cs="宋体"/>
          <w:snapToGrid w:val="0"/>
          <w:color w:val="auto"/>
          <w:spacing w:val="4"/>
          <w:kern w:val="0"/>
          <w:szCs w:val="21"/>
          <w:highlight w:val="none"/>
        </w:rPr>
        <w:t>投标人（盖章）：　　</w:t>
      </w:r>
    </w:p>
    <w:p>
      <w:pPr>
        <w:topLinePunct/>
        <w:adjustRightInd w:val="0"/>
        <w:snapToGrid w:val="0"/>
        <w:spacing w:line="360" w:lineRule="auto"/>
        <w:ind w:firstLine="3161" w:firstLineChars="1450"/>
        <w:rPr>
          <w:rFonts w:hint="eastAsia" w:ascii="宋体" w:hAnsi="宋体" w:eastAsia="宋体" w:cs="宋体"/>
          <w:snapToGrid w:val="0"/>
          <w:color w:val="auto"/>
          <w:spacing w:val="4"/>
          <w:kern w:val="0"/>
          <w:szCs w:val="21"/>
          <w:highlight w:val="none"/>
        </w:rPr>
      </w:pPr>
      <w:r>
        <w:rPr>
          <w:rFonts w:hint="eastAsia" w:ascii="宋体" w:hAnsi="宋体" w:eastAsia="宋体" w:cs="宋体"/>
          <w:snapToGrid w:val="0"/>
          <w:color w:val="auto"/>
          <w:spacing w:val="4"/>
          <w:kern w:val="0"/>
          <w:szCs w:val="21"/>
          <w:highlight w:val="none"/>
        </w:rPr>
        <w:t>法定代表人或授权代理人（签字或盖章）：</w:t>
      </w:r>
    </w:p>
    <w:p>
      <w:pPr>
        <w:topLinePunct/>
        <w:adjustRightInd w:val="0"/>
        <w:snapToGrid w:val="0"/>
        <w:spacing w:line="360" w:lineRule="auto"/>
        <w:ind w:firstLine="3161" w:firstLineChars="1450"/>
        <w:rPr>
          <w:rFonts w:hint="eastAsia" w:ascii="宋体" w:hAnsi="宋体" w:eastAsia="宋体" w:cs="宋体"/>
          <w:snapToGrid w:val="0"/>
          <w:color w:val="auto"/>
          <w:spacing w:val="4"/>
          <w:kern w:val="0"/>
          <w:szCs w:val="21"/>
          <w:highlight w:val="none"/>
        </w:rPr>
      </w:pPr>
      <w:r>
        <w:rPr>
          <w:rFonts w:hint="eastAsia" w:ascii="宋体" w:hAnsi="宋体" w:eastAsia="宋体" w:cs="宋体"/>
          <w:snapToGrid w:val="0"/>
          <w:color w:val="auto"/>
          <w:spacing w:val="4"/>
          <w:kern w:val="0"/>
          <w:szCs w:val="21"/>
          <w:highlight w:val="none"/>
        </w:rPr>
        <w:t>日期：  年  月  日</w:t>
      </w:r>
    </w:p>
    <w:p>
      <w:pPr>
        <w:ind w:right="-130" w:rightChars="-62"/>
        <w:rPr>
          <w:rFonts w:hint="eastAsia" w:ascii="宋体" w:hAnsi="宋体" w:eastAsia="宋体" w:cs="宋体"/>
          <w:color w:val="auto"/>
          <w:highlight w:val="none"/>
        </w:rPr>
      </w:pPr>
    </w:p>
    <w:p>
      <w:pPr>
        <w:ind w:right="-130" w:rightChars="-62"/>
        <w:rPr>
          <w:rFonts w:hint="eastAsia" w:ascii="宋体" w:hAnsi="宋体" w:eastAsia="宋体" w:cs="宋体"/>
          <w:color w:val="auto"/>
          <w:highlight w:val="none"/>
        </w:rPr>
      </w:pPr>
    </w:p>
    <w:p>
      <w:pPr>
        <w:ind w:right="-130" w:rightChars="-62"/>
        <w:rPr>
          <w:rFonts w:hint="eastAsia" w:ascii="宋体" w:hAnsi="宋体" w:eastAsia="宋体" w:cs="宋体"/>
          <w:color w:val="auto"/>
          <w:highlight w:val="none"/>
        </w:rPr>
      </w:pPr>
    </w:p>
    <w:p>
      <w:pPr>
        <w:pStyle w:val="2"/>
        <w:rPr>
          <w:rFonts w:hint="eastAsia"/>
          <w:color w:val="auto"/>
          <w:highlight w:val="none"/>
        </w:rPr>
      </w:pPr>
    </w:p>
    <w:p>
      <w:pPr>
        <w:ind w:right="-130" w:rightChars="-62"/>
        <w:rPr>
          <w:rFonts w:hint="eastAsia" w:ascii="宋体" w:hAnsi="宋体" w:eastAsia="宋体" w:cs="宋体"/>
          <w:color w:val="auto"/>
          <w:highlight w:val="none"/>
        </w:rPr>
      </w:pPr>
    </w:p>
    <w:p>
      <w:pPr>
        <w:ind w:right="-130" w:rightChars="-62"/>
        <w:rPr>
          <w:rFonts w:hint="eastAsia" w:ascii="宋体" w:hAnsi="宋体" w:eastAsia="宋体" w:cs="宋体"/>
          <w:color w:val="auto"/>
          <w:highlight w:val="none"/>
        </w:rPr>
      </w:pPr>
    </w:p>
    <w:p>
      <w:pPr>
        <w:ind w:right="-130" w:rightChars="-62"/>
        <w:rPr>
          <w:rFonts w:hint="eastAsia" w:ascii="宋体" w:hAnsi="宋体" w:eastAsia="宋体" w:cs="宋体"/>
          <w:color w:val="auto"/>
          <w:highlight w:val="none"/>
        </w:rPr>
      </w:pPr>
    </w:p>
    <w:p>
      <w:pPr>
        <w:keepNext/>
        <w:keepLines/>
        <w:numPr>
          <w:ilvl w:val="1"/>
          <w:numId w:val="0"/>
        </w:numPr>
        <w:spacing w:before="120" w:after="120" w:line="360" w:lineRule="auto"/>
        <w:outlineLvl w:val="1"/>
        <w:rPr>
          <w:rFonts w:hint="eastAsia" w:ascii="宋体" w:hAnsi="宋体" w:eastAsia="宋体" w:cs="宋体"/>
          <w:b w:val="0"/>
          <w:bCs/>
          <w:color w:val="auto"/>
          <w:kern w:val="0"/>
          <w:sz w:val="24"/>
          <w:szCs w:val="24"/>
          <w:highlight w:val="none"/>
        </w:rPr>
      </w:pPr>
      <w:bookmarkStart w:id="41" w:name="_Toc22483"/>
      <w:r>
        <w:rPr>
          <w:rFonts w:hint="eastAsia" w:ascii="宋体" w:hAnsi="宋体" w:eastAsia="宋体" w:cs="宋体"/>
          <w:b w:val="0"/>
          <w:bCs/>
          <w:color w:val="auto"/>
          <w:kern w:val="0"/>
          <w:sz w:val="24"/>
          <w:szCs w:val="24"/>
          <w:highlight w:val="none"/>
        </w:rPr>
        <w:t>技术标格式十</w:t>
      </w:r>
      <w:r>
        <w:rPr>
          <w:rFonts w:hint="eastAsia" w:ascii="宋体" w:hAnsi="宋体" w:cs="宋体"/>
          <w:b w:val="0"/>
          <w:bCs/>
          <w:color w:val="auto"/>
          <w:kern w:val="0"/>
          <w:sz w:val="24"/>
          <w:szCs w:val="24"/>
          <w:highlight w:val="none"/>
          <w:lang w:val="en-US" w:eastAsia="zh-CN"/>
        </w:rPr>
        <w:t>一</w:t>
      </w:r>
      <w:r>
        <w:rPr>
          <w:rFonts w:hint="eastAsia" w:ascii="宋体" w:hAnsi="宋体" w:eastAsia="宋体" w:cs="宋体"/>
          <w:b w:val="0"/>
          <w:bCs/>
          <w:color w:val="auto"/>
          <w:kern w:val="0"/>
          <w:sz w:val="24"/>
          <w:szCs w:val="24"/>
          <w:highlight w:val="none"/>
        </w:rPr>
        <w:t>：</w:t>
      </w:r>
    </w:p>
    <w:p>
      <w:pPr>
        <w:keepNext/>
        <w:keepLines/>
        <w:numPr>
          <w:ilvl w:val="1"/>
          <w:numId w:val="0"/>
        </w:numPr>
        <w:spacing w:before="120" w:after="120" w:line="360" w:lineRule="auto"/>
        <w:jc w:val="center"/>
        <w:outlineLvl w:val="1"/>
        <w:rPr>
          <w:rFonts w:hint="eastAsia" w:ascii="宋体" w:hAnsi="宋体" w:eastAsia="宋体" w:cs="宋体"/>
          <w:color w:val="auto"/>
          <w:highlight w:val="none"/>
        </w:rPr>
      </w:pPr>
      <w:r>
        <w:rPr>
          <w:rFonts w:hint="eastAsia" w:ascii="宋体" w:hAnsi="宋体" w:eastAsia="宋体" w:cs="宋体"/>
          <w:b/>
          <w:color w:val="auto"/>
          <w:kern w:val="0"/>
          <w:sz w:val="24"/>
          <w:szCs w:val="24"/>
          <w:highlight w:val="none"/>
        </w:rPr>
        <w:t>危险性较大的分部分项工程安全管理措施</w:t>
      </w:r>
      <w:bookmarkEnd w:id="41"/>
    </w:p>
    <w:p>
      <w:pPr>
        <w:widowControl/>
        <w:numPr>
          <w:ilvl w:val="0"/>
          <w:numId w:val="7"/>
        </w:numPr>
        <w:autoSpaceDE w:val="0"/>
        <w:autoSpaceDN w:val="0"/>
        <w:adjustRightInd w:val="0"/>
        <w:spacing w:line="360" w:lineRule="auto"/>
        <w:jc w:val="left"/>
        <w:rPr>
          <w:rFonts w:ascii="宋体" w:hAnsi="宋体"/>
          <w:snapToGrid w:val="0"/>
          <w:color w:val="auto"/>
          <w:spacing w:val="4"/>
          <w:kern w:val="0"/>
          <w:sz w:val="24"/>
          <w:szCs w:val="24"/>
          <w:highlight w:val="none"/>
        </w:rPr>
      </w:pPr>
      <w:r>
        <w:rPr>
          <w:rFonts w:hint="eastAsia" w:ascii="宋体" w:hAnsi="宋体"/>
          <w:color w:val="auto"/>
          <w:kern w:val="0"/>
          <w:sz w:val="24"/>
          <w:szCs w:val="28"/>
          <w:highlight w:val="none"/>
        </w:rPr>
        <w:t>根据中华人民共和国住房和城乡建设部令第37号《危险性较大的分部分项工程安全管理规定》（以下简称“37号文”），投标人在投标时须补充完善危大工程清单并</w:t>
      </w:r>
      <w:r>
        <w:rPr>
          <w:rFonts w:hint="eastAsia" w:ascii="宋体" w:hAnsi="宋体"/>
          <w:snapToGrid w:val="0"/>
          <w:color w:val="auto"/>
          <w:spacing w:val="4"/>
          <w:kern w:val="0"/>
          <w:sz w:val="24"/>
          <w:szCs w:val="24"/>
          <w:highlight w:val="none"/>
        </w:rPr>
        <w:t>结合本工程的类型和特点，科学、合理地设置本项目的危险性较大的分部分项工程安全管理措施，危险性较大的分部分项工程安全管理措施由投标人结合招标人对本工程的具体要求自行设定。</w:t>
      </w:r>
    </w:p>
    <w:p>
      <w:pPr>
        <w:widowControl/>
        <w:numPr>
          <w:ilvl w:val="0"/>
          <w:numId w:val="7"/>
        </w:numPr>
        <w:autoSpaceDE w:val="0"/>
        <w:autoSpaceDN w:val="0"/>
        <w:adjustRightInd w:val="0"/>
        <w:spacing w:line="360" w:lineRule="auto"/>
        <w:jc w:val="left"/>
        <w:rPr>
          <w:rFonts w:ascii="宋体" w:hAnsi="宋体"/>
          <w:color w:val="auto"/>
          <w:kern w:val="0"/>
          <w:sz w:val="24"/>
          <w:szCs w:val="28"/>
          <w:highlight w:val="none"/>
        </w:rPr>
      </w:pPr>
      <w:r>
        <w:rPr>
          <w:rFonts w:hint="eastAsia" w:ascii="宋体" w:hAnsi="宋体"/>
          <w:color w:val="auto"/>
          <w:kern w:val="0"/>
          <w:sz w:val="24"/>
          <w:szCs w:val="28"/>
          <w:highlight w:val="none"/>
        </w:rPr>
        <w:t>招标人根据设计文件的要求及37号文的规定列出“危险性较大的分部分项工程清单及超过一定规模的危险性较大的分部分项工程清单”中与本招标项目相关的清单项，具体详第5点“打</w:t>
      </w:r>
      <w:r>
        <w:rPr>
          <w:rFonts w:hint="eastAsia" w:ascii="宋体" w:hAnsi="宋体"/>
          <w:color w:val="auto"/>
          <w:kern w:val="0"/>
          <w:sz w:val="24"/>
          <w:szCs w:val="36"/>
          <w:highlight w:val="none"/>
        </w:rPr>
        <w:t>√”标识。</w:t>
      </w:r>
    </w:p>
    <w:p>
      <w:pPr>
        <w:widowControl/>
        <w:numPr>
          <w:ilvl w:val="0"/>
          <w:numId w:val="8"/>
        </w:numPr>
        <w:autoSpaceDE w:val="0"/>
        <w:autoSpaceDN w:val="0"/>
        <w:adjustRightInd w:val="0"/>
        <w:spacing w:line="360" w:lineRule="auto"/>
        <w:jc w:val="left"/>
        <w:rPr>
          <w:rFonts w:ascii="宋体" w:hAnsi="宋体"/>
          <w:color w:val="auto"/>
          <w:kern w:val="0"/>
          <w:sz w:val="24"/>
          <w:szCs w:val="36"/>
          <w:highlight w:val="none"/>
        </w:rPr>
      </w:pPr>
      <w:r>
        <w:rPr>
          <w:rFonts w:hint="eastAsia" w:ascii="宋体" w:hAnsi="宋体"/>
          <w:color w:val="auto"/>
          <w:kern w:val="0"/>
          <w:sz w:val="24"/>
          <w:szCs w:val="28"/>
          <w:highlight w:val="none"/>
        </w:rPr>
        <w:t>投标单位同意建设单位在清单中标识的该项请在对应项打“</w:t>
      </w:r>
      <w:r>
        <w:rPr>
          <w:rFonts w:hint="eastAsia" w:ascii="宋体" w:hAnsi="宋体"/>
          <w:color w:val="auto"/>
          <w:kern w:val="0"/>
          <w:sz w:val="24"/>
          <w:szCs w:val="36"/>
          <w:highlight w:val="none"/>
        </w:rPr>
        <w:t>√”标识，并在投标文件中提供相应的安全管理措施。</w:t>
      </w:r>
    </w:p>
    <w:p>
      <w:pPr>
        <w:widowControl/>
        <w:numPr>
          <w:ilvl w:val="0"/>
          <w:numId w:val="8"/>
        </w:numPr>
        <w:autoSpaceDE w:val="0"/>
        <w:autoSpaceDN w:val="0"/>
        <w:adjustRightInd w:val="0"/>
        <w:spacing w:line="360" w:lineRule="auto"/>
        <w:jc w:val="left"/>
        <w:rPr>
          <w:rFonts w:ascii="宋体" w:hAnsi="宋体"/>
          <w:color w:val="auto"/>
          <w:kern w:val="0"/>
          <w:sz w:val="24"/>
          <w:szCs w:val="36"/>
          <w:highlight w:val="none"/>
        </w:rPr>
      </w:pPr>
      <w:r>
        <w:rPr>
          <w:rFonts w:hint="eastAsia" w:ascii="宋体" w:hAnsi="宋体"/>
          <w:color w:val="auto"/>
          <w:kern w:val="0"/>
          <w:sz w:val="24"/>
          <w:szCs w:val="28"/>
          <w:highlight w:val="none"/>
        </w:rPr>
        <w:t>投标单位对清单中认为需要补充的该项请在对应项打“</w:t>
      </w:r>
      <w:r>
        <w:rPr>
          <w:rFonts w:hint="eastAsia" w:ascii="宋体" w:hAnsi="宋体"/>
          <w:color w:val="auto"/>
          <w:kern w:val="0"/>
          <w:sz w:val="24"/>
          <w:szCs w:val="36"/>
          <w:highlight w:val="none"/>
        </w:rPr>
        <w:t>√”标识，并在投标文件中提供相应的安全管理措施。</w:t>
      </w:r>
    </w:p>
    <w:p>
      <w:pPr>
        <w:widowControl/>
        <w:numPr>
          <w:ilvl w:val="0"/>
          <w:numId w:val="8"/>
        </w:numPr>
        <w:autoSpaceDE w:val="0"/>
        <w:autoSpaceDN w:val="0"/>
        <w:adjustRightInd w:val="0"/>
        <w:spacing w:line="360" w:lineRule="auto"/>
        <w:jc w:val="left"/>
        <w:rPr>
          <w:rFonts w:ascii="宋体" w:hAnsi="宋体"/>
          <w:color w:val="auto"/>
          <w:kern w:val="0"/>
          <w:sz w:val="24"/>
          <w:szCs w:val="28"/>
          <w:highlight w:val="none"/>
        </w:rPr>
      </w:pPr>
      <w:r>
        <w:rPr>
          <w:rFonts w:hint="eastAsia" w:ascii="宋体" w:hAnsi="宋体"/>
          <w:color w:val="auto"/>
          <w:kern w:val="0"/>
          <w:sz w:val="24"/>
          <w:szCs w:val="36"/>
          <w:highlight w:val="none"/>
        </w:rPr>
        <w:t>投标单位不同意建设单位</w:t>
      </w:r>
      <w:r>
        <w:rPr>
          <w:rFonts w:hint="eastAsia" w:ascii="宋体" w:hAnsi="宋体"/>
          <w:color w:val="auto"/>
          <w:kern w:val="0"/>
          <w:sz w:val="24"/>
          <w:szCs w:val="28"/>
          <w:highlight w:val="none"/>
        </w:rPr>
        <w:t>在清单中标识的该项</w:t>
      </w:r>
      <w:r>
        <w:rPr>
          <w:rFonts w:hint="eastAsia" w:ascii="宋体" w:hAnsi="宋体"/>
          <w:color w:val="auto"/>
          <w:kern w:val="0"/>
          <w:sz w:val="24"/>
          <w:szCs w:val="36"/>
          <w:highlight w:val="none"/>
        </w:rPr>
        <w:t>请在对应项打“×”标识，并在备注栏填上相关说明。</w:t>
      </w:r>
    </w:p>
    <w:p>
      <w:pPr>
        <w:widowControl/>
        <w:numPr>
          <w:ilvl w:val="0"/>
          <w:numId w:val="7"/>
        </w:numPr>
        <w:autoSpaceDE w:val="0"/>
        <w:autoSpaceDN w:val="0"/>
        <w:adjustRightInd w:val="0"/>
        <w:spacing w:line="360" w:lineRule="auto"/>
        <w:jc w:val="left"/>
        <w:rPr>
          <w:rFonts w:ascii="宋体" w:hAnsi="宋体"/>
          <w:color w:val="auto"/>
          <w:kern w:val="0"/>
          <w:sz w:val="24"/>
          <w:szCs w:val="28"/>
          <w:highlight w:val="none"/>
        </w:rPr>
      </w:pPr>
      <w:r>
        <w:rPr>
          <w:rFonts w:hint="eastAsia" w:ascii="宋体" w:hAnsi="宋体"/>
          <w:color w:val="auto"/>
          <w:kern w:val="0"/>
          <w:sz w:val="24"/>
          <w:szCs w:val="28"/>
          <w:highlight w:val="none"/>
        </w:rPr>
        <w:t>投标单位应当在投标时根据招标人提供的下述第5点清单，在投标文件中编制专项施工方案。</w:t>
      </w:r>
    </w:p>
    <w:p>
      <w:pPr>
        <w:widowControl/>
        <w:numPr>
          <w:ilvl w:val="0"/>
          <w:numId w:val="7"/>
        </w:numPr>
        <w:autoSpaceDE w:val="0"/>
        <w:autoSpaceDN w:val="0"/>
        <w:adjustRightInd w:val="0"/>
        <w:spacing w:line="360" w:lineRule="auto"/>
        <w:jc w:val="left"/>
        <w:rPr>
          <w:rFonts w:ascii="宋体" w:hAnsi="宋体"/>
          <w:color w:val="auto"/>
          <w:kern w:val="0"/>
          <w:sz w:val="24"/>
          <w:szCs w:val="28"/>
          <w:highlight w:val="none"/>
        </w:rPr>
      </w:pPr>
      <w:r>
        <w:rPr>
          <w:rFonts w:hint="eastAsia" w:ascii="宋体" w:hAnsi="宋体"/>
          <w:color w:val="auto"/>
          <w:kern w:val="0"/>
          <w:sz w:val="24"/>
          <w:szCs w:val="28"/>
          <w:highlight w:val="none"/>
        </w:rPr>
        <w:t>对于超过一定规模的危大工程，中标单位应当组织召开专家论证会对专项施工方案进行论证。实行施工总承包的，由施工总承包单位组织召开专家论证会。专家论证前专项施工方案应当通过施工总承包单位审核和总监理工程师审查。</w:t>
      </w:r>
    </w:p>
    <w:p>
      <w:pPr>
        <w:numPr>
          <w:ilvl w:val="0"/>
          <w:numId w:val="0"/>
        </w:numPr>
        <w:autoSpaceDE w:val="0"/>
        <w:autoSpaceDN w:val="0"/>
        <w:adjustRightInd w:val="0"/>
        <w:spacing w:line="360" w:lineRule="auto"/>
        <w:ind w:leftChars="0"/>
        <w:jc w:val="left"/>
        <w:rPr>
          <w:rFonts w:hint="eastAsia" w:ascii="宋体" w:hAnsi="宋体" w:eastAsia="宋体" w:cs="宋体"/>
          <w:color w:val="auto"/>
          <w:sz w:val="24"/>
          <w:szCs w:val="28"/>
          <w:highlight w:val="none"/>
        </w:rPr>
      </w:pPr>
      <w:r>
        <w:rPr>
          <w:rFonts w:hint="eastAsia" w:ascii="宋体" w:hAnsi="宋体"/>
          <w:color w:val="auto"/>
          <w:kern w:val="0"/>
          <w:sz w:val="24"/>
          <w:szCs w:val="28"/>
          <w:highlight w:val="none"/>
          <w:lang w:val="en-US" w:eastAsia="zh-CN"/>
        </w:rPr>
        <w:t>5、</w:t>
      </w:r>
      <w:r>
        <w:rPr>
          <w:rFonts w:hint="eastAsia" w:ascii="宋体" w:hAnsi="宋体"/>
          <w:color w:val="auto"/>
          <w:kern w:val="0"/>
          <w:sz w:val="24"/>
          <w:szCs w:val="28"/>
          <w:highlight w:val="none"/>
        </w:rPr>
        <w:t>危险性较大的分部分项工程清单及超过一定规模的危险性较大的分部分项工程清单</w:t>
      </w:r>
      <w:r>
        <w:rPr>
          <w:rFonts w:hint="eastAsia" w:ascii="宋体" w:hAnsi="宋体" w:eastAsia="宋体" w:cs="宋体"/>
          <w:color w:val="auto"/>
          <w:sz w:val="24"/>
          <w:szCs w:val="28"/>
          <w:highlight w:val="none"/>
        </w:rPr>
        <w:t>：</w:t>
      </w:r>
    </w:p>
    <w:p>
      <w:pPr>
        <w:autoSpaceDE w:val="0"/>
        <w:autoSpaceDN w:val="0"/>
        <w:adjustRightInd w:val="0"/>
        <w:spacing w:line="360" w:lineRule="auto"/>
        <w:jc w:val="left"/>
        <w:rPr>
          <w:rFonts w:hint="eastAsia" w:ascii="宋体" w:hAnsi="宋体" w:eastAsia="宋体" w:cs="宋体"/>
          <w:color w:val="auto"/>
          <w:sz w:val="24"/>
          <w:szCs w:val="28"/>
          <w:highlight w:val="none"/>
        </w:rPr>
      </w:pPr>
    </w:p>
    <w:p>
      <w:pPr>
        <w:pStyle w:val="6"/>
        <w:rPr>
          <w:rFonts w:hint="eastAsia" w:ascii="宋体" w:hAnsi="宋体" w:eastAsia="宋体" w:cs="宋体"/>
          <w:color w:val="auto"/>
          <w:sz w:val="24"/>
          <w:szCs w:val="28"/>
          <w:highlight w:val="none"/>
        </w:rPr>
      </w:pPr>
    </w:p>
    <w:p>
      <w:pPr>
        <w:pStyle w:val="6"/>
        <w:rPr>
          <w:rFonts w:hint="eastAsia" w:ascii="宋体" w:hAnsi="宋体" w:eastAsia="宋体" w:cs="宋体"/>
          <w:color w:val="auto"/>
          <w:sz w:val="24"/>
          <w:szCs w:val="28"/>
          <w:highlight w:val="none"/>
        </w:rPr>
      </w:pPr>
    </w:p>
    <w:p>
      <w:pPr>
        <w:pStyle w:val="6"/>
        <w:rPr>
          <w:rFonts w:hint="eastAsia" w:ascii="宋体" w:hAnsi="宋体" w:eastAsia="宋体" w:cs="宋体"/>
          <w:color w:val="auto"/>
          <w:sz w:val="24"/>
          <w:szCs w:val="28"/>
          <w:highlight w:val="none"/>
        </w:rPr>
      </w:pPr>
    </w:p>
    <w:p>
      <w:pPr>
        <w:pStyle w:val="6"/>
        <w:rPr>
          <w:rFonts w:hint="eastAsia" w:ascii="宋体" w:hAnsi="宋体" w:eastAsia="宋体" w:cs="宋体"/>
          <w:color w:val="auto"/>
          <w:sz w:val="24"/>
          <w:szCs w:val="28"/>
          <w:highlight w:val="none"/>
        </w:rPr>
      </w:pPr>
    </w:p>
    <w:p>
      <w:pPr>
        <w:pStyle w:val="6"/>
        <w:rPr>
          <w:rFonts w:hint="eastAsia" w:ascii="宋体" w:hAnsi="宋体" w:eastAsia="宋体" w:cs="宋体"/>
          <w:color w:val="auto"/>
          <w:sz w:val="24"/>
          <w:szCs w:val="28"/>
          <w:highlight w:val="none"/>
        </w:rPr>
      </w:pPr>
    </w:p>
    <w:p>
      <w:pPr>
        <w:pStyle w:val="6"/>
        <w:rPr>
          <w:rFonts w:hint="eastAsia" w:ascii="宋体" w:hAnsi="宋体" w:eastAsia="宋体" w:cs="宋体"/>
          <w:color w:val="auto"/>
          <w:sz w:val="24"/>
          <w:szCs w:val="28"/>
          <w:highlight w:val="none"/>
        </w:rPr>
      </w:pPr>
    </w:p>
    <w:p>
      <w:pPr>
        <w:pStyle w:val="6"/>
        <w:rPr>
          <w:rFonts w:hint="eastAsia" w:ascii="宋体" w:hAnsi="宋体" w:eastAsia="宋体" w:cs="宋体"/>
          <w:color w:val="auto"/>
          <w:sz w:val="24"/>
          <w:szCs w:val="28"/>
          <w:highlight w:val="none"/>
        </w:rPr>
      </w:pPr>
    </w:p>
    <w:p>
      <w:pPr>
        <w:pStyle w:val="6"/>
        <w:rPr>
          <w:rFonts w:hint="eastAsia" w:ascii="宋体" w:hAnsi="宋体" w:eastAsia="宋体" w:cs="宋体"/>
          <w:color w:val="auto"/>
          <w:sz w:val="24"/>
          <w:szCs w:val="28"/>
          <w:highlight w:val="none"/>
        </w:rPr>
      </w:pPr>
    </w:p>
    <w:p>
      <w:pPr>
        <w:pStyle w:val="6"/>
        <w:rPr>
          <w:rFonts w:hint="eastAsia" w:ascii="宋体" w:hAnsi="宋体" w:eastAsia="宋体" w:cs="宋体"/>
          <w:color w:val="auto"/>
          <w:sz w:val="24"/>
          <w:szCs w:val="28"/>
          <w:highlight w:val="none"/>
        </w:rPr>
      </w:pPr>
    </w:p>
    <w:p>
      <w:pPr>
        <w:pStyle w:val="6"/>
        <w:rPr>
          <w:rFonts w:hint="eastAsia" w:ascii="宋体" w:hAnsi="宋体" w:eastAsia="宋体" w:cs="宋体"/>
          <w:color w:val="auto"/>
          <w:sz w:val="24"/>
          <w:szCs w:val="28"/>
          <w:highlight w:val="none"/>
        </w:rPr>
      </w:pPr>
    </w:p>
    <w:p>
      <w:pPr>
        <w:pStyle w:val="6"/>
        <w:rPr>
          <w:rFonts w:hint="eastAsia" w:ascii="宋体" w:hAnsi="宋体" w:eastAsia="宋体" w:cs="宋体"/>
          <w:color w:val="auto"/>
          <w:sz w:val="24"/>
          <w:szCs w:val="28"/>
          <w:highlight w:val="none"/>
        </w:rPr>
      </w:pPr>
    </w:p>
    <w:p>
      <w:pPr>
        <w:pStyle w:val="6"/>
        <w:rPr>
          <w:rFonts w:hint="eastAsia" w:ascii="宋体" w:hAnsi="宋体" w:eastAsia="宋体" w:cs="宋体"/>
          <w:color w:val="auto"/>
          <w:sz w:val="24"/>
          <w:szCs w:val="28"/>
          <w:highlight w:val="none"/>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9"/>
        <w:gridCol w:w="1353"/>
        <w:gridCol w:w="1353"/>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noWrap w:val="0"/>
            <w:vAlign w:val="center"/>
          </w:tcPr>
          <w:p>
            <w:pPr>
              <w:widowControl/>
              <w:jc w:val="center"/>
              <w:rPr>
                <w:rFonts w:ascii="宋体" w:hAnsi="宋体"/>
                <w:b/>
                <w:color w:val="auto"/>
                <w:kern w:val="0"/>
                <w:sz w:val="24"/>
                <w:szCs w:val="20"/>
                <w:highlight w:val="none"/>
              </w:rPr>
            </w:pPr>
            <w:r>
              <w:rPr>
                <w:rFonts w:hint="eastAsia" w:ascii="宋体" w:hAnsi="宋体"/>
                <w:b/>
                <w:color w:val="auto"/>
                <w:kern w:val="0"/>
                <w:sz w:val="24"/>
                <w:szCs w:val="20"/>
                <w:highlight w:val="none"/>
              </w:rPr>
              <w:t>一、危险性较大的分部分项工程清单</w:t>
            </w:r>
          </w:p>
        </w:tc>
        <w:tc>
          <w:tcPr>
            <w:tcW w:w="1353" w:type="dxa"/>
            <w:noWrap w:val="0"/>
            <w:vAlign w:val="center"/>
          </w:tcPr>
          <w:p>
            <w:pPr>
              <w:widowControl/>
              <w:jc w:val="center"/>
              <w:rPr>
                <w:rFonts w:ascii="宋体" w:hAnsi="宋体"/>
                <w:color w:val="auto"/>
                <w:kern w:val="0"/>
                <w:sz w:val="24"/>
                <w:szCs w:val="36"/>
                <w:highlight w:val="none"/>
              </w:rPr>
            </w:pPr>
            <w:r>
              <w:rPr>
                <w:rFonts w:hint="eastAsia" w:ascii="宋体" w:hAnsi="宋体"/>
                <w:color w:val="auto"/>
                <w:kern w:val="0"/>
                <w:sz w:val="24"/>
                <w:szCs w:val="36"/>
                <w:highlight w:val="none"/>
              </w:rPr>
              <w:t>建设单位</w:t>
            </w:r>
          </w:p>
        </w:tc>
        <w:tc>
          <w:tcPr>
            <w:tcW w:w="1353" w:type="dxa"/>
            <w:noWrap w:val="0"/>
            <w:vAlign w:val="center"/>
          </w:tcPr>
          <w:p>
            <w:pPr>
              <w:widowControl/>
              <w:jc w:val="center"/>
              <w:rPr>
                <w:rFonts w:ascii="宋体" w:hAnsi="宋体"/>
                <w:color w:val="auto"/>
                <w:kern w:val="0"/>
                <w:sz w:val="24"/>
                <w:szCs w:val="36"/>
                <w:highlight w:val="none"/>
              </w:rPr>
            </w:pPr>
            <w:r>
              <w:rPr>
                <w:rFonts w:hint="eastAsia" w:ascii="宋体" w:hAnsi="宋体"/>
                <w:color w:val="auto"/>
                <w:kern w:val="0"/>
                <w:sz w:val="24"/>
                <w:szCs w:val="36"/>
                <w:highlight w:val="none"/>
              </w:rPr>
              <w:t>投标单位</w:t>
            </w:r>
          </w:p>
        </w:tc>
        <w:tc>
          <w:tcPr>
            <w:tcW w:w="1057" w:type="dxa"/>
            <w:noWrap w:val="0"/>
            <w:vAlign w:val="center"/>
          </w:tcPr>
          <w:p>
            <w:pPr>
              <w:widowControl/>
              <w:jc w:val="center"/>
              <w:rPr>
                <w:rFonts w:ascii="宋体" w:hAnsi="宋体"/>
                <w:color w:val="auto"/>
                <w:kern w:val="0"/>
                <w:sz w:val="24"/>
                <w:szCs w:val="36"/>
                <w:highlight w:val="none"/>
              </w:rPr>
            </w:pPr>
            <w:r>
              <w:rPr>
                <w:rFonts w:hint="eastAsia" w:ascii="宋体" w:hAnsi="宋体"/>
                <w:color w:val="auto"/>
                <w:kern w:val="0"/>
                <w:sz w:val="24"/>
                <w:szCs w:val="36"/>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noWrap w:val="0"/>
            <w:vAlign w:val="top"/>
          </w:tcPr>
          <w:p>
            <w:pPr>
              <w:widowControl/>
              <w:jc w:val="left"/>
              <w:rPr>
                <w:rFonts w:ascii="宋体" w:hAnsi="宋体"/>
                <w:color w:val="auto"/>
                <w:kern w:val="0"/>
                <w:sz w:val="24"/>
                <w:szCs w:val="20"/>
                <w:highlight w:val="none"/>
              </w:rPr>
            </w:pPr>
            <w:r>
              <w:rPr>
                <w:rFonts w:hint="eastAsia" w:ascii="宋体" w:hAnsi="宋体"/>
                <w:color w:val="auto"/>
                <w:kern w:val="0"/>
                <w:sz w:val="24"/>
                <w:szCs w:val="20"/>
                <w:highlight w:val="none"/>
              </w:rPr>
              <w:t>一、基坑工程</w:t>
            </w:r>
          </w:p>
        </w:tc>
        <w:tc>
          <w:tcPr>
            <w:tcW w:w="1353" w:type="dxa"/>
            <w:noWrap w:val="0"/>
            <w:vAlign w:val="center"/>
          </w:tcPr>
          <w:p>
            <w:pPr>
              <w:widowControl/>
              <w:jc w:val="center"/>
              <w:rPr>
                <w:rFonts w:ascii="宋体" w:hAnsi="宋体"/>
                <w:color w:val="auto"/>
                <w:kern w:val="0"/>
                <w:sz w:val="24"/>
                <w:szCs w:val="36"/>
                <w:highlight w:val="none"/>
              </w:rPr>
            </w:pPr>
          </w:p>
        </w:tc>
        <w:tc>
          <w:tcPr>
            <w:tcW w:w="1353" w:type="dxa"/>
            <w:noWrap w:val="0"/>
            <w:vAlign w:val="center"/>
          </w:tcPr>
          <w:p>
            <w:pPr>
              <w:widowControl/>
              <w:jc w:val="center"/>
              <w:rPr>
                <w:rFonts w:ascii="宋体" w:hAnsi="宋体"/>
                <w:color w:val="auto"/>
                <w:kern w:val="0"/>
                <w:sz w:val="20"/>
                <w:szCs w:val="20"/>
                <w:highlight w:val="none"/>
              </w:rPr>
            </w:pPr>
          </w:p>
        </w:tc>
        <w:tc>
          <w:tcPr>
            <w:tcW w:w="1057" w:type="dxa"/>
            <w:noWrap w:val="0"/>
            <w:vAlign w:val="center"/>
          </w:tcPr>
          <w:p>
            <w:pPr>
              <w:widowControl/>
              <w:jc w:val="center"/>
              <w:rPr>
                <w:rFonts w:ascii="宋体" w:hAnsi="宋体"/>
                <w:color w:val="auto"/>
                <w:kern w:val="0"/>
                <w:sz w:val="24"/>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noWrap w:val="0"/>
            <w:vAlign w:val="top"/>
          </w:tcPr>
          <w:p>
            <w:pPr>
              <w:widowControl/>
              <w:jc w:val="left"/>
              <w:rPr>
                <w:rFonts w:ascii="宋体" w:hAnsi="宋体"/>
                <w:color w:val="auto"/>
                <w:kern w:val="0"/>
                <w:sz w:val="24"/>
                <w:szCs w:val="20"/>
                <w:highlight w:val="none"/>
              </w:rPr>
            </w:pPr>
            <w:r>
              <w:rPr>
                <w:rFonts w:hint="eastAsia" w:ascii="宋体" w:hAnsi="宋体"/>
                <w:color w:val="auto"/>
                <w:kern w:val="0"/>
                <w:sz w:val="24"/>
                <w:szCs w:val="20"/>
                <w:highlight w:val="none"/>
              </w:rPr>
              <w:t>（一）开挖深度超过3m（含3m）的基坑（槽）的土方开挖、支护、降水工程。</w:t>
            </w:r>
          </w:p>
        </w:tc>
        <w:tc>
          <w:tcPr>
            <w:tcW w:w="1353" w:type="dxa"/>
            <w:noWrap w:val="0"/>
            <w:vAlign w:val="center"/>
          </w:tcPr>
          <w:p>
            <w:pPr>
              <w:widowControl/>
              <w:jc w:val="center"/>
              <w:rPr>
                <w:rFonts w:ascii="宋体" w:hAnsi="宋体"/>
                <w:color w:val="auto"/>
                <w:kern w:val="0"/>
                <w:sz w:val="20"/>
                <w:szCs w:val="20"/>
                <w:highlight w:val="none"/>
              </w:rPr>
            </w:pPr>
            <w:r>
              <w:rPr>
                <w:rFonts w:hint="eastAsia" w:ascii="宋体" w:hAnsi="宋体"/>
                <w:color w:val="auto"/>
                <w:kern w:val="0"/>
                <w:sz w:val="24"/>
                <w:szCs w:val="36"/>
                <w:highlight w:val="none"/>
              </w:rPr>
              <w:t>(</w:t>
            </w:r>
            <w:r>
              <w:rPr>
                <w:rFonts w:hint="eastAsia" w:ascii="宋体" w:hAnsi="宋体"/>
                <w:color w:val="auto"/>
                <w:kern w:val="0"/>
                <w:sz w:val="24"/>
                <w:szCs w:val="36"/>
                <w:highlight w:val="none"/>
                <w:lang w:eastAsia="zh-CN"/>
              </w:rPr>
              <w:t xml:space="preserve"> </w:t>
            </w:r>
            <w:r>
              <w:rPr>
                <w:rFonts w:hint="eastAsia" w:ascii="宋体" w:hAnsi="宋体"/>
                <w:color w:val="auto"/>
                <w:kern w:val="0"/>
                <w:sz w:val="24"/>
                <w:szCs w:val="36"/>
                <w:highlight w:val="none"/>
                <w:lang w:val="en-US" w:eastAsia="zh-CN"/>
              </w:rPr>
              <w:t xml:space="preserve"> √  </w:t>
            </w:r>
            <w:r>
              <w:rPr>
                <w:rFonts w:hint="eastAsia" w:ascii="宋体" w:hAnsi="宋体"/>
                <w:color w:val="auto"/>
                <w:kern w:val="0"/>
                <w:sz w:val="24"/>
                <w:szCs w:val="36"/>
                <w:highlight w:val="none"/>
              </w:rPr>
              <w:t>)</w:t>
            </w:r>
          </w:p>
        </w:tc>
        <w:tc>
          <w:tcPr>
            <w:tcW w:w="1353" w:type="dxa"/>
            <w:noWrap w:val="0"/>
            <w:vAlign w:val="center"/>
          </w:tcPr>
          <w:p>
            <w:pPr>
              <w:widowControl/>
              <w:jc w:val="center"/>
              <w:rPr>
                <w:rFonts w:ascii="宋体" w:hAnsi="宋体"/>
                <w:color w:val="auto"/>
                <w:kern w:val="0"/>
                <w:sz w:val="20"/>
                <w:szCs w:val="20"/>
                <w:highlight w:val="none"/>
              </w:rPr>
            </w:pPr>
            <w:r>
              <w:rPr>
                <w:rFonts w:hint="eastAsia" w:ascii="宋体" w:hAnsi="宋体"/>
                <w:color w:val="auto"/>
                <w:kern w:val="0"/>
                <w:sz w:val="24"/>
                <w:szCs w:val="36"/>
                <w:highlight w:val="none"/>
              </w:rPr>
              <w:t>(    )</w:t>
            </w:r>
          </w:p>
        </w:tc>
        <w:tc>
          <w:tcPr>
            <w:tcW w:w="1057" w:type="dxa"/>
            <w:noWrap w:val="0"/>
            <w:vAlign w:val="center"/>
          </w:tcPr>
          <w:p>
            <w:pPr>
              <w:widowControl/>
              <w:jc w:val="center"/>
              <w:rPr>
                <w:rFonts w:ascii="宋体" w:hAnsi="宋体"/>
                <w:color w:val="auto"/>
                <w:kern w:val="0"/>
                <w:sz w:val="24"/>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noWrap w:val="0"/>
            <w:vAlign w:val="top"/>
          </w:tcPr>
          <w:p>
            <w:pPr>
              <w:widowControl/>
              <w:spacing w:line="360" w:lineRule="atLeast"/>
              <w:jc w:val="left"/>
              <w:rPr>
                <w:rFonts w:hint="eastAsia" w:ascii="宋体" w:hAnsi="宋体" w:cs="宋体"/>
                <w:color w:val="auto"/>
                <w:kern w:val="0"/>
                <w:sz w:val="24"/>
                <w:szCs w:val="20"/>
                <w:highlight w:val="none"/>
              </w:rPr>
            </w:pPr>
            <w:r>
              <w:rPr>
                <w:rFonts w:hint="eastAsia" w:ascii="宋体" w:hAnsi="宋体" w:cs="宋体"/>
                <w:color w:val="auto"/>
                <w:kern w:val="0"/>
                <w:sz w:val="24"/>
                <w:szCs w:val="20"/>
                <w:highlight w:val="none"/>
              </w:rPr>
              <w:t>（二）开挖深度虽未超过3m，但地质条件、周围环境和地下管线复杂，或影响毗邻建、构筑物安全的基坑（槽）的土方开挖、支护、降水工程。</w:t>
            </w:r>
          </w:p>
        </w:tc>
        <w:tc>
          <w:tcPr>
            <w:tcW w:w="1353" w:type="dxa"/>
            <w:noWrap w:val="0"/>
            <w:vAlign w:val="center"/>
          </w:tcPr>
          <w:p>
            <w:pPr>
              <w:widowControl/>
              <w:jc w:val="center"/>
              <w:rPr>
                <w:rFonts w:ascii="宋体" w:hAnsi="宋体"/>
                <w:color w:val="auto"/>
                <w:kern w:val="0"/>
                <w:sz w:val="20"/>
                <w:szCs w:val="20"/>
                <w:highlight w:val="none"/>
              </w:rPr>
            </w:pPr>
            <w:r>
              <w:rPr>
                <w:rFonts w:hint="eastAsia" w:ascii="宋体" w:hAnsi="宋体"/>
                <w:color w:val="auto"/>
                <w:kern w:val="0"/>
                <w:sz w:val="24"/>
                <w:szCs w:val="36"/>
                <w:highlight w:val="none"/>
              </w:rPr>
              <w:t>(</w:t>
            </w:r>
            <w:r>
              <w:rPr>
                <w:rFonts w:hint="eastAsia" w:ascii="宋体" w:hAnsi="宋体"/>
                <w:color w:val="auto"/>
                <w:kern w:val="0"/>
                <w:sz w:val="24"/>
                <w:szCs w:val="36"/>
                <w:highlight w:val="none"/>
                <w:lang w:eastAsia="zh-CN"/>
              </w:rPr>
              <w:t xml:space="preserve"> </w:t>
            </w:r>
            <w:r>
              <w:rPr>
                <w:rFonts w:hint="eastAsia" w:ascii="宋体" w:hAnsi="宋体"/>
                <w:color w:val="auto"/>
                <w:kern w:val="0"/>
                <w:sz w:val="24"/>
                <w:szCs w:val="36"/>
                <w:highlight w:val="none"/>
                <w:lang w:val="en-US" w:eastAsia="zh-CN"/>
              </w:rPr>
              <w:t xml:space="preserve"> √  </w:t>
            </w:r>
            <w:r>
              <w:rPr>
                <w:rFonts w:hint="eastAsia" w:ascii="宋体" w:hAnsi="宋体"/>
                <w:color w:val="auto"/>
                <w:kern w:val="0"/>
                <w:sz w:val="24"/>
                <w:szCs w:val="36"/>
                <w:highlight w:val="none"/>
              </w:rPr>
              <w:t>)</w:t>
            </w:r>
          </w:p>
        </w:tc>
        <w:tc>
          <w:tcPr>
            <w:tcW w:w="1353" w:type="dxa"/>
            <w:noWrap w:val="0"/>
            <w:vAlign w:val="center"/>
          </w:tcPr>
          <w:p>
            <w:pPr>
              <w:widowControl/>
              <w:jc w:val="center"/>
              <w:rPr>
                <w:rFonts w:hint="eastAsia" w:ascii="宋体" w:hAnsi="宋体"/>
                <w:color w:val="auto"/>
                <w:kern w:val="0"/>
                <w:sz w:val="24"/>
                <w:szCs w:val="36"/>
                <w:highlight w:val="none"/>
              </w:rPr>
            </w:pPr>
            <w:r>
              <w:rPr>
                <w:rFonts w:hint="eastAsia" w:ascii="宋体" w:hAnsi="宋体"/>
                <w:color w:val="auto"/>
                <w:kern w:val="0"/>
                <w:sz w:val="24"/>
                <w:szCs w:val="36"/>
                <w:highlight w:val="none"/>
              </w:rPr>
              <w:t>(    )</w:t>
            </w:r>
          </w:p>
        </w:tc>
        <w:tc>
          <w:tcPr>
            <w:tcW w:w="1057" w:type="dxa"/>
            <w:noWrap w:val="0"/>
            <w:vAlign w:val="center"/>
          </w:tcPr>
          <w:p>
            <w:pPr>
              <w:widowControl/>
              <w:jc w:val="center"/>
              <w:rPr>
                <w:rFonts w:ascii="宋体" w:hAnsi="宋体"/>
                <w:color w:val="auto"/>
                <w:kern w:val="0"/>
                <w:sz w:val="24"/>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noWrap w:val="0"/>
            <w:vAlign w:val="top"/>
          </w:tcPr>
          <w:p>
            <w:pPr>
              <w:widowControl/>
              <w:jc w:val="left"/>
              <w:rPr>
                <w:rFonts w:ascii="宋体" w:hAnsi="宋体"/>
                <w:color w:val="auto"/>
                <w:kern w:val="0"/>
                <w:sz w:val="24"/>
                <w:szCs w:val="20"/>
                <w:highlight w:val="none"/>
              </w:rPr>
            </w:pPr>
            <w:r>
              <w:rPr>
                <w:rFonts w:hint="eastAsia" w:ascii="宋体" w:hAnsi="宋体" w:cs="宋体"/>
                <w:color w:val="auto"/>
                <w:kern w:val="0"/>
                <w:sz w:val="24"/>
                <w:szCs w:val="20"/>
                <w:highlight w:val="none"/>
              </w:rPr>
              <w:t>二、模板工程及支撑体系</w:t>
            </w:r>
          </w:p>
        </w:tc>
        <w:tc>
          <w:tcPr>
            <w:tcW w:w="1353" w:type="dxa"/>
            <w:noWrap w:val="0"/>
            <w:vAlign w:val="center"/>
          </w:tcPr>
          <w:p>
            <w:pPr>
              <w:widowControl/>
              <w:jc w:val="center"/>
              <w:rPr>
                <w:rFonts w:ascii="宋体" w:hAnsi="宋体"/>
                <w:color w:val="auto"/>
                <w:kern w:val="0"/>
                <w:sz w:val="20"/>
                <w:szCs w:val="20"/>
                <w:highlight w:val="none"/>
              </w:rPr>
            </w:pPr>
          </w:p>
        </w:tc>
        <w:tc>
          <w:tcPr>
            <w:tcW w:w="1353" w:type="dxa"/>
            <w:noWrap w:val="0"/>
            <w:vAlign w:val="center"/>
          </w:tcPr>
          <w:p>
            <w:pPr>
              <w:widowControl/>
              <w:jc w:val="center"/>
              <w:rPr>
                <w:rFonts w:ascii="宋体" w:hAnsi="宋体"/>
                <w:color w:val="auto"/>
                <w:kern w:val="0"/>
                <w:sz w:val="20"/>
                <w:szCs w:val="20"/>
                <w:highlight w:val="none"/>
              </w:rPr>
            </w:pPr>
          </w:p>
        </w:tc>
        <w:tc>
          <w:tcPr>
            <w:tcW w:w="1057" w:type="dxa"/>
            <w:noWrap w:val="0"/>
            <w:vAlign w:val="center"/>
          </w:tcPr>
          <w:p>
            <w:pPr>
              <w:widowControl/>
              <w:jc w:val="center"/>
              <w:rPr>
                <w:rFonts w:ascii="宋体" w:hAnsi="宋体"/>
                <w:color w:val="auto"/>
                <w:kern w:val="0"/>
                <w:sz w:val="24"/>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noWrap w:val="0"/>
            <w:vAlign w:val="top"/>
          </w:tcPr>
          <w:p>
            <w:pPr>
              <w:widowControl/>
              <w:jc w:val="left"/>
              <w:rPr>
                <w:rFonts w:ascii="宋体" w:hAnsi="宋体" w:cs="宋体"/>
                <w:color w:val="auto"/>
                <w:kern w:val="0"/>
                <w:sz w:val="24"/>
                <w:szCs w:val="20"/>
                <w:highlight w:val="none"/>
              </w:rPr>
            </w:pPr>
            <w:r>
              <w:rPr>
                <w:rFonts w:hint="eastAsia" w:ascii="宋体" w:hAnsi="宋体"/>
                <w:color w:val="auto"/>
                <w:kern w:val="0"/>
                <w:sz w:val="24"/>
                <w:szCs w:val="20"/>
                <w:highlight w:val="none"/>
              </w:rPr>
              <w:t>（一）各类工具式模板工程：包括滑模、爬模、飞模、隧道模等工程。</w:t>
            </w:r>
          </w:p>
        </w:tc>
        <w:tc>
          <w:tcPr>
            <w:tcW w:w="1353" w:type="dxa"/>
            <w:noWrap w:val="0"/>
            <w:vAlign w:val="center"/>
          </w:tcPr>
          <w:p>
            <w:pPr>
              <w:widowControl/>
              <w:jc w:val="center"/>
              <w:rPr>
                <w:rFonts w:ascii="宋体" w:hAnsi="宋体"/>
                <w:color w:val="auto"/>
                <w:kern w:val="0"/>
                <w:sz w:val="24"/>
                <w:szCs w:val="36"/>
                <w:highlight w:val="none"/>
              </w:rPr>
            </w:pPr>
            <w:r>
              <w:rPr>
                <w:rFonts w:hint="eastAsia" w:ascii="宋体" w:hAnsi="宋体"/>
                <w:color w:val="auto"/>
                <w:kern w:val="0"/>
                <w:sz w:val="24"/>
                <w:szCs w:val="36"/>
                <w:highlight w:val="none"/>
              </w:rPr>
              <w:t>(</w:t>
            </w:r>
            <w:r>
              <w:rPr>
                <w:rFonts w:hint="eastAsia" w:ascii="宋体" w:hAnsi="宋体"/>
                <w:color w:val="auto"/>
                <w:kern w:val="0"/>
                <w:sz w:val="24"/>
                <w:szCs w:val="36"/>
                <w:highlight w:val="none"/>
                <w:lang w:eastAsia="zh-CN"/>
              </w:rPr>
              <w:t xml:space="preserve"> </w:t>
            </w:r>
            <w:r>
              <w:rPr>
                <w:rFonts w:hint="eastAsia" w:ascii="宋体" w:hAnsi="宋体"/>
                <w:color w:val="auto"/>
                <w:kern w:val="0"/>
                <w:sz w:val="24"/>
                <w:szCs w:val="36"/>
                <w:highlight w:val="none"/>
                <w:lang w:val="en-US" w:eastAsia="zh-CN"/>
              </w:rPr>
              <w:t xml:space="preserve"> √  </w:t>
            </w:r>
            <w:r>
              <w:rPr>
                <w:rFonts w:hint="eastAsia" w:ascii="宋体" w:hAnsi="宋体"/>
                <w:color w:val="auto"/>
                <w:kern w:val="0"/>
                <w:sz w:val="24"/>
                <w:szCs w:val="36"/>
                <w:highlight w:val="none"/>
              </w:rPr>
              <w:t>)</w:t>
            </w:r>
          </w:p>
        </w:tc>
        <w:tc>
          <w:tcPr>
            <w:tcW w:w="1353" w:type="dxa"/>
            <w:noWrap w:val="0"/>
            <w:vAlign w:val="center"/>
          </w:tcPr>
          <w:p>
            <w:pPr>
              <w:widowControl/>
              <w:jc w:val="center"/>
              <w:rPr>
                <w:rFonts w:ascii="宋体" w:hAnsi="宋体"/>
                <w:color w:val="auto"/>
                <w:kern w:val="0"/>
                <w:sz w:val="20"/>
                <w:szCs w:val="20"/>
                <w:highlight w:val="none"/>
              </w:rPr>
            </w:pPr>
            <w:r>
              <w:rPr>
                <w:rFonts w:hint="eastAsia" w:ascii="宋体" w:hAnsi="宋体"/>
                <w:color w:val="auto"/>
                <w:kern w:val="0"/>
                <w:sz w:val="24"/>
                <w:szCs w:val="36"/>
                <w:highlight w:val="none"/>
              </w:rPr>
              <w:t>(    )</w:t>
            </w:r>
          </w:p>
        </w:tc>
        <w:tc>
          <w:tcPr>
            <w:tcW w:w="1057" w:type="dxa"/>
            <w:noWrap w:val="0"/>
            <w:vAlign w:val="center"/>
          </w:tcPr>
          <w:p>
            <w:pPr>
              <w:widowControl/>
              <w:jc w:val="center"/>
              <w:rPr>
                <w:rFonts w:ascii="宋体" w:hAnsi="宋体"/>
                <w:color w:val="auto"/>
                <w:kern w:val="0"/>
                <w:sz w:val="24"/>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noWrap w:val="0"/>
            <w:vAlign w:val="top"/>
          </w:tcPr>
          <w:p>
            <w:pPr>
              <w:widowControl/>
              <w:jc w:val="left"/>
              <w:rPr>
                <w:rFonts w:hint="eastAsia" w:ascii="宋体" w:hAnsi="宋体" w:cs="宋体"/>
                <w:color w:val="auto"/>
                <w:kern w:val="0"/>
                <w:sz w:val="24"/>
                <w:szCs w:val="20"/>
                <w:highlight w:val="none"/>
              </w:rPr>
            </w:pPr>
            <w:r>
              <w:rPr>
                <w:rFonts w:hint="eastAsia" w:ascii="宋体" w:hAnsi="宋体" w:cs="宋体"/>
                <w:color w:val="auto"/>
                <w:kern w:val="0"/>
                <w:sz w:val="24"/>
                <w:szCs w:val="20"/>
                <w:highlight w:val="none"/>
              </w:rPr>
              <w:t>（二）混凝土模板支撑工程：搭设高度5m及以上，或搭设跨度10m及以上，或施工总荷载（荷载效应基本组合的设计值，以下简称设计值）10kN/m2及以上，或集中线荷载（设计值）15kN/m及以上，或高度大于支撑水平投影宽度且相对独立无联系构件的混凝土模板支撑工程。</w:t>
            </w:r>
          </w:p>
        </w:tc>
        <w:tc>
          <w:tcPr>
            <w:tcW w:w="1353" w:type="dxa"/>
            <w:noWrap w:val="0"/>
            <w:vAlign w:val="center"/>
          </w:tcPr>
          <w:p>
            <w:pPr>
              <w:widowControl/>
              <w:jc w:val="center"/>
              <w:rPr>
                <w:rFonts w:ascii="宋体" w:hAnsi="宋体"/>
                <w:color w:val="auto"/>
                <w:kern w:val="0"/>
                <w:sz w:val="20"/>
                <w:szCs w:val="20"/>
                <w:highlight w:val="none"/>
              </w:rPr>
            </w:pPr>
            <w:r>
              <w:rPr>
                <w:rFonts w:hint="eastAsia" w:ascii="宋体" w:hAnsi="宋体"/>
                <w:color w:val="auto"/>
                <w:kern w:val="0"/>
                <w:sz w:val="24"/>
                <w:szCs w:val="36"/>
                <w:highlight w:val="none"/>
              </w:rPr>
              <w:t>(</w:t>
            </w:r>
            <w:r>
              <w:rPr>
                <w:rFonts w:hint="eastAsia" w:ascii="宋体" w:hAnsi="宋体"/>
                <w:color w:val="auto"/>
                <w:kern w:val="0"/>
                <w:sz w:val="24"/>
                <w:szCs w:val="36"/>
                <w:highlight w:val="none"/>
                <w:lang w:eastAsia="zh-CN"/>
              </w:rPr>
              <w:t xml:space="preserve"> </w:t>
            </w:r>
            <w:r>
              <w:rPr>
                <w:rFonts w:hint="eastAsia" w:ascii="宋体" w:hAnsi="宋体"/>
                <w:color w:val="auto"/>
                <w:kern w:val="0"/>
                <w:sz w:val="24"/>
                <w:szCs w:val="36"/>
                <w:highlight w:val="none"/>
                <w:lang w:val="en-US" w:eastAsia="zh-CN"/>
              </w:rPr>
              <w:t xml:space="preserve"> √  </w:t>
            </w:r>
            <w:r>
              <w:rPr>
                <w:rFonts w:hint="eastAsia" w:ascii="宋体" w:hAnsi="宋体"/>
                <w:color w:val="auto"/>
                <w:kern w:val="0"/>
                <w:sz w:val="24"/>
                <w:szCs w:val="36"/>
                <w:highlight w:val="none"/>
              </w:rPr>
              <w:t>)</w:t>
            </w:r>
          </w:p>
        </w:tc>
        <w:tc>
          <w:tcPr>
            <w:tcW w:w="1353" w:type="dxa"/>
            <w:noWrap w:val="0"/>
            <w:vAlign w:val="center"/>
          </w:tcPr>
          <w:p>
            <w:pPr>
              <w:widowControl/>
              <w:jc w:val="center"/>
              <w:rPr>
                <w:rFonts w:hint="eastAsia" w:ascii="宋体" w:hAnsi="宋体"/>
                <w:color w:val="auto"/>
                <w:kern w:val="0"/>
                <w:sz w:val="24"/>
                <w:szCs w:val="36"/>
                <w:highlight w:val="none"/>
              </w:rPr>
            </w:pPr>
            <w:r>
              <w:rPr>
                <w:rFonts w:hint="eastAsia" w:ascii="宋体" w:hAnsi="宋体"/>
                <w:color w:val="auto"/>
                <w:kern w:val="0"/>
                <w:sz w:val="24"/>
                <w:szCs w:val="36"/>
                <w:highlight w:val="none"/>
              </w:rPr>
              <w:t>(    )</w:t>
            </w:r>
          </w:p>
        </w:tc>
        <w:tc>
          <w:tcPr>
            <w:tcW w:w="1057" w:type="dxa"/>
            <w:noWrap w:val="0"/>
            <w:vAlign w:val="center"/>
          </w:tcPr>
          <w:p>
            <w:pPr>
              <w:widowControl/>
              <w:jc w:val="center"/>
              <w:rPr>
                <w:rFonts w:ascii="宋体" w:hAnsi="宋体"/>
                <w:color w:val="auto"/>
                <w:kern w:val="0"/>
                <w:sz w:val="24"/>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noWrap w:val="0"/>
            <w:vAlign w:val="top"/>
          </w:tcPr>
          <w:p>
            <w:pPr>
              <w:widowControl/>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（三）承重支撑体系：用于钢结构安装等满堂支撑体系。</w:t>
            </w:r>
          </w:p>
        </w:tc>
        <w:tc>
          <w:tcPr>
            <w:tcW w:w="1353" w:type="dxa"/>
            <w:noWrap w:val="0"/>
            <w:vAlign w:val="center"/>
          </w:tcPr>
          <w:p>
            <w:pPr>
              <w:widowControl/>
              <w:jc w:val="center"/>
              <w:rPr>
                <w:rFonts w:ascii="宋体" w:hAnsi="宋体"/>
                <w:color w:val="auto"/>
                <w:kern w:val="0"/>
                <w:sz w:val="20"/>
                <w:szCs w:val="20"/>
                <w:highlight w:val="none"/>
              </w:rPr>
            </w:pPr>
            <w:r>
              <w:rPr>
                <w:rFonts w:hint="eastAsia" w:ascii="宋体" w:hAnsi="宋体"/>
                <w:color w:val="auto"/>
                <w:kern w:val="0"/>
                <w:sz w:val="24"/>
                <w:szCs w:val="36"/>
                <w:highlight w:val="none"/>
              </w:rPr>
              <w:t>(</w:t>
            </w:r>
            <w:r>
              <w:rPr>
                <w:rFonts w:hint="eastAsia" w:ascii="宋体" w:hAnsi="宋体"/>
                <w:color w:val="auto"/>
                <w:kern w:val="0"/>
                <w:sz w:val="24"/>
                <w:szCs w:val="36"/>
                <w:highlight w:val="none"/>
                <w:lang w:eastAsia="zh-CN"/>
              </w:rPr>
              <w:t xml:space="preserve"> </w:t>
            </w:r>
            <w:r>
              <w:rPr>
                <w:rFonts w:hint="eastAsia" w:ascii="宋体" w:hAnsi="宋体"/>
                <w:color w:val="auto"/>
                <w:kern w:val="0"/>
                <w:sz w:val="24"/>
                <w:szCs w:val="36"/>
                <w:highlight w:val="none"/>
                <w:lang w:val="en-US" w:eastAsia="zh-CN"/>
              </w:rPr>
              <w:t xml:space="preserve"> √  </w:t>
            </w:r>
            <w:r>
              <w:rPr>
                <w:rFonts w:hint="eastAsia" w:ascii="宋体" w:hAnsi="宋体"/>
                <w:color w:val="auto"/>
                <w:kern w:val="0"/>
                <w:sz w:val="24"/>
                <w:szCs w:val="36"/>
                <w:highlight w:val="none"/>
              </w:rPr>
              <w:t>)</w:t>
            </w:r>
          </w:p>
        </w:tc>
        <w:tc>
          <w:tcPr>
            <w:tcW w:w="1353" w:type="dxa"/>
            <w:noWrap w:val="0"/>
            <w:vAlign w:val="center"/>
          </w:tcPr>
          <w:p>
            <w:pPr>
              <w:widowControl/>
              <w:jc w:val="center"/>
              <w:rPr>
                <w:rFonts w:hint="eastAsia" w:ascii="宋体" w:hAnsi="宋体"/>
                <w:color w:val="auto"/>
                <w:kern w:val="0"/>
                <w:sz w:val="24"/>
                <w:szCs w:val="36"/>
                <w:highlight w:val="none"/>
              </w:rPr>
            </w:pPr>
            <w:r>
              <w:rPr>
                <w:rFonts w:hint="eastAsia" w:ascii="宋体" w:hAnsi="宋体"/>
                <w:color w:val="auto"/>
                <w:kern w:val="0"/>
                <w:sz w:val="24"/>
                <w:szCs w:val="36"/>
                <w:highlight w:val="none"/>
              </w:rPr>
              <w:t>(    )</w:t>
            </w:r>
          </w:p>
        </w:tc>
        <w:tc>
          <w:tcPr>
            <w:tcW w:w="1057" w:type="dxa"/>
            <w:noWrap w:val="0"/>
            <w:vAlign w:val="center"/>
          </w:tcPr>
          <w:p>
            <w:pPr>
              <w:widowControl/>
              <w:jc w:val="center"/>
              <w:rPr>
                <w:rFonts w:ascii="宋体" w:hAnsi="宋体"/>
                <w:color w:val="auto"/>
                <w:kern w:val="0"/>
                <w:sz w:val="24"/>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noWrap w:val="0"/>
            <w:vAlign w:val="top"/>
          </w:tcPr>
          <w:p>
            <w:pPr>
              <w:widowControl/>
              <w:jc w:val="left"/>
              <w:rPr>
                <w:rFonts w:hint="eastAsia" w:ascii="宋体" w:hAnsi="宋体" w:cs="宋体"/>
                <w:color w:val="auto"/>
                <w:kern w:val="0"/>
                <w:sz w:val="24"/>
                <w:szCs w:val="20"/>
                <w:highlight w:val="none"/>
              </w:rPr>
            </w:pPr>
            <w:r>
              <w:rPr>
                <w:rFonts w:hint="eastAsia" w:ascii="宋体" w:hAnsi="宋体" w:cs="宋体"/>
                <w:color w:val="auto"/>
                <w:kern w:val="0"/>
                <w:sz w:val="24"/>
                <w:szCs w:val="20"/>
                <w:highlight w:val="none"/>
              </w:rPr>
              <w:t>三、起重吊装及起重机械安装拆卸工程</w:t>
            </w:r>
          </w:p>
        </w:tc>
        <w:tc>
          <w:tcPr>
            <w:tcW w:w="1353" w:type="dxa"/>
            <w:noWrap w:val="0"/>
            <w:vAlign w:val="center"/>
          </w:tcPr>
          <w:p>
            <w:pPr>
              <w:widowControl/>
              <w:jc w:val="center"/>
              <w:rPr>
                <w:rFonts w:hint="eastAsia" w:ascii="宋体" w:hAnsi="宋体"/>
                <w:color w:val="auto"/>
                <w:kern w:val="0"/>
                <w:sz w:val="24"/>
                <w:szCs w:val="36"/>
                <w:highlight w:val="none"/>
              </w:rPr>
            </w:pPr>
          </w:p>
        </w:tc>
        <w:tc>
          <w:tcPr>
            <w:tcW w:w="1353" w:type="dxa"/>
            <w:noWrap w:val="0"/>
            <w:vAlign w:val="center"/>
          </w:tcPr>
          <w:p>
            <w:pPr>
              <w:widowControl/>
              <w:jc w:val="center"/>
              <w:rPr>
                <w:rFonts w:hint="eastAsia" w:ascii="宋体" w:hAnsi="宋体"/>
                <w:color w:val="auto"/>
                <w:kern w:val="0"/>
                <w:sz w:val="24"/>
                <w:szCs w:val="36"/>
                <w:highlight w:val="none"/>
              </w:rPr>
            </w:pPr>
          </w:p>
        </w:tc>
        <w:tc>
          <w:tcPr>
            <w:tcW w:w="1057" w:type="dxa"/>
            <w:noWrap w:val="0"/>
            <w:vAlign w:val="center"/>
          </w:tcPr>
          <w:p>
            <w:pPr>
              <w:widowControl/>
              <w:jc w:val="center"/>
              <w:rPr>
                <w:rFonts w:ascii="宋体" w:hAnsi="宋体"/>
                <w:color w:val="auto"/>
                <w:kern w:val="0"/>
                <w:sz w:val="24"/>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noWrap w:val="0"/>
            <w:vAlign w:val="top"/>
          </w:tcPr>
          <w:p>
            <w:pPr>
              <w:widowControl/>
              <w:jc w:val="left"/>
              <w:rPr>
                <w:rFonts w:hint="eastAsia" w:ascii="宋体" w:hAnsi="宋体" w:cs="宋体"/>
                <w:color w:val="auto"/>
                <w:kern w:val="0"/>
                <w:sz w:val="24"/>
                <w:szCs w:val="20"/>
                <w:highlight w:val="none"/>
              </w:rPr>
            </w:pPr>
            <w:r>
              <w:rPr>
                <w:rFonts w:hint="eastAsia" w:ascii="宋体" w:hAnsi="宋体" w:cs="宋体"/>
                <w:color w:val="auto"/>
                <w:kern w:val="0"/>
                <w:sz w:val="24"/>
                <w:szCs w:val="20"/>
                <w:highlight w:val="none"/>
              </w:rPr>
              <w:t>（一）采用非常规起重设备、方法，且单件起吊重量在10kN及以上的起重吊装工程。</w:t>
            </w:r>
          </w:p>
        </w:tc>
        <w:tc>
          <w:tcPr>
            <w:tcW w:w="1353" w:type="dxa"/>
            <w:noWrap w:val="0"/>
            <w:vAlign w:val="center"/>
          </w:tcPr>
          <w:p>
            <w:pPr>
              <w:widowControl/>
              <w:jc w:val="center"/>
              <w:rPr>
                <w:rFonts w:hint="eastAsia" w:ascii="宋体" w:hAnsi="宋体"/>
                <w:color w:val="auto"/>
                <w:kern w:val="0"/>
                <w:sz w:val="24"/>
                <w:szCs w:val="36"/>
                <w:highlight w:val="none"/>
              </w:rPr>
            </w:pPr>
            <w:r>
              <w:rPr>
                <w:rFonts w:hint="eastAsia" w:ascii="宋体" w:hAnsi="宋体"/>
                <w:color w:val="auto"/>
                <w:kern w:val="0"/>
                <w:sz w:val="24"/>
                <w:szCs w:val="36"/>
                <w:highlight w:val="none"/>
              </w:rPr>
              <w:t>(</w:t>
            </w:r>
            <w:r>
              <w:rPr>
                <w:rFonts w:hint="eastAsia" w:ascii="宋体" w:hAnsi="宋体"/>
                <w:color w:val="auto"/>
                <w:kern w:val="0"/>
                <w:sz w:val="24"/>
                <w:szCs w:val="36"/>
                <w:highlight w:val="none"/>
                <w:lang w:eastAsia="zh-CN"/>
              </w:rPr>
              <w:t xml:space="preserve"> </w:t>
            </w:r>
            <w:r>
              <w:rPr>
                <w:rFonts w:hint="eastAsia" w:ascii="宋体" w:hAnsi="宋体"/>
                <w:color w:val="auto"/>
                <w:kern w:val="0"/>
                <w:sz w:val="24"/>
                <w:szCs w:val="36"/>
                <w:highlight w:val="none"/>
                <w:lang w:val="en-US" w:eastAsia="zh-CN"/>
              </w:rPr>
              <w:t xml:space="preserve"> √  </w:t>
            </w:r>
            <w:r>
              <w:rPr>
                <w:rFonts w:hint="eastAsia" w:ascii="宋体" w:hAnsi="宋体"/>
                <w:color w:val="auto"/>
                <w:kern w:val="0"/>
                <w:sz w:val="24"/>
                <w:szCs w:val="36"/>
                <w:highlight w:val="none"/>
              </w:rPr>
              <w:t>)</w:t>
            </w:r>
          </w:p>
        </w:tc>
        <w:tc>
          <w:tcPr>
            <w:tcW w:w="1353" w:type="dxa"/>
            <w:noWrap w:val="0"/>
            <w:vAlign w:val="center"/>
          </w:tcPr>
          <w:p>
            <w:pPr>
              <w:widowControl/>
              <w:jc w:val="center"/>
              <w:rPr>
                <w:rFonts w:hint="eastAsia" w:ascii="宋体" w:hAnsi="宋体"/>
                <w:color w:val="auto"/>
                <w:kern w:val="0"/>
                <w:sz w:val="24"/>
                <w:szCs w:val="36"/>
                <w:highlight w:val="none"/>
              </w:rPr>
            </w:pPr>
            <w:r>
              <w:rPr>
                <w:rFonts w:hint="eastAsia" w:ascii="宋体" w:hAnsi="宋体"/>
                <w:color w:val="auto"/>
                <w:kern w:val="0"/>
                <w:sz w:val="24"/>
                <w:szCs w:val="36"/>
                <w:highlight w:val="none"/>
              </w:rPr>
              <w:t>(    )</w:t>
            </w:r>
          </w:p>
        </w:tc>
        <w:tc>
          <w:tcPr>
            <w:tcW w:w="1057" w:type="dxa"/>
            <w:noWrap w:val="0"/>
            <w:vAlign w:val="center"/>
          </w:tcPr>
          <w:p>
            <w:pPr>
              <w:widowControl/>
              <w:jc w:val="center"/>
              <w:rPr>
                <w:rFonts w:ascii="宋体" w:hAnsi="宋体"/>
                <w:color w:val="auto"/>
                <w:kern w:val="0"/>
                <w:sz w:val="24"/>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noWrap w:val="0"/>
            <w:vAlign w:val="top"/>
          </w:tcPr>
          <w:p>
            <w:pPr>
              <w:widowControl/>
              <w:jc w:val="left"/>
              <w:rPr>
                <w:rFonts w:hint="eastAsia" w:ascii="宋体" w:hAnsi="宋体" w:cs="宋体"/>
                <w:color w:val="auto"/>
                <w:kern w:val="0"/>
                <w:sz w:val="24"/>
                <w:szCs w:val="20"/>
                <w:highlight w:val="none"/>
              </w:rPr>
            </w:pPr>
            <w:r>
              <w:rPr>
                <w:rFonts w:hint="eastAsia" w:ascii="宋体" w:hAnsi="宋体" w:cs="宋体"/>
                <w:color w:val="auto"/>
                <w:kern w:val="0"/>
                <w:sz w:val="24"/>
                <w:szCs w:val="20"/>
                <w:highlight w:val="none"/>
              </w:rPr>
              <w:t>（二）采用起重机械进行安装的工程。</w:t>
            </w:r>
          </w:p>
        </w:tc>
        <w:tc>
          <w:tcPr>
            <w:tcW w:w="1353" w:type="dxa"/>
            <w:noWrap w:val="0"/>
            <w:vAlign w:val="center"/>
          </w:tcPr>
          <w:p>
            <w:pPr>
              <w:widowControl/>
              <w:jc w:val="center"/>
              <w:rPr>
                <w:rFonts w:hint="eastAsia" w:ascii="宋体" w:hAnsi="宋体"/>
                <w:color w:val="auto"/>
                <w:kern w:val="0"/>
                <w:sz w:val="24"/>
                <w:szCs w:val="36"/>
                <w:highlight w:val="none"/>
              </w:rPr>
            </w:pPr>
            <w:r>
              <w:rPr>
                <w:rFonts w:hint="eastAsia" w:ascii="宋体" w:hAnsi="宋体"/>
                <w:color w:val="auto"/>
                <w:kern w:val="0"/>
                <w:sz w:val="24"/>
                <w:szCs w:val="36"/>
                <w:highlight w:val="none"/>
              </w:rPr>
              <w:t>(</w:t>
            </w:r>
            <w:r>
              <w:rPr>
                <w:rFonts w:hint="eastAsia" w:ascii="宋体" w:hAnsi="宋体"/>
                <w:color w:val="auto"/>
                <w:kern w:val="0"/>
                <w:sz w:val="24"/>
                <w:szCs w:val="36"/>
                <w:highlight w:val="none"/>
                <w:lang w:eastAsia="zh-CN"/>
              </w:rPr>
              <w:t xml:space="preserve"> </w:t>
            </w:r>
            <w:r>
              <w:rPr>
                <w:rFonts w:hint="eastAsia" w:ascii="宋体" w:hAnsi="宋体"/>
                <w:color w:val="auto"/>
                <w:kern w:val="0"/>
                <w:sz w:val="24"/>
                <w:szCs w:val="36"/>
                <w:highlight w:val="none"/>
                <w:lang w:val="en-US" w:eastAsia="zh-CN"/>
              </w:rPr>
              <w:t xml:space="preserve"> √  </w:t>
            </w:r>
            <w:r>
              <w:rPr>
                <w:rFonts w:hint="eastAsia" w:ascii="宋体" w:hAnsi="宋体"/>
                <w:color w:val="auto"/>
                <w:kern w:val="0"/>
                <w:sz w:val="24"/>
                <w:szCs w:val="36"/>
                <w:highlight w:val="none"/>
              </w:rPr>
              <w:t>)</w:t>
            </w:r>
          </w:p>
        </w:tc>
        <w:tc>
          <w:tcPr>
            <w:tcW w:w="1353" w:type="dxa"/>
            <w:noWrap w:val="0"/>
            <w:vAlign w:val="center"/>
          </w:tcPr>
          <w:p>
            <w:pPr>
              <w:widowControl/>
              <w:jc w:val="center"/>
              <w:rPr>
                <w:rFonts w:hint="eastAsia" w:ascii="宋体" w:hAnsi="宋体"/>
                <w:color w:val="auto"/>
                <w:kern w:val="0"/>
                <w:sz w:val="24"/>
                <w:szCs w:val="36"/>
                <w:highlight w:val="none"/>
              </w:rPr>
            </w:pPr>
            <w:r>
              <w:rPr>
                <w:rFonts w:hint="eastAsia" w:ascii="宋体" w:hAnsi="宋体"/>
                <w:color w:val="auto"/>
                <w:kern w:val="0"/>
                <w:sz w:val="24"/>
                <w:szCs w:val="36"/>
                <w:highlight w:val="none"/>
              </w:rPr>
              <w:t>(    )</w:t>
            </w:r>
          </w:p>
        </w:tc>
        <w:tc>
          <w:tcPr>
            <w:tcW w:w="1057" w:type="dxa"/>
            <w:noWrap w:val="0"/>
            <w:vAlign w:val="center"/>
          </w:tcPr>
          <w:p>
            <w:pPr>
              <w:widowControl/>
              <w:jc w:val="center"/>
              <w:rPr>
                <w:rFonts w:ascii="宋体" w:hAnsi="宋体"/>
                <w:color w:val="auto"/>
                <w:kern w:val="0"/>
                <w:sz w:val="24"/>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noWrap w:val="0"/>
            <w:vAlign w:val="top"/>
          </w:tcPr>
          <w:p>
            <w:pPr>
              <w:widowControl/>
              <w:jc w:val="left"/>
              <w:rPr>
                <w:rFonts w:hint="eastAsia" w:ascii="宋体" w:hAnsi="宋体" w:cs="宋体"/>
                <w:color w:val="auto"/>
                <w:kern w:val="0"/>
                <w:sz w:val="24"/>
                <w:szCs w:val="20"/>
                <w:highlight w:val="none"/>
              </w:rPr>
            </w:pPr>
            <w:r>
              <w:rPr>
                <w:rFonts w:hint="eastAsia" w:ascii="宋体" w:hAnsi="宋体" w:cs="宋体"/>
                <w:color w:val="auto"/>
                <w:kern w:val="0"/>
                <w:sz w:val="24"/>
                <w:szCs w:val="20"/>
                <w:highlight w:val="none"/>
              </w:rPr>
              <w:t>（三）起重机械安装和拆卸工程。</w:t>
            </w:r>
          </w:p>
        </w:tc>
        <w:tc>
          <w:tcPr>
            <w:tcW w:w="1353" w:type="dxa"/>
            <w:noWrap w:val="0"/>
            <w:vAlign w:val="center"/>
          </w:tcPr>
          <w:p>
            <w:pPr>
              <w:widowControl/>
              <w:jc w:val="center"/>
              <w:rPr>
                <w:rFonts w:hint="eastAsia" w:ascii="宋体" w:hAnsi="宋体"/>
                <w:color w:val="auto"/>
                <w:kern w:val="0"/>
                <w:sz w:val="24"/>
                <w:szCs w:val="36"/>
                <w:highlight w:val="none"/>
              </w:rPr>
            </w:pPr>
            <w:r>
              <w:rPr>
                <w:rFonts w:hint="eastAsia" w:ascii="宋体" w:hAnsi="宋体"/>
                <w:color w:val="auto"/>
                <w:kern w:val="0"/>
                <w:sz w:val="24"/>
                <w:szCs w:val="36"/>
                <w:highlight w:val="none"/>
              </w:rPr>
              <w:t>(</w:t>
            </w:r>
            <w:r>
              <w:rPr>
                <w:rFonts w:hint="eastAsia" w:ascii="宋体" w:hAnsi="宋体"/>
                <w:color w:val="auto"/>
                <w:kern w:val="0"/>
                <w:sz w:val="24"/>
                <w:szCs w:val="36"/>
                <w:highlight w:val="none"/>
                <w:lang w:eastAsia="zh-CN"/>
              </w:rPr>
              <w:t xml:space="preserve"> </w:t>
            </w:r>
            <w:r>
              <w:rPr>
                <w:rFonts w:hint="eastAsia" w:ascii="宋体" w:hAnsi="宋体"/>
                <w:color w:val="auto"/>
                <w:kern w:val="0"/>
                <w:sz w:val="24"/>
                <w:szCs w:val="36"/>
                <w:highlight w:val="none"/>
                <w:lang w:val="en-US" w:eastAsia="zh-CN"/>
              </w:rPr>
              <w:t xml:space="preserve"> √  </w:t>
            </w:r>
            <w:r>
              <w:rPr>
                <w:rFonts w:hint="eastAsia" w:ascii="宋体" w:hAnsi="宋体"/>
                <w:color w:val="auto"/>
                <w:kern w:val="0"/>
                <w:sz w:val="24"/>
                <w:szCs w:val="36"/>
                <w:highlight w:val="none"/>
              </w:rPr>
              <w:t>)</w:t>
            </w:r>
          </w:p>
        </w:tc>
        <w:tc>
          <w:tcPr>
            <w:tcW w:w="1353" w:type="dxa"/>
            <w:noWrap w:val="0"/>
            <w:vAlign w:val="center"/>
          </w:tcPr>
          <w:p>
            <w:pPr>
              <w:widowControl/>
              <w:jc w:val="center"/>
              <w:rPr>
                <w:rFonts w:hint="eastAsia" w:ascii="宋体" w:hAnsi="宋体"/>
                <w:color w:val="auto"/>
                <w:kern w:val="0"/>
                <w:sz w:val="24"/>
                <w:szCs w:val="36"/>
                <w:highlight w:val="none"/>
              </w:rPr>
            </w:pPr>
            <w:r>
              <w:rPr>
                <w:rFonts w:hint="eastAsia" w:ascii="宋体" w:hAnsi="宋体"/>
                <w:color w:val="auto"/>
                <w:kern w:val="0"/>
                <w:sz w:val="24"/>
                <w:szCs w:val="36"/>
                <w:highlight w:val="none"/>
              </w:rPr>
              <w:t>(    )</w:t>
            </w:r>
          </w:p>
        </w:tc>
        <w:tc>
          <w:tcPr>
            <w:tcW w:w="1057" w:type="dxa"/>
            <w:noWrap w:val="0"/>
            <w:vAlign w:val="center"/>
          </w:tcPr>
          <w:p>
            <w:pPr>
              <w:widowControl/>
              <w:jc w:val="center"/>
              <w:rPr>
                <w:rFonts w:ascii="宋体" w:hAnsi="宋体"/>
                <w:color w:val="auto"/>
                <w:kern w:val="0"/>
                <w:sz w:val="24"/>
                <w:szCs w:val="36"/>
                <w:highlight w:val="none"/>
              </w:rPr>
            </w:pPr>
          </w:p>
        </w:tc>
      </w:tr>
    </w:tbl>
    <w:p>
      <w:pPr>
        <w:topLinePunct/>
        <w:adjustRightInd w:val="0"/>
        <w:snapToGrid w:val="0"/>
        <w:spacing w:line="360" w:lineRule="auto"/>
        <w:ind w:firstLine="436" w:firstLineChars="200"/>
        <w:rPr>
          <w:rFonts w:hint="eastAsia" w:ascii="宋体" w:hAnsi="宋体" w:eastAsia="宋体" w:cs="宋体"/>
          <w:color w:val="auto"/>
          <w:spacing w:val="4"/>
          <w:kern w:val="0"/>
          <w:szCs w:val="21"/>
          <w:highlight w:val="none"/>
        </w:rPr>
      </w:pPr>
    </w:p>
    <w:p>
      <w:pPr>
        <w:spacing w:line="360" w:lineRule="auto"/>
        <w:ind w:firstLine="4320" w:firstLineChars="180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投标人名称（盖章）：</w:t>
      </w:r>
    </w:p>
    <w:p>
      <w:pPr>
        <w:spacing w:line="360" w:lineRule="auto"/>
        <w:ind w:firstLine="3120" w:firstLineChars="130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法定代表人或被授权人（签字或盖章）：</w:t>
      </w:r>
    </w:p>
    <w:p>
      <w:pPr>
        <w:autoSpaceDE w:val="0"/>
        <w:autoSpaceDN w:val="0"/>
        <w:adjustRightInd w:val="0"/>
        <w:spacing w:line="360" w:lineRule="auto"/>
        <w:ind w:firstLine="5760" w:firstLineChars="2400"/>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 xml:space="preserve">日期：   </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月</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日</w:t>
      </w:r>
    </w:p>
    <w:p>
      <w:pPr>
        <w:ind w:right="-130" w:rightChars="-62"/>
        <w:rPr>
          <w:rFonts w:hint="eastAsia" w:ascii="宋体" w:hAnsi="宋体" w:eastAsia="宋体" w:cs="宋体"/>
          <w:color w:val="auto"/>
          <w:highlight w:val="none"/>
        </w:rPr>
      </w:pPr>
    </w:p>
    <w:p>
      <w:pPr>
        <w:ind w:right="-130" w:rightChars="-62"/>
        <w:rPr>
          <w:rFonts w:hint="eastAsia" w:ascii="宋体" w:hAnsi="宋体" w:eastAsia="宋体" w:cs="宋体"/>
          <w:color w:val="auto"/>
          <w:highlight w:val="none"/>
        </w:rPr>
      </w:pPr>
    </w:p>
    <w:p>
      <w:pPr>
        <w:ind w:right="-130" w:rightChars="-62"/>
        <w:rPr>
          <w:rFonts w:hint="eastAsia" w:ascii="宋体" w:hAnsi="宋体" w:eastAsia="宋体" w:cs="宋体"/>
          <w:color w:val="auto"/>
          <w:highlight w:val="none"/>
        </w:rPr>
      </w:pPr>
    </w:p>
    <w:p>
      <w:pPr>
        <w:ind w:right="-130" w:rightChars="-62"/>
        <w:rPr>
          <w:rFonts w:hint="eastAsia" w:ascii="宋体" w:hAnsi="宋体" w:eastAsia="宋体" w:cs="宋体"/>
          <w:color w:val="auto"/>
          <w:highlight w:val="none"/>
        </w:rPr>
      </w:pPr>
    </w:p>
    <w:p>
      <w:pPr>
        <w:ind w:right="-130" w:rightChars="-62"/>
        <w:rPr>
          <w:rFonts w:hint="eastAsia" w:ascii="宋体" w:hAnsi="宋体" w:eastAsia="宋体" w:cs="宋体"/>
          <w:color w:val="auto"/>
          <w:highlight w:val="none"/>
        </w:rPr>
      </w:pPr>
    </w:p>
    <w:p>
      <w:pPr>
        <w:ind w:right="-130" w:rightChars="-62"/>
        <w:rPr>
          <w:rFonts w:hint="eastAsia" w:ascii="宋体" w:hAnsi="宋体" w:eastAsia="宋体" w:cs="宋体"/>
          <w:color w:val="auto"/>
          <w:highlight w:val="none"/>
        </w:rPr>
      </w:pPr>
    </w:p>
    <w:p>
      <w:pPr>
        <w:ind w:right="-130" w:rightChars="-62"/>
        <w:rPr>
          <w:rFonts w:hint="eastAsia" w:ascii="宋体" w:hAnsi="宋体" w:eastAsia="宋体" w:cs="宋体"/>
          <w:color w:val="auto"/>
          <w:highlight w:val="none"/>
        </w:rPr>
      </w:pPr>
    </w:p>
    <w:p>
      <w:pPr>
        <w:ind w:right="-130" w:rightChars="-62"/>
        <w:rPr>
          <w:rFonts w:hint="eastAsia" w:ascii="宋体" w:hAnsi="宋体" w:eastAsia="宋体" w:cs="宋体"/>
          <w:color w:val="auto"/>
          <w:highlight w:val="none"/>
        </w:rPr>
      </w:pPr>
    </w:p>
    <w:p>
      <w:pPr>
        <w:ind w:right="-130" w:rightChars="-62"/>
        <w:rPr>
          <w:rFonts w:hint="eastAsia" w:ascii="宋体" w:hAnsi="宋体" w:eastAsia="宋体" w:cs="宋体"/>
          <w:color w:val="auto"/>
          <w:highlight w:val="none"/>
        </w:rPr>
      </w:pPr>
    </w:p>
    <w:p>
      <w:pPr>
        <w:ind w:right="-130" w:rightChars="-62"/>
        <w:rPr>
          <w:rFonts w:hint="eastAsia" w:ascii="宋体" w:hAnsi="宋体" w:eastAsia="宋体" w:cs="宋体"/>
          <w:color w:val="auto"/>
          <w:highlight w:val="none"/>
        </w:rPr>
      </w:pPr>
    </w:p>
    <w:p>
      <w:pPr>
        <w:ind w:right="-130" w:rightChars="-62"/>
        <w:rPr>
          <w:rFonts w:hint="eastAsia" w:ascii="宋体" w:hAnsi="宋体" w:eastAsia="宋体" w:cs="宋体"/>
          <w:color w:val="auto"/>
          <w:highlight w:val="none"/>
        </w:rPr>
      </w:pPr>
    </w:p>
    <w:p>
      <w:pPr>
        <w:ind w:right="-130" w:rightChars="-62"/>
        <w:rPr>
          <w:rFonts w:hint="eastAsia" w:ascii="宋体" w:hAnsi="宋体" w:eastAsia="宋体" w:cs="宋体"/>
          <w:color w:val="auto"/>
          <w:highlight w:val="none"/>
        </w:rPr>
      </w:pPr>
    </w:p>
    <w:p>
      <w:pPr>
        <w:ind w:right="-130" w:rightChars="-62"/>
        <w:rPr>
          <w:rFonts w:hint="eastAsia" w:ascii="宋体" w:hAnsi="宋体" w:eastAsia="宋体" w:cs="宋体"/>
          <w:color w:val="auto"/>
          <w:highlight w:val="none"/>
        </w:rPr>
      </w:pPr>
    </w:p>
    <w:p>
      <w:pPr>
        <w:ind w:right="-130" w:rightChars="-62"/>
        <w:rPr>
          <w:rFonts w:hint="eastAsia" w:ascii="宋体" w:hAnsi="宋体" w:eastAsia="宋体" w:cs="宋体"/>
          <w:color w:val="auto"/>
          <w:highlight w:val="none"/>
        </w:rPr>
      </w:pPr>
    </w:p>
    <w:p>
      <w:pPr>
        <w:ind w:right="-130" w:rightChars="-62"/>
        <w:rPr>
          <w:rFonts w:hint="eastAsia" w:ascii="宋体" w:hAnsi="宋体" w:eastAsia="宋体" w:cs="宋体"/>
          <w:color w:val="auto"/>
          <w:highlight w:val="none"/>
        </w:rPr>
      </w:pPr>
    </w:p>
    <w:p>
      <w:pPr>
        <w:topLinePunct/>
        <w:autoSpaceDE/>
        <w:autoSpaceDN/>
        <w:adjustRightInd w:val="0"/>
        <w:snapToGrid w:val="0"/>
        <w:spacing w:after="156" w:afterLines="50"/>
        <w:jc w:val="center"/>
        <w:outlineLvl w:val="1"/>
        <w:rPr>
          <w:rFonts w:hint="eastAsia" w:ascii="宋体" w:hAnsi="宋体" w:eastAsia="宋体" w:cs="宋体"/>
          <w:b/>
          <w:bCs/>
          <w:color w:val="auto"/>
          <w:sz w:val="44"/>
          <w:szCs w:val="44"/>
          <w:highlight w:val="none"/>
          <w:lang w:val="zh-CN"/>
        </w:rPr>
      </w:pPr>
      <w:bookmarkStart w:id="42" w:name="_Toc26315"/>
      <w:r>
        <w:rPr>
          <w:rFonts w:hint="eastAsia" w:ascii="宋体" w:hAnsi="宋体" w:eastAsia="宋体" w:cs="宋体"/>
          <w:color w:val="auto"/>
          <w:spacing w:val="4"/>
          <w:kern w:val="0"/>
          <w:sz w:val="44"/>
          <w:szCs w:val="44"/>
          <w:highlight w:val="none"/>
        </w:rPr>
        <w:t>二、经济标投标文件格式</w:t>
      </w:r>
      <w:bookmarkEnd w:id="42"/>
    </w:p>
    <w:p>
      <w:pPr>
        <w:autoSpaceDE w:val="0"/>
        <w:autoSpaceDN w:val="0"/>
        <w:adjustRightInd w:val="0"/>
        <w:rPr>
          <w:rFonts w:hint="eastAsia" w:ascii="宋体" w:hAnsi="宋体" w:eastAsia="宋体" w:cs="宋体"/>
          <w:b/>
          <w:bCs/>
          <w:color w:val="auto"/>
          <w:sz w:val="44"/>
          <w:szCs w:val="44"/>
          <w:highlight w:val="none"/>
          <w:lang w:val="zh-CN"/>
        </w:rPr>
      </w:pPr>
    </w:p>
    <w:p>
      <w:pPr>
        <w:widowControl/>
        <w:spacing w:before="100" w:beforeAutospacing="1" w:after="100" w:afterAutospacing="1"/>
        <w:jc w:val="left"/>
        <w:outlineLvl w:val="2"/>
        <w:rPr>
          <w:rFonts w:hint="eastAsia" w:ascii="宋体" w:hAnsi="宋体" w:eastAsia="宋体" w:cs="宋体"/>
          <w:b/>
          <w:bCs/>
          <w:color w:val="auto"/>
          <w:kern w:val="0"/>
          <w:sz w:val="44"/>
          <w:szCs w:val="44"/>
          <w:highlight w:val="none"/>
          <w:lang w:val="zh-CN" w:eastAsia="zh-CN"/>
        </w:rPr>
      </w:pPr>
      <w:bookmarkStart w:id="43" w:name="_Toc16171"/>
      <w:r>
        <w:rPr>
          <w:rFonts w:hint="eastAsia" w:ascii="宋体" w:hAnsi="宋体" w:eastAsia="Times New Roman"/>
          <w:bCs/>
          <w:color w:val="auto"/>
          <w:spacing w:val="4"/>
          <w:sz w:val="24"/>
          <w:szCs w:val="24"/>
          <w:highlight w:val="none"/>
        </w:rPr>
        <w:t>经济标格式一</w:t>
      </w:r>
      <w:r>
        <w:rPr>
          <w:rFonts w:hint="eastAsia" w:ascii="宋体" w:hAnsi="宋体" w:eastAsia="宋体"/>
          <w:bCs/>
          <w:color w:val="auto"/>
          <w:spacing w:val="4"/>
          <w:sz w:val="24"/>
          <w:szCs w:val="24"/>
          <w:highlight w:val="none"/>
          <w:lang w:eastAsia="zh-CN"/>
        </w:rPr>
        <w:t>：</w:t>
      </w:r>
      <w:bookmarkEnd w:id="43"/>
    </w:p>
    <w:p>
      <w:pPr>
        <w:autoSpaceDE w:val="0"/>
        <w:autoSpaceDN w:val="0"/>
        <w:adjustRightInd w:val="0"/>
        <w:jc w:val="center"/>
        <w:rPr>
          <w:rFonts w:hint="eastAsia" w:ascii="宋体" w:hAnsi="宋体" w:eastAsia="宋体" w:cs="宋体"/>
          <w:b/>
          <w:bCs/>
          <w:color w:val="auto"/>
          <w:sz w:val="44"/>
          <w:szCs w:val="44"/>
          <w:highlight w:val="none"/>
          <w:lang w:val="zh-CN"/>
        </w:rPr>
      </w:pPr>
    </w:p>
    <w:p>
      <w:pPr>
        <w:widowControl/>
        <w:topLinePunct/>
        <w:adjustRightInd w:val="0"/>
        <w:snapToGrid w:val="0"/>
        <w:spacing w:line="273" w:lineRule="auto"/>
        <w:jc w:val="center"/>
        <w:outlineLvl w:val="1"/>
        <w:rPr>
          <w:rFonts w:hint="eastAsia" w:ascii="宋体" w:hAnsi="宋体" w:eastAsia="宋体" w:cs="宋体"/>
          <w:b/>
          <w:bCs/>
          <w:color w:val="auto"/>
          <w:spacing w:val="4"/>
          <w:kern w:val="0"/>
          <w:sz w:val="36"/>
          <w:szCs w:val="36"/>
          <w:highlight w:val="none"/>
        </w:rPr>
      </w:pPr>
      <w:bookmarkStart w:id="44" w:name="_Toc21286"/>
      <w:r>
        <w:rPr>
          <w:rFonts w:hint="eastAsia" w:ascii="宋体" w:hAnsi="宋体" w:eastAsia="宋体" w:cs="宋体"/>
          <w:b/>
          <w:bCs/>
          <w:color w:val="auto"/>
          <w:spacing w:val="4"/>
          <w:kern w:val="0"/>
          <w:sz w:val="36"/>
          <w:szCs w:val="36"/>
          <w:highlight w:val="none"/>
        </w:rPr>
        <w:t>广州建设工程施工招标投标书（经济标）</w:t>
      </w:r>
      <w:bookmarkEnd w:id="44"/>
    </w:p>
    <w:tbl>
      <w:tblPr>
        <w:tblStyle w:val="20"/>
        <w:tblpPr w:leftFromText="180" w:rightFromText="180" w:vertAnchor="text" w:horzAnchor="margin" w:tblpXSpec="center" w:tblpY="275"/>
        <w:tblW w:w="9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4"/>
        <w:gridCol w:w="6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33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宋体"/>
                <w:bCs/>
                <w:color w:val="auto"/>
                <w:sz w:val="24"/>
                <w:szCs w:val="24"/>
                <w:highlight w:val="none"/>
                <w:lang w:val="zh-CN"/>
              </w:rPr>
            </w:pPr>
            <w:r>
              <w:rPr>
                <w:rFonts w:hint="eastAsia" w:ascii="宋体" w:hAnsi="宋体" w:eastAsia="宋体" w:cs="宋体"/>
                <w:color w:val="auto"/>
                <w:sz w:val="24"/>
                <w:szCs w:val="24"/>
                <w:highlight w:val="none"/>
                <w:lang w:val="zh-CN"/>
              </w:rPr>
              <w:t>工 程 名 称</w:t>
            </w:r>
          </w:p>
        </w:tc>
        <w:tc>
          <w:tcPr>
            <w:tcW w:w="6045"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宋体" w:hAnsi="宋体" w:eastAsia="宋体" w:cs="宋体"/>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334"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宋体"/>
                <w:bCs/>
                <w:color w:val="auto"/>
                <w:sz w:val="24"/>
                <w:szCs w:val="24"/>
                <w:highlight w:val="none"/>
                <w:lang w:val="zh-CN"/>
              </w:rPr>
            </w:pPr>
            <w:r>
              <w:rPr>
                <w:rFonts w:hint="eastAsia" w:ascii="宋体" w:hAnsi="宋体" w:eastAsia="宋体" w:cs="宋体"/>
                <w:color w:val="auto"/>
                <w:sz w:val="24"/>
                <w:szCs w:val="24"/>
                <w:highlight w:val="none"/>
                <w:lang w:val="zh-CN"/>
              </w:rPr>
              <w:t>投标总报价（元）</w:t>
            </w:r>
          </w:p>
        </w:tc>
        <w:tc>
          <w:tcPr>
            <w:tcW w:w="60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宋体" w:hAnsi="宋体" w:eastAsia="宋体" w:cs="宋体"/>
                <w:bCs/>
                <w:color w:val="auto"/>
                <w:sz w:val="24"/>
                <w:szCs w:val="24"/>
                <w:highlight w:val="none"/>
                <w:lang w:val="zh-CN"/>
              </w:rPr>
            </w:pPr>
            <w:r>
              <w:rPr>
                <w:rFonts w:hint="eastAsia" w:ascii="宋体" w:hAnsi="宋体" w:eastAsia="宋体" w:cs="宋体"/>
                <w:color w:val="auto"/>
                <w:sz w:val="24"/>
                <w:szCs w:val="24"/>
                <w:highlight w:val="none"/>
              </w:rPr>
              <w:t>大写：</w:t>
            </w:r>
            <w:r>
              <w:rPr>
                <w:rFonts w:hint="eastAsia" w:ascii="宋体" w:hAnsi="宋体" w:eastAsia="宋体" w:cs="宋体"/>
                <w:bCs/>
                <w:color w:val="auto"/>
                <w:sz w:val="24"/>
                <w:szCs w:val="24"/>
                <w:highlight w:val="non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3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Cs/>
                <w:color w:val="auto"/>
                <w:sz w:val="24"/>
                <w:szCs w:val="24"/>
                <w:highlight w:val="none"/>
                <w:lang w:val="zh-CN"/>
              </w:rPr>
            </w:pPr>
          </w:p>
        </w:tc>
        <w:tc>
          <w:tcPr>
            <w:tcW w:w="60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宋体" w:hAnsi="宋体" w:eastAsia="宋体" w:cs="宋体"/>
                <w:bCs/>
                <w:color w:val="auto"/>
                <w:sz w:val="24"/>
                <w:szCs w:val="24"/>
                <w:highlight w:val="none"/>
                <w:lang w:val="zh-CN"/>
              </w:rPr>
            </w:pPr>
            <w:r>
              <w:rPr>
                <w:rFonts w:hint="eastAsia" w:ascii="宋体" w:hAnsi="宋体" w:eastAsia="宋体" w:cs="宋体"/>
                <w:color w:val="auto"/>
                <w:sz w:val="24"/>
                <w:szCs w:val="24"/>
                <w:highlight w:val="none"/>
              </w:rPr>
              <w:t>小写：</w:t>
            </w:r>
            <w:r>
              <w:rPr>
                <w:rFonts w:hint="eastAsia" w:ascii="宋体" w:hAnsi="宋体" w:eastAsia="宋体" w:cs="宋体"/>
                <w:bCs/>
                <w:color w:val="auto"/>
                <w:sz w:val="24"/>
                <w:szCs w:val="24"/>
                <w:highlight w:val="non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3334"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宋体"/>
                <w:bCs/>
                <w:color w:val="auto"/>
                <w:sz w:val="24"/>
                <w:szCs w:val="24"/>
                <w:highlight w:val="none"/>
                <w:lang w:val="zh-CN"/>
              </w:rPr>
            </w:pPr>
            <w:r>
              <w:rPr>
                <w:rFonts w:hint="eastAsia" w:ascii="宋体" w:hAnsi="宋体" w:eastAsia="宋体" w:cs="宋体"/>
                <w:color w:val="auto"/>
                <w:sz w:val="24"/>
                <w:szCs w:val="24"/>
                <w:highlight w:val="none"/>
                <w:lang w:val="zh-CN"/>
              </w:rPr>
              <w:t>其中：</w:t>
            </w:r>
            <w:r>
              <w:rPr>
                <w:rFonts w:hint="eastAsia" w:ascii="宋体" w:hAnsi="宋体" w:eastAsia="宋体" w:cs="宋体"/>
                <w:bCs/>
                <w:color w:val="auto"/>
                <w:sz w:val="24"/>
                <w:szCs w:val="24"/>
                <w:highlight w:val="none"/>
                <w:lang w:val="zh-CN"/>
              </w:rPr>
              <w:t>人工费</w:t>
            </w:r>
            <w:r>
              <w:rPr>
                <w:rFonts w:hint="eastAsia" w:ascii="宋体" w:hAnsi="宋体" w:eastAsia="宋体" w:cs="宋体"/>
                <w:color w:val="auto"/>
                <w:sz w:val="24"/>
                <w:szCs w:val="24"/>
                <w:highlight w:val="none"/>
                <w:lang w:val="zh-CN"/>
              </w:rPr>
              <w:t>（元）</w:t>
            </w:r>
          </w:p>
        </w:tc>
        <w:tc>
          <w:tcPr>
            <w:tcW w:w="60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宋体" w:hAnsi="宋体" w:eastAsia="宋体" w:cs="宋体"/>
                <w:bCs/>
                <w:color w:val="auto"/>
                <w:sz w:val="24"/>
                <w:szCs w:val="24"/>
                <w:highlight w:val="none"/>
                <w:lang w:val="zh-CN"/>
              </w:rPr>
            </w:pPr>
            <w:r>
              <w:rPr>
                <w:rFonts w:hint="eastAsia" w:ascii="宋体" w:hAnsi="宋体" w:eastAsia="宋体" w:cs="宋体"/>
                <w:color w:val="auto"/>
                <w:sz w:val="24"/>
                <w:szCs w:val="24"/>
                <w:highlight w:val="none"/>
              </w:rPr>
              <w:t>大写：</w:t>
            </w:r>
            <w:r>
              <w:rPr>
                <w:rFonts w:hint="eastAsia" w:ascii="宋体" w:hAnsi="宋体" w:eastAsia="宋体" w:cs="宋体"/>
                <w:bCs/>
                <w:color w:val="auto"/>
                <w:sz w:val="24"/>
                <w:szCs w:val="24"/>
                <w:highlight w:val="non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33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Cs/>
                <w:color w:val="auto"/>
                <w:sz w:val="24"/>
                <w:szCs w:val="24"/>
                <w:highlight w:val="none"/>
                <w:lang w:val="zh-CN"/>
              </w:rPr>
            </w:pPr>
          </w:p>
        </w:tc>
        <w:tc>
          <w:tcPr>
            <w:tcW w:w="60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宋体" w:hAnsi="宋体" w:eastAsia="宋体" w:cs="宋体"/>
                <w:bCs/>
                <w:color w:val="auto"/>
                <w:sz w:val="24"/>
                <w:szCs w:val="24"/>
                <w:highlight w:val="none"/>
                <w:lang w:val="zh-CN"/>
              </w:rPr>
            </w:pPr>
            <w:r>
              <w:rPr>
                <w:rFonts w:hint="eastAsia" w:ascii="宋体" w:hAnsi="宋体" w:eastAsia="宋体" w:cs="宋体"/>
                <w:color w:val="auto"/>
                <w:sz w:val="24"/>
                <w:szCs w:val="24"/>
                <w:highlight w:val="none"/>
              </w:rPr>
              <w:t>小写：</w:t>
            </w:r>
            <w:r>
              <w:rPr>
                <w:rFonts w:hint="eastAsia" w:ascii="宋体" w:hAnsi="宋体" w:eastAsia="宋体" w:cs="宋体"/>
                <w:bCs/>
                <w:color w:val="auto"/>
                <w:sz w:val="24"/>
                <w:szCs w:val="24"/>
                <w:highlight w:val="non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3334" w:type="dxa"/>
            <w:vMerge w:val="restart"/>
            <w:tcBorders>
              <w:top w:val="single" w:color="auto" w:sz="4" w:space="0"/>
              <w:left w:val="single" w:color="auto" w:sz="4" w:space="0"/>
              <w:right w:val="single" w:color="auto" w:sz="4" w:space="0"/>
            </w:tcBorders>
            <w:noWrap w:val="0"/>
            <w:vAlign w:val="center"/>
          </w:tcPr>
          <w:p>
            <w:pPr>
              <w:widowControl/>
              <w:jc w:val="left"/>
              <w:rPr>
                <w:rFonts w:hint="eastAsia" w:ascii="宋体" w:hAnsi="宋体" w:eastAsia="宋体" w:cs="宋体"/>
                <w:b/>
                <w:color w:val="auto"/>
                <w:sz w:val="24"/>
                <w:szCs w:val="24"/>
                <w:highlight w:val="none"/>
                <w:lang w:val="zh-CN"/>
              </w:rPr>
            </w:pPr>
            <w:r>
              <w:rPr>
                <w:rFonts w:hint="eastAsia" w:ascii="宋体" w:hAnsi="宋体" w:eastAsia="宋体" w:cs="宋体"/>
                <w:bCs/>
                <w:color w:val="auto"/>
                <w:sz w:val="24"/>
                <w:szCs w:val="24"/>
                <w:highlight w:val="none"/>
                <w:lang w:val="zh-CN"/>
              </w:rPr>
              <w:t>其中：</w:t>
            </w:r>
            <w:r>
              <w:rPr>
                <w:rFonts w:hint="eastAsia" w:ascii="宋体" w:hAnsi="宋体" w:eastAsia="宋体" w:cs="宋体"/>
                <w:color w:val="auto"/>
                <w:sz w:val="24"/>
                <w:szCs w:val="24"/>
                <w:highlight w:val="none"/>
                <w:lang w:val="zh-CN"/>
              </w:rPr>
              <w:t>绿色施工安全防护措施费（元）</w:t>
            </w:r>
          </w:p>
        </w:tc>
        <w:tc>
          <w:tcPr>
            <w:tcW w:w="60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宋体" w:hAnsi="宋体" w:eastAsia="宋体" w:cs="宋体"/>
                <w:bCs/>
                <w:color w:val="auto"/>
                <w:sz w:val="24"/>
                <w:szCs w:val="24"/>
                <w:highlight w:val="none"/>
                <w:lang w:val="zh-CN"/>
              </w:rPr>
            </w:pPr>
            <w:r>
              <w:rPr>
                <w:rFonts w:hint="eastAsia" w:ascii="宋体" w:hAnsi="宋体" w:eastAsia="宋体" w:cs="宋体"/>
                <w:color w:val="auto"/>
                <w:sz w:val="24"/>
                <w:szCs w:val="24"/>
                <w:highlight w:val="none"/>
              </w:rPr>
              <w:t>大写：</w:t>
            </w:r>
            <w:r>
              <w:rPr>
                <w:rFonts w:hint="eastAsia" w:ascii="宋体" w:hAnsi="宋体" w:eastAsia="宋体" w:cs="宋体"/>
                <w:bCs/>
                <w:color w:val="auto"/>
                <w:sz w:val="24"/>
                <w:szCs w:val="24"/>
                <w:highlight w:val="non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3334" w:type="dxa"/>
            <w:vMerge w:val="continue"/>
            <w:tcBorders>
              <w:left w:val="single" w:color="auto" w:sz="4" w:space="0"/>
              <w:right w:val="single" w:color="auto" w:sz="4" w:space="0"/>
            </w:tcBorders>
            <w:noWrap w:val="0"/>
            <w:vAlign w:val="center"/>
          </w:tcPr>
          <w:p>
            <w:pPr>
              <w:widowControl/>
              <w:jc w:val="left"/>
              <w:rPr>
                <w:rFonts w:hint="eastAsia" w:ascii="宋体" w:hAnsi="宋体" w:eastAsia="宋体" w:cs="宋体"/>
                <w:bCs/>
                <w:color w:val="auto"/>
                <w:sz w:val="24"/>
                <w:szCs w:val="24"/>
                <w:highlight w:val="none"/>
                <w:lang w:val="zh-CN"/>
              </w:rPr>
            </w:pPr>
          </w:p>
        </w:tc>
        <w:tc>
          <w:tcPr>
            <w:tcW w:w="60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宋体" w:hAnsi="宋体" w:eastAsia="宋体" w:cs="宋体"/>
                <w:bCs/>
                <w:color w:val="auto"/>
                <w:sz w:val="24"/>
                <w:szCs w:val="24"/>
                <w:highlight w:val="none"/>
                <w:lang w:val="zh-CN"/>
              </w:rPr>
            </w:pPr>
            <w:r>
              <w:rPr>
                <w:rFonts w:hint="eastAsia" w:ascii="宋体" w:hAnsi="宋体" w:eastAsia="宋体" w:cs="宋体"/>
                <w:color w:val="auto"/>
                <w:sz w:val="24"/>
                <w:szCs w:val="24"/>
                <w:highlight w:val="none"/>
              </w:rPr>
              <w:t>小写：</w:t>
            </w:r>
            <w:r>
              <w:rPr>
                <w:rFonts w:hint="eastAsia" w:ascii="宋体" w:hAnsi="宋体" w:eastAsia="宋体" w:cs="宋体"/>
                <w:bCs/>
                <w:color w:val="auto"/>
                <w:sz w:val="24"/>
                <w:szCs w:val="24"/>
                <w:highlight w:val="non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3334" w:type="dxa"/>
            <w:vMerge w:val="restart"/>
            <w:tcBorders>
              <w:left w:val="single" w:color="auto" w:sz="4" w:space="0"/>
              <w:right w:val="single" w:color="auto" w:sz="4" w:space="0"/>
            </w:tcBorders>
            <w:noWrap w:val="0"/>
            <w:vAlign w:val="center"/>
          </w:tcPr>
          <w:p>
            <w:pPr>
              <w:widowControl/>
              <w:jc w:val="left"/>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其中： 暂列金额</w:t>
            </w:r>
            <w:r>
              <w:rPr>
                <w:rFonts w:hint="eastAsia" w:ascii="宋体" w:hAnsi="宋体" w:eastAsia="宋体" w:cs="宋体"/>
                <w:color w:val="auto"/>
                <w:sz w:val="24"/>
                <w:szCs w:val="24"/>
                <w:highlight w:val="none"/>
                <w:lang w:val="zh-CN"/>
              </w:rPr>
              <w:t>（元）</w:t>
            </w:r>
          </w:p>
        </w:tc>
        <w:tc>
          <w:tcPr>
            <w:tcW w:w="60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宋体" w:hAnsi="宋体" w:eastAsia="宋体" w:cs="宋体"/>
                <w:bCs/>
                <w:color w:val="auto"/>
                <w:sz w:val="24"/>
                <w:szCs w:val="24"/>
                <w:highlight w:val="none"/>
                <w:lang w:val="zh-CN"/>
              </w:rPr>
            </w:pPr>
            <w:r>
              <w:rPr>
                <w:rFonts w:hint="eastAsia" w:ascii="宋体" w:hAnsi="宋体" w:eastAsia="宋体" w:cs="宋体"/>
                <w:color w:val="auto"/>
                <w:sz w:val="24"/>
                <w:szCs w:val="24"/>
                <w:highlight w:val="none"/>
              </w:rPr>
              <w:t>大写：</w:t>
            </w:r>
            <w:r>
              <w:rPr>
                <w:rFonts w:hint="eastAsia" w:ascii="宋体" w:hAnsi="宋体" w:eastAsia="宋体" w:cs="宋体"/>
                <w:bCs/>
                <w:color w:val="auto"/>
                <w:sz w:val="24"/>
                <w:szCs w:val="24"/>
                <w:highlight w:val="non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3334"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Cs/>
                <w:color w:val="auto"/>
                <w:sz w:val="24"/>
                <w:szCs w:val="24"/>
                <w:highlight w:val="none"/>
                <w:lang w:val="zh-CN"/>
              </w:rPr>
            </w:pPr>
          </w:p>
        </w:tc>
        <w:tc>
          <w:tcPr>
            <w:tcW w:w="60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宋体" w:hAnsi="宋体" w:eastAsia="宋体" w:cs="宋体"/>
                <w:bCs/>
                <w:color w:val="auto"/>
                <w:sz w:val="24"/>
                <w:szCs w:val="24"/>
                <w:highlight w:val="none"/>
                <w:lang w:val="zh-CN"/>
              </w:rPr>
            </w:pPr>
            <w:r>
              <w:rPr>
                <w:rFonts w:hint="eastAsia" w:ascii="宋体" w:hAnsi="宋体" w:eastAsia="宋体" w:cs="宋体"/>
                <w:color w:val="auto"/>
                <w:sz w:val="24"/>
                <w:szCs w:val="24"/>
                <w:highlight w:val="none"/>
              </w:rPr>
              <w:t>小写：</w:t>
            </w:r>
            <w:r>
              <w:rPr>
                <w:rFonts w:hint="eastAsia" w:ascii="宋体" w:hAnsi="宋体" w:eastAsia="宋体" w:cs="宋体"/>
                <w:bCs/>
                <w:color w:val="auto"/>
                <w:sz w:val="24"/>
                <w:szCs w:val="24"/>
                <w:highlight w:val="none"/>
                <w:lang w:val="zh-CN"/>
              </w:rPr>
              <w:t xml:space="preserve"> </w:t>
            </w:r>
          </w:p>
        </w:tc>
      </w:tr>
    </w:tbl>
    <w:p>
      <w:pPr>
        <w:widowControl/>
        <w:spacing w:before="100" w:beforeAutospacing="1" w:after="100" w:afterAutospacing="1"/>
        <w:jc w:val="left"/>
        <w:outlineLvl w:val="2"/>
        <w:rPr>
          <w:rFonts w:hint="eastAsia" w:ascii="宋体" w:hAnsi="宋体" w:eastAsia="宋体" w:cs="宋体"/>
          <w:bCs/>
          <w:color w:val="auto"/>
          <w:kern w:val="0"/>
          <w:sz w:val="24"/>
          <w:szCs w:val="24"/>
          <w:highlight w:val="none"/>
          <w:lang w:eastAsia="zh-CN"/>
        </w:rPr>
      </w:pPr>
      <w:r>
        <w:rPr>
          <w:rFonts w:hint="eastAsia" w:ascii="宋体" w:hAnsi="宋体" w:eastAsia="宋体" w:cs="宋体"/>
          <w:color w:val="auto"/>
          <w:kern w:val="0"/>
          <w:sz w:val="24"/>
          <w:szCs w:val="24"/>
          <w:highlight w:val="none"/>
        </w:rPr>
        <w:br w:type="page"/>
      </w:r>
      <w:bookmarkStart w:id="45" w:name="_Toc30992"/>
      <w:r>
        <w:rPr>
          <w:rFonts w:hint="eastAsia" w:ascii="宋体" w:hAnsi="宋体" w:eastAsia="Times New Roman"/>
          <w:bCs/>
          <w:color w:val="auto"/>
          <w:spacing w:val="4"/>
          <w:sz w:val="24"/>
          <w:szCs w:val="24"/>
          <w:highlight w:val="none"/>
        </w:rPr>
        <w:t>经济标格式</w:t>
      </w:r>
      <w:r>
        <w:rPr>
          <w:rFonts w:hint="eastAsia" w:ascii="宋体" w:hAnsi="宋体" w:eastAsia="宋体"/>
          <w:bCs/>
          <w:color w:val="auto"/>
          <w:spacing w:val="4"/>
          <w:sz w:val="24"/>
          <w:szCs w:val="24"/>
          <w:highlight w:val="none"/>
          <w:lang w:val="en-US" w:eastAsia="zh-CN"/>
        </w:rPr>
        <w:t>二：</w:t>
      </w:r>
      <w:bookmarkEnd w:id="45"/>
    </w:p>
    <w:p>
      <w:pPr>
        <w:autoSpaceDE w:val="0"/>
        <w:autoSpaceDN w:val="0"/>
        <w:adjustRightInd w:val="0"/>
        <w:rPr>
          <w:rFonts w:hint="eastAsia" w:ascii="宋体" w:hAnsi="宋体" w:eastAsia="宋体" w:cs="宋体"/>
          <w:color w:val="auto"/>
          <w:sz w:val="24"/>
          <w:szCs w:val="24"/>
          <w:highlight w:val="none"/>
        </w:rPr>
      </w:pPr>
    </w:p>
    <w:p>
      <w:pPr>
        <w:widowControl/>
        <w:topLinePunct/>
        <w:adjustRightInd w:val="0"/>
        <w:snapToGrid w:val="0"/>
        <w:spacing w:line="273" w:lineRule="auto"/>
        <w:jc w:val="center"/>
        <w:outlineLvl w:val="1"/>
        <w:rPr>
          <w:rFonts w:hint="eastAsia" w:ascii="宋体" w:hAnsi="宋体" w:eastAsia="宋体" w:cs="宋体"/>
          <w:b/>
          <w:bCs/>
          <w:color w:val="auto"/>
          <w:spacing w:val="4"/>
          <w:kern w:val="0"/>
          <w:sz w:val="36"/>
          <w:szCs w:val="36"/>
          <w:highlight w:val="none"/>
        </w:rPr>
      </w:pPr>
      <w:bookmarkStart w:id="46" w:name="_Toc30258"/>
      <w:r>
        <w:rPr>
          <w:rFonts w:hint="eastAsia" w:ascii="宋体" w:hAnsi="宋体" w:eastAsia="宋体" w:cs="宋体"/>
          <w:b/>
          <w:bCs/>
          <w:color w:val="auto"/>
          <w:spacing w:val="4"/>
          <w:kern w:val="0"/>
          <w:sz w:val="36"/>
          <w:szCs w:val="36"/>
          <w:highlight w:val="none"/>
        </w:rPr>
        <w:t>参与编制经济标投标文件人员名单</w:t>
      </w:r>
      <w:bookmarkEnd w:id="46"/>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1441"/>
        <w:gridCol w:w="2461"/>
        <w:gridCol w:w="2359"/>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8919" w:type="dxa"/>
            <w:gridSpan w:val="5"/>
            <w:noWrap w:val="0"/>
            <w:vAlign w:val="center"/>
          </w:tcPr>
          <w:p>
            <w:pPr>
              <w:tabs>
                <w:tab w:val="left" w:pos="720"/>
              </w:tabs>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39" w:type="dxa"/>
            <w:noWrap w:val="0"/>
            <w:vAlign w:val="center"/>
          </w:tcPr>
          <w:p>
            <w:pPr>
              <w:tabs>
                <w:tab w:val="left" w:pos="720"/>
              </w:tabs>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p>
        </w:tc>
        <w:tc>
          <w:tcPr>
            <w:tcW w:w="1441" w:type="dxa"/>
            <w:noWrap w:val="0"/>
            <w:vAlign w:val="center"/>
          </w:tcPr>
          <w:p>
            <w:pPr>
              <w:tabs>
                <w:tab w:val="left" w:pos="720"/>
              </w:tabs>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职务</w:t>
            </w:r>
          </w:p>
        </w:tc>
        <w:tc>
          <w:tcPr>
            <w:tcW w:w="2461" w:type="dxa"/>
            <w:noWrap w:val="0"/>
            <w:vAlign w:val="center"/>
          </w:tcPr>
          <w:p>
            <w:pPr>
              <w:tabs>
                <w:tab w:val="left" w:pos="720"/>
              </w:tabs>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所承担工作</w:t>
            </w:r>
          </w:p>
        </w:tc>
        <w:tc>
          <w:tcPr>
            <w:tcW w:w="2359" w:type="dxa"/>
            <w:noWrap w:val="0"/>
            <w:vAlign w:val="center"/>
          </w:tcPr>
          <w:p>
            <w:pPr>
              <w:tabs>
                <w:tab w:val="left" w:pos="720"/>
              </w:tabs>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身份证号码</w:t>
            </w:r>
          </w:p>
        </w:tc>
        <w:tc>
          <w:tcPr>
            <w:tcW w:w="1419" w:type="dxa"/>
            <w:noWrap w:val="0"/>
            <w:vAlign w:val="center"/>
          </w:tcPr>
          <w:p>
            <w:pPr>
              <w:tabs>
                <w:tab w:val="left" w:pos="720"/>
              </w:tabs>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本人签名栏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9" w:type="dxa"/>
            <w:noWrap w:val="0"/>
            <w:vAlign w:val="center"/>
          </w:tcPr>
          <w:p>
            <w:pPr>
              <w:tabs>
                <w:tab w:val="left" w:pos="720"/>
              </w:tabs>
              <w:snapToGrid w:val="0"/>
              <w:spacing w:line="360" w:lineRule="auto"/>
              <w:jc w:val="center"/>
              <w:rPr>
                <w:rFonts w:hint="eastAsia" w:ascii="宋体" w:hAnsi="宋体" w:eastAsia="宋体" w:cs="宋体"/>
                <w:color w:val="auto"/>
                <w:sz w:val="24"/>
                <w:szCs w:val="24"/>
                <w:highlight w:val="none"/>
              </w:rPr>
            </w:pPr>
          </w:p>
        </w:tc>
        <w:tc>
          <w:tcPr>
            <w:tcW w:w="1441" w:type="dxa"/>
            <w:noWrap w:val="0"/>
            <w:vAlign w:val="center"/>
          </w:tcPr>
          <w:p>
            <w:pPr>
              <w:tabs>
                <w:tab w:val="left" w:pos="720"/>
              </w:tabs>
              <w:snapToGrid w:val="0"/>
              <w:spacing w:line="360" w:lineRule="auto"/>
              <w:jc w:val="center"/>
              <w:rPr>
                <w:rFonts w:hint="eastAsia" w:ascii="宋体" w:hAnsi="宋体" w:eastAsia="宋体" w:cs="宋体"/>
                <w:color w:val="auto"/>
                <w:sz w:val="24"/>
                <w:szCs w:val="24"/>
                <w:highlight w:val="none"/>
              </w:rPr>
            </w:pPr>
          </w:p>
        </w:tc>
        <w:tc>
          <w:tcPr>
            <w:tcW w:w="2461" w:type="dxa"/>
            <w:noWrap w:val="0"/>
            <w:vAlign w:val="center"/>
          </w:tcPr>
          <w:p>
            <w:pPr>
              <w:tabs>
                <w:tab w:val="left" w:pos="720"/>
              </w:tabs>
              <w:snapToGrid w:val="0"/>
              <w:spacing w:line="360" w:lineRule="auto"/>
              <w:jc w:val="center"/>
              <w:rPr>
                <w:rFonts w:hint="eastAsia" w:ascii="宋体" w:hAnsi="宋体" w:eastAsia="宋体" w:cs="宋体"/>
                <w:color w:val="auto"/>
                <w:sz w:val="24"/>
                <w:szCs w:val="24"/>
                <w:highlight w:val="none"/>
              </w:rPr>
            </w:pPr>
          </w:p>
        </w:tc>
        <w:tc>
          <w:tcPr>
            <w:tcW w:w="2359" w:type="dxa"/>
            <w:noWrap w:val="0"/>
            <w:vAlign w:val="center"/>
          </w:tcPr>
          <w:p>
            <w:pPr>
              <w:tabs>
                <w:tab w:val="left" w:pos="720"/>
              </w:tabs>
              <w:snapToGrid w:val="0"/>
              <w:spacing w:line="360" w:lineRule="auto"/>
              <w:jc w:val="center"/>
              <w:rPr>
                <w:rFonts w:hint="eastAsia" w:ascii="宋体" w:hAnsi="宋体" w:eastAsia="宋体" w:cs="宋体"/>
                <w:color w:val="auto"/>
                <w:sz w:val="24"/>
                <w:szCs w:val="24"/>
                <w:highlight w:val="none"/>
              </w:rPr>
            </w:pPr>
          </w:p>
        </w:tc>
        <w:tc>
          <w:tcPr>
            <w:tcW w:w="1419" w:type="dxa"/>
            <w:noWrap w:val="0"/>
            <w:vAlign w:val="center"/>
          </w:tcPr>
          <w:p>
            <w:pPr>
              <w:tabs>
                <w:tab w:val="left" w:pos="720"/>
              </w:tabs>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39" w:type="dxa"/>
            <w:noWrap w:val="0"/>
            <w:vAlign w:val="center"/>
          </w:tcPr>
          <w:p>
            <w:pPr>
              <w:tabs>
                <w:tab w:val="left" w:pos="720"/>
              </w:tabs>
              <w:snapToGrid w:val="0"/>
              <w:spacing w:line="360" w:lineRule="auto"/>
              <w:jc w:val="center"/>
              <w:rPr>
                <w:rFonts w:hint="eastAsia" w:ascii="宋体" w:hAnsi="宋体" w:eastAsia="宋体" w:cs="宋体"/>
                <w:color w:val="auto"/>
                <w:sz w:val="24"/>
                <w:szCs w:val="24"/>
                <w:highlight w:val="none"/>
              </w:rPr>
            </w:pPr>
          </w:p>
        </w:tc>
        <w:tc>
          <w:tcPr>
            <w:tcW w:w="1441" w:type="dxa"/>
            <w:noWrap w:val="0"/>
            <w:vAlign w:val="center"/>
          </w:tcPr>
          <w:p>
            <w:pPr>
              <w:tabs>
                <w:tab w:val="left" w:pos="720"/>
              </w:tabs>
              <w:snapToGrid w:val="0"/>
              <w:spacing w:line="360" w:lineRule="auto"/>
              <w:jc w:val="center"/>
              <w:rPr>
                <w:rFonts w:hint="eastAsia" w:ascii="宋体" w:hAnsi="宋体" w:eastAsia="宋体" w:cs="宋体"/>
                <w:color w:val="auto"/>
                <w:sz w:val="24"/>
                <w:szCs w:val="24"/>
                <w:highlight w:val="none"/>
              </w:rPr>
            </w:pPr>
          </w:p>
        </w:tc>
        <w:tc>
          <w:tcPr>
            <w:tcW w:w="2461" w:type="dxa"/>
            <w:noWrap w:val="0"/>
            <w:vAlign w:val="center"/>
          </w:tcPr>
          <w:p>
            <w:pPr>
              <w:tabs>
                <w:tab w:val="left" w:pos="720"/>
              </w:tabs>
              <w:snapToGrid w:val="0"/>
              <w:spacing w:line="360" w:lineRule="auto"/>
              <w:jc w:val="center"/>
              <w:rPr>
                <w:rFonts w:hint="eastAsia" w:ascii="宋体" w:hAnsi="宋体" w:eastAsia="宋体" w:cs="宋体"/>
                <w:color w:val="auto"/>
                <w:sz w:val="24"/>
                <w:szCs w:val="24"/>
                <w:highlight w:val="none"/>
              </w:rPr>
            </w:pPr>
          </w:p>
        </w:tc>
        <w:tc>
          <w:tcPr>
            <w:tcW w:w="2359" w:type="dxa"/>
            <w:noWrap w:val="0"/>
            <w:vAlign w:val="center"/>
          </w:tcPr>
          <w:p>
            <w:pPr>
              <w:tabs>
                <w:tab w:val="left" w:pos="720"/>
              </w:tabs>
              <w:snapToGrid w:val="0"/>
              <w:spacing w:line="360" w:lineRule="auto"/>
              <w:jc w:val="center"/>
              <w:rPr>
                <w:rFonts w:hint="eastAsia" w:ascii="宋体" w:hAnsi="宋体" w:eastAsia="宋体" w:cs="宋体"/>
                <w:color w:val="auto"/>
                <w:sz w:val="24"/>
                <w:szCs w:val="24"/>
                <w:highlight w:val="none"/>
              </w:rPr>
            </w:pPr>
          </w:p>
        </w:tc>
        <w:tc>
          <w:tcPr>
            <w:tcW w:w="1419" w:type="dxa"/>
            <w:noWrap w:val="0"/>
            <w:vAlign w:val="center"/>
          </w:tcPr>
          <w:p>
            <w:pPr>
              <w:tabs>
                <w:tab w:val="left" w:pos="720"/>
              </w:tabs>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39" w:type="dxa"/>
            <w:noWrap w:val="0"/>
            <w:vAlign w:val="center"/>
          </w:tcPr>
          <w:p>
            <w:pPr>
              <w:tabs>
                <w:tab w:val="left" w:pos="720"/>
              </w:tabs>
              <w:snapToGrid w:val="0"/>
              <w:spacing w:line="360" w:lineRule="auto"/>
              <w:jc w:val="center"/>
              <w:rPr>
                <w:rFonts w:hint="eastAsia" w:ascii="宋体" w:hAnsi="宋体" w:eastAsia="宋体" w:cs="宋体"/>
                <w:color w:val="auto"/>
                <w:sz w:val="24"/>
                <w:szCs w:val="24"/>
                <w:highlight w:val="none"/>
              </w:rPr>
            </w:pPr>
          </w:p>
        </w:tc>
        <w:tc>
          <w:tcPr>
            <w:tcW w:w="1441" w:type="dxa"/>
            <w:noWrap w:val="0"/>
            <w:vAlign w:val="center"/>
          </w:tcPr>
          <w:p>
            <w:pPr>
              <w:tabs>
                <w:tab w:val="left" w:pos="720"/>
              </w:tabs>
              <w:snapToGrid w:val="0"/>
              <w:spacing w:line="360" w:lineRule="auto"/>
              <w:jc w:val="center"/>
              <w:rPr>
                <w:rFonts w:hint="eastAsia" w:ascii="宋体" w:hAnsi="宋体" w:eastAsia="宋体" w:cs="宋体"/>
                <w:color w:val="auto"/>
                <w:sz w:val="24"/>
                <w:szCs w:val="24"/>
                <w:highlight w:val="none"/>
              </w:rPr>
            </w:pPr>
          </w:p>
        </w:tc>
        <w:tc>
          <w:tcPr>
            <w:tcW w:w="2461" w:type="dxa"/>
            <w:noWrap w:val="0"/>
            <w:vAlign w:val="center"/>
          </w:tcPr>
          <w:p>
            <w:pPr>
              <w:tabs>
                <w:tab w:val="left" w:pos="720"/>
              </w:tabs>
              <w:snapToGrid w:val="0"/>
              <w:spacing w:line="360" w:lineRule="auto"/>
              <w:jc w:val="center"/>
              <w:rPr>
                <w:rFonts w:hint="eastAsia" w:ascii="宋体" w:hAnsi="宋体" w:eastAsia="宋体" w:cs="宋体"/>
                <w:color w:val="auto"/>
                <w:sz w:val="24"/>
                <w:szCs w:val="24"/>
                <w:highlight w:val="none"/>
              </w:rPr>
            </w:pPr>
          </w:p>
        </w:tc>
        <w:tc>
          <w:tcPr>
            <w:tcW w:w="2359" w:type="dxa"/>
            <w:noWrap w:val="0"/>
            <w:vAlign w:val="center"/>
          </w:tcPr>
          <w:p>
            <w:pPr>
              <w:tabs>
                <w:tab w:val="left" w:pos="720"/>
              </w:tabs>
              <w:snapToGrid w:val="0"/>
              <w:spacing w:line="360" w:lineRule="auto"/>
              <w:jc w:val="center"/>
              <w:rPr>
                <w:rFonts w:hint="eastAsia" w:ascii="宋体" w:hAnsi="宋体" w:eastAsia="宋体" w:cs="宋体"/>
                <w:color w:val="auto"/>
                <w:sz w:val="24"/>
                <w:szCs w:val="24"/>
                <w:highlight w:val="none"/>
              </w:rPr>
            </w:pPr>
          </w:p>
        </w:tc>
        <w:tc>
          <w:tcPr>
            <w:tcW w:w="1419" w:type="dxa"/>
            <w:noWrap w:val="0"/>
            <w:vAlign w:val="center"/>
          </w:tcPr>
          <w:p>
            <w:pPr>
              <w:tabs>
                <w:tab w:val="left" w:pos="720"/>
              </w:tabs>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39" w:type="dxa"/>
            <w:noWrap w:val="0"/>
            <w:vAlign w:val="center"/>
          </w:tcPr>
          <w:p>
            <w:pPr>
              <w:tabs>
                <w:tab w:val="left" w:pos="720"/>
              </w:tabs>
              <w:snapToGrid w:val="0"/>
              <w:spacing w:line="360" w:lineRule="auto"/>
              <w:jc w:val="center"/>
              <w:rPr>
                <w:rFonts w:hint="eastAsia" w:ascii="宋体" w:hAnsi="宋体" w:eastAsia="宋体" w:cs="宋体"/>
                <w:color w:val="auto"/>
                <w:sz w:val="24"/>
                <w:szCs w:val="24"/>
                <w:highlight w:val="none"/>
              </w:rPr>
            </w:pPr>
          </w:p>
        </w:tc>
        <w:tc>
          <w:tcPr>
            <w:tcW w:w="1441" w:type="dxa"/>
            <w:noWrap w:val="0"/>
            <w:vAlign w:val="center"/>
          </w:tcPr>
          <w:p>
            <w:pPr>
              <w:tabs>
                <w:tab w:val="left" w:pos="720"/>
              </w:tabs>
              <w:snapToGrid w:val="0"/>
              <w:spacing w:line="360" w:lineRule="auto"/>
              <w:jc w:val="center"/>
              <w:rPr>
                <w:rFonts w:hint="eastAsia" w:ascii="宋体" w:hAnsi="宋体" w:eastAsia="宋体" w:cs="宋体"/>
                <w:color w:val="auto"/>
                <w:sz w:val="24"/>
                <w:szCs w:val="24"/>
                <w:highlight w:val="none"/>
              </w:rPr>
            </w:pPr>
          </w:p>
        </w:tc>
        <w:tc>
          <w:tcPr>
            <w:tcW w:w="2461" w:type="dxa"/>
            <w:noWrap w:val="0"/>
            <w:vAlign w:val="center"/>
          </w:tcPr>
          <w:p>
            <w:pPr>
              <w:tabs>
                <w:tab w:val="left" w:pos="720"/>
              </w:tabs>
              <w:snapToGrid w:val="0"/>
              <w:spacing w:line="360" w:lineRule="auto"/>
              <w:jc w:val="center"/>
              <w:rPr>
                <w:rFonts w:hint="eastAsia" w:ascii="宋体" w:hAnsi="宋体" w:eastAsia="宋体" w:cs="宋体"/>
                <w:color w:val="auto"/>
                <w:sz w:val="24"/>
                <w:szCs w:val="24"/>
                <w:highlight w:val="none"/>
              </w:rPr>
            </w:pPr>
          </w:p>
        </w:tc>
        <w:tc>
          <w:tcPr>
            <w:tcW w:w="2359" w:type="dxa"/>
            <w:noWrap w:val="0"/>
            <w:vAlign w:val="center"/>
          </w:tcPr>
          <w:p>
            <w:pPr>
              <w:tabs>
                <w:tab w:val="left" w:pos="720"/>
              </w:tabs>
              <w:snapToGrid w:val="0"/>
              <w:spacing w:line="360" w:lineRule="auto"/>
              <w:jc w:val="center"/>
              <w:rPr>
                <w:rFonts w:hint="eastAsia" w:ascii="宋体" w:hAnsi="宋体" w:eastAsia="宋体" w:cs="宋体"/>
                <w:color w:val="auto"/>
                <w:sz w:val="24"/>
                <w:szCs w:val="24"/>
                <w:highlight w:val="none"/>
              </w:rPr>
            </w:pPr>
          </w:p>
        </w:tc>
        <w:tc>
          <w:tcPr>
            <w:tcW w:w="1419" w:type="dxa"/>
            <w:noWrap w:val="0"/>
            <w:vAlign w:val="center"/>
          </w:tcPr>
          <w:p>
            <w:pPr>
              <w:tabs>
                <w:tab w:val="left" w:pos="720"/>
              </w:tabs>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39" w:type="dxa"/>
            <w:noWrap w:val="0"/>
            <w:vAlign w:val="center"/>
          </w:tcPr>
          <w:p>
            <w:pPr>
              <w:tabs>
                <w:tab w:val="left" w:pos="720"/>
              </w:tabs>
              <w:snapToGrid w:val="0"/>
              <w:spacing w:line="360" w:lineRule="auto"/>
              <w:jc w:val="center"/>
              <w:rPr>
                <w:rFonts w:hint="eastAsia" w:ascii="宋体" w:hAnsi="宋体" w:eastAsia="宋体" w:cs="宋体"/>
                <w:color w:val="auto"/>
                <w:sz w:val="24"/>
                <w:szCs w:val="24"/>
                <w:highlight w:val="none"/>
              </w:rPr>
            </w:pPr>
          </w:p>
        </w:tc>
        <w:tc>
          <w:tcPr>
            <w:tcW w:w="1441" w:type="dxa"/>
            <w:noWrap w:val="0"/>
            <w:vAlign w:val="center"/>
          </w:tcPr>
          <w:p>
            <w:pPr>
              <w:tabs>
                <w:tab w:val="left" w:pos="720"/>
              </w:tabs>
              <w:snapToGrid w:val="0"/>
              <w:spacing w:line="360" w:lineRule="auto"/>
              <w:jc w:val="center"/>
              <w:rPr>
                <w:rFonts w:hint="eastAsia" w:ascii="宋体" w:hAnsi="宋体" w:eastAsia="宋体" w:cs="宋体"/>
                <w:color w:val="auto"/>
                <w:sz w:val="24"/>
                <w:szCs w:val="24"/>
                <w:highlight w:val="none"/>
              </w:rPr>
            </w:pPr>
          </w:p>
        </w:tc>
        <w:tc>
          <w:tcPr>
            <w:tcW w:w="2461" w:type="dxa"/>
            <w:noWrap w:val="0"/>
            <w:vAlign w:val="center"/>
          </w:tcPr>
          <w:p>
            <w:pPr>
              <w:tabs>
                <w:tab w:val="left" w:pos="720"/>
              </w:tabs>
              <w:snapToGrid w:val="0"/>
              <w:spacing w:line="360" w:lineRule="auto"/>
              <w:jc w:val="center"/>
              <w:rPr>
                <w:rFonts w:hint="eastAsia" w:ascii="宋体" w:hAnsi="宋体" w:eastAsia="宋体" w:cs="宋体"/>
                <w:color w:val="auto"/>
                <w:sz w:val="24"/>
                <w:szCs w:val="24"/>
                <w:highlight w:val="none"/>
              </w:rPr>
            </w:pPr>
          </w:p>
        </w:tc>
        <w:tc>
          <w:tcPr>
            <w:tcW w:w="2359" w:type="dxa"/>
            <w:noWrap w:val="0"/>
            <w:vAlign w:val="center"/>
          </w:tcPr>
          <w:p>
            <w:pPr>
              <w:tabs>
                <w:tab w:val="left" w:pos="720"/>
              </w:tabs>
              <w:snapToGrid w:val="0"/>
              <w:spacing w:line="360" w:lineRule="auto"/>
              <w:jc w:val="center"/>
              <w:rPr>
                <w:rFonts w:hint="eastAsia" w:ascii="宋体" w:hAnsi="宋体" w:eastAsia="宋体" w:cs="宋体"/>
                <w:color w:val="auto"/>
                <w:sz w:val="24"/>
                <w:szCs w:val="24"/>
                <w:highlight w:val="none"/>
              </w:rPr>
            </w:pPr>
          </w:p>
        </w:tc>
        <w:tc>
          <w:tcPr>
            <w:tcW w:w="1419" w:type="dxa"/>
            <w:noWrap w:val="0"/>
            <w:vAlign w:val="center"/>
          </w:tcPr>
          <w:p>
            <w:pPr>
              <w:tabs>
                <w:tab w:val="left" w:pos="720"/>
              </w:tabs>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39" w:type="dxa"/>
            <w:noWrap w:val="0"/>
            <w:vAlign w:val="center"/>
          </w:tcPr>
          <w:p>
            <w:pPr>
              <w:tabs>
                <w:tab w:val="left" w:pos="720"/>
              </w:tabs>
              <w:snapToGrid w:val="0"/>
              <w:spacing w:line="360" w:lineRule="auto"/>
              <w:jc w:val="center"/>
              <w:rPr>
                <w:rFonts w:hint="eastAsia" w:ascii="宋体" w:hAnsi="宋体" w:eastAsia="宋体" w:cs="宋体"/>
                <w:color w:val="auto"/>
                <w:sz w:val="24"/>
                <w:szCs w:val="24"/>
                <w:highlight w:val="none"/>
              </w:rPr>
            </w:pPr>
          </w:p>
        </w:tc>
        <w:tc>
          <w:tcPr>
            <w:tcW w:w="1441" w:type="dxa"/>
            <w:noWrap w:val="0"/>
            <w:vAlign w:val="center"/>
          </w:tcPr>
          <w:p>
            <w:pPr>
              <w:tabs>
                <w:tab w:val="left" w:pos="720"/>
              </w:tabs>
              <w:snapToGrid w:val="0"/>
              <w:spacing w:line="360" w:lineRule="auto"/>
              <w:jc w:val="center"/>
              <w:rPr>
                <w:rFonts w:hint="eastAsia" w:ascii="宋体" w:hAnsi="宋体" w:eastAsia="宋体" w:cs="宋体"/>
                <w:color w:val="auto"/>
                <w:sz w:val="24"/>
                <w:szCs w:val="24"/>
                <w:highlight w:val="none"/>
              </w:rPr>
            </w:pPr>
          </w:p>
        </w:tc>
        <w:tc>
          <w:tcPr>
            <w:tcW w:w="2461" w:type="dxa"/>
            <w:noWrap w:val="0"/>
            <w:vAlign w:val="center"/>
          </w:tcPr>
          <w:p>
            <w:pPr>
              <w:tabs>
                <w:tab w:val="left" w:pos="720"/>
              </w:tabs>
              <w:snapToGrid w:val="0"/>
              <w:spacing w:line="360" w:lineRule="auto"/>
              <w:jc w:val="center"/>
              <w:rPr>
                <w:rFonts w:hint="eastAsia" w:ascii="宋体" w:hAnsi="宋体" w:eastAsia="宋体" w:cs="宋体"/>
                <w:color w:val="auto"/>
                <w:sz w:val="24"/>
                <w:szCs w:val="24"/>
                <w:highlight w:val="none"/>
              </w:rPr>
            </w:pPr>
          </w:p>
        </w:tc>
        <w:tc>
          <w:tcPr>
            <w:tcW w:w="2359" w:type="dxa"/>
            <w:noWrap w:val="0"/>
            <w:vAlign w:val="center"/>
          </w:tcPr>
          <w:p>
            <w:pPr>
              <w:tabs>
                <w:tab w:val="left" w:pos="720"/>
              </w:tabs>
              <w:snapToGrid w:val="0"/>
              <w:spacing w:line="360" w:lineRule="auto"/>
              <w:jc w:val="center"/>
              <w:rPr>
                <w:rFonts w:hint="eastAsia" w:ascii="宋体" w:hAnsi="宋体" w:eastAsia="宋体" w:cs="宋体"/>
                <w:color w:val="auto"/>
                <w:sz w:val="24"/>
                <w:szCs w:val="24"/>
                <w:highlight w:val="none"/>
              </w:rPr>
            </w:pPr>
          </w:p>
        </w:tc>
        <w:tc>
          <w:tcPr>
            <w:tcW w:w="1419" w:type="dxa"/>
            <w:noWrap w:val="0"/>
            <w:vAlign w:val="center"/>
          </w:tcPr>
          <w:p>
            <w:pPr>
              <w:tabs>
                <w:tab w:val="left" w:pos="720"/>
              </w:tabs>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39" w:type="dxa"/>
            <w:noWrap w:val="0"/>
            <w:vAlign w:val="center"/>
          </w:tcPr>
          <w:p>
            <w:pPr>
              <w:tabs>
                <w:tab w:val="left" w:pos="720"/>
              </w:tabs>
              <w:snapToGrid w:val="0"/>
              <w:spacing w:line="360" w:lineRule="auto"/>
              <w:jc w:val="center"/>
              <w:rPr>
                <w:rFonts w:hint="eastAsia" w:ascii="宋体" w:hAnsi="宋体" w:eastAsia="宋体" w:cs="宋体"/>
                <w:color w:val="auto"/>
                <w:sz w:val="24"/>
                <w:szCs w:val="24"/>
                <w:highlight w:val="none"/>
              </w:rPr>
            </w:pPr>
          </w:p>
        </w:tc>
        <w:tc>
          <w:tcPr>
            <w:tcW w:w="1441" w:type="dxa"/>
            <w:noWrap w:val="0"/>
            <w:vAlign w:val="center"/>
          </w:tcPr>
          <w:p>
            <w:pPr>
              <w:tabs>
                <w:tab w:val="left" w:pos="720"/>
              </w:tabs>
              <w:snapToGrid w:val="0"/>
              <w:spacing w:line="360" w:lineRule="auto"/>
              <w:jc w:val="center"/>
              <w:rPr>
                <w:rFonts w:hint="eastAsia" w:ascii="宋体" w:hAnsi="宋体" w:eastAsia="宋体" w:cs="宋体"/>
                <w:color w:val="auto"/>
                <w:sz w:val="24"/>
                <w:szCs w:val="24"/>
                <w:highlight w:val="none"/>
              </w:rPr>
            </w:pPr>
          </w:p>
        </w:tc>
        <w:tc>
          <w:tcPr>
            <w:tcW w:w="2461" w:type="dxa"/>
            <w:noWrap w:val="0"/>
            <w:vAlign w:val="center"/>
          </w:tcPr>
          <w:p>
            <w:pPr>
              <w:tabs>
                <w:tab w:val="left" w:pos="720"/>
              </w:tabs>
              <w:snapToGrid w:val="0"/>
              <w:spacing w:line="360" w:lineRule="auto"/>
              <w:jc w:val="center"/>
              <w:rPr>
                <w:rFonts w:hint="eastAsia" w:ascii="宋体" w:hAnsi="宋体" w:eastAsia="宋体" w:cs="宋体"/>
                <w:color w:val="auto"/>
                <w:sz w:val="24"/>
                <w:szCs w:val="24"/>
                <w:highlight w:val="none"/>
              </w:rPr>
            </w:pPr>
          </w:p>
        </w:tc>
        <w:tc>
          <w:tcPr>
            <w:tcW w:w="2359" w:type="dxa"/>
            <w:noWrap w:val="0"/>
            <w:vAlign w:val="center"/>
          </w:tcPr>
          <w:p>
            <w:pPr>
              <w:tabs>
                <w:tab w:val="left" w:pos="720"/>
              </w:tabs>
              <w:snapToGrid w:val="0"/>
              <w:spacing w:line="360" w:lineRule="auto"/>
              <w:jc w:val="center"/>
              <w:rPr>
                <w:rFonts w:hint="eastAsia" w:ascii="宋体" w:hAnsi="宋体" w:eastAsia="宋体" w:cs="宋体"/>
                <w:color w:val="auto"/>
                <w:sz w:val="24"/>
                <w:szCs w:val="24"/>
                <w:highlight w:val="none"/>
              </w:rPr>
            </w:pPr>
          </w:p>
        </w:tc>
        <w:tc>
          <w:tcPr>
            <w:tcW w:w="1419" w:type="dxa"/>
            <w:noWrap w:val="0"/>
            <w:vAlign w:val="center"/>
          </w:tcPr>
          <w:p>
            <w:pPr>
              <w:tabs>
                <w:tab w:val="left" w:pos="720"/>
              </w:tabs>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239" w:type="dxa"/>
            <w:noWrap w:val="0"/>
            <w:vAlign w:val="center"/>
          </w:tcPr>
          <w:p>
            <w:pPr>
              <w:tabs>
                <w:tab w:val="left" w:pos="720"/>
              </w:tabs>
              <w:snapToGrid w:val="0"/>
              <w:spacing w:line="360" w:lineRule="auto"/>
              <w:jc w:val="center"/>
              <w:rPr>
                <w:rFonts w:hint="eastAsia" w:ascii="宋体" w:hAnsi="宋体" w:eastAsia="宋体" w:cs="宋体"/>
                <w:color w:val="auto"/>
                <w:sz w:val="24"/>
                <w:szCs w:val="24"/>
                <w:highlight w:val="none"/>
              </w:rPr>
            </w:pPr>
          </w:p>
        </w:tc>
        <w:tc>
          <w:tcPr>
            <w:tcW w:w="1441" w:type="dxa"/>
            <w:noWrap w:val="0"/>
            <w:vAlign w:val="center"/>
          </w:tcPr>
          <w:p>
            <w:pPr>
              <w:tabs>
                <w:tab w:val="left" w:pos="720"/>
              </w:tabs>
              <w:snapToGrid w:val="0"/>
              <w:spacing w:line="360" w:lineRule="auto"/>
              <w:jc w:val="center"/>
              <w:rPr>
                <w:rFonts w:hint="eastAsia" w:ascii="宋体" w:hAnsi="宋体" w:eastAsia="宋体" w:cs="宋体"/>
                <w:color w:val="auto"/>
                <w:sz w:val="24"/>
                <w:szCs w:val="24"/>
                <w:highlight w:val="none"/>
              </w:rPr>
            </w:pPr>
          </w:p>
        </w:tc>
        <w:tc>
          <w:tcPr>
            <w:tcW w:w="2461" w:type="dxa"/>
            <w:noWrap w:val="0"/>
            <w:vAlign w:val="center"/>
          </w:tcPr>
          <w:p>
            <w:pPr>
              <w:tabs>
                <w:tab w:val="left" w:pos="720"/>
              </w:tabs>
              <w:snapToGrid w:val="0"/>
              <w:spacing w:line="360" w:lineRule="auto"/>
              <w:jc w:val="center"/>
              <w:rPr>
                <w:rFonts w:hint="eastAsia" w:ascii="宋体" w:hAnsi="宋体" w:eastAsia="宋体" w:cs="宋体"/>
                <w:color w:val="auto"/>
                <w:sz w:val="24"/>
                <w:szCs w:val="24"/>
                <w:highlight w:val="none"/>
              </w:rPr>
            </w:pPr>
          </w:p>
        </w:tc>
        <w:tc>
          <w:tcPr>
            <w:tcW w:w="2359" w:type="dxa"/>
            <w:noWrap w:val="0"/>
            <w:vAlign w:val="center"/>
          </w:tcPr>
          <w:p>
            <w:pPr>
              <w:tabs>
                <w:tab w:val="left" w:pos="720"/>
              </w:tabs>
              <w:snapToGrid w:val="0"/>
              <w:spacing w:line="360" w:lineRule="auto"/>
              <w:jc w:val="center"/>
              <w:rPr>
                <w:rFonts w:hint="eastAsia" w:ascii="宋体" w:hAnsi="宋体" w:eastAsia="宋体" w:cs="宋体"/>
                <w:color w:val="auto"/>
                <w:sz w:val="24"/>
                <w:szCs w:val="24"/>
                <w:highlight w:val="none"/>
              </w:rPr>
            </w:pPr>
          </w:p>
        </w:tc>
        <w:tc>
          <w:tcPr>
            <w:tcW w:w="1419" w:type="dxa"/>
            <w:noWrap w:val="0"/>
            <w:vAlign w:val="center"/>
          </w:tcPr>
          <w:p>
            <w:pPr>
              <w:tabs>
                <w:tab w:val="left" w:pos="720"/>
              </w:tabs>
              <w:snapToGrid w:val="0"/>
              <w:spacing w:line="360" w:lineRule="auto"/>
              <w:jc w:val="center"/>
              <w:rPr>
                <w:rFonts w:hint="eastAsia" w:ascii="宋体" w:hAnsi="宋体" w:eastAsia="宋体" w:cs="宋体"/>
                <w:color w:val="auto"/>
                <w:sz w:val="24"/>
                <w:szCs w:val="24"/>
                <w:highlight w:val="none"/>
              </w:rPr>
            </w:pPr>
          </w:p>
        </w:tc>
      </w:tr>
    </w:tbl>
    <w:p>
      <w:pPr>
        <w:tabs>
          <w:tab w:val="left" w:pos="720"/>
        </w:tabs>
        <w:snapToGrid w:val="0"/>
        <w:spacing w:line="360" w:lineRule="auto"/>
        <w:rPr>
          <w:rFonts w:hint="eastAsia" w:ascii="宋体" w:hAnsi="宋体" w:eastAsia="宋体" w:cs="宋体"/>
          <w:color w:val="auto"/>
          <w:sz w:val="24"/>
          <w:szCs w:val="24"/>
          <w:highlight w:val="none"/>
        </w:rPr>
      </w:pPr>
    </w:p>
    <w:p>
      <w:pPr>
        <w:topLinePunct/>
        <w:adjustRightInd w:val="0"/>
        <w:snapToGrid w:val="0"/>
        <w:spacing w:line="360" w:lineRule="auto"/>
        <w:ind w:firstLine="496" w:firstLineChars="200"/>
        <w:rPr>
          <w:rFonts w:hint="eastAsia" w:ascii="宋体" w:hAnsi="宋体" w:eastAsia="宋体" w:cs="宋体"/>
          <w:color w:val="auto"/>
          <w:spacing w:val="4"/>
          <w:kern w:val="0"/>
          <w:sz w:val="24"/>
          <w:szCs w:val="24"/>
          <w:highlight w:val="none"/>
        </w:rPr>
      </w:pPr>
      <w:r>
        <w:rPr>
          <w:rFonts w:hint="eastAsia" w:ascii="宋体" w:hAnsi="宋体" w:eastAsia="宋体" w:cs="宋体"/>
          <w:color w:val="auto"/>
          <w:spacing w:val="4"/>
          <w:kern w:val="0"/>
          <w:sz w:val="24"/>
          <w:szCs w:val="24"/>
          <w:highlight w:val="none"/>
        </w:rPr>
        <w:t xml:space="preserve">注：参与编制经济标书所有人员名单应包括如编制各种专业工程量清单投标报价、负责清样校对、负责打印及复印等所有人员在内的人员名单。 </w:t>
      </w:r>
    </w:p>
    <w:p>
      <w:pPr>
        <w:autoSpaceDE w:val="0"/>
        <w:autoSpaceDN w:val="0"/>
        <w:adjustRightInd w:val="0"/>
        <w:rPr>
          <w:rFonts w:hint="eastAsia" w:ascii="宋体" w:hAnsi="宋体" w:eastAsia="宋体" w:cs="宋体"/>
          <w:b/>
          <w:bCs/>
          <w:color w:val="auto"/>
          <w:sz w:val="44"/>
          <w:szCs w:val="44"/>
          <w:highlight w:val="none"/>
          <w:lang w:val="zh-CN"/>
        </w:rPr>
      </w:pPr>
    </w:p>
    <w:p>
      <w:pPr>
        <w:autoSpaceDE w:val="0"/>
        <w:autoSpaceDN w:val="0"/>
        <w:adjustRightInd w:val="0"/>
        <w:rPr>
          <w:rFonts w:hint="eastAsia" w:ascii="宋体" w:hAnsi="宋体" w:eastAsia="宋体" w:cs="宋体"/>
          <w:b/>
          <w:bCs/>
          <w:color w:val="auto"/>
          <w:sz w:val="44"/>
          <w:szCs w:val="44"/>
          <w:highlight w:val="none"/>
          <w:lang w:val="zh-CN"/>
        </w:rPr>
      </w:pPr>
    </w:p>
    <w:p>
      <w:pPr>
        <w:autoSpaceDE w:val="0"/>
        <w:autoSpaceDN w:val="0"/>
        <w:adjustRightInd w:val="0"/>
        <w:rPr>
          <w:rFonts w:hint="eastAsia" w:ascii="宋体" w:hAnsi="宋体" w:eastAsia="宋体" w:cs="宋体"/>
          <w:b/>
          <w:bCs/>
          <w:color w:val="auto"/>
          <w:sz w:val="44"/>
          <w:szCs w:val="44"/>
          <w:highlight w:val="none"/>
          <w:lang w:val="zh-CN"/>
        </w:rPr>
      </w:pPr>
    </w:p>
    <w:p>
      <w:pPr>
        <w:autoSpaceDE w:val="0"/>
        <w:autoSpaceDN w:val="0"/>
        <w:adjustRightInd w:val="0"/>
        <w:rPr>
          <w:rFonts w:hint="eastAsia" w:ascii="宋体" w:hAnsi="宋体" w:eastAsia="宋体" w:cs="宋体"/>
          <w:b/>
          <w:bCs/>
          <w:color w:val="auto"/>
          <w:sz w:val="44"/>
          <w:szCs w:val="44"/>
          <w:highlight w:val="none"/>
          <w:lang w:val="zh-CN"/>
        </w:rPr>
      </w:pPr>
    </w:p>
    <w:p>
      <w:pPr>
        <w:spacing w:line="360" w:lineRule="auto"/>
        <w:rPr>
          <w:rFonts w:hint="eastAsia" w:ascii="宋体" w:hAnsi="宋体" w:eastAsia="宋体" w:cs="宋体"/>
          <w:color w:val="auto"/>
          <w:sz w:val="24"/>
          <w:szCs w:val="24"/>
          <w:highlight w:val="none"/>
        </w:rPr>
      </w:pPr>
    </w:p>
    <w:p>
      <w:pPr>
        <w:spacing w:line="320" w:lineRule="exact"/>
        <w:rPr>
          <w:rFonts w:hint="eastAsia" w:ascii="宋体" w:hAnsi="宋体" w:eastAsia="宋体" w:cs="宋体"/>
          <w:color w:val="auto"/>
          <w:szCs w:val="21"/>
          <w:highlight w:val="none"/>
        </w:rPr>
      </w:pPr>
    </w:p>
    <w:p>
      <w:pPr>
        <w:spacing w:line="320" w:lineRule="exact"/>
        <w:rPr>
          <w:rFonts w:hint="eastAsia" w:ascii="宋体" w:hAnsi="宋体" w:eastAsia="宋体" w:cs="宋体"/>
          <w:color w:val="auto"/>
          <w:szCs w:val="21"/>
          <w:highlight w:val="none"/>
        </w:rPr>
      </w:pPr>
    </w:p>
    <w:p>
      <w:pPr>
        <w:spacing w:line="320" w:lineRule="exact"/>
        <w:rPr>
          <w:rFonts w:hint="eastAsia" w:ascii="宋体" w:hAnsi="宋体" w:eastAsia="宋体" w:cs="宋体"/>
          <w:color w:val="auto"/>
          <w:szCs w:val="21"/>
          <w:highlight w:val="none"/>
        </w:rPr>
      </w:pPr>
    </w:p>
    <w:p>
      <w:pPr>
        <w:spacing w:line="320" w:lineRule="exact"/>
        <w:rPr>
          <w:rFonts w:hint="eastAsia" w:ascii="宋体" w:hAnsi="宋体" w:eastAsia="宋体" w:cs="宋体"/>
          <w:color w:val="auto"/>
          <w:szCs w:val="21"/>
          <w:highlight w:val="none"/>
        </w:rPr>
      </w:pPr>
    </w:p>
    <w:p>
      <w:pPr>
        <w:spacing w:line="320" w:lineRule="exact"/>
        <w:rPr>
          <w:rFonts w:hint="eastAsia" w:ascii="宋体" w:hAnsi="宋体" w:eastAsia="宋体" w:cs="宋体"/>
          <w:color w:val="auto"/>
          <w:szCs w:val="21"/>
          <w:highlight w:val="none"/>
        </w:rPr>
      </w:pPr>
    </w:p>
    <w:p>
      <w:pPr>
        <w:spacing w:line="320" w:lineRule="exact"/>
        <w:rPr>
          <w:rFonts w:hint="eastAsia" w:ascii="宋体" w:hAnsi="宋体" w:eastAsia="宋体" w:cs="宋体"/>
          <w:color w:val="auto"/>
          <w:szCs w:val="21"/>
          <w:highlight w:val="none"/>
        </w:rPr>
      </w:pPr>
    </w:p>
    <w:p>
      <w:pPr>
        <w:spacing w:line="320" w:lineRule="exact"/>
        <w:rPr>
          <w:rFonts w:hint="eastAsia" w:ascii="宋体" w:hAnsi="宋体" w:eastAsia="宋体" w:cs="宋体"/>
          <w:color w:val="auto"/>
          <w:szCs w:val="21"/>
          <w:highlight w:val="none"/>
        </w:rPr>
      </w:pPr>
    </w:p>
    <w:p>
      <w:pPr>
        <w:spacing w:line="320" w:lineRule="exact"/>
        <w:rPr>
          <w:rFonts w:hint="eastAsia" w:ascii="宋体" w:hAnsi="宋体" w:eastAsia="宋体" w:cs="宋体"/>
          <w:color w:val="auto"/>
          <w:szCs w:val="21"/>
          <w:highlight w:val="none"/>
        </w:rPr>
      </w:pPr>
    </w:p>
    <w:p>
      <w:pPr>
        <w:topLinePunct/>
        <w:adjustRightInd w:val="0"/>
        <w:snapToGrid w:val="0"/>
        <w:spacing w:line="360" w:lineRule="auto"/>
        <w:rPr>
          <w:rFonts w:hint="eastAsia" w:ascii="宋体" w:hAnsi="宋体" w:eastAsia="宋体" w:cs="宋体"/>
          <w:bCs/>
          <w:snapToGrid w:val="0"/>
          <w:color w:val="auto"/>
          <w:spacing w:val="4"/>
          <w:kern w:val="0"/>
          <w:sz w:val="24"/>
          <w:szCs w:val="24"/>
          <w:highlight w:val="none"/>
        </w:rPr>
      </w:pPr>
    </w:p>
    <w:p>
      <w:pPr>
        <w:pStyle w:val="2"/>
        <w:rPr>
          <w:rFonts w:hint="eastAsia"/>
          <w:color w:val="auto"/>
          <w:highlight w:val="none"/>
        </w:rPr>
      </w:pPr>
    </w:p>
    <w:p>
      <w:pPr>
        <w:topLinePunct/>
        <w:adjustRightInd w:val="0"/>
        <w:snapToGrid w:val="0"/>
        <w:spacing w:line="360" w:lineRule="auto"/>
        <w:rPr>
          <w:rFonts w:hint="eastAsia" w:ascii="宋体" w:hAnsi="宋体" w:eastAsia="宋体" w:cs="宋体"/>
          <w:bCs/>
          <w:snapToGrid w:val="0"/>
          <w:color w:val="auto"/>
          <w:spacing w:val="4"/>
          <w:kern w:val="0"/>
          <w:sz w:val="24"/>
          <w:szCs w:val="24"/>
          <w:highlight w:val="none"/>
        </w:rPr>
      </w:pPr>
    </w:p>
    <w:p>
      <w:pPr>
        <w:topLinePunct/>
        <w:adjustRightInd w:val="0"/>
        <w:snapToGrid w:val="0"/>
        <w:spacing w:line="360" w:lineRule="auto"/>
        <w:rPr>
          <w:rFonts w:hint="eastAsia" w:ascii="宋体" w:hAnsi="宋体" w:eastAsia="宋体" w:cs="宋体"/>
          <w:color w:val="auto"/>
          <w:spacing w:val="4"/>
          <w:kern w:val="0"/>
          <w:sz w:val="24"/>
          <w:szCs w:val="24"/>
          <w:highlight w:val="none"/>
          <w:lang w:eastAsia="zh-CN"/>
        </w:rPr>
      </w:pPr>
      <w:r>
        <w:rPr>
          <w:rFonts w:hint="eastAsia" w:ascii="宋体" w:hAnsi="宋体" w:eastAsia="Times New Roman"/>
          <w:bCs/>
          <w:color w:val="auto"/>
          <w:spacing w:val="4"/>
          <w:sz w:val="24"/>
          <w:szCs w:val="24"/>
          <w:highlight w:val="none"/>
        </w:rPr>
        <w:t>经济标格式</w:t>
      </w:r>
      <w:r>
        <w:rPr>
          <w:rFonts w:hint="eastAsia" w:ascii="宋体" w:hAnsi="宋体" w:eastAsia="宋体"/>
          <w:bCs/>
          <w:color w:val="auto"/>
          <w:spacing w:val="4"/>
          <w:sz w:val="24"/>
          <w:szCs w:val="24"/>
          <w:highlight w:val="none"/>
          <w:lang w:val="en-US" w:eastAsia="zh-CN"/>
        </w:rPr>
        <w:t>三：</w:t>
      </w:r>
    </w:p>
    <w:p>
      <w:pPr>
        <w:widowControl/>
        <w:topLinePunct/>
        <w:adjustRightInd w:val="0"/>
        <w:snapToGrid w:val="0"/>
        <w:spacing w:line="273" w:lineRule="auto"/>
        <w:jc w:val="center"/>
        <w:outlineLvl w:val="1"/>
        <w:rPr>
          <w:rFonts w:hint="eastAsia" w:ascii="宋体" w:hAnsi="宋体" w:eastAsia="宋体" w:cs="宋体"/>
          <w:b/>
          <w:bCs/>
          <w:color w:val="auto"/>
          <w:spacing w:val="4"/>
          <w:kern w:val="0"/>
          <w:sz w:val="36"/>
          <w:szCs w:val="36"/>
          <w:highlight w:val="none"/>
        </w:rPr>
      </w:pPr>
      <w:bookmarkStart w:id="47" w:name="_Toc13531"/>
      <w:r>
        <w:rPr>
          <w:rFonts w:hint="eastAsia" w:ascii="宋体" w:hAnsi="宋体" w:eastAsia="宋体" w:cs="宋体"/>
          <w:b/>
          <w:bCs/>
          <w:color w:val="auto"/>
          <w:spacing w:val="4"/>
          <w:kern w:val="0"/>
          <w:sz w:val="36"/>
          <w:szCs w:val="36"/>
          <w:highlight w:val="none"/>
        </w:rPr>
        <w:t>对投标文件编制的承诺</w:t>
      </w:r>
      <w:bookmarkEnd w:id="47"/>
    </w:p>
    <w:p>
      <w:pPr>
        <w:spacing w:line="360" w:lineRule="auto"/>
        <w:ind w:left="-2" w:leftChars="-1" w:firstLine="540" w:firstLineChars="225"/>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本公司授权</w:t>
      </w:r>
      <w:r>
        <w:rPr>
          <w:rFonts w:hint="eastAsia" w:ascii="宋体" w:hAnsi="宋体" w:eastAsia="宋体" w:cs="宋体"/>
          <w:color w:val="auto"/>
          <w:kern w:val="0"/>
          <w:sz w:val="24"/>
          <w:szCs w:val="24"/>
          <w:highlight w:val="none"/>
          <w:u w:val="single"/>
        </w:rPr>
        <w:t xml:space="preserve">         （身份证号：               ）</w:t>
      </w:r>
      <w:r>
        <w:rPr>
          <w:rFonts w:hint="eastAsia" w:ascii="宋体" w:hAnsi="宋体" w:eastAsia="宋体" w:cs="宋体"/>
          <w:color w:val="auto"/>
          <w:kern w:val="0"/>
          <w:sz w:val="24"/>
          <w:szCs w:val="24"/>
          <w:highlight w:val="none"/>
        </w:rPr>
        <w:t>负责对投标文件的编制及内容进行解释、说明，并承诺以下事项：</w:t>
      </w:r>
    </w:p>
    <w:p>
      <w:pPr>
        <w:spacing w:line="360" w:lineRule="auto"/>
        <w:ind w:left="-2" w:leftChars="-1" w:firstLine="540" w:firstLineChars="225"/>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1.被授权人清楚投标文件编制的具体情况，包括技术方案文件、工程量清单、以及投标文件的加密打包的理解；</w:t>
      </w:r>
    </w:p>
    <w:p>
      <w:pPr>
        <w:spacing w:line="360" w:lineRule="auto"/>
        <w:ind w:left="-2" w:leftChars="-1" w:firstLine="540" w:firstLineChars="225"/>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2.在本项目开标至评标结束前，努力确保被授权人在项目评标所在地附近；</w:t>
      </w:r>
    </w:p>
    <w:p>
      <w:pPr>
        <w:spacing w:line="360" w:lineRule="auto"/>
        <w:ind w:left="-2" w:leftChars="-1" w:firstLine="540" w:firstLineChars="225"/>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3.从评标委员会要求澄清起二小时内，被授权人应如实地书面澄清。</w:t>
      </w:r>
    </w:p>
    <w:p>
      <w:pPr>
        <w:spacing w:line="360" w:lineRule="auto"/>
        <w:ind w:left="-2" w:leftChars="-1" w:firstLine="540" w:firstLineChars="225"/>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如由于未遵守上述承诺内容之一导致无法进行澄清的，我公司认可和接受评标委员会作出的评审结论。                                 </w:t>
      </w:r>
    </w:p>
    <w:p>
      <w:pPr>
        <w:spacing w:line="360" w:lineRule="auto"/>
        <w:ind w:firstLine="360" w:firstLineChars="15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附件：《投标文件编制情况》</w:t>
      </w:r>
    </w:p>
    <w:p>
      <w:pPr>
        <w:spacing w:line="360" w:lineRule="auto"/>
        <w:ind w:right="90" w:firstLine="3240" w:firstLineChars="135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 投标人名称（盖法人公章）：</w:t>
      </w:r>
      <w:r>
        <w:rPr>
          <w:rFonts w:hint="eastAsia" w:ascii="宋体" w:hAnsi="宋体" w:eastAsia="宋体" w:cs="宋体"/>
          <w:color w:val="auto"/>
          <w:sz w:val="24"/>
          <w:szCs w:val="24"/>
          <w:highlight w:val="none"/>
          <w:u w:val="single"/>
        </w:rPr>
        <w:t xml:space="preserve">                  </w:t>
      </w:r>
    </w:p>
    <w:p>
      <w:pPr>
        <w:spacing w:line="360" w:lineRule="auto"/>
        <w:ind w:firstLine="2160" w:firstLineChars="9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法定代表人或被授权人（签字或盖章）：</w:t>
      </w:r>
      <w:r>
        <w:rPr>
          <w:rFonts w:hint="eastAsia" w:ascii="宋体" w:hAnsi="宋体" w:eastAsia="宋体" w:cs="宋体"/>
          <w:color w:val="auto"/>
          <w:sz w:val="24"/>
          <w:szCs w:val="24"/>
          <w:highlight w:val="none"/>
          <w:u w:val="single"/>
        </w:rPr>
        <w:t xml:space="preserve">                  </w:t>
      </w:r>
    </w:p>
    <w:p>
      <w:pPr>
        <w:spacing w:line="360" w:lineRule="auto"/>
        <w:ind w:firstLine="4440" w:firstLineChars="1850"/>
        <w:jc w:val="center"/>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bookmarkStart w:id="48" w:name="_Toc3751"/>
      <w:r>
        <w:rPr>
          <w:rFonts w:hint="eastAsia" w:ascii="宋体" w:hAnsi="宋体" w:eastAsia="宋体" w:cs="宋体"/>
          <w:color w:val="auto"/>
          <w:sz w:val="24"/>
          <w:szCs w:val="24"/>
          <w:highlight w:val="none"/>
        </w:rPr>
        <w:t>日期：      年   月   日</w:t>
      </w:r>
      <w:bookmarkEnd w:id="48"/>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18"/>
          <w:szCs w:val="18"/>
          <w:highlight w:val="none"/>
        </w:rPr>
        <w:t xml:space="preserve"> </w:t>
      </w:r>
      <w:r>
        <w:rPr>
          <w:rFonts w:hint="eastAsia" w:ascii="宋体" w:hAnsi="宋体" w:eastAsia="宋体" w:cs="宋体"/>
          <w:color w:val="auto"/>
          <w:sz w:val="24"/>
          <w:szCs w:val="24"/>
          <w:highlight w:val="none"/>
        </w:rPr>
        <w:t xml:space="preserve">    </w:t>
      </w:r>
    </w:p>
    <w:p>
      <w:pPr>
        <w:widowControl/>
        <w:topLinePunct/>
        <w:adjustRightInd w:val="0"/>
        <w:snapToGrid w:val="0"/>
        <w:spacing w:line="273" w:lineRule="auto"/>
        <w:jc w:val="center"/>
        <w:outlineLvl w:val="1"/>
        <w:rPr>
          <w:rFonts w:hint="eastAsia" w:ascii="宋体" w:hAnsi="宋体" w:eastAsia="宋体" w:cs="宋体"/>
          <w:b/>
          <w:bCs/>
          <w:color w:val="auto"/>
          <w:spacing w:val="4"/>
          <w:kern w:val="0"/>
          <w:sz w:val="36"/>
          <w:szCs w:val="36"/>
          <w:highlight w:val="none"/>
        </w:rPr>
      </w:pPr>
      <w:bookmarkStart w:id="49" w:name="_Toc22554"/>
      <w:r>
        <w:rPr>
          <w:rFonts w:hint="eastAsia" w:ascii="宋体" w:hAnsi="宋体" w:eastAsia="宋体" w:cs="宋体"/>
          <w:b/>
          <w:bCs/>
          <w:color w:val="auto"/>
          <w:spacing w:val="4"/>
          <w:kern w:val="0"/>
          <w:sz w:val="36"/>
          <w:szCs w:val="36"/>
          <w:highlight w:val="none"/>
        </w:rPr>
        <w:t>投标文件编制情况</w:t>
      </w:r>
      <w:bookmarkEnd w:id="49"/>
    </w:p>
    <w:p>
      <w:pPr>
        <w:spacing w:line="360" w:lineRule="auto"/>
        <w:ind w:firstLine="480" w:firstLineChars="200"/>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1.投标文件报价编制方式: □自行编制的，编制的负责人：</w:t>
      </w:r>
      <w:r>
        <w:rPr>
          <w:rFonts w:hint="eastAsia" w:ascii="宋体" w:hAnsi="宋体" w:eastAsia="宋体" w:cs="宋体"/>
          <w:color w:val="auto"/>
          <w:kern w:val="0"/>
          <w:sz w:val="24"/>
          <w:szCs w:val="24"/>
          <w:highlight w:val="none"/>
          <w:u w:val="single"/>
        </w:rPr>
        <w:t xml:space="preserve"> （盖造价工程师执业专用章或全国建设工程造价员章，执业单位应与投标人一致） </w:t>
      </w:r>
      <w:r>
        <w:rPr>
          <w:rFonts w:hint="eastAsia" w:ascii="宋体" w:hAnsi="宋体" w:eastAsia="宋体" w:cs="宋体"/>
          <w:color w:val="auto"/>
          <w:kern w:val="0"/>
          <w:sz w:val="24"/>
          <w:szCs w:val="24"/>
          <w:highlight w:val="none"/>
        </w:rPr>
        <w:t>。□委托编制的，受委托单位</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，编制的负责人：</w:t>
      </w:r>
      <w:r>
        <w:rPr>
          <w:rFonts w:hint="eastAsia" w:ascii="宋体" w:hAnsi="宋体" w:eastAsia="宋体" w:cs="宋体"/>
          <w:color w:val="auto"/>
          <w:kern w:val="0"/>
          <w:sz w:val="24"/>
          <w:szCs w:val="24"/>
          <w:highlight w:val="none"/>
          <w:u w:val="single"/>
        </w:rPr>
        <w:t xml:space="preserve"> （盖造价工程师执业专用章或全国建设工程造价员章，执业单位应与受委托单位一致） </w:t>
      </w:r>
      <w:r>
        <w:rPr>
          <w:rFonts w:hint="eastAsia" w:ascii="宋体" w:hAnsi="宋体" w:eastAsia="宋体" w:cs="宋体"/>
          <w:color w:val="auto"/>
          <w:kern w:val="0"/>
          <w:sz w:val="24"/>
          <w:szCs w:val="24"/>
          <w:highlight w:val="none"/>
        </w:rPr>
        <w:t>。</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2.投标文件加密打包的电脑情况</w:t>
      </w:r>
    </w:p>
    <w:p>
      <w:pPr>
        <w:pStyle w:val="12"/>
        <w:rPr>
          <w:rFonts w:hint="eastAsia" w:ascii="宋体" w:hAnsi="宋体" w:eastAsia="宋体" w:cs="宋体"/>
          <w:color w:val="auto"/>
          <w:kern w:val="0"/>
          <w:sz w:val="24"/>
          <w:szCs w:val="24"/>
          <w:highlight w:val="none"/>
        </w:rPr>
      </w:pPr>
    </w:p>
    <w:p>
      <w:pPr>
        <w:rPr>
          <w:rFonts w:hint="eastAsia" w:ascii="宋体" w:hAnsi="宋体" w:eastAsia="宋体" w:cs="宋体"/>
          <w:color w:val="auto"/>
          <w:highlight w:val="none"/>
        </w:rPr>
      </w:pPr>
    </w:p>
    <w:tbl>
      <w:tblPr>
        <w:tblStyle w:val="20"/>
        <w:tblW w:w="0" w:type="auto"/>
        <w:tblInd w:w="0" w:type="dxa"/>
        <w:tblLayout w:type="fixed"/>
        <w:tblCellMar>
          <w:top w:w="0" w:type="dxa"/>
          <w:left w:w="108" w:type="dxa"/>
          <w:bottom w:w="0" w:type="dxa"/>
          <w:right w:w="108" w:type="dxa"/>
        </w:tblCellMar>
      </w:tblPr>
      <w:tblGrid>
        <w:gridCol w:w="9740"/>
      </w:tblGrid>
      <w:tr>
        <w:trPr>
          <w:trHeight w:val="2744" w:hRule="atLeast"/>
        </w:trPr>
        <w:tc>
          <w:tcPr>
            <w:tcW w:w="9740" w:type="dxa"/>
            <w:noWrap w:val="0"/>
            <w:vAlign w:val="top"/>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投标文件加密打包的电脑     自有    □      外包    □     其他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电脑类型</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电脑所属单位</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电脑所在地址        （如××市××区(县) ××街（路）××号××大厦××房）</w:t>
            </w:r>
          </w:p>
        </w:tc>
      </w:tr>
    </w:tbl>
    <w:p>
      <w:pPr>
        <w:spacing w:line="320" w:lineRule="exact"/>
        <w:rPr>
          <w:rFonts w:hint="eastAsia" w:ascii="宋体" w:hAnsi="宋体" w:eastAsia="宋体" w:cs="宋体"/>
          <w:color w:val="auto"/>
          <w:szCs w:val="21"/>
          <w:highlight w:val="none"/>
        </w:rPr>
      </w:pPr>
    </w:p>
    <w:p>
      <w:pPr>
        <w:numPr>
          <w:ilvl w:val="-1"/>
          <w:numId w:val="0"/>
        </w:numPr>
        <w:topLinePunct/>
        <w:adjustRightInd w:val="0"/>
        <w:snapToGrid w:val="0"/>
        <w:spacing w:after="156" w:afterLines="50" w:line="240" w:lineRule="auto"/>
        <w:jc w:val="center"/>
        <w:outlineLvl w:val="1"/>
        <w:rPr>
          <w:rFonts w:hint="eastAsia" w:ascii="宋体" w:hAnsi="宋体" w:eastAsia="宋体" w:cs="宋体"/>
          <w:b w:val="0"/>
          <w:snapToGrid/>
          <w:color w:val="auto"/>
          <w:spacing w:val="4"/>
          <w:kern w:val="0"/>
          <w:sz w:val="44"/>
          <w:szCs w:val="44"/>
          <w:highlight w:val="none"/>
          <w:lang w:val="en-US" w:eastAsia="zh-CN"/>
        </w:rPr>
      </w:pPr>
      <w:bookmarkStart w:id="50" w:name="_Toc2272569"/>
    </w:p>
    <w:p>
      <w:pPr>
        <w:tabs>
          <w:tab w:val="left" w:pos="720"/>
        </w:tabs>
        <w:snapToGrid w:val="0"/>
        <w:spacing w:line="360" w:lineRule="auto"/>
        <w:jc w:val="center"/>
        <w:rPr>
          <w:rStyle w:val="33"/>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 xml:space="preserve"> </w:t>
      </w:r>
      <w:bookmarkStart w:id="51" w:name="_Toc2272568"/>
      <w:bookmarkStart w:id="52" w:name="_Toc9312"/>
      <w:r>
        <w:rPr>
          <w:rStyle w:val="33"/>
          <w:rFonts w:hint="eastAsia" w:ascii="宋体" w:hAnsi="宋体" w:eastAsia="宋体" w:cs="宋体"/>
          <w:b/>
          <w:bCs w:val="0"/>
          <w:color w:val="auto"/>
          <w:sz w:val="24"/>
          <w:szCs w:val="24"/>
          <w:highlight w:val="none"/>
        </w:rPr>
        <w:t>第五章  技术条件（工程建设标准）</w:t>
      </w:r>
      <w:bookmarkEnd w:id="51"/>
    </w:p>
    <w:bookmarkEnd w:id="52"/>
    <w:p>
      <w:pPr>
        <w:pageBreakBefore w:val="0"/>
        <w:kinsoku/>
        <w:overflowPunct/>
        <w:bidi w:val="0"/>
        <w:snapToGrid w:val="0"/>
        <w:spacing w:beforeAutospacing="0" w:afterAutospacing="0"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一、标准</w:t>
      </w:r>
    </w:p>
    <w:p>
      <w:pPr>
        <w:pageBreakBefore w:val="0"/>
        <w:kinsoku/>
        <w:overflowPunct/>
        <w:bidi w:val="0"/>
        <w:snapToGrid w:val="0"/>
        <w:spacing w:beforeAutospacing="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以现行的中华人民共和国及有关部委颁布的标准、规范、和规程。若施工时期建设主管部门颁布新的规范、标准，则按照新的规范、标准执行。</w:t>
      </w:r>
    </w:p>
    <w:p>
      <w:pPr>
        <w:pageBreakBefore w:val="0"/>
        <w:kinsoku/>
        <w:overflowPunct/>
        <w:bidi w:val="0"/>
        <w:snapToGrid w:val="0"/>
        <w:spacing w:beforeAutospacing="0" w:afterAutospacing="0" w:line="360" w:lineRule="auto"/>
        <w:rPr>
          <w:rFonts w:hint="eastAsia" w:ascii="宋体" w:hAnsi="宋体" w:eastAsia="宋体" w:cs="宋体"/>
          <w:color w:val="auto"/>
          <w:sz w:val="24"/>
          <w:szCs w:val="24"/>
          <w:highlight w:val="none"/>
        </w:rPr>
      </w:pPr>
    </w:p>
    <w:p>
      <w:pPr>
        <w:pageBreakBefore w:val="0"/>
        <w:kinsoku/>
        <w:overflowPunct/>
        <w:bidi w:val="0"/>
        <w:snapToGrid w:val="0"/>
        <w:spacing w:beforeAutospacing="0" w:afterAutospacing="0"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二、施工组织设计要点</w:t>
      </w:r>
    </w:p>
    <w:p>
      <w:pPr>
        <w:pageBreakBefore w:val="0"/>
        <w:kinsoku/>
        <w:overflowPunct/>
        <w:bidi w:val="0"/>
        <w:snapToGrid w:val="0"/>
        <w:spacing w:beforeAutospacing="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如果中标，中标人应按项目的进展需求，并在规定的时间内按要点要求，编制详细的施工组织设计，作为工程施工的指导性文件，向建设单位提交一式四份的《施工组织设计方案》，内容包括（不限于）以下：</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（一）工程概况及特点</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 工程概况</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工程简述，工程规模，工程承包范围，地质及地貌状况，自然环境，交通情况等。</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 工程特点</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设计特点、工程特点、影响施工的主要和特殊环节分析等。</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（二）施工现场组织机构</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 组织机构关系图</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 工程主要负责人简介。</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（三）施工现场总平面布置图</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 施工现场平面布置图</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平面布置要求内容全面，充分利用现场条件，合理布置施工队、材料站、指挥部等。确定现场指挥部（工程处）和工区的驻地，材料站的设置，施工工区与施工班驻地，主要交通道路和通讯设施。平面布置图采用A3纸，图面要求线条清晰、标志明确。</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（四）施工方案</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 施工准备</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简要叙述施工技术资料、材料、通讯、施工场地的准备，施工机械、施工力量的配置，以及生活设施等的准备情况。主要施工机械设备表。</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 施工工序总体安排</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 主要工序和特殊工序的施工方法和施工效率估计，潜在问题的分析。</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 工程成本的控制措施为控制成本，提高效益，拟采取的措施。</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（五）工期及施工进度计划</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 工期规划及要求</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用横道图反映各主要施工过程的计划进度，深度达到全面、准确、清楚的描述工程实施过程，从中可衍生出各种施工资源计划及其过程管理信息。</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 施工进度计划网络图</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施工网络图应明确工程开工、竣工日期，工程施工的关键路线，并针对关键工序，提出确保工期拟采取的措施。</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5.3 施工资源（人力、材料、机具、场地及进场道路、公共关系）计划</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5.4 施工进度计划分析</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计划潜在问题，计划中的潜力及其开发途径等。</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5.5 计划控制</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程序、方法及制度等。</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（六）质量目标、质量保证体系及技术组织措施</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 质量目标</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本工程要求的质量目标：合格。</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用单位工程和分项工程合格率、优良品率表示，欲达到的工程质量等级。</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 质量管理组织机构及主要职责</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用框图表示质量管理组织机构，并简要叙述各质量管理部门的主要职责。</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 质量管理的措施</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简要叙述质量管理的措施和关键工序的质量控制。</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6.4 质量管理及检验的标准</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执行的主要质量标准、规范。</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6.5 质量保证技术措施</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针对本工程特点，分析质量薄弱环节，拟将采取的技术措施。</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（七）安全目标、安全保证体系及技术组织措施</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 安全管理目标</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 安全管理组织机构及主要职责</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用框图表示安全管理组织机构，并简要叙述各安全管理部门及人员的主要职责。</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7.3 安全管理制度及办法</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7.4 安全组织技术措施</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针对本工程特点，分析安全薄弱环节，拟将采取的技术措施。</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7.5 重要施工方案和特殊施工工序的安全过程控制</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7.6 严格执行《建筑施工安全检查标准》(JGJ59-99)和省、市建设主管部门有关文明施工的规定。并按照甲方要求安排工作时间，在施工中尽量减少噪音，必要时采取有效的隔音措施，混凝土浇灌需连续不间断作业时，按有关规定申报夜间施工许可证。</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bookmarkStart w:id="53" w:name="_Hlt531956504"/>
      <w:r>
        <w:rPr>
          <w:rFonts w:hint="eastAsia" w:ascii="宋体" w:hAnsi="宋体" w:eastAsia="宋体" w:cs="宋体"/>
          <w:color w:val="auto"/>
          <w:sz w:val="24"/>
          <w:szCs w:val="24"/>
          <w:highlight w:val="none"/>
        </w:rPr>
        <w:t>安全生产目标：杜绝本项目施工人员重大伤亡事故。</w:t>
      </w:r>
      <w:bookmarkEnd w:id="53"/>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文明施工目标：标准化管理。</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（八）环境保护及文明施工</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 环境保护</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分析因施工可能引起的环境保护方面的问题。</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8.2 加强施工管理、严格保护环境</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提出环境保护的目标及采取的具体措施。</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8.3 文明施工的目标、组织机构和实施方案</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8.4 文明施工考核、管理办法</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（九）计划、统计和信息管理</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9.1 计划、统计报表的编制与传递；</w:t>
      </w:r>
    </w:p>
    <w:p>
      <w:pPr>
        <w:pageBreakBefore w:val="0"/>
        <w:kinsoku/>
        <w:overflowPunct/>
        <w:bidi w:val="0"/>
        <w:snapToGrid w:val="0"/>
        <w:spacing w:beforeAutospacing="0" w:afterAutospacing="0" w:line="360" w:lineRule="auto"/>
        <w:ind w:firstLine="424" w:firstLineChars="177"/>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9.2 信息管理</w:t>
      </w:r>
    </w:p>
    <w:p>
      <w:pPr>
        <w:pageBreakBefore w:val="0"/>
        <w:kinsoku/>
        <w:overflowPunct/>
        <w:bidi w:val="0"/>
        <w:snapToGrid w:val="0"/>
        <w:spacing w:beforeAutospacing="0" w:afterAutospacing="0" w:line="360" w:lineRule="auto"/>
        <w:ind w:firstLine="424" w:firstLineChars="177"/>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提出信息管理的目标及拟将采取的措施。</w:t>
      </w:r>
    </w:p>
    <w:p>
      <w:pPr>
        <w:pageBreakBefore w:val="0"/>
        <w:kinsoku/>
        <w:overflowPunct/>
        <w:bidi w:val="0"/>
        <w:snapToGrid w:val="0"/>
        <w:spacing w:beforeAutospacing="0" w:afterAutospacing="0" w:line="360" w:lineRule="auto"/>
        <w:ind w:firstLine="424" w:firstLineChars="177"/>
        <w:rPr>
          <w:rFonts w:hint="eastAsia" w:ascii="宋体" w:hAnsi="宋体" w:eastAsia="宋体" w:cs="宋体"/>
          <w:color w:val="auto"/>
          <w:sz w:val="24"/>
          <w:szCs w:val="24"/>
          <w:highlight w:val="none"/>
        </w:rPr>
      </w:pPr>
    </w:p>
    <w:p>
      <w:pPr>
        <w:pStyle w:val="2"/>
        <w:rPr>
          <w:rFonts w:hint="eastAsia" w:ascii="宋体" w:hAnsi="宋体" w:eastAsia="宋体" w:cs="宋体"/>
          <w:color w:val="auto"/>
          <w:sz w:val="24"/>
          <w:szCs w:val="24"/>
          <w:highlight w:val="none"/>
        </w:rPr>
      </w:pPr>
    </w:p>
    <w:p>
      <w:pPr>
        <w:rPr>
          <w:rFonts w:hint="eastAsia"/>
          <w:color w:val="auto"/>
          <w:highlight w:val="none"/>
        </w:rPr>
      </w:pPr>
    </w:p>
    <w:p>
      <w:pPr>
        <w:jc w:val="center"/>
        <w:rPr>
          <w:rFonts w:hint="eastAsia" w:ascii="宋体" w:hAnsi="宋体" w:eastAsia="宋体" w:cs="宋体"/>
          <w:color w:val="auto"/>
          <w:sz w:val="24"/>
          <w:szCs w:val="24"/>
          <w:highlight w:val="none"/>
        </w:rPr>
      </w:pPr>
      <w:bookmarkStart w:id="54" w:name="_Toc9353"/>
      <w:r>
        <w:rPr>
          <w:rFonts w:hint="eastAsia" w:ascii="宋体" w:hAnsi="宋体" w:eastAsia="宋体" w:cs="宋体"/>
          <w:color w:val="auto"/>
          <w:sz w:val="24"/>
          <w:szCs w:val="24"/>
          <w:highlight w:val="none"/>
        </w:rPr>
        <w:br w:type="page"/>
      </w:r>
    </w:p>
    <w:p>
      <w:pPr>
        <w:pStyle w:val="3"/>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第六章  图纸及勘察资料</w:t>
      </w:r>
      <w:bookmarkEnd w:id="50"/>
      <w:bookmarkEnd w:id="54"/>
    </w:p>
    <w:p>
      <w:pPr>
        <w:rPr>
          <w:rFonts w:ascii="宋体"/>
          <w:b/>
          <w:color w:val="auto"/>
          <w:sz w:val="24"/>
          <w:szCs w:val="24"/>
          <w:highlight w:val="none"/>
        </w:rPr>
      </w:pPr>
      <w:r>
        <w:rPr>
          <w:rFonts w:hint="eastAsia" w:ascii="宋体" w:hAnsi="宋体"/>
          <w:color w:val="auto"/>
          <w:sz w:val="24"/>
          <w:szCs w:val="24"/>
          <w:highlight w:val="none"/>
        </w:rPr>
        <w:t>注：本章由招标人自行制定，另册。</w:t>
      </w:r>
    </w:p>
    <w:p>
      <w:pPr>
        <w:pStyle w:val="3"/>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bookmarkStart w:id="55" w:name="_Toc2272570"/>
      <w:bookmarkStart w:id="56" w:name="_Toc22481"/>
      <w:r>
        <w:rPr>
          <w:rFonts w:hint="eastAsia" w:ascii="宋体" w:hAnsi="宋体" w:eastAsia="宋体" w:cs="宋体"/>
          <w:color w:val="auto"/>
          <w:sz w:val="24"/>
          <w:szCs w:val="24"/>
          <w:highlight w:val="none"/>
        </w:rPr>
        <w:t>第七章  工程量清单</w:t>
      </w:r>
      <w:bookmarkEnd w:id="55"/>
      <w:bookmarkEnd w:id="56"/>
    </w:p>
    <w:p>
      <w:pPr>
        <w:rPr>
          <w:rFonts w:ascii="宋体"/>
          <w:b/>
          <w:color w:val="auto"/>
          <w:sz w:val="24"/>
          <w:szCs w:val="24"/>
          <w:highlight w:val="none"/>
        </w:rPr>
      </w:pPr>
      <w:r>
        <w:rPr>
          <w:rFonts w:hint="eastAsia" w:ascii="宋体" w:hAnsi="宋体"/>
          <w:color w:val="auto"/>
          <w:sz w:val="24"/>
          <w:szCs w:val="24"/>
          <w:highlight w:val="none"/>
        </w:rPr>
        <w:t>注：本章由招标人自行制定。另册</w:t>
      </w:r>
    </w:p>
    <w:p>
      <w:pPr>
        <w:pStyle w:val="18"/>
        <w:spacing w:after="0" w:line="360" w:lineRule="auto"/>
        <w:ind w:left="-2" w:leftChars="-1" w:firstLine="960" w:firstLineChars="400"/>
        <w:rPr>
          <w:rFonts w:hint="eastAsia" w:ascii="宋体" w:hAnsi="宋体" w:eastAsia="宋体" w:cs="宋体"/>
          <w:color w:val="auto"/>
          <w:sz w:val="24"/>
          <w:szCs w:val="24"/>
          <w:highlight w:val="none"/>
        </w:rPr>
      </w:pPr>
    </w:p>
    <w:p>
      <w:pPr>
        <w:pStyle w:val="3"/>
        <w:rPr>
          <w:rFonts w:hint="eastAsia" w:ascii="宋体" w:hAnsi="宋体" w:eastAsia="宋体" w:cs="宋体"/>
          <w:color w:val="auto"/>
          <w:sz w:val="24"/>
          <w:szCs w:val="24"/>
          <w:highlight w:val="none"/>
        </w:rPr>
      </w:pPr>
    </w:p>
    <w:p>
      <w:pPr>
        <w:pStyle w:val="3"/>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bookmarkStart w:id="57" w:name="_Toc3710"/>
      <w:bookmarkStart w:id="58" w:name="_Toc2272571"/>
      <w:r>
        <w:rPr>
          <w:rFonts w:hint="eastAsia" w:ascii="宋体" w:hAnsi="宋体" w:eastAsia="宋体" w:cs="宋体"/>
          <w:color w:val="auto"/>
          <w:sz w:val="24"/>
          <w:szCs w:val="24"/>
          <w:highlight w:val="none"/>
        </w:rPr>
        <w:t>第八章  最高投标限价</w:t>
      </w:r>
      <w:bookmarkEnd w:id="57"/>
      <w:bookmarkEnd w:id="58"/>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招标人应当在发布招标文件时，公布最高投标限价的总价，分部分项工程费、措施项目费、其他项目费、规费和税金，以及绿色施工安全防护措施费、暂列金额等投标人不可竞争的固定报价。</w:t>
      </w:r>
    </w:p>
    <w:p>
      <w:pPr>
        <w:spacing w:line="360" w:lineRule="auto"/>
        <w:jc w:val="center"/>
        <w:rPr>
          <w:rFonts w:ascii="宋体" w:hAnsi="宋体"/>
          <w:color w:val="auto"/>
          <w:sz w:val="24"/>
          <w:szCs w:val="24"/>
          <w:highlight w:val="none"/>
          <w:u w:val="single"/>
        </w:rPr>
      </w:pPr>
      <w:r>
        <w:rPr>
          <w:rFonts w:hint="eastAsia" w:ascii="宋体" w:hAnsi="宋体"/>
          <w:color w:val="auto"/>
          <w:sz w:val="24"/>
          <w:szCs w:val="24"/>
          <w:highlight w:val="none"/>
          <w:u w:val="single"/>
        </w:rPr>
        <w:t>（另册）</w:t>
      </w:r>
    </w:p>
    <w:p>
      <w:pPr>
        <w:spacing w:line="360" w:lineRule="auto"/>
        <w:ind w:firstLine="480"/>
        <w:rPr>
          <w:rFonts w:hint="eastAsia" w:ascii="宋体" w:hAnsi="宋体" w:eastAsia="宋体" w:cs="宋体"/>
          <w:color w:val="auto"/>
          <w:sz w:val="24"/>
          <w:szCs w:val="24"/>
          <w:highlight w:val="none"/>
          <w:u w:val="single"/>
        </w:rPr>
      </w:pPr>
    </w:p>
    <w:p>
      <w:pPr>
        <w:spacing w:line="360" w:lineRule="auto"/>
        <w:rPr>
          <w:rFonts w:hint="eastAsia" w:ascii="宋体" w:hAnsi="宋体" w:eastAsia="宋体" w:cs="宋体"/>
          <w:color w:val="auto"/>
          <w:highlight w:val="none"/>
        </w:rPr>
      </w:pPr>
    </w:p>
    <w:p>
      <w:pPr>
        <w:rPr>
          <w:rFonts w:hint="eastAsia" w:ascii="宋体" w:hAnsi="宋体" w:eastAsia="宋体" w:cs="宋体"/>
          <w:color w:val="auto"/>
          <w:highlight w:val="none"/>
        </w:rPr>
      </w:pPr>
    </w:p>
    <w:sectPr>
      <w:headerReference r:id="rId16" w:type="default"/>
      <w:footerReference r:id="rId17" w:type="default"/>
      <w:pgSz w:w="11906" w:h="16838"/>
      <w:pgMar w:top="1080" w:right="1440" w:bottom="108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0"/>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rPr>
        <w:lang w:val="zh-CN"/>
      </w:rPr>
      <w:t>21</w:t>
    </w:r>
    <w:r>
      <w:fldChar w:fldCharType="end"/>
    </w:r>
  </w:p>
  <w:p>
    <w:pPr>
      <w:pStyle w:val="14"/>
      <w:ind w:firstLine="392"/>
      <w:rPr>
        <w:rStyle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92"/>
      <w:rPr>
        <w:rStyle w:val="22"/>
      </w:rPr>
    </w:pPr>
    <w:r>
      <w:fldChar w:fldCharType="begin"/>
    </w:r>
    <w:r>
      <w:rPr>
        <w:rStyle w:val="22"/>
      </w:rPr>
      <w:instrText xml:space="preserve">PAGE  </w:instrText>
    </w:r>
    <w:r>
      <w:fldChar w:fldCharType="separate"/>
    </w:r>
    <w:r>
      <w:rPr>
        <w:rStyle w:val="22"/>
        <w:rFonts w:hint="eastAsia"/>
      </w:rPr>
      <w:t>一</w:t>
    </w:r>
    <w:r>
      <w:rPr>
        <w:rStyle w:val="22"/>
      </w:rPr>
      <w:t>–2</w:t>
    </w:r>
    <w:r>
      <w:fldChar w:fldCharType="end"/>
    </w:r>
  </w:p>
  <w:p>
    <w:pPr>
      <w:pStyle w:val="14"/>
      <w:ind w:firstLine="392"/>
    </w:pP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rPr>
        <w:lang w:val="zh-CN"/>
      </w:rPr>
      <w:t>11</w:t>
    </w:r>
    <w:r>
      <w:fldChar w:fldCharType="end"/>
    </w:r>
  </w:p>
  <w:p>
    <w:pPr>
      <w:pStyle w:val="14"/>
      <w:ind w:firstLine="39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rPr>
        <w:lang w:val="zh-CN"/>
      </w:rPr>
      <w:t>109</w:t>
    </w:r>
    <w:r>
      <w:fldChar w:fldCharType="end"/>
    </w:r>
  </w:p>
  <w:p>
    <w:pPr>
      <w:pStyle w:val="1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t>57</w:t>
    </w:r>
    <w:r>
      <w:fldChar w:fldCharType="end"/>
    </w:r>
  </w:p>
  <w:p>
    <w:pPr>
      <w:pStyle w:val="1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4vdRNAAAAACAQAADwAAAAAAAAABACAAAAAiAAAA&#10;ZHJzL2Rvd25yZXYueG1sUEsBAhQAFAAAAAgAh07iQKn6SssPAgAADwQAAA4AAAAAAAAAAQAgAAAA&#10;HwEAAGRycy9lMm9Eb2MueG1sUEsFBgAAAAAGAAYAWQEAAKA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39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92"/>
    </w:pPr>
    <w:r>
      <w:rPr>
        <w:rFonts w:hint="eastAsia"/>
      </w:rPr>
      <w:t>横枝岗路道路排水改造工程招标文件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8"/>
    <w:multiLevelType w:val="singleLevel"/>
    <w:tmpl w:val="00000008"/>
    <w:lvl w:ilvl="0" w:tentative="0">
      <w:start w:val="1"/>
      <w:numFmt w:val="japaneseCounting"/>
      <w:lvlText w:val="%1、"/>
      <w:lvlJc w:val="left"/>
      <w:pPr>
        <w:tabs>
          <w:tab w:val="left" w:pos="960"/>
        </w:tabs>
        <w:ind w:left="960" w:hanging="480"/>
      </w:pPr>
    </w:lvl>
  </w:abstractNum>
  <w:abstractNum w:abstractNumId="2">
    <w:nsid w:val="0000000B"/>
    <w:multiLevelType w:val="singleLevel"/>
    <w:tmpl w:val="0000000B"/>
    <w:lvl w:ilvl="0" w:tentative="0">
      <w:start w:val="1"/>
      <w:numFmt w:val="decimal"/>
      <w:suff w:val="nothing"/>
      <w:lvlText w:val="（%1）"/>
      <w:lvlJc w:val="left"/>
    </w:lvl>
  </w:abstractNum>
  <w:abstractNum w:abstractNumId="3">
    <w:nsid w:val="0000000C"/>
    <w:multiLevelType w:val="singleLevel"/>
    <w:tmpl w:val="0000000C"/>
    <w:lvl w:ilvl="0" w:tentative="0">
      <w:start w:val="1"/>
      <w:numFmt w:val="decimal"/>
      <w:suff w:val="nothing"/>
      <w:lvlText w:val="（%1）"/>
      <w:lvlJc w:val="left"/>
    </w:lvl>
  </w:abstractNum>
  <w:abstractNum w:abstractNumId="4">
    <w:nsid w:val="00000010"/>
    <w:multiLevelType w:val="multilevel"/>
    <w:tmpl w:val="00000010"/>
    <w:lvl w:ilvl="0" w:tentative="0">
      <w:start w:val="1"/>
      <w:numFmt w:val="decimal"/>
      <w:lvlText w:val="（%1）"/>
      <w:lvlJc w:val="left"/>
      <w:pPr>
        <w:ind w:left="1080" w:hanging="720"/>
      </w:pPr>
      <w:rPr>
        <w:rFonts w:hint="default"/>
        <w:color w:val="000000"/>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5">
    <w:nsid w:val="01BB16A0"/>
    <w:multiLevelType w:val="singleLevel"/>
    <w:tmpl w:val="01BB16A0"/>
    <w:lvl w:ilvl="0" w:tentative="0">
      <w:start w:val="4"/>
      <w:numFmt w:val="chineseCounting"/>
      <w:suff w:val="space"/>
      <w:lvlText w:val="第%1部分"/>
      <w:lvlJc w:val="left"/>
      <w:rPr>
        <w:rFonts w:hint="eastAsia"/>
      </w:rPr>
    </w:lvl>
  </w:abstractNum>
  <w:abstractNum w:abstractNumId="6">
    <w:nsid w:val="14181B7E"/>
    <w:multiLevelType w:val="singleLevel"/>
    <w:tmpl w:val="14181B7E"/>
    <w:lvl w:ilvl="0" w:tentative="0">
      <w:start w:val="1"/>
      <w:numFmt w:val="decimal"/>
      <w:suff w:val="nothing"/>
      <w:lvlText w:val="%1、"/>
      <w:lvlJc w:val="left"/>
    </w:lvl>
  </w:abstractNum>
  <w:abstractNum w:abstractNumId="7">
    <w:nsid w:val="5CADBC91"/>
    <w:multiLevelType w:val="singleLevel"/>
    <w:tmpl w:val="5CADBC91"/>
    <w:lvl w:ilvl="0" w:tentative="0">
      <w:start w:val="1"/>
      <w:numFmt w:val="decimal"/>
      <w:suff w:val="nothing"/>
      <w:lvlText w:val="（%1）"/>
      <w:lvlJc w:val="left"/>
    </w:lvl>
  </w:abstractNum>
  <w:num w:numId="1">
    <w:abstractNumId w:val="7"/>
  </w:num>
  <w:num w:numId="2">
    <w:abstractNumId w:val="3"/>
  </w:num>
  <w:num w:numId="3">
    <w:abstractNumId w:val="2"/>
  </w:num>
  <w:num w:numId="4">
    <w:abstractNumId w:val="5"/>
  </w:num>
  <w:num w:numId="5">
    <w:abstractNumId w:val="6"/>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3N2VhZTA2OWIwNjliNTc2OGM5MzY4NWRlZDQ4NjAifQ=="/>
  </w:docVars>
  <w:rsids>
    <w:rsidRoot w:val="6ECA11E3"/>
    <w:rsid w:val="005B5E13"/>
    <w:rsid w:val="00A24B21"/>
    <w:rsid w:val="00D95AE5"/>
    <w:rsid w:val="016025FC"/>
    <w:rsid w:val="019D4E55"/>
    <w:rsid w:val="02182ED7"/>
    <w:rsid w:val="02367A76"/>
    <w:rsid w:val="02EF1E8A"/>
    <w:rsid w:val="04F875A0"/>
    <w:rsid w:val="06B900B8"/>
    <w:rsid w:val="07DE427B"/>
    <w:rsid w:val="07F77C97"/>
    <w:rsid w:val="082A3964"/>
    <w:rsid w:val="0A081EEC"/>
    <w:rsid w:val="0A451F66"/>
    <w:rsid w:val="0B9F613C"/>
    <w:rsid w:val="0CA77331"/>
    <w:rsid w:val="0CD4440C"/>
    <w:rsid w:val="0D852C14"/>
    <w:rsid w:val="0E6A1CB3"/>
    <w:rsid w:val="100D0BBD"/>
    <w:rsid w:val="105F163C"/>
    <w:rsid w:val="11647F5F"/>
    <w:rsid w:val="12865F4B"/>
    <w:rsid w:val="12C43AFC"/>
    <w:rsid w:val="134231CE"/>
    <w:rsid w:val="15472268"/>
    <w:rsid w:val="16815D1C"/>
    <w:rsid w:val="178A7F7B"/>
    <w:rsid w:val="19C3747C"/>
    <w:rsid w:val="19FD1EAE"/>
    <w:rsid w:val="1AC9155B"/>
    <w:rsid w:val="1B605C3B"/>
    <w:rsid w:val="1CE64CAC"/>
    <w:rsid w:val="1D100F23"/>
    <w:rsid w:val="1D554B87"/>
    <w:rsid w:val="1DC37D43"/>
    <w:rsid w:val="1E263889"/>
    <w:rsid w:val="1E651EA7"/>
    <w:rsid w:val="1E65704C"/>
    <w:rsid w:val="1EEC53C1"/>
    <w:rsid w:val="1F3E6060"/>
    <w:rsid w:val="1F8025E1"/>
    <w:rsid w:val="1F806F73"/>
    <w:rsid w:val="212D7572"/>
    <w:rsid w:val="21470119"/>
    <w:rsid w:val="2184175C"/>
    <w:rsid w:val="219B45C9"/>
    <w:rsid w:val="221413B9"/>
    <w:rsid w:val="223D0F38"/>
    <w:rsid w:val="247C4C34"/>
    <w:rsid w:val="24AC2947"/>
    <w:rsid w:val="2546353E"/>
    <w:rsid w:val="25467F97"/>
    <w:rsid w:val="255F65A3"/>
    <w:rsid w:val="25F969F8"/>
    <w:rsid w:val="26796F4A"/>
    <w:rsid w:val="26BE3237"/>
    <w:rsid w:val="27A95429"/>
    <w:rsid w:val="2969138D"/>
    <w:rsid w:val="2A3E56F6"/>
    <w:rsid w:val="2A675350"/>
    <w:rsid w:val="2BDF4B0D"/>
    <w:rsid w:val="2C2C5AB4"/>
    <w:rsid w:val="2CD06DD8"/>
    <w:rsid w:val="2D14731D"/>
    <w:rsid w:val="2D543C96"/>
    <w:rsid w:val="2D7B31C8"/>
    <w:rsid w:val="2DCE2518"/>
    <w:rsid w:val="2E112C5C"/>
    <w:rsid w:val="2EB27755"/>
    <w:rsid w:val="2EFA19CE"/>
    <w:rsid w:val="2F2A2D4D"/>
    <w:rsid w:val="2FB7406E"/>
    <w:rsid w:val="30753757"/>
    <w:rsid w:val="3331759D"/>
    <w:rsid w:val="33BA52ED"/>
    <w:rsid w:val="347768F0"/>
    <w:rsid w:val="34E15963"/>
    <w:rsid w:val="35727C2D"/>
    <w:rsid w:val="357339A5"/>
    <w:rsid w:val="35CD711E"/>
    <w:rsid w:val="361231BE"/>
    <w:rsid w:val="36933369"/>
    <w:rsid w:val="36BD576F"/>
    <w:rsid w:val="36DB190F"/>
    <w:rsid w:val="36F823B4"/>
    <w:rsid w:val="3701042F"/>
    <w:rsid w:val="371D536D"/>
    <w:rsid w:val="37373A04"/>
    <w:rsid w:val="37ED0850"/>
    <w:rsid w:val="38136029"/>
    <w:rsid w:val="389425B0"/>
    <w:rsid w:val="38C62993"/>
    <w:rsid w:val="39595C88"/>
    <w:rsid w:val="3AD45894"/>
    <w:rsid w:val="3ADC4083"/>
    <w:rsid w:val="3BF13876"/>
    <w:rsid w:val="3C466D4E"/>
    <w:rsid w:val="3DAE273F"/>
    <w:rsid w:val="3DD504CF"/>
    <w:rsid w:val="3E813523"/>
    <w:rsid w:val="3EDC0ECC"/>
    <w:rsid w:val="4067023A"/>
    <w:rsid w:val="407960B9"/>
    <w:rsid w:val="412A3AB2"/>
    <w:rsid w:val="415E375B"/>
    <w:rsid w:val="42D37FA3"/>
    <w:rsid w:val="42FB288E"/>
    <w:rsid w:val="430A6A3E"/>
    <w:rsid w:val="43566DE0"/>
    <w:rsid w:val="43AF5C05"/>
    <w:rsid w:val="44BD25D7"/>
    <w:rsid w:val="450A60D4"/>
    <w:rsid w:val="464B166D"/>
    <w:rsid w:val="466963C3"/>
    <w:rsid w:val="483C5694"/>
    <w:rsid w:val="484A13D8"/>
    <w:rsid w:val="49125FFB"/>
    <w:rsid w:val="491C4628"/>
    <w:rsid w:val="49FD2121"/>
    <w:rsid w:val="4A144EDF"/>
    <w:rsid w:val="4A7E62C5"/>
    <w:rsid w:val="4AC24D5B"/>
    <w:rsid w:val="4B01452B"/>
    <w:rsid w:val="4C3479F8"/>
    <w:rsid w:val="4C4B0ACB"/>
    <w:rsid w:val="4CDB7E70"/>
    <w:rsid w:val="4DB56DF9"/>
    <w:rsid w:val="4F0612C4"/>
    <w:rsid w:val="4FAA3CEB"/>
    <w:rsid w:val="4FC7511A"/>
    <w:rsid w:val="4FCD4904"/>
    <w:rsid w:val="4FE45773"/>
    <w:rsid w:val="524424F9"/>
    <w:rsid w:val="52532C9B"/>
    <w:rsid w:val="52AA6800"/>
    <w:rsid w:val="52B66549"/>
    <w:rsid w:val="52C16224"/>
    <w:rsid w:val="5316330F"/>
    <w:rsid w:val="54931516"/>
    <w:rsid w:val="54F46459"/>
    <w:rsid w:val="550C072E"/>
    <w:rsid w:val="56E90F5B"/>
    <w:rsid w:val="57174FB2"/>
    <w:rsid w:val="573C16D0"/>
    <w:rsid w:val="575907A1"/>
    <w:rsid w:val="57B462A2"/>
    <w:rsid w:val="57E417E0"/>
    <w:rsid w:val="58634CBB"/>
    <w:rsid w:val="58FA2E94"/>
    <w:rsid w:val="591311F4"/>
    <w:rsid w:val="59E3160A"/>
    <w:rsid w:val="59F34FF9"/>
    <w:rsid w:val="5A251F0A"/>
    <w:rsid w:val="5A5D23AA"/>
    <w:rsid w:val="5A9D1E29"/>
    <w:rsid w:val="5B622594"/>
    <w:rsid w:val="5B9938B6"/>
    <w:rsid w:val="5B9A46F8"/>
    <w:rsid w:val="5D083339"/>
    <w:rsid w:val="5E793C16"/>
    <w:rsid w:val="60C16F3B"/>
    <w:rsid w:val="60F65306"/>
    <w:rsid w:val="620F5F69"/>
    <w:rsid w:val="621171B1"/>
    <w:rsid w:val="631B2E02"/>
    <w:rsid w:val="64106469"/>
    <w:rsid w:val="64943E02"/>
    <w:rsid w:val="65F57186"/>
    <w:rsid w:val="67A755AC"/>
    <w:rsid w:val="67BE6D26"/>
    <w:rsid w:val="68384D1D"/>
    <w:rsid w:val="69CF1EED"/>
    <w:rsid w:val="6B50669B"/>
    <w:rsid w:val="6C127F06"/>
    <w:rsid w:val="6DDC7025"/>
    <w:rsid w:val="6E8F15D9"/>
    <w:rsid w:val="6ECA11E3"/>
    <w:rsid w:val="6EF65790"/>
    <w:rsid w:val="6F007327"/>
    <w:rsid w:val="6F175D12"/>
    <w:rsid w:val="6F434296"/>
    <w:rsid w:val="6F5361F2"/>
    <w:rsid w:val="70164E13"/>
    <w:rsid w:val="702B4B0F"/>
    <w:rsid w:val="70D96BE4"/>
    <w:rsid w:val="715274D7"/>
    <w:rsid w:val="72DB4A4B"/>
    <w:rsid w:val="73225BBE"/>
    <w:rsid w:val="73E15D78"/>
    <w:rsid w:val="73F57E4D"/>
    <w:rsid w:val="74D36119"/>
    <w:rsid w:val="763F1AD3"/>
    <w:rsid w:val="776C5995"/>
    <w:rsid w:val="776E1C43"/>
    <w:rsid w:val="77C33D3D"/>
    <w:rsid w:val="781A5362"/>
    <w:rsid w:val="788A03B6"/>
    <w:rsid w:val="79892D64"/>
    <w:rsid w:val="79A33E26"/>
    <w:rsid w:val="79F44419"/>
    <w:rsid w:val="7A316896"/>
    <w:rsid w:val="7A3B6881"/>
    <w:rsid w:val="7AA13242"/>
    <w:rsid w:val="7B095F8D"/>
    <w:rsid w:val="7B9F686F"/>
    <w:rsid w:val="7C4C3032"/>
    <w:rsid w:val="7C9F72EF"/>
    <w:rsid w:val="7D175611"/>
    <w:rsid w:val="7F0E0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4"/>
    <w:next w:val="1"/>
    <w:link w:val="33"/>
    <w:autoRedefine/>
    <w:qFormat/>
    <w:uiPriority w:val="0"/>
    <w:pPr>
      <w:keepNext/>
      <w:keepLines/>
      <w:spacing w:after="120" w:line="360" w:lineRule="auto"/>
      <w:jc w:val="left"/>
      <w:outlineLvl w:val="0"/>
    </w:pPr>
    <w:rPr>
      <w:kern w:val="44"/>
      <w:sz w:val="28"/>
      <w:szCs w:val="28"/>
    </w:rPr>
  </w:style>
  <w:style w:type="paragraph" w:styleId="5">
    <w:name w:val="heading 2"/>
    <w:basedOn w:val="1"/>
    <w:next w:val="6"/>
    <w:autoRedefine/>
    <w:qFormat/>
    <w:uiPriority w:val="0"/>
    <w:pPr>
      <w:keepNext/>
      <w:keepLines/>
      <w:numPr>
        <w:ilvl w:val="1"/>
        <w:numId w:val="0"/>
      </w:numPr>
      <w:spacing w:before="120" w:after="120" w:line="415" w:lineRule="auto"/>
      <w:ind w:left="454"/>
      <w:jc w:val="center"/>
      <w:outlineLvl w:val="1"/>
    </w:pPr>
    <w:rPr>
      <w:rFonts w:ascii="Arial" w:hAnsi="Arial" w:eastAsia="宋体"/>
      <w:b/>
      <w:color w:val="000000"/>
      <w:kern w:val="0"/>
      <w:sz w:val="24"/>
      <w:szCs w:val="24"/>
    </w:rPr>
  </w:style>
  <w:style w:type="paragraph" w:styleId="7">
    <w:name w:val="heading 3"/>
    <w:basedOn w:val="1"/>
    <w:next w:val="1"/>
    <w:autoRedefine/>
    <w:qFormat/>
    <w:uiPriority w:val="0"/>
    <w:pPr>
      <w:widowControl/>
      <w:spacing w:before="100" w:beforeAutospacing="1" w:after="100" w:afterAutospacing="1"/>
      <w:jc w:val="left"/>
      <w:outlineLvl w:val="2"/>
    </w:pPr>
    <w:rPr>
      <w:rFonts w:ascii="宋体" w:hAnsi="宋体" w:eastAsia="宋体"/>
      <w:kern w:val="0"/>
      <w:sz w:val="27"/>
      <w:szCs w:val="27"/>
    </w:rPr>
  </w:style>
  <w:style w:type="character" w:default="1" w:styleId="21">
    <w:name w:val="Default Paragraph Font"/>
    <w:autoRedefine/>
    <w:semiHidden/>
    <w:qFormat/>
    <w:uiPriority w:val="0"/>
  </w:style>
  <w:style w:type="table" w:default="1" w:styleId="20">
    <w:name w:val="Normal Table"/>
    <w:autoRedefine/>
    <w:semiHidden/>
    <w:qFormat/>
    <w:uiPriority w:val="0"/>
    <w:tblPr>
      <w:tblCellMar>
        <w:top w:w="0" w:type="dxa"/>
        <w:left w:w="108" w:type="dxa"/>
        <w:bottom w:w="0" w:type="dxa"/>
        <w:right w:w="108" w:type="dxa"/>
      </w:tblCellMar>
    </w:tblPr>
  </w:style>
  <w:style w:type="paragraph" w:styleId="2">
    <w:name w:val="toc 2"/>
    <w:basedOn w:val="1"/>
    <w:next w:val="1"/>
    <w:autoRedefine/>
    <w:qFormat/>
    <w:uiPriority w:val="0"/>
    <w:pPr>
      <w:tabs>
        <w:tab w:val="right" w:leader="dot" w:pos="9060"/>
      </w:tabs>
      <w:snapToGrid w:val="0"/>
      <w:spacing w:line="360" w:lineRule="auto"/>
      <w:ind w:left="420" w:leftChars="200"/>
      <w:jc w:val="left"/>
    </w:pPr>
    <w:rPr>
      <w:rFonts w:ascii="Times New Roman" w:hAnsi="Times New Roman"/>
      <w:sz w:val="24"/>
      <w:szCs w:val="24"/>
    </w:rPr>
  </w:style>
  <w:style w:type="paragraph" w:styleId="4">
    <w:name w:val="Title"/>
    <w:basedOn w:val="1"/>
    <w:autoRedefine/>
    <w:qFormat/>
    <w:uiPriority w:val="0"/>
    <w:pPr>
      <w:spacing w:before="120" w:after="60"/>
      <w:jc w:val="center"/>
    </w:pPr>
    <w:rPr>
      <w:rFonts w:ascii="Arial" w:hAnsi="Arial" w:eastAsia="宋体"/>
      <w:b/>
      <w:kern w:val="0"/>
      <w:sz w:val="44"/>
      <w:szCs w:val="20"/>
    </w:rPr>
  </w:style>
  <w:style w:type="paragraph" w:styleId="6">
    <w:name w:val="Normal Indent"/>
    <w:basedOn w:val="1"/>
    <w:autoRedefine/>
    <w:qFormat/>
    <w:uiPriority w:val="0"/>
    <w:pPr>
      <w:ind w:firstLine="420"/>
    </w:pPr>
    <w:rPr>
      <w:rFonts w:ascii="Times New Roman" w:hAnsi="Times New Roman"/>
      <w:szCs w:val="20"/>
    </w:rPr>
  </w:style>
  <w:style w:type="paragraph" w:styleId="8">
    <w:name w:val="annotation text"/>
    <w:basedOn w:val="1"/>
    <w:autoRedefine/>
    <w:qFormat/>
    <w:uiPriority w:val="0"/>
    <w:pPr>
      <w:spacing w:line="360" w:lineRule="auto"/>
      <w:ind w:firstLine="523" w:firstLineChars="218"/>
      <w:jc w:val="left"/>
    </w:pPr>
    <w:rPr>
      <w:rFonts w:ascii="宋体" w:hAnsi="宋体" w:eastAsia="宋体"/>
      <w:kern w:val="0"/>
      <w:sz w:val="24"/>
      <w:szCs w:val="24"/>
    </w:rPr>
  </w:style>
  <w:style w:type="paragraph" w:styleId="9">
    <w:name w:val="Body Text"/>
    <w:basedOn w:val="1"/>
    <w:next w:val="10"/>
    <w:autoRedefine/>
    <w:qFormat/>
    <w:uiPriority w:val="0"/>
    <w:pPr>
      <w:spacing w:after="120"/>
    </w:pPr>
    <w:rPr>
      <w:rFonts w:ascii="Times New Roman" w:hAnsi="Times New Roman" w:eastAsia="宋体"/>
      <w:kern w:val="0"/>
      <w:sz w:val="20"/>
      <w:szCs w:val="20"/>
    </w:rPr>
  </w:style>
  <w:style w:type="paragraph" w:styleId="10">
    <w:name w:val="Body Text Indent"/>
    <w:basedOn w:val="1"/>
    <w:autoRedefine/>
    <w:qFormat/>
    <w:uiPriority w:val="0"/>
    <w:pPr>
      <w:ind w:firstLine="570"/>
    </w:pPr>
    <w:rPr>
      <w:rFonts w:ascii="Times New Roman" w:hAnsi="Times New Roman" w:eastAsia="宋体"/>
      <w:kern w:val="0"/>
      <w:sz w:val="28"/>
      <w:szCs w:val="20"/>
    </w:rPr>
  </w:style>
  <w:style w:type="paragraph" w:styleId="11">
    <w:name w:val="toc 3"/>
    <w:basedOn w:val="1"/>
    <w:next w:val="1"/>
    <w:autoRedefine/>
    <w:qFormat/>
    <w:uiPriority w:val="0"/>
    <w:pPr>
      <w:snapToGrid w:val="0"/>
      <w:spacing w:line="360" w:lineRule="auto"/>
      <w:ind w:left="400" w:leftChars="400"/>
      <w:jc w:val="left"/>
    </w:pPr>
    <w:rPr>
      <w:rFonts w:ascii="Times New Roman" w:hAnsi="Times New Roman"/>
      <w:sz w:val="24"/>
      <w:szCs w:val="20"/>
    </w:rPr>
  </w:style>
  <w:style w:type="paragraph" w:styleId="12">
    <w:name w:val="Plain Text"/>
    <w:basedOn w:val="1"/>
    <w:next w:val="1"/>
    <w:autoRedefine/>
    <w:qFormat/>
    <w:uiPriority w:val="0"/>
    <w:rPr>
      <w:rFonts w:ascii="宋体" w:hAnsi="Courier New" w:eastAsia="宋体"/>
      <w:kern w:val="0"/>
      <w:sz w:val="20"/>
      <w:szCs w:val="20"/>
    </w:rPr>
  </w:style>
  <w:style w:type="paragraph" w:styleId="13">
    <w:name w:val="Date"/>
    <w:basedOn w:val="1"/>
    <w:next w:val="1"/>
    <w:autoRedefine/>
    <w:qFormat/>
    <w:uiPriority w:val="0"/>
    <w:rPr>
      <w:rFonts w:ascii="Times New Roman" w:hAnsi="Times New Roman" w:eastAsia="宋体"/>
      <w:kern w:val="0"/>
      <w:sz w:val="20"/>
      <w:szCs w:val="20"/>
    </w:rPr>
  </w:style>
  <w:style w:type="paragraph" w:styleId="14">
    <w:name w:val="footer"/>
    <w:basedOn w:val="1"/>
    <w:autoRedefine/>
    <w:unhideWhenUsed/>
    <w:qFormat/>
    <w:uiPriority w:val="99"/>
    <w:pPr>
      <w:tabs>
        <w:tab w:val="center" w:pos="4153"/>
        <w:tab w:val="right" w:pos="8306"/>
      </w:tabs>
      <w:snapToGrid w:val="0"/>
      <w:jc w:val="left"/>
    </w:pPr>
    <w:rPr>
      <w:rFonts w:ascii="Calibri" w:hAnsi="Calibri" w:eastAsia="宋体"/>
      <w:kern w:val="0"/>
      <w:sz w:val="18"/>
      <w:szCs w:val="18"/>
    </w:rPr>
  </w:style>
  <w:style w:type="paragraph" w:styleId="15">
    <w:name w:val="header"/>
    <w:basedOn w:val="1"/>
    <w:autoRedefine/>
    <w:unhideWhenUsed/>
    <w:qFormat/>
    <w:uiPriority w:val="0"/>
    <w:pPr>
      <w:pBdr>
        <w:bottom w:val="single" w:color="auto" w:sz="6" w:space="1"/>
      </w:pBdr>
      <w:tabs>
        <w:tab w:val="center" w:pos="4153"/>
        <w:tab w:val="right" w:pos="8306"/>
      </w:tabs>
      <w:snapToGrid w:val="0"/>
      <w:jc w:val="center"/>
    </w:pPr>
    <w:rPr>
      <w:rFonts w:ascii="Calibri" w:hAnsi="Calibri" w:eastAsia="宋体"/>
      <w:kern w:val="0"/>
      <w:sz w:val="18"/>
      <w:szCs w:val="18"/>
    </w:rPr>
  </w:style>
  <w:style w:type="paragraph" w:styleId="16">
    <w:name w:val="toc 1"/>
    <w:basedOn w:val="1"/>
    <w:next w:val="1"/>
    <w:autoRedefine/>
    <w:qFormat/>
    <w:uiPriority w:val="0"/>
    <w:pPr>
      <w:tabs>
        <w:tab w:val="right" w:leader="dot" w:pos="9060"/>
      </w:tabs>
      <w:adjustRightInd w:val="0"/>
      <w:snapToGrid w:val="0"/>
      <w:spacing w:line="360" w:lineRule="auto"/>
      <w:jc w:val="left"/>
      <w:textAlignment w:val="baseline"/>
    </w:pPr>
    <w:rPr>
      <w:rFonts w:ascii="宋体" w:hAnsi="宋体"/>
      <w:caps/>
      <w:kern w:val="0"/>
      <w:sz w:val="24"/>
      <w:szCs w:val="32"/>
    </w:rPr>
  </w:style>
  <w:style w:type="paragraph" w:styleId="17">
    <w:name w:val="Body Text 2"/>
    <w:basedOn w:val="1"/>
    <w:autoRedefine/>
    <w:qFormat/>
    <w:uiPriority w:val="0"/>
    <w:rPr>
      <w:rFonts w:ascii="宋体" w:hAnsi="宋体" w:eastAsia="宋体"/>
      <w:kern w:val="0"/>
      <w:sz w:val="20"/>
      <w:szCs w:val="24"/>
      <w:u w:val="single"/>
    </w:rPr>
  </w:style>
  <w:style w:type="paragraph" w:styleId="18">
    <w:name w:val="Body Text First Indent"/>
    <w:basedOn w:val="9"/>
    <w:autoRedefine/>
    <w:qFormat/>
    <w:uiPriority w:val="0"/>
    <w:pPr>
      <w:ind w:firstLine="420"/>
    </w:pPr>
  </w:style>
  <w:style w:type="paragraph" w:styleId="19">
    <w:name w:val="Body Text First Indent 2"/>
    <w:basedOn w:val="10"/>
    <w:autoRedefine/>
    <w:unhideWhenUsed/>
    <w:qFormat/>
    <w:uiPriority w:val="0"/>
    <w:pPr>
      <w:ind w:firstLine="420" w:firstLineChars="200"/>
    </w:pPr>
    <w:rPr>
      <w:sz w:val="21"/>
    </w:rPr>
  </w:style>
  <w:style w:type="character" w:styleId="22">
    <w:name w:val="page number"/>
    <w:autoRedefine/>
    <w:qFormat/>
    <w:uiPriority w:val="0"/>
    <w:rPr>
      <w:rFonts w:cs="Times New Roman"/>
    </w:rPr>
  </w:style>
  <w:style w:type="character" w:styleId="23">
    <w:name w:val="Hyperlink"/>
    <w:autoRedefine/>
    <w:qFormat/>
    <w:uiPriority w:val="0"/>
    <w:rPr>
      <w:color w:val="0000FF"/>
      <w:u w:val="single"/>
    </w:rPr>
  </w:style>
  <w:style w:type="character" w:customStyle="1" w:styleId="24">
    <w:name w:val="font51"/>
    <w:autoRedefine/>
    <w:qFormat/>
    <w:uiPriority w:val="0"/>
    <w:rPr>
      <w:rFonts w:hint="eastAsia" w:ascii="宋体" w:hAnsi="宋体" w:eastAsia="宋体"/>
      <w:color w:val="000000"/>
      <w:sz w:val="24"/>
      <w:szCs w:val="24"/>
      <w:u w:val="none"/>
    </w:rPr>
  </w:style>
  <w:style w:type="character" w:customStyle="1" w:styleId="25">
    <w:name w:val="font11"/>
    <w:basedOn w:val="21"/>
    <w:autoRedefine/>
    <w:qFormat/>
    <w:uiPriority w:val="0"/>
    <w:rPr>
      <w:rFonts w:hint="eastAsia" w:ascii="宋体" w:hAnsi="宋体" w:eastAsia="宋体"/>
      <w:color w:val="000000"/>
      <w:sz w:val="24"/>
      <w:szCs w:val="24"/>
      <w:u w:val="single"/>
    </w:rPr>
  </w:style>
  <w:style w:type="paragraph" w:customStyle="1" w:styleId="26">
    <w:name w:val="正文 New New"/>
    <w:autoRedefine/>
    <w:qFormat/>
    <w:uiPriority w:val="0"/>
    <w:pPr>
      <w:widowControl w:val="0"/>
      <w:jc w:val="both"/>
    </w:pPr>
    <w:rPr>
      <w:rFonts w:ascii="Times New Roman" w:hAnsi="Times New Roman" w:eastAsia="楷体_GB2312" w:cs="Times New Roman"/>
      <w:lang w:val="en-US" w:eastAsia="zh-CN" w:bidi="ar-SA"/>
    </w:rPr>
  </w:style>
  <w:style w:type="paragraph" w:customStyle="1" w:styleId="27">
    <w:name w:val="正文 New New New New New New New New New New New New New New"/>
    <w:autoRedefine/>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28">
    <w:name w:val="正文文本缩进 New New"/>
    <w:basedOn w:val="1"/>
    <w:autoRedefine/>
    <w:qFormat/>
    <w:uiPriority w:val="0"/>
    <w:pPr>
      <w:spacing w:after="120"/>
      <w:ind w:left="420" w:leftChars="200"/>
    </w:pPr>
    <w:rPr>
      <w:rFonts w:ascii="Times New Roman" w:eastAsia="楷体_GB2312"/>
      <w:szCs w:val="20"/>
    </w:rPr>
  </w:style>
  <w:style w:type="paragraph" w:customStyle="1" w:styleId="29">
    <w:name w:val="表头"/>
    <w:basedOn w:val="1"/>
    <w:autoRedefine/>
    <w:qFormat/>
    <w:uiPriority w:val="0"/>
    <w:pPr>
      <w:spacing w:line="360" w:lineRule="auto"/>
      <w:jc w:val="center"/>
    </w:pPr>
    <w:rPr>
      <w:rFonts w:ascii="黑体" w:hAnsi="Times New Roman" w:eastAsia="黑体"/>
      <w:kern w:val="0"/>
      <w:sz w:val="24"/>
      <w:szCs w:val="20"/>
    </w:rPr>
  </w:style>
  <w:style w:type="paragraph" w:customStyle="1" w:styleId="30">
    <w:name w:val="正文 New New New New New New New New New New New New New"/>
    <w:autoRedefine/>
    <w:qFormat/>
    <w:uiPriority w:val="0"/>
    <w:pPr>
      <w:widowControl w:val="0"/>
      <w:jc w:val="both"/>
    </w:pPr>
    <w:rPr>
      <w:rFonts w:ascii="仿宋_GB2312" w:hAnsi="仿宋_GB2312" w:eastAsia="宋体" w:cs="宋体"/>
      <w:snapToGrid w:val="0"/>
      <w:sz w:val="21"/>
      <w:szCs w:val="32"/>
      <w:lang w:val="en-US" w:eastAsia="zh-CN" w:bidi="ar-SA"/>
    </w:rPr>
  </w:style>
  <w:style w:type="paragraph" w:customStyle="1" w:styleId="31">
    <w:name w:val="文一"/>
    <w:basedOn w:val="1"/>
    <w:next w:val="1"/>
    <w:autoRedefine/>
    <w:qFormat/>
    <w:uiPriority w:val="0"/>
    <w:pPr>
      <w:topLinePunct/>
      <w:adjustRightInd w:val="0"/>
      <w:snapToGrid w:val="0"/>
      <w:spacing w:line="360" w:lineRule="auto"/>
      <w:ind w:firstLine="200" w:firstLineChars="200"/>
    </w:pPr>
    <w:rPr>
      <w:rFonts w:ascii="宋体" w:hAnsi="宋体"/>
      <w:spacing w:val="4"/>
      <w:sz w:val="24"/>
      <w:szCs w:val="24"/>
    </w:rPr>
  </w:style>
  <w:style w:type="paragraph" w:customStyle="1" w:styleId="32">
    <w:name w:val="正题"/>
    <w:basedOn w:val="31"/>
    <w:next w:val="31"/>
    <w:autoRedefine/>
    <w:qFormat/>
    <w:uiPriority w:val="0"/>
    <w:pPr>
      <w:ind w:firstLine="0" w:firstLineChars="0"/>
      <w:jc w:val="center"/>
    </w:pPr>
    <w:rPr>
      <w:rFonts w:eastAsia="黑体"/>
      <w:b/>
      <w:sz w:val="36"/>
      <w:szCs w:val="36"/>
    </w:rPr>
  </w:style>
  <w:style w:type="character" w:customStyle="1" w:styleId="33">
    <w:name w:val="标题 1 Char"/>
    <w:link w:val="3"/>
    <w:autoRedefine/>
    <w:qFormat/>
    <w:uiPriority w:val="0"/>
    <w:rPr>
      <w:kern w:val="44"/>
      <w:sz w:val="28"/>
      <w:szCs w:val="28"/>
    </w:rPr>
  </w:style>
  <w:style w:type="paragraph" w:customStyle="1" w:styleId="34">
    <w:name w:val="样式 宋体 四号 首行缩进:  2 字符"/>
    <w:basedOn w:val="1"/>
    <w:autoRedefine/>
    <w:qFormat/>
    <w:uiPriority w:val="0"/>
    <w:pPr>
      <w:widowControl/>
    </w:pPr>
    <w:rPr>
      <w:rFonts w:ascii="Times New Roman" w:hAnsi="Times New Roman" w:eastAsia="宋体" w:cs="宋体"/>
      <w:color w:val="000000"/>
      <w:kern w:val="0"/>
      <w:szCs w:val="20"/>
    </w:rPr>
  </w:style>
  <w:style w:type="paragraph" w:styleId="35">
    <w:name w:val="No Spacing"/>
    <w:basedOn w:val="1"/>
    <w:autoRedefine/>
    <w:qFormat/>
    <w:uiPriority w:val="0"/>
    <w:rPr>
      <w:sz w:val="22"/>
      <w:szCs w:val="20"/>
    </w:rPr>
  </w:style>
  <w:style w:type="paragraph" w:customStyle="1" w:styleId="36">
    <w:name w:val="PlainText"/>
    <w:basedOn w:val="1"/>
    <w:autoRedefine/>
    <w:qFormat/>
    <w:uiPriority w:val="0"/>
    <w:rPr>
      <w:rFonts w:ascii="宋体" w:hAnsi="Courier New"/>
      <w:kern w:val="0"/>
      <w:sz w:val="20"/>
      <w:szCs w:val="20"/>
    </w:rPr>
  </w:style>
  <w:style w:type="paragraph" w:customStyle="1" w:styleId="37">
    <w:name w:val="章节三"/>
    <w:basedOn w:val="31"/>
    <w:next w:val="1"/>
    <w:autoRedefine/>
    <w:qFormat/>
    <w:uiPriority w:val="0"/>
    <w:pPr>
      <w:spacing w:before="156" w:beforeLines="50" w:line="240" w:lineRule="auto"/>
      <w:ind w:firstLine="0" w:firstLineChars="0"/>
      <w:jc w:val="left"/>
      <w:outlineLvl w:val="2"/>
    </w:pPr>
    <w:rPr>
      <w:rFonts w:ascii="黑体" w:eastAsia="黑体"/>
      <w:b/>
    </w:rPr>
  </w:style>
  <w:style w:type="paragraph" w:customStyle="1" w:styleId="38">
    <w:name w:val="封二"/>
    <w:basedOn w:val="31"/>
    <w:next w:val="31"/>
    <w:autoRedefine/>
    <w:qFormat/>
    <w:uiPriority w:val="0"/>
    <w:pPr>
      <w:ind w:firstLine="0" w:firstLineChars="0"/>
      <w:jc w:val="center"/>
    </w:pPr>
    <w:rPr>
      <w:rFonts w:eastAsia="黑体"/>
      <w:b/>
      <w:sz w:val="36"/>
      <w:szCs w:val="36"/>
    </w:rPr>
  </w:style>
  <w:style w:type="paragraph" w:customStyle="1" w:styleId="39">
    <w:name w:val="封一"/>
    <w:basedOn w:val="31"/>
    <w:next w:val="31"/>
    <w:autoRedefine/>
    <w:qFormat/>
    <w:uiPriority w:val="0"/>
    <w:pPr>
      <w:ind w:firstLine="0" w:firstLineChars="0"/>
      <w:jc w:val="center"/>
    </w:pPr>
    <w:rPr>
      <w:rFonts w:eastAsia="黑体"/>
      <w:b/>
      <w:sz w:val="84"/>
      <w:szCs w:val="84"/>
    </w:rPr>
  </w:style>
  <w:style w:type="paragraph" w:customStyle="1" w:styleId="40">
    <w:name w:val="封四"/>
    <w:basedOn w:val="31"/>
    <w:next w:val="31"/>
    <w:autoRedefine/>
    <w:qFormat/>
    <w:uiPriority w:val="0"/>
    <w:pPr>
      <w:jc w:val="left"/>
    </w:pPr>
    <w:rPr>
      <w:sz w:val="30"/>
      <w:szCs w:val="30"/>
    </w:rPr>
  </w:style>
  <w:style w:type="paragraph" w:customStyle="1" w:styleId="41">
    <w:name w:val="Body Text Indent"/>
    <w:basedOn w:val="1"/>
    <w:autoRedefine/>
    <w:qFormat/>
    <w:uiPriority w:val="0"/>
    <w:pPr>
      <w:ind w:firstLine="480"/>
    </w:pPr>
    <w:rPr>
      <w:sz w:val="24"/>
      <w:szCs w:val="20"/>
    </w:rPr>
  </w:style>
  <w:style w:type="paragraph" w:customStyle="1" w:styleId="42">
    <w:name w:val="Body Text Indent 3"/>
    <w:basedOn w:val="1"/>
    <w:autoRedefine/>
    <w:qFormat/>
    <w:uiPriority w:val="0"/>
    <w:pPr>
      <w:snapToGrid w:val="0"/>
      <w:spacing w:line="360" w:lineRule="auto"/>
      <w:ind w:left="20" w:firstLine="529" w:firstLineChars="189"/>
    </w:pPr>
    <w:rPr>
      <w:rFonts w:ascii="仿宋_GB2312" w:eastAsia="仿宋_GB2312"/>
      <w:sz w:val="28"/>
    </w:rPr>
  </w:style>
  <w:style w:type="paragraph" w:customStyle="1" w:styleId="43">
    <w:name w:val="正文 New New New New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4">
    <w:name w:val="正文 New"/>
    <w:autoRedefine/>
    <w:qFormat/>
    <w:uiPriority w:val="0"/>
    <w:pPr>
      <w:widowControl w:val="0"/>
      <w:jc w:val="both"/>
    </w:pPr>
    <w:rPr>
      <w:rFonts w:ascii="Times New Roman" w:hAnsi="Times New Roman" w:eastAsia="宋体" w:cs="Times New Roman"/>
      <w:kern w:val="2"/>
      <w:sz w:val="30"/>
      <w:szCs w:val="24"/>
      <w:lang w:val="en-US" w:eastAsia="zh-CN" w:bidi="ar-SA"/>
    </w:rPr>
  </w:style>
  <w:style w:type="paragraph" w:customStyle="1" w:styleId="45">
    <w:name w:val="正文 New New New New New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6">
    <w:name w:val="正文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7">
    <w:name w:val="正文 New New New New New New New New New New New New New New New New New New New"/>
    <w:autoRedefine/>
    <w:qFormat/>
    <w:uiPriority w:val="0"/>
    <w:pPr>
      <w:widowControl w:val="0"/>
      <w:jc w:val="both"/>
    </w:pPr>
    <w:rPr>
      <w:rFonts w:ascii="仿宋_GB2312" w:hAnsi="仿宋_GB2312" w:eastAsia="宋体" w:cs="宋体"/>
      <w:snapToGrid w:val="0"/>
      <w:sz w:val="21"/>
      <w:szCs w:val="32"/>
      <w:lang w:val="en-US" w:eastAsia="zh-CN" w:bidi="ar-SA"/>
    </w:rPr>
  </w:style>
  <w:style w:type="paragraph" w:customStyle="1" w:styleId="48">
    <w:name w:val="正文缩进 New"/>
    <w:basedOn w:val="47"/>
    <w:autoRedefine/>
    <w:qFormat/>
    <w:uiPriority w:val="0"/>
    <w:pPr>
      <w:ind w:firstLine="420"/>
    </w:pPr>
    <w:rPr>
      <w:rFonts w:ascii="Times New Roman" w:hAnsi="Times New Roman" w:cs="Times New Roman"/>
      <w:snapToGrid/>
      <w:kern w:val="2"/>
      <w:szCs w:val="20"/>
    </w:rPr>
  </w:style>
  <w:style w:type="paragraph" w:customStyle="1" w:styleId="49">
    <w:name w:val="正文文本缩进1"/>
    <w:basedOn w:val="1"/>
    <w:autoRedefine/>
    <w:qFormat/>
    <w:uiPriority w:val="0"/>
    <w:pPr>
      <w:ind w:firstLine="480"/>
    </w:pPr>
    <w:rPr>
      <w:sz w:val="24"/>
      <w:szCs w:val="20"/>
    </w:rPr>
  </w:style>
  <w:style w:type="paragraph" w:customStyle="1" w:styleId="50">
    <w:name w:val="正文文本缩进 31"/>
    <w:basedOn w:val="1"/>
    <w:autoRedefine/>
    <w:qFormat/>
    <w:uiPriority w:val="0"/>
    <w:pPr>
      <w:snapToGrid w:val="0"/>
      <w:spacing w:line="360" w:lineRule="auto"/>
      <w:ind w:left="20" w:firstLine="529" w:firstLineChars="189"/>
    </w:pPr>
    <w:rPr>
      <w:rFonts w:ascii="仿宋_GB2312" w:eastAsia="仿宋_GB2312"/>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8.emf"/><Relationship Id="rId25" Type="http://schemas.openxmlformats.org/officeDocument/2006/relationships/image" Target="media/image7.emf"/><Relationship Id="rId24" Type="http://schemas.openxmlformats.org/officeDocument/2006/relationships/image" Target="media/image6.emf"/><Relationship Id="rId23" Type="http://schemas.openxmlformats.org/officeDocument/2006/relationships/image" Target="media/image5.emf"/><Relationship Id="rId22" Type="http://schemas.openxmlformats.org/officeDocument/2006/relationships/image" Target="media/image4.png"/><Relationship Id="rId21" Type="http://schemas.openxmlformats.org/officeDocument/2006/relationships/image" Target="media/image3.png"/><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153</Pages>
  <Words>110727</Words>
  <Characters>115932</Characters>
  <Lines>0</Lines>
  <Paragraphs>0</Paragraphs>
  <TotalTime>48</TotalTime>
  <ScaleCrop>false</ScaleCrop>
  <LinksUpToDate>false</LinksUpToDate>
  <CharactersWithSpaces>121417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2023-09-12T03:31:00Z</dcterms:created>
  <dc:creator>侠名</dc:creator>
  <cp:lastModifiedBy>yang</cp:lastModifiedBy>
  <cp:lastPrinted>2024-06-25T03:41:53Z</cp:lastPrinted>
  <dcterms:modified xsi:type="dcterms:W3CDTF">2024-06-25T04:13:27Z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7F97859726D94B2693059E1057FDEB1A_13</vt:lpwstr>
  </property>
</Properties>
</file>