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49B497E">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000000"/>
          <w:sz w:val="44"/>
          <w:szCs w:val="44"/>
          <w:highlight w:val="none"/>
          <w:lang w:eastAsia="zh-CN"/>
        </w:rPr>
      </w:pPr>
      <w:bookmarkStart w:id="0" w:name="_Toc152042287"/>
      <w:bookmarkStart w:id="1" w:name="_Toc152045511"/>
      <w:bookmarkStart w:id="2" w:name="_Toc144974479"/>
      <w:r>
        <w:rPr>
          <w:rFonts w:hint="eastAsia" w:ascii="宋体" w:hAnsi="宋体" w:cs="宋体"/>
          <w:b/>
          <w:bCs/>
          <w:color w:val="000000"/>
          <w:sz w:val="44"/>
          <w:szCs w:val="44"/>
          <w:highlight w:val="none"/>
          <w:lang w:eastAsia="zh-CN"/>
        </w:rPr>
        <w:t>2023—2025 年从化区吕田镇、良口镇、温泉镇农村生活污水治理提升工程检验监测</w:t>
      </w:r>
    </w:p>
    <w:p w14:paraId="3F70C4AB">
      <w:pPr>
        <w:jc w:val="left"/>
        <w:rPr>
          <w:rFonts w:ascii="宋体" w:hAnsi="宋体" w:cs="宋体"/>
          <w:sz w:val="28"/>
          <w:szCs w:val="28"/>
        </w:rPr>
      </w:pPr>
    </w:p>
    <w:p w14:paraId="67B09292">
      <w:pPr>
        <w:pStyle w:val="22"/>
        <w:ind w:firstLine="200"/>
        <w:jc w:val="left"/>
      </w:pPr>
    </w:p>
    <w:p w14:paraId="45C85368">
      <w:pPr>
        <w:pStyle w:val="22"/>
        <w:ind w:firstLine="200"/>
        <w:jc w:val="left"/>
      </w:pPr>
    </w:p>
    <w:p w14:paraId="5BEDDB91">
      <w:pPr>
        <w:pStyle w:val="22"/>
        <w:ind w:left="0" w:leftChars="0" w:firstLine="0" w:firstLineChars="0"/>
        <w:jc w:val="left"/>
      </w:pPr>
    </w:p>
    <w:p w14:paraId="3DDD8E89">
      <w:pPr>
        <w:pStyle w:val="22"/>
        <w:ind w:firstLine="200"/>
        <w:jc w:val="left"/>
      </w:pPr>
    </w:p>
    <w:p w14:paraId="4F0984F0">
      <w:pPr>
        <w:pStyle w:val="22"/>
        <w:jc w:val="left"/>
      </w:pPr>
    </w:p>
    <w:p w14:paraId="04A89293">
      <w:pPr>
        <w:pStyle w:val="22"/>
        <w:ind w:firstLine="200"/>
        <w:jc w:val="left"/>
      </w:pPr>
    </w:p>
    <w:p w14:paraId="69507C27">
      <w:pPr>
        <w:pStyle w:val="22"/>
        <w:ind w:firstLine="200"/>
        <w:jc w:val="left"/>
      </w:pPr>
    </w:p>
    <w:p w14:paraId="6D9650D3">
      <w:pPr>
        <w:pStyle w:val="22"/>
        <w:ind w:firstLine="200"/>
        <w:jc w:val="left"/>
      </w:pPr>
    </w:p>
    <w:p w14:paraId="3CBD43B4">
      <w:pPr>
        <w:pStyle w:val="22"/>
        <w:ind w:firstLine="200"/>
        <w:jc w:val="left"/>
      </w:pPr>
    </w:p>
    <w:p w14:paraId="6EF7F86E">
      <w:pPr>
        <w:pStyle w:val="22"/>
        <w:ind w:firstLine="200"/>
        <w:jc w:val="left"/>
      </w:pPr>
    </w:p>
    <w:p w14:paraId="486A3203">
      <w:pPr>
        <w:jc w:val="center"/>
        <w:rPr>
          <w:rFonts w:ascii="宋体" w:hAnsi="宋体" w:cs="宋体"/>
          <w:sz w:val="96"/>
          <w:szCs w:val="96"/>
        </w:rPr>
      </w:pPr>
      <w:r>
        <w:rPr>
          <w:rFonts w:hint="eastAsia" w:ascii="宋体" w:hAnsi="宋体" w:cs="宋体"/>
          <w:b/>
          <w:bCs/>
          <w:spacing w:val="26"/>
          <w:sz w:val="110"/>
          <w:szCs w:val="110"/>
          <w:highlight w:val="none"/>
        </w:rPr>
        <w:t>招</w:t>
      </w:r>
      <w:r>
        <w:rPr>
          <w:rFonts w:hint="eastAsia" w:ascii="宋体" w:hAnsi="宋体" w:eastAsia="宋体" w:cs="宋体"/>
          <w:b/>
          <w:bCs/>
          <w:spacing w:val="26"/>
          <w:sz w:val="110"/>
          <w:szCs w:val="110"/>
          <w:highlight w:val="none"/>
        </w:rPr>
        <w:t>标文件</w:t>
      </w:r>
    </w:p>
    <w:p w14:paraId="29FA9653">
      <w:pPr>
        <w:spacing w:line="400" w:lineRule="exact"/>
        <w:rPr>
          <w:rFonts w:ascii="宋体" w:hAnsi="宋体" w:cs="宋体"/>
        </w:rPr>
      </w:pPr>
    </w:p>
    <w:p w14:paraId="1B6EE4E2">
      <w:pPr>
        <w:pStyle w:val="22"/>
        <w:ind w:firstLine="200"/>
      </w:pPr>
    </w:p>
    <w:p w14:paraId="44BB47B0">
      <w:pPr>
        <w:pStyle w:val="22"/>
        <w:ind w:firstLine="200"/>
      </w:pPr>
    </w:p>
    <w:p w14:paraId="56E305B0">
      <w:pPr>
        <w:spacing w:line="400" w:lineRule="exact"/>
        <w:rPr>
          <w:rFonts w:ascii="宋体" w:hAnsi="宋体" w:cs="宋体"/>
        </w:rPr>
      </w:pPr>
    </w:p>
    <w:p w14:paraId="75D220D3">
      <w:pPr>
        <w:pStyle w:val="12"/>
        <w:rPr>
          <w:rFonts w:ascii="宋体" w:hAnsi="宋体" w:cs="宋体"/>
        </w:rPr>
      </w:pPr>
    </w:p>
    <w:p w14:paraId="308EF3D7">
      <w:pPr>
        <w:pStyle w:val="12"/>
        <w:rPr>
          <w:rFonts w:ascii="宋体" w:hAnsi="宋体" w:cs="宋体"/>
        </w:rPr>
      </w:pPr>
    </w:p>
    <w:p w14:paraId="3B3773AD">
      <w:pPr>
        <w:pStyle w:val="12"/>
        <w:rPr>
          <w:rFonts w:ascii="宋体" w:hAnsi="宋体" w:cs="宋体"/>
        </w:rPr>
      </w:pPr>
    </w:p>
    <w:p w14:paraId="3AD16833">
      <w:pPr>
        <w:pStyle w:val="12"/>
        <w:rPr>
          <w:rFonts w:ascii="宋体" w:hAnsi="宋体" w:cs="宋体"/>
        </w:rPr>
      </w:pPr>
    </w:p>
    <w:p w14:paraId="0B352D48">
      <w:pPr>
        <w:spacing w:line="400" w:lineRule="exact"/>
        <w:rPr>
          <w:rFonts w:ascii="宋体" w:hAnsi="宋体" w:cs="宋体"/>
        </w:rPr>
      </w:pPr>
    </w:p>
    <w:p w14:paraId="7948A449">
      <w:pPr>
        <w:spacing w:line="400" w:lineRule="exact"/>
        <w:rPr>
          <w:rFonts w:ascii="宋体" w:hAnsi="宋体" w:cs="宋体"/>
        </w:rPr>
      </w:pPr>
    </w:p>
    <w:p w14:paraId="04B3ECB4">
      <w:pPr>
        <w:spacing w:line="400" w:lineRule="exact"/>
        <w:rPr>
          <w:rFonts w:ascii="宋体" w:hAnsi="宋体" w:cs="宋体"/>
        </w:rPr>
      </w:pPr>
    </w:p>
    <w:p w14:paraId="1CD7464A">
      <w:pPr>
        <w:keepNext w:val="0"/>
        <w:keepLines w:val="0"/>
        <w:pageBreakBefore w:val="0"/>
        <w:kinsoku/>
        <w:wordWrap/>
        <w:overflowPunct/>
        <w:topLinePunct w:val="0"/>
        <w:autoSpaceDE/>
        <w:autoSpaceDN/>
        <w:bidi w:val="0"/>
        <w:spacing w:line="360" w:lineRule="auto"/>
        <w:ind w:firstLine="900" w:firstLineChars="300"/>
        <w:textAlignment w:val="auto"/>
        <w:rPr>
          <w:rFonts w:ascii="宋体" w:hAnsi="宋体" w:cs="宋体"/>
          <w:kern w:val="0"/>
          <w:sz w:val="30"/>
          <w:szCs w:val="30"/>
          <w:highlight w:val="none"/>
          <w:u w:val="single"/>
        </w:rPr>
      </w:pPr>
      <w:r>
        <w:rPr>
          <w:rFonts w:hint="eastAsia" w:ascii="宋体" w:hAnsi="宋体" w:cs="宋体"/>
          <w:sz w:val="30"/>
          <w:szCs w:val="30"/>
          <w:highlight w:val="none"/>
        </w:rPr>
        <w:t xml:space="preserve">招 </w:t>
      </w:r>
      <w:r>
        <w:rPr>
          <w:rFonts w:hint="eastAsia" w:ascii="宋体" w:hAnsi="宋体" w:cs="宋体"/>
          <w:sz w:val="30"/>
          <w:szCs w:val="30"/>
          <w:highlight w:val="none"/>
          <w:lang w:val="en-US" w:eastAsia="zh-CN"/>
        </w:rPr>
        <w:t xml:space="preserve"> </w:t>
      </w:r>
      <w:r>
        <w:rPr>
          <w:rFonts w:hint="eastAsia" w:ascii="宋体" w:hAnsi="宋体" w:cs="宋体"/>
          <w:sz w:val="30"/>
          <w:szCs w:val="30"/>
          <w:highlight w:val="none"/>
        </w:rPr>
        <w:t xml:space="preserve"> 标</w:t>
      </w:r>
      <w:r>
        <w:rPr>
          <w:rFonts w:hint="eastAsia" w:ascii="宋体" w:hAnsi="宋体" w:cs="宋体"/>
          <w:sz w:val="30"/>
          <w:szCs w:val="30"/>
          <w:highlight w:val="none"/>
          <w:lang w:val="en-US" w:eastAsia="zh-CN"/>
        </w:rPr>
        <w:t xml:space="preserve">  </w:t>
      </w:r>
      <w:r>
        <w:rPr>
          <w:rFonts w:hint="eastAsia" w:ascii="宋体" w:hAnsi="宋体" w:cs="宋体"/>
          <w:sz w:val="30"/>
          <w:szCs w:val="30"/>
          <w:highlight w:val="none"/>
        </w:rPr>
        <w:t xml:space="preserve"> </w:t>
      </w:r>
      <w:r>
        <w:rPr>
          <w:rFonts w:hint="eastAsia" w:ascii="宋体" w:hAnsi="宋体" w:cs="宋体"/>
          <w:sz w:val="30"/>
          <w:szCs w:val="30"/>
          <w:highlight w:val="none"/>
          <w:lang w:val="en-US" w:eastAsia="zh-CN"/>
        </w:rPr>
        <w:t>人</w:t>
      </w:r>
      <w:r>
        <w:rPr>
          <w:rFonts w:hint="eastAsia" w:ascii="宋体" w:hAnsi="宋体" w:cs="宋体"/>
          <w:sz w:val="30"/>
          <w:szCs w:val="30"/>
          <w:highlight w:val="none"/>
        </w:rPr>
        <w:t>：</w:t>
      </w:r>
      <w:r>
        <w:rPr>
          <w:rFonts w:hint="eastAsia" w:ascii="宋体" w:hAnsi="宋体" w:eastAsia="宋体" w:cs="宋体"/>
          <w:color w:val="000000"/>
          <w:sz w:val="28"/>
          <w:szCs w:val="28"/>
          <w:highlight w:val="none"/>
          <w:u w:val="single"/>
          <w:lang w:val="en-US" w:eastAsia="zh-CN"/>
        </w:rPr>
        <w:t>广州市从化区城市排水有限公</w:t>
      </w:r>
      <w:r>
        <w:rPr>
          <w:rFonts w:hint="eastAsia" w:ascii="宋体" w:hAnsi="宋体" w:eastAsia="宋体" w:cs="宋体"/>
          <w:color w:val="000000"/>
          <w:sz w:val="28"/>
          <w:szCs w:val="28"/>
          <w:highlight w:val="none"/>
          <w:u w:val="single"/>
        </w:rPr>
        <w:t>司</w:t>
      </w:r>
    </w:p>
    <w:p w14:paraId="57316D6D">
      <w:pPr>
        <w:keepNext w:val="0"/>
        <w:keepLines w:val="0"/>
        <w:pageBreakBefore w:val="0"/>
        <w:kinsoku/>
        <w:wordWrap/>
        <w:overflowPunct/>
        <w:topLinePunct w:val="0"/>
        <w:autoSpaceDE/>
        <w:autoSpaceDN/>
        <w:bidi w:val="0"/>
        <w:spacing w:line="360" w:lineRule="auto"/>
        <w:ind w:firstLine="900" w:firstLineChars="300"/>
        <w:jc w:val="left"/>
        <w:textAlignment w:val="auto"/>
        <w:rPr>
          <w:rFonts w:hint="eastAsia" w:ascii="宋体" w:hAnsi="宋体" w:eastAsia="宋体" w:cs="宋体"/>
          <w:sz w:val="30"/>
          <w:szCs w:val="30"/>
          <w:highlight w:val="none"/>
          <w:u w:val="single"/>
          <w:lang w:eastAsia="zh-CN"/>
        </w:rPr>
      </w:pPr>
      <w:r>
        <w:rPr>
          <w:rFonts w:hint="eastAsia" w:ascii="宋体" w:hAnsi="宋体" w:cs="宋体"/>
          <w:sz w:val="30"/>
          <w:szCs w:val="30"/>
          <w:highlight w:val="none"/>
        </w:rPr>
        <w:t>招标代理单位：</w:t>
      </w:r>
      <w:r>
        <w:rPr>
          <w:rFonts w:hint="eastAsia" w:ascii="宋体" w:hAnsi="宋体" w:cs="宋体"/>
          <w:color w:val="000000"/>
          <w:sz w:val="28"/>
          <w:szCs w:val="28"/>
          <w:highlight w:val="none"/>
          <w:u w:val="single"/>
          <w:lang w:eastAsia="zh-CN"/>
        </w:rPr>
        <w:t>广东恒沣工程管理有限公司</w:t>
      </w:r>
    </w:p>
    <w:p w14:paraId="0AAB6FE8">
      <w:pPr>
        <w:pStyle w:val="19"/>
        <w:keepNext w:val="0"/>
        <w:keepLines w:val="0"/>
        <w:pageBreakBefore w:val="0"/>
        <w:kinsoku/>
        <w:wordWrap/>
        <w:overflowPunct/>
        <w:topLinePunct w:val="0"/>
        <w:autoSpaceDE/>
        <w:autoSpaceDN/>
        <w:bidi w:val="0"/>
        <w:spacing w:line="360" w:lineRule="auto"/>
        <w:ind w:firstLine="900" w:firstLineChars="300"/>
        <w:jc w:val="left"/>
        <w:textAlignment w:val="auto"/>
        <w:rPr>
          <w:rFonts w:hint="eastAsia" w:cs="宋体"/>
          <w:sz w:val="30"/>
          <w:szCs w:val="30"/>
          <w:highlight w:val="none"/>
        </w:rPr>
      </w:pPr>
      <w:r>
        <w:rPr>
          <w:rFonts w:hint="eastAsia" w:cs="宋体"/>
          <w:kern w:val="2"/>
          <w:sz w:val="30"/>
          <w:szCs w:val="30"/>
          <w:highlight w:val="none"/>
          <w:u w:val="none"/>
        </w:rPr>
        <w:t>日        期</w:t>
      </w:r>
      <w:r>
        <w:rPr>
          <w:rFonts w:hint="eastAsia" w:cs="宋体"/>
          <w:sz w:val="30"/>
          <w:szCs w:val="30"/>
          <w:highlight w:val="none"/>
          <w:u w:val="none"/>
        </w:rPr>
        <w:t>：</w:t>
      </w:r>
      <w:r>
        <w:rPr>
          <w:rFonts w:hint="eastAsia" w:ascii="宋体" w:hAnsi="宋体" w:eastAsia="宋体" w:cs="宋体"/>
          <w:color w:val="000000"/>
          <w:kern w:val="2"/>
          <w:sz w:val="28"/>
          <w:szCs w:val="28"/>
          <w:highlight w:val="none"/>
          <w:u w:val="single"/>
          <w:lang w:val="en-US" w:eastAsia="zh-CN" w:bidi="ar-SA"/>
        </w:rPr>
        <w:t>2024年</w:t>
      </w:r>
      <w:r>
        <w:rPr>
          <w:rFonts w:hint="eastAsia" w:ascii="宋体" w:hAnsi="宋体" w:cs="宋体"/>
          <w:color w:val="000000"/>
          <w:kern w:val="2"/>
          <w:sz w:val="28"/>
          <w:szCs w:val="28"/>
          <w:highlight w:val="none"/>
          <w:u w:val="single"/>
          <w:lang w:val="en-US" w:eastAsia="zh-CN" w:bidi="ar-SA"/>
        </w:rPr>
        <w:t>6</w:t>
      </w:r>
      <w:r>
        <w:rPr>
          <w:rFonts w:hint="eastAsia" w:ascii="宋体" w:hAnsi="宋体" w:eastAsia="宋体" w:cs="宋体"/>
          <w:color w:val="000000"/>
          <w:kern w:val="2"/>
          <w:sz w:val="28"/>
          <w:szCs w:val="28"/>
          <w:highlight w:val="none"/>
          <w:u w:val="single"/>
          <w:lang w:val="en-US" w:eastAsia="zh-CN" w:bidi="ar-SA"/>
        </w:rPr>
        <w:t>月</w:t>
      </w:r>
    </w:p>
    <w:p w14:paraId="77979232"/>
    <w:p w14:paraId="62AEE552">
      <w:pPr>
        <w:widowControl/>
        <w:spacing w:line="360" w:lineRule="auto"/>
        <w:jc w:val="left"/>
        <w:rPr>
          <w:rFonts w:ascii="宋体" w:hAnsi="宋体" w:cs="Calibri"/>
          <w:b/>
          <w:kern w:val="0"/>
          <w:sz w:val="28"/>
          <w:szCs w:val="20"/>
          <w:lang w:val="zh-CN"/>
        </w:rPr>
        <w:sectPr>
          <w:footerReference r:id="rId3" w:type="default"/>
          <w:pgSz w:w="11907" w:h="16840"/>
          <w:pgMar w:top="1440" w:right="1080" w:bottom="1440" w:left="1080" w:header="851" w:footer="992" w:gutter="0"/>
          <w:cols w:space="720" w:num="1"/>
          <w:docGrid w:linePitch="312" w:charSpace="0"/>
        </w:sectPr>
      </w:pPr>
    </w:p>
    <w:p w14:paraId="49687CA7">
      <w:pPr>
        <w:pStyle w:val="31"/>
        <w:keepNext w:val="0"/>
        <w:keepLines w:val="0"/>
        <w:widowControl w:val="0"/>
        <w:jc w:val="center"/>
        <w:rPr>
          <w:rFonts w:ascii="宋体" w:hAnsi="宋体"/>
          <w:color w:val="auto"/>
          <w:lang w:val="zh-CN"/>
        </w:rPr>
      </w:pPr>
      <w:r>
        <w:rPr>
          <w:rFonts w:hint="eastAsia" w:ascii="宋体" w:hAnsi="宋体"/>
          <w:color w:val="auto"/>
          <w:lang w:val="zh-CN"/>
        </w:rPr>
        <w:t>目录</w:t>
      </w:r>
    </w:p>
    <w:p w14:paraId="57AA9733">
      <w:pPr>
        <w:jc w:val="center"/>
        <w:rPr>
          <w:lang w:val="zh-CN"/>
        </w:rPr>
      </w:pPr>
    </w:p>
    <w:p w14:paraId="41EC557D">
      <w:pPr>
        <w:pStyle w:val="17"/>
        <w:tabs>
          <w:tab w:val="right" w:leader="dot" w:pos="8307"/>
        </w:tabs>
        <w:spacing w:line="360" w:lineRule="auto"/>
        <w:rPr>
          <w:sz w:val="24"/>
          <w:szCs w:val="24"/>
        </w:rPr>
      </w:pPr>
      <w:r>
        <w:fldChar w:fldCharType="begin"/>
      </w:r>
      <w:r>
        <w:instrText xml:space="preserve"> TOC \o "1-1" \h \z \u </w:instrText>
      </w:r>
      <w:r>
        <w:fldChar w:fldCharType="separate"/>
      </w:r>
    </w:p>
    <w:p w14:paraId="0F66ED7C">
      <w:pPr>
        <w:pStyle w:val="17"/>
        <w:tabs>
          <w:tab w:val="right" w:leader="dot" w:pos="8307"/>
        </w:tabs>
        <w:spacing w:line="360" w:lineRule="auto"/>
        <w:rPr>
          <w:sz w:val="24"/>
          <w:szCs w:val="24"/>
        </w:rPr>
      </w:pPr>
      <w:r>
        <w:rPr>
          <w:sz w:val="24"/>
          <w:szCs w:val="24"/>
        </w:rPr>
        <w:fldChar w:fldCharType="begin"/>
      </w:r>
      <w:r>
        <w:rPr>
          <w:sz w:val="24"/>
          <w:szCs w:val="24"/>
        </w:rPr>
        <w:instrText xml:space="preserve"> HYPERLINK \l _Toc32759 </w:instrText>
      </w:r>
      <w:r>
        <w:rPr>
          <w:sz w:val="24"/>
          <w:szCs w:val="24"/>
        </w:rPr>
        <w:fldChar w:fldCharType="separate"/>
      </w:r>
      <w:r>
        <w:rPr>
          <w:rFonts w:hint="eastAsia" w:ascii="宋体" w:hAnsi="宋体"/>
          <w:sz w:val="24"/>
          <w:szCs w:val="24"/>
        </w:rPr>
        <w:t>第一章 招标公告</w:t>
      </w:r>
      <w:r>
        <w:rPr>
          <w:sz w:val="24"/>
          <w:szCs w:val="24"/>
        </w:rPr>
        <w:tab/>
      </w:r>
      <w:r>
        <w:rPr>
          <w:sz w:val="24"/>
          <w:szCs w:val="24"/>
        </w:rPr>
        <w:fldChar w:fldCharType="begin"/>
      </w:r>
      <w:r>
        <w:rPr>
          <w:sz w:val="24"/>
          <w:szCs w:val="24"/>
        </w:rPr>
        <w:instrText xml:space="preserve"> PAGEREF _Toc32759 \h </w:instrText>
      </w:r>
      <w:r>
        <w:rPr>
          <w:sz w:val="24"/>
          <w:szCs w:val="24"/>
        </w:rPr>
        <w:fldChar w:fldCharType="separate"/>
      </w:r>
      <w:r>
        <w:rPr>
          <w:sz w:val="24"/>
          <w:szCs w:val="24"/>
        </w:rPr>
        <w:t>3</w:t>
      </w:r>
      <w:r>
        <w:rPr>
          <w:sz w:val="24"/>
          <w:szCs w:val="24"/>
        </w:rPr>
        <w:fldChar w:fldCharType="end"/>
      </w:r>
      <w:r>
        <w:rPr>
          <w:sz w:val="24"/>
          <w:szCs w:val="24"/>
        </w:rPr>
        <w:fldChar w:fldCharType="end"/>
      </w:r>
    </w:p>
    <w:p w14:paraId="0BA1C099">
      <w:pPr>
        <w:pStyle w:val="17"/>
        <w:tabs>
          <w:tab w:val="right" w:leader="dot" w:pos="8307"/>
        </w:tabs>
        <w:spacing w:line="360" w:lineRule="auto"/>
        <w:rPr>
          <w:sz w:val="24"/>
          <w:szCs w:val="24"/>
        </w:rPr>
      </w:pPr>
      <w:r>
        <w:rPr>
          <w:sz w:val="24"/>
          <w:szCs w:val="24"/>
        </w:rPr>
        <w:fldChar w:fldCharType="begin"/>
      </w:r>
      <w:r>
        <w:rPr>
          <w:sz w:val="24"/>
          <w:szCs w:val="24"/>
        </w:rPr>
        <w:instrText xml:space="preserve"> HYPERLINK \l _Toc16899 </w:instrText>
      </w:r>
      <w:r>
        <w:rPr>
          <w:sz w:val="24"/>
          <w:szCs w:val="24"/>
        </w:rPr>
        <w:fldChar w:fldCharType="separate"/>
      </w:r>
      <w:r>
        <w:rPr>
          <w:rFonts w:hint="eastAsia" w:ascii="宋体" w:hAnsi="宋体"/>
          <w:sz w:val="24"/>
          <w:szCs w:val="24"/>
        </w:rPr>
        <w:t>第二章 投标人须知</w:t>
      </w:r>
      <w:r>
        <w:rPr>
          <w:sz w:val="24"/>
          <w:szCs w:val="24"/>
        </w:rPr>
        <w:tab/>
      </w:r>
      <w:r>
        <w:rPr>
          <w:sz w:val="24"/>
          <w:szCs w:val="24"/>
        </w:rPr>
        <w:fldChar w:fldCharType="begin"/>
      </w:r>
      <w:r>
        <w:rPr>
          <w:sz w:val="24"/>
          <w:szCs w:val="24"/>
        </w:rPr>
        <w:instrText xml:space="preserve"> PAGEREF _Toc16899 \h </w:instrText>
      </w:r>
      <w:r>
        <w:rPr>
          <w:sz w:val="24"/>
          <w:szCs w:val="24"/>
        </w:rPr>
        <w:fldChar w:fldCharType="separate"/>
      </w:r>
      <w:r>
        <w:rPr>
          <w:sz w:val="24"/>
          <w:szCs w:val="24"/>
        </w:rPr>
        <w:t>4</w:t>
      </w:r>
      <w:r>
        <w:rPr>
          <w:sz w:val="24"/>
          <w:szCs w:val="24"/>
        </w:rPr>
        <w:fldChar w:fldCharType="end"/>
      </w:r>
      <w:r>
        <w:rPr>
          <w:sz w:val="24"/>
          <w:szCs w:val="24"/>
        </w:rPr>
        <w:fldChar w:fldCharType="end"/>
      </w:r>
    </w:p>
    <w:p w14:paraId="0113E42D">
      <w:pPr>
        <w:pStyle w:val="17"/>
        <w:tabs>
          <w:tab w:val="right" w:leader="dot" w:pos="8307"/>
        </w:tabs>
        <w:spacing w:line="360" w:lineRule="auto"/>
        <w:rPr>
          <w:sz w:val="24"/>
          <w:szCs w:val="24"/>
        </w:rPr>
      </w:pPr>
      <w:r>
        <w:rPr>
          <w:sz w:val="24"/>
          <w:szCs w:val="24"/>
        </w:rPr>
        <w:fldChar w:fldCharType="begin"/>
      </w:r>
      <w:r>
        <w:rPr>
          <w:sz w:val="24"/>
          <w:szCs w:val="24"/>
        </w:rPr>
        <w:instrText xml:space="preserve"> HYPERLINK \l _Toc11044 </w:instrText>
      </w:r>
      <w:r>
        <w:rPr>
          <w:sz w:val="24"/>
          <w:szCs w:val="24"/>
        </w:rPr>
        <w:fldChar w:fldCharType="separate"/>
      </w:r>
      <w:r>
        <w:rPr>
          <w:rFonts w:ascii="宋体" w:hAnsi="宋体"/>
          <w:sz w:val="24"/>
          <w:szCs w:val="24"/>
        </w:rPr>
        <w:t>第三章评标办法（综合评估法）</w:t>
      </w:r>
      <w:r>
        <w:rPr>
          <w:sz w:val="24"/>
          <w:szCs w:val="24"/>
        </w:rPr>
        <w:tab/>
      </w:r>
      <w:r>
        <w:rPr>
          <w:sz w:val="24"/>
          <w:szCs w:val="24"/>
        </w:rPr>
        <w:fldChar w:fldCharType="begin"/>
      </w:r>
      <w:r>
        <w:rPr>
          <w:sz w:val="24"/>
          <w:szCs w:val="24"/>
        </w:rPr>
        <w:instrText xml:space="preserve"> PAGEREF _Toc11044 \h </w:instrText>
      </w:r>
      <w:r>
        <w:rPr>
          <w:sz w:val="24"/>
          <w:szCs w:val="24"/>
        </w:rPr>
        <w:fldChar w:fldCharType="separate"/>
      </w:r>
      <w:r>
        <w:rPr>
          <w:sz w:val="24"/>
          <w:szCs w:val="24"/>
        </w:rPr>
        <w:t>28</w:t>
      </w:r>
      <w:r>
        <w:rPr>
          <w:sz w:val="24"/>
          <w:szCs w:val="24"/>
        </w:rPr>
        <w:fldChar w:fldCharType="end"/>
      </w:r>
      <w:r>
        <w:rPr>
          <w:sz w:val="24"/>
          <w:szCs w:val="24"/>
        </w:rPr>
        <w:fldChar w:fldCharType="end"/>
      </w:r>
    </w:p>
    <w:p w14:paraId="0D25B375">
      <w:pPr>
        <w:pStyle w:val="17"/>
        <w:tabs>
          <w:tab w:val="right" w:leader="dot" w:pos="8307"/>
        </w:tabs>
        <w:spacing w:line="360" w:lineRule="auto"/>
        <w:rPr>
          <w:sz w:val="24"/>
          <w:szCs w:val="24"/>
        </w:rPr>
      </w:pPr>
      <w:r>
        <w:rPr>
          <w:sz w:val="24"/>
          <w:szCs w:val="24"/>
        </w:rPr>
        <w:fldChar w:fldCharType="begin"/>
      </w:r>
      <w:r>
        <w:rPr>
          <w:sz w:val="24"/>
          <w:szCs w:val="24"/>
        </w:rPr>
        <w:instrText xml:space="preserve"> HYPERLINK \l _Toc27815 </w:instrText>
      </w:r>
      <w:r>
        <w:rPr>
          <w:sz w:val="24"/>
          <w:szCs w:val="24"/>
        </w:rPr>
        <w:fldChar w:fldCharType="separate"/>
      </w:r>
      <w:r>
        <w:rPr>
          <w:rFonts w:hint="eastAsia" w:ascii="宋体" w:hAnsi="宋体"/>
          <w:sz w:val="24"/>
          <w:szCs w:val="24"/>
        </w:rPr>
        <w:t>第四章 合同条款及格式</w:t>
      </w:r>
      <w:r>
        <w:rPr>
          <w:sz w:val="24"/>
          <w:szCs w:val="24"/>
        </w:rPr>
        <w:tab/>
      </w:r>
      <w:r>
        <w:rPr>
          <w:sz w:val="24"/>
          <w:szCs w:val="24"/>
        </w:rPr>
        <w:fldChar w:fldCharType="begin"/>
      </w:r>
      <w:r>
        <w:rPr>
          <w:sz w:val="24"/>
          <w:szCs w:val="24"/>
        </w:rPr>
        <w:instrText xml:space="preserve"> PAGEREF _Toc27815 \h </w:instrText>
      </w:r>
      <w:r>
        <w:rPr>
          <w:sz w:val="24"/>
          <w:szCs w:val="24"/>
        </w:rPr>
        <w:fldChar w:fldCharType="separate"/>
      </w:r>
      <w:r>
        <w:rPr>
          <w:sz w:val="24"/>
          <w:szCs w:val="24"/>
        </w:rPr>
        <w:t>37</w:t>
      </w:r>
      <w:r>
        <w:rPr>
          <w:sz w:val="24"/>
          <w:szCs w:val="24"/>
        </w:rPr>
        <w:fldChar w:fldCharType="end"/>
      </w:r>
      <w:r>
        <w:rPr>
          <w:sz w:val="24"/>
          <w:szCs w:val="24"/>
        </w:rPr>
        <w:fldChar w:fldCharType="end"/>
      </w:r>
    </w:p>
    <w:p w14:paraId="64AC9730">
      <w:pPr>
        <w:pStyle w:val="17"/>
        <w:tabs>
          <w:tab w:val="right" w:leader="dot" w:pos="8307"/>
        </w:tabs>
        <w:spacing w:line="360" w:lineRule="auto"/>
        <w:rPr>
          <w:sz w:val="24"/>
          <w:szCs w:val="24"/>
        </w:rPr>
      </w:pPr>
      <w:r>
        <w:rPr>
          <w:sz w:val="24"/>
          <w:szCs w:val="24"/>
        </w:rPr>
        <w:fldChar w:fldCharType="begin"/>
      </w:r>
      <w:r>
        <w:rPr>
          <w:sz w:val="24"/>
          <w:szCs w:val="24"/>
        </w:rPr>
        <w:instrText xml:space="preserve"> HYPERLINK \l _Toc1993 </w:instrText>
      </w:r>
      <w:r>
        <w:rPr>
          <w:sz w:val="24"/>
          <w:szCs w:val="24"/>
        </w:rPr>
        <w:fldChar w:fldCharType="separate"/>
      </w:r>
      <w:r>
        <w:rPr>
          <w:rFonts w:hint="eastAsia" w:ascii="宋体" w:hAnsi="宋体"/>
          <w:sz w:val="24"/>
          <w:szCs w:val="24"/>
        </w:rPr>
        <w:t xml:space="preserve">第五章 </w:t>
      </w:r>
      <w:r>
        <w:rPr>
          <w:rFonts w:hint="eastAsia" w:ascii="宋体" w:hAnsi="宋体" w:cs="Times New Roman"/>
          <w:bCs w:val="0"/>
          <w:kern w:val="44"/>
          <w:sz w:val="24"/>
          <w:szCs w:val="24"/>
        </w:rPr>
        <w:t>检测及监测清单</w:t>
      </w:r>
      <w:r>
        <w:rPr>
          <w:sz w:val="24"/>
          <w:szCs w:val="24"/>
        </w:rPr>
        <w:tab/>
      </w:r>
      <w:r>
        <w:rPr>
          <w:sz w:val="24"/>
          <w:szCs w:val="24"/>
        </w:rPr>
        <w:fldChar w:fldCharType="begin"/>
      </w:r>
      <w:r>
        <w:rPr>
          <w:sz w:val="24"/>
          <w:szCs w:val="24"/>
        </w:rPr>
        <w:instrText xml:space="preserve"> PAGEREF _Toc1993 \h </w:instrText>
      </w:r>
      <w:r>
        <w:rPr>
          <w:sz w:val="24"/>
          <w:szCs w:val="24"/>
        </w:rPr>
        <w:fldChar w:fldCharType="separate"/>
      </w:r>
      <w:r>
        <w:rPr>
          <w:sz w:val="24"/>
          <w:szCs w:val="24"/>
        </w:rPr>
        <w:t>38</w:t>
      </w:r>
      <w:r>
        <w:rPr>
          <w:sz w:val="24"/>
          <w:szCs w:val="24"/>
        </w:rPr>
        <w:fldChar w:fldCharType="end"/>
      </w:r>
      <w:r>
        <w:rPr>
          <w:sz w:val="24"/>
          <w:szCs w:val="24"/>
        </w:rPr>
        <w:fldChar w:fldCharType="end"/>
      </w:r>
    </w:p>
    <w:p w14:paraId="1B3EFB10">
      <w:pPr>
        <w:pStyle w:val="17"/>
        <w:tabs>
          <w:tab w:val="right" w:leader="dot" w:pos="8307"/>
        </w:tabs>
        <w:spacing w:line="360" w:lineRule="auto"/>
      </w:pPr>
      <w:r>
        <w:rPr>
          <w:sz w:val="24"/>
          <w:szCs w:val="24"/>
        </w:rPr>
        <w:fldChar w:fldCharType="begin"/>
      </w:r>
      <w:r>
        <w:rPr>
          <w:sz w:val="24"/>
          <w:szCs w:val="24"/>
        </w:rPr>
        <w:instrText xml:space="preserve"> HYPERLINK \l _Toc30344 </w:instrText>
      </w:r>
      <w:r>
        <w:rPr>
          <w:sz w:val="24"/>
          <w:szCs w:val="24"/>
        </w:rPr>
        <w:fldChar w:fldCharType="separate"/>
      </w:r>
      <w:r>
        <w:rPr>
          <w:rFonts w:hint="eastAsia" w:ascii="宋体" w:hAnsi="宋体"/>
          <w:sz w:val="24"/>
          <w:szCs w:val="24"/>
        </w:rPr>
        <w:t>第六章 投标文件格式</w:t>
      </w:r>
      <w:r>
        <w:rPr>
          <w:sz w:val="24"/>
          <w:szCs w:val="24"/>
        </w:rPr>
        <w:tab/>
      </w:r>
      <w:r>
        <w:rPr>
          <w:sz w:val="24"/>
          <w:szCs w:val="24"/>
        </w:rPr>
        <w:fldChar w:fldCharType="begin"/>
      </w:r>
      <w:r>
        <w:rPr>
          <w:sz w:val="24"/>
          <w:szCs w:val="24"/>
        </w:rPr>
        <w:instrText xml:space="preserve"> PAGEREF _Toc30344 \h </w:instrText>
      </w:r>
      <w:r>
        <w:rPr>
          <w:sz w:val="24"/>
          <w:szCs w:val="24"/>
        </w:rPr>
        <w:fldChar w:fldCharType="separate"/>
      </w:r>
      <w:r>
        <w:rPr>
          <w:sz w:val="24"/>
          <w:szCs w:val="24"/>
        </w:rPr>
        <w:t>45</w:t>
      </w:r>
      <w:r>
        <w:rPr>
          <w:sz w:val="24"/>
          <w:szCs w:val="24"/>
        </w:rPr>
        <w:fldChar w:fldCharType="end"/>
      </w:r>
      <w:r>
        <w:rPr>
          <w:sz w:val="24"/>
          <w:szCs w:val="24"/>
        </w:rPr>
        <w:fldChar w:fldCharType="end"/>
      </w:r>
    </w:p>
    <w:p w14:paraId="56629861">
      <w:pPr>
        <w:spacing w:line="480" w:lineRule="auto"/>
        <w:rPr>
          <w:rFonts w:ascii="宋体" w:hAnsi="宋体"/>
        </w:rPr>
      </w:pPr>
      <w:r>
        <w:fldChar w:fldCharType="end"/>
      </w:r>
    </w:p>
    <w:p w14:paraId="7CD748F7">
      <w:pPr>
        <w:widowControl/>
        <w:spacing w:line="480" w:lineRule="auto"/>
        <w:jc w:val="left"/>
        <w:rPr>
          <w:rFonts w:ascii="宋体" w:hAnsi="宋体"/>
        </w:rPr>
        <w:sectPr>
          <w:pgSz w:w="11907" w:h="16840"/>
          <w:pgMar w:top="1440" w:right="1800" w:bottom="1440" w:left="1800" w:header="720" w:footer="720" w:gutter="0"/>
          <w:cols w:space="720" w:num="1"/>
        </w:sectPr>
      </w:pPr>
    </w:p>
    <w:bookmarkEnd w:id="0"/>
    <w:bookmarkEnd w:id="1"/>
    <w:bookmarkEnd w:id="2"/>
    <w:p w14:paraId="7953815D">
      <w:bookmarkStart w:id="3" w:name="_Toc511557024"/>
    </w:p>
    <w:bookmarkEnd w:id="3"/>
    <w:p w14:paraId="14FC72B5">
      <w:pPr>
        <w:pStyle w:val="3"/>
        <w:keepNext w:val="0"/>
        <w:keepLines w:val="0"/>
        <w:spacing w:before="120" w:line="240" w:lineRule="auto"/>
        <w:jc w:val="center"/>
        <w:rPr>
          <w:rFonts w:ascii="宋体" w:hAnsi="宋体"/>
        </w:rPr>
      </w:pPr>
      <w:bookmarkStart w:id="4" w:name="_Toc32759"/>
      <w:bookmarkStart w:id="5" w:name="_Toc27669"/>
      <w:bookmarkStart w:id="6" w:name="_Toc17540"/>
      <w:bookmarkStart w:id="7" w:name="_Toc63769813"/>
      <w:bookmarkStart w:id="8" w:name="_Toc18485"/>
      <w:r>
        <w:rPr>
          <w:rFonts w:hint="eastAsia" w:ascii="宋体" w:hAnsi="宋体"/>
        </w:rPr>
        <w:t>第一章 招标公告</w:t>
      </w:r>
      <w:bookmarkEnd w:id="4"/>
      <w:bookmarkEnd w:id="5"/>
      <w:bookmarkEnd w:id="6"/>
      <w:bookmarkEnd w:id="7"/>
      <w:bookmarkEnd w:id="8"/>
    </w:p>
    <w:p w14:paraId="268DC141">
      <w:pPr>
        <w:jc w:val="center"/>
        <w:rPr>
          <w:rFonts w:ascii="宋体" w:hAnsi="宋体"/>
          <w:b/>
          <w:sz w:val="32"/>
          <w:szCs w:val="32"/>
        </w:rPr>
      </w:pPr>
      <w:r>
        <w:rPr>
          <w:rFonts w:hint="eastAsia" w:ascii="宋体" w:hAnsi="宋体"/>
          <w:b/>
          <w:sz w:val="32"/>
          <w:szCs w:val="32"/>
        </w:rPr>
        <w:t>(另册)</w:t>
      </w:r>
    </w:p>
    <w:p w14:paraId="43ED1261">
      <w:pPr>
        <w:pStyle w:val="3"/>
        <w:keepNext w:val="0"/>
        <w:keepLines w:val="0"/>
        <w:spacing w:after="0" w:line="240" w:lineRule="auto"/>
        <w:jc w:val="center"/>
        <w:rPr>
          <w:rFonts w:ascii="宋体" w:hAnsi="宋体"/>
        </w:rPr>
      </w:pPr>
      <w:r>
        <w:rPr>
          <w:rFonts w:hint="eastAsia" w:ascii="宋体" w:hAnsi="宋体"/>
          <w:b w:val="0"/>
        </w:rPr>
        <w:br w:type="page"/>
      </w:r>
      <w:bookmarkStart w:id="9" w:name="_Toc63769814"/>
      <w:bookmarkStart w:id="10" w:name="_Toc16899"/>
      <w:bookmarkStart w:id="11" w:name="_Toc9730"/>
      <w:bookmarkStart w:id="12" w:name="_Toc21268"/>
      <w:bookmarkStart w:id="13" w:name="_Toc14862"/>
      <w:r>
        <w:rPr>
          <w:rFonts w:hint="eastAsia" w:ascii="宋体" w:hAnsi="宋体"/>
        </w:rPr>
        <w:t>第二章 投标人须知</w:t>
      </w:r>
      <w:bookmarkEnd w:id="9"/>
      <w:bookmarkEnd w:id="10"/>
      <w:bookmarkEnd w:id="11"/>
      <w:bookmarkEnd w:id="12"/>
      <w:bookmarkEnd w:id="13"/>
    </w:p>
    <w:p w14:paraId="2C956A49">
      <w:pPr>
        <w:pStyle w:val="4"/>
        <w:spacing w:before="240"/>
        <w:jc w:val="center"/>
        <w:rPr>
          <w:rFonts w:ascii="宋体" w:hAnsi="宋体" w:eastAsia="宋体"/>
          <w:color w:val="auto"/>
          <w:sz w:val="32"/>
        </w:rPr>
      </w:pPr>
      <w:bookmarkStart w:id="14" w:name="_Toc529196512"/>
      <w:bookmarkStart w:id="15" w:name="_Toc530470621"/>
      <w:bookmarkStart w:id="16" w:name="_Toc535938711"/>
      <w:r>
        <w:rPr>
          <w:rFonts w:hint="eastAsia" w:ascii="宋体" w:hAnsi="宋体" w:eastAsia="宋体"/>
          <w:color w:val="auto"/>
          <w:sz w:val="32"/>
        </w:rPr>
        <w:t>投标人须知前附表</w:t>
      </w:r>
    </w:p>
    <w:tbl>
      <w:tblPr>
        <w:tblStyle w:val="24"/>
        <w:tblW w:w="93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1659"/>
        <w:gridCol w:w="6789"/>
      </w:tblGrid>
      <w:tr w14:paraId="401CA93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936" w:type="dxa"/>
            <w:tcBorders>
              <w:top w:val="single" w:color="auto" w:sz="4" w:space="0"/>
              <w:left w:val="single" w:color="auto" w:sz="4" w:space="0"/>
              <w:bottom w:val="single" w:color="auto" w:sz="6" w:space="0"/>
              <w:right w:val="single" w:color="auto" w:sz="6" w:space="0"/>
            </w:tcBorders>
            <w:vAlign w:val="center"/>
          </w:tcPr>
          <w:p w14:paraId="3E30C5DB">
            <w:pPr>
              <w:pageBreakBefore w:val="0"/>
              <w:kinsoku/>
              <w:wordWrap/>
              <w:overflowPunct/>
              <w:autoSpaceDE/>
              <w:autoSpaceDN/>
              <w:bidi w:val="0"/>
              <w:snapToGrid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条款号</w:t>
            </w:r>
          </w:p>
        </w:tc>
        <w:tc>
          <w:tcPr>
            <w:tcW w:w="1659" w:type="dxa"/>
            <w:tcBorders>
              <w:top w:val="single" w:color="auto" w:sz="4" w:space="0"/>
              <w:left w:val="single" w:color="auto" w:sz="6" w:space="0"/>
              <w:bottom w:val="single" w:color="auto" w:sz="6" w:space="0"/>
              <w:right w:val="single" w:color="auto" w:sz="6" w:space="0"/>
            </w:tcBorders>
            <w:vAlign w:val="center"/>
          </w:tcPr>
          <w:p w14:paraId="611668CC">
            <w:pPr>
              <w:pageBreakBefore w:val="0"/>
              <w:kinsoku/>
              <w:wordWrap/>
              <w:overflowPunct/>
              <w:autoSpaceDE/>
              <w:autoSpaceDN/>
              <w:bidi w:val="0"/>
              <w:snapToGrid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条款名称</w:t>
            </w:r>
          </w:p>
        </w:tc>
        <w:tc>
          <w:tcPr>
            <w:tcW w:w="6789" w:type="dxa"/>
            <w:tcBorders>
              <w:top w:val="single" w:color="auto" w:sz="4" w:space="0"/>
              <w:left w:val="single" w:color="auto" w:sz="6" w:space="0"/>
              <w:bottom w:val="single" w:color="auto" w:sz="6" w:space="0"/>
              <w:right w:val="single" w:color="auto" w:sz="4" w:space="0"/>
            </w:tcBorders>
            <w:vAlign w:val="center"/>
          </w:tcPr>
          <w:p w14:paraId="2A5EB6E1">
            <w:pPr>
              <w:pageBreakBefore w:val="0"/>
              <w:kinsoku/>
              <w:wordWrap/>
              <w:overflowPunct/>
              <w:autoSpaceDE/>
              <w:autoSpaceDN/>
              <w:bidi w:val="0"/>
              <w:snapToGrid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编列内容</w:t>
            </w:r>
          </w:p>
        </w:tc>
      </w:tr>
      <w:tr w14:paraId="2205329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A9F6F1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1.1.2</w:t>
            </w:r>
          </w:p>
        </w:tc>
        <w:tc>
          <w:tcPr>
            <w:tcW w:w="1659" w:type="dxa"/>
            <w:tcBorders>
              <w:top w:val="single" w:color="auto" w:sz="6" w:space="0"/>
              <w:left w:val="single" w:color="auto" w:sz="6" w:space="0"/>
              <w:bottom w:val="single" w:color="auto" w:sz="6" w:space="0"/>
              <w:right w:val="single" w:color="auto" w:sz="6" w:space="0"/>
            </w:tcBorders>
            <w:vAlign w:val="center"/>
          </w:tcPr>
          <w:p w14:paraId="7A864A2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招标人</w:t>
            </w:r>
          </w:p>
        </w:tc>
        <w:tc>
          <w:tcPr>
            <w:tcW w:w="6789" w:type="dxa"/>
            <w:tcBorders>
              <w:top w:val="single" w:color="auto" w:sz="6" w:space="0"/>
              <w:left w:val="single" w:color="auto" w:sz="6" w:space="0"/>
              <w:bottom w:val="single" w:color="auto" w:sz="6" w:space="0"/>
              <w:right w:val="single" w:color="auto" w:sz="4" w:space="0"/>
            </w:tcBorders>
            <w:vAlign w:val="center"/>
          </w:tcPr>
          <w:p w14:paraId="0F4CEB52">
            <w:pPr>
              <w:pageBreakBefore w:val="0"/>
              <w:kinsoku/>
              <w:wordWrap/>
              <w:overflowPunct/>
              <w:autoSpaceDE/>
              <w:autoSpaceDN/>
              <w:bidi w:val="0"/>
              <w:spacing w:before="40" w:after="40" w:line="360" w:lineRule="auto"/>
              <w:jc w:val="both"/>
              <w:rPr>
                <w:rFonts w:hint="eastAsia" w:ascii="宋体" w:hAnsi="宋体" w:eastAsia="宋体" w:cs="宋体"/>
                <w:sz w:val="22"/>
                <w:szCs w:val="22"/>
                <w:highlight w:val="none"/>
                <w:u w:val="single"/>
                <w:lang w:eastAsia="zh-CN"/>
              </w:rPr>
            </w:pPr>
            <w:r>
              <w:rPr>
                <w:rFonts w:hint="eastAsia" w:ascii="宋体" w:hAnsi="宋体" w:eastAsia="宋体" w:cs="宋体"/>
                <w:sz w:val="22"/>
                <w:szCs w:val="22"/>
                <w:highlight w:val="none"/>
              </w:rPr>
              <w:t>名称：</w:t>
            </w:r>
            <w:r>
              <w:rPr>
                <w:rFonts w:hint="eastAsia" w:ascii="宋体" w:hAnsi="宋体" w:eastAsia="宋体" w:cs="宋体"/>
                <w:sz w:val="22"/>
                <w:szCs w:val="22"/>
                <w:u w:val="single"/>
                <w:lang w:val="en-US" w:eastAsia="zh-CN"/>
              </w:rPr>
              <w:t>广州市从化区城市排水有限公司</w:t>
            </w:r>
          </w:p>
          <w:p w14:paraId="6D252755">
            <w:pPr>
              <w:pageBreakBefore w:val="0"/>
              <w:kinsoku/>
              <w:wordWrap/>
              <w:overflowPunct/>
              <w:autoSpaceDE/>
              <w:autoSpaceDN/>
              <w:bidi w:val="0"/>
              <w:spacing w:before="40" w:after="40" w:line="360" w:lineRule="auto"/>
              <w:jc w:val="both"/>
              <w:rPr>
                <w:rFonts w:hint="eastAsia" w:ascii="宋体" w:hAnsi="宋体" w:eastAsia="宋体" w:cs="宋体"/>
                <w:sz w:val="22"/>
                <w:szCs w:val="22"/>
                <w:highlight w:val="none"/>
                <w:u w:val="single"/>
                <w:lang w:val="en-US" w:eastAsia="zh-CN"/>
              </w:rPr>
            </w:pPr>
            <w:r>
              <w:rPr>
                <w:rFonts w:hint="eastAsia" w:ascii="宋体" w:hAnsi="宋体" w:eastAsia="宋体" w:cs="宋体"/>
                <w:sz w:val="22"/>
                <w:szCs w:val="22"/>
                <w:highlight w:val="none"/>
              </w:rPr>
              <w:t>地址：</w:t>
            </w:r>
            <w:r>
              <w:rPr>
                <w:rFonts w:hint="eastAsia" w:ascii="宋体" w:hAnsi="宋体" w:eastAsia="宋体" w:cs="宋体"/>
                <w:sz w:val="22"/>
                <w:szCs w:val="22"/>
                <w:u w:val="single"/>
                <w:lang w:val="en-US" w:eastAsia="zh-CN"/>
              </w:rPr>
              <w:t>广州市从化区街口街景园北路9号104、105铺</w:t>
            </w:r>
          </w:p>
          <w:p w14:paraId="6FD02F17">
            <w:pPr>
              <w:pageBreakBefore w:val="0"/>
              <w:kinsoku/>
              <w:wordWrap/>
              <w:overflowPunct/>
              <w:autoSpaceDE/>
              <w:autoSpaceDN/>
              <w:bidi w:val="0"/>
              <w:spacing w:before="40" w:after="40" w:line="360" w:lineRule="auto"/>
              <w:jc w:val="both"/>
              <w:rPr>
                <w:rFonts w:hint="eastAsia" w:ascii="宋体" w:hAnsi="宋体" w:eastAsia="宋体" w:cs="宋体"/>
                <w:color w:val="000000"/>
                <w:sz w:val="22"/>
                <w:szCs w:val="22"/>
                <w:highlight w:val="none"/>
                <w:u w:val="single"/>
                <w:lang w:val="en-US" w:eastAsia="zh-CN"/>
              </w:rPr>
            </w:pPr>
            <w:r>
              <w:rPr>
                <w:rFonts w:hint="eastAsia" w:ascii="宋体" w:hAnsi="宋体" w:eastAsia="宋体" w:cs="宋体"/>
                <w:sz w:val="22"/>
                <w:szCs w:val="22"/>
                <w:highlight w:val="none"/>
              </w:rPr>
              <w:t>联系人：</w:t>
            </w:r>
            <w:r>
              <w:rPr>
                <w:rFonts w:hint="eastAsia" w:ascii="宋体" w:hAnsi="宋体" w:eastAsia="宋体" w:cs="宋体"/>
                <w:sz w:val="22"/>
                <w:szCs w:val="22"/>
                <w:u w:val="single"/>
                <w:lang w:val="en-US" w:eastAsia="zh-CN"/>
              </w:rPr>
              <w:t>黎工</w:t>
            </w:r>
          </w:p>
          <w:p w14:paraId="4F8F9867">
            <w:pPr>
              <w:pageBreakBefore w:val="0"/>
              <w:kinsoku/>
              <w:wordWrap/>
              <w:overflowPunct/>
              <w:autoSpaceDE/>
              <w:autoSpaceDN/>
              <w:bidi w:val="0"/>
              <w:snapToGrid w:val="0"/>
              <w:spacing w:line="360" w:lineRule="auto"/>
              <w:rPr>
                <w:rFonts w:hint="eastAsia" w:ascii="宋体" w:hAnsi="宋体" w:eastAsia="宋体" w:cs="宋体"/>
                <w:sz w:val="22"/>
                <w:szCs w:val="22"/>
                <w:lang w:eastAsia="zh-CN"/>
              </w:rPr>
            </w:pPr>
            <w:r>
              <w:rPr>
                <w:rFonts w:hint="eastAsia" w:ascii="宋体" w:hAnsi="宋体" w:eastAsia="宋体" w:cs="宋体"/>
                <w:sz w:val="22"/>
                <w:szCs w:val="22"/>
                <w:highlight w:val="none"/>
              </w:rPr>
              <w:t>电话：</w:t>
            </w:r>
            <w:r>
              <w:rPr>
                <w:rFonts w:hint="eastAsia" w:ascii="宋体" w:hAnsi="宋体" w:eastAsia="宋体" w:cs="宋体"/>
                <w:color w:val="auto"/>
                <w:sz w:val="24"/>
                <w:szCs w:val="24"/>
                <w:highlight w:val="none"/>
                <w:u w:val="single"/>
                <w:lang w:val="en-US" w:eastAsia="zh-CN"/>
              </w:rPr>
              <w:t>0</w:t>
            </w:r>
            <w:r>
              <w:rPr>
                <w:rFonts w:hint="eastAsia" w:ascii="宋体" w:hAnsi="宋体" w:eastAsia="宋体" w:cs="宋体"/>
                <w:sz w:val="22"/>
                <w:szCs w:val="22"/>
                <w:u w:val="single"/>
                <w:lang w:val="en-US" w:eastAsia="zh-CN"/>
              </w:rPr>
              <w:t>20-37923016</w:t>
            </w:r>
            <w:r>
              <w:rPr>
                <w:rFonts w:hint="eastAsia" w:ascii="宋体" w:hAnsi="宋体" w:eastAsia="宋体" w:cs="宋体"/>
                <w:sz w:val="22"/>
                <w:szCs w:val="22"/>
                <w:highlight w:val="none"/>
              </w:rPr>
              <w:t xml:space="preserve">  </w:t>
            </w:r>
          </w:p>
        </w:tc>
      </w:tr>
      <w:tr w14:paraId="3503ED7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B361B65">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1.1.3</w:t>
            </w:r>
          </w:p>
        </w:tc>
        <w:tc>
          <w:tcPr>
            <w:tcW w:w="1659" w:type="dxa"/>
            <w:tcBorders>
              <w:top w:val="single" w:color="auto" w:sz="6" w:space="0"/>
              <w:left w:val="single" w:color="auto" w:sz="6" w:space="0"/>
              <w:bottom w:val="single" w:color="auto" w:sz="6" w:space="0"/>
              <w:right w:val="single" w:color="auto" w:sz="6" w:space="0"/>
            </w:tcBorders>
            <w:vAlign w:val="center"/>
          </w:tcPr>
          <w:p w14:paraId="680989B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招标代理机构</w:t>
            </w:r>
          </w:p>
        </w:tc>
        <w:tc>
          <w:tcPr>
            <w:tcW w:w="6789" w:type="dxa"/>
            <w:tcBorders>
              <w:top w:val="single" w:color="auto" w:sz="6" w:space="0"/>
              <w:left w:val="single" w:color="auto" w:sz="6" w:space="0"/>
              <w:bottom w:val="single" w:color="auto" w:sz="6" w:space="0"/>
              <w:right w:val="single" w:color="auto" w:sz="4" w:space="0"/>
            </w:tcBorders>
            <w:vAlign w:val="center"/>
          </w:tcPr>
          <w:p w14:paraId="1D288D5F">
            <w:pPr>
              <w:pageBreakBefore w:val="0"/>
              <w:kinsoku/>
              <w:wordWrap/>
              <w:overflowPunct/>
              <w:autoSpaceDE/>
              <w:autoSpaceDN/>
              <w:bidi w:val="0"/>
              <w:spacing w:before="40" w:after="40" w:line="360" w:lineRule="auto"/>
              <w:jc w:val="both"/>
              <w:rPr>
                <w:rFonts w:hint="eastAsia" w:ascii="宋体" w:hAnsi="宋体" w:eastAsia="宋体" w:cs="宋体"/>
                <w:sz w:val="22"/>
                <w:szCs w:val="22"/>
                <w:lang w:eastAsia="zh-CN"/>
              </w:rPr>
            </w:pPr>
            <w:r>
              <w:rPr>
                <w:rFonts w:hint="eastAsia" w:ascii="宋体" w:hAnsi="宋体" w:eastAsia="宋体" w:cs="宋体"/>
                <w:sz w:val="22"/>
                <w:szCs w:val="22"/>
              </w:rPr>
              <w:t>招标代理机构：</w:t>
            </w:r>
            <w:r>
              <w:rPr>
                <w:rFonts w:hint="eastAsia" w:ascii="宋体" w:hAnsi="宋体" w:cs="宋体"/>
                <w:sz w:val="22"/>
                <w:szCs w:val="22"/>
                <w:u w:val="single"/>
                <w:lang w:val="en-US" w:eastAsia="zh-CN"/>
              </w:rPr>
              <w:t>广东恒沣工程管理有限公司</w:t>
            </w:r>
          </w:p>
          <w:p w14:paraId="19B924D9">
            <w:pPr>
              <w:pageBreakBefore w:val="0"/>
              <w:kinsoku/>
              <w:wordWrap/>
              <w:overflowPunct/>
              <w:autoSpaceDE/>
              <w:autoSpaceDN/>
              <w:bidi w:val="0"/>
              <w:spacing w:before="40" w:after="40" w:line="360" w:lineRule="auto"/>
              <w:jc w:val="both"/>
              <w:rPr>
                <w:rFonts w:hint="eastAsia" w:ascii="宋体" w:hAnsi="宋体" w:eastAsia="宋体" w:cs="宋体"/>
                <w:sz w:val="22"/>
                <w:szCs w:val="22"/>
                <w:u w:val="single"/>
                <w:lang w:val="en-US" w:eastAsia="zh-CN"/>
              </w:rPr>
            </w:pPr>
            <w:r>
              <w:rPr>
                <w:rFonts w:hint="eastAsia" w:ascii="宋体" w:hAnsi="宋体" w:eastAsia="宋体" w:cs="宋体"/>
                <w:sz w:val="22"/>
                <w:szCs w:val="22"/>
              </w:rPr>
              <w:t>地    址：</w:t>
            </w:r>
            <w:r>
              <w:rPr>
                <w:rFonts w:hint="eastAsia" w:ascii="宋体" w:hAnsi="宋体" w:cs="宋体"/>
                <w:sz w:val="22"/>
                <w:szCs w:val="22"/>
                <w:u w:val="single"/>
                <w:lang w:val="en-US" w:eastAsia="zh-CN"/>
              </w:rPr>
              <w:t>广州市天河区灵山东路7号东英科技园 7 号大厦 1001-9 室</w:t>
            </w:r>
          </w:p>
          <w:p w14:paraId="76AE4499">
            <w:pPr>
              <w:pageBreakBefore w:val="0"/>
              <w:kinsoku/>
              <w:wordWrap/>
              <w:overflowPunct/>
              <w:autoSpaceDE/>
              <w:autoSpaceDN/>
              <w:bidi w:val="0"/>
              <w:spacing w:before="40" w:after="40" w:line="360" w:lineRule="auto"/>
              <w:jc w:val="both"/>
              <w:rPr>
                <w:rFonts w:hint="default" w:ascii="宋体" w:hAnsi="宋体" w:eastAsia="宋体" w:cs="宋体"/>
                <w:sz w:val="22"/>
                <w:szCs w:val="22"/>
                <w:u w:val="single"/>
                <w:lang w:val="en-US"/>
              </w:rPr>
            </w:pPr>
            <w:r>
              <w:rPr>
                <w:rFonts w:hint="eastAsia" w:ascii="宋体" w:hAnsi="宋体" w:eastAsia="宋体" w:cs="宋体"/>
                <w:sz w:val="22"/>
                <w:szCs w:val="22"/>
              </w:rPr>
              <w:t>联 系 人：</w:t>
            </w:r>
            <w:r>
              <w:rPr>
                <w:rFonts w:hint="eastAsia" w:ascii="宋体" w:hAnsi="宋体" w:cs="宋体"/>
                <w:sz w:val="22"/>
                <w:szCs w:val="22"/>
                <w:u w:val="single"/>
                <w:lang w:val="en-US" w:eastAsia="zh-CN"/>
              </w:rPr>
              <w:t>满小姐</w:t>
            </w:r>
          </w:p>
          <w:p w14:paraId="53FDA36C">
            <w:pPr>
              <w:pageBreakBefore w:val="0"/>
              <w:kinsoku/>
              <w:wordWrap/>
              <w:overflowPunct/>
              <w:autoSpaceDE/>
              <w:autoSpaceDN/>
              <w:bidi w:val="0"/>
              <w:spacing w:line="360" w:lineRule="auto"/>
              <w:rPr>
                <w:rFonts w:hint="eastAsia" w:ascii="宋体" w:hAnsi="宋体" w:eastAsia="宋体" w:cs="宋体"/>
                <w:sz w:val="22"/>
                <w:szCs w:val="22"/>
                <w:lang w:val="en-US"/>
              </w:rPr>
            </w:pPr>
            <w:r>
              <w:rPr>
                <w:rFonts w:hint="eastAsia" w:ascii="宋体" w:hAnsi="宋体" w:eastAsia="宋体" w:cs="宋体"/>
                <w:sz w:val="22"/>
                <w:szCs w:val="22"/>
              </w:rPr>
              <w:t>电    话：</w:t>
            </w:r>
            <w:r>
              <w:rPr>
                <w:rFonts w:hint="eastAsia" w:ascii="宋体" w:hAnsi="宋体" w:cs="宋体"/>
                <w:sz w:val="22"/>
                <w:szCs w:val="22"/>
                <w:u w:val="single"/>
                <w:lang w:val="en-US" w:eastAsia="zh-CN"/>
              </w:rPr>
              <w:t>19210323872</w:t>
            </w:r>
          </w:p>
        </w:tc>
      </w:tr>
      <w:tr w14:paraId="5162A62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B7C328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1.1.4</w:t>
            </w:r>
          </w:p>
        </w:tc>
        <w:tc>
          <w:tcPr>
            <w:tcW w:w="1659" w:type="dxa"/>
            <w:tcBorders>
              <w:top w:val="single" w:color="auto" w:sz="6" w:space="0"/>
              <w:left w:val="single" w:color="auto" w:sz="6" w:space="0"/>
              <w:bottom w:val="single" w:color="auto" w:sz="6" w:space="0"/>
              <w:right w:val="single" w:color="auto" w:sz="6" w:space="0"/>
            </w:tcBorders>
            <w:vAlign w:val="center"/>
          </w:tcPr>
          <w:p w14:paraId="5FF0FC9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招标项目名称</w:t>
            </w:r>
          </w:p>
        </w:tc>
        <w:tc>
          <w:tcPr>
            <w:tcW w:w="6789" w:type="dxa"/>
            <w:tcBorders>
              <w:top w:val="single" w:color="auto" w:sz="6" w:space="0"/>
              <w:left w:val="single" w:color="auto" w:sz="6" w:space="0"/>
              <w:bottom w:val="single" w:color="auto" w:sz="6" w:space="0"/>
              <w:right w:val="single" w:color="auto" w:sz="4" w:space="0"/>
            </w:tcBorders>
            <w:vAlign w:val="center"/>
          </w:tcPr>
          <w:p w14:paraId="7075947C">
            <w:pPr>
              <w:pageBreakBefore w:val="0"/>
              <w:kinsoku/>
              <w:wordWrap/>
              <w:overflowPunct/>
              <w:autoSpaceDE/>
              <w:autoSpaceDN/>
              <w:bidi w:val="0"/>
              <w:snapToGrid w:val="0"/>
              <w:spacing w:line="360" w:lineRule="auto"/>
              <w:ind w:firstLine="30" w:firstLineChars="14"/>
              <w:rPr>
                <w:rFonts w:hint="eastAsia" w:ascii="宋体" w:hAnsi="宋体" w:eastAsia="宋体" w:cs="宋体"/>
                <w:sz w:val="22"/>
                <w:szCs w:val="22"/>
                <w:u w:val="single"/>
                <w:lang w:eastAsia="zh-CN"/>
              </w:rPr>
            </w:pPr>
            <w:r>
              <w:rPr>
                <w:rFonts w:hint="eastAsia" w:ascii="宋体" w:hAnsi="宋体" w:cs="宋体"/>
                <w:color w:val="auto"/>
                <w:sz w:val="22"/>
                <w:szCs w:val="22"/>
                <w:highlight w:val="none"/>
                <w:u w:val="single"/>
                <w:lang w:eastAsia="zh-CN"/>
              </w:rPr>
              <w:t>2023—2025 年从化区吕田镇、良口镇、温泉镇农村生活污水治理提升工程检验监测</w:t>
            </w:r>
          </w:p>
        </w:tc>
      </w:tr>
      <w:tr w14:paraId="08D9B2D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4203A4C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1.1.5</w:t>
            </w:r>
          </w:p>
        </w:tc>
        <w:tc>
          <w:tcPr>
            <w:tcW w:w="1659" w:type="dxa"/>
            <w:tcBorders>
              <w:top w:val="single" w:color="auto" w:sz="6" w:space="0"/>
              <w:left w:val="single" w:color="auto" w:sz="6" w:space="0"/>
              <w:bottom w:val="single" w:color="auto" w:sz="6" w:space="0"/>
              <w:right w:val="single" w:color="auto" w:sz="6" w:space="0"/>
            </w:tcBorders>
            <w:vAlign w:val="center"/>
          </w:tcPr>
          <w:p w14:paraId="4AA1307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项目建设地点</w:t>
            </w:r>
          </w:p>
        </w:tc>
        <w:tc>
          <w:tcPr>
            <w:tcW w:w="6789" w:type="dxa"/>
            <w:tcBorders>
              <w:top w:val="single" w:color="auto" w:sz="6" w:space="0"/>
              <w:left w:val="single" w:color="auto" w:sz="6" w:space="0"/>
              <w:bottom w:val="single" w:color="auto" w:sz="6" w:space="0"/>
              <w:right w:val="single" w:color="auto" w:sz="4" w:space="0"/>
            </w:tcBorders>
            <w:vAlign w:val="center"/>
          </w:tcPr>
          <w:p w14:paraId="3301C601">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详见招标公告</w:t>
            </w:r>
          </w:p>
        </w:tc>
      </w:tr>
      <w:tr w14:paraId="29D987F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AF12334">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1.1.6</w:t>
            </w:r>
          </w:p>
        </w:tc>
        <w:tc>
          <w:tcPr>
            <w:tcW w:w="1659" w:type="dxa"/>
            <w:tcBorders>
              <w:top w:val="single" w:color="auto" w:sz="6" w:space="0"/>
              <w:left w:val="single" w:color="auto" w:sz="6" w:space="0"/>
              <w:bottom w:val="single" w:color="auto" w:sz="6" w:space="0"/>
              <w:right w:val="single" w:color="auto" w:sz="6" w:space="0"/>
            </w:tcBorders>
            <w:vAlign w:val="center"/>
          </w:tcPr>
          <w:p w14:paraId="491C4568">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项目建设规模</w:t>
            </w:r>
          </w:p>
        </w:tc>
        <w:tc>
          <w:tcPr>
            <w:tcW w:w="6789" w:type="dxa"/>
            <w:tcBorders>
              <w:top w:val="single" w:color="auto" w:sz="6" w:space="0"/>
              <w:left w:val="single" w:color="auto" w:sz="6" w:space="0"/>
              <w:bottom w:val="single" w:color="auto" w:sz="6" w:space="0"/>
              <w:right w:val="single" w:color="auto" w:sz="4" w:space="0"/>
            </w:tcBorders>
            <w:vAlign w:val="center"/>
          </w:tcPr>
          <w:p w14:paraId="237BF442">
            <w:pPr>
              <w:pageBreakBefore w:val="0"/>
              <w:kinsoku/>
              <w:wordWrap/>
              <w:overflowPunct/>
              <w:autoSpaceDE/>
              <w:autoSpaceDN/>
              <w:bidi w:val="0"/>
              <w:snapToGrid w:val="0"/>
              <w:spacing w:line="360" w:lineRule="auto"/>
              <w:ind w:right="106"/>
              <w:rPr>
                <w:rFonts w:hint="eastAsia" w:ascii="宋体" w:hAnsi="宋体" w:eastAsia="宋体" w:cs="宋体"/>
                <w:sz w:val="22"/>
                <w:szCs w:val="22"/>
                <w:u w:val="single"/>
              </w:rPr>
            </w:pPr>
            <w:r>
              <w:rPr>
                <w:rFonts w:hint="eastAsia" w:ascii="宋体" w:hAnsi="宋体" w:eastAsia="宋体" w:cs="宋体"/>
                <w:sz w:val="22"/>
                <w:szCs w:val="22"/>
                <w:u w:val="single"/>
              </w:rPr>
              <w:t>详见招标公告</w:t>
            </w:r>
          </w:p>
        </w:tc>
      </w:tr>
      <w:tr w14:paraId="6A96E56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DEE1EB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1.1.7</w:t>
            </w:r>
          </w:p>
        </w:tc>
        <w:tc>
          <w:tcPr>
            <w:tcW w:w="1659" w:type="dxa"/>
            <w:tcBorders>
              <w:top w:val="single" w:color="auto" w:sz="6" w:space="0"/>
              <w:left w:val="single" w:color="auto" w:sz="6" w:space="0"/>
              <w:bottom w:val="single" w:color="auto" w:sz="6" w:space="0"/>
              <w:right w:val="single" w:color="auto" w:sz="6" w:space="0"/>
            </w:tcBorders>
            <w:vAlign w:val="bottom"/>
          </w:tcPr>
          <w:p w14:paraId="611575C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工程项目施工预计开工日期和建设周期</w:t>
            </w:r>
          </w:p>
        </w:tc>
        <w:tc>
          <w:tcPr>
            <w:tcW w:w="6789" w:type="dxa"/>
            <w:tcBorders>
              <w:top w:val="single" w:color="auto" w:sz="6" w:space="0"/>
              <w:left w:val="single" w:color="auto" w:sz="6" w:space="0"/>
              <w:bottom w:val="single" w:color="auto" w:sz="6" w:space="0"/>
              <w:right w:val="single" w:color="auto" w:sz="4" w:space="0"/>
            </w:tcBorders>
            <w:vAlign w:val="center"/>
          </w:tcPr>
          <w:p w14:paraId="5BD7DB88">
            <w:pPr>
              <w:pageBreakBefore w:val="0"/>
              <w:widowControl/>
              <w:kinsoku/>
              <w:wordWrap/>
              <w:overflowPunct/>
              <w:autoSpaceDE/>
              <w:autoSpaceDN/>
              <w:bidi w:val="0"/>
              <w:spacing w:line="360" w:lineRule="auto"/>
              <w:jc w:val="left"/>
              <w:rPr>
                <w:rFonts w:hint="eastAsia" w:ascii="宋体" w:hAnsi="宋体" w:eastAsia="宋体" w:cs="宋体"/>
                <w:sz w:val="22"/>
                <w:szCs w:val="22"/>
                <w:lang w:eastAsia="zh-CN"/>
              </w:rPr>
            </w:pPr>
            <w:r>
              <w:rPr>
                <w:rFonts w:hint="eastAsia" w:ascii="宋体" w:hAnsi="宋体" w:eastAsia="宋体" w:cs="宋体"/>
                <w:sz w:val="22"/>
                <w:szCs w:val="22"/>
                <w:lang w:val="en-US" w:eastAsia="zh-CN" w:bidi="ar"/>
              </w:rPr>
              <w:t>/</w:t>
            </w:r>
          </w:p>
        </w:tc>
      </w:tr>
      <w:tr w14:paraId="56DC425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C3A850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1.1.8</w:t>
            </w:r>
          </w:p>
        </w:tc>
        <w:tc>
          <w:tcPr>
            <w:tcW w:w="1659" w:type="dxa"/>
            <w:tcBorders>
              <w:top w:val="single" w:color="auto" w:sz="6" w:space="0"/>
              <w:left w:val="single" w:color="auto" w:sz="6" w:space="0"/>
              <w:bottom w:val="single" w:color="auto" w:sz="6" w:space="0"/>
              <w:right w:val="single" w:color="auto" w:sz="6" w:space="0"/>
            </w:tcBorders>
            <w:vAlign w:val="center"/>
          </w:tcPr>
          <w:p w14:paraId="45D3300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建筑安装工程费/工程概算</w:t>
            </w:r>
          </w:p>
        </w:tc>
        <w:tc>
          <w:tcPr>
            <w:tcW w:w="6789" w:type="dxa"/>
            <w:tcBorders>
              <w:top w:val="single" w:color="auto" w:sz="6" w:space="0"/>
              <w:left w:val="single" w:color="auto" w:sz="6" w:space="0"/>
              <w:bottom w:val="single" w:color="auto" w:sz="6" w:space="0"/>
              <w:right w:val="single" w:color="auto" w:sz="4" w:space="0"/>
            </w:tcBorders>
            <w:vAlign w:val="center"/>
          </w:tcPr>
          <w:p w14:paraId="124D503F">
            <w:pPr>
              <w:pageBreakBefore w:val="0"/>
              <w:kinsoku/>
              <w:wordWrap/>
              <w:overflowPunct/>
              <w:autoSpaceDE/>
              <w:autoSpaceDN/>
              <w:bidi w:val="0"/>
              <w:snapToGrid w:val="0"/>
              <w:spacing w:line="360" w:lineRule="auto"/>
              <w:jc w:val="left"/>
              <w:rPr>
                <w:rFonts w:hint="eastAsia" w:ascii="宋体" w:hAnsi="宋体" w:eastAsia="宋体" w:cs="宋体"/>
                <w:sz w:val="22"/>
                <w:szCs w:val="22"/>
              </w:rPr>
            </w:pPr>
            <w:r>
              <w:rPr>
                <w:rFonts w:hint="eastAsia" w:ascii="宋体" w:hAnsi="宋体" w:eastAsia="宋体" w:cs="宋体"/>
                <w:sz w:val="22"/>
                <w:szCs w:val="22"/>
                <w:u w:val="single"/>
              </w:rPr>
              <w:t>详见招标公告</w:t>
            </w:r>
          </w:p>
        </w:tc>
      </w:tr>
      <w:tr w14:paraId="738336B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C786F1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1.2.1</w:t>
            </w:r>
          </w:p>
        </w:tc>
        <w:tc>
          <w:tcPr>
            <w:tcW w:w="1659" w:type="dxa"/>
            <w:tcBorders>
              <w:top w:val="single" w:color="auto" w:sz="6" w:space="0"/>
              <w:left w:val="single" w:color="auto" w:sz="6" w:space="0"/>
              <w:bottom w:val="single" w:color="auto" w:sz="6" w:space="0"/>
              <w:right w:val="single" w:color="auto" w:sz="6" w:space="0"/>
            </w:tcBorders>
            <w:vAlign w:val="center"/>
          </w:tcPr>
          <w:p w14:paraId="25B917B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资金来源及比例</w:t>
            </w:r>
          </w:p>
        </w:tc>
        <w:tc>
          <w:tcPr>
            <w:tcW w:w="6789" w:type="dxa"/>
            <w:tcBorders>
              <w:top w:val="single" w:color="auto" w:sz="6" w:space="0"/>
              <w:left w:val="single" w:color="auto" w:sz="6" w:space="0"/>
              <w:bottom w:val="single" w:color="auto" w:sz="6" w:space="0"/>
              <w:right w:val="single" w:color="auto" w:sz="4" w:space="0"/>
            </w:tcBorders>
            <w:vAlign w:val="center"/>
          </w:tcPr>
          <w:p w14:paraId="2F9E7949">
            <w:pPr>
              <w:pageBreakBefore w:val="0"/>
              <w:kinsoku/>
              <w:wordWrap/>
              <w:overflowPunct/>
              <w:autoSpaceDE/>
              <w:autoSpaceDN/>
              <w:bidi w:val="0"/>
              <w:spacing w:line="360" w:lineRule="auto"/>
              <w:ind w:left="40" w:leftChars="19" w:right="107" w:rightChars="51"/>
              <w:rPr>
                <w:rFonts w:hint="eastAsia" w:ascii="宋体" w:hAnsi="宋体" w:eastAsia="宋体" w:cs="宋体"/>
                <w:sz w:val="22"/>
                <w:szCs w:val="22"/>
              </w:rPr>
            </w:pPr>
            <w:r>
              <w:rPr>
                <w:rFonts w:hint="eastAsia" w:ascii="宋体" w:hAnsi="宋体" w:eastAsia="宋体" w:cs="宋体"/>
                <w:sz w:val="22"/>
                <w:szCs w:val="22"/>
                <w:u w:val="single"/>
              </w:rPr>
              <w:t>详见招标公告</w:t>
            </w:r>
          </w:p>
        </w:tc>
      </w:tr>
      <w:tr w14:paraId="54CD3AD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D6F2BA7">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1.2.2</w:t>
            </w:r>
          </w:p>
        </w:tc>
        <w:tc>
          <w:tcPr>
            <w:tcW w:w="1659" w:type="dxa"/>
            <w:tcBorders>
              <w:top w:val="single" w:color="auto" w:sz="6" w:space="0"/>
              <w:left w:val="single" w:color="auto" w:sz="6" w:space="0"/>
              <w:bottom w:val="single" w:color="auto" w:sz="6" w:space="0"/>
              <w:right w:val="single" w:color="auto" w:sz="6" w:space="0"/>
            </w:tcBorders>
            <w:vAlign w:val="center"/>
          </w:tcPr>
          <w:p w14:paraId="304B586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资金落实情况</w:t>
            </w:r>
          </w:p>
        </w:tc>
        <w:tc>
          <w:tcPr>
            <w:tcW w:w="6789" w:type="dxa"/>
            <w:tcBorders>
              <w:top w:val="single" w:color="auto" w:sz="6" w:space="0"/>
              <w:left w:val="single" w:color="auto" w:sz="6" w:space="0"/>
              <w:bottom w:val="single" w:color="auto" w:sz="6" w:space="0"/>
              <w:right w:val="single" w:color="auto" w:sz="4" w:space="0"/>
            </w:tcBorders>
            <w:vAlign w:val="center"/>
          </w:tcPr>
          <w:p w14:paraId="17BDFB41">
            <w:pPr>
              <w:pageBreakBefore w:val="0"/>
              <w:kinsoku/>
              <w:wordWrap/>
              <w:overflowPunct/>
              <w:autoSpaceDE/>
              <w:autoSpaceDN/>
              <w:bidi w:val="0"/>
              <w:snapToGrid w:val="0"/>
              <w:spacing w:line="360" w:lineRule="auto"/>
              <w:jc w:val="left"/>
              <w:rPr>
                <w:rFonts w:hint="eastAsia" w:ascii="宋体" w:hAnsi="宋体" w:eastAsia="宋体" w:cs="宋体"/>
                <w:sz w:val="22"/>
                <w:szCs w:val="22"/>
              </w:rPr>
            </w:pPr>
            <w:r>
              <w:rPr>
                <w:rFonts w:hint="eastAsia" w:ascii="宋体" w:hAnsi="宋体" w:eastAsia="宋体" w:cs="宋体"/>
                <w:sz w:val="22"/>
                <w:szCs w:val="22"/>
                <w:u w:val="single"/>
              </w:rPr>
              <w:t>已落实</w:t>
            </w:r>
          </w:p>
        </w:tc>
      </w:tr>
      <w:tr w14:paraId="0CEE7D4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771ABD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1.3.1</w:t>
            </w:r>
          </w:p>
        </w:tc>
        <w:tc>
          <w:tcPr>
            <w:tcW w:w="1659" w:type="dxa"/>
            <w:tcBorders>
              <w:top w:val="single" w:color="auto" w:sz="6" w:space="0"/>
              <w:left w:val="single" w:color="auto" w:sz="6" w:space="0"/>
              <w:bottom w:val="single" w:color="auto" w:sz="6" w:space="0"/>
              <w:right w:val="single" w:color="auto" w:sz="6" w:space="0"/>
            </w:tcBorders>
            <w:vAlign w:val="center"/>
          </w:tcPr>
          <w:p w14:paraId="192A4A2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招标范围</w:t>
            </w:r>
          </w:p>
        </w:tc>
        <w:tc>
          <w:tcPr>
            <w:tcW w:w="6789" w:type="dxa"/>
            <w:tcBorders>
              <w:top w:val="single" w:color="auto" w:sz="6" w:space="0"/>
              <w:left w:val="single" w:color="auto" w:sz="6" w:space="0"/>
              <w:bottom w:val="single" w:color="auto" w:sz="6" w:space="0"/>
              <w:right w:val="single" w:color="auto" w:sz="4" w:space="0"/>
            </w:tcBorders>
            <w:vAlign w:val="center"/>
          </w:tcPr>
          <w:p w14:paraId="4456EB26">
            <w:pPr>
              <w:pageBreakBefore w:val="0"/>
              <w:kinsoku/>
              <w:wordWrap/>
              <w:overflowPunct/>
              <w:autoSpaceDE/>
              <w:autoSpaceDN/>
              <w:bidi w:val="0"/>
              <w:snapToGrid w:val="0"/>
              <w:spacing w:line="360" w:lineRule="auto"/>
              <w:ind w:right="106"/>
              <w:rPr>
                <w:rFonts w:hint="eastAsia" w:ascii="宋体" w:hAnsi="宋体" w:eastAsia="宋体" w:cs="宋体"/>
                <w:sz w:val="22"/>
                <w:szCs w:val="22"/>
              </w:rPr>
            </w:pPr>
            <w:r>
              <w:rPr>
                <w:rFonts w:hint="eastAsia" w:ascii="宋体" w:hAnsi="宋体" w:eastAsia="宋体" w:cs="宋体"/>
                <w:sz w:val="22"/>
                <w:szCs w:val="22"/>
                <w:u w:val="single"/>
              </w:rPr>
              <w:t>详见招标公告</w:t>
            </w:r>
          </w:p>
        </w:tc>
      </w:tr>
      <w:tr w14:paraId="67B848B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574684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1.3.2</w:t>
            </w:r>
          </w:p>
        </w:tc>
        <w:tc>
          <w:tcPr>
            <w:tcW w:w="1659" w:type="dxa"/>
            <w:tcBorders>
              <w:top w:val="single" w:color="auto" w:sz="6" w:space="0"/>
              <w:left w:val="single" w:color="auto" w:sz="6" w:space="0"/>
              <w:bottom w:val="single" w:color="auto" w:sz="6" w:space="0"/>
              <w:right w:val="single" w:color="auto" w:sz="6" w:space="0"/>
            </w:tcBorders>
            <w:vAlign w:val="center"/>
          </w:tcPr>
          <w:p w14:paraId="4E02222C">
            <w:pPr>
              <w:pageBreakBefore w:val="0"/>
              <w:kinsoku/>
              <w:wordWrap/>
              <w:overflowPunct/>
              <w:autoSpaceDE/>
              <w:autoSpaceDN/>
              <w:bidi w:val="0"/>
              <w:snapToGrid w:val="0"/>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服务期限</w:t>
            </w:r>
          </w:p>
        </w:tc>
        <w:tc>
          <w:tcPr>
            <w:tcW w:w="6789" w:type="dxa"/>
            <w:tcBorders>
              <w:top w:val="single" w:color="auto" w:sz="6" w:space="0"/>
              <w:left w:val="single" w:color="auto" w:sz="6" w:space="0"/>
              <w:bottom w:val="single" w:color="auto" w:sz="6" w:space="0"/>
              <w:right w:val="single" w:color="auto" w:sz="4" w:space="0"/>
            </w:tcBorders>
            <w:vAlign w:val="center"/>
          </w:tcPr>
          <w:p w14:paraId="2904D340">
            <w:pPr>
              <w:pageBreakBefore w:val="0"/>
              <w:kinsoku/>
              <w:wordWrap/>
              <w:overflowPunct/>
              <w:autoSpaceDE/>
              <w:autoSpaceDN/>
              <w:bidi w:val="0"/>
              <w:spacing w:line="360" w:lineRule="auto"/>
              <w:ind w:left="40" w:leftChars="19" w:right="107" w:rightChars="51"/>
              <w:rPr>
                <w:rFonts w:hint="eastAsia" w:ascii="宋体" w:hAnsi="宋体" w:eastAsia="宋体" w:cs="宋体"/>
                <w:sz w:val="22"/>
                <w:szCs w:val="22"/>
              </w:rPr>
            </w:pPr>
            <w:r>
              <w:rPr>
                <w:rFonts w:hint="eastAsia" w:ascii="宋体" w:hAnsi="宋体" w:eastAsia="宋体" w:cs="宋体"/>
                <w:sz w:val="22"/>
                <w:szCs w:val="22"/>
                <w:u w:val="single"/>
              </w:rPr>
              <w:t>详见招标公告</w:t>
            </w:r>
          </w:p>
        </w:tc>
      </w:tr>
      <w:tr w14:paraId="53BD259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3A3152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1.3.3</w:t>
            </w:r>
          </w:p>
        </w:tc>
        <w:tc>
          <w:tcPr>
            <w:tcW w:w="1659" w:type="dxa"/>
            <w:tcBorders>
              <w:top w:val="single" w:color="auto" w:sz="6" w:space="0"/>
              <w:left w:val="single" w:color="auto" w:sz="6" w:space="0"/>
              <w:bottom w:val="single" w:color="auto" w:sz="6" w:space="0"/>
              <w:right w:val="single" w:color="auto" w:sz="6" w:space="0"/>
            </w:tcBorders>
            <w:vAlign w:val="center"/>
          </w:tcPr>
          <w:p w14:paraId="36B5E74B">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质量标准</w:t>
            </w:r>
          </w:p>
        </w:tc>
        <w:tc>
          <w:tcPr>
            <w:tcW w:w="6789" w:type="dxa"/>
            <w:tcBorders>
              <w:top w:val="single" w:color="auto" w:sz="6" w:space="0"/>
              <w:left w:val="single" w:color="auto" w:sz="6" w:space="0"/>
              <w:bottom w:val="single" w:color="auto" w:sz="6" w:space="0"/>
              <w:right w:val="single" w:color="auto" w:sz="4" w:space="0"/>
            </w:tcBorders>
            <w:vAlign w:val="center"/>
          </w:tcPr>
          <w:p w14:paraId="7E242FEF">
            <w:pPr>
              <w:pageBreakBefore w:val="0"/>
              <w:kinsoku/>
              <w:wordWrap/>
              <w:overflowPunct/>
              <w:autoSpaceDE/>
              <w:autoSpaceDN/>
              <w:bidi w:val="0"/>
              <w:spacing w:line="360" w:lineRule="auto"/>
              <w:rPr>
                <w:rFonts w:hint="eastAsia" w:ascii="宋体" w:hAnsi="宋体" w:eastAsia="宋体" w:cs="宋体"/>
                <w:sz w:val="22"/>
                <w:szCs w:val="22"/>
                <w:u w:val="single"/>
                <w:lang w:eastAsia="zh-CN"/>
              </w:rPr>
            </w:pPr>
            <w:r>
              <w:rPr>
                <w:rFonts w:hint="eastAsia" w:ascii="宋体" w:hAnsi="宋体" w:eastAsia="宋体" w:cs="宋体"/>
                <w:sz w:val="22"/>
                <w:szCs w:val="22"/>
              </w:rPr>
              <w:t>符合国家及省、市有关检测标准</w:t>
            </w:r>
            <w:r>
              <w:rPr>
                <w:rFonts w:hint="eastAsia" w:ascii="宋体" w:hAnsi="宋体" w:eastAsia="宋体" w:cs="宋体"/>
                <w:color w:val="auto"/>
                <w:sz w:val="22"/>
                <w:szCs w:val="22"/>
                <w:highlight w:val="none"/>
                <w:lang w:eastAsia="zh-CN"/>
              </w:rPr>
              <w:t>。</w:t>
            </w:r>
          </w:p>
        </w:tc>
      </w:tr>
      <w:tr w14:paraId="3EBB57D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FC336C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1.4.1</w:t>
            </w:r>
          </w:p>
        </w:tc>
        <w:tc>
          <w:tcPr>
            <w:tcW w:w="1659" w:type="dxa"/>
            <w:tcBorders>
              <w:top w:val="single" w:color="auto" w:sz="6" w:space="0"/>
              <w:left w:val="single" w:color="auto" w:sz="6" w:space="0"/>
              <w:bottom w:val="single" w:color="auto" w:sz="6" w:space="0"/>
              <w:right w:val="single" w:color="auto" w:sz="6" w:space="0"/>
            </w:tcBorders>
            <w:vAlign w:val="center"/>
          </w:tcPr>
          <w:p w14:paraId="30398C75">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投标人资质条件、能力、信誉</w:t>
            </w:r>
          </w:p>
        </w:tc>
        <w:tc>
          <w:tcPr>
            <w:tcW w:w="6789" w:type="dxa"/>
            <w:tcBorders>
              <w:top w:val="single" w:color="auto" w:sz="6" w:space="0"/>
              <w:left w:val="single" w:color="auto" w:sz="6" w:space="0"/>
              <w:bottom w:val="single" w:color="auto" w:sz="6" w:space="0"/>
              <w:right w:val="single" w:color="auto" w:sz="4" w:space="0"/>
            </w:tcBorders>
            <w:vAlign w:val="center"/>
          </w:tcPr>
          <w:p w14:paraId="74AF8AEB">
            <w:pPr>
              <w:pageBreakBefore w:val="0"/>
              <w:numPr>
                <w:ilvl w:val="0"/>
                <w:numId w:val="2"/>
              </w:numPr>
              <w:kinsoku/>
              <w:wordWrap/>
              <w:overflowPunct/>
              <w:autoSpaceDE/>
              <w:autoSpaceDN/>
              <w:bidi w:val="0"/>
              <w:snapToGrid w:val="0"/>
              <w:spacing w:line="360" w:lineRule="auto"/>
              <w:ind w:hanging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资质要求：</w:t>
            </w:r>
            <w:r>
              <w:rPr>
                <w:rFonts w:hint="eastAsia" w:ascii="宋体" w:hAnsi="宋体" w:eastAsia="宋体" w:cs="宋体"/>
                <w:color w:val="auto"/>
                <w:sz w:val="22"/>
                <w:szCs w:val="22"/>
                <w:highlight w:val="none"/>
                <w:u w:val="single"/>
              </w:rPr>
              <w:t>见招标公告投标人资格要求；</w:t>
            </w:r>
          </w:p>
          <w:p w14:paraId="24E69C0C">
            <w:pPr>
              <w:pageBreakBefore w:val="0"/>
              <w:numPr>
                <w:ilvl w:val="0"/>
                <w:numId w:val="2"/>
              </w:numPr>
              <w:kinsoku/>
              <w:wordWrap/>
              <w:overflowPunct/>
              <w:autoSpaceDE/>
              <w:autoSpaceDN/>
              <w:bidi w:val="0"/>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财务要求：</w:t>
            </w:r>
            <w:r>
              <w:rPr>
                <w:rFonts w:hint="eastAsia" w:ascii="宋体" w:hAnsi="宋体" w:eastAsia="宋体" w:cs="宋体"/>
                <w:color w:val="auto"/>
                <w:sz w:val="22"/>
                <w:szCs w:val="22"/>
                <w:highlight w:val="none"/>
                <w:u w:val="single"/>
              </w:rPr>
              <w:t>/</w:t>
            </w:r>
          </w:p>
          <w:p w14:paraId="66D274A5">
            <w:pPr>
              <w:pageBreakBefore w:val="0"/>
              <w:numPr>
                <w:ilvl w:val="0"/>
                <w:numId w:val="2"/>
              </w:numPr>
              <w:kinsoku/>
              <w:wordWrap/>
              <w:overflowPunct/>
              <w:autoSpaceDE/>
              <w:autoSpaceDN/>
              <w:bidi w:val="0"/>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业绩要求：</w:t>
            </w:r>
            <w:r>
              <w:rPr>
                <w:rFonts w:hint="eastAsia" w:ascii="宋体" w:hAnsi="宋体" w:eastAsia="宋体" w:cs="宋体"/>
                <w:color w:val="auto"/>
                <w:sz w:val="22"/>
                <w:szCs w:val="22"/>
                <w:highlight w:val="none"/>
                <w:u w:val="single"/>
              </w:rPr>
              <w:t>/</w:t>
            </w:r>
          </w:p>
          <w:p w14:paraId="3CE866C9">
            <w:pPr>
              <w:pageBreakBefore w:val="0"/>
              <w:numPr>
                <w:ilvl w:val="0"/>
                <w:numId w:val="2"/>
              </w:numPr>
              <w:kinsoku/>
              <w:wordWrap/>
              <w:overflowPunct/>
              <w:autoSpaceDE/>
              <w:autoSpaceDN/>
              <w:bidi w:val="0"/>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信誉要求：</w:t>
            </w:r>
            <w:r>
              <w:rPr>
                <w:rFonts w:hint="eastAsia" w:ascii="宋体" w:hAnsi="宋体" w:eastAsia="宋体" w:cs="宋体"/>
                <w:color w:val="auto"/>
                <w:sz w:val="22"/>
                <w:szCs w:val="22"/>
                <w:highlight w:val="none"/>
                <w:u w:val="single"/>
              </w:rPr>
              <w:t>/</w:t>
            </w:r>
          </w:p>
          <w:p w14:paraId="78547921">
            <w:pPr>
              <w:pageBreakBefore w:val="0"/>
              <w:numPr>
                <w:ilvl w:val="0"/>
                <w:numId w:val="2"/>
              </w:numPr>
              <w:kinsoku/>
              <w:wordWrap/>
              <w:overflowPunct/>
              <w:autoSpaceDE/>
              <w:autoSpaceDN/>
              <w:bidi w:val="0"/>
              <w:snapToGrid w:val="0"/>
              <w:spacing w:line="360" w:lineRule="auto"/>
              <w:ind w:right="106"/>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项目负责人</w:t>
            </w:r>
            <w:r>
              <w:rPr>
                <w:rFonts w:hint="eastAsia" w:ascii="宋体" w:hAnsi="宋体" w:eastAsia="宋体" w:cs="宋体"/>
                <w:color w:val="auto"/>
                <w:sz w:val="22"/>
                <w:szCs w:val="22"/>
                <w:highlight w:val="none"/>
              </w:rPr>
              <w:t>要求：</w:t>
            </w:r>
            <w:r>
              <w:rPr>
                <w:rFonts w:hint="eastAsia" w:ascii="宋体" w:hAnsi="宋体" w:eastAsia="宋体" w:cs="宋体"/>
                <w:color w:val="auto"/>
                <w:sz w:val="22"/>
                <w:szCs w:val="22"/>
                <w:highlight w:val="none"/>
                <w:u w:val="single"/>
              </w:rPr>
              <w:t>见招标公告投标人资格要求；</w:t>
            </w:r>
          </w:p>
          <w:p w14:paraId="456D19F0">
            <w:pPr>
              <w:pageBreakBefore w:val="0"/>
              <w:numPr>
                <w:ilvl w:val="0"/>
                <w:numId w:val="2"/>
              </w:numPr>
              <w:kinsoku/>
              <w:wordWrap/>
              <w:overflowPunct/>
              <w:autoSpaceDE/>
              <w:autoSpaceDN/>
              <w:bidi w:val="0"/>
              <w:snapToGrid w:val="0"/>
              <w:spacing w:line="360" w:lineRule="auto"/>
              <w:ind w:right="10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其他主要人员要求：</w:t>
            </w:r>
            <w:r>
              <w:rPr>
                <w:rFonts w:hint="eastAsia" w:ascii="宋体" w:hAnsi="宋体" w:eastAsia="宋体" w:cs="宋体"/>
                <w:color w:val="auto"/>
                <w:sz w:val="22"/>
                <w:szCs w:val="22"/>
                <w:highlight w:val="none"/>
                <w:u w:val="single"/>
              </w:rPr>
              <w:t>/</w:t>
            </w:r>
          </w:p>
          <w:p w14:paraId="710FFB61">
            <w:pPr>
              <w:pageBreakBefore w:val="0"/>
              <w:numPr>
                <w:ilvl w:val="0"/>
                <w:numId w:val="2"/>
              </w:numPr>
              <w:kinsoku/>
              <w:wordWrap/>
              <w:overflowPunct/>
              <w:autoSpaceDE/>
              <w:autoSpaceDN/>
              <w:bidi w:val="0"/>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试验检测仪器设备要求：</w:t>
            </w:r>
            <w:r>
              <w:rPr>
                <w:rFonts w:hint="eastAsia" w:ascii="宋体" w:hAnsi="宋体" w:eastAsia="宋体" w:cs="宋体"/>
                <w:color w:val="auto"/>
                <w:sz w:val="22"/>
                <w:szCs w:val="22"/>
                <w:highlight w:val="none"/>
                <w:u w:val="single"/>
              </w:rPr>
              <w:t>/</w:t>
            </w:r>
          </w:p>
          <w:p w14:paraId="76114F22">
            <w:pPr>
              <w:pageBreakBefore w:val="0"/>
              <w:numPr>
                <w:ilvl w:val="0"/>
                <w:numId w:val="2"/>
              </w:numPr>
              <w:kinsoku/>
              <w:wordWrap/>
              <w:overflowPunct/>
              <w:autoSpaceDE/>
              <w:autoSpaceDN/>
              <w:bidi w:val="0"/>
              <w:snapToGrid w:val="0"/>
              <w:spacing w:line="360" w:lineRule="auto"/>
              <w:ind w:right="10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其他要求：</w:t>
            </w:r>
            <w:r>
              <w:rPr>
                <w:rFonts w:hint="eastAsia" w:ascii="宋体" w:hAnsi="宋体" w:eastAsia="宋体" w:cs="宋体"/>
                <w:color w:val="auto"/>
                <w:sz w:val="22"/>
                <w:szCs w:val="22"/>
                <w:highlight w:val="none"/>
                <w:u w:val="single"/>
              </w:rPr>
              <w:t>见招标公告投标人资格要求。</w:t>
            </w:r>
          </w:p>
        </w:tc>
      </w:tr>
      <w:tr w14:paraId="26B38D0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467ADE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1.4.2</w:t>
            </w:r>
          </w:p>
        </w:tc>
        <w:tc>
          <w:tcPr>
            <w:tcW w:w="1659" w:type="dxa"/>
            <w:tcBorders>
              <w:top w:val="single" w:color="auto" w:sz="6" w:space="0"/>
              <w:left w:val="single" w:color="auto" w:sz="6" w:space="0"/>
              <w:bottom w:val="single" w:color="auto" w:sz="6" w:space="0"/>
              <w:right w:val="single" w:color="auto" w:sz="6" w:space="0"/>
            </w:tcBorders>
            <w:vAlign w:val="center"/>
          </w:tcPr>
          <w:p w14:paraId="707F5FCB">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是否接受联合体投标</w:t>
            </w:r>
          </w:p>
        </w:tc>
        <w:tc>
          <w:tcPr>
            <w:tcW w:w="6789" w:type="dxa"/>
            <w:tcBorders>
              <w:top w:val="single" w:color="auto" w:sz="6" w:space="0"/>
              <w:left w:val="single" w:color="auto" w:sz="6" w:space="0"/>
              <w:bottom w:val="single" w:color="auto" w:sz="6" w:space="0"/>
              <w:right w:val="single" w:color="auto" w:sz="4" w:space="0"/>
            </w:tcBorders>
            <w:vAlign w:val="center"/>
          </w:tcPr>
          <w:p w14:paraId="72DA7468">
            <w:pPr>
              <w:pageBreakBefore w:val="0"/>
              <w:kinsoku/>
              <w:wordWrap/>
              <w:overflowPunct/>
              <w:autoSpaceDE/>
              <w:autoSpaceDN/>
              <w:bidi w:val="0"/>
              <w:snapToGrid w:val="0"/>
              <w:spacing w:line="360" w:lineRule="auto"/>
              <w:ind w:left="108" w:right="-238"/>
              <w:rPr>
                <w:rFonts w:hint="eastAsia" w:ascii="宋体" w:hAnsi="宋体" w:eastAsia="宋体" w:cs="宋体"/>
                <w:color w:val="auto"/>
                <w:sz w:val="22"/>
                <w:szCs w:val="22"/>
              </w:rPr>
            </w:pPr>
            <w:r>
              <w:rPr>
                <w:rFonts w:hint="eastAsia" w:ascii="宋体" w:hAnsi="宋体" w:eastAsia="宋体" w:cs="宋体"/>
                <w:color w:val="auto"/>
                <w:spacing w:val="-1"/>
                <w:sz w:val="22"/>
                <w:szCs w:val="22"/>
              </w:rPr>
              <w:t>■</w:t>
            </w:r>
            <w:r>
              <w:rPr>
                <w:rFonts w:hint="eastAsia" w:ascii="宋体" w:hAnsi="宋体" w:eastAsia="宋体" w:cs="宋体"/>
                <w:color w:val="auto"/>
                <w:position w:val="3"/>
                <w:sz w:val="22"/>
                <w:szCs w:val="22"/>
              </w:rPr>
              <w:t>不接受</w:t>
            </w:r>
          </w:p>
        </w:tc>
      </w:tr>
      <w:tr w14:paraId="6B36E82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FADE2E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1.4.3</w:t>
            </w:r>
          </w:p>
        </w:tc>
        <w:tc>
          <w:tcPr>
            <w:tcW w:w="1659" w:type="dxa"/>
            <w:tcBorders>
              <w:top w:val="single" w:color="auto" w:sz="6" w:space="0"/>
              <w:left w:val="single" w:color="auto" w:sz="6" w:space="0"/>
              <w:bottom w:val="single" w:color="auto" w:sz="6" w:space="0"/>
              <w:right w:val="single" w:color="auto" w:sz="6" w:space="0"/>
            </w:tcBorders>
            <w:vAlign w:val="center"/>
          </w:tcPr>
          <w:p w14:paraId="5B3486BD">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highlight w:val="none"/>
              </w:rPr>
              <w:t>投标人不得存在的其他情形</w:t>
            </w:r>
          </w:p>
        </w:tc>
        <w:tc>
          <w:tcPr>
            <w:tcW w:w="6789" w:type="dxa"/>
            <w:tcBorders>
              <w:top w:val="single" w:color="auto" w:sz="6" w:space="0"/>
              <w:left w:val="single" w:color="auto" w:sz="6" w:space="0"/>
              <w:bottom w:val="single" w:color="auto" w:sz="6" w:space="0"/>
              <w:right w:val="single" w:color="auto" w:sz="4" w:space="0"/>
            </w:tcBorders>
            <w:vAlign w:val="center"/>
          </w:tcPr>
          <w:p w14:paraId="375DC988">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（一）为招标人不具有独立法人资格的附属机构（单位）；</w:t>
            </w:r>
          </w:p>
          <w:p w14:paraId="034F8386">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（二）为本标段前期准备提供设计或咨询服务或者与本项目设计人或提供咨询服务的机构存在附属关系的；</w:t>
            </w:r>
          </w:p>
          <w:p w14:paraId="51E86C5E">
            <w:pPr>
              <w:pStyle w:val="6"/>
              <w:pageBreakBefore w:val="0"/>
              <w:kinsoku/>
              <w:wordWrap/>
              <w:overflowPunct/>
              <w:autoSpaceDE/>
              <w:autoSpaceDN/>
              <w:bidi w:val="0"/>
              <w:spacing w:line="360" w:lineRule="auto"/>
              <w:ind w:firstLine="0" w:firstLineChars="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u w:val="single"/>
              </w:rPr>
              <w:t>（三）为本标段监理人或者与本标段监理人存在隶属关系或者其他利害关系。</w:t>
            </w:r>
          </w:p>
          <w:p w14:paraId="4DF14D1D">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（四）为本标段的代建人；</w:t>
            </w:r>
          </w:p>
          <w:p w14:paraId="4E286943">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（五）为本标段提供招标代理服务的；</w:t>
            </w:r>
          </w:p>
          <w:p w14:paraId="58CC7824">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（六）与本标段的设计人、监理人或代建人或招标代理机构同为一个法定代表人的；</w:t>
            </w:r>
          </w:p>
          <w:p w14:paraId="20D647E6">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（七）与本标段的设计人、监理人或代建人或招标代理机构互相控股或参股的；</w:t>
            </w:r>
          </w:p>
          <w:p w14:paraId="02274457">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（八）与本标段的设计人、监理人或代建人或招标代理机构相互任职或工作的；</w:t>
            </w:r>
          </w:p>
          <w:p w14:paraId="026D80BE">
            <w:pPr>
              <w:pageBreakBefore w:val="0"/>
              <w:kinsoku/>
              <w:wordWrap/>
              <w:overflowPunct/>
              <w:autoSpaceDE/>
              <w:autoSpaceDN/>
              <w:bidi w:val="0"/>
              <w:spacing w:line="360" w:lineRule="auto"/>
              <w:jc w:val="lef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（九）与本招标项目的施工承包人以及建筑材料、建筑构配件和设备供应商有隶属关系或者其他利害关系；</w:t>
            </w:r>
          </w:p>
          <w:p w14:paraId="704AC9A5">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（十）与招标人存在利害关系且可能影响招标公正性；</w:t>
            </w:r>
          </w:p>
          <w:p w14:paraId="00BE78B7">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w:t>
            </w:r>
          </w:p>
          <w:p w14:paraId="21AC4A7D">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（十二）被责令停产停业、暂扣或者吊销许可证、暂扣或者吊销执照的（本项事实应当以根据《中华人民共和国行政处罚法》依法作出并已经生效的行政处罚决定为认定依据。）；</w:t>
            </w:r>
          </w:p>
          <w:p w14:paraId="7CA65918">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（十三）进入清算程序，或被宣布破产，或其他丧失履约能力的情形；</w:t>
            </w:r>
          </w:p>
          <w:p w14:paraId="1CCAB5A3">
            <w:pPr>
              <w:pageBreakBefore w:val="0"/>
              <w:kinsoku/>
              <w:wordWrap/>
              <w:overflowPunct/>
              <w:autoSpaceDE/>
              <w:autoSpaceDN/>
              <w:bidi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十四）在最近三年内有严重违约或发生重大检测监测质量问题（“严重违约”事实应当以司法机关、仲裁机构出具的认定文件为准。“重大检测监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39B8A000">
            <w:pPr>
              <w:pageBreakBefore w:val="0"/>
              <w:kinsoku/>
              <w:wordWrap/>
              <w:overflowPunct/>
              <w:topLinePunct/>
              <w:autoSpaceDE/>
              <w:autoSpaceDN/>
              <w:bidi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highlight w:val="none"/>
                <w:u w:val="single"/>
              </w:rPr>
              <w:t>（十五）法律法规规定的其他情形。</w:t>
            </w:r>
          </w:p>
        </w:tc>
      </w:tr>
      <w:tr w14:paraId="1F40CE8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8B3766B">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1.9.1</w:t>
            </w:r>
          </w:p>
        </w:tc>
        <w:tc>
          <w:tcPr>
            <w:tcW w:w="1659" w:type="dxa"/>
            <w:tcBorders>
              <w:top w:val="single" w:color="auto" w:sz="6" w:space="0"/>
              <w:left w:val="single" w:color="auto" w:sz="6" w:space="0"/>
              <w:bottom w:val="single" w:color="auto" w:sz="6" w:space="0"/>
              <w:right w:val="single" w:color="auto" w:sz="6" w:space="0"/>
            </w:tcBorders>
            <w:vAlign w:val="center"/>
          </w:tcPr>
          <w:p w14:paraId="521B4CBC">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踏勘现场</w:t>
            </w:r>
          </w:p>
        </w:tc>
        <w:tc>
          <w:tcPr>
            <w:tcW w:w="6789" w:type="dxa"/>
            <w:tcBorders>
              <w:top w:val="single" w:color="auto" w:sz="6" w:space="0"/>
              <w:left w:val="single" w:color="auto" w:sz="6" w:space="0"/>
              <w:bottom w:val="single" w:color="auto" w:sz="6" w:space="0"/>
              <w:right w:val="single" w:color="auto" w:sz="4" w:space="0"/>
            </w:tcBorders>
            <w:vAlign w:val="center"/>
          </w:tcPr>
          <w:p w14:paraId="0B007952">
            <w:pPr>
              <w:pStyle w:val="8"/>
              <w:pageBreakBefore w:val="0"/>
              <w:kinsoku/>
              <w:wordWrap/>
              <w:overflowPunct/>
              <w:topLinePunct/>
              <w:autoSpaceDE/>
              <w:autoSpaceDN/>
              <w:bidi w:val="0"/>
              <w:snapToGrid w:val="0"/>
              <w:spacing w:line="360" w:lineRule="auto"/>
              <w:rPr>
                <w:rFonts w:hint="eastAsia" w:ascii="宋体" w:hAnsi="宋体" w:eastAsia="宋体" w:cs="宋体"/>
                <w:color w:val="auto"/>
                <w:kern w:val="2"/>
                <w:sz w:val="22"/>
                <w:szCs w:val="22"/>
                <w:lang w:eastAsia="zh-CN"/>
              </w:rPr>
            </w:pPr>
            <w:r>
              <w:rPr>
                <w:rFonts w:hint="eastAsia" w:ascii="宋体" w:hAnsi="宋体" w:eastAsia="宋体" w:cs="宋体"/>
                <w:color w:val="auto"/>
                <w:spacing w:val="-1"/>
                <w:kern w:val="2"/>
                <w:sz w:val="22"/>
                <w:szCs w:val="22"/>
              </w:rPr>
              <w:t>■</w:t>
            </w:r>
            <w:r>
              <w:rPr>
                <w:rFonts w:hint="eastAsia" w:ascii="宋体" w:hAnsi="宋体" w:eastAsia="宋体" w:cs="宋体"/>
                <w:color w:val="auto"/>
                <w:kern w:val="2"/>
                <w:sz w:val="22"/>
                <w:szCs w:val="22"/>
              </w:rPr>
              <w:t>不组织。由投标人自行踏勘</w:t>
            </w:r>
            <w:r>
              <w:rPr>
                <w:rFonts w:hint="eastAsia" w:ascii="宋体" w:hAnsi="宋体" w:eastAsia="宋体" w:cs="宋体"/>
                <w:color w:val="auto"/>
                <w:kern w:val="2"/>
                <w:sz w:val="22"/>
                <w:szCs w:val="22"/>
                <w:lang w:eastAsia="zh-CN"/>
              </w:rPr>
              <w:t>。</w:t>
            </w:r>
          </w:p>
        </w:tc>
      </w:tr>
      <w:tr w14:paraId="78F5EAB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BE31C3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1.10.1</w:t>
            </w:r>
          </w:p>
        </w:tc>
        <w:tc>
          <w:tcPr>
            <w:tcW w:w="1659" w:type="dxa"/>
            <w:tcBorders>
              <w:top w:val="single" w:color="auto" w:sz="6" w:space="0"/>
              <w:left w:val="single" w:color="auto" w:sz="6" w:space="0"/>
              <w:bottom w:val="single" w:color="auto" w:sz="6" w:space="0"/>
              <w:right w:val="single" w:color="auto" w:sz="6" w:space="0"/>
            </w:tcBorders>
            <w:vAlign w:val="center"/>
          </w:tcPr>
          <w:p w14:paraId="3E79B53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投标预备会</w:t>
            </w:r>
          </w:p>
        </w:tc>
        <w:tc>
          <w:tcPr>
            <w:tcW w:w="6789" w:type="dxa"/>
            <w:tcBorders>
              <w:top w:val="single" w:color="auto" w:sz="6" w:space="0"/>
              <w:left w:val="single" w:color="auto" w:sz="6" w:space="0"/>
              <w:bottom w:val="single" w:color="auto" w:sz="6" w:space="0"/>
              <w:right w:val="single" w:color="auto" w:sz="4" w:space="0"/>
            </w:tcBorders>
            <w:vAlign w:val="center"/>
          </w:tcPr>
          <w:p w14:paraId="089C7125">
            <w:pPr>
              <w:pStyle w:val="8"/>
              <w:pageBreakBefore w:val="0"/>
              <w:kinsoku/>
              <w:wordWrap/>
              <w:overflowPunct/>
              <w:topLinePunct/>
              <w:autoSpaceDE/>
              <w:autoSpaceDN/>
              <w:bidi w:val="0"/>
              <w:spacing w:line="360" w:lineRule="auto"/>
              <w:ind w:left="40" w:leftChars="19" w:right="107" w:rightChars="51"/>
              <w:rPr>
                <w:rFonts w:hint="eastAsia" w:ascii="宋体" w:hAnsi="宋体" w:eastAsia="宋体" w:cs="宋体"/>
                <w:sz w:val="22"/>
                <w:szCs w:val="22"/>
              </w:rPr>
            </w:pPr>
            <w:r>
              <w:rPr>
                <w:rFonts w:hint="eastAsia" w:ascii="宋体" w:hAnsi="宋体" w:eastAsia="宋体" w:cs="宋体"/>
                <w:sz w:val="22"/>
                <w:szCs w:val="22"/>
              </w:rPr>
              <w:t>■不召开</w:t>
            </w:r>
          </w:p>
        </w:tc>
      </w:tr>
      <w:tr w14:paraId="0F02A46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vMerge w:val="restart"/>
            <w:tcBorders>
              <w:top w:val="single" w:color="auto" w:sz="6" w:space="0"/>
              <w:left w:val="single" w:color="auto" w:sz="4" w:space="0"/>
              <w:bottom w:val="single" w:color="auto" w:sz="6" w:space="0"/>
              <w:right w:val="single" w:color="auto" w:sz="6" w:space="0"/>
            </w:tcBorders>
            <w:vAlign w:val="center"/>
          </w:tcPr>
          <w:p w14:paraId="1DDB8C0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1.10.2</w:t>
            </w:r>
          </w:p>
        </w:tc>
        <w:tc>
          <w:tcPr>
            <w:tcW w:w="1659" w:type="dxa"/>
            <w:vMerge w:val="restart"/>
            <w:tcBorders>
              <w:top w:val="single" w:color="auto" w:sz="6" w:space="0"/>
              <w:left w:val="single" w:color="auto" w:sz="6" w:space="0"/>
              <w:bottom w:val="single" w:color="auto" w:sz="6" w:space="0"/>
              <w:right w:val="single" w:color="auto" w:sz="6" w:space="0"/>
            </w:tcBorders>
            <w:vAlign w:val="center"/>
          </w:tcPr>
          <w:p w14:paraId="6A9C44F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投标人在投标预备会前提出问题</w:t>
            </w:r>
          </w:p>
        </w:tc>
        <w:tc>
          <w:tcPr>
            <w:tcW w:w="6789" w:type="dxa"/>
            <w:tcBorders>
              <w:top w:val="single" w:color="auto" w:sz="6" w:space="0"/>
              <w:left w:val="single" w:color="auto" w:sz="6" w:space="0"/>
              <w:bottom w:val="single" w:color="auto" w:sz="6" w:space="0"/>
              <w:right w:val="single" w:color="auto" w:sz="4" w:space="0"/>
            </w:tcBorders>
            <w:vAlign w:val="center"/>
          </w:tcPr>
          <w:p w14:paraId="61DFFDAA">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时间：</w:t>
            </w:r>
            <w:r>
              <w:rPr>
                <w:rFonts w:hint="eastAsia" w:ascii="宋体" w:hAnsi="宋体" w:eastAsia="宋体" w:cs="宋体"/>
                <w:sz w:val="22"/>
                <w:szCs w:val="22"/>
                <w:u w:val="single"/>
              </w:rPr>
              <w:t>/</w:t>
            </w:r>
          </w:p>
        </w:tc>
      </w:tr>
      <w:tr w14:paraId="5A9EB0F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vMerge w:val="continue"/>
            <w:tcBorders>
              <w:top w:val="single" w:color="auto" w:sz="6" w:space="0"/>
              <w:left w:val="single" w:color="auto" w:sz="4" w:space="0"/>
              <w:bottom w:val="single" w:color="auto" w:sz="6" w:space="0"/>
              <w:right w:val="single" w:color="auto" w:sz="6" w:space="0"/>
            </w:tcBorders>
            <w:vAlign w:val="center"/>
          </w:tcPr>
          <w:p w14:paraId="1C54441F">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1659" w:type="dxa"/>
            <w:vMerge w:val="continue"/>
            <w:tcBorders>
              <w:top w:val="single" w:color="auto" w:sz="6" w:space="0"/>
              <w:left w:val="single" w:color="auto" w:sz="6" w:space="0"/>
              <w:bottom w:val="single" w:color="auto" w:sz="6" w:space="0"/>
              <w:right w:val="single" w:color="auto" w:sz="6" w:space="0"/>
            </w:tcBorders>
            <w:vAlign w:val="center"/>
          </w:tcPr>
          <w:p w14:paraId="602A175F">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6789" w:type="dxa"/>
            <w:tcBorders>
              <w:top w:val="single" w:color="auto" w:sz="6" w:space="0"/>
              <w:left w:val="single" w:color="auto" w:sz="6" w:space="0"/>
              <w:bottom w:val="single" w:color="auto" w:sz="6" w:space="0"/>
              <w:right w:val="single" w:color="auto" w:sz="4" w:space="0"/>
            </w:tcBorders>
            <w:vAlign w:val="center"/>
          </w:tcPr>
          <w:p w14:paraId="4CC80C60">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形式：</w:t>
            </w:r>
            <w:r>
              <w:rPr>
                <w:rFonts w:hint="eastAsia" w:ascii="宋体" w:hAnsi="宋体" w:eastAsia="宋体" w:cs="宋体"/>
                <w:sz w:val="22"/>
                <w:szCs w:val="22"/>
                <w:u w:val="single"/>
              </w:rPr>
              <w:t>/</w:t>
            </w:r>
          </w:p>
        </w:tc>
      </w:tr>
      <w:tr w14:paraId="5F72FC5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28BA1B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1.10.3</w:t>
            </w:r>
          </w:p>
        </w:tc>
        <w:tc>
          <w:tcPr>
            <w:tcW w:w="1659" w:type="dxa"/>
            <w:tcBorders>
              <w:top w:val="single" w:color="auto" w:sz="6" w:space="0"/>
              <w:left w:val="single" w:color="auto" w:sz="6" w:space="0"/>
              <w:bottom w:val="single" w:color="auto" w:sz="6" w:space="0"/>
              <w:right w:val="single" w:color="auto" w:sz="6" w:space="0"/>
            </w:tcBorders>
            <w:vAlign w:val="center"/>
          </w:tcPr>
          <w:p w14:paraId="588874A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招标文件澄清发出的形式</w:t>
            </w:r>
          </w:p>
        </w:tc>
        <w:tc>
          <w:tcPr>
            <w:tcW w:w="6789" w:type="dxa"/>
            <w:tcBorders>
              <w:top w:val="single" w:color="auto" w:sz="6" w:space="0"/>
              <w:left w:val="single" w:color="auto" w:sz="6" w:space="0"/>
              <w:bottom w:val="single" w:color="auto" w:sz="6" w:space="0"/>
              <w:right w:val="single" w:color="auto" w:sz="4" w:space="0"/>
            </w:tcBorders>
            <w:vAlign w:val="center"/>
          </w:tcPr>
          <w:p w14:paraId="5CE6D53D">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w:t>
            </w:r>
          </w:p>
        </w:tc>
      </w:tr>
      <w:tr w14:paraId="0A5E488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55FC09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1.12.1</w:t>
            </w:r>
          </w:p>
        </w:tc>
        <w:tc>
          <w:tcPr>
            <w:tcW w:w="1659" w:type="dxa"/>
            <w:tcBorders>
              <w:top w:val="single" w:color="auto" w:sz="6" w:space="0"/>
              <w:left w:val="single" w:color="auto" w:sz="6" w:space="0"/>
              <w:bottom w:val="single" w:color="auto" w:sz="6" w:space="0"/>
              <w:right w:val="single" w:color="auto" w:sz="6" w:space="0"/>
            </w:tcBorders>
            <w:vAlign w:val="center"/>
          </w:tcPr>
          <w:p w14:paraId="6DC3CEB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实质性要求和条件</w:t>
            </w:r>
          </w:p>
        </w:tc>
        <w:tc>
          <w:tcPr>
            <w:tcW w:w="6789" w:type="dxa"/>
            <w:tcBorders>
              <w:top w:val="single" w:color="auto" w:sz="6" w:space="0"/>
              <w:left w:val="single" w:color="auto" w:sz="6" w:space="0"/>
              <w:bottom w:val="single" w:color="auto" w:sz="6" w:space="0"/>
              <w:right w:val="single" w:color="auto" w:sz="4" w:space="0"/>
            </w:tcBorders>
            <w:vAlign w:val="center"/>
          </w:tcPr>
          <w:p w14:paraId="5D9DBE91">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sz w:val="22"/>
                <w:szCs w:val="22"/>
                <w:u w:val="single"/>
              </w:rPr>
              <w:t>/</w:t>
            </w:r>
          </w:p>
        </w:tc>
      </w:tr>
      <w:tr w14:paraId="1240983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54BA82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1.12.3</w:t>
            </w:r>
          </w:p>
        </w:tc>
        <w:tc>
          <w:tcPr>
            <w:tcW w:w="1659" w:type="dxa"/>
            <w:tcBorders>
              <w:top w:val="single" w:color="auto" w:sz="6" w:space="0"/>
              <w:left w:val="single" w:color="auto" w:sz="6" w:space="0"/>
              <w:bottom w:val="single" w:color="auto" w:sz="6" w:space="0"/>
              <w:right w:val="single" w:color="auto" w:sz="6" w:space="0"/>
            </w:tcBorders>
            <w:vAlign w:val="center"/>
          </w:tcPr>
          <w:p w14:paraId="119A250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偏差</w:t>
            </w:r>
          </w:p>
        </w:tc>
        <w:tc>
          <w:tcPr>
            <w:tcW w:w="6789" w:type="dxa"/>
            <w:tcBorders>
              <w:top w:val="single" w:color="auto" w:sz="6" w:space="0"/>
              <w:left w:val="single" w:color="auto" w:sz="6" w:space="0"/>
              <w:bottom w:val="single" w:color="auto" w:sz="6" w:space="0"/>
              <w:right w:val="single" w:color="auto" w:sz="4" w:space="0"/>
            </w:tcBorders>
          </w:tcPr>
          <w:p w14:paraId="13918D45">
            <w:pPr>
              <w:pageBreakBefore w:val="0"/>
              <w:kinsoku/>
              <w:wordWrap/>
              <w:overflowPunct/>
              <w:autoSpaceDE/>
              <w:autoSpaceDN/>
              <w:bidi w:val="0"/>
              <w:spacing w:line="360" w:lineRule="auto"/>
              <w:ind w:left="40" w:leftChars="19" w:right="107" w:rightChars="51"/>
              <w:rPr>
                <w:rFonts w:hint="eastAsia" w:ascii="宋体" w:hAnsi="宋体" w:eastAsia="宋体" w:cs="宋体"/>
                <w:sz w:val="22"/>
                <w:szCs w:val="22"/>
              </w:rPr>
            </w:pPr>
            <w:r>
              <w:rPr>
                <w:rFonts w:hint="eastAsia" w:ascii="宋体" w:hAnsi="宋体" w:eastAsia="宋体" w:cs="宋体"/>
                <w:sz w:val="22"/>
                <w:szCs w:val="22"/>
              </w:rPr>
              <w:t>■不允许</w:t>
            </w:r>
          </w:p>
        </w:tc>
      </w:tr>
      <w:tr w14:paraId="0B58B81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8E75D0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2.1</w:t>
            </w:r>
          </w:p>
        </w:tc>
        <w:tc>
          <w:tcPr>
            <w:tcW w:w="1659" w:type="dxa"/>
            <w:tcBorders>
              <w:top w:val="single" w:color="auto" w:sz="6" w:space="0"/>
              <w:left w:val="single" w:color="auto" w:sz="6" w:space="0"/>
              <w:bottom w:val="single" w:color="auto" w:sz="6" w:space="0"/>
              <w:right w:val="single" w:color="auto" w:sz="6" w:space="0"/>
            </w:tcBorders>
            <w:vAlign w:val="center"/>
          </w:tcPr>
          <w:p w14:paraId="6E01B4F4">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构成招标文件的其他资料</w:t>
            </w:r>
          </w:p>
        </w:tc>
        <w:tc>
          <w:tcPr>
            <w:tcW w:w="6789" w:type="dxa"/>
            <w:tcBorders>
              <w:top w:val="single" w:color="auto" w:sz="6" w:space="0"/>
              <w:left w:val="single" w:color="auto" w:sz="6" w:space="0"/>
              <w:bottom w:val="single" w:color="auto" w:sz="6" w:space="0"/>
              <w:right w:val="single" w:color="auto" w:sz="4" w:space="0"/>
            </w:tcBorders>
            <w:vAlign w:val="center"/>
          </w:tcPr>
          <w:p w14:paraId="6C40491D">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本项目的澄清、补充公告、答疑文件等（如有）</w:t>
            </w:r>
          </w:p>
        </w:tc>
      </w:tr>
      <w:tr w14:paraId="1684503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476E7B4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2.2.1</w:t>
            </w:r>
          </w:p>
        </w:tc>
        <w:tc>
          <w:tcPr>
            <w:tcW w:w="1659" w:type="dxa"/>
            <w:tcBorders>
              <w:top w:val="single" w:color="auto" w:sz="6" w:space="0"/>
              <w:left w:val="single" w:color="auto" w:sz="6" w:space="0"/>
              <w:bottom w:val="single" w:color="auto" w:sz="6" w:space="0"/>
              <w:right w:val="single" w:color="auto" w:sz="6" w:space="0"/>
            </w:tcBorders>
            <w:vAlign w:val="center"/>
          </w:tcPr>
          <w:p w14:paraId="7D52920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投标人要求澄清招标文件</w:t>
            </w:r>
          </w:p>
        </w:tc>
        <w:tc>
          <w:tcPr>
            <w:tcW w:w="6789" w:type="dxa"/>
            <w:tcBorders>
              <w:top w:val="single" w:color="auto" w:sz="6" w:space="0"/>
              <w:left w:val="single" w:color="auto" w:sz="6" w:space="0"/>
              <w:bottom w:val="single" w:color="auto" w:sz="6" w:space="0"/>
              <w:right w:val="single" w:color="auto" w:sz="4" w:space="0"/>
            </w:tcBorders>
            <w:vAlign w:val="center"/>
          </w:tcPr>
          <w:p w14:paraId="2AE0CC57">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时间：</w:t>
            </w:r>
            <w:r>
              <w:rPr>
                <w:rFonts w:hint="eastAsia" w:ascii="宋体" w:hAnsi="宋体" w:eastAsia="宋体" w:cs="宋体"/>
                <w:sz w:val="22"/>
                <w:szCs w:val="22"/>
                <w:u w:val="single"/>
                <w:lang w:val="en-US" w:eastAsia="zh-CN"/>
              </w:rPr>
              <w:t>投标人在递交投标文件截止时间18天前提出</w:t>
            </w:r>
            <w:r>
              <w:rPr>
                <w:rFonts w:hint="eastAsia" w:ascii="宋体" w:hAnsi="宋体" w:eastAsia="宋体" w:cs="宋体"/>
                <w:sz w:val="22"/>
                <w:szCs w:val="22"/>
              </w:rPr>
              <w:t>；</w:t>
            </w:r>
          </w:p>
          <w:p w14:paraId="330CB699">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rPr>
              <w:t>形式：</w:t>
            </w:r>
            <w:r>
              <w:rPr>
                <w:rFonts w:hint="eastAsia" w:ascii="宋体" w:hAnsi="宋体" w:eastAsia="宋体" w:cs="宋体"/>
                <w:sz w:val="22"/>
                <w:szCs w:val="22"/>
                <w:u w:val="single"/>
                <w:lang w:val="en-US" w:eastAsia="zh-CN"/>
              </w:rPr>
              <w:t>投标人的疑问通过广州公共资源交易中心数字交易平台提交。具体操作方法详见广州公共资源交易平台关于全流程电子化项目的相关指南进行操作，详见广州公共资源交易中心网站发布的最新版操作指引。</w:t>
            </w:r>
          </w:p>
        </w:tc>
      </w:tr>
      <w:tr w14:paraId="3CCC059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F91B02C">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2.2.2</w:t>
            </w:r>
          </w:p>
        </w:tc>
        <w:tc>
          <w:tcPr>
            <w:tcW w:w="1659" w:type="dxa"/>
            <w:tcBorders>
              <w:top w:val="single" w:color="auto" w:sz="6" w:space="0"/>
              <w:left w:val="single" w:color="auto" w:sz="6" w:space="0"/>
              <w:bottom w:val="single" w:color="auto" w:sz="6" w:space="0"/>
              <w:right w:val="single" w:color="auto" w:sz="6" w:space="0"/>
            </w:tcBorders>
            <w:vAlign w:val="center"/>
          </w:tcPr>
          <w:p w14:paraId="5703BF9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招标文件澄清发出的形式</w:t>
            </w:r>
          </w:p>
        </w:tc>
        <w:tc>
          <w:tcPr>
            <w:tcW w:w="6789" w:type="dxa"/>
            <w:tcBorders>
              <w:top w:val="single" w:color="auto" w:sz="6" w:space="0"/>
              <w:left w:val="single" w:color="auto" w:sz="6" w:space="0"/>
              <w:bottom w:val="single" w:color="auto" w:sz="6" w:space="0"/>
              <w:right w:val="single" w:color="auto" w:sz="4" w:space="0"/>
            </w:tcBorders>
            <w:vAlign w:val="center"/>
          </w:tcPr>
          <w:p w14:paraId="19E6C4B4">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在递交投标文件截止时间15天前；在广州公共资源交易中心网站通过项目答疑专区网上公开发布。</w:t>
            </w:r>
          </w:p>
        </w:tc>
      </w:tr>
      <w:tr w14:paraId="63777D4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vMerge w:val="restart"/>
            <w:tcBorders>
              <w:top w:val="single" w:color="auto" w:sz="6" w:space="0"/>
              <w:left w:val="single" w:color="auto" w:sz="4" w:space="0"/>
              <w:bottom w:val="single" w:color="auto" w:sz="6" w:space="0"/>
              <w:right w:val="single" w:color="auto" w:sz="6" w:space="0"/>
            </w:tcBorders>
            <w:vAlign w:val="center"/>
          </w:tcPr>
          <w:p w14:paraId="79CFEFF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2.2.3</w:t>
            </w:r>
          </w:p>
        </w:tc>
        <w:tc>
          <w:tcPr>
            <w:tcW w:w="1659" w:type="dxa"/>
            <w:vMerge w:val="restart"/>
            <w:tcBorders>
              <w:top w:val="single" w:color="auto" w:sz="6" w:space="0"/>
              <w:left w:val="single" w:color="auto" w:sz="6" w:space="0"/>
              <w:bottom w:val="single" w:color="auto" w:sz="6" w:space="0"/>
              <w:right w:val="single" w:color="auto" w:sz="6" w:space="0"/>
            </w:tcBorders>
            <w:vAlign w:val="center"/>
          </w:tcPr>
          <w:p w14:paraId="042D2B15">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投标人确认收到招标文件澄清</w:t>
            </w:r>
          </w:p>
        </w:tc>
        <w:tc>
          <w:tcPr>
            <w:tcW w:w="6789" w:type="dxa"/>
            <w:tcBorders>
              <w:top w:val="single" w:color="auto" w:sz="6" w:space="0"/>
              <w:left w:val="single" w:color="auto" w:sz="6" w:space="0"/>
              <w:bottom w:val="single" w:color="auto" w:sz="6" w:space="0"/>
              <w:right w:val="single" w:color="auto" w:sz="4" w:space="0"/>
            </w:tcBorders>
            <w:vAlign w:val="center"/>
          </w:tcPr>
          <w:p w14:paraId="5609CBCC">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时间：</w:t>
            </w:r>
            <w:r>
              <w:rPr>
                <w:rFonts w:hint="eastAsia" w:ascii="宋体" w:hAnsi="宋体" w:eastAsia="宋体" w:cs="宋体"/>
                <w:sz w:val="22"/>
                <w:szCs w:val="22"/>
                <w:u w:val="single"/>
              </w:rPr>
              <w:t>招标文件澄清（招标答疑纪要）一经在广州公共资源交易中心网站发布，视作已发放给所有投标人。</w:t>
            </w:r>
          </w:p>
        </w:tc>
      </w:tr>
      <w:tr w14:paraId="5EF32F6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vMerge w:val="continue"/>
            <w:tcBorders>
              <w:top w:val="single" w:color="auto" w:sz="6" w:space="0"/>
              <w:left w:val="single" w:color="auto" w:sz="4" w:space="0"/>
              <w:bottom w:val="single" w:color="auto" w:sz="6" w:space="0"/>
              <w:right w:val="single" w:color="auto" w:sz="6" w:space="0"/>
            </w:tcBorders>
            <w:vAlign w:val="center"/>
          </w:tcPr>
          <w:p w14:paraId="223A5FB7">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1659" w:type="dxa"/>
            <w:vMerge w:val="continue"/>
            <w:tcBorders>
              <w:top w:val="single" w:color="auto" w:sz="6" w:space="0"/>
              <w:left w:val="single" w:color="auto" w:sz="6" w:space="0"/>
              <w:bottom w:val="single" w:color="auto" w:sz="6" w:space="0"/>
              <w:right w:val="single" w:color="auto" w:sz="6" w:space="0"/>
            </w:tcBorders>
            <w:vAlign w:val="center"/>
          </w:tcPr>
          <w:p w14:paraId="48378641">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6789" w:type="dxa"/>
            <w:tcBorders>
              <w:top w:val="single" w:color="auto" w:sz="6" w:space="0"/>
              <w:left w:val="single" w:color="auto" w:sz="6" w:space="0"/>
              <w:bottom w:val="single" w:color="auto" w:sz="6" w:space="0"/>
              <w:right w:val="single" w:color="auto" w:sz="4" w:space="0"/>
            </w:tcBorders>
            <w:vAlign w:val="center"/>
          </w:tcPr>
          <w:p w14:paraId="05453314">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形式：</w:t>
            </w:r>
            <w:r>
              <w:rPr>
                <w:rFonts w:hint="eastAsia" w:ascii="宋体" w:hAnsi="宋体" w:eastAsia="宋体" w:cs="宋体"/>
                <w:sz w:val="22"/>
                <w:szCs w:val="22"/>
                <w:u w:val="single"/>
              </w:rPr>
              <w:t>网上答疑</w:t>
            </w:r>
          </w:p>
        </w:tc>
      </w:tr>
      <w:tr w14:paraId="5B7B159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390DFD0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2.3.1</w:t>
            </w:r>
          </w:p>
        </w:tc>
        <w:tc>
          <w:tcPr>
            <w:tcW w:w="1659" w:type="dxa"/>
            <w:tcBorders>
              <w:top w:val="single" w:color="auto" w:sz="6" w:space="0"/>
              <w:left w:val="single" w:color="auto" w:sz="6" w:space="0"/>
              <w:bottom w:val="single" w:color="auto" w:sz="6" w:space="0"/>
              <w:right w:val="single" w:color="auto" w:sz="6" w:space="0"/>
            </w:tcBorders>
            <w:vAlign w:val="center"/>
          </w:tcPr>
          <w:p w14:paraId="1210BD58">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招标文件修改发出的形式</w:t>
            </w:r>
          </w:p>
        </w:tc>
        <w:tc>
          <w:tcPr>
            <w:tcW w:w="6789" w:type="dxa"/>
            <w:tcBorders>
              <w:top w:val="single" w:color="auto" w:sz="6" w:space="0"/>
              <w:left w:val="single" w:color="auto" w:sz="6" w:space="0"/>
              <w:bottom w:val="single" w:color="auto" w:sz="6" w:space="0"/>
              <w:right w:val="single" w:color="auto" w:sz="4" w:space="0"/>
            </w:tcBorders>
            <w:vAlign w:val="center"/>
          </w:tcPr>
          <w:p w14:paraId="3D6B12A6">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以补充公告或项目答疑澄清的方式在广州公共资源交易中心网站发布。</w:t>
            </w:r>
          </w:p>
        </w:tc>
      </w:tr>
      <w:tr w14:paraId="7495AA5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vMerge w:val="restart"/>
            <w:tcBorders>
              <w:top w:val="single" w:color="auto" w:sz="6" w:space="0"/>
              <w:left w:val="single" w:color="auto" w:sz="4" w:space="0"/>
              <w:bottom w:val="single" w:color="auto" w:sz="6" w:space="0"/>
              <w:right w:val="single" w:color="auto" w:sz="6" w:space="0"/>
            </w:tcBorders>
            <w:vAlign w:val="center"/>
          </w:tcPr>
          <w:p w14:paraId="3DCB80B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2.3.2</w:t>
            </w:r>
          </w:p>
        </w:tc>
        <w:tc>
          <w:tcPr>
            <w:tcW w:w="1659" w:type="dxa"/>
            <w:vMerge w:val="restart"/>
            <w:tcBorders>
              <w:top w:val="single" w:color="auto" w:sz="6" w:space="0"/>
              <w:left w:val="single" w:color="auto" w:sz="6" w:space="0"/>
              <w:bottom w:val="single" w:color="auto" w:sz="6" w:space="0"/>
              <w:right w:val="single" w:color="auto" w:sz="6" w:space="0"/>
            </w:tcBorders>
            <w:vAlign w:val="center"/>
          </w:tcPr>
          <w:p w14:paraId="3B1F899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投标人确认收到招标文件修改</w:t>
            </w:r>
          </w:p>
        </w:tc>
        <w:tc>
          <w:tcPr>
            <w:tcW w:w="6789" w:type="dxa"/>
            <w:tcBorders>
              <w:top w:val="single" w:color="auto" w:sz="6" w:space="0"/>
              <w:left w:val="single" w:color="auto" w:sz="6" w:space="0"/>
              <w:bottom w:val="single" w:color="auto" w:sz="6" w:space="0"/>
              <w:right w:val="single" w:color="auto" w:sz="4" w:space="0"/>
            </w:tcBorders>
            <w:vAlign w:val="center"/>
          </w:tcPr>
          <w:p w14:paraId="1FDAF402">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时间：</w:t>
            </w:r>
            <w:r>
              <w:rPr>
                <w:rFonts w:hint="eastAsia" w:ascii="宋体" w:hAnsi="宋体" w:eastAsia="宋体" w:cs="宋体"/>
                <w:sz w:val="22"/>
                <w:szCs w:val="22"/>
                <w:u w:val="single"/>
              </w:rPr>
              <w:t>发出即视作收到。</w:t>
            </w:r>
          </w:p>
        </w:tc>
      </w:tr>
      <w:tr w14:paraId="78C5B61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0" w:hRule="atLeast"/>
          <w:jc w:val="center"/>
        </w:trPr>
        <w:tc>
          <w:tcPr>
            <w:tcW w:w="936" w:type="dxa"/>
            <w:vMerge w:val="continue"/>
            <w:tcBorders>
              <w:top w:val="single" w:color="auto" w:sz="6" w:space="0"/>
              <w:left w:val="single" w:color="auto" w:sz="4" w:space="0"/>
              <w:bottom w:val="single" w:color="auto" w:sz="6" w:space="0"/>
              <w:right w:val="single" w:color="auto" w:sz="6" w:space="0"/>
            </w:tcBorders>
            <w:vAlign w:val="center"/>
          </w:tcPr>
          <w:p w14:paraId="014D8820">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1659" w:type="dxa"/>
            <w:vMerge w:val="continue"/>
            <w:tcBorders>
              <w:top w:val="single" w:color="auto" w:sz="6" w:space="0"/>
              <w:left w:val="single" w:color="auto" w:sz="6" w:space="0"/>
              <w:bottom w:val="single" w:color="auto" w:sz="6" w:space="0"/>
              <w:right w:val="single" w:color="auto" w:sz="6" w:space="0"/>
            </w:tcBorders>
            <w:vAlign w:val="center"/>
          </w:tcPr>
          <w:p w14:paraId="5F00598A">
            <w:pPr>
              <w:pageBreakBefore w:val="0"/>
              <w:widowControl/>
              <w:kinsoku/>
              <w:wordWrap/>
              <w:overflowPunct/>
              <w:autoSpaceDE/>
              <w:autoSpaceDN/>
              <w:bidi w:val="0"/>
              <w:spacing w:line="360" w:lineRule="auto"/>
              <w:jc w:val="left"/>
              <w:rPr>
                <w:rFonts w:hint="eastAsia" w:ascii="宋体" w:hAnsi="宋体" w:eastAsia="宋体" w:cs="宋体"/>
                <w:sz w:val="22"/>
                <w:szCs w:val="22"/>
              </w:rPr>
            </w:pPr>
          </w:p>
        </w:tc>
        <w:tc>
          <w:tcPr>
            <w:tcW w:w="6789" w:type="dxa"/>
            <w:tcBorders>
              <w:top w:val="single" w:color="auto" w:sz="6" w:space="0"/>
              <w:left w:val="single" w:color="auto" w:sz="6" w:space="0"/>
              <w:bottom w:val="single" w:color="auto" w:sz="6" w:space="0"/>
              <w:right w:val="single" w:color="auto" w:sz="4" w:space="0"/>
            </w:tcBorders>
            <w:vAlign w:val="center"/>
          </w:tcPr>
          <w:p w14:paraId="736CF87D">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形式：</w:t>
            </w:r>
            <w:r>
              <w:rPr>
                <w:rFonts w:hint="eastAsia" w:ascii="宋体" w:hAnsi="宋体" w:eastAsia="宋体" w:cs="宋体"/>
                <w:sz w:val="22"/>
                <w:szCs w:val="22"/>
                <w:u w:val="single"/>
              </w:rPr>
              <w:t>招标文件修改一经在广州公共资源交易中心网站发布，视作已发放给所有投标人，无需确认。潜在投标人应自行关注招标公告公布的网站公告，招标人不再一一通知。投标人因自身贻误行为导致投标失败的，责任自负。</w:t>
            </w:r>
          </w:p>
        </w:tc>
      </w:tr>
      <w:tr w14:paraId="70FC4D9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623A87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3.1.1</w:t>
            </w:r>
          </w:p>
        </w:tc>
        <w:tc>
          <w:tcPr>
            <w:tcW w:w="1659" w:type="dxa"/>
            <w:tcBorders>
              <w:top w:val="single" w:color="auto" w:sz="6" w:space="0"/>
              <w:left w:val="single" w:color="auto" w:sz="6" w:space="0"/>
              <w:bottom w:val="single" w:color="auto" w:sz="6" w:space="0"/>
              <w:right w:val="single" w:color="auto" w:sz="6" w:space="0"/>
            </w:tcBorders>
            <w:vAlign w:val="center"/>
          </w:tcPr>
          <w:p w14:paraId="1D5B1AB5">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构成投标文件的其他资料</w:t>
            </w:r>
          </w:p>
        </w:tc>
        <w:tc>
          <w:tcPr>
            <w:tcW w:w="6789" w:type="dxa"/>
            <w:tcBorders>
              <w:top w:val="single" w:color="auto" w:sz="6" w:space="0"/>
              <w:left w:val="single" w:color="auto" w:sz="6" w:space="0"/>
              <w:bottom w:val="single" w:color="auto" w:sz="6" w:space="0"/>
              <w:right w:val="single" w:color="auto" w:sz="4" w:space="0"/>
            </w:tcBorders>
            <w:vAlign w:val="center"/>
          </w:tcPr>
          <w:p w14:paraId="27505A26">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lang w:bidi="ar"/>
              </w:rPr>
              <w:t>满足本项目评审要求的其他资料等投标人认为需要提供的资料。</w:t>
            </w:r>
          </w:p>
        </w:tc>
      </w:tr>
      <w:tr w14:paraId="1103A88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0DEB334">
            <w:pPr>
              <w:pageBreakBefore w:val="0"/>
              <w:kinsoku/>
              <w:wordWrap/>
              <w:overflowPunct/>
              <w:autoSpaceDE/>
              <w:autoSpaceDN/>
              <w:bidi w:val="0"/>
              <w:snapToGrid w:val="0"/>
              <w:spacing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3.2.1</w:t>
            </w:r>
          </w:p>
        </w:tc>
        <w:tc>
          <w:tcPr>
            <w:tcW w:w="1659" w:type="dxa"/>
            <w:tcBorders>
              <w:top w:val="single" w:color="auto" w:sz="6" w:space="0"/>
              <w:left w:val="single" w:color="auto" w:sz="6" w:space="0"/>
              <w:bottom w:val="single" w:color="auto" w:sz="6" w:space="0"/>
              <w:right w:val="single" w:color="auto" w:sz="6" w:space="0"/>
            </w:tcBorders>
            <w:vAlign w:val="center"/>
          </w:tcPr>
          <w:p w14:paraId="42DADDF6">
            <w:pPr>
              <w:pageBreakBefore w:val="0"/>
              <w:kinsoku/>
              <w:wordWrap/>
              <w:overflowPunct/>
              <w:autoSpaceDE/>
              <w:autoSpaceDN/>
              <w:bidi w:val="0"/>
              <w:snapToGrid w:val="0"/>
              <w:spacing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增值税税金的计算方法</w:t>
            </w:r>
          </w:p>
        </w:tc>
        <w:tc>
          <w:tcPr>
            <w:tcW w:w="6789" w:type="dxa"/>
            <w:tcBorders>
              <w:top w:val="single" w:color="auto" w:sz="6" w:space="0"/>
              <w:left w:val="single" w:color="auto" w:sz="6" w:space="0"/>
              <w:bottom w:val="single" w:color="auto" w:sz="6" w:space="0"/>
              <w:right w:val="single" w:color="auto" w:sz="4" w:space="0"/>
            </w:tcBorders>
            <w:vAlign w:val="center"/>
          </w:tcPr>
          <w:p w14:paraId="6A2228A5">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按国家税务机关的规定执行。</w:t>
            </w:r>
          </w:p>
        </w:tc>
      </w:tr>
      <w:tr w14:paraId="58828A6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6455451">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3.2.3</w:t>
            </w:r>
          </w:p>
        </w:tc>
        <w:tc>
          <w:tcPr>
            <w:tcW w:w="1659" w:type="dxa"/>
            <w:tcBorders>
              <w:top w:val="single" w:color="auto" w:sz="6" w:space="0"/>
              <w:left w:val="single" w:color="auto" w:sz="6" w:space="0"/>
              <w:bottom w:val="single" w:color="auto" w:sz="6" w:space="0"/>
              <w:right w:val="single" w:color="auto" w:sz="6" w:space="0"/>
            </w:tcBorders>
            <w:vAlign w:val="center"/>
          </w:tcPr>
          <w:p w14:paraId="0A786096">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报价方式</w:t>
            </w:r>
          </w:p>
        </w:tc>
        <w:tc>
          <w:tcPr>
            <w:tcW w:w="6789" w:type="dxa"/>
            <w:tcBorders>
              <w:top w:val="single" w:color="auto" w:sz="6" w:space="0"/>
              <w:left w:val="single" w:color="auto" w:sz="6" w:space="0"/>
              <w:bottom w:val="single" w:color="auto" w:sz="6" w:space="0"/>
              <w:right w:val="single" w:color="auto" w:sz="4" w:space="0"/>
            </w:tcBorders>
            <w:vAlign w:val="center"/>
          </w:tcPr>
          <w:p w14:paraId="48D513D7">
            <w:pPr>
              <w:pStyle w:val="4"/>
              <w:keepNext/>
              <w:keepLines/>
              <w:pageBreakBefore w:val="0"/>
              <w:widowControl/>
              <w:numPr>
                <w:ilvl w:val="0"/>
                <w:numId w:val="0"/>
              </w:numPr>
              <w:kinsoku/>
              <w:wordWrap/>
              <w:overflowPunct/>
              <w:topLinePunct w:val="0"/>
              <w:autoSpaceDE/>
              <w:autoSpaceDN/>
              <w:bidi w:val="0"/>
              <w:adjustRightInd/>
              <w:snapToGrid/>
              <w:spacing w:line="360" w:lineRule="auto"/>
              <w:ind w:leftChars="0" w:right="119" w:rightChars="0"/>
              <w:textAlignment w:val="auto"/>
              <w:rPr>
                <w:rFonts w:hint="eastAsia" w:ascii="宋体" w:hAnsi="宋体" w:eastAsia="宋体" w:cs="宋体"/>
                <w:b w:val="0"/>
                <w:bCs w:val="0"/>
                <w:color w:val="auto"/>
                <w:kern w:val="2"/>
                <w:sz w:val="22"/>
                <w:szCs w:val="22"/>
              </w:rPr>
            </w:pPr>
            <w:r>
              <w:rPr>
                <w:rFonts w:hint="eastAsia" w:ascii="宋体" w:hAnsi="宋体" w:eastAsia="宋体" w:cs="宋体"/>
                <w:b w:val="0"/>
                <w:bCs w:val="0"/>
                <w:color w:val="auto"/>
                <w:kern w:val="2"/>
                <w:sz w:val="22"/>
                <w:szCs w:val="22"/>
              </w:rPr>
              <w:t>（</w:t>
            </w:r>
            <w:r>
              <w:rPr>
                <w:rFonts w:hint="eastAsia" w:ascii="宋体" w:hAnsi="宋体" w:eastAsia="宋体" w:cs="宋体"/>
                <w:b w:val="0"/>
                <w:bCs w:val="0"/>
                <w:color w:val="auto"/>
                <w:kern w:val="2"/>
                <w:sz w:val="22"/>
                <w:szCs w:val="22"/>
                <w:lang w:val="en-US" w:eastAsia="zh-CN"/>
              </w:rPr>
              <w:t>1</w:t>
            </w:r>
            <w:r>
              <w:rPr>
                <w:rFonts w:hint="eastAsia" w:ascii="宋体" w:hAnsi="宋体" w:eastAsia="宋体" w:cs="宋体"/>
                <w:b w:val="0"/>
                <w:bCs w:val="0"/>
                <w:color w:val="auto"/>
                <w:kern w:val="2"/>
                <w:sz w:val="22"/>
                <w:szCs w:val="22"/>
              </w:rPr>
              <w:t>）</w:t>
            </w:r>
            <w:r>
              <w:rPr>
                <w:rFonts w:hint="eastAsia" w:ascii="宋体" w:hAnsi="宋体" w:eastAsia="宋体" w:cs="宋体"/>
                <w:b w:val="0"/>
                <w:bCs w:val="0"/>
                <w:color w:val="auto"/>
                <w:kern w:val="2"/>
                <w:sz w:val="22"/>
                <w:szCs w:val="22"/>
                <w:lang w:val="en-US" w:eastAsia="zh-CN"/>
              </w:rPr>
              <w:t>投标人</w:t>
            </w:r>
            <w:r>
              <w:rPr>
                <w:rFonts w:hint="eastAsia" w:ascii="宋体" w:hAnsi="宋体" w:eastAsia="宋体" w:cs="宋体"/>
                <w:b w:val="0"/>
                <w:bCs w:val="0"/>
                <w:color w:val="auto"/>
                <w:kern w:val="2"/>
                <w:sz w:val="22"/>
                <w:szCs w:val="22"/>
              </w:rPr>
              <w:t>按照</w:t>
            </w:r>
            <w:r>
              <w:rPr>
                <w:rFonts w:hint="eastAsia" w:ascii="宋体" w:hAnsi="宋体" w:eastAsia="宋体" w:cs="宋体"/>
                <w:b w:val="0"/>
                <w:bCs w:val="0"/>
                <w:color w:val="auto"/>
                <w:kern w:val="2"/>
                <w:sz w:val="22"/>
                <w:szCs w:val="22"/>
                <w:lang w:val="en-US" w:eastAsia="zh-CN"/>
              </w:rPr>
              <w:t>招标</w:t>
            </w:r>
            <w:r>
              <w:rPr>
                <w:rFonts w:hint="eastAsia" w:ascii="宋体" w:hAnsi="宋体" w:eastAsia="宋体" w:cs="宋体"/>
                <w:b w:val="0"/>
                <w:bCs w:val="0"/>
                <w:color w:val="auto"/>
                <w:kern w:val="2"/>
                <w:sz w:val="22"/>
                <w:szCs w:val="22"/>
              </w:rPr>
              <w:t>人提供的工程量清单中列出的工程项目和工程量填报单价和合价。每一项目只允许有一个报价。任何有选择的报价将不予接受。</w:t>
            </w:r>
            <w:r>
              <w:rPr>
                <w:rFonts w:hint="eastAsia" w:ascii="宋体" w:hAnsi="宋体" w:eastAsia="宋体" w:cs="宋体"/>
                <w:b w:val="0"/>
                <w:bCs w:val="0"/>
                <w:color w:val="auto"/>
                <w:kern w:val="2"/>
                <w:sz w:val="22"/>
                <w:szCs w:val="22"/>
                <w:lang w:val="en-US" w:eastAsia="zh-CN"/>
              </w:rPr>
              <w:t>投标人</w:t>
            </w:r>
            <w:r>
              <w:rPr>
                <w:rFonts w:hint="eastAsia" w:ascii="宋体" w:hAnsi="宋体" w:eastAsia="宋体" w:cs="宋体"/>
                <w:b w:val="0"/>
                <w:bCs w:val="0"/>
                <w:color w:val="auto"/>
                <w:kern w:val="2"/>
                <w:sz w:val="22"/>
                <w:szCs w:val="22"/>
              </w:rPr>
              <w:t>未填报单价或合价的工程项目，视为完成该工程项目所需费用已包含在其它有价款的报价内，在实施后，</w:t>
            </w:r>
            <w:r>
              <w:rPr>
                <w:rFonts w:hint="eastAsia" w:ascii="宋体" w:hAnsi="宋体" w:eastAsia="宋体" w:cs="宋体"/>
                <w:b w:val="0"/>
                <w:bCs w:val="0"/>
                <w:color w:val="auto"/>
                <w:kern w:val="2"/>
                <w:sz w:val="22"/>
                <w:szCs w:val="22"/>
                <w:lang w:val="en-US" w:eastAsia="zh-CN"/>
              </w:rPr>
              <w:t>招标</w:t>
            </w:r>
            <w:r>
              <w:rPr>
                <w:rFonts w:hint="eastAsia" w:ascii="宋体" w:hAnsi="宋体" w:eastAsia="宋体" w:cs="宋体"/>
                <w:b w:val="0"/>
                <w:bCs w:val="0"/>
                <w:color w:val="auto"/>
                <w:kern w:val="2"/>
                <w:sz w:val="22"/>
                <w:szCs w:val="22"/>
              </w:rPr>
              <w:t>人将不予支付。</w:t>
            </w:r>
          </w:p>
          <w:p w14:paraId="17FD292C">
            <w:pPr>
              <w:pageBreakBefore w:val="0"/>
              <w:kinsoku/>
              <w:wordWrap/>
              <w:overflowPunct/>
              <w:autoSpaceDE/>
              <w:autoSpaceDN/>
              <w:bidi w:val="0"/>
              <w:spacing w:after="0" w:line="360" w:lineRule="auto"/>
              <w:jc w:val="both"/>
              <w:rPr>
                <w:rFonts w:hint="eastAsia" w:ascii="宋体" w:hAnsi="宋体" w:eastAsia="宋体" w:cs="宋体"/>
                <w:color w:val="auto"/>
                <w:sz w:val="22"/>
                <w:szCs w:val="22"/>
                <w:lang w:eastAsia="zh-CN"/>
              </w:rPr>
            </w:pPr>
            <w:r>
              <w:rPr>
                <w:rFonts w:hint="eastAsia" w:ascii="宋体" w:hAnsi="宋体" w:eastAsia="宋体" w:cs="宋体"/>
                <w:color w:val="auto"/>
                <w:sz w:val="22"/>
                <w:szCs w:val="22"/>
              </w:rPr>
              <w:t>（2）投标总报价</w:t>
            </w:r>
            <w:r>
              <w:rPr>
                <w:rFonts w:hint="eastAsia" w:ascii="宋体" w:hAnsi="宋体" w:eastAsia="宋体" w:cs="宋体"/>
                <w:color w:val="auto"/>
                <w:sz w:val="22"/>
                <w:szCs w:val="22"/>
                <w:lang w:val="en-US" w:eastAsia="zh-CN"/>
              </w:rPr>
              <w:t>不得</w:t>
            </w:r>
            <w:r>
              <w:rPr>
                <w:rFonts w:hint="eastAsia" w:ascii="宋体" w:hAnsi="宋体" w:eastAsia="宋体" w:cs="宋体"/>
                <w:color w:val="auto"/>
                <w:sz w:val="22"/>
                <w:szCs w:val="22"/>
              </w:rPr>
              <w:t>超过最高投标限价</w:t>
            </w:r>
            <w:r>
              <w:rPr>
                <w:rFonts w:hint="eastAsia" w:ascii="宋体" w:hAnsi="宋体" w:eastAsia="宋体" w:cs="宋体"/>
                <w:color w:val="auto"/>
                <w:sz w:val="22"/>
                <w:szCs w:val="22"/>
                <w:lang w:eastAsia="zh-CN"/>
              </w:rPr>
              <w:t>。</w:t>
            </w:r>
          </w:p>
          <w:p w14:paraId="57FCC913">
            <w:pPr>
              <w:pageBreakBefore w:val="0"/>
              <w:kinsoku/>
              <w:wordWrap/>
              <w:overflowPunct/>
              <w:autoSpaceDE/>
              <w:autoSpaceDN/>
              <w:bidi w:val="0"/>
              <w:spacing w:after="0" w:line="360" w:lineRule="auto"/>
              <w:jc w:val="both"/>
              <w:rPr>
                <w:rFonts w:hint="eastAsia" w:ascii="宋体" w:hAnsi="宋体" w:eastAsia="宋体" w:cs="宋体"/>
                <w:color w:val="auto"/>
                <w:sz w:val="22"/>
                <w:szCs w:val="22"/>
              </w:rPr>
            </w:pPr>
            <w:r>
              <w:rPr>
                <w:rFonts w:hint="eastAsia" w:ascii="宋体" w:hAnsi="宋体" w:eastAsia="宋体" w:cs="宋体"/>
                <w:color w:val="auto"/>
                <w:sz w:val="22"/>
                <w:szCs w:val="22"/>
              </w:rPr>
              <w:t>（3）中标后，检测费进度款支付或结算以建设单位确认的</w:t>
            </w:r>
            <w:r>
              <w:rPr>
                <w:rFonts w:hint="eastAsia" w:ascii="宋体" w:hAnsi="宋体" w:eastAsia="宋体" w:cs="宋体"/>
                <w:color w:val="auto"/>
                <w:sz w:val="22"/>
                <w:szCs w:val="22"/>
                <w:lang w:val="en-US" w:eastAsia="zh-CN"/>
              </w:rPr>
              <w:t>工程量</w:t>
            </w:r>
            <w:r>
              <w:rPr>
                <w:rFonts w:hint="eastAsia" w:ascii="宋体" w:hAnsi="宋体" w:eastAsia="宋体" w:cs="宋体"/>
                <w:color w:val="auto"/>
                <w:sz w:val="22"/>
                <w:szCs w:val="22"/>
              </w:rPr>
              <w:t>为依据：</w:t>
            </w:r>
          </w:p>
          <w:p w14:paraId="69E10DD8">
            <w:pPr>
              <w:pageBreakBefore w:val="0"/>
              <w:kinsoku/>
              <w:wordWrap/>
              <w:overflowPunct/>
              <w:autoSpaceDE/>
              <w:autoSpaceDN/>
              <w:bidi w:val="0"/>
              <w:spacing w:after="0" w:line="360" w:lineRule="auto"/>
              <w:jc w:val="both"/>
              <w:rPr>
                <w:rFonts w:hint="eastAsia" w:ascii="宋体" w:hAnsi="宋体" w:eastAsia="宋体" w:cs="宋体"/>
                <w:color w:val="auto"/>
                <w:sz w:val="22"/>
                <w:szCs w:val="22"/>
              </w:rPr>
            </w:pPr>
            <w:r>
              <w:rPr>
                <w:rFonts w:hint="eastAsia" w:ascii="宋体" w:hAnsi="宋体" w:eastAsia="宋体" w:cs="宋体"/>
                <w:color w:val="auto"/>
                <w:sz w:val="22"/>
                <w:szCs w:val="22"/>
              </w:rPr>
              <w:t>①工程量以建设单位确认实际完成检测量计算；</w:t>
            </w:r>
          </w:p>
          <w:p w14:paraId="575AAC71">
            <w:pPr>
              <w:pageBreakBefore w:val="0"/>
              <w:kinsoku/>
              <w:wordWrap/>
              <w:overflowPunct/>
              <w:autoSpaceDE/>
              <w:autoSpaceDN/>
              <w:bidi w:val="0"/>
              <w:spacing w:after="0" w:line="360" w:lineRule="auto"/>
              <w:jc w:val="both"/>
              <w:rPr>
                <w:rFonts w:hint="eastAsia" w:ascii="宋体" w:hAnsi="宋体" w:eastAsia="宋体" w:cs="宋体"/>
                <w:color w:val="auto"/>
                <w:sz w:val="22"/>
                <w:szCs w:val="22"/>
              </w:rPr>
            </w:pPr>
            <w:r>
              <w:rPr>
                <w:rFonts w:hint="eastAsia" w:ascii="宋体" w:hAnsi="宋体" w:eastAsia="宋体" w:cs="宋体"/>
                <w:color w:val="auto"/>
                <w:sz w:val="22"/>
                <w:szCs w:val="22"/>
              </w:rPr>
              <w:t>②投标报价应按国家发展计划委员会、建设部监测颁发的《工程勘察设计收费标准》（2002年修订本）与《广东省物价局关于建筑工程质量检测收费标准的复函》（粤价函[2004]428号）及《广东省房屋建筑和市政工程质量安全检测收费指导价》（粤建检协﹝2015﹞8号文）等的有关的检测收费规定基础上结合投标人所报</w:t>
            </w:r>
            <w:r>
              <w:rPr>
                <w:rFonts w:hint="eastAsia" w:ascii="宋体" w:hAnsi="宋体" w:eastAsia="宋体" w:cs="宋体"/>
                <w:color w:val="auto"/>
                <w:sz w:val="22"/>
                <w:szCs w:val="22"/>
                <w:lang w:val="en-US" w:eastAsia="zh-CN"/>
              </w:rPr>
              <w:t>综合单价</w:t>
            </w:r>
            <w:r>
              <w:rPr>
                <w:rFonts w:hint="eastAsia" w:ascii="宋体" w:hAnsi="宋体" w:eastAsia="宋体" w:cs="宋体"/>
                <w:color w:val="auto"/>
                <w:sz w:val="22"/>
                <w:szCs w:val="22"/>
              </w:rPr>
              <w:t>进行计算。在合同实施期间检测费按实际完成工作量调整，但</w:t>
            </w:r>
            <w:r>
              <w:rPr>
                <w:rFonts w:hint="eastAsia" w:ascii="宋体" w:hAnsi="宋体" w:eastAsia="宋体" w:cs="宋体"/>
                <w:color w:val="auto"/>
                <w:sz w:val="22"/>
                <w:szCs w:val="22"/>
                <w:lang w:val="en-US" w:eastAsia="zh-CN"/>
              </w:rPr>
              <w:t>检测综合单价</w:t>
            </w:r>
            <w:r>
              <w:rPr>
                <w:rFonts w:hint="eastAsia" w:ascii="宋体" w:hAnsi="宋体" w:eastAsia="宋体" w:cs="宋体"/>
                <w:color w:val="auto"/>
                <w:sz w:val="22"/>
                <w:szCs w:val="22"/>
              </w:rPr>
              <w:t>不变。投标报价采用全费用综合单价包干方式。</w:t>
            </w:r>
          </w:p>
          <w:p w14:paraId="0CC89B4B">
            <w:pPr>
              <w:pageBreakBefore w:val="0"/>
              <w:kinsoku/>
              <w:wordWrap/>
              <w:overflowPunct/>
              <w:autoSpaceDE/>
              <w:autoSpaceDN/>
              <w:bidi w:val="0"/>
              <w:spacing w:after="0" w:line="360" w:lineRule="auto"/>
              <w:jc w:val="both"/>
              <w:rPr>
                <w:rFonts w:hint="eastAsia" w:ascii="宋体" w:hAnsi="宋体" w:eastAsia="宋体" w:cs="宋体"/>
                <w:color w:val="auto"/>
                <w:sz w:val="22"/>
                <w:szCs w:val="22"/>
              </w:rPr>
            </w:pPr>
            <w:r>
              <w:rPr>
                <w:rFonts w:hint="eastAsia" w:ascii="宋体" w:hAnsi="宋体" w:eastAsia="宋体" w:cs="宋体"/>
                <w:color w:val="auto"/>
                <w:sz w:val="22"/>
                <w:szCs w:val="22"/>
              </w:rPr>
              <w:t>③计算公式：检测费=实物工作量×投标人所报</w:t>
            </w:r>
            <w:r>
              <w:rPr>
                <w:rFonts w:hint="eastAsia" w:ascii="宋体" w:hAnsi="宋体" w:eastAsia="宋体" w:cs="宋体"/>
                <w:color w:val="auto"/>
                <w:sz w:val="22"/>
                <w:szCs w:val="22"/>
                <w:lang w:val="en-US" w:eastAsia="zh-CN"/>
              </w:rPr>
              <w:t>综合单价</w:t>
            </w:r>
            <w:r>
              <w:rPr>
                <w:rFonts w:hint="eastAsia" w:ascii="宋体" w:hAnsi="宋体" w:eastAsia="宋体" w:cs="宋体"/>
                <w:color w:val="auto"/>
                <w:sz w:val="22"/>
                <w:szCs w:val="22"/>
              </w:rPr>
              <w:t>。</w:t>
            </w:r>
          </w:p>
          <w:p w14:paraId="1DD93828">
            <w:pPr>
              <w:pageBreakBefore w:val="0"/>
              <w:kinsoku/>
              <w:wordWrap/>
              <w:overflowPunct/>
              <w:autoSpaceDE/>
              <w:autoSpaceDN/>
              <w:bidi w:val="0"/>
              <w:snapToGrid w:val="0"/>
              <w:spacing w:line="360" w:lineRule="auto"/>
              <w:rPr>
                <w:rFonts w:hint="eastAsia" w:ascii="宋体" w:hAnsi="宋体" w:eastAsia="宋体" w:cs="宋体"/>
                <w:color w:val="auto"/>
                <w:sz w:val="22"/>
                <w:szCs w:val="22"/>
                <w:u w:val="single"/>
              </w:rPr>
            </w:pP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rPr>
              <w:t>）最终合同结算价以财政部门审核的结算价并结合实际完成检测量结算（结算价最终不得超过财政概算评审价）。</w:t>
            </w:r>
          </w:p>
        </w:tc>
      </w:tr>
      <w:tr w14:paraId="0F7EB45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3DC158D5">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3.2.4</w:t>
            </w:r>
          </w:p>
        </w:tc>
        <w:tc>
          <w:tcPr>
            <w:tcW w:w="1659" w:type="dxa"/>
            <w:tcBorders>
              <w:top w:val="single" w:color="auto" w:sz="6" w:space="0"/>
              <w:left w:val="single" w:color="auto" w:sz="6" w:space="0"/>
              <w:bottom w:val="single" w:color="auto" w:sz="6" w:space="0"/>
              <w:right w:val="single" w:color="auto" w:sz="6" w:space="0"/>
            </w:tcBorders>
            <w:vAlign w:val="center"/>
          </w:tcPr>
          <w:p w14:paraId="26764606">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最高投标限价</w:t>
            </w:r>
          </w:p>
        </w:tc>
        <w:tc>
          <w:tcPr>
            <w:tcW w:w="6789" w:type="dxa"/>
            <w:tcBorders>
              <w:top w:val="single" w:color="auto" w:sz="6" w:space="0"/>
              <w:left w:val="single" w:color="auto" w:sz="6" w:space="0"/>
              <w:bottom w:val="single" w:color="auto" w:sz="6" w:space="0"/>
              <w:right w:val="single" w:color="auto" w:sz="4" w:space="0"/>
            </w:tcBorders>
            <w:vAlign w:val="center"/>
          </w:tcPr>
          <w:p w14:paraId="11E68331">
            <w:pPr>
              <w:pageBreakBefore w:val="0"/>
              <w:kinsoku/>
              <w:wordWrap/>
              <w:overflowPunct/>
              <w:autoSpaceDE/>
              <w:autoSpaceDN/>
              <w:bidi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□无</w:t>
            </w:r>
          </w:p>
          <w:p w14:paraId="21206109">
            <w:pPr>
              <w:pageBreakBefore w:val="0"/>
              <w:numPr>
                <w:ilvl w:val="0"/>
                <w:numId w:val="0"/>
              </w:numPr>
              <w:tabs>
                <w:tab w:val="left" w:pos="7513"/>
              </w:tabs>
              <w:kinsoku/>
              <w:wordWrap/>
              <w:overflowPunct/>
              <w:autoSpaceDE/>
              <w:autoSpaceDN/>
              <w:bidi w:val="0"/>
              <w:adjustRightInd w:val="0"/>
              <w:snapToGrid w:val="0"/>
              <w:spacing w:line="360" w:lineRule="auto"/>
              <w:rPr>
                <w:rFonts w:hint="eastAsia" w:ascii="宋体" w:hAnsi="宋体" w:eastAsia="宋体" w:cs="宋体"/>
                <w:b/>
                <w:bCs/>
                <w:color w:val="auto"/>
                <w:sz w:val="22"/>
                <w:szCs w:val="22"/>
                <w:u w:val="single"/>
              </w:rPr>
            </w:pPr>
            <w:r>
              <w:rPr>
                <w:rFonts w:hint="eastAsia" w:ascii="宋体" w:hAnsi="宋体" w:eastAsia="宋体" w:cs="宋体"/>
                <w:color w:val="auto"/>
                <w:sz w:val="22"/>
                <w:szCs w:val="22"/>
              </w:rPr>
              <w:t>■有，最高投标限价：</w:t>
            </w:r>
            <w:r>
              <w:rPr>
                <w:rFonts w:hint="eastAsia" w:ascii="宋体" w:hAnsi="宋体" w:cs="Times New Roman"/>
                <w:color w:val="auto"/>
                <w:sz w:val="24"/>
                <w:szCs w:val="24"/>
                <w:highlight w:val="none"/>
                <w:u w:val="single"/>
                <w:lang w:val="en-US" w:eastAsia="zh-CN"/>
              </w:rPr>
              <w:t>1681396.96</w:t>
            </w:r>
            <w:r>
              <w:rPr>
                <w:rFonts w:hint="eastAsia" w:ascii="宋体" w:hAnsi="宋体" w:eastAsia="宋体" w:cs="宋体"/>
                <w:color w:val="auto"/>
                <w:sz w:val="22"/>
                <w:szCs w:val="22"/>
                <w:highlight w:val="none"/>
                <w:u w:val="single"/>
              </w:rPr>
              <w:t>元</w:t>
            </w:r>
          </w:p>
        </w:tc>
      </w:tr>
      <w:tr w14:paraId="4243BF2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8"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53104F3">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3.2.5</w:t>
            </w:r>
          </w:p>
        </w:tc>
        <w:tc>
          <w:tcPr>
            <w:tcW w:w="1659" w:type="dxa"/>
            <w:tcBorders>
              <w:top w:val="single" w:color="auto" w:sz="6" w:space="0"/>
              <w:left w:val="single" w:color="auto" w:sz="6" w:space="0"/>
              <w:bottom w:val="single" w:color="auto" w:sz="6" w:space="0"/>
              <w:right w:val="single" w:color="auto" w:sz="6" w:space="0"/>
            </w:tcBorders>
            <w:vAlign w:val="center"/>
          </w:tcPr>
          <w:p w14:paraId="45D8F251">
            <w:pPr>
              <w:pageBreakBefore w:val="0"/>
              <w:kinsoku/>
              <w:wordWrap/>
              <w:overflowPunct/>
              <w:autoSpaceDE/>
              <w:autoSpaceDN/>
              <w:bidi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投标报价的其他要求</w:t>
            </w:r>
          </w:p>
        </w:tc>
        <w:tc>
          <w:tcPr>
            <w:tcW w:w="6789" w:type="dxa"/>
            <w:tcBorders>
              <w:top w:val="single" w:color="auto" w:sz="6" w:space="0"/>
              <w:left w:val="single" w:color="auto" w:sz="6" w:space="0"/>
              <w:bottom w:val="single" w:color="auto" w:sz="6" w:space="0"/>
              <w:right w:val="single" w:color="auto" w:sz="4" w:space="0"/>
            </w:tcBorders>
            <w:vAlign w:val="center"/>
          </w:tcPr>
          <w:p w14:paraId="0BC069CD">
            <w:pPr>
              <w:pStyle w:val="8"/>
              <w:pageBreakBefore w:val="0"/>
              <w:numPr>
                <w:ilvl w:val="-1"/>
                <w:numId w:val="0"/>
              </w:numPr>
              <w:kinsoku/>
              <w:wordWrap/>
              <w:overflowPunct/>
              <w:topLinePunct/>
              <w:autoSpaceDE/>
              <w:autoSpaceDN/>
              <w:bidi w:val="0"/>
              <w:snapToGrid w:val="0"/>
              <w:spacing w:line="360" w:lineRule="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lang w:eastAsia="zh-CN"/>
              </w:rPr>
              <w:t>（</w:t>
            </w:r>
            <w:r>
              <w:rPr>
                <w:rFonts w:hint="eastAsia" w:ascii="宋体" w:hAnsi="宋体" w:eastAsia="宋体" w:cs="宋体"/>
                <w:b w:val="0"/>
                <w:bCs w:val="0"/>
                <w:color w:val="000000"/>
                <w:sz w:val="22"/>
                <w:szCs w:val="22"/>
                <w:lang w:val="en-US" w:eastAsia="zh-CN"/>
              </w:rPr>
              <w:t>1）</w:t>
            </w:r>
            <w:r>
              <w:rPr>
                <w:rFonts w:hint="eastAsia" w:ascii="宋体" w:hAnsi="宋体" w:eastAsia="宋体" w:cs="宋体"/>
                <w:b w:val="0"/>
                <w:bCs w:val="0"/>
                <w:color w:val="000000"/>
                <w:sz w:val="22"/>
                <w:szCs w:val="22"/>
              </w:rPr>
              <w:t>投标报价超过最高投标限价的投标文件将被否决其投标。</w:t>
            </w:r>
          </w:p>
          <w:p w14:paraId="297D3BCF">
            <w:pPr>
              <w:pStyle w:val="8"/>
              <w:pageBreakBefore w:val="0"/>
              <w:numPr>
                <w:ilvl w:val="-1"/>
                <w:numId w:val="0"/>
              </w:numPr>
              <w:kinsoku/>
              <w:wordWrap/>
              <w:overflowPunct/>
              <w:topLinePunct/>
              <w:autoSpaceDE/>
              <w:autoSpaceDN/>
              <w:bidi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2）投标人</w:t>
            </w:r>
            <w:r>
              <w:rPr>
                <w:rFonts w:hint="eastAsia" w:ascii="宋体" w:hAnsi="宋体" w:eastAsia="宋体" w:cs="宋体"/>
                <w:color w:val="000000"/>
                <w:sz w:val="22"/>
                <w:szCs w:val="22"/>
              </w:rPr>
              <w:t>报价明显低于其他投标报价，使得其投标报价可能低于其个别成本的，有可能影响服务质量和不能诚信履约的，评标委员会应当要求该</w:t>
            </w:r>
            <w:r>
              <w:rPr>
                <w:rFonts w:hint="eastAsia" w:ascii="宋体" w:hAnsi="宋体" w:eastAsia="宋体" w:cs="宋体"/>
                <w:color w:val="000000"/>
                <w:sz w:val="22"/>
                <w:szCs w:val="22"/>
                <w:lang w:val="en-US" w:eastAsia="zh-CN"/>
              </w:rPr>
              <w:t>投标人</w:t>
            </w:r>
            <w:r>
              <w:rPr>
                <w:rFonts w:hint="eastAsia" w:ascii="宋体" w:hAnsi="宋体" w:eastAsia="宋体" w:cs="宋体"/>
                <w:color w:val="000000"/>
                <w:sz w:val="22"/>
                <w:szCs w:val="22"/>
              </w:rPr>
              <w:t>作出书面说明并提供相关证明材料。</w:t>
            </w:r>
            <w:r>
              <w:rPr>
                <w:rFonts w:hint="eastAsia" w:ascii="宋体" w:hAnsi="宋体" w:eastAsia="宋体" w:cs="宋体"/>
                <w:color w:val="000000"/>
                <w:sz w:val="22"/>
                <w:szCs w:val="22"/>
                <w:lang w:val="en-US" w:eastAsia="zh-CN"/>
              </w:rPr>
              <w:t>投标人</w:t>
            </w:r>
            <w:r>
              <w:rPr>
                <w:rFonts w:hint="eastAsia" w:ascii="宋体" w:hAnsi="宋体" w:eastAsia="宋体" w:cs="宋体"/>
                <w:color w:val="000000"/>
                <w:sz w:val="22"/>
                <w:szCs w:val="22"/>
              </w:rPr>
              <w:t>不能合理说明或者不能提供相关证明材料的，由评标委员会认定该</w:t>
            </w:r>
            <w:r>
              <w:rPr>
                <w:rFonts w:hint="eastAsia" w:ascii="宋体" w:hAnsi="宋体" w:eastAsia="宋体" w:cs="宋体"/>
                <w:color w:val="000000"/>
                <w:sz w:val="22"/>
                <w:szCs w:val="22"/>
                <w:lang w:val="en-US" w:eastAsia="zh-CN"/>
              </w:rPr>
              <w:t>投标人</w:t>
            </w:r>
            <w:r>
              <w:rPr>
                <w:rFonts w:hint="eastAsia" w:ascii="宋体" w:hAnsi="宋体" w:eastAsia="宋体" w:cs="宋体"/>
                <w:color w:val="000000"/>
                <w:sz w:val="22"/>
                <w:szCs w:val="22"/>
              </w:rPr>
              <w:t>以低于成本报价</w:t>
            </w:r>
            <w:r>
              <w:rPr>
                <w:rFonts w:hint="eastAsia" w:ascii="宋体" w:hAnsi="宋体" w:eastAsia="宋体" w:cs="宋体"/>
                <w:color w:val="000000"/>
                <w:sz w:val="22"/>
                <w:szCs w:val="22"/>
                <w:lang w:val="en-US" w:eastAsia="zh-CN"/>
              </w:rPr>
              <w:t>投标，</w:t>
            </w:r>
            <w:r>
              <w:rPr>
                <w:rFonts w:hint="eastAsia" w:ascii="宋体" w:hAnsi="宋体" w:eastAsia="宋体" w:cs="宋体"/>
                <w:color w:val="000000"/>
                <w:sz w:val="22"/>
                <w:szCs w:val="22"/>
              </w:rPr>
              <w:t>其投标应作无效</w:t>
            </w:r>
            <w:r>
              <w:rPr>
                <w:rFonts w:hint="eastAsia" w:ascii="宋体" w:hAnsi="宋体" w:eastAsia="宋体" w:cs="宋体"/>
                <w:color w:val="000000"/>
                <w:sz w:val="22"/>
                <w:szCs w:val="22"/>
                <w:lang w:val="en-US" w:eastAsia="zh-CN"/>
              </w:rPr>
              <w:t>投</w:t>
            </w:r>
            <w:r>
              <w:rPr>
                <w:rFonts w:hint="eastAsia" w:ascii="宋体" w:hAnsi="宋体" w:eastAsia="宋体" w:cs="宋体"/>
                <w:color w:val="000000"/>
                <w:sz w:val="22"/>
                <w:szCs w:val="22"/>
              </w:rPr>
              <w:t>标处理。</w:t>
            </w:r>
          </w:p>
        </w:tc>
      </w:tr>
      <w:tr w14:paraId="45AB6FA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4C3A3A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3.3.1</w:t>
            </w:r>
          </w:p>
        </w:tc>
        <w:tc>
          <w:tcPr>
            <w:tcW w:w="1659" w:type="dxa"/>
            <w:tcBorders>
              <w:top w:val="single" w:color="auto" w:sz="6" w:space="0"/>
              <w:left w:val="single" w:color="auto" w:sz="6" w:space="0"/>
              <w:bottom w:val="single" w:color="auto" w:sz="6" w:space="0"/>
              <w:right w:val="single" w:color="auto" w:sz="6" w:space="0"/>
            </w:tcBorders>
            <w:vAlign w:val="center"/>
          </w:tcPr>
          <w:p w14:paraId="3FDD9DA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投标有效期</w:t>
            </w:r>
          </w:p>
        </w:tc>
        <w:tc>
          <w:tcPr>
            <w:tcW w:w="6789" w:type="dxa"/>
            <w:tcBorders>
              <w:top w:val="single" w:color="auto" w:sz="6" w:space="0"/>
              <w:left w:val="single" w:color="auto" w:sz="6" w:space="0"/>
              <w:bottom w:val="single" w:color="auto" w:sz="6" w:space="0"/>
              <w:right w:val="single" w:color="auto" w:sz="4" w:space="0"/>
            </w:tcBorders>
            <w:vAlign w:val="center"/>
          </w:tcPr>
          <w:p w14:paraId="5390A69F">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lang w:val="en-US" w:eastAsia="zh-CN"/>
              </w:rPr>
              <w:t>9</w:t>
            </w:r>
            <w:r>
              <w:rPr>
                <w:rFonts w:hint="eastAsia" w:ascii="宋体" w:hAnsi="宋体" w:eastAsia="宋体" w:cs="宋体"/>
                <w:sz w:val="22"/>
                <w:szCs w:val="22"/>
                <w:u w:val="single"/>
              </w:rPr>
              <w:t>0日历天（从投标截止之日算起）。</w:t>
            </w:r>
          </w:p>
        </w:tc>
      </w:tr>
      <w:tr w14:paraId="1A9F940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6017D6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3.4.1</w:t>
            </w:r>
          </w:p>
        </w:tc>
        <w:tc>
          <w:tcPr>
            <w:tcW w:w="1659" w:type="dxa"/>
            <w:tcBorders>
              <w:top w:val="single" w:color="auto" w:sz="6" w:space="0"/>
              <w:left w:val="single" w:color="auto" w:sz="6" w:space="0"/>
              <w:bottom w:val="single" w:color="auto" w:sz="6" w:space="0"/>
              <w:right w:val="single" w:color="auto" w:sz="6" w:space="0"/>
            </w:tcBorders>
            <w:vAlign w:val="center"/>
          </w:tcPr>
          <w:p w14:paraId="7C0E2645">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投标保证金</w:t>
            </w:r>
          </w:p>
        </w:tc>
        <w:tc>
          <w:tcPr>
            <w:tcW w:w="6789" w:type="dxa"/>
            <w:tcBorders>
              <w:top w:val="single" w:color="auto" w:sz="6" w:space="0"/>
              <w:left w:val="single" w:color="auto" w:sz="6" w:space="0"/>
              <w:bottom w:val="single" w:color="auto" w:sz="6" w:space="0"/>
              <w:right w:val="single" w:color="auto" w:sz="4" w:space="0"/>
            </w:tcBorders>
            <w:vAlign w:val="center"/>
          </w:tcPr>
          <w:p w14:paraId="57A0B4F6">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lang w:val="en-US"/>
              </w:rPr>
            </w:pPr>
            <w:r>
              <w:rPr>
                <w:rFonts w:hint="eastAsia" w:ascii="宋体" w:hAnsi="宋体" w:eastAsia="宋体" w:cs="宋体"/>
                <w:color w:val="auto"/>
                <w:sz w:val="22"/>
                <w:szCs w:val="22"/>
                <w:u w:val="single"/>
                <w:lang w:val="en-US" w:eastAsia="zh-CN"/>
              </w:rPr>
              <w:t>本项目不收取投标保证金。</w:t>
            </w:r>
          </w:p>
        </w:tc>
      </w:tr>
      <w:tr w14:paraId="26466E3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55F817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3.4.4</w:t>
            </w:r>
          </w:p>
        </w:tc>
        <w:tc>
          <w:tcPr>
            <w:tcW w:w="1659" w:type="dxa"/>
            <w:tcBorders>
              <w:top w:val="single" w:color="auto" w:sz="6" w:space="0"/>
              <w:left w:val="single" w:color="auto" w:sz="6" w:space="0"/>
              <w:bottom w:val="single" w:color="auto" w:sz="6" w:space="0"/>
              <w:right w:val="single" w:color="auto" w:sz="6" w:space="0"/>
            </w:tcBorders>
            <w:vAlign w:val="center"/>
          </w:tcPr>
          <w:p w14:paraId="783DE39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其他可以不予退还投标保证金的情形</w:t>
            </w:r>
          </w:p>
        </w:tc>
        <w:tc>
          <w:tcPr>
            <w:tcW w:w="6789" w:type="dxa"/>
            <w:tcBorders>
              <w:top w:val="single" w:color="auto" w:sz="6" w:space="0"/>
              <w:left w:val="single" w:color="auto" w:sz="6" w:space="0"/>
              <w:bottom w:val="single" w:color="auto" w:sz="6" w:space="0"/>
              <w:right w:val="single" w:color="auto" w:sz="4" w:space="0"/>
            </w:tcBorders>
            <w:vAlign w:val="center"/>
          </w:tcPr>
          <w:p w14:paraId="04AD7851">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w:t>
            </w:r>
          </w:p>
        </w:tc>
      </w:tr>
      <w:tr w14:paraId="1BF7570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9E2A785">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3.5</w:t>
            </w:r>
          </w:p>
        </w:tc>
        <w:tc>
          <w:tcPr>
            <w:tcW w:w="1659" w:type="dxa"/>
            <w:tcBorders>
              <w:top w:val="single" w:color="auto" w:sz="6" w:space="0"/>
              <w:left w:val="single" w:color="auto" w:sz="6" w:space="0"/>
              <w:bottom w:val="single" w:color="auto" w:sz="6" w:space="0"/>
              <w:right w:val="single" w:color="auto" w:sz="6" w:space="0"/>
            </w:tcBorders>
            <w:vAlign w:val="center"/>
          </w:tcPr>
          <w:p w14:paraId="0606B576">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资格审查资料的特殊要求</w:t>
            </w:r>
          </w:p>
        </w:tc>
        <w:tc>
          <w:tcPr>
            <w:tcW w:w="6789" w:type="dxa"/>
            <w:tcBorders>
              <w:top w:val="single" w:color="auto" w:sz="6" w:space="0"/>
              <w:left w:val="single" w:color="auto" w:sz="6" w:space="0"/>
              <w:bottom w:val="single" w:color="auto" w:sz="6" w:space="0"/>
              <w:right w:val="single" w:color="auto" w:sz="4" w:space="0"/>
            </w:tcBorders>
            <w:vAlign w:val="center"/>
          </w:tcPr>
          <w:p w14:paraId="11FDC881">
            <w:pPr>
              <w:pStyle w:val="8"/>
              <w:pageBreakBefore w:val="0"/>
              <w:kinsoku/>
              <w:wordWrap/>
              <w:overflowPunct/>
              <w:topLinePunct/>
              <w:autoSpaceDE/>
              <w:autoSpaceDN/>
              <w:bidi w:val="0"/>
              <w:snapToGrid w:val="0"/>
              <w:spacing w:line="360" w:lineRule="auto"/>
              <w:ind w:right="174" w:rightChars="83"/>
              <w:rPr>
                <w:rFonts w:hint="eastAsia" w:ascii="宋体" w:hAnsi="宋体" w:eastAsia="宋体" w:cs="宋体"/>
                <w:sz w:val="22"/>
                <w:szCs w:val="22"/>
              </w:rPr>
            </w:pPr>
            <w:r>
              <w:rPr>
                <w:rFonts w:hint="eastAsia" w:ascii="宋体" w:hAnsi="宋体" w:eastAsia="宋体" w:cs="宋体"/>
                <w:sz w:val="22"/>
                <w:szCs w:val="22"/>
              </w:rPr>
              <w:t>■无</w:t>
            </w:r>
          </w:p>
          <w:p w14:paraId="71F5EB23">
            <w:pPr>
              <w:pStyle w:val="8"/>
              <w:pageBreakBefore w:val="0"/>
              <w:kinsoku/>
              <w:wordWrap/>
              <w:overflowPunct/>
              <w:topLinePunct/>
              <w:autoSpaceDE/>
              <w:autoSpaceDN/>
              <w:bidi w:val="0"/>
              <w:spacing w:line="360" w:lineRule="auto"/>
              <w:ind w:left="40" w:leftChars="19" w:right="107" w:rightChars="51"/>
              <w:rPr>
                <w:rFonts w:hint="eastAsia" w:ascii="宋体" w:hAnsi="宋体" w:eastAsia="宋体" w:cs="宋体"/>
                <w:kern w:val="2"/>
                <w:sz w:val="22"/>
                <w:szCs w:val="22"/>
              </w:rPr>
            </w:pPr>
            <w:r>
              <w:rPr>
                <w:rFonts w:hint="eastAsia" w:ascii="宋体" w:hAnsi="宋体" w:eastAsia="宋体" w:cs="宋体"/>
                <w:sz w:val="22"/>
                <w:szCs w:val="22"/>
              </w:rPr>
              <w:t>□有</w:t>
            </w:r>
          </w:p>
        </w:tc>
      </w:tr>
      <w:tr w14:paraId="54CC3A2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2353C9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3.5.2</w:t>
            </w:r>
          </w:p>
        </w:tc>
        <w:tc>
          <w:tcPr>
            <w:tcW w:w="1659" w:type="dxa"/>
            <w:tcBorders>
              <w:top w:val="single" w:color="auto" w:sz="6" w:space="0"/>
              <w:left w:val="single" w:color="auto" w:sz="6" w:space="0"/>
              <w:bottom w:val="single" w:color="auto" w:sz="6" w:space="0"/>
              <w:right w:val="single" w:color="auto" w:sz="6" w:space="0"/>
            </w:tcBorders>
            <w:vAlign w:val="center"/>
          </w:tcPr>
          <w:p w14:paraId="697F2BE8">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近年财务状况的年份要求</w:t>
            </w:r>
          </w:p>
        </w:tc>
        <w:tc>
          <w:tcPr>
            <w:tcW w:w="6789" w:type="dxa"/>
            <w:tcBorders>
              <w:top w:val="single" w:color="auto" w:sz="6" w:space="0"/>
              <w:left w:val="single" w:color="auto" w:sz="6" w:space="0"/>
              <w:bottom w:val="single" w:color="auto" w:sz="6" w:space="0"/>
              <w:right w:val="single" w:color="auto" w:sz="4" w:space="0"/>
            </w:tcBorders>
            <w:vAlign w:val="center"/>
          </w:tcPr>
          <w:p w14:paraId="41B4041B">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w:t>
            </w:r>
          </w:p>
        </w:tc>
      </w:tr>
      <w:tr w14:paraId="17A6868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5E6F30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3.5.3</w:t>
            </w:r>
          </w:p>
        </w:tc>
        <w:tc>
          <w:tcPr>
            <w:tcW w:w="1659" w:type="dxa"/>
            <w:tcBorders>
              <w:top w:val="single" w:color="auto" w:sz="6" w:space="0"/>
              <w:left w:val="single" w:color="auto" w:sz="6" w:space="0"/>
              <w:bottom w:val="single" w:color="auto" w:sz="6" w:space="0"/>
              <w:right w:val="single" w:color="auto" w:sz="6" w:space="0"/>
            </w:tcBorders>
            <w:vAlign w:val="center"/>
          </w:tcPr>
          <w:p w14:paraId="5237CFD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近年完成的类似项目情况的时间要求</w:t>
            </w:r>
          </w:p>
        </w:tc>
        <w:tc>
          <w:tcPr>
            <w:tcW w:w="6789" w:type="dxa"/>
            <w:tcBorders>
              <w:top w:val="single" w:color="auto" w:sz="6" w:space="0"/>
              <w:left w:val="single" w:color="auto" w:sz="6" w:space="0"/>
              <w:bottom w:val="single" w:color="auto" w:sz="6" w:space="0"/>
              <w:right w:val="single" w:color="auto" w:sz="4" w:space="0"/>
            </w:tcBorders>
            <w:vAlign w:val="center"/>
          </w:tcPr>
          <w:p w14:paraId="03E3BA98">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w:t>
            </w:r>
          </w:p>
        </w:tc>
      </w:tr>
      <w:tr w14:paraId="177C0C7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6BA2BF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3.5.5</w:t>
            </w:r>
          </w:p>
        </w:tc>
        <w:tc>
          <w:tcPr>
            <w:tcW w:w="1659" w:type="dxa"/>
            <w:tcBorders>
              <w:top w:val="single" w:color="auto" w:sz="6" w:space="0"/>
              <w:left w:val="single" w:color="auto" w:sz="6" w:space="0"/>
              <w:bottom w:val="single" w:color="auto" w:sz="6" w:space="0"/>
              <w:right w:val="single" w:color="auto" w:sz="6" w:space="0"/>
            </w:tcBorders>
            <w:vAlign w:val="center"/>
          </w:tcPr>
          <w:p w14:paraId="7DEE78A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近年发生的诉讼及仲裁情况的时间要求</w:t>
            </w:r>
          </w:p>
        </w:tc>
        <w:tc>
          <w:tcPr>
            <w:tcW w:w="6789" w:type="dxa"/>
            <w:tcBorders>
              <w:top w:val="single" w:color="auto" w:sz="6" w:space="0"/>
              <w:left w:val="single" w:color="auto" w:sz="6" w:space="0"/>
              <w:bottom w:val="single" w:color="auto" w:sz="6" w:space="0"/>
              <w:right w:val="single" w:color="auto" w:sz="4" w:space="0"/>
            </w:tcBorders>
            <w:vAlign w:val="center"/>
          </w:tcPr>
          <w:p w14:paraId="50583619">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w:t>
            </w:r>
          </w:p>
        </w:tc>
      </w:tr>
      <w:tr w14:paraId="79F6C44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A92CEC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3.6.1</w:t>
            </w:r>
          </w:p>
        </w:tc>
        <w:tc>
          <w:tcPr>
            <w:tcW w:w="1659" w:type="dxa"/>
            <w:tcBorders>
              <w:top w:val="single" w:color="auto" w:sz="6" w:space="0"/>
              <w:left w:val="single" w:color="auto" w:sz="6" w:space="0"/>
              <w:bottom w:val="single" w:color="auto" w:sz="6" w:space="0"/>
              <w:right w:val="single" w:color="auto" w:sz="6" w:space="0"/>
            </w:tcBorders>
            <w:vAlign w:val="center"/>
          </w:tcPr>
          <w:p w14:paraId="2C3B708B">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是否允许递交备选投标方案</w:t>
            </w:r>
          </w:p>
        </w:tc>
        <w:tc>
          <w:tcPr>
            <w:tcW w:w="6789" w:type="dxa"/>
            <w:tcBorders>
              <w:top w:val="single" w:color="auto" w:sz="6" w:space="0"/>
              <w:left w:val="single" w:color="auto" w:sz="6" w:space="0"/>
              <w:bottom w:val="single" w:color="auto" w:sz="6" w:space="0"/>
              <w:right w:val="single" w:color="auto" w:sz="4" w:space="0"/>
            </w:tcBorders>
            <w:vAlign w:val="center"/>
          </w:tcPr>
          <w:p w14:paraId="62EA1ED2">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kern w:val="2"/>
                <w:sz w:val="22"/>
                <w:szCs w:val="22"/>
              </w:rPr>
              <w:t>不允许</w:t>
            </w:r>
          </w:p>
        </w:tc>
      </w:tr>
      <w:tr w14:paraId="3796D08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FFF5A2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3.7.3</w:t>
            </w:r>
          </w:p>
        </w:tc>
        <w:tc>
          <w:tcPr>
            <w:tcW w:w="1659" w:type="dxa"/>
            <w:tcBorders>
              <w:top w:val="single" w:color="auto" w:sz="6" w:space="0"/>
              <w:left w:val="single" w:color="auto" w:sz="6" w:space="0"/>
              <w:bottom w:val="single" w:color="auto" w:sz="6" w:space="0"/>
              <w:right w:val="single" w:color="auto" w:sz="6" w:space="0"/>
            </w:tcBorders>
            <w:vAlign w:val="center"/>
          </w:tcPr>
          <w:p w14:paraId="0A41AA27">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投标文件所附证书证件要求</w:t>
            </w:r>
          </w:p>
        </w:tc>
        <w:tc>
          <w:tcPr>
            <w:tcW w:w="6789" w:type="dxa"/>
            <w:tcBorders>
              <w:top w:val="single" w:color="auto" w:sz="6" w:space="0"/>
              <w:left w:val="single" w:color="auto" w:sz="6" w:space="0"/>
              <w:bottom w:val="single" w:color="auto" w:sz="6" w:space="0"/>
              <w:right w:val="single" w:color="auto" w:sz="4" w:space="0"/>
            </w:tcBorders>
            <w:vAlign w:val="center"/>
          </w:tcPr>
          <w:p w14:paraId="6ABCF8FF">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u w:val="single"/>
              </w:rPr>
            </w:pPr>
            <w:r>
              <w:rPr>
                <w:rFonts w:hint="eastAsia" w:ascii="宋体" w:hAnsi="宋体" w:eastAsia="宋体" w:cs="宋体"/>
                <w:kern w:val="2"/>
                <w:sz w:val="22"/>
                <w:szCs w:val="22"/>
                <w:u w:val="single"/>
              </w:rPr>
              <w:t>证书证件需为原件清晰扫描件，并采用单位数字证书，按照招标文件要求在相应位置加盖电子印章。暂不实施关于采用个人数字证书和加盖个人电子印章的要求。</w:t>
            </w:r>
          </w:p>
        </w:tc>
      </w:tr>
      <w:tr w14:paraId="6E4C392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E568D28">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3.7.3</w:t>
            </w:r>
          </w:p>
        </w:tc>
        <w:tc>
          <w:tcPr>
            <w:tcW w:w="1659" w:type="dxa"/>
            <w:tcBorders>
              <w:top w:val="single" w:color="auto" w:sz="6" w:space="0"/>
              <w:left w:val="single" w:color="auto" w:sz="6" w:space="0"/>
              <w:bottom w:val="single" w:color="auto" w:sz="6" w:space="0"/>
              <w:right w:val="single" w:color="auto" w:sz="6" w:space="0"/>
            </w:tcBorders>
            <w:vAlign w:val="center"/>
          </w:tcPr>
          <w:p w14:paraId="5073ECB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投标文件签字或盖章要求</w:t>
            </w:r>
          </w:p>
        </w:tc>
        <w:tc>
          <w:tcPr>
            <w:tcW w:w="6789" w:type="dxa"/>
            <w:tcBorders>
              <w:top w:val="single" w:color="auto" w:sz="6" w:space="0"/>
              <w:left w:val="single" w:color="auto" w:sz="6" w:space="0"/>
              <w:bottom w:val="single" w:color="auto" w:sz="6" w:space="0"/>
              <w:right w:val="single" w:color="auto" w:sz="4" w:space="0"/>
            </w:tcBorders>
            <w:vAlign w:val="center"/>
          </w:tcPr>
          <w:p w14:paraId="43D44264">
            <w:pPr>
              <w:pageBreakBefore w:val="0"/>
              <w:kinsoku/>
              <w:wordWrap/>
              <w:overflowPunct/>
              <w:autoSpaceDE/>
              <w:autoSpaceDN/>
              <w:bidi w:val="0"/>
              <w:snapToGrid w:val="0"/>
              <w:spacing w:line="360" w:lineRule="auto"/>
              <w:ind w:right="174" w:rightChars="83"/>
              <w:rPr>
                <w:rFonts w:hint="eastAsia" w:ascii="宋体" w:hAnsi="宋体" w:eastAsia="宋体" w:cs="宋体"/>
                <w:kern w:val="2"/>
                <w:sz w:val="22"/>
                <w:szCs w:val="22"/>
                <w:u w:val="single"/>
              </w:rPr>
            </w:pPr>
            <w:r>
              <w:rPr>
                <w:rFonts w:hint="eastAsia" w:ascii="宋体" w:hAnsi="宋体" w:eastAsia="宋体" w:cs="宋体"/>
                <w:color w:val="auto"/>
                <w:sz w:val="22"/>
                <w:szCs w:val="22"/>
                <w:highlight w:val="none"/>
                <w:u w:val="none"/>
              </w:rPr>
              <w:t>投标文件全部采用电子文档，投标文件所附证书证件均为原件清晰扫描件，并采用单位数字证书，按招标文件要求在相应位置加盖电子印章。投标文件中需个人签字或盖章的，应在线下完成后扫描上传。</w:t>
            </w:r>
            <w:r>
              <w:rPr>
                <w:rFonts w:hint="eastAsia" w:ascii="宋体" w:hAnsi="宋体" w:eastAsia="宋体" w:cs="宋体"/>
                <w:sz w:val="22"/>
                <w:szCs w:val="22"/>
                <w:u w:val="single"/>
              </w:rPr>
              <w:t>具体操作详见广州公共资源交易平台关于全流程电子化项目的相关指南进行操作，详见广州公共资源交易中心网站发布的最新版操作指引。</w:t>
            </w:r>
          </w:p>
        </w:tc>
      </w:tr>
      <w:tr w14:paraId="3B74785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8A1A93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4.1.1</w:t>
            </w:r>
          </w:p>
        </w:tc>
        <w:tc>
          <w:tcPr>
            <w:tcW w:w="1659" w:type="dxa"/>
            <w:tcBorders>
              <w:top w:val="single" w:color="auto" w:sz="6" w:space="0"/>
              <w:left w:val="single" w:color="auto" w:sz="6" w:space="0"/>
              <w:bottom w:val="single" w:color="auto" w:sz="6" w:space="0"/>
              <w:right w:val="single" w:color="auto" w:sz="6" w:space="0"/>
            </w:tcBorders>
            <w:vAlign w:val="center"/>
          </w:tcPr>
          <w:p w14:paraId="0AD7DE2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投标文件加密要求</w:t>
            </w:r>
          </w:p>
        </w:tc>
        <w:tc>
          <w:tcPr>
            <w:tcW w:w="6789" w:type="dxa"/>
            <w:tcBorders>
              <w:top w:val="single" w:color="auto" w:sz="6" w:space="0"/>
              <w:left w:val="single" w:color="auto" w:sz="6" w:space="0"/>
              <w:bottom w:val="single" w:color="auto" w:sz="6" w:space="0"/>
              <w:right w:val="single" w:color="auto" w:sz="4" w:space="0"/>
            </w:tcBorders>
            <w:vAlign w:val="center"/>
          </w:tcPr>
          <w:p w14:paraId="78ACFB0B">
            <w:pPr>
              <w:pStyle w:val="8"/>
              <w:pageBreakBefore w:val="0"/>
              <w:kinsoku/>
              <w:wordWrap/>
              <w:overflowPunct/>
              <w:topLinePunct/>
              <w:autoSpaceDE/>
              <w:autoSpaceDN/>
              <w:bidi w:val="0"/>
              <w:adjustRightInd w:val="0"/>
              <w:snapToGrid w:val="0"/>
              <w:spacing w:line="360" w:lineRule="auto"/>
              <w:textAlignment w:val="baseline"/>
              <w:outlineLvl w:val="1"/>
              <w:rPr>
                <w:rFonts w:hint="eastAsia" w:ascii="宋体" w:hAnsi="宋体" w:eastAsia="宋体" w:cs="宋体"/>
                <w:kern w:val="2"/>
                <w:sz w:val="22"/>
                <w:szCs w:val="22"/>
                <w:u w:val="single"/>
              </w:rPr>
            </w:pPr>
            <w:r>
              <w:rPr>
                <w:rFonts w:hint="eastAsia" w:ascii="宋体" w:hAnsi="宋体" w:eastAsia="宋体" w:cs="宋体"/>
                <w:kern w:val="2"/>
                <w:sz w:val="22"/>
                <w:szCs w:val="22"/>
                <w:u w:val="single"/>
              </w:rPr>
              <w:t>网上递交的电子投标文件须进行加密。</w:t>
            </w:r>
            <w:r>
              <w:rPr>
                <w:rFonts w:hint="eastAsia" w:ascii="宋体" w:hAnsi="宋体" w:eastAsia="宋体" w:cs="宋体"/>
                <w:color w:val="auto"/>
                <w:sz w:val="22"/>
                <w:szCs w:val="22"/>
                <w:highlight w:val="none"/>
                <w:u w:val="single"/>
                <w:lang w:val="en-US" w:eastAsia="zh-CN"/>
              </w:rPr>
              <w:t>具体操作方法详见广州公共资源交易平台关于全流程电子化项目的相关指南进行操作，详见广州公共资源交易中心网站发布的最新版操作指引。</w:t>
            </w:r>
            <w:r>
              <w:rPr>
                <w:rFonts w:hint="eastAsia" w:ascii="宋体" w:hAnsi="宋体" w:eastAsia="宋体" w:cs="宋体"/>
                <w:sz w:val="22"/>
                <w:szCs w:val="22"/>
                <w:u w:val="single"/>
              </w:rPr>
              <w:t>未按要求加密的投标文件，广州公共资源交易平台将予以拒收。</w:t>
            </w:r>
          </w:p>
        </w:tc>
      </w:tr>
      <w:tr w14:paraId="1E2C1D3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309568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4.1.2</w:t>
            </w:r>
          </w:p>
        </w:tc>
        <w:tc>
          <w:tcPr>
            <w:tcW w:w="1659" w:type="dxa"/>
            <w:tcBorders>
              <w:top w:val="single" w:color="auto" w:sz="6" w:space="0"/>
              <w:left w:val="single" w:color="auto" w:sz="6" w:space="0"/>
              <w:bottom w:val="single" w:color="auto" w:sz="6" w:space="0"/>
              <w:right w:val="single" w:color="auto" w:sz="6" w:space="0"/>
            </w:tcBorders>
            <w:vAlign w:val="center"/>
          </w:tcPr>
          <w:p w14:paraId="4404FB1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封套上应载明</w:t>
            </w:r>
          </w:p>
          <w:p w14:paraId="5CF886D7">
            <w:pPr>
              <w:pageBreakBefore w:val="0"/>
              <w:kinsoku/>
              <w:wordWrap/>
              <w:overflowPunct/>
              <w:autoSpaceDE/>
              <w:autoSpaceDN/>
              <w:bidi w:val="0"/>
              <w:snapToGrid w:val="0"/>
              <w:spacing w:line="360" w:lineRule="auto"/>
              <w:jc w:val="center"/>
              <w:rPr>
                <w:rFonts w:hint="eastAsia" w:ascii="宋体" w:hAnsi="宋体" w:eastAsia="宋体" w:cs="宋体"/>
                <w:sz w:val="22"/>
                <w:szCs w:val="22"/>
                <w:shd w:val="clear" w:color="auto" w:fill="D9D9D9"/>
              </w:rPr>
            </w:pPr>
            <w:r>
              <w:rPr>
                <w:rFonts w:hint="eastAsia" w:ascii="宋体" w:hAnsi="宋体" w:eastAsia="宋体" w:cs="宋体"/>
                <w:sz w:val="22"/>
                <w:szCs w:val="22"/>
              </w:rPr>
              <w:t>的信息</w:t>
            </w:r>
          </w:p>
        </w:tc>
        <w:tc>
          <w:tcPr>
            <w:tcW w:w="6789" w:type="dxa"/>
            <w:tcBorders>
              <w:top w:val="single" w:color="auto" w:sz="6" w:space="0"/>
              <w:left w:val="single" w:color="auto" w:sz="6" w:space="0"/>
              <w:bottom w:val="single" w:color="auto" w:sz="6" w:space="0"/>
              <w:right w:val="single" w:color="auto" w:sz="4" w:space="0"/>
            </w:tcBorders>
            <w:vAlign w:val="center"/>
          </w:tcPr>
          <w:p w14:paraId="11C4EF6A">
            <w:pPr>
              <w:pStyle w:val="8"/>
              <w:pageBreakBefore w:val="0"/>
              <w:kinsoku/>
              <w:wordWrap/>
              <w:overflowPunct/>
              <w:topLine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对递交的备用投标文件电子</w:t>
            </w:r>
            <w:r>
              <w:rPr>
                <w:rFonts w:hint="eastAsia" w:hAnsi="宋体" w:cs="宋体"/>
                <w:sz w:val="22"/>
                <w:szCs w:val="22"/>
                <w:lang w:eastAsia="zh-CN"/>
              </w:rPr>
              <w:t>光盘或U盘</w:t>
            </w:r>
            <w:r>
              <w:rPr>
                <w:rFonts w:hint="eastAsia" w:ascii="宋体" w:hAnsi="宋体" w:eastAsia="宋体" w:cs="宋体"/>
                <w:sz w:val="22"/>
                <w:szCs w:val="22"/>
              </w:rPr>
              <w:t>要求封装。</w:t>
            </w:r>
          </w:p>
          <w:p w14:paraId="6E015289">
            <w:pPr>
              <w:pStyle w:val="8"/>
              <w:pageBreakBefore w:val="0"/>
              <w:kinsoku/>
              <w:wordWrap/>
              <w:overflowPunct/>
              <w:topLine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 xml:space="preserve">招标人名称： </w:t>
            </w:r>
          </w:p>
          <w:p w14:paraId="16CFD2A1">
            <w:pPr>
              <w:pStyle w:val="8"/>
              <w:pageBreakBefore w:val="0"/>
              <w:kinsoku/>
              <w:wordWrap/>
              <w:overflowPunct/>
              <w:topLine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 xml:space="preserve">招标人地址： </w:t>
            </w:r>
          </w:p>
          <w:p w14:paraId="6AB3FD09">
            <w:pPr>
              <w:pStyle w:val="8"/>
              <w:pageBreakBefore w:val="0"/>
              <w:kinsoku/>
              <w:wordWrap/>
              <w:overflowPunct/>
              <w:topLine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sz w:val="22"/>
                <w:szCs w:val="22"/>
              </w:rPr>
              <w:t>投标文件</w:t>
            </w:r>
          </w:p>
          <w:p w14:paraId="64052A72">
            <w:pPr>
              <w:pStyle w:val="8"/>
              <w:pageBreakBefore w:val="0"/>
              <w:kinsoku/>
              <w:wordWrap/>
              <w:overflowPunct/>
              <w:topLine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招标项目编号：</w:t>
            </w:r>
          </w:p>
          <w:p w14:paraId="1290603C">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sz w:val="22"/>
                <w:szCs w:val="22"/>
              </w:rPr>
              <w:t>在</w:t>
            </w:r>
            <w:r>
              <w:rPr>
                <w:rFonts w:hint="eastAsia" w:ascii="宋体" w:hAnsi="宋体" w:eastAsia="宋体" w:cs="宋体"/>
                <w:sz w:val="22"/>
                <w:szCs w:val="22"/>
                <w:u w:val="single"/>
              </w:rPr>
              <w:t>202</w:t>
            </w:r>
            <w:r>
              <w:rPr>
                <w:rFonts w:hint="eastAsia" w:ascii="宋体" w:hAnsi="宋体" w:eastAsia="宋体" w:cs="宋体"/>
                <w:sz w:val="22"/>
                <w:szCs w:val="22"/>
                <w:u w:val="single"/>
                <w:lang w:val="en-US" w:eastAsia="zh-CN"/>
              </w:rPr>
              <w:t>4</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r>
              <w:rPr>
                <w:rFonts w:hint="eastAsia" w:ascii="宋体" w:hAnsi="宋体" w:eastAsia="宋体" w:cs="宋体"/>
                <w:sz w:val="22"/>
                <w:szCs w:val="22"/>
                <w:u w:val="single"/>
              </w:rPr>
              <w:t xml:space="preserve">  </w:t>
            </w:r>
            <w:r>
              <w:rPr>
                <w:rFonts w:hint="eastAsia" w:ascii="宋体" w:hAnsi="宋体" w:eastAsia="宋体" w:cs="宋体"/>
                <w:sz w:val="22"/>
                <w:szCs w:val="22"/>
              </w:rPr>
              <w:t>时</w:t>
            </w:r>
            <w:r>
              <w:rPr>
                <w:rFonts w:hint="eastAsia" w:ascii="宋体" w:hAnsi="宋体" w:eastAsia="宋体" w:cs="宋体"/>
                <w:sz w:val="22"/>
                <w:szCs w:val="22"/>
                <w:u w:val="single"/>
              </w:rPr>
              <w:t xml:space="preserve">  </w:t>
            </w:r>
            <w:r>
              <w:rPr>
                <w:rFonts w:hint="eastAsia" w:ascii="宋体" w:hAnsi="宋体" w:eastAsia="宋体" w:cs="宋体"/>
                <w:sz w:val="22"/>
                <w:szCs w:val="22"/>
              </w:rPr>
              <w:t>分前不得开启</w:t>
            </w:r>
          </w:p>
        </w:tc>
      </w:tr>
      <w:tr w14:paraId="21EED8B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AAD2A3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4.2.1</w:t>
            </w:r>
          </w:p>
        </w:tc>
        <w:tc>
          <w:tcPr>
            <w:tcW w:w="1659" w:type="dxa"/>
            <w:tcBorders>
              <w:top w:val="single" w:color="auto" w:sz="6" w:space="0"/>
              <w:left w:val="single" w:color="auto" w:sz="6" w:space="0"/>
              <w:bottom w:val="single" w:color="auto" w:sz="6" w:space="0"/>
              <w:right w:val="single" w:color="auto" w:sz="6" w:space="0"/>
            </w:tcBorders>
            <w:vAlign w:val="center"/>
          </w:tcPr>
          <w:p w14:paraId="46CCA994">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投标截止时间</w:t>
            </w:r>
          </w:p>
        </w:tc>
        <w:tc>
          <w:tcPr>
            <w:tcW w:w="6789" w:type="dxa"/>
            <w:tcBorders>
              <w:top w:val="single" w:color="auto" w:sz="6" w:space="0"/>
              <w:left w:val="single" w:color="auto" w:sz="6" w:space="0"/>
              <w:bottom w:val="single" w:color="auto" w:sz="6" w:space="0"/>
              <w:right w:val="single" w:color="auto" w:sz="4" w:space="0"/>
            </w:tcBorders>
            <w:vAlign w:val="center"/>
          </w:tcPr>
          <w:p w14:paraId="4305EDB8">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 xml:space="preserve"> 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年  月  日  时  分（北京时间）</w:t>
            </w:r>
          </w:p>
          <w:p w14:paraId="51AE047B">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u w:val="single"/>
              </w:rPr>
              <w:t>（详见广州公共资源交易中心网站信息）</w:t>
            </w:r>
          </w:p>
        </w:tc>
      </w:tr>
      <w:tr w14:paraId="165F4CB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45B7097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lang w:bidi="ar"/>
              </w:rPr>
              <w:t>4.2.2</w:t>
            </w:r>
          </w:p>
        </w:tc>
        <w:tc>
          <w:tcPr>
            <w:tcW w:w="1659" w:type="dxa"/>
            <w:tcBorders>
              <w:top w:val="single" w:color="auto" w:sz="6" w:space="0"/>
              <w:left w:val="single" w:color="auto" w:sz="6" w:space="0"/>
              <w:bottom w:val="single" w:color="auto" w:sz="6" w:space="0"/>
              <w:right w:val="single" w:color="auto" w:sz="6" w:space="0"/>
            </w:tcBorders>
            <w:vAlign w:val="center"/>
          </w:tcPr>
          <w:p w14:paraId="2101847C">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递交电子投标文件交易平台</w:t>
            </w:r>
          </w:p>
        </w:tc>
        <w:tc>
          <w:tcPr>
            <w:tcW w:w="6789" w:type="dxa"/>
            <w:tcBorders>
              <w:top w:val="single" w:color="auto" w:sz="6" w:space="0"/>
              <w:left w:val="single" w:color="auto" w:sz="6" w:space="0"/>
              <w:bottom w:val="single" w:color="auto" w:sz="6" w:space="0"/>
              <w:right w:val="single" w:color="auto" w:sz="4" w:space="0"/>
            </w:tcBorders>
            <w:vAlign w:val="center"/>
          </w:tcPr>
          <w:p w14:paraId="30A85958">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1.递交方式：网上递交投标文件</w:t>
            </w:r>
          </w:p>
          <w:p w14:paraId="66783602">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2.递交投标文件的起始时间：（详见广州公共资源交易中心网站信息）。</w:t>
            </w:r>
          </w:p>
          <w:p w14:paraId="74FF6780">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截止时间：（详见广州公共资源交易中心网站信息）</w:t>
            </w:r>
          </w:p>
          <w:p w14:paraId="364B76B6">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3.地点：广州公共资源交易中心网站。</w:t>
            </w:r>
          </w:p>
          <w:p w14:paraId="0F672204">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rPr>
              <w:t>4.上述时间及地点是否有改变，请密切留意招标答疑中的相关信息。也可登录广州公共资源交易中心网站首页，点击“服务指南”专栏中的“交易活动安排”，输入项目编号或项目名称查询最新信息。</w:t>
            </w:r>
          </w:p>
        </w:tc>
      </w:tr>
      <w:tr w14:paraId="3A7CFCB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FAF972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4.2.3</w:t>
            </w:r>
          </w:p>
        </w:tc>
        <w:tc>
          <w:tcPr>
            <w:tcW w:w="1659" w:type="dxa"/>
            <w:tcBorders>
              <w:top w:val="single" w:color="auto" w:sz="6" w:space="0"/>
              <w:left w:val="single" w:color="auto" w:sz="6" w:space="0"/>
              <w:bottom w:val="single" w:color="auto" w:sz="6" w:space="0"/>
              <w:right w:val="single" w:color="auto" w:sz="6" w:space="0"/>
            </w:tcBorders>
            <w:vAlign w:val="center"/>
          </w:tcPr>
          <w:p w14:paraId="062AAE4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投标文件是否退还</w:t>
            </w:r>
          </w:p>
        </w:tc>
        <w:tc>
          <w:tcPr>
            <w:tcW w:w="6789" w:type="dxa"/>
            <w:tcBorders>
              <w:top w:val="single" w:color="auto" w:sz="6" w:space="0"/>
              <w:left w:val="single" w:color="auto" w:sz="6" w:space="0"/>
              <w:bottom w:val="single" w:color="auto" w:sz="6" w:space="0"/>
              <w:right w:val="single" w:color="auto" w:sz="4" w:space="0"/>
            </w:tcBorders>
            <w:vAlign w:val="center"/>
          </w:tcPr>
          <w:p w14:paraId="4F1E704A">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spacing w:val="-1"/>
                <w:kern w:val="2"/>
                <w:sz w:val="22"/>
                <w:szCs w:val="22"/>
              </w:rPr>
              <w:t>■</w:t>
            </w:r>
            <w:r>
              <w:rPr>
                <w:rFonts w:hint="eastAsia" w:ascii="宋体" w:hAnsi="宋体" w:eastAsia="宋体" w:cs="宋体"/>
                <w:kern w:val="2"/>
                <w:sz w:val="22"/>
                <w:szCs w:val="22"/>
              </w:rPr>
              <w:t>否</w:t>
            </w:r>
          </w:p>
          <w:p w14:paraId="42ED91BB">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kern w:val="2"/>
                <w:sz w:val="22"/>
                <w:szCs w:val="22"/>
              </w:rPr>
              <w:t>□是，退还时间：</w:t>
            </w:r>
          </w:p>
        </w:tc>
      </w:tr>
      <w:tr w14:paraId="348E0E5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52443C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5.1</w:t>
            </w:r>
          </w:p>
        </w:tc>
        <w:tc>
          <w:tcPr>
            <w:tcW w:w="1659" w:type="dxa"/>
            <w:tcBorders>
              <w:top w:val="single" w:color="auto" w:sz="6" w:space="0"/>
              <w:left w:val="single" w:color="auto" w:sz="6" w:space="0"/>
              <w:bottom w:val="single" w:color="auto" w:sz="6" w:space="0"/>
              <w:right w:val="single" w:color="auto" w:sz="6" w:space="0"/>
            </w:tcBorders>
            <w:vAlign w:val="center"/>
          </w:tcPr>
          <w:p w14:paraId="1ED70A0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开标时间和地点</w:t>
            </w:r>
          </w:p>
        </w:tc>
        <w:tc>
          <w:tcPr>
            <w:tcW w:w="6789" w:type="dxa"/>
            <w:tcBorders>
              <w:top w:val="single" w:color="auto" w:sz="6" w:space="0"/>
              <w:left w:val="single" w:color="auto" w:sz="6" w:space="0"/>
              <w:bottom w:val="single" w:color="auto" w:sz="6" w:space="0"/>
              <w:right w:val="single" w:color="auto" w:sz="4" w:space="0"/>
            </w:tcBorders>
            <w:vAlign w:val="center"/>
          </w:tcPr>
          <w:p w14:paraId="732FEB17">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开标时间：同投标截止时间</w:t>
            </w:r>
          </w:p>
          <w:p w14:paraId="156F9173">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rPr>
              <w:t>开标地点：广州公共资源交易中心</w:t>
            </w:r>
            <w:r>
              <w:rPr>
                <w:rFonts w:hint="eastAsia" w:ascii="宋体" w:hAnsi="宋体" w:eastAsia="宋体" w:cs="宋体"/>
                <w:sz w:val="22"/>
                <w:szCs w:val="22"/>
                <w:highlight w:val="none"/>
                <w:u w:val="single"/>
              </w:rPr>
              <w:t>从化交易部第   开标室（广州市从化区江埔街从化大道南海塱横街53号5栋9层（欣荣宏大厦9层））</w:t>
            </w:r>
            <w:r>
              <w:rPr>
                <w:rFonts w:hint="eastAsia" w:ascii="宋体" w:hAnsi="宋体" w:eastAsia="宋体" w:cs="宋体"/>
                <w:sz w:val="22"/>
                <w:szCs w:val="22"/>
              </w:rPr>
              <w:t>（</w:t>
            </w:r>
            <w:r>
              <w:rPr>
                <w:rFonts w:hint="eastAsia" w:ascii="宋体" w:hAnsi="宋体" w:eastAsia="宋体" w:cs="宋体"/>
                <w:sz w:val="22"/>
                <w:szCs w:val="22"/>
                <w:u w:val="single"/>
              </w:rPr>
              <w:t>详见广州公共资源交易中心网站信息），并邀请所有投标人的法定代表人或其委托代理人准时参加。</w:t>
            </w:r>
            <w:r>
              <w:rPr>
                <w:rFonts w:hint="eastAsia" w:ascii="宋体" w:hAnsi="宋体" w:eastAsia="宋体" w:cs="宋体"/>
                <w:sz w:val="22"/>
                <w:szCs w:val="22"/>
              </w:rPr>
              <w:t>开标时，投标人代表有权出席开标会，也可以自主决定不参加开标会，若投标人代表对开标过程提出异议，该投标人代表须同时出示本人身份证原件。</w:t>
            </w:r>
          </w:p>
        </w:tc>
      </w:tr>
      <w:tr w14:paraId="3623680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46ECAE41">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5.2</w:t>
            </w:r>
          </w:p>
          <w:p w14:paraId="36CA5527">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p>
        </w:tc>
        <w:tc>
          <w:tcPr>
            <w:tcW w:w="1659" w:type="dxa"/>
            <w:tcBorders>
              <w:top w:val="single" w:color="auto" w:sz="6" w:space="0"/>
              <w:left w:val="single" w:color="auto" w:sz="6" w:space="0"/>
              <w:bottom w:val="single" w:color="auto" w:sz="6" w:space="0"/>
              <w:right w:val="single" w:color="auto" w:sz="6" w:space="0"/>
            </w:tcBorders>
            <w:vAlign w:val="center"/>
          </w:tcPr>
          <w:p w14:paraId="70C0803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开标程序</w:t>
            </w:r>
          </w:p>
        </w:tc>
        <w:tc>
          <w:tcPr>
            <w:tcW w:w="6789" w:type="dxa"/>
            <w:tcBorders>
              <w:top w:val="single" w:color="auto" w:sz="6" w:space="0"/>
              <w:left w:val="single" w:color="auto" w:sz="6" w:space="0"/>
              <w:bottom w:val="single" w:color="auto" w:sz="6" w:space="0"/>
              <w:right w:val="single" w:color="auto" w:sz="4" w:space="0"/>
            </w:tcBorders>
            <w:vAlign w:val="center"/>
          </w:tcPr>
          <w:p w14:paraId="50472408">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电子招投标项目开标按下列程序进行：</w:t>
            </w:r>
          </w:p>
          <w:p w14:paraId="04EAAABD">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5.2.1主持人按下列程序进行开标：</w:t>
            </w:r>
          </w:p>
          <w:p w14:paraId="3A7D17A8">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（1）宣布开标纪律；</w:t>
            </w:r>
          </w:p>
          <w:p w14:paraId="505860E8">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（2）公布在投标截止时间前递交投标文件的投标人名称；</w:t>
            </w:r>
          </w:p>
          <w:p w14:paraId="4095E393">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（3）宣布开标人、唱标人、记录人、监标人等有关人员姓名；</w:t>
            </w:r>
          </w:p>
          <w:p w14:paraId="61B735AC">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（4）投标人通过电子招标投标交易平台对已递交的电子投标文件进行解密，公布招标项目名称、投标人名称、投标报价、</w:t>
            </w:r>
            <w:r>
              <w:rPr>
                <w:rFonts w:hint="eastAsia" w:ascii="宋体" w:hAnsi="宋体" w:eastAsia="宋体" w:cs="宋体"/>
                <w:sz w:val="22"/>
                <w:szCs w:val="22"/>
                <w:u w:val="single"/>
                <w:lang w:eastAsia="zh-CN"/>
              </w:rPr>
              <w:t>服务期限</w:t>
            </w:r>
            <w:r>
              <w:rPr>
                <w:rFonts w:hint="eastAsia" w:ascii="宋体" w:hAnsi="宋体" w:eastAsia="宋体" w:cs="宋体"/>
                <w:sz w:val="22"/>
                <w:szCs w:val="22"/>
                <w:u w:val="single"/>
              </w:rPr>
              <w:t>及其他内容，并记录在案；</w:t>
            </w:r>
          </w:p>
          <w:p w14:paraId="57F00C01">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5</w:t>
            </w:r>
            <w:r>
              <w:rPr>
                <w:rFonts w:hint="eastAsia" w:ascii="宋体" w:hAnsi="宋体" w:eastAsia="宋体" w:cs="宋体"/>
                <w:sz w:val="22"/>
                <w:szCs w:val="22"/>
                <w:u w:val="single"/>
              </w:rPr>
              <w:t>）开标结束。</w:t>
            </w:r>
          </w:p>
          <w:p w14:paraId="333B2F99">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5.2.2投标截止时间前未完成投标文件传输的或因投标人之外的原因造成投标文件未解密的或未在投标截止时间后半小时解密的，视为投标人其撤回投标文件。因投标人原因造成投标文件未解密的，或因投标人之外原因解密失败且未递交电子</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或递交的电子</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不能读取的，视为撤销其投标文件。</w:t>
            </w:r>
          </w:p>
          <w:p w14:paraId="3520ABFA">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5.2.3开标时，两个（含两个）以上的投标人加密打包投标文件电脑机器特征码一致的，不参与下一程序，并由评标委员会否决其投标。</w:t>
            </w:r>
          </w:p>
        </w:tc>
      </w:tr>
      <w:tr w14:paraId="1CA601A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E50139E">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color w:val="auto"/>
                <w:sz w:val="22"/>
                <w:szCs w:val="22"/>
                <w:highlight w:val="none"/>
                <w:u w:val="none"/>
              </w:rPr>
              <w:t>5.3</w:t>
            </w:r>
          </w:p>
        </w:tc>
        <w:tc>
          <w:tcPr>
            <w:tcW w:w="1659" w:type="dxa"/>
            <w:tcBorders>
              <w:top w:val="single" w:color="auto" w:sz="6" w:space="0"/>
              <w:left w:val="single" w:color="auto" w:sz="6" w:space="0"/>
              <w:bottom w:val="single" w:color="auto" w:sz="6" w:space="0"/>
              <w:right w:val="single" w:color="auto" w:sz="6" w:space="0"/>
            </w:tcBorders>
            <w:vAlign w:val="center"/>
          </w:tcPr>
          <w:p w14:paraId="1745D64B">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color w:val="auto"/>
                <w:sz w:val="22"/>
                <w:szCs w:val="22"/>
                <w:highlight w:val="none"/>
                <w:u w:val="single"/>
              </w:rPr>
              <w:t>开标异议</w:t>
            </w:r>
          </w:p>
        </w:tc>
        <w:tc>
          <w:tcPr>
            <w:tcW w:w="6789" w:type="dxa"/>
            <w:tcBorders>
              <w:top w:val="single" w:color="auto" w:sz="6" w:space="0"/>
              <w:left w:val="single" w:color="auto" w:sz="6" w:space="0"/>
              <w:bottom w:val="single" w:color="auto" w:sz="6" w:space="0"/>
              <w:right w:val="single" w:color="auto" w:sz="4" w:space="0"/>
            </w:tcBorders>
            <w:vAlign w:val="center"/>
          </w:tcPr>
          <w:p w14:paraId="2A268D44">
            <w:pPr>
              <w:pageBreakBefore w:val="0"/>
              <w:kinsoku/>
              <w:wordWrap/>
              <w:overflowPunct/>
              <w:autoSpaceDE/>
              <w:autoSpaceDN/>
              <w:bidi w:val="0"/>
              <w:snapToGrid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5.3.1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6084F0D2">
            <w:pPr>
              <w:pageBreakBefore w:val="0"/>
              <w:kinsoku/>
              <w:wordWrap/>
              <w:overflowPunct/>
              <w:autoSpaceDE/>
              <w:autoSpaceDN/>
              <w:bidi w:val="0"/>
              <w:snapToGrid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5.3.2参加现场开标的投标人对开标结果有异议的，应当在开标现场提出，该投标人代表须同时出示本人身份证原件，招标人当场作出答复，并制作记录。</w:t>
            </w:r>
          </w:p>
          <w:p w14:paraId="2C2466AC">
            <w:pPr>
              <w:pageBreakBefore w:val="0"/>
              <w:kinsoku/>
              <w:wordWrap/>
              <w:overflowPunct/>
              <w:autoSpaceDE/>
              <w:autoSpaceDN/>
              <w:bidi w:val="0"/>
              <w:snapToGrid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5.3.3参加在线开标的投标人对开标结果有异议的，应当使用单位数字证书登录交易平台后通过交易平台提出。招标人授权招标代理机构工作人员使用招标代理机构数字证书登录交易平台答复异议，异议答复是招标人真实意思表示。未答复的，开标程序不得结束，投标人若无异议，点击“我没有异议了”按钮即可。</w:t>
            </w:r>
          </w:p>
          <w:p w14:paraId="1C754790">
            <w:pPr>
              <w:pageBreakBefore w:val="0"/>
              <w:kinsoku/>
              <w:wordWrap/>
              <w:overflowPunct/>
              <w:autoSpaceDE/>
              <w:autoSpaceDN/>
              <w:bidi w:val="0"/>
              <w:snapToGrid w:val="0"/>
              <w:spacing w:line="360" w:lineRule="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5.3.4投标人未参加开标或在规定的时间内未提出异议的，视为对开标无异议。</w:t>
            </w:r>
          </w:p>
          <w:p w14:paraId="2D524A1A">
            <w:pPr>
              <w:pStyle w:val="4"/>
              <w:rPr>
                <w:rFonts w:hint="eastAsia"/>
              </w:rPr>
            </w:pPr>
          </w:p>
        </w:tc>
      </w:tr>
      <w:tr w14:paraId="5C4D1FF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D074DD6">
            <w:pPr>
              <w:pageBreakBefore w:val="0"/>
              <w:kinsoku/>
              <w:wordWrap/>
              <w:overflowPunct/>
              <w:autoSpaceDE/>
              <w:autoSpaceDN/>
              <w:bidi w:val="0"/>
              <w:snapToGrid w:val="0"/>
              <w:spacing w:line="36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6.1.1</w:t>
            </w:r>
          </w:p>
        </w:tc>
        <w:tc>
          <w:tcPr>
            <w:tcW w:w="1659" w:type="dxa"/>
            <w:tcBorders>
              <w:top w:val="single" w:color="auto" w:sz="6" w:space="0"/>
              <w:left w:val="single" w:color="auto" w:sz="6" w:space="0"/>
              <w:bottom w:val="single" w:color="auto" w:sz="6" w:space="0"/>
              <w:right w:val="single" w:color="auto" w:sz="6" w:space="0"/>
            </w:tcBorders>
            <w:vAlign w:val="center"/>
          </w:tcPr>
          <w:p w14:paraId="6450A5BB">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评标委员会的组建</w:t>
            </w:r>
          </w:p>
        </w:tc>
        <w:tc>
          <w:tcPr>
            <w:tcW w:w="6789" w:type="dxa"/>
            <w:tcBorders>
              <w:top w:val="single" w:color="auto" w:sz="6" w:space="0"/>
              <w:left w:val="single" w:color="auto" w:sz="6" w:space="0"/>
              <w:bottom w:val="single" w:color="auto" w:sz="6" w:space="0"/>
              <w:right w:val="single" w:color="auto" w:sz="4" w:space="0"/>
            </w:tcBorders>
            <w:vAlign w:val="center"/>
          </w:tcPr>
          <w:p w14:paraId="5100F245">
            <w:pPr>
              <w:pageBreakBefore w:val="0"/>
              <w:kinsoku/>
              <w:wordWrap/>
              <w:overflowPunct/>
              <w:autoSpaceDE/>
              <w:autoSpaceDN/>
              <w:bidi w:val="0"/>
              <w:snapToGrid w:val="0"/>
              <w:spacing w:line="360" w:lineRule="auto"/>
              <w:ind w:left="34" w:right="108"/>
              <w:rPr>
                <w:rFonts w:hint="eastAsia" w:ascii="宋体" w:hAnsi="宋体" w:eastAsia="宋体" w:cs="宋体"/>
                <w:bCs/>
                <w:color w:val="auto"/>
                <w:sz w:val="22"/>
                <w:szCs w:val="22"/>
                <w:u w:val="single"/>
              </w:rPr>
            </w:pPr>
            <w:r>
              <w:rPr>
                <w:rFonts w:hint="eastAsia" w:ascii="宋体" w:hAnsi="宋体" w:eastAsia="宋体" w:cs="宋体"/>
                <w:bCs/>
                <w:color w:val="auto"/>
                <w:sz w:val="22"/>
                <w:szCs w:val="22"/>
                <w:u w:val="single"/>
              </w:rPr>
              <w:t>评标委员会构成：5人。</w:t>
            </w:r>
          </w:p>
          <w:p w14:paraId="5DDC18E8">
            <w:pPr>
              <w:pageBreakBefore w:val="0"/>
              <w:kinsoku/>
              <w:wordWrap/>
              <w:overflowPunct/>
              <w:autoSpaceDE/>
              <w:autoSpaceDN/>
              <w:bidi w:val="0"/>
              <w:snapToGrid w:val="0"/>
              <w:spacing w:line="360" w:lineRule="auto"/>
              <w:ind w:left="34" w:right="108"/>
              <w:rPr>
                <w:rFonts w:hint="eastAsia" w:ascii="宋体" w:hAnsi="宋体" w:eastAsia="宋体" w:cs="宋体"/>
                <w:bCs/>
                <w:color w:val="auto"/>
                <w:sz w:val="22"/>
                <w:szCs w:val="22"/>
                <w:u w:val="single"/>
              </w:rPr>
            </w:pPr>
            <w:r>
              <w:rPr>
                <w:rFonts w:hint="eastAsia" w:ascii="宋体" w:hAnsi="宋体" w:eastAsia="宋体" w:cs="宋体"/>
                <w:bCs/>
                <w:color w:val="auto"/>
                <w:sz w:val="22"/>
                <w:szCs w:val="22"/>
                <w:u w:val="single"/>
              </w:rPr>
              <w:t>其中招标人代表</w:t>
            </w:r>
            <w:r>
              <w:rPr>
                <w:rFonts w:hint="eastAsia" w:ascii="宋体" w:hAnsi="宋体" w:cs="宋体"/>
                <w:bCs/>
                <w:color w:val="auto"/>
                <w:sz w:val="22"/>
                <w:szCs w:val="22"/>
                <w:u w:val="single"/>
                <w:lang w:val="en-US" w:eastAsia="zh-CN"/>
              </w:rPr>
              <w:t>0</w:t>
            </w:r>
            <w:r>
              <w:rPr>
                <w:rFonts w:hint="eastAsia" w:ascii="宋体" w:hAnsi="宋体" w:eastAsia="宋体" w:cs="宋体"/>
                <w:bCs/>
                <w:color w:val="auto"/>
                <w:sz w:val="22"/>
                <w:szCs w:val="22"/>
                <w:u w:val="single"/>
              </w:rPr>
              <w:t>人，专家</w:t>
            </w:r>
            <w:r>
              <w:rPr>
                <w:rFonts w:hint="eastAsia" w:ascii="宋体" w:hAnsi="宋体" w:cs="宋体"/>
                <w:bCs/>
                <w:color w:val="auto"/>
                <w:sz w:val="22"/>
                <w:szCs w:val="22"/>
                <w:u w:val="single"/>
                <w:lang w:val="en-US" w:eastAsia="zh-CN"/>
              </w:rPr>
              <w:t>5</w:t>
            </w:r>
            <w:r>
              <w:rPr>
                <w:rFonts w:hint="eastAsia" w:ascii="宋体" w:hAnsi="宋体" w:eastAsia="宋体" w:cs="宋体"/>
                <w:bCs/>
                <w:color w:val="auto"/>
                <w:sz w:val="22"/>
                <w:szCs w:val="22"/>
                <w:u w:val="single"/>
              </w:rPr>
              <w:t>人</w:t>
            </w:r>
          </w:p>
          <w:p w14:paraId="59989065">
            <w:pPr>
              <w:spacing w:line="360" w:lineRule="auto"/>
              <w:rPr>
                <w:rFonts w:hint="eastAsia" w:ascii="宋体" w:hAnsi="宋体" w:eastAsia="宋体" w:cs="宋体"/>
                <w:sz w:val="22"/>
                <w:szCs w:val="22"/>
                <w:u w:val="single"/>
              </w:rPr>
            </w:pPr>
            <w:r>
              <w:rPr>
                <w:rFonts w:hint="eastAsia" w:ascii="宋体" w:hAnsi="宋体" w:cs="宋体"/>
                <w:color w:val="auto"/>
                <w:sz w:val="22"/>
                <w:szCs w:val="22"/>
                <w:u w:val="none"/>
                <w:lang w:eastAsia="zh-CN"/>
              </w:rPr>
              <w:t>（</w:t>
            </w:r>
            <w:r>
              <w:rPr>
                <w:rFonts w:hint="eastAsia" w:ascii="宋体" w:hAnsi="宋体" w:cs="宋体"/>
                <w:color w:val="auto"/>
                <w:sz w:val="22"/>
                <w:szCs w:val="22"/>
                <w:u w:val="none"/>
                <w:lang w:val="en-US" w:eastAsia="zh-CN"/>
              </w:rPr>
              <w:t>5名专家</w:t>
            </w:r>
            <w:r>
              <w:rPr>
                <w:rFonts w:hint="eastAsia" w:ascii="宋体" w:hAnsi="宋体"/>
                <w:color w:val="auto"/>
                <w:sz w:val="22"/>
                <w:szCs w:val="22"/>
                <w:u w:val="none"/>
              </w:rPr>
              <w:t>确定方式：</w:t>
            </w:r>
            <w:r>
              <w:rPr>
                <w:rFonts w:hint="eastAsia" w:ascii="宋体" w:hAnsi="宋体" w:cs="宋体"/>
                <w:color w:val="auto"/>
                <w:sz w:val="22"/>
                <w:szCs w:val="22"/>
                <w:highlight w:val="none"/>
                <w:u w:val="none"/>
              </w:rPr>
              <w:t>由广东省综合评标评审专家库中随机抽取</w:t>
            </w:r>
            <w:r>
              <w:rPr>
                <w:rFonts w:hint="eastAsia" w:ascii="宋体" w:hAnsi="宋体" w:cs="宋体"/>
                <w:color w:val="auto"/>
                <w:sz w:val="22"/>
                <w:szCs w:val="22"/>
                <w:highlight w:val="none"/>
                <w:u w:val="none"/>
                <w:lang w:eastAsia="zh-CN"/>
              </w:rPr>
              <w:t>）</w:t>
            </w:r>
            <w:r>
              <w:rPr>
                <w:rFonts w:hint="eastAsia" w:ascii="宋体" w:hAnsi="宋体" w:cs="宋体"/>
                <w:color w:val="auto"/>
                <w:sz w:val="22"/>
                <w:szCs w:val="22"/>
                <w:highlight w:val="none"/>
                <w:u w:val="none"/>
              </w:rPr>
              <w:t>。</w:t>
            </w:r>
          </w:p>
        </w:tc>
      </w:tr>
      <w:tr w14:paraId="7555467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4E83E94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6.3.2</w:t>
            </w:r>
          </w:p>
        </w:tc>
        <w:tc>
          <w:tcPr>
            <w:tcW w:w="1659" w:type="dxa"/>
            <w:tcBorders>
              <w:top w:val="single" w:color="auto" w:sz="6" w:space="0"/>
              <w:left w:val="single" w:color="auto" w:sz="6" w:space="0"/>
              <w:bottom w:val="single" w:color="auto" w:sz="6" w:space="0"/>
              <w:right w:val="single" w:color="auto" w:sz="6" w:space="0"/>
            </w:tcBorders>
            <w:vAlign w:val="center"/>
          </w:tcPr>
          <w:p w14:paraId="0A1B416C">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评标委员会推荐中标候选人的人数</w:t>
            </w:r>
          </w:p>
        </w:tc>
        <w:tc>
          <w:tcPr>
            <w:tcW w:w="6789" w:type="dxa"/>
            <w:tcBorders>
              <w:top w:val="single" w:color="auto" w:sz="6" w:space="0"/>
              <w:left w:val="single" w:color="auto" w:sz="6" w:space="0"/>
              <w:bottom w:val="single" w:color="auto" w:sz="6" w:space="0"/>
              <w:right w:val="single" w:color="auto" w:sz="4" w:space="0"/>
            </w:tcBorders>
            <w:vAlign w:val="center"/>
          </w:tcPr>
          <w:p w14:paraId="108ECE0D">
            <w:pPr>
              <w:pageBreakBefore w:val="0"/>
              <w:kinsoku/>
              <w:wordWrap/>
              <w:overflowPunct/>
              <w:autoSpaceDE/>
              <w:autoSpaceDN/>
              <w:bidi w:val="0"/>
              <w:snapToGrid w:val="0"/>
              <w:spacing w:line="360" w:lineRule="auto"/>
              <w:rPr>
                <w:rFonts w:hint="eastAsia" w:ascii="宋体" w:hAnsi="宋体" w:eastAsia="宋体" w:cs="宋体"/>
                <w:sz w:val="22"/>
                <w:szCs w:val="22"/>
                <w:u w:val="single"/>
              </w:rPr>
            </w:pPr>
            <w:r>
              <w:rPr>
                <w:rFonts w:hint="eastAsia" w:ascii="宋体" w:hAnsi="宋体" w:eastAsia="宋体" w:cs="宋体"/>
                <w:sz w:val="22"/>
                <w:szCs w:val="22"/>
              </w:rPr>
              <w:t>推荐中标候选人：</w:t>
            </w:r>
            <w:r>
              <w:rPr>
                <w:rFonts w:hint="eastAsia" w:ascii="宋体" w:hAnsi="宋体" w:eastAsia="宋体" w:cs="宋体"/>
                <w:sz w:val="22"/>
                <w:szCs w:val="22"/>
                <w:u w:val="single"/>
              </w:rPr>
              <w:t>3名</w:t>
            </w:r>
          </w:p>
        </w:tc>
      </w:tr>
      <w:tr w14:paraId="1FE211D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8F15937">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7.1</w:t>
            </w:r>
          </w:p>
        </w:tc>
        <w:tc>
          <w:tcPr>
            <w:tcW w:w="1659" w:type="dxa"/>
            <w:tcBorders>
              <w:top w:val="single" w:color="auto" w:sz="6" w:space="0"/>
              <w:left w:val="single" w:color="auto" w:sz="6" w:space="0"/>
              <w:bottom w:val="single" w:color="auto" w:sz="6" w:space="0"/>
              <w:right w:val="single" w:color="auto" w:sz="6" w:space="0"/>
            </w:tcBorders>
            <w:vAlign w:val="center"/>
          </w:tcPr>
          <w:p w14:paraId="74400038">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中标候选人公示媒介及期限</w:t>
            </w:r>
          </w:p>
        </w:tc>
        <w:tc>
          <w:tcPr>
            <w:tcW w:w="6789" w:type="dxa"/>
            <w:tcBorders>
              <w:top w:val="single" w:color="auto" w:sz="6" w:space="0"/>
              <w:left w:val="single" w:color="auto" w:sz="6" w:space="0"/>
              <w:bottom w:val="single" w:color="auto" w:sz="6" w:space="0"/>
              <w:right w:val="single" w:color="auto" w:sz="4" w:space="0"/>
            </w:tcBorders>
            <w:vAlign w:val="center"/>
          </w:tcPr>
          <w:p w14:paraId="36FF8CBB">
            <w:pPr>
              <w:pageBreakBefore w:val="0"/>
              <w:kinsoku/>
              <w:wordWrap/>
              <w:overflowPunct/>
              <w:autoSpaceDE/>
              <w:autoSpaceDN/>
              <w:bidi w:val="0"/>
              <w:snapToGrid w:val="0"/>
              <w:spacing w:line="360" w:lineRule="auto"/>
              <w:ind w:left="34" w:right="108"/>
              <w:rPr>
                <w:rFonts w:hint="eastAsia" w:ascii="宋体" w:hAnsi="宋体" w:eastAsia="宋体" w:cs="宋体"/>
                <w:sz w:val="22"/>
                <w:szCs w:val="22"/>
                <w:u w:val="single"/>
              </w:rPr>
            </w:pPr>
            <w:r>
              <w:rPr>
                <w:rFonts w:hint="eastAsia" w:ascii="宋体" w:hAnsi="宋体" w:eastAsia="宋体" w:cs="宋体"/>
                <w:sz w:val="22"/>
                <w:szCs w:val="22"/>
              </w:rPr>
              <w:t>公示媒介：</w:t>
            </w:r>
            <w:r>
              <w:rPr>
                <w:rFonts w:hint="eastAsia" w:ascii="宋体" w:hAnsi="宋体" w:eastAsia="宋体" w:cs="宋体"/>
                <w:bCs/>
                <w:sz w:val="22"/>
                <w:szCs w:val="22"/>
                <w:u w:val="single"/>
              </w:rPr>
              <w:t>中国招标投标公共服务平台、广东省招标投标监管网、广州公共资源交易中心网</w:t>
            </w:r>
          </w:p>
          <w:p w14:paraId="57C41410">
            <w:pPr>
              <w:pageBreakBefore w:val="0"/>
              <w:kinsoku/>
              <w:wordWrap/>
              <w:overflowPunct/>
              <w:autoSpaceDE/>
              <w:autoSpaceDN/>
              <w:bidi w:val="0"/>
              <w:snapToGrid w:val="0"/>
              <w:spacing w:line="360" w:lineRule="auto"/>
              <w:ind w:left="34" w:right="106"/>
              <w:rPr>
                <w:rFonts w:hint="eastAsia" w:ascii="宋体" w:hAnsi="宋体" w:eastAsia="宋体" w:cs="宋体"/>
                <w:sz w:val="22"/>
                <w:szCs w:val="22"/>
              </w:rPr>
            </w:pPr>
            <w:r>
              <w:rPr>
                <w:rFonts w:hint="eastAsia" w:ascii="宋体" w:hAnsi="宋体" w:eastAsia="宋体" w:cs="宋体"/>
                <w:sz w:val="22"/>
                <w:szCs w:val="22"/>
              </w:rPr>
              <w:t>公示期限：</w:t>
            </w:r>
            <w:r>
              <w:rPr>
                <w:rFonts w:hint="eastAsia" w:ascii="宋体" w:hAnsi="宋体" w:eastAsia="宋体" w:cs="宋体"/>
                <w:sz w:val="22"/>
                <w:szCs w:val="22"/>
                <w:u w:val="single"/>
              </w:rPr>
              <w:t>3</w:t>
            </w:r>
            <w:r>
              <w:rPr>
                <w:rFonts w:hint="eastAsia" w:ascii="宋体" w:hAnsi="宋体" w:eastAsia="宋体" w:cs="宋体"/>
                <w:sz w:val="22"/>
                <w:szCs w:val="22"/>
              </w:rPr>
              <w:t>日</w:t>
            </w:r>
          </w:p>
        </w:tc>
      </w:tr>
      <w:tr w14:paraId="5F28524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0214351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7.4</w:t>
            </w:r>
          </w:p>
        </w:tc>
        <w:tc>
          <w:tcPr>
            <w:tcW w:w="1659" w:type="dxa"/>
            <w:tcBorders>
              <w:top w:val="single" w:color="auto" w:sz="6" w:space="0"/>
              <w:left w:val="single" w:color="auto" w:sz="6" w:space="0"/>
              <w:bottom w:val="single" w:color="auto" w:sz="6" w:space="0"/>
              <w:right w:val="single" w:color="auto" w:sz="6" w:space="0"/>
            </w:tcBorders>
            <w:vAlign w:val="center"/>
          </w:tcPr>
          <w:p w14:paraId="6FA55BD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是否授权评标委员会确定中标人</w:t>
            </w:r>
          </w:p>
        </w:tc>
        <w:tc>
          <w:tcPr>
            <w:tcW w:w="6789" w:type="dxa"/>
            <w:tcBorders>
              <w:top w:val="single" w:color="auto" w:sz="6" w:space="0"/>
              <w:left w:val="single" w:color="auto" w:sz="6" w:space="0"/>
              <w:bottom w:val="single" w:color="auto" w:sz="6" w:space="0"/>
              <w:right w:val="single" w:color="auto" w:sz="4" w:space="0"/>
            </w:tcBorders>
            <w:vAlign w:val="center"/>
          </w:tcPr>
          <w:p w14:paraId="0A2AB863">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是</w:t>
            </w:r>
          </w:p>
          <w:p w14:paraId="4457D5A5">
            <w:pPr>
              <w:pageBreakBefore w:val="0"/>
              <w:kinsoku/>
              <w:wordWrap/>
              <w:overflowPunct/>
              <w:autoSpaceDE/>
              <w:autoSpaceDN/>
              <w:bidi w:val="0"/>
              <w:snapToGrid w:val="0"/>
              <w:spacing w:line="360" w:lineRule="auto"/>
              <w:rPr>
                <w:rFonts w:hint="eastAsia" w:ascii="宋体" w:hAnsi="宋体" w:eastAsia="宋体" w:cs="宋体"/>
                <w:sz w:val="22"/>
                <w:szCs w:val="22"/>
              </w:rPr>
            </w:pPr>
            <w:r>
              <w:rPr>
                <w:rFonts w:hint="eastAsia" w:ascii="宋体" w:hAnsi="宋体" w:eastAsia="宋体" w:cs="宋体"/>
                <w:spacing w:val="-1"/>
                <w:sz w:val="22"/>
                <w:szCs w:val="22"/>
              </w:rPr>
              <w:t>■</w:t>
            </w:r>
            <w:r>
              <w:rPr>
                <w:rFonts w:hint="eastAsia" w:ascii="宋体" w:hAnsi="宋体" w:eastAsia="宋体" w:cs="宋体"/>
                <w:sz w:val="22"/>
                <w:szCs w:val="22"/>
              </w:rPr>
              <w:t>否</w:t>
            </w:r>
          </w:p>
        </w:tc>
      </w:tr>
      <w:tr w14:paraId="78AE566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3D6FFDB2">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7.6.1</w:t>
            </w:r>
          </w:p>
        </w:tc>
        <w:tc>
          <w:tcPr>
            <w:tcW w:w="1659" w:type="dxa"/>
            <w:tcBorders>
              <w:top w:val="single" w:color="auto" w:sz="6" w:space="0"/>
              <w:left w:val="single" w:color="auto" w:sz="6" w:space="0"/>
              <w:bottom w:val="single" w:color="auto" w:sz="6" w:space="0"/>
              <w:right w:val="single" w:color="auto" w:sz="6" w:space="0"/>
            </w:tcBorders>
            <w:vAlign w:val="center"/>
          </w:tcPr>
          <w:p w14:paraId="09FE4B43">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履约保证金</w:t>
            </w:r>
          </w:p>
        </w:tc>
        <w:tc>
          <w:tcPr>
            <w:tcW w:w="6789" w:type="dxa"/>
            <w:tcBorders>
              <w:top w:val="single" w:color="auto" w:sz="6" w:space="0"/>
              <w:left w:val="single" w:color="auto" w:sz="6" w:space="0"/>
              <w:bottom w:val="single" w:color="auto" w:sz="6" w:space="0"/>
              <w:right w:val="single" w:color="auto" w:sz="4" w:space="0"/>
            </w:tcBorders>
            <w:vAlign w:val="center"/>
          </w:tcPr>
          <w:p w14:paraId="16BB77F3">
            <w:pPr>
              <w:pageBreakBefore w:val="0"/>
              <w:kinsoku/>
              <w:wordWrap/>
              <w:overflowPunct/>
              <w:autoSpaceDE/>
              <w:autoSpaceDN/>
              <w:bidi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是否要求中标人提交履约保证金：</w:t>
            </w:r>
          </w:p>
          <w:p w14:paraId="01C47E00">
            <w:pPr>
              <w:pageBreakBefore w:val="0"/>
              <w:kinsoku/>
              <w:wordWrap/>
              <w:overflowPunct/>
              <w:autoSpaceDE/>
              <w:autoSpaceDN/>
              <w:bidi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eq \o\ac(</w:instrText>
            </w:r>
            <w:r>
              <w:rPr>
                <w:rFonts w:hint="eastAsia" w:ascii="宋体" w:hAnsi="宋体" w:eastAsia="宋体" w:cs="宋体"/>
                <w:color w:val="auto"/>
                <w:position w:val="-4"/>
                <w:sz w:val="33"/>
                <w:szCs w:val="22"/>
                <w:highlight w:val="none"/>
              </w:rPr>
              <w:instrText xml:space="preserve">□</w:instrText>
            </w:r>
            <w:r>
              <w:rPr>
                <w:rFonts w:hint="eastAsia" w:ascii="宋体" w:hAnsi="宋体" w:eastAsia="宋体" w:cs="宋体"/>
                <w:color w:val="auto"/>
                <w:position w:val="0"/>
                <w:sz w:val="22"/>
                <w:szCs w:val="22"/>
                <w:highlight w:val="none"/>
              </w:rPr>
              <w:instrText xml:space="preserve">)</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要求，履约担保额度：合同价款的10%。</w:t>
            </w:r>
          </w:p>
          <w:p w14:paraId="5AC704B0">
            <w:pPr>
              <w:pageBreakBefore w:val="0"/>
              <w:kinsoku/>
              <w:wordWrap/>
              <w:overflowPunct/>
              <w:autoSpaceDE/>
              <w:autoSpaceDN/>
              <w:bidi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履约保证金的形式：可选择以下任一方式提交履约担保：</w:t>
            </w:r>
          </w:p>
          <w:p w14:paraId="190A86E0">
            <w:pPr>
              <w:pageBreakBefore w:val="0"/>
              <w:numPr>
                <w:ilvl w:val="0"/>
                <w:numId w:val="3"/>
              </w:numPr>
              <w:kinsoku/>
              <w:wordWrap/>
              <w:overflowPunct/>
              <w:autoSpaceDE/>
              <w:autoSpaceDN/>
              <w:bidi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通过银行转账方式提交；</w:t>
            </w:r>
          </w:p>
          <w:p w14:paraId="624FF79A">
            <w:pPr>
              <w:pageBreakBefore w:val="0"/>
              <w:numPr>
                <w:ilvl w:val="0"/>
                <w:numId w:val="3"/>
              </w:numPr>
              <w:kinsoku/>
              <w:wordWrap/>
              <w:overflowPunct/>
              <w:autoSpaceDE/>
              <w:autoSpaceDN/>
              <w:bidi w:val="0"/>
              <w:spacing w:line="360" w:lineRule="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通过保函方式提交的，具体以技术合同对应条款为准。</w:t>
            </w:r>
          </w:p>
          <w:p w14:paraId="19672C15">
            <w:pPr>
              <w:pStyle w:val="8"/>
              <w:pageBreakBefore w:val="0"/>
              <w:kinsoku/>
              <w:wordWrap/>
              <w:overflowPunct/>
              <w:topLinePunct/>
              <w:autoSpaceDE/>
              <w:autoSpaceDN/>
              <w:bidi w:val="0"/>
              <w:snapToGrid w:val="0"/>
              <w:spacing w:line="360" w:lineRule="auto"/>
              <w:rPr>
                <w:rFonts w:hint="eastAsia" w:ascii="宋体" w:hAnsi="宋体" w:eastAsia="宋体" w:cs="宋体"/>
                <w:kern w:val="2"/>
                <w:sz w:val="22"/>
                <w:szCs w:val="22"/>
              </w:rPr>
            </w:pPr>
            <w:r>
              <w:rPr>
                <w:rFonts w:hint="eastAsia" w:ascii="宋体" w:hAnsi="宋体" w:eastAsia="宋体" w:cs="宋体"/>
                <w:spacing w:val="-1"/>
                <w:kern w:val="2"/>
                <w:sz w:val="22"/>
                <w:szCs w:val="22"/>
              </w:rPr>
              <w:t>■</w:t>
            </w:r>
            <w:r>
              <w:rPr>
                <w:rFonts w:hint="eastAsia" w:ascii="宋体" w:hAnsi="宋体" w:eastAsia="宋体" w:cs="宋体"/>
                <w:kern w:val="2"/>
                <w:sz w:val="22"/>
                <w:szCs w:val="22"/>
              </w:rPr>
              <w:t>不要求</w:t>
            </w:r>
          </w:p>
        </w:tc>
      </w:tr>
      <w:tr w14:paraId="647CCFC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5B1BDE9">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9</w:t>
            </w:r>
          </w:p>
        </w:tc>
        <w:tc>
          <w:tcPr>
            <w:tcW w:w="1659" w:type="dxa"/>
            <w:tcBorders>
              <w:top w:val="single" w:color="auto" w:sz="6" w:space="0"/>
              <w:left w:val="single" w:color="auto" w:sz="6" w:space="0"/>
              <w:bottom w:val="single" w:color="auto" w:sz="6" w:space="0"/>
              <w:right w:val="single" w:color="auto" w:sz="6" w:space="0"/>
            </w:tcBorders>
            <w:vAlign w:val="center"/>
          </w:tcPr>
          <w:p w14:paraId="562F239F">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是否采用电子招标投标</w:t>
            </w:r>
          </w:p>
        </w:tc>
        <w:tc>
          <w:tcPr>
            <w:tcW w:w="6789" w:type="dxa"/>
            <w:tcBorders>
              <w:top w:val="single" w:color="auto" w:sz="6" w:space="0"/>
              <w:left w:val="single" w:color="auto" w:sz="6" w:space="0"/>
              <w:bottom w:val="single" w:color="auto" w:sz="6" w:space="0"/>
              <w:right w:val="single" w:color="auto" w:sz="4" w:space="0"/>
            </w:tcBorders>
            <w:vAlign w:val="center"/>
          </w:tcPr>
          <w:p w14:paraId="3E8E69DD">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□否</w:t>
            </w:r>
          </w:p>
          <w:p w14:paraId="4B70DB74">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rPr>
              <w:t>■是，具体要求：</w:t>
            </w:r>
          </w:p>
          <w:p w14:paraId="1B77DD85">
            <w:pPr>
              <w:pageBreakBefore w:val="0"/>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rPr>
              <w:t>1.按照广州公共资源交易平台关于全流程电子化项目的相关指南进行操作，详见广州公共资源交易中心网站发布的最新版操作指引。</w:t>
            </w:r>
          </w:p>
          <w:p w14:paraId="3BDE140F">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2.提交投标文件</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备用</w:t>
            </w:r>
          </w:p>
          <w:p w14:paraId="47B87F32">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投标人将非加密的电子投标文件刻入</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（1份），在开标现场（投标截止时间前）提交备用。刻录好的投标文件</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密封在密封袋中，并在封口处加盖投标人单位公章。密封袋上应写明的内容见投标人须知前附表要求4.1.2。现场递交的投标文件（</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）不得加密。</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（投标文件）无法读取或导入的，则视为未提交备用投标文件</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。如果投标人没有按规定通过交易平台网上递交电子投标文件的，不再接受现场提交的</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w:t>
            </w:r>
          </w:p>
          <w:p w14:paraId="358DB19D">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3.补救方案</w:t>
            </w:r>
          </w:p>
          <w:p w14:paraId="2AC6EF87">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（1）投标文件解密失败的补救方案：</w:t>
            </w:r>
          </w:p>
          <w:p w14:paraId="1F7C9CFA">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在规定时间内，因投标人之外原因导致的电子投标文件解密失败，在开标现场读取</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内容，继续开标程序。评标委员会对其投标文件的评审以</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内容为准。</w:t>
            </w:r>
          </w:p>
          <w:p w14:paraId="047E4861">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（2）评标时突发情况的补救方案</w:t>
            </w:r>
          </w:p>
          <w:p w14:paraId="2D368BBB">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u w:val="single"/>
              </w:rPr>
              <w:t>若遇不可抗力发生（如：网络瘫痪、服务器损坏、交易系统故障短期无法恢复等因素），由评标委员会开启现场递交的全部投标文件</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，并按</w:t>
            </w:r>
            <w:r>
              <w:rPr>
                <w:rFonts w:hint="eastAsia" w:ascii="宋体" w:hAnsi="宋体" w:cs="宋体"/>
                <w:sz w:val="22"/>
                <w:szCs w:val="22"/>
                <w:u w:val="single"/>
                <w:lang w:eastAsia="zh-CN"/>
              </w:rPr>
              <w:t>光盘或U盘</w:t>
            </w:r>
            <w:r>
              <w:rPr>
                <w:rFonts w:hint="eastAsia" w:ascii="宋体" w:hAnsi="宋体" w:eastAsia="宋体" w:cs="宋体"/>
                <w:sz w:val="22"/>
                <w:szCs w:val="22"/>
                <w:u w:val="single"/>
              </w:rPr>
              <w:t>内容进行评审。</w:t>
            </w:r>
          </w:p>
          <w:p w14:paraId="23C626EC">
            <w:pPr>
              <w:pageBreakBefore w:val="0"/>
              <w:kinsoku/>
              <w:wordWrap/>
              <w:overflowPunct/>
              <w:autoSpaceDE/>
              <w:autoSpaceDN/>
              <w:bidi w:val="0"/>
              <w:spacing w:line="360" w:lineRule="auto"/>
              <w:rPr>
                <w:rFonts w:hint="eastAsia" w:ascii="宋体" w:hAnsi="宋体" w:eastAsia="宋体" w:cs="宋体"/>
                <w:sz w:val="22"/>
                <w:szCs w:val="22"/>
              </w:rPr>
            </w:pPr>
            <w:r>
              <w:rPr>
                <w:rFonts w:hint="eastAsia" w:ascii="宋体" w:hAnsi="宋体" w:eastAsia="宋体" w:cs="宋体"/>
                <w:sz w:val="22"/>
                <w:szCs w:val="22"/>
                <w:u w:val="single"/>
              </w:rPr>
              <w:t>（3）除发生上述情况外，开标评标均以投标人通过交易平台网上递交的电子投标文件为准。</w:t>
            </w:r>
          </w:p>
        </w:tc>
      </w:tr>
      <w:tr w14:paraId="681B216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7C5369A">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w:t>
            </w:r>
          </w:p>
        </w:tc>
        <w:tc>
          <w:tcPr>
            <w:tcW w:w="8448" w:type="dxa"/>
            <w:gridSpan w:val="2"/>
            <w:tcBorders>
              <w:top w:val="single" w:color="auto" w:sz="6" w:space="0"/>
              <w:left w:val="single" w:color="auto" w:sz="6" w:space="0"/>
              <w:bottom w:val="single" w:color="auto" w:sz="6" w:space="0"/>
              <w:right w:val="single" w:color="auto" w:sz="4" w:space="0"/>
            </w:tcBorders>
            <w:vAlign w:val="center"/>
          </w:tcPr>
          <w:p w14:paraId="0E8E962A">
            <w:pPr>
              <w:pageBreakBefore w:val="0"/>
              <w:kinsoku/>
              <w:wordWrap/>
              <w:overflowPunct/>
              <w:autoSpaceDE/>
              <w:autoSpaceDN/>
              <w:bidi w:val="0"/>
              <w:snapToGrid w:val="0"/>
              <w:spacing w:line="360" w:lineRule="auto"/>
              <w:jc w:val="left"/>
              <w:rPr>
                <w:rFonts w:hint="eastAsia" w:ascii="宋体" w:hAnsi="宋体" w:eastAsia="宋体" w:cs="宋体"/>
                <w:sz w:val="22"/>
                <w:szCs w:val="22"/>
              </w:rPr>
            </w:pPr>
            <w:r>
              <w:rPr>
                <w:rFonts w:hint="eastAsia" w:ascii="宋体" w:hAnsi="宋体" w:eastAsia="宋体" w:cs="宋体"/>
                <w:sz w:val="22"/>
                <w:szCs w:val="22"/>
              </w:rPr>
              <w:t>需要补充的其他内容</w:t>
            </w:r>
          </w:p>
        </w:tc>
      </w:tr>
      <w:tr w14:paraId="31C3FBE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53D8AE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10.1</w:t>
            </w:r>
          </w:p>
        </w:tc>
        <w:tc>
          <w:tcPr>
            <w:tcW w:w="1659" w:type="dxa"/>
            <w:tcBorders>
              <w:top w:val="single" w:color="auto" w:sz="6" w:space="0"/>
              <w:left w:val="single" w:color="auto" w:sz="6" w:space="0"/>
              <w:bottom w:val="single" w:color="auto" w:sz="6" w:space="0"/>
              <w:right w:val="single" w:color="auto" w:sz="6" w:space="0"/>
            </w:tcBorders>
            <w:vAlign w:val="center"/>
          </w:tcPr>
          <w:p w14:paraId="13B6039E">
            <w:pPr>
              <w:pageBreakBefore w:val="0"/>
              <w:kinsoku/>
              <w:wordWrap/>
              <w:overflowPunct/>
              <w:autoSpaceDE/>
              <w:autoSpaceDN/>
              <w:bidi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招标失败的情形</w:t>
            </w:r>
          </w:p>
        </w:tc>
        <w:tc>
          <w:tcPr>
            <w:tcW w:w="6789" w:type="dxa"/>
            <w:tcBorders>
              <w:top w:val="single" w:color="auto" w:sz="6" w:space="0"/>
              <w:left w:val="single" w:color="auto" w:sz="6" w:space="0"/>
              <w:bottom w:val="single" w:color="auto" w:sz="6" w:space="0"/>
              <w:right w:val="single" w:color="auto" w:sz="4" w:space="0"/>
            </w:tcBorders>
            <w:vAlign w:val="center"/>
          </w:tcPr>
          <w:p w14:paraId="5B44C931">
            <w:pPr>
              <w:pageBreakBefore w:val="0"/>
              <w:kinsoku/>
              <w:wordWrap/>
              <w:overflowPunct/>
              <w:autoSpaceDE/>
              <w:autoSpaceDN/>
              <w:bidi w:val="0"/>
              <w:spacing w:line="360" w:lineRule="auto"/>
              <w:rPr>
                <w:rFonts w:hint="eastAsia" w:ascii="宋体" w:hAnsi="宋体" w:eastAsia="宋体" w:cs="宋体"/>
                <w:kern w:val="0"/>
                <w:sz w:val="22"/>
                <w:szCs w:val="22"/>
              </w:rPr>
            </w:pPr>
            <w:r>
              <w:rPr>
                <w:rFonts w:hint="eastAsia" w:ascii="宋体" w:hAnsi="宋体" w:eastAsia="宋体" w:cs="宋体"/>
                <w:sz w:val="22"/>
                <w:szCs w:val="22"/>
              </w:rPr>
              <w:t>本项目采用资格后审方式，资格审查与评标同时进行，通过形式评审、资格审查、响应性评审的投标申请人不足3名时为招标失败。招标人分析招标失败原因，修正招标方案，重新组织招标。</w:t>
            </w:r>
          </w:p>
        </w:tc>
      </w:tr>
      <w:tr w14:paraId="78FFFD4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5FBA7F9D">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10.2</w:t>
            </w:r>
          </w:p>
        </w:tc>
        <w:tc>
          <w:tcPr>
            <w:tcW w:w="1659" w:type="dxa"/>
            <w:tcBorders>
              <w:top w:val="single" w:color="auto" w:sz="6" w:space="0"/>
              <w:left w:val="single" w:color="auto" w:sz="6" w:space="0"/>
              <w:bottom w:val="single" w:color="auto" w:sz="6" w:space="0"/>
              <w:right w:val="single" w:color="auto" w:sz="6" w:space="0"/>
            </w:tcBorders>
            <w:vAlign w:val="center"/>
          </w:tcPr>
          <w:p w14:paraId="7F5972CC">
            <w:pPr>
              <w:pageBreakBefore w:val="0"/>
              <w:kinsoku/>
              <w:wordWrap/>
              <w:overflowPunct/>
              <w:autoSpaceDE/>
              <w:autoSpaceDN/>
              <w:bidi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第一中标候选人放弃中标资格情形</w:t>
            </w:r>
          </w:p>
        </w:tc>
        <w:tc>
          <w:tcPr>
            <w:tcW w:w="6789" w:type="dxa"/>
            <w:tcBorders>
              <w:top w:val="single" w:color="auto" w:sz="6" w:space="0"/>
              <w:left w:val="single" w:color="auto" w:sz="6" w:space="0"/>
              <w:bottom w:val="single" w:color="auto" w:sz="6" w:space="0"/>
              <w:right w:val="single" w:color="auto" w:sz="4" w:space="0"/>
            </w:tcBorders>
            <w:vAlign w:val="center"/>
          </w:tcPr>
          <w:p w14:paraId="73DAF10D">
            <w:pPr>
              <w:pageBreakBefore w:val="0"/>
              <w:widowControl/>
              <w:shd w:val="clear" w:color="auto" w:fill="FFFFFF"/>
              <w:kinsoku/>
              <w:wordWrap/>
              <w:overflowPunct/>
              <w:autoSpaceDE/>
              <w:autoSpaceDN/>
              <w:bidi w:val="0"/>
              <w:spacing w:line="360" w:lineRule="auto"/>
              <w:rPr>
                <w:rFonts w:hint="eastAsia" w:ascii="宋体" w:hAnsi="宋体" w:eastAsia="宋体" w:cs="宋体"/>
                <w:kern w:val="0"/>
                <w:sz w:val="22"/>
                <w:szCs w:val="22"/>
              </w:rPr>
            </w:pPr>
            <w:r>
              <w:rPr>
                <w:rFonts w:hint="eastAsia" w:ascii="宋体" w:hAnsi="宋体" w:eastAsia="宋体" w:cs="宋体"/>
                <w:sz w:val="22"/>
                <w:szCs w:val="22"/>
                <w:u w:val="single"/>
              </w:rPr>
              <w:t>排名第一的中标候选人放弃中标、因不可抗力不能履行合同、不按照招标文件要求提交履约保证金（如有要求），或者被查实存在影响中标结果的违法行为等情形，不符合中标条件的，招标人可以按照招标文件第三章第3.4.1款确定的推荐中标候选人原则依次确定其他中标候选人为中标人，也可以重新招标。</w:t>
            </w:r>
          </w:p>
        </w:tc>
      </w:tr>
      <w:tr w14:paraId="6D3051D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2C4E120">
            <w:pPr>
              <w:pageBreakBefore w:val="0"/>
              <w:kinsoku/>
              <w:wordWrap/>
              <w:overflowPunct/>
              <w:autoSpaceDE/>
              <w:autoSpaceDN/>
              <w:bidi w:val="0"/>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10.3</w:t>
            </w:r>
          </w:p>
        </w:tc>
        <w:tc>
          <w:tcPr>
            <w:tcW w:w="1659" w:type="dxa"/>
            <w:tcBorders>
              <w:top w:val="single" w:color="auto" w:sz="6" w:space="0"/>
              <w:left w:val="single" w:color="auto" w:sz="6" w:space="0"/>
              <w:bottom w:val="single" w:color="auto" w:sz="6" w:space="0"/>
              <w:right w:val="single" w:color="auto" w:sz="6" w:space="0"/>
            </w:tcBorders>
            <w:vAlign w:val="center"/>
          </w:tcPr>
          <w:p w14:paraId="0CD48E1E">
            <w:pPr>
              <w:pageBreakBefore w:val="0"/>
              <w:kinsoku/>
              <w:wordWrap/>
              <w:overflowPunct/>
              <w:autoSpaceDE/>
              <w:autoSpaceDN/>
              <w:bidi w:val="0"/>
              <w:spacing w:line="360" w:lineRule="auto"/>
              <w:ind w:right="174" w:rightChars="83"/>
              <w:jc w:val="center"/>
              <w:rPr>
                <w:rFonts w:hint="eastAsia" w:ascii="宋体" w:hAnsi="宋体" w:eastAsia="宋体" w:cs="宋体"/>
                <w:sz w:val="22"/>
                <w:szCs w:val="22"/>
              </w:rPr>
            </w:pPr>
            <w:r>
              <w:rPr>
                <w:rFonts w:hint="eastAsia" w:ascii="宋体" w:hAnsi="宋体" w:eastAsia="宋体" w:cs="宋体"/>
                <w:sz w:val="22"/>
                <w:szCs w:val="22"/>
              </w:rPr>
              <w:t>中标候选人公示要求</w:t>
            </w:r>
          </w:p>
        </w:tc>
        <w:tc>
          <w:tcPr>
            <w:tcW w:w="6789" w:type="dxa"/>
            <w:tcBorders>
              <w:top w:val="single" w:color="auto" w:sz="6" w:space="0"/>
              <w:left w:val="single" w:color="auto" w:sz="6" w:space="0"/>
              <w:bottom w:val="single" w:color="auto" w:sz="6" w:space="0"/>
              <w:right w:val="single" w:color="auto" w:sz="4" w:space="0"/>
            </w:tcBorders>
            <w:vAlign w:val="center"/>
          </w:tcPr>
          <w:p w14:paraId="3CF51802">
            <w:pPr>
              <w:pageBreakBefore w:val="0"/>
              <w:kinsoku/>
              <w:wordWrap/>
              <w:overflowPunct/>
              <w:autoSpaceDE/>
              <w:autoSpaceDN/>
              <w:bidi w:val="0"/>
              <w:spacing w:line="360" w:lineRule="auto"/>
              <w:ind w:right="174" w:rightChars="83"/>
              <w:rPr>
                <w:rFonts w:hint="eastAsia" w:ascii="宋体" w:hAnsi="宋体" w:eastAsia="宋体" w:cs="宋体"/>
                <w:sz w:val="22"/>
                <w:szCs w:val="22"/>
              </w:rPr>
            </w:pPr>
            <w:r>
              <w:rPr>
                <w:rFonts w:hint="eastAsia" w:ascii="宋体" w:hAnsi="宋体" w:eastAsia="宋体" w:cs="宋体"/>
                <w:sz w:val="22"/>
                <w:szCs w:val="22"/>
                <w:u w:val="single"/>
              </w:rPr>
              <w:t>在产生中标候选人后，招标人将中标候选人的投标文件商务部分的电子版（报价清单、方案等涉及商业秘密的内容除外）在广州公共资源交易中心网站公开。</w:t>
            </w:r>
          </w:p>
        </w:tc>
      </w:tr>
      <w:tr w14:paraId="5EF1175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286957AC">
            <w:pPr>
              <w:pageBreakBefore w:val="0"/>
              <w:kinsoku/>
              <w:wordWrap/>
              <w:overflowPunct/>
              <w:autoSpaceDE/>
              <w:autoSpaceDN/>
              <w:bidi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10.4</w:t>
            </w:r>
          </w:p>
        </w:tc>
        <w:tc>
          <w:tcPr>
            <w:tcW w:w="1659" w:type="dxa"/>
            <w:tcBorders>
              <w:top w:val="single" w:color="auto" w:sz="6" w:space="0"/>
              <w:left w:val="single" w:color="auto" w:sz="6" w:space="0"/>
              <w:bottom w:val="single" w:color="auto" w:sz="6" w:space="0"/>
              <w:right w:val="single" w:color="auto" w:sz="6" w:space="0"/>
            </w:tcBorders>
            <w:vAlign w:val="center"/>
          </w:tcPr>
          <w:p w14:paraId="1EA8E7F8">
            <w:pPr>
              <w:pageBreakBefore w:val="0"/>
              <w:kinsoku/>
              <w:wordWrap/>
              <w:overflowPunct/>
              <w:autoSpaceDE/>
              <w:autoSpaceDN/>
              <w:bidi w:val="0"/>
              <w:spacing w:line="360" w:lineRule="auto"/>
              <w:ind w:right="174" w:rightChars="83"/>
              <w:jc w:val="center"/>
              <w:rPr>
                <w:rFonts w:hint="eastAsia" w:ascii="宋体" w:hAnsi="宋体" w:eastAsia="宋体" w:cs="宋体"/>
                <w:sz w:val="22"/>
                <w:szCs w:val="22"/>
              </w:rPr>
            </w:pPr>
            <w:r>
              <w:rPr>
                <w:rFonts w:hint="eastAsia" w:ascii="宋体" w:hAnsi="宋体" w:eastAsia="宋体" w:cs="宋体"/>
                <w:sz w:val="22"/>
                <w:szCs w:val="22"/>
              </w:rPr>
              <w:t>否决投标条款</w:t>
            </w:r>
          </w:p>
        </w:tc>
        <w:tc>
          <w:tcPr>
            <w:tcW w:w="6789" w:type="dxa"/>
            <w:tcBorders>
              <w:top w:val="single" w:color="auto" w:sz="6" w:space="0"/>
              <w:left w:val="single" w:color="auto" w:sz="6" w:space="0"/>
              <w:bottom w:val="single" w:color="auto" w:sz="6" w:space="0"/>
              <w:right w:val="single" w:color="auto" w:sz="4" w:space="0"/>
            </w:tcBorders>
            <w:vAlign w:val="center"/>
          </w:tcPr>
          <w:p w14:paraId="3A8ADA5C">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否决投标条款：</w:t>
            </w:r>
          </w:p>
          <w:p w14:paraId="78E912BC">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1、在投标截止期后逾期或未在广州公共资源交易中心数字交易平台（http://www.gzggzy.cn）递交电子投标文件的，电子招标投标交易平台将拒绝接收其投标文件。</w:t>
            </w:r>
          </w:p>
          <w:p w14:paraId="09487007">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2、投标人未按投标文件要求提供附件或未按要求加盖电子印章及签名的，经评标委员会认定后，其投标文件将被否决。</w:t>
            </w:r>
          </w:p>
          <w:p w14:paraId="44C8A003">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3、投标文件中投标报价高于投标最高限价的，其投标文件将被否决。</w:t>
            </w:r>
          </w:p>
          <w:p w14:paraId="11CD6FEA">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4、按投标报价的算术校核原则及方法调整或修正投标文件的投标报价，调整后的投标报价对投标人起约束作用。如果投标人不接受修正后的报价，则取消其中标资格。</w:t>
            </w:r>
          </w:p>
          <w:p w14:paraId="36CEA595">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5、资审合格后，投标人的资格发生变化而不满足投标人合格条件，在发出中标通知书前，资格问题仍未解决的，招标人将取消其中标资格。</w:t>
            </w:r>
          </w:p>
          <w:p w14:paraId="277DE6D8">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6、投标人如在本项目中存在串通投标、弄虚作假、行贿情形的，中标无效，该投标人将被招标人列入黑名单并限制其投标。行政监督部门将对其违法行为进行政处罚并通报。</w:t>
            </w:r>
          </w:p>
          <w:p w14:paraId="0B235C5B">
            <w:pPr>
              <w:pageBreakBefore w:val="0"/>
              <w:widowControl/>
              <w:kinsoku/>
              <w:wordWrap/>
              <w:overflowPunct/>
              <w:autoSpaceDE/>
              <w:autoSpaceDN/>
              <w:bidi w:val="0"/>
              <w:spacing w:line="360" w:lineRule="auto"/>
              <w:jc w:val="left"/>
              <w:rPr>
                <w:rFonts w:hint="eastAsia" w:ascii="宋体" w:hAnsi="宋体" w:eastAsia="宋体" w:cs="宋体"/>
                <w:sz w:val="22"/>
                <w:szCs w:val="22"/>
                <w:u w:val="single"/>
              </w:rPr>
            </w:pPr>
            <w:r>
              <w:rPr>
                <w:rFonts w:hint="eastAsia" w:ascii="宋体" w:hAnsi="宋体" w:eastAsia="宋体" w:cs="宋体"/>
                <w:sz w:val="22"/>
                <w:szCs w:val="22"/>
                <w:u w:val="single"/>
                <w:lang w:bidi="ar"/>
              </w:rPr>
              <w:t>7、投标文件符合列于《评标办法前附表》“形式评审标准”“资格评审标准”“响应性评审标准”中所有情形的，为有效投标文件。任一情形不符合均为无效投标文件，经评标委员会认定后，其投标文件将被否决。</w:t>
            </w:r>
          </w:p>
        </w:tc>
      </w:tr>
      <w:tr w14:paraId="380CA69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766AEC65">
            <w:pPr>
              <w:pageBreakBefore w:val="0"/>
              <w:kinsoku/>
              <w:wordWrap/>
              <w:overflowPunct/>
              <w:autoSpaceDE/>
              <w:autoSpaceDN/>
              <w:bidi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10.5</w:t>
            </w:r>
          </w:p>
        </w:tc>
        <w:tc>
          <w:tcPr>
            <w:tcW w:w="1659" w:type="dxa"/>
            <w:tcBorders>
              <w:top w:val="single" w:color="auto" w:sz="6" w:space="0"/>
              <w:left w:val="single" w:color="auto" w:sz="6" w:space="0"/>
              <w:bottom w:val="single" w:color="auto" w:sz="6" w:space="0"/>
              <w:right w:val="single" w:color="auto" w:sz="6" w:space="0"/>
            </w:tcBorders>
            <w:vAlign w:val="center"/>
          </w:tcPr>
          <w:p w14:paraId="1F2C048E">
            <w:pPr>
              <w:pageBreakBefore w:val="0"/>
              <w:kinsoku/>
              <w:wordWrap/>
              <w:overflowPunct/>
              <w:autoSpaceDE/>
              <w:autoSpaceDN/>
              <w:bidi w:val="0"/>
              <w:spacing w:line="360" w:lineRule="auto"/>
              <w:ind w:right="174" w:rightChars="83"/>
              <w:jc w:val="center"/>
              <w:rPr>
                <w:rFonts w:hint="eastAsia" w:ascii="宋体" w:hAnsi="宋体" w:eastAsia="宋体" w:cs="宋体"/>
                <w:sz w:val="22"/>
                <w:szCs w:val="22"/>
              </w:rPr>
            </w:pPr>
            <w:r>
              <w:rPr>
                <w:rFonts w:hint="eastAsia" w:ascii="宋体" w:hAnsi="宋体" w:eastAsia="宋体" w:cs="宋体"/>
                <w:sz w:val="22"/>
                <w:szCs w:val="22"/>
                <w:lang w:bidi="ar"/>
              </w:rPr>
              <w:t>提交纸质投标文件要求</w:t>
            </w:r>
          </w:p>
        </w:tc>
        <w:tc>
          <w:tcPr>
            <w:tcW w:w="6789" w:type="dxa"/>
            <w:tcBorders>
              <w:top w:val="single" w:color="auto" w:sz="6" w:space="0"/>
              <w:left w:val="single" w:color="auto" w:sz="6" w:space="0"/>
              <w:bottom w:val="single" w:color="auto" w:sz="6" w:space="0"/>
              <w:right w:val="single" w:color="auto" w:sz="4" w:space="0"/>
            </w:tcBorders>
            <w:vAlign w:val="center"/>
          </w:tcPr>
          <w:p w14:paraId="5D59E8C1">
            <w:pPr>
              <w:pageBreakBefore w:val="0"/>
              <w:kinsoku/>
              <w:wordWrap/>
              <w:overflowPunct/>
              <w:autoSpaceDE/>
              <w:autoSpaceDN/>
              <w:bidi w:val="0"/>
              <w:spacing w:line="360" w:lineRule="auto"/>
              <w:rPr>
                <w:rFonts w:hint="eastAsia" w:ascii="宋体" w:hAnsi="宋体" w:eastAsia="宋体" w:cs="宋体"/>
                <w:sz w:val="22"/>
                <w:szCs w:val="22"/>
                <w:u w:val="single"/>
              </w:rPr>
            </w:pPr>
            <w:r>
              <w:rPr>
                <w:rFonts w:hint="eastAsia" w:ascii="宋体" w:hAnsi="宋体" w:eastAsia="宋体" w:cs="宋体"/>
                <w:sz w:val="22"/>
                <w:szCs w:val="22"/>
                <w:lang w:bidi="ar"/>
              </w:rPr>
              <w:t>在中标公示结束后5个工作日内，第一中标候选人向招标人提交与在广州公共资源交易中心系统上传投标文件内容相同的已盖章的纸质版投标文件一正</w:t>
            </w:r>
            <w:r>
              <w:rPr>
                <w:rFonts w:hint="eastAsia" w:ascii="宋体" w:hAnsi="宋体" w:eastAsia="宋体" w:cs="宋体"/>
                <w:sz w:val="22"/>
                <w:szCs w:val="22"/>
                <w:lang w:val="en-US" w:eastAsia="zh-CN" w:bidi="ar"/>
              </w:rPr>
              <w:t>二</w:t>
            </w:r>
            <w:r>
              <w:rPr>
                <w:rFonts w:hint="eastAsia" w:ascii="宋体" w:hAnsi="宋体" w:eastAsia="宋体" w:cs="宋体"/>
                <w:sz w:val="22"/>
                <w:szCs w:val="22"/>
                <w:lang w:bidi="ar"/>
              </w:rPr>
              <w:t>副。</w:t>
            </w:r>
          </w:p>
        </w:tc>
      </w:tr>
      <w:tr w14:paraId="471B3D3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65A6EF14">
            <w:pPr>
              <w:pageBreakBefore w:val="0"/>
              <w:kinsoku/>
              <w:wordWrap/>
              <w:overflowPunct/>
              <w:autoSpaceDE/>
              <w:autoSpaceDN/>
              <w:bidi w:val="0"/>
              <w:spacing w:line="36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10.6</w:t>
            </w:r>
          </w:p>
        </w:tc>
        <w:tc>
          <w:tcPr>
            <w:tcW w:w="1659" w:type="dxa"/>
            <w:tcBorders>
              <w:top w:val="single" w:color="auto" w:sz="6" w:space="0"/>
              <w:left w:val="single" w:color="auto" w:sz="6" w:space="0"/>
              <w:bottom w:val="single" w:color="auto" w:sz="6" w:space="0"/>
              <w:right w:val="single" w:color="auto" w:sz="6" w:space="0"/>
            </w:tcBorders>
            <w:vAlign w:val="center"/>
          </w:tcPr>
          <w:p w14:paraId="75C12BF8">
            <w:pPr>
              <w:pageBreakBefore w:val="0"/>
              <w:kinsoku/>
              <w:wordWrap/>
              <w:overflowPunct/>
              <w:autoSpaceDE/>
              <w:autoSpaceDN/>
              <w:bidi w:val="0"/>
              <w:spacing w:line="360" w:lineRule="auto"/>
              <w:ind w:right="174" w:rightChars="83"/>
              <w:jc w:val="center"/>
              <w:rPr>
                <w:rFonts w:hint="eastAsia" w:ascii="宋体" w:hAnsi="宋体" w:eastAsia="宋体" w:cs="宋体"/>
                <w:sz w:val="22"/>
                <w:szCs w:val="22"/>
                <w:lang w:bidi="ar"/>
              </w:rPr>
            </w:pPr>
            <w:r>
              <w:rPr>
                <w:rFonts w:hint="eastAsia" w:ascii="宋体" w:hAnsi="宋体" w:eastAsia="宋体" w:cs="宋体"/>
                <w:sz w:val="22"/>
                <w:szCs w:val="22"/>
                <w:lang w:bidi="ar"/>
              </w:rPr>
              <w:t>交易服务费</w:t>
            </w:r>
          </w:p>
        </w:tc>
        <w:tc>
          <w:tcPr>
            <w:tcW w:w="6789" w:type="dxa"/>
            <w:tcBorders>
              <w:top w:val="single" w:color="auto" w:sz="6" w:space="0"/>
              <w:left w:val="single" w:color="auto" w:sz="6" w:space="0"/>
              <w:bottom w:val="single" w:color="auto" w:sz="6" w:space="0"/>
              <w:right w:val="single" w:color="auto" w:sz="4" w:space="0"/>
            </w:tcBorders>
            <w:vAlign w:val="center"/>
          </w:tcPr>
          <w:p w14:paraId="333DD90A">
            <w:pPr>
              <w:pageBreakBefore w:val="0"/>
              <w:kinsoku/>
              <w:wordWrap/>
              <w:overflowPunct/>
              <w:autoSpaceDE/>
              <w:autoSpaceDN/>
              <w:bidi w:val="0"/>
              <w:spacing w:line="360" w:lineRule="auto"/>
              <w:rPr>
                <w:rFonts w:hint="eastAsia" w:ascii="宋体" w:hAnsi="宋体" w:eastAsia="宋体" w:cs="宋体"/>
                <w:sz w:val="22"/>
                <w:szCs w:val="22"/>
                <w:lang w:bidi="ar"/>
              </w:rPr>
            </w:pPr>
            <w:r>
              <w:rPr>
                <w:rFonts w:hint="eastAsia" w:ascii="宋体" w:hAnsi="宋体" w:eastAsia="宋体" w:cs="宋体"/>
                <w:sz w:val="22"/>
                <w:szCs w:val="22"/>
                <w:lang w:bidi="ar"/>
              </w:rPr>
              <w:t>中标人必须按照招标代理的通知及时地向广州公共资源交易中心缴纳交易服务费，招标人不另行支付。（该交易服务费具体收费标准投标人可以在广州公共资源交易中心网站查阅，如有变更以广州公共资源交易中心最新发布的标准为准）。</w:t>
            </w:r>
          </w:p>
        </w:tc>
      </w:tr>
      <w:tr w14:paraId="04EB6DC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6" w:type="dxa"/>
            <w:tcBorders>
              <w:top w:val="single" w:color="auto" w:sz="6" w:space="0"/>
              <w:left w:val="single" w:color="auto" w:sz="4" w:space="0"/>
              <w:bottom w:val="single" w:color="auto" w:sz="6" w:space="0"/>
              <w:right w:val="single" w:color="auto" w:sz="6" w:space="0"/>
            </w:tcBorders>
            <w:vAlign w:val="center"/>
          </w:tcPr>
          <w:p w14:paraId="11469DA0">
            <w:pPr>
              <w:pageBreakBefore w:val="0"/>
              <w:kinsoku/>
              <w:wordWrap/>
              <w:overflowPunct/>
              <w:autoSpaceDE/>
              <w:autoSpaceDN/>
              <w:bidi w:val="0"/>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10.7</w:t>
            </w:r>
          </w:p>
        </w:tc>
        <w:tc>
          <w:tcPr>
            <w:tcW w:w="1659" w:type="dxa"/>
            <w:tcBorders>
              <w:top w:val="single" w:color="auto" w:sz="6" w:space="0"/>
              <w:left w:val="single" w:color="auto" w:sz="6" w:space="0"/>
              <w:bottom w:val="single" w:color="auto" w:sz="6" w:space="0"/>
              <w:right w:val="single" w:color="auto" w:sz="6" w:space="0"/>
            </w:tcBorders>
            <w:vAlign w:val="center"/>
          </w:tcPr>
          <w:p w14:paraId="5D064907">
            <w:pPr>
              <w:pageBreakBefore w:val="0"/>
              <w:kinsoku/>
              <w:wordWrap/>
              <w:overflowPunct/>
              <w:autoSpaceDE/>
              <w:autoSpaceDN/>
              <w:bidi w:val="0"/>
              <w:spacing w:line="360" w:lineRule="auto"/>
              <w:ind w:right="174" w:rightChars="83"/>
              <w:jc w:val="center"/>
              <w:rPr>
                <w:rFonts w:hint="eastAsia" w:ascii="宋体" w:hAnsi="宋体" w:eastAsia="宋体" w:cs="宋体"/>
                <w:sz w:val="22"/>
                <w:szCs w:val="22"/>
                <w:highlight w:val="none"/>
                <w:lang w:bidi="ar"/>
              </w:rPr>
            </w:pPr>
            <w:r>
              <w:rPr>
                <w:rFonts w:hint="eastAsia" w:ascii="宋体" w:hAnsi="宋体" w:eastAsia="宋体" w:cs="宋体"/>
                <w:sz w:val="22"/>
                <w:szCs w:val="22"/>
                <w:highlight w:val="none"/>
                <w:lang w:bidi="ar"/>
              </w:rPr>
              <w:t>招标代理服务费</w:t>
            </w:r>
          </w:p>
        </w:tc>
        <w:tc>
          <w:tcPr>
            <w:tcW w:w="6789" w:type="dxa"/>
            <w:tcBorders>
              <w:top w:val="single" w:color="auto" w:sz="6" w:space="0"/>
              <w:left w:val="single" w:color="auto" w:sz="6" w:space="0"/>
              <w:bottom w:val="single" w:color="auto" w:sz="6" w:space="0"/>
              <w:right w:val="single" w:color="auto" w:sz="4" w:space="0"/>
            </w:tcBorders>
            <w:vAlign w:val="center"/>
          </w:tcPr>
          <w:p w14:paraId="235CB5EE">
            <w:pPr>
              <w:pageBreakBefore w:val="0"/>
              <w:kinsoku/>
              <w:wordWrap/>
              <w:overflowPunct/>
              <w:autoSpaceDE/>
              <w:autoSpaceDN/>
              <w:bidi w:val="0"/>
              <w:spacing w:line="360" w:lineRule="auto"/>
              <w:rPr>
                <w:rFonts w:hint="eastAsia" w:ascii="宋体" w:hAnsi="宋体" w:eastAsia="宋体" w:cs="宋体"/>
                <w:sz w:val="22"/>
                <w:szCs w:val="22"/>
                <w:highlight w:val="none"/>
                <w:lang w:bidi="ar"/>
              </w:rPr>
            </w:pPr>
            <w:r>
              <w:rPr>
                <w:rFonts w:hint="eastAsia" w:ascii="宋体" w:hAnsi="宋体" w:eastAsia="宋体" w:cs="宋体"/>
                <w:sz w:val="22"/>
                <w:szCs w:val="22"/>
                <w:highlight w:val="none"/>
                <w:lang w:bidi="ar"/>
              </w:rPr>
              <w:t>招标代理服务费由招标人支付。</w:t>
            </w:r>
          </w:p>
        </w:tc>
      </w:tr>
    </w:tbl>
    <w:p w14:paraId="0C3A2C87">
      <w:pPr>
        <w:spacing w:before="240" w:beforeLines="100" w:line="360" w:lineRule="auto"/>
        <w:jc w:val="left"/>
        <w:outlineLvl w:val="9"/>
        <w:rPr>
          <w:rFonts w:ascii="宋体" w:hAnsi="宋体"/>
          <w:b/>
          <w:bCs/>
          <w:sz w:val="32"/>
          <w:szCs w:val="32"/>
        </w:rPr>
      </w:pPr>
      <w:r>
        <w:rPr>
          <w:rFonts w:hint="eastAsia" w:ascii="宋体" w:hAnsi="宋体"/>
        </w:rPr>
        <w:br w:type="page"/>
      </w:r>
      <w:bookmarkEnd w:id="14"/>
      <w:bookmarkEnd w:id="15"/>
      <w:bookmarkEnd w:id="16"/>
    </w:p>
    <w:p w14:paraId="2825096A">
      <w:pPr>
        <w:spacing w:before="260"/>
        <w:outlineLvl w:val="2"/>
        <w:rPr>
          <w:rFonts w:ascii="宋体" w:hAnsi="宋体"/>
          <w:b/>
          <w:sz w:val="32"/>
          <w:szCs w:val="32"/>
        </w:rPr>
      </w:pPr>
      <w:bookmarkStart w:id="17" w:name="_Toc529196520"/>
      <w:bookmarkStart w:id="18" w:name="_Toc515205193"/>
      <w:r>
        <w:rPr>
          <w:rFonts w:hint="eastAsia" w:ascii="宋体" w:hAnsi="宋体"/>
          <w:b/>
          <w:sz w:val="32"/>
          <w:szCs w:val="32"/>
        </w:rPr>
        <w:t>1. 总则</w:t>
      </w:r>
      <w:bookmarkEnd w:id="17"/>
      <w:bookmarkEnd w:id="18"/>
    </w:p>
    <w:p w14:paraId="22E50D64">
      <w:pPr>
        <w:spacing w:before="240" w:beforeLines="100" w:after="240" w:afterLines="100"/>
        <w:rPr>
          <w:rFonts w:ascii="宋体" w:hAnsi="宋体"/>
          <w:b/>
          <w:sz w:val="28"/>
          <w:szCs w:val="28"/>
        </w:rPr>
      </w:pPr>
      <w:bookmarkStart w:id="19" w:name="_Toc515205194"/>
      <w:bookmarkStart w:id="20" w:name="_Toc529196521"/>
      <w:r>
        <w:rPr>
          <w:rFonts w:hint="eastAsia" w:ascii="宋体" w:hAnsi="宋体"/>
          <w:b/>
          <w:sz w:val="28"/>
          <w:szCs w:val="28"/>
        </w:rPr>
        <w:t>1.1 招标项目概况</w:t>
      </w:r>
      <w:bookmarkEnd w:id="19"/>
      <w:bookmarkEnd w:id="20"/>
    </w:p>
    <w:p w14:paraId="1A198AE0">
      <w:pPr>
        <w:spacing w:line="360" w:lineRule="auto"/>
        <w:ind w:firstLine="420" w:firstLineChars="200"/>
        <w:rPr>
          <w:rFonts w:ascii="宋体" w:hAnsi="宋体"/>
          <w:szCs w:val="21"/>
        </w:rPr>
      </w:pPr>
      <w:r>
        <w:rPr>
          <w:rFonts w:hint="eastAsia" w:ascii="宋体" w:hAnsi="宋体"/>
          <w:szCs w:val="21"/>
        </w:rPr>
        <w:t>1.1.1根据《中华人民共和国招标投标法》、《中华人民共和国招标投标法实施条例》等有关法律、法规和规章的规定，本招标项目已具备招标条件，现对</w:t>
      </w:r>
      <w:r>
        <w:rPr>
          <w:rFonts w:hint="eastAsia" w:ascii="宋体" w:hAnsi="宋体"/>
          <w:szCs w:val="21"/>
          <w:lang w:val="en-US" w:eastAsia="zh-CN"/>
        </w:rPr>
        <w:t>第三方检测</w:t>
      </w:r>
      <w:r>
        <w:rPr>
          <w:rFonts w:hint="eastAsia" w:ascii="宋体" w:hAnsi="宋体"/>
          <w:szCs w:val="21"/>
        </w:rPr>
        <w:t>进行招标。</w:t>
      </w:r>
    </w:p>
    <w:p w14:paraId="6E0909FE">
      <w:pPr>
        <w:spacing w:line="360" w:lineRule="auto"/>
        <w:ind w:firstLine="420" w:firstLineChars="200"/>
        <w:rPr>
          <w:rFonts w:ascii="宋体" w:hAnsi="宋体"/>
          <w:szCs w:val="21"/>
        </w:rPr>
      </w:pPr>
      <w:r>
        <w:rPr>
          <w:rFonts w:hint="eastAsia" w:ascii="宋体" w:hAnsi="宋体"/>
          <w:szCs w:val="21"/>
        </w:rPr>
        <w:t>1.1.2 招标人：见投标人须知前附表。</w:t>
      </w:r>
    </w:p>
    <w:p w14:paraId="06BF287E">
      <w:pPr>
        <w:spacing w:line="360" w:lineRule="auto"/>
        <w:ind w:firstLine="420" w:firstLineChars="200"/>
        <w:rPr>
          <w:rFonts w:ascii="宋体" w:hAnsi="宋体"/>
          <w:szCs w:val="21"/>
        </w:rPr>
      </w:pPr>
      <w:r>
        <w:rPr>
          <w:rFonts w:hint="eastAsia" w:ascii="宋体" w:hAnsi="宋体"/>
          <w:szCs w:val="21"/>
        </w:rPr>
        <w:t>1.1.3 招标代理机构：见投标人须知前附表。</w:t>
      </w:r>
    </w:p>
    <w:p w14:paraId="58C6AFDB">
      <w:pPr>
        <w:spacing w:line="360" w:lineRule="auto"/>
        <w:ind w:firstLine="420" w:firstLineChars="200"/>
        <w:rPr>
          <w:rFonts w:ascii="宋体" w:hAnsi="宋体"/>
          <w:szCs w:val="21"/>
        </w:rPr>
      </w:pPr>
      <w:r>
        <w:rPr>
          <w:rFonts w:hint="eastAsia" w:ascii="宋体" w:hAnsi="宋体"/>
          <w:szCs w:val="21"/>
        </w:rPr>
        <w:t>1.1.4 招标项目名称：见投标人须知前附表。</w:t>
      </w:r>
    </w:p>
    <w:p w14:paraId="589316E2">
      <w:pPr>
        <w:spacing w:line="360" w:lineRule="auto"/>
        <w:ind w:firstLine="420" w:firstLineChars="200"/>
        <w:rPr>
          <w:rFonts w:ascii="宋体" w:hAnsi="宋体"/>
          <w:szCs w:val="21"/>
        </w:rPr>
      </w:pPr>
      <w:r>
        <w:rPr>
          <w:rFonts w:hint="eastAsia" w:ascii="宋体" w:hAnsi="宋体"/>
          <w:szCs w:val="21"/>
        </w:rPr>
        <w:t>1.1.5 项目建设地点：见投标人须知前附表。</w:t>
      </w:r>
    </w:p>
    <w:p w14:paraId="6920BC98">
      <w:pPr>
        <w:spacing w:line="360" w:lineRule="auto"/>
        <w:ind w:firstLine="420" w:firstLineChars="200"/>
        <w:rPr>
          <w:rFonts w:ascii="宋体" w:hAnsi="宋体"/>
          <w:szCs w:val="21"/>
        </w:rPr>
      </w:pPr>
      <w:r>
        <w:rPr>
          <w:rFonts w:hint="eastAsia" w:ascii="宋体" w:hAnsi="宋体"/>
          <w:szCs w:val="21"/>
        </w:rPr>
        <w:t>1.1.6 项目建设规模：见投标人须知前附表。</w:t>
      </w:r>
    </w:p>
    <w:p w14:paraId="56AC1E2E">
      <w:pPr>
        <w:spacing w:line="360" w:lineRule="auto"/>
        <w:ind w:firstLine="420" w:firstLineChars="200"/>
        <w:rPr>
          <w:rFonts w:ascii="宋体" w:hAnsi="宋体"/>
          <w:szCs w:val="21"/>
        </w:rPr>
      </w:pPr>
      <w:r>
        <w:rPr>
          <w:rFonts w:hint="eastAsia" w:ascii="宋体" w:hAnsi="宋体"/>
          <w:szCs w:val="21"/>
        </w:rPr>
        <w:t>1.1.7 工程项目施工预计开工日期和建设周期：见投标人须知前附表。</w:t>
      </w:r>
    </w:p>
    <w:p w14:paraId="46D8263B">
      <w:pPr>
        <w:spacing w:line="360" w:lineRule="auto"/>
        <w:ind w:firstLine="420" w:firstLineChars="200"/>
        <w:rPr>
          <w:rFonts w:ascii="宋体" w:hAnsi="宋体"/>
          <w:szCs w:val="21"/>
        </w:rPr>
      </w:pPr>
      <w:r>
        <w:rPr>
          <w:rFonts w:hint="eastAsia" w:ascii="宋体" w:hAnsi="宋体"/>
          <w:szCs w:val="21"/>
        </w:rPr>
        <w:t>1.1.8 建筑安装工程费/工程概算：见投标人须知前附表。</w:t>
      </w:r>
    </w:p>
    <w:p w14:paraId="622CF4C0">
      <w:pPr>
        <w:spacing w:before="240" w:beforeLines="100" w:after="240" w:afterLines="100"/>
        <w:rPr>
          <w:rFonts w:ascii="宋体" w:hAnsi="宋体"/>
          <w:b/>
          <w:sz w:val="28"/>
          <w:szCs w:val="28"/>
        </w:rPr>
      </w:pPr>
      <w:bookmarkStart w:id="21" w:name="_Toc529196522"/>
      <w:bookmarkStart w:id="22" w:name="_Toc515205195"/>
      <w:r>
        <w:rPr>
          <w:rFonts w:hint="eastAsia" w:ascii="宋体" w:hAnsi="宋体"/>
          <w:b/>
          <w:sz w:val="28"/>
          <w:szCs w:val="28"/>
        </w:rPr>
        <w:t>1.2 招标项目的资金来源和落实情况</w:t>
      </w:r>
      <w:bookmarkEnd w:id="21"/>
      <w:bookmarkEnd w:id="22"/>
    </w:p>
    <w:p w14:paraId="4A4102D6">
      <w:pPr>
        <w:spacing w:line="360" w:lineRule="auto"/>
        <w:ind w:firstLine="420" w:firstLineChars="200"/>
        <w:rPr>
          <w:rFonts w:ascii="宋体" w:hAnsi="宋体"/>
        </w:rPr>
      </w:pPr>
      <w:r>
        <w:rPr>
          <w:rFonts w:hint="eastAsia" w:ascii="宋体" w:hAnsi="宋体"/>
        </w:rPr>
        <w:t>1.2.1 资金来源及比例：见投标人须知前附表。</w:t>
      </w:r>
    </w:p>
    <w:p w14:paraId="78D440F3">
      <w:pPr>
        <w:spacing w:line="360" w:lineRule="auto"/>
        <w:ind w:firstLine="420" w:firstLineChars="200"/>
        <w:rPr>
          <w:rFonts w:ascii="宋体" w:hAnsi="宋体"/>
        </w:rPr>
      </w:pPr>
      <w:r>
        <w:rPr>
          <w:rFonts w:hint="eastAsia" w:ascii="宋体" w:hAnsi="宋体"/>
        </w:rPr>
        <w:t>1.2.2 资金落实情况：见投标人须知前附表。</w:t>
      </w:r>
    </w:p>
    <w:p w14:paraId="301D9D70">
      <w:pPr>
        <w:spacing w:before="240" w:beforeLines="100" w:after="240" w:afterLines="100"/>
        <w:rPr>
          <w:rFonts w:ascii="宋体" w:hAnsi="宋体"/>
          <w:b/>
          <w:sz w:val="28"/>
          <w:szCs w:val="28"/>
        </w:rPr>
      </w:pPr>
      <w:bookmarkStart w:id="23" w:name="_Toc515205196"/>
      <w:bookmarkStart w:id="24" w:name="_Toc529196523"/>
      <w:r>
        <w:rPr>
          <w:rFonts w:hint="eastAsia" w:ascii="宋体" w:hAnsi="宋体"/>
          <w:b/>
          <w:sz w:val="28"/>
          <w:szCs w:val="28"/>
        </w:rPr>
        <w:t>1.3招标范围、</w:t>
      </w:r>
      <w:r>
        <w:rPr>
          <w:rFonts w:hint="eastAsia" w:ascii="宋体" w:hAnsi="宋体"/>
          <w:b/>
          <w:sz w:val="28"/>
          <w:szCs w:val="28"/>
          <w:lang w:eastAsia="zh-CN"/>
        </w:rPr>
        <w:t>服务期限</w:t>
      </w:r>
      <w:r>
        <w:rPr>
          <w:rFonts w:hint="eastAsia" w:ascii="宋体" w:hAnsi="宋体"/>
          <w:b/>
          <w:sz w:val="28"/>
          <w:szCs w:val="28"/>
        </w:rPr>
        <w:t>和质量标准</w:t>
      </w:r>
      <w:bookmarkEnd w:id="23"/>
      <w:bookmarkEnd w:id="24"/>
    </w:p>
    <w:p w14:paraId="0C9D5788">
      <w:pPr>
        <w:spacing w:line="360" w:lineRule="auto"/>
        <w:ind w:firstLine="420" w:firstLineChars="200"/>
        <w:rPr>
          <w:rFonts w:ascii="宋体" w:hAnsi="宋体"/>
          <w:szCs w:val="21"/>
        </w:rPr>
      </w:pPr>
      <w:r>
        <w:rPr>
          <w:rFonts w:hint="eastAsia" w:ascii="宋体" w:hAnsi="宋体"/>
          <w:szCs w:val="21"/>
        </w:rPr>
        <w:t>1.3.1 招标范围：见投标人须知前附表。</w:t>
      </w:r>
    </w:p>
    <w:p w14:paraId="40ADF027">
      <w:pPr>
        <w:spacing w:line="360" w:lineRule="auto"/>
        <w:ind w:firstLine="420" w:firstLineChars="200"/>
        <w:rPr>
          <w:rFonts w:ascii="宋体" w:hAnsi="宋体"/>
          <w:szCs w:val="21"/>
        </w:rPr>
      </w:pPr>
      <w:r>
        <w:rPr>
          <w:rFonts w:hint="eastAsia" w:ascii="宋体" w:hAnsi="宋体"/>
          <w:szCs w:val="21"/>
        </w:rPr>
        <w:t xml:space="preserve">1.3.2 </w:t>
      </w:r>
      <w:r>
        <w:rPr>
          <w:rFonts w:hint="eastAsia" w:ascii="宋体" w:hAnsi="宋体"/>
          <w:szCs w:val="21"/>
          <w:lang w:eastAsia="zh-CN"/>
        </w:rPr>
        <w:t>服务期限</w:t>
      </w:r>
      <w:r>
        <w:rPr>
          <w:rFonts w:hint="eastAsia" w:ascii="宋体" w:hAnsi="宋体"/>
          <w:szCs w:val="21"/>
        </w:rPr>
        <w:t>：见投标人须知前附表。</w:t>
      </w:r>
    </w:p>
    <w:p w14:paraId="4284E543">
      <w:pPr>
        <w:spacing w:line="360" w:lineRule="auto"/>
        <w:ind w:firstLine="420" w:firstLineChars="200"/>
        <w:rPr>
          <w:rFonts w:ascii="宋体" w:hAnsi="宋体"/>
          <w:szCs w:val="21"/>
        </w:rPr>
      </w:pPr>
      <w:r>
        <w:rPr>
          <w:rFonts w:hint="eastAsia" w:ascii="宋体" w:hAnsi="宋体"/>
          <w:szCs w:val="21"/>
        </w:rPr>
        <w:t>1.3.3 质量标准：见投标人须知前附表。</w:t>
      </w:r>
    </w:p>
    <w:p w14:paraId="67FBF722">
      <w:pPr>
        <w:spacing w:before="240" w:beforeLines="100" w:after="240" w:afterLines="100"/>
        <w:rPr>
          <w:rFonts w:ascii="宋体" w:hAnsi="宋体"/>
          <w:b/>
          <w:sz w:val="28"/>
          <w:szCs w:val="28"/>
          <w:highlight w:val="none"/>
        </w:rPr>
      </w:pPr>
      <w:bookmarkStart w:id="25" w:name="_Toc529196524"/>
      <w:bookmarkStart w:id="26" w:name="_Toc515205197"/>
      <w:r>
        <w:rPr>
          <w:rFonts w:hint="eastAsia" w:ascii="宋体" w:hAnsi="宋体"/>
          <w:b/>
          <w:sz w:val="28"/>
          <w:szCs w:val="28"/>
          <w:highlight w:val="none"/>
        </w:rPr>
        <w:t>1.4投标人资格要求</w:t>
      </w:r>
      <w:bookmarkEnd w:id="25"/>
      <w:bookmarkEnd w:id="26"/>
    </w:p>
    <w:p w14:paraId="311ABDA8">
      <w:pPr>
        <w:spacing w:line="360" w:lineRule="auto"/>
        <w:ind w:firstLine="420" w:firstLineChars="200"/>
        <w:rPr>
          <w:rFonts w:ascii="宋体" w:hAnsi="宋体"/>
          <w:szCs w:val="21"/>
          <w:highlight w:val="none"/>
        </w:rPr>
      </w:pPr>
      <w:r>
        <w:rPr>
          <w:rFonts w:hint="eastAsia" w:ascii="宋体" w:hAnsi="宋体"/>
          <w:szCs w:val="21"/>
          <w:highlight w:val="none"/>
        </w:rPr>
        <w:t>1.4.1 投标人应具备承担本招标项目资质条件、能力和信誉：</w:t>
      </w:r>
    </w:p>
    <w:p w14:paraId="2A445F51">
      <w:pPr>
        <w:spacing w:line="360" w:lineRule="auto"/>
        <w:ind w:firstLine="315" w:firstLineChars="150"/>
        <w:rPr>
          <w:rFonts w:ascii="宋体" w:hAnsi="宋体"/>
          <w:szCs w:val="21"/>
        </w:rPr>
      </w:pPr>
      <w:r>
        <w:rPr>
          <w:rFonts w:hint="eastAsia" w:ascii="宋体" w:hAnsi="宋体"/>
          <w:szCs w:val="21"/>
        </w:rPr>
        <w:t>（1）资质要求：见投标人须知前附表；</w:t>
      </w:r>
    </w:p>
    <w:p w14:paraId="6C6D1294">
      <w:pPr>
        <w:spacing w:line="360" w:lineRule="auto"/>
        <w:ind w:firstLine="315" w:firstLineChars="150"/>
        <w:rPr>
          <w:rFonts w:ascii="宋体" w:hAnsi="宋体"/>
          <w:szCs w:val="21"/>
        </w:rPr>
      </w:pPr>
      <w:r>
        <w:rPr>
          <w:rFonts w:hint="eastAsia" w:ascii="宋体" w:hAnsi="宋体"/>
          <w:szCs w:val="21"/>
        </w:rPr>
        <w:t>（2）财务要求：见投标人须知前附表；</w:t>
      </w:r>
    </w:p>
    <w:p w14:paraId="79EA6B00">
      <w:pPr>
        <w:spacing w:line="360" w:lineRule="auto"/>
        <w:ind w:firstLine="315" w:firstLineChars="150"/>
        <w:rPr>
          <w:rFonts w:ascii="宋体" w:hAnsi="宋体"/>
          <w:szCs w:val="21"/>
        </w:rPr>
      </w:pPr>
      <w:r>
        <w:rPr>
          <w:rFonts w:hint="eastAsia" w:ascii="宋体" w:hAnsi="宋体"/>
          <w:szCs w:val="21"/>
        </w:rPr>
        <w:t>（3）业绩要求：见投标人须知前附表；</w:t>
      </w:r>
    </w:p>
    <w:p w14:paraId="10BD1A2F">
      <w:pPr>
        <w:spacing w:line="360" w:lineRule="auto"/>
        <w:ind w:firstLine="315" w:firstLineChars="150"/>
        <w:rPr>
          <w:rFonts w:ascii="宋体" w:hAnsi="宋体"/>
          <w:szCs w:val="21"/>
        </w:rPr>
      </w:pPr>
      <w:r>
        <w:rPr>
          <w:rFonts w:hint="eastAsia" w:ascii="宋体" w:hAnsi="宋体"/>
          <w:szCs w:val="21"/>
        </w:rPr>
        <w:t>（4）信誉要求：见投标人须知前附表；</w:t>
      </w:r>
    </w:p>
    <w:p w14:paraId="5770283D">
      <w:pPr>
        <w:spacing w:line="360" w:lineRule="auto"/>
        <w:ind w:firstLine="315" w:firstLineChars="150"/>
        <w:rPr>
          <w:rFonts w:ascii="宋体" w:hAnsi="宋体"/>
          <w:szCs w:val="21"/>
        </w:rPr>
      </w:pPr>
      <w:r>
        <w:rPr>
          <w:rFonts w:hint="eastAsia" w:ascii="宋体" w:hAnsi="宋体"/>
          <w:szCs w:val="21"/>
        </w:rPr>
        <w:t>（5）</w:t>
      </w:r>
      <w:r>
        <w:rPr>
          <w:rFonts w:hint="eastAsia" w:ascii="宋体" w:hAnsi="宋体"/>
          <w:szCs w:val="21"/>
          <w:lang w:val="en-US" w:eastAsia="zh-CN"/>
        </w:rPr>
        <w:t>项目负责人</w:t>
      </w:r>
      <w:r>
        <w:rPr>
          <w:rFonts w:hint="eastAsia" w:ascii="宋体" w:hAnsi="宋体"/>
          <w:szCs w:val="21"/>
        </w:rPr>
        <w:t>的资格要求：具体要求见投标人须知前附表；</w:t>
      </w:r>
    </w:p>
    <w:p w14:paraId="28CDFECF">
      <w:pPr>
        <w:spacing w:line="360" w:lineRule="auto"/>
        <w:ind w:firstLine="315" w:firstLineChars="150"/>
        <w:rPr>
          <w:rFonts w:ascii="宋体" w:hAnsi="宋体"/>
          <w:szCs w:val="21"/>
        </w:rPr>
      </w:pPr>
      <w:r>
        <w:rPr>
          <w:rFonts w:hint="eastAsia" w:ascii="宋体" w:hAnsi="宋体"/>
          <w:szCs w:val="21"/>
        </w:rPr>
        <w:t>（6）其他主要人员要求：见投标人须知前附表。</w:t>
      </w:r>
    </w:p>
    <w:p w14:paraId="4889B2AF">
      <w:pPr>
        <w:spacing w:line="360" w:lineRule="auto"/>
        <w:ind w:firstLine="315" w:firstLineChars="150"/>
        <w:rPr>
          <w:rFonts w:ascii="宋体" w:hAnsi="宋体"/>
          <w:szCs w:val="21"/>
        </w:rPr>
      </w:pPr>
      <w:r>
        <w:rPr>
          <w:rFonts w:hint="eastAsia" w:ascii="宋体" w:hAnsi="宋体"/>
          <w:szCs w:val="21"/>
        </w:rPr>
        <w:t>（7）试验检测仪器设备要求：见投标人须知前附表。</w:t>
      </w:r>
    </w:p>
    <w:p w14:paraId="1A712431">
      <w:pPr>
        <w:spacing w:line="360" w:lineRule="auto"/>
        <w:ind w:firstLine="315" w:firstLineChars="150"/>
        <w:rPr>
          <w:rFonts w:ascii="宋体" w:hAnsi="宋体"/>
          <w:szCs w:val="21"/>
        </w:rPr>
      </w:pPr>
      <w:r>
        <w:rPr>
          <w:rFonts w:hint="eastAsia" w:ascii="宋体" w:hAnsi="宋体"/>
          <w:szCs w:val="21"/>
        </w:rPr>
        <w:t>（8）其他要求：见投标人须知前附表。</w:t>
      </w:r>
    </w:p>
    <w:p w14:paraId="03FFC4C1">
      <w:pPr>
        <w:spacing w:line="360" w:lineRule="auto"/>
        <w:ind w:firstLine="420" w:firstLineChars="200"/>
        <w:rPr>
          <w:rFonts w:ascii="宋体" w:hAnsi="宋体"/>
          <w:szCs w:val="21"/>
        </w:rPr>
      </w:pPr>
      <w:r>
        <w:rPr>
          <w:rFonts w:hint="eastAsia" w:ascii="宋体" w:hAnsi="宋体"/>
          <w:szCs w:val="21"/>
        </w:rPr>
        <w:t>需要提交的相关证明材料见本章第3.5款的规定。</w:t>
      </w:r>
    </w:p>
    <w:p w14:paraId="2BAE05F3">
      <w:pPr>
        <w:spacing w:line="360" w:lineRule="auto"/>
        <w:ind w:firstLine="420" w:firstLineChars="200"/>
        <w:rPr>
          <w:rFonts w:ascii="宋体" w:hAnsi="宋体"/>
          <w:szCs w:val="21"/>
        </w:rPr>
      </w:pPr>
      <w:r>
        <w:rPr>
          <w:rFonts w:hint="eastAsia" w:ascii="宋体" w:hAnsi="宋体"/>
          <w:szCs w:val="21"/>
        </w:rPr>
        <w:t>1.4.2投标人须知前附表规定接受联合体投标的，联合体除应符合本章第1.4.1项和投标人须知前附表的要求外，还应遵守以下规定：</w:t>
      </w:r>
    </w:p>
    <w:p w14:paraId="49AD5FA3">
      <w:pPr>
        <w:spacing w:line="360" w:lineRule="auto"/>
        <w:ind w:firstLine="315" w:firstLineChars="150"/>
        <w:rPr>
          <w:rFonts w:ascii="宋体" w:hAnsi="宋体"/>
          <w:szCs w:val="21"/>
        </w:rPr>
      </w:pPr>
      <w:r>
        <w:rPr>
          <w:rFonts w:hint="eastAsia" w:ascii="宋体" w:hAnsi="宋体"/>
          <w:szCs w:val="21"/>
        </w:rPr>
        <w:t>（1）联合体各方应按招标文件提供的格式签订联合体协议书，明确联合体牵头人和各方权利义务，并承诺就中标项目向招标人承担连带责任；</w:t>
      </w:r>
    </w:p>
    <w:p w14:paraId="06F8E242">
      <w:pPr>
        <w:spacing w:line="360" w:lineRule="auto"/>
        <w:ind w:firstLine="315" w:firstLineChars="150"/>
        <w:rPr>
          <w:rFonts w:ascii="宋体" w:hAnsi="宋体"/>
          <w:szCs w:val="21"/>
        </w:rPr>
      </w:pPr>
      <w:r>
        <w:rPr>
          <w:rFonts w:hint="eastAsia" w:ascii="宋体" w:hAnsi="宋体"/>
          <w:szCs w:val="21"/>
        </w:rPr>
        <w:t>（2）由同一专业的单位组成的联合体，按照资质等级较低的单位确定资质等级；</w:t>
      </w:r>
    </w:p>
    <w:p w14:paraId="083B4406">
      <w:pPr>
        <w:spacing w:line="360" w:lineRule="auto"/>
        <w:ind w:firstLine="315" w:firstLineChars="150"/>
        <w:rPr>
          <w:rFonts w:ascii="宋体" w:hAnsi="宋体"/>
          <w:szCs w:val="21"/>
        </w:rPr>
      </w:pPr>
      <w:r>
        <w:rPr>
          <w:rFonts w:hint="eastAsia" w:ascii="宋体" w:hAnsi="宋体"/>
          <w:szCs w:val="21"/>
        </w:rPr>
        <w:t>（3）联合体各方不得再以自己名义单独或参加其他联合体在本招标项目中投标，否则各相关投标均无效。</w:t>
      </w:r>
    </w:p>
    <w:p w14:paraId="476CA814">
      <w:pPr>
        <w:spacing w:line="360" w:lineRule="auto"/>
        <w:ind w:firstLine="420" w:firstLineChars="200"/>
        <w:rPr>
          <w:rFonts w:ascii="宋体" w:hAnsi="宋体"/>
          <w:szCs w:val="21"/>
          <w:highlight w:val="none"/>
        </w:rPr>
      </w:pPr>
      <w:r>
        <w:rPr>
          <w:rFonts w:hint="eastAsia" w:ascii="宋体" w:hAnsi="宋体"/>
          <w:szCs w:val="21"/>
          <w:highlight w:val="none"/>
        </w:rPr>
        <w:t>1.4.3 投标人不得存在下列情形之一：</w:t>
      </w:r>
    </w:p>
    <w:p w14:paraId="459A8121">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w:t>
      </w:r>
      <w:r>
        <w:rPr>
          <w:rFonts w:hint="eastAsia" w:ascii="宋体" w:hAnsi="宋体" w:cs="宋体"/>
          <w:color w:val="auto"/>
          <w:szCs w:val="21"/>
          <w:highlight w:val="none"/>
          <w:u w:val="single"/>
        </w:rPr>
        <w:t>为招标人不具有独立法人资格的附属机构（单位）</w:t>
      </w:r>
      <w:r>
        <w:rPr>
          <w:rFonts w:hint="eastAsia" w:ascii="宋体" w:hAnsi="宋体" w:cs="宋体"/>
          <w:color w:val="auto"/>
          <w:highlight w:val="none"/>
          <w:u w:val="single"/>
        </w:rPr>
        <w:t>；</w:t>
      </w:r>
    </w:p>
    <w:p w14:paraId="5068E3BE">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（2）</w:t>
      </w:r>
      <w:r>
        <w:rPr>
          <w:rFonts w:hint="eastAsia" w:ascii="宋体" w:hAnsi="宋体" w:cs="宋体"/>
          <w:color w:val="auto"/>
          <w:szCs w:val="21"/>
          <w:highlight w:val="none"/>
          <w:u w:val="single"/>
        </w:rPr>
        <w:t>为本标段前期准备提供设计或咨询服务或者与本项目设计人或提供咨询服务的机构存在附属关系的</w:t>
      </w:r>
      <w:r>
        <w:rPr>
          <w:rFonts w:hint="eastAsia" w:ascii="宋体" w:hAnsi="宋体" w:cs="宋体"/>
          <w:color w:val="auto"/>
          <w:highlight w:val="none"/>
          <w:u w:val="single"/>
        </w:rPr>
        <w:t>；</w:t>
      </w:r>
    </w:p>
    <w:p w14:paraId="6236BC48">
      <w:pPr>
        <w:spacing w:line="360" w:lineRule="auto"/>
        <w:ind w:firstLine="420" w:firstLineChars="200"/>
        <w:rPr>
          <w:rFonts w:cs="宋体"/>
          <w:bCs/>
          <w:color w:val="auto"/>
          <w:szCs w:val="21"/>
          <w:highlight w:val="none"/>
          <w:u w:val="single"/>
        </w:rPr>
      </w:pPr>
      <w:r>
        <w:rPr>
          <w:rFonts w:hint="eastAsia" w:ascii="宋体" w:hAnsi="宋体" w:cs="宋体"/>
          <w:color w:val="auto"/>
          <w:highlight w:val="none"/>
          <w:u w:val="single"/>
        </w:rPr>
        <w:t>（3）</w:t>
      </w:r>
      <w:r>
        <w:rPr>
          <w:rFonts w:hint="eastAsia" w:cs="宋体"/>
          <w:bCs/>
          <w:color w:val="auto"/>
          <w:szCs w:val="21"/>
          <w:highlight w:val="none"/>
          <w:u w:val="single"/>
        </w:rPr>
        <w:t>为本标段监理人或者与本标段监理人存在隶属关系或者其他利害关系。</w:t>
      </w:r>
    </w:p>
    <w:p w14:paraId="52F101E1">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（4）</w:t>
      </w:r>
      <w:r>
        <w:rPr>
          <w:rFonts w:hint="eastAsia" w:ascii="宋体" w:hAnsi="宋体" w:cs="宋体"/>
          <w:color w:val="auto"/>
          <w:szCs w:val="21"/>
          <w:highlight w:val="none"/>
          <w:u w:val="single"/>
        </w:rPr>
        <w:t>为本标段的代建人</w:t>
      </w:r>
      <w:r>
        <w:rPr>
          <w:rFonts w:hint="eastAsia" w:ascii="宋体" w:hAnsi="宋体" w:cs="宋体"/>
          <w:color w:val="auto"/>
          <w:highlight w:val="none"/>
          <w:u w:val="single"/>
        </w:rPr>
        <w:t>；</w:t>
      </w:r>
    </w:p>
    <w:p w14:paraId="404989D9">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（5）</w:t>
      </w:r>
      <w:r>
        <w:rPr>
          <w:rFonts w:hint="eastAsia" w:ascii="宋体" w:hAnsi="宋体" w:cs="宋体"/>
          <w:color w:val="auto"/>
          <w:szCs w:val="21"/>
          <w:highlight w:val="none"/>
          <w:u w:val="single"/>
        </w:rPr>
        <w:t>为本标段提供招标代理服务的</w:t>
      </w:r>
      <w:r>
        <w:rPr>
          <w:rFonts w:hint="eastAsia" w:ascii="宋体" w:hAnsi="宋体" w:cs="宋体"/>
          <w:color w:val="auto"/>
          <w:highlight w:val="none"/>
          <w:u w:val="single"/>
        </w:rPr>
        <w:t>；</w:t>
      </w:r>
    </w:p>
    <w:p w14:paraId="1EEC2684">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（6）</w:t>
      </w:r>
      <w:r>
        <w:rPr>
          <w:rFonts w:hint="eastAsia" w:ascii="宋体" w:hAnsi="宋体" w:cs="宋体"/>
          <w:color w:val="auto"/>
          <w:szCs w:val="21"/>
          <w:highlight w:val="none"/>
          <w:u w:val="single"/>
        </w:rPr>
        <w:t>与本标段的设计人、监理人或代建人或招标代理机构同为一个法定代表人的</w:t>
      </w:r>
      <w:r>
        <w:rPr>
          <w:rFonts w:hint="eastAsia" w:ascii="宋体" w:hAnsi="宋体" w:cs="宋体"/>
          <w:color w:val="auto"/>
          <w:highlight w:val="none"/>
          <w:u w:val="single"/>
        </w:rPr>
        <w:t>；</w:t>
      </w:r>
    </w:p>
    <w:p w14:paraId="2548B80D">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（7）</w:t>
      </w:r>
      <w:r>
        <w:rPr>
          <w:rFonts w:hint="eastAsia" w:ascii="宋体" w:hAnsi="宋体" w:cs="宋体"/>
          <w:color w:val="auto"/>
          <w:szCs w:val="21"/>
          <w:highlight w:val="none"/>
          <w:u w:val="single"/>
        </w:rPr>
        <w:t>与本标段的设计人、监理人或代建人或招标代理机构互相控股或参股的</w:t>
      </w:r>
      <w:r>
        <w:rPr>
          <w:rFonts w:hint="eastAsia" w:ascii="宋体" w:hAnsi="宋体" w:cs="宋体"/>
          <w:color w:val="auto"/>
          <w:highlight w:val="none"/>
          <w:u w:val="single"/>
        </w:rPr>
        <w:t>；</w:t>
      </w:r>
    </w:p>
    <w:p w14:paraId="317BD7B1">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highlight w:val="none"/>
          <w:u w:val="single"/>
        </w:rPr>
        <w:t>（8）</w:t>
      </w:r>
      <w:r>
        <w:rPr>
          <w:rFonts w:hint="eastAsia" w:ascii="宋体" w:hAnsi="宋体" w:cs="宋体"/>
          <w:color w:val="auto"/>
          <w:szCs w:val="21"/>
          <w:highlight w:val="none"/>
          <w:u w:val="single"/>
        </w:rPr>
        <w:t>与本标段的设计人、监理人或代建人或招标代理机构相互任职或工作的；</w:t>
      </w:r>
    </w:p>
    <w:p w14:paraId="5504E400">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（9）</w:t>
      </w:r>
      <w:r>
        <w:rPr>
          <w:rFonts w:hint="eastAsia" w:ascii="宋体" w:hAnsi="宋体" w:cs="宋体"/>
          <w:color w:val="auto"/>
          <w:sz w:val="21"/>
          <w:szCs w:val="21"/>
          <w:highlight w:val="none"/>
          <w:u w:val="single"/>
        </w:rPr>
        <w:t>与本招标项目的施工承包人以及建筑材料、建筑构配件和设备供应商有隶属关系或者其他利害关系；</w:t>
      </w:r>
    </w:p>
    <w:p w14:paraId="27072B51">
      <w:pPr>
        <w:spacing w:line="360" w:lineRule="auto"/>
        <w:ind w:firstLine="420" w:firstLineChars="200"/>
        <w:rPr>
          <w:rFonts w:ascii="宋体" w:hAnsi="宋体" w:cs="宋体"/>
          <w:color w:val="auto"/>
          <w:highlight w:val="none"/>
          <w:u w:val="single"/>
        </w:rPr>
      </w:pPr>
      <w:r>
        <w:rPr>
          <w:rFonts w:hint="eastAsia" w:ascii="宋体" w:hAnsi="宋体" w:cs="宋体"/>
          <w:color w:val="auto"/>
          <w:szCs w:val="21"/>
          <w:highlight w:val="none"/>
          <w:u w:val="single"/>
        </w:rPr>
        <w:t>（10）与招标人存在利害关系且可能影响招标公正性</w:t>
      </w:r>
      <w:r>
        <w:rPr>
          <w:rFonts w:hint="eastAsia" w:ascii="宋体" w:hAnsi="宋体" w:cs="宋体"/>
          <w:color w:val="auto"/>
          <w:highlight w:val="none"/>
          <w:u w:val="single"/>
        </w:rPr>
        <w:t>；</w:t>
      </w:r>
    </w:p>
    <w:p w14:paraId="7182EC6C">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（11）</w:t>
      </w:r>
      <w:r>
        <w:rPr>
          <w:rFonts w:hint="eastAsia" w:ascii="宋体" w:hAnsi="宋体" w:cs="宋体"/>
          <w:color w:val="auto"/>
          <w:szCs w:val="21"/>
          <w:highlight w:val="none"/>
          <w:u w:val="single"/>
        </w:rPr>
        <w:t>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cs="宋体"/>
          <w:color w:val="auto"/>
          <w:highlight w:val="none"/>
          <w:u w:val="single"/>
        </w:rPr>
        <w:t>；</w:t>
      </w:r>
    </w:p>
    <w:p w14:paraId="747C0C6C">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（12）</w:t>
      </w:r>
      <w:r>
        <w:rPr>
          <w:rFonts w:hint="eastAsia" w:ascii="宋体" w:hAnsi="宋体" w:cs="宋体"/>
          <w:color w:val="auto"/>
          <w:szCs w:val="21"/>
          <w:highlight w:val="none"/>
          <w:u w:val="single"/>
        </w:rPr>
        <w:t>被责令停产停业、暂扣或者吊销许可证、暂扣或者吊销执照的（本项事实应当以根据《中华人民共和国行政处罚法》依法作出并已经生效的行政处罚决定为认定依据。）</w:t>
      </w:r>
      <w:r>
        <w:rPr>
          <w:rFonts w:hint="eastAsia" w:ascii="宋体" w:hAnsi="宋体" w:cs="宋体"/>
          <w:color w:val="auto"/>
          <w:highlight w:val="none"/>
          <w:u w:val="single"/>
        </w:rPr>
        <w:t>；</w:t>
      </w:r>
    </w:p>
    <w:p w14:paraId="1E05A3A7">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（13）</w:t>
      </w:r>
      <w:r>
        <w:rPr>
          <w:rFonts w:hint="eastAsia" w:ascii="宋体" w:hAnsi="宋体" w:cs="宋体"/>
          <w:color w:val="auto"/>
          <w:szCs w:val="21"/>
          <w:highlight w:val="none"/>
          <w:u w:val="single"/>
        </w:rPr>
        <w:t>进入清算程序，或被宣布破产，或其他丧失履约能力的情形</w:t>
      </w:r>
      <w:r>
        <w:rPr>
          <w:rFonts w:hint="eastAsia" w:ascii="宋体" w:hAnsi="宋体" w:cs="宋体"/>
          <w:color w:val="auto"/>
          <w:highlight w:val="none"/>
          <w:u w:val="single"/>
        </w:rPr>
        <w:t>；</w:t>
      </w:r>
    </w:p>
    <w:p w14:paraId="609AC6D9">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（14）</w:t>
      </w:r>
      <w:r>
        <w:rPr>
          <w:rFonts w:hint="eastAsia" w:ascii="宋体" w:hAnsi="宋体" w:cs="宋体"/>
          <w:color w:val="auto"/>
          <w:szCs w:val="21"/>
          <w:highlight w:val="none"/>
          <w:u w:val="single"/>
        </w:rPr>
        <w:t>在最近三年内有严重违约或发生重大检测监测质量问题（“严重违约”事实应当以司法机关、仲裁机构出具的认定文件为准。“重大检测监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517DA7C2">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（15）</w:t>
      </w:r>
      <w:r>
        <w:rPr>
          <w:rFonts w:hint="eastAsia" w:ascii="宋体" w:hAnsi="宋体" w:cs="宋体"/>
          <w:color w:val="auto"/>
          <w:szCs w:val="21"/>
          <w:highlight w:val="none"/>
          <w:u w:val="single"/>
        </w:rPr>
        <w:t>法律法规规定的其他情形</w:t>
      </w:r>
      <w:r>
        <w:rPr>
          <w:rFonts w:hint="eastAsia" w:ascii="宋体" w:hAnsi="宋体" w:cs="宋体"/>
          <w:color w:val="auto"/>
          <w:highlight w:val="none"/>
          <w:u w:val="single"/>
        </w:rPr>
        <w:t>。</w:t>
      </w:r>
    </w:p>
    <w:p w14:paraId="3510306E">
      <w:pPr>
        <w:spacing w:before="240" w:beforeLines="100" w:after="240" w:afterLines="100"/>
        <w:rPr>
          <w:rFonts w:ascii="宋体" w:hAnsi="宋体"/>
          <w:b/>
          <w:sz w:val="28"/>
          <w:szCs w:val="28"/>
        </w:rPr>
      </w:pPr>
      <w:bookmarkStart w:id="27" w:name="_Toc529196525"/>
      <w:bookmarkStart w:id="28" w:name="_Toc515205198"/>
      <w:r>
        <w:rPr>
          <w:rFonts w:hint="eastAsia" w:ascii="宋体" w:hAnsi="宋体"/>
          <w:b/>
          <w:sz w:val="28"/>
          <w:szCs w:val="28"/>
        </w:rPr>
        <w:t>1.5 费用承担</w:t>
      </w:r>
      <w:bookmarkEnd w:id="27"/>
      <w:bookmarkEnd w:id="28"/>
    </w:p>
    <w:p w14:paraId="66049408">
      <w:pPr>
        <w:spacing w:line="360" w:lineRule="auto"/>
        <w:ind w:firstLine="420" w:firstLineChars="200"/>
        <w:rPr>
          <w:rFonts w:ascii="宋体" w:hAnsi="宋体"/>
          <w:szCs w:val="21"/>
        </w:rPr>
      </w:pPr>
      <w:r>
        <w:rPr>
          <w:rFonts w:hint="eastAsia" w:ascii="宋体" w:hAnsi="宋体"/>
          <w:szCs w:val="21"/>
        </w:rPr>
        <w:t>投标人准备和参加投标活动发生的费用自理。</w:t>
      </w:r>
    </w:p>
    <w:p w14:paraId="65C5D6F8">
      <w:pPr>
        <w:spacing w:before="240" w:beforeLines="100" w:after="240" w:afterLines="100"/>
        <w:rPr>
          <w:rFonts w:ascii="宋体" w:hAnsi="宋体"/>
          <w:b/>
          <w:sz w:val="28"/>
          <w:szCs w:val="28"/>
        </w:rPr>
      </w:pPr>
      <w:bookmarkStart w:id="29" w:name="_Toc515205199"/>
      <w:bookmarkStart w:id="30" w:name="_Toc529196526"/>
      <w:r>
        <w:rPr>
          <w:rFonts w:hint="eastAsia" w:ascii="宋体" w:hAnsi="宋体"/>
          <w:b/>
          <w:sz w:val="28"/>
          <w:szCs w:val="28"/>
        </w:rPr>
        <w:t>1.6保密</w:t>
      </w:r>
      <w:bookmarkEnd w:id="29"/>
      <w:bookmarkEnd w:id="30"/>
    </w:p>
    <w:p w14:paraId="08BA8FF9">
      <w:pPr>
        <w:spacing w:line="360" w:lineRule="auto"/>
        <w:ind w:firstLine="420" w:firstLineChars="200"/>
        <w:rPr>
          <w:rFonts w:ascii="宋体" w:hAnsi="宋体"/>
        </w:rPr>
      </w:pPr>
      <w:r>
        <w:rPr>
          <w:rFonts w:hint="eastAsia" w:ascii="宋体" w:hAnsi="宋体"/>
        </w:rPr>
        <w:t>参与招标投标活动的各方应对招标文件和投标文件中</w:t>
      </w:r>
      <w:bookmarkStart w:id="31" w:name="_Toc361508589"/>
      <w:bookmarkStart w:id="32" w:name="_Toc352691477"/>
      <w:bookmarkStart w:id="33" w:name="_Toc5326"/>
      <w:bookmarkStart w:id="34" w:name="_Toc369531519"/>
      <w:bookmarkStart w:id="35" w:name="_Toc384308214"/>
      <w:r>
        <w:rPr>
          <w:rFonts w:hint="eastAsia" w:ascii="宋体" w:hAnsi="宋体"/>
        </w:rPr>
        <w:t>的商业和技术等秘密保密</w:t>
      </w:r>
      <w:bookmarkEnd w:id="31"/>
      <w:bookmarkEnd w:id="32"/>
      <w:bookmarkEnd w:id="33"/>
      <w:bookmarkEnd w:id="34"/>
      <w:bookmarkEnd w:id="35"/>
      <w:r>
        <w:rPr>
          <w:rFonts w:hint="eastAsia" w:ascii="宋体" w:hAnsi="宋体"/>
        </w:rPr>
        <w:t>，否则应承担相应的法律责任。</w:t>
      </w:r>
    </w:p>
    <w:p w14:paraId="6D7F31F9">
      <w:pPr>
        <w:spacing w:before="240" w:beforeLines="100" w:after="240" w:afterLines="100"/>
        <w:rPr>
          <w:rFonts w:ascii="宋体" w:hAnsi="宋体"/>
          <w:b/>
          <w:sz w:val="28"/>
          <w:szCs w:val="28"/>
        </w:rPr>
      </w:pPr>
      <w:bookmarkStart w:id="36" w:name="_Toc515205200"/>
      <w:bookmarkStart w:id="37" w:name="_Toc529196527"/>
      <w:r>
        <w:rPr>
          <w:rFonts w:hint="eastAsia" w:ascii="宋体" w:hAnsi="宋体"/>
          <w:b/>
          <w:sz w:val="28"/>
          <w:szCs w:val="28"/>
        </w:rPr>
        <w:t>1.7 语言文字</w:t>
      </w:r>
      <w:bookmarkEnd w:id="36"/>
      <w:bookmarkEnd w:id="37"/>
    </w:p>
    <w:p w14:paraId="4BAB059A">
      <w:pPr>
        <w:spacing w:line="360" w:lineRule="auto"/>
        <w:ind w:firstLine="420" w:firstLineChars="200"/>
        <w:rPr>
          <w:rFonts w:ascii="宋体" w:hAnsi="宋体"/>
        </w:rPr>
      </w:pPr>
      <w:r>
        <w:rPr>
          <w:rFonts w:hint="eastAsia" w:ascii="宋体" w:hAnsi="宋体"/>
        </w:rPr>
        <w:t>招标投标文件使用的语言文字为中文。专用术语使用外文的，应附有中文注释。</w:t>
      </w:r>
    </w:p>
    <w:p w14:paraId="0F623E4B">
      <w:pPr>
        <w:spacing w:before="240" w:beforeLines="100" w:after="240" w:afterLines="100"/>
        <w:rPr>
          <w:rFonts w:ascii="宋体" w:hAnsi="宋体"/>
          <w:b/>
          <w:sz w:val="28"/>
          <w:szCs w:val="28"/>
        </w:rPr>
      </w:pPr>
      <w:bookmarkStart w:id="38" w:name="_Toc529196528"/>
      <w:bookmarkStart w:id="39" w:name="_Toc515205201"/>
      <w:r>
        <w:rPr>
          <w:rFonts w:hint="eastAsia" w:ascii="宋体" w:hAnsi="宋体"/>
          <w:b/>
          <w:sz w:val="28"/>
          <w:szCs w:val="28"/>
        </w:rPr>
        <w:t>1.8计量单位</w:t>
      </w:r>
      <w:bookmarkEnd w:id="38"/>
      <w:bookmarkEnd w:id="39"/>
    </w:p>
    <w:p w14:paraId="51567BEB">
      <w:pPr>
        <w:spacing w:line="360" w:lineRule="auto"/>
        <w:ind w:firstLine="420" w:firstLineChars="200"/>
        <w:rPr>
          <w:rFonts w:ascii="宋体" w:hAnsi="宋体"/>
        </w:rPr>
      </w:pPr>
      <w:r>
        <w:rPr>
          <w:rFonts w:hint="eastAsia" w:ascii="宋体" w:hAnsi="宋体"/>
        </w:rPr>
        <w:t>所有计量均采用中华人民共和国法定计量单位。</w:t>
      </w:r>
    </w:p>
    <w:p w14:paraId="305EF27E">
      <w:pPr>
        <w:spacing w:before="240" w:beforeLines="100" w:after="240" w:afterLines="100"/>
        <w:rPr>
          <w:rFonts w:ascii="宋体" w:hAnsi="宋体"/>
          <w:b/>
          <w:sz w:val="28"/>
          <w:szCs w:val="28"/>
        </w:rPr>
      </w:pPr>
      <w:bookmarkStart w:id="40" w:name="_Toc361508594"/>
      <w:bookmarkStart w:id="41" w:name="_Toc152045539"/>
      <w:bookmarkStart w:id="42" w:name="_Toc529196529"/>
      <w:bookmarkStart w:id="43" w:name="_Toc247513962"/>
      <w:bookmarkStart w:id="44" w:name="_Toc144974507"/>
      <w:bookmarkStart w:id="45" w:name="_Toc384308219"/>
      <w:bookmarkStart w:id="46" w:name="_Toc300834959"/>
      <w:bookmarkStart w:id="47" w:name="_Toc152042315"/>
      <w:bookmarkStart w:id="48" w:name="_Toc247527563"/>
      <w:bookmarkStart w:id="49" w:name="_Toc391393967"/>
      <w:bookmarkStart w:id="50" w:name="_Toc482188480"/>
      <w:bookmarkStart w:id="51" w:name="_Toc370676289"/>
      <w:bookmarkStart w:id="52" w:name="_Toc515205202"/>
      <w:r>
        <w:rPr>
          <w:rFonts w:hint="eastAsia" w:ascii="宋体" w:hAnsi="宋体"/>
          <w:b/>
          <w:sz w:val="28"/>
          <w:szCs w:val="28"/>
        </w:rPr>
        <w:t>1.9 踏勘现场</w:t>
      </w:r>
      <w:bookmarkEnd w:id="40"/>
      <w:bookmarkEnd w:id="41"/>
      <w:bookmarkEnd w:id="42"/>
      <w:bookmarkEnd w:id="43"/>
      <w:bookmarkEnd w:id="44"/>
      <w:bookmarkEnd w:id="45"/>
      <w:bookmarkEnd w:id="46"/>
      <w:bookmarkEnd w:id="47"/>
      <w:bookmarkEnd w:id="48"/>
      <w:bookmarkEnd w:id="49"/>
      <w:bookmarkEnd w:id="50"/>
      <w:bookmarkEnd w:id="51"/>
      <w:bookmarkEnd w:id="52"/>
    </w:p>
    <w:p w14:paraId="67D47D94">
      <w:pPr>
        <w:spacing w:line="360" w:lineRule="auto"/>
        <w:ind w:firstLine="420" w:firstLineChars="200"/>
        <w:rPr>
          <w:rFonts w:ascii="宋体" w:hAnsi="宋体"/>
        </w:rPr>
      </w:pPr>
      <w:r>
        <w:rPr>
          <w:rFonts w:hint="eastAsia" w:ascii="宋体" w:hAnsi="宋体"/>
        </w:rPr>
        <w:t>1.9.1 投标人须知前附表规定组织踏勘现场的，招标人按投标人须知前附表规定的时间、地点组织投标人踏勘项目现场。部分投标人未按时参加踏勘现场的，不影响踏勘现场的正常进行。</w:t>
      </w:r>
    </w:p>
    <w:p w14:paraId="3B2F3D3F">
      <w:pPr>
        <w:spacing w:line="360" w:lineRule="auto"/>
        <w:ind w:firstLine="420" w:firstLineChars="200"/>
        <w:rPr>
          <w:rFonts w:ascii="宋体" w:hAnsi="宋体"/>
        </w:rPr>
      </w:pPr>
      <w:r>
        <w:rPr>
          <w:rFonts w:hint="eastAsia" w:ascii="宋体" w:hAnsi="宋体"/>
        </w:rPr>
        <w:t>1.9.2 投标人踏勘现场发生的费用自理。</w:t>
      </w:r>
    </w:p>
    <w:p w14:paraId="283F30E7">
      <w:pPr>
        <w:spacing w:line="360" w:lineRule="auto"/>
        <w:ind w:firstLine="420" w:firstLineChars="200"/>
        <w:rPr>
          <w:rFonts w:ascii="宋体" w:hAnsi="宋体"/>
        </w:rPr>
      </w:pPr>
      <w:r>
        <w:rPr>
          <w:rFonts w:hint="eastAsia" w:ascii="宋体" w:hAnsi="宋体"/>
        </w:rPr>
        <w:t>1.9.3 除招标人的原因外，投标人自行负责在踏勘现场中所发生的人员伤亡和财产损失。</w:t>
      </w:r>
    </w:p>
    <w:p w14:paraId="319F9F1C">
      <w:pPr>
        <w:spacing w:line="360" w:lineRule="auto"/>
        <w:ind w:firstLine="420" w:firstLineChars="200"/>
        <w:rPr>
          <w:rFonts w:ascii="宋体" w:hAnsi="宋体"/>
        </w:rPr>
      </w:pPr>
      <w:r>
        <w:rPr>
          <w:rFonts w:hint="eastAsia" w:ascii="宋体" w:hAnsi="宋体"/>
        </w:rPr>
        <w:t>1.9.4 招标人在踏勘现场中介绍的工程场地和相关的周边环境情况，供投标人在编制投标文件时参考，招标人不对投标人据此作出的判断和决策负责。</w:t>
      </w:r>
    </w:p>
    <w:p w14:paraId="285485D5">
      <w:pPr>
        <w:spacing w:before="240" w:beforeLines="100" w:after="240" w:afterLines="100"/>
        <w:rPr>
          <w:rFonts w:ascii="宋体" w:hAnsi="宋体"/>
          <w:b/>
          <w:sz w:val="28"/>
          <w:szCs w:val="28"/>
        </w:rPr>
      </w:pPr>
      <w:bookmarkStart w:id="53" w:name="_Toc515205203"/>
      <w:bookmarkStart w:id="54" w:name="_Toc529196530"/>
      <w:r>
        <w:rPr>
          <w:rFonts w:hint="eastAsia" w:ascii="宋体" w:hAnsi="宋体"/>
          <w:b/>
          <w:sz w:val="28"/>
          <w:szCs w:val="28"/>
        </w:rPr>
        <w:t>1.10投标预备会</w:t>
      </w:r>
      <w:bookmarkEnd w:id="53"/>
      <w:bookmarkEnd w:id="54"/>
    </w:p>
    <w:p w14:paraId="2A71FB95">
      <w:pPr>
        <w:spacing w:line="360" w:lineRule="auto"/>
        <w:ind w:firstLine="420" w:firstLineChars="200"/>
        <w:rPr>
          <w:rFonts w:ascii="宋体" w:hAnsi="宋体"/>
        </w:rPr>
      </w:pPr>
      <w:r>
        <w:rPr>
          <w:rFonts w:hint="eastAsia" w:ascii="宋体" w:hAnsi="宋体"/>
        </w:rPr>
        <w:t>1.10.1 投标人须知前附表规定召开投标预备会的，招标人按投标人须知前附表规定的时间和地点召开投标预备会，澄清投标人提出的问题。</w:t>
      </w:r>
    </w:p>
    <w:p w14:paraId="0E2214BF">
      <w:pPr>
        <w:spacing w:line="360" w:lineRule="auto"/>
        <w:ind w:firstLine="420" w:firstLineChars="200"/>
        <w:rPr>
          <w:rFonts w:ascii="宋体" w:hAnsi="宋体"/>
        </w:rPr>
      </w:pPr>
      <w:r>
        <w:rPr>
          <w:rFonts w:hint="eastAsia" w:ascii="宋体" w:hAnsi="宋体"/>
        </w:rPr>
        <w:t>1.10.2 投标人应按投标人须知前附表规定的时间和形式将提出的问题送达招标人，以便招标人在会议期间澄清。</w:t>
      </w:r>
    </w:p>
    <w:p w14:paraId="7D541CBC">
      <w:pPr>
        <w:spacing w:line="360" w:lineRule="auto"/>
        <w:ind w:firstLine="420" w:firstLineChars="200"/>
        <w:rPr>
          <w:rFonts w:ascii="宋体" w:hAnsi="宋体"/>
        </w:rPr>
      </w:pPr>
      <w:r>
        <w:rPr>
          <w:rFonts w:hint="eastAsia" w:ascii="宋体" w:hAnsi="宋体"/>
        </w:rPr>
        <w:t>1.10.3 投标预备会后，招标人将对投标人所提问题的澄清，以投标人须知前附表规定的形式通知所有购买招标文件的投标人。该澄清内容为招标文件的组成部分。</w:t>
      </w:r>
    </w:p>
    <w:p w14:paraId="0A93041C">
      <w:pPr>
        <w:spacing w:before="240" w:beforeLines="100" w:after="240" w:afterLines="100"/>
        <w:rPr>
          <w:rFonts w:ascii="宋体" w:hAnsi="宋体"/>
          <w:b/>
          <w:sz w:val="28"/>
          <w:szCs w:val="28"/>
        </w:rPr>
      </w:pPr>
      <w:bookmarkStart w:id="55" w:name="_Toc515205204"/>
      <w:bookmarkStart w:id="56" w:name="_Toc529196531"/>
      <w:r>
        <w:rPr>
          <w:rFonts w:hint="eastAsia" w:ascii="宋体" w:hAnsi="宋体"/>
          <w:b/>
          <w:sz w:val="28"/>
          <w:szCs w:val="28"/>
        </w:rPr>
        <w:t>1.11 分包</w:t>
      </w:r>
      <w:bookmarkEnd w:id="55"/>
      <w:bookmarkEnd w:id="56"/>
    </w:p>
    <w:p w14:paraId="0BAA43E5">
      <w:pPr>
        <w:spacing w:line="360" w:lineRule="auto"/>
        <w:ind w:firstLine="420" w:firstLineChars="200"/>
        <w:rPr>
          <w:rFonts w:ascii="宋体" w:hAnsi="宋体"/>
          <w:highlight w:val="none"/>
        </w:rPr>
      </w:pPr>
      <w:r>
        <w:rPr>
          <w:rFonts w:hint="eastAsia" w:ascii="宋体" w:hAnsi="宋体"/>
          <w:highlight w:val="none"/>
        </w:rPr>
        <w:t>本项目</w:t>
      </w:r>
      <w:r>
        <w:rPr>
          <w:rFonts w:hint="eastAsia" w:ascii="宋体" w:hAnsi="宋体"/>
          <w:highlight w:val="none"/>
          <w:lang w:val="en-US" w:eastAsia="zh-CN"/>
        </w:rPr>
        <w:t>不允许</w:t>
      </w:r>
      <w:r>
        <w:rPr>
          <w:rFonts w:hint="eastAsia" w:ascii="宋体" w:hAnsi="宋体"/>
          <w:highlight w:val="none"/>
        </w:rPr>
        <w:t>分包。</w:t>
      </w:r>
    </w:p>
    <w:p w14:paraId="3B335521">
      <w:pPr>
        <w:spacing w:before="240" w:beforeLines="100" w:after="240" w:afterLines="100"/>
        <w:rPr>
          <w:rFonts w:ascii="宋体" w:hAnsi="宋体"/>
          <w:b/>
          <w:sz w:val="28"/>
          <w:szCs w:val="28"/>
        </w:rPr>
      </w:pPr>
      <w:bookmarkStart w:id="57" w:name="_Toc515205205"/>
      <w:bookmarkStart w:id="58" w:name="_Toc529196532"/>
      <w:r>
        <w:rPr>
          <w:rFonts w:hint="eastAsia" w:ascii="宋体" w:hAnsi="宋体"/>
          <w:b/>
          <w:sz w:val="28"/>
          <w:szCs w:val="28"/>
        </w:rPr>
        <w:t>1.12响应和偏差</w:t>
      </w:r>
      <w:bookmarkEnd w:id="57"/>
      <w:bookmarkEnd w:id="58"/>
    </w:p>
    <w:p w14:paraId="54D3D05E">
      <w:pPr>
        <w:spacing w:line="360" w:lineRule="auto"/>
        <w:ind w:firstLine="420" w:firstLineChars="200"/>
        <w:rPr>
          <w:rFonts w:ascii="宋体" w:hAnsi="宋体"/>
        </w:rPr>
      </w:pPr>
      <w:r>
        <w:rPr>
          <w:rFonts w:hint="eastAsia" w:ascii="宋体" w:hAnsi="宋体"/>
        </w:rPr>
        <w:t>1.12.1投标文件应当对招标文件的实质性要求和条件作出满足性或更有利于招标人的响应，否则，投标人的投标将被否决。实质性要求和条件见投标人须知前附表。</w:t>
      </w:r>
    </w:p>
    <w:p w14:paraId="529AABE4">
      <w:pPr>
        <w:spacing w:line="360" w:lineRule="auto"/>
        <w:ind w:firstLine="420" w:firstLineChars="200"/>
        <w:rPr>
          <w:rFonts w:ascii="宋体" w:hAnsi="宋体"/>
        </w:rPr>
      </w:pPr>
      <w:r>
        <w:rPr>
          <w:rFonts w:hint="eastAsia" w:ascii="宋体" w:hAnsi="宋体"/>
        </w:rPr>
        <w:t>1.12.2 投标人应根据招标文件的要求提供投标</w:t>
      </w:r>
      <w:r>
        <w:rPr>
          <w:rFonts w:hint="eastAsia" w:ascii="宋体" w:hAnsi="宋体"/>
          <w:lang w:eastAsia="zh-CN"/>
        </w:rPr>
        <w:t>检测方案</w:t>
      </w:r>
      <w:r>
        <w:rPr>
          <w:rFonts w:hint="eastAsia" w:ascii="宋体" w:hAnsi="宋体"/>
        </w:rPr>
        <w:t>等内容以对招标文件作出响应。</w:t>
      </w:r>
    </w:p>
    <w:p w14:paraId="7B16BFB7">
      <w:pPr>
        <w:spacing w:line="360" w:lineRule="auto"/>
        <w:ind w:firstLine="420" w:firstLineChars="200"/>
        <w:rPr>
          <w:rFonts w:ascii="宋体" w:hAnsi="宋体"/>
        </w:rPr>
      </w:pPr>
      <w:r>
        <w:rPr>
          <w:rFonts w:hint="eastAsia" w:ascii="宋体" w:hAnsi="宋体"/>
        </w:rPr>
        <w:t>1.12.3投标人须知前附表允许投标文件偏离招标文件某些要求的，偏差应当符合招标文件规定的偏差范围和幅度。</w:t>
      </w:r>
    </w:p>
    <w:p w14:paraId="4C3187DB">
      <w:pPr>
        <w:spacing w:before="260"/>
        <w:outlineLvl w:val="2"/>
        <w:rPr>
          <w:rFonts w:ascii="宋体" w:hAnsi="宋体"/>
          <w:b/>
          <w:sz w:val="32"/>
          <w:szCs w:val="32"/>
        </w:rPr>
      </w:pPr>
      <w:bookmarkStart w:id="59" w:name="_Toc529196533"/>
      <w:bookmarkStart w:id="60" w:name="_Toc515205206"/>
      <w:r>
        <w:rPr>
          <w:rFonts w:hint="eastAsia" w:ascii="宋体" w:hAnsi="宋体"/>
          <w:b/>
          <w:sz w:val="32"/>
          <w:szCs w:val="32"/>
        </w:rPr>
        <w:t>2. 招标文件</w:t>
      </w:r>
      <w:bookmarkEnd w:id="59"/>
      <w:bookmarkEnd w:id="60"/>
    </w:p>
    <w:p w14:paraId="2C6AD213">
      <w:pPr>
        <w:spacing w:before="240" w:beforeLines="100" w:after="240" w:afterLines="100"/>
        <w:rPr>
          <w:rFonts w:ascii="宋体" w:hAnsi="宋体"/>
          <w:b/>
          <w:sz w:val="28"/>
          <w:szCs w:val="28"/>
        </w:rPr>
      </w:pPr>
      <w:bookmarkStart w:id="61" w:name="_Toc515205207"/>
      <w:bookmarkStart w:id="62" w:name="_Toc529196534"/>
      <w:r>
        <w:rPr>
          <w:rFonts w:hint="eastAsia" w:ascii="宋体" w:hAnsi="宋体"/>
          <w:b/>
          <w:sz w:val="28"/>
          <w:szCs w:val="28"/>
        </w:rPr>
        <w:t>2.1 招标文件的组成</w:t>
      </w:r>
      <w:bookmarkEnd w:id="61"/>
      <w:bookmarkEnd w:id="62"/>
    </w:p>
    <w:p w14:paraId="6EACF943">
      <w:pPr>
        <w:spacing w:line="360" w:lineRule="auto"/>
        <w:ind w:firstLine="359" w:firstLineChars="171"/>
        <w:rPr>
          <w:rFonts w:ascii="宋体" w:hAnsi="宋体"/>
        </w:rPr>
      </w:pPr>
      <w:r>
        <w:rPr>
          <w:rFonts w:hint="eastAsia" w:ascii="宋体" w:hAnsi="宋体"/>
        </w:rPr>
        <w:t>本招标文件包括：</w:t>
      </w:r>
    </w:p>
    <w:p w14:paraId="63B96F22">
      <w:pPr>
        <w:spacing w:line="360" w:lineRule="auto"/>
        <w:ind w:firstLine="359" w:firstLineChars="171"/>
        <w:rPr>
          <w:rFonts w:ascii="宋体" w:hAnsi="宋体"/>
        </w:rPr>
      </w:pPr>
      <w:r>
        <w:rPr>
          <w:rFonts w:hint="eastAsia" w:ascii="宋体" w:hAnsi="宋体"/>
        </w:rPr>
        <w:t>（1）招标公告；</w:t>
      </w:r>
    </w:p>
    <w:p w14:paraId="78579F40">
      <w:pPr>
        <w:spacing w:line="360" w:lineRule="auto"/>
        <w:ind w:firstLine="359" w:firstLineChars="171"/>
        <w:rPr>
          <w:rFonts w:ascii="宋体" w:hAnsi="宋体"/>
        </w:rPr>
      </w:pPr>
      <w:r>
        <w:rPr>
          <w:rFonts w:hint="eastAsia" w:ascii="宋体" w:hAnsi="宋体"/>
        </w:rPr>
        <w:t>（2）投标人须知；</w:t>
      </w:r>
    </w:p>
    <w:p w14:paraId="0A7D25E2">
      <w:pPr>
        <w:spacing w:line="360" w:lineRule="auto"/>
        <w:ind w:firstLine="359" w:firstLineChars="171"/>
        <w:rPr>
          <w:rFonts w:ascii="宋体" w:hAnsi="宋体"/>
        </w:rPr>
      </w:pPr>
      <w:r>
        <w:rPr>
          <w:rFonts w:hint="eastAsia" w:ascii="宋体" w:hAnsi="宋体"/>
        </w:rPr>
        <w:t>（3）评标办法；</w:t>
      </w:r>
    </w:p>
    <w:p w14:paraId="63EEBB84">
      <w:pPr>
        <w:spacing w:line="360" w:lineRule="auto"/>
        <w:ind w:firstLine="359" w:firstLineChars="171"/>
        <w:rPr>
          <w:rFonts w:ascii="宋体" w:hAnsi="宋体"/>
        </w:rPr>
      </w:pPr>
      <w:r>
        <w:rPr>
          <w:rFonts w:hint="eastAsia" w:ascii="宋体" w:hAnsi="宋体"/>
        </w:rPr>
        <w:t>（4）合同条款及格式；</w:t>
      </w:r>
    </w:p>
    <w:p w14:paraId="0E05A268">
      <w:pPr>
        <w:spacing w:line="360" w:lineRule="auto"/>
        <w:ind w:firstLine="359" w:firstLineChars="171"/>
        <w:rPr>
          <w:rFonts w:ascii="宋体" w:hAnsi="宋体"/>
        </w:rPr>
      </w:pPr>
      <w:r>
        <w:rPr>
          <w:rFonts w:hint="eastAsia" w:ascii="宋体" w:hAnsi="宋体"/>
        </w:rPr>
        <w:t>（5）</w:t>
      </w:r>
      <w:r>
        <w:rPr>
          <w:rFonts w:hint="eastAsia" w:ascii="宋体" w:hAnsi="宋体"/>
          <w:lang w:val="en-US" w:eastAsia="zh-CN"/>
        </w:rPr>
        <w:t>检测及监测清单</w:t>
      </w:r>
      <w:r>
        <w:rPr>
          <w:rFonts w:hint="eastAsia" w:ascii="宋体" w:hAnsi="宋体"/>
        </w:rPr>
        <w:t>；</w:t>
      </w:r>
    </w:p>
    <w:p w14:paraId="4E602C4D">
      <w:pPr>
        <w:spacing w:line="360" w:lineRule="auto"/>
        <w:ind w:firstLine="359" w:firstLineChars="171"/>
        <w:rPr>
          <w:rFonts w:ascii="宋体" w:hAnsi="宋体"/>
        </w:rPr>
      </w:pPr>
      <w:r>
        <w:rPr>
          <w:rFonts w:hint="eastAsia" w:ascii="宋体" w:hAnsi="宋体"/>
        </w:rPr>
        <w:t>（6）投标文件格式；</w:t>
      </w:r>
    </w:p>
    <w:p w14:paraId="2476282E">
      <w:pPr>
        <w:spacing w:line="360" w:lineRule="auto"/>
        <w:ind w:firstLine="359" w:firstLineChars="171"/>
        <w:rPr>
          <w:rFonts w:ascii="宋体" w:hAnsi="宋体"/>
        </w:rPr>
      </w:pPr>
      <w:r>
        <w:rPr>
          <w:rFonts w:hint="eastAsia" w:ascii="宋体" w:hAnsi="宋体"/>
        </w:rPr>
        <w:t>（7）投标人须知前附表规定的其他资料。</w:t>
      </w:r>
    </w:p>
    <w:p w14:paraId="5D9E3A46">
      <w:pPr>
        <w:spacing w:line="360" w:lineRule="auto"/>
        <w:ind w:firstLine="420" w:firstLineChars="200"/>
        <w:rPr>
          <w:rFonts w:ascii="宋体" w:hAnsi="宋体"/>
        </w:rPr>
      </w:pPr>
      <w:r>
        <w:rPr>
          <w:rFonts w:hint="eastAsia" w:ascii="宋体" w:hAnsi="宋体"/>
        </w:rPr>
        <w:t>根据本章第1.10款、第2.2款和第2.3款对招标文件所作的澄清、修改，构成招标文件的组成部分。</w:t>
      </w:r>
    </w:p>
    <w:p w14:paraId="4DCBF5A3">
      <w:pPr>
        <w:spacing w:before="240" w:beforeLines="100" w:after="240" w:afterLines="100"/>
        <w:rPr>
          <w:rFonts w:ascii="宋体" w:hAnsi="宋体"/>
          <w:b/>
          <w:sz w:val="28"/>
          <w:szCs w:val="28"/>
        </w:rPr>
      </w:pPr>
      <w:bookmarkStart w:id="63" w:name="_Toc515205208"/>
      <w:bookmarkStart w:id="64" w:name="_Toc529196535"/>
      <w:r>
        <w:rPr>
          <w:rFonts w:hint="eastAsia" w:ascii="宋体" w:hAnsi="宋体"/>
          <w:b/>
          <w:sz w:val="28"/>
          <w:szCs w:val="28"/>
        </w:rPr>
        <w:t>2.2 招标文件的澄清</w:t>
      </w:r>
      <w:bookmarkEnd w:id="63"/>
      <w:bookmarkEnd w:id="64"/>
    </w:p>
    <w:p w14:paraId="703BF547">
      <w:pPr>
        <w:spacing w:line="360" w:lineRule="auto"/>
        <w:ind w:firstLine="359" w:firstLineChars="171"/>
        <w:rPr>
          <w:rFonts w:ascii="宋体" w:hAnsi="宋体"/>
        </w:rPr>
      </w:pPr>
      <w:r>
        <w:rPr>
          <w:rFonts w:hint="eastAsia" w:ascii="宋体" w:hAnsi="宋体"/>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20E27C9C">
      <w:pPr>
        <w:spacing w:line="360" w:lineRule="auto"/>
        <w:ind w:firstLine="359" w:firstLineChars="171"/>
        <w:rPr>
          <w:rFonts w:ascii="宋体" w:hAnsi="宋体"/>
        </w:rPr>
      </w:pPr>
      <w:r>
        <w:rPr>
          <w:rFonts w:hint="eastAsia" w:ascii="宋体" w:hAnsi="宋体"/>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14:paraId="1D98A7B7">
      <w:pPr>
        <w:spacing w:line="360" w:lineRule="auto"/>
        <w:ind w:firstLine="359" w:firstLineChars="171"/>
        <w:rPr>
          <w:rFonts w:ascii="宋体" w:hAnsi="宋体"/>
        </w:rPr>
      </w:pPr>
      <w:r>
        <w:rPr>
          <w:rFonts w:hint="eastAsia" w:ascii="宋体" w:hAnsi="宋体"/>
        </w:rPr>
        <w:t>2.2.3 投标人在收到澄清后，应按投标人须知前附表规定的时间和形式通知招标人，确认已收到该澄清。</w:t>
      </w:r>
    </w:p>
    <w:p w14:paraId="5AABD23A">
      <w:pPr>
        <w:spacing w:line="360" w:lineRule="auto"/>
        <w:ind w:firstLine="359" w:firstLineChars="171"/>
        <w:rPr>
          <w:rFonts w:ascii="宋体" w:hAnsi="宋体"/>
        </w:rPr>
      </w:pPr>
      <w:r>
        <w:rPr>
          <w:rFonts w:hint="eastAsia" w:ascii="宋体" w:hAnsi="宋体"/>
        </w:rPr>
        <w:t>2.2.4 除非招标人认为确有必要答复，否则，招标人有权拒绝回复投标人在本章第2.2.1项规定的时间后的任何澄清要求。</w:t>
      </w:r>
    </w:p>
    <w:p w14:paraId="193626F2">
      <w:pPr>
        <w:spacing w:before="240" w:beforeLines="100" w:after="240" w:afterLines="100"/>
        <w:rPr>
          <w:rFonts w:ascii="宋体" w:hAnsi="宋体"/>
          <w:b/>
          <w:sz w:val="28"/>
          <w:szCs w:val="28"/>
        </w:rPr>
      </w:pPr>
      <w:bookmarkStart w:id="65" w:name="_Toc529196536"/>
      <w:bookmarkStart w:id="66" w:name="_Toc515205209"/>
      <w:bookmarkStart w:id="67" w:name="_Toc352691479"/>
      <w:r>
        <w:rPr>
          <w:rFonts w:hint="eastAsia" w:ascii="宋体" w:hAnsi="宋体"/>
          <w:b/>
          <w:sz w:val="28"/>
          <w:szCs w:val="28"/>
        </w:rPr>
        <w:t>2.3 招标文件的修</w:t>
      </w:r>
      <w:bookmarkStart w:id="68" w:name="_Toc16514"/>
      <w:bookmarkStart w:id="69" w:name="_Toc369531521"/>
      <w:r>
        <w:rPr>
          <w:rFonts w:hint="eastAsia" w:ascii="宋体" w:hAnsi="宋体"/>
          <w:b/>
          <w:sz w:val="28"/>
          <w:szCs w:val="28"/>
        </w:rPr>
        <w:t>改</w:t>
      </w:r>
      <w:bookmarkEnd w:id="65"/>
      <w:bookmarkEnd w:id="66"/>
    </w:p>
    <w:p w14:paraId="1F70E7B0">
      <w:pPr>
        <w:spacing w:line="360" w:lineRule="auto"/>
        <w:ind w:firstLine="359" w:firstLineChars="171"/>
        <w:rPr>
          <w:rFonts w:ascii="宋体" w:hAnsi="宋体"/>
        </w:rPr>
      </w:pPr>
      <w:r>
        <w:rPr>
          <w:rFonts w:hint="eastAsia" w:ascii="宋体" w:hAnsi="宋体"/>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67"/>
    <w:bookmarkEnd w:id="68"/>
    <w:bookmarkEnd w:id="69"/>
    <w:p w14:paraId="42202C83">
      <w:pPr>
        <w:spacing w:line="360" w:lineRule="auto"/>
        <w:ind w:firstLine="359" w:firstLineChars="171"/>
        <w:rPr>
          <w:rFonts w:ascii="宋体" w:hAnsi="宋体"/>
        </w:rPr>
      </w:pPr>
      <w:r>
        <w:rPr>
          <w:rFonts w:hint="eastAsia" w:ascii="宋体" w:hAnsi="宋体"/>
        </w:rPr>
        <w:t xml:space="preserve">2.3.2 </w:t>
      </w:r>
      <w:r>
        <w:rPr>
          <w:rFonts w:hint="eastAsia" w:ascii="宋体" w:hAnsi="宋体" w:cs="宋体"/>
          <w:color w:val="auto"/>
          <w:highlight w:val="none"/>
          <w:u w:val="single"/>
        </w:rPr>
        <w:t>招标文件修改一经在广州公共资源交易中心网站发布，视作已发放给所有投标人，无需确认。潜在投标人应自行关注招标公告公布的网站公告，招标人不再一一通知。投标人因自身贻误行为导致投标失败的，责任自负。</w:t>
      </w:r>
      <w:bookmarkStart w:id="70" w:name="_Toc152045540"/>
      <w:bookmarkStart w:id="71" w:name="_Toc369531526"/>
      <w:bookmarkStart w:id="72" w:name="_Toc16623"/>
      <w:bookmarkStart w:id="73" w:name="_Toc300834960"/>
      <w:bookmarkStart w:id="74" w:name="_Toc384308220"/>
      <w:bookmarkStart w:id="75" w:name="_Toc361508595"/>
      <w:bookmarkStart w:id="76" w:name="_Toc144974508"/>
      <w:bookmarkStart w:id="77" w:name="_Toc247527564"/>
      <w:bookmarkStart w:id="78" w:name="_Toc352691484"/>
      <w:bookmarkStart w:id="79" w:name="_Toc247513963"/>
      <w:bookmarkStart w:id="80" w:name="_Toc152042316"/>
    </w:p>
    <w:p w14:paraId="2CB1124F">
      <w:pPr>
        <w:spacing w:before="240" w:beforeLines="100" w:after="240" w:afterLines="100"/>
        <w:rPr>
          <w:rFonts w:ascii="宋体" w:hAnsi="宋体"/>
          <w:b/>
          <w:sz w:val="28"/>
          <w:szCs w:val="28"/>
        </w:rPr>
      </w:pPr>
      <w:bookmarkStart w:id="81" w:name="_Toc515205210"/>
      <w:bookmarkStart w:id="82" w:name="_Toc529196537"/>
      <w:r>
        <w:rPr>
          <w:rFonts w:hint="eastAsia" w:ascii="宋体" w:hAnsi="宋体"/>
          <w:b/>
          <w:sz w:val="28"/>
          <w:szCs w:val="28"/>
        </w:rPr>
        <w:t>2.</w:t>
      </w:r>
      <w:bookmarkEnd w:id="70"/>
      <w:bookmarkEnd w:id="71"/>
      <w:bookmarkEnd w:id="72"/>
      <w:bookmarkEnd w:id="73"/>
      <w:bookmarkEnd w:id="74"/>
      <w:bookmarkEnd w:id="75"/>
      <w:bookmarkEnd w:id="76"/>
      <w:bookmarkEnd w:id="77"/>
      <w:bookmarkEnd w:id="78"/>
      <w:bookmarkEnd w:id="79"/>
      <w:bookmarkEnd w:id="80"/>
      <w:r>
        <w:rPr>
          <w:rFonts w:hint="eastAsia" w:ascii="宋体" w:hAnsi="宋体"/>
          <w:b/>
          <w:sz w:val="28"/>
          <w:szCs w:val="28"/>
        </w:rPr>
        <w:t>4 招标文件的异议</w:t>
      </w:r>
      <w:bookmarkEnd w:id="81"/>
      <w:bookmarkEnd w:id="82"/>
    </w:p>
    <w:p w14:paraId="1F6650E3">
      <w:pPr>
        <w:spacing w:before="0" w:line="360" w:lineRule="auto"/>
        <w:ind w:firstLine="359" w:firstLineChars="171"/>
        <w:outlineLvl w:val="9"/>
        <w:rPr>
          <w:rFonts w:hint="eastAsia" w:ascii="宋体" w:hAnsi="宋体"/>
          <w:b w:val="0"/>
          <w:sz w:val="21"/>
          <w:szCs w:val="22"/>
        </w:rPr>
      </w:pPr>
      <w:r>
        <w:rPr>
          <w:rFonts w:hint="eastAsia" w:ascii="宋体" w:hAnsi="宋体" w:cs="Times New Roman"/>
        </w:rPr>
        <w:t>投标人或者其他利害关系人对招标文件有异议的，应当在投标截止时间10日前向招标人提出，可以通过线下或线上的形式提出异议。线上提出异议的，应通过交易平台进行提交，招标人授权招标代理机构工作人员使用招标代理机构数字证书登录交易平台答复异议，异议答复是招标人真实意思表示。具体按照交易平台相关指南进行操作。招标人将在收到异议之日起3日内作出答复；作出答复前，将暂停招标投标活动。</w:t>
      </w:r>
      <w:bookmarkStart w:id="83" w:name="_Toc529196538"/>
      <w:bookmarkStart w:id="84" w:name="_Toc515205211"/>
    </w:p>
    <w:p w14:paraId="3821C98C">
      <w:pPr>
        <w:spacing w:before="260"/>
        <w:outlineLvl w:val="2"/>
        <w:rPr>
          <w:rFonts w:ascii="宋体" w:hAnsi="宋体"/>
          <w:b/>
          <w:sz w:val="32"/>
          <w:szCs w:val="32"/>
        </w:rPr>
      </w:pPr>
      <w:r>
        <w:rPr>
          <w:rFonts w:hint="eastAsia" w:ascii="宋体" w:hAnsi="宋体"/>
          <w:b/>
          <w:sz w:val="32"/>
          <w:szCs w:val="32"/>
        </w:rPr>
        <w:t>3. 投标文件</w:t>
      </w:r>
      <w:bookmarkEnd w:id="83"/>
      <w:bookmarkEnd w:id="84"/>
    </w:p>
    <w:p w14:paraId="0A4664BB">
      <w:pPr>
        <w:spacing w:before="240" w:beforeLines="100" w:after="240" w:afterLines="100"/>
        <w:rPr>
          <w:rFonts w:ascii="宋体" w:hAnsi="宋体"/>
          <w:b/>
          <w:sz w:val="28"/>
          <w:szCs w:val="28"/>
        </w:rPr>
      </w:pPr>
      <w:bookmarkStart w:id="85" w:name="_Toc515205212"/>
      <w:bookmarkStart w:id="86" w:name="_Toc529196539"/>
      <w:r>
        <w:rPr>
          <w:rFonts w:hint="eastAsia" w:ascii="宋体" w:hAnsi="宋体"/>
          <w:b/>
          <w:sz w:val="28"/>
          <w:szCs w:val="28"/>
        </w:rPr>
        <w:t>3.1 投标文件的组成</w:t>
      </w:r>
      <w:bookmarkEnd w:id="85"/>
      <w:bookmarkEnd w:id="86"/>
    </w:p>
    <w:p w14:paraId="16AE21BB">
      <w:pPr>
        <w:spacing w:line="360" w:lineRule="auto"/>
        <w:rPr>
          <w:rFonts w:ascii="宋体" w:hAnsi="宋体"/>
          <w:color w:val="auto"/>
        </w:rPr>
      </w:pPr>
      <w:r>
        <w:rPr>
          <w:rFonts w:hint="eastAsia" w:ascii="宋体" w:hAnsi="宋体"/>
          <w:color w:val="auto"/>
          <w:sz w:val="24"/>
        </w:rPr>
        <w:t>　</w:t>
      </w:r>
      <w:r>
        <w:rPr>
          <w:rFonts w:hint="eastAsia" w:ascii="宋体" w:hAnsi="宋体"/>
          <w:color w:val="auto"/>
        </w:rPr>
        <w:t>　3.1.1 投标文件应包括下列内容：</w:t>
      </w:r>
    </w:p>
    <w:p w14:paraId="301F3391">
      <w:pPr>
        <w:pStyle w:val="32"/>
        <w:ind w:firstLine="420"/>
        <w:rPr>
          <w:rFonts w:ascii="宋体" w:hAnsi="宋体"/>
          <w:color w:val="auto"/>
          <w:spacing w:val="0"/>
          <w:sz w:val="21"/>
        </w:rPr>
      </w:pPr>
      <w:r>
        <w:rPr>
          <w:rFonts w:hint="eastAsia" w:ascii="宋体" w:hAnsi="宋体"/>
          <w:color w:val="auto"/>
          <w:spacing w:val="0"/>
          <w:sz w:val="21"/>
        </w:rPr>
        <w:t>（1）投标函及投标函附录；</w:t>
      </w:r>
    </w:p>
    <w:p w14:paraId="6FBE07D5">
      <w:pPr>
        <w:pStyle w:val="32"/>
        <w:ind w:firstLine="420"/>
        <w:rPr>
          <w:rFonts w:ascii="宋体" w:hAnsi="宋体"/>
          <w:color w:val="auto"/>
          <w:spacing w:val="0"/>
          <w:sz w:val="21"/>
        </w:rPr>
      </w:pPr>
      <w:r>
        <w:rPr>
          <w:rFonts w:hint="eastAsia" w:ascii="宋体" w:hAnsi="宋体"/>
          <w:color w:val="auto"/>
          <w:spacing w:val="0"/>
          <w:sz w:val="21"/>
        </w:rPr>
        <w:t>（2）法定代表人身份证明或授权委托书；</w:t>
      </w:r>
    </w:p>
    <w:p w14:paraId="43194945">
      <w:pPr>
        <w:pStyle w:val="32"/>
        <w:ind w:firstLine="420"/>
        <w:rPr>
          <w:rFonts w:hint="eastAsia" w:ascii="宋体" w:hAnsi="宋体" w:cs="Times New Roman"/>
          <w:color w:val="auto"/>
          <w:spacing w:val="0"/>
          <w:sz w:val="21"/>
          <w:lang w:val="en-US" w:eastAsia="zh-CN"/>
        </w:rPr>
      </w:pPr>
      <w:r>
        <w:rPr>
          <w:rFonts w:hint="eastAsia" w:ascii="宋体" w:hAnsi="宋体" w:eastAsia="宋体" w:cs="Times New Roman"/>
          <w:color w:val="auto"/>
          <w:spacing w:val="0"/>
          <w:sz w:val="21"/>
        </w:rPr>
        <w:t>（</w:t>
      </w:r>
      <w:r>
        <w:rPr>
          <w:rFonts w:hint="eastAsia" w:ascii="宋体" w:hAnsi="宋体" w:cs="Times New Roman"/>
          <w:color w:val="auto"/>
          <w:spacing w:val="0"/>
          <w:sz w:val="21"/>
          <w:lang w:val="en-US" w:eastAsia="zh-CN"/>
        </w:rPr>
        <w:t>3</w:t>
      </w:r>
      <w:r>
        <w:rPr>
          <w:rFonts w:hint="eastAsia" w:ascii="宋体" w:hAnsi="宋体" w:eastAsia="宋体" w:cs="Times New Roman"/>
          <w:color w:val="auto"/>
          <w:spacing w:val="0"/>
          <w:sz w:val="21"/>
        </w:rPr>
        <w:t>）</w:t>
      </w:r>
      <w:r>
        <w:rPr>
          <w:rFonts w:hint="eastAsia" w:ascii="宋体" w:hAnsi="宋体" w:cs="Times New Roman"/>
          <w:color w:val="auto"/>
          <w:spacing w:val="0"/>
          <w:sz w:val="21"/>
          <w:lang w:val="en-US" w:eastAsia="zh-CN"/>
        </w:rPr>
        <w:t>检测及监测清单</w:t>
      </w:r>
    </w:p>
    <w:p w14:paraId="57FC1C76">
      <w:pPr>
        <w:pStyle w:val="32"/>
        <w:ind w:firstLine="420"/>
        <w:rPr>
          <w:rFonts w:hint="eastAsia" w:ascii="宋体" w:hAnsi="宋体" w:eastAsia="宋体" w:cs="Times New Roman"/>
          <w:color w:val="auto"/>
          <w:spacing w:val="0"/>
          <w:sz w:val="21"/>
        </w:rPr>
      </w:pPr>
      <w:r>
        <w:rPr>
          <w:rFonts w:hint="eastAsia" w:ascii="宋体" w:hAnsi="宋体" w:eastAsia="宋体" w:cs="Times New Roman"/>
          <w:color w:val="auto"/>
          <w:spacing w:val="0"/>
          <w:sz w:val="21"/>
        </w:rPr>
        <w:t>（</w:t>
      </w:r>
      <w:r>
        <w:rPr>
          <w:rFonts w:hint="eastAsia" w:ascii="宋体" w:hAnsi="宋体" w:cs="Times New Roman"/>
          <w:color w:val="auto"/>
          <w:spacing w:val="0"/>
          <w:sz w:val="21"/>
          <w:lang w:val="en-US" w:eastAsia="zh-CN"/>
        </w:rPr>
        <w:t>4</w:t>
      </w:r>
      <w:r>
        <w:rPr>
          <w:rFonts w:hint="eastAsia" w:ascii="宋体" w:hAnsi="宋体" w:eastAsia="宋体" w:cs="Times New Roman"/>
          <w:color w:val="auto"/>
          <w:spacing w:val="0"/>
          <w:sz w:val="21"/>
        </w:rPr>
        <w:t>）资格审查资料</w:t>
      </w:r>
      <w:r>
        <w:rPr>
          <w:rFonts w:hint="eastAsia" w:ascii="宋体" w:hAnsi="宋体" w:eastAsia="宋体" w:cs="Times New Roman"/>
          <w:color w:val="auto"/>
          <w:spacing w:val="0"/>
          <w:sz w:val="21"/>
          <w:lang w:val="zh-CN"/>
        </w:rPr>
        <w:t>；</w:t>
      </w:r>
    </w:p>
    <w:p w14:paraId="391D81C6">
      <w:pPr>
        <w:pStyle w:val="32"/>
        <w:ind w:firstLine="420"/>
        <w:rPr>
          <w:rFonts w:hint="eastAsia" w:ascii="宋体" w:hAnsi="宋体" w:eastAsia="宋体" w:cs="Times New Roman"/>
          <w:color w:val="auto"/>
          <w:spacing w:val="0"/>
          <w:sz w:val="21"/>
        </w:rPr>
      </w:pPr>
      <w:r>
        <w:rPr>
          <w:rFonts w:hint="eastAsia" w:ascii="宋体" w:hAnsi="宋体" w:eastAsia="宋体" w:cs="Times New Roman"/>
          <w:color w:val="auto"/>
          <w:spacing w:val="0"/>
          <w:sz w:val="21"/>
          <w:lang w:eastAsia="zh-CN"/>
        </w:rPr>
        <w:t>（</w:t>
      </w:r>
      <w:r>
        <w:rPr>
          <w:rFonts w:hint="eastAsia" w:ascii="宋体" w:hAnsi="宋体" w:cs="Times New Roman"/>
          <w:color w:val="auto"/>
          <w:spacing w:val="0"/>
          <w:sz w:val="21"/>
          <w:lang w:val="en-US" w:eastAsia="zh-CN"/>
        </w:rPr>
        <w:t>5</w:t>
      </w:r>
      <w:r>
        <w:rPr>
          <w:rFonts w:hint="eastAsia" w:ascii="宋体" w:hAnsi="宋体" w:eastAsia="宋体" w:cs="Times New Roman"/>
          <w:color w:val="auto"/>
          <w:spacing w:val="0"/>
          <w:sz w:val="21"/>
          <w:lang w:eastAsia="zh-CN"/>
        </w:rPr>
        <w:t>）</w:t>
      </w:r>
      <w:r>
        <w:rPr>
          <w:rFonts w:hint="eastAsia" w:ascii="宋体" w:hAnsi="宋体" w:cs="Times New Roman"/>
          <w:color w:val="auto"/>
          <w:spacing w:val="0"/>
          <w:sz w:val="21"/>
          <w:lang w:val="en-US" w:eastAsia="zh-CN"/>
        </w:rPr>
        <w:t>类似</w:t>
      </w:r>
      <w:r>
        <w:rPr>
          <w:rFonts w:hint="eastAsia" w:ascii="宋体" w:hAnsi="宋体" w:eastAsia="宋体" w:cs="Times New Roman"/>
          <w:color w:val="auto"/>
          <w:spacing w:val="0"/>
          <w:sz w:val="21"/>
          <w:lang w:val="en-US" w:eastAsia="zh-CN"/>
        </w:rPr>
        <w:t>业绩</w:t>
      </w:r>
      <w:r>
        <w:rPr>
          <w:rFonts w:hint="eastAsia" w:ascii="宋体" w:hAnsi="宋体" w:eastAsia="宋体" w:cs="Times New Roman"/>
          <w:color w:val="auto"/>
          <w:spacing w:val="0"/>
          <w:sz w:val="21"/>
        </w:rPr>
        <w:t>；</w:t>
      </w:r>
    </w:p>
    <w:p w14:paraId="4E56CFD0">
      <w:pPr>
        <w:pStyle w:val="32"/>
        <w:ind w:firstLine="420"/>
        <w:rPr>
          <w:rFonts w:hint="eastAsia" w:ascii="宋体" w:hAnsi="宋体" w:eastAsia="宋体" w:cs="Times New Roman"/>
          <w:color w:val="auto"/>
          <w:spacing w:val="0"/>
          <w:sz w:val="21"/>
        </w:rPr>
      </w:pPr>
      <w:r>
        <w:rPr>
          <w:rFonts w:hint="eastAsia" w:ascii="宋体" w:hAnsi="宋体" w:eastAsia="宋体" w:cs="Times New Roman"/>
          <w:color w:val="auto"/>
          <w:spacing w:val="0"/>
          <w:sz w:val="21"/>
        </w:rPr>
        <w:t>（</w:t>
      </w:r>
      <w:r>
        <w:rPr>
          <w:rFonts w:hint="eastAsia" w:ascii="宋体" w:hAnsi="宋体" w:cs="Times New Roman"/>
          <w:color w:val="auto"/>
          <w:spacing w:val="0"/>
          <w:sz w:val="21"/>
          <w:lang w:val="en-US" w:eastAsia="zh-CN"/>
        </w:rPr>
        <w:t>6</w:t>
      </w:r>
      <w:r>
        <w:rPr>
          <w:rFonts w:hint="eastAsia" w:ascii="宋体" w:hAnsi="宋体" w:eastAsia="宋体" w:cs="Times New Roman"/>
          <w:color w:val="auto"/>
          <w:spacing w:val="0"/>
          <w:sz w:val="21"/>
        </w:rPr>
        <w:t>）</w:t>
      </w:r>
      <w:r>
        <w:rPr>
          <w:rFonts w:hint="eastAsia" w:ascii="宋体" w:hAnsi="宋体" w:cs="Times New Roman"/>
          <w:color w:val="auto"/>
          <w:spacing w:val="0"/>
          <w:sz w:val="21"/>
          <w:lang w:val="en-US" w:eastAsia="zh-CN"/>
        </w:rPr>
        <w:t>企业</w:t>
      </w:r>
      <w:r>
        <w:rPr>
          <w:rFonts w:hint="eastAsia" w:ascii="宋体" w:hAnsi="宋体" w:eastAsia="宋体" w:cs="Times New Roman"/>
          <w:color w:val="auto"/>
          <w:spacing w:val="0"/>
          <w:sz w:val="21"/>
          <w:lang w:val="en-US" w:eastAsia="zh-CN"/>
        </w:rPr>
        <w:t>资信</w:t>
      </w:r>
      <w:r>
        <w:rPr>
          <w:rFonts w:hint="eastAsia" w:ascii="宋体" w:hAnsi="宋体" w:cs="Times New Roman"/>
          <w:color w:val="auto"/>
          <w:spacing w:val="0"/>
          <w:sz w:val="21"/>
          <w:lang w:val="en-US" w:eastAsia="zh-CN"/>
        </w:rPr>
        <w:t>实力、获奖证明资料等</w:t>
      </w:r>
      <w:r>
        <w:rPr>
          <w:rFonts w:hint="eastAsia" w:ascii="宋体" w:hAnsi="宋体" w:eastAsia="宋体" w:cs="Times New Roman"/>
          <w:color w:val="auto"/>
          <w:spacing w:val="0"/>
          <w:sz w:val="21"/>
          <w:lang w:val="en-US" w:eastAsia="zh-CN"/>
        </w:rPr>
        <w:t>；</w:t>
      </w:r>
    </w:p>
    <w:p w14:paraId="2D19DFAC">
      <w:pPr>
        <w:pStyle w:val="32"/>
        <w:ind w:firstLine="420"/>
        <w:rPr>
          <w:rFonts w:hint="eastAsia" w:ascii="宋体" w:hAnsi="宋体" w:eastAsia="宋体" w:cs="Times New Roman"/>
          <w:b w:val="0"/>
          <w:bCs w:val="0"/>
          <w:color w:val="auto"/>
          <w:spacing w:val="0"/>
          <w:kern w:val="0"/>
          <w:sz w:val="21"/>
          <w:szCs w:val="24"/>
          <w:lang w:eastAsia="zh-CN"/>
        </w:rPr>
      </w:pPr>
      <w:r>
        <w:rPr>
          <w:rFonts w:hint="eastAsia" w:ascii="宋体" w:hAnsi="宋体" w:eastAsia="宋体" w:cs="Times New Roman"/>
          <w:color w:val="auto"/>
          <w:spacing w:val="0"/>
          <w:sz w:val="21"/>
          <w:lang w:eastAsia="zh-CN"/>
        </w:rPr>
        <w:t>（</w:t>
      </w:r>
      <w:r>
        <w:rPr>
          <w:rFonts w:hint="eastAsia" w:ascii="宋体" w:hAnsi="宋体" w:cs="Times New Roman"/>
          <w:color w:val="auto"/>
          <w:spacing w:val="0"/>
          <w:sz w:val="21"/>
          <w:lang w:val="en-US" w:eastAsia="zh-CN"/>
        </w:rPr>
        <w:t>7</w:t>
      </w:r>
      <w:r>
        <w:rPr>
          <w:rFonts w:hint="eastAsia" w:ascii="宋体" w:hAnsi="宋体" w:eastAsia="宋体" w:cs="Times New Roman"/>
          <w:color w:val="auto"/>
          <w:spacing w:val="0"/>
          <w:sz w:val="21"/>
          <w:lang w:eastAsia="zh-CN"/>
        </w:rPr>
        <w:t>）</w:t>
      </w:r>
      <w:r>
        <w:rPr>
          <w:rFonts w:hint="eastAsia" w:ascii="宋体" w:hAnsi="宋体" w:cs="Times New Roman"/>
          <w:color w:val="auto"/>
          <w:spacing w:val="0"/>
          <w:sz w:val="21"/>
          <w:lang w:val="en-US" w:eastAsia="zh-CN"/>
        </w:rPr>
        <w:t>拟投入本项目人员一览表</w:t>
      </w:r>
      <w:r>
        <w:rPr>
          <w:rFonts w:hint="eastAsia" w:ascii="宋体" w:hAnsi="宋体" w:eastAsia="宋体" w:cs="Times New Roman"/>
          <w:color w:val="auto"/>
          <w:spacing w:val="0"/>
          <w:sz w:val="21"/>
        </w:rPr>
        <w:t>；</w:t>
      </w:r>
    </w:p>
    <w:p w14:paraId="4ECCBB40">
      <w:pPr>
        <w:pStyle w:val="32"/>
        <w:ind w:firstLine="420"/>
        <w:rPr>
          <w:rFonts w:hint="eastAsia" w:ascii="宋体" w:hAnsi="宋体" w:eastAsia="宋体" w:cs="Times New Roman"/>
          <w:b w:val="0"/>
          <w:bCs w:val="0"/>
          <w:color w:val="auto"/>
          <w:spacing w:val="0"/>
          <w:kern w:val="0"/>
          <w:sz w:val="21"/>
          <w:szCs w:val="24"/>
          <w:lang w:val="en-US" w:eastAsia="zh-CN"/>
        </w:rPr>
      </w:pPr>
      <w:r>
        <w:rPr>
          <w:rFonts w:hint="eastAsia" w:ascii="宋体" w:hAnsi="宋体" w:eastAsia="宋体" w:cs="Times New Roman"/>
          <w:b w:val="0"/>
          <w:bCs w:val="0"/>
          <w:color w:val="auto"/>
          <w:spacing w:val="0"/>
          <w:kern w:val="0"/>
          <w:sz w:val="21"/>
          <w:szCs w:val="24"/>
          <w:lang w:eastAsia="zh-CN"/>
        </w:rPr>
        <w:t>（</w:t>
      </w:r>
      <w:r>
        <w:rPr>
          <w:rFonts w:hint="eastAsia" w:ascii="宋体" w:hAnsi="宋体" w:cs="Times New Roman"/>
          <w:b w:val="0"/>
          <w:bCs w:val="0"/>
          <w:color w:val="auto"/>
          <w:spacing w:val="0"/>
          <w:kern w:val="0"/>
          <w:sz w:val="21"/>
          <w:szCs w:val="24"/>
          <w:lang w:val="en-US" w:eastAsia="zh-CN"/>
        </w:rPr>
        <w:t>8</w:t>
      </w:r>
      <w:r>
        <w:rPr>
          <w:rFonts w:hint="eastAsia" w:ascii="宋体" w:hAnsi="宋体" w:eastAsia="宋体" w:cs="Times New Roman"/>
          <w:b w:val="0"/>
          <w:bCs w:val="0"/>
          <w:color w:val="auto"/>
          <w:spacing w:val="0"/>
          <w:kern w:val="0"/>
          <w:sz w:val="21"/>
          <w:szCs w:val="24"/>
          <w:lang w:val="en-US" w:eastAsia="zh-CN"/>
        </w:rPr>
        <w:t>）检测监测技术方案；</w:t>
      </w:r>
    </w:p>
    <w:p w14:paraId="2B231F80">
      <w:pPr>
        <w:pStyle w:val="32"/>
        <w:ind w:firstLine="420"/>
        <w:rPr>
          <w:rFonts w:hint="eastAsia" w:ascii="宋体" w:hAnsi="宋体" w:eastAsia="宋体" w:cs="Times New Roman"/>
          <w:color w:val="auto"/>
          <w:spacing w:val="0"/>
          <w:sz w:val="21"/>
        </w:rPr>
      </w:pPr>
      <w:r>
        <w:rPr>
          <w:rFonts w:hint="eastAsia" w:ascii="宋体" w:hAnsi="宋体" w:eastAsia="宋体" w:cs="Times New Roman"/>
          <w:b w:val="0"/>
          <w:bCs w:val="0"/>
          <w:color w:val="auto"/>
          <w:spacing w:val="0"/>
          <w:kern w:val="0"/>
          <w:sz w:val="21"/>
          <w:szCs w:val="24"/>
          <w:lang w:val="en-US" w:eastAsia="zh-CN"/>
        </w:rPr>
        <w:t>（</w:t>
      </w:r>
      <w:r>
        <w:rPr>
          <w:rFonts w:hint="eastAsia" w:ascii="宋体" w:hAnsi="宋体" w:cs="Times New Roman"/>
          <w:b w:val="0"/>
          <w:bCs w:val="0"/>
          <w:color w:val="auto"/>
          <w:spacing w:val="0"/>
          <w:kern w:val="0"/>
          <w:sz w:val="21"/>
          <w:szCs w:val="24"/>
          <w:lang w:val="en-US" w:eastAsia="zh-CN"/>
        </w:rPr>
        <w:t>9</w:t>
      </w:r>
      <w:r>
        <w:rPr>
          <w:rFonts w:hint="eastAsia" w:ascii="宋体" w:hAnsi="宋体" w:eastAsia="宋体" w:cs="Times New Roman"/>
          <w:b w:val="0"/>
          <w:bCs w:val="0"/>
          <w:color w:val="auto"/>
          <w:spacing w:val="0"/>
          <w:kern w:val="0"/>
          <w:sz w:val="21"/>
          <w:szCs w:val="24"/>
          <w:lang w:val="en-US" w:eastAsia="zh-CN"/>
        </w:rPr>
        <w:t>）其他资料</w:t>
      </w:r>
    </w:p>
    <w:p w14:paraId="640C3D1B">
      <w:pPr>
        <w:spacing w:line="360" w:lineRule="auto"/>
        <w:ind w:firstLine="420" w:firstLineChars="200"/>
        <w:rPr>
          <w:rFonts w:ascii="宋体" w:hAnsi="宋体"/>
          <w:strike/>
        </w:rPr>
      </w:pPr>
      <w:r>
        <w:rPr>
          <w:rFonts w:hint="eastAsia" w:ascii="宋体" w:hAnsi="宋体"/>
        </w:rPr>
        <w:t>投标人在评标过程中作出的符合法律法规和招标文件规定的澄清确认，构成投标文件的组成部分。</w:t>
      </w:r>
    </w:p>
    <w:p w14:paraId="50C97531">
      <w:pPr>
        <w:spacing w:before="240" w:beforeLines="100" w:after="240" w:afterLines="100"/>
        <w:rPr>
          <w:rFonts w:ascii="宋体" w:hAnsi="宋体"/>
          <w:b/>
          <w:sz w:val="28"/>
          <w:szCs w:val="28"/>
        </w:rPr>
      </w:pPr>
      <w:bookmarkStart w:id="87" w:name="_Toc515205213"/>
      <w:bookmarkStart w:id="88" w:name="_Toc529196540"/>
      <w:bookmarkStart w:id="89" w:name="_Toc514876754"/>
      <w:r>
        <w:rPr>
          <w:rFonts w:hint="eastAsia" w:ascii="宋体" w:hAnsi="宋体"/>
          <w:b/>
          <w:sz w:val="28"/>
          <w:szCs w:val="28"/>
        </w:rPr>
        <w:t>3.2 投标报价</w:t>
      </w:r>
      <w:bookmarkEnd w:id="87"/>
      <w:bookmarkEnd w:id="88"/>
      <w:bookmarkEnd w:id="89"/>
    </w:p>
    <w:p w14:paraId="6ED88055">
      <w:pPr>
        <w:pStyle w:val="32"/>
        <w:ind w:firstLine="420"/>
        <w:rPr>
          <w:rFonts w:ascii="宋体" w:hAnsi="宋体"/>
          <w:spacing w:val="0"/>
          <w:sz w:val="21"/>
        </w:rPr>
      </w:pPr>
      <w:r>
        <w:rPr>
          <w:rFonts w:hint="eastAsia" w:ascii="宋体" w:hAnsi="宋体"/>
          <w:spacing w:val="0"/>
          <w:sz w:val="21"/>
        </w:rPr>
        <w:t>3.2.1 投标报价应包括国家规定的增值税税金，除投标人须知前附表另有规定外，增值税税金按一般计税方法计算。投标人应按第六章“投标文件格式”的要求在投标函中进行报价。</w:t>
      </w:r>
    </w:p>
    <w:p w14:paraId="6087BA52">
      <w:pPr>
        <w:pStyle w:val="32"/>
        <w:ind w:firstLine="420"/>
        <w:rPr>
          <w:rFonts w:ascii="宋体" w:hAnsi="宋体"/>
          <w:spacing w:val="0"/>
          <w:sz w:val="21"/>
        </w:rPr>
      </w:pPr>
      <w:r>
        <w:rPr>
          <w:rFonts w:hint="eastAsia" w:ascii="宋体" w:hAnsi="宋体"/>
          <w:spacing w:val="0"/>
          <w:sz w:val="21"/>
        </w:rPr>
        <w:t>3.2.2 投标人应充分了解该项目的总体情况以及影响投标报价的其他要素。</w:t>
      </w:r>
    </w:p>
    <w:p w14:paraId="5A061C0B">
      <w:pPr>
        <w:pStyle w:val="32"/>
        <w:ind w:firstLine="420"/>
        <w:rPr>
          <w:rFonts w:ascii="宋体" w:hAnsi="宋体"/>
          <w:spacing w:val="0"/>
          <w:sz w:val="21"/>
        </w:rPr>
      </w:pPr>
      <w:r>
        <w:rPr>
          <w:rFonts w:hint="eastAsia" w:ascii="宋体" w:hAnsi="宋体"/>
          <w:spacing w:val="0"/>
          <w:sz w:val="21"/>
        </w:rPr>
        <w:t>3.2.3本项目的报价方式见投标人须知前附表。投标人在投标截止时间前修改投标函中的投标报价总额</w:t>
      </w:r>
      <w:r>
        <w:rPr>
          <w:rFonts w:hint="eastAsia" w:ascii="宋体" w:hAnsi="宋体"/>
          <w:spacing w:val="0"/>
          <w:sz w:val="21"/>
          <w:lang w:eastAsia="zh-CN"/>
        </w:rPr>
        <w:t>。</w:t>
      </w:r>
      <w:r>
        <w:rPr>
          <w:rFonts w:hint="eastAsia" w:ascii="宋体" w:hAnsi="宋体"/>
          <w:spacing w:val="0"/>
          <w:sz w:val="21"/>
        </w:rPr>
        <w:t>此修改须符合本章第 4.3 款的有关要求。</w:t>
      </w:r>
    </w:p>
    <w:p w14:paraId="704EDDF4">
      <w:pPr>
        <w:spacing w:line="360" w:lineRule="auto"/>
        <w:ind w:firstLine="420" w:firstLineChars="200"/>
        <w:rPr>
          <w:rFonts w:ascii="宋体" w:hAnsi="宋体"/>
        </w:rPr>
      </w:pPr>
      <w:r>
        <w:rPr>
          <w:rFonts w:hint="eastAsia" w:ascii="宋体" w:hAnsi="宋体"/>
        </w:rPr>
        <w:t>3.2.4．招标人设有最高投标限价的，投标人的投标报价不得超过最高投标限价，最高投标限价在投标人须知前附表中载明。</w:t>
      </w:r>
    </w:p>
    <w:p w14:paraId="77C2A4F7">
      <w:pPr>
        <w:spacing w:line="360" w:lineRule="auto"/>
        <w:ind w:firstLine="420" w:firstLineChars="200"/>
        <w:rPr>
          <w:rFonts w:ascii="宋体" w:hAnsi="宋体"/>
        </w:rPr>
      </w:pPr>
      <w:r>
        <w:rPr>
          <w:rFonts w:hint="eastAsia" w:ascii="宋体" w:hAnsi="宋体"/>
        </w:rPr>
        <w:t>3.2.5 投标报价的其他要求见投标人须知前附表3.2.5。</w:t>
      </w:r>
    </w:p>
    <w:p w14:paraId="1ED422B0">
      <w:pPr>
        <w:spacing w:before="240" w:beforeLines="100" w:after="240" w:afterLines="100"/>
        <w:rPr>
          <w:rFonts w:ascii="宋体" w:hAnsi="宋体"/>
          <w:b/>
          <w:sz w:val="28"/>
          <w:szCs w:val="28"/>
        </w:rPr>
      </w:pPr>
      <w:bookmarkStart w:id="90" w:name="_Toc515205214"/>
      <w:bookmarkStart w:id="91" w:name="_Toc529196541"/>
      <w:r>
        <w:rPr>
          <w:rFonts w:hint="eastAsia" w:ascii="宋体" w:hAnsi="宋体"/>
          <w:b/>
          <w:sz w:val="28"/>
          <w:szCs w:val="28"/>
        </w:rPr>
        <w:t>3.3 投标有效期</w:t>
      </w:r>
      <w:bookmarkEnd w:id="90"/>
      <w:bookmarkEnd w:id="91"/>
    </w:p>
    <w:p w14:paraId="6C3A320A">
      <w:pPr>
        <w:spacing w:line="360" w:lineRule="auto"/>
        <w:ind w:firstLine="420" w:firstLineChars="200"/>
        <w:rPr>
          <w:rFonts w:ascii="宋体" w:hAnsi="宋体"/>
        </w:rPr>
      </w:pPr>
      <w:r>
        <w:rPr>
          <w:rFonts w:hint="eastAsia" w:ascii="宋体" w:hAnsi="宋体"/>
        </w:rPr>
        <w:t>3.3.1 除投标人须知前附表另有规定外，投标有效期为</w:t>
      </w:r>
      <w:r>
        <w:rPr>
          <w:rFonts w:hint="eastAsia" w:ascii="宋体" w:hAnsi="宋体"/>
          <w:lang w:val="en-US" w:eastAsia="zh-CN"/>
        </w:rPr>
        <w:t>9</w:t>
      </w:r>
      <w:r>
        <w:rPr>
          <w:rFonts w:hint="eastAsia" w:ascii="宋体" w:hAnsi="宋体"/>
        </w:rPr>
        <w:t>0</w:t>
      </w:r>
      <w:r>
        <w:rPr>
          <w:rFonts w:hint="eastAsia" w:ascii="宋体" w:hAnsi="宋体"/>
          <w:lang w:val="en-US" w:eastAsia="zh-CN"/>
        </w:rPr>
        <w:t>日历</w:t>
      </w:r>
      <w:r>
        <w:rPr>
          <w:rFonts w:hint="eastAsia" w:ascii="宋体" w:hAnsi="宋体"/>
        </w:rPr>
        <w:t>天。</w:t>
      </w:r>
    </w:p>
    <w:p w14:paraId="041D6CD6">
      <w:pPr>
        <w:spacing w:line="360" w:lineRule="auto"/>
        <w:ind w:firstLine="420" w:firstLineChars="200"/>
        <w:rPr>
          <w:rFonts w:ascii="宋体" w:hAnsi="宋体"/>
        </w:rPr>
      </w:pPr>
      <w:r>
        <w:rPr>
          <w:rFonts w:hint="eastAsia" w:ascii="宋体" w:hAnsi="宋体"/>
        </w:rPr>
        <w:t>3.3.2 在投标有效期内，投标人撤销投标文件的，应承担招标文件和法律规定的责任。</w:t>
      </w:r>
    </w:p>
    <w:p w14:paraId="0F7F6BC0">
      <w:pPr>
        <w:spacing w:line="360" w:lineRule="auto"/>
        <w:ind w:firstLine="420" w:firstLineChars="200"/>
        <w:rPr>
          <w:rFonts w:ascii="宋体" w:hAnsi="宋体"/>
        </w:rPr>
      </w:pPr>
      <w:r>
        <w:rPr>
          <w:rFonts w:hint="eastAsia" w:ascii="宋体" w:hAnsi="宋体"/>
        </w:rPr>
        <w:t>3.3.3 出现特殊情况需要延长投标有效期的，招标人以书面形式通知所有投标人延长投标有效期。投标人应予以书面答复，同意延长的，应相应延长其投标保证金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的有效期，但不得要求或被允许修改其投标文件；投标人拒绝延长的，其投标失效，但投标人有权收回其投标保证金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及以现金或者支票形式递交的投标保证金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的银行同期存款利息。</w:t>
      </w:r>
    </w:p>
    <w:p w14:paraId="3916B966">
      <w:pPr>
        <w:spacing w:before="240" w:beforeLines="100" w:after="240" w:afterLines="100"/>
        <w:rPr>
          <w:rFonts w:ascii="宋体" w:hAnsi="宋体"/>
          <w:b/>
          <w:strike w:val="0"/>
          <w:sz w:val="28"/>
          <w:szCs w:val="28"/>
        </w:rPr>
      </w:pPr>
      <w:bookmarkStart w:id="92" w:name="_Toc515205215"/>
      <w:bookmarkStart w:id="93" w:name="_Toc529196542"/>
      <w:r>
        <w:rPr>
          <w:rFonts w:hint="eastAsia" w:ascii="宋体" w:hAnsi="宋体"/>
          <w:b/>
          <w:strike w:val="0"/>
          <w:sz w:val="28"/>
          <w:szCs w:val="28"/>
        </w:rPr>
        <w:t>3.4 投标保证金</w:t>
      </w:r>
      <w:bookmarkEnd w:id="92"/>
      <w:bookmarkEnd w:id="93"/>
    </w:p>
    <w:p w14:paraId="1BBA2047">
      <w:pPr>
        <w:spacing w:line="360" w:lineRule="auto"/>
        <w:ind w:firstLine="420" w:firstLineChars="200"/>
        <w:rPr>
          <w:rFonts w:hint="eastAsia" w:ascii="宋体" w:hAnsi="宋体" w:eastAsia="宋体" w:cs="Times New Roman"/>
          <w:sz w:val="21"/>
          <w:szCs w:val="21"/>
        </w:rPr>
      </w:pPr>
      <w:bookmarkStart w:id="94" w:name="_Toc515205217"/>
      <w:bookmarkStart w:id="95" w:name="_Toc529196544"/>
      <w:r>
        <w:rPr>
          <w:rFonts w:hint="eastAsia" w:ascii="宋体" w:hAnsi="宋体" w:eastAsia="宋体" w:cs="Times New Roman"/>
          <w:sz w:val="21"/>
          <w:szCs w:val="21"/>
        </w:rPr>
        <w:t>本项目不需递交投标保证金。</w:t>
      </w:r>
    </w:p>
    <w:p w14:paraId="2DB0FE99">
      <w:pPr>
        <w:spacing w:before="240" w:beforeLines="100" w:after="240" w:afterLines="100"/>
        <w:rPr>
          <w:rFonts w:ascii="宋体" w:hAnsi="宋体"/>
          <w:b/>
          <w:sz w:val="28"/>
          <w:szCs w:val="28"/>
        </w:rPr>
      </w:pPr>
      <w:r>
        <w:rPr>
          <w:rFonts w:hint="eastAsia" w:ascii="宋体" w:hAnsi="宋体"/>
          <w:b/>
          <w:sz w:val="28"/>
          <w:szCs w:val="28"/>
        </w:rPr>
        <w:t>3.5 资格审查资料</w:t>
      </w:r>
      <w:bookmarkEnd w:id="94"/>
      <w:bookmarkEnd w:id="95"/>
    </w:p>
    <w:p w14:paraId="6C3DF4C6">
      <w:pPr>
        <w:spacing w:line="360" w:lineRule="auto"/>
        <w:ind w:firstLine="420" w:firstLineChars="200"/>
        <w:rPr>
          <w:rFonts w:ascii="宋体" w:hAnsi="宋体"/>
          <w:sz w:val="21"/>
          <w:szCs w:val="21"/>
        </w:rPr>
      </w:pPr>
      <w:r>
        <w:rPr>
          <w:rFonts w:hint="eastAsia" w:ascii="宋体" w:hAnsi="宋体"/>
          <w:sz w:val="21"/>
          <w:szCs w:val="21"/>
        </w:rPr>
        <w:t>除投标人须知前附表另有规定外，投标人应按下列规定提供资格审查资料，以证明其满足本章第 1.4 款规定的要求。</w:t>
      </w:r>
    </w:p>
    <w:p w14:paraId="7D502816">
      <w:pPr>
        <w:spacing w:line="360" w:lineRule="auto"/>
        <w:ind w:firstLine="420" w:firstLineChars="200"/>
        <w:rPr>
          <w:rFonts w:hint="eastAsia" w:ascii="宋体" w:hAnsi="宋体" w:cs="Times New Roman"/>
          <w:bCs w:val="0"/>
          <w:sz w:val="21"/>
          <w:szCs w:val="21"/>
        </w:rPr>
      </w:pPr>
      <w:r>
        <w:rPr>
          <w:rFonts w:hint="eastAsia" w:ascii="宋体" w:hAnsi="宋体" w:cs="Times New Roman"/>
          <w:bCs w:val="0"/>
          <w:sz w:val="21"/>
          <w:szCs w:val="21"/>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rPr>
        <w:t>1</w:t>
      </w:r>
      <w:r>
        <w:rPr>
          <w:rFonts w:hint="eastAsia" w:ascii="宋体" w:hAnsi="宋体" w:cs="仿宋_GB2312"/>
          <w:bCs/>
          <w:sz w:val="21"/>
          <w:szCs w:val="21"/>
          <w:highlight w:val="none"/>
        </w:rPr>
        <w:t>投标人参加投标的意思表达清楚，投标人代表被授权有效；</w:t>
      </w:r>
    </w:p>
    <w:p w14:paraId="48523BE2">
      <w:pPr>
        <w:spacing w:line="360" w:lineRule="auto"/>
        <w:ind w:firstLine="420" w:firstLineChars="200"/>
        <w:rPr>
          <w:rFonts w:hint="eastAsia" w:ascii="宋体" w:hAnsi="宋体" w:cs="Times New Roman"/>
          <w:bCs w:val="0"/>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2</w:t>
      </w:r>
      <w:r>
        <w:rPr>
          <w:rFonts w:hint="eastAsia" w:ascii="宋体" w:hAnsi="宋体" w:cs="仿宋_GB2312"/>
          <w:bCs/>
          <w:sz w:val="21"/>
          <w:szCs w:val="21"/>
          <w:highlight w:val="none"/>
        </w:rPr>
        <w:t>投标人具有独立法人资格，持有事业单位登记管理部门核发的事业单位法人证书或工商行政管理部门核发的企业法人营业执照，且在营业期限内；</w:t>
      </w:r>
    </w:p>
    <w:p w14:paraId="6EA5489B">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仿宋_GB2312"/>
          <w:bCs/>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3</w:t>
      </w:r>
      <w:r>
        <w:rPr>
          <w:rFonts w:hint="eastAsia" w:ascii="宋体" w:hAnsi="宋体" w:cs="仿宋_GB2312"/>
          <w:bCs/>
          <w:sz w:val="21"/>
          <w:szCs w:val="21"/>
          <w:highlight w:val="none"/>
        </w:rPr>
        <w:t>本次</w:t>
      </w:r>
      <w:r>
        <w:rPr>
          <w:rFonts w:hint="eastAsia" w:ascii="宋体" w:hAnsi="宋体" w:eastAsia="宋体" w:cs="仿宋_GB2312"/>
          <w:bCs/>
          <w:sz w:val="21"/>
          <w:szCs w:val="21"/>
          <w:highlight w:val="none"/>
        </w:rPr>
        <w:t>招标要求投标人具备以下相应资质：</w:t>
      </w:r>
    </w:p>
    <w:p w14:paraId="702BEBDF">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1"/>
          <w:szCs w:val="21"/>
          <w:highlight w:val="none"/>
        </w:rPr>
      </w:pPr>
      <w:r>
        <w:rPr>
          <w:rFonts w:hint="eastAsia" w:ascii="宋体" w:hAnsi="宋体" w:eastAsia="宋体" w:cs="仿宋_GB2312"/>
          <w:bCs/>
          <w:sz w:val="21"/>
          <w:szCs w:val="21"/>
          <w:highlight w:val="none"/>
        </w:rPr>
        <w:t>投标人须同时具有以下两种资质：</w:t>
      </w:r>
    </w:p>
    <w:p w14:paraId="5BD3FD78">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1"/>
          <w:szCs w:val="21"/>
          <w:highlight w:val="none"/>
        </w:rPr>
      </w:pPr>
      <w:r>
        <w:rPr>
          <w:rFonts w:hint="eastAsia" w:ascii="宋体" w:hAnsi="宋体" w:eastAsia="宋体" w:cs="仿宋_GB2312"/>
          <w:bCs/>
          <w:sz w:val="21"/>
          <w:szCs w:val="21"/>
          <w:highlight w:val="none"/>
        </w:rPr>
        <w:t>①质量技术监督部门颁发的CMA计量认证合格证书（或市场监督管理局颁发的CMA检验检测机构资质认定证书），且证书在有效期内；</w:t>
      </w:r>
    </w:p>
    <w:p w14:paraId="0F6592ED">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Times New Roman"/>
          <w:bCs w:val="0"/>
          <w:sz w:val="21"/>
          <w:szCs w:val="21"/>
          <w:highlight w:val="none"/>
        </w:rPr>
      </w:pPr>
      <w:r>
        <w:rPr>
          <w:rFonts w:hint="eastAsia" w:ascii="宋体" w:hAnsi="宋体" w:eastAsia="宋体" w:cs="仿宋_GB2312"/>
          <w:bCs/>
          <w:sz w:val="21"/>
          <w:szCs w:val="21"/>
          <w:highlight w:val="none"/>
        </w:rPr>
        <w:t>②建设行政主管部门颁发的建设工程质量检测机构资质证书（检测范围需涵盖本次招标的主要内容:检测范围覆盖：见证取样检测)，且资质证书在有效期内；或根据《住房和城乡建设部关于印发《建设工程质量检测机构资质标准》的通知》（建质规[2023]1号，以下简称新标准）具有有效的建设行政主管部门颁发的建设工程质量检测机构综合资质证书或专项资质证书（专项资质证书覆盖：市政工程材料）。如投标人检测机构资质证书的检测项目与上述名称不同，但表达的意思一致也视为满足该项条件。</w:t>
      </w:r>
    </w:p>
    <w:p w14:paraId="2B4FC349">
      <w:pPr>
        <w:spacing w:line="360" w:lineRule="auto"/>
        <w:ind w:firstLine="420" w:firstLineChars="200"/>
        <w:rPr>
          <w:rFonts w:hint="eastAsia" w:ascii="宋体" w:hAnsi="宋体" w:cs="Times New Roman"/>
          <w:bCs w:val="0"/>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4</w:t>
      </w:r>
      <w:r>
        <w:rPr>
          <w:rFonts w:hint="eastAsia" w:ascii="宋体" w:hAnsi="宋体" w:cs="仿宋_GB2312"/>
          <w:bCs/>
          <w:sz w:val="21"/>
          <w:szCs w:val="21"/>
          <w:highlight w:val="none"/>
        </w:rPr>
        <w:t>投标人拟担任本工程项目负责人应为具有工程类中级工程师或以上技术职称；</w:t>
      </w:r>
    </w:p>
    <w:p w14:paraId="3ACE0A65">
      <w:pPr>
        <w:spacing w:line="360" w:lineRule="auto"/>
        <w:ind w:firstLine="420" w:firstLineChars="200"/>
        <w:rPr>
          <w:rFonts w:hint="eastAsia" w:ascii="宋体" w:hAnsi="宋体" w:cs="Times New Roman"/>
          <w:bCs w:val="0"/>
          <w:sz w:val="21"/>
          <w:szCs w:val="21"/>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5</w:t>
      </w:r>
      <w:r>
        <w:rPr>
          <w:rFonts w:hint="eastAsia" w:ascii="宋体" w:hAnsi="宋体" w:cs="仿宋_GB2312"/>
          <w:bCs/>
          <w:sz w:val="21"/>
          <w:szCs w:val="21"/>
          <w:highlight w:val="none"/>
        </w:rPr>
        <w:t>本项目不接受联合体投标。</w:t>
      </w:r>
    </w:p>
    <w:p w14:paraId="2CE468A3">
      <w:pPr>
        <w:spacing w:line="360" w:lineRule="auto"/>
        <w:ind w:firstLine="420" w:firstLineChars="200"/>
        <w:rPr>
          <w:rFonts w:hint="eastAsia" w:ascii="宋体" w:hAnsi="宋体" w:cs="Times New Roman"/>
          <w:bCs w:val="0"/>
          <w:sz w:val="21"/>
          <w:szCs w:val="21"/>
        </w:rPr>
      </w:pPr>
      <w:r>
        <w:rPr>
          <w:rFonts w:hint="eastAsia" w:ascii="宋体" w:hAnsi="宋体" w:cs="Times New Roman"/>
          <w:bCs w:val="0"/>
          <w:sz w:val="21"/>
          <w:szCs w:val="21"/>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rPr>
        <w:t>6其他要求</w:t>
      </w:r>
    </w:p>
    <w:p w14:paraId="1EA78DF3">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Times New Roman"/>
          <w:bCs w:val="0"/>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6.1</w:t>
      </w:r>
      <w:r>
        <w:rPr>
          <w:rFonts w:hint="eastAsia" w:ascii="宋体" w:hAnsi="宋体" w:cs="仿宋_GB2312"/>
          <w:bCs/>
          <w:sz w:val="21"/>
          <w:szCs w:val="21"/>
          <w:highlight w:val="none"/>
        </w:rPr>
        <w:t>投标登记前，投标人须在广州公共资源交易中心企业库已办理企业信息登记</w:t>
      </w:r>
      <w:r>
        <w:rPr>
          <w:rFonts w:ascii="宋体" w:hAnsi="宋体" w:cs="仿宋_GB2312"/>
          <w:bCs/>
          <w:sz w:val="21"/>
          <w:szCs w:val="21"/>
          <w:highlight w:val="none"/>
        </w:rPr>
        <w:t>；</w:t>
      </w:r>
    </w:p>
    <w:p w14:paraId="0A65269B">
      <w:pPr>
        <w:spacing w:line="360" w:lineRule="auto"/>
        <w:ind w:firstLine="420" w:firstLineChars="200"/>
        <w:rPr>
          <w:rFonts w:hint="eastAsia" w:ascii="宋体" w:hAnsi="宋体" w:cs="Times New Roman"/>
          <w:bCs w:val="0"/>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6.2</w:t>
      </w:r>
      <w:r>
        <w:rPr>
          <w:rFonts w:hint="eastAsia" w:ascii="宋体" w:hAnsi="宋体" w:cs="仿宋_GB2312"/>
          <w:bCs/>
          <w:sz w:val="21"/>
          <w:szCs w:val="21"/>
          <w:highlight w:val="none"/>
        </w:rPr>
        <w:t>投标人已按规定格式签名盖章《投标人声明》（格式见招标公告附件一）；</w:t>
      </w:r>
    </w:p>
    <w:p w14:paraId="1369E4EF">
      <w:pPr>
        <w:spacing w:line="360" w:lineRule="auto"/>
        <w:ind w:firstLine="420" w:firstLineChars="200"/>
        <w:rPr>
          <w:rFonts w:hint="eastAsia" w:ascii="宋体" w:hAnsi="宋体" w:cs="仿宋_GB2312"/>
          <w:bCs/>
          <w:sz w:val="21"/>
          <w:szCs w:val="21"/>
          <w:highlight w:val="none"/>
        </w:rPr>
      </w:pPr>
      <w:r>
        <w:rPr>
          <w:rFonts w:hint="eastAsia" w:ascii="宋体" w:hAnsi="宋体" w:cs="Times New Roman"/>
          <w:bCs w:val="0"/>
          <w:sz w:val="21"/>
          <w:szCs w:val="21"/>
          <w:highlight w:val="none"/>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highlight w:val="none"/>
        </w:rPr>
        <w:t>6.</w:t>
      </w:r>
      <w:r>
        <w:rPr>
          <w:rFonts w:hint="eastAsia" w:ascii="宋体" w:hAnsi="宋体" w:cs="Times New Roman"/>
          <w:bCs w:val="0"/>
          <w:sz w:val="21"/>
          <w:szCs w:val="21"/>
          <w:highlight w:val="none"/>
          <w:lang w:val="en-US" w:eastAsia="zh-CN"/>
        </w:rPr>
        <w:t>3</w:t>
      </w:r>
      <w:r>
        <w:rPr>
          <w:rFonts w:hint="eastAsia" w:ascii="宋体" w:hAnsi="宋体" w:cs="仿宋_GB2312"/>
          <w:bCs/>
          <w:sz w:val="21"/>
          <w:szCs w:val="21"/>
          <w:highlight w:val="none"/>
        </w:rPr>
        <w:t>投标人已按照招标公告附件二的内容签署盖章的《投标承诺函》（格式见招标公告附件</w:t>
      </w:r>
      <w:r>
        <w:rPr>
          <w:rFonts w:hint="eastAsia" w:ascii="宋体" w:hAnsi="宋体" w:cs="仿宋_GB2312"/>
          <w:bCs/>
          <w:sz w:val="21"/>
          <w:szCs w:val="21"/>
          <w:highlight w:val="none"/>
          <w:lang w:val="en-US" w:eastAsia="zh-CN"/>
        </w:rPr>
        <w:t>二</w:t>
      </w:r>
      <w:r>
        <w:rPr>
          <w:rFonts w:hint="eastAsia" w:ascii="宋体" w:hAnsi="宋体" w:cs="仿宋_GB2312"/>
          <w:bCs/>
          <w:sz w:val="21"/>
          <w:szCs w:val="21"/>
          <w:highlight w:val="none"/>
        </w:rPr>
        <w:t>）；</w:t>
      </w:r>
    </w:p>
    <w:p w14:paraId="0E0DB032">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Times New Roman"/>
          <w:bCs w:val="0"/>
          <w:sz w:val="21"/>
          <w:szCs w:val="21"/>
        </w:rPr>
      </w:pPr>
      <w:r>
        <w:rPr>
          <w:rFonts w:hint="eastAsia" w:ascii="宋体" w:hAnsi="宋体" w:cs="Times New Roman"/>
          <w:bCs w:val="0"/>
          <w:sz w:val="21"/>
          <w:szCs w:val="21"/>
        </w:rPr>
        <w:t>3.</w:t>
      </w:r>
      <w:r>
        <w:rPr>
          <w:rFonts w:hint="eastAsia" w:ascii="宋体" w:hAnsi="宋体" w:eastAsia="宋体" w:cs="Times New Roman"/>
          <w:bCs w:val="0"/>
          <w:sz w:val="21"/>
          <w:szCs w:val="21"/>
          <w:lang w:val="en-US" w:eastAsia="zh-CN"/>
        </w:rPr>
        <w:t>5.</w:t>
      </w:r>
      <w:r>
        <w:rPr>
          <w:rFonts w:hint="eastAsia" w:ascii="宋体" w:hAnsi="宋体" w:cs="Times New Roman"/>
          <w:bCs w:val="0"/>
          <w:sz w:val="21"/>
          <w:szCs w:val="21"/>
        </w:rPr>
        <w:t>6</w:t>
      </w:r>
      <w:r>
        <w:rPr>
          <w:rFonts w:hint="eastAsia" w:ascii="宋体" w:hAnsi="宋体" w:cs="Times New Roman"/>
          <w:bCs w:val="0"/>
          <w:sz w:val="21"/>
          <w:szCs w:val="21"/>
          <w:lang w:eastAsia="zh-Hans"/>
        </w:rPr>
        <w:t>.</w:t>
      </w:r>
      <w:r>
        <w:rPr>
          <w:rFonts w:hint="eastAsia" w:ascii="宋体" w:hAnsi="宋体" w:cs="Times New Roman"/>
          <w:bCs w:val="0"/>
          <w:sz w:val="21"/>
          <w:szCs w:val="21"/>
          <w:lang w:val="en-US" w:eastAsia="zh-CN"/>
        </w:rPr>
        <w:t>4</w:t>
      </w:r>
      <w:r>
        <w:rPr>
          <w:rFonts w:hint="eastAsia" w:ascii="宋体" w:hAnsi="宋体" w:cs="仿宋_GB2312"/>
          <w:bCs/>
          <w:sz w:val="21"/>
          <w:szCs w:val="21"/>
          <w:highlight w:val="none"/>
        </w:rPr>
        <w:t>近二年（从202</w:t>
      </w:r>
      <w:r>
        <w:rPr>
          <w:rFonts w:hint="eastAsia" w:ascii="宋体" w:hAnsi="宋体" w:cs="仿宋_GB2312"/>
          <w:bCs/>
          <w:sz w:val="21"/>
          <w:szCs w:val="21"/>
          <w:highlight w:val="none"/>
          <w:lang w:val="en-US" w:eastAsia="zh-CN"/>
        </w:rPr>
        <w:t>2</w:t>
      </w:r>
      <w:r>
        <w:rPr>
          <w:rFonts w:hint="eastAsia" w:ascii="宋体" w:hAnsi="宋体" w:cs="仿宋_GB2312"/>
          <w:bCs/>
          <w:sz w:val="21"/>
          <w:szCs w:val="21"/>
          <w:highlight w:val="none"/>
        </w:rPr>
        <w:t>年</w:t>
      </w:r>
      <w:r>
        <w:rPr>
          <w:rFonts w:hint="eastAsia" w:ascii="宋体" w:hAnsi="宋体" w:cs="仿宋_GB2312"/>
          <w:bCs/>
          <w:sz w:val="21"/>
          <w:szCs w:val="21"/>
          <w:highlight w:val="none"/>
          <w:lang w:val="en-US" w:eastAsia="zh-CN"/>
        </w:rPr>
        <w:t>3</w:t>
      </w:r>
      <w:r>
        <w:rPr>
          <w:rFonts w:hint="eastAsia" w:ascii="宋体" w:hAnsi="宋体" w:cs="仿宋_GB2312"/>
          <w:bCs/>
          <w:sz w:val="21"/>
          <w:szCs w:val="21"/>
          <w:highlight w:val="none"/>
        </w:rPr>
        <w:t>月1日起至投标截止时间止）未因以往检测工作中存在伪造检测数据、出具虚假检测报告的行为被各级建设行政主管部门或市场监督管理部门行政处罚或通报的（按投标人提供的《投标人声明》第三条内容进行评审）。</w:t>
      </w:r>
    </w:p>
    <w:p w14:paraId="6B49CCC7">
      <w:pPr>
        <w:spacing w:before="240" w:beforeLines="100" w:after="240" w:afterLines="100"/>
        <w:rPr>
          <w:rFonts w:ascii="宋体" w:hAnsi="宋体"/>
          <w:b/>
          <w:sz w:val="28"/>
          <w:szCs w:val="28"/>
        </w:rPr>
      </w:pPr>
      <w:bookmarkStart w:id="96" w:name="_Toc515205218"/>
      <w:bookmarkStart w:id="97" w:name="_Toc529196545"/>
      <w:r>
        <w:rPr>
          <w:rFonts w:hint="eastAsia" w:ascii="宋体" w:hAnsi="宋体"/>
          <w:b/>
          <w:sz w:val="28"/>
          <w:szCs w:val="28"/>
        </w:rPr>
        <w:t>3.6 备选投标方案</w:t>
      </w:r>
      <w:bookmarkEnd w:id="96"/>
      <w:bookmarkEnd w:id="97"/>
    </w:p>
    <w:p w14:paraId="46D2E6CB">
      <w:pPr>
        <w:spacing w:line="360" w:lineRule="auto"/>
        <w:ind w:firstLine="420" w:firstLineChars="200"/>
        <w:rPr>
          <w:rFonts w:ascii="宋体" w:hAnsi="宋体"/>
        </w:rPr>
      </w:pPr>
      <w:r>
        <w:rPr>
          <w:rFonts w:hint="eastAsia" w:ascii="宋体" w:hAnsi="宋体"/>
        </w:rPr>
        <w:t>3.6.1 除投标人须知前附表规定允许外，投标人不得递交备选投标方案，否则其投标将被否决。</w:t>
      </w:r>
    </w:p>
    <w:p w14:paraId="5977D1C4">
      <w:pPr>
        <w:spacing w:line="360" w:lineRule="auto"/>
        <w:ind w:firstLine="420" w:firstLineChars="200"/>
        <w:rPr>
          <w:rFonts w:ascii="宋体" w:hAnsi="宋体"/>
        </w:rPr>
      </w:pPr>
      <w:r>
        <w:rPr>
          <w:rFonts w:hint="eastAsia" w:ascii="宋体" w:hAnsi="宋体"/>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14:paraId="241977A2">
      <w:pPr>
        <w:spacing w:line="360" w:lineRule="auto"/>
        <w:ind w:firstLine="420" w:firstLineChars="200"/>
        <w:rPr>
          <w:rFonts w:ascii="宋体" w:hAnsi="宋体"/>
        </w:rPr>
      </w:pPr>
      <w:r>
        <w:rPr>
          <w:rFonts w:hint="eastAsia" w:ascii="宋体" w:hAnsi="宋体"/>
        </w:rPr>
        <w:t>3.6.3 投标人提供两个或两个以上投标报价，或者在投标文件中提供一个报价，但同时提供两个或两个以</w:t>
      </w:r>
      <w:bookmarkStart w:id="98" w:name="_Toc144974518"/>
      <w:bookmarkStart w:id="99" w:name="_Toc352691495"/>
      <w:bookmarkStart w:id="100" w:name="_Toc152045550"/>
      <w:bookmarkStart w:id="101" w:name="_Toc300834971"/>
      <w:bookmarkStart w:id="102" w:name="_Toc361508607"/>
      <w:bookmarkStart w:id="103" w:name="_Toc29902"/>
      <w:bookmarkStart w:id="104" w:name="_Toc152042326"/>
      <w:bookmarkStart w:id="105" w:name="_Toc247527575"/>
      <w:bookmarkStart w:id="106" w:name="_Toc369531538"/>
      <w:bookmarkStart w:id="107" w:name="_Toc247513974"/>
      <w:bookmarkStart w:id="108" w:name="_Toc384308232"/>
      <w:r>
        <w:rPr>
          <w:rFonts w:hint="eastAsia" w:ascii="宋体" w:hAnsi="宋体"/>
          <w:lang w:eastAsia="zh-CN"/>
        </w:rPr>
        <w:t>检测方案</w:t>
      </w:r>
      <w:r>
        <w:rPr>
          <w:rFonts w:hint="eastAsia" w:ascii="宋体" w:hAnsi="宋体"/>
        </w:rPr>
        <w:t>的</w:t>
      </w:r>
      <w:bookmarkEnd w:id="98"/>
      <w:bookmarkEnd w:id="99"/>
      <w:bookmarkEnd w:id="100"/>
      <w:bookmarkEnd w:id="101"/>
      <w:bookmarkEnd w:id="102"/>
      <w:bookmarkEnd w:id="103"/>
      <w:bookmarkEnd w:id="104"/>
      <w:bookmarkEnd w:id="105"/>
      <w:bookmarkEnd w:id="106"/>
      <w:bookmarkEnd w:id="107"/>
      <w:bookmarkEnd w:id="108"/>
      <w:r>
        <w:rPr>
          <w:rFonts w:hint="eastAsia" w:ascii="宋体" w:hAnsi="宋体"/>
        </w:rPr>
        <w:t>，视为提供备选方案。</w:t>
      </w:r>
    </w:p>
    <w:p w14:paraId="0BF0B571">
      <w:pPr>
        <w:spacing w:before="240" w:beforeLines="100" w:after="240" w:afterLines="100"/>
        <w:rPr>
          <w:rFonts w:ascii="宋体" w:hAnsi="宋体"/>
          <w:b/>
          <w:sz w:val="28"/>
          <w:szCs w:val="28"/>
        </w:rPr>
      </w:pPr>
      <w:bookmarkStart w:id="109" w:name="_Toc515205219"/>
      <w:bookmarkStart w:id="110" w:name="_Toc529196546"/>
      <w:r>
        <w:rPr>
          <w:rFonts w:hint="eastAsia" w:ascii="宋体" w:hAnsi="宋体"/>
          <w:b/>
          <w:sz w:val="28"/>
          <w:szCs w:val="28"/>
        </w:rPr>
        <w:t>3.7 投标文件的编制</w:t>
      </w:r>
      <w:bookmarkEnd w:id="109"/>
      <w:bookmarkEnd w:id="110"/>
    </w:p>
    <w:p w14:paraId="03F8AC72">
      <w:pPr>
        <w:spacing w:line="360" w:lineRule="auto"/>
        <w:ind w:firstLine="420" w:firstLineChars="200"/>
        <w:rPr>
          <w:rFonts w:ascii="宋体" w:hAnsi="宋体"/>
        </w:rPr>
      </w:pPr>
      <w:r>
        <w:rPr>
          <w:rFonts w:hint="eastAsia" w:ascii="宋体" w:hAnsi="宋体"/>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2E4E9AE9">
      <w:pPr>
        <w:spacing w:line="360" w:lineRule="auto"/>
        <w:ind w:firstLine="420" w:firstLineChars="200"/>
        <w:rPr>
          <w:rFonts w:ascii="宋体" w:hAnsi="宋体"/>
          <w:strike/>
        </w:rPr>
      </w:pPr>
      <w:r>
        <w:rPr>
          <w:rFonts w:hint="eastAsia" w:ascii="宋体" w:hAnsi="宋体"/>
        </w:rPr>
        <w:t>3.7.2 投标文件应当对招标文件有关</w:t>
      </w:r>
      <w:r>
        <w:rPr>
          <w:rFonts w:hint="eastAsia" w:ascii="宋体" w:hAnsi="宋体"/>
          <w:lang w:eastAsia="zh-CN"/>
        </w:rPr>
        <w:t>服务期限</w:t>
      </w:r>
      <w:r>
        <w:rPr>
          <w:rFonts w:hint="eastAsia" w:ascii="宋体" w:hAnsi="宋体"/>
        </w:rPr>
        <w:t>、投标有效期、招标范围等实质性内容作出响应。</w:t>
      </w:r>
    </w:p>
    <w:p w14:paraId="21B769CD">
      <w:pPr>
        <w:spacing w:line="360" w:lineRule="auto"/>
        <w:ind w:firstLine="420" w:firstLineChars="200"/>
        <w:rPr>
          <w:rFonts w:ascii="宋体" w:hAnsi="宋体"/>
        </w:rPr>
      </w:pPr>
      <w:bookmarkStart w:id="111" w:name="_Toc514946914"/>
      <w:r>
        <w:rPr>
          <w:rFonts w:hint="eastAsia" w:ascii="宋体" w:hAnsi="宋体"/>
        </w:rPr>
        <w:t>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bookmarkEnd w:id="111"/>
    </w:p>
    <w:p w14:paraId="302D055E">
      <w:pPr>
        <w:spacing w:before="260"/>
        <w:outlineLvl w:val="2"/>
        <w:rPr>
          <w:rFonts w:ascii="宋体" w:hAnsi="宋体"/>
          <w:b/>
          <w:sz w:val="32"/>
          <w:szCs w:val="32"/>
        </w:rPr>
      </w:pPr>
      <w:bookmarkStart w:id="112" w:name="_Toc529196547"/>
      <w:bookmarkStart w:id="113" w:name="_Toc515205220"/>
      <w:r>
        <w:rPr>
          <w:rFonts w:hint="eastAsia" w:ascii="宋体" w:hAnsi="宋体"/>
          <w:b/>
          <w:sz w:val="32"/>
          <w:szCs w:val="32"/>
        </w:rPr>
        <w:t>4. 投标</w:t>
      </w:r>
      <w:bookmarkEnd w:id="112"/>
      <w:bookmarkEnd w:id="113"/>
    </w:p>
    <w:p w14:paraId="3629F4A2">
      <w:pPr>
        <w:spacing w:before="240" w:beforeLines="100" w:after="240" w:afterLines="100"/>
        <w:rPr>
          <w:rFonts w:ascii="宋体" w:hAnsi="宋体"/>
          <w:b/>
          <w:sz w:val="28"/>
          <w:szCs w:val="28"/>
        </w:rPr>
      </w:pPr>
      <w:bookmarkStart w:id="114" w:name="_Toc515205221"/>
      <w:bookmarkStart w:id="115" w:name="_Toc529196548"/>
      <w:r>
        <w:rPr>
          <w:rFonts w:hint="eastAsia" w:ascii="宋体" w:hAnsi="宋体"/>
          <w:b/>
          <w:sz w:val="28"/>
          <w:szCs w:val="28"/>
        </w:rPr>
        <w:t>4.1 投标文件的密封和标记</w:t>
      </w:r>
      <w:bookmarkEnd w:id="114"/>
      <w:bookmarkEnd w:id="115"/>
    </w:p>
    <w:p w14:paraId="01D3DDFE">
      <w:pPr>
        <w:spacing w:line="360" w:lineRule="auto"/>
        <w:ind w:firstLine="420" w:firstLineChars="200"/>
        <w:rPr>
          <w:rFonts w:ascii="宋体" w:hAnsi="宋体"/>
        </w:rPr>
      </w:pPr>
      <w:r>
        <w:rPr>
          <w:rFonts w:hint="eastAsia" w:ascii="宋体" w:hAnsi="宋体"/>
        </w:rPr>
        <w:t>4.1.1 投标人应当按照招标文件和电子招标投标交易平台的要求加密投标文件，具体要求见投标人须知前附表。</w:t>
      </w:r>
    </w:p>
    <w:p w14:paraId="2A85FFC3">
      <w:pPr>
        <w:spacing w:line="360" w:lineRule="auto"/>
        <w:ind w:firstLine="420" w:firstLineChars="200"/>
        <w:rPr>
          <w:rFonts w:ascii="宋体" w:hAnsi="宋体"/>
        </w:rPr>
      </w:pPr>
      <w:r>
        <w:rPr>
          <w:rFonts w:hint="eastAsia" w:ascii="宋体" w:hAnsi="宋体"/>
        </w:rPr>
        <w:t>4.1.2 投标文件封套上应写明的内容见投标人须知前附表。</w:t>
      </w:r>
    </w:p>
    <w:p w14:paraId="78D39FD1">
      <w:pPr>
        <w:spacing w:line="360" w:lineRule="auto"/>
        <w:ind w:firstLine="420" w:firstLineChars="200"/>
        <w:rPr>
          <w:rFonts w:ascii="宋体" w:hAnsi="宋体"/>
        </w:rPr>
      </w:pPr>
      <w:r>
        <w:rPr>
          <w:rFonts w:hint="eastAsia" w:ascii="宋体" w:hAnsi="宋体"/>
        </w:rPr>
        <w:t>4.1.3 未按本章第4.1.1项要求密封的投标文件，招标人将予以拒收。</w:t>
      </w:r>
    </w:p>
    <w:p w14:paraId="03C5933E">
      <w:pPr>
        <w:spacing w:before="240" w:beforeLines="100" w:after="240" w:afterLines="100"/>
        <w:rPr>
          <w:rFonts w:ascii="宋体" w:hAnsi="宋体"/>
          <w:b/>
          <w:sz w:val="28"/>
          <w:szCs w:val="28"/>
        </w:rPr>
      </w:pPr>
      <w:bookmarkStart w:id="116" w:name="_Toc529196549"/>
      <w:bookmarkStart w:id="117" w:name="_Toc515205222"/>
      <w:r>
        <w:rPr>
          <w:rFonts w:hint="eastAsia" w:ascii="宋体" w:hAnsi="宋体"/>
          <w:b/>
          <w:sz w:val="28"/>
          <w:szCs w:val="28"/>
        </w:rPr>
        <w:t>4.2 投标文件的递交</w:t>
      </w:r>
      <w:bookmarkEnd w:id="116"/>
      <w:bookmarkEnd w:id="117"/>
    </w:p>
    <w:p w14:paraId="551BE212">
      <w:pPr>
        <w:spacing w:line="360" w:lineRule="auto"/>
        <w:ind w:firstLine="420" w:firstLineChars="200"/>
        <w:rPr>
          <w:rFonts w:ascii="宋体" w:hAnsi="宋体"/>
          <w:strike/>
        </w:rPr>
      </w:pPr>
      <w:r>
        <w:rPr>
          <w:rFonts w:hint="eastAsia" w:ascii="宋体" w:hAnsi="宋体"/>
        </w:rPr>
        <w:t>4.2.1 投标人应在投标人须知前附表规定的投标截止时间前递交投标文件。</w:t>
      </w:r>
    </w:p>
    <w:p w14:paraId="13599F1F">
      <w:pPr>
        <w:spacing w:line="360" w:lineRule="auto"/>
        <w:ind w:firstLine="420" w:firstLineChars="200"/>
        <w:rPr>
          <w:rFonts w:ascii="宋体" w:hAnsi="宋体"/>
        </w:rPr>
      </w:pPr>
      <w:r>
        <w:rPr>
          <w:rFonts w:hint="eastAsia" w:ascii="宋体" w:hAnsi="宋体"/>
        </w:rPr>
        <w:t>4.2.2 投标人通过下载招标文件的电子招标投标交易平台递交电子投标文件。</w:t>
      </w:r>
    </w:p>
    <w:p w14:paraId="513C3594">
      <w:pPr>
        <w:spacing w:line="360" w:lineRule="auto"/>
        <w:ind w:firstLine="420" w:firstLineChars="200"/>
        <w:rPr>
          <w:rFonts w:ascii="宋体" w:hAnsi="宋体"/>
          <w:strike/>
        </w:rPr>
      </w:pPr>
      <w:r>
        <w:rPr>
          <w:rFonts w:hint="eastAsia" w:ascii="宋体" w:hAnsi="宋体"/>
        </w:rPr>
        <w:t>4.2.3 除投标人须知前附表另有规定外，投标人所递交的投标文件不予退还。</w:t>
      </w:r>
    </w:p>
    <w:p w14:paraId="07EAEEF9">
      <w:pPr>
        <w:spacing w:line="360" w:lineRule="auto"/>
        <w:ind w:firstLine="420" w:firstLineChars="200"/>
        <w:rPr>
          <w:rFonts w:ascii="宋体" w:hAnsi="宋体"/>
          <w:strike/>
        </w:rPr>
      </w:pPr>
      <w:r>
        <w:rPr>
          <w:rFonts w:hint="eastAsia" w:ascii="宋体" w:hAnsi="宋体"/>
        </w:rPr>
        <w:t>4.2.4 投标人完成电子投标文件上传后，电子招标投标交易平台即时向投标人发出递交回执通知。递交时间以递交回执通知载明的传输完成时间为准。</w:t>
      </w:r>
    </w:p>
    <w:p w14:paraId="197B12EF">
      <w:pPr>
        <w:spacing w:line="360" w:lineRule="auto"/>
        <w:ind w:firstLine="420" w:firstLineChars="200"/>
        <w:jc w:val="left"/>
        <w:rPr>
          <w:rFonts w:ascii="宋体" w:hAnsi="宋体"/>
        </w:rPr>
      </w:pPr>
      <w:r>
        <w:rPr>
          <w:rFonts w:hint="eastAsia" w:ascii="宋体" w:hAnsi="宋体"/>
        </w:rPr>
        <w:t>4.2.5 逾期送达的投标文件，电子招标投标交易平台将予以拒收。</w:t>
      </w:r>
    </w:p>
    <w:p w14:paraId="2CD0ECAA">
      <w:pPr>
        <w:spacing w:before="240" w:beforeLines="100" w:after="240" w:afterLines="100"/>
        <w:rPr>
          <w:rFonts w:ascii="宋体" w:hAnsi="宋体"/>
          <w:b/>
          <w:sz w:val="28"/>
          <w:szCs w:val="28"/>
        </w:rPr>
      </w:pPr>
      <w:bookmarkStart w:id="118" w:name="_Toc529196550"/>
      <w:bookmarkStart w:id="119" w:name="_Toc515205223"/>
      <w:r>
        <w:rPr>
          <w:rFonts w:hint="eastAsia" w:ascii="宋体" w:hAnsi="宋体"/>
          <w:b/>
          <w:sz w:val="28"/>
          <w:szCs w:val="28"/>
        </w:rPr>
        <w:t>4.3 投标文件的修改与撤回</w:t>
      </w:r>
      <w:bookmarkEnd w:id="118"/>
      <w:bookmarkEnd w:id="119"/>
    </w:p>
    <w:p w14:paraId="4E86AD26">
      <w:pPr>
        <w:spacing w:line="360" w:lineRule="auto"/>
        <w:ind w:firstLine="420" w:firstLineChars="200"/>
        <w:rPr>
          <w:rFonts w:ascii="宋体" w:hAnsi="宋体"/>
        </w:rPr>
      </w:pPr>
      <w:r>
        <w:rPr>
          <w:rFonts w:hint="eastAsia" w:ascii="宋体" w:hAnsi="宋体"/>
        </w:rPr>
        <w:t>4.3.1 在本章第4.2.1项规定的投标截止时间前，投标人可以修改或撤回已递交的投标文件，但应以书面形式通知招标人。</w:t>
      </w:r>
    </w:p>
    <w:p w14:paraId="22B6B1FB">
      <w:pPr>
        <w:spacing w:line="360" w:lineRule="auto"/>
        <w:ind w:firstLine="420" w:firstLineChars="200"/>
        <w:rPr>
          <w:rFonts w:ascii="宋体" w:hAnsi="宋体"/>
        </w:rPr>
      </w:pPr>
      <w:r>
        <w:rPr>
          <w:rFonts w:hint="eastAsia" w:ascii="宋体" w:hAnsi="宋体"/>
        </w:rPr>
        <w:t>4.3.2 投标人修改或撤回已递交投标文件的通知，应按照本章第3.7.3项的要求加盖电子印章。电子招标投标交易平台收到通知后，即时向投标人发出确认回执通知。</w:t>
      </w:r>
    </w:p>
    <w:p w14:paraId="756D1D52">
      <w:pPr>
        <w:spacing w:line="360" w:lineRule="auto"/>
        <w:ind w:firstLine="420" w:firstLineChars="200"/>
        <w:rPr>
          <w:rFonts w:ascii="宋体" w:hAnsi="宋体"/>
        </w:rPr>
      </w:pPr>
      <w:r>
        <w:rPr>
          <w:rFonts w:hint="eastAsia" w:ascii="宋体" w:hAnsi="宋体"/>
        </w:rPr>
        <w:t>4.3.</w:t>
      </w:r>
      <w:bookmarkStart w:id="120" w:name="_Toc19203"/>
      <w:bookmarkStart w:id="121" w:name="_Toc361508610"/>
      <w:bookmarkStart w:id="122" w:name="_Toc352691497"/>
      <w:bookmarkStart w:id="123" w:name="_Toc300834974"/>
      <w:bookmarkStart w:id="124" w:name="_Toc144974521"/>
      <w:bookmarkStart w:id="125" w:name="_Toc369531541"/>
      <w:bookmarkStart w:id="126" w:name="_Toc247527578"/>
      <w:bookmarkStart w:id="127" w:name="_Toc152045553"/>
      <w:bookmarkStart w:id="128" w:name="_Toc384308235"/>
      <w:bookmarkStart w:id="129" w:name="_Toc247513977"/>
      <w:bookmarkStart w:id="130" w:name="_Toc152042329"/>
      <w:r>
        <w:rPr>
          <w:rFonts w:hint="eastAsia" w:ascii="宋体" w:hAnsi="宋体"/>
          <w:lang w:val="en-US" w:eastAsia="zh-CN"/>
        </w:rPr>
        <w:t>3</w:t>
      </w:r>
      <w:r>
        <w:rPr>
          <w:rFonts w:hint="eastAsia" w:ascii="宋体" w:hAnsi="宋体"/>
        </w:rPr>
        <w:t xml:space="preserve"> 修改的内容为投标</w:t>
      </w:r>
      <w:bookmarkEnd w:id="120"/>
      <w:bookmarkEnd w:id="121"/>
      <w:bookmarkEnd w:id="122"/>
      <w:bookmarkEnd w:id="123"/>
      <w:bookmarkEnd w:id="124"/>
      <w:bookmarkEnd w:id="125"/>
      <w:bookmarkEnd w:id="126"/>
      <w:bookmarkEnd w:id="127"/>
      <w:bookmarkEnd w:id="128"/>
      <w:bookmarkEnd w:id="129"/>
      <w:bookmarkEnd w:id="130"/>
      <w:r>
        <w:rPr>
          <w:rFonts w:hint="eastAsia" w:ascii="宋体" w:hAnsi="宋体"/>
        </w:rPr>
        <w:t>文件的组成部分。修改的投标文件应按照本章第3条、第4条的规定进行编制、密封、标记和递交，并标明“修改”字样。</w:t>
      </w:r>
    </w:p>
    <w:p w14:paraId="564088EB">
      <w:pPr>
        <w:spacing w:before="260"/>
        <w:outlineLvl w:val="2"/>
        <w:rPr>
          <w:rFonts w:ascii="宋体" w:hAnsi="宋体"/>
          <w:b/>
          <w:sz w:val="32"/>
          <w:szCs w:val="32"/>
        </w:rPr>
      </w:pPr>
      <w:bookmarkStart w:id="131" w:name="_Toc515205224"/>
      <w:bookmarkStart w:id="132" w:name="_Toc529196551"/>
      <w:r>
        <w:rPr>
          <w:rFonts w:hint="eastAsia" w:ascii="宋体" w:hAnsi="宋体"/>
          <w:b/>
          <w:sz w:val="32"/>
          <w:szCs w:val="32"/>
        </w:rPr>
        <w:t>5. 开标</w:t>
      </w:r>
      <w:bookmarkEnd w:id="131"/>
      <w:bookmarkEnd w:id="132"/>
    </w:p>
    <w:p w14:paraId="50E22E7A">
      <w:pPr>
        <w:spacing w:before="240" w:beforeLines="100" w:after="240" w:afterLines="100"/>
        <w:rPr>
          <w:rFonts w:ascii="宋体" w:hAnsi="宋体"/>
          <w:b/>
          <w:sz w:val="28"/>
          <w:szCs w:val="28"/>
        </w:rPr>
      </w:pPr>
      <w:bookmarkStart w:id="133" w:name="_Toc515205226"/>
      <w:bookmarkStart w:id="134" w:name="_Toc529196553"/>
      <w:r>
        <w:rPr>
          <w:rFonts w:hint="eastAsia" w:ascii="宋体" w:hAnsi="宋体"/>
          <w:b/>
          <w:sz w:val="28"/>
          <w:szCs w:val="28"/>
        </w:rPr>
        <w:t>5.1 开标时间和地点</w:t>
      </w:r>
      <w:bookmarkEnd w:id="133"/>
      <w:bookmarkEnd w:id="134"/>
    </w:p>
    <w:p w14:paraId="4F52AEC5">
      <w:pPr>
        <w:spacing w:line="360" w:lineRule="auto"/>
        <w:ind w:firstLine="420" w:firstLineChars="200"/>
        <w:rPr>
          <w:rFonts w:ascii="宋体" w:hAnsi="宋体" w:cs="宋体"/>
          <w:szCs w:val="21"/>
          <w:u w:val="single"/>
        </w:rPr>
      </w:pPr>
      <w:r>
        <w:rPr>
          <w:rFonts w:hint="eastAsia" w:ascii="宋体" w:hAnsi="宋体" w:cs="宋体"/>
          <w:szCs w:val="21"/>
          <w:u w:val="single"/>
          <w:lang w:bidi="ar"/>
        </w:rPr>
        <w:t>招标人在本章第 4.2.1 项规定的投标截止时间（开标时间），通过电子招标投标交易平台公开开标；开标地点在广州公共资源交易中心</w:t>
      </w:r>
      <w:r>
        <w:rPr>
          <w:rFonts w:hint="eastAsia" w:ascii="宋体" w:hAnsi="宋体" w:cs="宋体"/>
          <w:szCs w:val="21"/>
          <w:u w:val="single"/>
          <w:lang w:val="en-US" w:eastAsia="zh-CN" w:bidi="ar"/>
        </w:rPr>
        <w:t>从化交易部</w:t>
      </w:r>
      <w:r>
        <w:rPr>
          <w:rFonts w:hint="eastAsia" w:ascii="宋体" w:hAnsi="宋体" w:cs="宋体"/>
          <w:szCs w:val="21"/>
          <w:u w:val="single"/>
          <w:lang w:bidi="ar"/>
        </w:rPr>
        <w:t>，详见广州公共资源交易中心公布本项目的日程安排，投标人可登录广州公共资源交易中心网站首页，点击“交易业务-建设工程”专栏中的“项目查询（日程安排、答疑纪要）”，输入项目编号或项目名称查询最新信息。开标时，投标人代表有权出席开标会，也可以自主决定不参加开标会，若投标人代表对开标过程提出异议，该投标人代表须同时出示本人身份证原件。</w:t>
      </w:r>
    </w:p>
    <w:p w14:paraId="357C0B73">
      <w:pPr>
        <w:spacing w:before="240" w:beforeLines="100" w:after="240" w:afterLines="100"/>
        <w:rPr>
          <w:rFonts w:ascii="宋体" w:hAnsi="宋体"/>
          <w:b/>
          <w:sz w:val="28"/>
          <w:szCs w:val="28"/>
        </w:rPr>
      </w:pPr>
      <w:bookmarkStart w:id="135" w:name="_Toc515205227"/>
      <w:bookmarkStart w:id="136" w:name="_Toc529196554"/>
      <w:r>
        <w:rPr>
          <w:rFonts w:hint="eastAsia" w:ascii="宋体" w:hAnsi="宋体"/>
          <w:b/>
          <w:sz w:val="28"/>
          <w:szCs w:val="28"/>
        </w:rPr>
        <w:t>5.2 开标程序</w:t>
      </w:r>
      <w:bookmarkEnd w:id="135"/>
      <w:bookmarkEnd w:id="136"/>
    </w:p>
    <w:p w14:paraId="3B59C03E">
      <w:pPr>
        <w:spacing w:line="360" w:lineRule="auto"/>
        <w:ind w:firstLine="420" w:firstLineChars="200"/>
        <w:rPr>
          <w:rFonts w:ascii="宋体" w:hAnsi="宋体"/>
          <w:u w:val="single"/>
        </w:rPr>
      </w:pPr>
      <w:r>
        <w:rPr>
          <w:rFonts w:hint="eastAsia" w:ascii="宋体" w:hAnsi="宋体"/>
          <w:u w:val="single"/>
        </w:rPr>
        <w:t>主持人按下列程序进行开标：</w:t>
      </w:r>
    </w:p>
    <w:p w14:paraId="347F5E78">
      <w:pPr>
        <w:spacing w:line="360" w:lineRule="auto"/>
        <w:ind w:firstLine="420" w:firstLineChars="200"/>
        <w:rPr>
          <w:rFonts w:ascii="宋体" w:hAnsi="宋体"/>
          <w:u w:val="single"/>
        </w:rPr>
      </w:pPr>
      <w:r>
        <w:rPr>
          <w:rFonts w:hint="eastAsia" w:ascii="宋体" w:hAnsi="宋体"/>
          <w:u w:val="single"/>
        </w:rPr>
        <w:t>（1）宣布开标纪律；</w:t>
      </w:r>
    </w:p>
    <w:p w14:paraId="13A90735">
      <w:pPr>
        <w:spacing w:line="360" w:lineRule="auto"/>
        <w:ind w:firstLine="420" w:firstLineChars="200"/>
        <w:rPr>
          <w:rFonts w:ascii="宋体" w:hAnsi="宋体"/>
          <w:u w:val="single"/>
        </w:rPr>
      </w:pPr>
      <w:r>
        <w:rPr>
          <w:rFonts w:hint="eastAsia" w:ascii="宋体" w:hAnsi="宋体"/>
          <w:u w:val="single"/>
        </w:rPr>
        <w:t>（2）公布在投标截止时间前递交投标文件的投标人名称；</w:t>
      </w:r>
    </w:p>
    <w:p w14:paraId="41B0E6E3">
      <w:pPr>
        <w:spacing w:line="360" w:lineRule="auto"/>
        <w:ind w:firstLine="420" w:firstLineChars="200"/>
        <w:rPr>
          <w:rFonts w:ascii="宋体" w:hAnsi="宋体"/>
          <w:u w:val="single"/>
        </w:rPr>
      </w:pPr>
      <w:r>
        <w:rPr>
          <w:rFonts w:hint="eastAsia" w:ascii="宋体" w:hAnsi="宋体"/>
          <w:u w:val="single"/>
        </w:rPr>
        <w:t>（3）宣布</w:t>
      </w:r>
      <w:bookmarkStart w:id="137" w:name="_Toc247527579"/>
      <w:bookmarkStart w:id="138" w:name="_Toc22119"/>
      <w:bookmarkStart w:id="139" w:name="_Toc247513978"/>
      <w:bookmarkStart w:id="140" w:name="_Toc300834975"/>
      <w:bookmarkStart w:id="141" w:name="_Toc361508611"/>
      <w:bookmarkStart w:id="142" w:name="_Toc369531542"/>
      <w:bookmarkStart w:id="143" w:name="_Toc384308236"/>
      <w:bookmarkStart w:id="144" w:name="_Toc144974522"/>
      <w:bookmarkStart w:id="145" w:name="_Toc152042330"/>
      <w:bookmarkStart w:id="146" w:name="_Toc352691498"/>
      <w:bookmarkStart w:id="147" w:name="_Toc152045554"/>
      <w:r>
        <w:rPr>
          <w:rFonts w:hint="eastAsia" w:ascii="宋体" w:hAnsi="宋体"/>
          <w:u w:val="single"/>
        </w:rPr>
        <w:t>开标人、唱标人、记录人</w:t>
      </w:r>
      <w:bookmarkEnd w:id="137"/>
      <w:bookmarkEnd w:id="138"/>
      <w:bookmarkEnd w:id="139"/>
      <w:bookmarkEnd w:id="140"/>
      <w:bookmarkEnd w:id="141"/>
      <w:bookmarkEnd w:id="142"/>
      <w:bookmarkEnd w:id="143"/>
      <w:bookmarkEnd w:id="144"/>
      <w:bookmarkEnd w:id="145"/>
      <w:bookmarkEnd w:id="146"/>
      <w:bookmarkEnd w:id="147"/>
      <w:r>
        <w:rPr>
          <w:rFonts w:hint="eastAsia" w:ascii="宋体" w:hAnsi="宋体"/>
          <w:u w:val="single"/>
        </w:rPr>
        <w:t>、监标人等有关人员姓名；</w:t>
      </w:r>
    </w:p>
    <w:p w14:paraId="12F44ED8">
      <w:pPr>
        <w:spacing w:line="360" w:lineRule="auto"/>
        <w:ind w:firstLine="420" w:firstLineChars="200"/>
        <w:rPr>
          <w:rFonts w:ascii="宋体" w:hAnsi="宋体"/>
          <w:strike/>
          <w:u w:val="single"/>
        </w:rPr>
      </w:pPr>
      <w:r>
        <w:rPr>
          <w:rFonts w:hint="eastAsia" w:ascii="宋体" w:hAnsi="宋体"/>
          <w:u w:val="single"/>
        </w:rPr>
        <w:t>（4）投标人通过电子招标投标交易平台对已递交的电子投标文件进行解密，公布招标项目名称、投标人名称、投标报价、</w:t>
      </w:r>
      <w:r>
        <w:rPr>
          <w:rFonts w:hint="eastAsia" w:ascii="宋体" w:hAnsi="宋体"/>
          <w:u w:val="single"/>
          <w:lang w:eastAsia="zh-CN"/>
        </w:rPr>
        <w:t>服务期限</w:t>
      </w:r>
      <w:r>
        <w:rPr>
          <w:rFonts w:hint="eastAsia" w:ascii="宋体" w:hAnsi="宋体"/>
          <w:u w:val="single"/>
        </w:rPr>
        <w:t>及其他内容，并记录在案；</w:t>
      </w:r>
    </w:p>
    <w:p w14:paraId="32F09967">
      <w:pPr>
        <w:spacing w:line="360" w:lineRule="auto"/>
        <w:ind w:firstLine="420" w:firstLineChars="200"/>
        <w:rPr>
          <w:rFonts w:hint="eastAsia" w:ascii="宋体" w:hAnsi="宋体"/>
          <w:u w:val="single"/>
        </w:rPr>
      </w:pPr>
      <w:r>
        <w:rPr>
          <w:rFonts w:hint="eastAsia" w:ascii="宋体" w:hAnsi="宋体"/>
          <w:u w:val="single"/>
        </w:rPr>
        <w:t>（</w:t>
      </w:r>
      <w:r>
        <w:rPr>
          <w:rFonts w:hint="eastAsia" w:ascii="宋体" w:hAnsi="宋体"/>
          <w:u w:val="single"/>
          <w:lang w:val="en-US" w:eastAsia="zh-CN"/>
        </w:rPr>
        <w:t>5</w:t>
      </w:r>
      <w:r>
        <w:rPr>
          <w:rFonts w:hint="eastAsia" w:ascii="宋体" w:hAnsi="宋体"/>
          <w:u w:val="single"/>
        </w:rPr>
        <w:t>）开标结束。</w:t>
      </w:r>
    </w:p>
    <w:p w14:paraId="250C3D2A">
      <w:pPr>
        <w:spacing w:line="360" w:lineRule="auto"/>
        <w:rPr>
          <w:rFonts w:hint="eastAsia" w:ascii="宋体" w:hAnsi="宋体" w:cs="宋体"/>
          <w:sz w:val="22"/>
          <w:u w:val="single"/>
        </w:rPr>
      </w:pPr>
      <w:r>
        <w:rPr>
          <w:rFonts w:hint="eastAsia" w:ascii="宋体" w:hAnsi="宋体" w:cs="宋体"/>
          <w:sz w:val="22"/>
          <w:u w:val="single"/>
        </w:rPr>
        <w:t>5.2.2投标截止时间前未完成投标文件传输的或因投标人之外的原因造成投标文件未解密的或未在投标截止时间后半小时解密的，视为投标人其撤回投标文件。因投标人原因造成投标文件未解密的，或因投标人之外原因解密失败且未递交电子</w:t>
      </w:r>
      <w:r>
        <w:rPr>
          <w:rFonts w:hint="eastAsia" w:ascii="宋体" w:hAnsi="宋体" w:cs="宋体"/>
          <w:sz w:val="22"/>
          <w:u w:val="single"/>
          <w:lang w:eastAsia="zh-CN"/>
        </w:rPr>
        <w:t>光盘或U盘</w:t>
      </w:r>
      <w:r>
        <w:rPr>
          <w:rFonts w:hint="eastAsia" w:ascii="宋体" w:hAnsi="宋体" w:cs="宋体"/>
          <w:sz w:val="22"/>
          <w:u w:val="single"/>
        </w:rPr>
        <w:t>或递交的电子</w:t>
      </w:r>
      <w:r>
        <w:rPr>
          <w:rFonts w:hint="eastAsia" w:ascii="宋体" w:hAnsi="宋体" w:cs="宋体"/>
          <w:sz w:val="22"/>
          <w:u w:val="single"/>
          <w:lang w:eastAsia="zh-CN"/>
        </w:rPr>
        <w:t>光盘或U盘</w:t>
      </w:r>
      <w:r>
        <w:rPr>
          <w:rFonts w:hint="eastAsia" w:ascii="宋体" w:hAnsi="宋体" w:cs="宋体"/>
          <w:sz w:val="22"/>
          <w:u w:val="single"/>
        </w:rPr>
        <w:t>不能读取的，视为撤销其投标文件。</w:t>
      </w:r>
    </w:p>
    <w:p w14:paraId="387616E6">
      <w:pPr>
        <w:pStyle w:val="22"/>
      </w:pPr>
      <w:r>
        <w:rPr>
          <w:rFonts w:hint="eastAsia" w:ascii="宋体" w:hAnsi="宋体" w:cs="宋体"/>
          <w:sz w:val="22"/>
          <w:u w:val="single"/>
        </w:rPr>
        <w:t>5.2.3开标时，两个（含两个）以上的投标人加密打包投标文件电脑机器特征码一致的，不参与下一程序，并由评标委员会否决其投标。</w:t>
      </w:r>
    </w:p>
    <w:p w14:paraId="54AFF2EC">
      <w:pPr>
        <w:spacing w:before="240" w:beforeLines="100" w:after="240" w:afterLines="100"/>
        <w:rPr>
          <w:rFonts w:ascii="宋体" w:hAnsi="宋体"/>
          <w:b/>
          <w:sz w:val="28"/>
          <w:szCs w:val="28"/>
        </w:rPr>
      </w:pPr>
      <w:bookmarkStart w:id="148" w:name="_Toc515205228"/>
      <w:bookmarkStart w:id="149" w:name="_Toc529196555"/>
      <w:r>
        <w:rPr>
          <w:rFonts w:hint="eastAsia" w:ascii="宋体" w:hAnsi="宋体"/>
          <w:b/>
          <w:sz w:val="28"/>
          <w:szCs w:val="28"/>
        </w:rPr>
        <w:t>5.3 开标异议</w:t>
      </w:r>
      <w:bookmarkEnd w:id="148"/>
      <w:bookmarkEnd w:id="149"/>
    </w:p>
    <w:p w14:paraId="229FE37B">
      <w:pPr>
        <w:spacing w:line="360" w:lineRule="auto"/>
        <w:ind w:firstLine="420" w:firstLineChars="200"/>
        <w:rPr>
          <w:rFonts w:ascii="宋体" w:hAnsi="宋体"/>
          <w:color w:val="auto"/>
          <w:sz w:val="21"/>
          <w:szCs w:val="21"/>
          <w:highlight w:val="none"/>
          <w:u w:val="single"/>
        </w:rPr>
      </w:pPr>
      <w:r>
        <w:rPr>
          <w:rFonts w:ascii="宋体" w:hAnsi="宋体"/>
          <w:color w:val="auto"/>
          <w:sz w:val="21"/>
          <w:szCs w:val="21"/>
          <w:highlight w:val="none"/>
          <w:u w:val="single"/>
        </w:rPr>
        <w:t>5.3.1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296C4CAE">
      <w:pPr>
        <w:spacing w:line="360" w:lineRule="auto"/>
        <w:ind w:firstLine="420" w:firstLineChars="200"/>
        <w:rPr>
          <w:rFonts w:ascii="宋体" w:hAnsi="宋体"/>
          <w:color w:val="auto"/>
          <w:sz w:val="21"/>
          <w:szCs w:val="21"/>
          <w:highlight w:val="none"/>
          <w:u w:val="single"/>
        </w:rPr>
      </w:pPr>
      <w:r>
        <w:rPr>
          <w:rFonts w:ascii="宋体" w:hAnsi="宋体"/>
          <w:color w:val="auto"/>
          <w:sz w:val="21"/>
          <w:szCs w:val="21"/>
          <w:highlight w:val="none"/>
          <w:u w:val="single"/>
        </w:rPr>
        <w:t>5.3.2参加现场开标的投标人对开标结果有异议的，应当在开标现场提出，该投标人代表须同时出示本人身份证原件，招标人当场作出答复，并制作记录。</w:t>
      </w:r>
    </w:p>
    <w:p w14:paraId="0E59DAE8">
      <w:pPr>
        <w:spacing w:line="360" w:lineRule="auto"/>
        <w:ind w:firstLine="420" w:firstLineChars="200"/>
        <w:rPr>
          <w:rFonts w:ascii="宋体" w:hAnsi="宋体"/>
          <w:color w:val="auto"/>
          <w:sz w:val="21"/>
          <w:szCs w:val="21"/>
          <w:highlight w:val="none"/>
          <w:u w:val="single"/>
        </w:rPr>
      </w:pPr>
      <w:r>
        <w:rPr>
          <w:rFonts w:ascii="宋体" w:hAnsi="宋体"/>
          <w:color w:val="auto"/>
          <w:sz w:val="21"/>
          <w:szCs w:val="21"/>
          <w:highlight w:val="none"/>
          <w:u w:val="single"/>
        </w:rPr>
        <w:t>5.3.3参加在线开标的投标人对开标结果有异议的，应当使用单位数字证书登录交易平台后通过交易平台提出。招标人授权招标代理机构工作人员使用招标代理机构数字证书登录交易平台答复异议，异议答复是招标人真实意思表示。未答复的，开标程序不得结束，投标人若无异议，点击“我没有异议了”按钮即可。</w:t>
      </w:r>
    </w:p>
    <w:p w14:paraId="19040B69">
      <w:pPr>
        <w:spacing w:line="360" w:lineRule="auto"/>
        <w:ind w:firstLine="359" w:firstLineChars="171"/>
        <w:rPr>
          <w:rFonts w:ascii="宋体" w:hAnsi="宋体"/>
        </w:rPr>
      </w:pPr>
      <w:r>
        <w:rPr>
          <w:rFonts w:ascii="宋体" w:hAnsi="宋体"/>
          <w:color w:val="auto"/>
          <w:sz w:val="21"/>
          <w:szCs w:val="21"/>
          <w:highlight w:val="none"/>
          <w:u w:val="single"/>
        </w:rPr>
        <w:t>5.3.4投标人未参加开标或在规定的时间内未提出异议的，视为对开标无异议。</w:t>
      </w:r>
    </w:p>
    <w:p w14:paraId="13F65433">
      <w:pPr>
        <w:spacing w:before="260"/>
        <w:outlineLvl w:val="2"/>
        <w:rPr>
          <w:rFonts w:ascii="宋体" w:hAnsi="宋体"/>
          <w:b/>
          <w:sz w:val="32"/>
          <w:szCs w:val="32"/>
        </w:rPr>
      </w:pPr>
      <w:bookmarkStart w:id="150" w:name="_Toc529196556"/>
      <w:bookmarkStart w:id="151" w:name="_Toc515205229"/>
      <w:r>
        <w:rPr>
          <w:rFonts w:hint="eastAsia" w:ascii="宋体" w:hAnsi="宋体"/>
          <w:b/>
          <w:sz w:val="32"/>
          <w:szCs w:val="32"/>
        </w:rPr>
        <w:t>6. 评标</w:t>
      </w:r>
      <w:bookmarkEnd w:id="150"/>
      <w:bookmarkEnd w:id="151"/>
    </w:p>
    <w:p w14:paraId="7E036446">
      <w:pPr>
        <w:spacing w:before="240" w:beforeLines="100" w:after="240" w:afterLines="100"/>
        <w:rPr>
          <w:rFonts w:ascii="宋体" w:hAnsi="宋体"/>
          <w:b/>
          <w:sz w:val="28"/>
          <w:szCs w:val="28"/>
        </w:rPr>
      </w:pPr>
      <w:bookmarkStart w:id="152" w:name="_Toc529196557"/>
      <w:bookmarkStart w:id="153" w:name="_Toc515205230"/>
      <w:r>
        <w:rPr>
          <w:rFonts w:hint="eastAsia" w:ascii="宋体" w:hAnsi="宋体"/>
          <w:b/>
          <w:sz w:val="28"/>
          <w:szCs w:val="28"/>
        </w:rPr>
        <w:t>6.1 评标委员会</w:t>
      </w:r>
      <w:bookmarkEnd w:id="152"/>
      <w:bookmarkEnd w:id="153"/>
    </w:p>
    <w:p w14:paraId="3F13E9FD">
      <w:pPr>
        <w:spacing w:line="360" w:lineRule="auto"/>
        <w:ind w:firstLine="420" w:firstLineChars="200"/>
        <w:rPr>
          <w:rFonts w:ascii="宋体" w:hAnsi="宋体"/>
        </w:rPr>
      </w:pPr>
      <w:r>
        <w:rPr>
          <w:rFonts w:hint="eastAsia" w:ascii="宋体" w:hAnsi="宋体"/>
        </w:rPr>
        <w:t xml:space="preserve">6.1.1 </w:t>
      </w:r>
      <w:r>
        <w:rPr>
          <w:rFonts w:hint="eastAsia" w:ascii="宋体" w:hAnsi="宋体" w:cs="宋体"/>
        </w:rPr>
        <w:t>评标由招标人依法组建的评标委员会负责。评标委员会</w:t>
      </w:r>
      <w:r>
        <w:rPr>
          <w:rFonts w:hint="eastAsia" w:ascii="宋体" w:hAnsi="宋体" w:cs="宋体"/>
          <w:lang w:val="en-US" w:eastAsia="zh-CN"/>
        </w:rPr>
        <w:t>构成</w:t>
      </w:r>
      <w:r>
        <w:rPr>
          <w:rFonts w:hint="eastAsia" w:ascii="宋体" w:hAnsi="宋体" w:cs="宋体"/>
        </w:rPr>
        <w:t>见投标人须知前附表。</w:t>
      </w:r>
    </w:p>
    <w:p w14:paraId="49FD98D9">
      <w:pPr>
        <w:spacing w:line="360" w:lineRule="auto"/>
        <w:ind w:firstLine="420" w:firstLineChars="200"/>
        <w:rPr>
          <w:rFonts w:ascii="宋体" w:hAnsi="宋体"/>
        </w:rPr>
      </w:pPr>
      <w:r>
        <w:rPr>
          <w:rFonts w:hint="eastAsia" w:ascii="宋体" w:hAnsi="宋体"/>
        </w:rPr>
        <w:t>6.1.2 评标委员会成员有下列情形之一的，应当回避：</w:t>
      </w:r>
    </w:p>
    <w:p w14:paraId="02B88562">
      <w:pPr>
        <w:spacing w:line="360" w:lineRule="auto"/>
        <w:ind w:firstLine="718" w:firstLineChars="342"/>
        <w:rPr>
          <w:rFonts w:ascii="宋体" w:hAnsi="宋体"/>
        </w:rPr>
      </w:pPr>
      <w:r>
        <w:rPr>
          <w:rFonts w:hint="eastAsia" w:ascii="宋体" w:hAnsi="宋体"/>
        </w:rPr>
        <w:t>（1）投标人或投标人主要负责人的近亲属；</w:t>
      </w:r>
    </w:p>
    <w:p w14:paraId="7A38B4D7">
      <w:pPr>
        <w:spacing w:line="360" w:lineRule="auto"/>
        <w:ind w:firstLine="718" w:firstLineChars="342"/>
        <w:rPr>
          <w:rFonts w:ascii="宋体" w:hAnsi="宋体"/>
        </w:rPr>
      </w:pPr>
      <w:r>
        <w:rPr>
          <w:rFonts w:hint="eastAsia" w:ascii="宋体" w:hAnsi="宋体"/>
        </w:rPr>
        <w:t>（2）项目主管部门或者行政监督部门的人员；</w:t>
      </w:r>
    </w:p>
    <w:p w14:paraId="08409EDE">
      <w:pPr>
        <w:spacing w:line="360" w:lineRule="auto"/>
        <w:ind w:firstLine="718" w:firstLineChars="342"/>
        <w:rPr>
          <w:rFonts w:ascii="宋体" w:hAnsi="宋体"/>
        </w:rPr>
      </w:pPr>
      <w:r>
        <w:rPr>
          <w:rFonts w:hint="eastAsia" w:ascii="宋体" w:hAnsi="宋体"/>
        </w:rPr>
        <w:t>（3）与投标人有经济利益关系，可能影响对投标公正评审的；</w:t>
      </w:r>
    </w:p>
    <w:p w14:paraId="7169925E">
      <w:pPr>
        <w:spacing w:line="360" w:lineRule="auto"/>
        <w:ind w:firstLine="718" w:firstLineChars="342"/>
        <w:rPr>
          <w:rFonts w:ascii="宋体" w:hAnsi="宋体"/>
        </w:rPr>
      </w:pPr>
      <w:r>
        <w:rPr>
          <w:rFonts w:hint="eastAsia" w:ascii="宋体" w:hAnsi="宋体"/>
        </w:rPr>
        <w:t>（4）曾因在招标、评</w:t>
      </w:r>
      <w:bookmarkStart w:id="154" w:name="_Toc369531543"/>
      <w:bookmarkStart w:id="155" w:name="_Toc144974523"/>
      <w:bookmarkStart w:id="156" w:name="_Toc247513979"/>
      <w:bookmarkStart w:id="157" w:name="_Toc152042331"/>
      <w:bookmarkStart w:id="158" w:name="_Toc384308237"/>
      <w:bookmarkStart w:id="159" w:name="_Toc300834976"/>
      <w:bookmarkStart w:id="160" w:name="_Toc152045555"/>
      <w:bookmarkStart w:id="161" w:name="_Toc247527580"/>
      <w:bookmarkStart w:id="162" w:name="_Toc361508612"/>
      <w:bookmarkStart w:id="163" w:name="_Toc6230"/>
      <w:bookmarkStart w:id="164" w:name="_Toc352691499"/>
      <w:r>
        <w:rPr>
          <w:rFonts w:hint="eastAsia" w:ascii="宋体" w:hAnsi="宋体"/>
        </w:rPr>
        <w:t>标以及其他</w:t>
      </w:r>
      <w:bookmarkEnd w:id="154"/>
      <w:bookmarkEnd w:id="155"/>
      <w:bookmarkEnd w:id="156"/>
      <w:bookmarkEnd w:id="157"/>
      <w:bookmarkEnd w:id="158"/>
      <w:bookmarkEnd w:id="159"/>
      <w:bookmarkEnd w:id="160"/>
      <w:bookmarkEnd w:id="161"/>
      <w:bookmarkEnd w:id="162"/>
      <w:bookmarkEnd w:id="163"/>
      <w:bookmarkEnd w:id="164"/>
      <w:r>
        <w:rPr>
          <w:rFonts w:hint="eastAsia" w:ascii="宋体" w:hAnsi="宋体"/>
        </w:rPr>
        <w:t>与</w:t>
      </w:r>
      <w:bookmarkStart w:id="165" w:name="_Toc352691500"/>
      <w:bookmarkStart w:id="166" w:name="_Toc247513980"/>
      <w:bookmarkStart w:id="167" w:name="_Toc384308238"/>
      <w:bookmarkStart w:id="168" w:name="_Toc144974524"/>
      <w:bookmarkStart w:id="169" w:name="_Toc361508613"/>
      <w:bookmarkStart w:id="170" w:name="_Toc17703"/>
      <w:bookmarkStart w:id="171" w:name="_Toc300834977"/>
      <w:bookmarkStart w:id="172" w:name="_Toc247527581"/>
      <w:bookmarkStart w:id="173" w:name="_Toc152045556"/>
      <w:bookmarkStart w:id="174" w:name="_Toc152042332"/>
      <w:bookmarkStart w:id="175" w:name="_Toc369531544"/>
      <w:r>
        <w:rPr>
          <w:rFonts w:hint="eastAsia" w:ascii="宋体" w:hAnsi="宋体"/>
        </w:rPr>
        <w:t>招标投标有关活动中从事违法行</w:t>
      </w:r>
      <w:bookmarkEnd w:id="165"/>
      <w:bookmarkEnd w:id="166"/>
      <w:bookmarkEnd w:id="167"/>
      <w:bookmarkEnd w:id="168"/>
      <w:bookmarkEnd w:id="169"/>
      <w:bookmarkEnd w:id="170"/>
      <w:bookmarkEnd w:id="171"/>
      <w:bookmarkEnd w:id="172"/>
      <w:bookmarkEnd w:id="173"/>
      <w:bookmarkEnd w:id="174"/>
      <w:bookmarkEnd w:id="175"/>
      <w:r>
        <w:rPr>
          <w:rFonts w:hint="eastAsia" w:ascii="宋体" w:hAnsi="宋体"/>
        </w:rPr>
        <w:t>为而受过行政处罚或刑事处罚的；</w:t>
      </w:r>
    </w:p>
    <w:p w14:paraId="581DD4FE">
      <w:pPr>
        <w:spacing w:line="360" w:lineRule="auto"/>
        <w:ind w:firstLine="718" w:firstLineChars="342"/>
        <w:rPr>
          <w:rFonts w:ascii="宋体" w:hAnsi="宋体"/>
        </w:rPr>
      </w:pPr>
      <w:r>
        <w:rPr>
          <w:rFonts w:hint="eastAsia" w:ascii="宋体" w:hAnsi="宋体"/>
        </w:rPr>
        <w:t>（5）与投标人有其他利害关系。</w:t>
      </w:r>
    </w:p>
    <w:p w14:paraId="02C468F6">
      <w:pPr>
        <w:spacing w:line="360" w:lineRule="auto"/>
        <w:ind w:firstLine="420" w:firstLineChars="200"/>
        <w:rPr>
          <w:rFonts w:ascii="宋体" w:hAnsi="宋体"/>
        </w:rPr>
      </w:pPr>
      <w:r>
        <w:rPr>
          <w:rFonts w:hint="eastAsia" w:ascii="宋体" w:hAnsi="宋体"/>
        </w:rPr>
        <w:t>6.1.3 评标过程中，评标委员会成员有回避事由、擅离职守或者因健康等原因不能继续评标的，招标人有权更换。被更换的评标委员会成员作出的评审结论无效，由更换后的评标委员会成员重新进行评审。</w:t>
      </w:r>
    </w:p>
    <w:p w14:paraId="7F52396F">
      <w:pPr>
        <w:spacing w:before="240" w:beforeLines="100" w:after="240" w:afterLines="100"/>
        <w:rPr>
          <w:rFonts w:ascii="宋体" w:hAnsi="宋体"/>
          <w:b/>
          <w:sz w:val="28"/>
          <w:szCs w:val="28"/>
        </w:rPr>
      </w:pPr>
      <w:bookmarkStart w:id="176" w:name="_Toc529196558"/>
      <w:bookmarkStart w:id="177" w:name="_Toc515205231"/>
      <w:r>
        <w:rPr>
          <w:rFonts w:hint="eastAsia" w:ascii="宋体" w:hAnsi="宋体"/>
          <w:b/>
          <w:sz w:val="28"/>
          <w:szCs w:val="28"/>
        </w:rPr>
        <w:t>6.2 评标原则</w:t>
      </w:r>
      <w:bookmarkEnd w:id="176"/>
      <w:bookmarkEnd w:id="177"/>
    </w:p>
    <w:p w14:paraId="5C208A81">
      <w:pPr>
        <w:spacing w:line="360" w:lineRule="auto"/>
        <w:ind w:firstLine="420" w:firstLineChars="200"/>
        <w:rPr>
          <w:rFonts w:ascii="宋体" w:hAnsi="宋体"/>
        </w:rPr>
      </w:pPr>
      <w:r>
        <w:rPr>
          <w:rFonts w:hint="eastAsia" w:ascii="宋体" w:hAnsi="宋体"/>
        </w:rPr>
        <w:t>评标活动遵循公平、公正、科学和择优的原</w:t>
      </w:r>
      <w:bookmarkStart w:id="178" w:name="_Toc384308239"/>
      <w:bookmarkStart w:id="179" w:name="_Toc152045557"/>
      <w:bookmarkStart w:id="180" w:name="_Toc361508614"/>
      <w:bookmarkStart w:id="181" w:name="_Toc352691501"/>
      <w:bookmarkStart w:id="182" w:name="_Toc18949"/>
      <w:bookmarkStart w:id="183" w:name="_Toc369531545"/>
      <w:bookmarkStart w:id="184" w:name="_Toc247527582"/>
      <w:bookmarkStart w:id="185" w:name="_Toc144974525"/>
      <w:bookmarkStart w:id="186" w:name="_Toc152042333"/>
      <w:bookmarkStart w:id="187" w:name="_Toc247513981"/>
      <w:bookmarkStart w:id="188" w:name="_Toc300834978"/>
      <w:r>
        <w:rPr>
          <w:rFonts w:hint="eastAsia" w:ascii="宋体" w:hAnsi="宋体"/>
        </w:rPr>
        <w:t>则。</w:t>
      </w:r>
    </w:p>
    <w:p w14:paraId="3268ED44">
      <w:pPr>
        <w:spacing w:before="240" w:beforeLines="100" w:after="240" w:afterLines="100"/>
        <w:rPr>
          <w:rFonts w:ascii="宋体" w:hAnsi="宋体"/>
          <w:b/>
          <w:sz w:val="28"/>
          <w:szCs w:val="28"/>
        </w:rPr>
      </w:pPr>
      <w:bookmarkStart w:id="189" w:name="_Toc529196559"/>
      <w:bookmarkStart w:id="190" w:name="_Toc515205232"/>
      <w:r>
        <w:rPr>
          <w:rFonts w:hint="eastAsia" w:ascii="宋体" w:hAnsi="宋体"/>
          <w:b/>
          <w:sz w:val="28"/>
          <w:szCs w:val="28"/>
        </w:rPr>
        <w:t>6.3 评标</w:t>
      </w:r>
      <w:bookmarkEnd w:id="189"/>
      <w:bookmarkEnd w:id="190"/>
    </w:p>
    <w:p w14:paraId="2BC979E1">
      <w:pPr>
        <w:spacing w:line="360" w:lineRule="auto"/>
        <w:ind w:firstLine="420" w:firstLineChars="200"/>
        <w:rPr>
          <w:rFonts w:ascii="宋体" w:hAnsi="宋体"/>
        </w:rPr>
      </w:pPr>
      <w:r>
        <w:rPr>
          <w:rFonts w:hint="eastAsia" w:ascii="宋体" w:hAnsi="宋体"/>
        </w:rPr>
        <w:t>6</w:t>
      </w:r>
      <w:bookmarkEnd w:id="178"/>
      <w:bookmarkEnd w:id="179"/>
      <w:bookmarkEnd w:id="180"/>
      <w:bookmarkEnd w:id="181"/>
      <w:bookmarkEnd w:id="182"/>
      <w:bookmarkEnd w:id="183"/>
      <w:bookmarkEnd w:id="184"/>
      <w:bookmarkEnd w:id="185"/>
      <w:bookmarkEnd w:id="186"/>
      <w:bookmarkEnd w:id="187"/>
      <w:bookmarkEnd w:id="188"/>
      <w:r>
        <w:rPr>
          <w:rFonts w:hint="eastAsia" w:ascii="宋体" w:hAnsi="宋体"/>
        </w:rPr>
        <w:t>.3.1评标委员会按照第三章“评标办法”规定的方法、评审因素、标准和程序对投标文件进行评审。第三章“评标办法”没有规定的方法、评审因素和标准，不作为评标依据。</w:t>
      </w:r>
    </w:p>
    <w:p w14:paraId="4554C8BA">
      <w:pPr>
        <w:spacing w:line="360" w:lineRule="auto"/>
        <w:ind w:firstLine="420" w:firstLineChars="200"/>
        <w:rPr>
          <w:rFonts w:ascii="宋体" w:hAnsi="宋体"/>
        </w:rPr>
      </w:pPr>
      <w:r>
        <w:rPr>
          <w:rFonts w:hint="eastAsia" w:ascii="宋体" w:hAnsi="宋体"/>
        </w:rPr>
        <w:t>6.3.2评标完成后，评标委员会应当向招标人提交书面评标报告和中标候选人名单。评标委员会推荐中标</w:t>
      </w:r>
      <w:bookmarkStart w:id="191" w:name="_Toc300834979"/>
      <w:bookmarkStart w:id="192" w:name="_Toc361508615"/>
      <w:bookmarkStart w:id="193" w:name="_Toc152045558"/>
      <w:bookmarkStart w:id="194" w:name="_Toc152042334"/>
      <w:bookmarkStart w:id="195" w:name="_Toc247527583"/>
      <w:bookmarkStart w:id="196" w:name="_Toc12259"/>
      <w:bookmarkStart w:id="197" w:name="_Toc247513982"/>
      <w:bookmarkStart w:id="198" w:name="_Toc369531546"/>
      <w:bookmarkStart w:id="199" w:name="_Toc144974526"/>
      <w:bookmarkStart w:id="200" w:name="_Toc352691502"/>
      <w:bookmarkStart w:id="201" w:name="_Toc384308240"/>
      <w:r>
        <w:rPr>
          <w:rFonts w:hint="eastAsia" w:ascii="宋体" w:hAnsi="宋体"/>
        </w:rPr>
        <w:t>候选人的人数见投标人须知前附</w:t>
      </w:r>
      <w:bookmarkEnd w:id="191"/>
      <w:bookmarkEnd w:id="192"/>
      <w:bookmarkEnd w:id="193"/>
      <w:bookmarkEnd w:id="194"/>
      <w:bookmarkEnd w:id="195"/>
      <w:bookmarkEnd w:id="196"/>
      <w:bookmarkEnd w:id="197"/>
      <w:bookmarkEnd w:id="198"/>
      <w:bookmarkEnd w:id="199"/>
      <w:bookmarkEnd w:id="200"/>
      <w:bookmarkEnd w:id="201"/>
      <w:r>
        <w:rPr>
          <w:rFonts w:hint="eastAsia" w:ascii="宋体" w:hAnsi="宋体"/>
        </w:rPr>
        <w:t>表。</w:t>
      </w:r>
    </w:p>
    <w:p w14:paraId="7E82C139">
      <w:pPr>
        <w:spacing w:before="260"/>
        <w:outlineLvl w:val="2"/>
        <w:rPr>
          <w:rFonts w:ascii="宋体" w:hAnsi="宋体"/>
          <w:b/>
          <w:sz w:val="32"/>
          <w:szCs w:val="32"/>
        </w:rPr>
      </w:pPr>
      <w:bookmarkStart w:id="202" w:name="_Toc529196560"/>
      <w:bookmarkStart w:id="203" w:name="_Toc515205233"/>
      <w:r>
        <w:rPr>
          <w:rFonts w:hint="eastAsia" w:ascii="宋体" w:hAnsi="宋体"/>
          <w:b/>
          <w:sz w:val="32"/>
          <w:szCs w:val="32"/>
        </w:rPr>
        <w:t>7. 合同授予</w:t>
      </w:r>
      <w:bookmarkEnd w:id="202"/>
      <w:bookmarkEnd w:id="203"/>
    </w:p>
    <w:p w14:paraId="7D22DADE">
      <w:pPr>
        <w:spacing w:before="240" w:beforeLines="100" w:after="240" w:afterLines="100"/>
        <w:rPr>
          <w:rFonts w:ascii="宋体" w:hAnsi="宋体"/>
          <w:b/>
          <w:sz w:val="28"/>
          <w:szCs w:val="28"/>
        </w:rPr>
      </w:pPr>
      <w:bookmarkStart w:id="204" w:name="_Toc529196561"/>
      <w:bookmarkStart w:id="205" w:name="_Toc515205234"/>
      <w:r>
        <w:rPr>
          <w:rFonts w:hint="eastAsia" w:ascii="宋体" w:hAnsi="宋体"/>
          <w:b/>
          <w:sz w:val="28"/>
          <w:szCs w:val="28"/>
        </w:rPr>
        <w:t>7.1 中标候选人公示</w:t>
      </w:r>
      <w:bookmarkEnd w:id="204"/>
      <w:bookmarkEnd w:id="205"/>
    </w:p>
    <w:p w14:paraId="03B477A1">
      <w:pPr>
        <w:spacing w:line="360" w:lineRule="auto"/>
        <w:ind w:firstLine="420" w:firstLineChars="200"/>
        <w:rPr>
          <w:rFonts w:ascii="宋体" w:hAnsi="宋体"/>
        </w:rPr>
      </w:pPr>
      <w:r>
        <w:rPr>
          <w:rFonts w:hint="eastAsia" w:ascii="宋体" w:hAnsi="宋体"/>
        </w:rPr>
        <w:t>招标人在收到评标报告之日起3日内，按照投标人须知前附表规定的公示媒介和期限公示中标候选人，公示期不得少于3天。</w:t>
      </w:r>
    </w:p>
    <w:p w14:paraId="767DB0A7">
      <w:pPr>
        <w:spacing w:before="240" w:beforeLines="100" w:after="240" w:afterLines="100"/>
        <w:rPr>
          <w:rFonts w:ascii="宋体" w:hAnsi="宋体"/>
          <w:b/>
          <w:sz w:val="28"/>
          <w:szCs w:val="28"/>
        </w:rPr>
      </w:pPr>
      <w:bookmarkStart w:id="206" w:name="_Toc529196562"/>
      <w:bookmarkStart w:id="207" w:name="_Toc515205235"/>
      <w:r>
        <w:rPr>
          <w:rFonts w:hint="eastAsia" w:ascii="宋体" w:hAnsi="宋体"/>
          <w:b/>
          <w:sz w:val="28"/>
          <w:szCs w:val="28"/>
        </w:rPr>
        <w:t>7.2 评标结果异议</w:t>
      </w:r>
      <w:bookmarkEnd w:id="206"/>
      <w:bookmarkEnd w:id="207"/>
    </w:p>
    <w:p w14:paraId="554421AF">
      <w:pPr>
        <w:spacing w:line="360" w:lineRule="auto"/>
        <w:ind w:firstLine="420" w:firstLineChars="200"/>
        <w:rPr>
          <w:rFonts w:ascii="宋体" w:hAnsi="宋体"/>
        </w:rPr>
      </w:pPr>
      <w:r>
        <w:rPr>
          <w:rFonts w:hint="eastAsia" w:ascii="宋体" w:hAnsi="宋体"/>
        </w:rPr>
        <w:t>投标人或者其他利</w:t>
      </w:r>
      <w:bookmarkStart w:id="208" w:name="_Toc384308243"/>
      <w:bookmarkStart w:id="209" w:name="_Toc300834982"/>
      <w:bookmarkStart w:id="210" w:name="_Toc152045561"/>
      <w:bookmarkStart w:id="211" w:name="_Toc30095"/>
      <w:bookmarkStart w:id="212" w:name="_Toc152042337"/>
      <w:bookmarkStart w:id="213" w:name="_Toc144974529"/>
      <w:bookmarkStart w:id="214" w:name="_Toc247527586"/>
      <w:bookmarkStart w:id="215" w:name="_Toc247513985"/>
      <w:bookmarkStart w:id="216" w:name="_Toc361508618"/>
      <w:bookmarkStart w:id="217" w:name="_Toc352691505"/>
      <w:bookmarkStart w:id="218" w:name="_Toc369531549"/>
      <w:r>
        <w:rPr>
          <w:rFonts w:hint="eastAsia" w:ascii="宋体" w:hAnsi="宋体"/>
        </w:rPr>
        <w:t>害关系人对评标结</w:t>
      </w:r>
      <w:bookmarkEnd w:id="208"/>
      <w:bookmarkEnd w:id="209"/>
      <w:bookmarkEnd w:id="210"/>
      <w:bookmarkEnd w:id="211"/>
      <w:bookmarkEnd w:id="212"/>
      <w:bookmarkEnd w:id="213"/>
      <w:bookmarkEnd w:id="214"/>
      <w:bookmarkEnd w:id="215"/>
      <w:bookmarkEnd w:id="216"/>
      <w:bookmarkEnd w:id="217"/>
      <w:bookmarkEnd w:id="218"/>
      <w:r>
        <w:rPr>
          <w:rFonts w:hint="eastAsia" w:ascii="宋体" w:hAnsi="宋体"/>
        </w:rPr>
        <w:t>果有异议的，应当在中标候选人公示期间提出。招标人将在收到异议之日起3日内作出答复；作出答复前，将暂停招标投标活动。</w:t>
      </w:r>
    </w:p>
    <w:p w14:paraId="30799536">
      <w:pPr>
        <w:spacing w:before="240" w:beforeLines="100" w:after="240" w:afterLines="100"/>
        <w:rPr>
          <w:rFonts w:ascii="宋体" w:hAnsi="宋体"/>
          <w:b/>
          <w:sz w:val="28"/>
          <w:szCs w:val="28"/>
        </w:rPr>
      </w:pPr>
      <w:bookmarkStart w:id="219" w:name="_Toc515205236"/>
      <w:bookmarkStart w:id="220" w:name="_Toc529196563"/>
      <w:r>
        <w:rPr>
          <w:rFonts w:hint="eastAsia" w:ascii="宋体" w:hAnsi="宋体"/>
          <w:b/>
          <w:sz w:val="28"/>
          <w:szCs w:val="28"/>
        </w:rPr>
        <w:t>7.3 中标候选人履约能力审查</w:t>
      </w:r>
      <w:bookmarkEnd w:id="219"/>
      <w:bookmarkEnd w:id="220"/>
    </w:p>
    <w:p w14:paraId="5D495A5E">
      <w:pPr>
        <w:spacing w:line="360" w:lineRule="auto"/>
        <w:ind w:firstLine="420" w:firstLineChars="200"/>
        <w:rPr>
          <w:rFonts w:ascii="宋体" w:hAnsi="宋体"/>
        </w:rPr>
      </w:pPr>
      <w:r>
        <w:rPr>
          <w:rFonts w:hint="eastAsia" w:ascii="宋体" w:hAnsi="宋体"/>
        </w:rPr>
        <w:t>中标候选人的经营、财务状况发生较大变化或存在违法行为，招标人认为可能影响其履约能力的，将在发出中标通知书前提请原评标委员会按照招标文件规定的标准和方法进行审查确认。</w:t>
      </w:r>
    </w:p>
    <w:p w14:paraId="33C864AC">
      <w:pPr>
        <w:spacing w:before="240" w:beforeLines="100" w:after="240" w:afterLines="100"/>
        <w:rPr>
          <w:rFonts w:ascii="宋体" w:hAnsi="宋体"/>
          <w:b/>
          <w:sz w:val="28"/>
          <w:szCs w:val="28"/>
        </w:rPr>
      </w:pPr>
      <w:bookmarkStart w:id="221" w:name="_Toc529196564"/>
      <w:bookmarkStart w:id="222" w:name="_Toc515205237"/>
      <w:r>
        <w:rPr>
          <w:rFonts w:hint="eastAsia" w:ascii="宋体" w:hAnsi="宋体"/>
          <w:b/>
          <w:sz w:val="28"/>
          <w:szCs w:val="28"/>
        </w:rPr>
        <w:t>7.4 定标</w:t>
      </w:r>
      <w:bookmarkEnd w:id="221"/>
      <w:bookmarkEnd w:id="222"/>
    </w:p>
    <w:p w14:paraId="7DD209AE">
      <w:pPr>
        <w:spacing w:line="360" w:lineRule="auto"/>
        <w:ind w:firstLine="420" w:firstLineChars="200"/>
        <w:rPr>
          <w:rFonts w:ascii="宋体" w:hAnsi="宋体"/>
        </w:rPr>
      </w:pPr>
      <w:r>
        <w:rPr>
          <w:rFonts w:hint="eastAsia" w:ascii="宋体" w:hAnsi="宋体"/>
        </w:rPr>
        <w:t>按照投标人须知前附表的规定，招标人或招标人授权的评标委员会依法确定中标人。</w:t>
      </w:r>
    </w:p>
    <w:p w14:paraId="588162D2">
      <w:pPr>
        <w:spacing w:before="240" w:beforeLines="100" w:after="240" w:afterLines="100"/>
        <w:rPr>
          <w:rFonts w:ascii="宋体" w:hAnsi="宋体"/>
          <w:b/>
          <w:sz w:val="28"/>
          <w:szCs w:val="28"/>
        </w:rPr>
      </w:pPr>
      <w:bookmarkStart w:id="223" w:name="_Toc529196565"/>
      <w:bookmarkStart w:id="224" w:name="_Toc515205238"/>
      <w:r>
        <w:rPr>
          <w:rFonts w:hint="eastAsia" w:ascii="宋体" w:hAnsi="宋体"/>
          <w:b/>
          <w:sz w:val="28"/>
          <w:szCs w:val="28"/>
        </w:rPr>
        <w:t>7.5 中标通知</w:t>
      </w:r>
      <w:bookmarkEnd w:id="223"/>
      <w:bookmarkEnd w:id="224"/>
    </w:p>
    <w:p w14:paraId="3364C283">
      <w:pPr>
        <w:spacing w:line="360" w:lineRule="auto"/>
        <w:ind w:firstLine="420" w:firstLineChars="200"/>
        <w:rPr>
          <w:rFonts w:ascii="宋体" w:hAnsi="宋体"/>
        </w:rPr>
      </w:pPr>
      <w:r>
        <w:rPr>
          <w:rFonts w:hint="eastAsia" w:ascii="宋体" w:hAnsi="宋体"/>
        </w:rPr>
        <w:t>在本章第3.3款规定的投标有效期内，招标人以书面形式向中标人发出中标</w:t>
      </w:r>
      <w:bookmarkStart w:id="225" w:name="_Toc300834983"/>
      <w:bookmarkStart w:id="226" w:name="_Toc5668"/>
      <w:bookmarkStart w:id="227" w:name="_Toc384308244"/>
      <w:bookmarkStart w:id="228" w:name="_Toc352691506"/>
      <w:bookmarkStart w:id="229" w:name="_Toc361508619"/>
      <w:bookmarkStart w:id="230" w:name="_Toc369531550"/>
      <w:r>
        <w:rPr>
          <w:rFonts w:hint="eastAsia" w:ascii="宋体" w:hAnsi="宋体"/>
        </w:rPr>
        <w:t>通知书，同时将中</w:t>
      </w:r>
      <w:bookmarkEnd w:id="225"/>
      <w:bookmarkEnd w:id="226"/>
      <w:bookmarkEnd w:id="227"/>
      <w:bookmarkEnd w:id="228"/>
      <w:bookmarkEnd w:id="229"/>
      <w:bookmarkEnd w:id="230"/>
      <w:r>
        <w:rPr>
          <w:rFonts w:hint="eastAsia" w:ascii="宋体" w:hAnsi="宋体"/>
        </w:rPr>
        <w:t>标结果通知未中标的投标人。</w:t>
      </w:r>
    </w:p>
    <w:p w14:paraId="5C29EFBE">
      <w:pPr>
        <w:spacing w:before="240" w:beforeLines="100" w:after="240" w:afterLines="100"/>
        <w:rPr>
          <w:rFonts w:ascii="宋体" w:hAnsi="宋体"/>
          <w:b/>
          <w:sz w:val="28"/>
          <w:szCs w:val="28"/>
        </w:rPr>
      </w:pPr>
      <w:bookmarkStart w:id="231" w:name="_Toc515205239"/>
      <w:bookmarkStart w:id="232" w:name="_Toc529196566"/>
      <w:r>
        <w:rPr>
          <w:rFonts w:hint="eastAsia" w:ascii="宋体" w:hAnsi="宋体"/>
          <w:b/>
          <w:sz w:val="28"/>
          <w:szCs w:val="28"/>
        </w:rPr>
        <w:t>7.6 履约保证金</w:t>
      </w:r>
      <w:bookmarkEnd w:id="231"/>
      <w:bookmarkEnd w:id="232"/>
    </w:p>
    <w:p w14:paraId="420DAF1B">
      <w:pPr>
        <w:spacing w:before="240" w:beforeLines="100" w:after="240" w:afterLines="100"/>
        <w:rPr>
          <w:rFonts w:hint="eastAsia" w:ascii="宋体" w:hAnsi="宋体"/>
        </w:rPr>
      </w:pPr>
      <w:bookmarkStart w:id="233" w:name="_Toc529196567"/>
      <w:bookmarkStart w:id="234" w:name="_Toc515205240"/>
      <w:r>
        <w:rPr>
          <w:rFonts w:hint="eastAsia" w:ascii="宋体" w:hAnsi="宋体"/>
        </w:rPr>
        <w:t>本项目不需递交履约保证金。</w:t>
      </w:r>
    </w:p>
    <w:p w14:paraId="39B4D575">
      <w:pPr>
        <w:spacing w:before="240" w:beforeLines="100" w:after="240" w:afterLines="100"/>
        <w:rPr>
          <w:rFonts w:ascii="宋体" w:hAnsi="宋体"/>
          <w:b/>
          <w:sz w:val="28"/>
          <w:szCs w:val="28"/>
        </w:rPr>
      </w:pPr>
      <w:r>
        <w:rPr>
          <w:rFonts w:hint="eastAsia" w:ascii="宋体" w:hAnsi="宋体"/>
          <w:b/>
          <w:sz w:val="28"/>
          <w:szCs w:val="28"/>
        </w:rPr>
        <w:t>7.7 签订合同</w:t>
      </w:r>
      <w:bookmarkEnd w:id="233"/>
      <w:bookmarkEnd w:id="234"/>
    </w:p>
    <w:p w14:paraId="1AA15567">
      <w:pPr>
        <w:spacing w:line="360" w:lineRule="auto"/>
        <w:ind w:firstLine="420" w:firstLineChars="200"/>
        <w:rPr>
          <w:rFonts w:ascii="宋体" w:hAnsi="宋体"/>
        </w:rPr>
      </w:pPr>
      <w:r>
        <w:rPr>
          <w:rFonts w:hint="eastAsia" w:ascii="宋体" w:hAnsi="宋体"/>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不予退还；给招标人造成的损失超过投标保证金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数额的，中标人还应当对超过部分予以赔偿。</w:t>
      </w:r>
    </w:p>
    <w:p w14:paraId="49C7C0A1">
      <w:pPr>
        <w:spacing w:line="360" w:lineRule="auto"/>
        <w:ind w:firstLine="420" w:firstLineChars="200"/>
        <w:rPr>
          <w:rFonts w:ascii="宋体" w:hAnsi="宋体"/>
        </w:rPr>
      </w:pPr>
      <w:r>
        <w:rPr>
          <w:rFonts w:hint="eastAsia" w:ascii="宋体" w:hAnsi="宋体"/>
        </w:rPr>
        <w:t>7.7.2 发出中标通知书后，招标人无正当理由拒签合同，或者在签订合同时向中标人提出附加条件的，招标人向中标人退还投标保证金</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；给中标人造成损失的，还应当赔偿损失。</w:t>
      </w:r>
    </w:p>
    <w:p w14:paraId="25B1E324">
      <w:pPr>
        <w:spacing w:before="260"/>
        <w:outlineLvl w:val="2"/>
      </w:pPr>
      <w:bookmarkStart w:id="235" w:name="_Toc384308252"/>
      <w:bookmarkStart w:id="236" w:name="_Toc24067"/>
      <w:bookmarkStart w:id="237" w:name="_Toc361508627"/>
      <w:bookmarkStart w:id="238" w:name="_Toc515205241"/>
      <w:bookmarkStart w:id="239" w:name="_Toc529196568"/>
      <w:bookmarkStart w:id="240" w:name="_Toc247527593"/>
      <w:bookmarkStart w:id="241" w:name="_Toc300834991"/>
      <w:bookmarkStart w:id="242" w:name="_Toc247513992"/>
      <w:bookmarkStart w:id="243" w:name="_Toc144974536"/>
      <w:bookmarkStart w:id="244" w:name="_Toc152042344"/>
      <w:bookmarkStart w:id="245" w:name="_Toc152045568"/>
      <w:r>
        <w:rPr>
          <w:rFonts w:hint="eastAsia" w:ascii="宋体" w:hAnsi="宋体"/>
          <w:b/>
          <w:sz w:val="32"/>
          <w:szCs w:val="32"/>
        </w:rPr>
        <w:t>8.</w:t>
      </w:r>
      <w:bookmarkEnd w:id="235"/>
      <w:bookmarkEnd w:id="236"/>
      <w:bookmarkEnd w:id="237"/>
      <w:r>
        <w:rPr>
          <w:rFonts w:hint="eastAsia" w:ascii="宋体" w:hAnsi="宋体"/>
          <w:b/>
          <w:sz w:val="32"/>
          <w:szCs w:val="32"/>
        </w:rPr>
        <w:t>纪律和监督</w:t>
      </w:r>
      <w:bookmarkEnd w:id="238"/>
      <w:bookmarkEnd w:id="239"/>
    </w:p>
    <w:p w14:paraId="58BC839B">
      <w:pPr>
        <w:spacing w:before="240" w:beforeLines="100" w:after="240" w:afterLines="100"/>
        <w:rPr>
          <w:rFonts w:ascii="宋体" w:hAnsi="宋体"/>
          <w:b/>
          <w:sz w:val="28"/>
          <w:szCs w:val="28"/>
        </w:rPr>
      </w:pPr>
      <w:bookmarkStart w:id="246" w:name="_Toc515205242"/>
      <w:bookmarkStart w:id="247" w:name="_Toc529196569"/>
      <w:r>
        <w:rPr>
          <w:rFonts w:hint="eastAsia" w:ascii="宋体" w:hAnsi="宋体"/>
          <w:b/>
          <w:sz w:val="28"/>
          <w:szCs w:val="28"/>
        </w:rPr>
        <w:t>8.1 对招标人的纪律要求</w:t>
      </w:r>
      <w:bookmarkEnd w:id="246"/>
      <w:bookmarkEnd w:id="247"/>
    </w:p>
    <w:p w14:paraId="67455AFC">
      <w:pPr>
        <w:spacing w:line="360" w:lineRule="auto"/>
        <w:ind w:firstLine="420" w:firstLineChars="200"/>
        <w:rPr>
          <w:rFonts w:ascii="宋体" w:hAnsi="宋体"/>
        </w:rPr>
      </w:pPr>
      <w:r>
        <w:rPr>
          <w:rFonts w:hint="eastAsia" w:ascii="宋体" w:hAnsi="宋体"/>
        </w:rPr>
        <w:t>招标人不得泄露招标投标活动中应当保密的情况和资料，不得与投标人串通损害国家利益、社会公共利益或者他人合法权益。</w:t>
      </w:r>
    </w:p>
    <w:p w14:paraId="6946F868">
      <w:pPr>
        <w:spacing w:before="240" w:beforeLines="100" w:after="240" w:afterLines="100"/>
        <w:rPr>
          <w:rFonts w:ascii="宋体" w:hAnsi="宋体"/>
          <w:b/>
          <w:sz w:val="28"/>
          <w:szCs w:val="28"/>
        </w:rPr>
      </w:pPr>
      <w:bookmarkStart w:id="248" w:name="_Toc515205243"/>
      <w:bookmarkStart w:id="249" w:name="_Toc529196570"/>
      <w:r>
        <w:rPr>
          <w:rFonts w:hint="eastAsia" w:ascii="宋体" w:hAnsi="宋体"/>
          <w:b/>
          <w:sz w:val="28"/>
          <w:szCs w:val="28"/>
        </w:rPr>
        <w:t>8.2 对投标人的纪律要求</w:t>
      </w:r>
      <w:bookmarkEnd w:id="248"/>
      <w:bookmarkEnd w:id="249"/>
    </w:p>
    <w:p w14:paraId="7A5F0F4F">
      <w:pPr>
        <w:spacing w:line="360" w:lineRule="auto"/>
        <w:ind w:firstLine="420" w:firstLineChars="200"/>
        <w:rPr>
          <w:rFonts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633F7C9">
      <w:pPr>
        <w:spacing w:before="240" w:beforeLines="100" w:after="240" w:afterLines="100"/>
        <w:rPr>
          <w:rFonts w:ascii="宋体" w:hAnsi="宋体"/>
          <w:b/>
          <w:sz w:val="28"/>
          <w:szCs w:val="28"/>
        </w:rPr>
      </w:pPr>
      <w:bookmarkStart w:id="250" w:name="_Toc515205244"/>
      <w:bookmarkStart w:id="251" w:name="_Toc529196571"/>
      <w:r>
        <w:rPr>
          <w:rFonts w:hint="eastAsia" w:ascii="宋体" w:hAnsi="宋体"/>
          <w:b/>
          <w:sz w:val="28"/>
          <w:szCs w:val="28"/>
        </w:rPr>
        <w:t>8.3 对评标委员会成员的纪律要求</w:t>
      </w:r>
      <w:bookmarkEnd w:id="250"/>
      <w:bookmarkEnd w:id="251"/>
    </w:p>
    <w:p w14:paraId="6DBE8F9B">
      <w:pPr>
        <w:spacing w:line="360" w:lineRule="auto"/>
        <w:ind w:firstLine="420" w:firstLineChars="200"/>
        <w:rPr>
          <w:rFonts w:ascii="宋体" w:hAnsi="宋体"/>
        </w:rPr>
      </w:pPr>
      <w:r>
        <w:rPr>
          <w:rFonts w:hint="eastAsia" w:ascii="宋体" w:hAnsi="宋体"/>
        </w:rPr>
        <w:t>评标委员会成员不得收受他人的财物或者其他好处，不得向他人透露对投标文件的评审</w:t>
      </w:r>
      <w:bookmarkStart w:id="252" w:name="_Toc13644"/>
      <w:bookmarkStart w:id="253" w:name="_Toc361508628"/>
      <w:bookmarkStart w:id="254" w:name="_Toc369531559"/>
      <w:bookmarkStart w:id="255" w:name="_Toc352691515"/>
      <w:bookmarkStart w:id="256" w:name="_Toc384308253"/>
      <w:r>
        <w:rPr>
          <w:rFonts w:hint="eastAsia" w:ascii="宋体" w:hAnsi="宋体"/>
        </w:rPr>
        <w:t>和比较、中标候选人</w:t>
      </w:r>
      <w:bookmarkEnd w:id="240"/>
      <w:bookmarkEnd w:id="241"/>
      <w:bookmarkEnd w:id="242"/>
      <w:bookmarkEnd w:id="243"/>
      <w:bookmarkEnd w:id="244"/>
      <w:bookmarkEnd w:id="245"/>
      <w:bookmarkEnd w:id="252"/>
      <w:bookmarkEnd w:id="253"/>
      <w:bookmarkEnd w:id="254"/>
      <w:bookmarkEnd w:id="255"/>
      <w:bookmarkEnd w:id="256"/>
      <w:r>
        <w:rPr>
          <w:rFonts w:hint="eastAsia" w:ascii="宋体" w:hAnsi="宋体"/>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1F55285D">
      <w:pPr>
        <w:spacing w:before="240" w:beforeLines="100" w:after="240" w:afterLines="100"/>
        <w:rPr>
          <w:rFonts w:ascii="宋体" w:hAnsi="宋体"/>
          <w:b/>
          <w:sz w:val="28"/>
          <w:szCs w:val="28"/>
        </w:rPr>
      </w:pPr>
      <w:bookmarkStart w:id="257" w:name="_Toc529196572"/>
      <w:bookmarkStart w:id="258" w:name="_Toc515205245"/>
      <w:r>
        <w:rPr>
          <w:rFonts w:hint="eastAsia" w:ascii="宋体" w:hAnsi="宋体"/>
          <w:b/>
          <w:sz w:val="28"/>
          <w:szCs w:val="28"/>
        </w:rPr>
        <w:t>8.4 对与评标活动有关的工作人员的纪律要求</w:t>
      </w:r>
      <w:bookmarkEnd w:id="257"/>
      <w:bookmarkEnd w:id="258"/>
    </w:p>
    <w:p w14:paraId="0274C492">
      <w:pPr>
        <w:spacing w:line="360" w:lineRule="auto"/>
        <w:ind w:firstLine="420" w:firstLineChars="200"/>
        <w:rPr>
          <w:rFonts w:ascii="宋体" w:hAnsi="宋体"/>
        </w:rPr>
      </w:pPr>
      <w:r>
        <w:rPr>
          <w:rFonts w:hint="eastAsia" w:ascii="宋体" w:hAnsi="宋体"/>
        </w:rPr>
        <w:t>与评标活动有关的工作人员不得收受他人的财物或者其他好处，不得向他人透露对投标文件</w:t>
      </w:r>
      <w:bookmarkStart w:id="259" w:name="_Toc152042345"/>
      <w:bookmarkStart w:id="260" w:name="_Toc152045569"/>
      <w:bookmarkStart w:id="261" w:name="_Toc369531560"/>
      <w:bookmarkStart w:id="262" w:name="_Toc352691516"/>
      <w:bookmarkStart w:id="263" w:name="_Toc144974537"/>
      <w:bookmarkStart w:id="264" w:name="_Toc300834992"/>
      <w:bookmarkStart w:id="265" w:name="_Toc247527594"/>
      <w:bookmarkStart w:id="266" w:name="_Toc384308254"/>
      <w:bookmarkStart w:id="267" w:name="_Toc19429"/>
      <w:bookmarkStart w:id="268" w:name="_Toc361508629"/>
      <w:bookmarkStart w:id="269" w:name="_Toc247513993"/>
      <w:r>
        <w:rPr>
          <w:rFonts w:hint="eastAsia" w:ascii="宋体" w:hAnsi="宋体"/>
        </w:rPr>
        <w:t>的评审和比较、中标</w:t>
      </w:r>
      <w:bookmarkEnd w:id="259"/>
      <w:bookmarkEnd w:id="260"/>
      <w:bookmarkEnd w:id="261"/>
      <w:bookmarkEnd w:id="262"/>
      <w:bookmarkEnd w:id="263"/>
      <w:bookmarkEnd w:id="264"/>
      <w:bookmarkEnd w:id="265"/>
      <w:bookmarkEnd w:id="266"/>
      <w:bookmarkEnd w:id="267"/>
      <w:bookmarkEnd w:id="268"/>
      <w:bookmarkEnd w:id="269"/>
      <w:r>
        <w:rPr>
          <w:rFonts w:hint="eastAsia" w:ascii="宋体" w:hAnsi="宋体"/>
        </w:rPr>
        <w:t>候选人的推荐情况以及评标有关的其他情况。在评标活动中，与评标活动有关的工作人员不得擅离职守，影响评标程序正常进行。</w:t>
      </w:r>
    </w:p>
    <w:p w14:paraId="131E374B">
      <w:pPr>
        <w:spacing w:before="240" w:beforeLines="100" w:after="240" w:afterLines="100"/>
        <w:rPr>
          <w:rFonts w:ascii="宋体" w:hAnsi="宋体"/>
          <w:b/>
          <w:sz w:val="28"/>
          <w:szCs w:val="28"/>
        </w:rPr>
      </w:pPr>
      <w:bookmarkStart w:id="270" w:name="_Toc529196573"/>
      <w:bookmarkStart w:id="271" w:name="_Toc515205246"/>
      <w:r>
        <w:rPr>
          <w:rFonts w:hint="eastAsia" w:ascii="宋体" w:hAnsi="宋体"/>
          <w:b/>
          <w:sz w:val="28"/>
          <w:szCs w:val="28"/>
        </w:rPr>
        <w:t>8.5 投诉</w:t>
      </w:r>
      <w:bookmarkEnd w:id="270"/>
      <w:bookmarkEnd w:id="271"/>
    </w:p>
    <w:p w14:paraId="279BCDDF">
      <w:pPr>
        <w:spacing w:line="360" w:lineRule="auto"/>
        <w:ind w:firstLine="420" w:firstLineChars="200"/>
        <w:rPr>
          <w:rFonts w:ascii="宋体" w:hAnsi="宋体"/>
        </w:rPr>
      </w:pPr>
      <w:r>
        <w:rPr>
          <w:rFonts w:hint="eastAsia" w:ascii="宋体" w:hAnsi="宋体"/>
        </w:rPr>
        <w:t>8.5.1 投标人或者其他利害关系人认为招标投标活动不符合法律、行政法规规定的，可以自知道或者应当知道之日起10日内向有关行政监督部门投诉。投诉应当有明确的请求和必要的证明材料。</w:t>
      </w:r>
    </w:p>
    <w:p w14:paraId="5D1BEA96">
      <w:pPr>
        <w:spacing w:line="360" w:lineRule="auto"/>
        <w:ind w:firstLine="420" w:firstLineChars="200"/>
        <w:rPr>
          <w:rFonts w:ascii="宋体" w:hAnsi="宋体"/>
        </w:rPr>
      </w:pPr>
      <w:r>
        <w:rPr>
          <w:rFonts w:hint="eastAsia" w:ascii="宋体" w:hAnsi="宋体"/>
        </w:rPr>
        <w:t>8.5.2 投标人或者其他利害关系人对招标文件、开标和评标结果提出投诉的，应当按照投标人须知第2.4款、第5.3款和第7.2款的规定先向招标人提出异议。异议答复期间</w:t>
      </w:r>
      <w:bookmarkStart w:id="272" w:name="_Toc369531561"/>
      <w:bookmarkStart w:id="273" w:name="_Toc384308255"/>
      <w:bookmarkStart w:id="274" w:name="_Toc152045570"/>
      <w:bookmarkStart w:id="275" w:name="_Toc12776"/>
      <w:bookmarkStart w:id="276" w:name="_Toc144974538"/>
      <w:bookmarkStart w:id="277" w:name="_Toc352691517"/>
      <w:bookmarkStart w:id="278" w:name="_Toc300834993"/>
      <w:bookmarkStart w:id="279" w:name="_Toc361508630"/>
      <w:bookmarkStart w:id="280" w:name="_Toc152042346"/>
      <w:bookmarkStart w:id="281" w:name="_Toc247527595"/>
      <w:bookmarkStart w:id="282" w:name="_Toc247513994"/>
      <w:r>
        <w:rPr>
          <w:rFonts w:hint="eastAsia" w:ascii="宋体" w:hAnsi="宋体"/>
        </w:rPr>
        <w:t>不计算在第8.5.</w:t>
      </w:r>
      <w:bookmarkEnd w:id="272"/>
      <w:bookmarkEnd w:id="273"/>
      <w:bookmarkEnd w:id="274"/>
      <w:bookmarkEnd w:id="275"/>
      <w:bookmarkEnd w:id="276"/>
      <w:bookmarkEnd w:id="277"/>
      <w:bookmarkEnd w:id="278"/>
      <w:bookmarkEnd w:id="279"/>
      <w:bookmarkEnd w:id="280"/>
      <w:bookmarkEnd w:id="281"/>
      <w:bookmarkEnd w:id="282"/>
      <w:r>
        <w:rPr>
          <w:rFonts w:hint="eastAsia" w:ascii="宋体" w:hAnsi="宋体"/>
        </w:rPr>
        <w:t>1项规定的期限内。</w:t>
      </w:r>
    </w:p>
    <w:p w14:paraId="505FC3FE">
      <w:pPr>
        <w:spacing w:before="260"/>
        <w:outlineLvl w:val="2"/>
        <w:rPr>
          <w:rFonts w:ascii="宋体" w:hAnsi="宋体"/>
          <w:b/>
          <w:sz w:val="32"/>
          <w:szCs w:val="32"/>
        </w:rPr>
      </w:pPr>
      <w:bookmarkStart w:id="283" w:name="_Toc515205247"/>
      <w:bookmarkStart w:id="284" w:name="_Toc529196574"/>
      <w:bookmarkStart w:id="285" w:name="_Toc477134992"/>
      <w:r>
        <w:rPr>
          <w:rFonts w:hint="eastAsia" w:ascii="宋体" w:hAnsi="宋体"/>
          <w:b/>
          <w:sz w:val="32"/>
          <w:szCs w:val="32"/>
        </w:rPr>
        <w:t>9. 是否采用电子招标投标</w:t>
      </w:r>
      <w:bookmarkEnd w:id="283"/>
      <w:bookmarkEnd w:id="284"/>
      <w:bookmarkEnd w:id="285"/>
    </w:p>
    <w:p w14:paraId="1DAB9EEB">
      <w:pPr>
        <w:spacing w:before="240" w:beforeLines="100" w:line="360" w:lineRule="auto"/>
        <w:ind w:firstLine="420" w:firstLineChars="200"/>
        <w:rPr>
          <w:rFonts w:ascii="宋体" w:hAnsi="宋体"/>
        </w:rPr>
      </w:pPr>
      <w:r>
        <w:rPr>
          <w:rFonts w:hint="eastAsia" w:ascii="宋体" w:hAnsi="宋体"/>
        </w:rPr>
        <w:t>本招标项目是否采用电子招标投标方式，见投标人须知前附表。</w:t>
      </w:r>
    </w:p>
    <w:p w14:paraId="51D995FE">
      <w:pPr>
        <w:spacing w:before="260"/>
        <w:outlineLvl w:val="2"/>
        <w:rPr>
          <w:rFonts w:ascii="宋体" w:hAnsi="宋体"/>
          <w:b/>
          <w:sz w:val="32"/>
          <w:szCs w:val="32"/>
        </w:rPr>
      </w:pPr>
      <w:bookmarkStart w:id="286" w:name="_Toc515205248"/>
      <w:bookmarkStart w:id="287" w:name="_Toc529196575"/>
      <w:r>
        <w:rPr>
          <w:rFonts w:hint="eastAsia" w:ascii="宋体" w:hAnsi="宋体"/>
          <w:b/>
          <w:sz w:val="32"/>
          <w:szCs w:val="32"/>
        </w:rPr>
        <w:t>10. 需要补充的其他内容</w:t>
      </w:r>
      <w:bookmarkEnd w:id="286"/>
      <w:bookmarkEnd w:id="287"/>
    </w:p>
    <w:p w14:paraId="2C69E706">
      <w:pPr>
        <w:spacing w:before="240" w:beforeLines="100"/>
        <w:ind w:firstLine="420" w:firstLineChars="200"/>
        <w:rPr>
          <w:rFonts w:ascii="宋体" w:hAnsi="宋体"/>
          <w:sz w:val="18"/>
        </w:rPr>
      </w:pPr>
      <w:r>
        <w:rPr>
          <w:rFonts w:hint="eastAsia" w:ascii="宋体" w:hAnsi="宋体"/>
        </w:rPr>
        <w:t>见投标人须知前附表。</w:t>
      </w:r>
    </w:p>
    <w:p w14:paraId="342FD7C0">
      <w:pPr>
        <w:widowControl/>
        <w:jc w:val="left"/>
        <w:sectPr>
          <w:pgSz w:w="11907" w:h="16840"/>
          <w:pgMar w:top="1440" w:right="1800" w:bottom="1440" w:left="1800" w:header="0" w:footer="567" w:gutter="0"/>
          <w:cols w:space="720" w:num="1"/>
          <w:docGrid w:linePitch="286" w:charSpace="0"/>
        </w:sectPr>
      </w:pPr>
    </w:p>
    <w:p w14:paraId="620A9C40">
      <w:pPr>
        <w:spacing w:line="2" w:lineRule="exact"/>
        <w:rPr>
          <w:rFonts w:eastAsia="Times New Roman"/>
        </w:rPr>
      </w:pPr>
    </w:p>
    <w:p w14:paraId="4374AF4D">
      <w:pPr>
        <w:spacing w:after="240"/>
        <w:rPr>
          <w:b/>
          <w:sz w:val="28"/>
        </w:rPr>
      </w:pPr>
      <w:bookmarkStart w:id="288" w:name="_Toc530470624"/>
      <w:bookmarkStart w:id="289" w:name="_Toc529196576"/>
      <w:bookmarkStart w:id="290" w:name="_Toc535938714"/>
      <w:r>
        <w:rPr>
          <w:rFonts w:hint="eastAsia"/>
          <w:b/>
          <w:sz w:val="28"/>
          <w:szCs w:val="20"/>
        </w:rPr>
        <w:t>附件一：开标记录表</w:t>
      </w:r>
      <w:bookmarkEnd w:id="288"/>
      <w:bookmarkEnd w:id="289"/>
      <w:bookmarkEnd w:id="290"/>
      <w:r>
        <w:rPr>
          <w:rFonts w:hint="eastAsia"/>
          <w:b/>
          <w:sz w:val="28"/>
        </w:rPr>
        <w:t>（按广州公共资源交易中心系统导出为准）</w:t>
      </w:r>
    </w:p>
    <w:p w14:paraId="2FD81432">
      <w:pPr>
        <w:spacing w:line="440" w:lineRule="exact"/>
        <w:jc w:val="center"/>
        <w:rPr>
          <w:rFonts w:ascii="宋体" w:hAnsi="宋体"/>
          <w:b/>
          <w:sz w:val="28"/>
        </w:rPr>
      </w:pPr>
      <w:r>
        <w:rPr>
          <w:rFonts w:hint="eastAsia" w:ascii="宋体" w:hAnsi="宋体"/>
          <w:b/>
          <w:sz w:val="28"/>
        </w:rPr>
        <w:t>开标记录表</w:t>
      </w:r>
    </w:p>
    <w:p w14:paraId="41F2969A">
      <w:pPr>
        <w:spacing w:before="120" w:beforeLines="50" w:after="120" w:afterLines="50" w:line="400" w:lineRule="exact"/>
        <w:ind w:right="525"/>
        <w:jc w:val="left"/>
        <w:rPr>
          <w:rFonts w:ascii="宋体" w:hAnsi="宋体"/>
          <w:sz w:val="24"/>
          <w:szCs w:val="24"/>
        </w:rPr>
      </w:pPr>
      <w:r>
        <w:rPr>
          <w:rFonts w:hint="eastAsia" w:ascii="宋体" w:hAnsi="宋体"/>
          <w:sz w:val="24"/>
          <w:szCs w:val="24"/>
        </w:rPr>
        <w:t>开标时间：年月日时分</w:t>
      </w:r>
    </w:p>
    <w:p w14:paraId="5E16CF36">
      <w:pPr>
        <w:spacing w:before="120" w:beforeLines="50" w:after="120" w:afterLines="50" w:line="400" w:lineRule="exact"/>
        <w:ind w:right="420"/>
        <w:jc w:val="left"/>
        <w:rPr>
          <w:rFonts w:ascii="宋体" w:hAnsi="宋体"/>
          <w:sz w:val="24"/>
          <w:szCs w:val="24"/>
        </w:rPr>
      </w:pPr>
      <w:r>
        <w:rPr>
          <w:rFonts w:hint="eastAsia" w:ascii="宋体" w:hAnsi="宋体"/>
          <w:sz w:val="24"/>
          <w:szCs w:val="24"/>
        </w:rPr>
        <w:t>项目名称：</w:t>
      </w:r>
    </w:p>
    <w:tbl>
      <w:tblPr>
        <w:tblStyle w:val="24"/>
        <w:tblW w:w="8255" w:type="dxa"/>
        <w:tblInd w:w="0" w:type="dxa"/>
        <w:tblLayout w:type="fixed"/>
        <w:tblCellMar>
          <w:top w:w="0" w:type="dxa"/>
          <w:left w:w="108" w:type="dxa"/>
          <w:bottom w:w="0" w:type="dxa"/>
          <w:right w:w="108" w:type="dxa"/>
        </w:tblCellMar>
      </w:tblPr>
      <w:tblGrid>
        <w:gridCol w:w="488"/>
        <w:gridCol w:w="896"/>
        <w:gridCol w:w="709"/>
        <w:gridCol w:w="851"/>
        <w:gridCol w:w="851"/>
        <w:gridCol w:w="849"/>
        <w:gridCol w:w="761"/>
        <w:gridCol w:w="1125"/>
        <w:gridCol w:w="735"/>
        <w:gridCol w:w="990"/>
      </w:tblGrid>
      <w:tr w14:paraId="2746124E">
        <w:tblPrEx>
          <w:tblCellMar>
            <w:top w:w="0" w:type="dxa"/>
            <w:left w:w="108" w:type="dxa"/>
            <w:bottom w:w="0" w:type="dxa"/>
            <w:right w:w="108" w:type="dxa"/>
          </w:tblCellMar>
        </w:tblPrEx>
        <w:trPr>
          <w:trHeight w:val="850" w:hRule="atLeast"/>
        </w:trPr>
        <w:tc>
          <w:tcPr>
            <w:tcW w:w="488" w:type="dxa"/>
            <w:tcBorders>
              <w:top w:val="single" w:color="auto" w:sz="4" w:space="0"/>
              <w:left w:val="single" w:color="auto" w:sz="4" w:space="0"/>
              <w:bottom w:val="single" w:color="auto" w:sz="4" w:space="0"/>
              <w:right w:val="single" w:color="auto" w:sz="4" w:space="0"/>
            </w:tcBorders>
            <w:vAlign w:val="center"/>
          </w:tcPr>
          <w:p w14:paraId="273F9E14">
            <w:pPr>
              <w:spacing w:line="276" w:lineRule="auto"/>
              <w:jc w:val="center"/>
              <w:rPr>
                <w:rFonts w:ascii="宋体" w:hAnsi="宋体"/>
              </w:rPr>
            </w:pPr>
            <w:r>
              <w:rPr>
                <w:rFonts w:hint="eastAsia" w:ascii="宋体" w:hAnsi="宋体"/>
              </w:rPr>
              <w:t>序号</w:t>
            </w:r>
          </w:p>
        </w:tc>
        <w:tc>
          <w:tcPr>
            <w:tcW w:w="896" w:type="dxa"/>
            <w:tcBorders>
              <w:top w:val="single" w:color="auto" w:sz="4" w:space="0"/>
              <w:left w:val="single" w:color="auto" w:sz="4" w:space="0"/>
              <w:bottom w:val="single" w:color="auto" w:sz="4" w:space="0"/>
              <w:right w:val="single" w:color="auto" w:sz="4" w:space="0"/>
            </w:tcBorders>
            <w:vAlign w:val="center"/>
          </w:tcPr>
          <w:p w14:paraId="58931573">
            <w:pPr>
              <w:spacing w:line="276" w:lineRule="auto"/>
              <w:jc w:val="center"/>
              <w:rPr>
                <w:rFonts w:ascii="宋体" w:hAnsi="宋体"/>
              </w:rPr>
            </w:pPr>
            <w:r>
              <w:rPr>
                <w:rFonts w:hint="eastAsia" w:ascii="宋体" w:hAnsi="宋体"/>
              </w:rPr>
              <w:t>投标人</w:t>
            </w:r>
          </w:p>
        </w:tc>
        <w:tc>
          <w:tcPr>
            <w:tcW w:w="709" w:type="dxa"/>
            <w:tcBorders>
              <w:top w:val="single" w:color="auto" w:sz="4" w:space="0"/>
              <w:left w:val="single" w:color="auto" w:sz="4" w:space="0"/>
              <w:bottom w:val="single" w:color="auto" w:sz="4" w:space="0"/>
              <w:right w:val="single" w:color="auto" w:sz="4" w:space="0"/>
            </w:tcBorders>
            <w:vAlign w:val="center"/>
          </w:tcPr>
          <w:p w14:paraId="6C011DDD">
            <w:pPr>
              <w:spacing w:line="276" w:lineRule="auto"/>
              <w:jc w:val="center"/>
              <w:rPr>
                <w:rFonts w:ascii="宋体" w:hAnsi="宋体"/>
              </w:rPr>
            </w:pPr>
            <w:r>
              <w:rPr>
                <w:rFonts w:hint="eastAsia" w:ascii="宋体" w:hAnsi="宋体"/>
              </w:rPr>
              <w:t>密封情况</w:t>
            </w:r>
          </w:p>
        </w:tc>
        <w:tc>
          <w:tcPr>
            <w:tcW w:w="851" w:type="dxa"/>
            <w:tcBorders>
              <w:top w:val="single" w:color="auto" w:sz="4" w:space="0"/>
              <w:left w:val="single" w:color="auto" w:sz="4" w:space="0"/>
              <w:bottom w:val="single" w:color="auto" w:sz="4" w:space="0"/>
              <w:right w:val="single" w:color="auto" w:sz="4" w:space="0"/>
            </w:tcBorders>
            <w:vAlign w:val="center"/>
          </w:tcPr>
          <w:p w14:paraId="7BB84830">
            <w:pPr>
              <w:spacing w:line="276" w:lineRule="auto"/>
              <w:jc w:val="center"/>
              <w:rPr>
                <w:rFonts w:ascii="宋体" w:hAnsi="宋体"/>
              </w:rPr>
            </w:pPr>
            <w:r>
              <w:rPr>
                <w:rFonts w:hint="eastAsia" w:ascii="宋体" w:hAnsi="宋体"/>
              </w:rPr>
              <w:t>投标</w:t>
            </w:r>
            <w:r>
              <w:rPr>
                <w:rFonts w:hint="eastAsia" w:ascii="宋体" w:hAnsi="宋体"/>
                <w:lang w:eastAsia="zh-CN"/>
              </w:rPr>
              <w:t>总</w:t>
            </w:r>
            <w:r>
              <w:rPr>
                <w:rFonts w:hint="eastAsia" w:ascii="宋体" w:hAnsi="宋体"/>
              </w:rPr>
              <w:t>报价（元）</w:t>
            </w:r>
          </w:p>
        </w:tc>
        <w:tc>
          <w:tcPr>
            <w:tcW w:w="851" w:type="dxa"/>
            <w:tcBorders>
              <w:top w:val="single" w:color="auto" w:sz="4" w:space="0"/>
              <w:left w:val="single" w:color="auto" w:sz="4" w:space="0"/>
              <w:bottom w:val="single" w:color="auto" w:sz="4" w:space="0"/>
              <w:right w:val="single" w:color="auto" w:sz="4" w:space="0"/>
            </w:tcBorders>
            <w:vAlign w:val="center"/>
          </w:tcPr>
          <w:p w14:paraId="10FA554B">
            <w:pPr>
              <w:spacing w:line="276" w:lineRule="auto"/>
              <w:jc w:val="center"/>
              <w:rPr>
                <w:rFonts w:hint="default" w:ascii="宋体" w:hAnsi="宋体" w:eastAsia="宋体"/>
                <w:lang w:val="en-US" w:eastAsia="zh-CN"/>
              </w:rPr>
            </w:pPr>
            <w:r>
              <w:rPr>
                <w:rFonts w:hint="eastAsia" w:ascii="宋体" w:hAnsi="宋体"/>
                <w:lang w:val="en-US" w:eastAsia="zh-CN"/>
              </w:rPr>
              <w:t>项目负责人</w:t>
            </w:r>
          </w:p>
        </w:tc>
        <w:tc>
          <w:tcPr>
            <w:tcW w:w="849" w:type="dxa"/>
            <w:tcBorders>
              <w:top w:val="single" w:color="auto" w:sz="4" w:space="0"/>
              <w:left w:val="single" w:color="auto" w:sz="4" w:space="0"/>
              <w:bottom w:val="single" w:color="auto" w:sz="4" w:space="0"/>
              <w:right w:val="single" w:color="auto" w:sz="4" w:space="0"/>
            </w:tcBorders>
            <w:vAlign w:val="center"/>
          </w:tcPr>
          <w:p w14:paraId="686CB4E2">
            <w:pPr>
              <w:spacing w:line="276" w:lineRule="auto"/>
              <w:jc w:val="center"/>
              <w:rPr>
                <w:rFonts w:ascii="宋体" w:hAnsi="宋体"/>
              </w:rPr>
            </w:pPr>
            <w:r>
              <w:rPr>
                <w:rFonts w:hint="eastAsia" w:ascii="宋体" w:hAnsi="宋体"/>
              </w:rPr>
              <w:t>服务期限</w:t>
            </w:r>
          </w:p>
        </w:tc>
        <w:tc>
          <w:tcPr>
            <w:tcW w:w="761" w:type="dxa"/>
            <w:tcBorders>
              <w:top w:val="single" w:color="auto" w:sz="4" w:space="0"/>
              <w:left w:val="single" w:color="auto" w:sz="4" w:space="0"/>
              <w:bottom w:val="single" w:color="auto" w:sz="4" w:space="0"/>
              <w:right w:val="single" w:color="auto" w:sz="4" w:space="0"/>
            </w:tcBorders>
            <w:vAlign w:val="center"/>
          </w:tcPr>
          <w:p w14:paraId="24406C83">
            <w:pPr>
              <w:spacing w:line="276" w:lineRule="auto"/>
              <w:jc w:val="center"/>
              <w:rPr>
                <w:rFonts w:hint="default" w:ascii="宋体" w:hAnsi="宋体" w:eastAsia="宋体"/>
                <w:lang w:val="en-US" w:eastAsia="zh-CN"/>
              </w:rPr>
            </w:pPr>
            <w:r>
              <w:rPr>
                <w:rFonts w:hint="eastAsia" w:ascii="宋体" w:hAnsi="宋体"/>
                <w:lang w:val="en-US" w:eastAsia="zh-CN"/>
              </w:rPr>
              <w:t>质量标准</w:t>
            </w:r>
          </w:p>
        </w:tc>
        <w:tc>
          <w:tcPr>
            <w:tcW w:w="1125" w:type="dxa"/>
            <w:tcBorders>
              <w:top w:val="single" w:color="auto" w:sz="4" w:space="0"/>
              <w:left w:val="single" w:color="auto" w:sz="4" w:space="0"/>
              <w:bottom w:val="single" w:color="auto" w:sz="4" w:space="0"/>
              <w:right w:val="single" w:color="auto" w:sz="4" w:space="0"/>
            </w:tcBorders>
            <w:vAlign w:val="center"/>
          </w:tcPr>
          <w:p w14:paraId="4AB7FAC7">
            <w:pPr>
              <w:spacing w:line="276" w:lineRule="auto"/>
              <w:jc w:val="center"/>
              <w:rPr>
                <w:rFonts w:ascii="宋体" w:hAnsi="宋体"/>
              </w:rPr>
            </w:pPr>
            <w:r>
              <w:rPr>
                <w:rFonts w:hint="eastAsia" w:ascii="宋体" w:hAnsi="宋体"/>
              </w:rPr>
              <w:t>投标文件解密情况</w:t>
            </w:r>
          </w:p>
        </w:tc>
        <w:tc>
          <w:tcPr>
            <w:tcW w:w="735" w:type="dxa"/>
            <w:tcBorders>
              <w:top w:val="single" w:color="auto" w:sz="4" w:space="0"/>
              <w:left w:val="single" w:color="auto" w:sz="4" w:space="0"/>
              <w:bottom w:val="single" w:color="auto" w:sz="4" w:space="0"/>
              <w:right w:val="single" w:color="auto" w:sz="4" w:space="0"/>
            </w:tcBorders>
            <w:vAlign w:val="center"/>
          </w:tcPr>
          <w:p w14:paraId="6CABDFAC">
            <w:pPr>
              <w:spacing w:line="276" w:lineRule="auto"/>
              <w:jc w:val="center"/>
              <w:rPr>
                <w:rFonts w:ascii="宋体" w:hAnsi="宋体"/>
              </w:rPr>
            </w:pPr>
            <w:r>
              <w:rPr>
                <w:rFonts w:hint="eastAsia" w:ascii="宋体" w:hAnsi="宋体"/>
              </w:rPr>
              <w:t>备注</w:t>
            </w:r>
          </w:p>
        </w:tc>
        <w:tc>
          <w:tcPr>
            <w:tcW w:w="990" w:type="dxa"/>
            <w:tcBorders>
              <w:top w:val="single" w:color="auto" w:sz="4" w:space="0"/>
              <w:left w:val="single" w:color="auto" w:sz="4" w:space="0"/>
              <w:bottom w:val="single" w:color="auto" w:sz="4" w:space="0"/>
              <w:right w:val="single" w:color="auto" w:sz="4" w:space="0"/>
            </w:tcBorders>
            <w:vAlign w:val="center"/>
          </w:tcPr>
          <w:p w14:paraId="53A9137C">
            <w:pPr>
              <w:spacing w:line="276" w:lineRule="auto"/>
              <w:jc w:val="center"/>
              <w:rPr>
                <w:rFonts w:ascii="宋体" w:hAnsi="宋体"/>
              </w:rPr>
            </w:pPr>
            <w:r>
              <w:rPr>
                <w:rFonts w:hint="eastAsia" w:ascii="宋体" w:hAnsi="宋体"/>
              </w:rPr>
              <w:t>投标人</w:t>
            </w:r>
          </w:p>
          <w:p w14:paraId="3CA94AA0">
            <w:pPr>
              <w:spacing w:line="276" w:lineRule="auto"/>
              <w:jc w:val="center"/>
              <w:rPr>
                <w:rFonts w:ascii="宋体" w:hAnsi="宋体"/>
              </w:rPr>
            </w:pPr>
            <w:r>
              <w:rPr>
                <w:rFonts w:hint="eastAsia" w:ascii="宋体" w:hAnsi="宋体"/>
              </w:rPr>
              <w:t>代表签名</w:t>
            </w:r>
          </w:p>
        </w:tc>
      </w:tr>
      <w:tr w14:paraId="28AEC43F">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21A4B47F">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304B7841">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628929E6">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AC61CE7">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EC76C7D">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6A5E77C9">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43B99F22">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64592554">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4BC1F052">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1810AF7B">
            <w:pPr>
              <w:spacing w:line="500" w:lineRule="exact"/>
              <w:jc w:val="center"/>
              <w:rPr>
                <w:rFonts w:ascii="宋体" w:hAnsi="宋体"/>
              </w:rPr>
            </w:pPr>
          </w:p>
        </w:tc>
      </w:tr>
      <w:tr w14:paraId="3CA580D8">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56C1259A">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03807571">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6CD2A38E">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C715AFC">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0F69A91">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7CD08F2D">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38290E5A">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34361D7C">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11562674">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7727FCF5">
            <w:pPr>
              <w:spacing w:line="500" w:lineRule="exact"/>
              <w:jc w:val="center"/>
              <w:rPr>
                <w:rFonts w:ascii="宋体" w:hAnsi="宋体"/>
              </w:rPr>
            </w:pPr>
          </w:p>
        </w:tc>
      </w:tr>
      <w:tr w14:paraId="6F135B10">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6CA5F69D">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15D09767">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09858E31">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E86C63A">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0A0E0A79">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5F002B55">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2E1879A9">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351DEC30">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203642AE">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0D556AAF">
            <w:pPr>
              <w:spacing w:line="500" w:lineRule="exact"/>
              <w:jc w:val="center"/>
              <w:rPr>
                <w:rFonts w:ascii="宋体" w:hAnsi="宋体"/>
              </w:rPr>
            </w:pPr>
          </w:p>
        </w:tc>
      </w:tr>
      <w:tr w14:paraId="75E4C70B">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0F053D5F">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3F28C74C">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7A9AD78B">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1BEAF09">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10E1ACE2">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5812CBF8">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372A9343">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32F1F937">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469FB30A">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2A203FEE">
            <w:pPr>
              <w:spacing w:line="500" w:lineRule="exact"/>
              <w:jc w:val="center"/>
              <w:rPr>
                <w:rFonts w:ascii="宋体" w:hAnsi="宋体"/>
              </w:rPr>
            </w:pPr>
          </w:p>
        </w:tc>
      </w:tr>
      <w:tr w14:paraId="0B22AE04">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1CCFFA3E">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55541519">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7D554E8C">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2E80CF24">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3B4CED3D">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298A16F9">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7D4D3361">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33FD5A26">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1EB8DDF0">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51F76809">
            <w:pPr>
              <w:spacing w:line="500" w:lineRule="exact"/>
              <w:jc w:val="center"/>
              <w:rPr>
                <w:rFonts w:ascii="宋体" w:hAnsi="宋体"/>
              </w:rPr>
            </w:pPr>
          </w:p>
        </w:tc>
      </w:tr>
      <w:tr w14:paraId="7DE0456B">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37DFCC13">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366C38EE">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2B42F6F5">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48CF7B0">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52A7204">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4385CB33">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3AEF9F8C">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1230C77B">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00E7882F">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27D2CDB2">
            <w:pPr>
              <w:spacing w:line="500" w:lineRule="exact"/>
              <w:jc w:val="center"/>
              <w:rPr>
                <w:rFonts w:ascii="宋体" w:hAnsi="宋体"/>
              </w:rPr>
            </w:pPr>
          </w:p>
        </w:tc>
      </w:tr>
      <w:tr w14:paraId="2439A19C">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3F6459C6">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3C0F2515">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58F11745">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0417A206">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C18C4FF">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0FB1BA90">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7EBB4BE3">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4F650AAD">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3E2E871E">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71E4DE3A">
            <w:pPr>
              <w:spacing w:line="500" w:lineRule="exact"/>
              <w:jc w:val="center"/>
              <w:rPr>
                <w:rFonts w:ascii="宋体" w:hAnsi="宋体"/>
              </w:rPr>
            </w:pPr>
          </w:p>
        </w:tc>
      </w:tr>
      <w:tr w14:paraId="625A8FC4">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16E07A8B">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4775B65A">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763D89CB">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6FD9CD5">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204F7EC0">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2213309B">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7FC9933A">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41BD6899">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3A49D9D9">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3FC6F5CD">
            <w:pPr>
              <w:spacing w:line="500" w:lineRule="exact"/>
              <w:jc w:val="center"/>
              <w:rPr>
                <w:rFonts w:ascii="宋体" w:hAnsi="宋体"/>
              </w:rPr>
            </w:pPr>
          </w:p>
        </w:tc>
      </w:tr>
      <w:tr w14:paraId="0F4A6B49">
        <w:tblPrEx>
          <w:tblCellMar>
            <w:top w:w="0" w:type="dxa"/>
            <w:left w:w="108" w:type="dxa"/>
            <w:bottom w:w="0" w:type="dxa"/>
            <w:right w:w="108" w:type="dxa"/>
          </w:tblCellMar>
        </w:tblPrEx>
        <w:trPr>
          <w:trHeight w:val="502" w:hRule="atLeast"/>
        </w:trPr>
        <w:tc>
          <w:tcPr>
            <w:tcW w:w="488" w:type="dxa"/>
            <w:tcBorders>
              <w:top w:val="single" w:color="auto" w:sz="4" w:space="0"/>
              <w:left w:val="single" w:color="auto" w:sz="4" w:space="0"/>
              <w:bottom w:val="single" w:color="auto" w:sz="4" w:space="0"/>
              <w:right w:val="single" w:color="auto" w:sz="4" w:space="0"/>
            </w:tcBorders>
            <w:vAlign w:val="center"/>
          </w:tcPr>
          <w:p w14:paraId="665CE7AF">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1794D734">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05D647A9">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5C1FCEF2">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2C1C08BF">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47C42CDD">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67C83FAE">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0EF4AE19">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2B049CF5">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5D290107">
            <w:pPr>
              <w:spacing w:line="500" w:lineRule="exact"/>
              <w:jc w:val="center"/>
              <w:rPr>
                <w:rFonts w:ascii="宋体" w:hAnsi="宋体"/>
              </w:rPr>
            </w:pPr>
          </w:p>
        </w:tc>
      </w:tr>
      <w:tr w14:paraId="7AF19536">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75EC7950">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7DECB614">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40C82B92">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12D62076">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160C1B6A">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72E74A9E">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4DFC1F59">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24644126">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11CFE492">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05DA3E25">
            <w:pPr>
              <w:spacing w:line="500" w:lineRule="exact"/>
              <w:jc w:val="center"/>
              <w:rPr>
                <w:rFonts w:ascii="宋体" w:hAnsi="宋体"/>
              </w:rPr>
            </w:pPr>
          </w:p>
        </w:tc>
      </w:tr>
      <w:tr w14:paraId="428BBBC9">
        <w:tblPrEx>
          <w:tblCellMar>
            <w:top w:w="0" w:type="dxa"/>
            <w:left w:w="108" w:type="dxa"/>
            <w:bottom w:w="0" w:type="dxa"/>
            <w:right w:w="108" w:type="dxa"/>
          </w:tblCellMar>
        </w:tblPrEx>
        <w:tc>
          <w:tcPr>
            <w:tcW w:w="488" w:type="dxa"/>
            <w:tcBorders>
              <w:top w:val="single" w:color="auto" w:sz="4" w:space="0"/>
              <w:left w:val="single" w:color="auto" w:sz="4" w:space="0"/>
              <w:bottom w:val="single" w:color="auto" w:sz="4" w:space="0"/>
              <w:right w:val="single" w:color="auto" w:sz="4" w:space="0"/>
            </w:tcBorders>
            <w:vAlign w:val="center"/>
          </w:tcPr>
          <w:p w14:paraId="62A57CFB">
            <w:pPr>
              <w:spacing w:line="500" w:lineRule="exact"/>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14:paraId="16744907">
            <w:pPr>
              <w:spacing w:line="5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14:paraId="6A27A708">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33AFBCD8">
            <w:pPr>
              <w:spacing w:line="500" w:lineRule="exact"/>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14:paraId="4FEAAADB">
            <w:pPr>
              <w:spacing w:line="500" w:lineRule="exact"/>
              <w:jc w:val="center"/>
              <w:rPr>
                <w:rFonts w:ascii="宋体" w:hAnsi="宋体"/>
              </w:rPr>
            </w:pPr>
          </w:p>
        </w:tc>
        <w:tc>
          <w:tcPr>
            <w:tcW w:w="849" w:type="dxa"/>
            <w:tcBorders>
              <w:top w:val="single" w:color="auto" w:sz="4" w:space="0"/>
              <w:left w:val="single" w:color="auto" w:sz="4" w:space="0"/>
              <w:bottom w:val="single" w:color="auto" w:sz="4" w:space="0"/>
              <w:right w:val="single" w:color="auto" w:sz="4" w:space="0"/>
            </w:tcBorders>
            <w:vAlign w:val="center"/>
          </w:tcPr>
          <w:p w14:paraId="45A6632A">
            <w:pPr>
              <w:spacing w:line="500" w:lineRule="exact"/>
              <w:jc w:val="center"/>
              <w:rPr>
                <w:rFonts w:ascii="宋体" w:hAnsi="宋体"/>
              </w:rPr>
            </w:pPr>
          </w:p>
        </w:tc>
        <w:tc>
          <w:tcPr>
            <w:tcW w:w="761" w:type="dxa"/>
            <w:tcBorders>
              <w:top w:val="single" w:color="auto" w:sz="4" w:space="0"/>
              <w:left w:val="single" w:color="auto" w:sz="4" w:space="0"/>
              <w:bottom w:val="single" w:color="auto" w:sz="4" w:space="0"/>
              <w:right w:val="single" w:color="auto" w:sz="4" w:space="0"/>
            </w:tcBorders>
            <w:vAlign w:val="center"/>
          </w:tcPr>
          <w:p w14:paraId="7D1404BB">
            <w:pPr>
              <w:spacing w:line="500" w:lineRule="exact"/>
              <w:jc w:val="center"/>
              <w:rPr>
                <w:rFonts w:ascii="宋体" w:hAnsi="宋体"/>
              </w:rPr>
            </w:pPr>
          </w:p>
        </w:tc>
        <w:tc>
          <w:tcPr>
            <w:tcW w:w="1125" w:type="dxa"/>
            <w:tcBorders>
              <w:top w:val="single" w:color="auto" w:sz="4" w:space="0"/>
              <w:left w:val="single" w:color="auto" w:sz="4" w:space="0"/>
              <w:bottom w:val="single" w:color="auto" w:sz="4" w:space="0"/>
              <w:right w:val="single" w:color="auto" w:sz="4" w:space="0"/>
            </w:tcBorders>
            <w:vAlign w:val="center"/>
          </w:tcPr>
          <w:p w14:paraId="3C78DD95">
            <w:pPr>
              <w:spacing w:line="500" w:lineRule="exact"/>
              <w:jc w:val="center"/>
              <w:rPr>
                <w:rFonts w:ascii="宋体" w:hAnsi="宋体"/>
              </w:rPr>
            </w:pPr>
          </w:p>
        </w:tc>
        <w:tc>
          <w:tcPr>
            <w:tcW w:w="735" w:type="dxa"/>
            <w:tcBorders>
              <w:top w:val="single" w:color="auto" w:sz="4" w:space="0"/>
              <w:left w:val="single" w:color="auto" w:sz="4" w:space="0"/>
              <w:bottom w:val="single" w:color="auto" w:sz="4" w:space="0"/>
              <w:right w:val="single" w:color="auto" w:sz="4" w:space="0"/>
            </w:tcBorders>
            <w:vAlign w:val="center"/>
          </w:tcPr>
          <w:p w14:paraId="2FA7E954">
            <w:pPr>
              <w:spacing w:line="500" w:lineRule="exact"/>
              <w:jc w:val="center"/>
              <w:rPr>
                <w:rFonts w:ascii="宋体" w:hAnsi="宋体"/>
              </w:rPr>
            </w:pPr>
          </w:p>
        </w:tc>
        <w:tc>
          <w:tcPr>
            <w:tcW w:w="990" w:type="dxa"/>
            <w:tcBorders>
              <w:top w:val="single" w:color="auto" w:sz="4" w:space="0"/>
              <w:left w:val="single" w:color="auto" w:sz="4" w:space="0"/>
              <w:bottom w:val="single" w:color="auto" w:sz="4" w:space="0"/>
              <w:right w:val="single" w:color="auto" w:sz="4" w:space="0"/>
            </w:tcBorders>
            <w:vAlign w:val="center"/>
          </w:tcPr>
          <w:p w14:paraId="655A498F">
            <w:pPr>
              <w:spacing w:line="500" w:lineRule="exact"/>
              <w:jc w:val="center"/>
              <w:rPr>
                <w:rFonts w:ascii="宋体" w:hAnsi="宋体"/>
              </w:rPr>
            </w:pPr>
          </w:p>
        </w:tc>
      </w:tr>
      <w:tr w14:paraId="3EB20C16">
        <w:tblPrEx>
          <w:tblCellMar>
            <w:top w:w="0" w:type="dxa"/>
            <w:left w:w="108" w:type="dxa"/>
            <w:bottom w:w="0" w:type="dxa"/>
            <w:right w:w="108" w:type="dxa"/>
          </w:tblCellMar>
        </w:tblPrEx>
        <w:tc>
          <w:tcPr>
            <w:tcW w:w="2093" w:type="dxa"/>
            <w:gridSpan w:val="3"/>
            <w:tcBorders>
              <w:top w:val="single" w:color="auto" w:sz="4" w:space="0"/>
              <w:left w:val="single" w:color="auto" w:sz="4" w:space="0"/>
              <w:bottom w:val="single" w:color="auto" w:sz="4" w:space="0"/>
              <w:right w:val="single" w:color="auto" w:sz="4" w:space="0"/>
            </w:tcBorders>
            <w:vAlign w:val="center"/>
          </w:tcPr>
          <w:p w14:paraId="12767DF8">
            <w:pPr>
              <w:spacing w:line="500" w:lineRule="exact"/>
              <w:jc w:val="center"/>
              <w:rPr>
                <w:rFonts w:ascii="宋体" w:hAnsi="宋体"/>
              </w:rPr>
            </w:pPr>
            <w:r>
              <w:rPr>
                <w:rFonts w:hint="eastAsia" w:ascii="宋体" w:hAnsi="宋体"/>
              </w:rPr>
              <w:t>最高投标限价：</w:t>
            </w:r>
          </w:p>
        </w:tc>
        <w:tc>
          <w:tcPr>
            <w:tcW w:w="6162" w:type="dxa"/>
            <w:gridSpan w:val="7"/>
            <w:tcBorders>
              <w:top w:val="single" w:color="auto" w:sz="4" w:space="0"/>
              <w:left w:val="single" w:color="auto" w:sz="4" w:space="0"/>
              <w:bottom w:val="single" w:color="auto" w:sz="4" w:space="0"/>
              <w:right w:val="single" w:color="auto" w:sz="4" w:space="0"/>
            </w:tcBorders>
            <w:vAlign w:val="center"/>
          </w:tcPr>
          <w:p w14:paraId="553612EF">
            <w:pPr>
              <w:spacing w:line="500" w:lineRule="exact"/>
              <w:jc w:val="center"/>
              <w:rPr>
                <w:rFonts w:ascii="宋体" w:hAnsi="宋体"/>
              </w:rPr>
            </w:pPr>
          </w:p>
        </w:tc>
      </w:tr>
    </w:tbl>
    <w:p w14:paraId="69BB83F8">
      <w:pPr>
        <w:spacing w:line="440" w:lineRule="exact"/>
        <w:rPr>
          <w:rFonts w:ascii="宋体" w:hAnsi="宋体"/>
        </w:rPr>
      </w:pPr>
    </w:p>
    <w:p w14:paraId="0FEB0520">
      <w:pPr>
        <w:spacing w:line="620" w:lineRule="exact"/>
        <w:rPr>
          <w:rFonts w:ascii="宋体" w:hAnsi="宋体"/>
          <w:sz w:val="24"/>
          <w:szCs w:val="24"/>
        </w:rPr>
      </w:pPr>
      <w:r>
        <w:rPr>
          <w:rFonts w:hint="eastAsia" w:ascii="宋体" w:hAnsi="宋体"/>
          <w:sz w:val="24"/>
          <w:szCs w:val="24"/>
        </w:rPr>
        <w:t>招标人代表：记录人：监标人：</w:t>
      </w:r>
    </w:p>
    <w:p w14:paraId="2288688B">
      <w:pPr>
        <w:wordWrap w:val="0"/>
        <w:spacing w:line="620" w:lineRule="exact"/>
        <w:jc w:val="right"/>
        <w:rPr>
          <w:rFonts w:ascii="宋体" w:hAnsi="宋体"/>
          <w:sz w:val="24"/>
          <w:szCs w:val="24"/>
        </w:rPr>
      </w:pPr>
      <w:r>
        <w:rPr>
          <w:rFonts w:hint="eastAsia" w:ascii="宋体" w:hAnsi="宋体"/>
          <w:sz w:val="24"/>
          <w:szCs w:val="24"/>
        </w:rPr>
        <w:t xml:space="preserve">   年月日</w:t>
      </w:r>
    </w:p>
    <w:p w14:paraId="1C910560">
      <w:pPr>
        <w:rPr>
          <w:rFonts w:ascii="宋体" w:hAnsi="宋体"/>
        </w:rPr>
      </w:pPr>
      <w:bookmarkStart w:id="291" w:name="_Toc529196577"/>
    </w:p>
    <w:p w14:paraId="3E338329">
      <w:pPr>
        <w:rPr>
          <w:rFonts w:ascii="宋体" w:hAnsi="宋体"/>
        </w:rPr>
      </w:pPr>
    </w:p>
    <w:p w14:paraId="787072C5">
      <w:pPr>
        <w:spacing w:after="240"/>
        <w:rPr>
          <w:b/>
          <w:sz w:val="28"/>
          <w:szCs w:val="20"/>
        </w:rPr>
      </w:pPr>
      <w:r>
        <w:rPr>
          <w:rFonts w:hint="eastAsia" w:ascii="宋体" w:hAnsi="宋体"/>
          <w:b/>
          <w:sz w:val="28"/>
          <w:szCs w:val="20"/>
        </w:rPr>
        <w:br w:type="page"/>
      </w:r>
      <w:bookmarkStart w:id="292" w:name="_Toc535938715"/>
      <w:bookmarkStart w:id="293" w:name="_Toc530470625"/>
      <w:r>
        <w:rPr>
          <w:rFonts w:hint="eastAsia"/>
          <w:b/>
          <w:sz w:val="28"/>
          <w:szCs w:val="20"/>
        </w:rPr>
        <w:t>附件二：问题澄清通知（按广州公共资源交易中心问题澄清通知格式）</w:t>
      </w:r>
      <w:bookmarkEnd w:id="291"/>
      <w:bookmarkEnd w:id="292"/>
      <w:bookmarkEnd w:id="293"/>
      <w:bookmarkStart w:id="294" w:name="_Toc152042355"/>
      <w:bookmarkStart w:id="295" w:name="_Toc144974546"/>
    </w:p>
    <w:p w14:paraId="7CF62DD9">
      <w:pPr>
        <w:spacing w:after="240"/>
        <w:rPr>
          <w:b/>
          <w:sz w:val="28"/>
          <w:szCs w:val="20"/>
        </w:rPr>
      </w:pPr>
      <w:bookmarkStart w:id="296" w:name="_Toc535938716"/>
      <w:bookmarkStart w:id="297" w:name="_Toc530470626"/>
      <w:bookmarkStart w:id="298" w:name="_Toc529196578"/>
      <w:r>
        <w:rPr>
          <w:rFonts w:hint="eastAsia"/>
          <w:b/>
          <w:sz w:val="28"/>
          <w:szCs w:val="20"/>
        </w:rPr>
        <w:t>附件三：问题的澄清</w:t>
      </w:r>
      <w:bookmarkEnd w:id="294"/>
      <w:bookmarkStart w:id="299" w:name="_Toc352691524"/>
      <w:bookmarkStart w:id="300" w:name="_Toc152045579"/>
      <w:bookmarkStart w:id="301" w:name="_Toc300834999"/>
      <w:bookmarkStart w:id="302" w:name="_Toc384308263"/>
      <w:bookmarkStart w:id="303" w:name="_Toc3622"/>
      <w:bookmarkStart w:id="304" w:name="_Toc247514003"/>
      <w:bookmarkStart w:id="305" w:name="_Toc152042356"/>
      <w:bookmarkStart w:id="306" w:name="_Toc369531568"/>
      <w:bookmarkStart w:id="307" w:name="_Toc361508637"/>
      <w:bookmarkStart w:id="308" w:name="_Toc247527604"/>
      <w:r>
        <w:rPr>
          <w:rFonts w:hint="eastAsia"/>
          <w:b/>
          <w:sz w:val="28"/>
          <w:szCs w:val="20"/>
        </w:rPr>
        <w:t>（按广州公共资源交易中心问题澄清格式）</w:t>
      </w:r>
      <w:bookmarkEnd w:id="296"/>
      <w:bookmarkEnd w:id="297"/>
      <w:bookmarkEnd w:id="298"/>
    </w:p>
    <w:bookmarkEnd w:id="295"/>
    <w:bookmarkEnd w:id="299"/>
    <w:bookmarkEnd w:id="300"/>
    <w:bookmarkEnd w:id="301"/>
    <w:bookmarkEnd w:id="302"/>
    <w:bookmarkEnd w:id="303"/>
    <w:bookmarkEnd w:id="304"/>
    <w:bookmarkEnd w:id="305"/>
    <w:bookmarkEnd w:id="306"/>
    <w:bookmarkEnd w:id="307"/>
    <w:bookmarkEnd w:id="308"/>
    <w:p w14:paraId="201DC454">
      <w:pPr>
        <w:spacing w:after="240"/>
        <w:rPr>
          <w:b/>
          <w:sz w:val="28"/>
          <w:szCs w:val="20"/>
        </w:rPr>
      </w:pPr>
      <w:bookmarkStart w:id="309" w:name="_Toc492300623"/>
      <w:bookmarkStart w:id="310" w:name="_Toc530470627"/>
      <w:bookmarkStart w:id="311" w:name="_Toc535938718"/>
      <w:bookmarkStart w:id="312" w:name="_Toc529196579"/>
      <w:r>
        <w:rPr>
          <w:rFonts w:hint="eastAsia"/>
          <w:b/>
          <w:sz w:val="28"/>
          <w:szCs w:val="20"/>
        </w:rPr>
        <w:t>附件四：中标通知书</w:t>
      </w:r>
      <w:bookmarkEnd w:id="309"/>
      <w:r>
        <w:rPr>
          <w:rFonts w:hint="eastAsia"/>
          <w:b/>
          <w:sz w:val="28"/>
          <w:szCs w:val="20"/>
        </w:rPr>
        <w:t>（按广州公共资源交易中心中标通知书格式）</w:t>
      </w:r>
      <w:bookmarkEnd w:id="310"/>
      <w:bookmarkEnd w:id="311"/>
      <w:bookmarkEnd w:id="312"/>
    </w:p>
    <w:p w14:paraId="6E78C145">
      <w:pPr>
        <w:spacing w:after="240"/>
        <w:rPr>
          <w:b/>
          <w:sz w:val="28"/>
          <w:szCs w:val="20"/>
        </w:rPr>
      </w:pPr>
      <w:bookmarkStart w:id="313" w:name="_Toc492300625"/>
      <w:bookmarkStart w:id="314" w:name="_Toc492300624"/>
      <w:bookmarkStart w:id="315" w:name="_Toc529196580"/>
      <w:bookmarkStart w:id="316" w:name="_Toc535938719"/>
      <w:bookmarkStart w:id="317" w:name="_Toc530470628"/>
      <w:r>
        <w:rPr>
          <w:rFonts w:hint="eastAsia"/>
          <w:b/>
          <w:sz w:val="28"/>
          <w:szCs w:val="20"/>
        </w:rPr>
        <w:t>附件五：</w:t>
      </w:r>
      <w:bookmarkEnd w:id="313"/>
      <w:r>
        <w:rPr>
          <w:rFonts w:hint="eastAsia"/>
          <w:b/>
          <w:sz w:val="28"/>
          <w:szCs w:val="20"/>
        </w:rPr>
        <w:t>中标结果通知书</w:t>
      </w:r>
      <w:bookmarkEnd w:id="314"/>
      <w:r>
        <w:rPr>
          <w:rFonts w:hint="eastAsia"/>
          <w:b/>
          <w:sz w:val="28"/>
          <w:szCs w:val="20"/>
        </w:rPr>
        <w:t>（按广州公共资源交易中心中标结果通知书格式）</w:t>
      </w:r>
      <w:bookmarkEnd w:id="315"/>
      <w:bookmarkEnd w:id="316"/>
      <w:bookmarkEnd w:id="317"/>
    </w:p>
    <w:p w14:paraId="28ADF2C2">
      <w:pPr>
        <w:spacing w:after="240"/>
        <w:rPr>
          <w:b/>
          <w:sz w:val="28"/>
          <w:szCs w:val="20"/>
        </w:rPr>
      </w:pPr>
    </w:p>
    <w:p w14:paraId="01F02BD2">
      <w:pPr>
        <w:spacing w:after="240"/>
        <w:rPr>
          <w:b/>
          <w:sz w:val="28"/>
          <w:szCs w:val="20"/>
        </w:rPr>
      </w:pPr>
    </w:p>
    <w:p w14:paraId="2C7B6E12">
      <w:pPr>
        <w:rPr>
          <w:rFonts w:ascii="宋体" w:hAnsi="宋体"/>
        </w:rPr>
      </w:pPr>
    </w:p>
    <w:p w14:paraId="39FC960E">
      <w:pPr>
        <w:spacing w:line="240" w:lineRule="exact"/>
        <w:ind w:left="1800" w:firstLine="137"/>
        <w:rPr>
          <w:rFonts w:ascii="宋体" w:hAnsi="宋体"/>
        </w:rPr>
      </w:pPr>
    </w:p>
    <w:p w14:paraId="0CBBF4EB">
      <w:pPr>
        <w:rPr>
          <w:rFonts w:ascii="宋体" w:hAnsi="宋体"/>
        </w:rPr>
      </w:pPr>
    </w:p>
    <w:p w14:paraId="0634AE4D">
      <w:pPr>
        <w:pStyle w:val="3"/>
        <w:keepNext w:val="0"/>
        <w:keepLines w:val="0"/>
        <w:spacing w:before="0" w:after="0" w:line="240" w:lineRule="auto"/>
        <w:jc w:val="center"/>
        <w:rPr>
          <w:rFonts w:ascii="宋体" w:hAnsi="宋体"/>
        </w:rPr>
      </w:pPr>
      <w:r>
        <w:rPr>
          <w:rFonts w:hint="eastAsia" w:ascii="宋体" w:hAnsi="宋体"/>
          <w:b w:val="0"/>
        </w:rPr>
        <w:br w:type="page"/>
      </w:r>
      <w:bookmarkStart w:id="318" w:name="_Toc11044"/>
      <w:bookmarkStart w:id="319" w:name="_Toc11173"/>
      <w:bookmarkStart w:id="320" w:name="_Toc2112"/>
      <w:bookmarkStart w:id="321" w:name="_Toc25504"/>
      <w:bookmarkStart w:id="322" w:name="_Toc16525"/>
      <w:bookmarkStart w:id="323" w:name="_Toc63769815"/>
      <w:r>
        <w:rPr>
          <w:rFonts w:ascii="宋体" w:hAnsi="宋体"/>
        </w:rPr>
        <w:t>第三章评标办法（综合评估法）</w:t>
      </w:r>
      <w:bookmarkEnd w:id="318"/>
      <w:bookmarkEnd w:id="319"/>
      <w:bookmarkEnd w:id="320"/>
      <w:bookmarkEnd w:id="321"/>
      <w:bookmarkEnd w:id="322"/>
    </w:p>
    <w:p w14:paraId="48DC7BA9">
      <w:pPr>
        <w:pStyle w:val="4"/>
        <w:keepNext w:val="0"/>
        <w:keepLines w:val="0"/>
        <w:spacing w:before="0" w:after="0" w:line="240" w:lineRule="auto"/>
        <w:jc w:val="center"/>
        <w:outlineLvl w:val="1"/>
        <w:rPr>
          <w:rFonts w:ascii="宋体" w:hAnsi="宋体"/>
        </w:rPr>
      </w:pPr>
      <w:bookmarkStart w:id="324" w:name="_Toc19529"/>
      <w:bookmarkStart w:id="325" w:name="_Toc29538"/>
      <w:r>
        <w:rPr>
          <w:rFonts w:ascii="宋体" w:hAnsi="宋体"/>
        </w:rPr>
        <w:t>评标办法前附表</w:t>
      </w:r>
      <w:bookmarkEnd w:id="324"/>
      <w:bookmarkEnd w:id="325"/>
    </w:p>
    <w:tbl>
      <w:tblPr>
        <w:tblStyle w:val="24"/>
        <w:tblW w:w="543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17"/>
        <w:gridCol w:w="1116"/>
        <w:gridCol w:w="1444"/>
        <w:gridCol w:w="6578"/>
      </w:tblGrid>
      <w:tr w14:paraId="5A00E20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011" w:type="pct"/>
            <w:gridSpan w:val="2"/>
            <w:tcBorders>
              <w:top w:val="single" w:color="auto" w:sz="4" w:space="0"/>
              <w:bottom w:val="single" w:color="auto" w:sz="4" w:space="0"/>
              <w:right w:val="single" w:color="auto" w:sz="4" w:space="0"/>
            </w:tcBorders>
            <w:vAlign w:val="center"/>
          </w:tcPr>
          <w:p w14:paraId="0A7513E2">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条款号</w:t>
            </w:r>
          </w:p>
        </w:tc>
        <w:tc>
          <w:tcPr>
            <w:tcW w:w="718" w:type="pct"/>
            <w:tcBorders>
              <w:top w:val="single" w:color="auto" w:sz="4" w:space="0"/>
              <w:left w:val="single" w:color="auto" w:sz="4" w:space="0"/>
              <w:bottom w:val="single" w:color="auto" w:sz="4" w:space="0"/>
              <w:right w:val="single" w:color="auto" w:sz="4" w:space="0"/>
            </w:tcBorders>
            <w:vAlign w:val="center"/>
          </w:tcPr>
          <w:p w14:paraId="2FAF3894">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评审因素</w:t>
            </w:r>
          </w:p>
        </w:tc>
        <w:tc>
          <w:tcPr>
            <w:tcW w:w="3270" w:type="pct"/>
            <w:tcBorders>
              <w:top w:val="single" w:color="auto" w:sz="4" w:space="0"/>
              <w:left w:val="single" w:color="auto" w:sz="4" w:space="0"/>
              <w:bottom w:val="single" w:color="auto" w:sz="4" w:space="0"/>
              <w:right w:val="single" w:color="auto" w:sz="4" w:space="0"/>
            </w:tcBorders>
            <w:vAlign w:val="center"/>
          </w:tcPr>
          <w:p w14:paraId="077820FA">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评审标准</w:t>
            </w:r>
          </w:p>
        </w:tc>
      </w:tr>
      <w:tr w14:paraId="622542E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9" w:hRule="atLeast"/>
          <w:jc w:val="center"/>
        </w:trPr>
        <w:tc>
          <w:tcPr>
            <w:tcW w:w="456" w:type="pct"/>
            <w:tcBorders>
              <w:top w:val="single" w:color="auto" w:sz="4" w:space="0"/>
              <w:left w:val="single" w:color="auto" w:sz="4" w:space="0"/>
              <w:bottom w:val="single" w:color="auto" w:sz="4" w:space="0"/>
              <w:right w:val="single" w:color="auto" w:sz="4" w:space="0"/>
            </w:tcBorders>
            <w:vAlign w:val="center"/>
          </w:tcPr>
          <w:p w14:paraId="2A8810C6">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54" w:type="pct"/>
            <w:tcBorders>
              <w:top w:val="single" w:color="auto" w:sz="4" w:space="0"/>
              <w:left w:val="single" w:color="auto" w:sz="4" w:space="0"/>
              <w:bottom w:val="single" w:color="auto" w:sz="4" w:space="0"/>
              <w:right w:val="single" w:color="auto" w:sz="4" w:space="0"/>
            </w:tcBorders>
            <w:vAlign w:val="center"/>
          </w:tcPr>
          <w:p w14:paraId="4BF32ABB">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评标方法</w:t>
            </w:r>
          </w:p>
        </w:tc>
        <w:tc>
          <w:tcPr>
            <w:tcW w:w="718" w:type="pct"/>
            <w:tcBorders>
              <w:top w:val="single" w:color="auto" w:sz="4" w:space="0"/>
              <w:left w:val="single" w:color="auto" w:sz="4" w:space="0"/>
              <w:bottom w:val="single" w:color="auto" w:sz="4" w:space="0"/>
              <w:right w:val="single" w:color="auto" w:sz="4" w:space="0"/>
            </w:tcBorders>
            <w:vAlign w:val="center"/>
          </w:tcPr>
          <w:p w14:paraId="2AB261C8">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中标候选人排序方法</w:t>
            </w:r>
          </w:p>
        </w:tc>
        <w:tc>
          <w:tcPr>
            <w:tcW w:w="3270" w:type="pct"/>
            <w:tcBorders>
              <w:top w:val="single" w:color="auto" w:sz="4" w:space="0"/>
              <w:left w:val="single" w:color="auto" w:sz="4" w:space="0"/>
              <w:bottom w:val="single" w:color="auto" w:sz="4" w:space="0"/>
              <w:right w:val="single" w:color="auto" w:sz="4" w:space="0"/>
            </w:tcBorders>
            <w:vAlign w:val="center"/>
          </w:tcPr>
          <w:p w14:paraId="6BCF50ED">
            <w:pPr>
              <w:spacing w:line="360" w:lineRule="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本次评标采用综合评估法。</w:t>
            </w:r>
          </w:p>
          <w:p w14:paraId="7122ED94">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评标委员会对满足招标文件实质性要求的投标文件，按照本章第2.2款规定的评分标准进行打分，并按得分由高到低顺序推荐中标候选人，排序的前一～三名为第一中标候选人、第二中标候选人和第三中标候选人。若两家或以上的投标人综合得分相同时，则资信业绩部分得分高的排前；若资信业绩部分得分相同时，则</w:t>
            </w:r>
            <w:r>
              <w:rPr>
                <w:rFonts w:hint="eastAsia" w:cs="宋体" w:asciiTheme="minorEastAsia" w:hAnsiTheme="minorEastAsia" w:eastAsiaTheme="minorEastAsia"/>
                <w:szCs w:val="21"/>
                <w:lang w:val="en-US" w:eastAsia="zh-CN"/>
              </w:rPr>
              <w:t>技术部分</w:t>
            </w:r>
            <w:r>
              <w:rPr>
                <w:rFonts w:hint="eastAsia" w:cs="宋体" w:asciiTheme="minorEastAsia" w:hAnsiTheme="minorEastAsia" w:eastAsiaTheme="minorEastAsia"/>
                <w:szCs w:val="21"/>
              </w:rPr>
              <w:t>报价得分高的排前；若</w:t>
            </w:r>
            <w:r>
              <w:rPr>
                <w:rFonts w:hint="eastAsia" w:cs="宋体" w:asciiTheme="minorEastAsia" w:hAnsiTheme="minorEastAsia" w:eastAsiaTheme="minorEastAsia"/>
                <w:szCs w:val="21"/>
                <w:lang w:val="en-US" w:eastAsia="zh-CN"/>
              </w:rPr>
              <w:t>技术部分</w:t>
            </w:r>
            <w:r>
              <w:rPr>
                <w:rFonts w:hint="eastAsia" w:cs="宋体" w:asciiTheme="minorEastAsia" w:hAnsiTheme="minorEastAsia" w:eastAsiaTheme="minorEastAsia"/>
                <w:szCs w:val="21"/>
              </w:rPr>
              <w:t>报价得分相同，则</w:t>
            </w:r>
            <w:r>
              <w:rPr>
                <w:rFonts w:hint="eastAsia" w:cs="宋体" w:asciiTheme="minorEastAsia" w:hAnsiTheme="minorEastAsia" w:eastAsiaTheme="minorEastAsia"/>
                <w:szCs w:val="21"/>
                <w:lang w:val="en-US" w:eastAsia="zh-CN"/>
              </w:rPr>
              <w:t>投标报价</w:t>
            </w:r>
            <w:r>
              <w:rPr>
                <w:rFonts w:hint="eastAsia" w:cs="宋体" w:asciiTheme="minorEastAsia" w:hAnsiTheme="minorEastAsia" w:eastAsiaTheme="minorEastAsia"/>
                <w:szCs w:val="21"/>
              </w:rPr>
              <w:t>得分高的排前；若资信业绩部分得分</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技术部分得分和投标报价得分均相同，由评标委员会采用记名投票方式，以得票多的优先，确定中标候选人的排序。</w:t>
            </w:r>
          </w:p>
        </w:tc>
      </w:tr>
      <w:tr w14:paraId="56DDE75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restart"/>
            <w:tcBorders>
              <w:top w:val="single" w:color="auto" w:sz="4" w:space="0"/>
              <w:right w:val="single" w:color="auto" w:sz="4" w:space="0"/>
            </w:tcBorders>
            <w:vAlign w:val="center"/>
          </w:tcPr>
          <w:p w14:paraId="3CD56438">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2.1.1</w:t>
            </w:r>
          </w:p>
        </w:tc>
        <w:tc>
          <w:tcPr>
            <w:tcW w:w="554" w:type="pct"/>
            <w:vMerge w:val="restart"/>
            <w:tcBorders>
              <w:top w:val="single" w:color="auto" w:sz="4" w:space="0"/>
              <w:right w:val="single" w:color="auto" w:sz="4" w:space="0"/>
            </w:tcBorders>
            <w:vAlign w:val="center"/>
          </w:tcPr>
          <w:p w14:paraId="204EACD0">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形式评审标准</w:t>
            </w:r>
          </w:p>
        </w:tc>
        <w:tc>
          <w:tcPr>
            <w:tcW w:w="718" w:type="pct"/>
            <w:tcBorders>
              <w:top w:val="single" w:color="auto" w:sz="4" w:space="0"/>
              <w:left w:val="single" w:color="auto" w:sz="4" w:space="0"/>
              <w:bottom w:val="single" w:color="auto" w:sz="4" w:space="0"/>
              <w:right w:val="single" w:color="auto" w:sz="4" w:space="0"/>
            </w:tcBorders>
            <w:vAlign w:val="center"/>
          </w:tcPr>
          <w:p w14:paraId="2E41A303">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投标人</w:t>
            </w:r>
          </w:p>
          <w:p w14:paraId="7D32080A">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名称</w:t>
            </w:r>
          </w:p>
        </w:tc>
        <w:tc>
          <w:tcPr>
            <w:tcW w:w="3270" w:type="pct"/>
            <w:tcBorders>
              <w:top w:val="single" w:color="auto" w:sz="4" w:space="0"/>
              <w:left w:val="single" w:color="auto" w:sz="4" w:space="0"/>
              <w:bottom w:val="single" w:color="auto" w:sz="4" w:space="0"/>
              <w:right w:val="single" w:color="auto" w:sz="4" w:space="0"/>
            </w:tcBorders>
            <w:vAlign w:val="center"/>
          </w:tcPr>
          <w:p w14:paraId="04F7E1DB">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与营业执照、资质证书一致。</w:t>
            </w:r>
          </w:p>
        </w:tc>
      </w:tr>
      <w:tr w14:paraId="4F957DE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73" w:hRule="atLeast"/>
          <w:jc w:val="center"/>
        </w:trPr>
        <w:tc>
          <w:tcPr>
            <w:tcW w:w="456" w:type="pct"/>
            <w:vMerge w:val="continue"/>
            <w:tcBorders>
              <w:right w:val="single" w:color="auto" w:sz="4" w:space="0"/>
            </w:tcBorders>
            <w:vAlign w:val="center"/>
          </w:tcPr>
          <w:p w14:paraId="5DCFE48E">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6B9E2C38">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2778D067">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投标函及投标函附录签字盖章</w:t>
            </w:r>
          </w:p>
        </w:tc>
        <w:tc>
          <w:tcPr>
            <w:tcW w:w="3270" w:type="pct"/>
            <w:tcBorders>
              <w:top w:val="single" w:color="auto" w:sz="4" w:space="0"/>
              <w:left w:val="single" w:color="auto" w:sz="4" w:space="0"/>
              <w:bottom w:val="single" w:color="auto" w:sz="4" w:space="0"/>
              <w:right w:val="single" w:color="auto" w:sz="4" w:space="0"/>
            </w:tcBorders>
            <w:vAlign w:val="center"/>
          </w:tcPr>
          <w:p w14:paraId="099F1C7D">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有法定代表人或其委托代理人签字或加盖单位章。由法定代表人签字或盖章的，应附法定代表人身份证明，由代理人签字或盖章的，应附授权委托书，身份证明或授权委托书应符合第六章“投标文件格式”的规定。</w:t>
            </w:r>
          </w:p>
        </w:tc>
      </w:tr>
      <w:tr w14:paraId="7F06BFA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5EA4623C">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7658FA79">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0273C83">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投标文</w:t>
            </w:r>
          </w:p>
          <w:p w14:paraId="751FDABD">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件格式</w:t>
            </w:r>
          </w:p>
        </w:tc>
        <w:tc>
          <w:tcPr>
            <w:tcW w:w="3270" w:type="pct"/>
            <w:tcBorders>
              <w:top w:val="single" w:color="auto" w:sz="4" w:space="0"/>
              <w:left w:val="single" w:color="auto" w:sz="4" w:space="0"/>
              <w:bottom w:val="single" w:color="auto" w:sz="4" w:space="0"/>
              <w:right w:val="single" w:color="auto" w:sz="4" w:space="0"/>
            </w:tcBorders>
            <w:vAlign w:val="center"/>
          </w:tcPr>
          <w:p w14:paraId="4C61126E">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符合第六章“投标文件格式”的规定。</w:t>
            </w:r>
          </w:p>
        </w:tc>
      </w:tr>
      <w:tr w14:paraId="72E5720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58BA86B1">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2ED089A2">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31478CB2">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联合体</w:t>
            </w:r>
          </w:p>
          <w:p w14:paraId="1B623044">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w:t>
            </w:r>
          </w:p>
        </w:tc>
        <w:tc>
          <w:tcPr>
            <w:tcW w:w="3270" w:type="pct"/>
            <w:tcBorders>
              <w:top w:val="single" w:color="auto" w:sz="4" w:space="0"/>
              <w:left w:val="single" w:color="auto" w:sz="4" w:space="0"/>
              <w:bottom w:val="single" w:color="auto" w:sz="4" w:space="0"/>
              <w:right w:val="single" w:color="auto" w:sz="4" w:space="0"/>
            </w:tcBorders>
            <w:vAlign w:val="center"/>
          </w:tcPr>
          <w:p w14:paraId="53BB46F9">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14:paraId="319F136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4EB32B2A">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41796666">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5D06ECD">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备选投标方案</w:t>
            </w:r>
          </w:p>
        </w:tc>
        <w:tc>
          <w:tcPr>
            <w:tcW w:w="3270" w:type="pct"/>
            <w:tcBorders>
              <w:top w:val="single" w:color="auto" w:sz="4" w:space="0"/>
              <w:left w:val="single" w:color="auto" w:sz="4" w:space="0"/>
              <w:bottom w:val="single" w:color="auto" w:sz="4" w:space="0"/>
              <w:right w:val="single" w:color="auto" w:sz="4" w:space="0"/>
            </w:tcBorders>
            <w:vAlign w:val="center"/>
          </w:tcPr>
          <w:p w14:paraId="420D39CB">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14:paraId="3D58807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8" w:hRule="atLeast"/>
          <w:jc w:val="center"/>
        </w:trPr>
        <w:tc>
          <w:tcPr>
            <w:tcW w:w="456" w:type="pct"/>
            <w:vMerge w:val="continue"/>
            <w:tcBorders>
              <w:right w:val="single" w:color="auto" w:sz="4" w:space="0"/>
            </w:tcBorders>
            <w:vAlign w:val="center"/>
          </w:tcPr>
          <w:p w14:paraId="21E4A885">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74EF2884">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30E4922D">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投标人</w:t>
            </w:r>
          </w:p>
          <w:p w14:paraId="4977B7E8">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机器码</w:t>
            </w:r>
          </w:p>
        </w:tc>
        <w:tc>
          <w:tcPr>
            <w:tcW w:w="3270" w:type="pct"/>
            <w:tcBorders>
              <w:top w:val="single" w:color="auto" w:sz="4" w:space="0"/>
              <w:left w:val="single" w:color="auto" w:sz="4" w:space="0"/>
              <w:bottom w:val="single" w:color="auto" w:sz="4" w:space="0"/>
              <w:right w:val="single" w:color="auto" w:sz="4" w:space="0"/>
            </w:tcBorders>
          </w:tcPr>
          <w:p w14:paraId="3F852E1E">
            <w:pPr>
              <w:spacing w:line="360" w:lineRule="auto"/>
              <w:rPr>
                <w:rFonts w:hint="eastAsia" w:eastAsia="宋体" w:cs="宋体" w:asciiTheme="minorEastAsia" w:hAnsiTheme="minorEastAsia"/>
                <w:szCs w:val="21"/>
                <w:lang w:eastAsia="zh-CN"/>
              </w:rPr>
            </w:pPr>
            <w:r>
              <w:rPr>
                <w:rFonts w:hint="eastAsia" w:cs="宋体" w:asciiTheme="minorEastAsia" w:hAnsiTheme="minorEastAsia" w:eastAsiaTheme="minorEastAsia"/>
                <w:szCs w:val="21"/>
              </w:rPr>
              <w:t>投标人与其他投标人加密打包投标文件电脑机器特征码一致的(以广州公共资源交易中心评标系统的检索信息为准),其投标将被否决</w:t>
            </w:r>
            <w:r>
              <w:rPr>
                <w:rFonts w:hint="eastAsia" w:cs="宋体" w:asciiTheme="minorEastAsia" w:hAnsiTheme="minorEastAsia" w:eastAsiaTheme="minorEastAsia"/>
                <w:szCs w:val="21"/>
                <w:lang w:eastAsia="zh-CN"/>
              </w:rPr>
              <w:t>。</w:t>
            </w:r>
          </w:p>
        </w:tc>
      </w:tr>
      <w:tr w14:paraId="3492A41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425AF014">
            <w:pPr>
              <w:spacing w:line="360" w:lineRule="auto"/>
              <w:rPr>
                <w:rFonts w:cs="宋体" w:asciiTheme="minorEastAsia" w:hAnsiTheme="minorEastAsia" w:eastAsiaTheme="minorEastAsia"/>
                <w:szCs w:val="21"/>
              </w:rPr>
            </w:pPr>
          </w:p>
        </w:tc>
        <w:tc>
          <w:tcPr>
            <w:tcW w:w="554" w:type="pct"/>
            <w:vMerge w:val="continue"/>
            <w:tcBorders>
              <w:right w:val="single" w:color="auto" w:sz="4" w:space="0"/>
            </w:tcBorders>
            <w:vAlign w:val="center"/>
          </w:tcPr>
          <w:p w14:paraId="3F24849C">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04EE3A97">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其他</w:t>
            </w:r>
          </w:p>
        </w:tc>
        <w:tc>
          <w:tcPr>
            <w:tcW w:w="3270" w:type="pct"/>
            <w:tcBorders>
              <w:top w:val="single" w:color="auto" w:sz="4" w:space="0"/>
              <w:left w:val="single" w:color="auto" w:sz="4" w:space="0"/>
              <w:bottom w:val="single" w:color="auto" w:sz="4" w:space="0"/>
              <w:right w:val="single" w:color="auto" w:sz="4" w:space="0"/>
            </w:tcBorders>
          </w:tcPr>
          <w:p w14:paraId="02EB5ED6">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投标文件所列投标人名称、项目负责人与</w:t>
            </w:r>
            <w:r>
              <w:rPr>
                <w:rFonts w:hint="eastAsia" w:ascii="宋体" w:hAnsi="宋体" w:cs="宋体"/>
                <w:color w:val="auto"/>
                <w:sz w:val="21"/>
                <w:szCs w:val="21"/>
                <w:lang w:val="en-US" w:eastAsia="zh-CN"/>
              </w:rPr>
              <w:t>投标登记</w:t>
            </w:r>
            <w:r>
              <w:rPr>
                <w:rFonts w:hint="eastAsia" w:ascii="宋体" w:hAnsi="宋体" w:eastAsia="宋体" w:cs="宋体"/>
                <w:color w:val="auto"/>
                <w:sz w:val="21"/>
                <w:szCs w:val="21"/>
              </w:rPr>
              <w:t>时一致</w:t>
            </w:r>
            <w:r>
              <w:rPr>
                <w:rFonts w:hint="eastAsia" w:ascii="宋体" w:hAnsi="宋体" w:cs="宋体"/>
                <w:color w:val="auto"/>
                <w:sz w:val="21"/>
                <w:szCs w:val="21"/>
                <w:lang w:eastAsia="zh-CN"/>
              </w:rPr>
              <w:t>。</w:t>
            </w:r>
          </w:p>
        </w:tc>
      </w:tr>
      <w:tr w14:paraId="3CC98D4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restart"/>
            <w:tcBorders>
              <w:top w:val="single" w:color="auto" w:sz="4" w:space="0"/>
              <w:right w:val="single" w:color="auto" w:sz="4" w:space="0"/>
            </w:tcBorders>
            <w:vAlign w:val="center"/>
          </w:tcPr>
          <w:p w14:paraId="5A725290">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2.1.2</w:t>
            </w:r>
          </w:p>
        </w:tc>
        <w:tc>
          <w:tcPr>
            <w:tcW w:w="554" w:type="pct"/>
            <w:vMerge w:val="restart"/>
            <w:tcBorders>
              <w:top w:val="single" w:color="auto" w:sz="4" w:space="0"/>
              <w:left w:val="single" w:color="auto" w:sz="4" w:space="0"/>
              <w:right w:val="single" w:color="auto" w:sz="4" w:space="0"/>
            </w:tcBorders>
            <w:vAlign w:val="center"/>
          </w:tcPr>
          <w:p w14:paraId="208C5B59">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资格评审标准</w:t>
            </w:r>
          </w:p>
        </w:tc>
        <w:tc>
          <w:tcPr>
            <w:tcW w:w="718" w:type="pct"/>
            <w:tcBorders>
              <w:top w:val="single" w:color="auto" w:sz="4" w:space="0"/>
              <w:left w:val="single" w:color="auto" w:sz="4" w:space="0"/>
              <w:bottom w:val="single" w:color="auto" w:sz="4" w:space="0"/>
              <w:right w:val="single" w:color="auto" w:sz="4" w:space="0"/>
            </w:tcBorders>
            <w:vAlign w:val="center"/>
          </w:tcPr>
          <w:p w14:paraId="3AF6DD8E">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营业执照</w:t>
            </w:r>
          </w:p>
        </w:tc>
        <w:tc>
          <w:tcPr>
            <w:tcW w:w="3270" w:type="pct"/>
            <w:tcBorders>
              <w:top w:val="single" w:color="auto" w:sz="4" w:space="0"/>
              <w:left w:val="single" w:color="auto" w:sz="4" w:space="0"/>
              <w:bottom w:val="single" w:color="auto" w:sz="4" w:space="0"/>
              <w:right w:val="single" w:color="auto" w:sz="4" w:space="0"/>
            </w:tcBorders>
            <w:vAlign w:val="center"/>
          </w:tcPr>
          <w:p w14:paraId="753EC391">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w:t>
            </w:r>
            <w:r>
              <w:rPr>
                <w:rFonts w:hint="eastAsia" w:cs="宋体" w:asciiTheme="minorEastAsia" w:hAnsiTheme="minorEastAsia" w:eastAsiaTheme="minorEastAsia"/>
                <w:szCs w:val="21"/>
                <w:lang w:val="en-US" w:eastAsia="zh-CN"/>
              </w:rPr>
              <w:t>3.5.1</w:t>
            </w:r>
            <w:r>
              <w:rPr>
                <w:rFonts w:hint="eastAsia" w:cs="宋体" w:asciiTheme="minorEastAsia" w:hAnsiTheme="minorEastAsia" w:eastAsiaTheme="minorEastAsia"/>
                <w:szCs w:val="21"/>
              </w:rPr>
              <w:t>项规定。</w:t>
            </w:r>
          </w:p>
        </w:tc>
      </w:tr>
      <w:tr w14:paraId="7108CB3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73B461D6">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077A2119">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5FFC89B">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资质要求</w:t>
            </w:r>
          </w:p>
        </w:tc>
        <w:tc>
          <w:tcPr>
            <w:tcW w:w="3270" w:type="pct"/>
            <w:tcBorders>
              <w:top w:val="single" w:color="auto" w:sz="4" w:space="0"/>
              <w:left w:val="single" w:color="auto" w:sz="4" w:space="0"/>
              <w:bottom w:val="single" w:color="auto" w:sz="4" w:space="0"/>
              <w:right w:val="single" w:color="auto" w:sz="4" w:space="0"/>
            </w:tcBorders>
            <w:vAlign w:val="center"/>
          </w:tcPr>
          <w:p w14:paraId="379F657D">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符合第二章“投标人须知”第1.4.1项规定。</w:t>
            </w:r>
          </w:p>
        </w:tc>
      </w:tr>
      <w:tr w14:paraId="54E11C6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2C744724">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0C5C817B">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181C0DAA">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财务要求</w:t>
            </w:r>
          </w:p>
        </w:tc>
        <w:tc>
          <w:tcPr>
            <w:tcW w:w="3270" w:type="pct"/>
            <w:tcBorders>
              <w:top w:val="single" w:color="auto" w:sz="4" w:space="0"/>
              <w:left w:val="single" w:color="auto" w:sz="4" w:space="0"/>
              <w:bottom w:val="single" w:color="auto" w:sz="4" w:space="0"/>
              <w:right w:val="single" w:color="auto" w:sz="4" w:space="0"/>
            </w:tcBorders>
            <w:vAlign w:val="center"/>
          </w:tcPr>
          <w:p w14:paraId="70DBCEBE">
            <w:pPr>
              <w:spacing w:line="360" w:lineRule="auto"/>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w:t>
            </w:r>
          </w:p>
        </w:tc>
      </w:tr>
      <w:tr w14:paraId="09B0B61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59E19AA3">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6FCE7A27">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2CECDCC4">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业绩要求</w:t>
            </w:r>
          </w:p>
        </w:tc>
        <w:tc>
          <w:tcPr>
            <w:tcW w:w="3270" w:type="pct"/>
            <w:tcBorders>
              <w:top w:val="single" w:color="auto" w:sz="4" w:space="0"/>
              <w:left w:val="single" w:color="auto" w:sz="4" w:space="0"/>
              <w:bottom w:val="single" w:color="auto" w:sz="4" w:space="0"/>
              <w:right w:val="single" w:color="auto" w:sz="4" w:space="0"/>
            </w:tcBorders>
            <w:vAlign w:val="center"/>
          </w:tcPr>
          <w:p w14:paraId="17C40ED9">
            <w:pPr>
              <w:spacing w:line="360" w:lineRule="auto"/>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w:t>
            </w:r>
          </w:p>
        </w:tc>
      </w:tr>
      <w:tr w14:paraId="1DB2F7C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1209A398">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5C6CCB53">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FC64CA9">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信誉要求</w:t>
            </w:r>
          </w:p>
        </w:tc>
        <w:tc>
          <w:tcPr>
            <w:tcW w:w="3270" w:type="pct"/>
            <w:tcBorders>
              <w:top w:val="single" w:color="auto" w:sz="4" w:space="0"/>
              <w:left w:val="single" w:color="auto" w:sz="4" w:space="0"/>
              <w:bottom w:val="single" w:color="auto" w:sz="4" w:space="0"/>
              <w:right w:val="single" w:color="auto" w:sz="4" w:space="0"/>
            </w:tcBorders>
            <w:vAlign w:val="center"/>
          </w:tcPr>
          <w:p w14:paraId="24AAF88B">
            <w:pPr>
              <w:spacing w:line="360" w:lineRule="auto"/>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w:t>
            </w:r>
          </w:p>
        </w:tc>
      </w:tr>
      <w:tr w14:paraId="49D6E0E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4C0E63B7">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65913314">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2E55E57C">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项目</w:t>
            </w:r>
          </w:p>
          <w:p w14:paraId="04E402E0">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负责人</w:t>
            </w:r>
          </w:p>
        </w:tc>
        <w:tc>
          <w:tcPr>
            <w:tcW w:w="3270" w:type="pct"/>
            <w:tcBorders>
              <w:top w:val="single" w:color="auto" w:sz="4" w:space="0"/>
              <w:left w:val="single" w:color="auto" w:sz="4" w:space="0"/>
              <w:bottom w:val="single" w:color="auto" w:sz="4" w:space="0"/>
              <w:right w:val="single" w:color="auto" w:sz="4" w:space="0"/>
            </w:tcBorders>
            <w:vAlign w:val="center"/>
          </w:tcPr>
          <w:p w14:paraId="348B9913">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符合第二章“投标人须知”第1.4.1项规定。</w:t>
            </w:r>
          </w:p>
        </w:tc>
      </w:tr>
      <w:tr w14:paraId="3C03F9E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5261C9EE">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575EA7CD">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7590BB91">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其他主</w:t>
            </w:r>
          </w:p>
          <w:p w14:paraId="1792201A">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要人员</w:t>
            </w:r>
          </w:p>
        </w:tc>
        <w:tc>
          <w:tcPr>
            <w:tcW w:w="3270" w:type="pct"/>
            <w:tcBorders>
              <w:top w:val="single" w:color="auto" w:sz="4" w:space="0"/>
              <w:left w:val="single" w:color="auto" w:sz="4" w:space="0"/>
              <w:bottom w:val="single" w:color="auto" w:sz="4" w:space="0"/>
              <w:right w:val="single" w:color="auto" w:sz="4" w:space="0"/>
            </w:tcBorders>
            <w:vAlign w:val="center"/>
          </w:tcPr>
          <w:p w14:paraId="0830C465">
            <w:pPr>
              <w:spacing w:line="360" w:lineRule="auto"/>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 xml:space="preserve"> /</w:t>
            </w:r>
          </w:p>
        </w:tc>
      </w:tr>
      <w:tr w14:paraId="659601F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13E1FBA0">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70F9C972">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2B8B93B">
            <w:pPr>
              <w:spacing w:line="360"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试验检测仪器设备</w:t>
            </w:r>
          </w:p>
        </w:tc>
        <w:tc>
          <w:tcPr>
            <w:tcW w:w="3270" w:type="pct"/>
            <w:tcBorders>
              <w:top w:val="single" w:color="auto" w:sz="4" w:space="0"/>
              <w:left w:val="single" w:color="auto" w:sz="4" w:space="0"/>
              <w:bottom w:val="single" w:color="auto" w:sz="4" w:space="0"/>
              <w:right w:val="single" w:color="auto" w:sz="4" w:space="0"/>
            </w:tcBorders>
            <w:vAlign w:val="center"/>
          </w:tcPr>
          <w:p w14:paraId="014A8E85">
            <w:pPr>
              <w:spacing w:line="360" w:lineRule="auto"/>
              <w:jc w:val="left"/>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 xml:space="preserve"> /</w:t>
            </w:r>
          </w:p>
        </w:tc>
      </w:tr>
      <w:tr w14:paraId="2690842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4DB32141">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7F2FD128">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6DDE618C">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其他要求</w:t>
            </w:r>
          </w:p>
        </w:tc>
        <w:tc>
          <w:tcPr>
            <w:tcW w:w="3270" w:type="pct"/>
            <w:tcBorders>
              <w:top w:val="single" w:color="auto" w:sz="4" w:space="0"/>
              <w:left w:val="single" w:color="auto" w:sz="4" w:space="0"/>
              <w:bottom w:val="single" w:color="auto" w:sz="4" w:space="0"/>
              <w:right w:val="single" w:color="auto" w:sz="4" w:space="0"/>
            </w:tcBorders>
            <w:vAlign w:val="center"/>
          </w:tcPr>
          <w:p w14:paraId="0B3189DC">
            <w:pPr>
              <w:spacing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详见本项目招标公告“3</w:t>
            </w:r>
            <w:r>
              <w:rPr>
                <w:rFonts w:asciiTheme="minorEastAsia" w:hAnsiTheme="minorEastAsia" w:eastAsiaTheme="minorEastAsia"/>
                <w:szCs w:val="21"/>
              </w:rPr>
              <w:t>.</w:t>
            </w:r>
            <w:r>
              <w:rPr>
                <w:rFonts w:hint="eastAsia" w:asciiTheme="minorEastAsia" w:hAnsiTheme="minorEastAsia" w:eastAsiaTheme="minorEastAsia"/>
                <w:szCs w:val="21"/>
              </w:rPr>
              <w:t>投标人资格要求</w:t>
            </w:r>
            <w:r>
              <w:rPr>
                <w:rFonts w:hint="eastAsia" w:asciiTheme="minorEastAsia" w:hAnsiTheme="minorEastAsia" w:eastAsiaTheme="minorEastAsia"/>
                <w:szCs w:val="21"/>
                <w:lang w:val="en-US" w:eastAsia="zh-CN"/>
              </w:rPr>
              <w:t>中的</w:t>
            </w:r>
            <w:r>
              <w:rPr>
                <w:rFonts w:hint="eastAsia" w:cs="Times New Roman" w:asciiTheme="minorEastAsia" w:hAnsiTheme="minorEastAsia" w:eastAsiaTheme="minorEastAsia"/>
                <w:szCs w:val="21"/>
                <w:lang w:val="en-US" w:eastAsia="zh-CN"/>
              </w:rPr>
              <w:t>3.6</w:t>
            </w:r>
            <w:r>
              <w:rPr>
                <w:rFonts w:hint="eastAsia" w:cs="Times New Roman" w:asciiTheme="minorEastAsia" w:hAnsiTheme="minorEastAsia" w:eastAsiaTheme="minorEastAsia"/>
                <w:szCs w:val="21"/>
              </w:rPr>
              <w:t>其他要求”</w:t>
            </w:r>
            <w:r>
              <w:rPr>
                <w:rFonts w:hint="eastAsia" w:cs="Times New Roman" w:asciiTheme="minorEastAsia" w:hAnsiTheme="minorEastAsia" w:eastAsiaTheme="minorEastAsia"/>
                <w:szCs w:val="21"/>
                <w:lang w:eastAsia="zh-CN"/>
              </w:rPr>
              <w:t>。</w:t>
            </w:r>
          </w:p>
        </w:tc>
      </w:tr>
      <w:tr w14:paraId="053089A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67CCF099">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5FCE7690">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10658CBF">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联合体</w:t>
            </w:r>
          </w:p>
          <w:p w14:paraId="666BF16C">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w:t>
            </w:r>
          </w:p>
        </w:tc>
        <w:tc>
          <w:tcPr>
            <w:tcW w:w="3270" w:type="pct"/>
            <w:tcBorders>
              <w:top w:val="single" w:color="auto" w:sz="4" w:space="0"/>
              <w:left w:val="single" w:color="auto" w:sz="4" w:space="0"/>
              <w:bottom w:val="single" w:color="auto" w:sz="4" w:space="0"/>
              <w:right w:val="single" w:color="auto" w:sz="4" w:space="0"/>
            </w:tcBorders>
            <w:vAlign w:val="center"/>
          </w:tcPr>
          <w:p w14:paraId="402666B6">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14:paraId="11A7E65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6C5BF74D">
            <w:pPr>
              <w:spacing w:line="360" w:lineRule="auto"/>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0B013DA5">
            <w:pPr>
              <w:spacing w:line="360" w:lineRule="auto"/>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10FD7719">
            <w:pPr>
              <w:spacing w:line="360" w:lineRule="auto"/>
              <w:jc w:val="center"/>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rPr>
              <w:t>不存在禁止投标的情形</w:t>
            </w:r>
          </w:p>
        </w:tc>
        <w:tc>
          <w:tcPr>
            <w:tcW w:w="3270" w:type="pct"/>
            <w:tcBorders>
              <w:top w:val="single" w:color="auto" w:sz="4" w:space="0"/>
              <w:left w:val="single" w:color="auto" w:sz="4" w:space="0"/>
              <w:bottom w:val="single" w:color="auto" w:sz="4" w:space="0"/>
              <w:right w:val="single" w:color="auto" w:sz="4" w:space="0"/>
            </w:tcBorders>
            <w:vAlign w:val="center"/>
          </w:tcPr>
          <w:p w14:paraId="6AE6748C">
            <w:pPr>
              <w:spacing w:line="360" w:lineRule="auto"/>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rPr>
              <w:t>不存在第二章</w:t>
            </w:r>
            <w:r>
              <w:rPr>
                <w:rFonts w:hint="eastAsia" w:cs="宋体" w:asciiTheme="minorEastAsia" w:hAnsiTheme="minorEastAsia" w:eastAsiaTheme="minorEastAsia"/>
                <w:color w:val="auto"/>
                <w:szCs w:val="21"/>
              </w:rPr>
              <w:t>“投标人须知”第1.4.3项规定的任何一种情形</w:t>
            </w:r>
            <w:r>
              <w:rPr>
                <w:rFonts w:hint="eastAsia" w:cs="宋体" w:asciiTheme="minorEastAsia" w:hAnsiTheme="minorEastAsia" w:eastAsiaTheme="minorEastAsia"/>
                <w:szCs w:val="21"/>
              </w:rPr>
              <w:t>。</w:t>
            </w:r>
          </w:p>
        </w:tc>
      </w:tr>
      <w:tr w14:paraId="15EE4A4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restart"/>
            <w:tcBorders>
              <w:top w:val="single" w:color="auto" w:sz="4" w:space="0"/>
              <w:right w:val="single" w:color="auto" w:sz="4" w:space="0"/>
            </w:tcBorders>
            <w:vAlign w:val="center"/>
          </w:tcPr>
          <w:p w14:paraId="0C1675DC">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2.1.3</w:t>
            </w:r>
          </w:p>
        </w:tc>
        <w:tc>
          <w:tcPr>
            <w:tcW w:w="554" w:type="pct"/>
            <w:vMerge w:val="restart"/>
            <w:tcBorders>
              <w:top w:val="single" w:color="auto" w:sz="4" w:space="0"/>
              <w:left w:val="single" w:color="auto" w:sz="4" w:space="0"/>
              <w:right w:val="single" w:color="auto" w:sz="4" w:space="0"/>
            </w:tcBorders>
            <w:vAlign w:val="center"/>
          </w:tcPr>
          <w:p w14:paraId="4046E82A">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响应性评审标准</w:t>
            </w:r>
          </w:p>
        </w:tc>
        <w:tc>
          <w:tcPr>
            <w:tcW w:w="718" w:type="pct"/>
            <w:tcBorders>
              <w:top w:val="single" w:color="auto" w:sz="4" w:space="0"/>
              <w:left w:val="single" w:color="auto" w:sz="4" w:space="0"/>
              <w:right w:val="single" w:color="auto" w:sz="4" w:space="0"/>
            </w:tcBorders>
            <w:vAlign w:val="center"/>
          </w:tcPr>
          <w:p w14:paraId="79BBC2E5">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w:t>
            </w:r>
          </w:p>
        </w:tc>
        <w:tc>
          <w:tcPr>
            <w:tcW w:w="3270" w:type="pct"/>
            <w:tcBorders>
              <w:top w:val="single" w:color="auto" w:sz="4" w:space="0"/>
              <w:left w:val="single" w:color="auto" w:sz="4" w:space="0"/>
            </w:tcBorders>
            <w:vAlign w:val="center"/>
          </w:tcPr>
          <w:p w14:paraId="0310DC1E">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对同一招标项目没有出现两个或以上的投标报价，且修正无依据；</w:t>
            </w:r>
          </w:p>
        </w:tc>
      </w:tr>
      <w:tr w14:paraId="331FECA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55487F5C">
            <w:pPr>
              <w:spacing w:line="360" w:lineRule="auto"/>
              <w:jc w:val="center"/>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3F3DEBDF">
            <w:pPr>
              <w:spacing w:line="360" w:lineRule="auto"/>
              <w:jc w:val="center"/>
              <w:rPr>
                <w:rFonts w:cs="宋体" w:asciiTheme="minorEastAsia" w:hAnsiTheme="minorEastAsia" w:eastAsiaTheme="minorEastAsia"/>
                <w:szCs w:val="21"/>
              </w:rPr>
            </w:pPr>
          </w:p>
        </w:tc>
        <w:tc>
          <w:tcPr>
            <w:tcW w:w="718" w:type="pct"/>
            <w:tcBorders>
              <w:top w:val="single" w:color="auto" w:sz="4" w:space="0"/>
              <w:left w:val="single" w:color="auto" w:sz="4" w:space="0"/>
              <w:right w:val="single" w:color="auto" w:sz="4" w:space="0"/>
            </w:tcBorders>
            <w:vAlign w:val="center"/>
          </w:tcPr>
          <w:p w14:paraId="4C2730FC">
            <w:pPr>
              <w:spacing w:line="360" w:lineRule="auto"/>
              <w:jc w:val="center"/>
              <w:rPr>
                <w:rFonts w:cs="宋体" w:asciiTheme="minorEastAsia" w:hAnsiTheme="minorEastAsia" w:eastAsiaTheme="minorEastAsia"/>
                <w:strike/>
                <w:szCs w:val="21"/>
              </w:rPr>
            </w:pPr>
            <w:r>
              <w:rPr>
                <w:rFonts w:hint="eastAsia" w:cs="宋体" w:asciiTheme="minorEastAsia" w:hAnsiTheme="minorEastAsia" w:eastAsiaTheme="minorEastAsia"/>
                <w:szCs w:val="21"/>
              </w:rPr>
              <w:t>投标内容</w:t>
            </w:r>
          </w:p>
        </w:tc>
        <w:tc>
          <w:tcPr>
            <w:tcW w:w="3270" w:type="pct"/>
            <w:tcBorders>
              <w:top w:val="single" w:color="auto" w:sz="4" w:space="0"/>
              <w:left w:val="single" w:color="auto" w:sz="4" w:space="0"/>
            </w:tcBorders>
            <w:vAlign w:val="center"/>
          </w:tcPr>
          <w:p w14:paraId="29EB7026">
            <w:pPr>
              <w:spacing w:line="360" w:lineRule="auto"/>
              <w:rPr>
                <w:rFonts w:cs="宋体" w:asciiTheme="minorEastAsia" w:hAnsiTheme="minorEastAsia" w:eastAsiaTheme="minorEastAsia"/>
                <w:strike/>
                <w:szCs w:val="21"/>
              </w:rPr>
            </w:pPr>
            <w:r>
              <w:rPr>
                <w:rFonts w:hint="eastAsia" w:cs="宋体" w:asciiTheme="minorEastAsia" w:hAnsiTheme="minorEastAsia" w:eastAsiaTheme="minorEastAsia"/>
                <w:szCs w:val="21"/>
              </w:rPr>
              <w:t>符合第二章“投标人须知”第 1.3.1 项规定；投标文件按规定的格式填写，内容齐全或关键字迹清晰、容易辩认；</w:t>
            </w:r>
          </w:p>
        </w:tc>
      </w:tr>
      <w:tr w14:paraId="1F52F3E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38B01712">
            <w:pPr>
              <w:spacing w:line="360" w:lineRule="auto"/>
              <w:jc w:val="center"/>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070F4705">
            <w:pPr>
              <w:spacing w:line="360" w:lineRule="auto"/>
              <w:jc w:val="center"/>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5F68B080">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服务期限</w:t>
            </w:r>
          </w:p>
        </w:tc>
        <w:tc>
          <w:tcPr>
            <w:tcW w:w="3270" w:type="pct"/>
            <w:tcBorders>
              <w:top w:val="single" w:color="auto" w:sz="4" w:space="0"/>
              <w:left w:val="single" w:color="auto" w:sz="4" w:space="0"/>
              <w:bottom w:val="single" w:color="auto" w:sz="4" w:space="0"/>
            </w:tcBorders>
            <w:vAlign w:val="center"/>
          </w:tcPr>
          <w:p w14:paraId="31D5DE0E">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符合第二章“投标人须知”第1.3.2项规定；</w:t>
            </w:r>
          </w:p>
        </w:tc>
      </w:tr>
      <w:tr w14:paraId="0E4C2C9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456" w:type="pct"/>
            <w:vMerge w:val="continue"/>
            <w:tcBorders>
              <w:right w:val="single" w:color="auto" w:sz="4" w:space="0"/>
            </w:tcBorders>
            <w:vAlign w:val="center"/>
          </w:tcPr>
          <w:p w14:paraId="098A16E4">
            <w:pPr>
              <w:spacing w:line="360" w:lineRule="auto"/>
              <w:jc w:val="center"/>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2BF5BDC4">
            <w:pPr>
              <w:spacing w:line="360" w:lineRule="auto"/>
              <w:jc w:val="center"/>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090EA503">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质量标准</w:t>
            </w:r>
          </w:p>
        </w:tc>
        <w:tc>
          <w:tcPr>
            <w:tcW w:w="3270" w:type="pct"/>
            <w:tcBorders>
              <w:top w:val="single" w:color="auto" w:sz="4" w:space="0"/>
              <w:left w:val="single" w:color="auto" w:sz="4" w:space="0"/>
              <w:bottom w:val="single" w:color="auto" w:sz="4" w:space="0"/>
            </w:tcBorders>
            <w:vAlign w:val="center"/>
          </w:tcPr>
          <w:p w14:paraId="1105FF4B">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 1.3.3 项规定；</w:t>
            </w:r>
          </w:p>
        </w:tc>
      </w:tr>
      <w:tr w14:paraId="724D4D3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688A58C3">
            <w:pPr>
              <w:spacing w:line="360" w:lineRule="auto"/>
              <w:jc w:val="center"/>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18EF2AFD">
            <w:pPr>
              <w:spacing w:line="360" w:lineRule="auto"/>
              <w:jc w:val="center"/>
              <w:rPr>
                <w:rFonts w:cs="宋体" w:asciiTheme="minorEastAsia" w:hAnsiTheme="minorEastAsia" w:eastAsiaTheme="minorEastAsia"/>
                <w:szCs w:val="21"/>
              </w:rPr>
            </w:pPr>
          </w:p>
        </w:tc>
        <w:tc>
          <w:tcPr>
            <w:tcW w:w="718" w:type="pct"/>
            <w:tcBorders>
              <w:top w:val="single" w:color="auto" w:sz="4" w:space="0"/>
              <w:left w:val="single" w:color="auto" w:sz="4" w:space="0"/>
              <w:bottom w:val="single" w:color="auto" w:sz="4" w:space="0"/>
              <w:right w:val="single" w:color="auto" w:sz="4" w:space="0"/>
            </w:tcBorders>
            <w:vAlign w:val="center"/>
          </w:tcPr>
          <w:p w14:paraId="1C9ABF88">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投标</w:t>
            </w:r>
          </w:p>
          <w:p w14:paraId="23AC2E9F">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有效期</w:t>
            </w:r>
          </w:p>
        </w:tc>
        <w:tc>
          <w:tcPr>
            <w:tcW w:w="3270" w:type="pct"/>
            <w:tcBorders>
              <w:top w:val="single" w:color="auto" w:sz="4" w:space="0"/>
              <w:left w:val="single" w:color="auto" w:sz="4" w:space="0"/>
              <w:bottom w:val="single" w:color="auto" w:sz="4" w:space="0"/>
            </w:tcBorders>
            <w:vAlign w:val="center"/>
          </w:tcPr>
          <w:p w14:paraId="4C8D86D1">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符合第二章“投标人须知”第 3.3.1 项规定；</w:t>
            </w:r>
          </w:p>
        </w:tc>
      </w:tr>
      <w:tr w14:paraId="051E285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jc w:val="center"/>
        </w:trPr>
        <w:tc>
          <w:tcPr>
            <w:tcW w:w="456" w:type="pct"/>
            <w:vMerge w:val="continue"/>
            <w:tcBorders>
              <w:right w:val="single" w:color="auto" w:sz="4" w:space="0"/>
            </w:tcBorders>
            <w:vAlign w:val="center"/>
          </w:tcPr>
          <w:p w14:paraId="1B5AD194">
            <w:pPr>
              <w:spacing w:line="360" w:lineRule="auto"/>
              <w:jc w:val="center"/>
              <w:rPr>
                <w:rFonts w:cs="宋体" w:asciiTheme="minorEastAsia" w:hAnsiTheme="minorEastAsia" w:eastAsiaTheme="minorEastAsia"/>
                <w:szCs w:val="21"/>
              </w:rPr>
            </w:pPr>
          </w:p>
        </w:tc>
        <w:tc>
          <w:tcPr>
            <w:tcW w:w="554" w:type="pct"/>
            <w:vMerge w:val="continue"/>
            <w:tcBorders>
              <w:left w:val="single" w:color="auto" w:sz="4" w:space="0"/>
              <w:right w:val="single" w:color="auto" w:sz="4" w:space="0"/>
            </w:tcBorders>
            <w:vAlign w:val="center"/>
          </w:tcPr>
          <w:p w14:paraId="7352DA55">
            <w:pPr>
              <w:spacing w:line="360" w:lineRule="auto"/>
              <w:jc w:val="center"/>
              <w:rPr>
                <w:rFonts w:cs="宋体" w:asciiTheme="minorEastAsia" w:hAnsiTheme="minorEastAsia" w:eastAsiaTheme="minorEastAsia"/>
                <w:szCs w:val="21"/>
              </w:rPr>
            </w:pPr>
          </w:p>
        </w:tc>
        <w:tc>
          <w:tcPr>
            <w:tcW w:w="718" w:type="pct"/>
            <w:tcBorders>
              <w:top w:val="single" w:color="auto" w:sz="4" w:space="0"/>
              <w:left w:val="single" w:color="auto" w:sz="4" w:space="0"/>
              <w:right w:val="single" w:color="auto" w:sz="4" w:space="0"/>
            </w:tcBorders>
            <w:vAlign w:val="center"/>
          </w:tcPr>
          <w:p w14:paraId="49FE06DB">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串通投</w:t>
            </w:r>
          </w:p>
          <w:p w14:paraId="5EAE9BB7">
            <w:pPr>
              <w:spacing w:line="360" w:lineRule="auto"/>
              <w:jc w:val="center"/>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rPr>
              <w:t>标情形</w:t>
            </w:r>
          </w:p>
        </w:tc>
        <w:tc>
          <w:tcPr>
            <w:tcW w:w="3270" w:type="pct"/>
            <w:tcBorders>
              <w:top w:val="single" w:color="auto" w:sz="4" w:space="0"/>
              <w:left w:val="single" w:color="auto" w:sz="4" w:space="0"/>
              <w:bottom w:val="single" w:color="auto" w:sz="4" w:space="0"/>
            </w:tcBorders>
            <w:vAlign w:val="top"/>
          </w:tcPr>
          <w:p w14:paraId="6C8A6F86">
            <w:pPr>
              <w:spacing w:line="360" w:lineRule="auto"/>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rPr>
              <w:t>不存在串通投标情形（串通投标情形以《中华人民共和国招标投标法实施条例》的规定为准）。</w:t>
            </w:r>
          </w:p>
        </w:tc>
      </w:tr>
      <w:tr w14:paraId="381C1F3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1011" w:type="pct"/>
            <w:gridSpan w:val="2"/>
            <w:tcBorders>
              <w:top w:val="single" w:color="auto" w:sz="4" w:space="0"/>
              <w:bottom w:val="single" w:color="auto" w:sz="4" w:space="0"/>
              <w:right w:val="single" w:color="auto" w:sz="4" w:space="0"/>
            </w:tcBorders>
            <w:vAlign w:val="center"/>
          </w:tcPr>
          <w:p w14:paraId="5179E452">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条款号</w:t>
            </w:r>
          </w:p>
        </w:tc>
        <w:tc>
          <w:tcPr>
            <w:tcW w:w="718" w:type="pct"/>
            <w:tcBorders>
              <w:top w:val="single" w:color="auto" w:sz="4" w:space="0"/>
              <w:left w:val="single" w:color="auto" w:sz="4" w:space="0"/>
              <w:bottom w:val="single" w:color="auto" w:sz="4" w:space="0"/>
              <w:right w:val="single" w:color="auto" w:sz="4" w:space="0"/>
            </w:tcBorders>
            <w:vAlign w:val="center"/>
          </w:tcPr>
          <w:p w14:paraId="7D33E8A9">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条款内容</w:t>
            </w:r>
          </w:p>
        </w:tc>
        <w:tc>
          <w:tcPr>
            <w:tcW w:w="3270" w:type="pct"/>
            <w:tcBorders>
              <w:top w:val="single" w:color="auto" w:sz="4" w:space="0"/>
              <w:left w:val="single" w:color="auto" w:sz="4" w:space="0"/>
              <w:bottom w:val="single" w:color="auto" w:sz="4" w:space="0"/>
              <w:right w:val="single" w:color="auto" w:sz="4" w:space="0"/>
            </w:tcBorders>
            <w:vAlign w:val="center"/>
          </w:tcPr>
          <w:p w14:paraId="75E5BC40">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编列内容</w:t>
            </w:r>
          </w:p>
        </w:tc>
      </w:tr>
      <w:tr w14:paraId="52456D3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1" w:hRule="atLeast"/>
          <w:jc w:val="center"/>
        </w:trPr>
        <w:tc>
          <w:tcPr>
            <w:tcW w:w="1011" w:type="pct"/>
            <w:gridSpan w:val="2"/>
            <w:tcBorders>
              <w:bottom w:val="single" w:color="auto" w:sz="4" w:space="0"/>
              <w:right w:val="single" w:color="auto" w:sz="4" w:space="0"/>
            </w:tcBorders>
            <w:vAlign w:val="center"/>
          </w:tcPr>
          <w:p w14:paraId="7188E22E">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2.2.1</w:t>
            </w:r>
          </w:p>
        </w:tc>
        <w:tc>
          <w:tcPr>
            <w:tcW w:w="718" w:type="pct"/>
            <w:tcBorders>
              <w:top w:val="single" w:color="auto" w:sz="4" w:space="0"/>
              <w:left w:val="single" w:color="auto" w:sz="4" w:space="0"/>
              <w:bottom w:val="single" w:color="auto" w:sz="4" w:space="0"/>
              <w:right w:val="single" w:color="auto" w:sz="4" w:space="0"/>
            </w:tcBorders>
            <w:vAlign w:val="center"/>
          </w:tcPr>
          <w:p w14:paraId="15F23B64">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分值构成</w:t>
            </w:r>
          </w:p>
          <w:p w14:paraId="084C05C6">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(总分</w:t>
            </w:r>
          </w:p>
          <w:p w14:paraId="6C238BA7">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100分)</w:t>
            </w:r>
          </w:p>
        </w:tc>
        <w:tc>
          <w:tcPr>
            <w:tcW w:w="3270" w:type="pct"/>
            <w:tcBorders>
              <w:top w:val="single" w:color="auto" w:sz="4" w:space="0"/>
              <w:left w:val="single" w:color="auto" w:sz="4" w:space="0"/>
              <w:bottom w:val="single" w:color="auto" w:sz="4" w:space="0"/>
              <w:right w:val="single" w:color="auto" w:sz="4" w:space="0"/>
            </w:tcBorders>
            <w:vAlign w:val="center"/>
          </w:tcPr>
          <w:p w14:paraId="201E7D12">
            <w:pPr>
              <w:spacing w:line="360" w:lineRule="auto"/>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A.资信业绩部分</w:t>
            </w:r>
            <w:r>
              <w:rPr>
                <w:rFonts w:hint="eastAsia" w:cs="宋体" w:asciiTheme="minorEastAsia" w:hAnsiTheme="minorEastAsia" w:eastAsiaTheme="minorEastAsia"/>
                <w:b/>
                <w:bCs/>
                <w:color w:val="auto"/>
                <w:szCs w:val="21"/>
                <w:lang w:val="en-US" w:eastAsia="zh-CN"/>
              </w:rPr>
              <w:t xml:space="preserve"> 60 </w:t>
            </w:r>
            <w:r>
              <w:rPr>
                <w:rFonts w:hint="eastAsia" w:cs="宋体" w:asciiTheme="minorEastAsia" w:hAnsiTheme="minorEastAsia" w:eastAsiaTheme="minorEastAsia"/>
                <w:b/>
                <w:bCs/>
                <w:color w:val="auto"/>
                <w:szCs w:val="21"/>
              </w:rPr>
              <w:t>分</w:t>
            </w:r>
          </w:p>
          <w:p w14:paraId="43984E61">
            <w:pPr>
              <w:spacing w:line="360" w:lineRule="auto"/>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B.</w:t>
            </w:r>
            <w:r>
              <w:rPr>
                <w:rFonts w:hint="eastAsia" w:cs="宋体" w:asciiTheme="minorEastAsia" w:hAnsiTheme="minorEastAsia" w:eastAsiaTheme="minorEastAsia"/>
                <w:b/>
                <w:bCs/>
                <w:color w:val="auto"/>
                <w:szCs w:val="21"/>
                <w:lang w:val="en-US" w:eastAsia="zh-CN"/>
              </w:rPr>
              <w:t>检测监测技术</w:t>
            </w:r>
            <w:r>
              <w:rPr>
                <w:rFonts w:hint="eastAsia" w:cs="宋体" w:asciiTheme="minorEastAsia" w:hAnsiTheme="minorEastAsia" w:eastAsiaTheme="minorEastAsia"/>
                <w:b/>
                <w:bCs/>
                <w:color w:val="auto"/>
                <w:szCs w:val="21"/>
              </w:rPr>
              <w:t>部分</w:t>
            </w:r>
            <w:r>
              <w:rPr>
                <w:rFonts w:hint="eastAsia" w:cs="宋体" w:asciiTheme="minorEastAsia" w:hAnsiTheme="minorEastAsia" w:eastAsiaTheme="minorEastAsia"/>
                <w:b/>
                <w:bCs/>
                <w:color w:val="auto"/>
                <w:szCs w:val="21"/>
                <w:lang w:val="en-US" w:eastAsia="zh-CN"/>
              </w:rPr>
              <w:t xml:space="preserve"> 20 </w:t>
            </w:r>
            <w:r>
              <w:rPr>
                <w:rFonts w:hint="eastAsia" w:cs="宋体" w:asciiTheme="minorEastAsia" w:hAnsiTheme="minorEastAsia" w:eastAsiaTheme="minorEastAsia"/>
                <w:b/>
                <w:bCs/>
                <w:color w:val="auto"/>
                <w:szCs w:val="21"/>
              </w:rPr>
              <w:t>分</w:t>
            </w:r>
          </w:p>
          <w:p w14:paraId="18E39027">
            <w:pPr>
              <w:spacing w:line="360" w:lineRule="auto"/>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C.投标报价</w:t>
            </w:r>
            <w:r>
              <w:rPr>
                <w:rFonts w:hint="eastAsia" w:cs="宋体" w:asciiTheme="minorEastAsia" w:hAnsiTheme="minorEastAsia" w:eastAsiaTheme="minorEastAsia"/>
                <w:b/>
                <w:bCs/>
                <w:color w:val="auto"/>
                <w:szCs w:val="21"/>
                <w:lang w:val="en-US" w:eastAsia="zh-CN"/>
              </w:rPr>
              <w:t xml:space="preserve"> 20</w:t>
            </w:r>
            <w:r>
              <w:rPr>
                <w:rFonts w:hint="eastAsia" w:cs="宋体" w:asciiTheme="minorEastAsia" w:hAnsiTheme="minorEastAsia" w:eastAsiaTheme="minorEastAsia"/>
                <w:b/>
                <w:bCs/>
                <w:color w:val="auto"/>
                <w:szCs w:val="21"/>
              </w:rPr>
              <w:t>分</w:t>
            </w:r>
          </w:p>
          <w:p w14:paraId="60CAAF2B">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color w:val="auto"/>
                <w:szCs w:val="21"/>
              </w:rPr>
              <w:t>注：1）投标人综合得分为A+B+C的总分（分数出现小数点时，保留小数点后二位，第三位小数四舍五入）；</w:t>
            </w:r>
          </w:p>
        </w:tc>
      </w:tr>
      <w:tr w14:paraId="475177F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1" w:hRule="atLeast"/>
          <w:jc w:val="center"/>
        </w:trPr>
        <w:tc>
          <w:tcPr>
            <w:tcW w:w="1011" w:type="pct"/>
            <w:gridSpan w:val="2"/>
            <w:tcBorders>
              <w:top w:val="single" w:color="auto" w:sz="4" w:space="0"/>
              <w:bottom w:val="single" w:color="auto" w:sz="4" w:space="0"/>
              <w:right w:val="single" w:color="auto" w:sz="4" w:space="0"/>
            </w:tcBorders>
            <w:vAlign w:val="center"/>
          </w:tcPr>
          <w:p w14:paraId="260BA378">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2.2.2</w:t>
            </w:r>
          </w:p>
        </w:tc>
        <w:tc>
          <w:tcPr>
            <w:tcW w:w="718" w:type="pct"/>
            <w:tcBorders>
              <w:top w:val="single" w:color="auto" w:sz="4" w:space="0"/>
              <w:left w:val="single" w:color="auto" w:sz="4" w:space="0"/>
              <w:bottom w:val="single" w:color="auto" w:sz="4" w:space="0"/>
              <w:right w:val="single" w:color="auto" w:sz="4" w:space="0"/>
            </w:tcBorders>
            <w:vAlign w:val="center"/>
          </w:tcPr>
          <w:p w14:paraId="575453EB">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评标基准价计算方法</w:t>
            </w:r>
          </w:p>
        </w:tc>
        <w:tc>
          <w:tcPr>
            <w:tcW w:w="3270" w:type="pct"/>
            <w:tcBorders>
              <w:top w:val="single" w:color="auto" w:sz="4" w:space="0"/>
              <w:left w:val="single" w:color="auto" w:sz="4" w:space="0"/>
              <w:bottom w:val="single" w:color="auto" w:sz="4" w:space="0"/>
              <w:right w:val="single" w:color="auto" w:sz="4" w:space="0"/>
            </w:tcBorders>
            <w:vAlign w:val="center"/>
          </w:tcPr>
          <w:p w14:paraId="566587D8">
            <w:pPr>
              <w:pStyle w:val="23"/>
              <w:spacing w:line="360" w:lineRule="auto"/>
              <w:ind w:firstLine="420" w:firstLineChars="200"/>
            </w:pPr>
            <w:r>
              <w:rPr>
                <w:rFonts w:hint="eastAsia" w:cs="宋体" w:asciiTheme="minorEastAsia" w:hAnsiTheme="minorEastAsia" w:eastAsiaTheme="minorEastAsia"/>
                <w:color w:val="auto"/>
                <w:kern w:val="2"/>
                <w:sz w:val="21"/>
                <w:szCs w:val="21"/>
                <w:lang w:val="en-US" w:eastAsia="zh-CN" w:bidi="ar-SA"/>
              </w:rPr>
              <w:t>①若通过资格审查及有效性审查且投标报价在位于[最高投标限价×90%，最高投标限价]区间的有效投标人大于或等于5名时，去掉一个最高价和一个最低价，取余下有效投标报价的算术平均值作为评标参考价。②若通过资格审查及有效性审查且投标报价在位于[最高投标限价×90%，最高投标限价]区间的有效投标人小于5名时，取所有入围的有效投标报价的算术平均值作为评标参考价。③若通过资格审查及有效性审查且投标报价在位于[最高投标限价×90%，最高投标限价]区间的有效投标人为零时,所有投标人的报价得分为0分。（四舍五入保留小数点后两位）。</w:t>
            </w:r>
          </w:p>
        </w:tc>
      </w:tr>
      <w:tr w14:paraId="42F83E1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3" w:hRule="atLeast"/>
          <w:jc w:val="center"/>
        </w:trPr>
        <w:tc>
          <w:tcPr>
            <w:tcW w:w="1011" w:type="pct"/>
            <w:gridSpan w:val="2"/>
            <w:tcBorders>
              <w:top w:val="single" w:color="auto" w:sz="4" w:space="0"/>
              <w:bottom w:val="single" w:color="auto" w:sz="4" w:space="0"/>
              <w:right w:val="single" w:color="auto" w:sz="4" w:space="0"/>
            </w:tcBorders>
            <w:vAlign w:val="center"/>
          </w:tcPr>
          <w:p w14:paraId="444121FC">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2.2.3</w:t>
            </w:r>
          </w:p>
        </w:tc>
        <w:tc>
          <w:tcPr>
            <w:tcW w:w="718" w:type="pct"/>
            <w:tcBorders>
              <w:top w:val="single" w:color="auto" w:sz="4" w:space="0"/>
              <w:left w:val="single" w:color="auto" w:sz="4" w:space="0"/>
              <w:right w:val="single" w:color="auto" w:sz="4" w:space="0"/>
            </w:tcBorders>
            <w:vAlign w:val="center"/>
          </w:tcPr>
          <w:p w14:paraId="58C759B1">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投标报价的偏差率</w:t>
            </w:r>
          </w:p>
          <w:p w14:paraId="27CAA70F">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计算公式</w:t>
            </w:r>
          </w:p>
        </w:tc>
        <w:tc>
          <w:tcPr>
            <w:tcW w:w="3270" w:type="pct"/>
            <w:tcBorders>
              <w:top w:val="single" w:color="auto" w:sz="4" w:space="0"/>
              <w:left w:val="single" w:color="auto" w:sz="4" w:space="0"/>
              <w:right w:val="single" w:color="auto" w:sz="4" w:space="0"/>
            </w:tcBorders>
            <w:vAlign w:val="center"/>
          </w:tcPr>
          <w:p w14:paraId="57A70EA8">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投标报价的偏差率=（有效投标报价-评标基准价）/评标基准价×100%（偏差率出现小数点时，保留小数点后2位，第三位小数四舍五入，</w:t>
            </w:r>
            <w:r>
              <w:rPr>
                <w:rFonts w:hint="eastAsia" w:cs="楷体" w:asciiTheme="minorEastAsia" w:hAnsiTheme="minorEastAsia" w:eastAsiaTheme="minorEastAsia"/>
                <w:kern w:val="0"/>
                <w:szCs w:val="21"/>
                <w:u w:val="single"/>
              </w:rPr>
              <w:t>报价偏差率不足1%的，按直线内插法计算投标报价得分</w:t>
            </w:r>
            <w:r>
              <w:rPr>
                <w:rFonts w:hint="eastAsia" w:cs="宋体" w:asciiTheme="minorEastAsia" w:hAnsiTheme="minorEastAsia" w:eastAsiaTheme="minorEastAsia"/>
                <w:szCs w:val="21"/>
              </w:rPr>
              <w:t>。）</w:t>
            </w:r>
          </w:p>
        </w:tc>
      </w:tr>
      <w:tr w14:paraId="6CC6CA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85" w:hRule="atLeast"/>
          <w:jc w:val="center"/>
        </w:trPr>
        <w:tc>
          <w:tcPr>
            <w:tcW w:w="1011" w:type="pct"/>
            <w:gridSpan w:val="2"/>
            <w:shd w:val="clear" w:color="auto" w:fill="FFFFFF"/>
            <w:tcMar>
              <w:top w:w="0" w:type="dxa"/>
              <w:left w:w="108" w:type="dxa"/>
              <w:bottom w:w="0" w:type="dxa"/>
              <w:right w:w="108" w:type="dxa"/>
            </w:tcMar>
            <w:vAlign w:val="center"/>
          </w:tcPr>
          <w:p w14:paraId="3F7A580D">
            <w:pPr>
              <w:spacing w:line="360" w:lineRule="auto"/>
              <w:jc w:val="center"/>
              <w:rPr>
                <w:rFonts w:cs="宋体" w:asciiTheme="minorEastAsia" w:hAnsiTheme="minorEastAsia" w:eastAsiaTheme="minorEastAsia"/>
                <w:b/>
                <w:bCs/>
                <w:szCs w:val="21"/>
              </w:rPr>
            </w:pPr>
            <w:r>
              <w:rPr>
                <w:rFonts w:hint="eastAsia" w:ascii="宋体" w:hAnsi="宋体" w:eastAsia="宋体" w:cs="宋体"/>
                <w:b/>
                <w:bCs/>
                <w:szCs w:val="21"/>
              </w:rPr>
              <w:t>综合评分条款号</w:t>
            </w:r>
          </w:p>
        </w:tc>
        <w:tc>
          <w:tcPr>
            <w:tcW w:w="718" w:type="pct"/>
            <w:shd w:val="clear" w:color="auto" w:fill="FFFFFF"/>
            <w:tcMar>
              <w:top w:w="0" w:type="dxa"/>
              <w:left w:w="108" w:type="dxa"/>
              <w:bottom w:w="0" w:type="dxa"/>
              <w:right w:w="108" w:type="dxa"/>
            </w:tcMar>
            <w:vAlign w:val="center"/>
          </w:tcPr>
          <w:p w14:paraId="501B2AB3">
            <w:pPr>
              <w:spacing w:line="360" w:lineRule="auto"/>
              <w:jc w:val="center"/>
              <w:rPr>
                <w:rFonts w:cs="宋体" w:asciiTheme="minorEastAsia" w:hAnsiTheme="minorEastAsia" w:eastAsiaTheme="minorEastAsia"/>
                <w:szCs w:val="21"/>
              </w:rPr>
            </w:pPr>
            <w:r>
              <w:rPr>
                <w:rFonts w:hint="eastAsia" w:ascii="宋体" w:hAnsi="宋体" w:eastAsia="宋体" w:cs="宋体"/>
                <w:b/>
                <w:bCs/>
                <w:szCs w:val="21"/>
              </w:rPr>
              <w:t>评分因素（偏差率）</w:t>
            </w:r>
          </w:p>
        </w:tc>
        <w:tc>
          <w:tcPr>
            <w:tcW w:w="3270" w:type="pct"/>
            <w:shd w:val="clear" w:color="auto" w:fill="FFFFFF"/>
            <w:tcMar>
              <w:top w:w="0" w:type="dxa"/>
              <w:left w:w="108" w:type="dxa"/>
              <w:bottom w:w="0" w:type="dxa"/>
              <w:right w:w="108" w:type="dxa"/>
            </w:tcMar>
            <w:vAlign w:val="center"/>
          </w:tcPr>
          <w:p w14:paraId="6AB1BFE1">
            <w:pPr>
              <w:spacing w:line="360" w:lineRule="auto"/>
              <w:jc w:val="center"/>
              <w:rPr>
                <w:rFonts w:cs="宋体" w:asciiTheme="minorEastAsia" w:hAnsiTheme="minorEastAsia" w:eastAsiaTheme="minorEastAsia"/>
                <w:szCs w:val="21"/>
              </w:rPr>
            </w:pPr>
            <w:r>
              <w:rPr>
                <w:rFonts w:hint="eastAsia" w:ascii="宋体" w:hAnsi="宋体" w:eastAsia="宋体" w:cs="宋体"/>
                <w:b/>
                <w:bCs/>
                <w:szCs w:val="21"/>
              </w:rPr>
              <w:t>评分标准</w:t>
            </w:r>
          </w:p>
        </w:tc>
      </w:tr>
      <w:tr w14:paraId="76A59E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59" w:hRule="atLeast"/>
          <w:jc w:val="center"/>
        </w:trPr>
        <w:tc>
          <w:tcPr>
            <w:tcW w:w="456" w:type="pct"/>
            <w:vMerge w:val="restart"/>
            <w:shd w:val="clear" w:color="auto" w:fill="FFFFFF"/>
            <w:vAlign w:val="center"/>
          </w:tcPr>
          <w:p w14:paraId="00769851">
            <w:pPr>
              <w:spacing w:line="360" w:lineRule="auto"/>
              <w:jc w:val="center"/>
              <w:rPr>
                <w:rFonts w:cs="宋体" w:asciiTheme="minorEastAsia" w:hAnsiTheme="minorEastAsia" w:eastAsiaTheme="minorEastAsia"/>
                <w:szCs w:val="21"/>
              </w:rPr>
            </w:pPr>
            <w:r>
              <w:rPr>
                <w:rFonts w:hint="default" w:ascii="Times New Roman" w:hAnsi="Times New Roman" w:eastAsia="宋体" w:cs="Times New Roman"/>
                <w:szCs w:val="21"/>
              </w:rPr>
              <w:t>2.2.4（1）</w:t>
            </w:r>
          </w:p>
        </w:tc>
        <w:tc>
          <w:tcPr>
            <w:tcW w:w="554" w:type="pct"/>
            <w:vMerge w:val="restart"/>
            <w:shd w:val="clear" w:color="auto" w:fill="FFFFFF"/>
            <w:vAlign w:val="center"/>
          </w:tcPr>
          <w:p w14:paraId="4A049B9D">
            <w:pPr>
              <w:spacing w:line="360" w:lineRule="auto"/>
              <w:jc w:val="center"/>
              <w:rPr>
                <w:rFonts w:ascii="Times New Roman" w:hAnsi="Times New Roman" w:eastAsia="宋体" w:cs="Times New Roman"/>
                <w:color w:val="auto"/>
                <w:szCs w:val="21"/>
              </w:rPr>
            </w:pPr>
            <w:r>
              <w:rPr>
                <w:rFonts w:hint="default" w:ascii="Times New Roman" w:hAnsi="Times New Roman" w:eastAsia="宋体" w:cs="Times New Roman"/>
                <w:color w:val="auto"/>
                <w:szCs w:val="21"/>
              </w:rPr>
              <w:t>资信业绩评分标准</w:t>
            </w:r>
          </w:p>
          <w:p w14:paraId="7BB32720">
            <w:pPr>
              <w:spacing w:line="360" w:lineRule="auto"/>
              <w:jc w:val="center"/>
              <w:rPr>
                <w:rFonts w:cs="宋体" w:asciiTheme="minorEastAsia" w:hAnsiTheme="minorEastAsia" w:eastAsiaTheme="minorEastAsia"/>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 xml:space="preserve"> </w:t>
            </w:r>
            <w:r>
              <w:rPr>
                <w:rFonts w:hint="eastAsia" w:cs="Times New Roman"/>
                <w:color w:val="auto"/>
                <w:szCs w:val="21"/>
                <w:lang w:val="en-US" w:eastAsia="zh-CN"/>
              </w:rPr>
              <w:t>6</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分</w:t>
            </w:r>
            <w:r>
              <w:rPr>
                <w:rFonts w:hint="default" w:ascii="Times New Roman" w:hAnsi="Times New Roman" w:eastAsia="宋体" w:cs="Times New Roman"/>
                <w:szCs w:val="21"/>
              </w:rPr>
              <w:t>）</w:t>
            </w:r>
          </w:p>
        </w:tc>
        <w:tc>
          <w:tcPr>
            <w:tcW w:w="718" w:type="pct"/>
            <w:shd w:val="clear" w:color="auto" w:fill="FFFFFF"/>
            <w:tcMar>
              <w:top w:w="0" w:type="dxa"/>
              <w:left w:w="108" w:type="dxa"/>
              <w:bottom w:w="0" w:type="dxa"/>
              <w:right w:w="108" w:type="dxa"/>
            </w:tcMar>
            <w:vAlign w:val="center"/>
          </w:tcPr>
          <w:p w14:paraId="4BAB7546">
            <w:pPr>
              <w:widowControl/>
              <w:spacing w:before="100" w:beforeAutospacing="1" w:after="100" w:afterAutospacing="1" w:line="360" w:lineRule="auto"/>
              <w:contextualSpacing/>
              <w:jc w:val="center"/>
              <w:rPr>
                <w:rFonts w:hint="default" w:ascii="Times New Roman" w:hAnsi="Times New Roman" w:cs="Times New Roman"/>
                <w:color w:val="auto"/>
                <w:szCs w:val="21"/>
              </w:rPr>
            </w:pPr>
            <w:r>
              <w:rPr>
                <w:rFonts w:hint="default" w:ascii="Times New Roman" w:hAnsi="Times New Roman" w:cs="Times New Roman"/>
                <w:color w:val="auto"/>
                <w:szCs w:val="21"/>
              </w:rPr>
              <w:t>投标人业绩</w:t>
            </w:r>
          </w:p>
          <w:p w14:paraId="31267D88">
            <w:pPr>
              <w:widowControl/>
              <w:spacing w:before="100" w:beforeAutospacing="1" w:after="100" w:afterAutospacing="1" w:line="360" w:lineRule="auto"/>
              <w:contextualSpacing/>
              <w:jc w:val="center"/>
              <w:rPr>
                <w:rFonts w:ascii="Times New Roman" w:hAnsi="Times New Roman" w:eastAsia="宋体" w:cs="Times New Roman"/>
                <w:kern w:val="2"/>
                <w:sz w:val="21"/>
                <w:szCs w:val="21"/>
                <w:lang w:val="en-US" w:eastAsia="zh-CN" w:bidi="ar-SA"/>
              </w:rPr>
            </w:pPr>
            <w:r>
              <w:rPr>
                <w:rFonts w:hint="default" w:ascii="Times New Roman" w:hAnsi="Times New Roman" w:cs="Times New Roman"/>
                <w:color w:val="auto"/>
                <w:szCs w:val="21"/>
              </w:rPr>
              <w:t>（</w:t>
            </w:r>
            <w:r>
              <w:rPr>
                <w:rFonts w:hint="eastAsia" w:cs="Times New Roman"/>
                <w:color w:val="auto"/>
                <w:szCs w:val="21"/>
                <w:lang w:val="en-US" w:eastAsia="zh-CN"/>
              </w:rPr>
              <w:t>18</w:t>
            </w:r>
            <w:r>
              <w:rPr>
                <w:rFonts w:hint="default" w:ascii="Times New Roman" w:hAnsi="Times New Roman" w:cs="Times New Roman"/>
                <w:color w:val="auto"/>
                <w:szCs w:val="21"/>
              </w:rPr>
              <w:t>分）</w:t>
            </w:r>
          </w:p>
        </w:tc>
        <w:tc>
          <w:tcPr>
            <w:tcW w:w="3270" w:type="pct"/>
            <w:shd w:val="clear" w:color="auto" w:fill="FFFFFF"/>
            <w:tcMar>
              <w:top w:w="0" w:type="dxa"/>
              <w:left w:w="108" w:type="dxa"/>
              <w:bottom w:w="0" w:type="dxa"/>
              <w:right w:w="108" w:type="dxa"/>
            </w:tcMar>
            <w:vAlign w:val="center"/>
          </w:tcPr>
          <w:p w14:paraId="1A560420">
            <w:pPr>
              <w:pStyle w:val="23"/>
              <w:spacing w:line="360" w:lineRule="auto"/>
              <w:ind w:left="0" w:leftChars="0" w:firstLine="0" w:firstLineChars="0"/>
              <w:rPr>
                <w:rFonts w:ascii="宋体" w:hAnsi="宋体" w:eastAsia="宋体" w:cs="Times New Roman"/>
                <w:b/>
                <w:color w:val="auto"/>
                <w:kern w:val="2"/>
                <w:sz w:val="21"/>
                <w:szCs w:val="21"/>
                <w:lang w:val="en-GB" w:eastAsia="zh-CN" w:bidi="ar-SA"/>
              </w:rPr>
            </w:pPr>
            <w:r>
              <w:rPr>
                <w:rFonts w:hint="default" w:ascii="Times New Roman" w:hAnsi="Times New Roman" w:cs="Times New Roman"/>
                <w:color w:val="auto"/>
                <w:kern w:val="2"/>
                <w:sz w:val="21"/>
                <w:szCs w:val="21"/>
              </w:rPr>
              <w:t>投标人自2020年1月1日至投标截止日止，承接单个合同金额</w:t>
            </w:r>
            <w:r>
              <w:rPr>
                <w:rFonts w:hint="default" w:ascii="Times New Roman" w:hAnsi="Times New Roman" w:cs="Times New Roman"/>
                <w:color w:val="auto"/>
                <w:kern w:val="2"/>
                <w:sz w:val="21"/>
                <w:szCs w:val="21"/>
                <w:highlight w:val="none"/>
              </w:rPr>
              <w:t>大于或等于</w:t>
            </w:r>
            <w:r>
              <w:rPr>
                <w:rFonts w:hint="default" w:ascii="Times New Roman" w:hAnsi="Times New Roman" w:eastAsia="宋体" w:cs="Times New Roman"/>
                <w:color w:val="auto"/>
                <w:kern w:val="2"/>
                <w:sz w:val="21"/>
                <w:szCs w:val="21"/>
                <w:lang w:eastAsia="zh-CN"/>
              </w:rPr>
              <w:t>1</w:t>
            </w:r>
            <w:r>
              <w:rPr>
                <w:rFonts w:hint="default" w:ascii="Times New Roman" w:hAnsi="Times New Roman" w:cs="Times New Roman"/>
                <w:color w:val="auto"/>
                <w:kern w:val="2"/>
                <w:sz w:val="21"/>
                <w:szCs w:val="21"/>
                <w:highlight w:val="none"/>
              </w:rPr>
              <w:t>00万元的</w:t>
            </w:r>
            <w:r>
              <w:rPr>
                <w:rFonts w:hint="eastAsia" w:ascii="Times New Roman" w:hAnsi="Times New Roman" w:cs="Times New Roman"/>
                <w:color w:val="auto"/>
                <w:kern w:val="2"/>
                <w:sz w:val="21"/>
                <w:szCs w:val="21"/>
                <w:highlight w:val="none"/>
                <w:lang w:val="en-US" w:eastAsia="zh-CN"/>
              </w:rPr>
              <w:t>类似水务</w:t>
            </w:r>
            <w:r>
              <w:rPr>
                <w:rFonts w:hint="default" w:ascii="Times New Roman" w:hAnsi="Times New Roman" w:cs="Times New Roman"/>
                <w:color w:val="auto"/>
                <w:kern w:val="2"/>
                <w:sz w:val="21"/>
                <w:szCs w:val="21"/>
                <w:highlight w:val="none"/>
              </w:rPr>
              <w:t>工程检测业绩</w:t>
            </w:r>
            <w:r>
              <w:rPr>
                <w:rFonts w:hint="default" w:ascii="Times New Roman" w:hAnsi="Times New Roman" w:cs="Times New Roman"/>
                <w:color w:val="auto"/>
                <w:kern w:val="2"/>
                <w:sz w:val="21"/>
                <w:szCs w:val="21"/>
              </w:rPr>
              <w:t>，每</w:t>
            </w:r>
            <w:r>
              <w:rPr>
                <w:rFonts w:hint="eastAsia" w:ascii="Times New Roman" w:hAnsi="Times New Roman" w:cs="Times New Roman"/>
                <w:color w:val="auto"/>
                <w:kern w:val="2"/>
                <w:sz w:val="21"/>
                <w:szCs w:val="21"/>
                <w:lang w:val="en-US" w:eastAsia="zh-CN"/>
              </w:rPr>
              <w:t>提供一</w:t>
            </w:r>
            <w:r>
              <w:rPr>
                <w:rFonts w:hint="default" w:ascii="Times New Roman" w:hAnsi="Times New Roman" w:cs="Times New Roman"/>
                <w:color w:val="auto"/>
                <w:kern w:val="2"/>
                <w:sz w:val="21"/>
                <w:szCs w:val="21"/>
              </w:rPr>
              <w:t>项得1</w:t>
            </w:r>
            <w:r>
              <w:rPr>
                <w:rFonts w:hint="eastAsia" w:ascii="Times New Roman" w:hAnsi="Times New Roman" w:cs="Times New Roman"/>
                <w:color w:val="auto"/>
                <w:kern w:val="2"/>
                <w:sz w:val="21"/>
                <w:szCs w:val="21"/>
                <w:lang w:val="en-US" w:eastAsia="zh-CN"/>
              </w:rPr>
              <w:t>.5</w:t>
            </w:r>
            <w:r>
              <w:rPr>
                <w:rFonts w:hint="default" w:ascii="Times New Roman" w:hAnsi="Times New Roman" w:cs="Times New Roman"/>
                <w:color w:val="auto"/>
                <w:kern w:val="2"/>
                <w:sz w:val="21"/>
                <w:szCs w:val="21"/>
              </w:rPr>
              <w:t>分，本项最高得</w:t>
            </w:r>
            <w:r>
              <w:rPr>
                <w:rFonts w:hint="eastAsia" w:ascii="Times New Roman" w:hAnsi="Times New Roman" w:cs="Times New Roman"/>
                <w:color w:val="auto"/>
                <w:kern w:val="2"/>
                <w:sz w:val="21"/>
                <w:szCs w:val="21"/>
                <w:highlight w:val="none"/>
                <w:lang w:val="en-US" w:eastAsia="zh-CN"/>
              </w:rPr>
              <w:t>18</w:t>
            </w:r>
            <w:r>
              <w:rPr>
                <w:rFonts w:hint="default" w:ascii="Times New Roman" w:hAnsi="Times New Roman" w:cs="Times New Roman"/>
                <w:color w:val="auto"/>
                <w:kern w:val="2"/>
                <w:sz w:val="21"/>
                <w:szCs w:val="21"/>
                <w:highlight w:val="none"/>
              </w:rPr>
              <w:t>分</w:t>
            </w:r>
            <w:r>
              <w:rPr>
                <w:rFonts w:hint="default" w:ascii="Times New Roman" w:hAnsi="Times New Roman" w:cs="Times New Roman"/>
                <w:color w:val="auto"/>
                <w:kern w:val="2"/>
                <w:sz w:val="21"/>
                <w:szCs w:val="21"/>
              </w:rPr>
              <w:t>。（注：①需同时提供中标通知书</w:t>
            </w:r>
            <w:r>
              <w:rPr>
                <w:rFonts w:hint="eastAsia" w:ascii="Times New Roman" w:hAnsi="Times New Roman" w:cs="Times New Roman"/>
                <w:color w:val="auto"/>
                <w:kern w:val="2"/>
                <w:sz w:val="21"/>
                <w:szCs w:val="21"/>
                <w:lang w:val="en-US" w:eastAsia="zh-CN"/>
              </w:rPr>
              <w:t>和</w:t>
            </w:r>
            <w:r>
              <w:rPr>
                <w:rFonts w:hint="default" w:ascii="Times New Roman" w:hAnsi="Times New Roman" w:cs="Times New Roman"/>
                <w:color w:val="auto"/>
                <w:kern w:val="2"/>
                <w:sz w:val="21"/>
                <w:szCs w:val="21"/>
              </w:rPr>
              <w:t>检测合同的复印件，业绩的规模、金额、时间以合同为准，并加盖公章，否则不得分。②类似</w:t>
            </w:r>
            <w:r>
              <w:rPr>
                <w:rFonts w:hint="eastAsia" w:ascii="Times New Roman" w:hAnsi="Times New Roman" w:cs="Times New Roman"/>
                <w:color w:val="auto"/>
                <w:kern w:val="2"/>
                <w:sz w:val="21"/>
                <w:szCs w:val="21"/>
                <w:lang w:val="en-US" w:eastAsia="zh-CN"/>
              </w:rPr>
              <w:t>水务工程</w:t>
            </w:r>
            <w:r>
              <w:rPr>
                <w:rFonts w:hint="default" w:ascii="Times New Roman" w:hAnsi="Times New Roman" w:cs="Times New Roman"/>
                <w:color w:val="auto"/>
                <w:kern w:val="2"/>
                <w:sz w:val="21"/>
                <w:szCs w:val="21"/>
              </w:rPr>
              <w:t>检测业绩：</w:t>
            </w:r>
            <w:r>
              <w:rPr>
                <w:rFonts w:hint="eastAsia" w:ascii="Times New Roman" w:hAnsi="Times New Roman" w:cs="Times New Roman"/>
                <w:color w:val="auto"/>
                <w:kern w:val="2"/>
                <w:sz w:val="21"/>
                <w:szCs w:val="21"/>
                <w:lang w:val="en-US" w:eastAsia="zh-CN"/>
              </w:rPr>
              <w:t>指</w:t>
            </w:r>
            <w:r>
              <w:rPr>
                <w:rFonts w:hint="default" w:ascii="Times New Roman" w:hAnsi="Times New Roman" w:cs="Times New Roman"/>
                <w:color w:val="auto"/>
                <w:kern w:val="2"/>
                <w:sz w:val="21"/>
                <w:szCs w:val="21"/>
              </w:rPr>
              <w:t>包含本项目招标内容中的一项或多项内容的</w:t>
            </w:r>
            <w:r>
              <w:rPr>
                <w:rFonts w:hint="eastAsia" w:ascii="Times New Roman" w:hAnsi="Times New Roman" w:cs="Times New Roman"/>
                <w:color w:val="auto"/>
                <w:kern w:val="2"/>
                <w:sz w:val="21"/>
                <w:szCs w:val="21"/>
                <w:lang w:val="en-US" w:eastAsia="zh-CN"/>
              </w:rPr>
              <w:t>水务</w:t>
            </w:r>
            <w:r>
              <w:rPr>
                <w:rFonts w:hint="default" w:ascii="Times New Roman" w:hAnsi="Times New Roman" w:cs="Times New Roman"/>
                <w:color w:val="auto"/>
                <w:kern w:val="2"/>
                <w:sz w:val="21"/>
                <w:szCs w:val="21"/>
              </w:rPr>
              <w:t>工程检测业绩(水务工程包含</w:t>
            </w:r>
            <w:r>
              <w:rPr>
                <w:rFonts w:hint="eastAsia" w:ascii="Times New Roman" w:hAnsi="Times New Roman" w:cs="Times New Roman"/>
                <w:color w:val="auto"/>
                <w:kern w:val="2"/>
                <w:sz w:val="21"/>
                <w:szCs w:val="21"/>
                <w:lang w:eastAsia="zh-CN"/>
              </w:rPr>
              <w:t>：</w:t>
            </w:r>
            <w:r>
              <w:rPr>
                <w:rFonts w:hint="default" w:ascii="Times New Roman" w:hAnsi="Times New Roman" w:cs="Times New Roman"/>
                <w:color w:val="auto"/>
                <w:kern w:val="2"/>
                <w:sz w:val="21"/>
                <w:szCs w:val="21"/>
              </w:rPr>
              <w:t>雨污分流、单元排水、供水等自来水、给排水项目，不含住建类市政道路及给排水项目)。）</w:t>
            </w:r>
          </w:p>
        </w:tc>
      </w:tr>
      <w:tr w14:paraId="754160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74" w:hRule="atLeast"/>
          <w:jc w:val="center"/>
        </w:trPr>
        <w:tc>
          <w:tcPr>
            <w:tcW w:w="456" w:type="pct"/>
            <w:vMerge w:val="continue"/>
            <w:shd w:val="clear" w:color="auto" w:fill="FFFFFF"/>
            <w:vAlign w:val="center"/>
          </w:tcPr>
          <w:p w14:paraId="1780A69D">
            <w:pPr>
              <w:spacing w:line="360" w:lineRule="auto"/>
              <w:rPr>
                <w:rFonts w:cs="宋体" w:asciiTheme="minorEastAsia" w:hAnsiTheme="minorEastAsia" w:eastAsiaTheme="minorEastAsia"/>
                <w:szCs w:val="21"/>
              </w:rPr>
            </w:pPr>
          </w:p>
        </w:tc>
        <w:tc>
          <w:tcPr>
            <w:tcW w:w="554" w:type="pct"/>
            <w:vMerge w:val="continue"/>
            <w:shd w:val="clear" w:color="auto" w:fill="FFFFFF"/>
            <w:vAlign w:val="center"/>
          </w:tcPr>
          <w:p w14:paraId="011D8B2D">
            <w:pPr>
              <w:spacing w:line="360" w:lineRule="auto"/>
              <w:rPr>
                <w:rFonts w:cs="宋体" w:asciiTheme="minorEastAsia" w:hAnsiTheme="minorEastAsia" w:eastAsiaTheme="minorEastAsia"/>
                <w:szCs w:val="21"/>
              </w:rPr>
            </w:pPr>
          </w:p>
        </w:tc>
        <w:tc>
          <w:tcPr>
            <w:tcW w:w="718" w:type="pct"/>
            <w:shd w:val="clear" w:color="auto" w:fill="FFFFFF"/>
            <w:tcMar>
              <w:top w:w="0" w:type="dxa"/>
              <w:left w:w="108" w:type="dxa"/>
              <w:bottom w:w="0" w:type="dxa"/>
              <w:right w:w="108" w:type="dxa"/>
            </w:tcMar>
            <w:vAlign w:val="center"/>
          </w:tcPr>
          <w:p w14:paraId="2C1ADD80">
            <w:pPr>
              <w:widowControl/>
              <w:spacing w:line="360" w:lineRule="auto"/>
              <w:jc w:val="center"/>
              <w:rPr>
                <w:rFonts w:hint="default" w:ascii="Times New Roman" w:hAnsi="Times New Roman" w:cs="Times New Roman"/>
                <w:szCs w:val="21"/>
                <w:lang w:val="zh-CN"/>
              </w:rPr>
            </w:pPr>
            <w:r>
              <w:rPr>
                <w:rFonts w:hint="default" w:ascii="Times New Roman" w:hAnsi="Times New Roman" w:cs="Times New Roman"/>
                <w:szCs w:val="21"/>
                <w:lang w:val="zh-CN"/>
              </w:rPr>
              <w:t>管理体系</w:t>
            </w:r>
          </w:p>
          <w:p w14:paraId="1C0CDD6D">
            <w:pPr>
              <w:widowControl/>
              <w:spacing w:line="360" w:lineRule="auto"/>
              <w:jc w:val="center"/>
              <w:rPr>
                <w:rFonts w:hint="eastAsia" w:ascii="宋体" w:hAnsi="宋体" w:eastAsia="宋体" w:cs="宋体"/>
                <w:kern w:val="2"/>
                <w:sz w:val="21"/>
                <w:szCs w:val="21"/>
                <w:lang w:val="en-US" w:eastAsia="zh-CN" w:bidi="ar-SA"/>
              </w:rPr>
            </w:pPr>
            <w:r>
              <w:rPr>
                <w:rFonts w:hint="default" w:ascii="Times New Roman" w:hAnsi="Times New Roman" w:cs="Times New Roman"/>
                <w:szCs w:val="21"/>
                <w:lang w:val="zh-CN"/>
              </w:rPr>
              <w:t>（</w:t>
            </w:r>
            <w:r>
              <w:rPr>
                <w:rFonts w:hint="eastAsia" w:cs="Times New Roman"/>
                <w:szCs w:val="21"/>
                <w:lang w:val="en-US" w:eastAsia="zh-CN"/>
              </w:rPr>
              <w:t>3</w:t>
            </w:r>
            <w:r>
              <w:rPr>
                <w:rFonts w:hint="default" w:ascii="Times New Roman" w:hAnsi="Times New Roman" w:cs="Times New Roman"/>
                <w:szCs w:val="21"/>
                <w:lang w:val="zh-CN"/>
              </w:rPr>
              <w:t>分）</w:t>
            </w:r>
          </w:p>
        </w:tc>
        <w:tc>
          <w:tcPr>
            <w:tcW w:w="3270" w:type="pct"/>
            <w:shd w:val="clear" w:color="auto" w:fill="FFFFFF"/>
            <w:tcMar>
              <w:top w:w="0" w:type="dxa"/>
              <w:left w:w="108" w:type="dxa"/>
              <w:bottom w:w="0" w:type="dxa"/>
              <w:right w:w="108" w:type="dxa"/>
            </w:tcMar>
            <w:vAlign w:val="center"/>
          </w:tcPr>
          <w:p w14:paraId="16F6D4BF">
            <w:pPr>
              <w:widowControl/>
              <w:spacing w:line="360" w:lineRule="auto"/>
              <w:rPr>
                <w:rFonts w:hint="default" w:ascii="Times New Roman" w:hAnsi="Times New Roman" w:cs="Times New Roman"/>
                <w:color w:val="auto"/>
                <w:szCs w:val="21"/>
                <w:highlight w:val="none"/>
                <w:lang w:val="zh-CN" w:eastAsia="zh-CN"/>
              </w:rPr>
            </w:pPr>
            <w:r>
              <w:rPr>
                <w:rFonts w:hint="default" w:ascii="Times New Roman" w:hAnsi="Times New Roman" w:cs="Times New Roman"/>
                <w:color w:val="auto"/>
                <w:szCs w:val="21"/>
                <w:highlight w:val="none"/>
                <w:lang w:val="zh-CN" w:eastAsia="zh-CN"/>
              </w:rPr>
              <w:t>同时具有质量管理体系认证证书、环境管理体系认证证书、职业健康安全管理体系认证证书（须在有效期内）得</w:t>
            </w: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lang w:val="zh-CN" w:eastAsia="zh-CN"/>
              </w:rPr>
              <w:t>分；具有其中</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val="zh-CN" w:eastAsia="zh-CN"/>
              </w:rPr>
              <w:t>项得</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val="zh-CN" w:eastAsia="zh-CN"/>
              </w:rPr>
              <w:t>分；具有其中</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zh-CN" w:eastAsia="zh-CN"/>
              </w:rPr>
              <w:t>项得</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zh-CN" w:eastAsia="zh-CN"/>
              </w:rPr>
              <w:t>分；无则得0分。</w:t>
            </w:r>
          </w:p>
          <w:p w14:paraId="0F2F7B6F">
            <w:pPr>
              <w:widowControl/>
              <w:spacing w:line="360" w:lineRule="auto"/>
              <w:rPr>
                <w:rFonts w:hint="eastAsia" w:ascii="宋体" w:hAnsi="宋体" w:eastAsia="宋体" w:cs="宋体"/>
                <w:kern w:val="2"/>
                <w:sz w:val="21"/>
                <w:szCs w:val="21"/>
                <w:lang w:val="en-US" w:eastAsia="zh-CN" w:bidi="ar"/>
              </w:rPr>
            </w:pPr>
            <w:r>
              <w:rPr>
                <w:rFonts w:hint="default" w:ascii="Times New Roman" w:hAnsi="Times New Roman" w:cs="Times New Roman"/>
                <w:color w:val="auto"/>
                <w:szCs w:val="21"/>
                <w:highlight w:val="none"/>
              </w:rPr>
              <w:t>注：须提供证书的的清晰扫描件和国家市场监督管理总局全国认证认可信息公共服务平台的查询到证书信息和获证组织基本信息的截图，并加</w:t>
            </w:r>
            <w:r>
              <w:rPr>
                <w:rFonts w:hint="default" w:ascii="Times New Roman" w:hAnsi="Times New Roman" w:cs="Times New Roman"/>
                <w:szCs w:val="21"/>
              </w:rPr>
              <w:t>盖公章，否则不得分。</w:t>
            </w:r>
          </w:p>
        </w:tc>
      </w:tr>
      <w:tr w14:paraId="3AA413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456" w:type="pct"/>
            <w:vMerge w:val="continue"/>
            <w:shd w:val="clear" w:color="auto" w:fill="FFFFFF"/>
            <w:vAlign w:val="center"/>
          </w:tcPr>
          <w:p w14:paraId="7EE0A2B6">
            <w:pPr>
              <w:spacing w:line="360" w:lineRule="auto"/>
              <w:rPr>
                <w:rFonts w:cs="宋体" w:asciiTheme="minorEastAsia" w:hAnsiTheme="minorEastAsia" w:eastAsiaTheme="minorEastAsia"/>
                <w:szCs w:val="21"/>
              </w:rPr>
            </w:pPr>
          </w:p>
        </w:tc>
        <w:tc>
          <w:tcPr>
            <w:tcW w:w="554" w:type="pct"/>
            <w:vMerge w:val="continue"/>
            <w:shd w:val="clear" w:color="auto" w:fill="FFFFFF"/>
            <w:vAlign w:val="center"/>
          </w:tcPr>
          <w:p w14:paraId="0EDE58ED">
            <w:pPr>
              <w:spacing w:line="360" w:lineRule="auto"/>
              <w:rPr>
                <w:rFonts w:cs="宋体" w:asciiTheme="minorEastAsia" w:hAnsiTheme="minorEastAsia" w:eastAsiaTheme="minorEastAsia"/>
                <w:szCs w:val="21"/>
              </w:rPr>
            </w:pPr>
          </w:p>
        </w:tc>
        <w:tc>
          <w:tcPr>
            <w:tcW w:w="718" w:type="pct"/>
            <w:shd w:val="clear" w:color="auto" w:fill="FFFFFF"/>
            <w:tcMar>
              <w:top w:w="0" w:type="dxa"/>
              <w:left w:w="108" w:type="dxa"/>
              <w:bottom w:w="0" w:type="dxa"/>
              <w:right w:w="108" w:type="dxa"/>
            </w:tcMar>
            <w:vAlign w:val="center"/>
          </w:tcPr>
          <w:p w14:paraId="5FA5A8E9">
            <w:pPr>
              <w:pStyle w:val="11"/>
              <w:widowControl/>
              <w:jc w:val="center"/>
              <w:rPr>
                <w:rFonts w:hint="default" w:ascii="Times New Roman" w:hAnsi="Times New Roman" w:eastAsia="宋体" w:cs="Times New Roman"/>
                <w:color w:val="auto"/>
                <w:kern w:val="2"/>
                <w:sz w:val="21"/>
                <w:szCs w:val="21"/>
                <w:lang w:val="zh-CN"/>
              </w:rPr>
            </w:pPr>
            <w:r>
              <w:rPr>
                <w:rFonts w:hint="default" w:ascii="Times New Roman" w:hAnsi="Times New Roman" w:eastAsia="宋体" w:cs="Times New Roman"/>
                <w:color w:val="auto"/>
                <w:kern w:val="2"/>
                <w:sz w:val="21"/>
                <w:szCs w:val="21"/>
                <w:lang w:val="zh-CN"/>
              </w:rPr>
              <w:t>项目负责人专业水平</w:t>
            </w:r>
          </w:p>
          <w:p w14:paraId="129ECB44">
            <w:pPr>
              <w:pStyle w:val="11"/>
              <w:widowControl/>
              <w:jc w:val="center"/>
              <w:rPr>
                <w:rFonts w:hint="eastAsia" w:ascii="宋体" w:hAnsi="宋体" w:eastAsia="宋体" w:cs="宋体"/>
                <w:color w:val="auto"/>
                <w:kern w:val="2"/>
                <w:sz w:val="21"/>
                <w:szCs w:val="21"/>
                <w:lang w:val="zh-CN" w:eastAsia="zh-CN" w:bidi="ar-SA"/>
              </w:rPr>
            </w:pPr>
            <w:r>
              <w:rPr>
                <w:rFonts w:hint="default" w:ascii="Times New Roman" w:hAnsi="Times New Roman" w:eastAsia="宋体" w:cs="Times New Roman"/>
                <w:color w:val="auto"/>
                <w:kern w:val="2"/>
                <w:sz w:val="21"/>
                <w:szCs w:val="21"/>
                <w:lang w:val="zh-CN"/>
              </w:rPr>
              <w:t>（</w:t>
            </w:r>
            <w:r>
              <w:rPr>
                <w:rFonts w:hint="eastAsia" w:ascii="Times New Roman" w:hAnsi="Times New Roman" w:cs="Times New Roman"/>
                <w:color w:val="auto"/>
                <w:kern w:val="2"/>
                <w:sz w:val="21"/>
                <w:szCs w:val="21"/>
                <w:lang w:val="en-US" w:eastAsia="zh-CN"/>
              </w:rPr>
              <w:t>15</w:t>
            </w:r>
            <w:r>
              <w:rPr>
                <w:rFonts w:hint="default" w:ascii="Times New Roman" w:hAnsi="Times New Roman" w:eastAsia="宋体" w:cs="Times New Roman"/>
                <w:color w:val="auto"/>
                <w:kern w:val="2"/>
                <w:sz w:val="21"/>
                <w:szCs w:val="21"/>
                <w:lang w:val="zh-CN"/>
              </w:rPr>
              <w:t>分）</w:t>
            </w:r>
          </w:p>
        </w:tc>
        <w:tc>
          <w:tcPr>
            <w:tcW w:w="3270" w:type="pct"/>
            <w:shd w:val="clear" w:color="auto" w:fill="FFFFFF"/>
            <w:tcMar>
              <w:top w:w="0" w:type="dxa"/>
              <w:left w:w="108" w:type="dxa"/>
              <w:bottom w:w="0" w:type="dxa"/>
              <w:right w:w="108" w:type="dxa"/>
            </w:tcMar>
            <w:vAlign w:val="center"/>
          </w:tcPr>
          <w:p w14:paraId="0C80C43C">
            <w:pPr>
              <w:widowControl/>
              <w:spacing w:line="360" w:lineRule="auto"/>
              <w:rPr>
                <w:rFonts w:hint="default" w:ascii="Times New Roman" w:hAnsi="Times New Roman" w:cs="Times New Roman"/>
                <w:color w:val="auto"/>
                <w:szCs w:val="21"/>
                <w:highlight w:val="none"/>
                <w:lang w:eastAsia="zh-Hans"/>
              </w:rPr>
            </w:pP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eastAsia="zh-Hans"/>
              </w:rPr>
              <w:t>项目负责人</w:t>
            </w:r>
            <w:r>
              <w:rPr>
                <w:rFonts w:hint="eastAsia" w:ascii="Times New Roman" w:hAnsi="Times New Roman" w:cs="Times New Roman"/>
                <w:color w:val="auto"/>
                <w:szCs w:val="21"/>
                <w:highlight w:val="none"/>
                <w:lang w:eastAsia="zh-Hans"/>
              </w:rPr>
              <w:t>具有</w:t>
            </w:r>
            <w:r>
              <w:rPr>
                <w:rFonts w:hint="eastAsia" w:ascii="Times New Roman" w:hAnsi="Times New Roman" w:cs="Times New Roman"/>
                <w:color w:val="auto"/>
                <w:szCs w:val="21"/>
                <w:highlight w:val="none"/>
              </w:rPr>
              <w:t>工程类中级或以上工程师</w:t>
            </w:r>
            <w:r>
              <w:rPr>
                <w:rFonts w:hint="eastAsia" w:ascii="Times New Roman" w:hAnsi="Times New Roman" w:cs="Times New Roman"/>
                <w:color w:val="auto"/>
                <w:szCs w:val="21"/>
                <w:highlight w:val="none"/>
                <w:lang w:eastAsia="zh-Hans"/>
              </w:rPr>
              <w:t>职称</w:t>
            </w:r>
            <w:r>
              <w:rPr>
                <w:rFonts w:hint="default" w:ascii="Times New Roman" w:hAnsi="Times New Roman" w:cs="Times New Roman"/>
                <w:color w:val="auto"/>
                <w:szCs w:val="21"/>
                <w:highlight w:val="none"/>
                <w:lang w:val="en-US" w:eastAsia="zh-CN"/>
              </w:rPr>
              <w:t>得</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分；</w:t>
            </w:r>
          </w:p>
          <w:p w14:paraId="649A003D">
            <w:pPr>
              <w:widowControl/>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eastAsia="zh-Hans"/>
              </w:rPr>
              <w:t>项目负责人持有建设行政主管部门或其委托的机构、行业协会颁发的检测员证或检测鉴定培训合格证的</w:t>
            </w:r>
            <w:r>
              <w:rPr>
                <w:rFonts w:hint="default" w:ascii="Times New Roman" w:hAnsi="Times New Roman" w:cs="Times New Roman"/>
                <w:color w:val="auto"/>
                <w:szCs w:val="21"/>
                <w:highlight w:val="none"/>
                <w:lang w:val="en-US" w:eastAsia="zh-CN"/>
              </w:rPr>
              <w:t>得</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分；</w:t>
            </w:r>
          </w:p>
          <w:p w14:paraId="460F2440">
            <w:pPr>
              <w:widowControl/>
              <w:spacing w:line="360" w:lineRule="auto"/>
              <w:rPr>
                <w:rFonts w:hint="default" w:ascii="Times New Roman" w:hAnsi="Times New Roman" w:cs="Times New Roman"/>
                <w:color w:val="auto"/>
                <w:szCs w:val="21"/>
                <w:highlight w:val="none"/>
                <w:lang w:val="en-US" w:eastAsia="zh-Hans"/>
              </w:rPr>
            </w:pP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lang w:eastAsia="zh-Hans"/>
              </w:rPr>
              <w:t>）</w:t>
            </w:r>
            <w:r>
              <w:rPr>
                <w:rFonts w:hint="eastAsia" w:ascii="Times New Roman" w:hAnsi="Times New Roman" w:cs="Times New Roman"/>
                <w:color w:val="auto"/>
                <w:szCs w:val="21"/>
                <w:highlight w:val="none"/>
                <w:lang w:val="en-US" w:eastAsia="zh-CN"/>
              </w:rPr>
              <w:t>项目负责人</w:t>
            </w:r>
            <w:r>
              <w:rPr>
                <w:rFonts w:hint="default" w:ascii="Times New Roman" w:hAnsi="Times New Roman" w:cs="Times New Roman"/>
                <w:color w:val="auto"/>
                <w:szCs w:val="21"/>
                <w:highlight w:val="none"/>
                <w:lang w:val="en-US" w:eastAsia="zh-Hans"/>
              </w:rPr>
              <w:t>自2020年1月1日至投标截止日止</w:t>
            </w:r>
            <w:r>
              <w:rPr>
                <w:rFonts w:hint="eastAsia" w:ascii="Times New Roman" w:hAnsi="Times New Roman" w:cs="Times New Roman"/>
                <w:color w:val="auto"/>
                <w:szCs w:val="21"/>
                <w:highlight w:val="none"/>
                <w:lang w:val="en-US" w:eastAsia="zh-CN"/>
              </w:rPr>
              <w:t>作为项目负责人参与过的类似水务工程，合同金额100万元或以上的检测业绩，</w:t>
            </w:r>
            <w:r>
              <w:rPr>
                <w:rFonts w:hint="default" w:ascii="Times New Roman" w:hAnsi="Times New Roman" w:cs="Times New Roman"/>
                <w:color w:val="auto"/>
                <w:szCs w:val="21"/>
                <w:highlight w:val="none"/>
                <w:lang w:val="en-US" w:eastAsia="zh-CN"/>
              </w:rPr>
              <w:t>每</w:t>
            </w:r>
            <w:r>
              <w:rPr>
                <w:rFonts w:hint="eastAsia" w:ascii="Times New Roman" w:hAnsi="Times New Roman" w:cs="Times New Roman"/>
                <w:color w:val="auto"/>
                <w:szCs w:val="21"/>
                <w:highlight w:val="none"/>
                <w:lang w:val="en-US" w:eastAsia="zh-CN"/>
              </w:rPr>
              <w:t>提供一</w:t>
            </w:r>
            <w:r>
              <w:rPr>
                <w:rFonts w:hint="default" w:ascii="Times New Roman" w:hAnsi="Times New Roman" w:cs="Times New Roman"/>
                <w:color w:val="auto"/>
                <w:szCs w:val="21"/>
                <w:highlight w:val="none"/>
                <w:lang w:val="en-US" w:eastAsia="zh-CN"/>
              </w:rPr>
              <w:t>项得</w:t>
            </w:r>
            <w:r>
              <w:rPr>
                <w:rFonts w:hint="eastAsia" w:ascii="Times New Roman" w:hAnsi="Times New Roman" w:cs="Times New Roman"/>
                <w:color w:val="auto"/>
                <w:szCs w:val="21"/>
                <w:highlight w:val="none"/>
                <w:lang w:val="en-US" w:eastAsia="zh-CN"/>
              </w:rPr>
              <w:t>1.5</w:t>
            </w:r>
            <w:r>
              <w:rPr>
                <w:rFonts w:hint="default" w:ascii="Times New Roman" w:hAnsi="Times New Roman" w:cs="Times New Roman"/>
                <w:color w:val="auto"/>
                <w:szCs w:val="21"/>
                <w:highlight w:val="none"/>
                <w:lang w:val="en-US" w:eastAsia="zh-CN"/>
              </w:rPr>
              <w:t>分，本项最高得</w:t>
            </w:r>
            <w:r>
              <w:rPr>
                <w:rFonts w:hint="eastAsia" w:ascii="Times New Roman" w:hAnsi="Times New Roman" w:cs="Times New Roman"/>
                <w:color w:val="auto"/>
                <w:szCs w:val="21"/>
                <w:highlight w:val="none"/>
                <w:lang w:val="en-US" w:eastAsia="zh-CN"/>
              </w:rPr>
              <w:t>12</w:t>
            </w:r>
            <w:r>
              <w:rPr>
                <w:rFonts w:hint="default" w:ascii="Times New Roman" w:hAnsi="Times New Roman" w:cs="Times New Roman"/>
                <w:color w:val="auto"/>
                <w:szCs w:val="21"/>
                <w:highlight w:val="none"/>
                <w:lang w:val="en-US" w:eastAsia="zh-CN"/>
              </w:rPr>
              <w:t>分</w:t>
            </w:r>
            <w:r>
              <w:rPr>
                <w:rFonts w:hint="eastAsia" w:ascii="Times New Roman" w:hAnsi="Times New Roman" w:cs="Times New Roman"/>
                <w:color w:val="auto"/>
                <w:szCs w:val="21"/>
                <w:highlight w:val="none"/>
                <w:lang w:val="en-US" w:eastAsia="zh-CN"/>
              </w:rPr>
              <w:t>，无则不得分。</w:t>
            </w:r>
          </w:p>
          <w:p w14:paraId="61C6C6C9">
            <w:pPr>
              <w:widowControl/>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注：①须提供相关证书</w:t>
            </w:r>
            <w:r>
              <w:rPr>
                <w:rFonts w:hint="eastAsia" w:ascii="Times New Roman" w:hAnsi="Times New Roman" w:cs="Times New Roman"/>
                <w:color w:val="auto"/>
                <w:szCs w:val="21"/>
                <w:highlight w:val="none"/>
                <w:lang w:val="en-US" w:eastAsia="zh-CN"/>
              </w:rPr>
              <w:t>（有效期内）</w:t>
            </w:r>
            <w:r>
              <w:rPr>
                <w:rFonts w:hint="default" w:ascii="Times New Roman" w:hAnsi="Times New Roman" w:cs="Times New Roman"/>
                <w:color w:val="auto"/>
                <w:szCs w:val="21"/>
                <w:highlight w:val="none"/>
              </w:rPr>
              <w:t>、近一个月（即202</w:t>
            </w:r>
            <w:r>
              <w:rPr>
                <w:rFonts w:hint="default" w:ascii="Times New Roman" w:hAnsi="Times New Roman" w:cs="Times New Roman"/>
                <w:color w:val="auto"/>
                <w:szCs w:val="21"/>
                <w:highlight w:val="none"/>
                <w:lang w:eastAsia="zh-CN"/>
              </w:rPr>
              <w:t>4</w:t>
            </w:r>
            <w:r>
              <w:rPr>
                <w:rFonts w:hint="default" w:ascii="Times New Roman" w:hAnsi="Times New Roman" w:cs="Times New Roman"/>
                <w:color w:val="auto"/>
                <w:szCs w:val="21"/>
                <w:highlight w:val="none"/>
              </w:rPr>
              <w:t>年</w:t>
            </w:r>
            <w:r>
              <w:rPr>
                <w:rFonts w:hint="eastAsia" w:cs="Times New Roman"/>
                <w:color w:val="auto"/>
                <w:szCs w:val="21"/>
                <w:highlight w:val="none"/>
                <w:lang w:val="en-US" w:eastAsia="zh-CN"/>
              </w:rPr>
              <w:t>5</w:t>
            </w:r>
            <w:r>
              <w:rPr>
                <w:rFonts w:hint="default" w:ascii="Times New Roman" w:hAnsi="Times New Roman" w:cs="Times New Roman"/>
                <w:color w:val="auto"/>
                <w:szCs w:val="21"/>
                <w:highlight w:val="none"/>
              </w:rPr>
              <w:t>月）社保等证明材料的清晰扫描件，并加盖公章，否则不得分。</w:t>
            </w:r>
          </w:p>
          <w:p w14:paraId="151FF4CE">
            <w:pPr>
              <w:spacing w:line="360" w:lineRule="auto"/>
              <w:rPr>
                <w:rFonts w:hint="default"/>
                <w:color w:val="auto"/>
              </w:rPr>
            </w:pPr>
            <w:r>
              <w:rPr>
                <w:rFonts w:hint="default" w:ascii="Times New Roman" w:hAnsi="Times New Roman" w:eastAsia="宋体" w:cs="Times New Roman"/>
                <w:color w:val="auto"/>
                <w:kern w:val="2"/>
                <w:sz w:val="21"/>
                <w:szCs w:val="21"/>
                <w:highlight w:val="none"/>
                <w:lang w:val="en-US" w:eastAsia="zh-Hans" w:bidi="ar-SA"/>
              </w:rPr>
              <w:t>②</w:t>
            </w:r>
            <w:r>
              <w:rPr>
                <w:rFonts w:hint="eastAsia" w:ascii="Calibri" w:hAnsi="Calibri" w:cs="Calibri"/>
                <w:color w:val="auto"/>
                <w:sz w:val="21"/>
                <w:szCs w:val="21"/>
                <w:highlight w:val="none"/>
                <w:lang w:val="en-US" w:eastAsia="zh-CN"/>
              </w:rPr>
              <w:t>项目负责人</w:t>
            </w:r>
            <w:r>
              <w:rPr>
                <w:rFonts w:hint="eastAsia" w:ascii="Times New Roman" w:hAnsi="Times New Roman" w:eastAsia="宋体" w:cs="Times New Roman"/>
                <w:color w:val="auto"/>
                <w:sz w:val="21"/>
                <w:szCs w:val="21"/>
                <w:highlight w:val="none"/>
              </w:rPr>
              <w:t>业绩要求提供中标通知书</w:t>
            </w:r>
            <w:r>
              <w:rPr>
                <w:rFonts w:hint="eastAsia" w:ascii="Times New Roman" w:hAnsi="Times New Roman" w:eastAsia="宋体" w:cs="Times New Roman"/>
                <w:color w:val="auto"/>
                <w:sz w:val="21"/>
                <w:szCs w:val="21"/>
                <w:highlight w:val="none"/>
                <w:lang w:val="en-US" w:eastAsia="zh-CN"/>
              </w:rPr>
              <w:t>、检测</w:t>
            </w:r>
            <w:r>
              <w:rPr>
                <w:rFonts w:hint="eastAsia" w:ascii="Times New Roman" w:hAnsi="Times New Roman" w:eastAsia="宋体" w:cs="Times New Roman"/>
                <w:color w:val="auto"/>
                <w:sz w:val="21"/>
                <w:szCs w:val="21"/>
                <w:highlight w:val="none"/>
              </w:rPr>
              <w:t>合同</w:t>
            </w:r>
            <w:r>
              <w:rPr>
                <w:rFonts w:hint="default" w:ascii="Times New Roman" w:hAnsi="Times New Roman" w:cs="Times New Roman"/>
                <w:color w:val="auto"/>
                <w:kern w:val="2"/>
                <w:sz w:val="21"/>
                <w:szCs w:val="21"/>
              </w:rPr>
              <w:t>复印件</w:t>
            </w:r>
            <w:r>
              <w:rPr>
                <w:rFonts w:hint="eastAsia" w:ascii="Times New Roman" w:hAnsi="Times New Roman" w:eastAsia="宋体" w:cs="Times New Roman"/>
                <w:color w:val="auto"/>
                <w:sz w:val="21"/>
                <w:szCs w:val="21"/>
                <w:highlight w:val="none"/>
              </w:rPr>
              <w:t>，否则不得分</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担任过</w:t>
            </w:r>
            <w:r>
              <w:rPr>
                <w:rFonts w:hint="default" w:ascii="Times New Roman" w:hAnsi="Times New Roman" w:cs="Times New Roman"/>
                <w:color w:val="auto"/>
              </w:rPr>
              <w:t>类似</w:t>
            </w:r>
            <w:r>
              <w:rPr>
                <w:rFonts w:hint="eastAsia" w:cs="Times New Roman"/>
                <w:color w:val="auto"/>
                <w:lang w:val="en-US" w:eastAsia="zh-CN"/>
              </w:rPr>
              <w:t>水务工程</w:t>
            </w:r>
            <w:r>
              <w:rPr>
                <w:rFonts w:hint="eastAsia" w:ascii="Times New Roman" w:hAnsi="Times New Roman" w:eastAsia="宋体" w:cs="Times New Roman"/>
                <w:color w:val="auto"/>
                <w:szCs w:val="21"/>
                <w:highlight w:val="none"/>
                <w:lang w:val="en-US" w:eastAsia="zh-CN"/>
              </w:rPr>
              <w:t>检测项目</w:t>
            </w:r>
            <w:r>
              <w:rPr>
                <w:rFonts w:hint="eastAsia" w:cs="Times New Roman"/>
                <w:color w:val="auto"/>
                <w:szCs w:val="21"/>
                <w:highlight w:val="none"/>
                <w:lang w:val="en-US" w:eastAsia="zh-CN"/>
              </w:rPr>
              <w:t>的</w:t>
            </w:r>
            <w:r>
              <w:rPr>
                <w:rFonts w:hint="eastAsia" w:ascii="Times New Roman" w:hAnsi="Times New Roman" w:eastAsia="宋体" w:cs="Times New Roman"/>
                <w:color w:val="auto"/>
                <w:sz w:val="21"/>
                <w:szCs w:val="21"/>
                <w:highlight w:val="none"/>
                <w:lang w:val="en-US" w:eastAsia="zh-CN"/>
              </w:rPr>
              <w:t>项目负责人的证明以中标通知书上体现的</w:t>
            </w:r>
            <w:r>
              <w:rPr>
                <w:rFonts w:hint="eastAsia" w:ascii="Times New Roman" w:hAnsi="Times New Roman" w:eastAsia="宋体" w:cs="Times New Roman"/>
                <w:color w:val="auto"/>
                <w:sz w:val="21"/>
                <w:szCs w:val="21"/>
                <w:highlight w:val="none"/>
              </w:rPr>
              <w:t>项目负责人姓名</w:t>
            </w:r>
            <w:r>
              <w:rPr>
                <w:rFonts w:hint="eastAsia" w:ascii="Times New Roman" w:hAnsi="Times New Roman" w:eastAsia="宋体" w:cs="Times New Roman"/>
                <w:color w:val="auto"/>
                <w:sz w:val="21"/>
                <w:szCs w:val="21"/>
                <w:highlight w:val="none"/>
                <w:lang w:val="en-US" w:eastAsia="zh-CN"/>
              </w:rPr>
              <w:t>为准</w:t>
            </w:r>
            <w:r>
              <w:rPr>
                <w:rFonts w:hint="eastAsia" w:cs="Times New Roman"/>
                <w:color w:val="auto"/>
                <w:sz w:val="21"/>
                <w:szCs w:val="21"/>
                <w:highlight w:val="none"/>
                <w:lang w:val="en-US" w:eastAsia="zh-CN"/>
              </w:rPr>
              <w:t>，否则不得分</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类似</w:t>
            </w:r>
            <w:r>
              <w:rPr>
                <w:rFonts w:hint="eastAsia" w:ascii="Times New Roman" w:hAnsi="Times New Roman" w:eastAsia="宋体" w:cs="Times New Roman"/>
                <w:color w:val="auto"/>
                <w:szCs w:val="21"/>
                <w:highlight w:val="none"/>
                <w:lang w:val="en-US" w:eastAsia="zh-CN"/>
              </w:rPr>
              <w:t>水务工程</w:t>
            </w:r>
            <w:r>
              <w:rPr>
                <w:rFonts w:hint="default" w:ascii="Times New Roman" w:hAnsi="Times New Roman" w:cs="Times New Roman"/>
                <w:color w:val="auto"/>
              </w:rPr>
              <w:t>包含</w:t>
            </w:r>
            <w:r>
              <w:rPr>
                <w:rFonts w:hint="eastAsia" w:cs="Times New Roman"/>
                <w:color w:val="auto"/>
                <w:lang w:eastAsia="zh-CN"/>
              </w:rPr>
              <w:t>：</w:t>
            </w:r>
            <w:r>
              <w:rPr>
                <w:rFonts w:hint="default" w:ascii="Times New Roman" w:hAnsi="Times New Roman" w:cs="Times New Roman"/>
                <w:color w:val="auto"/>
              </w:rPr>
              <w:t>雨污分流、单元排水、供水等自来水、给排水项目，不含住建类市政道路及给排水项目</w:t>
            </w:r>
            <w:r>
              <w:rPr>
                <w:rFonts w:hint="eastAsia" w:ascii="Times New Roman" w:hAnsi="Times New Roman" w:eastAsia="宋体" w:cs="Times New Roman"/>
                <w:color w:val="auto"/>
                <w:szCs w:val="21"/>
                <w:highlight w:val="none"/>
                <w:lang w:val="en-US" w:eastAsia="zh-CN"/>
              </w:rPr>
              <w:t>。</w:t>
            </w:r>
          </w:p>
          <w:p w14:paraId="3CAD0920">
            <w:pPr>
              <w:widowControl/>
              <w:spacing w:line="360" w:lineRule="auto"/>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color w:val="auto"/>
                <w:szCs w:val="21"/>
                <w:highlight w:val="none"/>
              </w:rPr>
              <w:t>③</w:t>
            </w:r>
            <w:r>
              <w:rPr>
                <w:rFonts w:hint="default" w:ascii="Times New Roman" w:hAnsi="Times New Roman" w:cs="Times New Roman"/>
                <w:color w:val="auto"/>
                <w:szCs w:val="21"/>
                <w:highlight w:val="none"/>
              </w:rPr>
              <w:t>项目负责人与技术负责人不得为同一人。</w:t>
            </w:r>
          </w:p>
        </w:tc>
      </w:tr>
      <w:tr w14:paraId="4C94F9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456" w:type="pct"/>
            <w:vMerge w:val="continue"/>
            <w:tcBorders>
              <w:bottom w:val="nil"/>
            </w:tcBorders>
            <w:shd w:val="clear" w:color="auto" w:fill="FFFFFF"/>
            <w:vAlign w:val="center"/>
          </w:tcPr>
          <w:p w14:paraId="315B07F6">
            <w:pPr>
              <w:spacing w:line="360" w:lineRule="auto"/>
              <w:rPr>
                <w:rFonts w:cs="宋体" w:asciiTheme="minorEastAsia" w:hAnsiTheme="minorEastAsia" w:eastAsiaTheme="minorEastAsia"/>
                <w:szCs w:val="21"/>
              </w:rPr>
            </w:pPr>
          </w:p>
        </w:tc>
        <w:tc>
          <w:tcPr>
            <w:tcW w:w="554" w:type="pct"/>
            <w:vMerge w:val="continue"/>
            <w:tcBorders>
              <w:bottom w:val="nil"/>
            </w:tcBorders>
            <w:shd w:val="clear" w:color="auto" w:fill="FFFFFF"/>
            <w:vAlign w:val="center"/>
          </w:tcPr>
          <w:p w14:paraId="6F094917">
            <w:pPr>
              <w:spacing w:line="360" w:lineRule="auto"/>
              <w:rPr>
                <w:rFonts w:cs="宋体" w:asciiTheme="minorEastAsia" w:hAnsiTheme="minorEastAsia" w:eastAsiaTheme="minorEastAsia"/>
                <w:szCs w:val="21"/>
              </w:rPr>
            </w:pPr>
          </w:p>
        </w:tc>
        <w:tc>
          <w:tcPr>
            <w:tcW w:w="718" w:type="pct"/>
            <w:shd w:val="clear" w:color="auto" w:fill="FFFFFF"/>
            <w:tcMar>
              <w:top w:w="0" w:type="dxa"/>
              <w:left w:w="108" w:type="dxa"/>
              <w:bottom w:w="0" w:type="dxa"/>
              <w:right w:w="108" w:type="dxa"/>
            </w:tcMar>
            <w:vAlign w:val="center"/>
          </w:tcPr>
          <w:p w14:paraId="66973EF0">
            <w:pPr>
              <w:widowControl/>
              <w:jc w:val="center"/>
              <w:rPr>
                <w:rFonts w:hint="eastAsia" w:ascii="宋体" w:hAnsi="宋体" w:eastAsia="宋体" w:cs="宋体"/>
                <w:color w:val="auto"/>
                <w:kern w:val="2"/>
                <w:sz w:val="21"/>
                <w:szCs w:val="21"/>
                <w:lang w:val="zh-CN" w:eastAsia="zh-CN" w:bidi="ar-SA"/>
              </w:rPr>
            </w:pPr>
            <w:r>
              <w:rPr>
                <w:rFonts w:hint="default" w:ascii="Times New Roman" w:hAnsi="Times New Roman" w:cs="Times New Roman"/>
                <w:color w:val="auto"/>
                <w:szCs w:val="21"/>
              </w:rPr>
              <w:t>技术负责人技术水平（</w:t>
            </w:r>
            <w:r>
              <w:rPr>
                <w:rFonts w:hint="eastAsia" w:cs="Times New Roman"/>
                <w:color w:val="auto"/>
                <w:szCs w:val="21"/>
                <w:lang w:val="en-US" w:eastAsia="zh-CN"/>
              </w:rPr>
              <w:t>15</w:t>
            </w:r>
            <w:r>
              <w:rPr>
                <w:rFonts w:hint="default" w:ascii="Times New Roman" w:hAnsi="Times New Roman" w:cs="Times New Roman"/>
                <w:color w:val="auto"/>
                <w:szCs w:val="21"/>
              </w:rPr>
              <w:t>分）</w:t>
            </w:r>
          </w:p>
        </w:tc>
        <w:tc>
          <w:tcPr>
            <w:tcW w:w="3270" w:type="pct"/>
            <w:shd w:val="clear" w:color="auto" w:fill="FFFFFF"/>
            <w:tcMar>
              <w:top w:w="0" w:type="dxa"/>
              <w:left w:w="108" w:type="dxa"/>
              <w:bottom w:w="0" w:type="dxa"/>
              <w:right w:w="108" w:type="dxa"/>
            </w:tcMar>
            <w:vAlign w:val="center"/>
          </w:tcPr>
          <w:p w14:paraId="24D4DC92">
            <w:pPr>
              <w:widowControl/>
              <w:numPr>
                <w:ilvl w:val="0"/>
                <w:numId w:val="0"/>
              </w:numPr>
              <w:spacing w:line="360" w:lineRule="auto"/>
              <w:rPr>
                <w:rFonts w:hint="default" w:ascii="Times New Roman" w:hAnsi="Times New Roman" w:eastAsia="宋体" w:cs="Times New Roman"/>
                <w:color w:val="auto"/>
                <w:szCs w:val="21"/>
                <w:highlight w:val="none"/>
                <w:lang w:val="en-US" w:eastAsia="zh-Hans"/>
              </w:rPr>
            </w:pP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lang w:val="en-US" w:eastAsia="zh-Hans"/>
              </w:rPr>
              <w:t>技术负责人具有工程类</w:t>
            </w:r>
            <w:r>
              <w:rPr>
                <w:rFonts w:hint="default" w:ascii="Times New Roman" w:hAnsi="Times New Roman" w:eastAsia="宋体" w:cs="Times New Roman"/>
                <w:color w:val="auto"/>
                <w:szCs w:val="21"/>
                <w:highlight w:val="none"/>
                <w:lang w:val="en-US" w:eastAsia="zh-CN"/>
              </w:rPr>
              <w:t>高级</w:t>
            </w:r>
            <w:r>
              <w:rPr>
                <w:rFonts w:hint="default" w:ascii="Times New Roman" w:hAnsi="Times New Roman" w:eastAsia="宋体" w:cs="Times New Roman"/>
                <w:color w:val="auto"/>
                <w:szCs w:val="21"/>
                <w:highlight w:val="none"/>
                <w:lang w:val="en-US" w:eastAsia="zh-Hans"/>
              </w:rPr>
              <w:t>工程师或以上职称</w:t>
            </w:r>
            <w:r>
              <w:rPr>
                <w:rFonts w:hint="default" w:ascii="Times New Roman" w:hAnsi="Times New Roman" w:eastAsia="宋体" w:cs="Times New Roman"/>
                <w:color w:val="auto"/>
                <w:szCs w:val="21"/>
                <w:highlight w:val="none"/>
                <w:lang w:val="en-US" w:eastAsia="zh-CN"/>
              </w:rPr>
              <w:t>得</w:t>
            </w:r>
            <w:r>
              <w:rPr>
                <w:rFonts w:hint="eastAsia"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val="en-US" w:eastAsia="zh-CN"/>
              </w:rPr>
              <w:t>分</w:t>
            </w:r>
            <w:r>
              <w:rPr>
                <w:rFonts w:hint="eastAsia" w:ascii="Times New Roman" w:hAnsi="Times New Roman" w:eastAsia="宋体" w:cs="Times New Roman"/>
                <w:color w:val="auto"/>
                <w:szCs w:val="21"/>
                <w:highlight w:val="none"/>
                <w:lang w:val="en-US" w:eastAsia="zh-CN"/>
              </w:rPr>
              <w:t>，具有工程类中级职称的得1分，其他不得分</w:t>
            </w:r>
            <w:r>
              <w:rPr>
                <w:rFonts w:hint="default" w:ascii="Times New Roman" w:hAnsi="Times New Roman" w:eastAsia="宋体" w:cs="Times New Roman"/>
                <w:color w:val="auto"/>
                <w:szCs w:val="21"/>
                <w:highlight w:val="none"/>
                <w:lang w:val="en-US" w:eastAsia="zh-CN"/>
              </w:rPr>
              <w:t>；</w:t>
            </w:r>
          </w:p>
          <w:p w14:paraId="5DF984AD">
            <w:pPr>
              <w:widowControl/>
              <w:numPr>
                <w:ilvl w:val="0"/>
                <w:numId w:val="0"/>
              </w:num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val="en-US" w:eastAsia="zh-Hans"/>
              </w:rPr>
              <w:t>技术负责人持有建设行政主管部门或其委托的机构、行业协会颁发的检测员证或检测鉴定培训合格证的</w:t>
            </w:r>
            <w:r>
              <w:rPr>
                <w:rFonts w:hint="default" w:ascii="Times New Roman" w:hAnsi="Times New Roman" w:eastAsia="宋体" w:cs="Times New Roman"/>
                <w:color w:val="auto"/>
                <w:szCs w:val="21"/>
                <w:highlight w:val="none"/>
                <w:lang w:val="en-US" w:eastAsia="zh-CN"/>
              </w:rPr>
              <w:t>得</w:t>
            </w:r>
            <w:r>
              <w:rPr>
                <w:rFonts w:hint="eastAsia" w:cs="Times New Roman"/>
                <w:color w:val="auto"/>
                <w:szCs w:val="21"/>
                <w:highlight w:val="none"/>
                <w:lang w:val="en-US" w:eastAsia="zh-CN"/>
              </w:rPr>
              <w:t>1</w:t>
            </w:r>
            <w:r>
              <w:rPr>
                <w:rFonts w:hint="default" w:ascii="Times New Roman" w:hAnsi="Times New Roman" w:eastAsia="宋体" w:cs="Times New Roman"/>
                <w:color w:val="auto"/>
                <w:szCs w:val="21"/>
                <w:highlight w:val="none"/>
                <w:lang w:val="en-US" w:eastAsia="zh-CN"/>
              </w:rPr>
              <w:t>分；</w:t>
            </w:r>
          </w:p>
          <w:p w14:paraId="70B55952">
            <w:pPr>
              <w:widowControl/>
              <w:numPr>
                <w:ilvl w:val="0"/>
                <w:numId w:val="0"/>
              </w:numPr>
              <w:spacing w:line="360" w:lineRule="auto"/>
              <w:rPr>
                <w:rFonts w:hint="eastAsia"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r>
              <w:rPr>
                <w:rFonts w:hint="eastAsia" w:cs="Times New Roman"/>
                <w:color w:val="auto"/>
                <w:szCs w:val="21"/>
                <w:highlight w:val="none"/>
                <w:lang w:val="en-US" w:eastAsia="zh-CN"/>
              </w:rPr>
              <w:t>3</w:t>
            </w:r>
            <w:r>
              <w:rPr>
                <w:rFonts w:hint="default" w:ascii="Times New Roman" w:hAnsi="Times New Roman" w:eastAsia="宋体" w:cs="Times New Roman"/>
                <w:color w:val="auto"/>
                <w:szCs w:val="21"/>
                <w:highlight w:val="none"/>
                <w:lang w:val="en-US" w:eastAsia="zh-CN"/>
              </w:rPr>
              <w:t>）技术负责人具备城镇排水管道电视（CCTV)检测项目上岗证的加</w:t>
            </w:r>
            <w:r>
              <w:rPr>
                <w:rFonts w:hint="eastAsia" w:cs="Times New Roman"/>
                <w:color w:val="auto"/>
                <w:szCs w:val="21"/>
                <w:highlight w:val="none"/>
                <w:lang w:val="en-US" w:eastAsia="zh-CN"/>
              </w:rPr>
              <w:t>4</w:t>
            </w:r>
            <w:r>
              <w:rPr>
                <w:rFonts w:hint="default" w:ascii="Times New Roman" w:hAnsi="Times New Roman" w:eastAsia="宋体" w:cs="Times New Roman"/>
                <w:color w:val="auto"/>
                <w:szCs w:val="21"/>
                <w:highlight w:val="none"/>
                <w:lang w:val="en-US" w:eastAsia="zh-CN"/>
              </w:rPr>
              <w:t>分</w:t>
            </w:r>
            <w:r>
              <w:rPr>
                <w:rFonts w:hint="eastAsia" w:ascii="Times New Roman" w:hAnsi="Times New Roman" w:eastAsia="宋体" w:cs="Times New Roman"/>
                <w:color w:val="auto"/>
                <w:szCs w:val="21"/>
                <w:highlight w:val="none"/>
                <w:lang w:val="en-US" w:eastAsia="zh-CN"/>
              </w:rPr>
              <w:t>。</w:t>
            </w:r>
          </w:p>
          <w:p w14:paraId="44C04D35">
            <w:pPr>
              <w:widowControl/>
              <w:numPr>
                <w:ilvl w:val="0"/>
                <w:numId w:val="0"/>
              </w:numPr>
              <w:spacing w:line="360" w:lineRule="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（4）技术负责人具有钢结构无损检测3级证书（超声波）、钢结构无损检测3级证书（射线）、钢结构无损检测3级证书（磁粉）以上证书的，每个证书加4分，本小项最高加8分。</w:t>
            </w:r>
          </w:p>
          <w:p w14:paraId="6969B48C">
            <w:pPr>
              <w:widowControl/>
              <w:numPr>
                <w:ilvl w:val="0"/>
                <w:numId w:val="0"/>
              </w:num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注：</w:t>
            </w:r>
            <w:r>
              <w:rPr>
                <w:rFonts w:hint="eastAsia" w:ascii="宋体" w:hAnsi="宋体" w:eastAsia="宋体" w:cs="宋体"/>
                <w:color w:val="auto"/>
                <w:szCs w:val="21"/>
                <w:highlight w:val="none"/>
                <w:lang w:val="en-US" w:eastAsia="zh-CN"/>
              </w:rPr>
              <w:t>①</w:t>
            </w:r>
            <w:r>
              <w:rPr>
                <w:rFonts w:hint="eastAsia" w:ascii="Times New Roman" w:hAnsi="Times New Roman" w:eastAsia="宋体" w:cs="Times New Roman"/>
                <w:color w:val="auto"/>
                <w:szCs w:val="21"/>
                <w:highlight w:val="none"/>
                <w:lang w:val="en-US" w:eastAsia="zh-CN"/>
              </w:rPr>
              <w:t>技术负责人需是</w:t>
            </w:r>
            <w:r>
              <w:rPr>
                <w:rFonts w:hint="eastAsia" w:ascii="Times New Roman" w:hAnsi="Times New Roman" w:eastAsia="宋体" w:cs="Times New Roman"/>
                <w:color w:val="auto"/>
                <w:szCs w:val="21"/>
                <w:highlight w:val="none"/>
                <w:lang w:val="en-US" w:eastAsia="zh-Hans"/>
              </w:rPr>
              <w:t>在广东省住房和城乡建设厅备案</w:t>
            </w:r>
            <w:r>
              <w:rPr>
                <w:rFonts w:hint="eastAsia" w:ascii="Times New Roman" w:hAnsi="Times New Roman" w:eastAsia="宋体" w:cs="Times New Roman"/>
                <w:color w:val="auto"/>
                <w:szCs w:val="21"/>
                <w:highlight w:val="none"/>
                <w:lang w:val="en-US" w:eastAsia="zh-CN"/>
              </w:rPr>
              <w:t>担任的企业技术负责人，提供《建设工程质量检测机构资质证书》二维码详细信息。</w:t>
            </w:r>
            <w:r>
              <w:rPr>
                <w:rFonts w:hint="eastAsia" w:ascii="宋体" w:hAnsi="宋体" w:eastAsia="宋体" w:cs="宋体"/>
                <w:color w:val="auto"/>
                <w:szCs w:val="21"/>
                <w:highlight w:val="none"/>
                <w:lang w:val="en-US" w:eastAsia="zh-CN"/>
              </w:rPr>
              <w:t>②</w:t>
            </w:r>
            <w:r>
              <w:rPr>
                <w:rFonts w:hint="default" w:ascii="Times New Roman" w:hAnsi="Times New Roman" w:eastAsia="宋体" w:cs="Times New Roman"/>
                <w:color w:val="auto"/>
                <w:szCs w:val="21"/>
                <w:highlight w:val="none"/>
                <w:lang w:val="en-US" w:eastAsia="zh-CN"/>
              </w:rPr>
              <w:t>须提供相关证书</w:t>
            </w:r>
            <w:r>
              <w:rPr>
                <w:rFonts w:hint="eastAsia" w:ascii="Times New Roman" w:hAnsi="Times New Roman" w:eastAsia="宋体" w:cs="Times New Roman"/>
                <w:color w:val="auto"/>
                <w:szCs w:val="21"/>
                <w:highlight w:val="none"/>
                <w:lang w:val="en-US" w:eastAsia="zh-CN"/>
              </w:rPr>
              <w:t>（有效期内）</w:t>
            </w:r>
            <w:r>
              <w:rPr>
                <w:rFonts w:hint="default" w:ascii="Times New Roman" w:hAnsi="Times New Roman" w:eastAsia="宋体" w:cs="Times New Roman"/>
                <w:color w:val="auto"/>
                <w:szCs w:val="21"/>
                <w:highlight w:val="none"/>
                <w:lang w:val="en-US" w:eastAsia="zh-CN"/>
              </w:rPr>
              <w:t>、近一个月（即2024年</w:t>
            </w: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val="en-US" w:eastAsia="zh-CN"/>
              </w:rPr>
              <w:t>月）社保等证明材料的清晰扫描件，并加盖公章，否则不得分。</w:t>
            </w:r>
          </w:p>
          <w:p w14:paraId="737B4804">
            <w:pPr>
              <w:widowControl/>
              <w:numPr>
                <w:ilvl w:val="0"/>
                <w:numId w:val="0"/>
              </w:numPr>
              <w:spacing w:line="360" w:lineRule="auto"/>
              <w:rPr>
                <w:rFonts w:hint="eastAsia" w:ascii="Times New Roman" w:hAnsi="Times New Roman" w:eastAsia="宋体" w:cs="Times New Roman"/>
                <w:color w:val="auto"/>
                <w:kern w:val="2"/>
                <w:sz w:val="21"/>
                <w:szCs w:val="22"/>
                <w:lang w:val="en-US" w:eastAsia="zh-CN" w:bidi="ar-SA"/>
              </w:rPr>
            </w:pPr>
            <w:r>
              <w:rPr>
                <w:rFonts w:hint="eastAsia" w:ascii="宋体" w:hAnsi="宋体" w:eastAsia="宋体" w:cs="宋体"/>
                <w:color w:val="auto"/>
                <w:szCs w:val="21"/>
                <w:highlight w:val="none"/>
                <w:lang w:val="en-US" w:eastAsia="zh-CN"/>
              </w:rPr>
              <w:t>③</w:t>
            </w:r>
            <w:r>
              <w:rPr>
                <w:rFonts w:hint="default" w:ascii="Times New Roman" w:hAnsi="Times New Roman" w:eastAsia="宋体" w:cs="Times New Roman"/>
                <w:color w:val="auto"/>
                <w:szCs w:val="21"/>
                <w:highlight w:val="none"/>
                <w:lang w:val="en-US" w:eastAsia="zh-CN"/>
              </w:rPr>
              <w:t>项目负责人与技术负责人不得为同一人。</w:t>
            </w:r>
          </w:p>
        </w:tc>
      </w:tr>
      <w:tr w14:paraId="26F602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53" w:hRule="atLeast"/>
          <w:jc w:val="center"/>
        </w:trPr>
        <w:tc>
          <w:tcPr>
            <w:tcW w:w="456" w:type="pct"/>
            <w:tcBorders>
              <w:top w:val="nil"/>
            </w:tcBorders>
            <w:shd w:val="clear" w:color="auto" w:fill="FFFFFF"/>
            <w:vAlign w:val="center"/>
          </w:tcPr>
          <w:p w14:paraId="67979469">
            <w:pPr>
              <w:spacing w:line="360" w:lineRule="auto"/>
              <w:ind w:firstLine="323" w:firstLineChars="0"/>
              <w:rPr>
                <w:rFonts w:cs="宋体" w:asciiTheme="minorEastAsia" w:hAnsiTheme="minorEastAsia" w:eastAsiaTheme="minorEastAsia"/>
                <w:szCs w:val="21"/>
              </w:rPr>
            </w:pPr>
          </w:p>
        </w:tc>
        <w:tc>
          <w:tcPr>
            <w:tcW w:w="554" w:type="pct"/>
            <w:tcBorders>
              <w:top w:val="nil"/>
            </w:tcBorders>
            <w:shd w:val="clear" w:color="auto" w:fill="FFFFFF"/>
            <w:vAlign w:val="center"/>
          </w:tcPr>
          <w:p w14:paraId="4E27D354">
            <w:pPr>
              <w:spacing w:line="360" w:lineRule="auto"/>
              <w:jc w:val="center"/>
              <w:rPr>
                <w:rFonts w:cs="宋体" w:asciiTheme="minorEastAsia" w:hAnsiTheme="minorEastAsia" w:eastAsiaTheme="minorEastAsia"/>
                <w:szCs w:val="21"/>
              </w:rPr>
            </w:pPr>
          </w:p>
        </w:tc>
        <w:tc>
          <w:tcPr>
            <w:tcW w:w="718" w:type="pct"/>
            <w:shd w:val="clear" w:color="auto" w:fill="FFFFFF"/>
            <w:tcMar>
              <w:top w:w="0" w:type="dxa"/>
              <w:left w:w="108" w:type="dxa"/>
              <w:bottom w:w="0" w:type="dxa"/>
              <w:right w:w="108" w:type="dxa"/>
            </w:tcMar>
            <w:vAlign w:val="center"/>
          </w:tcPr>
          <w:p w14:paraId="41F38E8A">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主要技术人员</w:t>
            </w:r>
          </w:p>
          <w:p w14:paraId="5A4EDD32">
            <w:pPr>
              <w:widowControl/>
              <w:jc w:val="center"/>
              <w:rPr>
                <w:rFonts w:hint="eastAsia" w:ascii="宋体" w:hAnsi="宋体" w:eastAsia="宋体" w:cs="宋体"/>
                <w:color w:val="auto"/>
                <w:kern w:val="2"/>
                <w:sz w:val="21"/>
                <w:szCs w:val="21"/>
                <w:lang w:val="en-US" w:eastAsia="zh-CN" w:bidi="ar-SA"/>
              </w:rPr>
            </w:pPr>
            <w:r>
              <w:rPr>
                <w:rFonts w:hint="default" w:ascii="Times New Roman" w:hAnsi="Times New Roman" w:cs="Times New Roman"/>
                <w:color w:val="auto"/>
                <w:szCs w:val="21"/>
              </w:rPr>
              <w:t>（</w:t>
            </w:r>
            <w:r>
              <w:rPr>
                <w:rFonts w:hint="eastAsia" w:cs="Times New Roman"/>
                <w:color w:val="auto"/>
                <w:szCs w:val="21"/>
                <w:lang w:val="en-US" w:eastAsia="zh-CN"/>
              </w:rPr>
              <w:t>9</w:t>
            </w:r>
            <w:r>
              <w:rPr>
                <w:rFonts w:hint="default" w:ascii="Times New Roman" w:hAnsi="Times New Roman" w:cs="Times New Roman"/>
                <w:color w:val="auto"/>
                <w:szCs w:val="21"/>
              </w:rPr>
              <w:t>分）</w:t>
            </w:r>
          </w:p>
        </w:tc>
        <w:tc>
          <w:tcPr>
            <w:tcW w:w="3270" w:type="pct"/>
            <w:shd w:val="clear" w:color="auto" w:fill="FFFFFF"/>
            <w:tcMar>
              <w:top w:w="0" w:type="dxa"/>
              <w:left w:w="108" w:type="dxa"/>
              <w:bottom w:w="0" w:type="dxa"/>
              <w:right w:w="108" w:type="dxa"/>
            </w:tcMar>
            <w:vAlign w:val="center"/>
          </w:tcPr>
          <w:p w14:paraId="4EEA9B9E">
            <w:pPr>
              <w:spacing w:line="360" w:lineRule="auto"/>
              <w:rPr>
                <w:rFonts w:hint="default" w:ascii="宋体" w:hAnsi="宋体" w:eastAsia="宋体" w:cs="Times New Roman"/>
                <w:color w:val="auto"/>
                <w:szCs w:val="21"/>
                <w:highlight w:val="none"/>
                <w:lang w:val="zh-CN"/>
              </w:rPr>
            </w:pPr>
            <w:r>
              <w:rPr>
                <w:rFonts w:hint="default" w:ascii="宋体" w:hAnsi="宋体" w:eastAsia="宋体" w:cs="Times New Roman"/>
                <w:color w:val="auto"/>
                <w:szCs w:val="21"/>
                <w:highlight w:val="none"/>
                <w:lang w:val="zh-CN"/>
              </w:rPr>
              <w:t>主要技术人员（项目负责人和技术负责人除外）：</w:t>
            </w:r>
          </w:p>
          <w:p w14:paraId="1595721C">
            <w:pPr>
              <w:spacing w:line="360" w:lineRule="auto"/>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zh-CN"/>
              </w:rPr>
              <w:t>（1）</w:t>
            </w:r>
            <w:r>
              <w:rPr>
                <w:rFonts w:hint="default" w:ascii="宋体" w:hAnsi="宋体" w:eastAsia="宋体" w:cs="Times New Roman"/>
                <w:color w:val="auto"/>
                <w:szCs w:val="21"/>
                <w:highlight w:val="none"/>
                <w:lang w:val="en-US"/>
              </w:rPr>
              <w:t>拟投入的主要技术人员</w:t>
            </w:r>
            <w:r>
              <w:rPr>
                <w:rFonts w:hint="default" w:ascii="宋体" w:hAnsi="宋体" w:eastAsia="宋体" w:cs="Times New Roman"/>
                <w:color w:val="auto"/>
                <w:szCs w:val="21"/>
                <w:highlight w:val="none"/>
                <w:lang w:eastAsia="zh-Hans"/>
              </w:rPr>
              <w:t>持有建设行政主管部门或其委托的机构、行业协会颁发的检测员证或检测鉴定培训合格证的</w:t>
            </w:r>
            <w:r>
              <w:rPr>
                <w:rFonts w:hint="default" w:ascii="宋体" w:hAnsi="宋体" w:eastAsia="宋体" w:cs="Times New Roman"/>
                <w:color w:val="auto"/>
                <w:szCs w:val="21"/>
                <w:highlight w:val="none"/>
                <w:lang w:val="en-US"/>
              </w:rPr>
              <w:t>，每人得0.</w:t>
            </w:r>
            <w:r>
              <w:rPr>
                <w:rFonts w:hint="eastAsia" w:ascii="宋体" w:hAnsi="宋体" w:eastAsia="宋体" w:cs="Times New Roman"/>
                <w:color w:val="auto"/>
                <w:szCs w:val="21"/>
                <w:highlight w:val="none"/>
                <w:lang w:val="en-US" w:eastAsia="zh-CN"/>
              </w:rPr>
              <w:t>25</w:t>
            </w:r>
            <w:r>
              <w:rPr>
                <w:rFonts w:hint="default" w:ascii="宋体" w:hAnsi="宋体" w:eastAsia="宋体" w:cs="Times New Roman"/>
                <w:color w:val="auto"/>
                <w:szCs w:val="21"/>
                <w:highlight w:val="none"/>
                <w:lang w:val="en-US"/>
              </w:rPr>
              <w:t>分，本小项最高得</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rPr>
              <w:t>分；</w:t>
            </w:r>
          </w:p>
          <w:p w14:paraId="3845F669">
            <w:pPr>
              <w:spacing w:line="360" w:lineRule="auto"/>
              <w:rPr>
                <w:rFonts w:hint="eastAsia" w:ascii="Times New Roman" w:hAnsi="Times New Roman" w:eastAsia="宋体" w:cs="Times New Roman"/>
                <w:b w:val="0"/>
                <w:bCs w:val="0"/>
                <w:color w:val="auto"/>
                <w:kern w:val="2"/>
                <w:sz w:val="21"/>
                <w:szCs w:val="21"/>
                <w:highlight w:val="none"/>
                <w:lang w:val="en-US" w:eastAsia="zh-CN"/>
              </w:rPr>
            </w:pPr>
            <w:r>
              <w:rPr>
                <w:rFonts w:hint="default" w:ascii="宋体" w:hAnsi="宋体" w:eastAsia="宋体" w:cs="Times New Roman"/>
                <w:color w:val="auto"/>
                <w:szCs w:val="21"/>
                <w:highlight w:val="none"/>
                <w:lang w:val="en-US"/>
              </w:rPr>
              <w:t>（2）</w:t>
            </w:r>
            <w:r>
              <w:rPr>
                <w:rFonts w:hint="default" w:ascii="宋体" w:hAnsi="宋体" w:eastAsia="宋体" w:cs="Times New Roman"/>
                <w:color w:val="auto"/>
                <w:szCs w:val="21"/>
                <w:highlight w:val="none"/>
                <w:lang w:val="en-US" w:eastAsia="zh-Hans"/>
              </w:rPr>
              <w:t>符合上述第（1）点的技术人员中，</w:t>
            </w:r>
            <w:r>
              <w:rPr>
                <w:rFonts w:hint="eastAsia" w:ascii="宋体" w:hAnsi="宋体" w:eastAsia="宋体" w:cs="Times New Roman"/>
                <w:color w:val="auto"/>
                <w:szCs w:val="21"/>
                <w:highlight w:val="none"/>
                <w:lang w:val="en-US" w:eastAsia="zh-CN"/>
              </w:rPr>
              <w:t>持有注册土木工程师（岩土）证书的人员加</w:t>
            </w: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分，</w:t>
            </w:r>
            <w:r>
              <w:rPr>
                <w:rFonts w:hint="default" w:ascii="宋体" w:hAnsi="宋体" w:eastAsia="宋体" w:cs="Times New Roman"/>
                <w:color w:val="auto"/>
                <w:szCs w:val="21"/>
                <w:highlight w:val="none"/>
                <w:lang w:val="en-US"/>
              </w:rPr>
              <w:t>本小项最高加</w:t>
            </w:r>
            <w:r>
              <w:rPr>
                <w:rFonts w:hint="eastAsia" w:ascii="宋体" w:hAnsi="宋体" w:cs="Times New Roman"/>
                <w:color w:val="auto"/>
                <w:szCs w:val="21"/>
                <w:highlight w:val="none"/>
                <w:lang w:val="en-US" w:eastAsia="zh-CN"/>
              </w:rPr>
              <w:t>5</w:t>
            </w:r>
            <w:r>
              <w:rPr>
                <w:rFonts w:hint="default" w:ascii="宋体" w:hAnsi="宋体" w:eastAsia="宋体" w:cs="Times New Roman"/>
                <w:color w:val="auto"/>
                <w:szCs w:val="21"/>
                <w:highlight w:val="none"/>
                <w:lang w:val="en-US"/>
              </w:rPr>
              <w:t>分</w:t>
            </w:r>
            <w:r>
              <w:rPr>
                <w:rFonts w:hint="eastAsia" w:ascii="宋体" w:hAnsi="宋体" w:eastAsia="宋体" w:cs="Times New Roman"/>
                <w:color w:val="auto"/>
                <w:szCs w:val="21"/>
                <w:highlight w:val="none"/>
                <w:lang w:val="en-US" w:eastAsia="zh-CN"/>
              </w:rPr>
              <w:t>。</w:t>
            </w:r>
          </w:p>
          <w:p w14:paraId="7893CC26">
            <w:pPr>
              <w:widowControl/>
              <w:spacing w:line="360" w:lineRule="auto"/>
              <w:jc w:val="left"/>
              <w:rPr>
                <w:rFonts w:hint="eastAsia" w:ascii="宋体" w:hAnsi="宋体" w:eastAsia="黑体" w:cs="宋体"/>
                <w:b/>
                <w:bCs/>
                <w:color w:val="auto"/>
                <w:kern w:val="0"/>
                <w:sz w:val="36"/>
                <w:szCs w:val="21"/>
                <w:lang w:val="zh-CN" w:eastAsia="zh-CN" w:bidi="ar-SA"/>
              </w:rPr>
            </w:pPr>
            <w:r>
              <w:rPr>
                <w:rFonts w:hint="default" w:ascii="Times New Roman" w:hAnsi="Times New Roman" w:cs="Times New Roman"/>
                <w:color w:val="auto"/>
                <w:szCs w:val="21"/>
                <w:highlight w:val="none"/>
                <w:lang w:val="en-US"/>
              </w:rPr>
              <w:t>注：须提供相关证书</w:t>
            </w:r>
            <w:r>
              <w:rPr>
                <w:rFonts w:hint="eastAsia" w:ascii="Times New Roman" w:hAnsi="Times New Roman" w:cs="Times New Roman"/>
                <w:color w:val="auto"/>
                <w:szCs w:val="21"/>
                <w:highlight w:val="none"/>
                <w:lang w:val="en-US" w:eastAsia="zh-CN"/>
              </w:rPr>
              <w:t>（有效期内）</w:t>
            </w:r>
            <w:r>
              <w:rPr>
                <w:rFonts w:hint="default" w:ascii="Times New Roman" w:hAnsi="Times New Roman" w:cs="Times New Roman"/>
                <w:color w:val="auto"/>
                <w:szCs w:val="21"/>
                <w:highlight w:val="none"/>
                <w:lang w:val="en-US"/>
              </w:rPr>
              <w:t>、近一个月（即202</w:t>
            </w:r>
            <w:r>
              <w:rPr>
                <w:rFonts w:hint="default" w:ascii="Times New Roman" w:hAnsi="Times New Roman" w:cs="Times New Roman"/>
                <w:color w:val="auto"/>
                <w:szCs w:val="21"/>
                <w:highlight w:val="none"/>
                <w:lang w:val="en-US" w:eastAsia="zh-CN"/>
              </w:rPr>
              <w:t>4</w:t>
            </w:r>
            <w:r>
              <w:rPr>
                <w:rFonts w:hint="default" w:ascii="Times New Roman" w:hAnsi="Times New Roman" w:cs="Times New Roman"/>
                <w:color w:val="auto"/>
                <w:szCs w:val="21"/>
                <w:highlight w:val="none"/>
                <w:lang w:val="en-US"/>
              </w:rPr>
              <w:t>年</w:t>
            </w:r>
            <w:r>
              <w:rPr>
                <w:rFonts w:hint="eastAsia" w:cs="Times New Roman"/>
                <w:color w:val="auto"/>
                <w:szCs w:val="21"/>
                <w:highlight w:val="none"/>
                <w:lang w:val="en-US" w:eastAsia="zh-CN"/>
              </w:rPr>
              <w:t>5</w:t>
            </w:r>
            <w:r>
              <w:rPr>
                <w:rFonts w:hint="default" w:ascii="Times New Roman" w:hAnsi="Times New Roman" w:cs="Times New Roman"/>
                <w:color w:val="auto"/>
                <w:szCs w:val="21"/>
                <w:highlight w:val="none"/>
                <w:lang w:val="en-US"/>
              </w:rPr>
              <w:t>月）社保等证明材料的清</w:t>
            </w:r>
            <w:r>
              <w:rPr>
                <w:rFonts w:hint="default" w:ascii="Times New Roman" w:hAnsi="Times New Roman" w:cs="Times New Roman"/>
                <w:color w:val="auto"/>
                <w:szCs w:val="21"/>
                <w:lang w:val="zh-CN"/>
              </w:rPr>
              <w:t>晰扫描件。</w:t>
            </w:r>
          </w:p>
        </w:tc>
      </w:tr>
      <w:tr w14:paraId="098323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79" w:hRule="atLeast"/>
          <w:jc w:val="center"/>
        </w:trPr>
        <w:tc>
          <w:tcPr>
            <w:tcW w:w="456" w:type="pct"/>
            <w:vMerge w:val="restart"/>
            <w:shd w:val="clear" w:color="auto" w:fill="FFFFFF"/>
            <w:tcMar>
              <w:top w:w="0" w:type="dxa"/>
              <w:left w:w="108" w:type="dxa"/>
              <w:bottom w:w="0" w:type="dxa"/>
              <w:right w:w="108" w:type="dxa"/>
            </w:tcMar>
            <w:vAlign w:val="center"/>
          </w:tcPr>
          <w:p w14:paraId="2363CBA5">
            <w:pPr>
              <w:spacing w:line="360" w:lineRule="auto"/>
              <w:jc w:val="center"/>
              <w:rPr>
                <w:rFonts w:cs="宋体" w:asciiTheme="minorEastAsia" w:hAnsiTheme="minorEastAsia" w:eastAsiaTheme="minorEastAsia"/>
                <w:szCs w:val="21"/>
              </w:rPr>
            </w:pPr>
            <w:r>
              <w:rPr>
                <w:rFonts w:hint="default" w:ascii="Times New Roman" w:hAnsi="Times New Roman" w:eastAsia="宋体" w:cs="Times New Roman"/>
                <w:szCs w:val="21"/>
              </w:rPr>
              <w:t>2.2.4（2）</w:t>
            </w:r>
          </w:p>
        </w:tc>
        <w:tc>
          <w:tcPr>
            <w:tcW w:w="554" w:type="pct"/>
            <w:vMerge w:val="restart"/>
            <w:shd w:val="clear" w:color="auto" w:fill="FFFFFF"/>
            <w:tcMar>
              <w:top w:w="0" w:type="dxa"/>
              <w:left w:w="108" w:type="dxa"/>
              <w:bottom w:w="0" w:type="dxa"/>
              <w:right w:w="108" w:type="dxa"/>
            </w:tcMar>
            <w:vAlign w:val="center"/>
          </w:tcPr>
          <w:p w14:paraId="04327831">
            <w:pPr>
              <w:spacing w:line="360" w:lineRule="auto"/>
              <w:rPr>
                <w:rFonts w:cs="宋体" w:asciiTheme="minorEastAsia" w:hAnsiTheme="minorEastAsia" w:eastAsiaTheme="minorEastAsia"/>
                <w:color w:val="auto"/>
                <w:szCs w:val="21"/>
              </w:rPr>
            </w:pPr>
            <w:r>
              <w:rPr>
                <w:rFonts w:hint="default" w:ascii="Times New Roman" w:hAnsi="Times New Roman" w:eastAsia="宋体" w:cs="Times New Roman"/>
                <w:color w:val="auto"/>
                <w:szCs w:val="21"/>
                <w:lang w:val="en-US" w:eastAsia="zh-CN"/>
              </w:rPr>
              <w:t>技术部分</w:t>
            </w:r>
            <w:r>
              <w:rPr>
                <w:rFonts w:hint="default" w:ascii="Times New Roman" w:hAnsi="Times New Roman" w:eastAsia="宋体" w:cs="Times New Roman"/>
                <w:color w:val="auto"/>
                <w:szCs w:val="21"/>
              </w:rPr>
              <w:t>评分标准（</w:t>
            </w:r>
            <w:r>
              <w:rPr>
                <w:rFonts w:hint="eastAsia" w:cs="Times New Roman"/>
                <w:color w:val="auto"/>
                <w:szCs w:val="21"/>
                <w:lang w:val="en-US" w:eastAsia="zh-CN"/>
              </w:rPr>
              <w:t>2</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分）</w:t>
            </w:r>
          </w:p>
        </w:tc>
        <w:tc>
          <w:tcPr>
            <w:tcW w:w="718" w:type="pct"/>
            <w:shd w:val="clear" w:color="auto" w:fill="FFFFFF"/>
            <w:tcMar>
              <w:top w:w="0" w:type="dxa"/>
              <w:left w:w="108" w:type="dxa"/>
              <w:bottom w:w="0" w:type="dxa"/>
              <w:right w:w="108" w:type="dxa"/>
            </w:tcMar>
            <w:vAlign w:val="center"/>
          </w:tcPr>
          <w:p w14:paraId="63ED4C03">
            <w:pPr>
              <w:widowControl/>
              <w:jc w:val="center"/>
              <w:rPr>
                <w:rFonts w:hint="default" w:ascii="Times New Roman" w:hAnsi="Times New Roman" w:eastAsia="宋体" w:cs="Times New Roman"/>
                <w:color w:val="auto"/>
                <w:kern w:val="2"/>
                <w:sz w:val="21"/>
                <w:szCs w:val="21"/>
                <w:lang w:val="en-US" w:eastAsia="zh-CN" w:bidi="ar-SA"/>
              </w:rPr>
            </w:pPr>
            <w:r>
              <w:rPr>
                <w:rStyle w:val="38"/>
                <w:rFonts w:hint="eastAsia" w:ascii="宋体" w:hAnsi="宋体"/>
                <w:b w:val="0"/>
                <w:i w:val="0"/>
                <w:caps w:val="0"/>
                <w:color w:val="auto"/>
                <w:spacing w:val="0"/>
                <w:w w:val="100"/>
                <w:kern w:val="2"/>
                <w:sz w:val="21"/>
                <w:szCs w:val="21"/>
                <w:highlight w:val="none"/>
                <w:lang w:val="en-US" w:eastAsia="zh-CN" w:bidi="ar-SA"/>
              </w:rPr>
              <w:t>项目理解情况</w:t>
            </w:r>
            <w:r>
              <w:rPr>
                <w:rFonts w:hint="eastAsia" w:ascii="Times New Roman" w:hAnsi="Times New Roman" w:eastAsia="宋体" w:cs="Times New Roman"/>
                <w:color w:val="auto"/>
                <w:szCs w:val="21"/>
                <w:lang w:val="en-US" w:eastAsia="zh-CN"/>
              </w:rPr>
              <w:t>（</w:t>
            </w:r>
            <w:r>
              <w:rPr>
                <w:rFonts w:hint="eastAsia" w:cs="Times New Roman"/>
                <w:color w:val="auto"/>
                <w:szCs w:val="21"/>
                <w:lang w:val="en-US" w:eastAsia="zh-CN"/>
              </w:rPr>
              <w:t>2</w:t>
            </w:r>
            <w:r>
              <w:rPr>
                <w:rFonts w:hint="eastAsia" w:ascii="Times New Roman" w:hAnsi="Times New Roman" w:eastAsia="宋体" w:cs="Times New Roman"/>
                <w:color w:val="auto"/>
                <w:szCs w:val="21"/>
                <w:lang w:val="en-US" w:eastAsia="zh-CN"/>
              </w:rPr>
              <w:t>分）</w:t>
            </w:r>
          </w:p>
        </w:tc>
        <w:tc>
          <w:tcPr>
            <w:tcW w:w="3270" w:type="pct"/>
            <w:shd w:val="clear" w:color="auto" w:fill="FFFFFF"/>
            <w:tcMar>
              <w:top w:w="0" w:type="dxa"/>
              <w:left w:w="108" w:type="dxa"/>
              <w:bottom w:w="0" w:type="dxa"/>
              <w:right w:w="108" w:type="dxa"/>
            </w:tcMar>
            <w:vAlign w:val="center"/>
          </w:tcPr>
          <w:p w14:paraId="178D9DA8">
            <w:pPr>
              <w:pStyle w:val="2"/>
              <w:ind w:firstLine="0" w:firstLineChars="0"/>
              <w:rPr>
                <w:rFonts w:hint="eastAsia" w:ascii="宋体" w:hAnsi="宋体"/>
                <w:color w:val="auto"/>
                <w:szCs w:val="21"/>
                <w:highlight w:val="none"/>
                <w:lang w:eastAsia="zh-CN"/>
              </w:rPr>
            </w:pPr>
            <w:r>
              <w:rPr>
                <w:rFonts w:hint="eastAsia" w:ascii="宋体" w:hAnsi="宋体"/>
                <w:color w:val="auto"/>
                <w:szCs w:val="21"/>
                <w:highlight w:val="none"/>
                <w:lang w:eastAsia="zh-CN"/>
              </w:rPr>
              <w:t xml:space="preserve">根据投标人对本项目的理解程度（包括但不限于：对项目背景和工作内容的了解、目标地概况的了解及分析、对实施任务相关法律法规的把握等）进行综合评审： </w:t>
            </w:r>
          </w:p>
          <w:p w14:paraId="373A98E1">
            <w:pPr>
              <w:pStyle w:val="2"/>
              <w:ind w:firstLine="0" w:firstLineChars="0"/>
              <w:rPr>
                <w:rFonts w:hint="eastAsia" w:ascii="宋体" w:hAnsi="宋体"/>
                <w:color w:val="auto"/>
                <w:szCs w:val="21"/>
                <w:highlight w:val="none"/>
                <w:lang w:eastAsia="zh-CN"/>
              </w:rPr>
            </w:pPr>
            <w:r>
              <w:rPr>
                <w:rFonts w:hint="eastAsia" w:ascii="宋体" w:hAnsi="宋体"/>
                <w:color w:val="auto"/>
                <w:szCs w:val="21"/>
                <w:highlight w:val="none"/>
                <w:lang w:eastAsia="zh-CN"/>
              </w:rPr>
              <w:t>1、对本项目整体有充分的理解及认识，对项目内容及要求有完整、明确的分析，得</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 xml:space="preserve">分； </w:t>
            </w:r>
          </w:p>
          <w:p w14:paraId="7BF29277">
            <w:pPr>
              <w:pStyle w:val="2"/>
              <w:ind w:firstLine="0" w:firstLineChars="0"/>
              <w:rPr>
                <w:rFonts w:hint="eastAsia" w:ascii="宋体" w:hAnsi="宋体"/>
                <w:color w:val="auto"/>
                <w:szCs w:val="21"/>
                <w:highlight w:val="none"/>
                <w:lang w:eastAsia="zh-CN"/>
              </w:rPr>
            </w:pPr>
            <w:r>
              <w:rPr>
                <w:rFonts w:hint="eastAsia" w:ascii="宋体" w:hAnsi="宋体"/>
                <w:color w:val="auto"/>
                <w:szCs w:val="21"/>
                <w:highlight w:val="none"/>
                <w:lang w:eastAsia="zh-CN"/>
              </w:rPr>
              <w:t>2、对本项目整体的理解及认识有一定的程度，对项目内容及要求有对应的分析，得</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 xml:space="preserve">分； </w:t>
            </w:r>
          </w:p>
          <w:p w14:paraId="7CC7353E">
            <w:pPr>
              <w:pStyle w:val="2"/>
              <w:ind w:firstLine="0" w:firstLineChars="0"/>
              <w:rPr>
                <w:rFonts w:hint="eastAsia" w:ascii="宋体" w:hAnsi="宋体"/>
                <w:color w:val="auto"/>
                <w:szCs w:val="21"/>
                <w:highlight w:val="none"/>
                <w:lang w:eastAsia="zh-CN"/>
              </w:rPr>
            </w:pPr>
            <w:r>
              <w:rPr>
                <w:rFonts w:hint="eastAsia" w:ascii="宋体" w:hAnsi="宋体"/>
                <w:color w:val="auto"/>
                <w:szCs w:val="21"/>
                <w:highlight w:val="none"/>
                <w:lang w:eastAsia="zh-CN"/>
              </w:rPr>
              <w:t>3、对本项目整体的理解及认识程度一般，对项目内容及要求的分析简单</w:t>
            </w:r>
            <w:r>
              <w:rPr>
                <w:rFonts w:hint="eastAsia" w:ascii="宋体" w:hAnsi="宋体"/>
                <w:color w:val="auto"/>
                <w:szCs w:val="21"/>
                <w:highlight w:val="none"/>
                <w:lang w:val="en-US" w:eastAsia="zh-CN"/>
              </w:rPr>
              <w:t>或</w:t>
            </w:r>
            <w:r>
              <w:rPr>
                <w:rStyle w:val="38"/>
                <w:rFonts w:hint="eastAsia" w:ascii="宋体" w:hAnsi="宋体" w:eastAsia="宋体"/>
                <w:b w:val="0"/>
                <w:i w:val="0"/>
                <w:caps w:val="0"/>
                <w:color w:val="auto"/>
                <w:spacing w:val="0"/>
                <w:w w:val="100"/>
                <w:kern w:val="2"/>
                <w:sz w:val="21"/>
                <w:szCs w:val="21"/>
                <w:highlight w:val="none"/>
                <w:lang w:val="en-US" w:eastAsia="zh-CN" w:bidi="ar-SA"/>
              </w:rPr>
              <w:t>无提供相关内容</w:t>
            </w:r>
            <w:r>
              <w:rPr>
                <w:rFonts w:hint="eastAsia" w:ascii="宋体" w:hAnsi="宋体"/>
                <w:color w:val="auto"/>
                <w:szCs w:val="21"/>
                <w:highlight w:val="none"/>
                <w:lang w:eastAsia="zh-CN"/>
              </w:rPr>
              <w:t>，得</w:t>
            </w:r>
            <w:r>
              <w:rPr>
                <w:rFonts w:hint="eastAsia" w:ascii="宋体" w:hAnsi="宋体"/>
                <w:color w:val="auto"/>
                <w:szCs w:val="21"/>
                <w:highlight w:val="none"/>
                <w:lang w:val="en-US" w:eastAsia="zh-CN"/>
              </w:rPr>
              <w:t>0</w:t>
            </w:r>
            <w:r>
              <w:rPr>
                <w:rFonts w:hint="eastAsia" w:ascii="宋体" w:hAnsi="宋体"/>
                <w:color w:val="auto"/>
                <w:szCs w:val="21"/>
                <w:highlight w:val="none"/>
                <w:lang w:eastAsia="zh-CN"/>
              </w:rPr>
              <w:t xml:space="preserve">分。 </w:t>
            </w:r>
          </w:p>
          <w:p w14:paraId="3DC4C7FC">
            <w:pPr>
              <w:widowControl/>
              <w:spacing w:line="360" w:lineRule="auto"/>
              <w:jc w:val="left"/>
              <w:rPr>
                <w:rFonts w:ascii="Times New Roman" w:hAnsi="Times New Roman" w:eastAsia="宋体" w:cs="Times New Roman"/>
                <w:b/>
                <w:bCs/>
                <w:kern w:val="2"/>
                <w:sz w:val="21"/>
                <w:szCs w:val="21"/>
                <w:lang w:val="en-US" w:eastAsia="zh-CN" w:bidi="ar-SA"/>
              </w:rPr>
            </w:pPr>
          </w:p>
        </w:tc>
      </w:tr>
      <w:tr w14:paraId="20BE2E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292" w:hRule="atLeast"/>
          <w:jc w:val="center"/>
        </w:trPr>
        <w:tc>
          <w:tcPr>
            <w:tcW w:w="456" w:type="pct"/>
            <w:vMerge w:val="continue"/>
            <w:shd w:val="clear" w:color="auto" w:fill="FFFFFF"/>
            <w:tcMar>
              <w:top w:w="0" w:type="dxa"/>
              <w:left w:w="108" w:type="dxa"/>
              <w:bottom w:w="0" w:type="dxa"/>
              <w:right w:w="108" w:type="dxa"/>
            </w:tcMar>
            <w:vAlign w:val="center"/>
          </w:tcPr>
          <w:p w14:paraId="0713F08E">
            <w:pPr>
              <w:spacing w:line="360" w:lineRule="auto"/>
              <w:jc w:val="center"/>
              <w:rPr>
                <w:rFonts w:hint="default" w:ascii="Times New Roman" w:hAnsi="Times New Roman" w:eastAsia="宋体" w:cs="Times New Roman"/>
                <w:szCs w:val="21"/>
              </w:rPr>
            </w:pPr>
          </w:p>
        </w:tc>
        <w:tc>
          <w:tcPr>
            <w:tcW w:w="554" w:type="pct"/>
            <w:vMerge w:val="continue"/>
            <w:shd w:val="clear" w:color="auto" w:fill="FFFFFF"/>
            <w:tcMar>
              <w:top w:w="0" w:type="dxa"/>
              <w:left w:w="108" w:type="dxa"/>
              <w:bottom w:w="0" w:type="dxa"/>
              <w:right w:w="108" w:type="dxa"/>
            </w:tcMar>
            <w:vAlign w:val="center"/>
          </w:tcPr>
          <w:p w14:paraId="6900FBD2">
            <w:pPr>
              <w:spacing w:line="360" w:lineRule="auto"/>
              <w:rPr>
                <w:rFonts w:hint="default" w:ascii="Times New Roman" w:hAnsi="Times New Roman" w:eastAsia="宋体" w:cs="Times New Roman"/>
                <w:color w:val="auto"/>
                <w:szCs w:val="21"/>
                <w:lang w:val="en-US" w:eastAsia="zh-CN"/>
              </w:rPr>
            </w:pPr>
          </w:p>
        </w:tc>
        <w:tc>
          <w:tcPr>
            <w:tcW w:w="718" w:type="pct"/>
            <w:shd w:val="clear" w:color="auto" w:fill="FFFFFF"/>
            <w:tcMar>
              <w:top w:w="0" w:type="dxa"/>
              <w:left w:w="108" w:type="dxa"/>
              <w:bottom w:w="0" w:type="dxa"/>
              <w:right w:w="108" w:type="dxa"/>
            </w:tcMar>
            <w:vAlign w:val="center"/>
          </w:tcPr>
          <w:p w14:paraId="036D387D">
            <w:pPr>
              <w:widowControl/>
              <w:jc w:val="center"/>
              <w:rPr>
                <w:color w:val="auto"/>
                <w:highlight w:val="none"/>
              </w:rPr>
            </w:pPr>
            <w:r>
              <w:rPr>
                <w:color w:val="auto"/>
                <w:highlight w:val="none"/>
              </w:rPr>
              <w:t>项目重点难点分析</w:t>
            </w:r>
          </w:p>
          <w:p w14:paraId="72D65C6F">
            <w:pPr>
              <w:widowControl/>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t>
            </w:r>
            <w:r>
              <w:rPr>
                <w:rFonts w:hint="eastAsia" w:cs="Times New Roman"/>
                <w:color w:val="auto"/>
                <w:szCs w:val="21"/>
                <w:lang w:val="en-US" w:eastAsia="zh-CN"/>
              </w:rPr>
              <w:t>8</w:t>
            </w:r>
            <w:r>
              <w:rPr>
                <w:rFonts w:hint="eastAsia" w:ascii="Times New Roman" w:hAnsi="Times New Roman" w:eastAsia="宋体" w:cs="Times New Roman"/>
                <w:color w:val="auto"/>
                <w:szCs w:val="21"/>
                <w:lang w:val="en-US" w:eastAsia="zh-CN"/>
              </w:rPr>
              <w:t>分）</w:t>
            </w:r>
          </w:p>
        </w:tc>
        <w:tc>
          <w:tcPr>
            <w:tcW w:w="3270" w:type="pct"/>
            <w:shd w:val="clear" w:color="auto" w:fill="FFFFFF"/>
            <w:tcMar>
              <w:top w:w="0" w:type="dxa"/>
              <w:left w:w="108" w:type="dxa"/>
              <w:bottom w:w="0" w:type="dxa"/>
              <w:right w:w="108" w:type="dxa"/>
            </w:tcMar>
            <w:vAlign w:val="center"/>
          </w:tcPr>
          <w:p w14:paraId="5B9FF9F0">
            <w:pPr>
              <w:pStyle w:val="2"/>
              <w:ind w:firstLine="0" w:firstLineChars="0"/>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根据投标人对本项目具体情况分析并提出项目的重点和难点及针对性的合理化建议进行综合评审： </w:t>
            </w:r>
          </w:p>
          <w:p w14:paraId="4D08BF86">
            <w:pPr>
              <w:pStyle w:val="2"/>
              <w:numPr>
                <w:ilvl w:val="0"/>
                <w:numId w:val="4"/>
              </w:numPr>
              <w:ind w:firstLine="0" w:firstLineChars="0"/>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项目重点难点分析及合理化建议全面、准确、针对性强，得</w:t>
            </w:r>
            <w:r>
              <w:rPr>
                <w:rStyle w:val="38"/>
                <w:rFonts w:hint="eastAsia" w:ascii="宋体" w:hAnsi="宋体"/>
                <w:b w:val="0"/>
                <w:i w:val="0"/>
                <w:caps w:val="0"/>
                <w:color w:val="auto"/>
                <w:spacing w:val="0"/>
                <w:w w:val="100"/>
                <w:kern w:val="2"/>
                <w:sz w:val="21"/>
                <w:szCs w:val="21"/>
                <w:highlight w:val="none"/>
                <w:lang w:val="en-US" w:eastAsia="zh-CN" w:bidi="ar-SA"/>
              </w:rPr>
              <w:t>8</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113927C0">
            <w:pPr>
              <w:pStyle w:val="2"/>
              <w:numPr>
                <w:ilvl w:val="0"/>
                <w:numId w:val="4"/>
              </w:numPr>
              <w:ind w:firstLine="0" w:firstLineChars="0"/>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项目重点难点分析及合理化建议基本准确，有一定针对性，得</w:t>
            </w:r>
            <w:r>
              <w:rPr>
                <w:rStyle w:val="38"/>
                <w:rFonts w:hint="eastAsia" w:ascii="宋体" w:hAnsi="宋体"/>
                <w:b w:val="0"/>
                <w:i w:val="0"/>
                <w:caps w:val="0"/>
                <w:color w:val="auto"/>
                <w:spacing w:val="0"/>
                <w:w w:val="100"/>
                <w:kern w:val="2"/>
                <w:sz w:val="21"/>
                <w:szCs w:val="21"/>
                <w:highlight w:val="none"/>
                <w:lang w:val="en-US" w:eastAsia="zh-CN" w:bidi="ar-SA"/>
              </w:rPr>
              <w:t>4</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5855AF7F">
            <w:pPr>
              <w:pStyle w:val="2"/>
              <w:numPr>
                <w:ilvl w:val="0"/>
                <w:numId w:val="4"/>
              </w:numPr>
              <w:ind w:firstLine="0" w:firstLineChars="0"/>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项目重点难点分析及合理化建议不够准确，没有针对性，得</w:t>
            </w:r>
            <w:r>
              <w:rPr>
                <w:rStyle w:val="38"/>
                <w:rFonts w:hint="eastAsia" w:ascii="宋体" w:hAnsi="宋体"/>
                <w:b w:val="0"/>
                <w:i w:val="0"/>
                <w:caps w:val="0"/>
                <w:color w:val="auto"/>
                <w:spacing w:val="0"/>
                <w:w w:val="100"/>
                <w:kern w:val="2"/>
                <w:sz w:val="21"/>
                <w:szCs w:val="21"/>
                <w:highlight w:val="none"/>
                <w:lang w:val="en-US" w:eastAsia="zh-CN" w:bidi="ar-SA"/>
              </w:rPr>
              <w:t>2</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47F054E2">
            <w:pPr>
              <w:widowControl/>
              <w:spacing w:line="360" w:lineRule="auto"/>
              <w:jc w:val="left"/>
              <w:rPr>
                <w:rFonts w:hint="default" w:ascii="Times New Roman" w:hAnsi="Times New Roman" w:eastAsia="宋体" w:cs="Times New Roman"/>
                <w:color w:val="auto"/>
                <w:kern w:val="2"/>
                <w:sz w:val="21"/>
                <w:szCs w:val="21"/>
                <w:highlight w:val="none"/>
                <w:lang w:val="en-US" w:eastAsia="zh-Hans"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4、无提供相关内容得0分。</w:t>
            </w:r>
          </w:p>
        </w:tc>
      </w:tr>
      <w:tr w14:paraId="1CFE5F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31" w:hRule="atLeast"/>
          <w:jc w:val="center"/>
        </w:trPr>
        <w:tc>
          <w:tcPr>
            <w:tcW w:w="456" w:type="pct"/>
            <w:vMerge w:val="continue"/>
            <w:shd w:val="clear" w:color="auto" w:fill="FFFFFF"/>
            <w:tcMar>
              <w:top w:w="0" w:type="dxa"/>
              <w:left w:w="108" w:type="dxa"/>
              <w:bottom w:w="0" w:type="dxa"/>
              <w:right w:w="108" w:type="dxa"/>
            </w:tcMar>
            <w:vAlign w:val="center"/>
          </w:tcPr>
          <w:p w14:paraId="7CADBAFB">
            <w:pPr>
              <w:spacing w:line="360" w:lineRule="auto"/>
              <w:jc w:val="center"/>
              <w:rPr>
                <w:rFonts w:hint="default" w:ascii="Times New Roman" w:hAnsi="Times New Roman" w:eastAsia="宋体" w:cs="Times New Roman"/>
                <w:szCs w:val="21"/>
              </w:rPr>
            </w:pPr>
          </w:p>
        </w:tc>
        <w:tc>
          <w:tcPr>
            <w:tcW w:w="554" w:type="pct"/>
            <w:vMerge w:val="continue"/>
            <w:shd w:val="clear" w:color="auto" w:fill="FFFFFF"/>
            <w:tcMar>
              <w:top w:w="0" w:type="dxa"/>
              <w:left w:w="108" w:type="dxa"/>
              <w:bottom w:w="0" w:type="dxa"/>
              <w:right w:w="108" w:type="dxa"/>
            </w:tcMar>
            <w:vAlign w:val="center"/>
          </w:tcPr>
          <w:p w14:paraId="74D7624D">
            <w:pPr>
              <w:spacing w:line="360" w:lineRule="auto"/>
              <w:rPr>
                <w:rFonts w:hint="default" w:ascii="Times New Roman" w:hAnsi="Times New Roman" w:eastAsia="宋体" w:cs="Times New Roman"/>
                <w:color w:val="auto"/>
                <w:szCs w:val="21"/>
                <w:lang w:val="en-US" w:eastAsia="zh-CN"/>
              </w:rPr>
            </w:pPr>
          </w:p>
        </w:tc>
        <w:tc>
          <w:tcPr>
            <w:tcW w:w="718" w:type="pct"/>
            <w:shd w:val="clear" w:color="auto" w:fill="FFFFFF"/>
            <w:tcMar>
              <w:top w:w="0" w:type="dxa"/>
              <w:left w:w="108" w:type="dxa"/>
              <w:bottom w:w="0" w:type="dxa"/>
              <w:right w:w="108" w:type="dxa"/>
            </w:tcMar>
            <w:vAlign w:val="center"/>
          </w:tcPr>
          <w:p w14:paraId="47A7BE07">
            <w:pPr>
              <w:jc w:val="center"/>
              <w:rPr>
                <w:rFonts w:ascii="Times New Roman" w:hAnsi="Times New Roman" w:eastAsia="宋体" w:cs="Times New Roman"/>
                <w:color w:val="auto"/>
                <w:kern w:val="2"/>
                <w:sz w:val="21"/>
                <w:szCs w:val="22"/>
                <w:highlight w:val="none"/>
                <w:lang w:val="en-US" w:eastAsia="zh-CN" w:bidi="ar-SA"/>
              </w:rPr>
            </w:pPr>
            <w:r>
              <w:rPr>
                <w:color w:val="auto"/>
                <w:highlight w:val="none"/>
              </w:rPr>
              <w:t>技术方案</w:t>
            </w:r>
            <w:r>
              <w:rPr>
                <w:rStyle w:val="38"/>
                <w:rFonts w:hint="eastAsia" w:ascii="宋体" w:hAnsi="宋体"/>
                <w:b w:val="0"/>
                <w:i w:val="0"/>
                <w:caps w:val="0"/>
                <w:color w:val="auto"/>
                <w:spacing w:val="0"/>
                <w:w w:val="100"/>
                <w:kern w:val="2"/>
                <w:sz w:val="21"/>
                <w:szCs w:val="21"/>
                <w:highlight w:val="none"/>
                <w:lang w:val="en-US" w:eastAsia="zh-CN" w:bidi="ar-SA"/>
              </w:rPr>
              <w:t>（</w:t>
            </w:r>
            <w:r>
              <w:rPr>
                <w:rFonts w:hint="eastAsia" w:cs="Times New Roman"/>
                <w:color w:val="auto"/>
                <w:szCs w:val="21"/>
                <w:lang w:val="en-US" w:eastAsia="zh-CN"/>
              </w:rPr>
              <w:t>7</w:t>
            </w:r>
            <w:r>
              <w:rPr>
                <w:rStyle w:val="38"/>
                <w:rFonts w:hint="eastAsia" w:ascii="宋体" w:hAnsi="宋体"/>
                <w:b w:val="0"/>
                <w:i w:val="0"/>
                <w:caps w:val="0"/>
                <w:color w:val="auto"/>
                <w:spacing w:val="0"/>
                <w:w w:val="100"/>
                <w:kern w:val="2"/>
                <w:sz w:val="21"/>
                <w:szCs w:val="21"/>
                <w:highlight w:val="none"/>
                <w:lang w:val="en-US" w:eastAsia="zh-CN" w:bidi="ar-SA"/>
              </w:rPr>
              <w:t>分）</w:t>
            </w:r>
          </w:p>
        </w:tc>
        <w:tc>
          <w:tcPr>
            <w:tcW w:w="3270" w:type="pct"/>
            <w:shd w:val="clear" w:color="auto" w:fill="FFFFFF"/>
            <w:tcMar>
              <w:top w:w="0" w:type="dxa"/>
              <w:left w:w="108" w:type="dxa"/>
              <w:bottom w:w="0" w:type="dxa"/>
              <w:right w:w="108" w:type="dxa"/>
            </w:tcMar>
            <w:vAlign w:val="center"/>
          </w:tcPr>
          <w:p w14:paraId="0FF0BEE1">
            <w:pPr>
              <w:pStyle w:val="2"/>
              <w:ind w:firstLine="0" w:firstLineChars="0"/>
              <w:rPr>
                <w:rFonts w:hint="eastAsia" w:ascii="宋体" w:hAnsi="宋体" w:eastAsia="宋体" w:cs="宋体"/>
                <w:color w:val="auto"/>
                <w:highlight w:val="none"/>
              </w:rPr>
            </w:pPr>
            <w:r>
              <w:rPr>
                <w:color w:val="auto"/>
                <w:highlight w:val="none"/>
              </w:rPr>
              <w:t>根据各投标人的技术方案（包括但不限于科学考</w:t>
            </w:r>
            <w:r>
              <w:rPr>
                <w:rFonts w:hint="eastAsia" w:ascii="宋体" w:hAnsi="宋体" w:eastAsia="宋体" w:cs="宋体"/>
                <w:color w:val="auto"/>
                <w:highlight w:val="none"/>
              </w:rPr>
              <w:t>察和总体规划工作实施全过程等内容）的全面性、科学性、合理性、可行性进行综合评审：</w:t>
            </w:r>
          </w:p>
          <w:p w14:paraId="5148D534">
            <w:pPr>
              <w:pStyle w:val="2"/>
              <w:numPr>
                <w:ilvl w:val="0"/>
                <w:numId w:val="5"/>
              </w:num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技术方案全面、合理、切实可行，得</w:t>
            </w:r>
            <w:r>
              <w:rPr>
                <w:rFonts w:hint="eastAsia" w:ascii="宋体" w:hAnsi="宋体" w:cs="宋体"/>
                <w:color w:val="auto"/>
                <w:highlight w:val="none"/>
                <w:lang w:val="en-US" w:eastAsia="zh-CN"/>
              </w:rPr>
              <w:t>7</w:t>
            </w:r>
            <w:r>
              <w:rPr>
                <w:rFonts w:hint="eastAsia" w:ascii="宋体" w:hAnsi="宋体" w:eastAsia="宋体" w:cs="宋体"/>
                <w:color w:val="auto"/>
                <w:highlight w:val="none"/>
              </w:rPr>
              <w:t xml:space="preserve">分； </w:t>
            </w:r>
          </w:p>
          <w:p w14:paraId="5C7427CE">
            <w:pPr>
              <w:pStyle w:val="2"/>
              <w:numPr>
                <w:ilvl w:val="0"/>
                <w:numId w:val="5"/>
              </w:num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技术方案完整、合理、具体可行，得</w:t>
            </w:r>
            <w:r>
              <w:rPr>
                <w:rFonts w:hint="eastAsia" w:ascii="宋体" w:hAnsi="宋体" w:cs="宋体"/>
                <w:color w:val="auto"/>
                <w:highlight w:val="none"/>
                <w:lang w:val="en-US" w:eastAsia="zh-CN"/>
              </w:rPr>
              <w:t>4</w:t>
            </w:r>
            <w:r>
              <w:rPr>
                <w:rFonts w:hint="eastAsia" w:ascii="宋体" w:hAnsi="宋体" w:eastAsia="宋体" w:cs="宋体"/>
                <w:color w:val="auto"/>
                <w:highlight w:val="none"/>
              </w:rPr>
              <w:t xml:space="preserve">分； </w:t>
            </w:r>
          </w:p>
          <w:p w14:paraId="04D3CD63">
            <w:pPr>
              <w:pStyle w:val="2"/>
              <w:numPr>
                <w:ilvl w:val="0"/>
                <w:numId w:val="0"/>
              </w:num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3、技术方案简略、不够合理、可行性低，得</w:t>
            </w:r>
            <w:r>
              <w:rPr>
                <w:rFonts w:hint="eastAsia" w:ascii="宋体" w:hAnsi="宋体" w:cs="宋体"/>
                <w:color w:val="auto"/>
                <w:highlight w:val="none"/>
                <w:lang w:val="en-US" w:eastAsia="zh-CN"/>
              </w:rPr>
              <w:t>1</w:t>
            </w:r>
            <w:r>
              <w:rPr>
                <w:rFonts w:hint="eastAsia" w:ascii="宋体" w:hAnsi="宋体" w:eastAsia="宋体" w:cs="宋体"/>
                <w:color w:val="auto"/>
                <w:highlight w:val="none"/>
              </w:rPr>
              <w:t xml:space="preserve">分； </w:t>
            </w:r>
          </w:p>
          <w:p w14:paraId="0A4D9889">
            <w:pPr>
              <w:pStyle w:val="2"/>
              <w:numPr>
                <w:ilvl w:val="0"/>
                <w:numId w:val="6"/>
              </w:numPr>
              <w:ind w:firstLine="0" w:firstLineChars="0"/>
              <w:rPr>
                <w:rFonts w:hint="eastAsia" w:ascii="宋体" w:hAnsi="宋体" w:eastAsia="宋体" w:cs="Times New Roman"/>
                <w:b w:val="0"/>
                <w:i w:val="0"/>
                <w:caps w:val="0"/>
                <w:color w:val="auto"/>
                <w:spacing w:val="0"/>
                <w:w w:val="100"/>
                <w:kern w:val="2"/>
                <w:sz w:val="21"/>
                <w:szCs w:val="21"/>
                <w:highlight w:val="none"/>
                <w:lang w:val="en-US" w:eastAsia="zh-CN" w:bidi="ar-SA"/>
              </w:rPr>
            </w:pPr>
            <w:r>
              <w:rPr>
                <w:rFonts w:hint="eastAsia" w:ascii="宋体" w:hAnsi="宋体" w:eastAsia="宋体" w:cs="宋体"/>
                <w:color w:val="auto"/>
                <w:highlight w:val="none"/>
              </w:rPr>
              <w:t>技术方案简短、不合理、毫无可行性</w:t>
            </w:r>
            <w:r>
              <w:rPr>
                <w:rFonts w:hint="eastAsia" w:ascii="宋体" w:hAnsi="宋体" w:cs="宋体"/>
                <w:color w:val="auto"/>
                <w:highlight w:val="none"/>
                <w:lang w:val="en-US" w:eastAsia="zh-CN"/>
              </w:rPr>
              <w:t>或</w:t>
            </w:r>
            <w:r>
              <w:rPr>
                <w:rStyle w:val="38"/>
                <w:rFonts w:hint="eastAsia" w:ascii="宋体" w:hAnsi="宋体" w:eastAsia="宋体" w:cs="宋体"/>
                <w:b w:val="0"/>
                <w:i w:val="0"/>
                <w:caps w:val="0"/>
                <w:color w:val="auto"/>
                <w:spacing w:val="0"/>
                <w:w w:val="100"/>
                <w:kern w:val="2"/>
                <w:sz w:val="21"/>
                <w:szCs w:val="21"/>
                <w:highlight w:val="none"/>
                <w:lang w:val="en-US" w:eastAsia="zh-CN" w:bidi="ar-SA"/>
              </w:rPr>
              <w:t>无提供相关内容</w:t>
            </w:r>
            <w:r>
              <w:rPr>
                <w:rFonts w:hint="eastAsia" w:ascii="宋体" w:hAnsi="宋体" w:eastAsia="宋体" w:cs="宋体"/>
                <w:color w:val="auto"/>
                <w:highlight w:val="none"/>
              </w:rPr>
              <w:t>，得</w:t>
            </w:r>
            <w:r>
              <w:rPr>
                <w:rFonts w:hint="eastAsia" w:ascii="宋体" w:hAnsi="宋体" w:cs="宋体"/>
                <w:color w:val="auto"/>
                <w:highlight w:val="none"/>
                <w:lang w:val="en-US" w:eastAsia="zh-CN"/>
              </w:rPr>
              <w:t>0</w:t>
            </w:r>
            <w:r>
              <w:rPr>
                <w:rFonts w:hint="eastAsia" w:ascii="宋体" w:hAnsi="宋体" w:eastAsia="宋体" w:cs="宋体"/>
                <w:color w:val="auto"/>
                <w:highlight w:val="none"/>
              </w:rPr>
              <w:t>分</w:t>
            </w:r>
            <w:r>
              <w:rPr>
                <w:rStyle w:val="38"/>
                <w:rFonts w:hint="eastAsia" w:ascii="宋体" w:hAnsi="宋体" w:eastAsia="宋体" w:cs="宋体"/>
                <w:b w:val="0"/>
                <w:i w:val="0"/>
                <w:caps w:val="0"/>
                <w:color w:val="auto"/>
                <w:spacing w:val="0"/>
                <w:w w:val="100"/>
                <w:kern w:val="2"/>
                <w:sz w:val="21"/>
                <w:szCs w:val="21"/>
                <w:highlight w:val="none"/>
                <w:lang w:val="en-US" w:eastAsia="zh-CN" w:bidi="ar-SA"/>
              </w:rPr>
              <w:t>。</w:t>
            </w:r>
          </w:p>
        </w:tc>
      </w:tr>
      <w:tr w14:paraId="586622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39" w:hRule="atLeast"/>
          <w:jc w:val="center"/>
        </w:trPr>
        <w:tc>
          <w:tcPr>
            <w:tcW w:w="456" w:type="pct"/>
            <w:vMerge w:val="continue"/>
            <w:shd w:val="clear" w:color="auto" w:fill="FFFFFF"/>
            <w:tcMar>
              <w:top w:w="0" w:type="dxa"/>
              <w:left w:w="108" w:type="dxa"/>
              <w:bottom w:w="0" w:type="dxa"/>
              <w:right w:w="108" w:type="dxa"/>
            </w:tcMar>
            <w:vAlign w:val="center"/>
          </w:tcPr>
          <w:p w14:paraId="57D6F27F">
            <w:pPr>
              <w:spacing w:line="360" w:lineRule="auto"/>
              <w:jc w:val="center"/>
              <w:rPr>
                <w:rFonts w:hint="default" w:ascii="Times New Roman" w:hAnsi="Times New Roman" w:eastAsia="宋体" w:cs="Times New Roman"/>
                <w:szCs w:val="21"/>
              </w:rPr>
            </w:pPr>
          </w:p>
        </w:tc>
        <w:tc>
          <w:tcPr>
            <w:tcW w:w="554" w:type="pct"/>
            <w:vMerge w:val="continue"/>
            <w:shd w:val="clear" w:color="auto" w:fill="FFFFFF"/>
            <w:tcMar>
              <w:top w:w="0" w:type="dxa"/>
              <w:left w:w="108" w:type="dxa"/>
              <w:bottom w:w="0" w:type="dxa"/>
              <w:right w:w="108" w:type="dxa"/>
            </w:tcMar>
            <w:vAlign w:val="center"/>
          </w:tcPr>
          <w:p w14:paraId="59D00BE7">
            <w:pPr>
              <w:spacing w:line="360" w:lineRule="auto"/>
              <w:rPr>
                <w:rFonts w:hint="default" w:ascii="Times New Roman" w:hAnsi="Times New Roman" w:eastAsia="宋体" w:cs="Times New Roman"/>
                <w:szCs w:val="21"/>
                <w:lang w:val="en-US" w:eastAsia="zh-CN"/>
              </w:rPr>
            </w:pPr>
          </w:p>
        </w:tc>
        <w:tc>
          <w:tcPr>
            <w:tcW w:w="718" w:type="pct"/>
            <w:shd w:val="clear" w:color="auto" w:fill="FFFFFF"/>
            <w:tcMar>
              <w:top w:w="0" w:type="dxa"/>
              <w:left w:w="108" w:type="dxa"/>
              <w:bottom w:w="0" w:type="dxa"/>
              <w:right w:w="108" w:type="dxa"/>
            </w:tcMar>
            <w:vAlign w:val="center"/>
          </w:tcPr>
          <w:p w14:paraId="66FFDBB9">
            <w:pPr>
              <w:widowControl/>
              <w:jc w:val="center"/>
              <w:rPr>
                <w:rFonts w:hint="default" w:ascii="Times New Roman" w:hAnsi="Times New Roman" w:eastAsia="宋体" w:cs="Times New Roman"/>
                <w:color w:val="auto"/>
                <w:kern w:val="2"/>
                <w:sz w:val="21"/>
                <w:szCs w:val="22"/>
                <w:highlight w:val="none"/>
                <w:lang w:val="en-US" w:eastAsia="zh-CN" w:bidi="ar-SA"/>
              </w:rPr>
            </w:pPr>
            <w:r>
              <w:rPr>
                <w:rFonts w:hint="eastAsia" w:eastAsia="宋体"/>
                <w:color w:val="auto"/>
                <w:highlight w:val="none"/>
                <w:lang w:val="en-US" w:eastAsia="zh-Hans"/>
              </w:rPr>
              <w:t>检测监测质量、进度</w:t>
            </w:r>
            <w:r>
              <w:rPr>
                <w:rFonts w:hint="eastAsia"/>
                <w:color w:val="auto"/>
                <w:highlight w:val="none"/>
                <w:lang w:val="en-US" w:eastAsia="zh-CN"/>
              </w:rPr>
              <w:t>、</w:t>
            </w:r>
            <w:r>
              <w:rPr>
                <w:rFonts w:hint="default" w:ascii="Times New Roman" w:hAnsi="Times New Roman" w:eastAsia="宋体" w:cs="Times New Roman"/>
                <w:color w:val="auto"/>
                <w:sz w:val="21"/>
                <w:szCs w:val="24"/>
                <w:highlight w:val="none"/>
                <w:lang w:val="zh-CN"/>
              </w:rPr>
              <w:t>安全作业方案及事故应急预案</w:t>
            </w:r>
            <w:r>
              <w:rPr>
                <w:rFonts w:hint="eastAsia" w:eastAsia="宋体"/>
                <w:color w:val="auto"/>
                <w:highlight w:val="none"/>
                <w:lang w:val="en-US" w:eastAsia="zh-Hans"/>
              </w:rPr>
              <w:t>保证措施</w:t>
            </w:r>
            <w:r>
              <w:rPr>
                <w:rStyle w:val="38"/>
                <w:rFonts w:hint="eastAsia" w:ascii="宋体" w:hAnsi="宋体" w:eastAsia="宋体"/>
                <w:b w:val="0"/>
                <w:i w:val="0"/>
                <w:caps w:val="0"/>
                <w:color w:val="auto"/>
                <w:spacing w:val="0"/>
                <w:w w:val="100"/>
                <w:kern w:val="2"/>
                <w:sz w:val="21"/>
                <w:szCs w:val="21"/>
                <w:highlight w:val="none"/>
                <w:lang w:val="en-US" w:eastAsia="zh-CN" w:bidi="ar-SA"/>
              </w:rPr>
              <w:t>（</w:t>
            </w:r>
            <w:r>
              <w:rPr>
                <w:rStyle w:val="38"/>
                <w:rFonts w:hint="eastAsia" w:ascii="宋体" w:hAnsi="宋体"/>
                <w:b w:val="0"/>
                <w:i w:val="0"/>
                <w:caps w:val="0"/>
                <w:color w:val="auto"/>
                <w:spacing w:val="0"/>
                <w:w w:val="100"/>
                <w:kern w:val="2"/>
                <w:sz w:val="21"/>
                <w:szCs w:val="21"/>
                <w:highlight w:val="none"/>
                <w:lang w:val="en-US" w:eastAsia="zh-CN" w:bidi="ar-SA"/>
              </w:rPr>
              <w:t>3</w:t>
            </w:r>
            <w:r>
              <w:rPr>
                <w:rStyle w:val="38"/>
                <w:rFonts w:hint="eastAsia" w:ascii="宋体" w:hAnsi="宋体" w:eastAsia="宋体"/>
                <w:b w:val="0"/>
                <w:i w:val="0"/>
                <w:caps w:val="0"/>
                <w:color w:val="auto"/>
                <w:spacing w:val="0"/>
                <w:w w:val="100"/>
                <w:kern w:val="2"/>
                <w:sz w:val="21"/>
                <w:szCs w:val="21"/>
                <w:highlight w:val="none"/>
                <w:lang w:val="en-US" w:eastAsia="zh-CN" w:bidi="ar-SA"/>
              </w:rPr>
              <w:t>分）</w:t>
            </w:r>
          </w:p>
        </w:tc>
        <w:tc>
          <w:tcPr>
            <w:tcW w:w="3270" w:type="pct"/>
            <w:shd w:val="clear" w:color="auto" w:fill="FFFFFF"/>
            <w:tcMar>
              <w:top w:w="0" w:type="dxa"/>
              <w:left w:w="108" w:type="dxa"/>
              <w:bottom w:w="0" w:type="dxa"/>
              <w:right w:w="108" w:type="dxa"/>
            </w:tcMar>
            <w:vAlign w:val="center"/>
          </w:tcPr>
          <w:p w14:paraId="09565942">
            <w:pPr>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根据各投标人的进度计划、质量保证（包括但不限于：人员安排、进度安排、执行计划、质量保证、验收保障措施等内容）</w:t>
            </w:r>
            <w:r>
              <w:rPr>
                <w:rStyle w:val="38"/>
                <w:rFonts w:hint="eastAsia" w:ascii="宋体" w:hAnsi="宋体"/>
                <w:b w:val="0"/>
                <w:i w:val="0"/>
                <w:caps w:val="0"/>
                <w:color w:val="auto"/>
                <w:spacing w:val="0"/>
                <w:w w:val="100"/>
                <w:kern w:val="2"/>
                <w:sz w:val="21"/>
                <w:szCs w:val="21"/>
                <w:highlight w:val="none"/>
                <w:lang w:val="en-US" w:eastAsia="zh-CN" w:bidi="ar-SA"/>
              </w:rPr>
              <w:t>、</w:t>
            </w:r>
            <w:r>
              <w:rPr>
                <w:rFonts w:hint="default" w:ascii="Times New Roman" w:hAnsi="Times New Roman" w:eastAsia="宋体" w:cs="Times New Roman"/>
                <w:color w:val="auto"/>
                <w:sz w:val="21"/>
                <w:szCs w:val="24"/>
                <w:highlight w:val="none"/>
                <w:lang w:val="zh-CN"/>
              </w:rPr>
              <w:t>安全作业方案及事故应急预案</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（包括但不限于：安全作业方案、事故应急预案编制等内容）的合理性、科学性、可行性进行综合评审： </w:t>
            </w:r>
          </w:p>
          <w:p w14:paraId="618C48ED">
            <w:pPr>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1、针对项目有具体的进度计划及保证措施，进度安排合理，质量保证措施</w:t>
            </w:r>
            <w:r>
              <w:rPr>
                <w:rStyle w:val="38"/>
                <w:rFonts w:hint="eastAsia" w:ascii="宋体" w:hAnsi="宋体"/>
                <w:b w:val="0"/>
                <w:i w:val="0"/>
                <w:caps w:val="0"/>
                <w:color w:val="auto"/>
                <w:spacing w:val="0"/>
                <w:w w:val="100"/>
                <w:kern w:val="2"/>
                <w:sz w:val="21"/>
                <w:szCs w:val="21"/>
                <w:highlight w:val="none"/>
                <w:lang w:val="en-US" w:eastAsia="zh-CN" w:bidi="ar-SA"/>
              </w:rPr>
              <w:t>及</w:t>
            </w:r>
            <w:r>
              <w:rPr>
                <w:rStyle w:val="38"/>
                <w:rFonts w:hint="eastAsia" w:ascii="宋体" w:hAnsi="宋体" w:eastAsia="宋体"/>
                <w:b w:val="0"/>
                <w:i w:val="0"/>
                <w:caps w:val="0"/>
                <w:color w:val="auto"/>
                <w:spacing w:val="0"/>
                <w:w w:val="100"/>
                <w:kern w:val="2"/>
                <w:sz w:val="21"/>
                <w:szCs w:val="21"/>
                <w:highlight w:val="none"/>
                <w:lang w:val="en-US" w:eastAsia="zh-CN" w:bidi="ar-SA"/>
              </w:rPr>
              <w:t>安全作业方案，事故应急预案编制详尽明确、切实可行，得</w:t>
            </w:r>
            <w:r>
              <w:rPr>
                <w:rStyle w:val="38"/>
                <w:rFonts w:hint="eastAsia" w:ascii="宋体" w:hAnsi="宋体"/>
                <w:b w:val="0"/>
                <w:i w:val="0"/>
                <w:caps w:val="0"/>
                <w:color w:val="auto"/>
                <w:spacing w:val="0"/>
                <w:w w:val="100"/>
                <w:kern w:val="2"/>
                <w:sz w:val="21"/>
                <w:szCs w:val="21"/>
                <w:highlight w:val="none"/>
                <w:lang w:val="en-US" w:eastAsia="zh-CN" w:bidi="ar-SA"/>
              </w:rPr>
              <w:t>3</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78F90060">
            <w:pPr>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2、针对项目有完整的进度计划及保证措施，进度安排较合理，质量保证措施</w:t>
            </w:r>
            <w:r>
              <w:rPr>
                <w:rStyle w:val="38"/>
                <w:rFonts w:hint="eastAsia" w:ascii="宋体" w:hAnsi="宋体"/>
                <w:b w:val="0"/>
                <w:i w:val="0"/>
                <w:caps w:val="0"/>
                <w:color w:val="auto"/>
                <w:spacing w:val="0"/>
                <w:w w:val="100"/>
                <w:kern w:val="2"/>
                <w:sz w:val="21"/>
                <w:szCs w:val="21"/>
                <w:highlight w:val="none"/>
                <w:lang w:val="en-US" w:eastAsia="zh-CN" w:bidi="ar-SA"/>
              </w:rPr>
              <w:t>及</w:t>
            </w:r>
            <w:r>
              <w:rPr>
                <w:rStyle w:val="38"/>
                <w:rFonts w:hint="eastAsia" w:ascii="宋体" w:hAnsi="宋体" w:eastAsia="宋体"/>
                <w:b w:val="0"/>
                <w:i w:val="0"/>
                <w:caps w:val="0"/>
                <w:color w:val="auto"/>
                <w:spacing w:val="0"/>
                <w:w w:val="100"/>
                <w:kern w:val="2"/>
                <w:sz w:val="21"/>
                <w:szCs w:val="21"/>
                <w:highlight w:val="none"/>
                <w:lang w:val="en-US" w:eastAsia="zh-CN" w:bidi="ar-SA"/>
              </w:rPr>
              <w:t>安全作业方案，事故应急预案编制合理可行，得</w:t>
            </w:r>
            <w:r>
              <w:rPr>
                <w:rStyle w:val="38"/>
                <w:rFonts w:hint="eastAsia" w:ascii="宋体" w:hAnsi="宋体"/>
                <w:b w:val="0"/>
                <w:i w:val="0"/>
                <w:caps w:val="0"/>
                <w:color w:val="auto"/>
                <w:spacing w:val="0"/>
                <w:w w:val="100"/>
                <w:kern w:val="2"/>
                <w:sz w:val="21"/>
                <w:szCs w:val="21"/>
                <w:highlight w:val="none"/>
                <w:lang w:val="en-US" w:eastAsia="zh-CN" w:bidi="ar-SA"/>
              </w:rPr>
              <w:t>2</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107A4C25">
            <w:pPr>
              <w:rPr>
                <w:rStyle w:val="38"/>
                <w:rFonts w:hint="eastAsia" w:ascii="宋体" w:hAnsi="宋体" w:eastAsia="宋体"/>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3、针对项目的进度计划</w:t>
            </w:r>
            <w:r>
              <w:rPr>
                <w:rStyle w:val="38"/>
                <w:rFonts w:hint="eastAsia" w:ascii="宋体" w:hAnsi="宋体"/>
                <w:b w:val="0"/>
                <w:i w:val="0"/>
                <w:caps w:val="0"/>
                <w:color w:val="auto"/>
                <w:spacing w:val="0"/>
                <w:w w:val="100"/>
                <w:kern w:val="2"/>
                <w:sz w:val="21"/>
                <w:szCs w:val="21"/>
                <w:highlight w:val="none"/>
                <w:lang w:val="en-US" w:eastAsia="zh-CN" w:bidi="ar-SA"/>
              </w:rPr>
              <w:t>、</w:t>
            </w:r>
            <w:r>
              <w:rPr>
                <w:rStyle w:val="38"/>
                <w:rFonts w:hint="eastAsia" w:ascii="宋体" w:hAnsi="宋体" w:eastAsia="宋体"/>
                <w:b w:val="0"/>
                <w:i w:val="0"/>
                <w:caps w:val="0"/>
                <w:color w:val="auto"/>
                <w:spacing w:val="0"/>
                <w:w w:val="100"/>
                <w:kern w:val="2"/>
                <w:sz w:val="21"/>
                <w:szCs w:val="21"/>
                <w:highlight w:val="none"/>
                <w:lang w:val="en-US" w:eastAsia="zh-CN" w:bidi="ar-SA"/>
              </w:rPr>
              <w:t>质量保证措施</w:t>
            </w:r>
            <w:r>
              <w:rPr>
                <w:rStyle w:val="38"/>
                <w:rFonts w:hint="eastAsia" w:ascii="宋体" w:hAnsi="宋体"/>
                <w:b w:val="0"/>
                <w:i w:val="0"/>
                <w:caps w:val="0"/>
                <w:color w:val="auto"/>
                <w:spacing w:val="0"/>
                <w:w w:val="100"/>
                <w:kern w:val="2"/>
                <w:sz w:val="21"/>
                <w:szCs w:val="21"/>
                <w:highlight w:val="none"/>
                <w:lang w:val="en-US" w:eastAsia="zh-CN" w:bidi="ar-SA"/>
              </w:rPr>
              <w:t>及</w:t>
            </w:r>
            <w:r>
              <w:rPr>
                <w:rStyle w:val="38"/>
                <w:rFonts w:hint="eastAsia" w:ascii="宋体" w:hAnsi="宋体" w:eastAsia="宋体"/>
                <w:b w:val="0"/>
                <w:i w:val="0"/>
                <w:caps w:val="0"/>
                <w:color w:val="auto"/>
                <w:spacing w:val="0"/>
                <w:w w:val="100"/>
                <w:kern w:val="2"/>
                <w:sz w:val="21"/>
                <w:szCs w:val="21"/>
                <w:highlight w:val="none"/>
                <w:lang w:val="en-US" w:eastAsia="zh-CN" w:bidi="ar-SA"/>
              </w:rPr>
              <w:t>安全作业方案，事故应急预案编制较模糊、内容不齐全，得</w:t>
            </w:r>
            <w:r>
              <w:rPr>
                <w:rStyle w:val="38"/>
                <w:rFonts w:hint="eastAsia" w:ascii="宋体" w:hAnsi="宋体"/>
                <w:b w:val="0"/>
                <w:i w:val="0"/>
                <w:caps w:val="0"/>
                <w:color w:val="auto"/>
                <w:spacing w:val="0"/>
                <w:w w:val="100"/>
                <w:kern w:val="2"/>
                <w:sz w:val="21"/>
                <w:szCs w:val="21"/>
                <w:highlight w:val="none"/>
                <w:lang w:val="en-US" w:eastAsia="zh-CN" w:bidi="ar-SA"/>
              </w:rPr>
              <w:t>1</w:t>
            </w:r>
            <w:r>
              <w:rPr>
                <w:rStyle w:val="38"/>
                <w:rFonts w:hint="eastAsia" w:ascii="宋体" w:hAnsi="宋体" w:eastAsia="宋体"/>
                <w:b w:val="0"/>
                <w:i w:val="0"/>
                <w:caps w:val="0"/>
                <w:color w:val="auto"/>
                <w:spacing w:val="0"/>
                <w:w w:val="100"/>
                <w:kern w:val="2"/>
                <w:sz w:val="21"/>
                <w:szCs w:val="21"/>
                <w:highlight w:val="none"/>
                <w:lang w:val="en-US" w:eastAsia="zh-CN" w:bidi="ar-SA"/>
              </w:rPr>
              <w:t xml:space="preserve">分； </w:t>
            </w:r>
          </w:p>
          <w:p w14:paraId="5E592377">
            <w:pPr>
              <w:widowControl/>
              <w:spacing w:line="360" w:lineRule="auto"/>
              <w:jc w:val="left"/>
              <w:rPr>
                <w:rFonts w:hint="eastAsia" w:ascii="宋体" w:hAnsi="宋体" w:eastAsia="宋体" w:cs="Times New Roman"/>
                <w:b w:val="0"/>
                <w:i w:val="0"/>
                <w:caps w:val="0"/>
                <w:color w:val="auto"/>
                <w:spacing w:val="0"/>
                <w:w w:val="100"/>
                <w:kern w:val="2"/>
                <w:sz w:val="21"/>
                <w:szCs w:val="21"/>
                <w:highlight w:val="none"/>
                <w:lang w:val="en-US" w:eastAsia="zh-CN" w:bidi="ar-SA"/>
              </w:rPr>
            </w:pPr>
            <w:r>
              <w:rPr>
                <w:rStyle w:val="38"/>
                <w:rFonts w:hint="eastAsia" w:ascii="宋体" w:hAnsi="宋体" w:eastAsia="宋体"/>
                <w:b w:val="0"/>
                <w:i w:val="0"/>
                <w:caps w:val="0"/>
                <w:color w:val="auto"/>
                <w:spacing w:val="0"/>
                <w:w w:val="100"/>
                <w:kern w:val="2"/>
                <w:sz w:val="21"/>
                <w:szCs w:val="21"/>
                <w:highlight w:val="none"/>
                <w:lang w:val="en-US" w:eastAsia="zh-CN" w:bidi="ar-SA"/>
              </w:rPr>
              <w:t>4、无提供相关内容得0分。</w:t>
            </w:r>
          </w:p>
        </w:tc>
      </w:tr>
      <w:tr w14:paraId="2BA7B9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73" w:hRule="atLeast"/>
          <w:jc w:val="center"/>
        </w:trPr>
        <w:tc>
          <w:tcPr>
            <w:tcW w:w="456" w:type="pct"/>
            <w:shd w:val="clear" w:color="auto" w:fill="FFFFFF"/>
            <w:vAlign w:val="center"/>
          </w:tcPr>
          <w:p w14:paraId="60E02FDB">
            <w:pPr>
              <w:spacing w:line="360" w:lineRule="auto"/>
              <w:rPr>
                <w:rFonts w:cs="宋体" w:asciiTheme="minorEastAsia" w:hAnsiTheme="minorEastAsia" w:eastAsiaTheme="minorEastAsia"/>
                <w:szCs w:val="21"/>
              </w:rPr>
            </w:pPr>
            <w:r>
              <w:rPr>
                <w:rFonts w:hint="default" w:ascii="Times New Roman" w:hAnsi="Times New Roman" w:eastAsia="宋体" w:cs="Times New Roman"/>
                <w:szCs w:val="21"/>
              </w:rPr>
              <w:t>2.2.4（3）</w:t>
            </w:r>
          </w:p>
        </w:tc>
        <w:tc>
          <w:tcPr>
            <w:tcW w:w="554" w:type="pct"/>
            <w:shd w:val="clear" w:color="auto" w:fill="FFFFFF"/>
            <w:vAlign w:val="center"/>
          </w:tcPr>
          <w:p w14:paraId="6B178B55">
            <w:pPr>
              <w:snapToGrid w:val="0"/>
              <w:spacing w:line="360" w:lineRule="auto"/>
              <w:jc w:val="center"/>
              <w:rPr>
                <w:rFonts w:ascii="Times New Roman" w:hAnsi="Times New Roman" w:eastAsia="宋体" w:cs="Times New Roman"/>
                <w:kern w:val="2"/>
                <w:sz w:val="21"/>
                <w:szCs w:val="21"/>
                <w:lang w:val="en-US" w:eastAsia="zh-CN" w:bidi="ar-SA"/>
              </w:rPr>
            </w:pPr>
            <w:r>
              <w:rPr>
                <w:rFonts w:hint="default" w:ascii="Times New Roman" w:hAnsi="Times New Roman" w:cs="Times New Roman"/>
                <w:szCs w:val="21"/>
              </w:rPr>
              <w:t>投标报价评分标准（</w:t>
            </w:r>
            <w:r>
              <w:rPr>
                <w:rFonts w:hint="eastAsia" w:cs="Times New Roman"/>
                <w:szCs w:val="21"/>
                <w:lang w:val="en-US" w:eastAsia="zh-CN"/>
              </w:rPr>
              <w:t>2</w:t>
            </w:r>
            <w:r>
              <w:rPr>
                <w:rFonts w:hint="default" w:ascii="Times New Roman" w:hAnsi="Times New Roman" w:cs="Times New Roman"/>
                <w:szCs w:val="21"/>
                <w:lang w:val="en-US" w:eastAsia="zh-CN"/>
              </w:rPr>
              <w:t>0</w:t>
            </w:r>
            <w:r>
              <w:rPr>
                <w:rFonts w:hint="default" w:ascii="Times New Roman" w:hAnsi="Times New Roman" w:cs="Times New Roman"/>
                <w:szCs w:val="21"/>
              </w:rPr>
              <w:t>分）</w:t>
            </w:r>
          </w:p>
        </w:tc>
        <w:tc>
          <w:tcPr>
            <w:tcW w:w="718" w:type="pct"/>
            <w:shd w:val="clear" w:color="auto" w:fill="FFFFFF"/>
            <w:tcMar>
              <w:top w:w="0" w:type="dxa"/>
              <w:left w:w="57" w:type="dxa"/>
              <w:bottom w:w="0" w:type="dxa"/>
              <w:right w:w="57" w:type="dxa"/>
            </w:tcMar>
            <w:vAlign w:val="center"/>
          </w:tcPr>
          <w:p w14:paraId="42A7181A">
            <w:pPr>
              <w:spacing w:line="360" w:lineRule="auto"/>
              <w:jc w:val="center"/>
              <w:rPr>
                <w:rFonts w:ascii="Times New Roman" w:hAnsi="Times New Roman" w:cs="Times New Roman"/>
                <w:szCs w:val="21"/>
              </w:rPr>
            </w:pPr>
            <w:r>
              <w:rPr>
                <w:rFonts w:hint="default" w:ascii="Times New Roman" w:hAnsi="Times New Roman" w:cs="Times New Roman"/>
                <w:szCs w:val="21"/>
              </w:rPr>
              <w:t>报价得分</w:t>
            </w:r>
          </w:p>
          <w:p w14:paraId="0AB76490">
            <w:pPr>
              <w:spacing w:line="360" w:lineRule="auto"/>
              <w:jc w:val="center"/>
              <w:rPr>
                <w:rFonts w:ascii="Times New Roman" w:hAnsi="Times New Roman" w:eastAsia="宋体" w:cs="Times New Roman"/>
                <w:kern w:val="2"/>
                <w:sz w:val="21"/>
                <w:szCs w:val="21"/>
                <w:lang w:val="en-US" w:eastAsia="zh-CN" w:bidi="ar-SA"/>
              </w:rPr>
            </w:pPr>
            <w:r>
              <w:rPr>
                <w:rFonts w:hint="default" w:ascii="Times New Roman" w:hAnsi="Times New Roman" w:cs="Times New Roman"/>
                <w:szCs w:val="21"/>
              </w:rPr>
              <w:t>（</w:t>
            </w:r>
            <w:r>
              <w:rPr>
                <w:rFonts w:hint="eastAsia" w:cs="Times New Roman"/>
                <w:szCs w:val="21"/>
                <w:lang w:val="en-US" w:eastAsia="zh-CN"/>
              </w:rPr>
              <w:t>2</w:t>
            </w:r>
            <w:r>
              <w:rPr>
                <w:rFonts w:hint="default" w:ascii="Times New Roman" w:hAnsi="Times New Roman" w:cs="Times New Roman"/>
                <w:szCs w:val="21"/>
                <w:lang w:val="en-US" w:eastAsia="zh-CN"/>
              </w:rPr>
              <w:t>0</w:t>
            </w:r>
            <w:r>
              <w:rPr>
                <w:rFonts w:hint="default" w:ascii="Times New Roman" w:hAnsi="Times New Roman" w:cs="Times New Roman"/>
                <w:szCs w:val="21"/>
              </w:rPr>
              <w:t>分）</w:t>
            </w:r>
          </w:p>
        </w:tc>
        <w:tc>
          <w:tcPr>
            <w:tcW w:w="3270" w:type="pct"/>
            <w:shd w:val="clear" w:color="auto" w:fill="FFFFFF"/>
            <w:tcMar>
              <w:top w:w="0" w:type="dxa"/>
              <w:left w:w="57" w:type="dxa"/>
              <w:bottom w:w="0" w:type="dxa"/>
              <w:right w:w="57" w:type="dxa"/>
            </w:tcMar>
            <w:vAlign w:val="center"/>
          </w:tcPr>
          <w:p w14:paraId="1FDBB470">
            <w:pPr>
              <w:spacing w:line="360" w:lineRule="auto"/>
              <w:jc w:val="left"/>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Cs w:val="21"/>
              </w:rPr>
              <w:t>以评标基准价作为计算各有效投标价得分的基础，当有效投标报价等于评标基准价时得</w:t>
            </w:r>
            <w:r>
              <w:rPr>
                <w:rFonts w:hint="eastAsia" w:cs="Times New Roman"/>
                <w:szCs w:val="21"/>
                <w:lang w:val="en-US" w:eastAsia="zh-CN"/>
              </w:rPr>
              <w:t>2</w:t>
            </w:r>
            <w:r>
              <w:rPr>
                <w:rFonts w:hint="default" w:ascii="Times New Roman" w:hAnsi="Times New Roman" w:cs="Times New Roman"/>
                <w:szCs w:val="21"/>
              </w:rPr>
              <w:t>0分；投标有效报价与评标基准价之差，每上偏1%扣0.2分，下偏1%扣0.1分。最多扣</w:t>
            </w:r>
            <w:r>
              <w:rPr>
                <w:rFonts w:hint="eastAsia" w:cs="Times New Roman"/>
                <w:szCs w:val="21"/>
                <w:lang w:val="en-US" w:eastAsia="zh-CN"/>
              </w:rPr>
              <w:t>2</w:t>
            </w:r>
            <w:r>
              <w:rPr>
                <w:rFonts w:hint="default" w:ascii="Times New Roman" w:hAnsi="Times New Roman" w:cs="Times New Roman"/>
                <w:szCs w:val="21"/>
              </w:rPr>
              <w:t>0分，得分精确到小数点后两位。</w:t>
            </w:r>
          </w:p>
        </w:tc>
      </w:tr>
      <w:tr w14:paraId="4C5F2D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22" w:hRule="atLeast"/>
          <w:jc w:val="center"/>
        </w:trPr>
        <w:tc>
          <w:tcPr>
            <w:tcW w:w="5000" w:type="pct"/>
            <w:gridSpan w:val="4"/>
            <w:shd w:val="clear" w:color="auto" w:fill="FFFFFF"/>
            <w:vAlign w:val="center"/>
          </w:tcPr>
          <w:p w14:paraId="07260529">
            <w:pPr>
              <w:spacing w:line="360" w:lineRule="auto"/>
              <w:rPr>
                <w:rFonts w:hint="default" w:ascii="Times New Roman" w:hAnsi="Times New Roman" w:cs="Times New Roman"/>
              </w:rPr>
            </w:pPr>
          </w:p>
          <w:p w14:paraId="1012EFB0">
            <w:pPr>
              <w:spacing w:line="360" w:lineRule="auto"/>
              <w:jc w:val="center"/>
              <w:rPr>
                <w:rFonts w:hint="eastAsia" w:ascii="Times New Roman" w:hAnsi="Times New Roman" w:eastAsia="宋体" w:cs="Times New Roman"/>
                <w:lang w:val="en-US" w:eastAsia="zh-CN"/>
              </w:rPr>
            </w:pPr>
            <w:r>
              <w:rPr>
                <w:rFonts w:hint="eastAsia" w:cs="Times New Roman"/>
                <w:lang w:val="en-US" w:eastAsia="zh-CN"/>
              </w:rPr>
              <w:t>说明</w:t>
            </w:r>
          </w:p>
          <w:p w14:paraId="42053828">
            <w:pPr>
              <w:spacing w:line="360" w:lineRule="auto"/>
              <w:rPr>
                <w:rFonts w:hint="default" w:ascii="Times New Roman" w:hAnsi="Times New Roman" w:cs="Times New Roman"/>
              </w:rPr>
            </w:pPr>
            <w:r>
              <w:rPr>
                <w:rFonts w:hint="default" w:ascii="Times New Roman" w:hAnsi="Times New Roman" w:cs="Times New Roman"/>
              </w:rPr>
              <w:t>1、上表所述证书需提供有效证明材料，否则不得分。</w:t>
            </w:r>
          </w:p>
          <w:p w14:paraId="53F9F11D">
            <w:pPr>
              <w:spacing w:line="360" w:lineRule="auto"/>
              <w:rPr>
                <w:rFonts w:hint="default" w:ascii="Times New Roman" w:hAnsi="Times New Roman" w:cs="Times New Roman"/>
              </w:rPr>
            </w:pPr>
            <w:r>
              <w:rPr>
                <w:rFonts w:hint="default" w:ascii="Times New Roman" w:hAnsi="Times New Roman" w:cs="Times New Roman"/>
              </w:rPr>
              <w:t>2、类似</w:t>
            </w:r>
            <w:r>
              <w:rPr>
                <w:rFonts w:hint="eastAsia" w:cs="Times New Roman"/>
                <w:lang w:val="en-US" w:eastAsia="zh-CN"/>
              </w:rPr>
              <w:t>水务工程</w:t>
            </w:r>
            <w:r>
              <w:rPr>
                <w:rFonts w:hint="default" w:ascii="Times New Roman" w:hAnsi="Times New Roman" w:cs="Times New Roman"/>
              </w:rPr>
              <w:t>检测业绩：</w:t>
            </w:r>
            <w:r>
              <w:rPr>
                <w:rFonts w:hint="eastAsia" w:cs="Times New Roman"/>
                <w:lang w:val="en-US" w:eastAsia="zh-CN"/>
              </w:rPr>
              <w:t>指</w:t>
            </w:r>
            <w:r>
              <w:rPr>
                <w:rFonts w:hint="default" w:ascii="Times New Roman" w:hAnsi="Times New Roman" w:cs="Times New Roman"/>
              </w:rPr>
              <w:t>包含本项目招标内容中的一项或多项内容的</w:t>
            </w:r>
            <w:r>
              <w:rPr>
                <w:rFonts w:hint="eastAsia" w:cs="Times New Roman"/>
                <w:lang w:val="en-US" w:eastAsia="zh-CN"/>
              </w:rPr>
              <w:t>水务</w:t>
            </w:r>
            <w:r>
              <w:rPr>
                <w:rFonts w:hint="default" w:ascii="Times New Roman" w:hAnsi="Times New Roman" w:cs="Times New Roman"/>
              </w:rPr>
              <w:t>工程检测业绩(水务工程包含</w:t>
            </w:r>
            <w:r>
              <w:rPr>
                <w:rFonts w:hint="eastAsia" w:cs="Times New Roman"/>
                <w:lang w:eastAsia="zh-CN"/>
              </w:rPr>
              <w:t>：</w:t>
            </w:r>
            <w:r>
              <w:rPr>
                <w:rFonts w:hint="default" w:ascii="Times New Roman" w:hAnsi="Times New Roman" w:cs="Times New Roman"/>
              </w:rPr>
              <w:t>雨污分流、单元排水、供水等自来水、给排水项目，不含住建类市政道路及给排水项目)。</w:t>
            </w:r>
          </w:p>
          <w:p w14:paraId="770FEA9E">
            <w:pPr>
              <w:spacing w:line="360" w:lineRule="auto"/>
              <w:rPr>
                <w:rFonts w:hint="default" w:ascii="Times New Roman" w:hAnsi="Times New Roman" w:cs="Times New Roman"/>
              </w:rPr>
            </w:pPr>
            <w:r>
              <w:rPr>
                <w:rFonts w:hint="default" w:ascii="Times New Roman" w:hAnsi="Times New Roman" w:cs="Times New Roman"/>
              </w:rPr>
              <w:t>3、拟投入本项目人员（包括项目负责人、技术负责人及主要技术人员）须提供其在本单位近1个月（即202</w:t>
            </w:r>
            <w:r>
              <w:rPr>
                <w:rFonts w:hint="default" w:ascii="Times New Roman" w:hAnsi="Times New Roman" w:cs="Times New Roman"/>
                <w:lang w:val="en-US" w:eastAsia="zh-CN"/>
              </w:rPr>
              <w:t>4</w:t>
            </w:r>
            <w:r>
              <w:rPr>
                <w:rFonts w:hint="default" w:ascii="Times New Roman" w:hAnsi="Times New Roman" w:cs="Times New Roman"/>
              </w:rPr>
              <w:t>年</w:t>
            </w:r>
            <w:r>
              <w:rPr>
                <w:rFonts w:hint="eastAsia" w:cs="Times New Roman"/>
                <w:lang w:val="en-US" w:eastAsia="zh-CN"/>
              </w:rPr>
              <w:t>5</w:t>
            </w:r>
            <w:r>
              <w:rPr>
                <w:rFonts w:hint="default" w:ascii="Times New Roman" w:hAnsi="Times New Roman" w:cs="Times New Roman"/>
              </w:rPr>
              <w:t>月）的社保证明和满足评分标准要求的职称证、执业资格证书、相关检测员证书或检测鉴定培训合格证等扫描件，否则不得分。</w:t>
            </w:r>
          </w:p>
          <w:p w14:paraId="1B854DAC">
            <w:pPr>
              <w:spacing w:line="360" w:lineRule="auto"/>
              <w:rPr>
                <w:rFonts w:cs="宋体" w:asciiTheme="minorEastAsia" w:hAnsiTheme="minorEastAsia" w:eastAsiaTheme="minorEastAsia"/>
                <w:szCs w:val="21"/>
              </w:rPr>
            </w:pPr>
            <w:r>
              <w:rPr>
                <w:rFonts w:hint="default" w:ascii="Times New Roman" w:hAnsi="Times New Roman" w:cs="Times New Roman"/>
                <w:lang w:val="en-US" w:eastAsia="zh-CN"/>
              </w:rPr>
              <w:t>4</w:t>
            </w:r>
            <w:r>
              <w:rPr>
                <w:rFonts w:hint="default" w:ascii="Times New Roman" w:hAnsi="Times New Roman" w:cs="Times New Roman"/>
              </w:rPr>
              <w:t>、投标人的综合得分为各评委的评分计取的算术平均分（分数出现小数点时，保留小数点后二位，第三位小数四舍五入）。</w:t>
            </w:r>
          </w:p>
        </w:tc>
      </w:tr>
      <w:bookmarkEnd w:id="323"/>
    </w:tbl>
    <w:p w14:paraId="2C1FE922">
      <w:pPr>
        <w:widowControl/>
        <w:jc w:val="left"/>
        <w:rPr>
          <w:rFonts w:ascii="宋体" w:hAnsi="宋体"/>
          <w:b/>
          <w:sz w:val="30"/>
          <w:szCs w:val="30"/>
        </w:rPr>
      </w:pPr>
      <w:r>
        <w:rPr>
          <w:rFonts w:ascii="宋体" w:hAnsi="宋体"/>
          <w:b/>
          <w:sz w:val="30"/>
          <w:szCs w:val="30"/>
        </w:rPr>
        <w:br w:type="page"/>
      </w:r>
    </w:p>
    <w:p w14:paraId="441D6100">
      <w:pPr>
        <w:spacing w:before="120" w:beforeLines="50" w:after="120" w:afterLines="50"/>
        <w:outlineLvl w:val="2"/>
        <w:rPr>
          <w:rFonts w:ascii="宋体" w:hAnsi="宋体"/>
          <w:b/>
          <w:sz w:val="32"/>
        </w:rPr>
      </w:pPr>
      <w:bookmarkStart w:id="326" w:name="_Toc529196583"/>
      <w:bookmarkStart w:id="327" w:name="_Toc515205256"/>
      <w:r>
        <w:rPr>
          <w:rFonts w:hint="eastAsia" w:ascii="宋体" w:hAnsi="宋体"/>
          <w:b/>
          <w:sz w:val="32"/>
        </w:rPr>
        <w:t>1. 评标方法</w:t>
      </w:r>
      <w:bookmarkEnd w:id="326"/>
      <w:bookmarkEnd w:id="327"/>
    </w:p>
    <w:p w14:paraId="45A5528F">
      <w:pPr>
        <w:spacing w:line="360" w:lineRule="auto"/>
        <w:ind w:firstLine="420" w:firstLineChars="200"/>
        <w:rPr>
          <w:rFonts w:hint="eastAsia" w:ascii="宋体" w:hAnsi="宋体"/>
          <w:szCs w:val="24"/>
        </w:rPr>
      </w:pPr>
      <w:r>
        <w:rPr>
          <w:rFonts w:hint="eastAsia" w:ascii="宋体" w:hAnsi="宋体"/>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328" w:name="_Toc300835008"/>
      <w:bookmarkStart w:id="329" w:name="_Toc247527623"/>
      <w:bookmarkStart w:id="330" w:name="_Toc247514022"/>
      <w:bookmarkStart w:id="331" w:name="_Toc384308272"/>
      <w:bookmarkStart w:id="332" w:name="_Toc4497"/>
      <w:bookmarkStart w:id="333" w:name="_Toc352691533"/>
      <w:bookmarkStart w:id="334" w:name="_Toc361508646"/>
      <w:bookmarkStart w:id="335" w:name="_Toc369531577"/>
      <w:bookmarkStart w:id="336" w:name="_Toc152045598"/>
      <w:bookmarkStart w:id="337" w:name="_Toc144974565"/>
      <w:bookmarkStart w:id="338" w:name="_Toc152042375"/>
      <w:r>
        <w:rPr>
          <w:rFonts w:hint="eastAsia" w:ascii="宋体" w:hAnsi="宋体"/>
          <w:szCs w:val="24"/>
        </w:rPr>
        <w:t>外。</w:t>
      </w:r>
      <w:bookmarkEnd w:id="328"/>
      <w:bookmarkEnd w:id="329"/>
      <w:bookmarkEnd w:id="330"/>
      <w:bookmarkEnd w:id="331"/>
      <w:bookmarkEnd w:id="332"/>
      <w:bookmarkEnd w:id="333"/>
      <w:bookmarkEnd w:id="334"/>
      <w:bookmarkEnd w:id="335"/>
      <w:bookmarkEnd w:id="336"/>
      <w:bookmarkEnd w:id="337"/>
      <w:bookmarkEnd w:id="338"/>
      <w:r>
        <w:rPr>
          <w:rFonts w:hint="eastAsia" w:cs="宋体" w:asciiTheme="minorEastAsia" w:hAnsiTheme="minorEastAsia" w:eastAsiaTheme="minorEastAsia"/>
          <w:szCs w:val="21"/>
        </w:rPr>
        <w:t>若两家或以上的投标人综合得分相同时，则资信业绩部分得分高的排前；若资信业绩部分得分相同时，则</w:t>
      </w:r>
      <w:r>
        <w:rPr>
          <w:rFonts w:hint="eastAsia" w:cs="宋体" w:asciiTheme="minorEastAsia" w:hAnsiTheme="minorEastAsia" w:eastAsiaTheme="minorEastAsia"/>
          <w:szCs w:val="21"/>
          <w:lang w:val="en-US" w:eastAsia="zh-CN"/>
        </w:rPr>
        <w:t>技术部分</w:t>
      </w:r>
      <w:r>
        <w:rPr>
          <w:rFonts w:hint="eastAsia" w:cs="宋体" w:asciiTheme="minorEastAsia" w:hAnsiTheme="minorEastAsia" w:eastAsiaTheme="minorEastAsia"/>
          <w:szCs w:val="21"/>
        </w:rPr>
        <w:t>报价得分高的排前；若</w:t>
      </w:r>
      <w:r>
        <w:rPr>
          <w:rFonts w:hint="eastAsia" w:cs="宋体" w:asciiTheme="minorEastAsia" w:hAnsiTheme="minorEastAsia" w:eastAsiaTheme="minorEastAsia"/>
          <w:szCs w:val="21"/>
          <w:lang w:val="en-US" w:eastAsia="zh-CN"/>
        </w:rPr>
        <w:t>技术部分</w:t>
      </w:r>
      <w:r>
        <w:rPr>
          <w:rFonts w:hint="eastAsia" w:cs="宋体" w:asciiTheme="minorEastAsia" w:hAnsiTheme="minorEastAsia" w:eastAsiaTheme="minorEastAsia"/>
          <w:szCs w:val="21"/>
        </w:rPr>
        <w:t>报价得分相同，则</w:t>
      </w:r>
      <w:r>
        <w:rPr>
          <w:rFonts w:hint="eastAsia" w:cs="宋体" w:asciiTheme="minorEastAsia" w:hAnsiTheme="minorEastAsia" w:eastAsiaTheme="minorEastAsia"/>
          <w:szCs w:val="21"/>
          <w:lang w:val="en-US" w:eastAsia="zh-CN"/>
        </w:rPr>
        <w:t>投标报价</w:t>
      </w:r>
      <w:r>
        <w:rPr>
          <w:rFonts w:hint="eastAsia" w:cs="宋体" w:asciiTheme="minorEastAsia" w:hAnsiTheme="minorEastAsia" w:eastAsiaTheme="minorEastAsia"/>
          <w:szCs w:val="21"/>
        </w:rPr>
        <w:t>得分高的排前；若资信业绩部分得分</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技术部分得分和投标报价得分均相同，</w:t>
      </w:r>
      <w:r>
        <w:rPr>
          <w:rFonts w:hint="eastAsia" w:ascii="宋体" w:hAnsi="宋体"/>
          <w:szCs w:val="24"/>
        </w:rPr>
        <w:t>由评标委员会采用记名投票方式，以得票多的优先，确定中标候选人的排序。</w:t>
      </w:r>
    </w:p>
    <w:p w14:paraId="63A0E7CA">
      <w:pPr>
        <w:spacing w:before="120" w:beforeLines="50"/>
        <w:outlineLvl w:val="2"/>
        <w:rPr>
          <w:rFonts w:ascii="宋体" w:hAnsi="宋体"/>
          <w:b/>
          <w:sz w:val="32"/>
        </w:rPr>
      </w:pPr>
      <w:bookmarkStart w:id="339" w:name="_Toc529196584"/>
      <w:bookmarkStart w:id="340" w:name="_Toc515205257"/>
      <w:r>
        <w:rPr>
          <w:rFonts w:hint="eastAsia" w:ascii="宋体" w:hAnsi="宋体"/>
          <w:b/>
          <w:sz w:val="32"/>
        </w:rPr>
        <w:t>2. 评审标准</w:t>
      </w:r>
      <w:bookmarkEnd w:id="339"/>
      <w:bookmarkEnd w:id="340"/>
    </w:p>
    <w:p w14:paraId="3452A753">
      <w:pPr>
        <w:spacing w:before="240" w:beforeLines="100" w:after="240" w:afterLines="100"/>
        <w:rPr>
          <w:rFonts w:ascii="宋体" w:hAnsi="宋体"/>
          <w:b/>
          <w:sz w:val="28"/>
        </w:rPr>
      </w:pPr>
      <w:bookmarkStart w:id="341" w:name="_Toc515205258"/>
      <w:bookmarkStart w:id="342" w:name="_Toc529196585"/>
      <w:r>
        <w:rPr>
          <w:rFonts w:hint="eastAsia" w:ascii="宋体" w:hAnsi="宋体"/>
          <w:b/>
          <w:sz w:val="28"/>
        </w:rPr>
        <w:t>2.1 初步评审标准</w:t>
      </w:r>
      <w:bookmarkEnd w:id="341"/>
      <w:bookmarkEnd w:id="342"/>
    </w:p>
    <w:p w14:paraId="432C35B3">
      <w:pPr>
        <w:spacing w:line="360" w:lineRule="auto"/>
        <w:ind w:firstLine="420" w:firstLineChars="200"/>
        <w:rPr>
          <w:rFonts w:ascii="宋体" w:hAnsi="宋体"/>
        </w:rPr>
      </w:pPr>
      <w:r>
        <w:rPr>
          <w:rFonts w:hint="eastAsia" w:ascii="宋体" w:hAnsi="宋体"/>
        </w:rPr>
        <w:t>2.1.1 形式评审标准：见评标办法前附表。</w:t>
      </w:r>
    </w:p>
    <w:p w14:paraId="2A415059">
      <w:pPr>
        <w:spacing w:line="360" w:lineRule="auto"/>
        <w:ind w:firstLine="420" w:firstLineChars="200"/>
        <w:rPr>
          <w:rFonts w:ascii="宋体" w:hAnsi="宋体"/>
        </w:rPr>
      </w:pPr>
      <w:r>
        <w:rPr>
          <w:rFonts w:hint="eastAsia" w:ascii="宋体" w:hAnsi="宋体"/>
        </w:rPr>
        <w:t>2.1.2 资格评审标准：见评标办法前附表。</w:t>
      </w:r>
    </w:p>
    <w:p w14:paraId="313D038D">
      <w:pPr>
        <w:spacing w:line="360" w:lineRule="auto"/>
        <w:ind w:firstLine="420" w:firstLineChars="200"/>
        <w:rPr>
          <w:rFonts w:ascii="宋体" w:hAnsi="宋体"/>
        </w:rPr>
      </w:pPr>
      <w:r>
        <w:rPr>
          <w:rFonts w:hint="eastAsia" w:ascii="宋体" w:hAnsi="宋体"/>
        </w:rPr>
        <w:t>2.1.3 响应性评审标准：见评标办法前附表。</w:t>
      </w:r>
    </w:p>
    <w:p w14:paraId="06E897BB">
      <w:pPr>
        <w:spacing w:before="240" w:beforeLines="100" w:after="240" w:afterLines="100"/>
        <w:rPr>
          <w:rFonts w:ascii="宋体" w:hAnsi="宋体"/>
          <w:b/>
          <w:sz w:val="28"/>
        </w:rPr>
      </w:pPr>
      <w:bookmarkStart w:id="343" w:name="_Toc529196586"/>
      <w:bookmarkStart w:id="344" w:name="_Toc515205259"/>
      <w:r>
        <w:rPr>
          <w:rFonts w:hint="eastAsia" w:ascii="宋体" w:hAnsi="宋体"/>
          <w:b/>
          <w:sz w:val="28"/>
        </w:rPr>
        <w:t>2.2 分值构成与评分标准</w:t>
      </w:r>
      <w:bookmarkEnd w:id="343"/>
      <w:bookmarkEnd w:id="344"/>
    </w:p>
    <w:p w14:paraId="1C9C1366">
      <w:pPr>
        <w:spacing w:line="360" w:lineRule="auto"/>
        <w:ind w:firstLine="420" w:firstLineChars="200"/>
        <w:rPr>
          <w:rFonts w:ascii="宋体" w:hAnsi="宋体"/>
        </w:rPr>
      </w:pPr>
      <w:r>
        <w:rPr>
          <w:rFonts w:hint="eastAsia" w:ascii="宋体" w:hAnsi="宋体"/>
        </w:rPr>
        <w:t>2.2.1 分值构成：</w:t>
      </w:r>
    </w:p>
    <w:p w14:paraId="2371F819">
      <w:pPr>
        <w:spacing w:line="360" w:lineRule="auto"/>
        <w:ind w:firstLine="420" w:firstLineChars="200"/>
        <w:rPr>
          <w:rFonts w:ascii="宋体" w:hAnsi="宋体"/>
        </w:rPr>
      </w:pPr>
      <w:r>
        <w:rPr>
          <w:rFonts w:hint="eastAsia" w:ascii="宋体" w:hAnsi="宋体"/>
        </w:rPr>
        <w:t>（1）资信业绩部分：见评标办法前附表；</w:t>
      </w:r>
    </w:p>
    <w:p w14:paraId="0A5FDA68">
      <w:pPr>
        <w:spacing w:line="360" w:lineRule="auto"/>
        <w:ind w:firstLine="420" w:firstLineChars="200"/>
        <w:rPr>
          <w:rFonts w:ascii="宋体" w:hAnsi="宋体"/>
        </w:rPr>
      </w:pPr>
      <w:r>
        <w:rPr>
          <w:rFonts w:hint="eastAsia" w:ascii="宋体" w:hAnsi="宋体"/>
        </w:rPr>
        <w:t>（2）</w:t>
      </w:r>
      <w:r>
        <w:rPr>
          <w:rFonts w:hint="eastAsia" w:ascii="宋体" w:hAnsi="宋体"/>
          <w:lang w:val="en-US" w:eastAsia="zh-CN"/>
        </w:rPr>
        <w:t>检测技术</w:t>
      </w:r>
      <w:r>
        <w:rPr>
          <w:rFonts w:hint="eastAsia" w:ascii="宋体" w:hAnsi="宋体"/>
        </w:rPr>
        <w:t>部分：见评标办法前附表；</w:t>
      </w:r>
    </w:p>
    <w:p w14:paraId="44FE2281">
      <w:pPr>
        <w:spacing w:line="360" w:lineRule="auto"/>
        <w:ind w:firstLine="420" w:firstLineChars="200"/>
        <w:rPr>
          <w:rFonts w:ascii="宋体" w:hAnsi="宋体"/>
        </w:rPr>
      </w:pPr>
      <w:r>
        <w:rPr>
          <w:rFonts w:hint="eastAsia" w:ascii="宋体" w:hAnsi="宋体"/>
        </w:rPr>
        <w:t>（3）投标报价：见评标办法前附表；</w:t>
      </w:r>
    </w:p>
    <w:p w14:paraId="43926CA3">
      <w:pPr>
        <w:spacing w:line="360" w:lineRule="auto"/>
        <w:ind w:firstLine="420" w:firstLineChars="200"/>
        <w:rPr>
          <w:rFonts w:ascii="宋体" w:hAnsi="宋体"/>
        </w:rPr>
      </w:pPr>
      <w:r>
        <w:rPr>
          <w:rFonts w:hint="eastAsia" w:ascii="宋体" w:hAnsi="宋体"/>
        </w:rPr>
        <w:t>（4）其他评分因素：见评标办法前附表。</w:t>
      </w:r>
    </w:p>
    <w:p w14:paraId="72867120">
      <w:pPr>
        <w:spacing w:line="360" w:lineRule="auto"/>
        <w:ind w:firstLine="420" w:firstLineChars="200"/>
        <w:rPr>
          <w:rFonts w:ascii="宋体" w:hAnsi="宋体"/>
        </w:rPr>
      </w:pPr>
      <w:r>
        <w:rPr>
          <w:rFonts w:hint="eastAsia" w:ascii="宋体" w:hAnsi="宋体"/>
        </w:rPr>
        <w:t>2.2.2 评标基准价计算</w:t>
      </w:r>
    </w:p>
    <w:p w14:paraId="18A1C19A">
      <w:pPr>
        <w:spacing w:line="360" w:lineRule="auto"/>
        <w:ind w:firstLine="420" w:firstLineChars="200"/>
        <w:rPr>
          <w:rFonts w:ascii="宋体" w:hAnsi="宋体"/>
        </w:rPr>
      </w:pPr>
      <w:r>
        <w:rPr>
          <w:rFonts w:hint="eastAsia" w:ascii="宋体" w:hAnsi="宋体"/>
        </w:rPr>
        <w:t>评标基准价计算方法：见评标办法前附表。</w:t>
      </w:r>
    </w:p>
    <w:p w14:paraId="686E2350">
      <w:pPr>
        <w:spacing w:line="360" w:lineRule="auto"/>
        <w:ind w:firstLine="420" w:firstLineChars="200"/>
        <w:rPr>
          <w:rFonts w:ascii="宋体" w:hAnsi="宋体"/>
        </w:rPr>
      </w:pPr>
      <w:r>
        <w:rPr>
          <w:rFonts w:hint="eastAsia" w:ascii="宋体" w:hAnsi="宋体"/>
        </w:rPr>
        <w:t>2.2.3 投标报价的偏差率计算</w:t>
      </w:r>
    </w:p>
    <w:p w14:paraId="35950F74">
      <w:pPr>
        <w:spacing w:line="360" w:lineRule="auto"/>
        <w:ind w:firstLine="420" w:firstLineChars="200"/>
        <w:rPr>
          <w:rFonts w:ascii="宋体" w:hAnsi="宋体"/>
        </w:rPr>
      </w:pPr>
      <w:r>
        <w:rPr>
          <w:rFonts w:hint="eastAsia" w:ascii="宋体" w:hAnsi="宋体"/>
        </w:rPr>
        <w:t>投标报价的偏差率计算公式：见评标办法前附表。</w:t>
      </w:r>
    </w:p>
    <w:p w14:paraId="28D6A0A1">
      <w:pPr>
        <w:spacing w:line="360" w:lineRule="auto"/>
        <w:ind w:firstLine="420" w:firstLineChars="200"/>
        <w:rPr>
          <w:rFonts w:ascii="宋体" w:hAnsi="宋体"/>
        </w:rPr>
      </w:pPr>
      <w:r>
        <w:rPr>
          <w:rFonts w:hint="eastAsia" w:ascii="宋体" w:hAnsi="宋体"/>
        </w:rPr>
        <w:t>2.2.4 评分标准</w:t>
      </w:r>
    </w:p>
    <w:p w14:paraId="25CFAE52">
      <w:pPr>
        <w:spacing w:line="360" w:lineRule="auto"/>
        <w:ind w:firstLine="420" w:firstLineChars="200"/>
        <w:rPr>
          <w:rFonts w:ascii="宋体" w:hAnsi="宋体"/>
        </w:rPr>
      </w:pPr>
      <w:r>
        <w:rPr>
          <w:rFonts w:hint="eastAsia" w:ascii="宋体" w:hAnsi="宋体"/>
        </w:rPr>
        <w:t>（1）资信业绩评分标准：见评标办法前附表；</w:t>
      </w:r>
    </w:p>
    <w:p w14:paraId="17CA892C">
      <w:pPr>
        <w:spacing w:line="360" w:lineRule="auto"/>
        <w:ind w:firstLine="420" w:firstLineChars="200"/>
        <w:rPr>
          <w:rFonts w:ascii="宋体" w:hAnsi="宋体"/>
        </w:rPr>
      </w:pPr>
      <w:r>
        <w:rPr>
          <w:rFonts w:hint="eastAsia" w:ascii="宋体" w:hAnsi="宋体"/>
        </w:rPr>
        <w:t>（2）</w:t>
      </w:r>
      <w:r>
        <w:rPr>
          <w:rFonts w:hint="eastAsia" w:ascii="宋体" w:hAnsi="宋体"/>
          <w:lang w:val="en-US" w:eastAsia="zh-CN"/>
        </w:rPr>
        <w:t>检测技术部分</w:t>
      </w:r>
      <w:r>
        <w:rPr>
          <w:rFonts w:hint="eastAsia" w:ascii="宋体" w:hAnsi="宋体"/>
        </w:rPr>
        <w:t>评分标准：见评标办法前附表；</w:t>
      </w:r>
    </w:p>
    <w:p w14:paraId="06024A6F">
      <w:pPr>
        <w:spacing w:line="360" w:lineRule="auto"/>
        <w:ind w:firstLine="420" w:firstLineChars="200"/>
        <w:rPr>
          <w:rFonts w:ascii="宋体" w:hAnsi="宋体"/>
        </w:rPr>
      </w:pPr>
      <w:r>
        <w:rPr>
          <w:rFonts w:hint="eastAsia" w:ascii="宋体" w:hAnsi="宋体"/>
        </w:rPr>
        <w:t>（3）投标报价评分标准：见评标办法前附表；</w:t>
      </w:r>
    </w:p>
    <w:p w14:paraId="7BC1B7A4">
      <w:pPr>
        <w:spacing w:line="360" w:lineRule="auto"/>
        <w:ind w:firstLine="420" w:firstLineChars="200"/>
        <w:rPr>
          <w:rFonts w:ascii="宋体" w:hAnsi="宋体"/>
        </w:rPr>
      </w:pPr>
      <w:r>
        <w:rPr>
          <w:rFonts w:hint="eastAsia" w:ascii="宋体" w:hAnsi="宋体"/>
        </w:rPr>
        <w:t>（4）其他因素评分标准：见评标办法前附表。</w:t>
      </w:r>
    </w:p>
    <w:p w14:paraId="3AEA4BB4">
      <w:pPr>
        <w:spacing w:before="120" w:beforeLines="50"/>
        <w:outlineLvl w:val="2"/>
        <w:rPr>
          <w:rFonts w:ascii="宋体" w:hAnsi="宋体"/>
          <w:b/>
          <w:sz w:val="32"/>
        </w:rPr>
      </w:pPr>
      <w:bookmarkStart w:id="345" w:name="_Toc529196587"/>
      <w:bookmarkStart w:id="346" w:name="_Toc515205260"/>
      <w:r>
        <w:rPr>
          <w:rFonts w:hint="eastAsia" w:ascii="宋体" w:hAnsi="宋体"/>
          <w:b/>
          <w:sz w:val="32"/>
        </w:rPr>
        <w:t>3. 评标程序</w:t>
      </w:r>
      <w:bookmarkEnd w:id="345"/>
      <w:bookmarkEnd w:id="346"/>
    </w:p>
    <w:p w14:paraId="1B3402A9">
      <w:pPr>
        <w:spacing w:before="240" w:beforeLines="100" w:after="240" w:afterLines="100"/>
        <w:rPr>
          <w:rFonts w:ascii="宋体" w:hAnsi="宋体"/>
          <w:b/>
          <w:sz w:val="28"/>
        </w:rPr>
      </w:pPr>
      <w:bookmarkStart w:id="347" w:name="_Toc515205261"/>
      <w:bookmarkStart w:id="348" w:name="_Toc529196588"/>
      <w:r>
        <w:rPr>
          <w:rFonts w:hint="eastAsia" w:ascii="宋体" w:hAnsi="宋体"/>
          <w:b/>
          <w:sz w:val="28"/>
        </w:rPr>
        <w:t>3.1 初步评审</w:t>
      </w:r>
      <w:bookmarkEnd w:id="347"/>
      <w:bookmarkEnd w:id="348"/>
    </w:p>
    <w:p w14:paraId="4825C681">
      <w:pPr>
        <w:spacing w:line="360" w:lineRule="auto"/>
        <w:ind w:firstLine="420" w:firstLineChars="200"/>
        <w:rPr>
          <w:rFonts w:ascii="宋体" w:hAnsi="宋体"/>
        </w:rPr>
      </w:pPr>
      <w:r>
        <w:rPr>
          <w:rFonts w:hint="eastAsia" w:ascii="宋体" w:hAnsi="宋体"/>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14:paraId="0C7D464C">
      <w:pPr>
        <w:spacing w:line="360" w:lineRule="auto"/>
        <w:ind w:firstLine="420" w:firstLineChars="200"/>
        <w:rPr>
          <w:rFonts w:ascii="宋体" w:hAnsi="宋体"/>
        </w:rPr>
      </w:pPr>
      <w:r>
        <w:rPr>
          <w:rFonts w:hint="eastAsia" w:ascii="宋体" w:hAnsi="宋体"/>
        </w:rPr>
        <w:t>3.1.2 投标人有以下情形之一的，评标委员会应当否决其投标：</w:t>
      </w:r>
    </w:p>
    <w:p w14:paraId="61074ADB">
      <w:pPr>
        <w:spacing w:line="360" w:lineRule="auto"/>
        <w:ind w:firstLine="420" w:firstLineChars="200"/>
        <w:rPr>
          <w:rFonts w:ascii="宋体" w:hAnsi="宋体"/>
        </w:rPr>
      </w:pPr>
      <w:r>
        <w:rPr>
          <w:rFonts w:hint="eastAsia" w:ascii="宋体" w:hAnsi="宋体"/>
        </w:rPr>
        <w:t>（1）投标文件没有对招标文件的实质性要求和条件作出响应，或者对招标文件的偏差超出招标文件规定的偏差范围或最高项数；</w:t>
      </w:r>
    </w:p>
    <w:p w14:paraId="55F75866">
      <w:pPr>
        <w:spacing w:line="360" w:lineRule="auto"/>
        <w:ind w:firstLine="420" w:firstLineChars="200"/>
        <w:rPr>
          <w:rFonts w:ascii="宋体" w:hAnsi="宋体"/>
        </w:rPr>
      </w:pPr>
      <w:r>
        <w:rPr>
          <w:rFonts w:hint="eastAsia" w:ascii="宋体" w:hAnsi="宋体"/>
        </w:rPr>
        <w:t>（2）有串通投标、弄虚作假、行贿等违法行为。</w:t>
      </w:r>
    </w:p>
    <w:p w14:paraId="349AB314">
      <w:pPr>
        <w:spacing w:line="360" w:lineRule="auto"/>
        <w:ind w:firstLine="420" w:firstLineChars="200"/>
        <w:rPr>
          <w:rFonts w:ascii="宋体" w:hAnsi="宋体"/>
        </w:rPr>
      </w:pPr>
      <w:r>
        <w:rPr>
          <w:rFonts w:hint="eastAsia" w:ascii="宋体" w:hAnsi="宋体"/>
        </w:rPr>
        <w:t>3.1.3 投标报价有算术错误及其他错误的，评标委员会按以下原则要求投标人对投标报价进</w:t>
      </w:r>
      <w:bookmarkStart w:id="349" w:name="_Toc300835013"/>
      <w:bookmarkStart w:id="350" w:name="_Toc247514027"/>
      <w:bookmarkStart w:id="351" w:name="_Toc369531582"/>
      <w:bookmarkStart w:id="352" w:name="_Toc152042380"/>
      <w:bookmarkStart w:id="353" w:name="_Toc361508651"/>
      <w:bookmarkStart w:id="354" w:name="_Toc247527628"/>
      <w:bookmarkStart w:id="355" w:name="_Toc2907"/>
      <w:bookmarkStart w:id="356" w:name="_Toc152045603"/>
      <w:bookmarkStart w:id="357" w:name="_Toc144974570"/>
      <w:bookmarkStart w:id="358" w:name="_Toc352691538"/>
      <w:bookmarkStart w:id="359" w:name="_Toc384308277"/>
      <w:r>
        <w:rPr>
          <w:rFonts w:hint="eastAsia" w:ascii="宋体" w:hAnsi="宋体"/>
        </w:rPr>
        <w:t>行修正，并要求投标人书面澄清确认。</w:t>
      </w:r>
      <w:bookmarkEnd w:id="349"/>
      <w:bookmarkEnd w:id="350"/>
      <w:bookmarkEnd w:id="351"/>
      <w:bookmarkEnd w:id="352"/>
      <w:bookmarkEnd w:id="353"/>
      <w:bookmarkEnd w:id="354"/>
      <w:bookmarkEnd w:id="355"/>
      <w:bookmarkEnd w:id="356"/>
      <w:bookmarkEnd w:id="357"/>
      <w:bookmarkEnd w:id="358"/>
      <w:bookmarkEnd w:id="359"/>
      <w:r>
        <w:rPr>
          <w:rFonts w:hint="eastAsia" w:ascii="宋体" w:hAnsi="宋体"/>
        </w:rPr>
        <w:t>投标人拒不澄清确认的，评标委员会应当否决其投标：</w:t>
      </w:r>
    </w:p>
    <w:p w14:paraId="5FF854B9">
      <w:pPr>
        <w:spacing w:line="360" w:lineRule="auto"/>
        <w:ind w:firstLine="420" w:firstLineChars="200"/>
        <w:rPr>
          <w:rFonts w:ascii="宋体" w:hAnsi="宋体"/>
        </w:rPr>
      </w:pPr>
      <w:r>
        <w:rPr>
          <w:rFonts w:hint="eastAsia" w:ascii="宋体" w:hAnsi="宋体"/>
        </w:rPr>
        <w:t>（1）投标文件中的大写金额与小写金额不一致的，以大写金额为准；</w:t>
      </w:r>
    </w:p>
    <w:p w14:paraId="16A6FE31">
      <w:pPr>
        <w:spacing w:line="360" w:lineRule="auto"/>
        <w:ind w:firstLine="420" w:firstLineChars="200"/>
        <w:rPr>
          <w:rFonts w:ascii="宋体" w:hAnsi="宋体"/>
        </w:rPr>
      </w:pPr>
      <w:r>
        <w:rPr>
          <w:rFonts w:hint="eastAsia" w:ascii="宋体" w:hAnsi="宋体"/>
        </w:rPr>
        <w:t>（2）总价金额与单价金额不一致的，以单价金额为准，但单价金额小数点有明显错误的除外。</w:t>
      </w:r>
    </w:p>
    <w:p w14:paraId="0212F309">
      <w:pPr>
        <w:pStyle w:val="22"/>
        <w:spacing w:line="360" w:lineRule="auto"/>
        <w:ind w:firstLineChars="200"/>
        <w:rPr>
          <w:sz w:val="21"/>
          <w:szCs w:val="21"/>
        </w:rPr>
      </w:pPr>
      <w:r>
        <w:rPr>
          <w:rFonts w:hint="eastAsia" w:ascii="宋体" w:hAnsi="宋体" w:cs="宋体"/>
          <w:kern w:val="2"/>
          <w:sz w:val="21"/>
          <w:szCs w:val="21"/>
          <w:u w:val="single"/>
          <w:lang w:bidi="ar"/>
        </w:rPr>
        <w:t>3.1.4 只有通过初步评审的投标人才能进入下一阶段详细评审。当通过初步评审的有效投标人不足三名时，招标人应当依法重新组织招标。在进行形式评审、资格评审、响应性评审过程中，若评委意见不一致时，则按少数服从多数的原则，决定该投标人是否通过相应阶段的评审，进入下一阶段评审。</w:t>
      </w:r>
    </w:p>
    <w:p w14:paraId="0F707A02">
      <w:pPr>
        <w:spacing w:before="168" w:beforeLines="70" w:after="168" w:afterLines="70"/>
        <w:rPr>
          <w:rFonts w:ascii="宋体" w:hAnsi="宋体"/>
          <w:b/>
          <w:sz w:val="28"/>
        </w:rPr>
      </w:pPr>
      <w:bookmarkStart w:id="360" w:name="_Toc529196589"/>
      <w:bookmarkStart w:id="361" w:name="_Toc515205262"/>
      <w:r>
        <w:rPr>
          <w:rFonts w:hint="eastAsia" w:ascii="宋体" w:hAnsi="宋体"/>
          <w:b/>
          <w:sz w:val="28"/>
        </w:rPr>
        <w:t>3.2 详细评审</w:t>
      </w:r>
      <w:bookmarkEnd w:id="360"/>
      <w:bookmarkEnd w:id="361"/>
    </w:p>
    <w:p w14:paraId="23F6A7AE">
      <w:pPr>
        <w:spacing w:line="360" w:lineRule="auto"/>
        <w:ind w:firstLine="420" w:firstLineChars="200"/>
        <w:rPr>
          <w:rFonts w:ascii="宋体" w:hAnsi="宋体"/>
        </w:rPr>
      </w:pPr>
      <w:r>
        <w:rPr>
          <w:rFonts w:hint="eastAsia" w:ascii="宋体" w:hAnsi="宋体"/>
        </w:rPr>
        <w:t>3.2.1 评标委员会按本章第2.2款规定的量化因素和分值进行打分，并计算出综合评估得分。</w:t>
      </w:r>
    </w:p>
    <w:p w14:paraId="4D341437">
      <w:pPr>
        <w:spacing w:line="360" w:lineRule="auto"/>
        <w:ind w:firstLine="420" w:firstLineChars="200"/>
        <w:rPr>
          <w:rFonts w:ascii="宋体" w:hAnsi="宋体"/>
        </w:rPr>
      </w:pPr>
      <w:r>
        <w:rPr>
          <w:rFonts w:hint="eastAsia" w:ascii="宋体" w:hAnsi="宋体"/>
        </w:rPr>
        <w:t>（1）按本章第 2.2.4（1）目规定的评审因素和分值对资信业绩部分计算出得分 A；</w:t>
      </w:r>
    </w:p>
    <w:p w14:paraId="3F3BFA5F">
      <w:pPr>
        <w:spacing w:line="360" w:lineRule="auto"/>
        <w:ind w:firstLine="420" w:firstLineChars="200"/>
        <w:rPr>
          <w:rFonts w:ascii="宋体" w:hAnsi="宋体"/>
        </w:rPr>
      </w:pPr>
      <w:r>
        <w:rPr>
          <w:rFonts w:hint="eastAsia" w:ascii="宋体" w:hAnsi="宋体"/>
        </w:rPr>
        <w:t>（2）按本章第 2.2.4（2）目规定的评审因素和分值对</w:t>
      </w:r>
      <w:r>
        <w:rPr>
          <w:rFonts w:hint="eastAsia" w:ascii="宋体" w:hAnsi="宋体"/>
          <w:lang w:eastAsia="zh-CN"/>
        </w:rPr>
        <w:t>检测方案</w:t>
      </w:r>
      <w:r>
        <w:rPr>
          <w:rFonts w:hint="eastAsia" w:ascii="宋体" w:hAnsi="宋体"/>
        </w:rPr>
        <w:t>部分计算出得分 B；</w:t>
      </w:r>
    </w:p>
    <w:p w14:paraId="6ECFB9AF">
      <w:pPr>
        <w:spacing w:line="360" w:lineRule="auto"/>
        <w:ind w:firstLine="420" w:firstLineChars="200"/>
        <w:rPr>
          <w:rFonts w:ascii="宋体" w:hAnsi="宋体"/>
        </w:rPr>
      </w:pPr>
      <w:r>
        <w:rPr>
          <w:rFonts w:hint="eastAsia" w:ascii="宋体" w:hAnsi="宋体"/>
        </w:rPr>
        <w:t>（3）按本章第 2.2.4（3）目规定的评审因素和分值对投标报价计算出得分 C；</w:t>
      </w:r>
    </w:p>
    <w:p w14:paraId="294A0CDA">
      <w:pPr>
        <w:spacing w:line="360" w:lineRule="auto"/>
        <w:ind w:firstLine="420" w:firstLineChars="200"/>
        <w:rPr>
          <w:rFonts w:ascii="宋体" w:hAnsi="宋体"/>
        </w:rPr>
      </w:pPr>
      <w:r>
        <w:rPr>
          <w:rFonts w:hint="eastAsia" w:ascii="宋体" w:hAnsi="宋体"/>
        </w:rPr>
        <w:t>3.2.2 评分分值计算保留小数点后两位，小数点后第三位“四舍五入”。</w:t>
      </w:r>
    </w:p>
    <w:p w14:paraId="0C4BC6FB">
      <w:pPr>
        <w:spacing w:line="360" w:lineRule="auto"/>
        <w:ind w:firstLine="420" w:firstLineChars="200"/>
        <w:rPr>
          <w:rFonts w:hint="eastAsia" w:ascii="宋体" w:hAnsi="宋体"/>
        </w:rPr>
      </w:pPr>
      <w:r>
        <w:rPr>
          <w:rFonts w:hint="eastAsia" w:ascii="宋体" w:hAnsi="宋体"/>
        </w:rPr>
        <w:t>3.2.3 投标人得分=A+B+C</w:t>
      </w:r>
    </w:p>
    <w:p w14:paraId="63A16A0A">
      <w:pPr>
        <w:spacing w:line="360" w:lineRule="auto"/>
        <w:ind w:firstLine="420" w:firstLineChars="200"/>
        <w:rPr>
          <w:rFonts w:ascii="宋体" w:hAnsi="宋体"/>
        </w:rPr>
      </w:pPr>
      <w:r>
        <w:rPr>
          <w:rFonts w:hint="eastAsia" w:ascii="宋体" w:hAnsi="宋体"/>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14:paraId="01E6E916">
      <w:pPr>
        <w:spacing w:before="168" w:beforeLines="70" w:after="168" w:afterLines="70"/>
        <w:rPr>
          <w:rFonts w:ascii="宋体" w:hAnsi="宋体"/>
          <w:b/>
          <w:sz w:val="28"/>
        </w:rPr>
      </w:pPr>
      <w:bookmarkStart w:id="362" w:name="_Toc515205263"/>
      <w:bookmarkStart w:id="363" w:name="_Toc529196590"/>
      <w:r>
        <w:rPr>
          <w:rFonts w:hint="eastAsia" w:ascii="宋体" w:hAnsi="宋体"/>
          <w:b/>
          <w:sz w:val="28"/>
        </w:rPr>
        <w:t>3.3 投标文件的澄清</w:t>
      </w:r>
      <w:bookmarkEnd w:id="362"/>
      <w:bookmarkEnd w:id="363"/>
    </w:p>
    <w:p w14:paraId="2B5183AF">
      <w:pPr>
        <w:spacing w:line="360" w:lineRule="auto"/>
        <w:ind w:firstLine="420" w:firstLineChars="200"/>
        <w:rPr>
          <w:rFonts w:ascii="宋体" w:hAnsi="宋体"/>
        </w:rPr>
      </w:pPr>
      <w:r>
        <w:rPr>
          <w:rFonts w:hint="eastAsia" w:ascii="宋体" w:hAnsi="宋体"/>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09D6E333">
      <w:pPr>
        <w:spacing w:line="360" w:lineRule="auto"/>
        <w:ind w:firstLine="420" w:firstLineChars="200"/>
        <w:rPr>
          <w:rFonts w:ascii="宋体" w:hAnsi="宋体"/>
        </w:rPr>
      </w:pPr>
      <w:r>
        <w:rPr>
          <w:rFonts w:hint="eastAsia" w:ascii="宋体" w:hAnsi="宋体"/>
        </w:rPr>
        <w:t>3.3.2 澄清、说明或补正不得超出投标文件的范围且不得改变投标文件的实质性内容，并构成投标文件的组成部分。</w:t>
      </w:r>
    </w:p>
    <w:p w14:paraId="0E65907A">
      <w:pPr>
        <w:spacing w:line="360" w:lineRule="auto"/>
        <w:ind w:firstLine="420" w:firstLineChars="200"/>
        <w:rPr>
          <w:rFonts w:ascii="宋体" w:hAnsi="宋体"/>
        </w:rPr>
      </w:pPr>
      <w:r>
        <w:rPr>
          <w:rFonts w:hint="eastAsia" w:ascii="宋体" w:hAnsi="宋体"/>
        </w:rPr>
        <w:t>3.3.3 评标委员会对投标人提交的澄清、说明或补正有疑问的，可以要求投标人进一步澄清、说明或补正，直至满足评标委员会的要求。</w:t>
      </w:r>
    </w:p>
    <w:p w14:paraId="5A643CCE">
      <w:pPr>
        <w:spacing w:before="168" w:beforeLines="70" w:after="168" w:afterLines="70"/>
        <w:rPr>
          <w:rFonts w:ascii="宋体" w:hAnsi="宋体"/>
          <w:b/>
          <w:sz w:val="28"/>
        </w:rPr>
      </w:pPr>
      <w:bookmarkStart w:id="364" w:name="_Toc529196591"/>
      <w:bookmarkStart w:id="365" w:name="_Toc515205264"/>
      <w:r>
        <w:rPr>
          <w:rFonts w:hint="eastAsia" w:ascii="宋体" w:hAnsi="宋体"/>
          <w:b/>
          <w:sz w:val="28"/>
        </w:rPr>
        <w:t>3.4 评标结果</w:t>
      </w:r>
      <w:bookmarkEnd w:id="364"/>
      <w:bookmarkEnd w:id="365"/>
    </w:p>
    <w:p w14:paraId="6067FE07">
      <w:pPr>
        <w:spacing w:line="360" w:lineRule="auto"/>
        <w:ind w:firstLine="420" w:firstLineChars="200"/>
        <w:rPr>
          <w:rFonts w:ascii="宋体" w:hAnsi="宋体"/>
          <w:b/>
        </w:rPr>
      </w:pPr>
      <w:r>
        <w:rPr>
          <w:rFonts w:hint="eastAsia" w:ascii="宋体" w:hAnsi="宋体"/>
        </w:rPr>
        <w:t>3.4.1 除第二章“投标人须知”前附表授权直接确定中标人外，评标委员会按照得分由高到低的顺序推荐中标候选人，并标明排序。</w:t>
      </w:r>
    </w:p>
    <w:p w14:paraId="514A6C0D">
      <w:pPr>
        <w:spacing w:line="360" w:lineRule="auto"/>
        <w:ind w:firstLine="482"/>
        <w:rPr>
          <w:rFonts w:ascii="宋体" w:hAnsi="宋体"/>
          <w:b/>
          <w:sz w:val="30"/>
          <w:szCs w:val="30"/>
        </w:rPr>
      </w:pPr>
      <w:r>
        <w:rPr>
          <w:rFonts w:hint="eastAsia" w:ascii="宋体" w:hAnsi="宋体"/>
        </w:rPr>
        <w:t>3.4.2 评标委员会完成评标后，应当向招标人提交书面评标报告和中标候选人名单。</w:t>
      </w:r>
    </w:p>
    <w:p w14:paraId="52C0C1F5">
      <w:pPr>
        <w:pStyle w:val="3"/>
        <w:keepNext w:val="0"/>
        <w:keepLines w:val="0"/>
        <w:spacing w:line="240" w:lineRule="auto"/>
        <w:jc w:val="center"/>
        <w:rPr>
          <w:rFonts w:hint="eastAsia" w:ascii="宋体" w:hAnsi="宋体"/>
        </w:rPr>
      </w:pPr>
      <w:r>
        <w:rPr>
          <w:rFonts w:hint="eastAsia" w:ascii="宋体" w:hAnsi="宋体"/>
        </w:rPr>
        <w:br w:type="page"/>
      </w:r>
      <w:bookmarkStart w:id="366" w:name="_Toc5730"/>
      <w:bookmarkStart w:id="367" w:name="_Toc27815"/>
      <w:bookmarkStart w:id="368" w:name="_Toc12981"/>
      <w:bookmarkStart w:id="369" w:name="_Toc16777"/>
      <w:bookmarkStart w:id="370" w:name="_Toc63769816"/>
      <w:r>
        <w:rPr>
          <w:rFonts w:hint="eastAsia" w:ascii="宋体" w:hAnsi="宋体"/>
        </w:rPr>
        <w:t>第四章 合同条款及格式</w:t>
      </w:r>
      <w:bookmarkEnd w:id="366"/>
      <w:bookmarkEnd w:id="367"/>
      <w:bookmarkEnd w:id="368"/>
      <w:bookmarkEnd w:id="369"/>
      <w:bookmarkEnd w:id="370"/>
    </w:p>
    <w:p w14:paraId="70C5E268">
      <w:pPr>
        <w:spacing w:line="360" w:lineRule="auto"/>
        <w:jc w:val="center"/>
        <w:rPr>
          <w:rFonts w:hint="eastAsia"/>
          <w:b/>
          <w:color w:val="auto"/>
          <w:sz w:val="32"/>
          <w:highlight w:val="none"/>
        </w:rPr>
      </w:pPr>
      <w:r>
        <w:rPr>
          <w:rFonts w:hint="eastAsia"/>
          <w:b/>
          <w:color w:val="auto"/>
          <w:sz w:val="32"/>
          <w:highlight w:val="none"/>
        </w:rPr>
        <w:t>（另附）</w:t>
      </w:r>
    </w:p>
    <w:p w14:paraId="694A20A1"/>
    <w:p w14:paraId="7596A921">
      <w:pPr>
        <w:pStyle w:val="11"/>
      </w:pPr>
    </w:p>
    <w:p w14:paraId="7E658A71">
      <w:pPr>
        <w:pStyle w:val="11"/>
      </w:pPr>
    </w:p>
    <w:p w14:paraId="2F5BBB5C">
      <w:pPr>
        <w:pStyle w:val="11"/>
      </w:pPr>
    </w:p>
    <w:p w14:paraId="39C02FEB">
      <w:pPr>
        <w:pStyle w:val="11"/>
      </w:pPr>
    </w:p>
    <w:p w14:paraId="6702435C">
      <w:pPr>
        <w:pStyle w:val="11"/>
      </w:pPr>
    </w:p>
    <w:p w14:paraId="610F4AFA">
      <w:pPr>
        <w:pStyle w:val="11"/>
      </w:pPr>
    </w:p>
    <w:p w14:paraId="65DAC141">
      <w:pPr>
        <w:pStyle w:val="11"/>
      </w:pPr>
    </w:p>
    <w:p w14:paraId="129D0027">
      <w:pPr>
        <w:pStyle w:val="11"/>
      </w:pPr>
    </w:p>
    <w:p w14:paraId="5EED4B88">
      <w:pPr>
        <w:pStyle w:val="11"/>
      </w:pPr>
    </w:p>
    <w:p w14:paraId="65854A0D">
      <w:pPr>
        <w:pStyle w:val="11"/>
      </w:pPr>
    </w:p>
    <w:p w14:paraId="0543A3B0">
      <w:pPr>
        <w:pStyle w:val="11"/>
      </w:pPr>
    </w:p>
    <w:p w14:paraId="45CF5705">
      <w:pPr>
        <w:pStyle w:val="11"/>
      </w:pPr>
    </w:p>
    <w:p w14:paraId="1E73E1FC">
      <w:pPr>
        <w:pStyle w:val="11"/>
      </w:pPr>
    </w:p>
    <w:p w14:paraId="5BBCF9AD">
      <w:pPr>
        <w:pStyle w:val="11"/>
      </w:pPr>
    </w:p>
    <w:p w14:paraId="5DB2BEE6">
      <w:pPr>
        <w:pStyle w:val="11"/>
      </w:pPr>
    </w:p>
    <w:p w14:paraId="131AA83B">
      <w:pPr>
        <w:pStyle w:val="11"/>
      </w:pPr>
    </w:p>
    <w:p w14:paraId="3B707F1A">
      <w:pPr>
        <w:pStyle w:val="11"/>
      </w:pPr>
    </w:p>
    <w:p w14:paraId="6FEACD01">
      <w:pPr>
        <w:pStyle w:val="11"/>
      </w:pPr>
    </w:p>
    <w:p w14:paraId="4E05AB1F">
      <w:pPr>
        <w:pStyle w:val="11"/>
      </w:pPr>
    </w:p>
    <w:p w14:paraId="29375546">
      <w:pPr>
        <w:pStyle w:val="11"/>
      </w:pPr>
    </w:p>
    <w:p w14:paraId="1815E972">
      <w:pPr>
        <w:pStyle w:val="11"/>
      </w:pPr>
    </w:p>
    <w:p w14:paraId="2AE5B7B8">
      <w:pPr>
        <w:pStyle w:val="11"/>
      </w:pPr>
    </w:p>
    <w:p w14:paraId="30CD339E">
      <w:pPr>
        <w:pStyle w:val="11"/>
      </w:pPr>
    </w:p>
    <w:p w14:paraId="6C11190E">
      <w:pPr>
        <w:pStyle w:val="11"/>
      </w:pPr>
    </w:p>
    <w:p w14:paraId="7D26CE97">
      <w:pPr>
        <w:pStyle w:val="11"/>
      </w:pPr>
    </w:p>
    <w:p w14:paraId="36A92116">
      <w:pPr>
        <w:pStyle w:val="11"/>
      </w:pPr>
    </w:p>
    <w:p w14:paraId="574882A7">
      <w:pPr>
        <w:pStyle w:val="11"/>
      </w:pPr>
    </w:p>
    <w:p w14:paraId="29DDA88B">
      <w:pPr>
        <w:pStyle w:val="11"/>
      </w:pPr>
    </w:p>
    <w:p w14:paraId="3043430C">
      <w:pPr>
        <w:pStyle w:val="11"/>
      </w:pPr>
    </w:p>
    <w:p w14:paraId="04B916ED">
      <w:pPr>
        <w:pStyle w:val="11"/>
      </w:pPr>
    </w:p>
    <w:p w14:paraId="1D4919E0">
      <w:pPr>
        <w:pStyle w:val="11"/>
      </w:pPr>
    </w:p>
    <w:p w14:paraId="34D808F7">
      <w:pPr>
        <w:pStyle w:val="11"/>
      </w:pPr>
    </w:p>
    <w:p w14:paraId="6E8AD0E2">
      <w:pPr>
        <w:pStyle w:val="11"/>
      </w:pPr>
    </w:p>
    <w:p w14:paraId="3C5168C9">
      <w:pPr>
        <w:pStyle w:val="11"/>
      </w:pPr>
    </w:p>
    <w:p w14:paraId="4283B4A0">
      <w:pPr>
        <w:pStyle w:val="11"/>
      </w:pPr>
    </w:p>
    <w:p w14:paraId="23C0AB75">
      <w:pPr>
        <w:pStyle w:val="11"/>
      </w:pPr>
    </w:p>
    <w:p w14:paraId="0AF9EF0A">
      <w:pPr>
        <w:pStyle w:val="11"/>
      </w:pPr>
    </w:p>
    <w:p w14:paraId="52F57B3F">
      <w:pPr>
        <w:pStyle w:val="11"/>
      </w:pPr>
    </w:p>
    <w:p w14:paraId="6CE6F61C">
      <w:pPr>
        <w:sectPr>
          <w:headerReference r:id="rId4" w:type="default"/>
          <w:footerReference r:id="rId5" w:type="default"/>
          <w:pgSz w:w="11907" w:h="16840"/>
          <w:pgMar w:top="1440" w:right="1440" w:bottom="1134" w:left="1440" w:header="851" w:footer="992" w:gutter="0"/>
          <w:cols w:space="720" w:num="1"/>
          <w:docGrid w:linePitch="312" w:charSpace="0"/>
        </w:sectPr>
      </w:pPr>
      <w:r>
        <w:br w:type="page"/>
      </w:r>
    </w:p>
    <w:p w14:paraId="45033E35">
      <w:pPr>
        <w:pStyle w:val="3"/>
        <w:keepNext w:val="0"/>
        <w:keepLines w:val="0"/>
        <w:pageBreakBefore w:val="0"/>
        <w:widowControl w:val="0"/>
        <w:numPr>
          <w:ilvl w:val="0"/>
          <w:numId w:val="7"/>
        </w:numPr>
        <w:kinsoku/>
        <w:wordWrap/>
        <w:overflowPunct/>
        <w:topLinePunct w:val="0"/>
        <w:autoSpaceDE/>
        <w:autoSpaceDN/>
        <w:bidi w:val="0"/>
        <w:adjustRightInd/>
        <w:snapToGrid/>
        <w:spacing w:after="0" w:line="360" w:lineRule="auto"/>
        <w:jc w:val="center"/>
        <w:textAlignment w:val="auto"/>
        <w:rPr>
          <w:rFonts w:hint="eastAsia" w:ascii="宋体" w:hAnsi="宋体" w:cs="Times New Roman"/>
          <w:b/>
          <w:bCs w:val="0"/>
          <w:kern w:val="44"/>
          <w:sz w:val="44"/>
          <w:szCs w:val="20"/>
        </w:rPr>
      </w:pPr>
      <w:bookmarkStart w:id="371" w:name="_Toc63769818"/>
      <w:bookmarkStart w:id="372" w:name="_Toc179632787"/>
      <w:bookmarkStart w:id="373" w:name="_Toc4500"/>
      <w:bookmarkStart w:id="374" w:name="_Toc1993"/>
      <w:bookmarkStart w:id="375" w:name="_Toc246996338"/>
      <w:bookmarkStart w:id="376" w:name="_Toc246997081"/>
      <w:bookmarkStart w:id="377" w:name="_Toc27452"/>
      <w:bookmarkStart w:id="378" w:name="_Toc13449"/>
      <w:bookmarkStart w:id="379" w:name="_Toc247085853"/>
      <w:bookmarkStart w:id="380" w:name="_Toc300835199"/>
      <w:bookmarkStart w:id="381" w:name="_Toc152045610"/>
      <w:bookmarkStart w:id="382" w:name="_Toc144974829"/>
      <w:bookmarkStart w:id="383" w:name="_Toc247527798"/>
      <w:bookmarkStart w:id="384" w:name="_Toc184635122"/>
      <w:bookmarkStart w:id="385" w:name="_Toc144974578"/>
      <w:bookmarkStart w:id="386" w:name="_Toc152042388"/>
      <w:bookmarkStart w:id="387" w:name="_Toc247514197"/>
      <w:bookmarkStart w:id="388" w:name="_Toc152042549"/>
      <w:r>
        <w:rPr>
          <w:rFonts w:hint="eastAsia" w:ascii="宋体" w:hAnsi="宋体" w:cs="Times New Roman"/>
          <w:b/>
          <w:bCs w:val="0"/>
          <w:kern w:val="44"/>
          <w:sz w:val="44"/>
          <w:szCs w:val="20"/>
        </w:rPr>
        <w:t>检测及监测清单</w:t>
      </w:r>
      <w:bookmarkEnd w:id="371"/>
      <w:bookmarkEnd w:id="372"/>
      <w:bookmarkEnd w:id="373"/>
      <w:bookmarkEnd w:id="374"/>
      <w:bookmarkEnd w:id="375"/>
      <w:bookmarkEnd w:id="376"/>
      <w:bookmarkEnd w:id="377"/>
      <w:bookmarkEnd w:id="378"/>
      <w:bookmarkEnd w:id="379"/>
      <w:bookmarkStart w:id="461" w:name="_GoBack"/>
      <w:bookmarkEnd w:id="461"/>
      <w:bookmarkStart w:id="389" w:name="_Toc525828225"/>
      <w:bookmarkStart w:id="390" w:name="_Toc525827491"/>
      <w:bookmarkStart w:id="391" w:name="_Toc529196595"/>
      <w:bookmarkStart w:id="392" w:name="_Toc535938725"/>
      <w:bookmarkStart w:id="393" w:name="_Toc530470634"/>
    </w:p>
    <w:bookmarkEnd w:id="389"/>
    <w:bookmarkEnd w:id="390"/>
    <w:bookmarkEnd w:id="391"/>
    <w:bookmarkEnd w:id="392"/>
    <w:bookmarkEnd w:id="393"/>
    <w:tbl>
      <w:tblPr>
        <w:tblStyle w:val="24"/>
        <w:tblW w:w="5809" w:type="pct"/>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2"/>
        <w:gridCol w:w="987"/>
        <w:gridCol w:w="1072"/>
        <w:gridCol w:w="1067"/>
        <w:gridCol w:w="3288"/>
        <w:gridCol w:w="453"/>
        <w:gridCol w:w="1008"/>
        <w:gridCol w:w="745"/>
        <w:gridCol w:w="759"/>
        <w:gridCol w:w="879"/>
      </w:tblGrid>
      <w:tr w14:paraId="1335925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554D45">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2023-2025年从化区吕田镇、良口镇、温泉镇农村生活污水治理提升工程检验监测</w:t>
            </w:r>
          </w:p>
        </w:tc>
      </w:tr>
      <w:tr w14:paraId="0A0144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235ED83">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2C76ACB">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40E9613">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检测项目</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1670CD">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抽检频率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A0C0EF">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469" w:type="pct"/>
            <w:tcBorders>
              <w:top w:val="single" w:color="000000" w:sz="4" w:space="0"/>
              <w:left w:val="nil"/>
              <w:bottom w:val="single" w:color="000000" w:sz="4" w:space="0"/>
              <w:right w:val="single" w:color="000000" w:sz="4" w:space="0"/>
            </w:tcBorders>
            <w:shd w:val="clear" w:color="auto" w:fill="auto"/>
            <w:vAlign w:val="center"/>
          </w:tcPr>
          <w:p w14:paraId="1B11851D">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2A2D018">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E16106D">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小计（元）</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806A064">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14:paraId="2C834AF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7AA13E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803C83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7B83CB6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物理性能检测</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5617EC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同生产厂家、同等级、同品种、同批号且连续进场的水泥，袋装以200t为一批，散装水泥不超过500t为一批。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36A27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ECB85E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93F7C43">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DE7F1C">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9223C2">
            <w:pPr>
              <w:rPr>
                <w:rFonts w:hint="eastAsia" w:ascii="宋体" w:hAnsi="宋体" w:eastAsia="宋体" w:cs="宋体"/>
                <w:i w:val="0"/>
                <w:iCs w:val="0"/>
                <w:color w:val="000000"/>
                <w:sz w:val="20"/>
                <w:szCs w:val="20"/>
                <w:u w:val="none"/>
              </w:rPr>
            </w:pPr>
          </w:p>
        </w:tc>
      </w:tr>
      <w:tr w14:paraId="2FD83A1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F82052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9563F2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63F3B91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物理性能检测</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D9D917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同产地、同规格，每400m3或600t为一批，不足此数也按一批计</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C39A6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34D80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CEB4963">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F0A759">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F62178">
            <w:pPr>
              <w:rPr>
                <w:rFonts w:hint="eastAsia" w:ascii="宋体" w:hAnsi="宋体" w:eastAsia="宋体" w:cs="宋体"/>
                <w:i w:val="0"/>
                <w:iCs w:val="0"/>
                <w:color w:val="000000"/>
                <w:sz w:val="20"/>
                <w:szCs w:val="20"/>
                <w:u w:val="none"/>
              </w:rPr>
            </w:pPr>
          </w:p>
        </w:tc>
      </w:tr>
      <w:tr w14:paraId="5262EA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1D95D3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BAF8D5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40F2E96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物理性能检测</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7A2441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同产地、同规格，每400m3或600t为一批，不足此数也按一批计</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7A913B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FB1AB2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F57DA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C1B486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41657E">
            <w:pPr>
              <w:rPr>
                <w:rFonts w:hint="eastAsia" w:ascii="宋体" w:hAnsi="宋体" w:eastAsia="宋体" w:cs="宋体"/>
                <w:i w:val="0"/>
                <w:iCs w:val="0"/>
                <w:color w:val="000000"/>
                <w:sz w:val="20"/>
                <w:szCs w:val="20"/>
                <w:u w:val="none"/>
              </w:rPr>
            </w:pPr>
          </w:p>
        </w:tc>
      </w:tr>
      <w:tr w14:paraId="7B46CD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ECAA5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42B42F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细集料</w:t>
            </w:r>
          </w:p>
        </w:tc>
        <w:tc>
          <w:tcPr>
            <w:tcW w:w="995" w:type="pct"/>
            <w:gridSpan w:val="2"/>
            <w:tcBorders>
              <w:top w:val="nil"/>
              <w:left w:val="single" w:color="000000" w:sz="4" w:space="0"/>
              <w:bottom w:val="single" w:color="000000" w:sz="4" w:space="0"/>
              <w:right w:val="single" w:color="000000" w:sz="4" w:space="0"/>
            </w:tcBorders>
            <w:shd w:val="clear" w:color="auto" w:fill="auto"/>
            <w:vAlign w:val="center"/>
          </w:tcPr>
          <w:p w14:paraId="64ED61D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筛分</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DB0F08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以同料源、同一购入并运至生产现场</w:t>
            </w:r>
            <w:r>
              <w:rPr>
                <w:rFonts w:ascii="Helvetica" w:hAnsi="Helvetica" w:eastAsia="Helvetica" w:cs="Helvetic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或储入同一沥青罐、池</w:t>
            </w:r>
            <w:r>
              <w:rPr>
                <w:rFonts w:ascii="Helvetica" w:hAnsi="Helvetica" w:eastAsia="Helvetica" w:cs="Helvetic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的相同规格品种的为一批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8B8800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020B2B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184CE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F427B7">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11A957">
            <w:pPr>
              <w:rPr>
                <w:rFonts w:hint="eastAsia" w:ascii="宋体" w:hAnsi="宋体" w:eastAsia="宋体" w:cs="宋体"/>
                <w:i w:val="0"/>
                <w:iCs w:val="0"/>
                <w:color w:val="000000"/>
                <w:sz w:val="20"/>
                <w:szCs w:val="20"/>
                <w:u w:val="none"/>
              </w:rPr>
            </w:pPr>
          </w:p>
        </w:tc>
      </w:tr>
      <w:tr w14:paraId="02E564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FE796D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96AD14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粗集料</w:t>
            </w:r>
          </w:p>
        </w:tc>
        <w:tc>
          <w:tcPr>
            <w:tcW w:w="995" w:type="pct"/>
            <w:gridSpan w:val="2"/>
            <w:tcBorders>
              <w:top w:val="nil"/>
              <w:left w:val="single" w:color="000000" w:sz="4" w:space="0"/>
              <w:bottom w:val="single" w:color="000000" w:sz="4" w:space="0"/>
              <w:right w:val="single" w:color="000000" w:sz="4" w:space="0"/>
            </w:tcBorders>
            <w:shd w:val="clear" w:color="auto" w:fill="auto"/>
            <w:vAlign w:val="center"/>
          </w:tcPr>
          <w:p w14:paraId="23161F4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筛分</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9A56FC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以同料源、同一购入并运至生产现场</w:t>
            </w:r>
            <w:r>
              <w:rPr>
                <w:rFonts w:ascii="Helvetica" w:hAnsi="Helvetica" w:eastAsia="Helvetica" w:cs="Helvetic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或储入同一沥青罐、池</w:t>
            </w:r>
            <w:r>
              <w:rPr>
                <w:rFonts w:ascii="Helvetica" w:hAnsi="Helvetica" w:eastAsia="Helvetica" w:cs="Helvetic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的相同规格品种的为一批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6D2B01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1DD293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0FFAEB">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F79618">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2B79BF">
            <w:pPr>
              <w:rPr>
                <w:rFonts w:hint="eastAsia" w:ascii="宋体" w:hAnsi="宋体" w:eastAsia="宋体" w:cs="宋体"/>
                <w:i w:val="0"/>
                <w:iCs w:val="0"/>
                <w:color w:val="000000"/>
                <w:sz w:val="20"/>
                <w:szCs w:val="20"/>
                <w:u w:val="none"/>
              </w:rPr>
            </w:pPr>
          </w:p>
        </w:tc>
      </w:tr>
      <w:tr w14:paraId="353062B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B2C22F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70D7E7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砂浆</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5D29D8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1:1.5、1:2、M10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70BE7A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配合比设计</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43706D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每个等级一组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B29C5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203874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D5DF75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E78675A">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F3ECDB">
            <w:pPr>
              <w:rPr>
                <w:rFonts w:hint="eastAsia" w:ascii="宋体" w:hAnsi="宋体" w:eastAsia="宋体" w:cs="宋体"/>
                <w:i w:val="0"/>
                <w:iCs w:val="0"/>
                <w:color w:val="000000"/>
                <w:sz w:val="20"/>
                <w:szCs w:val="20"/>
                <w:u w:val="none"/>
              </w:rPr>
            </w:pPr>
          </w:p>
        </w:tc>
      </w:tr>
      <w:tr w14:paraId="297AD4D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B9D083A">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8AF954B">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92BF26D">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4D1AF8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砂浆试件抗压</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B47C6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同配合比，每250m³一组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86832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2B8133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45E4D2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0D31940">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62D545">
            <w:pPr>
              <w:rPr>
                <w:rFonts w:hint="eastAsia" w:ascii="宋体" w:hAnsi="宋体" w:eastAsia="宋体" w:cs="宋体"/>
                <w:i w:val="0"/>
                <w:iCs w:val="0"/>
                <w:color w:val="000000"/>
                <w:sz w:val="20"/>
                <w:szCs w:val="20"/>
                <w:u w:val="none"/>
              </w:rPr>
            </w:pPr>
          </w:p>
        </w:tc>
      </w:tr>
      <w:tr w14:paraId="0E2264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restart"/>
            <w:tcBorders>
              <w:top w:val="nil"/>
              <w:left w:val="single" w:color="000000" w:sz="4" w:space="0"/>
              <w:bottom w:val="single" w:color="000000" w:sz="4" w:space="0"/>
              <w:right w:val="single" w:color="000000" w:sz="4" w:space="0"/>
            </w:tcBorders>
            <w:shd w:val="clear" w:color="auto" w:fill="auto"/>
            <w:vAlign w:val="center"/>
          </w:tcPr>
          <w:p w14:paraId="60AF480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59" w:type="pct"/>
            <w:vMerge w:val="restart"/>
            <w:tcBorders>
              <w:top w:val="single" w:color="000000" w:sz="4" w:space="0"/>
              <w:left w:val="single" w:color="000000" w:sz="4" w:space="0"/>
              <w:bottom w:val="nil"/>
              <w:right w:val="single" w:color="000000" w:sz="4" w:space="0"/>
            </w:tcBorders>
            <w:shd w:val="clear" w:color="auto" w:fill="auto"/>
            <w:vAlign w:val="center"/>
          </w:tcPr>
          <w:p w14:paraId="1165520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w:t>
            </w:r>
          </w:p>
        </w:tc>
        <w:tc>
          <w:tcPr>
            <w:tcW w:w="499" w:type="pct"/>
            <w:vMerge w:val="restart"/>
            <w:tcBorders>
              <w:top w:val="single" w:color="000000" w:sz="4" w:space="0"/>
              <w:left w:val="single" w:color="000000" w:sz="4" w:space="0"/>
              <w:bottom w:val="nil"/>
              <w:right w:val="single" w:color="000000" w:sz="4" w:space="0"/>
            </w:tcBorders>
            <w:shd w:val="clear" w:color="auto" w:fill="auto"/>
            <w:vAlign w:val="center"/>
          </w:tcPr>
          <w:p w14:paraId="326F245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C15、C20、C25、C30、C25P6、C30P6</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48230E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配合比设计</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E26490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每个等级一组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D9FA7C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58B49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EEE8B9E">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1B763A4">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31923A">
            <w:pPr>
              <w:rPr>
                <w:rFonts w:hint="eastAsia" w:ascii="宋体" w:hAnsi="宋体" w:eastAsia="宋体" w:cs="宋体"/>
                <w:i w:val="0"/>
                <w:iCs w:val="0"/>
                <w:color w:val="000000"/>
                <w:sz w:val="20"/>
                <w:szCs w:val="20"/>
                <w:u w:val="none"/>
              </w:rPr>
            </w:pPr>
          </w:p>
        </w:tc>
      </w:tr>
      <w:tr w14:paraId="575FA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continue"/>
            <w:tcBorders>
              <w:top w:val="nil"/>
              <w:left w:val="single" w:color="000000" w:sz="4" w:space="0"/>
              <w:bottom w:val="single" w:color="000000" w:sz="4" w:space="0"/>
              <w:right w:val="single" w:color="000000" w:sz="4" w:space="0"/>
            </w:tcBorders>
            <w:shd w:val="clear" w:color="auto" w:fill="auto"/>
            <w:vAlign w:val="center"/>
          </w:tcPr>
          <w:p w14:paraId="439C3680">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42F3EE6C">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nil"/>
              <w:right w:val="single" w:color="000000" w:sz="4" w:space="0"/>
            </w:tcBorders>
            <w:shd w:val="clear" w:color="auto" w:fill="auto"/>
            <w:vAlign w:val="center"/>
          </w:tcPr>
          <w:p w14:paraId="06A6317C">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FF0AD1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砼试件抗压</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066F439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每拌制100盘且不超过100m³的同配合比的混凝土，取样不得少于一次</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514F2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84D056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55D3BC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7A800B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8CFA10">
            <w:pPr>
              <w:rPr>
                <w:rFonts w:hint="eastAsia" w:ascii="宋体" w:hAnsi="宋体" w:eastAsia="宋体" w:cs="宋体"/>
                <w:i w:val="0"/>
                <w:iCs w:val="0"/>
                <w:color w:val="000000"/>
                <w:sz w:val="20"/>
                <w:szCs w:val="20"/>
                <w:u w:val="none"/>
              </w:rPr>
            </w:pPr>
          </w:p>
        </w:tc>
      </w:tr>
      <w:tr w14:paraId="56BC21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224" w:type="pct"/>
            <w:vMerge w:val="continue"/>
            <w:tcBorders>
              <w:top w:val="nil"/>
              <w:left w:val="single" w:color="000000" w:sz="4" w:space="0"/>
              <w:bottom w:val="single" w:color="000000" w:sz="4" w:space="0"/>
              <w:right w:val="single" w:color="000000" w:sz="4" w:space="0"/>
            </w:tcBorders>
            <w:shd w:val="clear" w:color="auto" w:fill="auto"/>
            <w:vAlign w:val="center"/>
          </w:tcPr>
          <w:p w14:paraId="3B0C0908">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621F0986">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nil"/>
              <w:right w:val="single" w:color="000000" w:sz="4" w:space="0"/>
            </w:tcBorders>
            <w:shd w:val="clear" w:color="auto" w:fill="auto"/>
            <w:vAlign w:val="center"/>
          </w:tcPr>
          <w:p w14:paraId="1D77822E">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163EC9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砼试件抗渗</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26A0820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同一工程、同一配合比的混凝土,取样不应少于一次,留置组数可根据实际需要确定</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C642BB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427E5D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659FA9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633ABE0">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F90A33">
            <w:pPr>
              <w:rPr>
                <w:rFonts w:hint="eastAsia" w:ascii="宋体" w:hAnsi="宋体" w:eastAsia="宋体" w:cs="宋体"/>
                <w:i w:val="0"/>
                <w:iCs w:val="0"/>
                <w:color w:val="000000"/>
                <w:sz w:val="20"/>
                <w:szCs w:val="20"/>
                <w:u w:val="none"/>
              </w:rPr>
            </w:pPr>
          </w:p>
        </w:tc>
      </w:tr>
      <w:tr w14:paraId="401237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83E4C0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55CE23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C30水泥砼路面</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AD434C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弯拉强度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209B36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同配合比，每拌制100盘，≤100m³</w:t>
            </w:r>
          </w:p>
        </w:tc>
        <w:tc>
          <w:tcPr>
            <w:tcW w:w="210" w:type="pct"/>
            <w:tcBorders>
              <w:top w:val="nil"/>
              <w:left w:val="single" w:color="000000" w:sz="4" w:space="0"/>
              <w:bottom w:val="single" w:color="000000" w:sz="4" w:space="0"/>
              <w:right w:val="nil"/>
            </w:tcBorders>
            <w:shd w:val="clear" w:color="auto" w:fill="auto"/>
            <w:vAlign w:val="center"/>
          </w:tcPr>
          <w:p w14:paraId="7A059F6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7B0DD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599299B">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E20D43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AC0F66">
            <w:pPr>
              <w:rPr>
                <w:rFonts w:hint="eastAsia" w:ascii="宋体" w:hAnsi="宋体" w:eastAsia="宋体" w:cs="宋体"/>
                <w:i w:val="0"/>
                <w:iCs w:val="0"/>
                <w:color w:val="000000"/>
                <w:sz w:val="20"/>
                <w:szCs w:val="20"/>
                <w:u w:val="none"/>
              </w:rPr>
            </w:pPr>
          </w:p>
        </w:tc>
      </w:tr>
      <w:tr w14:paraId="2E269D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D57A0AC">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181D536">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275505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833F2B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每1000㎡1点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18091D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B5E43F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1BD53B4">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4CE560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ABE2E7">
            <w:pPr>
              <w:rPr>
                <w:rFonts w:hint="eastAsia" w:ascii="宋体" w:hAnsi="宋体" w:eastAsia="宋体" w:cs="宋体"/>
                <w:i w:val="0"/>
                <w:iCs w:val="0"/>
                <w:color w:val="000000"/>
                <w:sz w:val="20"/>
                <w:szCs w:val="20"/>
                <w:u w:val="none"/>
              </w:rPr>
            </w:pPr>
          </w:p>
        </w:tc>
      </w:tr>
      <w:tr w14:paraId="27413A5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224" w:type="pct"/>
            <w:vMerge w:val="restart"/>
            <w:tcBorders>
              <w:top w:val="nil"/>
              <w:left w:val="single" w:color="000000" w:sz="4" w:space="0"/>
              <w:bottom w:val="nil"/>
              <w:right w:val="single" w:color="000000" w:sz="4" w:space="0"/>
            </w:tcBorders>
            <w:shd w:val="clear" w:color="auto" w:fill="auto"/>
            <w:vAlign w:val="center"/>
          </w:tcPr>
          <w:p w14:paraId="7DCE403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B17E38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C25水泥砼路面</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4D9BEB2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弯拉强度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BCCE4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同配合比，每拌制100盘，≤100m³</w:t>
            </w:r>
          </w:p>
        </w:tc>
        <w:tc>
          <w:tcPr>
            <w:tcW w:w="210" w:type="pct"/>
            <w:tcBorders>
              <w:top w:val="nil"/>
              <w:left w:val="single" w:color="000000" w:sz="4" w:space="0"/>
              <w:bottom w:val="single" w:color="000000" w:sz="4" w:space="0"/>
              <w:right w:val="nil"/>
            </w:tcBorders>
            <w:shd w:val="clear" w:color="auto" w:fill="auto"/>
            <w:vAlign w:val="center"/>
          </w:tcPr>
          <w:p w14:paraId="67344CA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8FF3E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83D90F5">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3A7E72F">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9A903B">
            <w:pPr>
              <w:rPr>
                <w:rFonts w:hint="eastAsia" w:ascii="宋体" w:hAnsi="宋体" w:eastAsia="宋体" w:cs="宋体"/>
                <w:i w:val="0"/>
                <w:iCs w:val="0"/>
                <w:color w:val="000000"/>
                <w:sz w:val="20"/>
                <w:szCs w:val="20"/>
                <w:u w:val="none"/>
              </w:rPr>
            </w:pPr>
          </w:p>
        </w:tc>
      </w:tr>
      <w:tr w14:paraId="79CA2C1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224" w:type="pct"/>
            <w:vMerge w:val="continue"/>
            <w:tcBorders>
              <w:top w:val="nil"/>
              <w:left w:val="single" w:color="000000" w:sz="4" w:space="0"/>
              <w:bottom w:val="nil"/>
              <w:right w:val="single" w:color="000000" w:sz="4" w:space="0"/>
            </w:tcBorders>
            <w:shd w:val="clear" w:color="auto" w:fill="auto"/>
            <w:vAlign w:val="center"/>
          </w:tcPr>
          <w:p w14:paraId="5FE5EC57">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27F83FD">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683B252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F1E58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每1000㎡1点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68C4C3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CDAA74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F5421A">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EB29FD4">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60E933">
            <w:pPr>
              <w:rPr>
                <w:rFonts w:hint="eastAsia" w:ascii="宋体" w:hAnsi="宋体" w:eastAsia="宋体" w:cs="宋体"/>
                <w:i w:val="0"/>
                <w:iCs w:val="0"/>
                <w:color w:val="000000"/>
                <w:sz w:val="20"/>
                <w:szCs w:val="20"/>
                <w:u w:val="none"/>
              </w:rPr>
            </w:pPr>
          </w:p>
        </w:tc>
      </w:tr>
      <w:tr w14:paraId="06A6B5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24" w:type="pct"/>
            <w:vMerge w:val="restart"/>
            <w:tcBorders>
              <w:top w:val="single" w:color="000000" w:sz="4" w:space="0"/>
              <w:left w:val="single" w:color="000000" w:sz="4" w:space="0"/>
              <w:bottom w:val="nil"/>
              <w:right w:val="single" w:color="000000" w:sz="4" w:space="0"/>
            </w:tcBorders>
            <w:shd w:val="clear" w:color="auto" w:fill="auto"/>
            <w:noWrap/>
            <w:vAlign w:val="center"/>
          </w:tcPr>
          <w:p w14:paraId="154263C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21909E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4％水泥稳定碎石基层</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5D4EED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4％水泥稳定碎石</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856DB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配合比设计</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A63DE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每种类型设计1组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0FE36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F721F6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02CC645">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47CDD93">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2367F34">
            <w:pPr>
              <w:jc w:val="center"/>
              <w:rPr>
                <w:rFonts w:hint="eastAsia" w:ascii="宋体" w:hAnsi="宋体" w:eastAsia="宋体" w:cs="宋体"/>
                <w:i w:val="0"/>
                <w:iCs w:val="0"/>
                <w:color w:val="000000"/>
                <w:sz w:val="20"/>
                <w:szCs w:val="20"/>
                <w:u w:val="none"/>
              </w:rPr>
            </w:pPr>
          </w:p>
        </w:tc>
      </w:tr>
      <w:tr w14:paraId="729BA1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242D1F8A">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BF67FD4">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E1591EC">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5830E6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无侧限抗压强度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D107AD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每2000㎡/1组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9D3E55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4CED1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E5E9DE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30A9207">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7BB5D5F">
            <w:pPr>
              <w:jc w:val="center"/>
              <w:rPr>
                <w:rFonts w:hint="eastAsia" w:ascii="宋体" w:hAnsi="宋体" w:eastAsia="宋体" w:cs="宋体"/>
                <w:i w:val="0"/>
                <w:iCs w:val="0"/>
                <w:color w:val="000000"/>
                <w:sz w:val="20"/>
                <w:szCs w:val="20"/>
                <w:u w:val="none"/>
              </w:rPr>
            </w:pPr>
          </w:p>
        </w:tc>
      </w:tr>
      <w:tr w14:paraId="0DA953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21DB9FC6">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46AC4EA">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D3B4BD7">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33953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标准击实</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37042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每5000m³/1组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36CC88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F7199C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80FC24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1C86907">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508C95B">
            <w:pPr>
              <w:jc w:val="center"/>
              <w:rPr>
                <w:rFonts w:hint="eastAsia" w:ascii="宋体" w:hAnsi="宋体" w:eastAsia="宋体" w:cs="宋体"/>
                <w:i w:val="0"/>
                <w:iCs w:val="0"/>
                <w:color w:val="000000"/>
                <w:sz w:val="20"/>
                <w:szCs w:val="20"/>
                <w:u w:val="none"/>
              </w:rPr>
            </w:pPr>
          </w:p>
        </w:tc>
      </w:tr>
      <w:tr w14:paraId="395BF33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6275ABCE">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9D74990">
            <w:pPr>
              <w:jc w:val="center"/>
              <w:rPr>
                <w:rFonts w:hint="eastAsia" w:ascii="宋体" w:hAnsi="宋体" w:eastAsia="宋体" w:cs="宋体"/>
                <w:i w:val="0"/>
                <w:iCs w:val="0"/>
                <w:color w:val="000000"/>
                <w:sz w:val="20"/>
                <w:szCs w:val="20"/>
                <w:u w:val="none"/>
              </w:rPr>
            </w:pPr>
          </w:p>
        </w:tc>
        <w:tc>
          <w:tcPr>
            <w:tcW w:w="499"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14:paraId="0AA3613E">
            <w:pPr>
              <w:jc w:val="center"/>
              <w:rPr>
                <w:rFonts w:hint="eastAsia" w:ascii="宋体" w:hAnsi="宋体" w:eastAsia="宋体" w:cs="宋体"/>
                <w:i w:val="0"/>
                <w:iCs w:val="0"/>
                <w:color w:val="000000"/>
                <w:sz w:val="20"/>
                <w:szCs w:val="20"/>
                <w:u w:val="none"/>
              </w:rPr>
            </w:pPr>
          </w:p>
        </w:tc>
        <w:tc>
          <w:tcPr>
            <w:tcW w:w="496" w:type="pct"/>
            <w:tcBorders>
              <w:top w:val="single" w:color="000000" w:sz="4" w:space="0"/>
              <w:left w:val="single" w:color="000000" w:sz="4" w:space="0"/>
              <w:bottom w:val="single" w:color="auto" w:sz="4" w:space="0"/>
              <w:right w:val="single" w:color="000000" w:sz="4" w:space="0"/>
            </w:tcBorders>
            <w:shd w:val="clear" w:color="auto" w:fill="auto"/>
            <w:vAlign w:val="center"/>
          </w:tcPr>
          <w:p w14:paraId="57EC57C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压实度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189DCF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每1000㎡每层1点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0B5D3A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auto" w:sz="4" w:space="0"/>
              <w:right w:val="single" w:color="000000" w:sz="4" w:space="0"/>
            </w:tcBorders>
            <w:shd w:val="clear" w:color="auto" w:fill="auto"/>
            <w:vAlign w:val="center"/>
          </w:tcPr>
          <w:p w14:paraId="52DC352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46" w:type="pct"/>
            <w:tcBorders>
              <w:top w:val="single" w:color="000000" w:sz="4" w:space="0"/>
              <w:left w:val="single" w:color="000000" w:sz="4" w:space="0"/>
              <w:bottom w:val="single" w:color="auto" w:sz="4" w:space="0"/>
              <w:right w:val="single" w:color="000000" w:sz="4" w:space="0"/>
            </w:tcBorders>
            <w:shd w:val="clear" w:color="auto" w:fill="auto"/>
            <w:vAlign w:val="center"/>
          </w:tcPr>
          <w:p w14:paraId="007D04FD">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auto" w:sz="4" w:space="0"/>
              <w:right w:val="single" w:color="000000" w:sz="4" w:space="0"/>
            </w:tcBorders>
            <w:shd w:val="clear" w:color="auto" w:fill="auto"/>
            <w:vAlign w:val="center"/>
          </w:tcPr>
          <w:p w14:paraId="55AEF48B">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4B79F40">
            <w:pPr>
              <w:jc w:val="center"/>
              <w:rPr>
                <w:rFonts w:hint="eastAsia" w:ascii="宋体" w:hAnsi="宋体" w:eastAsia="宋体" w:cs="宋体"/>
                <w:i w:val="0"/>
                <w:iCs w:val="0"/>
                <w:color w:val="000000"/>
                <w:sz w:val="20"/>
                <w:szCs w:val="20"/>
                <w:u w:val="none"/>
              </w:rPr>
            </w:pPr>
          </w:p>
        </w:tc>
      </w:tr>
      <w:tr w14:paraId="4BFF02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8F00F5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59" w:type="pct"/>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14:paraId="6008DCB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UPVC管材</w:t>
            </w:r>
          </w:p>
        </w:tc>
        <w:tc>
          <w:tcPr>
            <w:tcW w:w="499" w:type="pct"/>
            <w:tcBorders>
              <w:top w:val="single" w:color="auto" w:sz="4" w:space="0"/>
              <w:left w:val="single" w:color="auto" w:sz="4" w:space="0"/>
              <w:bottom w:val="single" w:color="auto" w:sz="4" w:space="0"/>
              <w:right w:val="single" w:color="000000" w:sz="4" w:space="0"/>
            </w:tcBorders>
            <w:shd w:val="clear" w:color="auto" w:fill="auto"/>
            <w:vAlign w:val="center"/>
          </w:tcPr>
          <w:p w14:paraId="542FDBD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96" w:type="pct"/>
            <w:tcBorders>
              <w:top w:val="single" w:color="auto" w:sz="4" w:space="0"/>
              <w:left w:val="single" w:color="000000" w:sz="4" w:space="0"/>
              <w:bottom w:val="single" w:color="auto" w:sz="4" w:space="0"/>
              <w:right w:val="single" w:color="auto" w:sz="4" w:space="0"/>
            </w:tcBorders>
            <w:shd w:val="clear" w:color="auto" w:fill="auto"/>
            <w:vAlign w:val="center"/>
          </w:tcPr>
          <w:p w14:paraId="71AA820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auto" w:sz="4" w:space="0"/>
              <w:bottom w:val="single" w:color="000000" w:sz="4" w:space="0"/>
              <w:right w:val="single" w:color="000000" w:sz="4" w:space="0"/>
            </w:tcBorders>
            <w:shd w:val="clear" w:color="auto" w:fill="auto"/>
            <w:vAlign w:val="center"/>
          </w:tcPr>
          <w:p w14:paraId="1FEBC66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auto" w:sz="4" w:space="0"/>
            </w:tcBorders>
            <w:shd w:val="clear" w:color="auto" w:fill="auto"/>
            <w:vAlign w:val="center"/>
          </w:tcPr>
          <w:p w14:paraId="738DE5C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auto" w:sz="4" w:space="0"/>
              <w:left w:val="single" w:color="auto" w:sz="4" w:space="0"/>
              <w:bottom w:val="single" w:color="auto" w:sz="4" w:space="0"/>
              <w:right w:val="single" w:color="000000" w:sz="4" w:space="0"/>
            </w:tcBorders>
            <w:shd w:val="clear" w:color="auto" w:fill="auto"/>
            <w:vAlign w:val="center"/>
          </w:tcPr>
          <w:p w14:paraId="369B51E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auto" w:sz="4" w:space="0"/>
              <w:left w:val="single" w:color="000000" w:sz="4" w:space="0"/>
              <w:bottom w:val="single" w:color="auto" w:sz="4" w:space="0"/>
              <w:right w:val="nil"/>
            </w:tcBorders>
            <w:shd w:val="clear" w:color="auto" w:fill="auto"/>
            <w:vAlign w:val="center"/>
          </w:tcPr>
          <w:p w14:paraId="0EFBCC55">
            <w:pPr>
              <w:jc w:val="center"/>
              <w:rPr>
                <w:rFonts w:hint="eastAsia" w:ascii="宋体" w:hAnsi="宋体" w:eastAsia="宋体" w:cs="宋体"/>
                <w:i w:val="0"/>
                <w:iCs w:val="0"/>
                <w:color w:val="000000"/>
                <w:sz w:val="20"/>
                <w:szCs w:val="20"/>
                <w:u w:val="none"/>
              </w:rPr>
            </w:pPr>
          </w:p>
        </w:tc>
        <w:tc>
          <w:tcPr>
            <w:tcW w:w="353" w:type="pct"/>
            <w:tcBorders>
              <w:top w:val="single" w:color="auto" w:sz="4" w:space="0"/>
              <w:left w:val="single" w:color="000000" w:sz="4" w:space="0"/>
              <w:bottom w:val="single" w:color="auto" w:sz="4" w:space="0"/>
              <w:right w:val="single" w:color="auto" w:sz="4" w:space="0"/>
            </w:tcBorders>
            <w:shd w:val="clear" w:color="auto" w:fill="auto"/>
            <w:vAlign w:val="center"/>
          </w:tcPr>
          <w:p w14:paraId="54F1B034">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auto" w:sz="4" w:space="0"/>
              <w:bottom w:val="single" w:color="000000" w:sz="4" w:space="0"/>
              <w:right w:val="single" w:color="000000" w:sz="4" w:space="0"/>
            </w:tcBorders>
            <w:shd w:val="clear" w:color="auto" w:fill="auto"/>
            <w:noWrap/>
            <w:vAlign w:val="center"/>
          </w:tcPr>
          <w:p w14:paraId="01CFB697">
            <w:pPr>
              <w:rPr>
                <w:rFonts w:hint="eastAsia" w:ascii="宋体" w:hAnsi="宋体" w:eastAsia="宋体" w:cs="宋体"/>
                <w:i w:val="0"/>
                <w:iCs w:val="0"/>
                <w:color w:val="000000"/>
                <w:sz w:val="20"/>
                <w:szCs w:val="20"/>
                <w:u w:val="none"/>
              </w:rPr>
            </w:pPr>
          </w:p>
        </w:tc>
      </w:tr>
      <w:tr w14:paraId="3FB3007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09BF306">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B6904B">
            <w:pPr>
              <w:jc w:val="center"/>
              <w:rPr>
                <w:rFonts w:hint="eastAsia" w:ascii="宋体" w:hAnsi="宋体" w:eastAsia="宋体" w:cs="宋体"/>
                <w:i w:val="0"/>
                <w:iCs w:val="0"/>
                <w:color w:val="000000"/>
                <w:sz w:val="20"/>
                <w:szCs w:val="20"/>
                <w:u w:val="none"/>
              </w:rPr>
            </w:pPr>
          </w:p>
        </w:tc>
        <w:tc>
          <w:tcPr>
            <w:tcW w:w="499" w:type="pct"/>
            <w:tcBorders>
              <w:top w:val="single" w:color="auto" w:sz="4" w:space="0"/>
              <w:left w:val="single" w:color="000000" w:sz="4" w:space="0"/>
              <w:bottom w:val="single" w:color="000000" w:sz="4" w:space="0"/>
              <w:right w:val="single" w:color="000000" w:sz="4" w:space="0"/>
            </w:tcBorders>
            <w:shd w:val="clear" w:color="auto" w:fill="auto"/>
            <w:vAlign w:val="center"/>
          </w:tcPr>
          <w:p w14:paraId="5AC1DDD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DN150</w:t>
            </w:r>
          </w:p>
        </w:tc>
        <w:tc>
          <w:tcPr>
            <w:tcW w:w="496" w:type="pct"/>
            <w:tcBorders>
              <w:top w:val="single" w:color="auto" w:sz="4" w:space="0"/>
              <w:left w:val="single" w:color="000000" w:sz="4" w:space="0"/>
              <w:bottom w:val="single" w:color="000000" w:sz="4" w:space="0"/>
              <w:right w:val="single" w:color="000000" w:sz="4" w:space="0"/>
            </w:tcBorders>
            <w:shd w:val="clear" w:color="auto" w:fill="auto"/>
            <w:vAlign w:val="center"/>
          </w:tcPr>
          <w:p w14:paraId="3A7B0D4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E74B2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D3AD0C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auto" w:sz="4" w:space="0"/>
              <w:left w:val="single" w:color="000000" w:sz="4" w:space="0"/>
              <w:bottom w:val="single" w:color="000000" w:sz="4" w:space="0"/>
              <w:right w:val="single" w:color="000000" w:sz="4" w:space="0"/>
            </w:tcBorders>
            <w:shd w:val="clear" w:color="auto" w:fill="auto"/>
            <w:vAlign w:val="center"/>
          </w:tcPr>
          <w:p w14:paraId="4A55784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auto" w:sz="4" w:space="0"/>
              <w:left w:val="single" w:color="000000" w:sz="4" w:space="0"/>
              <w:bottom w:val="single" w:color="000000" w:sz="4" w:space="0"/>
              <w:right w:val="nil"/>
            </w:tcBorders>
            <w:shd w:val="clear" w:color="auto" w:fill="auto"/>
            <w:vAlign w:val="center"/>
          </w:tcPr>
          <w:p w14:paraId="71F30426">
            <w:pPr>
              <w:jc w:val="center"/>
              <w:rPr>
                <w:rFonts w:hint="eastAsia" w:ascii="宋体" w:hAnsi="宋体" w:eastAsia="宋体" w:cs="宋体"/>
                <w:i w:val="0"/>
                <w:iCs w:val="0"/>
                <w:color w:val="000000"/>
                <w:sz w:val="20"/>
                <w:szCs w:val="20"/>
                <w:u w:val="none"/>
              </w:rPr>
            </w:pPr>
          </w:p>
        </w:tc>
        <w:tc>
          <w:tcPr>
            <w:tcW w:w="353" w:type="pct"/>
            <w:tcBorders>
              <w:top w:val="single" w:color="auto" w:sz="4" w:space="0"/>
              <w:left w:val="single" w:color="000000" w:sz="4" w:space="0"/>
              <w:bottom w:val="single" w:color="000000" w:sz="4" w:space="0"/>
              <w:right w:val="single" w:color="000000" w:sz="4" w:space="0"/>
            </w:tcBorders>
            <w:shd w:val="clear" w:color="auto" w:fill="auto"/>
            <w:vAlign w:val="center"/>
          </w:tcPr>
          <w:p w14:paraId="3685058A">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909B48">
            <w:pPr>
              <w:rPr>
                <w:rFonts w:hint="eastAsia" w:ascii="宋体" w:hAnsi="宋体" w:eastAsia="宋体" w:cs="宋体"/>
                <w:i w:val="0"/>
                <w:iCs w:val="0"/>
                <w:color w:val="000000"/>
                <w:sz w:val="20"/>
                <w:szCs w:val="20"/>
                <w:u w:val="none"/>
              </w:rPr>
            </w:pPr>
          </w:p>
        </w:tc>
      </w:tr>
      <w:tr w14:paraId="0AAEEE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33862D4">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2B482C">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BC25B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BE7760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5A02A6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6B2455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4DEAE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nil"/>
              <w:left w:val="single" w:color="000000" w:sz="4" w:space="0"/>
              <w:bottom w:val="single" w:color="000000" w:sz="4" w:space="0"/>
              <w:right w:val="nil"/>
            </w:tcBorders>
            <w:shd w:val="clear" w:color="auto" w:fill="auto"/>
            <w:vAlign w:val="center"/>
          </w:tcPr>
          <w:p w14:paraId="6B412C8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25398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7E5B9B">
            <w:pPr>
              <w:rPr>
                <w:rFonts w:hint="eastAsia" w:ascii="宋体" w:hAnsi="宋体" w:eastAsia="宋体" w:cs="宋体"/>
                <w:i w:val="0"/>
                <w:iCs w:val="0"/>
                <w:color w:val="000000"/>
                <w:sz w:val="20"/>
                <w:szCs w:val="20"/>
                <w:u w:val="none"/>
              </w:rPr>
            </w:pPr>
          </w:p>
        </w:tc>
      </w:tr>
      <w:tr w14:paraId="273034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BEED60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59" w:type="pct"/>
            <w:vMerge w:val="restart"/>
            <w:tcBorders>
              <w:top w:val="nil"/>
              <w:left w:val="single" w:color="000000" w:sz="4" w:space="0"/>
              <w:bottom w:val="single" w:color="000000" w:sz="4" w:space="0"/>
              <w:right w:val="single" w:color="000000" w:sz="4" w:space="0"/>
            </w:tcBorders>
            <w:shd w:val="clear" w:color="auto" w:fill="auto"/>
            <w:noWrap/>
            <w:vAlign w:val="center"/>
          </w:tcPr>
          <w:p w14:paraId="0579F68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UPVC管件</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750187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存水弯头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D54937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1620AE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77C95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74E54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CB8DA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346499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50B03A">
            <w:pPr>
              <w:rPr>
                <w:rFonts w:hint="eastAsia" w:ascii="宋体" w:hAnsi="宋体" w:eastAsia="宋体" w:cs="宋体"/>
                <w:i w:val="0"/>
                <w:iCs w:val="0"/>
                <w:color w:val="000000"/>
                <w:sz w:val="20"/>
                <w:szCs w:val="20"/>
                <w:u w:val="none"/>
              </w:rPr>
            </w:pPr>
          </w:p>
        </w:tc>
      </w:tr>
      <w:tr w14:paraId="0D69E2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245DDDD">
            <w:pPr>
              <w:jc w:val="center"/>
              <w:rPr>
                <w:rFonts w:hint="eastAsia" w:ascii="宋体" w:hAnsi="宋体" w:eastAsia="宋体" w:cs="宋体"/>
                <w:i w:val="0"/>
                <w:iCs w:val="0"/>
                <w:color w:val="000000"/>
                <w:sz w:val="20"/>
                <w:szCs w:val="20"/>
                <w:u w:val="none"/>
              </w:rPr>
            </w:pPr>
          </w:p>
        </w:tc>
        <w:tc>
          <w:tcPr>
            <w:tcW w:w="459" w:type="pct"/>
            <w:vMerge w:val="continue"/>
            <w:tcBorders>
              <w:top w:val="nil"/>
              <w:left w:val="single" w:color="000000" w:sz="4" w:space="0"/>
              <w:bottom w:val="single" w:color="000000" w:sz="4" w:space="0"/>
              <w:right w:val="single" w:color="000000" w:sz="4" w:space="0"/>
            </w:tcBorders>
            <w:shd w:val="clear" w:color="auto" w:fill="auto"/>
            <w:noWrap/>
            <w:vAlign w:val="center"/>
          </w:tcPr>
          <w:p w14:paraId="4A548126">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4A9C3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等径三通</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787698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73A2B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F80300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A6B02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95CBE4">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38CFAB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18D6E5">
            <w:pPr>
              <w:rPr>
                <w:rFonts w:hint="eastAsia" w:ascii="宋体" w:hAnsi="宋体" w:eastAsia="宋体" w:cs="宋体"/>
                <w:i w:val="0"/>
                <w:iCs w:val="0"/>
                <w:color w:val="000000"/>
                <w:sz w:val="20"/>
                <w:szCs w:val="20"/>
                <w:u w:val="none"/>
              </w:rPr>
            </w:pPr>
          </w:p>
        </w:tc>
      </w:tr>
      <w:tr w14:paraId="4FCB0B7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43CDABE">
            <w:pPr>
              <w:jc w:val="center"/>
              <w:rPr>
                <w:rFonts w:hint="eastAsia" w:ascii="宋体" w:hAnsi="宋体" w:eastAsia="宋体" w:cs="宋体"/>
                <w:i w:val="0"/>
                <w:iCs w:val="0"/>
                <w:color w:val="000000"/>
                <w:sz w:val="20"/>
                <w:szCs w:val="20"/>
                <w:u w:val="none"/>
              </w:rPr>
            </w:pPr>
          </w:p>
        </w:tc>
        <w:tc>
          <w:tcPr>
            <w:tcW w:w="459" w:type="pct"/>
            <w:vMerge w:val="continue"/>
            <w:tcBorders>
              <w:top w:val="nil"/>
              <w:left w:val="single" w:color="000000" w:sz="4" w:space="0"/>
              <w:bottom w:val="single" w:color="000000" w:sz="4" w:space="0"/>
              <w:right w:val="single" w:color="000000" w:sz="4" w:space="0"/>
            </w:tcBorders>
            <w:shd w:val="clear" w:color="auto" w:fill="auto"/>
            <w:noWrap/>
            <w:vAlign w:val="center"/>
          </w:tcPr>
          <w:p w14:paraId="6E559978">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nil"/>
              <w:right w:val="single" w:color="000000" w:sz="4" w:space="0"/>
            </w:tcBorders>
            <w:shd w:val="clear" w:color="auto" w:fill="auto"/>
            <w:vAlign w:val="center"/>
          </w:tcPr>
          <w:p w14:paraId="68733AB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90*弯头</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E9C7AB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0E351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5D4077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8B5A5F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0E9445">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804244C">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907FBC">
            <w:pPr>
              <w:rPr>
                <w:rFonts w:hint="eastAsia" w:ascii="宋体" w:hAnsi="宋体" w:eastAsia="宋体" w:cs="宋体"/>
                <w:i w:val="0"/>
                <w:iCs w:val="0"/>
                <w:color w:val="000000"/>
                <w:sz w:val="20"/>
                <w:szCs w:val="20"/>
                <w:u w:val="none"/>
              </w:rPr>
            </w:pPr>
          </w:p>
        </w:tc>
      </w:tr>
      <w:tr w14:paraId="1DC4AE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24" w:type="pct"/>
            <w:tcBorders>
              <w:top w:val="single" w:color="000000" w:sz="4" w:space="0"/>
              <w:left w:val="single" w:color="000000" w:sz="4" w:space="0"/>
              <w:bottom w:val="nil"/>
              <w:right w:val="single" w:color="000000" w:sz="4" w:space="0"/>
            </w:tcBorders>
            <w:shd w:val="clear" w:color="auto" w:fill="auto"/>
            <w:vAlign w:val="center"/>
          </w:tcPr>
          <w:p w14:paraId="3320D2E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59" w:type="pct"/>
            <w:tcBorders>
              <w:top w:val="single" w:color="000000" w:sz="4" w:space="0"/>
              <w:left w:val="single" w:color="000000" w:sz="4" w:space="0"/>
              <w:bottom w:val="nil"/>
              <w:right w:val="single" w:color="000000" w:sz="4" w:space="0"/>
            </w:tcBorders>
            <w:shd w:val="clear" w:color="auto" w:fill="auto"/>
            <w:vAlign w:val="center"/>
          </w:tcPr>
          <w:p w14:paraId="18992AD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HDPE管</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75D4B3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670EDC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36BEC4B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nil"/>
              <w:right w:val="single" w:color="000000" w:sz="4" w:space="0"/>
            </w:tcBorders>
            <w:shd w:val="clear" w:color="auto" w:fill="auto"/>
            <w:vAlign w:val="center"/>
          </w:tcPr>
          <w:p w14:paraId="6C2DDDA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D6E228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9F137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A05808">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319CCD">
            <w:pPr>
              <w:rPr>
                <w:rFonts w:hint="eastAsia" w:ascii="宋体" w:hAnsi="宋体" w:eastAsia="宋体" w:cs="宋体"/>
                <w:i w:val="0"/>
                <w:iCs w:val="0"/>
                <w:color w:val="000000"/>
                <w:sz w:val="20"/>
                <w:szCs w:val="20"/>
                <w:u w:val="none"/>
              </w:rPr>
            </w:pPr>
          </w:p>
        </w:tc>
      </w:tr>
      <w:tr w14:paraId="4439F3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224" w:type="pct"/>
            <w:vMerge w:val="restart"/>
            <w:tcBorders>
              <w:top w:val="single" w:color="000000" w:sz="4" w:space="0"/>
              <w:left w:val="single" w:color="000000" w:sz="4" w:space="0"/>
              <w:bottom w:val="nil"/>
              <w:right w:val="single" w:color="000000" w:sz="4" w:space="0"/>
            </w:tcBorders>
            <w:shd w:val="clear" w:color="auto" w:fill="auto"/>
            <w:vAlign w:val="center"/>
          </w:tcPr>
          <w:p w14:paraId="067F915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654871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II 级钢筋混凝土管</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21E8C3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d300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AA1AD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外观、尺寸、外压荷载</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3D9FB6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4E90F3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6A7366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8B23D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E1BBB09">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97B4907">
            <w:pPr>
              <w:rPr>
                <w:rFonts w:hint="eastAsia" w:ascii="宋体" w:hAnsi="宋体" w:eastAsia="宋体" w:cs="宋体"/>
                <w:i w:val="0"/>
                <w:iCs w:val="0"/>
                <w:color w:val="000000"/>
                <w:sz w:val="20"/>
                <w:szCs w:val="20"/>
                <w:u w:val="none"/>
              </w:rPr>
            </w:pPr>
          </w:p>
        </w:tc>
      </w:tr>
      <w:tr w14:paraId="62538B8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14:paraId="0AF3631E">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9AEF447">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86C60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d400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C39ED1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外观、尺寸、外压荷载</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66DA89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3786C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41152B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17271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D270F8">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370FBC">
            <w:pPr>
              <w:rPr>
                <w:rFonts w:hint="eastAsia" w:ascii="宋体" w:hAnsi="宋体" w:eastAsia="宋体" w:cs="宋体"/>
                <w:i w:val="0"/>
                <w:iCs w:val="0"/>
                <w:color w:val="000000"/>
                <w:sz w:val="20"/>
                <w:szCs w:val="20"/>
                <w:u w:val="none"/>
              </w:rPr>
            </w:pPr>
          </w:p>
        </w:tc>
      </w:tr>
      <w:tr w14:paraId="78A13DE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14:paraId="51E81D74">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AF992C9">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66BC2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d500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BCE7CE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外观、尺寸、外压荷载</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A353E7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6F1156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C1223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59436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D16E8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857CCE">
            <w:pPr>
              <w:rPr>
                <w:rFonts w:hint="eastAsia" w:ascii="宋体" w:hAnsi="宋体" w:eastAsia="宋体" w:cs="宋体"/>
                <w:i w:val="0"/>
                <w:iCs w:val="0"/>
                <w:color w:val="000000"/>
                <w:sz w:val="20"/>
                <w:szCs w:val="20"/>
                <w:u w:val="none"/>
              </w:rPr>
            </w:pPr>
          </w:p>
        </w:tc>
      </w:tr>
      <w:tr w14:paraId="79E3C2B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14:paraId="3C98E902">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0CB3962">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E04DA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d600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C950D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外观、尺寸、外压荷载</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7A8465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4AA6CA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46A6D8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EF41E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5DBA5F1">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1ED0E2">
            <w:pPr>
              <w:rPr>
                <w:rFonts w:hint="eastAsia" w:ascii="宋体" w:hAnsi="宋体" w:eastAsia="宋体" w:cs="宋体"/>
                <w:i w:val="0"/>
                <w:iCs w:val="0"/>
                <w:color w:val="000000"/>
                <w:sz w:val="20"/>
                <w:szCs w:val="20"/>
                <w:u w:val="none"/>
              </w:rPr>
            </w:pPr>
          </w:p>
        </w:tc>
      </w:tr>
      <w:tr w14:paraId="79CD88B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224" w:type="pct"/>
            <w:tcBorders>
              <w:top w:val="single" w:color="000000" w:sz="4" w:space="0"/>
              <w:left w:val="single" w:color="000000" w:sz="4" w:space="0"/>
              <w:bottom w:val="nil"/>
              <w:right w:val="single" w:color="000000" w:sz="4" w:space="0"/>
            </w:tcBorders>
            <w:shd w:val="clear" w:color="auto" w:fill="auto"/>
            <w:vAlign w:val="center"/>
          </w:tcPr>
          <w:p w14:paraId="1E8A1DB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9" w:type="pct"/>
            <w:tcBorders>
              <w:top w:val="nil"/>
              <w:left w:val="single" w:color="000000" w:sz="4" w:space="0"/>
              <w:bottom w:val="nil"/>
              <w:right w:val="single" w:color="000000" w:sz="4" w:space="0"/>
            </w:tcBorders>
            <w:shd w:val="clear" w:color="auto" w:fill="auto"/>
            <w:vAlign w:val="center"/>
          </w:tcPr>
          <w:p w14:paraId="5375ADF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橡胶圈</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F48E0A4">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拉伸性能、断裂伸长率</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8B4960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同品种、同规格、同批次的为一批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47E6FD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1E8B8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BF0A5E">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EA0864D">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7132CC">
            <w:pPr>
              <w:rPr>
                <w:rFonts w:hint="eastAsia" w:ascii="宋体" w:hAnsi="宋体" w:eastAsia="宋体" w:cs="宋体"/>
                <w:i w:val="0"/>
                <w:iCs w:val="0"/>
                <w:color w:val="000000"/>
                <w:sz w:val="20"/>
                <w:szCs w:val="20"/>
                <w:u w:val="none"/>
              </w:rPr>
            </w:pPr>
          </w:p>
        </w:tc>
      </w:tr>
      <w:tr w14:paraId="121AC7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restart"/>
            <w:tcBorders>
              <w:top w:val="single" w:color="000000" w:sz="4" w:space="0"/>
              <w:left w:val="single" w:color="000000" w:sz="4" w:space="0"/>
              <w:bottom w:val="nil"/>
              <w:right w:val="single" w:color="000000" w:sz="4" w:space="0"/>
            </w:tcBorders>
            <w:shd w:val="clear" w:color="auto" w:fill="auto"/>
            <w:vAlign w:val="center"/>
          </w:tcPr>
          <w:p w14:paraId="39F8411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59" w:type="pct"/>
            <w:vMerge w:val="restart"/>
            <w:tcBorders>
              <w:top w:val="single" w:color="000000" w:sz="4" w:space="0"/>
              <w:left w:val="single" w:color="000000" w:sz="4" w:space="0"/>
              <w:bottom w:val="nil"/>
              <w:right w:val="single" w:color="000000" w:sz="4" w:space="0"/>
            </w:tcBorders>
            <w:shd w:val="clear" w:color="auto" w:fill="auto"/>
            <w:vAlign w:val="center"/>
          </w:tcPr>
          <w:p w14:paraId="5F374FA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焊接钢管</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058AFE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BC8F9D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抗拉强度</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7E200DC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6003E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B1F8FE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75574A0">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9A09414">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490A67">
            <w:pPr>
              <w:rPr>
                <w:rFonts w:hint="eastAsia" w:ascii="宋体" w:hAnsi="宋体" w:eastAsia="宋体" w:cs="宋体"/>
                <w:i w:val="0"/>
                <w:iCs w:val="0"/>
                <w:color w:val="000000"/>
                <w:sz w:val="20"/>
                <w:szCs w:val="20"/>
                <w:u w:val="none"/>
              </w:rPr>
            </w:pPr>
          </w:p>
        </w:tc>
      </w:tr>
      <w:tr w14:paraId="09A8F3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14:paraId="368D8DBA">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29B5E368">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B7A407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9A8AD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抗拉强度</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3E9D2FC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每规格一组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8E169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72FCEA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51F965C">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73893F">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nil"/>
              <w:right w:val="single" w:color="000000" w:sz="4" w:space="0"/>
            </w:tcBorders>
            <w:shd w:val="clear" w:color="auto" w:fill="auto"/>
            <w:noWrap/>
            <w:vAlign w:val="center"/>
          </w:tcPr>
          <w:p w14:paraId="220EF741">
            <w:pPr>
              <w:rPr>
                <w:rFonts w:hint="eastAsia" w:ascii="宋体" w:hAnsi="宋体" w:eastAsia="宋体" w:cs="宋体"/>
                <w:i w:val="0"/>
                <w:iCs w:val="0"/>
                <w:color w:val="000000"/>
                <w:sz w:val="20"/>
                <w:szCs w:val="20"/>
                <w:u w:val="none"/>
              </w:rPr>
            </w:pPr>
          </w:p>
        </w:tc>
      </w:tr>
      <w:tr w14:paraId="2C8301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AF3989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EE5B40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污水检查方井（预制钢筋混凝土）</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5EA87B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600X600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10DDA6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承载力</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4ECCB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同材料、同规格、同工艺生产的成品50套为一批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ADDD3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D9CB4A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3E81C15">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5B5CE7">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9CFCC4">
            <w:pPr>
              <w:jc w:val="center"/>
              <w:rPr>
                <w:rFonts w:hint="eastAsia" w:ascii="宋体" w:hAnsi="宋体" w:eastAsia="宋体" w:cs="宋体"/>
                <w:i w:val="0"/>
                <w:iCs w:val="0"/>
                <w:color w:val="000000"/>
                <w:sz w:val="20"/>
                <w:szCs w:val="20"/>
                <w:u w:val="none"/>
              </w:rPr>
            </w:pPr>
          </w:p>
        </w:tc>
      </w:tr>
      <w:tr w14:paraId="584FEDD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75D865B">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F19F293">
            <w:pPr>
              <w:jc w:val="center"/>
              <w:rPr>
                <w:rFonts w:hint="eastAsia" w:ascii="宋体" w:hAnsi="宋体" w:eastAsia="宋体" w:cs="宋体"/>
                <w:i w:val="0"/>
                <w:iCs w:val="0"/>
                <w:color w:val="000000"/>
                <w:sz w:val="20"/>
                <w:szCs w:val="20"/>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C7909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500X500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6192A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承载力</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77311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同材料、同规格、同工艺生产的成品50套为一批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9DBF1F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4237E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09DFC6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4CFDB80">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0B9D3F5">
            <w:pPr>
              <w:jc w:val="center"/>
              <w:rPr>
                <w:rFonts w:hint="eastAsia" w:ascii="宋体" w:hAnsi="宋体" w:eastAsia="宋体" w:cs="宋体"/>
                <w:i w:val="0"/>
                <w:iCs w:val="0"/>
                <w:color w:val="000000"/>
                <w:sz w:val="20"/>
                <w:szCs w:val="20"/>
                <w:u w:val="none"/>
              </w:rPr>
            </w:pPr>
          </w:p>
        </w:tc>
      </w:tr>
      <w:tr w14:paraId="0845A1D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827EC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0762F4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检查圆井（预制钢筋混凝土）</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1B1E954">
            <w:pPr>
              <w:keepNext w:val="0"/>
              <w:keepLines w:val="0"/>
              <w:widowControl/>
              <w:suppressLineNumbers w:val="0"/>
              <w:jc w:val="center"/>
              <w:textAlignment w:val="center"/>
              <w:rPr>
                <w:rFonts w:ascii="SJQY" w:hAnsi="SJQY" w:eastAsia="SJQY" w:cs="SJQY"/>
                <w:i w:val="0"/>
                <w:iCs w:val="0"/>
                <w:color w:val="000000"/>
                <w:sz w:val="20"/>
                <w:szCs w:val="20"/>
                <w:u w:val="none"/>
              </w:rPr>
            </w:pPr>
            <w:r>
              <w:rPr>
                <w:rFonts w:hint="eastAsia" w:ascii="SJQY" w:hAnsi="SJQY" w:eastAsia="SJQY" w:cs="SJQY"/>
                <w:i w:val="0"/>
                <w:iCs w:val="0"/>
                <w:color w:val="000000"/>
                <w:kern w:val="0"/>
                <w:sz w:val="20"/>
                <w:szCs w:val="20"/>
                <w:u w:val="none"/>
                <w:lang w:val="en-US" w:eastAsia="zh-CN" w:bidi="ar"/>
              </w:rPr>
              <w:t>A</w:t>
            </w:r>
            <w:r>
              <w:rPr>
                <w:rFonts w:hint="eastAsia" w:ascii="宋体" w:hAnsi="宋体" w:eastAsia="宋体" w:cs="宋体"/>
                <w:i w:val="0"/>
                <w:iCs w:val="0"/>
                <w:color w:val="000000"/>
                <w:kern w:val="0"/>
                <w:sz w:val="20"/>
                <w:szCs w:val="20"/>
                <w:u w:val="none"/>
                <w:lang w:val="en-US" w:eastAsia="zh-CN" w:bidi="ar"/>
              </w:rPr>
              <w:t>1000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84E09E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承载力</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26081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同材料、同规格、同工艺生产的成品50套为一批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628215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FAD0CD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F166B3">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361BD6F">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026FA0E">
            <w:pPr>
              <w:jc w:val="center"/>
              <w:rPr>
                <w:rFonts w:hint="eastAsia" w:ascii="宋体" w:hAnsi="宋体" w:eastAsia="宋体" w:cs="宋体"/>
                <w:i w:val="0"/>
                <w:iCs w:val="0"/>
                <w:color w:val="000000"/>
                <w:sz w:val="20"/>
                <w:szCs w:val="20"/>
                <w:u w:val="none"/>
              </w:rPr>
            </w:pPr>
          </w:p>
        </w:tc>
      </w:tr>
      <w:tr w14:paraId="2D57F7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BF4383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CA2B1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w:t>
            </w:r>
          </w:p>
        </w:tc>
        <w:tc>
          <w:tcPr>
            <w:tcW w:w="499" w:type="pct"/>
            <w:tcBorders>
              <w:top w:val="single" w:color="000000" w:sz="4" w:space="0"/>
              <w:left w:val="nil"/>
              <w:bottom w:val="single" w:color="000000" w:sz="4" w:space="0"/>
              <w:right w:val="single" w:color="000000" w:sz="4" w:space="0"/>
            </w:tcBorders>
            <w:shd w:val="clear" w:color="auto" w:fill="auto"/>
            <w:noWrap/>
            <w:vAlign w:val="center"/>
          </w:tcPr>
          <w:p w14:paraId="20EED97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MU15、MU25</w:t>
            </w:r>
          </w:p>
        </w:tc>
        <w:tc>
          <w:tcPr>
            <w:tcW w:w="496" w:type="pct"/>
            <w:tcBorders>
              <w:top w:val="single" w:color="000000" w:sz="4" w:space="0"/>
              <w:left w:val="nil"/>
              <w:bottom w:val="single" w:color="000000" w:sz="4" w:space="0"/>
              <w:right w:val="single" w:color="000000" w:sz="4" w:space="0"/>
            </w:tcBorders>
            <w:shd w:val="clear" w:color="auto" w:fill="auto"/>
            <w:vAlign w:val="center"/>
          </w:tcPr>
          <w:p w14:paraId="65D72E9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0EB958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同原材料、同工艺生产、同质量等级10万块为一批，不足10万块亦按一批计。</w:t>
            </w: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97A09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E8E575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A076DB">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03CEC95">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7D41F0">
            <w:pPr>
              <w:jc w:val="center"/>
              <w:rPr>
                <w:rFonts w:hint="eastAsia" w:ascii="宋体" w:hAnsi="宋体" w:eastAsia="宋体" w:cs="宋体"/>
                <w:i w:val="0"/>
                <w:iCs w:val="0"/>
                <w:color w:val="000000"/>
                <w:sz w:val="20"/>
                <w:szCs w:val="20"/>
                <w:u w:val="none"/>
              </w:rPr>
            </w:pPr>
          </w:p>
        </w:tc>
      </w:tr>
      <w:tr w14:paraId="396E24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8FF32B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8FF971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4EBDAB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HPB300、HRB400</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CEBD2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D668C1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60吨一组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BFAAA4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671614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87B0717">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6CE6548">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90935C">
            <w:pPr>
              <w:rPr>
                <w:rFonts w:hint="eastAsia" w:ascii="宋体" w:hAnsi="宋体" w:eastAsia="宋体" w:cs="宋体"/>
                <w:i w:val="0"/>
                <w:iCs w:val="0"/>
                <w:color w:val="000000"/>
                <w:sz w:val="20"/>
                <w:szCs w:val="20"/>
                <w:u w:val="none"/>
              </w:rPr>
            </w:pPr>
          </w:p>
        </w:tc>
      </w:tr>
      <w:tr w14:paraId="2F7F45E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82547C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431EE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钢筋焊接</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34097D6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抗拉强度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B7ADA9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同台班、同焊工、同直径接头，以300个为一批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84E2F1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7E988F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7AB4BA">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28C9EBD">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7B2ECBE">
            <w:pPr>
              <w:jc w:val="center"/>
              <w:rPr>
                <w:rFonts w:hint="eastAsia" w:ascii="宋体" w:hAnsi="宋体" w:eastAsia="宋体" w:cs="宋体"/>
                <w:i w:val="0"/>
                <w:iCs w:val="0"/>
                <w:color w:val="000000"/>
                <w:sz w:val="20"/>
                <w:szCs w:val="20"/>
                <w:u w:val="none"/>
              </w:rPr>
            </w:pPr>
          </w:p>
        </w:tc>
      </w:tr>
      <w:tr w14:paraId="56A151B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0237AE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197874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井盖</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3E57D90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物理力学性能试验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6E66B1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同规格、同种类、同原材料100套为一批。</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9CDEE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0557E0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4EE88B">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93016D">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9384F86">
            <w:pPr>
              <w:jc w:val="center"/>
              <w:rPr>
                <w:rFonts w:hint="eastAsia" w:ascii="宋体" w:hAnsi="宋体" w:eastAsia="宋体" w:cs="宋体"/>
                <w:i w:val="0"/>
                <w:iCs w:val="0"/>
                <w:color w:val="000000"/>
                <w:sz w:val="20"/>
                <w:szCs w:val="20"/>
                <w:u w:val="none"/>
              </w:rPr>
            </w:pPr>
          </w:p>
        </w:tc>
      </w:tr>
      <w:tr w14:paraId="01DD7A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4E4C4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E050B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回填原土</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349C7AD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击实</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1F5E5C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每种材料回填一组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896CCA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8C36D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A772C3A">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81FA9F5">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7E5683">
            <w:pPr>
              <w:rPr>
                <w:rFonts w:hint="eastAsia" w:ascii="宋体" w:hAnsi="宋体" w:eastAsia="宋体" w:cs="宋体"/>
                <w:i w:val="0"/>
                <w:iCs w:val="0"/>
                <w:color w:val="000000"/>
                <w:sz w:val="20"/>
                <w:szCs w:val="20"/>
                <w:u w:val="none"/>
              </w:rPr>
            </w:pPr>
          </w:p>
        </w:tc>
      </w:tr>
      <w:tr w14:paraId="34A4D5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17D745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550C1A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回填石屑</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976586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击实</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1E9DC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每种材料回填一组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A9F169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E4CBAD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94256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4AD8719">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6F179F">
            <w:pPr>
              <w:rPr>
                <w:rFonts w:hint="eastAsia" w:ascii="宋体" w:hAnsi="宋体" w:eastAsia="宋体" w:cs="宋体"/>
                <w:i w:val="0"/>
                <w:iCs w:val="0"/>
                <w:color w:val="000000"/>
                <w:sz w:val="20"/>
                <w:szCs w:val="20"/>
                <w:u w:val="none"/>
              </w:rPr>
            </w:pPr>
          </w:p>
        </w:tc>
      </w:tr>
      <w:tr w14:paraId="196849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C783CF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CF9387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回填中粗砂</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DF962F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相对密度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4AD5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每种材料回填一组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E29C9C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FAEA78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A941C4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F114835">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13C2F9">
            <w:pPr>
              <w:rPr>
                <w:rFonts w:hint="eastAsia" w:ascii="宋体" w:hAnsi="宋体" w:eastAsia="宋体" w:cs="宋体"/>
                <w:i w:val="0"/>
                <w:iCs w:val="0"/>
                <w:color w:val="000000"/>
                <w:sz w:val="20"/>
                <w:szCs w:val="20"/>
                <w:u w:val="none"/>
              </w:rPr>
            </w:pPr>
          </w:p>
        </w:tc>
      </w:tr>
      <w:tr w14:paraId="17C1C3A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9"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03F1A7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339F3E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管道功能性试验</w:t>
            </w:r>
          </w:p>
        </w:tc>
        <w:tc>
          <w:tcPr>
            <w:tcW w:w="995" w:type="pct"/>
            <w:gridSpan w:val="2"/>
            <w:tcBorders>
              <w:top w:val="single" w:color="000000" w:sz="4" w:space="0"/>
              <w:left w:val="single" w:color="000000" w:sz="4" w:space="0"/>
              <w:bottom w:val="single" w:color="000000" w:sz="4" w:space="0"/>
              <w:right w:val="nil"/>
            </w:tcBorders>
            <w:shd w:val="clear" w:color="auto" w:fill="auto"/>
            <w:vAlign w:val="center"/>
          </w:tcPr>
          <w:p w14:paraId="0B782FA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管道闭水试验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1C9623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管道内径≤700全线试验；管道内径＞700mm时，可按管道井段数量抽样选取1/3进行试验；试验不合格时，抽样井段数量应在原抽样基础上加倍进行试验，每次试验长度不超过5个连续井段，还要带井试验</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E9A8A9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75E3A6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55806</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685531">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EC9C5F3">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8EE9DA">
            <w:pPr>
              <w:rPr>
                <w:rFonts w:hint="eastAsia" w:ascii="宋体" w:hAnsi="宋体" w:eastAsia="宋体" w:cs="宋体"/>
                <w:i w:val="0"/>
                <w:iCs w:val="0"/>
                <w:color w:val="000000"/>
                <w:sz w:val="20"/>
                <w:szCs w:val="20"/>
                <w:u w:val="none"/>
              </w:rPr>
            </w:pPr>
          </w:p>
        </w:tc>
      </w:tr>
      <w:tr w14:paraId="3C58C4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C2214E8">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6DB2400">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nil"/>
            </w:tcBorders>
            <w:shd w:val="clear" w:color="auto" w:fill="auto"/>
            <w:vAlign w:val="center"/>
          </w:tcPr>
          <w:p w14:paraId="66518A7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CCTV检测</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C6EE59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全段</w:t>
            </w:r>
          </w:p>
        </w:tc>
        <w:tc>
          <w:tcPr>
            <w:tcW w:w="210" w:type="pct"/>
            <w:tcBorders>
              <w:top w:val="nil"/>
              <w:left w:val="nil"/>
              <w:bottom w:val="single" w:color="000000" w:sz="4" w:space="0"/>
              <w:right w:val="nil"/>
            </w:tcBorders>
            <w:shd w:val="clear" w:color="auto" w:fill="auto"/>
            <w:vAlign w:val="center"/>
          </w:tcPr>
          <w:p w14:paraId="34869EC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1E7822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24257</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C1491FF">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2FB7D2">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87716E">
            <w:pPr>
              <w:rPr>
                <w:rFonts w:hint="eastAsia" w:ascii="宋体" w:hAnsi="宋体" w:eastAsia="宋体" w:cs="宋体"/>
                <w:i w:val="0"/>
                <w:iCs w:val="0"/>
                <w:color w:val="000000"/>
                <w:sz w:val="20"/>
                <w:szCs w:val="20"/>
                <w:u w:val="none"/>
              </w:rPr>
            </w:pPr>
          </w:p>
        </w:tc>
      </w:tr>
      <w:tr w14:paraId="43E98D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ACB75F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F5E5CA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管道基础承载力</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5A4B4B3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轻型触探试验</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4E0C2F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管坑每20米检一点</w:t>
            </w:r>
          </w:p>
        </w:tc>
        <w:tc>
          <w:tcPr>
            <w:tcW w:w="210" w:type="pct"/>
            <w:tcBorders>
              <w:top w:val="nil"/>
              <w:left w:val="nil"/>
              <w:bottom w:val="single" w:color="000000" w:sz="4" w:space="0"/>
              <w:right w:val="nil"/>
            </w:tcBorders>
            <w:shd w:val="clear" w:color="auto" w:fill="auto"/>
            <w:vAlign w:val="center"/>
          </w:tcPr>
          <w:p w14:paraId="056E947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9EDEB0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8ADC9D7">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E8B5A3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F6E567">
            <w:pPr>
              <w:rPr>
                <w:rFonts w:hint="eastAsia" w:ascii="宋体" w:hAnsi="宋体" w:eastAsia="宋体" w:cs="宋体"/>
                <w:i w:val="0"/>
                <w:iCs w:val="0"/>
                <w:color w:val="000000"/>
                <w:sz w:val="20"/>
                <w:szCs w:val="20"/>
                <w:u w:val="none"/>
              </w:rPr>
            </w:pPr>
          </w:p>
        </w:tc>
      </w:tr>
      <w:tr w14:paraId="515C4FE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8EDF58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59" w:type="pct"/>
            <w:tcBorders>
              <w:top w:val="nil"/>
              <w:left w:val="single" w:color="000000" w:sz="4" w:space="0"/>
              <w:bottom w:val="single" w:color="000000" w:sz="4" w:space="0"/>
              <w:right w:val="single" w:color="000000" w:sz="4" w:space="0"/>
            </w:tcBorders>
            <w:shd w:val="clear" w:color="auto" w:fill="auto"/>
            <w:vAlign w:val="center"/>
          </w:tcPr>
          <w:p w14:paraId="6EC3421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管道回填</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770CF48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压实度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7D8C2F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每1000平方每层检3点</w:t>
            </w:r>
          </w:p>
        </w:tc>
        <w:tc>
          <w:tcPr>
            <w:tcW w:w="210" w:type="pct"/>
            <w:tcBorders>
              <w:top w:val="nil"/>
              <w:left w:val="nil"/>
              <w:bottom w:val="single" w:color="000000" w:sz="4" w:space="0"/>
              <w:right w:val="nil"/>
            </w:tcBorders>
            <w:shd w:val="clear" w:color="auto" w:fill="auto"/>
            <w:vAlign w:val="center"/>
          </w:tcPr>
          <w:p w14:paraId="5ECABE1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E23DA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D108DD0">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8EEEF43">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3ECF1F">
            <w:pPr>
              <w:rPr>
                <w:rFonts w:hint="eastAsia" w:ascii="宋体" w:hAnsi="宋体" w:eastAsia="宋体" w:cs="宋体"/>
                <w:i w:val="0"/>
                <w:iCs w:val="0"/>
                <w:color w:val="000000"/>
                <w:sz w:val="20"/>
                <w:szCs w:val="20"/>
                <w:u w:val="none"/>
              </w:rPr>
            </w:pPr>
          </w:p>
        </w:tc>
      </w:tr>
      <w:tr w14:paraId="1685F9B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A89BB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B45446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75B288E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焊缝探伤（超声波）</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D1D623">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一级焊缝：检测比例为100％；二级焊缝：检测比例为20％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22345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D3E6DD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F5F290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4F7D64">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50E50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二级焊缝</w:t>
            </w:r>
          </w:p>
        </w:tc>
      </w:tr>
      <w:tr w14:paraId="37C76D5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7C01E1">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3604AB6">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AD4FA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防腐涂层厚度</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C93E38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按同类构件数抽查10%，不少于3件</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034E1AB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2CD00E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9A5CE65">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8304281">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10FC3C">
            <w:pPr>
              <w:rPr>
                <w:rFonts w:hint="eastAsia" w:ascii="宋体" w:hAnsi="宋体" w:eastAsia="宋体" w:cs="宋体"/>
                <w:i w:val="0"/>
                <w:iCs w:val="0"/>
                <w:color w:val="000000"/>
                <w:sz w:val="20"/>
                <w:szCs w:val="20"/>
                <w:u w:val="none"/>
              </w:rPr>
            </w:pPr>
          </w:p>
        </w:tc>
      </w:tr>
      <w:tr w14:paraId="23E41E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224" w:type="pct"/>
            <w:vMerge w:val="restart"/>
            <w:tcBorders>
              <w:top w:val="single" w:color="000000" w:sz="4" w:space="0"/>
              <w:left w:val="single" w:color="000000" w:sz="4" w:space="0"/>
              <w:bottom w:val="nil"/>
              <w:right w:val="single" w:color="000000" w:sz="4" w:space="0"/>
            </w:tcBorders>
            <w:shd w:val="clear" w:color="auto" w:fill="auto"/>
            <w:noWrap/>
            <w:vAlign w:val="center"/>
          </w:tcPr>
          <w:p w14:paraId="697B1C3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59" w:type="pct"/>
            <w:vMerge w:val="restart"/>
            <w:tcBorders>
              <w:top w:val="single" w:color="000000" w:sz="4" w:space="0"/>
              <w:left w:val="single" w:color="000000" w:sz="4" w:space="0"/>
              <w:bottom w:val="nil"/>
              <w:right w:val="single" w:color="000000" w:sz="4" w:space="0"/>
            </w:tcBorders>
            <w:shd w:val="clear" w:color="auto" w:fill="auto"/>
            <w:vAlign w:val="center"/>
          </w:tcPr>
          <w:p w14:paraId="147F611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厌氧+人工湿地污水处理系统格栅集水池</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5F707F3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混凝土强度（回弹法）</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F9AED3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抽检数量不得少于同批构件总数的30%且构件数量不得少于10件</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24113DF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4C4130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3B4F083">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40E7E6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4F9726">
            <w:pPr>
              <w:rPr>
                <w:rFonts w:hint="eastAsia" w:ascii="宋体" w:hAnsi="宋体" w:eastAsia="宋体" w:cs="宋体"/>
                <w:i w:val="0"/>
                <w:iCs w:val="0"/>
                <w:color w:val="000000"/>
                <w:sz w:val="20"/>
                <w:szCs w:val="20"/>
                <w:u w:val="none"/>
              </w:rPr>
            </w:pPr>
          </w:p>
        </w:tc>
      </w:tr>
      <w:tr w14:paraId="5F8EFE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16AD5BA7">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647D117E">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20507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钢筋保护层厚度</w:t>
            </w:r>
          </w:p>
        </w:tc>
        <w:tc>
          <w:tcPr>
            <w:tcW w:w="1530" w:type="pct"/>
            <w:vMerge w:val="restart"/>
            <w:tcBorders>
              <w:top w:val="single" w:color="000000" w:sz="4" w:space="0"/>
              <w:left w:val="single" w:color="000000" w:sz="4" w:space="0"/>
              <w:bottom w:val="nil"/>
              <w:right w:val="single" w:color="000000" w:sz="4" w:space="0"/>
            </w:tcBorders>
            <w:shd w:val="clear" w:color="auto" w:fill="auto"/>
            <w:vAlign w:val="center"/>
          </w:tcPr>
          <w:p w14:paraId="117C54E3">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1、对非悬挑梁板灰构件，应各抽取构件数量的2%且不少于5个构件进行检验。</w:t>
            </w:r>
          </w:p>
          <w:p w14:paraId="6182FDAE">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2、对悬挑梁，应抽取构件数量的5%且不少于10个构件进行检验；当悬挑梁数少于10个时，应全数检验。</w:t>
            </w:r>
          </w:p>
          <w:p w14:paraId="6525EEC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3、对悬挑板，应抽取构件数量的10%且不少于20个构件进行检验；当悬挑板数量少于20个时，应全数检验。</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54C82E1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C07582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454990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FA3E40">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572972">
            <w:pPr>
              <w:rPr>
                <w:rFonts w:hint="eastAsia" w:ascii="宋体" w:hAnsi="宋体" w:eastAsia="宋体" w:cs="宋体"/>
                <w:i w:val="0"/>
                <w:iCs w:val="0"/>
                <w:color w:val="000000"/>
                <w:sz w:val="20"/>
                <w:szCs w:val="20"/>
                <w:u w:val="none"/>
              </w:rPr>
            </w:pPr>
          </w:p>
        </w:tc>
      </w:tr>
      <w:tr w14:paraId="6572EC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1"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074FB952">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35AC6120">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46D99D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钢筋配置</w:t>
            </w:r>
          </w:p>
        </w:tc>
        <w:tc>
          <w:tcPr>
            <w:tcW w:w="1530" w:type="pct"/>
            <w:vMerge w:val="continue"/>
            <w:tcBorders>
              <w:top w:val="single" w:color="000000" w:sz="4" w:space="0"/>
              <w:left w:val="single" w:color="000000" w:sz="4" w:space="0"/>
              <w:bottom w:val="nil"/>
              <w:right w:val="single" w:color="000000" w:sz="4" w:space="0"/>
            </w:tcBorders>
            <w:shd w:val="clear" w:color="auto" w:fill="auto"/>
            <w:vAlign w:val="center"/>
          </w:tcPr>
          <w:p w14:paraId="34C14C0D">
            <w:pPr>
              <w:jc w:val="center"/>
              <w:rPr>
                <w:rFonts w:hint="eastAsia" w:ascii="宋体" w:hAnsi="宋体" w:eastAsia="宋体" w:cs="宋体"/>
                <w:i w:val="0"/>
                <w:iCs w:val="0"/>
                <w:color w:val="000000"/>
                <w:sz w:val="20"/>
                <w:szCs w:val="20"/>
                <w:u w:val="none"/>
              </w:rPr>
            </w:pPr>
          </w:p>
        </w:tc>
        <w:tc>
          <w:tcPr>
            <w:tcW w:w="210" w:type="pct"/>
            <w:tcBorders>
              <w:top w:val="nil"/>
              <w:left w:val="single" w:color="000000" w:sz="4" w:space="0"/>
              <w:bottom w:val="single" w:color="000000" w:sz="4" w:space="0"/>
              <w:right w:val="single" w:color="000000" w:sz="4" w:space="0"/>
            </w:tcBorders>
            <w:shd w:val="clear" w:color="auto" w:fill="auto"/>
            <w:vAlign w:val="center"/>
          </w:tcPr>
          <w:p w14:paraId="2D6D25E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5DC0DF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1CC2927">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712137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7407C9">
            <w:pPr>
              <w:rPr>
                <w:rFonts w:hint="eastAsia" w:ascii="宋体" w:hAnsi="宋体" w:eastAsia="宋体" w:cs="宋体"/>
                <w:i w:val="0"/>
                <w:iCs w:val="0"/>
                <w:color w:val="000000"/>
                <w:sz w:val="20"/>
                <w:szCs w:val="20"/>
                <w:u w:val="none"/>
              </w:rPr>
            </w:pPr>
          </w:p>
        </w:tc>
      </w:tr>
      <w:tr w14:paraId="076E945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611DC7EC">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5DF77046">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3FB082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结构构件几何尺寸</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928EB36">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梁、柱应抽取构件数量的1%，且不应少于3个构件；墙、板应按有代表性的自然间抽取1%，且不少于三间；层高应按有代表性的自然间抽取1%，且不应少于3间</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0403C23C">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342CDA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4A50178">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B2E50B">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F12259">
            <w:pPr>
              <w:rPr>
                <w:rFonts w:hint="eastAsia" w:ascii="宋体" w:hAnsi="宋体" w:eastAsia="宋体" w:cs="宋体"/>
                <w:i w:val="0"/>
                <w:iCs w:val="0"/>
                <w:color w:val="000000"/>
                <w:sz w:val="20"/>
                <w:szCs w:val="20"/>
                <w:u w:val="none"/>
              </w:rPr>
            </w:pPr>
          </w:p>
        </w:tc>
      </w:tr>
      <w:tr w14:paraId="3991CC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12F17E03">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399169E6">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4B450E36">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轻型触探试验</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74FD4BF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单位工程抽检数量为每200 m2不应少于1个孔，且不少于10个孔</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2F9D890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2C785D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015C4FF">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056376F">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877099">
            <w:pPr>
              <w:rPr>
                <w:rFonts w:hint="eastAsia" w:ascii="宋体" w:hAnsi="宋体" w:eastAsia="宋体" w:cs="宋体"/>
                <w:i w:val="0"/>
                <w:iCs w:val="0"/>
                <w:color w:val="000000"/>
                <w:sz w:val="20"/>
                <w:szCs w:val="20"/>
                <w:u w:val="none"/>
              </w:rPr>
            </w:pPr>
          </w:p>
        </w:tc>
      </w:tr>
      <w:tr w14:paraId="20BA01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restart"/>
            <w:tcBorders>
              <w:top w:val="single" w:color="000000" w:sz="4" w:space="0"/>
              <w:left w:val="single" w:color="000000" w:sz="4" w:space="0"/>
              <w:bottom w:val="nil"/>
              <w:right w:val="single" w:color="000000" w:sz="4" w:space="0"/>
            </w:tcBorders>
            <w:shd w:val="clear" w:color="auto" w:fill="auto"/>
            <w:noWrap/>
            <w:vAlign w:val="center"/>
          </w:tcPr>
          <w:p w14:paraId="153D740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59" w:type="pct"/>
            <w:vMerge w:val="restart"/>
            <w:tcBorders>
              <w:top w:val="single" w:color="000000" w:sz="4" w:space="0"/>
              <w:left w:val="single" w:color="000000" w:sz="4" w:space="0"/>
              <w:bottom w:val="nil"/>
              <w:right w:val="single" w:color="000000" w:sz="4" w:space="0"/>
            </w:tcBorders>
            <w:shd w:val="clear" w:color="auto" w:fill="auto"/>
            <w:vAlign w:val="center"/>
          </w:tcPr>
          <w:p w14:paraId="21755B99">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厌氧+人工湿地污水处理系统厌氧池</w:t>
            </w:r>
          </w:p>
        </w:tc>
        <w:tc>
          <w:tcPr>
            <w:tcW w:w="995"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14:paraId="232DD45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混凝土强度（回弹法）</w:t>
            </w:r>
          </w:p>
        </w:tc>
        <w:tc>
          <w:tcPr>
            <w:tcW w:w="1530" w:type="pct"/>
            <w:tcBorders>
              <w:top w:val="single" w:color="000000" w:sz="4" w:space="0"/>
              <w:left w:val="single" w:color="000000" w:sz="4" w:space="0"/>
              <w:bottom w:val="single" w:color="auto" w:sz="4" w:space="0"/>
              <w:right w:val="single" w:color="000000" w:sz="4" w:space="0"/>
            </w:tcBorders>
            <w:shd w:val="clear" w:color="auto" w:fill="auto"/>
            <w:vAlign w:val="center"/>
          </w:tcPr>
          <w:p w14:paraId="7E6E4F91">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抽检数量不得少于同批构件总数的30%且构件数量不得少于10件</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7E59C11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967A0F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9A43458">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D6B28F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A32623">
            <w:pPr>
              <w:rPr>
                <w:rFonts w:hint="eastAsia" w:ascii="宋体" w:hAnsi="宋体" w:eastAsia="宋体" w:cs="宋体"/>
                <w:i w:val="0"/>
                <w:iCs w:val="0"/>
                <w:color w:val="000000"/>
                <w:sz w:val="20"/>
                <w:szCs w:val="20"/>
                <w:u w:val="none"/>
              </w:rPr>
            </w:pPr>
          </w:p>
        </w:tc>
      </w:tr>
      <w:tr w14:paraId="0FD4C1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748DEB57">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auto" w:sz="4" w:space="0"/>
            </w:tcBorders>
            <w:shd w:val="clear" w:color="auto" w:fill="auto"/>
            <w:vAlign w:val="center"/>
          </w:tcPr>
          <w:p w14:paraId="3ED836B8">
            <w:pPr>
              <w:jc w:val="center"/>
              <w:rPr>
                <w:rFonts w:hint="eastAsia" w:ascii="宋体" w:hAnsi="宋体" w:eastAsia="宋体" w:cs="宋体"/>
                <w:i w:val="0"/>
                <w:iCs w:val="0"/>
                <w:color w:val="000000"/>
                <w:sz w:val="20"/>
                <w:szCs w:val="20"/>
                <w:u w:val="none"/>
              </w:rPr>
            </w:pPr>
          </w:p>
        </w:tc>
        <w:tc>
          <w:tcPr>
            <w:tcW w:w="995"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14:paraId="54CD506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钢筋保护层厚度</w:t>
            </w:r>
          </w:p>
        </w:tc>
        <w:tc>
          <w:tcPr>
            <w:tcW w:w="1530"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14:paraId="26683A52">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1、对非悬挑梁板灰构件，应各抽取构件数量的2%且不少于5个构件进行检验。</w:t>
            </w:r>
          </w:p>
          <w:p w14:paraId="2D03DA70">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2、对悬挑梁，应抽取构件数量的5%且不少于10个构件进行检验；当悬挑梁数少于10个时，应全数检验。</w:t>
            </w:r>
          </w:p>
          <w:p w14:paraId="1487813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3、对悬挑板，应抽取构件数量的10%且不少于20个构件进行检验；当悬挑板数量少于20个时，应全数检验。</w:t>
            </w:r>
          </w:p>
        </w:tc>
        <w:tc>
          <w:tcPr>
            <w:tcW w:w="210" w:type="pct"/>
            <w:tcBorders>
              <w:top w:val="nil"/>
              <w:left w:val="single" w:color="auto" w:sz="4" w:space="0"/>
              <w:bottom w:val="single" w:color="auto" w:sz="4" w:space="0"/>
              <w:right w:val="single" w:color="000000" w:sz="4" w:space="0"/>
            </w:tcBorders>
            <w:shd w:val="clear" w:color="auto" w:fill="auto"/>
            <w:vAlign w:val="center"/>
          </w:tcPr>
          <w:p w14:paraId="7C35E9C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auto" w:sz="4" w:space="0"/>
              <w:right w:val="single" w:color="000000" w:sz="4" w:space="0"/>
            </w:tcBorders>
            <w:shd w:val="clear" w:color="auto" w:fill="auto"/>
            <w:vAlign w:val="center"/>
          </w:tcPr>
          <w:p w14:paraId="469CD54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912132">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6F4CE93">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CF9E66">
            <w:pPr>
              <w:rPr>
                <w:rFonts w:hint="eastAsia" w:ascii="宋体" w:hAnsi="宋体" w:eastAsia="宋体" w:cs="宋体"/>
                <w:i w:val="0"/>
                <w:iCs w:val="0"/>
                <w:color w:val="000000"/>
                <w:sz w:val="20"/>
                <w:szCs w:val="20"/>
                <w:u w:val="none"/>
              </w:rPr>
            </w:pPr>
          </w:p>
        </w:tc>
      </w:tr>
      <w:tr w14:paraId="600525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792003C9">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1D83D34F">
            <w:pPr>
              <w:jc w:val="center"/>
              <w:rPr>
                <w:rFonts w:hint="eastAsia" w:ascii="宋体" w:hAnsi="宋体" w:eastAsia="宋体" w:cs="宋体"/>
                <w:i w:val="0"/>
                <w:iCs w:val="0"/>
                <w:color w:val="000000"/>
                <w:sz w:val="20"/>
                <w:szCs w:val="20"/>
                <w:u w:val="none"/>
              </w:rPr>
            </w:pPr>
          </w:p>
        </w:tc>
        <w:tc>
          <w:tcPr>
            <w:tcW w:w="995"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14:paraId="1F1B63D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钢筋配置</w:t>
            </w:r>
          </w:p>
        </w:tc>
        <w:tc>
          <w:tcPr>
            <w:tcW w:w="1530" w:type="pct"/>
            <w:vMerge w:val="continue"/>
            <w:tcBorders>
              <w:top w:val="single" w:color="auto" w:sz="4" w:space="0"/>
              <w:left w:val="single" w:color="000000" w:sz="4" w:space="0"/>
              <w:bottom w:val="nil"/>
              <w:right w:val="single" w:color="auto" w:sz="4" w:space="0"/>
            </w:tcBorders>
            <w:shd w:val="clear" w:color="auto" w:fill="auto"/>
            <w:vAlign w:val="center"/>
          </w:tcPr>
          <w:p w14:paraId="379366D2">
            <w:pPr>
              <w:jc w:val="center"/>
              <w:rPr>
                <w:rFonts w:hint="eastAsia" w:ascii="宋体" w:hAnsi="宋体" w:eastAsia="宋体" w:cs="宋体"/>
                <w:i w:val="0"/>
                <w:iCs w:val="0"/>
                <w:color w:val="000000"/>
                <w:sz w:val="20"/>
                <w:szCs w:val="20"/>
                <w:u w:val="none"/>
              </w:rPr>
            </w:pPr>
          </w:p>
        </w:tc>
        <w:tc>
          <w:tcPr>
            <w:tcW w:w="210" w:type="pct"/>
            <w:tcBorders>
              <w:top w:val="single" w:color="auto" w:sz="4" w:space="0"/>
              <w:left w:val="single" w:color="auto" w:sz="4" w:space="0"/>
              <w:bottom w:val="single" w:color="auto" w:sz="4" w:space="0"/>
              <w:right w:val="single" w:color="000000" w:sz="4" w:space="0"/>
            </w:tcBorders>
            <w:shd w:val="clear" w:color="auto" w:fill="auto"/>
            <w:vAlign w:val="center"/>
          </w:tcPr>
          <w:p w14:paraId="58EAE10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auto" w:sz="4" w:space="0"/>
              <w:left w:val="single" w:color="000000" w:sz="4" w:space="0"/>
              <w:bottom w:val="single" w:color="auto" w:sz="4" w:space="0"/>
              <w:right w:val="single" w:color="auto" w:sz="4" w:space="0"/>
            </w:tcBorders>
            <w:shd w:val="clear" w:color="auto" w:fill="auto"/>
            <w:vAlign w:val="center"/>
          </w:tcPr>
          <w:p w14:paraId="0ACAC8B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auto" w:sz="4" w:space="0"/>
              <w:bottom w:val="single" w:color="000000" w:sz="4" w:space="0"/>
              <w:right w:val="single" w:color="000000" w:sz="4" w:space="0"/>
            </w:tcBorders>
            <w:shd w:val="clear" w:color="auto" w:fill="auto"/>
            <w:vAlign w:val="center"/>
          </w:tcPr>
          <w:p w14:paraId="2ACB9219">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218A6E">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26DCAC">
            <w:pPr>
              <w:rPr>
                <w:rFonts w:hint="eastAsia" w:ascii="宋体" w:hAnsi="宋体" w:eastAsia="宋体" w:cs="宋体"/>
                <w:i w:val="0"/>
                <w:iCs w:val="0"/>
                <w:color w:val="000000"/>
                <w:sz w:val="20"/>
                <w:szCs w:val="20"/>
                <w:u w:val="none"/>
              </w:rPr>
            </w:pPr>
          </w:p>
        </w:tc>
      </w:tr>
      <w:tr w14:paraId="49469EA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619BD80C">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5265C319">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0F8B9D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结构构件几何尺寸</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6AF6574">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梁、柱应抽取构件数量的1%，且不应少于3个构件；墙、板应按有代表性的自然间抽取1%，且不少于三间；层高应按有代表性的自然间抽取1%，且不应少于3间</w:t>
            </w:r>
          </w:p>
        </w:tc>
        <w:tc>
          <w:tcPr>
            <w:tcW w:w="210" w:type="pct"/>
            <w:tcBorders>
              <w:top w:val="single" w:color="auto" w:sz="4" w:space="0"/>
              <w:left w:val="single" w:color="000000" w:sz="4" w:space="0"/>
              <w:bottom w:val="single" w:color="000000" w:sz="4" w:space="0"/>
              <w:right w:val="single" w:color="000000" w:sz="4" w:space="0"/>
            </w:tcBorders>
            <w:shd w:val="clear" w:color="auto" w:fill="auto"/>
            <w:vAlign w:val="center"/>
          </w:tcPr>
          <w:p w14:paraId="6933D12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auto" w:sz="4" w:space="0"/>
              <w:left w:val="single" w:color="000000" w:sz="4" w:space="0"/>
              <w:bottom w:val="single" w:color="000000" w:sz="4" w:space="0"/>
              <w:right w:val="single" w:color="000000" w:sz="4" w:space="0"/>
            </w:tcBorders>
            <w:shd w:val="clear" w:color="auto" w:fill="auto"/>
            <w:vAlign w:val="center"/>
          </w:tcPr>
          <w:p w14:paraId="057894B4">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0FC17C6">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89C79B1">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A55EFD">
            <w:pPr>
              <w:rPr>
                <w:rFonts w:hint="eastAsia" w:ascii="宋体" w:hAnsi="宋体" w:eastAsia="宋体" w:cs="宋体"/>
                <w:i w:val="0"/>
                <w:iCs w:val="0"/>
                <w:color w:val="000000"/>
                <w:sz w:val="20"/>
                <w:szCs w:val="20"/>
                <w:u w:val="none"/>
              </w:rPr>
            </w:pPr>
          </w:p>
        </w:tc>
      </w:tr>
      <w:tr w14:paraId="1B2E36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continue"/>
            <w:tcBorders>
              <w:top w:val="single" w:color="000000" w:sz="4" w:space="0"/>
              <w:left w:val="single" w:color="000000" w:sz="4" w:space="0"/>
              <w:bottom w:val="nil"/>
              <w:right w:val="single" w:color="000000" w:sz="4" w:space="0"/>
            </w:tcBorders>
            <w:shd w:val="clear" w:color="auto" w:fill="auto"/>
            <w:noWrap/>
            <w:vAlign w:val="center"/>
          </w:tcPr>
          <w:p w14:paraId="3E058F92">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nil"/>
              <w:right w:val="single" w:color="000000" w:sz="4" w:space="0"/>
            </w:tcBorders>
            <w:shd w:val="clear" w:color="auto" w:fill="auto"/>
            <w:vAlign w:val="center"/>
          </w:tcPr>
          <w:p w14:paraId="55F45EFC">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BD7D77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轻型触探试验</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26BF7285">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单位工程抽检数量为每200 m2不应少于1个孔，且不少于10个孔</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2BE34A7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C4F3B6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E257EB">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2EC98ED">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AD96FE">
            <w:pPr>
              <w:rPr>
                <w:rFonts w:hint="eastAsia" w:ascii="宋体" w:hAnsi="宋体" w:eastAsia="宋体" w:cs="宋体"/>
                <w:i w:val="0"/>
                <w:iCs w:val="0"/>
                <w:color w:val="000000"/>
                <w:sz w:val="20"/>
                <w:szCs w:val="20"/>
                <w:u w:val="none"/>
              </w:rPr>
            </w:pPr>
          </w:p>
        </w:tc>
      </w:tr>
      <w:tr w14:paraId="674C5D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51037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85E9B6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提升泵井</w:t>
            </w: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307B0CA">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混凝土强度（回弹法）</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9D7A5B">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抽检数量不得少于同批构件总数的30%且构件数量不得少于10件</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0BB5EA4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5A6445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D102FA3">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5D89187">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4C974D">
            <w:pPr>
              <w:rPr>
                <w:rFonts w:hint="eastAsia" w:ascii="宋体" w:hAnsi="宋体" w:eastAsia="宋体" w:cs="宋体"/>
                <w:i w:val="0"/>
                <w:iCs w:val="0"/>
                <w:color w:val="000000"/>
                <w:sz w:val="20"/>
                <w:szCs w:val="20"/>
                <w:u w:val="none"/>
              </w:rPr>
            </w:pPr>
          </w:p>
        </w:tc>
      </w:tr>
      <w:tr w14:paraId="588DA1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B2C2AC">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0D5432B">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39A928D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钢筋保护层厚度</w:t>
            </w:r>
          </w:p>
        </w:tc>
        <w:tc>
          <w:tcPr>
            <w:tcW w:w="1530" w:type="pct"/>
            <w:vMerge w:val="restart"/>
            <w:tcBorders>
              <w:top w:val="single" w:color="000000" w:sz="4" w:space="0"/>
              <w:left w:val="single" w:color="000000" w:sz="4" w:space="0"/>
              <w:bottom w:val="nil"/>
              <w:right w:val="single" w:color="000000" w:sz="4" w:space="0"/>
            </w:tcBorders>
            <w:shd w:val="clear" w:color="auto" w:fill="auto"/>
            <w:vAlign w:val="center"/>
          </w:tcPr>
          <w:p w14:paraId="23E96809">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1、对非悬挑梁板构件，应各抽取构件数量的2%且不少于5个构件进行检验。</w:t>
            </w:r>
          </w:p>
          <w:p w14:paraId="415F2641">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2、对悬挑梁，应抽取构件数量的5%且不少于10个构件进行检验；当悬挑梁数少于10个时，应全数检验。</w:t>
            </w:r>
          </w:p>
          <w:p w14:paraId="4A0529F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3、对悬挑板，应抽取构件数量的10%且不少于20个构件进行检验；当悬挑板数量少于20个时，应全数检验。</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4960219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616B5A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F01DAE">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127C62">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4997BF">
            <w:pPr>
              <w:rPr>
                <w:rFonts w:hint="eastAsia" w:ascii="宋体" w:hAnsi="宋体" w:eastAsia="宋体" w:cs="宋体"/>
                <w:i w:val="0"/>
                <w:iCs w:val="0"/>
                <w:color w:val="000000"/>
                <w:sz w:val="20"/>
                <w:szCs w:val="20"/>
                <w:u w:val="none"/>
              </w:rPr>
            </w:pPr>
          </w:p>
        </w:tc>
      </w:tr>
      <w:tr w14:paraId="4A5F47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9"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2FBD72">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3C89668">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B72A3A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钢筋配置</w:t>
            </w:r>
          </w:p>
        </w:tc>
        <w:tc>
          <w:tcPr>
            <w:tcW w:w="1530" w:type="pct"/>
            <w:vMerge w:val="continue"/>
            <w:tcBorders>
              <w:top w:val="single" w:color="000000" w:sz="4" w:space="0"/>
              <w:left w:val="single" w:color="000000" w:sz="4" w:space="0"/>
              <w:bottom w:val="nil"/>
              <w:right w:val="single" w:color="000000" w:sz="4" w:space="0"/>
            </w:tcBorders>
            <w:shd w:val="clear" w:color="auto" w:fill="auto"/>
            <w:vAlign w:val="center"/>
          </w:tcPr>
          <w:p w14:paraId="51760863">
            <w:pPr>
              <w:jc w:val="center"/>
              <w:rPr>
                <w:rFonts w:hint="eastAsia" w:ascii="宋体" w:hAnsi="宋体" w:eastAsia="宋体" w:cs="宋体"/>
                <w:i w:val="0"/>
                <w:iCs w:val="0"/>
                <w:color w:val="000000"/>
                <w:sz w:val="20"/>
                <w:szCs w:val="20"/>
                <w:u w:val="none"/>
              </w:rPr>
            </w:pPr>
          </w:p>
        </w:tc>
        <w:tc>
          <w:tcPr>
            <w:tcW w:w="210" w:type="pct"/>
            <w:tcBorders>
              <w:top w:val="nil"/>
              <w:left w:val="single" w:color="000000" w:sz="4" w:space="0"/>
              <w:bottom w:val="single" w:color="000000" w:sz="4" w:space="0"/>
              <w:right w:val="single" w:color="000000" w:sz="4" w:space="0"/>
            </w:tcBorders>
            <w:shd w:val="clear" w:color="auto" w:fill="auto"/>
            <w:vAlign w:val="center"/>
          </w:tcPr>
          <w:p w14:paraId="6DD58610">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A86ACEF">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3B71F34">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7B76513">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3281BD">
            <w:pPr>
              <w:rPr>
                <w:rFonts w:hint="eastAsia" w:ascii="宋体" w:hAnsi="宋体" w:eastAsia="宋体" w:cs="宋体"/>
                <w:i w:val="0"/>
                <w:iCs w:val="0"/>
                <w:color w:val="000000"/>
                <w:sz w:val="20"/>
                <w:szCs w:val="20"/>
                <w:u w:val="none"/>
              </w:rPr>
            </w:pPr>
          </w:p>
        </w:tc>
      </w:tr>
      <w:tr w14:paraId="74DE53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6E4AC5">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F6D4598">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26ED68E7">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结构构件几何尺寸</w:t>
            </w:r>
          </w:p>
        </w:tc>
        <w:tc>
          <w:tcPr>
            <w:tcW w:w="153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B9D3EB8">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梁、柱应抽取构件数量的1%，且不应少于3个构件；墙、板应按有代表性的自然间抽取1%，且不少于三间；层高应按有代表性的自然间抽取1%，且不应少于3间</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701639F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构件</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04FCCF2">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C6BC18A">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018D1F6">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AF16EC">
            <w:pPr>
              <w:rPr>
                <w:rFonts w:hint="eastAsia" w:ascii="宋体" w:hAnsi="宋体" w:eastAsia="宋体" w:cs="宋体"/>
                <w:i w:val="0"/>
                <w:iCs w:val="0"/>
                <w:color w:val="000000"/>
                <w:sz w:val="20"/>
                <w:szCs w:val="20"/>
                <w:u w:val="none"/>
              </w:rPr>
            </w:pPr>
          </w:p>
        </w:tc>
      </w:tr>
      <w:tr w14:paraId="47CB6F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FBE21D">
            <w:pPr>
              <w:jc w:val="center"/>
              <w:rPr>
                <w:rFonts w:hint="eastAsia" w:ascii="宋体" w:hAnsi="宋体" w:eastAsia="宋体" w:cs="宋体"/>
                <w:i w:val="0"/>
                <w:iCs w:val="0"/>
                <w:color w:val="000000"/>
                <w:sz w:val="20"/>
                <w:szCs w:val="20"/>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DB9914A">
            <w:pPr>
              <w:jc w:val="center"/>
              <w:rPr>
                <w:rFonts w:hint="eastAsia" w:ascii="宋体" w:hAnsi="宋体" w:eastAsia="宋体" w:cs="宋体"/>
                <w:i w:val="0"/>
                <w:iCs w:val="0"/>
                <w:color w:val="000000"/>
                <w:sz w:val="20"/>
                <w:szCs w:val="20"/>
                <w:u w:val="none"/>
              </w:rPr>
            </w:pPr>
          </w:p>
        </w:tc>
        <w:tc>
          <w:tcPr>
            <w:tcW w:w="9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8BF869D">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轻型触探试验</w:t>
            </w:r>
          </w:p>
        </w:tc>
        <w:tc>
          <w:tcPr>
            <w:tcW w:w="1530" w:type="pct"/>
            <w:tcBorders>
              <w:top w:val="single" w:color="000000" w:sz="4" w:space="0"/>
              <w:left w:val="single" w:color="000000" w:sz="4" w:space="0"/>
              <w:bottom w:val="nil"/>
              <w:right w:val="single" w:color="000000" w:sz="4" w:space="0"/>
            </w:tcBorders>
            <w:shd w:val="clear" w:color="auto" w:fill="auto"/>
            <w:vAlign w:val="center"/>
          </w:tcPr>
          <w:p w14:paraId="689E94D3">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单位工程抽检数量为每200 m2不应少于1个孔，且不少于10个孔</w:t>
            </w:r>
          </w:p>
        </w:tc>
        <w:tc>
          <w:tcPr>
            <w:tcW w:w="210" w:type="pct"/>
            <w:tcBorders>
              <w:top w:val="nil"/>
              <w:left w:val="single" w:color="000000" w:sz="4" w:space="0"/>
              <w:bottom w:val="single" w:color="000000" w:sz="4" w:space="0"/>
              <w:right w:val="single" w:color="000000" w:sz="4" w:space="0"/>
            </w:tcBorders>
            <w:shd w:val="clear" w:color="auto" w:fill="auto"/>
            <w:vAlign w:val="center"/>
          </w:tcPr>
          <w:p w14:paraId="59D32BDE">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5CFAD68">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3DC7ED8">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169B172">
            <w:pPr>
              <w:jc w:val="center"/>
              <w:rPr>
                <w:rFonts w:hint="eastAsia" w:ascii="宋体" w:hAnsi="宋体" w:eastAsia="宋体" w:cs="宋体"/>
                <w:i w:val="0"/>
                <w:iCs w:val="0"/>
                <w:color w:val="000000"/>
                <w:sz w:val="20"/>
                <w:szCs w:val="20"/>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34D407">
            <w:pPr>
              <w:rPr>
                <w:rFonts w:hint="eastAsia" w:ascii="宋体" w:hAnsi="宋体" w:eastAsia="宋体" w:cs="宋体"/>
                <w:i w:val="0"/>
                <w:iCs w:val="0"/>
                <w:color w:val="000000"/>
                <w:sz w:val="20"/>
                <w:szCs w:val="20"/>
                <w:u w:val="none"/>
              </w:rPr>
            </w:pPr>
          </w:p>
        </w:tc>
      </w:tr>
      <w:tr w14:paraId="1832ED7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7F777C">
            <w:pPr>
              <w:rPr>
                <w:rFonts w:hint="eastAsia" w:ascii="宋体" w:hAnsi="宋体" w:eastAsia="宋体" w:cs="宋体"/>
                <w:i w:val="0"/>
                <w:iCs w:val="0"/>
                <w:color w:val="000000"/>
                <w:sz w:val="22"/>
                <w:szCs w:val="22"/>
                <w:u w:val="none"/>
              </w:rPr>
            </w:pPr>
          </w:p>
        </w:tc>
        <w:tc>
          <w:tcPr>
            <w:tcW w:w="3666" w:type="pct"/>
            <w:gridSpan w:val="6"/>
            <w:tcBorders>
              <w:top w:val="single" w:color="000000" w:sz="4" w:space="0"/>
              <w:left w:val="single" w:color="000000" w:sz="4" w:space="0"/>
              <w:bottom w:val="single" w:color="000000" w:sz="4" w:space="0"/>
              <w:right w:val="nil"/>
            </w:tcBorders>
            <w:shd w:val="clear" w:color="auto" w:fill="auto"/>
            <w:noWrap/>
            <w:vAlign w:val="center"/>
          </w:tcPr>
          <w:p w14:paraId="6837F8AB">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合计(元）</w:t>
            </w:r>
          </w:p>
        </w:tc>
        <w:tc>
          <w:tcPr>
            <w:tcW w:w="7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E63399">
            <w:pPr>
              <w:jc w:val="center"/>
              <w:rPr>
                <w:rFonts w:hint="eastAsia" w:ascii="宋体" w:hAnsi="宋体" w:eastAsia="宋体" w:cs="宋体"/>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1EB857">
            <w:pPr>
              <w:rPr>
                <w:rFonts w:hint="eastAsia" w:ascii="宋体" w:hAnsi="宋体" w:eastAsia="宋体" w:cs="宋体"/>
                <w:i w:val="0"/>
                <w:iCs w:val="0"/>
                <w:color w:val="000000"/>
                <w:sz w:val="22"/>
                <w:szCs w:val="22"/>
                <w:u w:val="none"/>
              </w:rPr>
            </w:pPr>
          </w:p>
        </w:tc>
      </w:tr>
    </w:tbl>
    <w:p w14:paraId="028CBED8">
      <w:pPr>
        <w:pStyle w:val="2"/>
        <w:ind w:firstLine="630" w:firstLineChars="300"/>
      </w:pPr>
    </w:p>
    <w:p w14:paraId="0AEE3E9E">
      <w:pPr>
        <w:jc w:val="center"/>
        <w:outlineLvl w:val="0"/>
        <w:rPr>
          <w:rFonts w:hint="eastAsia"/>
          <w:b/>
          <w:sz w:val="44"/>
        </w:rPr>
        <w:sectPr>
          <w:pgSz w:w="11907" w:h="16840"/>
          <w:pgMar w:top="1440" w:right="1440" w:bottom="1134" w:left="1440" w:header="851" w:footer="992" w:gutter="0"/>
          <w:cols w:space="720" w:num="1"/>
          <w:docGrid w:linePitch="312" w:charSpace="0"/>
        </w:sectPr>
      </w:pPr>
      <w:r>
        <w:rPr>
          <w:rFonts w:hint="eastAsia"/>
        </w:rPr>
        <w:br w:type="page"/>
      </w:r>
      <w:bookmarkStart w:id="394" w:name="_Toc63769819"/>
    </w:p>
    <w:bookmarkEnd w:id="394"/>
    <w:p w14:paraId="438EF924">
      <w:pPr>
        <w:pStyle w:val="3"/>
        <w:keepNext w:val="0"/>
        <w:keepLines w:val="0"/>
        <w:spacing w:line="240" w:lineRule="auto"/>
        <w:ind w:firstLine="1767" w:firstLineChars="400"/>
        <w:jc w:val="both"/>
        <w:rPr>
          <w:rFonts w:hint="eastAsia" w:ascii="宋体" w:hAnsi="宋体"/>
        </w:rPr>
      </w:pPr>
      <w:bookmarkStart w:id="395" w:name="_Toc8854"/>
      <w:bookmarkStart w:id="396" w:name="_Toc30344"/>
      <w:bookmarkStart w:id="397" w:name="_Toc63769820"/>
      <w:bookmarkStart w:id="398" w:name="_Toc6624"/>
      <w:bookmarkStart w:id="399" w:name="_Toc19599"/>
    </w:p>
    <w:p w14:paraId="6EC7D2C2">
      <w:pPr>
        <w:pStyle w:val="3"/>
        <w:keepNext w:val="0"/>
        <w:keepLines w:val="0"/>
        <w:spacing w:line="240" w:lineRule="auto"/>
        <w:ind w:firstLine="1767" w:firstLineChars="400"/>
        <w:jc w:val="both"/>
        <w:rPr>
          <w:rFonts w:hint="eastAsia" w:ascii="宋体" w:hAnsi="宋体"/>
        </w:rPr>
      </w:pPr>
    </w:p>
    <w:p w14:paraId="29A375A6">
      <w:pPr>
        <w:pStyle w:val="3"/>
        <w:keepNext w:val="0"/>
        <w:keepLines w:val="0"/>
        <w:spacing w:line="240" w:lineRule="auto"/>
        <w:ind w:firstLine="1767" w:firstLineChars="400"/>
        <w:jc w:val="both"/>
        <w:rPr>
          <w:rFonts w:hint="eastAsia" w:ascii="宋体" w:hAnsi="宋体"/>
        </w:rPr>
      </w:pPr>
    </w:p>
    <w:p w14:paraId="0DB3781D">
      <w:pPr>
        <w:pStyle w:val="3"/>
        <w:keepNext w:val="0"/>
        <w:keepLines w:val="0"/>
        <w:spacing w:line="240" w:lineRule="auto"/>
        <w:ind w:firstLine="1767" w:firstLineChars="400"/>
        <w:jc w:val="both"/>
        <w:rPr>
          <w:rFonts w:ascii="宋体" w:hAnsi="宋体"/>
        </w:rPr>
      </w:pPr>
      <w:r>
        <w:rPr>
          <w:rFonts w:hint="eastAsia" w:ascii="宋体" w:hAnsi="宋体"/>
        </w:rPr>
        <w:t>第六章 投标文件格式</w:t>
      </w:r>
      <w:bookmarkEnd w:id="395"/>
      <w:bookmarkEnd w:id="396"/>
      <w:bookmarkEnd w:id="397"/>
      <w:bookmarkEnd w:id="398"/>
      <w:bookmarkEnd w:id="399"/>
    </w:p>
    <w:p w14:paraId="55D3713A">
      <w:pPr>
        <w:spacing w:line="400" w:lineRule="exact"/>
        <w:rPr>
          <w:rFonts w:ascii="宋体" w:hAnsi="宋体"/>
        </w:rPr>
      </w:pPr>
    </w:p>
    <w:p w14:paraId="2737553D">
      <w:pPr>
        <w:spacing w:line="400" w:lineRule="exact"/>
        <w:rPr>
          <w:rFonts w:ascii="宋体" w:hAnsi="宋体"/>
        </w:rPr>
      </w:pPr>
    </w:p>
    <w:p w14:paraId="1C941A81">
      <w:pPr>
        <w:spacing w:line="400" w:lineRule="exact"/>
        <w:rPr>
          <w:rFonts w:ascii="宋体" w:hAnsi="宋体"/>
        </w:rPr>
      </w:pPr>
    </w:p>
    <w:p w14:paraId="71429C83">
      <w:pPr>
        <w:spacing w:line="400" w:lineRule="exact"/>
        <w:rPr>
          <w:rFonts w:ascii="宋体" w:hAnsi="宋体"/>
        </w:rPr>
      </w:pPr>
    </w:p>
    <w:p w14:paraId="53D15A99">
      <w:pPr>
        <w:spacing w:line="400" w:lineRule="exact"/>
        <w:rPr>
          <w:rFonts w:ascii="宋体" w:hAnsi="宋体"/>
        </w:rPr>
      </w:pPr>
    </w:p>
    <w:p w14:paraId="29B23B9E">
      <w:pPr>
        <w:spacing w:line="400" w:lineRule="exact"/>
        <w:rPr>
          <w:rFonts w:ascii="宋体" w:hAnsi="宋体"/>
        </w:rPr>
      </w:pPr>
    </w:p>
    <w:p w14:paraId="23314917">
      <w:pPr>
        <w:spacing w:line="400" w:lineRule="exact"/>
        <w:rPr>
          <w:rFonts w:ascii="宋体" w:hAnsi="宋体"/>
        </w:rPr>
      </w:pPr>
    </w:p>
    <w:p w14:paraId="29D6D0E7">
      <w:pPr>
        <w:spacing w:line="400" w:lineRule="exact"/>
        <w:rPr>
          <w:rFonts w:ascii="宋体" w:hAnsi="宋体"/>
        </w:rPr>
      </w:pPr>
    </w:p>
    <w:p w14:paraId="45D710F4">
      <w:pPr>
        <w:spacing w:line="400" w:lineRule="exact"/>
        <w:rPr>
          <w:rFonts w:ascii="宋体" w:hAnsi="宋体"/>
        </w:rPr>
      </w:pPr>
    </w:p>
    <w:p w14:paraId="32157FB9">
      <w:pPr>
        <w:spacing w:line="400" w:lineRule="exact"/>
        <w:rPr>
          <w:rFonts w:ascii="宋体" w:hAnsi="宋体"/>
        </w:rPr>
      </w:pPr>
    </w:p>
    <w:p w14:paraId="271D3E46">
      <w:pPr>
        <w:spacing w:line="400" w:lineRule="exact"/>
        <w:rPr>
          <w:rFonts w:ascii="宋体" w:hAnsi="宋体"/>
        </w:rPr>
      </w:pPr>
    </w:p>
    <w:p w14:paraId="23B569D9">
      <w:pPr>
        <w:spacing w:line="400" w:lineRule="exact"/>
        <w:rPr>
          <w:rFonts w:ascii="宋体" w:hAnsi="宋体"/>
        </w:rPr>
      </w:pPr>
    </w:p>
    <w:p w14:paraId="470BC30A">
      <w:pPr>
        <w:spacing w:line="400" w:lineRule="exact"/>
        <w:rPr>
          <w:rFonts w:ascii="宋体" w:hAnsi="宋体"/>
        </w:rPr>
      </w:pPr>
    </w:p>
    <w:p w14:paraId="6965F034">
      <w:pPr>
        <w:spacing w:line="400" w:lineRule="exact"/>
        <w:rPr>
          <w:rFonts w:ascii="宋体" w:hAnsi="宋体"/>
        </w:rPr>
      </w:pPr>
    </w:p>
    <w:p w14:paraId="428B64C4">
      <w:pPr>
        <w:spacing w:line="400" w:lineRule="exact"/>
        <w:rPr>
          <w:rFonts w:ascii="宋体" w:hAnsi="宋体"/>
        </w:rPr>
      </w:pPr>
    </w:p>
    <w:p w14:paraId="43831A62">
      <w:pPr>
        <w:spacing w:line="400" w:lineRule="exact"/>
        <w:rPr>
          <w:rFonts w:ascii="宋体" w:hAnsi="宋体"/>
        </w:rPr>
      </w:pPr>
    </w:p>
    <w:p w14:paraId="430B10FF">
      <w:pPr>
        <w:spacing w:line="400" w:lineRule="exact"/>
        <w:rPr>
          <w:rFonts w:ascii="宋体" w:hAnsi="宋体"/>
        </w:rPr>
      </w:pPr>
    </w:p>
    <w:p w14:paraId="4B1B1B7F">
      <w:pPr>
        <w:jc w:val="center"/>
        <w:rPr>
          <w:rFonts w:ascii="宋体" w:hAnsi="宋体"/>
          <w:sz w:val="28"/>
          <w:szCs w:val="28"/>
        </w:rPr>
      </w:pPr>
      <w:r>
        <w:rPr>
          <w:rFonts w:hint="eastAsia" w:ascii="宋体" w:hAnsi="宋体"/>
          <w:sz w:val="28"/>
          <w:szCs w:val="28"/>
        </w:rPr>
        <w:br w:type="page"/>
      </w:r>
    </w:p>
    <w:p w14:paraId="1B2F996B">
      <w:pPr>
        <w:jc w:val="center"/>
        <w:rPr>
          <w:rFonts w:ascii="宋体" w:hAnsi="宋体"/>
          <w:b/>
          <w:sz w:val="32"/>
          <w:szCs w:val="28"/>
          <w:u w:val="single"/>
        </w:rPr>
      </w:pPr>
    </w:p>
    <w:p w14:paraId="442BA476">
      <w:pPr>
        <w:ind w:firstLine="0" w:firstLineChars="0"/>
        <w:jc w:val="center"/>
        <w:rPr>
          <w:rFonts w:ascii="宋体" w:hAnsi="宋体"/>
          <w:b/>
          <w:sz w:val="48"/>
          <w:szCs w:val="48"/>
          <w:u w:val="single"/>
        </w:rPr>
      </w:pPr>
      <w:r>
        <w:rPr>
          <w:rFonts w:hint="eastAsia" w:ascii="宋体" w:hAnsi="宋体" w:cs="宋体"/>
          <w:b/>
          <w:bCs/>
          <w:color w:val="000000"/>
          <w:sz w:val="48"/>
          <w:szCs w:val="48"/>
          <w:highlight w:val="none"/>
          <w:u w:val="none"/>
          <w:lang w:eastAsia="zh-CN"/>
        </w:rPr>
        <w:t>2023—2025 年从化区吕田镇、良口镇、温泉镇农村生活污水治理提升工程检验监测</w:t>
      </w:r>
    </w:p>
    <w:p w14:paraId="55E5E678">
      <w:pPr>
        <w:rPr>
          <w:rFonts w:ascii="宋体" w:hAnsi="宋体"/>
          <w:sz w:val="20"/>
        </w:rPr>
      </w:pPr>
    </w:p>
    <w:p w14:paraId="6A92380C">
      <w:pPr>
        <w:rPr>
          <w:rFonts w:ascii="宋体" w:hAnsi="宋体"/>
          <w:sz w:val="20"/>
        </w:rPr>
      </w:pPr>
    </w:p>
    <w:p w14:paraId="0C962370">
      <w:pPr>
        <w:rPr>
          <w:rFonts w:ascii="宋体" w:hAnsi="宋体"/>
          <w:sz w:val="20"/>
        </w:rPr>
      </w:pPr>
    </w:p>
    <w:p w14:paraId="2A312EE9">
      <w:pPr>
        <w:rPr>
          <w:rFonts w:ascii="宋体" w:hAnsi="宋体"/>
          <w:sz w:val="20"/>
        </w:rPr>
      </w:pPr>
    </w:p>
    <w:p w14:paraId="1380AD52">
      <w:pPr>
        <w:rPr>
          <w:rFonts w:ascii="宋体" w:hAnsi="宋体"/>
          <w:sz w:val="20"/>
        </w:rPr>
      </w:pPr>
    </w:p>
    <w:p w14:paraId="0DE00DC6">
      <w:pPr>
        <w:rPr>
          <w:rFonts w:ascii="宋体" w:hAnsi="宋体"/>
          <w:sz w:val="20"/>
        </w:rPr>
      </w:pPr>
    </w:p>
    <w:p w14:paraId="1C4830BB">
      <w:pPr>
        <w:rPr>
          <w:rFonts w:ascii="宋体" w:hAnsi="宋体"/>
          <w:sz w:val="20"/>
        </w:rPr>
      </w:pPr>
    </w:p>
    <w:p w14:paraId="556DC6B8">
      <w:pPr>
        <w:rPr>
          <w:rFonts w:ascii="宋体" w:hAnsi="宋体"/>
          <w:sz w:val="20"/>
        </w:rPr>
      </w:pPr>
    </w:p>
    <w:p w14:paraId="51EB7BA4">
      <w:pPr>
        <w:rPr>
          <w:rFonts w:ascii="宋体" w:hAnsi="宋体"/>
          <w:sz w:val="20"/>
        </w:rPr>
      </w:pPr>
    </w:p>
    <w:p w14:paraId="30DD33E0">
      <w:pPr>
        <w:rPr>
          <w:rFonts w:ascii="宋体" w:hAnsi="宋体"/>
          <w:sz w:val="20"/>
        </w:rPr>
      </w:pPr>
    </w:p>
    <w:p w14:paraId="119819BB">
      <w:pPr>
        <w:rPr>
          <w:rFonts w:ascii="宋体" w:hAnsi="宋体"/>
          <w:sz w:val="20"/>
        </w:rPr>
      </w:pPr>
    </w:p>
    <w:p w14:paraId="0D0F3954">
      <w:pPr>
        <w:rPr>
          <w:rFonts w:ascii="宋体" w:hAnsi="宋体"/>
          <w:sz w:val="20"/>
        </w:rPr>
      </w:pPr>
    </w:p>
    <w:p w14:paraId="425E5F6F">
      <w:pPr>
        <w:rPr>
          <w:rFonts w:ascii="宋体" w:hAnsi="宋体"/>
          <w:sz w:val="20"/>
        </w:rPr>
      </w:pPr>
    </w:p>
    <w:p w14:paraId="45F8B4DA">
      <w:pPr>
        <w:jc w:val="center"/>
        <w:rPr>
          <w:rFonts w:ascii="宋体" w:hAnsi="宋体"/>
          <w:b/>
          <w:sz w:val="72"/>
          <w:szCs w:val="72"/>
        </w:rPr>
      </w:pPr>
      <w:r>
        <w:rPr>
          <w:rFonts w:hint="eastAsia" w:ascii="宋体" w:hAnsi="宋体"/>
          <w:b/>
          <w:sz w:val="72"/>
          <w:szCs w:val="72"/>
        </w:rPr>
        <w:t>投标文件</w:t>
      </w:r>
    </w:p>
    <w:p w14:paraId="7949947B">
      <w:pPr>
        <w:jc w:val="center"/>
        <w:rPr>
          <w:rFonts w:ascii="宋体" w:hAnsi="宋体"/>
          <w:sz w:val="44"/>
        </w:rPr>
      </w:pPr>
    </w:p>
    <w:p w14:paraId="1FAA3064">
      <w:pPr>
        <w:rPr>
          <w:rFonts w:ascii="宋体" w:hAnsi="宋体"/>
          <w:sz w:val="28"/>
        </w:rPr>
      </w:pPr>
    </w:p>
    <w:p w14:paraId="59CDBB1D">
      <w:pPr>
        <w:rPr>
          <w:rFonts w:ascii="宋体" w:hAnsi="宋体"/>
          <w:sz w:val="28"/>
        </w:rPr>
      </w:pPr>
    </w:p>
    <w:p w14:paraId="00DC4C5C">
      <w:pPr>
        <w:rPr>
          <w:rFonts w:ascii="宋体" w:hAnsi="宋体"/>
          <w:sz w:val="28"/>
        </w:rPr>
      </w:pPr>
    </w:p>
    <w:p w14:paraId="3BCDB98E">
      <w:pPr>
        <w:rPr>
          <w:rFonts w:ascii="宋体" w:hAnsi="宋体"/>
          <w:sz w:val="28"/>
        </w:rPr>
      </w:pPr>
    </w:p>
    <w:p w14:paraId="4C0323CB">
      <w:pPr>
        <w:rPr>
          <w:rFonts w:ascii="宋体" w:hAnsi="宋体"/>
          <w:sz w:val="28"/>
        </w:rPr>
      </w:pPr>
    </w:p>
    <w:p w14:paraId="7EB857FC">
      <w:pPr>
        <w:rPr>
          <w:rFonts w:ascii="宋体" w:hAnsi="宋体"/>
          <w:sz w:val="28"/>
        </w:rPr>
      </w:pPr>
    </w:p>
    <w:p w14:paraId="080AFBB5">
      <w:pPr>
        <w:rPr>
          <w:rFonts w:ascii="宋体" w:hAnsi="宋体"/>
          <w:sz w:val="28"/>
        </w:rPr>
      </w:pPr>
    </w:p>
    <w:p w14:paraId="51B5AF08">
      <w:pPr>
        <w:spacing w:line="360" w:lineRule="auto"/>
        <w:rPr>
          <w:rFonts w:ascii="宋体" w:hAnsi="宋体"/>
          <w:sz w:val="28"/>
        </w:rPr>
      </w:pPr>
    </w:p>
    <w:p w14:paraId="28E5EE36">
      <w:pPr>
        <w:spacing w:line="360" w:lineRule="auto"/>
        <w:ind w:firstLine="1205" w:firstLineChars="400"/>
        <w:rPr>
          <w:rFonts w:ascii="宋体" w:hAnsi="宋体"/>
          <w:b/>
          <w:bCs/>
          <w:sz w:val="30"/>
          <w:szCs w:val="30"/>
          <w:u w:val="single"/>
        </w:rPr>
      </w:pPr>
      <w:r>
        <w:rPr>
          <w:rFonts w:hint="eastAsia" w:ascii="宋体" w:hAnsi="宋体"/>
          <w:b/>
          <w:bCs/>
          <w:sz w:val="30"/>
          <w:szCs w:val="30"/>
        </w:rPr>
        <w:t>投标人：</w:t>
      </w:r>
      <w:r>
        <w:rPr>
          <w:rFonts w:hint="eastAsia" w:ascii="宋体" w:hAnsi="宋体"/>
          <w:b/>
          <w:bCs/>
          <w:sz w:val="30"/>
          <w:szCs w:val="30"/>
          <w:u w:val="single"/>
        </w:rPr>
        <w:t xml:space="preserve">                               </w:t>
      </w:r>
      <w:r>
        <w:rPr>
          <w:rFonts w:hint="eastAsia" w:ascii="宋体" w:hAnsi="宋体"/>
          <w:b/>
          <w:bCs/>
          <w:sz w:val="30"/>
          <w:szCs w:val="30"/>
        </w:rPr>
        <w:t>（盖单位章）</w:t>
      </w:r>
    </w:p>
    <w:p w14:paraId="18C2514D">
      <w:pPr>
        <w:spacing w:line="360" w:lineRule="auto"/>
        <w:ind w:firstLine="1205" w:firstLineChars="400"/>
        <w:jc w:val="left"/>
        <w:rPr>
          <w:rFonts w:ascii="宋体" w:hAnsi="宋体"/>
          <w:b/>
          <w:bCs/>
          <w:sz w:val="30"/>
          <w:szCs w:val="30"/>
        </w:rPr>
      </w:pPr>
      <w:r>
        <w:rPr>
          <w:rFonts w:hint="eastAsia" w:ascii="宋体" w:hAnsi="宋体"/>
          <w:b/>
          <w:bCs/>
          <w:sz w:val="30"/>
          <w:szCs w:val="30"/>
        </w:rPr>
        <w:t>法定代表人或其委托代理人：</w:t>
      </w:r>
      <w:r>
        <w:rPr>
          <w:rFonts w:hint="eastAsia" w:ascii="宋体" w:hAnsi="宋体"/>
          <w:b/>
          <w:bCs/>
          <w:sz w:val="30"/>
          <w:szCs w:val="30"/>
          <w:u w:val="single"/>
        </w:rPr>
        <w:t xml:space="preserve">             </w:t>
      </w:r>
      <w:r>
        <w:rPr>
          <w:rFonts w:hint="eastAsia" w:ascii="宋体" w:hAnsi="宋体"/>
          <w:b/>
          <w:bCs/>
          <w:sz w:val="30"/>
          <w:szCs w:val="30"/>
        </w:rPr>
        <w:t>（签字或盖章）</w:t>
      </w:r>
    </w:p>
    <w:p w14:paraId="12A1B9C8">
      <w:pPr>
        <w:jc w:val="center"/>
        <w:rPr>
          <w:rFonts w:ascii="宋体" w:hAnsi="宋体"/>
          <w:b/>
          <w:bCs/>
          <w:sz w:val="30"/>
          <w:szCs w:val="30"/>
        </w:rPr>
      </w:pPr>
    </w:p>
    <w:p w14:paraId="14448E70">
      <w:pPr>
        <w:spacing w:line="400" w:lineRule="exact"/>
        <w:jc w:val="center"/>
        <w:rPr>
          <w:rFonts w:ascii="宋体" w:hAnsi="宋体"/>
          <w:b/>
          <w:bCs/>
          <w:sz w:val="30"/>
          <w:szCs w:val="30"/>
        </w:rPr>
      </w:pPr>
      <w:r>
        <w:rPr>
          <w:rFonts w:hint="eastAsia" w:ascii="宋体" w:hAnsi="宋体"/>
          <w:b/>
          <w:bCs/>
          <w:sz w:val="30"/>
          <w:szCs w:val="30"/>
          <w:u w:val="single"/>
        </w:rPr>
        <w:t xml:space="preserve">     </w:t>
      </w:r>
      <w:r>
        <w:rPr>
          <w:rFonts w:hint="eastAsia" w:ascii="宋体" w:hAnsi="宋体"/>
          <w:b/>
          <w:bCs/>
          <w:sz w:val="30"/>
          <w:szCs w:val="30"/>
        </w:rPr>
        <w:t>年</w:t>
      </w:r>
      <w:r>
        <w:rPr>
          <w:rFonts w:hint="eastAsia" w:ascii="宋体" w:hAnsi="宋体"/>
          <w:b/>
          <w:bCs/>
          <w:sz w:val="30"/>
          <w:szCs w:val="30"/>
          <w:u w:val="single"/>
        </w:rPr>
        <w:t xml:space="preserve">     </w:t>
      </w:r>
      <w:r>
        <w:rPr>
          <w:rFonts w:hint="eastAsia" w:ascii="宋体" w:hAnsi="宋体"/>
          <w:b/>
          <w:bCs/>
          <w:sz w:val="30"/>
          <w:szCs w:val="30"/>
        </w:rPr>
        <w:t>月</w:t>
      </w:r>
      <w:r>
        <w:rPr>
          <w:rFonts w:hint="eastAsia" w:ascii="宋体" w:hAnsi="宋体"/>
          <w:b/>
          <w:bCs/>
          <w:sz w:val="30"/>
          <w:szCs w:val="30"/>
          <w:u w:val="single"/>
        </w:rPr>
        <w:t xml:space="preserve">     </w:t>
      </w:r>
      <w:r>
        <w:rPr>
          <w:rFonts w:hint="eastAsia" w:ascii="宋体" w:hAnsi="宋体"/>
          <w:b/>
          <w:bCs/>
          <w:sz w:val="30"/>
          <w:szCs w:val="30"/>
        </w:rPr>
        <w:t>日</w:t>
      </w:r>
    </w:p>
    <w:p w14:paraId="1DB360AC">
      <w:pPr>
        <w:pStyle w:val="4"/>
        <w:jc w:val="center"/>
        <w:rPr>
          <w:rFonts w:ascii="宋体" w:hAnsi="宋体" w:eastAsia="宋体"/>
          <w:color w:val="auto"/>
        </w:rPr>
      </w:pPr>
      <w:r>
        <w:rPr>
          <w:rFonts w:hint="eastAsia" w:ascii="宋体" w:hAnsi="宋体"/>
          <w:b w:val="0"/>
          <w:bCs w:val="0"/>
          <w:color w:val="auto"/>
        </w:rPr>
        <w:br w:type="page"/>
      </w:r>
      <w:bookmarkStart w:id="400" w:name="_Toc530470640"/>
      <w:bookmarkStart w:id="401" w:name="_Toc535938750"/>
      <w:bookmarkStart w:id="402" w:name="_Toc529196598"/>
      <w:r>
        <w:rPr>
          <w:rFonts w:hint="eastAsia" w:ascii="宋体" w:hAnsi="宋体" w:eastAsia="宋体"/>
          <w:color w:val="auto"/>
        </w:rPr>
        <w:t>目录</w:t>
      </w:r>
      <w:bookmarkEnd w:id="400"/>
      <w:bookmarkEnd w:id="401"/>
      <w:bookmarkEnd w:id="402"/>
    </w:p>
    <w:p w14:paraId="52957C95">
      <w:pPr>
        <w:spacing w:line="540" w:lineRule="exact"/>
        <w:rPr>
          <w:rFonts w:ascii="宋体" w:hAnsi="宋体"/>
        </w:rPr>
      </w:pPr>
    </w:p>
    <w:p w14:paraId="046B5591">
      <w:pPr>
        <w:spacing w:line="540" w:lineRule="exact"/>
        <w:rPr>
          <w:rFonts w:hint="eastAsia" w:ascii="宋体" w:hAnsi="宋体" w:cs="宋体"/>
          <w:color w:val="000000"/>
          <w:sz w:val="24"/>
          <w:szCs w:val="24"/>
          <w:highlight w:val="none"/>
        </w:rPr>
      </w:pPr>
      <w:bookmarkStart w:id="403" w:name="_Toc7039"/>
      <w:bookmarkStart w:id="404" w:name="_Toc352691655"/>
      <w:bookmarkStart w:id="405" w:name="_Toc369531691"/>
      <w:r>
        <w:rPr>
          <w:rFonts w:hint="eastAsia" w:ascii="宋体" w:hAnsi="宋体" w:cs="宋体"/>
          <w:color w:val="000000"/>
          <w:sz w:val="24"/>
          <w:szCs w:val="24"/>
          <w:highlight w:val="none"/>
          <w:lang w:val="en-US" w:eastAsia="zh-CN"/>
        </w:rPr>
        <w:t>一、</w:t>
      </w:r>
      <w:r>
        <w:rPr>
          <w:rFonts w:hint="eastAsia" w:ascii="宋体" w:hAnsi="宋体" w:cs="宋体"/>
          <w:color w:val="000000"/>
          <w:sz w:val="24"/>
          <w:szCs w:val="24"/>
          <w:highlight w:val="none"/>
        </w:rPr>
        <w:t>投标函及投标函附录</w:t>
      </w:r>
    </w:p>
    <w:p w14:paraId="6FD61BFB">
      <w:pPr>
        <w:spacing w:line="540" w:lineRule="exact"/>
        <w:rPr>
          <w:rFonts w:hint="eastAsia" w:ascii="宋体" w:hAnsi="宋体" w:cs="宋体"/>
          <w:color w:val="000000"/>
          <w:sz w:val="24"/>
          <w:szCs w:val="24"/>
          <w:highlight w:val="none"/>
        </w:rPr>
      </w:pPr>
      <w:r>
        <w:rPr>
          <w:rFonts w:hint="eastAsia" w:ascii="宋体" w:hAnsi="宋体" w:cs="宋体"/>
          <w:color w:val="000000"/>
          <w:sz w:val="24"/>
          <w:szCs w:val="24"/>
          <w:highlight w:val="none"/>
        </w:rPr>
        <w:t>二、法定代表人身份证明（适用于无委托代理人的情况）</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授权委托书（适用于有委托代理人的情况）</w:t>
      </w:r>
    </w:p>
    <w:p w14:paraId="05C85C11">
      <w:pPr>
        <w:spacing w:line="540" w:lineRule="exact"/>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rPr>
        <w:t>三、</w:t>
      </w:r>
      <w:r>
        <w:rPr>
          <w:rFonts w:hint="eastAsia" w:ascii="宋体" w:hAnsi="宋体" w:cs="宋体"/>
          <w:color w:val="000000"/>
          <w:sz w:val="24"/>
          <w:szCs w:val="24"/>
          <w:highlight w:val="none"/>
          <w:u w:val="none"/>
        </w:rPr>
        <w:t>检测及监测清单（按照招标文件第五章的格式）</w:t>
      </w:r>
    </w:p>
    <w:p w14:paraId="7970436D">
      <w:pPr>
        <w:spacing w:line="540" w:lineRule="exact"/>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四</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资格审查资料</w:t>
      </w:r>
    </w:p>
    <w:p w14:paraId="7B1B24F7">
      <w:pPr>
        <w:spacing w:line="540" w:lineRule="exac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五</w:t>
      </w:r>
      <w:r>
        <w:rPr>
          <w:rFonts w:hint="eastAsia" w:ascii="宋体" w:hAnsi="宋体" w:eastAsia="宋体" w:cs="宋体"/>
          <w:color w:val="000000"/>
          <w:sz w:val="24"/>
          <w:szCs w:val="24"/>
          <w:highlight w:val="none"/>
          <w:lang w:val="en-US" w:eastAsia="zh-CN"/>
        </w:rPr>
        <w:t>、</w:t>
      </w:r>
      <w:r>
        <w:rPr>
          <w:rFonts w:hint="eastAsia" w:ascii="宋体" w:hAnsi="宋体" w:eastAsia="宋体" w:cs="宋体"/>
          <w:b w:val="0"/>
          <w:color w:val="000000"/>
          <w:kern w:val="2"/>
          <w:sz w:val="24"/>
          <w:szCs w:val="24"/>
          <w:highlight w:val="none"/>
        </w:rPr>
        <w:t>投标人自2020年1月1日至投标截止日止</w:t>
      </w:r>
      <w:r>
        <w:rPr>
          <w:rFonts w:hint="eastAsia" w:ascii="宋体" w:hAnsi="宋体" w:eastAsia="宋体" w:cs="宋体"/>
          <w:b w:val="0"/>
          <w:color w:val="000000"/>
          <w:kern w:val="2"/>
          <w:sz w:val="24"/>
          <w:szCs w:val="24"/>
          <w:highlight w:val="none"/>
          <w:lang w:val="en-US" w:eastAsia="zh-CN"/>
        </w:rPr>
        <w:t>所承接类似业绩</w:t>
      </w:r>
    </w:p>
    <w:p w14:paraId="4F3ECFF1">
      <w:pPr>
        <w:spacing w:line="540" w:lineRule="exact"/>
        <w:ind w:firstLine="0" w:firstLineChars="0"/>
        <w:outlineLvl w:val="9"/>
        <w:rPr>
          <w:rFonts w:hint="eastAsia" w:ascii="宋体" w:hAnsi="宋体" w:eastAsia="宋体" w:cs="宋体"/>
          <w:b w:val="0"/>
          <w:color w:val="000000"/>
          <w:kern w:val="2"/>
          <w:sz w:val="24"/>
          <w:szCs w:val="24"/>
          <w:highlight w:val="none"/>
          <w:lang w:val="en-US" w:eastAsia="zh-CN"/>
        </w:rPr>
      </w:pPr>
      <w:r>
        <w:rPr>
          <w:rFonts w:hint="eastAsia" w:ascii="宋体" w:hAnsi="宋体" w:eastAsia="宋体" w:cs="宋体"/>
          <w:b w:val="0"/>
          <w:color w:val="000000"/>
          <w:kern w:val="2"/>
          <w:sz w:val="24"/>
          <w:szCs w:val="24"/>
          <w:highlight w:val="none"/>
          <w:lang w:val="en-US" w:eastAsia="zh-CN"/>
        </w:rPr>
        <w:t>六、</w:t>
      </w:r>
      <w:r>
        <w:rPr>
          <w:rFonts w:hint="eastAsia" w:ascii="宋体" w:hAnsi="宋体" w:eastAsia="宋体" w:cs="宋体"/>
          <w:b w:val="0"/>
          <w:color w:val="000000"/>
          <w:sz w:val="24"/>
          <w:szCs w:val="24"/>
          <w:highlight w:val="none"/>
          <w:u w:val="none"/>
        </w:rPr>
        <w:t>其他证明企业资信实力、获奖证明资料等</w:t>
      </w:r>
    </w:p>
    <w:p w14:paraId="1ECEB0A6">
      <w:pPr>
        <w:spacing w:line="540" w:lineRule="exact"/>
        <w:ind w:firstLine="0" w:firstLineChars="0"/>
        <w:outlineLvl w:val="9"/>
        <w:rPr>
          <w:rFonts w:hint="default" w:ascii="宋体" w:hAnsi="宋体" w:eastAsia="宋体" w:cs="宋体"/>
          <w:b w:val="0"/>
          <w:bCs w:val="0"/>
          <w:color w:val="000000"/>
          <w:sz w:val="24"/>
          <w:szCs w:val="24"/>
          <w:highlight w:val="none"/>
          <w:u w:val="none"/>
          <w:lang w:val="en-US" w:eastAsia="zh-CN"/>
        </w:rPr>
      </w:pPr>
      <w:r>
        <w:rPr>
          <w:rFonts w:hint="eastAsia" w:ascii="宋体" w:hAnsi="宋体" w:eastAsia="宋体" w:cs="宋体"/>
          <w:b w:val="0"/>
          <w:color w:val="000000"/>
          <w:kern w:val="2"/>
          <w:sz w:val="24"/>
          <w:szCs w:val="24"/>
          <w:highlight w:val="none"/>
          <w:lang w:val="en-US" w:eastAsia="zh-CN"/>
        </w:rPr>
        <w:t>七、</w:t>
      </w:r>
      <w:r>
        <w:rPr>
          <w:rFonts w:hint="eastAsia" w:ascii="宋体" w:hAnsi="宋体" w:eastAsia="宋体" w:cs="宋体"/>
          <w:b w:val="0"/>
          <w:bCs w:val="0"/>
          <w:color w:val="000000"/>
          <w:sz w:val="24"/>
          <w:szCs w:val="24"/>
          <w:highlight w:val="none"/>
          <w:u w:val="none"/>
        </w:rPr>
        <w:t>拟投入本项目人员一览表</w:t>
      </w:r>
    </w:p>
    <w:p w14:paraId="4D0E1160">
      <w:pPr>
        <w:spacing w:line="540" w:lineRule="exact"/>
        <w:ind w:firstLine="0" w:firstLineChars="0"/>
        <w:outlineLvl w:val="9"/>
        <w:rPr>
          <w:rFonts w:hint="eastAsia" w:ascii="宋体" w:hAnsi="宋体" w:cs="宋体"/>
          <w:color w:val="000000"/>
          <w:sz w:val="24"/>
          <w:szCs w:val="24"/>
          <w:highlight w:val="none"/>
          <w:lang w:val="en-US" w:eastAsia="zh-CN"/>
        </w:rPr>
      </w:pPr>
      <w:r>
        <w:rPr>
          <w:rFonts w:hint="eastAsia" w:ascii="宋体" w:hAnsi="宋体" w:cs="宋体"/>
          <w:b w:val="0"/>
          <w:bCs w:val="0"/>
          <w:color w:val="000000"/>
          <w:sz w:val="24"/>
          <w:szCs w:val="24"/>
          <w:highlight w:val="none"/>
          <w:u w:val="none"/>
          <w:lang w:val="en-US" w:eastAsia="zh-CN"/>
        </w:rPr>
        <w:t>八</w:t>
      </w:r>
      <w:r>
        <w:rPr>
          <w:rFonts w:hint="eastAsia" w:ascii="宋体" w:hAnsi="宋体" w:eastAsia="宋体" w:cs="宋体"/>
          <w:b w:val="0"/>
          <w:bCs w:val="0"/>
          <w:color w:val="000000"/>
          <w:sz w:val="24"/>
          <w:szCs w:val="24"/>
          <w:highlight w:val="none"/>
          <w:u w:val="none"/>
          <w:lang w:val="en-US" w:eastAsia="zh-CN"/>
        </w:rPr>
        <w:t>、</w:t>
      </w:r>
      <w:r>
        <w:rPr>
          <w:rFonts w:hint="eastAsia" w:ascii="宋体" w:hAnsi="宋体" w:eastAsia="宋体" w:cs="宋体"/>
          <w:color w:val="000000"/>
          <w:sz w:val="24"/>
          <w:szCs w:val="24"/>
          <w:highlight w:val="none"/>
          <w:lang w:eastAsia="zh-CN"/>
        </w:rPr>
        <w:t>检测</w:t>
      </w:r>
      <w:r>
        <w:rPr>
          <w:rFonts w:hint="eastAsia" w:ascii="宋体" w:hAnsi="宋体" w:cs="宋体"/>
          <w:color w:val="000000"/>
          <w:sz w:val="24"/>
          <w:szCs w:val="24"/>
          <w:highlight w:val="none"/>
          <w:lang w:val="en-US" w:eastAsia="zh-CN"/>
        </w:rPr>
        <w:t>监测技术</w:t>
      </w:r>
      <w:r>
        <w:rPr>
          <w:rFonts w:hint="eastAsia" w:ascii="宋体" w:hAnsi="宋体" w:eastAsia="宋体" w:cs="宋体"/>
          <w:color w:val="000000"/>
          <w:sz w:val="24"/>
          <w:szCs w:val="24"/>
          <w:highlight w:val="none"/>
        </w:rPr>
        <w:t>方案</w:t>
      </w:r>
    </w:p>
    <w:p w14:paraId="27CE45D1">
      <w:pPr>
        <w:spacing w:line="540" w:lineRule="exact"/>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九</w:t>
      </w:r>
      <w:r>
        <w:rPr>
          <w:rFonts w:hint="eastAsia" w:ascii="宋体" w:hAnsi="宋体" w:eastAsia="宋体" w:cs="宋体"/>
          <w:color w:val="000000"/>
          <w:sz w:val="24"/>
          <w:szCs w:val="24"/>
          <w:highlight w:val="none"/>
        </w:rPr>
        <w:t>、其他资料</w:t>
      </w:r>
    </w:p>
    <w:p w14:paraId="314CA9A6">
      <w:pPr>
        <w:spacing w:line="540" w:lineRule="exact"/>
        <w:rPr>
          <w:rFonts w:hint="eastAsia" w:ascii="宋体" w:hAnsi="宋体" w:eastAsia="宋体" w:cs="宋体"/>
          <w:color w:val="000000"/>
          <w:sz w:val="24"/>
          <w:szCs w:val="24"/>
          <w:highlight w:val="none"/>
        </w:rPr>
      </w:pPr>
    </w:p>
    <w:p w14:paraId="5DA39F95">
      <w:pPr>
        <w:spacing w:line="540" w:lineRule="exact"/>
        <w:rPr>
          <w:rFonts w:ascii="宋体" w:hAnsi="宋体"/>
          <w:sz w:val="20"/>
        </w:rPr>
      </w:pPr>
    </w:p>
    <w:p w14:paraId="452D3173">
      <w:pPr>
        <w:spacing w:line="540" w:lineRule="exact"/>
        <w:rPr>
          <w:rFonts w:ascii="宋体" w:hAnsi="宋体"/>
          <w:sz w:val="20"/>
        </w:rPr>
      </w:pPr>
    </w:p>
    <w:p w14:paraId="7CB416CA">
      <w:pPr>
        <w:spacing w:line="540" w:lineRule="exact"/>
        <w:rPr>
          <w:rFonts w:ascii="宋体" w:hAnsi="宋体"/>
          <w:sz w:val="20"/>
        </w:rPr>
      </w:pPr>
    </w:p>
    <w:p w14:paraId="3D5A71D6">
      <w:pPr>
        <w:spacing w:line="540" w:lineRule="exact"/>
        <w:rPr>
          <w:rFonts w:ascii="宋体" w:hAnsi="宋体"/>
          <w:sz w:val="20"/>
        </w:rPr>
      </w:pPr>
    </w:p>
    <w:bookmarkEnd w:id="403"/>
    <w:bookmarkEnd w:id="404"/>
    <w:bookmarkEnd w:id="405"/>
    <w:p w14:paraId="2E0B7F5D">
      <w:pPr>
        <w:pStyle w:val="4"/>
        <w:spacing w:line="360" w:lineRule="auto"/>
        <w:rPr>
          <w:rFonts w:ascii="宋体" w:hAnsi="宋体" w:eastAsia="宋体"/>
          <w:color w:val="auto"/>
          <w:sz w:val="30"/>
          <w:szCs w:val="30"/>
        </w:rPr>
      </w:pPr>
      <w:bookmarkStart w:id="406" w:name="_Toc529196600"/>
      <w:bookmarkStart w:id="407" w:name="_Toc530470642"/>
      <w:bookmarkStart w:id="408" w:name="_Toc535938751"/>
      <w:r>
        <w:rPr>
          <w:rFonts w:ascii="宋体" w:hAnsi="宋体" w:eastAsia="宋体"/>
          <w:color w:val="auto"/>
        </w:rPr>
        <w:br w:type="page"/>
      </w:r>
      <w:r>
        <w:rPr>
          <w:rFonts w:hint="eastAsia" w:ascii="宋体" w:hAnsi="宋体" w:eastAsia="宋体"/>
          <w:color w:val="auto"/>
          <w:sz w:val="30"/>
          <w:szCs w:val="30"/>
        </w:rPr>
        <w:t>一、投标</w:t>
      </w:r>
      <w:bookmarkStart w:id="409" w:name="_Toc369531692"/>
      <w:bookmarkStart w:id="410" w:name="_Toc352691656"/>
      <w:bookmarkStart w:id="411" w:name="_Toc6931"/>
      <w:r>
        <w:rPr>
          <w:rFonts w:hint="eastAsia" w:ascii="宋体" w:hAnsi="宋体" w:eastAsia="宋体"/>
          <w:color w:val="auto"/>
          <w:sz w:val="30"/>
          <w:szCs w:val="30"/>
        </w:rPr>
        <w:t>函及投标函附录</w:t>
      </w:r>
      <w:bookmarkEnd w:id="406"/>
      <w:bookmarkEnd w:id="407"/>
      <w:bookmarkEnd w:id="408"/>
    </w:p>
    <w:bookmarkEnd w:id="409"/>
    <w:bookmarkEnd w:id="410"/>
    <w:bookmarkEnd w:id="411"/>
    <w:p w14:paraId="79550CD7">
      <w:pPr>
        <w:pStyle w:val="5"/>
        <w:rPr>
          <w:rFonts w:ascii="宋体" w:hAnsi="宋体" w:eastAsia="宋体"/>
          <w:color w:val="auto"/>
          <w:szCs w:val="28"/>
        </w:rPr>
      </w:pPr>
      <w:bookmarkStart w:id="412" w:name="_Toc529196601"/>
      <w:bookmarkStart w:id="413" w:name="_Toc530470643"/>
      <w:bookmarkStart w:id="414" w:name="_Toc391394111"/>
      <w:bookmarkStart w:id="415" w:name="_Toc482188651"/>
      <w:bookmarkStart w:id="416" w:name="_Toc385943065"/>
      <w:bookmarkStart w:id="417" w:name="_Toc370676426"/>
      <w:bookmarkStart w:id="418" w:name="_Toc535938752"/>
      <w:bookmarkStart w:id="419" w:name="_Toc359594235"/>
      <w:r>
        <w:rPr>
          <w:rFonts w:hint="eastAsia" w:ascii="宋体" w:hAnsi="宋体" w:eastAsia="宋体"/>
          <w:color w:val="auto"/>
          <w:szCs w:val="28"/>
        </w:rPr>
        <w:t>（一）投标函</w:t>
      </w:r>
      <w:bookmarkEnd w:id="412"/>
      <w:bookmarkEnd w:id="413"/>
      <w:bookmarkEnd w:id="414"/>
      <w:bookmarkEnd w:id="415"/>
      <w:bookmarkEnd w:id="416"/>
      <w:bookmarkEnd w:id="417"/>
      <w:bookmarkEnd w:id="418"/>
      <w:bookmarkEnd w:id="419"/>
    </w:p>
    <w:p w14:paraId="67D0E091">
      <w:pPr>
        <w:spacing w:line="44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1"/>
          <w:szCs w:val="22"/>
        </w:rPr>
        <w:t>（招标人名称）</w:t>
      </w:r>
      <w:r>
        <w:rPr>
          <w:rFonts w:hint="eastAsia" w:ascii="宋体" w:hAnsi="宋体" w:cs="宋体"/>
          <w:sz w:val="24"/>
          <w:szCs w:val="24"/>
        </w:rPr>
        <w:t>：</w:t>
      </w:r>
    </w:p>
    <w:p w14:paraId="7A58BFBC">
      <w:pPr>
        <w:snapToGrid w:val="0"/>
        <w:spacing w:line="340" w:lineRule="exact"/>
        <w:ind w:firstLine="420" w:firstLineChars="200"/>
        <w:rPr>
          <w:rFonts w:hint="eastAsia" w:ascii="宋体" w:hAnsi="宋体" w:cs="宋体"/>
        </w:rPr>
      </w:pPr>
      <w:r>
        <w:rPr>
          <w:rFonts w:hint="eastAsia" w:ascii="宋体" w:hAnsi="宋体" w:cs="宋体"/>
        </w:rPr>
        <w:t>1．我方已仔细研究了</w:t>
      </w:r>
      <w:r>
        <w:rPr>
          <w:rFonts w:hint="eastAsia" w:ascii="宋体" w:hAnsi="宋体" w:cs="宋体"/>
          <w:szCs w:val="21"/>
          <w:u w:val="single"/>
        </w:rPr>
        <w:t xml:space="preserve">                  </w:t>
      </w:r>
      <w:r>
        <w:rPr>
          <w:rFonts w:hint="eastAsia" w:ascii="宋体" w:hAnsi="宋体" w:cs="宋体"/>
        </w:rPr>
        <w:t>（项目名称）招标项目招标文件的全部内容，愿意以人民币（大写）</w:t>
      </w:r>
      <w:r>
        <w:rPr>
          <w:rFonts w:hint="eastAsia" w:ascii="宋体" w:hAnsi="宋体" w:cs="宋体"/>
          <w:szCs w:val="21"/>
          <w:u w:val="single"/>
        </w:rPr>
        <w:t xml:space="preserve">               </w:t>
      </w:r>
      <w:r>
        <w:rPr>
          <w:rFonts w:hint="eastAsia" w:ascii="宋体" w:hAnsi="宋体" w:cs="宋体"/>
        </w:rPr>
        <w:t>（¥</w:t>
      </w:r>
      <w:r>
        <w:rPr>
          <w:rFonts w:hint="eastAsia" w:ascii="宋体" w:hAnsi="宋体" w:cs="宋体"/>
          <w:szCs w:val="21"/>
          <w:u w:val="single"/>
        </w:rPr>
        <w:t xml:space="preserve">             </w:t>
      </w:r>
      <w:r>
        <w:rPr>
          <w:rFonts w:hint="eastAsia" w:ascii="宋体" w:hAnsi="宋体" w:cs="宋体"/>
          <w:szCs w:val="21"/>
          <w:u w:val="none"/>
          <w:lang w:val="en-US" w:eastAsia="zh-CN"/>
        </w:rPr>
        <w:t>元</w:t>
      </w:r>
      <w:r>
        <w:rPr>
          <w:rFonts w:hint="eastAsia" w:ascii="宋体" w:hAnsi="宋体" w:cs="宋体"/>
        </w:rPr>
        <w:t>）的投标总报价</w:t>
      </w:r>
      <w:r>
        <w:rPr>
          <w:rFonts w:hint="eastAsia" w:ascii="宋体" w:hAnsi="宋体" w:cs="宋体"/>
          <w:u w:val="single"/>
        </w:rPr>
        <w:t>（此报价包括但不限于设备、劳务、管理、交通、维护、保险、利润、税金、政策性文件规定及合同包含的所有风险、责任等各项所有费用）</w:t>
      </w:r>
      <w:r>
        <w:rPr>
          <w:rFonts w:hint="eastAsia" w:ascii="宋体" w:hAnsi="宋体" w:cs="宋体"/>
        </w:rPr>
        <w:t>，按合同约定完成</w:t>
      </w:r>
      <w:r>
        <w:rPr>
          <w:rFonts w:hint="eastAsia" w:ascii="宋体" w:hAnsi="宋体" w:cs="宋体"/>
          <w:u w:val="single"/>
        </w:rPr>
        <w:t>检测及监测技术服务</w:t>
      </w:r>
      <w:r>
        <w:rPr>
          <w:rFonts w:hint="eastAsia" w:ascii="宋体" w:hAnsi="宋体" w:cs="宋体"/>
        </w:rPr>
        <w:t>工作。</w:t>
      </w:r>
    </w:p>
    <w:p w14:paraId="5A390306">
      <w:pPr>
        <w:snapToGrid w:val="0"/>
        <w:spacing w:line="340" w:lineRule="exact"/>
        <w:ind w:firstLine="420" w:firstLineChars="200"/>
        <w:rPr>
          <w:rFonts w:hint="eastAsia" w:ascii="宋体" w:hAnsi="宋体" w:cs="宋体"/>
        </w:rPr>
      </w:pPr>
      <w:r>
        <w:rPr>
          <w:rFonts w:hint="eastAsia" w:ascii="宋体" w:hAnsi="宋体" w:cs="宋体"/>
        </w:rPr>
        <w:t>2. 我方的投标文件包括下列内容：</w:t>
      </w:r>
    </w:p>
    <w:p w14:paraId="5E73959C">
      <w:pPr>
        <w:snapToGrid w:val="0"/>
        <w:spacing w:line="340" w:lineRule="exact"/>
        <w:ind w:firstLine="420" w:firstLineChars="200"/>
        <w:rPr>
          <w:rFonts w:hint="eastAsia" w:ascii="宋体" w:hAnsi="宋体" w:cs="宋体"/>
        </w:rPr>
      </w:pPr>
      <w:r>
        <w:rPr>
          <w:rFonts w:hint="eastAsia" w:ascii="宋体" w:hAnsi="宋体" w:cs="宋体"/>
        </w:rPr>
        <w:t>（1）投标函及投标函附录；</w:t>
      </w:r>
    </w:p>
    <w:p w14:paraId="4EF926F5">
      <w:pPr>
        <w:snapToGrid w:val="0"/>
        <w:spacing w:line="340" w:lineRule="exact"/>
        <w:ind w:firstLine="420" w:firstLineChars="200"/>
        <w:rPr>
          <w:rFonts w:hint="eastAsia" w:ascii="宋体" w:hAnsi="宋体" w:cs="宋体"/>
        </w:rPr>
      </w:pPr>
      <w:r>
        <w:rPr>
          <w:rFonts w:hint="eastAsia" w:ascii="宋体" w:hAnsi="宋体" w:cs="宋体"/>
        </w:rPr>
        <w:t>（2）法定代表人身份证明或授权委托书；</w:t>
      </w:r>
    </w:p>
    <w:p w14:paraId="12F16375">
      <w:pPr>
        <w:snapToGrid w:val="0"/>
        <w:spacing w:line="340" w:lineRule="exact"/>
        <w:ind w:firstLine="420" w:firstLineChars="200"/>
        <w:rPr>
          <w:rFonts w:hint="eastAsia"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w:t>
      </w:r>
      <w:r>
        <w:rPr>
          <w:rFonts w:hint="eastAsia" w:ascii="宋体" w:hAnsi="宋体" w:cs="宋体"/>
          <w:u w:val="single"/>
        </w:rPr>
        <w:t>检测及监测清单（按照招标文件第五章的格式）；</w:t>
      </w:r>
    </w:p>
    <w:p w14:paraId="0856CB64">
      <w:pPr>
        <w:snapToGrid w:val="0"/>
        <w:spacing w:line="340" w:lineRule="exact"/>
        <w:ind w:firstLine="420" w:firstLineChars="200"/>
        <w:rPr>
          <w:rFonts w:hint="eastAsia" w:ascii="宋体" w:hAnsi="宋体" w:cs="宋体"/>
        </w:rPr>
      </w:pPr>
      <w:r>
        <w:rPr>
          <w:rFonts w:hint="eastAsia" w:ascii="宋体" w:hAnsi="宋体" w:cs="宋体"/>
        </w:rPr>
        <w:t>（</w:t>
      </w:r>
      <w:r>
        <w:rPr>
          <w:rFonts w:hint="eastAsia" w:ascii="宋体" w:hAnsi="宋体" w:cs="宋体"/>
          <w:lang w:val="en-US" w:eastAsia="zh-CN"/>
        </w:rPr>
        <w:t>4</w:t>
      </w:r>
      <w:r>
        <w:rPr>
          <w:rFonts w:hint="eastAsia" w:ascii="宋体" w:hAnsi="宋体" w:cs="宋体"/>
        </w:rPr>
        <w:t>）资格审查资料；</w:t>
      </w:r>
    </w:p>
    <w:p w14:paraId="29D1E492">
      <w:pPr>
        <w:snapToGrid w:val="0"/>
        <w:spacing w:line="340" w:lineRule="exact"/>
        <w:ind w:firstLineChars="200"/>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b w:val="0"/>
          <w:color w:val="000000"/>
          <w:kern w:val="2"/>
          <w:sz w:val="21"/>
          <w:szCs w:val="22"/>
          <w:highlight w:val="none"/>
          <w:lang w:val="en-US" w:eastAsia="zh-CN"/>
        </w:rPr>
        <w:t>所承接类似业绩</w:t>
      </w:r>
      <w:r>
        <w:rPr>
          <w:rFonts w:hint="eastAsia" w:ascii="宋体" w:hAnsi="宋体" w:eastAsia="宋体" w:cs="宋体"/>
          <w:u w:val="none"/>
        </w:rPr>
        <w:t>；</w:t>
      </w:r>
    </w:p>
    <w:p w14:paraId="11711E58">
      <w:pPr>
        <w:snapToGrid w:val="0"/>
        <w:spacing w:line="340" w:lineRule="exact"/>
        <w:ind w:firstLine="420" w:firstLineChars="200"/>
        <w:rPr>
          <w:rFonts w:hint="eastAsia" w:ascii="宋体" w:hAnsi="宋体" w:eastAsia="宋体" w:cs="宋体"/>
          <w:b w:val="0"/>
          <w:sz w:val="21"/>
          <w:szCs w:val="22"/>
          <w:u w:val="none"/>
          <w:lang w:eastAsia="zh-CN"/>
        </w:rPr>
      </w:pPr>
      <w:r>
        <w:rPr>
          <w:rFonts w:hint="eastAsia" w:ascii="宋体" w:hAnsi="宋体" w:cs="宋体"/>
        </w:rPr>
        <w:t>（</w:t>
      </w:r>
      <w:r>
        <w:rPr>
          <w:rFonts w:hint="eastAsia" w:ascii="宋体" w:hAnsi="宋体" w:cs="宋体"/>
          <w:lang w:val="en-US" w:eastAsia="zh-CN"/>
        </w:rPr>
        <w:t>6</w:t>
      </w:r>
      <w:r>
        <w:rPr>
          <w:rFonts w:hint="eastAsia" w:ascii="宋体" w:hAnsi="宋体" w:cs="宋体"/>
        </w:rPr>
        <w:t>）</w:t>
      </w:r>
      <w:r>
        <w:rPr>
          <w:rFonts w:hint="eastAsia" w:ascii="宋体" w:hAnsi="宋体" w:eastAsia="宋体" w:cs="宋体"/>
          <w:b w:val="0"/>
          <w:color w:val="auto"/>
          <w:sz w:val="21"/>
          <w:szCs w:val="22"/>
          <w:highlight w:val="none"/>
          <w:u w:val="none"/>
        </w:rPr>
        <w:t>其他证明企业资信实力、获奖证明资料等</w:t>
      </w:r>
      <w:r>
        <w:rPr>
          <w:rFonts w:hint="eastAsia" w:ascii="宋体" w:hAnsi="宋体" w:eastAsia="宋体" w:cs="宋体"/>
          <w:b w:val="0"/>
          <w:sz w:val="21"/>
          <w:szCs w:val="22"/>
          <w:u w:val="none"/>
          <w:lang w:eastAsia="zh-CN"/>
        </w:rPr>
        <w:t>；</w:t>
      </w:r>
    </w:p>
    <w:p w14:paraId="51F2FE47">
      <w:pPr>
        <w:snapToGrid w:val="0"/>
        <w:spacing w:line="340" w:lineRule="exact"/>
        <w:ind w:firstLineChars="200"/>
        <w:rPr>
          <w:rFonts w:hint="default" w:ascii="宋体" w:hAnsi="宋体" w:eastAsia="宋体" w:cs="宋体"/>
          <w:b w:val="0"/>
          <w:bCs w:val="0"/>
          <w:color w:val="000000"/>
          <w:sz w:val="21"/>
          <w:szCs w:val="22"/>
          <w:highlight w:val="none"/>
          <w:u w:val="none"/>
          <w:lang w:val="en-US" w:eastAsia="zh-CN"/>
        </w:rPr>
      </w:pPr>
      <w:r>
        <w:rPr>
          <w:rFonts w:hint="eastAsia" w:ascii="宋体" w:hAnsi="宋体" w:eastAsia="宋体" w:cs="宋体"/>
          <w:b w:val="0"/>
          <w:sz w:val="21"/>
          <w:szCs w:val="22"/>
          <w:u w:val="none"/>
          <w:lang w:eastAsia="zh-CN"/>
        </w:rPr>
        <w:t>（</w:t>
      </w:r>
      <w:r>
        <w:rPr>
          <w:rFonts w:hint="eastAsia" w:ascii="宋体" w:hAnsi="宋体" w:eastAsia="宋体" w:cs="宋体"/>
          <w:b w:val="0"/>
          <w:sz w:val="21"/>
          <w:szCs w:val="22"/>
          <w:u w:val="none"/>
          <w:lang w:val="en-US" w:eastAsia="zh-CN"/>
        </w:rPr>
        <w:t>7）</w:t>
      </w:r>
      <w:r>
        <w:rPr>
          <w:rFonts w:hint="eastAsia" w:ascii="宋体" w:hAnsi="宋体" w:eastAsia="宋体" w:cs="宋体"/>
          <w:b w:val="0"/>
          <w:bCs w:val="0"/>
          <w:color w:val="000000"/>
          <w:sz w:val="21"/>
          <w:szCs w:val="22"/>
          <w:highlight w:val="none"/>
          <w:u w:val="none"/>
        </w:rPr>
        <w:t>拟投入本项目人员一览表</w:t>
      </w:r>
      <w:r>
        <w:rPr>
          <w:rFonts w:hint="eastAsia" w:ascii="宋体" w:hAnsi="宋体" w:eastAsia="宋体" w:cs="宋体"/>
          <w:b w:val="0"/>
          <w:bCs w:val="0"/>
          <w:color w:val="000000"/>
          <w:sz w:val="21"/>
          <w:szCs w:val="22"/>
          <w:highlight w:val="none"/>
          <w:u w:val="none"/>
          <w:lang w:eastAsia="zh-CN"/>
        </w:rPr>
        <w:t>；</w:t>
      </w:r>
    </w:p>
    <w:p w14:paraId="611AFA83">
      <w:pPr>
        <w:snapToGrid w:val="0"/>
        <w:spacing w:line="340" w:lineRule="exact"/>
        <w:ind w:firstLine="420" w:firstLineChars="200"/>
        <w:rPr>
          <w:rFonts w:hint="eastAsia" w:ascii="宋体" w:hAnsi="宋体" w:cs="宋体"/>
        </w:rPr>
      </w:pPr>
      <w:r>
        <w:rPr>
          <w:rFonts w:hint="eastAsia" w:ascii="宋体" w:hAnsi="宋体" w:cs="宋体"/>
        </w:rPr>
        <w:t>（</w:t>
      </w:r>
      <w:r>
        <w:rPr>
          <w:rFonts w:hint="eastAsia" w:ascii="宋体" w:hAnsi="宋体" w:cs="宋体"/>
          <w:lang w:val="en-US" w:eastAsia="zh-CN"/>
        </w:rPr>
        <w:t>8</w:t>
      </w:r>
      <w:r>
        <w:rPr>
          <w:rFonts w:hint="eastAsia" w:ascii="宋体" w:hAnsi="宋体" w:cs="宋体"/>
        </w:rPr>
        <w:t>）</w:t>
      </w:r>
      <w:r>
        <w:rPr>
          <w:rFonts w:hint="eastAsia" w:ascii="宋体" w:hAnsi="宋体" w:cs="宋体"/>
          <w:u w:val="none"/>
        </w:rPr>
        <w:t>检测监测技术方案；</w:t>
      </w:r>
    </w:p>
    <w:p w14:paraId="4DE1DFAA">
      <w:pPr>
        <w:snapToGrid w:val="0"/>
        <w:spacing w:line="340" w:lineRule="exact"/>
        <w:ind w:firstLine="420" w:firstLineChars="200"/>
        <w:rPr>
          <w:rFonts w:hint="eastAsia" w:ascii="宋体" w:hAnsi="宋体" w:cs="宋体"/>
          <w:u w:val="single"/>
        </w:rPr>
      </w:pPr>
      <w:r>
        <w:rPr>
          <w:rFonts w:hint="eastAsia" w:ascii="宋体" w:hAnsi="宋体" w:cs="宋体"/>
        </w:rPr>
        <w:t>（</w:t>
      </w:r>
      <w:r>
        <w:rPr>
          <w:rFonts w:hint="eastAsia" w:ascii="宋体" w:hAnsi="宋体" w:cs="宋体"/>
          <w:lang w:val="en-US" w:eastAsia="zh-CN"/>
        </w:rPr>
        <w:t>9</w:t>
      </w:r>
      <w:r>
        <w:rPr>
          <w:rFonts w:hint="eastAsia" w:ascii="宋体" w:hAnsi="宋体" w:cs="宋体"/>
        </w:rPr>
        <w:t>）</w:t>
      </w:r>
      <w:r>
        <w:rPr>
          <w:rFonts w:hint="eastAsia" w:ascii="宋体" w:hAnsi="宋体" w:cs="宋体"/>
          <w:u w:val="single"/>
        </w:rPr>
        <w:t>其他资料（如有）。</w:t>
      </w:r>
    </w:p>
    <w:p w14:paraId="74EC441F">
      <w:pPr>
        <w:snapToGrid w:val="0"/>
        <w:spacing w:line="340" w:lineRule="exact"/>
        <w:ind w:firstLine="420" w:firstLineChars="200"/>
        <w:rPr>
          <w:rFonts w:hint="eastAsia" w:ascii="宋体" w:hAnsi="宋体" w:cs="宋体"/>
        </w:rPr>
      </w:pPr>
      <w:r>
        <w:rPr>
          <w:rFonts w:hint="eastAsia" w:ascii="宋体" w:hAnsi="宋体" w:cs="宋体"/>
        </w:rPr>
        <w:t>投标文件的上述组成部分如存在内容不一致的，以投标函为准。</w:t>
      </w:r>
    </w:p>
    <w:p w14:paraId="3C5F4844">
      <w:pPr>
        <w:snapToGrid w:val="0"/>
        <w:spacing w:line="340" w:lineRule="exact"/>
        <w:ind w:firstLine="420" w:firstLineChars="200"/>
        <w:rPr>
          <w:rFonts w:hint="eastAsia" w:ascii="宋体" w:hAnsi="宋体" w:cs="宋体"/>
        </w:rPr>
      </w:pPr>
      <w:r>
        <w:rPr>
          <w:rFonts w:hint="eastAsia" w:ascii="宋体" w:hAnsi="宋体" w:cs="宋体"/>
        </w:rPr>
        <w:t>3．我方承诺在招标文件规定的投标有效期内不撤销投标文件。</w:t>
      </w:r>
    </w:p>
    <w:p w14:paraId="26B7E7D3">
      <w:pPr>
        <w:snapToGrid w:val="0"/>
        <w:spacing w:line="340" w:lineRule="exact"/>
        <w:ind w:firstLine="420" w:firstLineChars="200"/>
        <w:rPr>
          <w:rFonts w:hint="eastAsia" w:ascii="宋体" w:hAnsi="宋体" w:cs="宋体"/>
        </w:rPr>
      </w:pPr>
      <w:r>
        <w:rPr>
          <w:rFonts w:hint="eastAsia" w:ascii="宋体" w:hAnsi="宋体" w:cs="宋体"/>
        </w:rPr>
        <w:t>4．如我方中标，我方承诺：</w:t>
      </w:r>
    </w:p>
    <w:p w14:paraId="0608F5C8">
      <w:pPr>
        <w:snapToGrid w:val="0"/>
        <w:spacing w:line="340" w:lineRule="exact"/>
        <w:ind w:firstLine="840" w:firstLineChars="400"/>
        <w:rPr>
          <w:rFonts w:hint="eastAsia" w:ascii="宋体" w:hAnsi="宋体" w:cs="宋体"/>
        </w:rPr>
      </w:pPr>
      <w:r>
        <w:rPr>
          <w:rFonts w:hint="eastAsia" w:ascii="宋体" w:hAnsi="宋体" w:cs="宋体"/>
        </w:rPr>
        <w:t>（1）在收到中标通知书后，在中标通知书规定的期限内与你方签订合同；</w:t>
      </w:r>
    </w:p>
    <w:p w14:paraId="00227282">
      <w:pPr>
        <w:snapToGrid w:val="0"/>
        <w:spacing w:line="340" w:lineRule="exact"/>
        <w:ind w:firstLine="840" w:firstLineChars="400"/>
        <w:rPr>
          <w:rFonts w:hint="eastAsia" w:ascii="宋体" w:hAnsi="宋体" w:cs="宋体"/>
        </w:rPr>
      </w:pPr>
      <w:r>
        <w:rPr>
          <w:rFonts w:hint="eastAsia" w:ascii="宋体" w:hAnsi="宋体" w:cs="宋体"/>
        </w:rPr>
        <w:t>（2）在签订合同时不向你方提出附加条件；</w:t>
      </w:r>
    </w:p>
    <w:p w14:paraId="49DD0A91">
      <w:pPr>
        <w:snapToGrid w:val="0"/>
        <w:spacing w:line="340" w:lineRule="exact"/>
        <w:ind w:firstLine="840" w:firstLineChars="400"/>
        <w:rPr>
          <w:rFonts w:hint="eastAsia" w:ascii="宋体" w:hAnsi="宋体" w:cs="宋体"/>
        </w:rPr>
      </w:pPr>
      <w:r>
        <w:rPr>
          <w:rFonts w:hint="eastAsia" w:ascii="宋体" w:hAnsi="宋体" w:cs="宋体"/>
        </w:rPr>
        <w:t>（3）按照招标文件要求提交履约保证金</w:t>
      </w:r>
      <w:r>
        <w:rPr>
          <w:rFonts w:hint="eastAsia" w:ascii="宋体" w:hAnsi="宋体" w:cs="宋体"/>
          <w:lang w:eastAsia="zh-CN"/>
        </w:rPr>
        <w:t>（</w:t>
      </w:r>
      <w:r>
        <w:rPr>
          <w:rFonts w:hint="eastAsia" w:ascii="宋体" w:hAnsi="宋体" w:cs="宋体"/>
          <w:lang w:val="en-US" w:eastAsia="zh-CN"/>
        </w:rPr>
        <w:t>如有要求）</w:t>
      </w:r>
      <w:r>
        <w:rPr>
          <w:rFonts w:hint="eastAsia" w:ascii="宋体" w:hAnsi="宋体" w:cs="宋体"/>
        </w:rPr>
        <w:t>；</w:t>
      </w:r>
    </w:p>
    <w:p w14:paraId="7D3CA8E3">
      <w:pPr>
        <w:snapToGrid w:val="0"/>
        <w:spacing w:line="340" w:lineRule="exact"/>
        <w:ind w:firstLine="840" w:firstLineChars="400"/>
        <w:rPr>
          <w:rFonts w:hint="eastAsia" w:ascii="宋体" w:hAnsi="宋体" w:eastAsia="宋体" w:cs="宋体"/>
          <w:lang w:eastAsia="zh-CN"/>
        </w:rPr>
      </w:pPr>
      <w:r>
        <w:rPr>
          <w:rFonts w:hint="eastAsia" w:ascii="宋体" w:hAnsi="宋体" w:cs="宋体"/>
        </w:rPr>
        <w:t>（4）在合同约定的期限内完成合同规定的全部义务</w:t>
      </w:r>
      <w:r>
        <w:rPr>
          <w:rFonts w:hint="eastAsia" w:ascii="宋体" w:hAnsi="宋体" w:cs="宋体"/>
          <w:lang w:eastAsia="zh-CN"/>
        </w:rPr>
        <w:t>；</w:t>
      </w:r>
    </w:p>
    <w:p w14:paraId="547DF816">
      <w:pPr>
        <w:snapToGrid w:val="0"/>
        <w:spacing w:line="340" w:lineRule="exact"/>
        <w:ind w:left="1365" w:leftChars="400" w:hanging="525" w:hangingChars="250"/>
        <w:rPr>
          <w:rFonts w:hint="eastAsia" w:ascii="宋体" w:hAnsi="宋体" w:cs="宋体"/>
          <w:u w:val="single"/>
        </w:rPr>
      </w:pPr>
      <w:r>
        <w:rPr>
          <w:rFonts w:hint="eastAsia" w:ascii="宋体" w:hAnsi="宋体" w:cs="宋体"/>
        </w:rPr>
        <w:t>（5）</w:t>
      </w:r>
      <w:r>
        <w:rPr>
          <w:rFonts w:hint="eastAsia" w:ascii="宋体" w:hAnsi="宋体" w:cs="宋体"/>
          <w:u w:val="none"/>
        </w:rPr>
        <w:t>按规定日期及金额向广州公共资源交易中心交纳交易服务费。</w:t>
      </w:r>
    </w:p>
    <w:p w14:paraId="193DD036">
      <w:pPr>
        <w:snapToGrid w:val="0"/>
        <w:spacing w:line="340" w:lineRule="exact"/>
        <w:ind w:firstLine="420" w:firstLineChars="200"/>
        <w:rPr>
          <w:rFonts w:hint="eastAsia" w:ascii="宋体" w:hAnsi="宋体" w:cs="宋体"/>
        </w:rPr>
      </w:pPr>
      <w:r>
        <w:rPr>
          <w:rFonts w:hint="eastAsia" w:ascii="宋体" w:hAnsi="宋体" w:cs="宋体"/>
        </w:rPr>
        <w:t>5．我方在此声明，所递交的投标文件及有关资料内容完整、真实和准确，且不存在第二章“投标人须知”第 1.4.3 项规定的任何一种情形。</w:t>
      </w:r>
    </w:p>
    <w:p w14:paraId="73B71717">
      <w:pPr>
        <w:snapToGrid w:val="0"/>
        <w:spacing w:line="340" w:lineRule="exact"/>
        <w:ind w:firstLine="420" w:firstLineChars="200"/>
        <w:rPr>
          <w:rFonts w:hint="eastAsia" w:ascii="宋体" w:hAnsi="宋体" w:cs="宋体"/>
        </w:rPr>
      </w:pPr>
      <w:r>
        <w:rPr>
          <w:rFonts w:hint="eastAsia" w:ascii="宋体" w:hAnsi="宋体" w:cs="宋体"/>
        </w:rPr>
        <w:t>6．</w:t>
      </w:r>
      <w:r>
        <w:rPr>
          <w:rFonts w:hint="eastAsia" w:ascii="宋体" w:hAnsi="宋体" w:cs="宋体"/>
          <w:szCs w:val="21"/>
          <w:u w:val="single"/>
        </w:rPr>
        <w:t xml:space="preserve">                                     </w:t>
      </w:r>
      <w:r>
        <w:rPr>
          <w:rFonts w:hint="eastAsia" w:ascii="宋体" w:hAnsi="宋体" w:cs="宋体"/>
        </w:rPr>
        <w:t>（其他补充说明）。</w:t>
      </w:r>
    </w:p>
    <w:p w14:paraId="2E7219AC">
      <w:pPr>
        <w:spacing w:line="340" w:lineRule="exact"/>
        <w:ind w:firstLine="2835" w:firstLineChars="1350"/>
        <w:rPr>
          <w:rFonts w:hint="eastAsia" w:ascii="宋体" w:hAnsi="宋体" w:cs="宋体"/>
        </w:rPr>
      </w:pPr>
      <w:r>
        <w:rPr>
          <w:rFonts w:hint="eastAsia" w:ascii="宋体" w:hAnsi="宋体" w:cs="宋体"/>
        </w:rPr>
        <w:t>投 标 人：</w:t>
      </w:r>
      <w:r>
        <w:rPr>
          <w:rFonts w:hint="eastAsia" w:ascii="宋体" w:hAnsi="宋体" w:cs="宋体"/>
          <w:szCs w:val="21"/>
          <w:u w:val="single"/>
        </w:rPr>
        <w:t xml:space="preserve">                            </w:t>
      </w:r>
      <w:r>
        <w:rPr>
          <w:rFonts w:hint="eastAsia" w:ascii="宋体" w:hAnsi="宋体" w:cs="宋体"/>
        </w:rPr>
        <w:t>（盖单位章）</w:t>
      </w:r>
    </w:p>
    <w:p w14:paraId="3EBF4DF1">
      <w:pPr>
        <w:spacing w:line="340" w:lineRule="exact"/>
        <w:ind w:firstLine="2835" w:firstLineChars="1350"/>
        <w:rPr>
          <w:rFonts w:hint="eastAsia" w:ascii="宋体" w:hAnsi="宋体" w:cs="宋体"/>
        </w:rPr>
      </w:pPr>
      <w:r>
        <w:rPr>
          <w:rFonts w:hint="eastAsia" w:ascii="宋体" w:hAnsi="宋体" w:cs="宋体"/>
        </w:rPr>
        <w:t>法定代表人或其委托代理人：</w:t>
      </w:r>
      <w:r>
        <w:rPr>
          <w:rFonts w:hint="eastAsia" w:ascii="宋体" w:hAnsi="宋体" w:cs="宋体"/>
          <w:szCs w:val="21"/>
          <w:u w:val="single"/>
        </w:rPr>
        <w:t xml:space="preserve">            </w:t>
      </w:r>
      <w:r>
        <w:rPr>
          <w:rFonts w:hint="eastAsia" w:ascii="宋体" w:hAnsi="宋体" w:cs="宋体"/>
        </w:rPr>
        <w:t>（签字或盖章）</w:t>
      </w:r>
    </w:p>
    <w:p w14:paraId="0FA8645B">
      <w:pPr>
        <w:spacing w:line="340" w:lineRule="exact"/>
        <w:ind w:firstLine="2835" w:firstLineChars="1350"/>
        <w:rPr>
          <w:rFonts w:hint="eastAsia" w:ascii="宋体" w:hAnsi="宋体" w:cs="宋体"/>
        </w:rPr>
      </w:pPr>
      <w:r>
        <w:rPr>
          <w:rFonts w:hint="eastAsia" w:ascii="宋体" w:hAnsi="宋体" w:cs="宋体"/>
        </w:rPr>
        <w:t>地    址：</w:t>
      </w:r>
      <w:r>
        <w:rPr>
          <w:rFonts w:hint="eastAsia" w:ascii="宋体" w:hAnsi="宋体" w:cs="宋体"/>
          <w:szCs w:val="21"/>
          <w:u w:val="single"/>
        </w:rPr>
        <w:t xml:space="preserve">                                        </w:t>
      </w:r>
    </w:p>
    <w:p w14:paraId="1586934B">
      <w:pPr>
        <w:spacing w:line="340" w:lineRule="exact"/>
        <w:ind w:firstLine="2835" w:firstLineChars="1350"/>
        <w:rPr>
          <w:rFonts w:hint="eastAsia" w:ascii="宋体" w:hAnsi="宋体" w:cs="宋体"/>
        </w:rPr>
      </w:pPr>
      <w:r>
        <w:rPr>
          <w:rFonts w:hint="eastAsia" w:ascii="宋体" w:hAnsi="宋体" w:cs="宋体"/>
        </w:rPr>
        <w:t>网    址：</w:t>
      </w:r>
      <w:r>
        <w:rPr>
          <w:rFonts w:hint="eastAsia" w:ascii="宋体" w:hAnsi="宋体" w:cs="宋体"/>
          <w:szCs w:val="21"/>
          <w:u w:val="single"/>
        </w:rPr>
        <w:t xml:space="preserve">                                        </w:t>
      </w:r>
    </w:p>
    <w:p w14:paraId="740C39DD">
      <w:pPr>
        <w:spacing w:line="340" w:lineRule="exact"/>
        <w:ind w:firstLine="2835" w:firstLineChars="1350"/>
        <w:rPr>
          <w:rFonts w:hint="eastAsia" w:ascii="宋体" w:hAnsi="宋体" w:cs="宋体"/>
        </w:rPr>
      </w:pPr>
      <w:r>
        <w:rPr>
          <w:rFonts w:hint="eastAsia" w:ascii="宋体" w:hAnsi="宋体" w:cs="宋体"/>
        </w:rPr>
        <w:t>电    话：</w:t>
      </w:r>
      <w:r>
        <w:rPr>
          <w:rFonts w:hint="eastAsia" w:ascii="宋体" w:hAnsi="宋体" w:cs="宋体"/>
          <w:szCs w:val="21"/>
          <w:u w:val="single"/>
        </w:rPr>
        <w:t xml:space="preserve">                                        </w:t>
      </w:r>
    </w:p>
    <w:p w14:paraId="73CDCE1A">
      <w:pPr>
        <w:spacing w:line="340" w:lineRule="exact"/>
        <w:ind w:firstLine="2835" w:firstLineChars="1350"/>
        <w:rPr>
          <w:rFonts w:hint="eastAsia" w:ascii="宋体" w:hAnsi="宋体" w:cs="宋体"/>
        </w:rPr>
      </w:pPr>
      <w:r>
        <w:rPr>
          <w:rFonts w:hint="eastAsia" w:ascii="宋体" w:hAnsi="宋体" w:cs="宋体"/>
        </w:rPr>
        <w:t>传    真：</w:t>
      </w:r>
      <w:r>
        <w:rPr>
          <w:rFonts w:hint="eastAsia" w:ascii="宋体" w:hAnsi="宋体" w:cs="宋体"/>
          <w:szCs w:val="21"/>
          <w:u w:val="single"/>
        </w:rPr>
        <w:t xml:space="preserve">                                        </w:t>
      </w:r>
    </w:p>
    <w:p w14:paraId="444E9C88">
      <w:pPr>
        <w:spacing w:line="340" w:lineRule="exact"/>
        <w:ind w:firstLine="2835" w:firstLineChars="1350"/>
        <w:rPr>
          <w:rFonts w:hint="eastAsia" w:ascii="宋体" w:hAnsi="宋体" w:cs="宋体"/>
        </w:rPr>
      </w:pPr>
      <w:r>
        <w:rPr>
          <w:rFonts w:hint="eastAsia" w:ascii="宋体" w:hAnsi="宋体" w:cs="宋体"/>
        </w:rPr>
        <w:t>邮政编码：</w:t>
      </w:r>
      <w:r>
        <w:rPr>
          <w:rFonts w:hint="eastAsia" w:ascii="宋体" w:hAnsi="宋体" w:cs="宋体"/>
          <w:szCs w:val="21"/>
          <w:u w:val="single"/>
        </w:rPr>
        <w:t xml:space="preserve">                                        </w:t>
      </w:r>
    </w:p>
    <w:p w14:paraId="57786377">
      <w:pPr>
        <w:spacing w:line="340" w:lineRule="exact"/>
        <w:ind w:firstLine="4935" w:firstLineChars="2350"/>
        <w:rPr>
          <w:rFonts w:hint="eastAsia" w:ascii="宋体" w:hAnsi="宋体" w:cs="宋体"/>
        </w:rPr>
      </w:pPr>
      <w:r>
        <w:rPr>
          <w:rFonts w:hint="eastAsia" w:ascii="宋体" w:hAnsi="宋体" w:cs="宋体"/>
          <w:szCs w:val="21"/>
          <w:u w:val="single"/>
        </w:rPr>
        <w:t xml:space="preserve">        </w:t>
      </w:r>
      <w:r>
        <w:rPr>
          <w:rFonts w:hint="eastAsia" w:ascii="宋体" w:hAnsi="宋体" w:cs="宋体"/>
        </w:rPr>
        <w:t>年</w:t>
      </w:r>
      <w:r>
        <w:rPr>
          <w:rFonts w:hint="eastAsia" w:ascii="宋体" w:hAnsi="宋体" w:cs="宋体"/>
          <w:szCs w:val="21"/>
          <w:u w:val="single"/>
        </w:rPr>
        <w:t xml:space="preserve">        </w:t>
      </w:r>
      <w:r>
        <w:rPr>
          <w:rFonts w:hint="eastAsia" w:ascii="宋体" w:hAnsi="宋体" w:cs="宋体"/>
        </w:rPr>
        <w:t>月</w:t>
      </w:r>
      <w:r>
        <w:rPr>
          <w:rFonts w:hint="eastAsia" w:ascii="宋体" w:hAnsi="宋体" w:cs="宋体"/>
          <w:szCs w:val="21"/>
          <w:u w:val="single"/>
        </w:rPr>
        <w:t xml:space="preserve">        </w:t>
      </w:r>
      <w:r>
        <w:rPr>
          <w:rFonts w:hint="eastAsia" w:ascii="宋体" w:hAnsi="宋体" w:cs="宋体"/>
        </w:rPr>
        <w:t>日</w:t>
      </w:r>
    </w:p>
    <w:p w14:paraId="4F0E5DBB">
      <w:pPr>
        <w:pStyle w:val="5"/>
        <w:spacing w:before="62" w:beforeLines="20" w:after="62" w:afterLines="20" w:line="360" w:lineRule="auto"/>
        <w:rPr>
          <w:rFonts w:hint="eastAsia" w:ascii="宋体" w:hAnsi="宋体" w:cs="宋体"/>
        </w:rPr>
      </w:pPr>
      <w:r>
        <w:rPr>
          <w:rFonts w:hint="eastAsia" w:ascii="宋体" w:hAnsi="宋体" w:cs="宋体"/>
        </w:rPr>
        <w:br w:type="page"/>
      </w:r>
      <w:bookmarkStart w:id="420" w:name="_Toc535834514"/>
      <w:r>
        <w:rPr>
          <w:rFonts w:hint="eastAsia" w:ascii="宋体" w:hAnsi="宋体" w:eastAsia="宋体" w:cs="Times New Roman"/>
          <w:color w:val="auto"/>
          <w:szCs w:val="28"/>
        </w:rPr>
        <w:t>（二）投标函附录</w:t>
      </w:r>
      <w:bookmarkEnd w:id="420"/>
    </w:p>
    <w:p w14:paraId="5FB335F1">
      <w:pPr>
        <w:spacing w:line="360" w:lineRule="auto"/>
        <w:ind w:firstLine="420" w:firstLineChars="200"/>
        <w:rPr>
          <w:rFonts w:hint="eastAsia" w:ascii="宋体" w:hAnsi="宋体" w:cs="宋体"/>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3420"/>
        <w:gridCol w:w="2160"/>
      </w:tblGrid>
      <w:tr w14:paraId="730998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8" w:type="dxa"/>
            <w:noWrap w:val="0"/>
            <w:vAlign w:val="center"/>
          </w:tcPr>
          <w:p w14:paraId="3B6CAC74">
            <w:pPr>
              <w:spacing w:line="360" w:lineRule="auto"/>
              <w:jc w:val="center"/>
              <w:rPr>
                <w:rFonts w:hint="eastAsia" w:ascii="宋体" w:hAnsi="宋体" w:cs="宋体"/>
                <w:b/>
              </w:rPr>
            </w:pPr>
            <w:r>
              <w:rPr>
                <w:rFonts w:hint="eastAsia" w:ascii="宋体" w:hAnsi="宋体" w:cs="宋体"/>
                <w:b/>
              </w:rPr>
              <w:t>序号</w:t>
            </w:r>
          </w:p>
        </w:tc>
        <w:tc>
          <w:tcPr>
            <w:tcW w:w="1980" w:type="dxa"/>
            <w:noWrap w:val="0"/>
            <w:vAlign w:val="center"/>
          </w:tcPr>
          <w:p w14:paraId="75664721">
            <w:pPr>
              <w:spacing w:line="360" w:lineRule="auto"/>
              <w:jc w:val="center"/>
              <w:rPr>
                <w:rFonts w:hint="eastAsia" w:ascii="宋体" w:hAnsi="宋体" w:cs="宋体"/>
                <w:b/>
              </w:rPr>
            </w:pPr>
            <w:r>
              <w:rPr>
                <w:rFonts w:hint="eastAsia" w:ascii="宋体" w:hAnsi="宋体" w:cs="宋体"/>
                <w:b/>
              </w:rPr>
              <w:t>项目</w:t>
            </w:r>
          </w:p>
        </w:tc>
        <w:tc>
          <w:tcPr>
            <w:tcW w:w="3420" w:type="dxa"/>
            <w:noWrap w:val="0"/>
            <w:vAlign w:val="center"/>
          </w:tcPr>
          <w:p w14:paraId="2A272D76">
            <w:pPr>
              <w:spacing w:line="360" w:lineRule="auto"/>
              <w:jc w:val="center"/>
              <w:rPr>
                <w:rFonts w:hint="eastAsia" w:ascii="宋体" w:hAnsi="宋体" w:cs="宋体"/>
                <w:b/>
              </w:rPr>
            </w:pPr>
            <w:r>
              <w:rPr>
                <w:rFonts w:hint="eastAsia" w:ascii="宋体" w:hAnsi="宋体" w:cs="宋体"/>
                <w:b/>
              </w:rPr>
              <w:t>内容</w:t>
            </w:r>
          </w:p>
        </w:tc>
        <w:tc>
          <w:tcPr>
            <w:tcW w:w="2160" w:type="dxa"/>
            <w:noWrap w:val="0"/>
            <w:vAlign w:val="center"/>
          </w:tcPr>
          <w:p w14:paraId="18287859">
            <w:pPr>
              <w:spacing w:line="360" w:lineRule="auto"/>
              <w:jc w:val="center"/>
              <w:rPr>
                <w:rFonts w:hint="eastAsia" w:ascii="宋体" w:hAnsi="宋体" w:cs="宋体"/>
                <w:b/>
              </w:rPr>
            </w:pPr>
            <w:r>
              <w:rPr>
                <w:rFonts w:hint="eastAsia" w:ascii="宋体" w:hAnsi="宋体" w:cs="宋体"/>
                <w:b/>
              </w:rPr>
              <w:t>备注</w:t>
            </w:r>
          </w:p>
        </w:tc>
      </w:tr>
      <w:tr w14:paraId="6E2172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14:paraId="25DBABAE">
            <w:pPr>
              <w:spacing w:line="360" w:lineRule="auto"/>
              <w:jc w:val="center"/>
              <w:rPr>
                <w:rFonts w:hint="eastAsia" w:ascii="宋体" w:hAnsi="宋体" w:cs="宋体"/>
              </w:rPr>
            </w:pPr>
            <w:r>
              <w:rPr>
                <w:rFonts w:hint="eastAsia" w:ascii="宋体" w:hAnsi="宋体" w:cs="宋体"/>
              </w:rPr>
              <w:t>1</w:t>
            </w:r>
          </w:p>
        </w:tc>
        <w:tc>
          <w:tcPr>
            <w:tcW w:w="1980" w:type="dxa"/>
            <w:noWrap w:val="0"/>
            <w:vAlign w:val="center"/>
          </w:tcPr>
          <w:p w14:paraId="513F3CE5">
            <w:pPr>
              <w:spacing w:line="360" w:lineRule="auto"/>
              <w:jc w:val="center"/>
              <w:rPr>
                <w:rFonts w:hint="eastAsia" w:ascii="宋体" w:hAnsi="宋体" w:cs="宋体"/>
              </w:rPr>
            </w:pPr>
            <w:r>
              <w:rPr>
                <w:rFonts w:hint="eastAsia" w:ascii="宋体" w:hAnsi="宋体" w:cs="宋体"/>
              </w:rPr>
              <w:t>项目负责人</w:t>
            </w:r>
          </w:p>
        </w:tc>
        <w:tc>
          <w:tcPr>
            <w:tcW w:w="3420" w:type="dxa"/>
            <w:noWrap w:val="0"/>
            <w:vAlign w:val="center"/>
          </w:tcPr>
          <w:p w14:paraId="29933880">
            <w:pPr>
              <w:spacing w:before="157" w:beforeLines="50" w:line="360" w:lineRule="auto"/>
              <w:rPr>
                <w:rFonts w:hint="eastAsia" w:ascii="宋体" w:hAnsi="宋体" w:cs="宋体"/>
                <w:u w:val="single"/>
              </w:rPr>
            </w:pPr>
            <w:r>
              <w:rPr>
                <w:rFonts w:hint="eastAsia" w:ascii="宋体" w:hAnsi="宋体" w:cs="宋体"/>
              </w:rPr>
              <w:t>姓名：</w:t>
            </w:r>
            <w:r>
              <w:rPr>
                <w:rFonts w:hint="eastAsia" w:ascii="宋体" w:hAnsi="宋体" w:cs="宋体"/>
                <w:u w:val="single"/>
              </w:rPr>
              <w:t xml:space="preserve">                      </w:t>
            </w:r>
          </w:p>
          <w:p w14:paraId="7A32BBD4">
            <w:pPr>
              <w:spacing w:line="360" w:lineRule="auto"/>
              <w:rPr>
                <w:rFonts w:hint="eastAsia" w:ascii="宋体" w:hAnsi="宋体" w:cs="宋体"/>
                <w:u w:val="single"/>
              </w:rPr>
            </w:pPr>
            <w:r>
              <w:rPr>
                <w:rFonts w:hint="eastAsia" w:ascii="宋体" w:hAnsi="宋体" w:cs="宋体"/>
              </w:rPr>
              <w:t>技术职称及证号：</w:t>
            </w:r>
            <w:r>
              <w:rPr>
                <w:rFonts w:hint="eastAsia" w:ascii="宋体" w:hAnsi="宋体" w:cs="宋体"/>
                <w:u w:val="single"/>
              </w:rPr>
              <w:t xml:space="preserve">            </w:t>
            </w:r>
          </w:p>
        </w:tc>
        <w:tc>
          <w:tcPr>
            <w:tcW w:w="2160" w:type="dxa"/>
            <w:noWrap w:val="0"/>
            <w:vAlign w:val="center"/>
          </w:tcPr>
          <w:p w14:paraId="0CCB8A15">
            <w:pPr>
              <w:spacing w:line="360" w:lineRule="auto"/>
              <w:rPr>
                <w:rFonts w:hint="eastAsia" w:ascii="宋体" w:hAnsi="宋体" w:cs="宋体"/>
              </w:rPr>
            </w:pPr>
          </w:p>
        </w:tc>
      </w:tr>
      <w:tr w14:paraId="6C75CA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14:paraId="4AA0F15E">
            <w:pPr>
              <w:spacing w:line="360" w:lineRule="auto"/>
              <w:jc w:val="center"/>
              <w:rPr>
                <w:rFonts w:hint="eastAsia" w:ascii="宋体" w:hAnsi="宋体" w:cs="宋体"/>
              </w:rPr>
            </w:pPr>
            <w:r>
              <w:rPr>
                <w:rFonts w:hint="eastAsia" w:ascii="宋体" w:hAnsi="宋体" w:cs="宋体"/>
              </w:rPr>
              <w:t>2</w:t>
            </w:r>
          </w:p>
        </w:tc>
        <w:tc>
          <w:tcPr>
            <w:tcW w:w="1980" w:type="dxa"/>
            <w:noWrap w:val="0"/>
            <w:vAlign w:val="center"/>
          </w:tcPr>
          <w:p w14:paraId="4DC528B1">
            <w:pPr>
              <w:spacing w:line="360" w:lineRule="auto"/>
              <w:jc w:val="center"/>
              <w:rPr>
                <w:rFonts w:hint="eastAsia" w:ascii="宋体" w:hAnsi="宋体" w:cs="宋体"/>
              </w:rPr>
            </w:pPr>
            <w:r>
              <w:rPr>
                <w:rFonts w:hint="eastAsia" w:ascii="宋体" w:hAnsi="宋体" w:cs="宋体"/>
              </w:rPr>
              <w:t>服务期限</w:t>
            </w:r>
          </w:p>
        </w:tc>
        <w:tc>
          <w:tcPr>
            <w:tcW w:w="3420" w:type="dxa"/>
            <w:noWrap w:val="0"/>
            <w:vAlign w:val="center"/>
          </w:tcPr>
          <w:p w14:paraId="67750F34">
            <w:pPr>
              <w:spacing w:line="360" w:lineRule="auto"/>
              <w:rPr>
                <w:rFonts w:hint="eastAsia" w:ascii="宋体" w:hAnsi="宋体" w:cs="宋体"/>
                <w:szCs w:val="21"/>
                <w:u w:val="single"/>
              </w:rPr>
            </w:pPr>
            <w:r>
              <w:rPr>
                <w:rFonts w:hint="eastAsia" w:ascii="宋体" w:hAnsi="宋体" w:cs="宋体"/>
                <w:szCs w:val="21"/>
                <w:u w:val="single"/>
              </w:rPr>
              <w:t>按招标文件要求</w:t>
            </w:r>
          </w:p>
        </w:tc>
        <w:tc>
          <w:tcPr>
            <w:tcW w:w="2160" w:type="dxa"/>
            <w:noWrap w:val="0"/>
            <w:vAlign w:val="center"/>
          </w:tcPr>
          <w:p w14:paraId="2C17984B">
            <w:pPr>
              <w:spacing w:line="360" w:lineRule="auto"/>
              <w:rPr>
                <w:rFonts w:hint="eastAsia" w:ascii="宋体" w:hAnsi="宋体" w:cs="宋体"/>
              </w:rPr>
            </w:pPr>
          </w:p>
        </w:tc>
      </w:tr>
      <w:tr w14:paraId="65287E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14:paraId="15F8C983">
            <w:pPr>
              <w:spacing w:line="360" w:lineRule="auto"/>
              <w:jc w:val="center"/>
              <w:rPr>
                <w:rFonts w:hint="eastAsia" w:ascii="宋体" w:hAnsi="宋体" w:cs="宋体"/>
              </w:rPr>
            </w:pPr>
            <w:r>
              <w:rPr>
                <w:rFonts w:hint="eastAsia" w:ascii="宋体" w:hAnsi="宋体" w:cs="宋体"/>
              </w:rPr>
              <w:t>3</w:t>
            </w:r>
          </w:p>
        </w:tc>
        <w:tc>
          <w:tcPr>
            <w:tcW w:w="1980" w:type="dxa"/>
            <w:noWrap w:val="0"/>
            <w:vAlign w:val="center"/>
          </w:tcPr>
          <w:p w14:paraId="65321893">
            <w:pPr>
              <w:spacing w:line="360" w:lineRule="auto"/>
              <w:jc w:val="center"/>
              <w:rPr>
                <w:rFonts w:hint="eastAsia" w:ascii="宋体" w:hAnsi="宋体" w:cs="宋体"/>
              </w:rPr>
            </w:pPr>
            <w:r>
              <w:rPr>
                <w:rFonts w:hint="eastAsia" w:ascii="宋体" w:hAnsi="宋体" w:cs="宋体"/>
              </w:rPr>
              <w:t>合同价款确定方式</w:t>
            </w:r>
          </w:p>
        </w:tc>
        <w:tc>
          <w:tcPr>
            <w:tcW w:w="3420" w:type="dxa"/>
            <w:noWrap w:val="0"/>
            <w:vAlign w:val="center"/>
          </w:tcPr>
          <w:p w14:paraId="27875AEB">
            <w:pPr>
              <w:spacing w:line="360" w:lineRule="auto"/>
              <w:rPr>
                <w:rFonts w:hint="eastAsia" w:ascii="宋体" w:hAnsi="宋体" w:cs="宋体"/>
                <w:szCs w:val="21"/>
                <w:u w:val="single"/>
              </w:rPr>
            </w:pPr>
            <w:r>
              <w:rPr>
                <w:rFonts w:hint="eastAsia" w:ascii="宋体" w:hAnsi="宋体" w:cs="宋体"/>
                <w:szCs w:val="21"/>
                <w:u w:val="single"/>
              </w:rPr>
              <w:t>按招标文件要求</w:t>
            </w:r>
          </w:p>
        </w:tc>
        <w:tc>
          <w:tcPr>
            <w:tcW w:w="2160" w:type="dxa"/>
            <w:noWrap w:val="0"/>
            <w:vAlign w:val="center"/>
          </w:tcPr>
          <w:p w14:paraId="173FFA69">
            <w:pPr>
              <w:spacing w:line="360" w:lineRule="auto"/>
              <w:rPr>
                <w:rFonts w:hint="eastAsia" w:ascii="宋体" w:hAnsi="宋体" w:cs="宋体"/>
              </w:rPr>
            </w:pPr>
          </w:p>
        </w:tc>
      </w:tr>
      <w:tr w14:paraId="6EB2D0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14:paraId="2ABE3F2D">
            <w:pPr>
              <w:spacing w:line="360" w:lineRule="auto"/>
              <w:jc w:val="center"/>
              <w:rPr>
                <w:rFonts w:hint="eastAsia" w:ascii="宋体" w:hAnsi="宋体" w:cs="宋体"/>
              </w:rPr>
            </w:pPr>
            <w:r>
              <w:rPr>
                <w:rFonts w:hint="eastAsia" w:ascii="宋体" w:hAnsi="宋体" w:cs="宋体"/>
              </w:rPr>
              <w:t>4</w:t>
            </w:r>
          </w:p>
        </w:tc>
        <w:tc>
          <w:tcPr>
            <w:tcW w:w="1980" w:type="dxa"/>
            <w:noWrap w:val="0"/>
            <w:vAlign w:val="center"/>
          </w:tcPr>
          <w:p w14:paraId="0B3A3206">
            <w:pPr>
              <w:spacing w:line="360" w:lineRule="auto"/>
              <w:jc w:val="center"/>
              <w:rPr>
                <w:rFonts w:hint="eastAsia" w:ascii="宋体" w:hAnsi="宋体" w:cs="宋体"/>
              </w:rPr>
            </w:pPr>
            <w:r>
              <w:rPr>
                <w:rFonts w:hint="eastAsia" w:ascii="宋体" w:hAnsi="宋体" w:cs="宋体"/>
              </w:rPr>
              <w:t>质量标准</w:t>
            </w:r>
          </w:p>
        </w:tc>
        <w:tc>
          <w:tcPr>
            <w:tcW w:w="3420" w:type="dxa"/>
            <w:noWrap w:val="0"/>
            <w:vAlign w:val="center"/>
          </w:tcPr>
          <w:p w14:paraId="0B4D07EE">
            <w:pPr>
              <w:spacing w:line="360" w:lineRule="auto"/>
              <w:rPr>
                <w:rFonts w:hint="eastAsia" w:ascii="宋体" w:hAnsi="宋体" w:cs="宋体"/>
                <w:szCs w:val="21"/>
                <w:u w:val="single"/>
              </w:rPr>
            </w:pPr>
            <w:r>
              <w:rPr>
                <w:rFonts w:hint="eastAsia" w:ascii="宋体" w:hAnsi="宋体" w:cs="宋体"/>
                <w:szCs w:val="21"/>
                <w:u w:val="single"/>
              </w:rPr>
              <w:t>按招标文件要求</w:t>
            </w:r>
          </w:p>
        </w:tc>
        <w:tc>
          <w:tcPr>
            <w:tcW w:w="2160" w:type="dxa"/>
            <w:noWrap w:val="0"/>
            <w:vAlign w:val="center"/>
          </w:tcPr>
          <w:p w14:paraId="6FE07C3D">
            <w:pPr>
              <w:spacing w:line="360" w:lineRule="auto"/>
              <w:rPr>
                <w:rFonts w:hint="eastAsia" w:ascii="宋体" w:hAnsi="宋体" w:cs="宋体"/>
              </w:rPr>
            </w:pPr>
          </w:p>
        </w:tc>
      </w:tr>
      <w:tr w14:paraId="477D74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14:paraId="688063A6">
            <w:pPr>
              <w:spacing w:line="360" w:lineRule="auto"/>
              <w:jc w:val="center"/>
              <w:rPr>
                <w:rFonts w:hint="eastAsia" w:ascii="宋体" w:hAnsi="宋体" w:cs="宋体"/>
              </w:rPr>
            </w:pPr>
            <w:r>
              <w:rPr>
                <w:rFonts w:hint="eastAsia" w:ascii="宋体" w:hAnsi="宋体" w:cs="宋体"/>
              </w:rPr>
              <w:t>5</w:t>
            </w:r>
          </w:p>
        </w:tc>
        <w:tc>
          <w:tcPr>
            <w:tcW w:w="1980" w:type="dxa"/>
            <w:noWrap w:val="0"/>
            <w:vAlign w:val="center"/>
          </w:tcPr>
          <w:p w14:paraId="0A810912">
            <w:pPr>
              <w:spacing w:line="360" w:lineRule="auto"/>
              <w:jc w:val="center"/>
              <w:rPr>
                <w:rFonts w:hint="eastAsia" w:ascii="宋体" w:hAnsi="宋体" w:cs="宋体"/>
              </w:rPr>
            </w:pPr>
            <w:r>
              <w:rPr>
                <w:rFonts w:hint="eastAsia" w:ascii="宋体" w:hAnsi="宋体" w:cs="宋体"/>
              </w:rPr>
              <w:t>投标有效期</w:t>
            </w:r>
          </w:p>
        </w:tc>
        <w:tc>
          <w:tcPr>
            <w:tcW w:w="3420" w:type="dxa"/>
            <w:noWrap w:val="0"/>
            <w:vAlign w:val="center"/>
          </w:tcPr>
          <w:p w14:paraId="7187D7F2">
            <w:pPr>
              <w:spacing w:line="360" w:lineRule="auto"/>
              <w:rPr>
                <w:rFonts w:hint="eastAsia" w:ascii="宋体" w:hAnsi="宋体" w:cs="宋体"/>
                <w:szCs w:val="21"/>
                <w:u w:val="single"/>
              </w:rPr>
            </w:pPr>
            <w:r>
              <w:rPr>
                <w:rFonts w:hint="eastAsia" w:ascii="宋体" w:hAnsi="宋体" w:cs="宋体"/>
                <w:szCs w:val="21"/>
                <w:u w:val="single"/>
              </w:rPr>
              <w:t>按招标文件要求</w:t>
            </w:r>
          </w:p>
        </w:tc>
        <w:tc>
          <w:tcPr>
            <w:tcW w:w="2160" w:type="dxa"/>
            <w:noWrap w:val="0"/>
            <w:vAlign w:val="center"/>
          </w:tcPr>
          <w:p w14:paraId="4BAC3D59">
            <w:pPr>
              <w:spacing w:line="360" w:lineRule="auto"/>
              <w:rPr>
                <w:rFonts w:hint="eastAsia" w:ascii="宋体" w:hAnsi="宋体" w:cs="宋体"/>
              </w:rPr>
            </w:pPr>
          </w:p>
        </w:tc>
      </w:tr>
    </w:tbl>
    <w:p w14:paraId="0211BF42">
      <w:pPr>
        <w:spacing w:line="360" w:lineRule="auto"/>
        <w:ind w:firstLine="420" w:firstLineChars="200"/>
        <w:rPr>
          <w:rFonts w:hint="eastAsia" w:ascii="宋体" w:hAnsi="宋体" w:cs="宋体"/>
        </w:rPr>
      </w:pPr>
    </w:p>
    <w:p w14:paraId="5D8F7012">
      <w:pPr>
        <w:spacing w:line="360" w:lineRule="auto"/>
        <w:ind w:firstLine="420" w:firstLineChars="200"/>
        <w:rPr>
          <w:rFonts w:hint="eastAsia" w:ascii="宋体" w:hAnsi="宋体" w:cs="宋体"/>
        </w:rPr>
      </w:pPr>
    </w:p>
    <w:p w14:paraId="79FAD9A5">
      <w:pPr>
        <w:spacing w:line="360" w:lineRule="exact"/>
        <w:ind w:firstLine="2835" w:firstLineChars="1350"/>
        <w:rPr>
          <w:rFonts w:hint="eastAsia" w:ascii="宋体" w:hAnsi="宋体" w:cs="宋体"/>
        </w:rPr>
      </w:pPr>
      <w:r>
        <w:rPr>
          <w:rFonts w:hint="eastAsia" w:ascii="宋体" w:hAnsi="宋体" w:cs="宋体"/>
        </w:rPr>
        <w:t>投 标 人：</w:t>
      </w:r>
      <w:r>
        <w:rPr>
          <w:rFonts w:hint="eastAsia" w:ascii="宋体" w:hAnsi="宋体" w:cs="宋体"/>
          <w:szCs w:val="21"/>
          <w:u w:val="single"/>
        </w:rPr>
        <w:t xml:space="preserve">                            </w:t>
      </w:r>
      <w:r>
        <w:rPr>
          <w:rFonts w:hint="eastAsia" w:ascii="宋体" w:hAnsi="宋体" w:cs="宋体"/>
        </w:rPr>
        <w:t>（盖单位章）</w:t>
      </w:r>
    </w:p>
    <w:p w14:paraId="7737B866">
      <w:pPr>
        <w:spacing w:line="360" w:lineRule="exact"/>
        <w:ind w:firstLine="2835" w:firstLineChars="1350"/>
        <w:rPr>
          <w:rFonts w:hint="eastAsia" w:ascii="宋体" w:hAnsi="宋体" w:cs="宋体"/>
        </w:rPr>
      </w:pPr>
      <w:r>
        <w:rPr>
          <w:rFonts w:hint="eastAsia" w:ascii="宋体" w:hAnsi="宋体" w:cs="宋体"/>
        </w:rPr>
        <w:t>法定代表人或其委托代理人：</w:t>
      </w:r>
      <w:r>
        <w:rPr>
          <w:rFonts w:hint="eastAsia" w:ascii="宋体" w:hAnsi="宋体" w:cs="宋体"/>
          <w:szCs w:val="21"/>
          <w:u w:val="single"/>
        </w:rPr>
        <w:t xml:space="preserve">            </w:t>
      </w:r>
      <w:r>
        <w:rPr>
          <w:rFonts w:hint="eastAsia" w:ascii="宋体" w:hAnsi="宋体" w:cs="宋体"/>
        </w:rPr>
        <w:t>（签字或盖章）</w:t>
      </w:r>
    </w:p>
    <w:p w14:paraId="093EDE17">
      <w:pPr>
        <w:spacing w:line="360" w:lineRule="exact"/>
        <w:ind w:firstLine="4935" w:firstLineChars="2350"/>
        <w:rPr>
          <w:rFonts w:hint="eastAsia" w:ascii="宋体" w:hAnsi="宋体" w:cs="宋体"/>
        </w:rPr>
      </w:pPr>
      <w:r>
        <w:rPr>
          <w:rFonts w:hint="eastAsia" w:ascii="宋体" w:hAnsi="宋体" w:cs="宋体"/>
          <w:szCs w:val="21"/>
          <w:u w:val="single"/>
        </w:rPr>
        <w:t xml:space="preserve">        </w:t>
      </w:r>
      <w:r>
        <w:rPr>
          <w:rFonts w:hint="eastAsia" w:ascii="宋体" w:hAnsi="宋体" w:cs="宋体"/>
        </w:rPr>
        <w:t>年</w:t>
      </w:r>
      <w:r>
        <w:rPr>
          <w:rFonts w:hint="eastAsia" w:ascii="宋体" w:hAnsi="宋体" w:cs="宋体"/>
          <w:szCs w:val="21"/>
          <w:u w:val="single"/>
        </w:rPr>
        <w:t xml:space="preserve">        </w:t>
      </w:r>
      <w:r>
        <w:rPr>
          <w:rFonts w:hint="eastAsia" w:ascii="宋体" w:hAnsi="宋体" w:cs="宋体"/>
        </w:rPr>
        <w:t>月</w:t>
      </w:r>
      <w:r>
        <w:rPr>
          <w:rFonts w:hint="eastAsia" w:ascii="宋体" w:hAnsi="宋体" w:cs="宋体"/>
          <w:szCs w:val="21"/>
          <w:u w:val="single"/>
        </w:rPr>
        <w:t xml:space="preserve">        </w:t>
      </w:r>
      <w:r>
        <w:rPr>
          <w:rFonts w:hint="eastAsia" w:ascii="宋体" w:hAnsi="宋体" w:cs="宋体"/>
        </w:rPr>
        <w:t>日</w:t>
      </w:r>
    </w:p>
    <w:bookmarkEnd w:id="380"/>
    <w:bookmarkEnd w:id="381"/>
    <w:bookmarkEnd w:id="382"/>
    <w:bookmarkEnd w:id="383"/>
    <w:bookmarkEnd w:id="384"/>
    <w:bookmarkEnd w:id="385"/>
    <w:bookmarkEnd w:id="386"/>
    <w:bookmarkEnd w:id="387"/>
    <w:bookmarkEnd w:id="388"/>
    <w:p w14:paraId="1CB7148E">
      <w:pPr>
        <w:wordWrap w:val="0"/>
        <w:spacing w:line="360" w:lineRule="auto"/>
        <w:ind w:firstLine="4725" w:firstLineChars="2250"/>
        <w:jc w:val="right"/>
        <w:rPr>
          <w:rFonts w:ascii="宋体" w:hAnsi="宋体"/>
        </w:rPr>
      </w:pPr>
      <w:bookmarkStart w:id="421" w:name="_Toc17960"/>
      <w:bookmarkStart w:id="422" w:name="_Toc352691661"/>
      <w:bookmarkStart w:id="423" w:name="_Toc247514246"/>
      <w:bookmarkStart w:id="424" w:name="_Toc144974856"/>
      <w:bookmarkStart w:id="425" w:name="_Toc152045787"/>
      <w:bookmarkStart w:id="426" w:name="_Toc152042576"/>
      <w:bookmarkStart w:id="427" w:name="_Toc361508752"/>
      <w:bookmarkStart w:id="428" w:name="_Toc384308375"/>
      <w:bookmarkStart w:id="429" w:name="_Toc247527827"/>
      <w:bookmarkStart w:id="430" w:name="_Toc300835209"/>
      <w:bookmarkStart w:id="431" w:name="_Toc369531697"/>
      <w:bookmarkStart w:id="432" w:name="_Toc529196603"/>
      <w:bookmarkStart w:id="433" w:name="_Toc530470646"/>
      <w:bookmarkStart w:id="434" w:name="_Toc535938754"/>
    </w:p>
    <w:p w14:paraId="543CCB44">
      <w:pPr>
        <w:jc w:val="left"/>
        <w:rPr>
          <w:rFonts w:ascii="宋体" w:hAnsi="宋体"/>
          <w:sz w:val="30"/>
          <w:szCs w:val="30"/>
        </w:rPr>
      </w:pPr>
      <w:r>
        <w:rPr>
          <w:rFonts w:hint="eastAsia" w:ascii="宋体" w:hAnsi="宋体"/>
          <w:sz w:val="30"/>
          <w:szCs w:val="30"/>
        </w:rPr>
        <w:br w:type="page"/>
      </w:r>
    </w:p>
    <w:p w14:paraId="2124DEDE">
      <w:pPr>
        <w:pStyle w:val="4"/>
        <w:spacing w:after="240" w:line="360" w:lineRule="auto"/>
        <w:rPr>
          <w:rFonts w:ascii="宋体" w:hAnsi="宋体" w:eastAsia="宋体"/>
          <w:color w:val="auto"/>
          <w:sz w:val="30"/>
          <w:szCs w:val="30"/>
        </w:rPr>
      </w:pPr>
      <w:r>
        <w:rPr>
          <w:rFonts w:hint="eastAsia" w:ascii="宋体" w:hAnsi="宋体" w:eastAsia="宋体"/>
          <w:color w:val="auto"/>
          <w:sz w:val="30"/>
          <w:szCs w:val="30"/>
        </w:rPr>
        <w:t>二</w:t>
      </w:r>
      <w:bookmarkEnd w:id="421"/>
      <w:bookmarkEnd w:id="422"/>
      <w:bookmarkEnd w:id="423"/>
      <w:bookmarkEnd w:id="424"/>
      <w:bookmarkEnd w:id="425"/>
      <w:bookmarkEnd w:id="426"/>
      <w:bookmarkEnd w:id="427"/>
      <w:bookmarkEnd w:id="428"/>
      <w:bookmarkEnd w:id="429"/>
      <w:bookmarkEnd w:id="430"/>
      <w:bookmarkEnd w:id="431"/>
      <w:r>
        <w:rPr>
          <w:rFonts w:hint="eastAsia" w:ascii="宋体" w:hAnsi="宋体" w:eastAsia="宋体"/>
          <w:color w:val="auto"/>
          <w:sz w:val="30"/>
          <w:szCs w:val="30"/>
        </w:rPr>
        <w:t>、法定代表人身份证明或授权委托书（格式可自定）</w:t>
      </w:r>
      <w:bookmarkEnd w:id="432"/>
      <w:bookmarkEnd w:id="433"/>
      <w:bookmarkEnd w:id="434"/>
    </w:p>
    <w:p w14:paraId="1247D994">
      <w:pPr>
        <w:spacing w:line="360" w:lineRule="auto"/>
        <w:jc w:val="center"/>
        <w:rPr>
          <w:rFonts w:ascii="宋体" w:hAnsi="宋体"/>
          <w:b/>
          <w:sz w:val="24"/>
          <w:szCs w:val="24"/>
        </w:rPr>
      </w:pPr>
      <w:r>
        <w:rPr>
          <w:rFonts w:hint="eastAsia" w:ascii="宋体" w:hAnsi="宋体"/>
          <w:b/>
          <w:sz w:val="32"/>
          <w:szCs w:val="32"/>
        </w:rPr>
        <w:t>法定代表人身份证明</w:t>
      </w:r>
    </w:p>
    <w:p w14:paraId="060039A7">
      <w:pPr>
        <w:spacing w:line="440" w:lineRule="exact"/>
        <w:rPr>
          <w:rFonts w:ascii="宋体" w:hAnsi="宋体"/>
          <w:sz w:val="24"/>
        </w:rPr>
      </w:pPr>
      <w:r>
        <w:rPr>
          <w:rFonts w:hint="eastAsia" w:ascii="宋体" w:hAnsi="宋体"/>
          <w:sz w:val="24"/>
        </w:rPr>
        <w:t>投标人名称：</w:t>
      </w:r>
      <w:r>
        <w:rPr>
          <w:rFonts w:hint="eastAsia" w:ascii="宋体" w:hAnsi="宋体"/>
          <w:sz w:val="24"/>
          <w:u w:val="single"/>
        </w:rPr>
        <w:t xml:space="preserve">                        </w:t>
      </w:r>
    </w:p>
    <w:p w14:paraId="775C14BE">
      <w:pPr>
        <w:spacing w:line="440" w:lineRule="exact"/>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14:paraId="3B62E391">
      <w:pPr>
        <w:spacing w:line="440" w:lineRule="exact"/>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14:paraId="69BD6C99">
      <w:pPr>
        <w:spacing w:line="440" w:lineRule="exact"/>
        <w:ind w:firstLine="480" w:firstLineChars="200"/>
        <w:rPr>
          <w:rFonts w:ascii="宋体" w:hAnsi="宋体"/>
          <w:sz w:val="24"/>
        </w:rPr>
      </w:pPr>
      <w:r>
        <w:rPr>
          <w:rFonts w:hint="eastAsia" w:ascii="宋体" w:hAnsi="宋体"/>
          <w:sz w:val="24"/>
        </w:rPr>
        <w:t>特此证明。</w:t>
      </w:r>
    </w:p>
    <w:p w14:paraId="421F1C55">
      <w:pPr>
        <w:spacing w:line="440" w:lineRule="exact"/>
        <w:rPr>
          <w:rFonts w:ascii="宋体" w:hAnsi="宋体"/>
          <w:sz w:val="24"/>
          <w:szCs w:val="24"/>
        </w:rPr>
      </w:pPr>
    </w:p>
    <w:p w14:paraId="6E3DB32E">
      <w:pPr>
        <w:spacing w:line="440" w:lineRule="exact"/>
        <w:rPr>
          <w:rFonts w:ascii="宋体" w:hAnsi="宋体"/>
          <w:sz w:val="24"/>
          <w:szCs w:val="24"/>
        </w:rPr>
      </w:pPr>
      <w:r>
        <w:rPr>
          <w:rFonts w:hint="eastAsia" w:ascii="宋体" w:hAnsi="宋体"/>
          <w:sz w:val="24"/>
          <w:szCs w:val="24"/>
        </w:rPr>
        <w:t>附：法定代表人身份证复印件。</w:t>
      </w:r>
    </w:p>
    <w:p w14:paraId="6BB67793">
      <w:pPr>
        <w:spacing w:line="440" w:lineRule="exact"/>
        <w:ind w:firstLine="480" w:firstLineChars="200"/>
        <w:rPr>
          <w:rFonts w:ascii="宋体" w:hAnsi="宋体"/>
          <w:sz w:val="24"/>
          <w:szCs w:val="24"/>
        </w:rPr>
      </w:pPr>
    </w:p>
    <w:p w14:paraId="4427E3B1">
      <w:pPr>
        <w:spacing w:line="440" w:lineRule="exact"/>
        <w:rPr>
          <w:rFonts w:ascii="宋体" w:hAnsi="宋体"/>
          <w:sz w:val="24"/>
          <w:szCs w:val="24"/>
        </w:rPr>
      </w:pPr>
      <w:r>
        <w:rPr>
          <w:rFonts w:hint="eastAsia" w:ascii="宋体" w:hAnsi="宋体"/>
          <w:sz w:val="24"/>
          <w:szCs w:val="24"/>
        </w:rPr>
        <w:t>注：本身份证明需由投标人加盖单位公章。</w:t>
      </w:r>
    </w:p>
    <w:p w14:paraId="00397057">
      <w:pPr>
        <w:spacing w:line="440" w:lineRule="exact"/>
        <w:rPr>
          <w:rFonts w:ascii="宋体" w:hAnsi="宋体"/>
          <w:sz w:val="24"/>
          <w:szCs w:val="24"/>
        </w:rPr>
      </w:pPr>
    </w:p>
    <w:p w14:paraId="25B7D828">
      <w:pPr>
        <w:spacing w:line="440" w:lineRule="exact"/>
        <w:rPr>
          <w:rFonts w:ascii="宋体" w:hAnsi="宋体"/>
          <w:sz w:val="24"/>
          <w:szCs w:val="24"/>
        </w:rPr>
      </w:pPr>
    </w:p>
    <w:p w14:paraId="32C87B35">
      <w:pPr>
        <w:spacing w:line="440" w:lineRule="exact"/>
        <w:jc w:val="center"/>
        <w:rPr>
          <w:rFonts w:ascii="宋体" w:hAnsi="宋体"/>
          <w:sz w:val="24"/>
        </w:rPr>
      </w:pPr>
      <w:r>
        <w:rPr>
          <w:rFonts w:hint="eastAsia" w:ascii="宋体" w:hAnsi="宋体"/>
          <w:sz w:val="24"/>
          <w:szCs w:val="24"/>
        </w:rPr>
        <w:t xml:space="preserve">                             </w:t>
      </w:r>
      <w:r>
        <w:rPr>
          <w:rFonts w:hint="eastAsia" w:ascii="宋体" w:hAnsi="宋体"/>
          <w:sz w:val="24"/>
        </w:rPr>
        <w:t>投标人：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（盖单位章）</w:t>
      </w:r>
    </w:p>
    <w:p w14:paraId="37221657">
      <w:pPr>
        <w:spacing w:line="440" w:lineRule="exact"/>
        <w:rPr>
          <w:rFonts w:ascii="宋体" w:hAnsi="宋体"/>
          <w:sz w:val="24"/>
        </w:rPr>
      </w:pPr>
    </w:p>
    <w:p w14:paraId="08B1EA55">
      <w:pPr>
        <w:spacing w:line="440" w:lineRule="exact"/>
        <w:ind w:firstLine="5280" w:firstLineChars="2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14:paraId="4DCE777B">
      <w:pPr>
        <w:spacing w:line="440" w:lineRule="exact"/>
        <w:jc w:val="center"/>
        <w:rPr>
          <w:rFonts w:ascii="宋体" w:hAnsi="宋体"/>
          <w:sz w:val="24"/>
          <w:szCs w:val="24"/>
        </w:rPr>
      </w:pPr>
    </w:p>
    <w:p w14:paraId="39098494">
      <w:pPr>
        <w:spacing w:line="360" w:lineRule="auto"/>
        <w:jc w:val="center"/>
        <w:rPr>
          <w:rFonts w:ascii="宋体" w:hAnsi="宋体"/>
          <w:b/>
          <w:sz w:val="32"/>
          <w:szCs w:val="32"/>
        </w:rPr>
      </w:pPr>
      <w:r>
        <w:rPr>
          <w:rFonts w:hint="eastAsia" w:ascii="宋体" w:hAnsi="宋体"/>
          <w:b/>
          <w:bCs/>
          <w:sz w:val="20"/>
        </w:rPr>
        <w:br w:type="page"/>
      </w:r>
      <w:bookmarkStart w:id="435" w:name="_Toc535938755"/>
      <w:bookmarkEnd w:id="435"/>
      <w:bookmarkStart w:id="436" w:name="_Toc529196604"/>
      <w:bookmarkEnd w:id="436"/>
      <w:bookmarkStart w:id="437" w:name="_Toc530470647"/>
      <w:bookmarkEnd w:id="437"/>
      <w:r>
        <w:rPr>
          <w:rFonts w:hint="eastAsia" w:ascii="宋体" w:hAnsi="宋体"/>
          <w:b/>
          <w:sz w:val="32"/>
          <w:szCs w:val="32"/>
        </w:rPr>
        <w:t>授权委托书</w:t>
      </w:r>
    </w:p>
    <w:p w14:paraId="4BB60837">
      <w:pPr>
        <w:topLinePunct/>
        <w:spacing w:line="440" w:lineRule="exact"/>
        <w:ind w:firstLine="480" w:firstLineChars="200"/>
        <w:rPr>
          <w:rFonts w:ascii="宋体" w:hAnsi="宋体"/>
          <w:sz w:val="24"/>
          <w:szCs w:val="24"/>
        </w:rPr>
      </w:pPr>
      <w:r>
        <w:rPr>
          <w:rFonts w:hint="eastAsia" w:ascii="宋体" w:hAnsi="宋体"/>
          <w:sz w:val="24"/>
          <w:szCs w:val="24"/>
        </w:rPr>
        <w:t>本人</w:t>
      </w:r>
      <w:r>
        <w:rPr>
          <w:rFonts w:hint="eastAsia" w:ascii="宋体" w:hAnsi="宋体"/>
          <w:sz w:val="24"/>
          <w:u w:val="single"/>
        </w:rPr>
        <w:t xml:space="preserve">             </w:t>
      </w:r>
      <w:r>
        <w:rPr>
          <w:rFonts w:hint="eastAsia" w:ascii="宋体" w:hAnsi="宋体"/>
          <w:sz w:val="24"/>
          <w:szCs w:val="24"/>
        </w:rPr>
        <w:t>（姓名）系</w:t>
      </w:r>
      <w:r>
        <w:rPr>
          <w:rFonts w:hint="eastAsia" w:ascii="宋体" w:hAnsi="宋体"/>
          <w:sz w:val="24"/>
          <w:u w:val="single"/>
        </w:rPr>
        <w:t xml:space="preserve">             </w:t>
      </w:r>
      <w:r>
        <w:rPr>
          <w:rFonts w:hint="eastAsia" w:ascii="宋体" w:hAnsi="宋体"/>
          <w:sz w:val="24"/>
          <w:szCs w:val="24"/>
        </w:rPr>
        <w:t>（投标人名称）的法定代表人，现委托</w:t>
      </w:r>
      <w:r>
        <w:rPr>
          <w:rFonts w:hint="eastAsia" w:ascii="宋体" w:hAnsi="宋体"/>
          <w:sz w:val="24"/>
          <w:u w:val="single"/>
        </w:rPr>
        <w:t xml:space="preserve">             </w:t>
      </w:r>
      <w:r>
        <w:rPr>
          <w:rFonts w:hint="eastAsia" w:ascii="宋体" w:hAnsi="宋体"/>
          <w:sz w:val="24"/>
          <w:szCs w:val="24"/>
        </w:rPr>
        <w:t>（姓名）为我方代理人。代理人根据授权，以我方名义签署、澄清确认、递交、撤回、修改</w:t>
      </w:r>
      <w:r>
        <w:rPr>
          <w:rFonts w:hint="eastAsia" w:ascii="宋体" w:hAnsi="宋体"/>
          <w:sz w:val="24"/>
          <w:u w:val="single"/>
        </w:rPr>
        <w:t xml:space="preserve">             </w:t>
      </w:r>
      <w:r>
        <w:rPr>
          <w:rFonts w:hint="eastAsia" w:ascii="宋体" w:hAnsi="宋体"/>
          <w:sz w:val="24"/>
          <w:szCs w:val="24"/>
        </w:rPr>
        <w:t>招标项目投标文件、签订合同和处理有关事宜，其法律后果由我方承担。</w:t>
      </w:r>
    </w:p>
    <w:p w14:paraId="2FDBFA1E">
      <w:pPr>
        <w:spacing w:line="440" w:lineRule="exact"/>
        <w:ind w:firstLine="480" w:firstLineChars="200"/>
        <w:rPr>
          <w:rFonts w:ascii="宋体" w:hAnsi="宋体"/>
          <w:sz w:val="24"/>
          <w:szCs w:val="24"/>
        </w:rPr>
      </w:pPr>
      <w:r>
        <w:rPr>
          <w:rFonts w:hint="eastAsia" w:ascii="宋体" w:hAnsi="宋体"/>
          <w:sz w:val="24"/>
          <w:szCs w:val="24"/>
        </w:rPr>
        <w:t>委托期限：</w:t>
      </w:r>
      <w:r>
        <w:rPr>
          <w:rFonts w:hint="eastAsia" w:ascii="宋体" w:hAnsi="宋体"/>
          <w:sz w:val="24"/>
          <w:u w:val="single"/>
        </w:rPr>
        <w:t xml:space="preserve">             </w:t>
      </w:r>
      <w:r>
        <w:rPr>
          <w:rFonts w:hint="eastAsia" w:ascii="宋体" w:hAnsi="宋体"/>
          <w:sz w:val="24"/>
          <w:szCs w:val="24"/>
        </w:rPr>
        <w:t>。</w:t>
      </w:r>
    </w:p>
    <w:p w14:paraId="4C7AAE00">
      <w:pPr>
        <w:spacing w:line="440" w:lineRule="exact"/>
        <w:ind w:firstLine="480" w:firstLineChars="200"/>
        <w:rPr>
          <w:rFonts w:ascii="宋体" w:hAnsi="宋体"/>
          <w:sz w:val="24"/>
          <w:szCs w:val="24"/>
        </w:rPr>
      </w:pPr>
      <w:r>
        <w:rPr>
          <w:rFonts w:hint="eastAsia" w:ascii="宋体" w:hAnsi="宋体"/>
          <w:sz w:val="24"/>
          <w:szCs w:val="24"/>
        </w:rPr>
        <w:t>代理人无转委托权。</w:t>
      </w:r>
    </w:p>
    <w:p w14:paraId="7B3FDD03">
      <w:pPr>
        <w:spacing w:line="440" w:lineRule="exact"/>
        <w:ind w:firstLine="480" w:firstLineChars="200"/>
        <w:rPr>
          <w:rFonts w:ascii="宋体" w:hAnsi="宋体"/>
          <w:sz w:val="24"/>
          <w:szCs w:val="24"/>
        </w:rPr>
      </w:pPr>
    </w:p>
    <w:p w14:paraId="3EC06146">
      <w:pPr>
        <w:spacing w:line="440" w:lineRule="exact"/>
        <w:rPr>
          <w:rFonts w:ascii="宋体" w:hAnsi="宋体"/>
          <w:sz w:val="24"/>
          <w:szCs w:val="24"/>
        </w:rPr>
      </w:pPr>
      <w:r>
        <w:rPr>
          <w:rFonts w:hint="eastAsia" w:ascii="宋体" w:hAnsi="宋体"/>
          <w:sz w:val="24"/>
          <w:szCs w:val="24"/>
        </w:rPr>
        <w:t>附：法定代表人身份证复印件及委托代理人身份证复印件</w:t>
      </w:r>
    </w:p>
    <w:p w14:paraId="2FEDAD43">
      <w:pPr>
        <w:spacing w:line="440" w:lineRule="exact"/>
        <w:rPr>
          <w:rFonts w:ascii="宋体" w:hAnsi="宋体"/>
          <w:sz w:val="24"/>
          <w:szCs w:val="24"/>
        </w:rPr>
      </w:pPr>
    </w:p>
    <w:p w14:paraId="2DD03EB2">
      <w:pPr>
        <w:spacing w:line="440" w:lineRule="exact"/>
        <w:rPr>
          <w:rFonts w:ascii="宋体" w:hAnsi="宋体"/>
          <w:sz w:val="24"/>
          <w:szCs w:val="24"/>
        </w:rPr>
      </w:pPr>
      <w:r>
        <w:rPr>
          <w:rFonts w:hint="eastAsia" w:ascii="宋体" w:hAnsi="宋体"/>
          <w:sz w:val="24"/>
          <w:szCs w:val="24"/>
        </w:rPr>
        <w:t>注：本授权委托书需由投标人加盖单位公章并由其法定代表人和委托代理人签字。</w:t>
      </w:r>
    </w:p>
    <w:p w14:paraId="059DF7FB">
      <w:pPr>
        <w:spacing w:line="440" w:lineRule="exact"/>
        <w:rPr>
          <w:rFonts w:ascii="宋体" w:hAnsi="宋体"/>
          <w:sz w:val="24"/>
          <w:szCs w:val="24"/>
        </w:rPr>
      </w:pPr>
    </w:p>
    <w:p w14:paraId="07EDD91A">
      <w:pPr>
        <w:spacing w:line="440" w:lineRule="exact"/>
        <w:ind w:firstLine="3076" w:firstLineChars="1282"/>
        <w:rPr>
          <w:rFonts w:ascii="宋体" w:hAnsi="宋体"/>
          <w:sz w:val="24"/>
          <w:szCs w:val="24"/>
        </w:rPr>
      </w:pPr>
      <w:r>
        <w:rPr>
          <w:rFonts w:hint="eastAsia" w:ascii="宋体" w:hAnsi="宋体"/>
          <w:sz w:val="24"/>
          <w:szCs w:val="24"/>
        </w:rPr>
        <w:t>投  标  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（盖单位章）</w:t>
      </w:r>
    </w:p>
    <w:p w14:paraId="0DE85329">
      <w:pPr>
        <w:spacing w:line="440" w:lineRule="exact"/>
        <w:ind w:firstLine="3076" w:firstLineChars="1282"/>
        <w:rPr>
          <w:rFonts w:ascii="宋体" w:hAnsi="宋体"/>
          <w:sz w:val="24"/>
          <w:szCs w:val="24"/>
        </w:rPr>
      </w:pPr>
    </w:p>
    <w:p w14:paraId="3AEB9F7F">
      <w:pPr>
        <w:spacing w:line="440" w:lineRule="exact"/>
        <w:ind w:firstLine="3074" w:firstLineChars="1281"/>
        <w:rPr>
          <w:rFonts w:ascii="宋体" w:hAnsi="宋体"/>
          <w:sz w:val="24"/>
          <w:szCs w:val="24"/>
        </w:rPr>
      </w:pPr>
      <w:r>
        <w:rPr>
          <w:rFonts w:hint="eastAsia" w:ascii="宋体" w:hAnsi="宋体"/>
          <w:sz w:val="24"/>
          <w:szCs w:val="24"/>
        </w:rPr>
        <w:t>法定代表人：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（签字）</w:t>
      </w:r>
    </w:p>
    <w:p w14:paraId="3A81FB61">
      <w:pPr>
        <w:spacing w:line="440" w:lineRule="exact"/>
        <w:ind w:firstLine="3076" w:firstLineChars="1282"/>
        <w:rPr>
          <w:rFonts w:ascii="宋体" w:hAnsi="宋体"/>
          <w:sz w:val="24"/>
          <w:szCs w:val="24"/>
        </w:rPr>
      </w:pPr>
    </w:p>
    <w:p w14:paraId="7564AB45">
      <w:pPr>
        <w:spacing w:line="440" w:lineRule="exact"/>
        <w:ind w:firstLine="3076" w:firstLineChars="1282"/>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14:paraId="48D38958">
      <w:pPr>
        <w:spacing w:line="440" w:lineRule="exact"/>
        <w:ind w:firstLine="3076" w:firstLineChars="1282"/>
        <w:rPr>
          <w:rFonts w:ascii="宋体" w:hAnsi="宋体"/>
          <w:sz w:val="24"/>
          <w:szCs w:val="24"/>
        </w:rPr>
      </w:pPr>
    </w:p>
    <w:p w14:paraId="75548111">
      <w:pPr>
        <w:spacing w:line="440" w:lineRule="exact"/>
        <w:ind w:firstLine="3076" w:firstLineChars="1282"/>
        <w:rPr>
          <w:rFonts w:ascii="宋体" w:hAnsi="宋体"/>
          <w:sz w:val="24"/>
          <w:szCs w:val="24"/>
        </w:rPr>
      </w:pPr>
      <w:r>
        <w:rPr>
          <w:rFonts w:hint="eastAsia" w:ascii="宋体" w:hAnsi="宋体"/>
          <w:sz w:val="24"/>
          <w:szCs w:val="24"/>
        </w:rPr>
        <w:t>委托代理人：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（签字）</w:t>
      </w:r>
    </w:p>
    <w:p w14:paraId="77B3757D">
      <w:pPr>
        <w:spacing w:line="440" w:lineRule="exact"/>
        <w:ind w:firstLine="3076" w:firstLineChars="1282"/>
        <w:rPr>
          <w:rFonts w:ascii="宋体" w:hAnsi="宋体"/>
          <w:sz w:val="24"/>
          <w:szCs w:val="24"/>
        </w:rPr>
      </w:pPr>
    </w:p>
    <w:p w14:paraId="6B984006">
      <w:pPr>
        <w:spacing w:line="440" w:lineRule="exact"/>
        <w:ind w:firstLine="3076" w:firstLineChars="1282"/>
        <w:rPr>
          <w:rFonts w:ascii="宋体" w:hAnsi="宋体"/>
          <w:szCs w:val="24"/>
        </w:rPr>
      </w:pPr>
      <w:r>
        <w:rPr>
          <w:rFonts w:hint="eastAsia" w:ascii="宋体" w:hAnsi="宋体"/>
          <w:sz w:val="24"/>
          <w:szCs w:val="24"/>
        </w:rPr>
        <w:t>身份证号码：</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14:paraId="4B9FE033">
      <w:pPr>
        <w:spacing w:line="440" w:lineRule="exact"/>
        <w:ind w:firstLine="2692" w:firstLineChars="1282"/>
        <w:rPr>
          <w:rFonts w:ascii="宋体" w:hAnsi="宋体"/>
          <w:szCs w:val="24"/>
        </w:rPr>
      </w:pPr>
    </w:p>
    <w:p w14:paraId="3E157F2F">
      <w:pPr>
        <w:spacing w:line="440" w:lineRule="exact"/>
        <w:ind w:firstLine="4057" w:firstLineChars="1932"/>
        <w:jc w:val="right"/>
        <w:rPr>
          <w:rFonts w:ascii="宋体" w:hAnsi="宋体"/>
          <w:szCs w:val="24"/>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14:paraId="0BB815B9">
      <w:r>
        <w:rPr>
          <w:rFonts w:hint="eastAsia"/>
        </w:rPr>
        <w:t xml:space="preserve"> </w:t>
      </w:r>
    </w:p>
    <w:p w14:paraId="3A2C9E2A">
      <w:pPr>
        <w:pStyle w:val="23"/>
        <w:rPr>
          <w:rFonts w:ascii="宋体" w:hAnsi="宋体" w:eastAsia="宋体"/>
          <w:color w:val="auto"/>
          <w:sz w:val="24"/>
          <w:szCs w:val="24"/>
        </w:rPr>
      </w:pPr>
      <w:r>
        <w:rPr>
          <w:rFonts w:hint="eastAsia" w:ascii="宋体" w:hAnsi="宋体"/>
        </w:rPr>
        <w:br w:type="page"/>
      </w:r>
      <w:bookmarkStart w:id="438" w:name="_Hlk22686998"/>
      <w:bookmarkStart w:id="439" w:name="_Toc361508760"/>
    </w:p>
    <w:p w14:paraId="67EEB39E">
      <w:pPr>
        <w:pStyle w:val="23"/>
        <w:numPr>
          <w:ilvl w:val="0"/>
          <w:numId w:val="0"/>
        </w:numPr>
        <w:ind w:leftChars="0"/>
        <w:jc w:val="both"/>
        <w:outlineLvl w:val="1"/>
        <w:rPr>
          <w:rFonts w:hint="eastAsia" w:ascii="宋体" w:hAnsi="宋体" w:eastAsia="宋体" w:cs="宋体"/>
          <w:b/>
          <w:bCs/>
          <w:color w:val="000000"/>
          <w:kern w:val="0"/>
          <w:sz w:val="30"/>
          <w:szCs w:val="30"/>
          <w:lang w:val="en-US" w:eastAsia="zh-CN" w:bidi="ar-SA"/>
        </w:rPr>
      </w:pPr>
      <w:r>
        <w:rPr>
          <w:rFonts w:hint="eastAsia" w:ascii="宋体" w:hAnsi="宋体" w:cs="Times New Roman"/>
          <w:b/>
          <w:bCs/>
          <w:color w:val="auto"/>
          <w:sz w:val="30"/>
          <w:szCs w:val="30"/>
          <w:u w:val="none"/>
          <w:lang w:val="en-US" w:eastAsia="zh-CN"/>
        </w:rPr>
        <w:t>三、</w:t>
      </w:r>
      <w:r>
        <w:rPr>
          <w:rFonts w:hint="eastAsia" w:ascii="宋体" w:hAnsi="宋体" w:cs="Times New Roman"/>
          <w:b/>
          <w:bCs/>
          <w:color w:val="auto"/>
          <w:sz w:val="30"/>
          <w:szCs w:val="30"/>
          <w:u w:val="none"/>
        </w:rPr>
        <w:t>检测及监测清单（按照招标文件第五章的格式）</w:t>
      </w:r>
    </w:p>
    <w:p w14:paraId="2E083809">
      <w:pPr>
        <w:pStyle w:val="23"/>
        <w:rPr>
          <w:rFonts w:ascii="宋体" w:hAnsi="宋体" w:eastAsia="宋体"/>
          <w:color w:val="auto"/>
          <w:sz w:val="24"/>
          <w:szCs w:val="24"/>
        </w:rPr>
        <w:sectPr>
          <w:pgSz w:w="11907" w:h="16840"/>
          <w:pgMar w:top="1440" w:right="1440" w:bottom="1134" w:left="1440" w:header="851" w:footer="992" w:gutter="0"/>
          <w:cols w:space="720" w:num="1"/>
          <w:docGrid w:linePitch="312" w:charSpace="0"/>
        </w:sectPr>
      </w:pPr>
    </w:p>
    <w:p w14:paraId="2599E307">
      <w:pPr>
        <w:spacing w:line="240" w:lineRule="auto"/>
        <w:outlineLvl w:val="9"/>
        <w:rPr>
          <w:rFonts w:hint="eastAsia" w:ascii="宋体" w:hAnsi="宋体" w:eastAsia="宋体"/>
          <w:color w:val="auto"/>
          <w:sz w:val="30"/>
          <w:szCs w:val="30"/>
          <w:lang w:val="en-US" w:eastAsia="zh-CN"/>
        </w:rPr>
      </w:pPr>
    </w:p>
    <w:p w14:paraId="3B3F4C89">
      <w:pPr>
        <w:pStyle w:val="12"/>
        <w:jc w:val="center"/>
        <w:outlineLvl w:val="1"/>
        <w:rPr>
          <w:rFonts w:ascii="宋体" w:hAnsi="宋体" w:eastAsia="宋体"/>
          <w:b/>
          <w:bCs/>
          <w:color w:val="auto"/>
          <w:sz w:val="30"/>
          <w:szCs w:val="30"/>
        </w:rPr>
      </w:pPr>
      <w:r>
        <w:rPr>
          <w:rFonts w:hint="eastAsia" w:ascii="宋体" w:hAnsi="宋体" w:cs="Times New Roman"/>
          <w:b/>
          <w:bCs/>
          <w:color w:val="auto"/>
          <w:kern w:val="0"/>
          <w:sz w:val="30"/>
          <w:szCs w:val="30"/>
          <w:lang w:val="en-US" w:eastAsia="zh-CN" w:bidi="ar-SA"/>
        </w:rPr>
        <w:t>四</w:t>
      </w:r>
      <w:r>
        <w:rPr>
          <w:rFonts w:hint="eastAsia" w:ascii="宋体" w:hAnsi="宋体" w:eastAsia="宋体" w:cs="Times New Roman"/>
          <w:b/>
          <w:bCs/>
          <w:color w:val="auto"/>
          <w:kern w:val="0"/>
          <w:sz w:val="30"/>
          <w:szCs w:val="30"/>
          <w:lang w:val="en-US" w:eastAsia="zh-CN" w:bidi="ar-SA"/>
        </w:rPr>
        <w:t>、</w:t>
      </w:r>
      <w:r>
        <w:rPr>
          <w:rFonts w:hint="eastAsia" w:ascii="宋体" w:hAnsi="宋体" w:eastAsia="宋体"/>
          <w:b/>
          <w:bCs/>
          <w:color w:val="auto"/>
          <w:sz w:val="30"/>
          <w:szCs w:val="30"/>
        </w:rPr>
        <w:t>资格审查资料</w:t>
      </w:r>
      <w:bookmarkEnd w:id="438"/>
    </w:p>
    <w:p w14:paraId="645DD19C">
      <w:pPr>
        <w:spacing w:before="20" w:line="412" w:lineRule="auto"/>
        <w:ind w:firstLine="137"/>
        <w:outlineLvl w:val="9"/>
        <w:rPr>
          <w:rFonts w:hint="eastAsia" w:ascii="宋体" w:hAnsi="宋体"/>
          <w:b/>
          <w:bCs/>
          <w:sz w:val="28"/>
          <w:szCs w:val="32"/>
          <w:lang w:val="en-US" w:eastAsia="zh-CN"/>
        </w:rPr>
      </w:pPr>
    </w:p>
    <w:p w14:paraId="316244EE">
      <w:pPr>
        <w:spacing w:before="20" w:line="412" w:lineRule="auto"/>
        <w:ind w:firstLine="137"/>
        <w:outlineLvl w:val="9"/>
        <w:rPr>
          <w:rFonts w:hint="default" w:ascii="宋体" w:hAnsi="宋体" w:eastAsia="宋体"/>
          <w:b/>
          <w:bCs/>
          <w:sz w:val="28"/>
          <w:szCs w:val="32"/>
          <w:lang w:val="en-US" w:eastAsia="zh-CN"/>
        </w:rPr>
      </w:pPr>
      <w:r>
        <w:rPr>
          <w:rFonts w:hint="eastAsia" w:ascii="宋体" w:hAnsi="宋体"/>
          <w:b/>
          <w:bCs/>
          <w:sz w:val="28"/>
          <w:szCs w:val="32"/>
          <w:lang w:val="en-US" w:eastAsia="zh-CN"/>
        </w:rPr>
        <w:t>（按招标公告第3点</w:t>
      </w:r>
      <w:r>
        <w:rPr>
          <w:rFonts w:hint="eastAsia" w:ascii="宋体" w:hAnsi="宋体" w:eastAsia="宋体" w:cs="Times New Roman"/>
          <w:b/>
          <w:bCs/>
          <w:color w:val="auto"/>
          <w:sz w:val="28"/>
          <w:szCs w:val="32"/>
          <w:highlight w:val="none"/>
        </w:rPr>
        <w:t>投标人资格</w:t>
      </w:r>
      <w:r>
        <w:rPr>
          <w:rFonts w:hint="eastAsia" w:ascii="宋体" w:hAnsi="宋体"/>
          <w:b/>
          <w:bCs/>
          <w:sz w:val="28"/>
          <w:szCs w:val="32"/>
          <w:lang w:val="en-US" w:eastAsia="zh-CN"/>
        </w:rPr>
        <w:t>要求内容提供资料）</w:t>
      </w:r>
    </w:p>
    <w:p w14:paraId="3F7ED16C">
      <w:pPr>
        <w:rPr>
          <w:rFonts w:ascii="宋体" w:hAnsi="宋体"/>
        </w:rPr>
      </w:pPr>
    </w:p>
    <w:p w14:paraId="1C6FBF59">
      <w:pPr>
        <w:rPr>
          <w:rFonts w:ascii="宋体" w:hAnsi="宋体"/>
        </w:rPr>
      </w:pPr>
    </w:p>
    <w:p w14:paraId="46EF4BF9">
      <w:pPr>
        <w:topLinePunct/>
        <w:spacing w:line="360" w:lineRule="auto"/>
        <w:outlineLvl w:val="2"/>
        <w:rPr>
          <w:rFonts w:ascii="宋体" w:hAnsi="宋体"/>
          <w:b/>
          <w:bCs/>
          <w:sz w:val="28"/>
          <w:szCs w:val="32"/>
        </w:rPr>
      </w:pPr>
      <w:r>
        <w:rPr>
          <w:rFonts w:hint="eastAsia" w:ascii="宋体" w:hAnsi="宋体"/>
          <w:b/>
          <w:bCs/>
          <w:sz w:val="28"/>
          <w:szCs w:val="32"/>
        </w:rPr>
        <w:t>（</w:t>
      </w:r>
      <w:r>
        <w:rPr>
          <w:rFonts w:hint="eastAsia" w:ascii="宋体" w:hAnsi="宋体"/>
          <w:b/>
          <w:bCs/>
          <w:sz w:val="28"/>
          <w:szCs w:val="32"/>
          <w:lang w:val="en-US" w:eastAsia="zh-CN"/>
        </w:rPr>
        <w:t>一</w:t>
      </w:r>
      <w:r>
        <w:rPr>
          <w:rFonts w:hint="eastAsia" w:ascii="宋体" w:hAnsi="宋体"/>
          <w:b/>
          <w:bCs/>
          <w:sz w:val="28"/>
          <w:szCs w:val="32"/>
        </w:rPr>
        <w:t>）投标人声明</w:t>
      </w:r>
    </w:p>
    <w:p w14:paraId="0130C17C">
      <w:pPr>
        <w:topLinePunct/>
        <w:spacing w:line="360" w:lineRule="auto"/>
        <w:rPr>
          <w:rFonts w:hint="eastAsia" w:ascii="宋体" w:hAnsi="宋体"/>
          <w:snapToGrid w:val="0"/>
          <w:spacing w:val="4"/>
          <w:kern w:val="0"/>
          <w:sz w:val="24"/>
        </w:rPr>
      </w:pPr>
      <w:r>
        <w:rPr>
          <w:rFonts w:hint="eastAsia" w:ascii="宋体" w:hAnsi="宋体"/>
          <w:spacing w:val="18"/>
          <w:sz w:val="24"/>
        </w:rPr>
        <w:t xml:space="preserve"> </w:t>
      </w:r>
      <w:r>
        <w:rPr>
          <w:rFonts w:hint="eastAsia" w:ascii="宋体" w:hAnsi="宋体"/>
          <w:snapToGrid w:val="0"/>
          <w:spacing w:val="4"/>
          <w:kern w:val="0"/>
          <w:sz w:val="24"/>
        </w:rPr>
        <w:t>（格式详见招标公告附件一）</w:t>
      </w:r>
    </w:p>
    <w:p w14:paraId="64F6415A">
      <w:pPr>
        <w:pStyle w:val="22"/>
        <w:rPr>
          <w:rFonts w:hint="eastAsia" w:ascii="宋体" w:hAnsi="宋体"/>
          <w:snapToGrid w:val="0"/>
          <w:spacing w:val="4"/>
          <w:kern w:val="0"/>
          <w:sz w:val="24"/>
        </w:rPr>
      </w:pPr>
    </w:p>
    <w:p w14:paraId="76C8E17A">
      <w:pPr>
        <w:topLinePunct/>
        <w:spacing w:line="360" w:lineRule="auto"/>
        <w:outlineLvl w:val="2"/>
        <w:rPr>
          <w:rFonts w:ascii="宋体" w:hAnsi="宋体"/>
          <w:b/>
          <w:bCs/>
          <w:sz w:val="28"/>
          <w:szCs w:val="32"/>
        </w:rPr>
      </w:pPr>
      <w:r>
        <w:rPr>
          <w:rFonts w:hint="eastAsia" w:ascii="宋体" w:hAnsi="宋体"/>
          <w:b/>
          <w:bCs/>
          <w:sz w:val="28"/>
          <w:szCs w:val="32"/>
        </w:rPr>
        <w:t>（</w:t>
      </w:r>
      <w:r>
        <w:rPr>
          <w:rFonts w:hint="eastAsia" w:ascii="宋体" w:hAnsi="宋体"/>
          <w:b/>
          <w:bCs/>
          <w:sz w:val="28"/>
          <w:szCs w:val="32"/>
          <w:lang w:val="en-US" w:eastAsia="zh-CN"/>
        </w:rPr>
        <w:t>二</w:t>
      </w:r>
      <w:r>
        <w:rPr>
          <w:rFonts w:hint="eastAsia" w:ascii="宋体" w:hAnsi="宋体"/>
          <w:b/>
          <w:bCs/>
          <w:sz w:val="28"/>
          <w:szCs w:val="32"/>
        </w:rPr>
        <w:t>）投标</w:t>
      </w:r>
      <w:r>
        <w:rPr>
          <w:rFonts w:hint="eastAsia" w:ascii="宋体" w:hAnsi="宋体" w:cs="Times New Roman"/>
          <w:b/>
          <w:bCs/>
          <w:sz w:val="28"/>
          <w:szCs w:val="32"/>
        </w:rPr>
        <w:t>承诺函</w:t>
      </w:r>
    </w:p>
    <w:p w14:paraId="0CE0C895">
      <w:pPr>
        <w:topLinePunct/>
        <w:spacing w:line="360" w:lineRule="auto"/>
        <w:rPr>
          <w:rFonts w:hint="eastAsia" w:ascii="宋体" w:hAnsi="宋体"/>
          <w:snapToGrid w:val="0"/>
          <w:spacing w:val="4"/>
          <w:kern w:val="0"/>
          <w:sz w:val="24"/>
        </w:rPr>
      </w:pPr>
      <w:r>
        <w:rPr>
          <w:rFonts w:hint="eastAsia" w:ascii="宋体" w:hAnsi="宋体"/>
          <w:spacing w:val="18"/>
          <w:sz w:val="24"/>
        </w:rPr>
        <w:t xml:space="preserve"> </w:t>
      </w:r>
      <w:r>
        <w:rPr>
          <w:rFonts w:hint="eastAsia" w:ascii="宋体" w:hAnsi="宋体"/>
          <w:snapToGrid w:val="0"/>
          <w:spacing w:val="4"/>
          <w:kern w:val="0"/>
          <w:sz w:val="24"/>
        </w:rPr>
        <w:t>（格式详见招标公告附件</w:t>
      </w:r>
      <w:r>
        <w:rPr>
          <w:rFonts w:hint="eastAsia" w:ascii="宋体" w:hAnsi="宋体"/>
          <w:snapToGrid w:val="0"/>
          <w:spacing w:val="4"/>
          <w:kern w:val="0"/>
          <w:sz w:val="24"/>
          <w:lang w:val="en-US" w:eastAsia="zh-CN"/>
        </w:rPr>
        <w:t>二</w:t>
      </w:r>
      <w:r>
        <w:rPr>
          <w:rFonts w:hint="eastAsia" w:ascii="宋体" w:hAnsi="宋体"/>
          <w:snapToGrid w:val="0"/>
          <w:spacing w:val="4"/>
          <w:kern w:val="0"/>
          <w:sz w:val="24"/>
        </w:rPr>
        <w:t>）</w:t>
      </w:r>
    </w:p>
    <w:p w14:paraId="6996918F">
      <w:pPr>
        <w:pStyle w:val="22"/>
        <w:rPr>
          <w:rFonts w:hint="eastAsia" w:ascii="宋体" w:hAnsi="宋体"/>
          <w:snapToGrid w:val="0"/>
          <w:spacing w:val="4"/>
          <w:kern w:val="0"/>
          <w:sz w:val="24"/>
        </w:rPr>
      </w:pPr>
    </w:p>
    <w:p w14:paraId="23FB1728">
      <w:pPr>
        <w:pStyle w:val="4"/>
        <w:numPr>
          <w:ilvl w:val="0"/>
          <w:numId w:val="0"/>
        </w:numPr>
        <w:spacing w:line="600" w:lineRule="auto"/>
        <w:jc w:val="both"/>
        <w:rPr>
          <w:rFonts w:hint="eastAsia" w:ascii="宋体" w:hAnsi="宋体" w:eastAsia="宋体" w:cs="宋体"/>
          <w:b/>
          <w:kern w:val="2"/>
          <w:sz w:val="24"/>
          <w:szCs w:val="20"/>
          <w:lang w:val="en-US" w:eastAsia="zh-CN"/>
        </w:rPr>
      </w:pPr>
      <w:r>
        <w:rPr>
          <w:rFonts w:hint="eastAsia" w:ascii="宋体" w:hAnsi="宋体"/>
          <w:color w:val="auto"/>
          <w:sz w:val="24"/>
          <w:szCs w:val="24"/>
        </w:rPr>
        <w:br w:type="page"/>
      </w:r>
      <w:bookmarkEnd w:id="439"/>
      <w:bookmarkStart w:id="440" w:name="_Toc530470651"/>
      <w:bookmarkStart w:id="441" w:name="_Toc529196610"/>
      <w:bookmarkStart w:id="442" w:name="_Toc535938758"/>
      <w:r>
        <w:rPr>
          <w:rFonts w:hint="eastAsia" w:ascii="宋体" w:hAnsi="宋体" w:eastAsia="宋体" w:cs="Times New Roman"/>
          <w:color w:val="auto"/>
          <w:sz w:val="30"/>
          <w:szCs w:val="30"/>
          <w:lang w:val="en-US" w:eastAsia="zh-CN"/>
        </w:rPr>
        <w:t>五、</w:t>
      </w:r>
      <w:r>
        <w:rPr>
          <w:rFonts w:hint="eastAsia" w:ascii="宋体" w:hAnsi="宋体" w:eastAsia="宋体" w:cs="Times New Roman"/>
          <w:b/>
          <w:color w:val="auto"/>
          <w:kern w:val="0"/>
          <w:sz w:val="30"/>
          <w:szCs w:val="30"/>
        </w:rPr>
        <w:t>投标人自2020年1月1日至投标截止日止</w:t>
      </w:r>
      <w:r>
        <w:rPr>
          <w:rFonts w:hint="eastAsia" w:ascii="宋体" w:hAnsi="宋体" w:eastAsia="宋体" w:cs="Times New Roman"/>
          <w:b/>
          <w:color w:val="auto"/>
          <w:kern w:val="0"/>
          <w:sz w:val="30"/>
          <w:szCs w:val="30"/>
          <w:lang w:val="en-US" w:eastAsia="zh-CN"/>
        </w:rPr>
        <w:t>所承接类似业绩</w:t>
      </w:r>
    </w:p>
    <w:p w14:paraId="765CE0D0">
      <w:pPr>
        <w:outlineLvl w:val="9"/>
        <w:rPr>
          <w:rFonts w:hint="eastAsia" w:ascii="宋体" w:hAnsi="宋体" w:eastAsia="宋体" w:cs="宋体"/>
          <w:b/>
          <w:sz w:val="24"/>
          <w:szCs w:val="20"/>
          <w:lang w:val="en-US" w:eastAsia="zh-CN"/>
        </w:rPr>
      </w:pPr>
    </w:p>
    <w:tbl>
      <w:tblPr>
        <w:tblStyle w:val="24"/>
        <w:tblW w:w="93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545"/>
        <w:gridCol w:w="1260"/>
        <w:gridCol w:w="1920"/>
        <w:gridCol w:w="2340"/>
        <w:gridCol w:w="1349"/>
      </w:tblGrid>
      <w:tr w14:paraId="0BD5D7B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30" w:type="dxa"/>
            <w:noWrap w:val="0"/>
            <w:vAlign w:val="center"/>
          </w:tcPr>
          <w:p w14:paraId="18D91CE6">
            <w:pPr>
              <w:jc w:val="center"/>
              <w:rPr>
                <w:rFonts w:hint="eastAsia" w:ascii="宋体" w:hAnsi="宋体" w:cs="宋体"/>
                <w:b/>
              </w:rPr>
            </w:pPr>
            <w:r>
              <w:rPr>
                <w:rFonts w:hint="eastAsia" w:ascii="宋体" w:hAnsi="宋体" w:cs="宋体"/>
                <w:b/>
              </w:rPr>
              <w:t>序号</w:t>
            </w:r>
          </w:p>
        </w:tc>
        <w:tc>
          <w:tcPr>
            <w:tcW w:w="1545" w:type="dxa"/>
            <w:noWrap w:val="0"/>
            <w:vAlign w:val="center"/>
          </w:tcPr>
          <w:p w14:paraId="6CF8FCCA">
            <w:pPr>
              <w:jc w:val="center"/>
              <w:rPr>
                <w:rFonts w:hint="eastAsia" w:ascii="宋体" w:hAnsi="宋体" w:cs="宋体"/>
                <w:b/>
              </w:rPr>
            </w:pPr>
            <w:r>
              <w:rPr>
                <w:rFonts w:hint="eastAsia" w:ascii="宋体" w:hAnsi="宋体" w:cs="宋体"/>
                <w:b/>
              </w:rPr>
              <w:t>项目名称</w:t>
            </w:r>
          </w:p>
        </w:tc>
        <w:tc>
          <w:tcPr>
            <w:tcW w:w="1260" w:type="dxa"/>
            <w:noWrap w:val="0"/>
            <w:vAlign w:val="center"/>
          </w:tcPr>
          <w:p w14:paraId="75BFFAD8">
            <w:pPr>
              <w:ind w:left="149" w:hanging="149"/>
              <w:jc w:val="center"/>
              <w:rPr>
                <w:rFonts w:hint="default" w:ascii="宋体" w:hAnsi="宋体" w:eastAsia="宋体" w:cs="宋体"/>
                <w:b/>
                <w:lang w:val="en-US" w:eastAsia="zh-CN"/>
              </w:rPr>
            </w:pPr>
            <w:r>
              <w:rPr>
                <w:rFonts w:hint="eastAsia" w:ascii="宋体" w:hAnsi="宋体" w:cs="宋体"/>
                <w:b/>
                <w:lang w:val="en-US" w:eastAsia="zh-CN"/>
              </w:rPr>
              <w:t>业主名称</w:t>
            </w:r>
          </w:p>
        </w:tc>
        <w:tc>
          <w:tcPr>
            <w:tcW w:w="1920" w:type="dxa"/>
            <w:noWrap w:val="0"/>
            <w:vAlign w:val="center"/>
          </w:tcPr>
          <w:p w14:paraId="0928A47B">
            <w:pPr>
              <w:ind w:left="149" w:hanging="149"/>
              <w:jc w:val="center"/>
              <w:rPr>
                <w:rFonts w:hint="eastAsia" w:ascii="宋体" w:hAnsi="宋体" w:cs="宋体"/>
                <w:b/>
              </w:rPr>
            </w:pPr>
            <w:r>
              <w:rPr>
                <w:rFonts w:hint="eastAsia" w:ascii="宋体" w:hAnsi="宋体" w:cs="宋体"/>
                <w:b/>
              </w:rPr>
              <w:t>工程概况</w:t>
            </w:r>
          </w:p>
        </w:tc>
        <w:tc>
          <w:tcPr>
            <w:tcW w:w="2340" w:type="dxa"/>
            <w:noWrap w:val="0"/>
            <w:vAlign w:val="center"/>
          </w:tcPr>
          <w:p w14:paraId="191998E4">
            <w:pPr>
              <w:jc w:val="center"/>
              <w:rPr>
                <w:rFonts w:hint="eastAsia" w:ascii="宋体" w:hAnsi="宋体" w:cs="宋体"/>
                <w:b/>
              </w:rPr>
            </w:pPr>
            <w:r>
              <w:rPr>
                <w:rFonts w:hint="eastAsia" w:ascii="宋体" w:hAnsi="宋体" w:cs="宋体"/>
                <w:b/>
              </w:rPr>
              <w:t>试验检测项目内容</w:t>
            </w:r>
          </w:p>
        </w:tc>
        <w:tc>
          <w:tcPr>
            <w:tcW w:w="1349" w:type="dxa"/>
            <w:noWrap w:val="0"/>
            <w:vAlign w:val="center"/>
          </w:tcPr>
          <w:p w14:paraId="3B840F1C">
            <w:pPr>
              <w:jc w:val="center"/>
              <w:rPr>
                <w:rFonts w:hint="eastAsia" w:ascii="宋体" w:hAnsi="宋体" w:cs="宋体"/>
                <w:b/>
              </w:rPr>
            </w:pPr>
            <w:r>
              <w:rPr>
                <w:rFonts w:hint="eastAsia" w:ascii="宋体" w:hAnsi="宋体" w:cs="宋体"/>
                <w:b/>
                <w:lang w:val="en-US" w:eastAsia="zh-CN"/>
              </w:rPr>
              <w:t>合同价（元）</w:t>
            </w:r>
          </w:p>
        </w:tc>
      </w:tr>
      <w:tr w14:paraId="2BAAE08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30" w:type="dxa"/>
            <w:noWrap w:val="0"/>
            <w:vAlign w:val="top"/>
          </w:tcPr>
          <w:p w14:paraId="11582633">
            <w:pPr>
              <w:rPr>
                <w:rFonts w:hint="eastAsia" w:ascii="宋体" w:hAnsi="宋体" w:cs="宋体"/>
              </w:rPr>
            </w:pPr>
          </w:p>
        </w:tc>
        <w:tc>
          <w:tcPr>
            <w:tcW w:w="1545" w:type="dxa"/>
            <w:noWrap w:val="0"/>
            <w:vAlign w:val="center"/>
          </w:tcPr>
          <w:p w14:paraId="6523DDD5">
            <w:pPr>
              <w:rPr>
                <w:rFonts w:hint="eastAsia" w:ascii="宋体" w:hAnsi="宋体" w:cs="宋体"/>
              </w:rPr>
            </w:pPr>
          </w:p>
        </w:tc>
        <w:tc>
          <w:tcPr>
            <w:tcW w:w="1260" w:type="dxa"/>
            <w:noWrap w:val="0"/>
            <w:vAlign w:val="center"/>
          </w:tcPr>
          <w:p w14:paraId="3171082F">
            <w:pPr>
              <w:jc w:val="center"/>
              <w:rPr>
                <w:rFonts w:hint="eastAsia" w:ascii="宋体" w:hAnsi="宋体" w:cs="宋体"/>
              </w:rPr>
            </w:pPr>
          </w:p>
        </w:tc>
        <w:tc>
          <w:tcPr>
            <w:tcW w:w="1920" w:type="dxa"/>
            <w:noWrap w:val="0"/>
            <w:vAlign w:val="center"/>
          </w:tcPr>
          <w:p w14:paraId="47BD04FA">
            <w:pPr>
              <w:jc w:val="center"/>
              <w:rPr>
                <w:rFonts w:hint="eastAsia" w:ascii="宋体" w:hAnsi="宋体" w:cs="宋体"/>
              </w:rPr>
            </w:pPr>
          </w:p>
        </w:tc>
        <w:tc>
          <w:tcPr>
            <w:tcW w:w="2340" w:type="dxa"/>
            <w:noWrap w:val="0"/>
            <w:vAlign w:val="center"/>
          </w:tcPr>
          <w:p w14:paraId="02FD7068">
            <w:pPr>
              <w:jc w:val="center"/>
              <w:rPr>
                <w:rFonts w:hint="eastAsia" w:ascii="宋体" w:hAnsi="宋体" w:cs="宋体"/>
              </w:rPr>
            </w:pPr>
          </w:p>
        </w:tc>
        <w:tc>
          <w:tcPr>
            <w:tcW w:w="1349" w:type="dxa"/>
            <w:noWrap w:val="0"/>
            <w:vAlign w:val="center"/>
          </w:tcPr>
          <w:p w14:paraId="7E764FA9">
            <w:pPr>
              <w:jc w:val="center"/>
              <w:rPr>
                <w:rFonts w:hint="eastAsia" w:ascii="宋体" w:hAnsi="宋体" w:cs="宋体"/>
              </w:rPr>
            </w:pPr>
          </w:p>
        </w:tc>
      </w:tr>
      <w:tr w14:paraId="621AA42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0" w:type="dxa"/>
            <w:noWrap w:val="0"/>
            <w:vAlign w:val="top"/>
          </w:tcPr>
          <w:p w14:paraId="070174F9">
            <w:pPr>
              <w:rPr>
                <w:rFonts w:hint="eastAsia" w:ascii="宋体" w:hAnsi="宋体" w:cs="宋体"/>
              </w:rPr>
            </w:pPr>
          </w:p>
        </w:tc>
        <w:tc>
          <w:tcPr>
            <w:tcW w:w="1545" w:type="dxa"/>
            <w:noWrap w:val="0"/>
            <w:vAlign w:val="center"/>
          </w:tcPr>
          <w:p w14:paraId="50CEE88A">
            <w:pPr>
              <w:rPr>
                <w:rFonts w:hint="eastAsia" w:ascii="宋体" w:hAnsi="宋体" w:cs="宋体"/>
              </w:rPr>
            </w:pPr>
          </w:p>
        </w:tc>
        <w:tc>
          <w:tcPr>
            <w:tcW w:w="1260" w:type="dxa"/>
            <w:noWrap w:val="0"/>
            <w:vAlign w:val="center"/>
          </w:tcPr>
          <w:p w14:paraId="27589DB9">
            <w:pPr>
              <w:jc w:val="center"/>
              <w:rPr>
                <w:rFonts w:hint="eastAsia" w:ascii="宋体" w:hAnsi="宋体" w:cs="宋体"/>
              </w:rPr>
            </w:pPr>
          </w:p>
        </w:tc>
        <w:tc>
          <w:tcPr>
            <w:tcW w:w="1920" w:type="dxa"/>
            <w:noWrap w:val="0"/>
            <w:vAlign w:val="center"/>
          </w:tcPr>
          <w:p w14:paraId="325A3041">
            <w:pPr>
              <w:jc w:val="center"/>
              <w:rPr>
                <w:rFonts w:hint="eastAsia" w:ascii="宋体" w:hAnsi="宋体" w:cs="宋体"/>
              </w:rPr>
            </w:pPr>
          </w:p>
        </w:tc>
        <w:tc>
          <w:tcPr>
            <w:tcW w:w="2340" w:type="dxa"/>
            <w:noWrap w:val="0"/>
            <w:vAlign w:val="center"/>
          </w:tcPr>
          <w:p w14:paraId="6D29A9B8">
            <w:pPr>
              <w:jc w:val="center"/>
              <w:rPr>
                <w:rFonts w:hint="eastAsia" w:ascii="宋体" w:hAnsi="宋体" w:cs="宋体"/>
              </w:rPr>
            </w:pPr>
          </w:p>
        </w:tc>
        <w:tc>
          <w:tcPr>
            <w:tcW w:w="1349" w:type="dxa"/>
            <w:noWrap w:val="0"/>
            <w:vAlign w:val="center"/>
          </w:tcPr>
          <w:p w14:paraId="34423551">
            <w:pPr>
              <w:jc w:val="center"/>
              <w:rPr>
                <w:rFonts w:hint="eastAsia" w:ascii="宋体" w:hAnsi="宋体" w:cs="宋体"/>
              </w:rPr>
            </w:pPr>
          </w:p>
        </w:tc>
      </w:tr>
      <w:tr w14:paraId="251823D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30" w:type="dxa"/>
            <w:noWrap w:val="0"/>
            <w:vAlign w:val="top"/>
          </w:tcPr>
          <w:p w14:paraId="793E2A97">
            <w:pPr>
              <w:rPr>
                <w:rFonts w:hint="eastAsia" w:ascii="宋体" w:hAnsi="宋体" w:cs="宋体"/>
              </w:rPr>
            </w:pPr>
          </w:p>
        </w:tc>
        <w:tc>
          <w:tcPr>
            <w:tcW w:w="1545" w:type="dxa"/>
            <w:noWrap w:val="0"/>
            <w:vAlign w:val="center"/>
          </w:tcPr>
          <w:p w14:paraId="3458687D">
            <w:pPr>
              <w:rPr>
                <w:rFonts w:hint="eastAsia" w:ascii="宋体" w:hAnsi="宋体" w:cs="宋体"/>
              </w:rPr>
            </w:pPr>
          </w:p>
        </w:tc>
        <w:tc>
          <w:tcPr>
            <w:tcW w:w="1260" w:type="dxa"/>
            <w:noWrap w:val="0"/>
            <w:vAlign w:val="center"/>
          </w:tcPr>
          <w:p w14:paraId="7E420CAC">
            <w:pPr>
              <w:jc w:val="center"/>
              <w:rPr>
                <w:rFonts w:hint="eastAsia" w:ascii="宋体" w:hAnsi="宋体" w:cs="宋体"/>
              </w:rPr>
            </w:pPr>
          </w:p>
        </w:tc>
        <w:tc>
          <w:tcPr>
            <w:tcW w:w="1920" w:type="dxa"/>
            <w:noWrap w:val="0"/>
            <w:vAlign w:val="center"/>
          </w:tcPr>
          <w:p w14:paraId="163C61E0">
            <w:pPr>
              <w:jc w:val="center"/>
              <w:rPr>
                <w:rFonts w:hint="eastAsia" w:ascii="宋体" w:hAnsi="宋体" w:cs="宋体"/>
              </w:rPr>
            </w:pPr>
          </w:p>
        </w:tc>
        <w:tc>
          <w:tcPr>
            <w:tcW w:w="2340" w:type="dxa"/>
            <w:noWrap w:val="0"/>
            <w:vAlign w:val="center"/>
          </w:tcPr>
          <w:p w14:paraId="39630B06">
            <w:pPr>
              <w:jc w:val="center"/>
              <w:rPr>
                <w:rFonts w:hint="eastAsia" w:ascii="宋体" w:hAnsi="宋体" w:cs="宋体"/>
              </w:rPr>
            </w:pPr>
          </w:p>
        </w:tc>
        <w:tc>
          <w:tcPr>
            <w:tcW w:w="1349" w:type="dxa"/>
            <w:noWrap w:val="0"/>
            <w:vAlign w:val="center"/>
          </w:tcPr>
          <w:p w14:paraId="1377A6C7">
            <w:pPr>
              <w:jc w:val="center"/>
              <w:rPr>
                <w:rFonts w:hint="eastAsia" w:ascii="宋体" w:hAnsi="宋体" w:cs="宋体"/>
              </w:rPr>
            </w:pPr>
          </w:p>
        </w:tc>
      </w:tr>
      <w:tr w14:paraId="4EAA828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30" w:type="dxa"/>
            <w:noWrap w:val="0"/>
            <w:vAlign w:val="top"/>
          </w:tcPr>
          <w:p w14:paraId="1F7CEEC1">
            <w:pPr>
              <w:rPr>
                <w:rFonts w:hint="eastAsia" w:ascii="宋体" w:hAnsi="宋体" w:cs="宋体"/>
              </w:rPr>
            </w:pPr>
          </w:p>
        </w:tc>
        <w:tc>
          <w:tcPr>
            <w:tcW w:w="1545" w:type="dxa"/>
            <w:noWrap w:val="0"/>
            <w:vAlign w:val="center"/>
          </w:tcPr>
          <w:p w14:paraId="147D42B6">
            <w:pPr>
              <w:rPr>
                <w:rFonts w:hint="eastAsia" w:ascii="宋体" w:hAnsi="宋体" w:cs="宋体"/>
              </w:rPr>
            </w:pPr>
          </w:p>
        </w:tc>
        <w:tc>
          <w:tcPr>
            <w:tcW w:w="1260" w:type="dxa"/>
            <w:noWrap w:val="0"/>
            <w:vAlign w:val="center"/>
          </w:tcPr>
          <w:p w14:paraId="79038648">
            <w:pPr>
              <w:jc w:val="center"/>
              <w:rPr>
                <w:rFonts w:hint="eastAsia" w:ascii="宋体" w:hAnsi="宋体" w:cs="宋体"/>
              </w:rPr>
            </w:pPr>
          </w:p>
        </w:tc>
        <w:tc>
          <w:tcPr>
            <w:tcW w:w="1920" w:type="dxa"/>
            <w:noWrap w:val="0"/>
            <w:vAlign w:val="center"/>
          </w:tcPr>
          <w:p w14:paraId="3B70DD63">
            <w:pPr>
              <w:jc w:val="center"/>
              <w:rPr>
                <w:rFonts w:hint="eastAsia" w:ascii="宋体" w:hAnsi="宋体" w:cs="宋体"/>
              </w:rPr>
            </w:pPr>
          </w:p>
        </w:tc>
        <w:tc>
          <w:tcPr>
            <w:tcW w:w="2340" w:type="dxa"/>
            <w:noWrap w:val="0"/>
            <w:vAlign w:val="center"/>
          </w:tcPr>
          <w:p w14:paraId="5FD09277">
            <w:pPr>
              <w:jc w:val="center"/>
              <w:rPr>
                <w:rFonts w:hint="eastAsia" w:ascii="宋体" w:hAnsi="宋体" w:cs="宋体"/>
              </w:rPr>
            </w:pPr>
          </w:p>
        </w:tc>
        <w:tc>
          <w:tcPr>
            <w:tcW w:w="1349" w:type="dxa"/>
            <w:noWrap w:val="0"/>
            <w:vAlign w:val="center"/>
          </w:tcPr>
          <w:p w14:paraId="6C5D587E">
            <w:pPr>
              <w:jc w:val="center"/>
              <w:rPr>
                <w:rFonts w:hint="eastAsia" w:ascii="宋体" w:hAnsi="宋体" w:cs="宋体"/>
              </w:rPr>
            </w:pPr>
          </w:p>
        </w:tc>
      </w:tr>
    </w:tbl>
    <w:p w14:paraId="5EE9F185">
      <w:pPr>
        <w:spacing w:line="320" w:lineRule="atLeast"/>
        <w:ind w:firstLine="424"/>
        <w:rPr>
          <w:rFonts w:hint="eastAsia" w:ascii="宋体" w:hAnsi="宋体" w:cs="宋体"/>
          <w:sz w:val="22"/>
        </w:rPr>
      </w:pPr>
    </w:p>
    <w:p w14:paraId="52D17BE1">
      <w:pPr>
        <w:spacing w:line="320" w:lineRule="atLeast"/>
        <w:ind w:firstLine="424"/>
        <w:rPr>
          <w:rFonts w:hint="eastAsia" w:ascii="宋体" w:hAnsi="宋体" w:cs="宋体"/>
          <w:szCs w:val="24"/>
        </w:rPr>
      </w:pPr>
      <w:r>
        <w:rPr>
          <w:rFonts w:hint="eastAsia" w:ascii="宋体" w:hAnsi="宋体" w:cs="宋体"/>
          <w:sz w:val="22"/>
        </w:rPr>
        <w:t>注：1.请根据《评标办法前附表》中的</w:t>
      </w:r>
      <w:r>
        <w:rPr>
          <w:rFonts w:hint="eastAsia" w:ascii="宋体" w:hAnsi="宋体" w:cs="宋体"/>
          <w:sz w:val="22"/>
          <w:lang w:val="en-US" w:eastAsia="zh-CN"/>
        </w:rPr>
        <w:t>投标人</w:t>
      </w:r>
      <w:r>
        <w:rPr>
          <w:rFonts w:hint="eastAsia" w:ascii="宋体" w:hAnsi="宋体" w:cs="宋体"/>
          <w:sz w:val="22"/>
        </w:rPr>
        <w:t>业绩评审标准，附上相关证明材料</w:t>
      </w:r>
    </w:p>
    <w:p w14:paraId="2580D449">
      <w:pPr>
        <w:numPr>
          <w:ilvl w:val="0"/>
          <w:numId w:val="0"/>
        </w:numPr>
        <w:spacing w:line="240" w:lineRule="auto"/>
        <w:jc w:val="center"/>
        <w:outlineLvl w:val="9"/>
        <w:rPr>
          <w:rFonts w:hint="eastAsia" w:ascii="宋体" w:hAnsi="宋体" w:eastAsia="宋体"/>
          <w:color w:val="auto"/>
          <w:sz w:val="30"/>
          <w:szCs w:val="30"/>
        </w:rPr>
        <w:sectPr>
          <w:pgSz w:w="11907" w:h="16840"/>
          <w:pgMar w:top="1440" w:right="1440" w:bottom="1134" w:left="1440" w:header="851" w:footer="992" w:gutter="0"/>
          <w:cols w:space="720" w:num="1"/>
          <w:docGrid w:linePitch="312" w:charSpace="0"/>
        </w:sectPr>
      </w:pPr>
    </w:p>
    <w:p w14:paraId="56684C7B">
      <w:pPr>
        <w:outlineLvl w:val="1"/>
        <w:rPr>
          <w:rFonts w:hint="eastAsia" w:ascii="宋体" w:hAnsi="宋体" w:eastAsia="宋体" w:cs="Times New Roman"/>
          <w:b/>
          <w:bCs/>
          <w:color w:val="auto"/>
          <w:kern w:val="0"/>
          <w:sz w:val="30"/>
          <w:szCs w:val="30"/>
          <w:lang w:val="en-US" w:eastAsia="zh-CN"/>
        </w:rPr>
      </w:pPr>
      <w:r>
        <w:rPr>
          <w:rFonts w:hint="eastAsia" w:ascii="宋体" w:hAnsi="宋体" w:eastAsia="宋体" w:cs="Times New Roman"/>
          <w:b/>
          <w:bCs/>
          <w:color w:val="auto"/>
          <w:kern w:val="0"/>
          <w:sz w:val="30"/>
          <w:szCs w:val="30"/>
          <w:u w:val="none"/>
          <w:lang w:val="en-US" w:eastAsia="zh-CN"/>
        </w:rPr>
        <w:t>六、</w:t>
      </w:r>
      <w:r>
        <w:rPr>
          <w:rFonts w:hint="default" w:ascii="宋体" w:hAnsi="宋体" w:cs="Times New Roman"/>
          <w:b/>
          <w:bCs/>
          <w:color w:val="auto"/>
          <w:kern w:val="0"/>
          <w:sz w:val="30"/>
          <w:szCs w:val="30"/>
          <w:u w:val="none"/>
        </w:rPr>
        <w:t>其他证明企业资信实力、获奖证明资料等</w:t>
      </w:r>
    </w:p>
    <w:p w14:paraId="00043CD6">
      <w:pPr>
        <w:pStyle w:val="4"/>
        <w:spacing w:line="600" w:lineRule="auto"/>
        <w:jc w:val="center"/>
        <w:rPr>
          <w:rFonts w:hint="eastAsia" w:ascii="宋体" w:hAnsi="宋体" w:eastAsia="宋体"/>
          <w:color w:val="auto"/>
          <w:sz w:val="30"/>
          <w:szCs w:val="30"/>
          <w:lang w:val="en-US" w:eastAsia="zh-CN"/>
        </w:rPr>
        <w:sectPr>
          <w:pgSz w:w="11907" w:h="16840"/>
          <w:pgMar w:top="1440" w:right="1440" w:bottom="1134" w:left="1440" w:header="851" w:footer="992" w:gutter="0"/>
          <w:cols w:space="720" w:num="1"/>
          <w:docGrid w:linePitch="312" w:charSpace="0"/>
        </w:sectPr>
      </w:pPr>
    </w:p>
    <w:p w14:paraId="2B92F2BB">
      <w:pPr>
        <w:keepNext w:val="0"/>
        <w:keepLines w:val="0"/>
        <w:numPr>
          <w:ilvl w:val="0"/>
          <w:numId w:val="8"/>
        </w:numPr>
        <w:spacing w:line="240" w:lineRule="auto"/>
        <w:ind w:firstLine="0" w:firstLineChars="0"/>
        <w:outlineLvl w:val="1"/>
        <w:rPr>
          <w:rFonts w:hint="default" w:ascii="宋体" w:hAnsi="宋体" w:eastAsia="宋体" w:cs="Times New Roman"/>
          <w:b/>
          <w:bCs/>
          <w:color w:val="auto"/>
          <w:kern w:val="0"/>
          <w:sz w:val="30"/>
          <w:szCs w:val="30"/>
          <w:u w:val="none"/>
        </w:rPr>
      </w:pPr>
      <w:bookmarkStart w:id="443" w:name="_Toc145974298"/>
      <w:bookmarkStart w:id="444" w:name="_Toc38224867"/>
      <w:bookmarkStart w:id="445" w:name="_Toc9140"/>
      <w:bookmarkStart w:id="446" w:name="_Toc18694"/>
      <w:bookmarkStart w:id="447" w:name="_Toc377719917"/>
      <w:bookmarkStart w:id="448" w:name="_Toc13214"/>
      <w:bookmarkStart w:id="449" w:name="_Toc12738"/>
      <w:bookmarkStart w:id="450" w:name="_Toc532367897"/>
      <w:bookmarkStart w:id="451" w:name="_Toc25406"/>
      <w:bookmarkStart w:id="452" w:name="_Toc17488"/>
      <w:bookmarkStart w:id="453" w:name="_Toc29747"/>
      <w:r>
        <w:rPr>
          <w:rFonts w:hint="default" w:ascii="宋体" w:hAnsi="宋体" w:cs="Times New Roman"/>
          <w:b/>
          <w:bCs/>
          <w:color w:val="auto"/>
          <w:kern w:val="0"/>
          <w:sz w:val="30"/>
          <w:szCs w:val="30"/>
          <w:u w:val="none"/>
        </w:rPr>
        <w:t>拟投入本项目人员一览表</w:t>
      </w:r>
      <w:bookmarkEnd w:id="443"/>
      <w:bookmarkEnd w:id="444"/>
      <w:bookmarkEnd w:id="445"/>
    </w:p>
    <w:p w14:paraId="47EF6433">
      <w:pPr>
        <w:keepNext w:val="0"/>
        <w:keepLines w:val="0"/>
        <w:numPr>
          <w:ilvl w:val="-1"/>
          <w:numId w:val="0"/>
        </w:numPr>
        <w:spacing w:line="240" w:lineRule="auto"/>
        <w:ind w:firstLine="0" w:firstLineChars="0"/>
        <w:outlineLvl w:val="9"/>
        <w:rPr>
          <w:rFonts w:hint="default" w:ascii="宋体" w:hAnsi="宋体" w:cs="Times New Roman"/>
          <w:b/>
          <w:bCs/>
          <w:color w:val="auto"/>
          <w:kern w:val="0"/>
          <w:sz w:val="30"/>
          <w:szCs w:val="30"/>
          <w:u w:val="none"/>
        </w:rPr>
      </w:pPr>
    </w:p>
    <w:bookmarkEnd w:id="446"/>
    <w:bookmarkEnd w:id="447"/>
    <w:bookmarkEnd w:id="448"/>
    <w:bookmarkEnd w:id="449"/>
    <w:bookmarkEnd w:id="450"/>
    <w:bookmarkEnd w:id="451"/>
    <w:bookmarkEnd w:id="452"/>
    <w:bookmarkEnd w:id="453"/>
    <w:p w14:paraId="0C4F9B92">
      <w:pPr>
        <w:jc w:val="center"/>
        <w:outlineLvl w:val="1"/>
        <w:rPr>
          <w:rFonts w:hint="default" w:ascii="宋体" w:hAnsi="宋体" w:eastAsia="宋体" w:cs="Times New Roman"/>
          <w:b w:val="0"/>
          <w:bCs w:val="0"/>
          <w:color w:val="auto"/>
          <w:kern w:val="0"/>
          <w:sz w:val="30"/>
          <w:szCs w:val="30"/>
          <w:u w:val="none"/>
        </w:rPr>
      </w:pPr>
      <w:r>
        <w:rPr>
          <w:rFonts w:hint="eastAsia" w:ascii="宋体" w:hAnsi="宋体" w:eastAsia="宋体" w:cs="Times New Roman"/>
          <w:b w:val="0"/>
          <w:bCs w:val="0"/>
          <w:color w:val="auto"/>
          <w:kern w:val="0"/>
          <w:sz w:val="30"/>
          <w:szCs w:val="30"/>
          <w:u w:val="none"/>
          <w:lang w:eastAsia="zh-CN"/>
        </w:rPr>
        <w:t>（</w:t>
      </w:r>
      <w:r>
        <w:rPr>
          <w:rFonts w:hint="eastAsia" w:ascii="宋体" w:hAnsi="宋体" w:eastAsia="宋体" w:cs="Times New Roman"/>
          <w:b w:val="0"/>
          <w:bCs w:val="0"/>
          <w:color w:val="auto"/>
          <w:kern w:val="0"/>
          <w:sz w:val="30"/>
          <w:szCs w:val="30"/>
          <w:u w:val="none"/>
          <w:lang w:val="en-US" w:eastAsia="zh-CN"/>
        </w:rPr>
        <w:t>一）</w:t>
      </w:r>
      <w:r>
        <w:rPr>
          <w:rFonts w:hint="default" w:ascii="宋体" w:hAnsi="宋体" w:eastAsia="宋体" w:cs="Times New Roman"/>
          <w:b w:val="0"/>
          <w:bCs w:val="0"/>
          <w:color w:val="auto"/>
          <w:kern w:val="0"/>
          <w:sz w:val="30"/>
          <w:szCs w:val="30"/>
          <w:u w:val="none"/>
        </w:rPr>
        <w:t>拟投入本项目人员一览表</w:t>
      </w:r>
    </w:p>
    <w:p w14:paraId="4AFF2ADD">
      <w:pPr>
        <w:jc w:val="center"/>
        <w:rPr>
          <w:rFonts w:hint="eastAsia" w:ascii="宋体" w:hAnsi="宋体" w:eastAsia="宋体" w:cs="Times New Roman"/>
          <w:b w:val="0"/>
          <w:bCs w:val="0"/>
          <w:color w:val="auto"/>
          <w:kern w:val="0"/>
          <w:sz w:val="30"/>
          <w:szCs w:val="30"/>
          <w:u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212"/>
        <w:gridCol w:w="853"/>
        <w:gridCol w:w="1420"/>
        <w:gridCol w:w="1130"/>
        <w:gridCol w:w="1281"/>
        <w:gridCol w:w="1092"/>
      </w:tblGrid>
      <w:tr w14:paraId="69890E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815" w:type="dxa"/>
            <w:noWrap w:val="0"/>
            <w:vAlign w:val="center"/>
          </w:tcPr>
          <w:p w14:paraId="308CE02E">
            <w:pPr>
              <w:snapToGrid w:val="0"/>
              <w:spacing w:line="240" w:lineRule="atLeast"/>
              <w:jc w:val="center"/>
              <w:rPr>
                <w:rFonts w:hint="eastAsia" w:ascii="宋体" w:hAnsi="宋体" w:cs="宋体"/>
                <w:sz w:val="22"/>
              </w:rPr>
            </w:pPr>
            <w:r>
              <w:rPr>
                <w:rFonts w:hint="eastAsia" w:ascii="宋体" w:hAnsi="宋体" w:cs="宋体"/>
                <w:sz w:val="22"/>
              </w:rPr>
              <w:t>序号</w:t>
            </w:r>
          </w:p>
        </w:tc>
        <w:tc>
          <w:tcPr>
            <w:tcW w:w="1212" w:type="dxa"/>
            <w:noWrap w:val="0"/>
            <w:vAlign w:val="center"/>
          </w:tcPr>
          <w:p w14:paraId="66963249">
            <w:pPr>
              <w:snapToGrid w:val="0"/>
              <w:spacing w:line="240" w:lineRule="atLeast"/>
              <w:jc w:val="center"/>
              <w:rPr>
                <w:rFonts w:hint="eastAsia" w:ascii="宋体" w:hAnsi="宋体" w:cs="宋体"/>
                <w:sz w:val="22"/>
              </w:rPr>
            </w:pPr>
            <w:r>
              <w:rPr>
                <w:rFonts w:hint="eastAsia" w:ascii="宋体" w:hAnsi="宋体" w:cs="宋体"/>
                <w:sz w:val="22"/>
              </w:rPr>
              <w:t>姓名</w:t>
            </w:r>
          </w:p>
        </w:tc>
        <w:tc>
          <w:tcPr>
            <w:tcW w:w="853" w:type="dxa"/>
            <w:noWrap w:val="0"/>
            <w:vAlign w:val="center"/>
          </w:tcPr>
          <w:p w14:paraId="32CA8EEB">
            <w:pPr>
              <w:snapToGrid w:val="0"/>
              <w:spacing w:line="240" w:lineRule="atLeast"/>
              <w:jc w:val="center"/>
              <w:rPr>
                <w:rFonts w:hint="eastAsia" w:ascii="宋体" w:hAnsi="宋体" w:cs="宋体"/>
                <w:sz w:val="22"/>
              </w:rPr>
            </w:pPr>
            <w:r>
              <w:rPr>
                <w:rFonts w:hint="eastAsia" w:ascii="宋体" w:hAnsi="宋体" w:cs="宋体"/>
                <w:sz w:val="22"/>
              </w:rPr>
              <w:t>年龄</w:t>
            </w:r>
          </w:p>
        </w:tc>
        <w:tc>
          <w:tcPr>
            <w:tcW w:w="1420" w:type="dxa"/>
            <w:noWrap w:val="0"/>
            <w:vAlign w:val="center"/>
          </w:tcPr>
          <w:p w14:paraId="62A90C84">
            <w:pPr>
              <w:snapToGrid w:val="0"/>
              <w:spacing w:line="240" w:lineRule="atLeast"/>
              <w:jc w:val="center"/>
              <w:rPr>
                <w:rFonts w:hint="eastAsia" w:ascii="宋体" w:hAnsi="宋体" w:cs="宋体"/>
                <w:sz w:val="22"/>
              </w:rPr>
            </w:pPr>
            <w:r>
              <w:rPr>
                <w:rFonts w:hint="eastAsia" w:ascii="宋体" w:hAnsi="宋体" w:cs="宋体"/>
                <w:sz w:val="22"/>
              </w:rPr>
              <w:t>拟在本项目任职职位</w:t>
            </w:r>
          </w:p>
        </w:tc>
        <w:tc>
          <w:tcPr>
            <w:tcW w:w="1130" w:type="dxa"/>
            <w:noWrap w:val="0"/>
            <w:vAlign w:val="center"/>
          </w:tcPr>
          <w:p w14:paraId="6690A626">
            <w:pPr>
              <w:snapToGrid w:val="0"/>
              <w:spacing w:line="240" w:lineRule="atLeast"/>
              <w:jc w:val="center"/>
              <w:rPr>
                <w:rFonts w:hint="eastAsia" w:ascii="宋体" w:hAnsi="宋体" w:cs="宋体"/>
                <w:sz w:val="22"/>
              </w:rPr>
            </w:pPr>
            <w:r>
              <w:rPr>
                <w:rFonts w:hint="eastAsia" w:ascii="宋体" w:hAnsi="宋体" w:cs="宋体"/>
                <w:sz w:val="22"/>
              </w:rPr>
              <w:t>学历</w:t>
            </w:r>
          </w:p>
        </w:tc>
        <w:tc>
          <w:tcPr>
            <w:tcW w:w="1281" w:type="dxa"/>
            <w:noWrap w:val="0"/>
            <w:vAlign w:val="center"/>
          </w:tcPr>
          <w:p w14:paraId="42B83811">
            <w:pPr>
              <w:snapToGrid w:val="0"/>
              <w:spacing w:line="240" w:lineRule="atLeast"/>
              <w:jc w:val="center"/>
              <w:rPr>
                <w:rFonts w:hint="eastAsia" w:ascii="宋体" w:hAnsi="宋体" w:cs="宋体"/>
                <w:sz w:val="22"/>
              </w:rPr>
            </w:pPr>
            <w:r>
              <w:rPr>
                <w:rFonts w:hint="eastAsia" w:ascii="宋体" w:hAnsi="宋体" w:cs="宋体"/>
                <w:sz w:val="22"/>
              </w:rPr>
              <w:t>职称及专业</w:t>
            </w:r>
          </w:p>
        </w:tc>
        <w:tc>
          <w:tcPr>
            <w:tcW w:w="1092" w:type="dxa"/>
            <w:noWrap w:val="0"/>
            <w:vAlign w:val="center"/>
          </w:tcPr>
          <w:p w14:paraId="3629ABC6">
            <w:pPr>
              <w:snapToGrid w:val="0"/>
              <w:spacing w:line="240" w:lineRule="atLeast"/>
              <w:jc w:val="center"/>
              <w:rPr>
                <w:rFonts w:hint="eastAsia" w:ascii="宋体" w:hAnsi="宋体" w:cs="宋体"/>
                <w:sz w:val="22"/>
              </w:rPr>
            </w:pPr>
            <w:r>
              <w:rPr>
                <w:rFonts w:hint="eastAsia" w:ascii="宋体" w:hAnsi="宋体" w:cs="宋体"/>
                <w:sz w:val="22"/>
              </w:rPr>
              <w:t>工作年限</w:t>
            </w:r>
          </w:p>
        </w:tc>
      </w:tr>
      <w:tr w14:paraId="543ACE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48B4FE93">
            <w:pPr>
              <w:jc w:val="center"/>
              <w:rPr>
                <w:rFonts w:hint="eastAsia" w:ascii="宋体" w:hAnsi="宋体" w:cs="宋体"/>
                <w:sz w:val="22"/>
              </w:rPr>
            </w:pPr>
          </w:p>
        </w:tc>
        <w:tc>
          <w:tcPr>
            <w:tcW w:w="1212" w:type="dxa"/>
            <w:noWrap w:val="0"/>
            <w:vAlign w:val="center"/>
          </w:tcPr>
          <w:p w14:paraId="177079AD">
            <w:pPr>
              <w:jc w:val="center"/>
              <w:rPr>
                <w:rFonts w:hint="eastAsia" w:ascii="宋体" w:hAnsi="宋体" w:cs="宋体"/>
                <w:sz w:val="22"/>
              </w:rPr>
            </w:pPr>
          </w:p>
        </w:tc>
        <w:tc>
          <w:tcPr>
            <w:tcW w:w="853" w:type="dxa"/>
            <w:noWrap w:val="0"/>
            <w:vAlign w:val="center"/>
          </w:tcPr>
          <w:p w14:paraId="024906A3">
            <w:pPr>
              <w:jc w:val="center"/>
              <w:rPr>
                <w:rFonts w:hint="eastAsia" w:ascii="宋体" w:hAnsi="宋体" w:cs="宋体"/>
                <w:sz w:val="22"/>
              </w:rPr>
            </w:pPr>
          </w:p>
        </w:tc>
        <w:tc>
          <w:tcPr>
            <w:tcW w:w="1420" w:type="dxa"/>
            <w:noWrap w:val="0"/>
            <w:vAlign w:val="center"/>
          </w:tcPr>
          <w:p w14:paraId="3D18CDC6">
            <w:pPr>
              <w:jc w:val="center"/>
              <w:rPr>
                <w:rFonts w:hint="eastAsia" w:ascii="宋体" w:hAnsi="宋体" w:cs="宋体"/>
                <w:sz w:val="22"/>
              </w:rPr>
            </w:pPr>
          </w:p>
        </w:tc>
        <w:tc>
          <w:tcPr>
            <w:tcW w:w="1130" w:type="dxa"/>
            <w:noWrap w:val="0"/>
            <w:vAlign w:val="center"/>
          </w:tcPr>
          <w:p w14:paraId="658EFC4D">
            <w:pPr>
              <w:jc w:val="center"/>
              <w:rPr>
                <w:rFonts w:hint="eastAsia" w:ascii="宋体" w:hAnsi="宋体" w:cs="宋体"/>
                <w:sz w:val="22"/>
              </w:rPr>
            </w:pPr>
          </w:p>
        </w:tc>
        <w:tc>
          <w:tcPr>
            <w:tcW w:w="1281" w:type="dxa"/>
            <w:noWrap w:val="0"/>
            <w:vAlign w:val="center"/>
          </w:tcPr>
          <w:p w14:paraId="673D68D1">
            <w:pPr>
              <w:jc w:val="center"/>
              <w:rPr>
                <w:rFonts w:hint="eastAsia" w:ascii="宋体" w:hAnsi="宋体" w:cs="宋体"/>
                <w:sz w:val="22"/>
              </w:rPr>
            </w:pPr>
          </w:p>
        </w:tc>
        <w:tc>
          <w:tcPr>
            <w:tcW w:w="1092" w:type="dxa"/>
            <w:noWrap w:val="0"/>
            <w:vAlign w:val="center"/>
          </w:tcPr>
          <w:p w14:paraId="24C5BCD7">
            <w:pPr>
              <w:jc w:val="center"/>
              <w:rPr>
                <w:rFonts w:hint="eastAsia" w:ascii="宋体" w:hAnsi="宋体" w:cs="宋体"/>
                <w:sz w:val="22"/>
              </w:rPr>
            </w:pPr>
          </w:p>
        </w:tc>
      </w:tr>
      <w:tr w14:paraId="467510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68B83B00">
            <w:pPr>
              <w:jc w:val="center"/>
              <w:rPr>
                <w:rFonts w:hint="eastAsia" w:ascii="宋体" w:hAnsi="宋体" w:cs="宋体"/>
                <w:sz w:val="22"/>
              </w:rPr>
            </w:pPr>
          </w:p>
        </w:tc>
        <w:tc>
          <w:tcPr>
            <w:tcW w:w="1212" w:type="dxa"/>
            <w:noWrap w:val="0"/>
            <w:vAlign w:val="center"/>
          </w:tcPr>
          <w:p w14:paraId="3D01BC7E">
            <w:pPr>
              <w:jc w:val="center"/>
              <w:rPr>
                <w:rFonts w:hint="eastAsia" w:ascii="宋体" w:hAnsi="宋体" w:cs="宋体"/>
                <w:sz w:val="22"/>
              </w:rPr>
            </w:pPr>
          </w:p>
        </w:tc>
        <w:tc>
          <w:tcPr>
            <w:tcW w:w="853" w:type="dxa"/>
            <w:noWrap w:val="0"/>
            <w:vAlign w:val="center"/>
          </w:tcPr>
          <w:p w14:paraId="75433F3F">
            <w:pPr>
              <w:jc w:val="center"/>
              <w:rPr>
                <w:rFonts w:hint="eastAsia" w:ascii="宋体" w:hAnsi="宋体" w:cs="宋体"/>
                <w:sz w:val="22"/>
              </w:rPr>
            </w:pPr>
          </w:p>
        </w:tc>
        <w:tc>
          <w:tcPr>
            <w:tcW w:w="1420" w:type="dxa"/>
            <w:noWrap w:val="0"/>
            <w:vAlign w:val="center"/>
          </w:tcPr>
          <w:p w14:paraId="603E9B85">
            <w:pPr>
              <w:jc w:val="center"/>
              <w:rPr>
                <w:rFonts w:hint="eastAsia" w:ascii="宋体" w:hAnsi="宋体" w:cs="宋体"/>
                <w:sz w:val="22"/>
              </w:rPr>
            </w:pPr>
          </w:p>
        </w:tc>
        <w:tc>
          <w:tcPr>
            <w:tcW w:w="1130" w:type="dxa"/>
            <w:noWrap w:val="0"/>
            <w:vAlign w:val="center"/>
          </w:tcPr>
          <w:p w14:paraId="63A93810">
            <w:pPr>
              <w:jc w:val="center"/>
              <w:rPr>
                <w:rFonts w:hint="eastAsia" w:ascii="宋体" w:hAnsi="宋体" w:cs="宋体"/>
                <w:sz w:val="22"/>
              </w:rPr>
            </w:pPr>
          </w:p>
        </w:tc>
        <w:tc>
          <w:tcPr>
            <w:tcW w:w="1281" w:type="dxa"/>
            <w:noWrap w:val="0"/>
            <w:vAlign w:val="center"/>
          </w:tcPr>
          <w:p w14:paraId="362926C1">
            <w:pPr>
              <w:jc w:val="center"/>
              <w:rPr>
                <w:rFonts w:hint="eastAsia" w:ascii="宋体" w:hAnsi="宋体" w:cs="宋体"/>
                <w:sz w:val="22"/>
              </w:rPr>
            </w:pPr>
          </w:p>
        </w:tc>
        <w:tc>
          <w:tcPr>
            <w:tcW w:w="1092" w:type="dxa"/>
            <w:noWrap w:val="0"/>
            <w:vAlign w:val="center"/>
          </w:tcPr>
          <w:p w14:paraId="75D7F165">
            <w:pPr>
              <w:jc w:val="center"/>
              <w:rPr>
                <w:rFonts w:hint="eastAsia" w:ascii="宋体" w:hAnsi="宋体" w:cs="宋体"/>
                <w:sz w:val="22"/>
              </w:rPr>
            </w:pPr>
          </w:p>
        </w:tc>
      </w:tr>
      <w:tr w14:paraId="56162A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581A8C8E">
            <w:pPr>
              <w:jc w:val="center"/>
              <w:rPr>
                <w:rFonts w:hint="eastAsia" w:ascii="宋体" w:hAnsi="宋体" w:cs="宋体"/>
                <w:sz w:val="22"/>
              </w:rPr>
            </w:pPr>
          </w:p>
        </w:tc>
        <w:tc>
          <w:tcPr>
            <w:tcW w:w="1212" w:type="dxa"/>
            <w:noWrap w:val="0"/>
            <w:vAlign w:val="center"/>
          </w:tcPr>
          <w:p w14:paraId="2D847C7E">
            <w:pPr>
              <w:jc w:val="center"/>
              <w:rPr>
                <w:rFonts w:hint="eastAsia" w:ascii="宋体" w:hAnsi="宋体" w:cs="宋体"/>
                <w:sz w:val="22"/>
              </w:rPr>
            </w:pPr>
          </w:p>
        </w:tc>
        <w:tc>
          <w:tcPr>
            <w:tcW w:w="853" w:type="dxa"/>
            <w:noWrap w:val="0"/>
            <w:vAlign w:val="center"/>
          </w:tcPr>
          <w:p w14:paraId="49FBAF8C">
            <w:pPr>
              <w:jc w:val="center"/>
              <w:rPr>
                <w:rFonts w:hint="eastAsia" w:ascii="宋体" w:hAnsi="宋体" w:cs="宋体"/>
                <w:sz w:val="22"/>
              </w:rPr>
            </w:pPr>
          </w:p>
        </w:tc>
        <w:tc>
          <w:tcPr>
            <w:tcW w:w="1420" w:type="dxa"/>
            <w:noWrap w:val="0"/>
            <w:vAlign w:val="center"/>
          </w:tcPr>
          <w:p w14:paraId="7266F747">
            <w:pPr>
              <w:jc w:val="center"/>
              <w:rPr>
                <w:rFonts w:hint="eastAsia" w:ascii="宋体" w:hAnsi="宋体" w:cs="宋体"/>
                <w:sz w:val="22"/>
              </w:rPr>
            </w:pPr>
          </w:p>
        </w:tc>
        <w:tc>
          <w:tcPr>
            <w:tcW w:w="1130" w:type="dxa"/>
            <w:noWrap w:val="0"/>
            <w:vAlign w:val="center"/>
          </w:tcPr>
          <w:p w14:paraId="78ED29D7">
            <w:pPr>
              <w:jc w:val="center"/>
              <w:rPr>
                <w:rFonts w:hint="eastAsia" w:ascii="宋体" w:hAnsi="宋体" w:cs="宋体"/>
                <w:sz w:val="22"/>
              </w:rPr>
            </w:pPr>
          </w:p>
        </w:tc>
        <w:tc>
          <w:tcPr>
            <w:tcW w:w="1281" w:type="dxa"/>
            <w:noWrap w:val="0"/>
            <w:vAlign w:val="center"/>
          </w:tcPr>
          <w:p w14:paraId="71F316A6">
            <w:pPr>
              <w:jc w:val="center"/>
              <w:rPr>
                <w:rFonts w:hint="eastAsia" w:ascii="宋体" w:hAnsi="宋体" w:cs="宋体"/>
                <w:sz w:val="22"/>
              </w:rPr>
            </w:pPr>
          </w:p>
        </w:tc>
        <w:tc>
          <w:tcPr>
            <w:tcW w:w="1092" w:type="dxa"/>
            <w:noWrap w:val="0"/>
            <w:vAlign w:val="center"/>
          </w:tcPr>
          <w:p w14:paraId="1DE916D0">
            <w:pPr>
              <w:jc w:val="center"/>
              <w:rPr>
                <w:rFonts w:hint="eastAsia" w:ascii="宋体" w:hAnsi="宋体" w:cs="宋体"/>
                <w:sz w:val="22"/>
              </w:rPr>
            </w:pPr>
          </w:p>
        </w:tc>
      </w:tr>
      <w:tr w14:paraId="46B7FE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398059E6">
            <w:pPr>
              <w:jc w:val="center"/>
              <w:rPr>
                <w:rFonts w:hint="eastAsia" w:ascii="宋体" w:hAnsi="宋体" w:cs="宋体"/>
                <w:sz w:val="22"/>
              </w:rPr>
            </w:pPr>
          </w:p>
        </w:tc>
        <w:tc>
          <w:tcPr>
            <w:tcW w:w="1212" w:type="dxa"/>
            <w:noWrap w:val="0"/>
            <w:vAlign w:val="center"/>
          </w:tcPr>
          <w:p w14:paraId="11BD3C1F">
            <w:pPr>
              <w:jc w:val="center"/>
              <w:rPr>
                <w:rFonts w:hint="eastAsia" w:ascii="宋体" w:hAnsi="宋体" w:cs="宋体"/>
                <w:sz w:val="22"/>
              </w:rPr>
            </w:pPr>
          </w:p>
        </w:tc>
        <w:tc>
          <w:tcPr>
            <w:tcW w:w="853" w:type="dxa"/>
            <w:noWrap w:val="0"/>
            <w:vAlign w:val="center"/>
          </w:tcPr>
          <w:p w14:paraId="7C9536EC">
            <w:pPr>
              <w:jc w:val="center"/>
              <w:rPr>
                <w:rFonts w:hint="eastAsia" w:ascii="宋体" w:hAnsi="宋体" w:cs="宋体"/>
                <w:sz w:val="22"/>
              </w:rPr>
            </w:pPr>
          </w:p>
        </w:tc>
        <w:tc>
          <w:tcPr>
            <w:tcW w:w="1420" w:type="dxa"/>
            <w:noWrap w:val="0"/>
            <w:vAlign w:val="center"/>
          </w:tcPr>
          <w:p w14:paraId="5FC6AF2C">
            <w:pPr>
              <w:jc w:val="center"/>
              <w:rPr>
                <w:rFonts w:hint="eastAsia" w:ascii="宋体" w:hAnsi="宋体" w:cs="宋体"/>
                <w:sz w:val="22"/>
              </w:rPr>
            </w:pPr>
          </w:p>
        </w:tc>
        <w:tc>
          <w:tcPr>
            <w:tcW w:w="1130" w:type="dxa"/>
            <w:noWrap w:val="0"/>
            <w:vAlign w:val="center"/>
          </w:tcPr>
          <w:p w14:paraId="6A6BE221">
            <w:pPr>
              <w:jc w:val="center"/>
              <w:rPr>
                <w:rFonts w:hint="eastAsia" w:ascii="宋体" w:hAnsi="宋体" w:cs="宋体"/>
                <w:sz w:val="22"/>
              </w:rPr>
            </w:pPr>
          </w:p>
        </w:tc>
        <w:tc>
          <w:tcPr>
            <w:tcW w:w="1281" w:type="dxa"/>
            <w:noWrap w:val="0"/>
            <w:vAlign w:val="center"/>
          </w:tcPr>
          <w:p w14:paraId="35865FEE">
            <w:pPr>
              <w:jc w:val="center"/>
              <w:rPr>
                <w:rFonts w:hint="eastAsia" w:ascii="宋体" w:hAnsi="宋体" w:cs="宋体"/>
                <w:sz w:val="22"/>
              </w:rPr>
            </w:pPr>
          </w:p>
        </w:tc>
        <w:tc>
          <w:tcPr>
            <w:tcW w:w="1092" w:type="dxa"/>
            <w:noWrap w:val="0"/>
            <w:vAlign w:val="center"/>
          </w:tcPr>
          <w:p w14:paraId="67426AC8">
            <w:pPr>
              <w:jc w:val="center"/>
              <w:rPr>
                <w:rFonts w:hint="eastAsia" w:ascii="宋体" w:hAnsi="宋体" w:cs="宋体"/>
                <w:sz w:val="22"/>
              </w:rPr>
            </w:pPr>
          </w:p>
        </w:tc>
      </w:tr>
      <w:tr w14:paraId="502B79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4A9BF73A">
            <w:pPr>
              <w:jc w:val="center"/>
              <w:rPr>
                <w:rFonts w:hint="eastAsia" w:ascii="宋体" w:hAnsi="宋体" w:cs="宋体"/>
                <w:sz w:val="22"/>
              </w:rPr>
            </w:pPr>
          </w:p>
        </w:tc>
        <w:tc>
          <w:tcPr>
            <w:tcW w:w="1212" w:type="dxa"/>
            <w:noWrap w:val="0"/>
            <w:vAlign w:val="center"/>
          </w:tcPr>
          <w:p w14:paraId="70D017CC">
            <w:pPr>
              <w:jc w:val="center"/>
              <w:rPr>
                <w:rFonts w:hint="eastAsia" w:ascii="宋体" w:hAnsi="宋体" w:cs="宋体"/>
                <w:sz w:val="22"/>
              </w:rPr>
            </w:pPr>
          </w:p>
        </w:tc>
        <w:tc>
          <w:tcPr>
            <w:tcW w:w="853" w:type="dxa"/>
            <w:noWrap w:val="0"/>
            <w:vAlign w:val="center"/>
          </w:tcPr>
          <w:p w14:paraId="4B304D2A">
            <w:pPr>
              <w:jc w:val="center"/>
              <w:rPr>
                <w:rFonts w:hint="eastAsia" w:ascii="宋体" w:hAnsi="宋体" w:cs="宋体"/>
                <w:sz w:val="22"/>
              </w:rPr>
            </w:pPr>
          </w:p>
        </w:tc>
        <w:tc>
          <w:tcPr>
            <w:tcW w:w="1420" w:type="dxa"/>
            <w:noWrap w:val="0"/>
            <w:vAlign w:val="center"/>
          </w:tcPr>
          <w:p w14:paraId="70197DF1">
            <w:pPr>
              <w:jc w:val="center"/>
              <w:rPr>
                <w:rFonts w:hint="eastAsia" w:ascii="宋体" w:hAnsi="宋体" w:cs="宋体"/>
                <w:sz w:val="22"/>
              </w:rPr>
            </w:pPr>
          </w:p>
        </w:tc>
        <w:tc>
          <w:tcPr>
            <w:tcW w:w="1130" w:type="dxa"/>
            <w:noWrap w:val="0"/>
            <w:vAlign w:val="center"/>
          </w:tcPr>
          <w:p w14:paraId="603EF91C">
            <w:pPr>
              <w:jc w:val="center"/>
              <w:rPr>
                <w:rFonts w:hint="eastAsia" w:ascii="宋体" w:hAnsi="宋体" w:cs="宋体"/>
                <w:sz w:val="22"/>
              </w:rPr>
            </w:pPr>
          </w:p>
        </w:tc>
        <w:tc>
          <w:tcPr>
            <w:tcW w:w="1281" w:type="dxa"/>
            <w:noWrap w:val="0"/>
            <w:vAlign w:val="center"/>
          </w:tcPr>
          <w:p w14:paraId="160CB010">
            <w:pPr>
              <w:jc w:val="center"/>
              <w:rPr>
                <w:rFonts w:hint="eastAsia" w:ascii="宋体" w:hAnsi="宋体" w:cs="宋体"/>
                <w:sz w:val="22"/>
              </w:rPr>
            </w:pPr>
          </w:p>
        </w:tc>
        <w:tc>
          <w:tcPr>
            <w:tcW w:w="1092" w:type="dxa"/>
            <w:noWrap w:val="0"/>
            <w:vAlign w:val="center"/>
          </w:tcPr>
          <w:p w14:paraId="4A5E6566">
            <w:pPr>
              <w:jc w:val="center"/>
              <w:rPr>
                <w:rFonts w:hint="eastAsia" w:ascii="宋体" w:hAnsi="宋体" w:cs="宋体"/>
                <w:sz w:val="22"/>
              </w:rPr>
            </w:pPr>
          </w:p>
        </w:tc>
      </w:tr>
      <w:tr w14:paraId="5610DB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22420EC9">
            <w:pPr>
              <w:jc w:val="center"/>
              <w:rPr>
                <w:rFonts w:hint="eastAsia" w:ascii="宋体" w:hAnsi="宋体" w:cs="宋体"/>
                <w:sz w:val="22"/>
              </w:rPr>
            </w:pPr>
          </w:p>
        </w:tc>
        <w:tc>
          <w:tcPr>
            <w:tcW w:w="1212" w:type="dxa"/>
            <w:noWrap w:val="0"/>
            <w:vAlign w:val="center"/>
          </w:tcPr>
          <w:p w14:paraId="6879FB25">
            <w:pPr>
              <w:jc w:val="center"/>
              <w:rPr>
                <w:rFonts w:hint="eastAsia" w:ascii="宋体" w:hAnsi="宋体" w:cs="宋体"/>
                <w:sz w:val="22"/>
              </w:rPr>
            </w:pPr>
          </w:p>
        </w:tc>
        <w:tc>
          <w:tcPr>
            <w:tcW w:w="853" w:type="dxa"/>
            <w:noWrap w:val="0"/>
            <w:vAlign w:val="center"/>
          </w:tcPr>
          <w:p w14:paraId="65CC27A3">
            <w:pPr>
              <w:jc w:val="center"/>
              <w:rPr>
                <w:rFonts w:hint="eastAsia" w:ascii="宋体" w:hAnsi="宋体" w:cs="宋体"/>
                <w:sz w:val="22"/>
              </w:rPr>
            </w:pPr>
          </w:p>
        </w:tc>
        <w:tc>
          <w:tcPr>
            <w:tcW w:w="1420" w:type="dxa"/>
            <w:noWrap w:val="0"/>
            <w:vAlign w:val="center"/>
          </w:tcPr>
          <w:p w14:paraId="794D4BFF">
            <w:pPr>
              <w:jc w:val="center"/>
              <w:rPr>
                <w:rFonts w:hint="eastAsia" w:ascii="宋体" w:hAnsi="宋体" w:cs="宋体"/>
                <w:sz w:val="22"/>
              </w:rPr>
            </w:pPr>
          </w:p>
        </w:tc>
        <w:tc>
          <w:tcPr>
            <w:tcW w:w="1130" w:type="dxa"/>
            <w:noWrap w:val="0"/>
            <w:vAlign w:val="center"/>
          </w:tcPr>
          <w:p w14:paraId="600A0C20">
            <w:pPr>
              <w:jc w:val="center"/>
              <w:rPr>
                <w:rFonts w:hint="eastAsia" w:ascii="宋体" w:hAnsi="宋体" w:cs="宋体"/>
                <w:sz w:val="22"/>
              </w:rPr>
            </w:pPr>
          </w:p>
        </w:tc>
        <w:tc>
          <w:tcPr>
            <w:tcW w:w="1281" w:type="dxa"/>
            <w:noWrap w:val="0"/>
            <w:vAlign w:val="center"/>
          </w:tcPr>
          <w:p w14:paraId="12CAC297">
            <w:pPr>
              <w:jc w:val="center"/>
              <w:rPr>
                <w:rFonts w:hint="eastAsia" w:ascii="宋体" w:hAnsi="宋体" w:cs="宋体"/>
                <w:sz w:val="22"/>
              </w:rPr>
            </w:pPr>
          </w:p>
        </w:tc>
        <w:tc>
          <w:tcPr>
            <w:tcW w:w="1092" w:type="dxa"/>
            <w:noWrap w:val="0"/>
            <w:vAlign w:val="center"/>
          </w:tcPr>
          <w:p w14:paraId="7AA5D850">
            <w:pPr>
              <w:jc w:val="center"/>
              <w:rPr>
                <w:rFonts w:hint="eastAsia" w:ascii="宋体" w:hAnsi="宋体" w:cs="宋体"/>
                <w:sz w:val="22"/>
              </w:rPr>
            </w:pPr>
          </w:p>
        </w:tc>
      </w:tr>
      <w:tr w14:paraId="30E953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10DD17C3">
            <w:pPr>
              <w:jc w:val="center"/>
              <w:rPr>
                <w:rFonts w:hint="eastAsia" w:ascii="宋体" w:hAnsi="宋体" w:cs="宋体"/>
                <w:sz w:val="22"/>
              </w:rPr>
            </w:pPr>
          </w:p>
        </w:tc>
        <w:tc>
          <w:tcPr>
            <w:tcW w:w="1212" w:type="dxa"/>
            <w:noWrap w:val="0"/>
            <w:vAlign w:val="center"/>
          </w:tcPr>
          <w:p w14:paraId="16040ECF">
            <w:pPr>
              <w:jc w:val="center"/>
              <w:rPr>
                <w:rFonts w:hint="eastAsia" w:ascii="宋体" w:hAnsi="宋体" w:cs="宋体"/>
                <w:sz w:val="22"/>
              </w:rPr>
            </w:pPr>
          </w:p>
        </w:tc>
        <w:tc>
          <w:tcPr>
            <w:tcW w:w="853" w:type="dxa"/>
            <w:noWrap w:val="0"/>
            <w:vAlign w:val="center"/>
          </w:tcPr>
          <w:p w14:paraId="3C29E49C">
            <w:pPr>
              <w:jc w:val="center"/>
              <w:rPr>
                <w:rFonts w:hint="eastAsia" w:ascii="宋体" w:hAnsi="宋体" w:cs="宋体"/>
                <w:sz w:val="22"/>
              </w:rPr>
            </w:pPr>
          </w:p>
        </w:tc>
        <w:tc>
          <w:tcPr>
            <w:tcW w:w="1420" w:type="dxa"/>
            <w:noWrap w:val="0"/>
            <w:vAlign w:val="center"/>
          </w:tcPr>
          <w:p w14:paraId="240FC907">
            <w:pPr>
              <w:jc w:val="center"/>
              <w:rPr>
                <w:rFonts w:hint="eastAsia" w:ascii="宋体" w:hAnsi="宋体" w:cs="宋体"/>
                <w:sz w:val="22"/>
              </w:rPr>
            </w:pPr>
          </w:p>
        </w:tc>
        <w:tc>
          <w:tcPr>
            <w:tcW w:w="1130" w:type="dxa"/>
            <w:noWrap w:val="0"/>
            <w:vAlign w:val="center"/>
          </w:tcPr>
          <w:p w14:paraId="11399035">
            <w:pPr>
              <w:jc w:val="center"/>
              <w:rPr>
                <w:rFonts w:hint="eastAsia" w:ascii="宋体" w:hAnsi="宋体" w:cs="宋体"/>
                <w:sz w:val="22"/>
              </w:rPr>
            </w:pPr>
          </w:p>
        </w:tc>
        <w:tc>
          <w:tcPr>
            <w:tcW w:w="1281" w:type="dxa"/>
            <w:noWrap w:val="0"/>
            <w:vAlign w:val="center"/>
          </w:tcPr>
          <w:p w14:paraId="7A8E1F35">
            <w:pPr>
              <w:jc w:val="center"/>
              <w:rPr>
                <w:rFonts w:hint="eastAsia" w:ascii="宋体" w:hAnsi="宋体" w:cs="宋体"/>
                <w:sz w:val="22"/>
              </w:rPr>
            </w:pPr>
          </w:p>
        </w:tc>
        <w:tc>
          <w:tcPr>
            <w:tcW w:w="1092" w:type="dxa"/>
            <w:noWrap w:val="0"/>
            <w:vAlign w:val="center"/>
          </w:tcPr>
          <w:p w14:paraId="797BF125">
            <w:pPr>
              <w:jc w:val="center"/>
              <w:rPr>
                <w:rFonts w:hint="eastAsia" w:ascii="宋体" w:hAnsi="宋体" w:cs="宋体"/>
                <w:sz w:val="22"/>
              </w:rPr>
            </w:pPr>
          </w:p>
        </w:tc>
      </w:tr>
      <w:tr w14:paraId="24DA2D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0C20E075">
            <w:pPr>
              <w:jc w:val="center"/>
              <w:rPr>
                <w:rFonts w:hint="eastAsia" w:ascii="宋体" w:hAnsi="宋体" w:cs="宋体"/>
                <w:sz w:val="22"/>
              </w:rPr>
            </w:pPr>
          </w:p>
        </w:tc>
        <w:tc>
          <w:tcPr>
            <w:tcW w:w="1212" w:type="dxa"/>
            <w:noWrap w:val="0"/>
            <w:vAlign w:val="center"/>
          </w:tcPr>
          <w:p w14:paraId="542F1A7C">
            <w:pPr>
              <w:jc w:val="center"/>
              <w:rPr>
                <w:rFonts w:hint="eastAsia" w:ascii="宋体" w:hAnsi="宋体" w:cs="宋体"/>
                <w:sz w:val="22"/>
              </w:rPr>
            </w:pPr>
          </w:p>
        </w:tc>
        <w:tc>
          <w:tcPr>
            <w:tcW w:w="853" w:type="dxa"/>
            <w:noWrap w:val="0"/>
            <w:vAlign w:val="center"/>
          </w:tcPr>
          <w:p w14:paraId="15F7ADDB">
            <w:pPr>
              <w:jc w:val="center"/>
              <w:rPr>
                <w:rFonts w:hint="eastAsia" w:ascii="宋体" w:hAnsi="宋体" w:cs="宋体"/>
                <w:sz w:val="22"/>
              </w:rPr>
            </w:pPr>
          </w:p>
        </w:tc>
        <w:tc>
          <w:tcPr>
            <w:tcW w:w="1420" w:type="dxa"/>
            <w:noWrap w:val="0"/>
            <w:vAlign w:val="center"/>
          </w:tcPr>
          <w:p w14:paraId="6E0065CB">
            <w:pPr>
              <w:jc w:val="center"/>
              <w:rPr>
                <w:rFonts w:hint="eastAsia" w:ascii="宋体" w:hAnsi="宋体" w:cs="宋体"/>
                <w:sz w:val="22"/>
              </w:rPr>
            </w:pPr>
          </w:p>
        </w:tc>
        <w:tc>
          <w:tcPr>
            <w:tcW w:w="1130" w:type="dxa"/>
            <w:noWrap w:val="0"/>
            <w:vAlign w:val="center"/>
          </w:tcPr>
          <w:p w14:paraId="5F47980B">
            <w:pPr>
              <w:jc w:val="center"/>
              <w:rPr>
                <w:rFonts w:hint="eastAsia" w:ascii="宋体" w:hAnsi="宋体" w:cs="宋体"/>
                <w:sz w:val="22"/>
              </w:rPr>
            </w:pPr>
          </w:p>
        </w:tc>
        <w:tc>
          <w:tcPr>
            <w:tcW w:w="1281" w:type="dxa"/>
            <w:noWrap w:val="0"/>
            <w:vAlign w:val="center"/>
          </w:tcPr>
          <w:p w14:paraId="7AE8D070">
            <w:pPr>
              <w:jc w:val="center"/>
              <w:rPr>
                <w:rFonts w:hint="eastAsia" w:ascii="宋体" w:hAnsi="宋体" w:cs="宋体"/>
                <w:sz w:val="22"/>
              </w:rPr>
            </w:pPr>
          </w:p>
        </w:tc>
        <w:tc>
          <w:tcPr>
            <w:tcW w:w="1092" w:type="dxa"/>
            <w:noWrap w:val="0"/>
            <w:vAlign w:val="center"/>
          </w:tcPr>
          <w:p w14:paraId="1DE6DA54">
            <w:pPr>
              <w:jc w:val="center"/>
              <w:rPr>
                <w:rFonts w:hint="eastAsia" w:ascii="宋体" w:hAnsi="宋体" w:cs="宋体"/>
                <w:sz w:val="22"/>
              </w:rPr>
            </w:pPr>
          </w:p>
        </w:tc>
      </w:tr>
      <w:tr w14:paraId="08D0A7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70461D10">
            <w:pPr>
              <w:jc w:val="center"/>
              <w:rPr>
                <w:rFonts w:hint="eastAsia" w:ascii="宋体" w:hAnsi="宋体" w:cs="宋体"/>
                <w:sz w:val="22"/>
              </w:rPr>
            </w:pPr>
          </w:p>
        </w:tc>
        <w:tc>
          <w:tcPr>
            <w:tcW w:w="1212" w:type="dxa"/>
            <w:noWrap w:val="0"/>
            <w:vAlign w:val="center"/>
          </w:tcPr>
          <w:p w14:paraId="2EDE38F3">
            <w:pPr>
              <w:jc w:val="center"/>
              <w:rPr>
                <w:rFonts w:hint="eastAsia" w:ascii="宋体" w:hAnsi="宋体" w:cs="宋体"/>
                <w:sz w:val="22"/>
              </w:rPr>
            </w:pPr>
          </w:p>
        </w:tc>
        <w:tc>
          <w:tcPr>
            <w:tcW w:w="853" w:type="dxa"/>
            <w:noWrap w:val="0"/>
            <w:vAlign w:val="center"/>
          </w:tcPr>
          <w:p w14:paraId="531E10C9">
            <w:pPr>
              <w:jc w:val="center"/>
              <w:rPr>
                <w:rFonts w:hint="eastAsia" w:ascii="宋体" w:hAnsi="宋体" w:cs="宋体"/>
                <w:sz w:val="22"/>
              </w:rPr>
            </w:pPr>
          </w:p>
        </w:tc>
        <w:tc>
          <w:tcPr>
            <w:tcW w:w="1420" w:type="dxa"/>
            <w:noWrap w:val="0"/>
            <w:vAlign w:val="center"/>
          </w:tcPr>
          <w:p w14:paraId="3BD12EA8">
            <w:pPr>
              <w:jc w:val="center"/>
              <w:rPr>
                <w:rFonts w:hint="eastAsia" w:ascii="宋体" w:hAnsi="宋体" w:cs="宋体"/>
                <w:sz w:val="22"/>
              </w:rPr>
            </w:pPr>
          </w:p>
        </w:tc>
        <w:tc>
          <w:tcPr>
            <w:tcW w:w="1130" w:type="dxa"/>
            <w:noWrap w:val="0"/>
            <w:vAlign w:val="center"/>
          </w:tcPr>
          <w:p w14:paraId="7F3C57F6">
            <w:pPr>
              <w:jc w:val="center"/>
              <w:rPr>
                <w:rFonts w:hint="eastAsia" w:ascii="宋体" w:hAnsi="宋体" w:cs="宋体"/>
                <w:sz w:val="22"/>
              </w:rPr>
            </w:pPr>
          </w:p>
        </w:tc>
        <w:tc>
          <w:tcPr>
            <w:tcW w:w="1281" w:type="dxa"/>
            <w:noWrap w:val="0"/>
            <w:vAlign w:val="center"/>
          </w:tcPr>
          <w:p w14:paraId="1B48B80E">
            <w:pPr>
              <w:jc w:val="center"/>
              <w:rPr>
                <w:rFonts w:hint="eastAsia" w:ascii="宋体" w:hAnsi="宋体" w:cs="宋体"/>
                <w:sz w:val="22"/>
              </w:rPr>
            </w:pPr>
          </w:p>
        </w:tc>
        <w:tc>
          <w:tcPr>
            <w:tcW w:w="1092" w:type="dxa"/>
            <w:noWrap w:val="0"/>
            <w:vAlign w:val="center"/>
          </w:tcPr>
          <w:p w14:paraId="1AB1BB36">
            <w:pPr>
              <w:jc w:val="center"/>
              <w:rPr>
                <w:rFonts w:hint="eastAsia" w:ascii="宋体" w:hAnsi="宋体" w:cs="宋体"/>
                <w:sz w:val="22"/>
              </w:rPr>
            </w:pPr>
          </w:p>
        </w:tc>
      </w:tr>
      <w:tr w14:paraId="399D03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519B5988">
            <w:pPr>
              <w:jc w:val="center"/>
              <w:rPr>
                <w:rFonts w:hint="eastAsia" w:ascii="宋体" w:hAnsi="宋体" w:cs="宋体"/>
                <w:sz w:val="22"/>
              </w:rPr>
            </w:pPr>
          </w:p>
        </w:tc>
        <w:tc>
          <w:tcPr>
            <w:tcW w:w="1212" w:type="dxa"/>
            <w:noWrap w:val="0"/>
            <w:vAlign w:val="center"/>
          </w:tcPr>
          <w:p w14:paraId="068403FC">
            <w:pPr>
              <w:jc w:val="center"/>
              <w:rPr>
                <w:rFonts w:hint="eastAsia" w:ascii="宋体" w:hAnsi="宋体" w:cs="宋体"/>
                <w:sz w:val="22"/>
              </w:rPr>
            </w:pPr>
          </w:p>
        </w:tc>
        <w:tc>
          <w:tcPr>
            <w:tcW w:w="853" w:type="dxa"/>
            <w:noWrap w:val="0"/>
            <w:vAlign w:val="center"/>
          </w:tcPr>
          <w:p w14:paraId="34F877F9">
            <w:pPr>
              <w:jc w:val="center"/>
              <w:rPr>
                <w:rFonts w:hint="eastAsia" w:ascii="宋体" w:hAnsi="宋体" w:cs="宋体"/>
                <w:sz w:val="22"/>
              </w:rPr>
            </w:pPr>
          </w:p>
        </w:tc>
        <w:tc>
          <w:tcPr>
            <w:tcW w:w="1420" w:type="dxa"/>
            <w:noWrap w:val="0"/>
            <w:vAlign w:val="center"/>
          </w:tcPr>
          <w:p w14:paraId="78866849">
            <w:pPr>
              <w:jc w:val="center"/>
              <w:rPr>
                <w:rFonts w:hint="eastAsia" w:ascii="宋体" w:hAnsi="宋体" w:cs="宋体"/>
                <w:sz w:val="22"/>
              </w:rPr>
            </w:pPr>
          </w:p>
        </w:tc>
        <w:tc>
          <w:tcPr>
            <w:tcW w:w="1130" w:type="dxa"/>
            <w:noWrap w:val="0"/>
            <w:vAlign w:val="center"/>
          </w:tcPr>
          <w:p w14:paraId="2134BCB6">
            <w:pPr>
              <w:jc w:val="center"/>
              <w:rPr>
                <w:rFonts w:hint="eastAsia" w:ascii="宋体" w:hAnsi="宋体" w:cs="宋体"/>
                <w:sz w:val="22"/>
              </w:rPr>
            </w:pPr>
          </w:p>
        </w:tc>
        <w:tc>
          <w:tcPr>
            <w:tcW w:w="1281" w:type="dxa"/>
            <w:noWrap w:val="0"/>
            <w:vAlign w:val="center"/>
          </w:tcPr>
          <w:p w14:paraId="394183A0">
            <w:pPr>
              <w:jc w:val="center"/>
              <w:rPr>
                <w:rFonts w:hint="eastAsia" w:ascii="宋体" w:hAnsi="宋体" w:cs="宋体"/>
                <w:sz w:val="22"/>
              </w:rPr>
            </w:pPr>
          </w:p>
        </w:tc>
        <w:tc>
          <w:tcPr>
            <w:tcW w:w="1092" w:type="dxa"/>
            <w:noWrap w:val="0"/>
            <w:vAlign w:val="center"/>
          </w:tcPr>
          <w:p w14:paraId="37D5C3BA">
            <w:pPr>
              <w:jc w:val="center"/>
              <w:rPr>
                <w:rFonts w:hint="eastAsia" w:ascii="宋体" w:hAnsi="宋体" w:cs="宋体"/>
                <w:sz w:val="22"/>
              </w:rPr>
            </w:pPr>
          </w:p>
        </w:tc>
      </w:tr>
      <w:tr w14:paraId="25C1F0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2A0B8138">
            <w:pPr>
              <w:jc w:val="center"/>
              <w:rPr>
                <w:rFonts w:hint="eastAsia" w:ascii="宋体" w:hAnsi="宋体" w:cs="宋体"/>
                <w:sz w:val="22"/>
              </w:rPr>
            </w:pPr>
          </w:p>
        </w:tc>
        <w:tc>
          <w:tcPr>
            <w:tcW w:w="1212" w:type="dxa"/>
            <w:noWrap w:val="0"/>
            <w:vAlign w:val="center"/>
          </w:tcPr>
          <w:p w14:paraId="7CEFD1BE">
            <w:pPr>
              <w:jc w:val="center"/>
              <w:rPr>
                <w:rFonts w:hint="eastAsia" w:ascii="宋体" w:hAnsi="宋体" w:cs="宋体"/>
                <w:sz w:val="22"/>
              </w:rPr>
            </w:pPr>
          </w:p>
        </w:tc>
        <w:tc>
          <w:tcPr>
            <w:tcW w:w="853" w:type="dxa"/>
            <w:noWrap w:val="0"/>
            <w:vAlign w:val="center"/>
          </w:tcPr>
          <w:p w14:paraId="5B52F0BF">
            <w:pPr>
              <w:jc w:val="center"/>
              <w:rPr>
                <w:rFonts w:hint="eastAsia" w:ascii="宋体" w:hAnsi="宋体" w:cs="宋体"/>
                <w:sz w:val="22"/>
              </w:rPr>
            </w:pPr>
          </w:p>
        </w:tc>
        <w:tc>
          <w:tcPr>
            <w:tcW w:w="1420" w:type="dxa"/>
            <w:noWrap w:val="0"/>
            <w:vAlign w:val="center"/>
          </w:tcPr>
          <w:p w14:paraId="3C637CCE">
            <w:pPr>
              <w:jc w:val="center"/>
              <w:rPr>
                <w:rFonts w:hint="eastAsia" w:ascii="宋体" w:hAnsi="宋体" w:cs="宋体"/>
                <w:sz w:val="22"/>
              </w:rPr>
            </w:pPr>
          </w:p>
        </w:tc>
        <w:tc>
          <w:tcPr>
            <w:tcW w:w="1130" w:type="dxa"/>
            <w:noWrap w:val="0"/>
            <w:vAlign w:val="center"/>
          </w:tcPr>
          <w:p w14:paraId="7B47DFDF">
            <w:pPr>
              <w:jc w:val="center"/>
              <w:rPr>
                <w:rFonts w:hint="eastAsia" w:ascii="宋体" w:hAnsi="宋体" w:cs="宋体"/>
                <w:sz w:val="22"/>
              </w:rPr>
            </w:pPr>
          </w:p>
        </w:tc>
        <w:tc>
          <w:tcPr>
            <w:tcW w:w="1281" w:type="dxa"/>
            <w:noWrap w:val="0"/>
            <w:vAlign w:val="center"/>
          </w:tcPr>
          <w:p w14:paraId="148062FF">
            <w:pPr>
              <w:jc w:val="center"/>
              <w:rPr>
                <w:rFonts w:hint="eastAsia" w:ascii="宋体" w:hAnsi="宋体" w:cs="宋体"/>
                <w:sz w:val="22"/>
              </w:rPr>
            </w:pPr>
          </w:p>
        </w:tc>
        <w:tc>
          <w:tcPr>
            <w:tcW w:w="1092" w:type="dxa"/>
            <w:noWrap w:val="0"/>
            <w:vAlign w:val="center"/>
          </w:tcPr>
          <w:p w14:paraId="622A8AD5">
            <w:pPr>
              <w:jc w:val="center"/>
              <w:rPr>
                <w:rFonts w:hint="eastAsia" w:ascii="宋体" w:hAnsi="宋体" w:cs="宋体"/>
                <w:sz w:val="22"/>
              </w:rPr>
            </w:pPr>
          </w:p>
        </w:tc>
      </w:tr>
      <w:tr w14:paraId="71BB62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1EB13AC0">
            <w:pPr>
              <w:jc w:val="center"/>
              <w:rPr>
                <w:rFonts w:hint="eastAsia" w:ascii="宋体" w:hAnsi="宋体" w:cs="宋体"/>
                <w:sz w:val="22"/>
              </w:rPr>
            </w:pPr>
          </w:p>
        </w:tc>
        <w:tc>
          <w:tcPr>
            <w:tcW w:w="1212" w:type="dxa"/>
            <w:noWrap w:val="0"/>
            <w:vAlign w:val="center"/>
          </w:tcPr>
          <w:p w14:paraId="4137C1FA">
            <w:pPr>
              <w:jc w:val="center"/>
              <w:rPr>
                <w:rFonts w:hint="eastAsia" w:ascii="宋体" w:hAnsi="宋体" w:cs="宋体"/>
                <w:sz w:val="22"/>
              </w:rPr>
            </w:pPr>
          </w:p>
        </w:tc>
        <w:tc>
          <w:tcPr>
            <w:tcW w:w="853" w:type="dxa"/>
            <w:noWrap w:val="0"/>
            <w:vAlign w:val="center"/>
          </w:tcPr>
          <w:p w14:paraId="4BD954DA">
            <w:pPr>
              <w:jc w:val="center"/>
              <w:rPr>
                <w:rFonts w:hint="eastAsia" w:ascii="宋体" w:hAnsi="宋体" w:cs="宋体"/>
                <w:sz w:val="22"/>
              </w:rPr>
            </w:pPr>
          </w:p>
        </w:tc>
        <w:tc>
          <w:tcPr>
            <w:tcW w:w="1420" w:type="dxa"/>
            <w:noWrap w:val="0"/>
            <w:vAlign w:val="center"/>
          </w:tcPr>
          <w:p w14:paraId="251A3A08">
            <w:pPr>
              <w:jc w:val="center"/>
              <w:rPr>
                <w:rFonts w:hint="eastAsia" w:ascii="宋体" w:hAnsi="宋体" w:cs="宋体"/>
                <w:sz w:val="22"/>
              </w:rPr>
            </w:pPr>
          </w:p>
        </w:tc>
        <w:tc>
          <w:tcPr>
            <w:tcW w:w="1130" w:type="dxa"/>
            <w:noWrap w:val="0"/>
            <w:vAlign w:val="center"/>
          </w:tcPr>
          <w:p w14:paraId="6FF6CDA2">
            <w:pPr>
              <w:jc w:val="center"/>
              <w:rPr>
                <w:rFonts w:hint="eastAsia" w:ascii="宋体" w:hAnsi="宋体" w:cs="宋体"/>
                <w:sz w:val="22"/>
              </w:rPr>
            </w:pPr>
          </w:p>
        </w:tc>
        <w:tc>
          <w:tcPr>
            <w:tcW w:w="1281" w:type="dxa"/>
            <w:noWrap w:val="0"/>
            <w:vAlign w:val="center"/>
          </w:tcPr>
          <w:p w14:paraId="4596957C">
            <w:pPr>
              <w:jc w:val="center"/>
              <w:rPr>
                <w:rFonts w:hint="eastAsia" w:ascii="宋体" w:hAnsi="宋体" w:cs="宋体"/>
                <w:sz w:val="22"/>
              </w:rPr>
            </w:pPr>
          </w:p>
        </w:tc>
        <w:tc>
          <w:tcPr>
            <w:tcW w:w="1092" w:type="dxa"/>
            <w:noWrap w:val="0"/>
            <w:vAlign w:val="center"/>
          </w:tcPr>
          <w:p w14:paraId="036570AF">
            <w:pPr>
              <w:jc w:val="center"/>
              <w:rPr>
                <w:rFonts w:hint="eastAsia" w:ascii="宋体" w:hAnsi="宋体" w:cs="宋体"/>
                <w:sz w:val="22"/>
              </w:rPr>
            </w:pPr>
          </w:p>
        </w:tc>
      </w:tr>
      <w:tr w14:paraId="360939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5" w:type="dxa"/>
            <w:noWrap w:val="0"/>
            <w:vAlign w:val="center"/>
          </w:tcPr>
          <w:p w14:paraId="2DD6F099">
            <w:pPr>
              <w:jc w:val="center"/>
              <w:rPr>
                <w:rFonts w:hint="eastAsia" w:ascii="宋体" w:hAnsi="宋体" w:cs="宋体"/>
                <w:sz w:val="22"/>
              </w:rPr>
            </w:pPr>
          </w:p>
        </w:tc>
        <w:tc>
          <w:tcPr>
            <w:tcW w:w="1212" w:type="dxa"/>
            <w:noWrap w:val="0"/>
            <w:vAlign w:val="center"/>
          </w:tcPr>
          <w:p w14:paraId="17DF59B7">
            <w:pPr>
              <w:jc w:val="center"/>
              <w:rPr>
                <w:rFonts w:hint="eastAsia" w:ascii="宋体" w:hAnsi="宋体" w:cs="宋体"/>
                <w:sz w:val="22"/>
              </w:rPr>
            </w:pPr>
          </w:p>
        </w:tc>
        <w:tc>
          <w:tcPr>
            <w:tcW w:w="853" w:type="dxa"/>
            <w:noWrap w:val="0"/>
            <w:vAlign w:val="center"/>
          </w:tcPr>
          <w:p w14:paraId="34747DC0">
            <w:pPr>
              <w:jc w:val="center"/>
              <w:rPr>
                <w:rFonts w:hint="eastAsia" w:ascii="宋体" w:hAnsi="宋体" w:cs="宋体"/>
                <w:sz w:val="22"/>
              </w:rPr>
            </w:pPr>
          </w:p>
        </w:tc>
        <w:tc>
          <w:tcPr>
            <w:tcW w:w="1420" w:type="dxa"/>
            <w:noWrap w:val="0"/>
            <w:vAlign w:val="center"/>
          </w:tcPr>
          <w:p w14:paraId="79BA76A2">
            <w:pPr>
              <w:jc w:val="center"/>
              <w:rPr>
                <w:rFonts w:hint="eastAsia" w:ascii="宋体" w:hAnsi="宋体" w:cs="宋体"/>
                <w:sz w:val="22"/>
              </w:rPr>
            </w:pPr>
          </w:p>
        </w:tc>
        <w:tc>
          <w:tcPr>
            <w:tcW w:w="1130" w:type="dxa"/>
            <w:noWrap w:val="0"/>
            <w:vAlign w:val="center"/>
          </w:tcPr>
          <w:p w14:paraId="4187EBCA">
            <w:pPr>
              <w:jc w:val="center"/>
              <w:rPr>
                <w:rFonts w:hint="eastAsia" w:ascii="宋体" w:hAnsi="宋体" w:cs="宋体"/>
                <w:sz w:val="22"/>
              </w:rPr>
            </w:pPr>
          </w:p>
        </w:tc>
        <w:tc>
          <w:tcPr>
            <w:tcW w:w="1281" w:type="dxa"/>
            <w:noWrap w:val="0"/>
            <w:vAlign w:val="center"/>
          </w:tcPr>
          <w:p w14:paraId="6F967C97">
            <w:pPr>
              <w:jc w:val="center"/>
              <w:rPr>
                <w:rFonts w:hint="eastAsia" w:ascii="宋体" w:hAnsi="宋体" w:cs="宋体"/>
                <w:sz w:val="22"/>
              </w:rPr>
            </w:pPr>
          </w:p>
        </w:tc>
        <w:tc>
          <w:tcPr>
            <w:tcW w:w="1092" w:type="dxa"/>
            <w:noWrap w:val="0"/>
            <w:vAlign w:val="center"/>
          </w:tcPr>
          <w:p w14:paraId="5C210326">
            <w:pPr>
              <w:jc w:val="center"/>
              <w:rPr>
                <w:rFonts w:hint="eastAsia" w:ascii="宋体" w:hAnsi="宋体" w:cs="宋体"/>
                <w:sz w:val="22"/>
              </w:rPr>
            </w:pPr>
          </w:p>
        </w:tc>
      </w:tr>
    </w:tbl>
    <w:p w14:paraId="5FBF3386">
      <w:pPr>
        <w:ind w:firstLine="440" w:firstLineChars="200"/>
        <w:rPr>
          <w:rFonts w:hint="eastAsia" w:ascii="宋体" w:hAnsi="宋体" w:cs="宋体"/>
          <w:sz w:val="22"/>
        </w:rPr>
      </w:pPr>
    </w:p>
    <w:p w14:paraId="7482167A">
      <w:pPr>
        <w:spacing w:line="360" w:lineRule="auto"/>
        <w:rPr>
          <w:rFonts w:hint="eastAsia" w:ascii="宋体" w:hAnsi="宋体" w:cs="宋体"/>
          <w:sz w:val="22"/>
        </w:rPr>
      </w:pPr>
      <w:r>
        <w:rPr>
          <w:rFonts w:hint="eastAsia" w:ascii="宋体" w:hAnsi="宋体" w:cs="宋体"/>
          <w:sz w:val="22"/>
        </w:rPr>
        <w:t>注：投标人应根据招标文件的要求在本表后附相关证明材料。</w:t>
      </w:r>
    </w:p>
    <w:p w14:paraId="40215FF3">
      <w:pPr>
        <w:spacing w:line="360" w:lineRule="auto"/>
        <w:jc w:val="left"/>
        <w:rPr>
          <w:rFonts w:hint="eastAsia" w:ascii="宋体" w:hAnsi="宋体" w:cs="宋体"/>
          <w:sz w:val="22"/>
        </w:rPr>
      </w:pPr>
      <w:r>
        <w:rPr>
          <w:rFonts w:hint="eastAsia" w:ascii="宋体" w:hAnsi="宋体" w:cs="宋体"/>
          <w:sz w:val="22"/>
        </w:rPr>
        <w:t>（本项不作为资格审查内容，但（如有）需提供，仅作为投标人的评标（综合评分）资料进行考察。表格格式可以根据实际情况调整。）</w:t>
      </w:r>
    </w:p>
    <w:p w14:paraId="4DF810FC">
      <w:pPr>
        <w:keepNext/>
        <w:keepLines/>
        <w:spacing w:line="360" w:lineRule="auto"/>
        <w:jc w:val="center"/>
        <w:outlineLvl w:val="1"/>
        <w:rPr>
          <w:rFonts w:hint="eastAsia" w:ascii="宋体" w:hAnsi="宋体" w:cs="宋体"/>
          <w:b/>
          <w:bCs/>
          <w:sz w:val="32"/>
          <w:szCs w:val="32"/>
        </w:rPr>
      </w:pPr>
      <w:r>
        <w:rPr>
          <w:rFonts w:hint="eastAsia" w:ascii="宋体" w:hAnsi="宋体" w:cs="宋体"/>
        </w:rPr>
        <w:br w:type="page"/>
      </w:r>
      <w:bookmarkStart w:id="454" w:name="_Toc145974299"/>
      <w:r>
        <w:rPr>
          <w:rFonts w:hint="default" w:ascii="宋体" w:hAnsi="宋体" w:cs="Times New Roman"/>
          <w:b/>
          <w:bCs/>
          <w:color w:val="auto"/>
          <w:kern w:val="0"/>
          <w:sz w:val="30"/>
          <w:szCs w:val="30"/>
          <w:u w:val="none"/>
          <w:lang w:eastAsia="zh-CN"/>
        </w:rPr>
        <w:t>（</w:t>
      </w:r>
      <w:r>
        <w:rPr>
          <w:rFonts w:hint="default" w:ascii="宋体" w:hAnsi="宋体" w:cs="Times New Roman"/>
          <w:b/>
          <w:bCs/>
          <w:color w:val="auto"/>
          <w:kern w:val="0"/>
          <w:sz w:val="30"/>
          <w:szCs w:val="30"/>
          <w:u w:val="none"/>
          <w:lang w:val="en-US" w:eastAsia="zh-CN"/>
        </w:rPr>
        <w:t>二）</w:t>
      </w:r>
      <w:r>
        <w:rPr>
          <w:rFonts w:hint="default" w:ascii="宋体" w:hAnsi="宋体" w:cs="Times New Roman"/>
          <w:b/>
          <w:bCs/>
          <w:color w:val="auto"/>
          <w:kern w:val="0"/>
          <w:sz w:val="30"/>
          <w:szCs w:val="30"/>
          <w:u w:val="none"/>
        </w:rPr>
        <w:t>拟投入本项目人员简历表</w:t>
      </w:r>
      <w:bookmarkEnd w:id="454"/>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80"/>
        <w:gridCol w:w="1295"/>
        <w:gridCol w:w="281"/>
        <w:gridCol w:w="763"/>
        <w:gridCol w:w="957"/>
        <w:gridCol w:w="407"/>
        <w:gridCol w:w="1200"/>
        <w:gridCol w:w="630"/>
        <w:gridCol w:w="2027"/>
      </w:tblGrid>
      <w:tr w14:paraId="6B1E465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5" w:hRule="atLeast"/>
          <w:jc w:val="center"/>
        </w:trPr>
        <w:tc>
          <w:tcPr>
            <w:tcW w:w="1367" w:type="dxa"/>
            <w:gridSpan w:val="2"/>
            <w:noWrap w:val="0"/>
            <w:vAlign w:val="center"/>
          </w:tcPr>
          <w:p w14:paraId="061B21F5">
            <w:pPr>
              <w:snapToGrid w:val="0"/>
              <w:spacing w:line="0" w:lineRule="atLeast"/>
              <w:jc w:val="center"/>
              <w:rPr>
                <w:rFonts w:hint="eastAsia" w:ascii="宋体" w:hAnsi="宋体" w:cs="宋体"/>
                <w:sz w:val="22"/>
              </w:rPr>
            </w:pPr>
            <w:r>
              <w:rPr>
                <w:rFonts w:hint="eastAsia" w:ascii="宋体" w:hAnsi="宋体" w:cs="宋体"/>
                <w:sz w:val="22"/>
              </w:rPr>
              <w:t>姓名</w:t>
            </w:r>
          </w:p>
        </w:tc>
        <w:tc>
          <w:tcPr>
            <w:tcW w:w="1295" w:type="dxa"/>
            <w:noWrap w:val="0"/>
            <w:vAlign w:val="center"/>
          </w:tcPr>
          <w:p w14:paraId="2E6ADC20">
            <w:pPr>
              <w:snapToGrid w:val="0"/>
              <w:spacing w:line="0" w:lineRule="atLeast"/>
              <w:jc w:val="center"/>
              <w:rPr>
                <w:rFonts w:hint="eastAsia" w:ascii="宋体" w:hAnsi="宋体" w:cs="宋体"/>
                <w:sz w:val="22"/>
              </w:rPr>
            </w:pPr>
          </w:p>
        </w:tc>
        <w:tc>
          <w:tcPr>
            <w:tcW w:w="1044" w:type="dxa"/>
            <w:gridSpan w:val="2"/>
            <w:noWrap w:val="0"/>
            <w:vAlign w:val="center"/>
          </w:tcPr>
          <w:p w14:paraId="5F104D33">
            <w:pPr>
              <w:snapToGrid w:val="0"/>
              <w:spacing w:line="0" w:lineRule="atLeast"/>
              <w:jc w:val="center"/>
              <w:rPr>
                <w:rFonts w:hint="eastAsia" w:ascii="宋体" w:hAnsi="宋体" w:cs="宋体"/>
                <w:sz w:val="22"/>
              </w:rPr>
            </w:pPr>
            <w:r>
              <w:rPr>
                <w:rFonts w:hint="eastAsia" w:ascii="宋体" w:hAnsi="宋体" w:cs="宋体"/>
                <w:sz w:val="22"/>
              </w:rPr>
              <w:t>年龄</w:t>
            </w:r>
          </w:p>
        </w:tc>
        <w:tc>
          <w:tcPr>
            <w:tcW w:w="1364" w:type="dxa"/>
            <w:gridSpan w:val="2"/>
            <w:noWrap w:val="0"/>
            <w:vAlign w:val="center"/>
          </w:tcPr>
          <w:p w14:paraId="199DBB62">
            <w:pPr>
              <w:snapToGrid w:val="0"/>
              <w:spacing w:line="0" w:lineRule="atLeast"/>
              <w:jc w:val="center"/>
              <w:rPr>
                <w:rFonts w:hint="eastAsia" w:ascii="宋体" w:hAnsi="宋体" w:cs="宋体"/>
                <w:sz w:val="22"/>
              </w:rPr>
            </w:pPr>
          </w:p>
        </w:tc>
        <w:tc>
          <w:tcPr>
            <w:tcW w:w="1830" w:type="dxa"/>
            <w:gridSpan w:val="2"/>
            <w:noWrap w:val="0"/>
            <w:vAlign w:val="center"/>
          </w:tcPr>
          <w:p w14:paraId="3C93F663">
            <w:pPr>
              <w:snapToGrid w:val="0"/>
              <w:spacing w:line="0" w:lineRule="atLeast"/>
              <w:jc w:val="center"/>
              <w:rPr>
                <w:rFonts w:hint="eastAsia" w:ascii="宋体" w:hAnsi="宋体" w:cs="宋体"/>
                <w:sz w:val="22"/>
              </w:rPr>
            </w:pPr>
            <w:r>
              <w:rPr>
                <w:rFonts w:hint="eastAsia" w:ascii="宋体" w:hAnsi="宋体" w:cs="宋体"/>
                <w:sz w:val="22"/>
              </w:rPr>
              <w:t>学历</w:t>
            </w:r>
          </w:p>
        </w:tc>
        <w:tc>
          <w:tcPr>
            <w:tcW w:w="2027" w:type="dxa"/>
            <w:noWrap w:val="0"/>
            <w:vAlign w:val="top"/>
          </w:tcPr>
          <w:p w14:paraId="64851D1D">
            <w:pPr>
              <w:snapToGrid w:val="0"/>
              <w:spacing w:line="0" w:lineRule="atLeast"/>
              <w:jc w:val="center"/>
              <w:rPr>
                <w:rFonts w:hint="eastAsia" w:ascii="宋体" w:hAnsi="宋体" w:cs="宋体"/>
                <w:sz w:val="22"/>
              </w:rPr>
            </w:pPr>
          </w:p>
        </w:tc>
      </w:tr>
      <w:tr w14:paraId="3D80417C">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jc w:val="center"/>
        </w:trPr>
        <w:tc>
          <w:tcPr>
            <w:tcW w:w="1367" w:type="dxa"/>
            <w:gridSpan w:val="2"/>
            <w:noWrap w:val="0"/>
            <w:vAlign w:val="center"/>
          </w:tcPr>
          <w:p w14:paraId="67EA4745">
            <w:pPr>
              <w:snapToGrid w:val="0"/>
              <w:spacing w:line="0" w:lineRule="atLeast"/>
              <w:jc w:val="center"/>
              <w:rPr>
                <w:rFonts w:hint="eastAsia" w:ascii="宋体" w:hAnsi="宋体" w:cs="宋体"/>
                <w:sz w:val="22"/>
              </w:rPr>
            </w:pPr>
            <w:r>
              <w:rPr>
                <w:rFonts w:hint="eastAsia" w:ascii="宋体" w:hAnsi="宋体" w:cs="宋体"/>
                <w:sz w:val="22"/>
              </w:rPr>
              <w:t>技术职称</w:t>
            </w:r>
          </w:p>
        </w:tc>
        <w:tc>
          <w:tcPr>
            <w:tcW w:w="1295" w:type="dxa"/>
            <w:noWrap w:val="0"/>
            <w:vAlign w:val="center"/>
          </w:tcPr>
          <w:p w14:paraId="75623873">
            <w:pPr>
              <w:snapToGrid w:val="0"/>
              <w:spacing w:line="0" w:lineRule="atLeast"/>
              <w:jc w:val="center"/>
              <w:rPr>
                <w:rFonts w:hint="eastAsia" w:ascii="宋体" w:hAnsi="宋体" w:cs="宋体"/>
                <w:sz w:val="22"/>
              </w:rPr>
            </w:pPr>
          </w:p>
        </w:tc>
        <w:tc>
          <w:tcPr>
            <w:tcW w:w="1044" w:type="dxa"/>
            <w:gridSpan w:val="2"/>
            <w:noWrap w:val="0"/>
            <w:vAlign w:val="center"/>
          </w:tcPr>
          <w:p w14:paraId="2894269B">
            <w:pPr>
              <w:snapToGrid w:val="0"/>
              <w:spacing w:line="0" w:lineRule="atLeast"/>
              <w:jc w:val="center"/>
              <w:rPr>
                <w:rFonts w:hint="eastAsia" w:ascii="宋体" w:hAnsi="宋体" w:cs="宋体"/>
                <w:sz w:val="22"/>
              </w:rPr>
            </w:pPr>
            <w:r>
              <w:rPr>
                <w:rFonts w:hint="eastAsia" w:ascii="宋体" w:hAnsi="宋体" w:cs="宋体"/>
                <w:sz w:val="22"/>
              </w:rPr>
              <w:t>职务</w:t>
            </w:r>
          </w:p>
        </w:tc>
        <w:tc>
          <w:tcPr>
            <w:tcW w:w="1364" w:type="dxa"/>
            <w:gridSpan w:val="2"/>
            <w:noWrap w:val="0"/>
            <w:vAlign w:val="center"/>
          </w:tcPr>
          <w:p w14:paraId="74807A8D">
            <w:pPr>
              <w:snapToGrid w:val="0"/>
              <w:spacing w:line="0" w:lineRule="atLeast"/>
              <w:jc w:val="center"/>
              <w:rPr>
                <w:rFonts w:hint="eastAsia" w:ascii="宋体" w:hAnsi="宋体" w:cs="宋体"/>
                <w:sz w:val="22"/>
              </w:rPr>
            </w:pPr>
          </w:p>
        </w:tc>
        <w:tc>
          <w:tcPr>
            <w:tcW w:w="1830" w:type="dxa"/>
            <w:gridSpan w:val="2"/>
            <w:noWrap w:val="0"/>
            <w:vAlign w:val="center"/>
          </w:tcPr>
          <w:p w14:paraId="53F2228B">
            <w:pPr>
              <w:snapToGrid w:val="0"/>
              <w:spacing w:line="0" w:lineRule="atLeast"/>
              <w:jc w:val="center"/>
              <w:rPr>
                <w:rFonts w:hint="eastAsia" w:ascii="宋体" w:hAnsi="宋体" w:cs="宋体"/>
                <w:sz w:val="22"/>
              </w:rPr>
            </w:pPr>
            <w:r>
              <w:rPr>
                <w:rFonts w:hint="eastAsia" w:ascii="宋体" w:hAnsi="宋体" w:cs="宋体"/>
                <w:sz w:val="22"/>
              </w:rPr>
              <w:t>在本项目担任职务</w:t>
            </w:r>
          </w:p>
        </w:tc>
        <w:tc>
          <w:tcPr>
            <w:tcW w:w="2027" w:type="dxa"/>
            <w:noWrap w:val="0"/>
            <w:vAlign w:val="top"/>
          </w:tcPr>
          <w:p w14:paraId="72FA750B">
            <w:pPr>
              <w:snapToGrid w:val="0"/>
              <w:spacing w:line="0" w:lineRule="atLeast"/>
              <w:jc w:val="center"/>
              <w:rPr>
                <w:rFonts w:hint="eastAsia" w:ascii="宋体" w:hAnsi="宋体" w:cs="宋体"/>
                <w:sz w:val="22"/>
              </w:rPr>
            </w:pPr>
          </w:p>
        </w:tc>
      </w:tr>
      <w:tr w14:paraId="58C04CD9">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jc w:val="center"/>
        </w:trPr>
        <w:tc>
          <w:tcPr>
            <w:tcW w:w="1367" w:type="dxa"/>
            <w:gridSpan w:val="2"/>
            <w:noWrap w:val="0"/>
            <w:vAlign w:val="center"/>
          </w:tcPr>
          <w:p w14:paraId="0CBB8AC9">
            <w:pPr>
              <w:snapToGrid w:val="0"/>
              <w:spacing w:line="0" w:lineRule="atLeast"/>
              <w:jc w:val="center"/>
              <w:rPr>
                <w:rFonts w:hint="eastAsia" w:ascii="宋体" w:hAnsi="宋体" w:cs="宋体"/>
                <w:sz w:val="22"/>
              </w:rPr>
            </w:pPr>
            <w:r>
              <w:rPr>
                <w:rFonts w:hint="eastAsia" w:ascii="宋体" w:hAnsi="宋体" w:cs="宋体"/>
                <w:sz w:val="22"/>
              </w:rPr>
              <w:t>毕业学校</w:t>
            </w:r>
          </w:p>
        </w:tc>
        <w:tc>
          <w:tcPr>
            <w:tcW w:w="3703" w:type="dxa"/>
            <w:gridSpan w:val="5"/>
            <w:noWrap w:val="0"/>
            <w:vAlign w:val="center"/>
          </w:tcPr>
          <w:p w14:paraId="5137BD7C">
            <w:pPr>
              <w:snapToGrid w:val="0"/>
              <w:spacing w:line="0" w:lineRule="atLeast"/>
              <w:jc w:val="center"/>
              <w:rPr>
                <w:rFonts w:hint="eastAsia" w:ascii="宋体" w:hAnsi="宋体" w:cs="宋体"/>
                <w:sz w:val="22"/>
              </w:rPr>
            </w:pPr>
            <w:r>
              <w:rPr>
                <w:rFonts w:hint="eastAsia" w:ascii="宋体" w:hAnsi="宋体" w:cs="宋体"/>
                <w:sz w:val="22"/>
              </w:rPr>
              <w:t>毕业于      学校     专业</w:t>
            </w:r>
          </w:p>
        </w:tc>
        <w:tc>
          <w:tcPr>
            <w:tcW w:w="1830" w:type="dxa"/>
            <w:gridSpan w:val="2"/>
            <w:noWrap w:val="0"/>
            <w:vAlign w:val="center"/>
          </w:tcPr>
          <w:p w14:paraId="51217E62">
            <w:pPr>
              <w:snapToGrid w:val="0"/>
              <w:spacing w:line="0" w:lineRule="atLeast"/>
              <w:jc w:val="center"/>
              <w:rPr>
                <w:rFonts w:hint="eastAsia" w:ascii="宋体" w:hAnsi="宋体" w:cs="宋体"/>
                <w:sz w:val="22"/>
              </w:rPr>
            </w:pPr>
            <w:r>
              <w:rPr>
                <w:rFonts w:hint="eastAsia" w:ascii="宋体" w:hAnsi="宋体" w:cs="宋体"/>
                <w:position w:val="-30"/>
                <w:sz w:val="22"/>
              </w:rPr>
              <w:t>工作年限</w:t>
            </w:r>
          </w:p>
        </w:tc>
        <w:tc>
          <w:tcPr>
            <w:tcW w:w="2027" w:type="dxa"/>
            <w:noWrap w:val="0"/>
            <w:vAlign w:val="top"/>
          </w:tcPr>
          <w:p w14:paraId="23F9876D">
            <w:pPr>
              <w:snapToGrid w:val="0"/>
              <w:spacing w:line="0" w:lineRule="atLeast"/>
              <w:jc w:val="center"/>
              <w:rPr>
                <w:rFonts w:hint="eastAsia" w:ascii="宋体" w:hAnsi="宋体" w:cs="宋体"/>
                <w:sz w:val="22"/>
              </w:rPr>
            </w:pPr>
          </w:p>
        </w:tc>
      </w:tr>
      <w:tr w14:paraId="0ED69425">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943" w:type="dxa"/>
            <w:gridSpan w:val="4"/>
            <w:noWrap w:val="0"/>
            <w:vAlign w:val="center"/>
          </w:tcPr>
          <w:p w14:paraId="09E6AD62">
            <w:pPr>
              <w:snapToGrid w:val="0"/>
              <w:spacing w:line="0" w:lineRule="atLeast"/>
              <w:jc w:val="center"/>
              <w:rPr>
                <w:rFonts w:hint="eastAsia" w:ascii="宋体" w:hAnsi="宋体" w:cs="宋体"/>
                <w:sz w:val="22"/>
              </w:rPr>
            </w:pPr>
            <w:r>
              <w:rPr>
                <w:rFonts w:hint="eastAsia" w:ascii="宋体" w:hAnsi="宋体" w:cs="宋体"/>
                <w:sz w:val="22"/>
              </w:rPr>
              <w:t>执业资格证号或注册证号</w:t>
            </w:r>
          </w:p>
        </w:tc>
        <w:tc>
          <w:tcPr>
            <w:tcW w:w="5984" w:type="dxa"/>
            <w:gridSpan w:val="6"/>
            <w:noWrap w:val="0"/>
            <w:vAlign w:val="top"/>
          </w:tcPr>
          <w:p w14:paraId="4B4F63CD">
            <w:pPr>
              <w:snapToGrid w:val="0"/>
              <w:spacing w:line="0" w:lineRule="atLeast"/>
              <w:rPr>
                <w:rFonts w:hint="eastAsia" w:ascii="宋体" w:hAnsi="宋体" w:cs="宋体"/>
                <w:sz w:val="22"/>
              </w:rPr>
            </w:pPr>
          </w:p>
        </w:tc>
      </w:tr>
      <w:tr w14:paraId="1ED7F6F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8927" w:type="dxa"/>
            <w:gridSpan w:val="10"/>
            <w:noWrap w:val="0"/>
            <w:vAlign w:val="top"/>
          </w:tcPr>
          <w:p w14:paraId="2E13347F">
            <w:pPr>
              <w:snapToGrid w:val="0"/>
              <w:spacing w:line="0" w:lineRule="atLeast"/>
              <w:jc w:val="center"/>
              <w:rPr>
                <w:rFonts w:hint="eastAsia" w:ascii="宋体" w:hAnsi="宋体" w:cs="宋体"/>
                <w:sz w:val="22"/>
              </w:rPr>
            </w:pPr>
            <w:r>
              <w:rPr>
                <w:rFonts w:hint="eastAsia" w:ascii="宋体" w:hAnsi="宋体" w:cs="宋体"/>
                <w:sz w:val="22"/>
              </w:rPr>
              <w:t>主要业绩经历</w:t>
            </w:r>
          </w:p>
        </w:tc>
      </w:tr>
      <w:tr w14:paraId="51380587">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187" w:type="dxa"/>
            <w:noWrap w:val="0"/>
            <w:vAlign w:val="top"/>
          </w:tcPr>
          <w:p w14:paraId="2E788918">
            <w:pPr>
              <w:snapToGrid w:val="0"/>
              <w:spacing w:line="0" w:lineRule="atLeast"/>
              <w:jc w:val="center"/>
              <w:rPr>
                <w:rFonts w:hint="eastAsia" w:ascii="宋体" w:hAnsi="宋体" w:cs="宋体"/>
                <w:sz w:val="22"/>
              </w:rPr>
            </w:pPr>
            <w:r>
              <w:rPr>
                <w:rFonts w:hint="eastAsia" w:ascii="宋体" w:hAnsi="宋体" w:cs="宋体"/>
                <w:sz w:val="22"/>
              </w:rPr>
              <w:t>时间</w:t>
            </w:r>
          </w:p>
        </w:tc>
        <w:tc>
          <w:tcPr>
            <w:tcW w:w="3476" w:type="dxa"/>
            <w:gridSpan w:val="5"/>
            <w:noWrap w:val="0"/>
            <w:vAlign w:val="top"/>
          </w:tcPr>
          <w:p w14:paraId="6105AC46">
            <w:pPr>
              <w:snapToGrid w:val="0"/>
              <w:spacing w:line="0" w:lineRule="atLeast"/>
              <w:jc w:val="center"/>
              <w:rPr>
                <w:rFonts w:hint="eastAsia" w:ascii="宋体" w:hAnsi="宋体" w:cs="宋体"/>
                <w:sz w:val="22"/>
              </w:rPr>
            </w:pPr>
            <w:r>
              <w:rPr>
                <w:rFonts w:hint="eastAsia" w:ascii="宋体" w:hAnsi="宋体" w:cs="宋体"/>
                <w:sz w:val="22"/>
              </w:rPr>
              <w:t>参加过的主要工作</w:t>
            </w:r>
          </w:p>
        </w:tc>
        <w:tc>
          <w:tcPr>
            <w:tcW w:w="1607" w:type="dxa"/>
            <w:gridSpan w:val="2"/>
            <w:noWrap w:val="0"/>
            <w:vAlign w:val="top"/>
          </w:tcPr>
          <w:p w14:paraId="409335F9">
            <w:pPr>
              <w:snapToGrid w:val="0"/>
              <w:spacing w:line="0" w:lineRule="atLeast"/>
              <w:jc w:val="center"/>
              <w:rPr>
                <w:rFonts w:hint="eastAsia" w:ascii="宋体" w:hAnsi="宋体" w:cs="宋体"/>
                <w:sz w:val="22"/>
              </w:rPr>
            </w:pPr>
            <w:r>
              <w:rPr>
                <w:rFonts w:hint="eastAsia" w:ascii="宋体" w:hAnsi="宋体" w:cs="宋体"/>
                <w:sz w:val="22"/>
              </w:rPr>
              <w:t>担任何职</w:t>
            </w:r>
          </w:p>
        </w:tc>
        <w:tc>
          <w:tcPr>
            <w:tcW w:w="2657" w:type="dxa"/>
            <w:gridSpan w:val="2"/>
            <w:noWrap w:val="0"/>
            <w:vAlign w:val="top"/>
          </w:tcPr>
          <w:p w14:paraId="2D820D5E">
            <w:pPr>
              <w:snapToGrid w:val="0"/>
              <w:spacing w:line="0" w:lineRule="atLeast"/>
              <w:jc w:val="center"/>
              <w:rPr>
                <w:rFonts w:hint="eastAsia" w:ascii="宋体" w:hAnsi="宋体" w:cs="宋体"/>
                <w:sz w:val="22"/>
              </w:rPr>
            </w:pPr>
            <w:r>
              <w:rPr>
                <w:rFonts w:hint="eastAsia" w:ascii="宋体" w:hAnsi="宋体" w:cs="宋体"/>
                <w:sz w:val="22"/>
              </w:rPr>
              <w:t>委托人名称、联系方式</w:t>
            </w:r>
          </w:p>
        </w:tc>
      </w:tr>
      <w:tr w14:paraId="04E99C83">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03A0C9D1">
            <w:pPr>
              <w:snapToGrid w:val="0"/>
              <w:spacing w:line="0" w:lineRule="atLeast"/>
              <w:rPr>
                <w:rFonts w:hint="eastAsia" w:ascii="宋体" w:hAnsi="宋体" w:cs="宋体"/>
                <w:sz w:val="22"/>
              </w:rPr>
            </w:pPr>
          </w:p>
        </w:tc>
        <w:tc>
          <w:tcPr>
            <w:tcW w:w="3476" w:type="dxa"/>
            <w:gridSpan w:val="5"/>
            <w:noWrap w:val="0"/>
            <w:vAlign w:val="top"/>
          </w:tcPr>
          <w:p w14:paraId="046A02D7">
            <w:pPr>
              <w:snapToGrid w:val="0"/>
              <w:spacing w:line="0" w:lineRule="atLeast"/>
              <w:rPr>
                <w:rFonts w:hint="eastAsia" w:ascii="宋体" w:hAnsi="宋体" w:cs="宋体"/>
                <w:sz w:val="22"/>
              </w:rPr>
            </w:pPr>
          </w:p>
        </w:tc>
        <w:tc>
          <w:tcPr>
            <w:tcW w:w="1607" w:type="dxa"/>
            <w:gridSpan w:val="2"/>
            <w:noWrap w:val="0"/>
            <w:vAlign w:val="top"/>
          </w:tcPr>
          <w:p w14:paraId="644FF6AD">
            <w:pPr>
              <w:snapToGrid w:val="0"/>
              <w:spacing w:line="0" w:lineRule="atLeast"/>
              <w:rPr>
                <w:rFonts w:hint="eastAsia" w:ascii="宋体" w:hAnsi="宋体" w:cs="宋体"/>
                <w:sz w:val="22"/>
              </w:rPr>
            </w:pPr>
          </w:p>
        </w:tc>
        <w:tc>
          <w:tcPr>
            <w:tcW w:w="2657" w:type="dxa"/>
            <w:gridSpan w:val="2"/>
            <w:noWrap w:val="0"/>
            <w:vAlign w:val="top"/>
          </w:tcPr>
          <w:p w14:paraId="505BF10B">
            <w:pPr>
              <w:snapToGrid w:val="0"/>
              <w:spacing w:line="0" w:lineRule="atLeast"/>
              <w:rPr>
                <w:rFonts w:hint="eastAsia" w:ascii="宋体" w:hAnsi="宋体" w:cs="宋体"/>
                <w:sz w:val="22"/>
              </w:rPr>
            </w:pPr>
          </w:p>
        </w:tc>
      </w:tr>
      <w:tr w14:paraId="5344EFBB">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1934C2D2">
            <w:pPr>
              <w:snapToGrid w:val="0"/>
              <w:spacing w:line="0" w:lineRule="atLeast"/>
              <w:rPr>
                <w:rFonts w:hint="eastAsia" w:ascii="宋体" w:hAnsi="宋体" w:cs="宋体"/>
                <w:sz w:val="22"/>
              </w:rPr>
            </w:pPr>
          </w:p>
        </w:tc>
        <w:tc>
          <w:tcPr>
            <w:tcW w:w="3476" w:type="dxa"/>
            <w:gridSpan w:val="5"/>
            <w:noWrap w:val="0"/>
            <w:vAlign w:val="top"/>
          </w:tcPr>
          <w:p w14:paraId="74AFE4F9">
            <w:pPr>
              <w:snapToGrid w:val="0"/>
              <w:spacing w:line="0" w:lineRule="atLeast"/>
              <w:rPr>
                <w:rFonts w:hint="eastAsia" w:ascii="宋体" w:hAnsi="宋体" w:cs="宋体"/>
                <w:sz w:val="22"/>
              </w:rPr>
            </w:pPr>
          </w:p>
        </w:tc>
        <w:tc>
          <w:tcPr>
            <w:tcW w:w="1607" w:type="dxa"/>
            <w:gridSpan w:val="2"/>
            <w:noWrap w:val="0"/>
            <w:vAlign w:val="top"/>
          </w:tcPr>
          <w:p w14:paraId="5F4F3A89">
            <w:pPr>
              <w:snapToGrid w:val="0"/>
              <w:spacing w:line="0" w:lineRule="atLeast"/>
              <w:rPr>
                <w:rFonts w:hint="eastAsia" w:ascii="宋体" w:hAnsi="宋体" w:cs="宋体"/>
                <w:sz w:val="22"/>
              </w:rPr>
            </w:pPr>
          </w:p>
        </w:tc>
        <w:tc>
          <w:tcPr>
            <w:tcW w:w="2657" w:type="dxa"/>
            <w:gridSpan w:val="2"/>
            <w:noWrap w:val="0"/>
            <w:vAlign w:val="top"/>
          </w:tcPr>
          <w:p w14:paraId="5CE5B1E6">
            <w:pPr>
              <w:snapToGrid w:val="0"/>
              <w:spacing w:line="0" w:lineRule="atLeast"/>
              <w:rPr>
                <w:rFonts w:hint="eastAsia" w:ascii="宋体" w:hAnsi="宋体" w:cs="宋体"/>
                <w:sz w:val="22"/>
              </w:rPr>
            </w:pPr>
          </w:p>
        </w:tc>
      </w:tr>
      <w:tr w14:paraId="0271720A">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7A16F9B0">
            <w:pPr>
              <w:snapToGrid w:val="0"/>
              <w:spacing w:line="0" w:lineRule="atLeast"/>
              <w:rPr>
                <w:rFonts w:hint="eastAsia" w:ascii="宋体" w:hAnsi="宋体" w:cs="宋体"/>
                <w:sz w:val="22"/>
              </w:rPr>
            </w:pPr>
          </w:p>
        </w:tc>
        <w:tc>
          <w:tcPr>
            <w:tcW w:w="3476" w:type="dxa"/>
            <w:gridSpan w:val="5"/>
            <w:noWrap w:val="0"/>
            <w:vAlign w:val="top"/>
          </w:tcPr>
          <w:p w14:paraId="792D5CDD">
            <w:pPr>
              <w:snapToGrid w:val="0"/>
              <w:spacing w:line="0" w:lineRule="atLeast"/>
              <w:rPr>
                <w:rFonts w:hint="eastAsia" w:ascii="宋体" w:hAnsi="宋体" w:cs="宋体"/>
                <w:sz w:val="22"/>
              </w:rPr>
            </w:pPr>
          </w:p>
        </w:tc>
        <w:tc>
          <w:tcPr>
            <w:tcW w:w="1607" w:type="dxa"/>
            <w:gridSpan w:val="2"/>
            <w:noWrap w:val="0"/>
            <w:vAlign w:val="top"/>
          </w:tcPr>
          <w:p w14:paraId="0859DE10">
            <w:pPr>
              <w:snapToGrid w:val="0"/>
              <w:spacing w:line="0" w:lineRule="atLeast"/>
              <w:rPr>
                <w:rFonts w:hint="eastAsia" w:ascii="宋体" w:hAnsi="宋体" w:cs="宋体"/>
                <w:sz w:val="22"/>
              </w:rPr>
            </w:pPr>
          </w:p>
        </w:tc>
        <w:tc>
          <w:tcPr>
            <w:tcW w:w="2657" w:type="dxa"/>
            <w:gridSpan w:val="2"/>
            <w:noWrap w:val="0"/>
            <w:vAlign w:val="top"/>
          </w:tcPr>
          <w:p w14:paraId="38339D27">
            <w:pPr>
              <w:snapToGrid w:val="0"/>
              <w:spacing w:line="0" w:lineRule="atLeast"/>
              <w:rPr>
                <w:rFonts w:hint="eastAsia" w:ascii="宋体" w:hAnsi="宋体" w:cs="宋体"/>
                <w:sz w:val="22"/>
              </w:rPr>
            </w:pPr>
          </w:p>
        </w:tc>
      </w:tr>
      <w:tr w14:paraId="27162387">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4AAF79C5">
            <w:pPr>
              <w:snapToGrid w:val="0"/>
              <w:spacing w:line="0" w:lineRule="atLeast"/>
              <w:rPr>
                <w:rFonts w:hint="eastAsia" w:ascii="宋体" w:hAnsi="宋体" w:cs="宋体"/>
                <w:sz w:val="22"/>
              </w:rPr>
            </w:pPr>
          </w:p>
        </w:tc>
        <w:tc>
          <w:tcPr>
            <w:tcW w:w="3476" w:type="dxa"/>
            <w:gridSpan w:val="5"/>
            <w:noWrap w:val="0"/>
            <w:vAlign w:val="top"/>
          </w:tcPr>
          <w:p w14:paraId="6D566C73">
            <w:pPr>
              <w:snapToGrid w:val="0"/>
              <w:spacing w:line="0" w:lineRule="atLeast"/>
              <w:rPr>
                <w:rFonts w:hint="eastAsia" w:ascii="宋体" w:hAnsi="宋体" w:cs="宋体"/>
                <w:sz w:val="22"/>
              </w:rPr>
            </w:pPr>
          </w:p>
        </w:tc>
        <w:tc>
          <w:tcPr>
            <w:tcW w:w="1607" w:type="dxa"/>
            <w:gridSpan w:val="2"/>
            <w:noWrap w:val="0"/>
            <w:vAlign w:val="top"/>
          </w:tcPr>
          <w:p w14:paraId="580A71E7">
            <w:pPr>
              <w:snapToGrid w:val="0"/>
              <w:spacing w:line="0" w:lineRule="atLeast"/>
              <w:rPr>
                <w:rFonts w:hint="eastAsia" w:ascii="宋体" w:hAnsi="宋体" w:cs="宋体"/>
                <w:sz w:val="22"/>
              </w:rPr>
            </w:pPr>
          </w:p>
        </w:tc>
        <w:tc>
          <w:tcPr>
            <w:tcW w:w="2657" w:type="dxa"/>
            <w:gridSpan w:val="2"/>
            <w:noWrap w:val="0"/>
            <w:vAlign w:val="top"/>
          </w:tcPr>
          <w:p w14:paraId="23A5714C">
            <w:pPr>
              <w:snapToGrid w:val="0"/>
              <w:spacing w:line="0" w:lineRule="atLeast"/>
              <w:rPr>
                <w:rFonts w:hint="eastAsia" w:ascii="宋体" w:hAnsi="宋体" w:cs="宋体"/>
                <w:sz w:val="22"/>
              </w:rPr>
            </w:pPr>
          </w:p>
        </w:tc>
      </w:tr>
      <w:tr w14:paraId="044B5A40">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48DAB9DC">
            <w:pPr>
              <w:snapToGrid w:val="0"/>
              <w:spacing w:line="0" w:lineRule="atLeast"/>
              <w:rPr>
                <w:rFonts w:hint="eastAsia" w:ascii="宋体" w:hAnsi="宋体" w:cs="宋体"/>
                <w:sz w:val="22"/>
              </w:rPr>
            </w:pPr>
          </w:p>
        </w:tc>
        <w:tc>
          <w:tcPr>
            <w:tcW w:w="3476" w:type="dxa"/>
            <w:gridSpan w:val="5"/>
            <w:noWrap w:val="0"/>
            <w:vAlign w:val="top"/>
          </w:tcPr>
          <w:p w14:paraId="71707D7A">
            <w:pPr>
              <w:snapToGrid w:val="0"/>
              <w:spacing w:line="0" w:lineRule="atLeast"/>
              <w:rPr>
                <w:rFonts w:hint="eastAsia" w:ascii="宋体" w:hAnsi="宋体" w:cs="宋体"/>
                <w:sz w:val="22"/>
              </w:rPr>
            </w:pPr>
          </w:p>
        </w:tc>
        <w:tc>
          <w:tcPr>
            <w:tcW w:w="1607" w:type="dxa"/>
            <w:gridSpan w:val="2"/>
            <w:noWrap w:val="0"/>
            <w:vAlign w:val="top"/>
          </w:tcPr>
          <w:p w14:paraId="3EE92F11">
            <w:pPr>
              <w:snapToGrid w:val="0"/>
              <w:spacing w:line="0" w:lineRule="atLeast"/>
              <w:rPr>
                <w:rFonts w:hint="eastAsia" w:ascii="宋体" w:hAnsi="宋体" w:cs="宋体"/>
                <w:sz w:val="22"/>
              </w:rPr>
            </w:pPr>
          </w:p>
        </w:tc>
        <w:tc>
          <w:tcPr>
            <w:tcW w:w="2657" w:type="dxa"/>
            <w:gridSpan w:val="2"/>
            <w:noWrap w:val="0"/>
            <w:vAlign w:val="top"/>
          </w:tcPr>
          <w:p w14:paraId="48FF4BD3">
            <w:pPr>
              <w:snapToGrid w:val="0"/>
              <w:spacing w:line="0" w:lineRule="atLeast"/>
              <w:rPr>
                <w:rFonts w:hint="eastAsia" w:ascii="宋体" w:hAnsi="宋体" w:cs="宋体"/>
                <w:sz w:val="22"/>
              </w:rPr>
            </w:pPr>
          </w:p>
        </w:tc>
      </w:tr>
      <w:tr w14:paraId="47C0AB59">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7C2D8334">
            <w:pPr>
              <w:snapToGrid w:val="0"/>
              <w:spacing w:line="0" w:lineRule="atLeast"/>
              <w:rPr>
                <w:rFonts w:hint="eastAsia" w:ascii="宋体" w:hAnsi="宋体" w:cs="宋体"/>
                <w:sz w:val="22"/>
              </w:rPr>
            </w:pPr>
          </w:p>
        </w:tc>
        <w:tc>
          <w:tcPr>
            <w:tcW w:w="3476" w:type="dxa"/>
            <w:gridSpan w:val="5"/>
            <w:noWrap w:val="0"/>
            <w:vAlign w:val="top"/>
          </w:tcPr>
          <w:p w14:paraId="27C8F2AC">
            <w:pPr>
              <w:snapToGrid w:val="0"/>
              <w:spacing w:line="0" w:lineRule="atLeast"/>
              <w:rPr>
                <w:rFonts w:hint="eastAsia" w:ascii="宋体" w:hAnsi="宋体" w:cs="宋体"/>
                <w:sz w:val="22"/>
              </w:rPr>
            </w:pPr>
          </w:p>
        </w:tc>
        <w:tc>
          <w:tcPr>
            <w:tcW w:w="1607" w:type="dxa"/>
            <w:gridSpan w:val="2"/>
            <w:noWrap w:val="0"/>
            <w:vAlign w:val="top"/>
          </w:tcPr>
          <w:p w14:paraId="612D5F4B">
            <w:pPr>
              <w:snapToGrid w:val="0"/>
              <w:spacing w:line="0" w:lineRule="atLeast"/>
              <w:rPr>
                <w:rFonts w:hint="eastAsia" w:ascii="宋体" w:hAnsi="宋体" w:cs="宋体"/>
                <w:sz w:val="22"/>
              </w:rPr>
            </w:pPr>
          </w:p>
        </w:tc>
        <w:tc>
          <w:tcPr>
            <w:tcW w:w="2657" w:type="dxa"/>
            <w:gridSpan w:val="2"/>
            <w:noWrap w:val="0"/>
            <w:vAlign w:val="top"/>
          </w:tcPr>
          <w:p w14:paraId="2D3B865C">
            <w:pPr>
              <w:snapToGrid w:val="0"/>
              <w:spacing w:line="0" w:lineRule="atLeast"/>
              <w:rPr>
                <w:rFonts w:hint="eastAsia" w:ascii="宋体" w:hAnsi="宋体" w:cs="宋体"/>
                <w:sz w:val="22"/>
              </w:rPr>
            </w:pPr>
          </w:p>
        </w:tc>
      </w:tr>
      <w:tr w14:paraId="37A6DB88">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2FACFEDE">
            <w:pPr>
              <w:snapToGrid w:val="0"/>
              <w:spacing w:line="0" w:lineRule="atLeast"/>
              <w:rPr>
                <w:rFonts w:hint="eastAsia" w:ascii="宋体" w:hAnsi="宋体" w:cs="宋体"/>
                <w:sz w:val="22"/>
              </w:rPr>
            </w:pPr>
          </w:p>
        </w:tc>
        <w:tc>
          <w:tcPr>
            <w:tcW w:w="3476" w:type="dxa"/>
            <w:gridSpan w:val="5"/>
            <w:noWrap w:val="0"/>
            <w:vAlign w:val="top"/>
          </w:tcPr>
          <w:p w14:paraId="3DEB8294">
            <w:pPr>
              <w:snapToGrid w:val="0"/>
              <w:spacing w:line="0" w:lineRule="atLeast"/>
              <w:rPr>
                <w:rFonts w:hint="eastAsia" w:ascii="宋体" w:hAnsi="宋体" w:cs="宋体"/>
                <w:sz w:val="22"/>
              </w:rPr>
            </w:pPr>
          </w:p>
        </w:tc>
        <w:tc>
          <w:tcPr>
            <w:tcW w:w="1607" w:type="dxa"/>
            <w:gridSpan w:val="2"/>
            <w:noWrap w:val="0"/>
            <w:vAlign w:val="top"/>
          </w:tcPr>
          <w:p w14:paraId="7FE4A75E">
            <w:pPr>
              <w:snapToGrid w:val="0"/>
              <w:spacing w:line="0" w:lineRule="atLeast"/>
              <w:rPr>
                <w:rFonts w:hint="eastAsia" w:ascii="宋体" w:hAnsi="宋体" w:cs="宋体"/>
                <w:sz w:val="22"/>
              </w:rPr>
            </w:pPr>
          </w:p>
        </w:tc>
        <w:tc>
          <w:tcPr>
            <w:tcW w:w="2657" w:type="dxa"/>
            <w:gridSpan w:val="2"/>
            <w:noWrap w:val="0"/>
            <w:vAlign w:val="top"/>
          </w:tcPr>
          <w:p w14:paraId="4C523DCD">
            <w:pPr>
              <w:snapToGrid w:val="0"/>
              <w:spacing w:line="0" w:lineRule="atLeast"/>
              <w:rPr>
                <w:rFonts w:hint="eastAsia" w:ascii="宋体" w:hAnsi="宋体" w:cs="宋体"/>
                <w:sz w:val="22"/>
              </w:rPr>
            </w:pPr>
          </w:p>
        </w:tc>
      </w:tr>
      <w:tr w14:paraId="1A123210">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694914B7">
            <w:pPr>
              <w:snapToGrid w:val="0"/>
              <w:spacing w:line="0" w:lineRule="atLeast"/>
              <w:rPr>
                <w:rFonts w:hint="eastAsia" w:ascii="宋体" w:hAnsi="宋体" w:cs="宋体"/>
                <w:sz w:val="22"/>
              </w:rPr>
            </w:pPr>
          </w:p>
        </w:tc>
        <w:tc>
          <w:tcPr>
            <w:tcW w:w="3476" w:type="dxa"/>
            <w:gridSpan w:val="5"/>
            <w:noWrap w:val="0"/>
            <w:vAlign w:val="top"/>
          </w:tcPr>
          <w:p w14:paraId="53E9E399">
            <w:pPr>
              <w:snapToGrid w:val="0"/>
              <w:spacing w:line="0" w:lineRule="atLeast"/>
              <w:rPr>
                <w:rFonts w:hint="eastAsia" w:ascii="宋体" w:hAnsi="宋体" w:cs="宋体"/>
                <w:sz w:val="22"/>
              </w:rPr>
            </w:pPr>
          </w:p>
        </w:tc>
        <w:tc>
          <w:tcPr>
            <w:tcW w:w="1607" w:type="dxa"/>
            <w:gridSpan w:val="2"/>
            <w:noWrap w:val="0"/>
            <w:vAlign w:val="top"/>
          </w:tcPr>
          <w:p w14:paraId="6979778E">
            <w:pPr>
              <w:snapToGrid w:val="0"/>
              <w:spacing w:line="0" w:lineRule="atLeast"/>
              <w:rPr>
                <w:rFonts w:hint="eastAsia" w:ascii="宋体" w:hAnsi="宋体" w:cs="宋体"/>
                <w:sz w:val="22"/>
              </w:rPr>
            </w:pPr>
          </w:p>
        </w:tc>
        <w:tc>
          <w:tcPr>
            <w:tcW w:w="2657" w:type="dxa"/>
            <w:gridSpan w:val="2"/>
            <w:noWrap w:val="0"/>
            <w:vAlign w:val="top"/>
          </w:tcPr>
          <w:p w14:paraId="498902C0">
            <w:pPr>
              <w:snapToGrid w:val="0"/>
              <w:spacing w:line="0" w:lineRule="atLeast"/>
              <w:rPr>
                <w:rFonts w:hint="eastAsia" w:ascii="宋体" w:hAnsi="宋体" w:cs="宋体"/>
                <w:sz w:val="22"/>
              </w:rPr>
            </w:pPr>
          </w:p>
        </w:tc>
      </w:tr>
      <w:tr w14:paraId="2B0528E8">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noWrap w:val="0"/>
            <w:vAlign w:val="top"/>
          </w:tcPr>
          <w:p w14:paraId="5643C961">
            <w:pPr>
              <w:snapToGrid w:val="0"/>
              <w:spacing w:line="0" w:lineRule="atLeast"/>
              <w:rPr>
                <w:rFonts w:hint="eastAsia" w:ascii="宋体" w:hAnsi="宋体" w:cs="宋体"/>
                <w:sz w:val="22"/>
              </w:rPr>
            </w:pPr>
          </w:p>
        </w:tc>
        <w:tc>
          <w:tcPr>
            <w:tcW w:w="3476" w:type="dxa"/>
            <w:gridSpan w:val="5"/>
            <w:noWrap w:val="0"/>
            <w:vAlign w:val="top"/>
          </w:tcPr>
          <w:p w14:paraId="0AE4724A">
            <w:pPr>
              <w:snapToGrid w:val="0"/>
              <w:spacing w:line="0" w:lineRule="atLeast"/>
              <w:rPr>
                <w:rFonts w:hint="eastAsia" w:ascii="宋体" w:hAnsi="宋体" w:cs="宋体"/>
                <w:sz w:val="22"/>
              </w:rPr>
            </w:pPr>
          </w:p>
        </w:tc>
        <w:tc>
          <w:tcPr>
            <w:tcW w:w="1607" w:type="dxa"/>
            <w:gridSpan w:val="2"/>
            <w:noWrap w:val="0"/>
            <w:vAlign w:val="top"/>
          </w:tcPr>
          <w:p w14:paraId="37E9C418">
            <w:pPr>
              <w:snapToGrid w:val="0"/>
              <w:spacing w:line="0" w:lineRule="atLeast"/>
              <w:rPr>
                <w:rFonts w:hint="eastAsia" w:ascii="宋体" w:hAnsi="宋体" w:cs="宋体"/>
                <w:sz w:val="22"/>
              </w:rPr>
            </w:pPr>
          </w:p>
        </w:tc>
        <w:tc>
          <w:tcPr>
            <w:tcW w:w="2657" w:type="dxa"/>
            <w:gridSpan w:val="2"/>
            <w:noWrap w:val="0"/>
            <w:vAlign w:val="top"/>
          </w:tcPr>
          <w:p w14:paraId="6A9943FF">
            <w:pPr>
              <w:snapToGrid w:val="0"/>
              <w:spacing w:line="0" w:lineRule="atLeast"/>
              <w:rPr>
                <w:rFonts w:hint="eastAsia" w:ascii="宋体" w:hAnsi="宋体" w:cs="宋体"/>
                <w:sz w:val="22"/>
              </w:rPr>
            </w:pPr>
          </w:p>
        </w:tc>
      </w:tr>
    </w:tbl>
    <w:p w14:paraId="18DC0299">
      <w:pPr>
        <w:widowControl/>
        <w:jc w:val="left"/>
        <w:rPr>
          <w:rFonts w:hint="eastAsia" w:ascii="宋体" w:hAnsi="宋体" w:cs="宋体"/>
          <w:sz w:val="22"/>
        </w:rPr>
      </w:pPr>
    </w:p>
    <w:p w14:paraId="5F08DCFB">
      <w:pPr>
        <w:spacing w:line="360" w:lineRule="auto"/>
        <w:rPr>
          <w:rFonts w:hint="eastAsia" w:ascii="宋体" w:hAnsi="宋体" w:cs="宋体"/>
          <w:sz w:val="22"/>
        </w:rPr>
      </w:pPr>
      <w:r>
        <w:rPr>
          <w:rFonts w:hint="eastAsia" w:ascii="宋体" w:hAnsi="宋体" w:cs="宋体"/>
          <w:sz w:val="22"/>
        </w:rPr>
        <w:t>注：投标人应根据招标文件的要求在本表后附相关证明材料</w:t>
      </w:r>
    </w:p>
    <w:p w14:paraId="33E5428C">
      <w:pPr>
        <w:spacing w:line="360" w:lineRule="auto"/>
        <w:jc w:val="left"/>
        <w:rPr>
          <w:rFonts w:hint="eastAsia" w:ascii="宋体" w:hAnsi="宋体" w:cs="宋体"/>
          <w:sz w:val="28"/>
          <w:szCs w:val="28"/>
        </w:rPr>
      </w:pPr>
      <w:r>
        <w:rPr>
          <w:rFonts w:hint="eastAsia" w:ascii="宋体" w:hAnsi="宋体" w:cs="宋体"/>
          <w:sz w:val="22"/>
        </w:rPr>
        <w:t>（本项不作为资格审查内容，但（如有）需提供，仅作为投标人的评标（综合评分）资料进行考察。表格格式可以根据实际情况调整。）</w:t>
      </w:r>
    </w:p>
    <w:p w14:paraId="50DE5F82">
      <w:pPr>
        <w:pStyle w:val="4"/>
        <w:spacing w:line="600" w:lineRule="auto"/>
        <w:jc w:val="center"/>
        <w:rPr>
          <w:rFonts w:hint="eastAsia" w:ascii="宋体" w:hAnsi="宋体" w:eastAsia="宋体"/>
          <w:color w:val="auto"/>
          <w:sz w:val="30"/>
          <w:szCs w:val="30"/>
          <w:lang w:val="en-US" w:eastAsia="zh-CN"/>
        </w:rPr>
        <w:sectPr>
          <w:pgSz w:w="11907" w:h="16840"/>
          <w:pgMar w:top="1440" w:right="1440" w:bottom="1134" w:left="1440" w:header="851" w:footer="992" w:gutter="0"/>
          <w:cols w:space="720" w:num="1"/>
          <w:docGrid w:linePitch="312" w:charSpace="0"/>
        </w:sectPr>
      </w:pPr>
    </w:p>
    <w:p w14:paraId="69DBE56E">
      <w:pPr>
        <w:pStyle w:val="4"/>
        <w:spacing w:line="600" w:lineRule="auto"/>
        <w:jc w:val="center"/>
        <w:rPr>
          <w:rFonts w:hint="eastAsia" w:ascii="宋体" w:hAnsi="宋体" w:eastAsia="宋体"/>
          <w:color w:val="auto"/>
          <w:sz w:val="30"/>
          <w:szCs w:val="30"/>
          <w:lang w:val="en-US" w:eastAsia="zh-CN"/>
        </w:rPr>
      </w:pPr>
      <w:r>
        <w:rPr>
          <w:rFonts w:hint="eastAsia" w:ascii="宋体" w:hAnsi="宋体" w:eastAsia="宋体"/>
          <w:color w:val="auto"/>
          <w:sz w:val="30"/>
          <w:szCs w:val="30"/>
          <w:lang w:val="en-US" w:eastAsia="zh-CN"/>
        </w:rPr>
        <w:t>八、</w:t>
      </w:r>
      <w:bookmarkEnd w:id="440"/>
      <w:bookmarkEnd w:id="441"/>
      <w:bookmarkEnd w:id="442"/>
      <w:r>
        <w:rPr>
          <w:rFonts w:hint="eastAsia" w:ascii="宋体" w:hAnsi="宋体" w:eastAsia="宋体"/>
          <w:color w:val="auto"/>
          <w:sz w:val="30"/>
          <w:szCs w:val="30"/>
          <w:lang w:val="en-US" w:eastAsia="zh-CN"/>
        </w:rPr>
        <w:t>检测监测技术方案</w:t>
      </w:r>
    </w:p>
    <w:p w14:paraId="3DC0E77C">
      <w:pPr>
        <w:jc w:val="center"/>
        <w:rPr>
          <w:rFonts w:ascii="宋体" w:hAnsi="宋体"/>
        </w:rPr>
      </w:pPr>
      <w:r>
        <w:rPr>
          <w:rFonts w:hint="eastAsia" w:ascii="宋体" w:hAnsi="宋体" w:cs="宋体"/>
          <w:color w:val="auto"/>
          <w:sz w:val="24"/>
          <w:szCs w:val="24"/>
          <w:highlight w:val="none"/>
        </w:rPr>
        <w:t>格式自拟</w:t>
      </w:r>
    </w:p>
    <w:p w14:paraId="0D64CDB1">
      <w:pPr>
        <w:rPr>
          <w:rFonts w:ascii="宋体" w:hAnsi="宋体"/>
        </w:rPr>
      </w:pPr>
    </w:p>
    <w:p w14:paraId="035E9959">
      <w:pPr>
        <w:rPr>
          <w:rFonts w:ascii="宋体" w:hAnsi="宋体"/>
        </w:rPr>
      </w:pPr>
    </w:p>
    <w:p w14:paraId="75A03F24">
      <w:pPr>
        <w:rPr>
          <w:rFonts w:ascii="宋体" w:hAnsi="宋体"/>
        </w:rPr>
      </w:pPr>
    </w:p>
    <w:p w14:paraId="1A2F1F26">
      <w:pPr>
        <w:widowControl/>
        <w:jc w:val="left"/>
        <w:rPr>
          <w:rFonts w:ascii="宋体" w:hAnsi="宋体" w:cs="宋体"/>
          <w:b/>
          <w:sz w:val="32"/>
          <w:szCs w:val="20"/>
          <w:lang w:bidi="ar"/>
        </w:rPr>
      </w:pPr>
      <w:r>
        <w:rPr>
          <w:rFonts w:hint="eastAsia" w:ascii="宋体" w:hAnsi="宋体"/>
          <w:b w:val="0"/>
          <w:bCs w:val="0"/>
          <w:color w:val="auto"/>
        </w:rPr>
        <w:br w:type="page"/>
      </w:r>
      <w:bookmarkStart w:id="455" w:name="_Toc7939_WPSOffice_Level1"/>
      <w:bookmarkStart w:id="456" w:name="_Toc535938759"/>
      <w:bookmarkStart w:id="457" w:name="_Toc530470652"/>
      <w:bookmarkStart w:id="458" w:name="_Toc24571_WPSOffice_Level1"/>
      <w:bookmarkStart w:id="459" w:name="_Toc529196611"/>
      <w:bookmarkStart w:id="460" w:name="_Toc21886_WPSOffice_Level1"/>
    </w:p>
    <w:bookmarkEnd w:id="455"/>
    <w:bookmarkEnd w:id="456"/>
    <w:bookmarkEnd w:id="457"/>
    <w:bookmarkEnd w:id="458"/>
    <w:bookmarkEnd w:id="459"/>
    <w:bookmarkEnd w:id="460"/>
    <w:p w14:paraId="67D57E42">
      <w:pPr>
        <w:pStyle w:val="4"/>
        <w:spacing w:line="600" w:lineRule="auto"/>
        <w:jc w:val="center"/>
        <w:rPr>
          <w:rFonts w:ascii="宋体" w:hAnsi="宋体" w:eastAsia="宋体"/>
          <w:color w:val="auto"/>
          <w:sz w:val="30"/>
          <w:szCs w:val="30"/>
        </w:rPr>
      </w:pPr>
      <w:r>
        <w:rPr>
          <w:rFonts w:hint="eastAsia" w:ascii="宋体" w:hAnsi="宋体" w:eastAsia="宋体"/>
          <w:color w:val="auto"/>
          <w:sz w:val="30"/>
          <w:szCs w:val="30"/>
          <w:lang w:val="en-US" w:eastAsia="zh-CN"/>
        </w:rPr>
        <w:t>九</w:t>
      </w:r>
      <w:r>
        <w:rPr>
          <w:rFonts w:hint="eastAsia" w:ascii="宋体" w:hAnsi="宋体" w:eastAsia="宋体"/>
          <w:color w:val="auto"/>
          <w:sz w:val="30"/>
          <w:szCs w:val="30"/>
        </w:rPr>
        <w:t>、其他资料</w:t>
      </w:r>
    </w:p>
    <w:p w14:paraId="49F4A017">
      <w:pPr>
        <w:pStyle w:val="23"/>
        <w:ind w:firstLine="480"/>
        <w:rPr>
          <w:color w:val="auto"/>
        </w:rPr>
      </w:pPr>
    </w:p>
    <w:p w14:paraId="1AB982D1"/>
    <w:sectPr>
      <w:pgSz w:w="11907" w:h="16840"/>
      <w:pgMar w:top="1440" w:right="1440" w:bottom="1134"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SJQY">
    <w:panose1 w:val="02010600030101010101"/>
    <w:charset w:val="86"/>
    <w:family w:val="auto"/>
    <w:pitch w:val="default"/>
    <w:sig w:usb0="00000003" w:usb1="080E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297260"/>
    </w:sdtPr>
    <w:sdtContent>
      <w:p w14:paraId="35010BE8">
        <w:pPr>
          <w:pStyle w:val="14"/>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26A6D0B">
    <w:pPr>
      <w:pStyle w:val="14"/>
      <w:jc w:val="center"/>
    </w:pPr>
    <w:r>
      <w:fldChar w:fldCharType="begin"/>
    </w:r>
    <w:r>
      <w:instrText xml:space="preserve">PAGE   \* MERGEFORMAT</w:instrText>
    </w:r>
    <w:r>
      <w:fldChar w:fldCharType="separate"/>
    </w:r>
    <w:r>
      <w:rPr>
        <w:lang w:val="zh-CN"/>
      </w:rPr>
      <w:t>68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BDA2D8">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F9B01"/>
    <w:multiLevelType w:val="singleLevel"/>
    <w:tmpl w:val="A61F9B01"/>
    <w:lvl w:ilvl="0" w:tentative="0">
      <w:start w:val="5"/>
      <w:numFmt w:val="chineseCounting"/>
      <w:suff w:val="space"/>
      <w:lvlText w:val="第%1章"/>
      <w:lvlJc w:val="left"/>
      <w:rPr>
        <w:rFonts w:hint="eastAsia"/>
      </w:rPr>
    </w:lvl>
  </w:abstractNum>
  <w:abstractNum w:abstractNumId="1">
    <w:nsid w:val="AFB3CEE7"/>
    <w:multiLevelType w:val="singleLevel"/>
    <w:tmpl w:val="AFB3CEE7"/>
    <w:lvl w:ilvl="0" w:tentative="0">
      <w:start w:val="1"/>
      <w:numFmt w:val="decimal"/>
      <w:suff w:val="nothing"/>
      <w:lvlText w:val="（%1）"/>
      <w:lvlJc w:val="left"/>
    </w:lvl>
  </w:abstractNum>
  <w:abstractNum w:abstractNumId="2">
    <w:nsid w:val="D7F9AF62"/>
    <w:multiLevelType w:val="singleLevel"/>
    <w:tmpl w:val="D7F9AF62"/>
    <w:lvl w:ilvl="0" w:tentative="0">
      <w:start w:val="1"/>
      <w:numFmt w:val="decimal"/>
      <w:suff w:val="nothing"/>
      <w:lvlText w:val="%1、"/>
      <w:lvlJc w:val="left"/>
    </w:lvl>
  </w:abstractNum>
  <w:abstractNum w:abstractNumId="3">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B"/>
    <w:multiLevelType w:val="singleLevel"/>
    <w:tmpl w:val="0000000B"/>
    <w:lvl w:ilvl="0" w:tentative="0">
      <w:start w:val="1"/>
      <w:numFmt w:val="bullet"/>
      <w:pStyle w:val="49"/>
      <w:lvlText w:val=""/>
      <w:lvlJc w:val="left"/>
      <w:pPr>
        <w:tabs>
          <w:tab w:val="left" w:pos="360"/>
        </w:tabs>
        <w:ind w:left="360" w:hanging="360"/>
      </w:pPr>
      <w:rPr>
        <w:rFonts w:hint="default" w:ascii="Wingdings" w:hAnsi="Wingdings"/>
      </w:rPr>
    </w:lvl>
  </w:abstractNum>
  <w:abstractNum w:abstractNumId="5">
    <w:nsid w:val="31C4AC92"/>
    <w:multiLevelType w:val="singleLevel"/>
    <w:tmpl w:val="31C4AC92"/>
    <w:lvl w:ilvl="0" w:tentative="0">
      <w:start w:val="4"/>
      <w:numFmt w:val="decimal"/>
      <w:suff w:val="nothing"/>
      <w:lvlText w:val="%1、"/>
      <w:lvlJc w:val="left"/>
    </w:lvl>
  </w:abstractNum>
  <w:abstractNum w:abstractNumId="6">
    <w:nsid w:val="5ADA2AB9"/>
    <w:multiLevelType w:val="singleLevel"/>
    <w:tmpl w:val="5ADA2AB9"/>
    <w:lvl w:ilvl="0" w:tentative="0">
      <w:start w:val="7"/>
      <w:numFmt w:val="chineseCounting"/>
      <w:suff w:val="nothing"/>
      <w:lvlText w:val="%1、"/>
      <w:lvlJc w:val="left"/>
      <w:rPr>
        <w:rFonts w:hint="eastAsia"/>
      </w:rPr>
    </w:lvl>
  </w:abstractNum>
  <w:abstractNum w:abstractNumId="7">
    <w:nsid w:val="7C8D14CC"/>
    <w:multiLevelType w:val="singleLevel"/>
    <w:tmpl w:val="7C8D14CC"/>
    <w:lvl w:ilvl="0" w:tentative="0">
      <w:start w:val="1"/>
      <w:numFmt w:val="decimal"/>
      <w:suff w:val="nothing"/>
      <w:lvlText w:val="%1、"/>
      <w:lvlJc w:val="left"/>
      <w:pPr>
        <w:ind w:left="0" w:firstLine="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YTUzNTU5N2I0OTQwYjc5M2IxMWEzYjY5YmQ5Y2MifQ=="/>
  </w:docVars>
  <w:rsids>
    <w:rsidRoot w:val="4A79480D"/>
    <w:rsid w:val="00037536"/>
    <w:rsid w:val="000411F5"/>
    <w:rsid w:val="0006216C"/>
    <w:rsid w:val="00064611"/>
    <w:rsid w:val="000740B2"/>
    <w:rsid w:val="000C3C32"/>
    <w:rsid w:val="001068C8"/>
    <w:rsid w:val="00137C33"/>
    <w:rsid w:val="00146DC0"/>
    <w:rsid w:val="00151CF5"/>
    <w:rsid w:val="00175826"/>
    <w:rsid w:val="001A6431"/>
    <w:rsid w:val="001B7D43"/>
    <w:rsid w:val="00213DBC"/>
    <w:rsid w:val="00213F65"/>
    <w:rsid w:val="00216B0D"/>
    <w:rsid w:val="00232560"/>
    <w:rsid w:val="00245201"/>
    <w:rsid w:val="00284408"/>
    <w:rsid w:val="002B0CBF"/>
    <w:rsid w:val="0033322B"/>
    <w:rsid w:val="003531EC"/>
    <w:rsid w:val="00356EAE"/>
    <w:rsid w:val="0036458A"/>
    <w:rsid w:val="003A68A8"/>
    <w:rsid w:val="003B5F90"/>
    <w:rsid w:val="003F2B17"/>
    <w:rsid w:val="0043018E"/>
    <w:rsid w:val="004321DA"/>
    <w:rsid w:val="0044186F"/>
    <w:rsid w:val="004434E1"/>
    <w:rsid w:val="00451459"/>
    <w:rsid w:val="0048201D"/>
    <w:rsid w:val="004876D5"/>
    <w:rsid w:val="004940DA"/>
    <w:rsid w:val="00497598"/>
    <w:rsid w:val="004B3CC1"/>
    <w:rsid w:val="00507D76"/>
    <w:rsid w:val="00515C63"/>
    <w:rsid w:val="00522B29"/>
    <w:rsid w:val="00524AFC"/>
    <w:rsid w:val="0052649D"/>
    <w:rsid w:val="00535526"/>
    <w:rsid w:val="00537EE5"/>
    <w:rsid w:val="00584BE6"/>
    <w:rsid w:val="00591284"/>
    <w:rsid w:val="005A723D"/>
    <w:rsid w:val="005D275F"/>
    <w:rsid w:val="005E233E"/>
    <w:rsid w:val="005F352C"/>
    <w:rsid w:val="00654646"/>
    <w:rsid w:val="00662537"/>
    <w:rsid w:val="00693B43"/>
    <w:rsid w:val="006B6B26"/>
    <w:rsid w:val="006E0938"/>
    <w:rsid w:val="006F40EF"/>
    <w:rsid w:val="006F75BA"/>
    <w:rsid w:val="00712FD1"/>
    <w:rsid w:val="007206C7"/>
    <w:rsid w:val="007445FB"/>
    <w:rsid w:val="00790F75"/>
    <w:rsid w:val="007F4336"/>
    <w:rsid w:val="00805C63"/>
    <w:rsid w:val="008077AC"/>
    <w:rsid w:val="00812DEE"/>
    <w:rsid w:val="008151E2"/>
    <w:rsid w:val="00820FF8"/>
    <w:rsid w:val="00822F60"/>
    <w:rsid w:val="0082619B"/>
    <w:rsid w:val="00846CB8"/>
    <w:rsid w:val="0085747B"/>
    <w:rsid w:val="008D3D67"/>
    <w:rsid w:val="008F20A2"/>
    <w:rsid w:val="0092748F"/>
    <w:rsid w:val="00933EB5"/>
    <w:rsid w:val="0094138D"/>
    <w:rsid w:val="00946F15"/>
    <w:rsid w:val="0096765A"/>
    <w:rsid w:val="009718B9"/>
    <w:rsid w:val="00983063"/>
    <w:rsid w:val="009B5378"/>
    <w:rsid w:val="009C5370"/>
    <w:rsid w:val="009D6544"/>
    <w:rsid w:val="009E11B8"/>
    <w:rsid w:val="009F1A61"/>
    <w:rsid w:val="00A03FA7"/>
    <w:rsid w:val="00A362E0"/>
    <w:rsid w:val="00A65176"/>
    <w:rsid w:val="00A87708"/>
    <w:rsid w:val="00B04211"/>
    <w:rsid w:val="00B2097B"/>
    <w:rsid w:val="00B527B0"/>
    <w:rsid w:val="00B57C8A"/>
    <w:rsid w:val="00B93696"/>
    <w:rsid w:val="00BC7E05"/>
    <w:rsid w:val="00BF5584"/>
    <w:rsid w:val="00C60CB6"/>
    <w:rsid w:val="00C732B1"/>
    <w:rsid w:val="00CB7B9F"/>
    <w:rsid w:val="00CD107D"/>
    <w:rsid w:val="00CD5BB6"/>
    <w:rsid w:val="00CF38BE"/>
    <w:rsid w:val="00D22A72"/>
    <w:rsid w:val="00D92AD8"/>
    <w:rsid w:val="00DA4E34"/>
    <w:rsid w:val="00DC0372"/>
    <w:rsid w:val="00DD126D"/>
    <w:rsid w:val="00DD2E38"/>
    <w:rsid w:val="00E21D59"/>
    <w:rsid w:val="00E54395"/>
    <w:rsid w:val="00E96957"/>
    <w:rsid w:val="00EF6784"/>
    <w:rsid w:val="00F06065"/>
    <w:rsid w:val="00F51198"/>
    <w:rsid w:val="00F5202C"/>
    <w:rsid w:val="00F533BB"/>
    <w:rsid w:val="00F629F2"/>
    <w:rsid w:val="00F65B28"/>
    <w:rsid w:val="00F92539"/>
    <w:rsid w:val="00F93B34"/>
    <w:rsid w:val="00FA0F82"/>
    <w:rsid w:val="00FA2CCA"/>
    <w:rsid w:val="00FE0CE3"/>
    <w:rsid w:val="00FE1F3E"/>
    <w:rsid w:val="013814A2"/>
    <w:rsid w:val="014C1394"/>
    <w:rsid w:val="016025FC"/>
    <w:rsid w:val="01695955"/>
    <w:rsid w:val="0176597C"/>
    <w:rsid w:val="018B6805"/>
    <w:rsid w:val="01C2039F"/>
    <w:rsid w:val="020F5DF6"/>
    <w:rsid w:val="02E66FBD"/>
    <w:rsid w:val="02EB239A"/>
    <w:rsid w:val="0314369E"/>
    <w:rsid w:val="03476509"/>
    <w:rsid w:val="03507CB1"/>
    <w:rsid w:val="03AA4003"/>
    <w:rsid w:val="053973EC"/>
    <w:rsid w:val="06073145"/>
    <w:rsid w:val="0636245B"/>
    <w:rsid w:val="063C3527"/>
    <w:rsid w:val="06475BFE"/>
    <w:rsid w:val="065D224D"/>
    <w:rsid w:val="06611EB4"/>
    <w:rsid w:val="06AB37D3"/>
    <w:rsid w:val="07061550"/>
    <w:rsid w:val="072A086B"/>
    <w:rsid w:val="073021EF"/>
    <w:rsid w:val="076C4D3E"/>
    <w:rsid w:val="0873533A"/>
    <w:rsid w:val="08BB280E"/>
    <w:rsid w:val="095A595B"/>
    <w:rsid w:val="09B01C47"/>
    <w:rsid w:val="09FF18FD"/>
    <w:rsid w:val="0A4422E6"/>
    <w:rsid w:val="0A601751"/>
    <w:rsid w:val="0AF273D4"/>
    <w:rsid w:val="0B1306DF"/>
    <w:rsid w:val="0B6435C9"/>
    <w:rsid w:val="0BF25426"/>
    <w:rsid w:val="0BF57428"/>
    <w:rsid w:val="0C211ED4"/>
    <w:rsid w:val="0C387610"/>
    <w:rsid w:val="0CD345CA"/>
    <w:rsid w:val="0D1B1ACD"/>
    <w:rsid w:val="0D6B65FF"/>
    <w:rsid w:val="0D796E2B"/>
    <w:rsid w:val="0D8843F3"/>
    <w:rsid w:val="0DA4774F"/>
    <w:rsid w:val="0DC337A8"/>
    <w:rsid w:val="0DEC31AC"/>
    <w:rsid w:val="0E190265"/>
    <w:rsid w:val="0E740B6D"/>
    <w:rsid w:val="0E761076"/>
    <w:rsid w:val="0E806B01"/>
    <w:rsid w:val="0E8431AE"/>
    <w:rsid w:val="0E941B37"/>
    <w:rsid w:val="0EB61AAE"/>
    <w:rsid w:val="0ECD3282"/>
    <w:rsid w:val="0F405AEF"/>
    <w:rsid w:val="0F5045ED"/>
    <w:rsid w:val="0F6973B6"/>
    <w:rsid w:val="0F7C21DD"/>
    <w:rsid w:val="0F7E2417"/>
    <w:rsid w:val="0F8E2A2A"/>
    <w:rsid w:val="0F934DD0"/>
    <w:rsid w:val="0F97275C"/>
    <w:rsid w:val="0FB7515D"/>
    <w:rsid w:val="0FDE05DE"/>
    <w:rsid w:val="10490612"/>
    <w:rsid w:val="104C5403"/>
    <w:rsid w:val="10572EEA"/>
    <w:rsid w:val="10964D76"/>
    <w:rsid w:val="10BE5C32"/>
    <w:rsid w:val="10DF436A"/>
    <w:rsid w:val="110475D6"/>
    <w:rsid w:val="11BA1C5D"/>
    <w:rsid w:val="12152F8F"/>
    <w:rsid w:val="1218482D"/>
    <w:rsid w:val="12412F69"/>
    <w:rsid w:val="127863A0"/>
    <w:rsid w:val="12975AB0"/>
    <w:rsid w:val="12AE3795"/>
    <w:rsid w:val="12CD1ABC"/>
    <w:rsid w:val="12DE7A63"/>
    <w:rsid w:val="12E04B91"/>
    <w:rsid w:val="12E3738C"/>
    <w:rsid w:val="12F62DC0"/>
    <w:rsid w:val="12FC5009"/>
    <w:rsid w:val="130628D8"/>
    <w:rsid w:val="131B354D"/>
    <w:rsid w:val="1376180B"/>
    <w:rsid w:val="13B52FD2"/>
    <w:rsid w:val="148468F0"/>
    <w:rsid w:val="1573694A"/>
    <w:rsid w:val="157D01C4"/>
    <w:rsid w:val="15986123"/>
    <w:rsid w:val="15D373E9"/>
    <w:rsid w:val="15F12EDD"/>
    <w:rsid w:val="16034329"/>
    <w:rsid w:val="161D2209"/>
    <w:rsid w:val="16551BAC"/>
    <w:rsid w:val="16657303"/>
    <w:rsid w:val="16AF3D62"/>
    <w:rsid w:val="16BA4105"/>
    <w:rsid w:val="16DE6305"/>
    <w:rsid w:val="17424A0B"/>
    <w:rsid w:val="176270B5"/>
    <w:rsid w:val="17875216"/>
    <w:rsid w:val="178E43E8"/>
    <w:rsid w:val="183F7AE9"/>
    <w:rsid w:val="186B56B7"/>
    <w:rsid w:val="18933023"/>
    <w:rsid w:val="18C4126B"/>
    <w:rsid w:val="193C5EC8"/>
    <w:rsid w:val="19490EBC"/>
    <w:rsid w:val="197660CC"/>
    <w:rsid w:val="19A35324"/>
    <w:rsid w:val="1A057D8D"/>
    <w:rsid w:val="1A336186"/>
    <w:rsid w:val="1A777C78"/>
    <w:rsid w:val="1A7E52AB"/>
    <w:rsid w:val="1ACA3D59"/>
    <w:rsid w:val="1AD36224"/>
    <w:rsid w:val="1B456B45"/>
    <w:rsid w:val="1B89770D"/>
    <w:rsid w:val="1BC06CF4"/>
    <w:rsid w:val="1C02407C"/>
    <w:rsid w:val="1C5811B8"/>
    <w:rsid w:val="1CF01832"/>
    <w:rsid w:val="1D09578F"/>
    <w:rsid w:val="1D8B1D4A"/>
    <w:rsid w:val="1D9C5430"/>
    <w:rsid w:val="1DFF7B56"/>
    <w:rsid w:val="1E011E7F"/>
    <w:rsid w:val="1E1A3E9C"/>
    <w:rsid w:val="1E357EAB"/>
    <w:rsid w:val="1E701DD2"/>
    <w:rsid w:val="1E8E0351"/>
    <w:rsid w:val="1EA01D5E"/>
    <w:rsid w:val="1EBD3B8E"/>
    <w:rsid w:val="1EC53705"/>
    <w:rsid w:val="1EE937D9"/>
    <w:rsid w:val="1F841754"/>
    <w:rsid w:val="1FE54CB1"/>
    <w:rsid w:val="1FEE0DB3"/>
    <w:rsid w:val="205B24B5"/>
    <w:rsid w:val="20A91472"/>
    <w:rsid w:val="20D408FE"/>
    <w:rsid w:val="20DE450D"/>
    <w:rsid w:val="219E4D4F"/>
    <w:rsid w:val="22012851"/>
    <w:rsid w:val="221354BF"/>
    <w:rsid w:val="221C4789"/>
    <w:rsid w:val="22230DB0"/>
    <w:rsid w:val="22295AD0"/>
    <w:rsid w:val="22402DB4"/>
    <w:rsid w:val="229879F0"/>
    <w:rsid w:val="22C81958"/>
    <w:rsid w:val="22D8603F"/>
    <w:rsid w:val="232262DB"/>
    <w:rsid w:val="23324287"/>
    <w:rsid w:val="234C4337"/>
    <w:rsid w:val="23544934"/>
    <w:rsid w:val="23C415B5"/>
    <w:rsid w:val="24166017"/>
    <w:rsid w:val="241A3BCA"/>
    <w:rsid w:val="24862C65"/>
    <w:rsid w:val="248875F1"/>
    <w:rsid w:val="24A87809"/>
    <w:rsid w:val="24E94811"/>
    <w:rsid w:val="25660A49"/>
    <w:rsid w:val="257E6D37"/>
    <w:rsid w:val="26027F94"/>
    <w:rsid w:val="261722A2"/>
    <w:rsid w:val="26867B60"/>
    <w:rsid w:val="26C30418"/>
    <w:rsid w:val="26D134D1"/>
    <w:rsid w:val="26F037AB"/>
    <w:rsid w:val="27411E35"/>
    <w:rsid w:val="27BC4085"/>
    <w:rsid w:val="27F214C3"/>
    <w:rsid w:val="282D2989"/>
    <w:rsid w:val="283755B5"/>
    <w:rsid w:val="2843319D"/>
    <w:rsid w:val="289116D5"/>
    <w:rsid w:val="28C206F4"/>
    <w:rsid w:val="28C66939"/>
    <w:rsid w:val="28F17E5A"/>
    <w:rsid w:val="28F416F8"/>
    <w:rsid w:val="29234F87"/>
    <w:rsid w:val="293972D8"/>
    <w:rsid w:val="293A0E30"/>
    <w:rsid w:val="2945060B"/>
    <w:rsid w:val="296853F8"/>
    <w:rsid w:val="296879F1"/>
    <w:rsid w:val="297A59A9"/>
    <w:rsid w:val="29C879B9"/>
    <w:rsid w:val="2A471174"/>
    <w:rsid w:val="2A8D3BB3"/>
    <w:rsid w:val="2AED2B71"/>
    <w:rsid w:val="2AF76293"/>
    <w:rsid w:val="2B3C2124"/>
    <w:rsid w:val="2B8D6D49"/>
    <w:rsid w:val="2BA50FCE"/>
    <w:rsid w:val="2BDC21B0"/>
    <w:rsid w:val="2BF65788"/>
    <w:rsid w:val="2C96370A"/>
    <w:rsid w:val="2CFD3656"/>
    <w:rsid w:val="2D371BB4"/>
    <w:rsid w:val="2D494085"/>
    <w:rsid w:val="2D7650A3"/>
    <w:rsid w:val="2DCA2A28"/>
    <w:rsid w:val="2DD24266"/>
    <w:rsid w:val="2DEC299E"/>
    <w:rsid w:val="2E02593D"/>
    <w:rsid w:val="2E6966E5"/>
    <w:rsid w:val="2E83493E"/>
    <w:rsid w:val="2EAD550D"/>
    <w:rsid w:val="2EDE49DD"/>
    <w:rsid w:val="2EE0787D"/>
    <w:rsid w:val="2EE813AC"/>
    <w:rsid w:val="2F066963"/>
    <w:rsid w:val="2F520F27"/>
    <w:rsid w:val="2F5C0B97"/>
    <w:rsid w:val="2F996B56"/>
    <w:rsid w:val="2FAB0637"/>
    <w:rsid w:val="2FD63077"/>
    <w:rsid w:val="30740429"/>
    <w:rsid w:val="3078784F"/>
    <w:rsid w:val="30893005"/>
    <w:rsid w:val="30A21603"/>
    <w:rsid w:val="30D9489C"/>
    <w:rsid w:val="31603DCF"/>
    <w:rsid w:val="316504E4"/>
    <w:rsid w:val="31721C5E"/>
    <w:rsid w:val="31A41B90"/>
    <w:rsid w:val="31AD3816"/>
    <w:rsid w:val="31B1462B"/>
    <w:rsid w:val="330B7D6A"/>
    <w:rsid w:val="33370B5F"/>
    <w:rsid w:val="33731839"/>
    <w:rsid w:val="338173C0"/>
    <w:rsid w:val="338A5AE5"/>
    <w:rsid w:val="339A4E8A"/>
    <w:rsid w:val="339C0B59"/>
    <w:rsid w:val="33B13A39"/>
    <w:rsid w:val="33DD1BE1"/>
    <w:rsid w:val="340D18C0"/>
    <w:rsid w:val="34725756"/>
    <w:rsid w:val="34834046"/>
    <w:rsid w:val="34880F47"/>
    <w:rsid w:val="348E31BB"/>
    <w:rsid w:val="34976913"/>
    <w:rsid w:val="34BB756E"/>
    <w:rsid w:val="34E412B2"/>
    <w:rsid w:val="3530256B"/>
    <w:rsid w:val="3546508A"/>
    <w:rsid w:val="35510B42"/>
    <w:rsid w:val="35563884"/>
    <w:rsid w:val="355B4A80"/>
    <w:rsid w:val="35637F9E"/>
    <w:rsid w:val="356B4AF0"/>
    <w:rsid w:val="358A576A"/>
    <w:rsid w:val="35DB5EC1"/>
    <w:rsid w:val="363D550A"/>
    <w:rsid w:val="36672E8C"/>
    <w:rsid w:val="368A71F8"/>
    <w:rsid w:val="36AA1648"/>
    <w:rsid w:val="36AC716F"/>
    <w:rsid w:val="36C62C57"/>
    <w:rsid w:val="36D56A25"/>
    <w:rsid w:val="36E11E77"/>
    <w:rsid w:val="370945C1"/>
    <w:rsid w:val="37182A56"/>
    <w:rsid w:val="372C0E9B"/>
    <w:rsid w:val="379F0A81"/>
    <w:rsid w:val="37A2471D"/>
    <w:rsid w:val="37BA6B45"/>
    <w:rsid w:val="37D34A84"/>
    <w:rsid w:val="37F905D9"/>
    <w:rsid w:val="386F66A6"/>
    <w:rsid w:val="38B54DE2"/>
    <w:rsid w:val="38D378D6"/>
    <w:rsid w:val="399D36E6"/>
    <w:rsid w:val="39C34566"/>
    <w:rsid w:val="3A0A51F9"/>
    <w:rsid w:val="3A4D7A43"/>
    <w:rsid w:val="3A5C3A84"/>
    <w:rsid w:val="3A874BD8"/>
    <w:rsid w:val="3AC849EE"/>
    <w:rsid w:val="3AF05C94"/>
    <w:rsid w:val="3B0F1F19"/>
    <w:rsid w:val="3B274E38"/>
    <w:rsid w:val="3B605CFC"/>
    <w:rsid w:val="3B922030"/>
    <w:rsid w:val="3BBA2A51"/>
    <w:rsid w:val="3BCB0097"/>
    <w:rsid w:val="3BCF7321"/>
    <w:rsid w:val="3BE64ED1"/>
    <w:rsid w:val="3C0637C5"/>
    <w:rsid w:val="3C1F70F0"/>
    <w:rsid w:val="3C6B3628"/>
    <w:rsid w:val="3C82000C"/>
    <w:rsid w:val="3C9C1A33"/>
    <w:rsid w:val="3CB35572"/>
    <w:rsid w:val="3CB90837"/>
    <w:rsid w:val="3CE1243E"/>
    <w:rsid w:val="3D154E6F"/>
    <w:rsid w:val="3D330FAC"/>
    <w:rsid w:val="3D751348"/>
    <w:rsid w:val="3D7D79F1"/>
    <w:rsid w:val="3D925F99"/>
    <w:rsid w:val="3DBF1E7D"/>
    <w:rsid w:val="3E0C2BE9"/>
    <w:rsid w:val="3E0E65A8"/>
    <w:rsid w:val="3E906C64"/>
    <w:rsid w:val="3ED6097D"/>
    <w:rsid w:val="3EDF6F56"/>
    <w:rsid w:val="3EF21DDE"/>
    <w:rsid w:val="3F114D9C"/>
    <w:rsid w:val="3F303172"/>
    <w:rsid w:val="3FA901A2"/>
    <w:rsid w:val="3FAA3D53"/>
    <w:rsid w:val="40092AEE"/>
    <w:rsid w:val="40E76E20"/>
    <w:rsid w:val="40EC1FFA"/>
    <w:rsid w:val="40FE2CBD"/>
    <w:rsid w:val="412F731A"/>
    <w:rsid w:val="41A73AA2"/>
    <w:rsid w:val="41B56DEE"/>
    <w:rsid w:val="41BD778A"/>
    <w:rsid w:val="422E34B9"/>
    <w:rsid w:val="42816B51"/>
    <w:rsid w:val="429F227D"/>
    <w:rsid w:val="42C514DB"/>
    <w:rsid w:val="432E0347"/>
    <w:rsid w:val="434729F6"/>
    <w:rsid w:val="435B5F68"/>
    <w:rsid w:val="438A518A"/>
    <w:rsid w:val="43B8661E"/>
    <w:rsid w:val="43B9736F"/>
    <w:rsid w:val="43CC52F4"/>
    <w:rsid w:val="43FD291B"/>
    <w:rsid w:val="44380293"/>
    <w:rsid w:val="444111FF"/>
    <w:rsid w:val="44861E24"/>
    <w:rsid w:val="44A03108"/>
    <w:rsid w:val="44CE0BF8"/>
    <w:rsid w:val="45216D37"/>
    <w:rsid w:val="45327944"/>
    <w:rsid w:val="45372C41"/>
    <w:rsid w:val="454E60D3"/>
    <w:rsid w:val="45792D09"/>
    <w:rsid w:val="4597723C"/>
    <w:rsid w:val="45C9022F"/>
    <w:rsid w:val="46633ED0"/>
    <w:rsid w:val="468821E6"/>
    <w:rsid w:val="46B1432D"/>
    <w:rsid w:val="46BD3F95"/>
    <w:rsid w:val="46E217FB"/>
    <w:rsid w:val="46F30A9A"/>
    <w:rsid w:val="470E242D"/>
    <w:rsid w:val="47A06534"/>
    <w:rsid w:val="480610BD"/>
    <w:rsid w:val="48270D4B"/>
    <w:rsid w:val="48886E19"/>
    <w:rsid w:val="48A56050"/>
    <w:rsid w:val="48EE2C52"/>
    <w:rsid w:val="48F766E4"/>
    <w:rsid w:val="49177011"/>
    <w:rsid w:val="49926698"/>
    <w:rsid w:val="49C64593"/>
    <w:rsid w:val="4A3C514C"/>
    <w:rsid w:val="4A7144FF"/>
    <w:rsid w:val="4A79480D"/>
    <w:rsid w:val="4A960942"/>
    <w:rsid w:val="4AC21D25"/>
    <w:rsid w:val="4B193284"/>
    <w:rsid w:val="4B59684C"/>
    <w:rsid w:val="4BBF39DE"/>
    <w:rsid w:val="4BF709CD"/>
    <w:rsid w:val="4C2275BB"/>
    <w:rsid w:val="4C3735B1"/>
    <w:rsid w:val="4C3F5201"/>
    <w:rsid w:val="4C40062D"/>
    <w:rsid w:val="4C656C71"/>
    <w:rsid w:val="4C890846"/>
    <w:rsid w:val="4CDD59A8"/>
    <w:rsid w:val="4CE90CC5"/>
    <w:rsid w:val="4E3A4C12"/>
    <w:rsid w:val="4E5263F6"/>
    <w:rsid w:val="4E5403C0"/>
    <w:rsid w:val="4E87706B"/>
    <w:rsid w:val="4E907EEB"/>
    <w:rsid w:val="4EE72FE2"/>
    <w:rsid w:val="4F2558B8"/>
    <w:rsid w:val="4F4C553B"/>
    <w:rsid w:val="4F775AEA"/>
    <w:rsid w:val="4F985296"/>
    <w:rsid w:val="4FAC0994"/>
    <w:rsid w:val="4FCA3F09"/>
    <w:rsid w:val="4FED4628"/>
    <w:rsid w:val="50613558"/>
    <w:rsid w:val="507B60D8"/>
    <w:rsid w:val="509222D6"/>
    <w:rsid w:val="50A970CD"/>
    <w:rsid w:val="50AA7E30"/>
    <w:rsid w:val="50FB0F1F"/>
    <w:rsid w:val="5135647D"/>
    <w:rsid w:val="515A5451"/>
    <w:rsid w:val="5184681B"/>
    <w:rsid w:val="51932C78"/>
    <w:rsid w:val="51A229BD"/>
    <w:rsid w:val="51E43ECB"/>
    <w:rsid w:val="52391DA6"/>
    <w:rsid w:val="52836D08"/>
    <w:rsid w:val="52C65A07"/>
    <w:rsid w:val="52FF4CD1"/>
    <w:rsid w:val="534053B7"/>
    <w:rsid w:val="536270DB"/>
    <w:rsid w:val="537A729D"/>
    <w:rsid w:val="538B39FD"/>
    <w:rsid w:val="53B302B6"/>
    <w:rsid w:val="53DF697E"/>
    <w:rsid w:val="53F957B4"/>
    <w:rsid w:val="5439537A"/>
    <w:rsid w:val="544F77DB"/>
    <w:rsid w:val="54797723"/>
    <w:rsid w:val="54877ACD"/>
    <w:rsid w:val="548D462B"/>
    <w:rsid w:val="5503479E"/>
    <w:rsid w:val="55AA0576"/>
    <w:rsid w:val="560876EB"/>
    <w:rsid w:val="560A4DEE"/>
    <w:rsid w:val="56214F36"/>
    <w:rsid w:val="56471A24"/>
    <w:rsid w:val="567E247E"/>
    <w:rsid w:val="56A01CDE"/>
    <w:rsid w:val="56A9070B"/>
    <w:rsid w:val="577A63AA"/>
    <w:rsid w:val="578C4726"/>
    <w:rsid w:val="57B63C1B"/>
    <w:rsid w:val="580E0579"/>
    <w:rsid w:val="583358A1"/>
    <w:rsid w:val="58FD7D40"/>
    <w:rsid w:val="59410815"/>
    <w:rsid w:val="59A05A67"/>
    <w:rsid w:val="5A236E98"/>
    <w:rsid w:val="5A4A2677"/>
    <w:rsid w:val="5AB77F68"/>
    <w:rsid w:val="5ABD5C46"/>
    <w:rsid w:val="5AFF7905"/>
    <w:rsid w:val="5B5F5D12"/>
    <w:rsid w:val="5B9F1B78"/>
    <w:rsid w:val="5BC052E6"/>
    <w:rsid w:val="5BC66EED"/>
    <w:rsid w:val="5BCE0BB9"/>
    <w:rsid w:val="5BDB67E2"/>
    <w:rsid w:val="5BE70AC5"/>
    <w:rsid w:val="5C133709"/>
    <w:rsid w:val="5C6F13D2"/>
    <w:rsid w:val="5C934737"/>
    <w:rsid w:val="5CE95D99"/>
    <w:rsid w:val="5CF57439"/>
    <w:rsid w:val="5D264E6A"/>
    <w:rsid w:val="5D704AEA"/>
    <w:rsid w:val="5D972CA1"/>
    <w:rsid w:val="5DBD2A80"/>
    <w:rsid w:val="5DF1624E"/>
    <w:rsid w:val="5E9258A8"/>
    <w:rsid w:val="5EAE528E"/>
    <w:rsid w:val="5EBD5B0D"/>
    <w:rsid w:val="5F135C63"/>
    <w:rsid w:val="5F6B62BE"/>
    <w:rsid w:val="5FA94790"/>
    <w:rsid w:val="5FBF0B35"/>
    <w:rsid w:val="5FED4197"/>
    <w:rsid w:val="600C301B"/>
    <w:rsid w:val="60397F5D"/>
    <w:rsid w:val="60790662"/>
    <w:rsid w:val="60C04666"/>
    <w:rsid w:val="60C73FFE"/>
    <w:rsid w:val="60D90D70"/>
    <w:rsid w:val="60F56D6A"/>
    <w:rsid w:val="611D0AE5"/>
    <w:rsid w:val="61542BE8"/>
    <w:rsid w:val="615E3E64"/>
    <w:rsid w:val="618B56B5"/>
    <w:rsid w:val="6195210C"/>
    <w:rsid w:val="62206FCC"/>
    <w:rsid w:val="62B37719"/>
    <w:rsid w:val="62FA589E"/>
    <w:rsid w:val="631B0AB8"/>
    <w:rsid w:val="63233564"/>
    <w:rsid w:val="632C60AD"/>
    <w:rsid w:val="633B577F"/>
    <w:rsid w:val="634F07DE"/>
    <w:rsid w:val="63806186"/>
    <w:rsid w:val="638438AF"/>
    <w:rsid w:val="639F1C85"/>
    <w:rsid w:val="63AB4186"/>
    <w:rsid w:val="64740A1C"/>
    <w:rsid w:val="64E60AA3"/>
    <w:rsid w:val="64F32289"/>
    <w:rsid w:val="656C2E6D"/>
    <w:rsid w:val="657F077A"/>
    <w:rsid w:val="658E4BB2"/>
    <w:rsid w:val="66291CDA"/>
    <w:rsid w:val="66652B68"/>
    <w:rsid w:val="668A2779"/>
    <w:rsid w:val="668C3B43"/>
    <w:rsid w:val="66AF38AC"/>
    <w:rsid w:val="66B5531C"/>
    <w:rsid w:val="67170ED0"/>
    <w:rsid w:val="6753572A"/>
    <w:rsid w:val="677026C6"/>
    <w:rsid w:val="678278F4"/>
    <w:rsid w:val="67972B3B"/>
    <w:rsid w:val="67EB6784"/>
    <w:rsid w:val="68614A7D"/>
    <w:rsid w:val="689E5969"/>
    <w:rsid w:val="68BC6E36"/>
    <w:rsid w:val="690D7691"/>
    <w:rsid w:val="692E339D"/>
    <w:rsid w:val="693D75DD"/>
    <w:rsid w:val="69465286"/>
    <w:rsid w:val="69937B96"/>
    <w:rsid w:val="69D3250A"/>
    <w:rsid w:val="69E06B54"/>
    <w:rsid w:val="6A201F9C"/>
    <w:rsid w:val="6A42682D"/>
    <w:rsid w:val="6A9B71F6"/>
    <w:rsid w:val="6AC952BC"/>
    <w:rsid w:val="6AE461D0"/>
    <w:rsid w:val="6AED4187"/>
    <w:rsid w:val="6B211AA0"/>
    <w:rsid w:val="6B306809"/>
    <w:rsid w:val="6B453112"/>
    <w:rsid w:val="6B543355"/>
    <w:rsid w:val="6BF608B1"/>
    <w:rsid w:val="6C0958D1"/>
    <w:rsid w:val="6C103EE1"/>
    <w:rsid w:val="6C99323B"/>
    <w:rsid w:val="6CA259B8"/>
    <w:rsid w:val="6CBE6EC9"/>
    <w:rsid w:val="6CE1179A"/>
    <w:rsid w:val="6CE370E2"/>
    <w:rsid w:val="6D4D2752"/>
    <w:rsid w:val="6D7C5096"/>
    <w:rsid w:val="6DB6209E"/>
    <w:rsid w:val="6DDA5F77"/>
    <w:rsid w:val="6DDB0350"/>
    <w:rsid w:val="6E003FCC"/>
    <w:rsid w:val="6E1663CE"/>
    <w:rsid w:val="6E4A5186"/>
    <w:rsid w:val="6E74781C"/>
    <w:rsid w:val="6E8D131C"/>
    <w:rsid w:val="6E9F0D8B"/>
    <w:rsid w:val="6F1C43D6"/>
    <w:rsid w:val="700312B7"/>
    <w:rsid w:val="70216EF3"/>
    <w:rsid w:val="702A3D9D"/>
    <w:rsid w:val="703B7ADB"/>
    <w:rsid w:val="70705916"/>
    <w:rsid w:val="707F3428"/>
    <w:rsid w:val="70994A1E"/>
    <w:rsid w:val="70B84CAB"/>
    <w:rsid w:val="71716CF2"/>
    <w:rsid w:val="71864485"/>
    <w:rsid w:val="71B608C6"/>
    <w:rsid w:val="720B74BE"/>
    <w:rsid w:val="72291557"/>
    <w:rsid w:val="728254D9"/>
    <w:rsid w:val="72DF775A"/>
    <w:rsid w:val="72FA0C86"/>
    <w:rsid w:val="733256C4"/>
    <w:rsid w:val="73786076"/>
    <w:rsid w:val="737F106C"/>
    <w:rsid w:val="73922C6D"/>
    <w:rsid w:val="739E5AB6"/>
    <w:rsid w:val="73AC5DD7"/>
    <w:rsid w:val="73B307DA"/>
    <w:rsid w:val="7408165D"/>
    <w:rsid w:val="74A46CCF"/>
    <w:rsid w:val="752F0ACE"/>
    <w:rsid w:val="754C4DDC"/>
    <w:rsid w:val="759E5026"/>
    <w:rsid w:val="75A86778"/>
    <w:rsid w:val="75D43B64"/>
    <w:rsid w:val="75EC74EF"/>
    <w:rsid w:val="760B1816"/>
    <w:rsid w:val="761177A6"/>
    <w:rsid w:val="761C0F14"/>
    <w:rsid w:val="76675143"/>
    <w:rsid w:val="76767547"/>
    <w:rsid w:val="76F1414E"/>
    <w:rsid w:val="771149DE"/>
    <w:rsid w:val="77343A65"/>
    <w:rsid w:val="777F175A"/>
    <w:rsid w:val="784A7623"/>
    <w:rsid w:val="78AF0AEA"/>
    <w:rsid w:val="78C61792"/>
    <w:rsid w:val="78D30981"/>
    <w:rsid w:val="791365FE"/>
    <w:rsid w:val="799A0ACD"/>
    <w:rsid w:val="79B67B89"/>
    <w:rsid w:val="7A540C7C"/>
    <w:rsid w:val="7B272CF8"/>
    <w:rsid w:val="7B7111D8"/>
    <w:rsid w:val="7BEC3136"/>
    <w:rsid w:val="7BF13653"/>
    <w:rsid w:val="7C0E29CE"/>
    <w:rsid w:val="7C324FED"/>
    <w:rsid w:val="7C605FFE"/>
    <w:rsid w:val="7C7D2C09"/>
    <w:rsid w:val="7CB615C3"/>
    <w:rsid w:val="7CBB76D8"/>
    <w:rsid w:val="7CC447B9"/>
    <w:rsid w:val="7CD7615E"/>
    <w:rsid w:val="7D011FBA"/>
    <w:rsid w:val="7D1D4FBB"/>
    <w:rsid w:val="7D237A10"/>
    <w:rsid w:val="7D276B1C"/>
    <w:rsid w:val="7D2B5AEB"/>
    <w:rsid w:val="7D366093"/>
    <w:rsid w:val="7D910439"/>
    <w:rsid w:val="7DB51EB6"/>
    <w:rsid w:val="7DF509C8"/>
    <w:rsid w:val="7E164392"/>
    <w:rsid w:val="7E1C5013"/>
    <w:rsid w:val="7E3E236F"/>
    <w:rsid w:val="7E454288"/>
    <w:rsid w:val="7E6B6EDC"/>
    <w:rsid w:val="7F014899"/>
    <w:rsid w:val="7F2A6A0F"/>
    <w:rsid w:val="7FCC5758"/>
    <w:rsid w:val="7FF6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szCs w:val="20"/>
    </w:rPr>
  </w:style>
  <w:style w:type="paragraph" w:styleId="4">
    <w:name w:val="heading 2"/>
    <w:basedOn w:val="1"/>
    <w:next w:val="1"/>
    <w:link w:val="44"/>
    <w:autoRedefine/>
    <w:qFormat/>
    <w:uiPriority w:val="0"/>
    <w:pPr>
      <w:jc w:val="left"/>
      <w:outlineLvl w:val="1"/>
    </w:pPr>
    <w:rPr>
      <w:rFonts w:ascii="Arial" w:hAnsi="Arial" w:eastAsia="黑体"/>
      <w:b/>
      <w:bCs/>
      <w:color w:val="000000"/>
      <w:kern w:val="0"/>
      <w:sz w:val="36"/>
      <w:szCs w:val="32"/>
    </w:rPr>
  </w:style>
  <w:style w:type="paragraph" w:styleId="5">
    <w:name w:val="heading 3"/>
    <w:basedOn w:val="1"/>
    <w:next w:val="1"/>
    <w:link w:val="43"/>
    <w:autoRedefine/>
    <w:qFormat/>
    <w:uiPriority w:val="0"/>
    <w:pPr>
      <w:spacing w:line="360" w:lineRule="auto"/>
      <w:ind w:left="118"/>
      <w:jc w:val="center"/>
      <w:outlineLvl w:val="2"/>
    </w:pPr>
    <w:rPr>
      <w:rFonts w:eastAsia="黑体"/>
      <w:b/>
      <w:bCs/>
      <w:color w:val="800000"/>
      <w:kern w:val="0"/>
      <w:sz w:val="32"/>
      <w:szCs w:val="32"/>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adjustRightInd w:val="0"/>
      <w:spacing w:line="360" w:lineRule="atLeast"/>
      <w:ind w:firstLine="420"/>
    </w:pPr>
    <w:rPr>
      <w:szCs w:val="20"/>
    </w:rPr>
  </w:style>
  <w:style w:type="paragraph" w:styleId="6">
    <w:name w:val="Note Heading"/>
    <w:basedOn w:val="1"/>
    <w:next w:val="1"/>
    <w:autoRedefine/>
    <w:qFormat/>
    <w:uiPriority w:val="0"/>
    <w:pPr>
      <w:snapToGrid w:val="0"/>
      <w:spacing w:line="320" w:lineRule="exact"/>
      <w:ind w:firstLine="413" w:firstLineChars="200"/>
    </w:pPr>
    <w:rPr>
      <w:rFonts w:ascii="宋体" w:hAnsi="宋体"/>
      <w:b/>
      <w:color w:val="000000"/>
    </w:rPr>
  </w:style>
  <w:style w:type="paragraph" w:styleId="7">
    <w:name w:val="annotation text"/>
    <w:basedOn w:val="1"/>
    <w:link w:val="35"/>
    <w:autoRedefine/>
    <w:qFormat/>
    <w:uiPriority w:val="0"/>
    <w:pPr>
      <w:jc w:val="left"/>
    </w:pPr>
  </w:style>
  <w:style w:type="paragraph" w:styleId="8">
    <w:name w:val="Body Text 3"/>
    <w:basedOn w:val="1"/>
    <w:link w:val="42"/>
    <w:autoRedefine/>
    <w:unhideWhenUsed/>
    <w:qFormat/>
    <w:uiPriority w:val="0"/>
    <w:rPr>
      <w:rFonts w:ascii="宋体"/>
      <w:kern w:val="0"/>
      <w:sz w:val="24"/>
      <w:szCs w:val="20"/>
    </w:rPr>
  </w:style>
  <w:style w:type="paragraph" w:styleId="9">
    <w:name w:val="Body Text"/>
    <w:basedOn w:val="1"/>
    <w:next w:val="1"/>
    <w:autoRedefine/>
    <w:qFormat/>
    <w:uiPriority w:val="0"/>
    <w:pPr>
      <w:spacing w:after="120"/>
    </w:pPr>
    <w:rPr>
      <w:rFonts w:ascii="等线" w:hAnsi="等线"/>
      <w:kern w:val="0"/>
      <w:sz w:val="20"/>
      <w:szCs w:val="24"/>
    </w:rPr>
  </w:style>
  <w:style w:type="paragraph" w:styleId="10">
    <w:name w:val="Body Text Indent"/>
    <w:basedOn w:val="1"/>
    <w:autoRedefine/>
    <w:qFormat/>
    <w:uiPriority w:val="0"/>
    <w:pPr>
      <w:ind w:firstLine="560" w:firstLineChars="200"/>
    </w:pPr>
    <w:rPr>
      <w:kern w:val="0"/>
      <w:sz w:val="28"/>
      <w:szCs w:val="24"/>
    </w:rPr>
  </w:style>
  <w:style w:type="paragraph" w:styleId="11">
    <w:name w:val="Plain Text"/>
    <w:basedOn w:val="1"/>
    <w:link w:val="40"/>
    <w:autoRedefine/>
    <w:qFormat/>
    <w:uiPriority w:val="99"/>
    <w:rPr>
      <w:rFonts w:ascii="宋体" w:hAnsi="Courier New"/>
      <w:kern w:val="0"/>
      <w:sz w:val="20"/>
      <w:szCs w:val="20"/>
    </w:rPr>
  </w:style>
  <w:style w:type="paragraph" w:styleId="12">
    <w:name w:val="endnote text"/>
    <w:basedOn w:val="1"/>
    <w:autoRedefine/>
    <w:qFormat/>
    <w:uiPriority w:val="0"/>
    <w:pPr>
      <w:snapToGrid w:val="0"/>
      <w:jc w:val="left"/>
    </w:pPr>
    <w:rPr>
      <w:rFonts w:ascii="Times New Roman" w:hAnsi="Times New Roman"/>
      <w:kern w:val="0"/>
      <w:sz w:val="20"/>
      <w:szCs w:val="20"/>
    </w:rPr>
  </w:style>
  <w:style w:type="paragraph" w:styleId="13">
    <w:name w:val="Balloon Text"/>
    <w:basedOn w:val="1"/>
    <w:link w:val="37"/>
    <w:autoRedefine/>
    <w:qFormat/>
    <w:uiPriority w:val="0"/>
    <w:rPr>
      <w:sz w:val="18"/>
      <w:szCs w:val="18"/>
    </w:rPr>
  </w:style>
  <w:style w:type="paragraph" w:styleId="14">
    <w:name w:val="footer"/>
    <w:basedOn w:val="1"/>
    <w:link w:val="39"/>
    <w:autoRedefine/>
    <w:unhideWhenUsed/>
    <w:qFormat/>
    <w:uiPriority w:val="99"/>
    <w:pPr>
      <w:tabs>
        <w:tab w:val="center" w:pos="4153"/>
        <w:tab w:val="right" w:pos="8306"/>
      </w:tabs>
      <w:snapToGrid w:val="0"/>
      <w:jc w:val="left"/>
    </w:pPr>
    <w:rPr>
      <w:kern w:val="0"/>
      <w:sz w:val="18"/>
      <w:szCs w:val="18"/>
    </w:rPr>
  </w:style>
  <w:style w:type="paragraph" w:styleId="15">
    <w:name w:val="envelope return"/>
    <w:basedOn w:val="1"/>
    <w:autoRedefine/>
    <w:qFormat/>
    <w:uiPriority w:val="99"/>
    <w:pPr>
      <w:snapToGrid w:val="0"/>
    </w:pPr>
    <w:rPr>
      <w:rFonts w:ascii="Arial" w:hAnsi="Arial" w:cs="Arial"/>
    </w:rPr>
  </w:style>
  <w:style w:type="paragraph" w:styleId="16">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autoRedefine/>
    <w:unhideWhenUsed/>
    <w:qFormat/>
    <w:uiPriority w:val="39"/>
    <w:rPr>
      <w:rFonts w:cs="Calibri"/>
    </w:rPr>
  </w:style>
  <w:style w:type="paragraph" w:styleId="18">
    <w:name w:val="toc 2"/>
    <w:basedOn w:val="1"/>
    <w:next w:val="1"/>
    <w:autoRedefine/>
    <w:qFormat/>
    <w:uiPriority w:val="39"/>
    <w:pPr>
      <w:ind w:left="200" w:leftChars="200"/>
    </w:pPr>
  </w:style>
  <w:style w:type="paragraph" w:styleId="19">
    <w:name w:val="Body Text 2"/>
    <w:basedOn w:val="1"/>
    <w:autoRedefine/>
    <w:qFormat/>
    <w:uiPriority w:val="0"/>
    <w:pPr>
      <w:spacing w:line="500" w:lineRule="exact"/>
      <w:jc w:val="center"/>
    </w:pPr>
    <w:rPr>
      <w:kern w:val="0"/>
      <w:sz w:val="20"/>
    </w:rPr>
  </w:style>
  <w:style w:type="paragraph" w:styleId="20">
    <w:name w:val="Normal (Web)"/>
    <w:basedOn w:val="1"/>
    <w:autoRedefine/>
    <w:unhideWhenUsed/>
    <w:qFormat/>
    <w:uiPriority w:val="0"/>
    <w:rPr>
      <w:rFonts w:cs="Calibri"/>
      <w:sz w:val="24"/>
    </w:rPr>
  </w:style>
  <w:style w:type="paragraph" w:styleId="21">
    <w:name w:val="annotation subject"/>
    <w:basedOn w:val="7"/>
    <w:next w:val="7"/>
    <w:link w:val="36"/>
    <w:autoRedefine/>
    <w:qFormat/>
    <w:uiPriority w:val="0"/>
    <w:rPr>
      <w:b/>
      <w:bCs/>
    </w:rPr>
  </w:style>
  <w:style w:type="paragraph" w:styleId="22">
    <w:name w:val="Body Text First Indent"/>
    <w:basedOn w:val="9"/>
    <w:autoRedefine/>
    <w:qFormat/>
    <w:uiPriority w:val="0"/>
    <w:pPr>
      <w:ind w:firstLine="420" w:firstLineChars="100"/>
    </w:pPr>
    <w:rPr>
      <w:rFonts w:ascii="Calibri" w:hAnsi="Calibri"/>
    </w:rPr>
  </w:style>
  <w:style w:type="paragraph" w:styleId="23">
    <w:name w:val="Body Text First Indent 2"/>
    <w:basedOn w:val="10"/>
    <w:autoRedefine/>
    <w:qFormat/>
    <w:uiPriority w:val="0"/>
    <w:pPr>
      <w:spacing w:line="420" w:lineRule="exact"/>
      <w:ind w:firstLine="420"/>
      <w:jc w:val="left"/>
    </w:pPr>
    <w:rPr>
      <w:rFonts w:ascii="宋体" w:hAnsi="宋体"/>
      <w:color w:val="000000"/>
      <w:sz w:val="24"/>
      <w:szCs w:val="18"/>
    </w:rPr>
  </w:style>
  <w:style w:type="character" w:styleId="26">
    <w:name w:val="page number"/>
    <w:autoRedefine/>
    <w:unhideWhenUsed/>
    <w:qFormat/>
    <w:uiPriority w:val="0"/>
    <w:rPr>
      <w:rFonts w:hint="default" w:ascii="Calibri" w:hAnsi="Calibri" w:eastAsia="宋体" w:cs="Calibri"/>
    </w:rPr>
  </w:style>
  <w:style w:type="character" w:styleId="27">
    <w:name w:val="Hyperlink"/>
    <w:autoRedefine/>
    <w:unhideWhenUsed/>
    <w:qFormat/>
    <w:uiPriority w:val="99"/>
    <w:rPr>
      <w:rFonts w:hint="default" w:ascii="Calibri" w:hAnsi="Calibri" w:eastAsia="宋体" w:cs="Calibri"/>
      <w:color w:val="0000FF"/>
      <w:u w:val="single"/>
    </w:rPr>
  </w:style>
  <w:style w:type="character" w:styleId="28">
    <w:name w:val="annotation reference"/>
    <w:basedOn w:val="25"/>
    <w:autoRedefine/>
    <w:qFormat/>
    <w:uiPriority w:val="0"/>
    <w:rPr>
      <w:sz w:val="21"/>
      <w:szCs w:val="21"/>
    </w:rPr>
  </w:style>
  <w:style w:type="paragraph" w:customStyle="1" w:styleId="29">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30">
    <w:name w:val="List Paragraph"/>
    <w:basedOn w:val="1"/>
    <w:autoRedefine/>
    <w:qFormat/>
    <w:uiPriority w:val="34"/>
    <w:pPr>
      <w:ind w:firstLine="420" w:firstLineChars="200"/>
    </w:pPr>
  </w:style>
  <w:style w:type="paragraph" w:customStyle="1" w:styleId="31">
    <w:name w:val="TOC 标题1"/>
    <w:basedOn w:val="3"/>
    <w:next w:val="1"/>
    <w:autoRedefine/>
    <w:qFormat/>
    <w:uiPriority w:val="0"/>
    <w:pPr>
      <w:widowControl/>
      <w:spacing w:before="480" w:after="0" w:line="276" w:lineRule="auto"/>
      <w:jc w:val="left"/>
      <w:outlineLvl w:val="9"/>
    </w:pPr>
    <w:rPr>
      <w:rFonts w:ascii="Cambria" w:hAnsi="Cambria" w:cs="Calibri"/>
      <w:color w:val="365F91"/>
      <w:kern w:val="0"/>
      <w:sz w:val="28"/>
    </w:rPr>
  </w:style>
  <w:style w:type="paragraph" w:customStyle="1" w:styleId="32">
    <w:name w:val="文一"/>
    <w:basedOn w:val="1"/>
    <w:autoRedefine/>
    <w:qFormat/>
    <w:uiPriority w:val="0"/>
    <w:pPr>
      <w:topLinePunct/>
      <w:adjustRightInd w:val="0"/>
      <w:snapToGrid w:val="0"/>
      <w:spacing w:line="360" w:lineRule="auto"/>
      <w:ind w:firstLine="200" w:firstLineChars="200"/>
    </w:pPr>
    <w:rPr>
      <w:spacing w:val="4"/>
      <w:kern w:val="0"/>
      <w:sz w:val="24"/>
      <w:szCs w:val="24"/>
    </w:rPr>
  </w:style>
  <w:style w:type="paragraph" w:customStyle="1" w:styleId="33">
    <w:name w:val="文二"/>
    <w:basedOn w:val="1"/>
    <w:autoRedefine/>
    <w:qFormat/>
    <w:uiPriority w:val="0"/>
    <w:rPr>
      <w:rFonts w:ascii="宋体" w:hAnsi="宋体" w:cs="Calibri"/>
      <w:szCs w:val="21"/>
    </w:rPr>
  </w:style>
  <w:style w:type="paragraph" w:customStyle="1" w:styleId="34">
    <w:name w:val="表格文字"/>
    <w:basedOn w:val="1"/>
    <w:next w:val="1"/>
    <w:autoRedefine/>
    <w:qFormat/>
    <w:uiPriority w:val="0"/>
    <w:pPr>
      <w:adjustRightInd w:val="0"/>
      <w:spacing w:line="420" w:lineRule="atLeast"/>
      <w:jc w:val="left"/>
    </w:pPr>
    <w:rPr>
      <w:rFonts w:cs="Calibri"/>
      <w:kern w:val="0"/>
      <w:szCs w:val="20"/>
    </w:rPr>
  </w:style>
  <w:style w:type="character" w:customStyle="1" w:styleId="35">
    <w:name w:val="批注文字 字符"/>
    <w:basedOn w:val="25"/>
    <w:link w:val="7"/>
    <w:autoRedefine/>
    <w:qFormat/>
    <w:uiPriority w:val="0"/>
    <w:rPr>
      <w:kern w:val="2"/>
      <w:sz w:val="21"/>
      <w:szCs w:val="22"/>
    </w:rPr>
  </w:style>
  <w:style w:type="character" w:customStyle="1" w:styleId="36">
    <w:name w:val="批注主题 字符"/>
    <w:basedOn w:val="35"/>
    <w:link w:val="21"/>
    <w:autoRedefine/>
    <w:qFormat/>
    <w:uiPriority w:val="0"/>
    <w:rPr>
      <w:b/>
      <w:bCs/>
      <w:kern w:val="2"/>
      <w:sz w:val="21"/>
      <w:szCs w:val="22"/>
    </w:rPr>
  </w:style>
  <w:style w:type="character" w:customStyle="1" w:styleId="37">
    <w:name w:val="批注框文本 字符"/>
    <w:basedOn w:val="25"/>
    <w:link w:val="13"/>
    <w:autoRedefine/>
    <w:qFormat/>
    <w:uiPriority w:val="0"/>
    <w:rPr>
      <w:kern w:val="2"/>
      <w:sz w:val="18"/>
      <w:szCs w:val="18"/>
    </w:rPr>
  </w:style>
  <w:style w:type="character" w:customStyle="1" w:styleId="38">
    <w:name w:val="NormalCharacter"/>
    <w:autoRedefine/>
    <w:qFormat/>
    <w:uiPriority w:val="0"/>
  </w:style>
  <w:style w:type="character" w:customStyle="1" w:styleId="39">
    <w:name w:val="页脚 字符"/>
    <w:basedOn w:val="25"/>
    <w:link w:val="14"/>
    <w:autoRedefine/>
    <w:qFormat/>
    <w:uiPriority w:val="99"/>
    <w:rPr>
      <w:sz w:val="18"/>
      <w:szCs w:val="18"/>
    </w:rPr>
  </w:style>
  <w:style w:type="character" w:customStyle="1" w:styleId="40">
    <w:name w:val="纯文本 字符"/>
    <w:basedOn w:val="25"/>
    <w:link w:val="11"/>
    <w:autoRedefine/>
    <w:qFormat/>
    <w:locked/>
    <w:uiPriority w:val="0"/>
    <w:rPr>
      <w:rFonts w:ascii="宋体" w:hAnsi="Courier New"/>
    </w:rPr>
  </w:style>
  <w:style w:type="character" w:customStyle="1" w:styleId="41">
    <w:name w:val="纯文本 字符1"/>
    <w:basedOn w:val="25"/>
    <w:autoRedefine/>
    <w:semiHidden/>
    <w:qFormat/>
    <w:uiPriority w:val="0"/>
    <w:rPr>
      <w:rFonts w:hAnsi="Courier New" w:cs="Courier New" w:asciiTheme="minorEastAsia" w:eastAsiaTheme="minorEastAsia"/>
      <w:kern w:val="2"/>
      <w:sz w:val="21"/>
      <w:szCs w:val="22"/>
    </w:rPr>
  </w:style>
  <w:style w:type="character" w:customStyle="1" w:styleId="42">
    <w:name w:val="正文文本 3 字符"/>
    <w:basedOn w:val="25"/>
    <w:link w:val="8"/>
    <w:autoRedefine/>
    <w:qFormat/>
    <w:uiPriority w:val="0"/>
    <w:rPr>
      <w:kern w:val="2"/>
      <w:sz w:val="16"/>
      <w:szCs w:val="16"/>
    </w:rPr>
  </w:style>
  <w:style w:type="character" w:customStyle="1" w:styleId="43">
    <w:name w:val="标题 3 字符"/>
    <w:basedOn w:val="25"/>
    <w:link w:val="5"/>
    <w:autoRedefine/>
    <w:qFormat/>
    <w:uiPriority w:val="0"/>
    <w:rPr>
      <w:bCs/>
      <w:kern w:val="2"/>
      <w:sz w:val="24"/>
      <w:szCs w:val="32"/>
    </w:rPr>
  </w:style>
  <w:style w:type="character" w:customStyle="1" w:styleId="44">
    <w:name w:val="标题 2 字符"/>
    <w:basedOn w:val="25"/>
    <w:link w:val="4"/>
    <w:autoRedefine/>
    <w:qFormat/>
    <w:uiPriority w:val="0"/>
    <w:rPr>
      <w:rFonts w:hint="default" w:ascii="Arial" w:hAnsi="Arial" w:eastAsia="黑体" w:cs="Arial"/>
      <w:b/>
      <w:kern w:val="2"/>
      <w:sz w:val="32"/>
    </w:rPr>
  </w:style>
  <w:style w:type="character" w:customStyle="1" w:styleId="45">
    <w:name w:val="font11"/>
    <w:autoRedefine/>
    <w:qFormat/>
    <w:uiPriority w:val="0"/>
    <w:rPr>
      <w:rFonts w:hint="eastAsia" w:ascii="仿宋" w:hAnsi="仿宋" w:eastAsia="仿宋" w:cs="仿宋"/>
      <w:color w:val="000000"/>
      <w:sz w:val="28"/>
      <w:szCs w:val="28"/>
      <w:u w:val="none"/>
    </w:rPr>
  </w:style>
  <w:style w:type="character" w:customStyle="1" w:styleId="46">
    <w:name w:val="font21"/>
    <w:autoRedefine/>
    <w:qFormat/>
    <w:uiPriority w:val="0"/>
    <w:rPr>
      <w:rFonts w:hint="eastAsia" w:ascii="仿宋" w:hAnsi="仿宋" w:eastAsia="仿宋" w:cs="仿宋"/>
      <w:b/>
      <w:color w:val="000000"/>
      <w:sz w:val="28"/>
      <w:szCs w:val="28"/>
      <w:u w:val="none"/>
    </w:rPr>
  </w:style>
  <w:style w:type="paragraph" w:customStyle="1" w:styleId="47">
    <w:name w:val="修订1"/>
    <w:autoRedefine/>
    <w:hidden/>
    <w:semiHidden/>
    <w:qFormat/>
    <w:uiPriority w:val="99"/>
    <w:rPr>
      <w:rFonts w:ascii="Times New Roman" w:hAnsi="Times New Roman" w:eastAsia="宋体" w:cs="Times New Roman"/>
      <w:kern w:val="2"/>
      <w:sz w:val="21"/>
      <w:szCs w:val="22"/>
      <w:lang w:val="en-US" w:eastAsia="zh-CN" w:bidi="ar-SA"/>
    </w:rPr>
  </w:style>
  <w:style w:type="paragraph" w:customStyle="1" w:styleId="48">
    <w:name w:val="PlainText"/>
    <w:basedOn w:val="1"/>
    <w:autoRedefine/>
    <w:qFormat/>
    <w:uiPriority w:val="0"/>
    <w:pPr>
      <w:textAlignment w:val="baseline"/>
    </w:pPr>
    <w:rPr>
      <w:rFonts w:ascii="宋体" w:hAnsi="Courier New" w:cs="Calibri"/>
      <w:color w:val="000000"/>
      <w:kern w:val="0"/>
      <w:sz w:val="20"/>
      <w:szCs w:val="20"/>
    </w:rPr>
  </w:style>
  <w:style w:type="paragraph" w:customStyle="1" w:styleId="49">
    <w:name w:val="样式 标题 2 +"/>
    <w:basedOn w:val="4"/>
    <w:autoRedefine/>
    <w:qFormat/>
    <w:uiPriority w:val="0"/>
    <w:pPr>
      <w:numPr>
        <w:ilvl w:val="0"/>
        <w:numId w:val="1"/>
      </w:numPr>
      <w:tabs>
        <w:tab w:val="left" w:pos="567"/>
      </w:tabs>
    </w:pPr>
  </w:style>
  <w:style w:type="paragraph" w:customStyle="1" w:styleId="50">
    <w:name w:val="样式 正文首行缩进 2 + Arial"/>
    <w:basedOn w:val="1"/>
    <w:next w:val="1"/>
    <w:autoRedefine/>
    <w:qFormat/>
    <w:uiPriority w:val="0"/>
    <w:pPr>
      <w:spacing w:before="100" w:beforeAutospacing="1" w:after="120" w:line="320" w:lineRule="atLeast"/>
      <w:ind w:firstLine="200" w:firstLineChars="200"/>
    </w:pPr>
    <w:rPr>
      <w:rFonts w:ascii="Arial" w:hAnsi="Arial" w:cs="Arial"/>
    </w:rPr>
  </w:style>
  <w:style w:type="character" w:customStyle="1" w:styleId="51">
    <w:name w:val="font101"/>
    <w:basedOn w:val="25"/>
    <w:autoRedefine/>
    <w:qFormat/>
    <w:uiPriority w:val="0"/>
    <w:rPr>
      <w:rFonts w:hint="eastAsia" w:ascii="宋体" w:hAnsi="宋体" w:eastAsia="宋体" w:cs="宋体"/>
      <w:color w:val="333333"/>
      <w:sz w:val="20"/>
      <w:szCs w:val="20"/>
      <w:u w:val="none"/>
    </w:rPr>
  </w:style>
  <w:style w:type="character" w:customStyle="1" w:styleId="52">
    <w:name w:val="font231"/>
    <w:basedOn w:val="25"/>
    <w:autoRedefine/>
    <w:qFormat/>
    <w:uiPriority w:val="0"/>
    <w:rPr>
      <w:rFonts w:ascii="Helvetica" w:hAnsi="Helvetica" w:eastAsia="Helvetica" w:cs="Helvetica"/>
      <w:color w:val="333333"/>
      <w:sz w:val="20"/>
      <w:szCs w:val="20"/>
      <w:u w:val="none"/>
    </w:rPr>
  </w:style>
  <w:style w:type="character" w:customStyle="1" w:styleId="53">
    <w:name w:val="font151"/>
    <w:basedOn w:val="25"/>
    <w:autoRedefine/>
    <w:qFormat/>
    <w:uiPriority w:val="0"/>
    <w:rPr>
      <w:rFonts w:hint="default" w:ascii="Calibri" w:hAnsi="Calibri" w:cs="Calibri"/>
      <w:color w:val="000000"/>
      <w:sz w:val="22"/>
      <w:szCs w:val="22"/>
      <w:u w:val="none"/>
    </w:rPr>
  </w:style>
  <w:style w:type="character" w:customStyle="1" w:styleId="54">
    <w:name w:val="font01"/>
    <w:basedOn w:val="25"/>
    <w:autoRedefine/>
    <w:qFormat/>
    <w:uiPriority w:val="0"/>
    <w:rPr>
      <w:rFonts w:hint="eastAsia" w:ascii="宋体" w:hAnsi="宋体" w:eastAsia="宋体" w:cs="宋体"/>
      <w:color w:val="000000"/>
      <w:sz w:val="22"/>
      <w:szCs w:val="22"/>
      <w:u w:val="none"/>
    </w:rPr>
  </w:style>
  <w:style w:type="character" w:customStyle="1" w:styleId="55">
    <w:name w:val="font241"/>
    <w:basedOn w:val="25"/>
    <w:autoRedefine/>
    <w:qFormat/>
    <w:uiPriority w:val="0"/>
    <w:rPr>
      <w:rFonts w:hint="eastAsia" w:ascii="宋体" w:hAnsi="宋体" w:eastAsia="宋体" w:cs="宋体"/>
      <w:b/>
      <w:bCs/>
      <w:color w:val="000000"/>
      <w:sz w:val="24"/>
      <w:szCs w:val="24"/>
      <w:u w:val="none"/>
    </w:rPr>
  </w:style>
  <w:style w:type="character" w:customStyle="1" w:styleId="56">
    <w:name w:val="font191"/>
    <w:basedOn w:val="25"/>
    <w:autoRedefine/>
    <w:qFormat/>
    <w:uiPriority w:val="0"/>
    <w:rPr>
      <w:rFonts w:hint="default" w:ascii="Calibri" w:hAnsi="Calibri" w:cs="Calibri"/>
      <w:b/>
      <w:bCs/>
      <w:color w:val="000000"/>
      <w:sz w:val="24"/>
      <w:szCs w:val="24"/>
      <w:u w:val="none"/>
    </w:rPr>
  </w:style>
  <w:style w:type="character" w:customStyle="1" w:styleId="57">
    <w:name w:val="font251"/>
    <w:basedOn w:val="25"/>
    <w:autoRedefine/>
    <w:qFormat/>
    <w:uiPriority w:val="0"/>
    <w:rPr>
      <w:rFonts w:hint="eastAsia" w:ascii="宋体" w:hAnsi="宋体" w:eastAsia="宋体" w:cs="宋体"/>
      <w:b/>
      <w:bCs/>
      <w:color w:val="000000"/>
      <w:sz w:val="24"/>
      <w:szCs w:val="24"/>
      <w:u w:val="none"/>
    </w:rPr>
  </w:style>
  <w:style w:type="character" w:customStyle="1" w:styleId="58">
    <w:name w:val="font112"/>
    <w:basedOn w:val="25"/>
    <w:autoRedefine/>
    <w:qFormat/>
    <w:uiPriority w:val="0"/>
    <w:rPr>
      <w:rFonts w:hint="eastAsia" w:ascii="宋体" w:hAnsi="宋体" w:eastAsia="宋体" w:cs="宋体"/>
      <w:color w:val="333333"/>
      <w:sz w:val="20"/>
      <w:szCs w:val="20"/>
      <w:u w:val="none"/>
    </w:rPr>
  </w:style>
  <w:style w:type="character" w:customStyle="1" w:styleId="59">
    <w:name w:val="font171"/>
    <w:basedOn w:val="25"/>
    <w:autoRedefine/>
    <w:qFormat/>
    <w:uiPriority w:val="0"/>
    <w:rPr>
      <w:rFonts w:hint="default" w:ascii="Calibri" w:hAnsi="Calibri" w:cs="Calibri"/>
      <w:color w:val="000000"/>
      <w:sz w:val="22"/>
      <w:szCs w:val="22"/>
      <w:u w:val="none"/>
    </w:rPr>
  </w:style>
  <w:style w:type="character" w:customStyle="1" w:styleId="60">
    <w:name w:val="font212"/>
    <w:basedOn w:val="25"/>
    <w:autoRedefine/>
    <w:qFormat/>
    <w:uiPriority w:val="0"/>
    <w:rPr>
      <w:rFonts w:hint="default" w:ascii="Calibri" w:hAnsi="Calibri" w:cs="Calibri"/>
      <w:b/>
      <w:bCs/>
      <w:color w:val="000000"/>
      <w:sz w:val="24"/>
      <w:szCs w:val="24"/>
      <w:u w:val="none"/>
    </w:rPr>
  </w:style>
  <w:style w:type="character" w:customStyle="1" w:styleId="61">
    <w:name w:val="font261"/>
    <w:basedOn w:val="25"/>
    <w:autoRedefine/>
    <w:qFormat/>
    <w:uiPriority w:val="0"/>
    <w:rPr>
      <w:rFonts w:hint="eastAsia" w:ascii="宋体" w:hAnsi="宋体" w:eastAsia="宋体" w:cs="宋体"/>
      <w:b/>
      <w:bCs/>
      <w:color w:val="000000"/>
      <w:sz w:val="24"/>
      <w:szCs w:val="24"/>
      <w:u w:val="none"/>
    </w:rPr>
  </w:style>
  <w:style w:type="character" w:customStyle="1" w:styleId="62">
    <w:name w:val="font161"/>
    <w:basedOn w:val="25"/>
    <w:autoRedefine/>
    <w:qFormat/>
    <w:uiPriority w:val="0"/>
    <w:rPr>
      <w:rFonts w:hint="default" w:ascii="Calibri" w:hAnsi="Calibri" w:cs="Calibri"/>
      <w:color w:val="000000"/>
      <w:sz w:val="22"/>
      <w:szCs w:val="22"/>
      <w:u w:val="none"/>
    </w:rPr>
  </w:style>
  <w:style w:type="character" w:customStyle="1" w:styleId="63">
    <w:name w:val="font201"/>
    <w:basedOn w:val="25"/>
    <w:autoRedefine/>
    <w:qFormat/>
    <w:uiPriority w:val="0"/>
    <w:rPr>
      <w:rFonts w:hint="default" w:ascii="Calibri" w:hAnsi="Calibri" w:cs="Calibri"/>
      <w:b/>
      <w:bCs/>
      <w:color w:val="000000"/>
      <w:sz w:val="24"/>
      <w:szCs w:val="24"/>
      <w:u w:val="none"/>
    </w:rPr>
  </w:style>
  <w:style w:type="character" w:customStyle="1" w:styleId="64">
    <w:name w:val="font131"/>
    <w:basedOn w:val="25"/>
    <w:qFormat/>
    <w:uiPriority w:val="0"/>
    <w:rPr>
      <w:rFonts w:ascii="Helvetica" w:hAnsi="Helvetica" w:eastAsia="Helvetica" w:cs="Helvetica"/>
      <w:color w:val="000000"/>
      <w:sz w:val="20"/>
      <w:szCs w:val="20"/>
      <w:u w:val="none"/>
    </w:rPr>
  </w:style>
  <w:style w:type="character" w:customStyle="1" w:styleId="65">
    <w:name w:val="font141"/>
    <w:basedOn w:val="25"/>
    <w:qFormat/>
    <w:uiPriority w:val="0"/>
    <w:rPr>
      <w:rFonts w:ascii="Helvetica" w:hAnsi="Helvetica" w:eastAsia="Helvetica" w:cs="Helvetica"/>
      <w:color w:val="000000"/>
      <w:sz w:val="20"/>
      <w:szCs w:val="20"/>
      <w:u w:val="none"/>
    </w:rPr>
  </w:style>
  <w:style w:type="character" w:customStyle="1" w:styleId="66">
    <w:name w:val="font111"/>
    <w:basedOn w:val="25"/>
    <w:qFormat/>
    <w:uiPriority w:val="0"/>
    <w:rPr>
      <w:rFonts w:hint="eastAsia" w:ascii="SJQY" w:hAnsi="SJQY" w:eastAsia="SJQY" w:cs="SJQY"/>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24364</Words>
  <Characters>25872</Characters>
  <Lines>232</Lines>
  <Paragraphs>65</Paragraphs>
  <TotalTime>9</TotalTime>
  <ScaleCrop>false</ScaleCrop>
  <LinksUpToDate>false</LinksUpToDate>
  <CharactersWithSpaces>26952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2022-03-03T12:39:00Z</dcterms:created>
  <dc:creator>Administrator</dc:creator>
  <cp:lastModifiedBy>yuki</cp:lastModifiedBy>
  <cp:lastPrinted>2021-12-18T07:38:00Z</cp:lastPrinted>
  <dcterms:modified xsi:type="dcterms:W3CDTF">2024-06-24T08:40:32Z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2759634052074D6E8B899F644A2ED4E5_13</vt:lpwstr>
  </property>
</Properties>
</file>