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cs="宋体"/>
          <w:kern w:val="0"/>
          <w:sz w:val="32"/>
          <w:szCs w:val="32"/>
          <w:highlight w:val="none"/>
        </w:rPr>
      </w:pPr>
      <w:bookmarkStart w:id="13" w:name="_GoBack"/>
      <w:r>
        <w:rPr>
          <w:rFonts w:hint="eastAsia" w:ascii="宋体" w:hAnsi="宋体" w:cs="宋体"/>
          <w:b/>
          <w:bCs/>
          <w:kern w:val="0"/>
          <w:sz w:val="32"/>
          <w:szCs w:val="32"/>
          <w:highlight w:val="none"/>
          <w:lang w:eastAsia="zh-CN"/>
        </w:rPr>
        <w:t>华南国家植物园城园融合体系花都湖迁地保护示范区建设一期项目工程监理服务</w:t>
      </w:r>
      <w:r>
        <w:rPr>
          <w:rFonts w:hint="eastAsia" w:ascii="宋体" w:hAnsi="宋体" w:cs="宋体"/>
          <w:b/>
          <w:bCs/>
          <w:kern w:val="0"/>
          <w:sz w:val="32"/>
          <w:szCs w:val="32"/>
          <w:highlight w:val="none"/>
        </w:rPr>
        <w:t>补充公告</w:t>
      </w:r>
    </w:p>
    <w:p>
      <w:pPr>
        <w:widowControl/>
        <w:shd w:val="clear" w:color="auto" w:fill="FFFFFF"/>
        <w:spacing w:line="360" w:lineRule="auto"/>
        <w:ind w:firstLine="480"/>
        <w:rPr>
          <w:rFonts w:hint="eastAsia" w:ascii="宋体" w:hAnsi="宋体" w:cs="宋体"/>
          <w:kern w:val="0"/>
          <w:sz w:val="22"/>
          <w:szCs w:val="22"/>
          <w:highlight w:val="none"/>
          <w:lang w:eastAsia="zh-CN"/>
        </w:r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kern w:val="0"/>
          <w:sz w:val="22"/>
          <w:szCs w:val="22"/>
          <w:highlight w:val="none"/>
          <w:lang w:eastAsia="zh-CN"/>
        </w:rPr>
        <w:t>华南国家植物园城园融合体系花都湖迁地保护示范区建设一期项目工程监理服务</w:t>
      </w:r>
      <w:r>
        <w:rPr>
          <w:rFonts w:hint="eastAsia" w:ascii="宋体" w:hAnsi="宋体" w:cs="宋体"/>
          <w:kern w:val="0"/>
          <w:sz w:val="22"/>
          <w:szCs w:val="22"/>
          <w:highlight w:val="none"/>
        </w:rPr>
        <w:t>（项目编号：</w:t>
      </w:r>
      <w:r>
        <w:rPr>
          <w:rFonts w:hint="eastAsia" w:ascii="宋体" w:hAnsi="宋体" w:cs="宋体"/>
          <w:kern w:val="0"/>
          <w:sz w:val="22"/>
          <w:szCs w:val="22"/>
          <w:highlight w:val="none"/>
          <w:lang w:eastAsia="zh-CN"/>
        </w:rPr>
        <w:t>JG2024-2760</w:t>
      </w:r>
      <w:r>
        <w:rPr>
          <w:rFonts w:hint="eastAsia" w:ascii="宋体" w:hAnsi="宋体" w:cs="宋体"/>
          <w:kern w:val="0"/>
          <w:sz w:val="22"/>
          <w:szCs w:val="22"/>
          <w:highlight w:val="none"/>
        </w:rPr>
        <w:t>）招标文件于202</w:t>
      </w:r>
      <w:r>
        <w:rPr>
          <w:rFonts w:hint="eastAsia" w:ascii="宋体" w:hAnsi="宋体" w:cs="宋体"/>
          <w:kern w:val="0"/>
          <w:sz w:val="22"/>
          <w:szCs w:val="22"/>
          <w:highlight w:val="none"/>
          <w:lang w:val="en-US" w:eastAsia="zh-CN"/>
        </w:rPr>
        <w:t>4</w:t>
      </w:r>
      <w:r>
        <w:rPr>
          <w:rFonts w:hint="eastAsia" w:ascii="宋体" w:hAnsi="宋体" w:cs="宋体"/>
          <w:kern w:val="0"/>
          <w:sz w:val="22"/>
          <w:szCs w:val="22"/>
          <w:highlight w:val="none"/>
        </w:rPr>
        <w:t>年</w:t>
      </w:r>
      <w:r>
        <w:rPr>
          <w:rFonts w:hint="eastAsia" w:ascii="宋体" w:hAnsi="宋体" w:cs="宋体"/>
          <w:kern w:val="0"/>
          <w:sz w:val="22"/>
          <w:szCs w:val="22"/>
          <w:highlight w:val="none"/>
          <w:lang w:val="en-US" w:eastAsia="zh-CN"/>
        </w:rPr>
        <w:t>6</w:t>
      </w:r>
      <w:r>
        <w:rPr>
          <w:rFonts w:hint="eastAsia" w:ascii="宋体" w:hAnsi="宋体" w:cs="宋体"/>
          <w:kern w:val="0"/>
          <w:sz w:val="22"/>
          <w:szCs w:val="22"/>
          <w:highlight w:val="none"/>
        </w:rPr>
        <w:t>月</w:t>
      </w:r>
      <w:r>
        <w:rPr>
          <w:rFonts w:hint="eastAsia" w:ascii="宋体" w:hAnsi="宋体" w:cs="宋体"/>
          <w:kern w:val="0"/>
          <w:sz w:val="22"/>
          <w:szCs w:val="22"/>
          <w:highlight w:val="none"/>
          <w:lang w:val="en-US" w:eastAsia="zh-CN"/>
        </w:rPr>
        <w:t>7</w:t>
      </w:r>
      <w:r>
        <w:rPr>
          <w:rFonts w:hint="eastAsia" w:ascii="宋体" w:hAnsi="宋体" w:cs="宋体"/>
          <w:kern w:val="0"/>
          <w:sz w:val="22"/>
          <w:szCs w:val="22"/>
          <w:highlight w:val="none"/>
        </w:rPr>
        <w:t>日在广州公共资源交易中心网站等媒体发布，现对原招标公告、招标文件的相关内容修改如下：</w:t>
      </w:r>
    </w:p>
    <w:p>
      <w:pPr>
        <w:pStyle w:val="9"/>
        <w:keepNext w:val="0"/>
        <w:keepLines w:val="0"/>
        <w:pageBreakBefore w:val="0"/>
        <w:kinsoku/>
        <w:wordWrap/>
        <w:overflowPunct/>
        <w:topLinePunct w:val="0"/>
        <w:autoSpaceDE/>
        <w:autoSpaceDN/>
        <w:bidi w:val="0"/>
        <w:spacing w:line="360" w:lineRule="auto"/>
        <w:ind w:left="0" w:leftChars="0" w:firstLine="429" w:firstLineChars="195"/>
        <w:textAlignment w:val="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对招标文件第三章评标办法中评标办法前附表中的“2.2.1”、“2.2.4（1）”及“2.2.4（2）”进行修改，详见本补充公告附件1，本招标项目的《招标文件》以本次补充公告发布的为准。</w:t>
      </w:r>
    </w:p>
    <w:p>
      <w:pPr>
        <w:spacing w:line="360" w:lineRule="auto"/>
        <w:rPr>
          <w:rFonts w:hint="eastAsia" w:ascii="宋体" w:hAnsi="宋体" w:eastAsia="Calibri" w:cs="宋体"/>
          <w:kern w:val="0"/>
          <w:sz w:val="22"/>
          <w:szCs w:val="21"/>
          <w:highlight w:val="none"/>
          <w:lang w:val="en-US" w:eastAsia="zh-CN"/>
        </w:rPr>
      </w:pPr>
      <w:r>
        <w:rPr>
          <w:rFonts w:hint="eastAsia" w:ascii="宋体" w:hAnsi="宋体" w:eastAsia="Calibri" w:cs="宋体"/>
          <w:kern w:val="0"/>
          <w:sz w:val="22"/>
          <w:szCs w:val="21"/>
          <w:highlight w:val="none"/>
          <w:lang w:val="en-US" w:eastAsia="zh-CN"/>
        </w:rPr>
        <w:br w:type="page"/>
      </w:r>
    </w:p>
    <w:p>
      <w:pPr>
        <w:pStyle w:val="2"/>
        <w:spacing w:line="360" w:lineRule="auto"/>
        <w:rPr>
          <w:rFonts w:hint="eastAsia"/>
          <w:highlight w:val="none"/>
          <w:lang w:val="en-US" w:eastAsia="zh-CN"/>
        </w:rPr>
      </w:pPr>
      <w:r>
        <w:rPr>
          <w:rFonts w:hint="eastAsia"/>
          <w:highlight w:val="none"/>
          <w:lang w:val="en-US" w:eastAsia="zh-CN"/>
        </w:rPr>
        <w:t>附件1：</w:t>
      </w:r>
    </w:p>
    <w:p>
      <w:pPr>
        <w:pStyle w:val="3"/>
        <w:spacing w:after="155" w:line="360" w:lineRule="auto"/>
        <w:jc w:val="center"/>
        <w:rPr>
          <w:color w:val="000000"/>
          <w:highlight w:val="none"/>
        </w:rPr>
      </w:pPr>
      <w:r>
        <w:rPr>
          <w:rFonts w:hint="eastAsia" w:ascii="宋体" w:hAnsi="宋体" w:eastAsia="宋体" w:cs="Times New Roman"/>
          <w:color w:val="000000"/>
          <w:sz w:val="32"/>
          <w:highlight w:val="none"/>
        </w:rPr>
        <w:t>评标办法前附表</w:t>
      </w:r>
    </w:p>
    <w:tbl>
      <w:tblPr>
        <w:tblStyle w:val="10"/>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18"/>
        <w:gridCol w:w="1201"/>
        <w:gridCol w:w="1395"/>
        <w:gridCol w:w="1252"/>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pct"/>
            <w:gridSpan w:val="3"/>
            <w:noWrap w:val="0"/>
            <w:vAlign w:val="center"/>
          </w:tcPr>
          <w:p>
            <w:pPr>
              <w:widowControl w:val="0"/>
              <w:spacing w:line="360" w:lineRule="auto"/>
              <w:jc w:val="center"/>
              <w:rPr>
                <w:rFonts w:hint="eastAsia" w:ascii="宋体" w:hAnsi="宋体" w:eastAsia="宋体" w:cs="宋体"/>
                <w:b/>
                <w:color w:val="000000"/>
                <w:sz w:val="21"/>
                <w:szCs w:val="21"/>
                <w:highlight w:val="none"/>
              </w:rPr>
            </w:pPr>
            <w:bookmarkStart w:id="0" w:name="_Toc508788672"/>
            <w:bookmarkStart w:id="1" w:name="_Toc508382155"/>
            <w:r>
              <w:rPr>
                <w:rFonts w:hint="eastAsia" w:ascii="宋体" w:hAnsi="宋体" w:eastAsia="宋体" w:cs="宋体"/>
                <w:b/>
                <w:color w:val="000000"/>
                <w:sz w:val="21"/>
                <w:szCs w:val="21"/>
                <w:highlight w:val="none"/>
              </w:rPr>
              <w:t>条款号</w:t>
            </w:r>
          </w:p>
        </w:tc>
        <w:tc>
          <w:tcPr>
            <w:tcW w:w="1347" w:type="pct"/>
            <w:gridSpan w:val="2"/>
            <w:noWrap w:val="0"/>
            <w:vAlign w:val="center"/>
          </w:tcPr>
          <w:p>
            <w:pPr>
              <w:widowControl w:val="0"/>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评审因素</w:t>
            </w:r>
          </w:p>
        </w:tc>
        <w:tc>
          <w:tcPr>
            <w:tcW w:w="2557" w:type="pct"/>
            <w:noWrap w:val="0"/>
            <w:vAlign w:val="center"/>
          </w:tcPr>
          <w:p>
            <w:pPr>
              <w:widowControl w:val="0"/>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75" w:type="pct"/>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619"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评标方法</w:t>
            </w: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中标候选人排序方法</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标委员会对满足招标文件实质性要求的投标文件，按照本章第2.2款规定的评分标准进行打分，并按得分由高到低顺序推荐中标候选人，排序的前一～三名为第一中标候选人、第二中标候选人和第三中标候选人。总分相等时，以投标报价低的优先；投标报价也相等的，以监理大纲得分高的优先；如果监理大纲得分也相等，由评标委员会采用记名投票方式，以得票多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restart"/>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2.1.1</w:t>
            </w:r>
          </w:p>
        </w:tc>
        <w:tc>
          <w:tcPr>
            <w:tcW w:w="619" w:type="pct"/>
            <w:gridSpan w:val="2"/>
            <w:vMerge w:val="restart"/>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形式评审标准</w:t>
            </w: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投标人名称</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投标函及投标函附录签字盖章</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有法定代表人</w:t>
            </w:r>
            <w:bookmarkStart w:id="2" w:name="_Toc352691530"/>
            <w:bookmarkStart w:id="3" w:name="_Toc152042361"/>
            <w:bookmarkStart w:id="4" w:name="_Toc361508643"/>
            <w:bookmarkStart w:id="5" w:name="_Toc152045584"/>
            <w:bookmarkStart w:id="6" w:name="_Toc144974551"/>
            <w:bookmarkStart w:id="7" w:name="_Toc6546"/>
            <w:bookmarkStart w:id="8" w:name="_Toc369531574"/>
            <w:bookmarkStart w:id="9" w:name="_Toc247514008"/>
            <w:bookmarkStart w:id="10" w:name="_Toc384308269"/>
            <w:bookmarkStart w:id="11" w:name="_Toc247527609"/>
            <w:bookmarkStart w:id="12" w:name="_Toc300835005"/>
            <w:r>
              <w:rPr>
                <w:rFonts w:hint="eastAsia" w:ascii="宋体" w:hAnsi="宋体" w:eastAsia="宋体" w:cs="宋体"/>
                <w:color w:val="000000"/>
                <w:sz w:val="21"/>
                <w:szCs w:val="21"/>
                <w:highlight w:val="none"/>
              </w:rPr>
              <w:t>或其委托</w:t>
            </w:r>
            <w:bookmarkEnd w:id="2"/>
            <w:bookmarkEnd w:id="3"/>
            <w:bookmarkEnd w:id="4"/>
            <w:bookmarkEnd w:id="5"/>
            <w:bookmarkEnd w:id="6"/>
            <w:bookmarkEnd w:id="7"/>
            <w:bookmarkEnd w:id="8"/>
            <w:bookmarkEnd w:id="9"/>
            <w:bookmarkEnd w:id="10"/>
            <w:bookmarkEnd w:id="11"/>
            <w:bookmarkEnd w:id="12"/>
            <w:r>
              <w:rPr>
                <w:rFonts w:hint="eastAsia" w:ascii="宋体" w:hAnsi="宋体" w:eastAsia="宋体" w:cs="宋体"/>
                <w:color w:val="000000"/>
                <w:sz w:val="21"/>
                <w:szCs w:val="21"/>
                <w:highlight w:val="none"/>
              </w:rPr>
              <w:t>代理人签字或加盖单位章。由法定代表人签字的，应附法定代表人身份证明，由代理人签字的，应附授权委托书，身份证明或授权委托书应符合第六章“投标文件格式”的规定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投标文件格式</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联合体投标人</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备选投标方案</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投标人机器码</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投标人与其他投标人加密打包投标文件电脑特征码不一致（以广州公共资源交易中心评标系统的检索信息为准）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其它</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投标文件所列投标人名称、项目（总监）负责人与报名时一致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restar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color w:val="000000"/>
                <w:sz w:val="21"/>
                <w:szCs w:val="21"/>
                <w:highlight w:val="none"/>
              </w:rPr>
              <w:t>2.1.2</w:t>
            </w:r>
          </w:p>
        </w:tc>
        <w:tc>
          <w:tcPr>
            <w:tcW w:w="619" w:type="pct"/>
            <w:gridSpan w:val="2"/>
            <w:vMerge w:val="restart"/>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资格评审标准</w:t>
            </w: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营业执照和组织机构代码证</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符合第二章“投标人须知”第3.5.1项规定，具备有效的营业执照和组织机构代码证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资质要求</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符合第二章“投标人须知”第1.4.1项规定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财务要求</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业绩要求</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信誉要求</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总监理工程师</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其他主要人员</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试验检测仪器设备</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其他要求</w:t>
            </w:r>
          </w:p>
        </w:tc>
        <w:tc>
          <w:tcPr>
            <w:tcW w:w="2557" w:type="pct"/>
            <w:noWrap w:val="0"/>
            <w:vAlign w:val="center"/>
          </w:tcPr>
          <w:p>
            <w:pPr>
              <w:pStyle w:val="4"/>
              <w:keepNext w:val="0"/>
              <w:keepLines w:val="0"/>
              <w:widowControl w:val="0"/>
              <w:spacing w:line="360" w:lineRule="auto"/>
              <w:outlineLvl w:val="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联合体投标人</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619" w:type="pct"/>
            <w:gridSpan w:val="2"/>
            <w:vMerge w:val="continue"/>
            <w:noWrap w:val="0"/>
            <w:vAlign w:val="center"/>
          </w:tcPr>
          <w:p>
            <w:pPr>
              <w:widowControl w:val="0"/>
              <w:spacing w:before="260" w:after="260" w:line="360" w:lineRule="auto"/>
              <w:ind w:firstLine="102" w:firstLineChars="49"/>
              <w:outlineLvl w:val="2"/>
              <w:rPr>
                <w:rFonts w:hint="eastAsia" w:ascii="宋体" w:hAnsi="宋体" w:eastAsia="宋体" w:cs="宋体"/>
                <w:strike/>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不存在禁止投标的情形</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不存在第二章“投标人须知”第1.4.3项规定的任何一种情形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restart"/>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2.1.3</w:t>
            </w:r>
          </w:p>
        </w:tc>
        <w:tc>
          <w:tcPr>
            <w:tcW w:w="619" w:type="pct"/>
            <w:gridSpan w:val="2"/>
            <w:vMerge w:val="restart"/>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响应性评审标准</w:t>
            </w: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jc w:val="center"/>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jc w:val="center"/>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投标内容</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jc w:val="center"/>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jc w:val="center"/>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监理服务期限</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jc w:val="center"/>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jc w:val="center"/>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质量标准</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投标有效期</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投标保证金</w:t>
            </w:r>
          </w:p>
        </w:tc>
        <w:tc>
          <w:tcPr>
            <w:tcW w:w="2557" w:type="pct"/>
            <w:noWrap w:val="0"/>
            <w:vAlign w:val="center"/>
          </w:tcPr>
          <w:p>
            <w:pPr>
              <w:widowControl w:val="0"/>
              <w:spacing w:line="360" w:lineRule="auto"/>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权利与义务</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619" w:type="pct"/>
            <w:gridSpan w:val="2"/>
            <w:vMerge w:val="continue"/>
            <w:noWrap w:val="0"/>
            <w:vAlign w:val="center"/>
          </w:tcPr>
          <w:p>
            <w:pPr>
              <w:widowControl w:val="0"/>
              <w:spacing w:line="360" w:lineRule="auto"/>
              <w:rPr>
                <w:rFonts w:hint="eastAsia" w:ascii="宋体" w:hAnsi="宋体" w:eastAsia="宋体" w:cs="宋体"/>
                <w:color w:val="000000"/>
                <w:sz w:val="21"/>
                <w:szCs w:val="21"/>
                <w:highlight w:val="none"/>
              </w:rPr>
            </w:pPr>
          </w:p>
        </w:tc>
        <w:tc>
          <w:tcPr>
            <w:tcW w:w="1347" w:type="pct"/>
            <w:gridSpan w:val="2"/>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监理大纲</w:t>
            </w:r>
          </w:p>
        </w:tc>
        <w:tc>
          <w:tcPr>
            <w:tcW w:w="2557" w:type="pct"/>
            <w:noWrap w:val="0"/>
            <w:vAlign w:val="center"/>
          </w:tcPr>
          <w:p>
            <w:pPr>
              <w:widowControl w:val="0"/>
              <w:spacing w:line="360" w:lineRule="auto"/>
              <w:jc w:val="center"/>
              <w:rPr>
                <w:rFonts w:hint="eastAsia" w:ascii="宋体" w:hAnsi="宋体" w:eastAsia="宋体" w:cs="宋体"/>
                <w:strike/>
                <w:color w:val="000000"/>
                <w:sz w:val="21"/>
                <w:szCs w:val="21"/>
                <w:highlight w:val="none"/>
              </w:rPr>
            </w:pPr>
            <w:r>
              <w:rPr>
                <w:rFonts w:hint="eastAsia" w:ascii="宋体" w:hAnsi="宋体" w:eastAsia="宋体" w:cs="宋体"/>
                <w:strike/>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pct"/>
            <w:gridSpan w:val="3"/>
            <w:noWrap w:val="0"/>
            <w:vAlign w:val="center"/>
          </w:tcPr>
          <w:p>
            <w:pPr>
              <w:widowControl w:val="0"/>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条款号</w:t>
            </w:r>
          </w:p>
        </w:tc>
        <w:tc>
          <w:tcPr>
            <w:tcW w:w="1347" w:type="pct"/>
            <w:gridSpan w:val="2"/>
            <w:noWrap w:val="0"/>
            <w:vAlign w:val="center"/>
          </w:tcPr>
          <w:p>
            <w:pPr>
              <w:widowControl w:val="0"/>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条款内容</w:t>
            </w:r>
          </w:p>
        </w:tc>
        <w:tc>
          <w:tcPr>
            <w:tcW w:w="2557" w:type="pct"/>
            <w:noWrap w:val="0"/>
            <w:vAlign w:val="center"/>
          </w:tcPr>
          <w:p>
            <w:pPr>
              <w:widowControl w:val="0"/>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pct"/>
            <w:gridSpan w:val="3"/>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2.2.1</w:t>
            </w: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分值构成</w:t>
            </w:r>
          </w:p>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(总分100分) </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资信业绩部分：</w:t>
            </w:r>
            <w:r>
              <w:rPr>
                <w:rFonts w:hint="eastAsia" w:ascii="宋体" w:hAnsi="宋体" w:eastAsia="宋体" w:cs="宋体"/>
                <w:color w:val="000000"/>
                <w:sz w:val="21"/>
                <w:szCs w:val="21"/>
                <w:highlight w:val="none"/>
                <w:lang w:val="en-US" w:eastAsia="zh-CN"/>
              </w:rPr>
              <w:t>25</w:t>
            </w:r>
            <w:r>
              <w:rPr>
                <w:rFonts w:hint="eastAsia" w:ascii="宋体" w:hAnsi="宋体" w:eastAsia="宋体" w:cs="宋体"/>
                <w:color w:val="000000"/>
                <w:sz w:val="21"/>
                <w:szCs w:val="21"/>
                <w:highlight w:val="none"/>
              </w:rPr>
              <w:t>分</w:t>
            </w:r>
          </w:p>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技术服务方案部分：</w:t>
            </w:r>
            <w:r>
              <w:rPr>
                <w:rFonts w:hint="eastAsia" w:ascii="宋体" w:hAnsi="宋体" w:cs="宋体"/>
                <w:color w:val="000000"/>
                <w:sz w:val="21"/>
                <w:szCs w:val="21"/>
                <w:highlight w:val="none"/>
                <w:lang w:val="en-US" w:eastAsia="zh-CN"/>
              </w:rPr>
              <w:t>5</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p>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投标报价：20分</w:t>
            </w:r>
          </w:p>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投标人综合得分=资信业绩部分+监理大纲部分+投标报价部分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pct"/>
            <w:gridSpan w:val="3"/>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2.2.2</w:t>
            </w:r>
          </w:p>
        </w:tc>
        <w:tc>
          <w:tcPr>
            <w:tcW w:w="1347" w:type="pct"/>
            <w:gridSpan w:val="2"/>
            <w:noWrap w:val="0"/>
            <w:vAlign w:val="center"/>
          </w:tcPr>
          <w:p>
            <w:pPr>
              <w:widowControl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评标基准价计算方法</w:t>
            </w:r>
          </w:p>
        </w:tc>
        <w:tc>
          <w:tcPr>
            <w:tcW w:w="2557" w:type="pct"/>
            <w:noWrap w:val="0"/>
            <w:vAlign w:val="center"/>
          </w:tcPr>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参与评标基准价计算范围为[最高投标限价×85%，最高投标限价]，超过此范围的报价不参与评标基准价的计算。当投标人有效投标人大于或等于5家时，去掉一个最高价和一个最低价，取余下有效投标价的算术平均值的作为评标参考价。当投标人有效投标人小于5家时，取所有入围的有效投标价的算术平均值的作为评标参考价。</w:t>
            </w:r>
          </w:p>
          <w:p>
            <w:pPr>
              <w:widowControl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投标人综合得分=资信业绩部分+监理大纲部分+投标报价部分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95" w:type="pct"/>
            <w:gridSpan w:val="3"/>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2.2.3</w:t>
            </w:r>
          </w:p>
        </w:tc>
        <w:tc>
          <w:tcPr>
            <w:tcW w:w="1347" w:type="pct"/>
            <w:gridSpan w:val="2"/>
            <w:noWrap w:val="0"/>
            <w:vAlign w:val="center"/>
          </w:tcPr>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投标报价的偏差率</w:t>
            </w:r>
          </w:p>
          <w:p>
            <w:pPr>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计算公式</w:t>
            </w:r>
          </w:p>
        </w:tc>
        <w:tc>
          <w:tcPr>
            <w:tcW w:w="2557" w:type="pct"/>
            <w:noWrap w:val="0"/>
            <w:vAlign w:val="center"/>
          </w:tcPr>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投标报价得分以评标参考价作为计算各有效投标价得分的基础，当有效投标报价等于评标参考价时得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0分；投标有效投价与评标参考价相比，每上偏1%扣0.5分,每下偏1%扣0.3分，最多扣</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550" w:hRule="atLeast"/>
        </w:trPr>
        <w:tc>
          <w:tcPr>
            <w:tcW w:w="1095" w:type="pct"/>
            <w:gridSpan w:val="3"/>
            <w:tcBorders>
              <w:top w:val="single" w:color="000000" w:sz="4" w:space="0"/>
              <w:left w:val="single" w:color="000000" w:sz="4" w:space="0"/>
              <w:bottom w:val="single" w:color="auto" w:sz="4" w:space="0"/>
              <w:right w:val="single" w:color="000000" w:sz="4" w:space="0"/>
            </w:tcBorders>
            <w:noWrap w:val="0"/>
            <w:vAlign w:val="center"/>
          </w:tcPr>
          <w:p>
            <w:pPr>
              <w:spacing w:after="0"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b/>
                <w:color w:val="000000"/>
                <w:sz w:val="21"/>
                <w:szCs w:val="21"/>
                <w:highlight w:val="none"/>
              </w:rPr>
              <w:t>条款号</w:t>
            </w:r>
          </w:p>
        </w:tc>
        <w:tc>
          <w:tcPr>
            <w:tcW w:w="710" w:type="pct"/>
            <w:tcBorders>
              <w:top w:val="single" w:color="auto" w:sz="4" w:space="0"/>
              <w:left w:val="nil"/>
              <w:bottom w:val="single" w:color="auto" w:sz="4" w:space="0"/>
              <w:right w:val="single" w:color="000000" w:sz="4" w:space="0"/>
            </w:tcBorders>
            <w:noWrap w:val="0"/>
            <w:vAlign w:val="center"/>
          </w:tcPr>
          <w:p>
            <w:pPr>
              <w:spacing w:after="0"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评分因素</w:t>
            </w:r>
          </w:p>
          <w:p>
            <w:pPr>
              <w:spacing w:after="0" w:line="360" w:lineRule="auto"/>
              <w:jc w:val="center"/>
              <w:rPr>
                <w:rFonts w:hint="eastAsia" w:ascii="宋体" w:hAnsi="宋体" w:eastAsia="宋体" w:cs="宋体"/>
                <w:color w:val="000000"/>
                <w:kern w:val="0"/>
                <w:position w:val="-2"/>
                <w:sz w:val="21"/>
                <w:szCs w:val="21"/>
                <w:highlight w:val="none"/>
              </w:rPr>
            </w:pPr>
            <w:r>
              <w:rPr>
                <w:rFonts w:hint="eastAsia" w:ascii="宋体" w:hAnsi="宋体" w:eastAsia="宋体" w:cs="宋体"/>
                <w:b/>
                <w:color w:val="000000"/>
                <w:sz w:val="21"/>
                <w:szCs w:val="21"/>
                <w:highlight w:val="none"/>
              </w:rPr>
              <w:t>（偏差率）</w:t>
            </w:r>
          </w:p>
        </w:tc>
        <w:tc>
          <w:tcPr>
            <w:tcW w:w="3194" w:type="pct"/>
            <w:gridSpan w:val="2"/>
            <w:tcBorders>
              <w:top w:val="single" w:color="000000" w:sz="4" w:space="0"/>
              <w:left w:val="nil"/>
              <w:bottom w:val="single" w:color="auto" w:sz="4" w:space="0"/>
              <w:right w:val="single" w:color="000000" w:sz="4" w:space="0"/>
            </w:tcBorders>
            <w:noWrap w:val="0"/>
            <w:vAlign w:val="center"/>
          </w:tcPr>
          <w:p>
            <w:pPr>
              <w:spacing w:after="0"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b/>
                <w:color w:val="000000"/>
                <w:sz w:val="21"/>
                <w:szCs w:val="21"/>
                <w:highlight w:val="none"/>
              </w:rPr>
              <w:t>评分标准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069" w:hRule="atLeast"/>
        </w:trPr>
        <w:tc>
          <w:tcPr>
            <w:tcW w:w="48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2.2.4（1）</w:t>
            </w:r>
          </w:p>
        </w:tc>
        <w:tc>
          <w:tcPr>
            <w:tcW w:w="610"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资信业绩</w:t>
            </w:r>
            <w:r>
              <w:rPr>
                <w:rFonts w:hint="eastAsia" w:ascii="宋体" w:hAnsi="宋体" w:eastAsia="宋体" w:cs="宋体"/>
                <w:color w:val="000000"/>
                <w:kern w:val="0"/>
                <w:sz w:val="21"/>
                <w:szCs w:val="21"/>
                <w:highlight w:val="none"/>
              </w:rPr>
              <w:t>评分</w:t>
            </w:r>
            <w:r>
              <w:rPr>
                <w:rFonts w:hint="eastAsia" w:ascii="宋体" w:hAnsi="宋体" w:eastAsia="宋体" w:cs="宋体"/>
                <w:color w:val="000000"/>
                <w:spacing w:val="-2"/>
                <w:kern w:val="0"/>
                <w:sz w:val="21"/>
                <w:szCs w:val="21"/>
                <w:highlight w:val="none"/>
              </w:rPr>
              <w:t>标</w:t>
            </w:r>
            <w:r>
              <w:rPr>
                <w:rFonts w:hint="eastAsia" w:ascii="宋体" w:hAnsi="宋体" w:eastAsia="宋体" w:cs="宋体"/>
                <w:color w:val="000000"/>
                <w:kern w:val="0"/>
                <w:sz w:val="21"/>
                <w:szCs w:val="21"/>
                <w:highlight w:val="none"/>
              </w:rPr>
              <w:t>准</w:t>
            </w:r>
          </w:p>
          <w:p>
            <w:pPr>
              <w:autoSpaceDE w:val="0"/>
              <w:autoSpaceDN w:val="0"/>
              <w:adjustRightInd w:val="0"/>
              <w:spacing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25</w:t>
            </w:r>
            <w:r>
              <w:rPr>
                <w:rFonts w:hint="eastAsia" w:ascii="宋体" w:hAnsi="宋体" w:eastAsia="宋体" w:cs="宋体"/>
                <w:color w:val="000000"/>
                <w:kern w:val="0"/>
                <w:sz w:val="21"/>
                <w:szCs w:val="21"/>
                <w:highlight w:val="none"/>
              </w:rPr>
              <w:t>分</w:t>
            </w:r>
          </w:p>
        </w:tc>
        <w:tc>
          <w:tcPr>
            <w:tcW w:w="71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类似业绩</w:t>
            </w:r>
          </w:p>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kern w:val="0"/>
                <w:position w:val="-2"/>
                <w:sz w:val="21"/>
                <w:szCs w:val="21"/>
                <w:highlight w:val="none"/>
              </w:rPr>
            </w:pPr>
            <w:r>
              <w:rPr>
                <w:rFonts w:hint="eastAsia" w:ascii="宋体" w:hAnsi="宋体" w:eastAsia="宋体" w:cs="宋体"/>
                <w:color w:val="000000"/>
                <w:sz w:val="21"/>
                <w:szCs w:val="21"/>
                <w:highlight w:val="none"/>
              </w:rPr>
              <w:t>（</w:t>
            </w:r>
            <w:r>
              <w:rPr>
                <w:rFonts w:hint="eastAsia" w:ascii="宋体" w:hAnsi="宋体" w:cs="宋体"/>
                <w:color w:val="000000"/>
                <w:sz w:val="21"/>
                <w:szCs w:val="21"/>
                <w:highlight w:val="none"/>
                <w:lang w:val="en-US" w:eastAsia="zh-CN"/>
              </w:rPr>
              <w:t>4</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投标人自2019年1月1日至今，每完成过一个质量合格的类似工程监理业绩得1分，本小项最多得</w:t>
            </w:r>
            <w:r>
              <w:rPr>
                <w:rFonts w:hint="eastAsia" w:ascii="宋体" w:hAnsi="宋体" w:cs="宋体"/>
                <w:color w:val="000000"/>
                <w:sz w:val="21"/>
                <w:szCs w:val="21"/>
                <w:highlight w:val="none"/>
                <w:lang w:val="en-US" w:eastAsia="zh-CN"/>
              </w:rPr>
              <w:t>4</w:t>
            </w:r>
            <w:r>
              <w:rPr>
                <w:rFonts w:hint="eastAsia" w:ascii="宋体" w:hAnsi="宋体" w:eastAsia="宋体" w:cs="宋体"/>
                <w:color w:val="000000"/>
                <w:sz w:val="21"/>
                <w:szCs w:val="21"/>
                <w:highlight w:val="none"/>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20"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获奖监理业绩</w:t>
            </w:r>
          </w:p>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（6分）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投标人自2019年1月1日至今，完成过质量合格的类似工程监理项目获得国家级奖项每项得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获得省级奖项每项得</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获得市级奖项每项得</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分。</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本项最多得6分。</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lang w:val="en-US"/>
              </w:rPr>
              <w:t>注：需提供获奖证书扫描件，时间以</w:t>
            </w:r>
            <w:r>
              <w:rPr>
                <w:rFonts w:hint="eastAsia" w:ascii="宋体" w:hAnsi="宋体" w:eastAsia="宋体" w:cs="宋体"/>
                <w:b/>
                <w:bCs/>
                <w:color w:val="000000"/>
                <w:sz w:val="21"/>
                <w:szCs w:val="21"/>
                <w:highlight w:val="none"/>
                <w:lang w:val="en-US" w:eastAsia="zh-CN"/>
              </w:rPr>
              <w:t>发证</w:t>
            </w:r>
            <w:r>
              <w:rPr>
                <w:rFonts w:hint="eastAsia" w:ascii="宋体" w:hAnsi="宋体" w:eastAsia="宋体" w:cs="宋体"/>
                <w:b/>
                <w:bCs/>
                <w:color w:val="000000"/>
                <w:sz w:val="21"/>
                <w:szCs w:val="21"/>
                <w:highlight w:val="none"/>
                <w:lang w:val="en-US"/>
              </w:rPr>
              <w:t>时间为准。</w:t>
            </w:r>
            <w:r>
              <w:rPr>
                <w:rFonts w:hint="eastAsia" w:ascii="宋体" w:hAnsi="宋体" w:eastAsia="宋体" w:cs="宋体"/>
                <w:b/>
                <w:bCs/>
                <w:color w:val="000000"/>
                <w:sz w:val="21"/>
                <w:szCs w:val="21"/>
                <w:highlight w:val="none"/>
                <w:lang w:val="en-US" w:eastAsia="zh-CN"/>
              </w:rPr>
              <w:t>同一项目仅统计最高得分，</w:t>
            </w:r>
            <w:r>
              <w:rPr>
                <w:rFonts w:hint="eastAsia" w:ascii="宋体" w:hAnsi="宋体" w:eastAsia="宋体" w:cs="宋体"/>
                <w:b/>
                <w:bCs/>
                <w:color w:val="000000"/>
                <w:sz w:val="21"/>
                <w:szCs w:val="21"/>
                <w:highlight w:val="none"/>
                <w:lang w:val="en-US"/>
              </w:rPr>
              <w:t>不提供不得分。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20"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line="360" w:lineRule="auto"/>
              <w:ind w:left="42" w:leftChars="20" w:right="42" w:rightChars="20"/>
              <w:jc w:val="center"/>
              <w:rPr>
                <w:rFonts w:hint="eastAsia" w:ascii="宋体" w:hAnsi="宋体" w:cs="宋体"/>
                <w:color w:val="000000"/>
                <w:szCs w:val="21"/>
                <w:highlight w:val="none"/>
              </w:rPr>
            </w:pPr>
            <w:r>
              <w:rPr>
                <w:rFonts w:hint="eastAsia" w:ascii="宋体" w:hAnsi="宋体" w:cs="宋体"/>
                <w:color w:val="000000"/>
                <w:szCs w:val="21"/>
                <w:highlight w:val="none"/>
              </w:rPr>
              <w:t>总监理工程师</w:t>
            </w:r>
          </w:p>
          <w:p>
            <w:pPr>
              <w:adjustRightInd w:val="0"/>
              <w:snapToGrid w:val="0"/>
              <w:spacing w:before="46" w:beforeLines="15" w:after="46" w:afterLines="15" w:line="360" w:lineRule="auto"/>
              <w:ind w:left="42" w:leftChars="20" w:right="42" w:rightChars="20"/>
              <w:jc w:val="center"/>
              <w:rPr>
                <w:rFonts w:hint="eastAsia" w:ascii="宋体" w:hAnsi="宋体" w:eastAsia="宋体" w:cs="宋体"/>
                <w:color w:val="000000"/>
                <w:sz w:val="21"/>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分）</w:t>
            </w:r>
          </w:p>
        </w:tc>
        <w:tc>
          <w:tcPr>
            <w:tcW w:w="627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w:t>
            </w:r>
            <w:r>
              <w:rPr>
                <w:rFonts w:hint="eastAsia" w:ascii="宋体" w:hAnsi="宋体" w:cs="宋体"/>
                <w:color w:val="000000"/>
                <w:szCs w:val="21"/>
                <w:highlight w:val="none"/>
              </w:rPr>
              <w:t>具备中级或以上职称的得</w:t>
            </w:r>
            <w:r>
              <w:rPr>
                <w:rFonts w:ascii="宋体" w:hAnsi="宋体" w:cs="宋体"/>
                <w:color w:val="000000"/>
                <w:szCs w:val="21"/>
                <w:highlight w:val="none"/>
              </w:rPr>
              <w:t>2</w:t>
            </w:r>
            <w:r>
              <w:rPr>
                <w:rFonts w:hint="eastAsia" w:ascii="宋体" w:hAnsi="宋体" w:cs="宋体"/>
                <w:color w:val="000000"/>
                <w:szCs w:val="21"/>
                <w:highlight w:val="none"/>
              </w:rPr>
              <w:t>分。</w:t>
            </w:r>
          </w:p>
          <w:p>
            <w:pPr>
              <w:snapToGrid w:val="0"/>
              <w:spacing w:line="360" w:lineRule="auto"/>
              <w:rPr>
                <w:rFonts w:hint="eastAsia" w:ascii="宋体" w:hAnsi="宋体" w:eastAsia="宋体" w:cs="宋体"/>
                <w:b/>
                <w:bCs/>
                <w:color w:val="000000"/>
                <w:sz w:val="21"/>
                <w:szCs w:val="21"/>
                <w:highlight w:val="none"/>
                <w:lang w:val="en-US"/>
              </w:rPr>
            </w:pPr>
            <w:r>
              <w:rPr>
                <w:rFonts w:hint="eastAsia" w:ascii="宋体" w:hAnsi="宋体" w:cs="宋体"/>
                <w:color w:val="000000"/>
                <w:szCs w:val="21"/>
                <w:highlight w:val="none"/>
              </w:rPr>
              <w:t>2</w:t>
            </w:r>
            <w:r>
              <w:rPr>
                <w:rFonts w:ascii="宋体" w:hAnsi="宋体" w:cs="宋体"/>
                <w:color w:val="000000"/>
                <w:szCs w:val="21"/>
                <w:highlight w:val="none"/>
              </w:rPr>
              <w:t>.</w:t>
            </w:r>
            <w:r>
              <w:rPr>
                <w:rFonts w:hint="eastAsia" w:ascii="宋体" w:hAnsi="宋体" w:cs="宋体"/>
                <w:color w:val="000000"/>
                <w:szCs w:val="21"/>
                <w:highlight w:val="none"/>
              </w:rPr>
              <w:t>201</w:t>
            </w:r>
            <w:r>
              <w:rPr>
                <w:rFonts w:ascii="宋体" w:hAnsi="宋体" w:cs="宋体"/>
                <w:color w:val="000000"/>
                <w:szCs w:val="21"/>
                <w:highlight w:val="none"/>
              </w:rPr>
              <w:t>9</w:t>
            </w:r>
            <w:r>
              <w:rPr>
                <w:rFonts w:hint="eastAsia" w:ascii="宋体" w:hAnsi="宋体" w:cs="宋体"/>
                <w:color w:val="000000"/>
                <w:szCs w:val="21"/>
                <w:highlight w:val="none"/>
              </w:rPr>
              <w:t>年1月1日至今，以总监理工程师身份完成过质量合格的类似工程监理项目每项得1分，最多得</w:t>
            </w:r>
            <w:r>
              <w:rPr>
                <w:rFonts w:ascii="宋体" w:hAnsi="宋体" w:cs="宋体"/>
                <w:color w:val="000000"/>
                <w:szCs w:val="21"/>
                <w:highlight w:val="none"/>
              </w:rPr>
              <w:t>1</w:t>
            </w:r>
            <w:r>
              <w:rPr>
                <w:rFonts w:hint="eastAsia" w:ascii="宋体" w:hAnsi="宋体" w:cs="宋体"/>
                <w:color w:val="000000"/>
                <w:szCs w:val="21"/>
                <w:highlight w:val="none"/>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638"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right w:val="single" w:color="auto" w:sz="4" w:space="0"/>
            </w:tcBorders>
            <w:noWrap w:val="0"/>
            <w:vAlign w:val="center"/>
          </w:tcPr>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sz w:val="21"/>
                <w:szCs w:val="21"/>
                <w:highlight w:val="none"/>
              </w:rPr>
            </w:pPr>
          </w:p>
          <w:p>
            <w:pPr>
              <w:adjustRightInd w:val="0"/>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拟派人员团队</w:t>
            </w:r>
          </w:p>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cs="宋体"/>
                <w:color w:val="000000"/>
                <w:sz w:val="21"/>
                <w:szCs w:val="21"/>
                <w:highlight w:val="none"/>
                <w:lang w:val="en-US" w:eastAsia="zh-CN"/>
              </w:rPr>
              <w:t>6</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autoSpaceDE/>
              <w:autoSpaceDN/>
              <w:snapToGrid w:val="0"/>
              <w:spacing w:line="360" w:lineRule="auto"/>
              <w:rPr>
                <w:rFonts w:hint="eastAsia" w:ascii="宋体" w:hAnsi="宋体" w:eastAsia="宋体" w:cs="宋体"/>
                <w:color w:val="000000"/>
                <w:sz w:val="21"/>
                <w:szCs w:val="21"/>
                <w:highlight w:val="none"/>
                <w:lang w:val="en-US" w:bidi="ar-SA"/>
              </w:rPr>
            </w:pP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拟投入</w:t>
            </w:r>
            <w:r>
              <w:rPr>
                <w:rFonts w:hint="eastAsia" w:ascii="宋体" w:hAnsi="宋体" w:eastAsia="宋体" w:cs="宋体"/>
                <w:b/>
                <w:bCs/>
                <w:color w:val="000000"/>
                <w:sz w:val="21"/>
                <w:szCs w:val="21"/>
                <w:highlight w:val="none"/>
                <w:lang w:val="en-US"/>
              </w:rPr>
              <w:t>本项目的</w:t>
            </w:r>
            <w:r>
              <w:rPr>
                <w:rFonts w:hint="eastAsia" w:ascii="宋体" w:hAnsi="宋体" w:eastAsia="宋体" w:cs="宋体"/>
                <w:b/>
                <w:bCs/>
                <w:color w:val="000000"/>
                <w:sz w:val="21"/>
                <w:szCs w:val="21"/>
                <w:highlight w:val="none"/>
              </w:rPr>
              <w:t>服务人员(</w:t>
            </w:r>
            <w:r>
              <w:rPr>
                <w:rFonts w:hint="eastAsia" w:ascii="宋体" w:hAnsi="宋体" w:eastAsia="宋体" w:cs="宋体"/>
                <w:b/>
                <w:bCs/>
                <w:color w:val="000000"/>
                <w:sz w:val="21"/>
                <w:szCs w:val="21"/>
                <w:highlight w:val="none"/>
                <w:lang w:val="en-US"/>
              </w:rPr>
              <w:t>总监理工程师</w:t>
            </w:r>
            <w:r>
              <w:rPr>
                <w:rFonts w:hint="eastAsia" w:ascii="宋体" w:hAnsi="宋体" w:eastAsia="宋体" w:cs="宋体"/>
                <w:b/>
                <w:bCs/>
                <w:color w:val="000000"/>
                <w:sz w:val="21"/>
                <w:szCs w:val="21"/>
                <w:highlight w:val="none"/>
              </w:rPr>
              <w:t>除外)：</w:t>
            </w:r>
          </w:p>
          <w:p>
            <w:pPr>
              <w:autoSpaceDE/>
              <w:autoSpaceDN/>
              <w:snapToGrid w:val="0"/>
              <w:spacing w:line="360" w:lineRule="auto"/>
              <w:rPr>
                <w:rFonts w:hint="eastAsia" w:ascii="宋体" w:hAnsi="宋体" w:eastAsia="宋体" w:cs="宋体"/>
                <w:color w:val="000000"/>
                <w:sz w:val="21"/>
                <w:szCs w:val="21"/>
                <w:highlight w:val="none"/>
                <w:lang w:val="en-US" w:bidi="ar-SA"/>
              </w:rPr>
            </w:pPr>
            <w:r>
              <w:rPr>
                <w:rFonts w:hint="eastAsia" w:ascii="宋体" w:hAnsi="宋体" w:eastAsia="宋体" w:cs="宋体"/>
                <w:color w:val="000000"/>
                <w:sz w:val="21"/>
                <w:szCs w:val="21"/>
                <w:highlight w:val="none"/>
                <w:lang w:val="en-US" w:bidi="ar-SA"/>
              </w:rPr>
              <w:t>1.总监代表：</w:t>
            </w:r>
          </w:p>
          <w:p>
            <w:pPr>
              <w:autoSpaceDE/>
              <w:autoSpaceDN/>
              <w:snapToGrid w:val="0"/>
              <w:spacing w:line="360" w:lineRule="auto"/>
              <w:rPr>
                <w:rFonts w:hint="eastAsia" w:ascii="宋体" w:hAnsi="宋体" w:eastAsia="宋体" w:cs="宋体"/>
                <w:color w:val="000000"/>
                <w:sz w:val="21"/>
                <w:szCs w:val="21"/>
                <w:highlight w:val="none"/>
                <w:lang w:val="en-US" w:bidi="ar-SA"/>
              </w:rPr>
            </w:pPr>
            <w:r>
              <w:rPr>
                <w:rFonts w:hint="eastAsia" w:ascii="宋体" w:hAnsi="宋体" w:eastAsia="宋体" w:cs="宋体"/>
                <w:color w:val="000000"/>
                <w:sz w:val="21"/>
                <w:szCs w:val="21"/>
                <w:highlight w:val="none"/>
                <w:lang w:val="en-US" w:bidi="ar-SA"/>
              </w:rPr>
              <w:t>具有监理工程师、高级或以上职称的</w:t>
            </w:r>
            <w:r>
              <w:rPr>
                <w:rFonts w:hint="eastAsia" w:ascii="宋体" w:hAnsi="宋体" w:eastAsia="宋体" w:cs="宋体"/>
                <w:color w:val="000000"/>
                <w:sz w:val="21"/>
                <w:szCs w:val="21"/>
                <w:highlight w:val="none"/>
                <w:lang w:val="en-US" w:eastAsia="zh-CN" w:bidi="ar-SA"/>
              </w:rPr>
              <w:t>，每具有一项</w:t>
            </w:r>
            <w:r>
              <w:rPr>
                <w:rFonts w:hint="eastAsia" w:ascii="宋体" w:hAnsi="宋体" w:eastAsia="宋体" w:cs="宋体"/>
                <w:color w:val="000000"/>
                <w:sz w:val="21"/>
                <w:szCs w:val="21"/>
                <w:highlight w:val="none"/>
                <w:lang w:val="en-US" w:bidi="ar-SA"/>
              </w:rPr>
              <w:t>得</w:t>
            </w:r>
            <w:r>
              <w:rPr>
                <w:rFonts w:hint="eastAsia" w:ascii="宋体" w:hAnsi="宋体" w:cs="宋体"/>
                <w:color w:val="000000"/>
                <w:sz w:val="21"/>
                <w:szCs w:val="21"/>
                <w:highlight w:val="none"/>
                <w:lang w:val="en-US" w:eastAsia="zh-CN" w:bidi="ar-SA"/>
              </w:rPr>
              <w:t>1.5</w:t>
            </w:r>
            <w:r>
              <w:rPr>
                <w:rFonts w:hint="eastAsia" w:ascii="宋体" w:hAnsi="宋体" w:eastAsia="宋体" w:cs="宋体"/>
                <w:color w:val="000000"/>
                <w:sz w:val="21"/>
                <w:szCs w:val="21"/>
                <w:highlight w:val="none"/>
                <w:lang w:val="en-US" w:bidi="ar-SA"/>
              </w:rPr>
              <w:t>分，本小项最高得</w:t>
            </w:r>
            <w:r>
              <w:rPr>
                <w:rFonts w:hint="eastAsia" w:ascii="宋体" w:hAnsi="宋体" w:cs="宋体"/>
                <w:color w:val="000000"/>
                <w:sz w:val="21"/>
                <w:szCs w:val="21"/>
                <w:highlight w:val="none"/>
                <w:lang w:val="en-US" w:eastAsia="zh-CN" w:bidi="ar-SA"/>
              </w:rPr>
              <w:t>3</w:t>
            </w:r>
            <w:r>
              <w:rPr>
                <w:rFonts w:hint="eastAsia" w:ascii="宋体" w:hAnsi="宋体" w:eastAsia="宋体" w:cs="宋体"/>
                <w:color w:val="000000"/>
                <w:sz w:val="21"/>
                <w:szCs w:val="21"/>
                <w:highlight w:val="none"/>
                <w:lang w:val="en-US" w:bidi="ar-SA"/>
              </w:rPr>
              <w:t>分。</w:t>
            </w:r>
          </w:p>
          <w:p>
            <w:pPr>
              <w:autoSpaceDE/>
              <w:autoSpaceDN/>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bidi="ar-SA"/>
              </w:rPr>
              <w:t>2.</w:t>
            </w:r>
            <w:r>
              <w:rPr>
                <w:rFonts w:hint="eastAsia" w:ascii="宋体" w:hAnsi="宋体" w:eastAsia="宋体" w:cs="宋体"/>
                <w:color w:val="000000"/>
                <w:sz w:val="21"/>
                <w:szCs w:val="21"/>
                <w:highlight w:val="none"/>
                <w:lang w:val="en-US"/>
              </w:rPr>
              <w:t>造价咨询</w:t>
            </w:r>
            <w:r>
              <w:rPr>
                <w:rFonts w:hint="eastAsia" w:ascii="宋体" w:hAnsi="宋体" w:eastAsia="宋体" w:cs="宋体"/>
                <w:color w:val="000000"/>
                <w:sz w:val="21"/>
                <w:szCs w:val="21"/>
                <w:highlight w:val="none"/>
              </w:rPr>
              <w:t>负责人：</w:t>
            </w:r>
          </w:p>
          <w:p>
            <w:pPr>
              <w:snapToGrid w:val="0"/>
              <w:spacing w:line="360" w:lineRule="auto"/>
              <w:rPr>
                <w:rFonts w:hint="eastAsia" w:ascii="宋体" w:hAnsi="宋体" w:eastAsia="宋体" w:cs="宋体"/>
                <w:color w:val="000000"/>
                <w:sz w:val="21"/>
                <w:szCs w:val="21"/>
                <w:highlight w:val="none"/>
                <w:lang w:val="en-US" w:bidi="ar-SA"/>
              </w:rPr>
            </w:pPr>
            <w:r>
              <w:rPr>
                <w:rFonts w:hint="eastAsia" w:ascii="宋体" w:hAnsi="宋体" w:eastAsia="宋体" w:cs="宋体"/>
                <w:color w:val="000000"/>
                <w:sz w:val="21"/>
                <w:szCs w:val="21"/>
                <w:highlight w:val="none"/>
                <w:lang w:val="en-US" w:bidi="ar-SA"/>
              </w:rPr>
              <w:t>具有一级注册造价工程师、高级或以上职称的</w:t>
            </w:r>
            <w:r>
              <w:rPr>
                <w:rFonts w:hint="eastAsia" w:ascii="宋体" w:hAnsi="宋体" w:eastAsia="宋体" w:cs="宋体"/>
                <w:color w:val="000000"/>
                <w:sz w:val="21"/>
                <w:szCs w:val="21"/>
                <w:highlight w:val="none"/>
                <w:lang w:val="en-US" w:eastAsia="zh-CN" w:bidi="ar-SA"/>
              </w:rPr>
              <w:t>每具有一项</w:t>
            </w:r>
            <w:r>
              <w:rPr>
                <w:rFonts w:hint="eastAsia" w:ascii="宋体" w:hAnsi="宋体" w:eastAsia="宋体" w:cs="宋体"/>
                <w:color w:val="000000"/>
                <w:sz w:val="21"/>
                <w:szCs w:val="21"/>
                <w:highlight w:val="none"/>
                <w:lang w:val="en-US" w:bidi="ar-SA"/>
              </w:rPr>
              <w:t>得</w:t>
            </w:r>
            <w:r>
              <w:rPr>
                <w:rFonts w:hint="eastAsia" w:ascii="宋体" w:hAnsi="宋体" w:cs="宋体"/>
                <w:color w:val="000000"/>
                <w:sz w:val="21"/>
                <w:szCs w:val="21"/>
                <w:highlight w:val="none"/>
                <w:lang w:val="en-US" w:eastAsia="zh-CN" w:bidi="ar-SA"/>
              </w:rPr>
              <w:t>1.5</w:t>
            </w:r>
            <w:r>
              <w:rPr>
                <w:rFonts w:hint="eastAsia" w:ascii="宋体" w:hAnsi="宋体" w:eastAsia="宋体" w:cs="宋体"/>
                <w:color w:val="000000"/>
                <w:sz w:val="21"/>
                <w:szCs w:val="21"/>
                <w:highlight w:val="none"/>
                <w:lang w:val="en-US" w:bidi="ar-SA"/>
              </w:rPr>
              <w:t>分，本小项最高得</w:t>
            </w:r>
            <w:r>
              <w:rPr>
                <w:rFonts w:hint="eastAsia" w:ascii="宋体" w:hAnsi="宋体" w:cs="宋体"/>
                <w:color w:val="000000"/>
                <w:sz w:val="21"/>
                <w:szCs w:val="21"/>
                <w:highlight w:val="none"/>
                <w:lang w:val="en-US" w:eastAsia="zh-CN" w:bidi="ar-SA"/>
              </w:rPr>
              <w:t>3</w:t>
            </w:r>
            <w:r>
              <w:rPr>
                <w:rFonts w:hint="eastAsia" w:ascii="宋体" w:hAnsi="宋体" w:eastAsia="宋体" w:cs="宋体"/>
                <w:color w:val="000000"/>
                <w:sz w:val="21"/>
                <w:szCs w:val="21"/>
                <w:highlight w:val="none"/>
                <w:lang w:val="en-US" w:bidi="ar-SA"/>
              </w:rPr>
              <w:t>分。</w:t>
            </w:r>
          </w:p>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bidi="ar-SA"/>
              </w:rPr>
              <w:t>本项最多得</w:t>
            </w:r>
            <w:r>
              <w:rPr>
                <w:rFonts w:hint="eastAsia" w:ascii="宋体" w:hAnsi="宋体" w:cs="宋体"/>
                <w:color w:val="000000"/>
                <w:sz w:val="21"/>
                <w:szCs w:val="21"/>
                <w:highlight w:val="none"/>
                <w:lang w:val="en-US" w:eastAsia="zh-CN" w:bidi="ar-SA"/>
              </w:rPr>
              <w:t>6</w:t>
            </w:r>
            <w:r>
              <w:rPr>
                <w:rFonts w:hint="eastAsia" w:ascii="宋体" w:hAnsi="宋体" w:eastAsia="宋体" w:cs="宋体"/>
                <w:color w:val="000000"/>
                <w:sz w:val="21"/>
                <w:szCs w:val="21"/>
                <w:highlight w:val="none"/>
                <w:lang w:val="en-US" w:bidi="ar-SA"/>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556"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right w:val="single" w:color="auto" w:sz="4" w:space="0"/>
            </w:tcBorders>
            <w:noWrap w:val="0"/>
            <w:vAlign w:val="center"/>
          </w:tcPr>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sz w:val="21"/>
                <w:szCs w:val="21"/>
                <w:highlight w:val="none"/>
                <w:lang w:val="en-US"/>
              </w:rPr>
            </w:pPr>
          </w:p>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管理体系认证</w:t>
            </w:r>
          </w:p>
          <w:p>
            <w:pPr>
              <w:adjustRightInd w:val="0"/>
              <w:snapToGrid w:val="0"/>
              <w:spacing w:before="36" w:beforeLines="15" w:after="36" w:afterLines="15" w:line="360" w:lineRule="auto"/>
              <w:ind w:left="42" w:leftChars="20" w:right="42" w:rightChars="2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ascii="宋体" w:hAnsi="宋体" w:eastAsia="宋体" w:cs="宋体"/>
                <w:b/>
                <w:bCs/>
                <w:color w:val="000000"/>
                <w:sz w:val="21"/>
                <w:szCs w:val="21"/>
                <w:highlight w:val="none"/>
                <w:lang w:val="en-US" w:bidi="ar-SA"/>
              </w:rPr>
            </w:pPr>
          </w:p>
          <w:p>
            <w:pPr>
              <w:autoSpaceDE/>
              <w:autoSpaceDN/>
              <w:snapToGrid w:val="0"/>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bidi="ar-SA"/>
              </w:rPr>
              <w:t>投标人具</w:t>
            </w:r>
            <w:r>
              <w:rPr>
                <w:rFonts w:hint="eastAsia" w:ascii="宋体" w:hAnsi="宋体" w:eastAsia="宋体" w:cs="宋体"/>
                <w:color w:val="000000"/>
                <w:sz w:val="21"/>
                <w:szCs w:val="21"/>
                <w:highlight w:val="none"/>
                <w:lang w:val="en-US" w:eastAsia="zh-CN" w:bidi="ar-SA"/>
              </w:rPr>
              <w:t>有</w:t>
            </w:r>
            <w:r>
              <w:rPr>
                <w:rFonts w:hint="eastAsia" w:ascii="宋体" w:hAnsi="宋体" w:eastAsia="宋体" w:cs="宋体"/>
                <w:color w:val="000000"/>
                <w:sz w:val="21"/>
                <w:szCs w:val="21"/>
                <w:highlight w:val="none"/>
                <w:lang w:val="en-US" w:bidi="ar-SA"/>
              </w:rPr>
              <w:t>质量管理体系认证、环境管理体系认证、职业健康安全管理体系认证</w:t>
            </w:r>
            <w:r>
              <w:rPr>
                <w:rFonts w:hint="eastAsia" w:ascii="宋体" w:hAnsi="宋体" w:eastAsia="宋体" w:cs="宋体"/>
                <w:color w:val="000000"/>
                <w:sz w:val="21"/>
                <w:szCs w:val="21"/>
                <w:highlight w:val="none"/>
                <w:lang w:val="en-US" w:eastAsia="zh-CN" w:bidi="ar-SA"/>
              </w:rPr>
              <w:t>的，每具备一</w:t>
            </w:r>
            <w:r>
              <w:rPr>
                <w:rFonts w:hint="eastAsia" w:ascii="宋体" w:hAnsi="宋体" w:eastAsia="宋体" w:cs="宋体"/>
                <w:color w:val="000000"/>
                <w:sz w:val="21"/>
                <w:szCs w:val="21"/>
                <w:highlight w:val="none"/>
                <w:lang w:val="en-US" w:bidi="ar-SA"/>
              </w:rPr>
              <w:t>项</w:t>
            </w:r>
            <w:r>
              <w:rPr>
                <w:rFonts w:hint="eastAsia" w:ascii="宋体" w:hAnsi="宋体" w:eastAsia="宋体" w:cs="宋体"/>
                <w:color w:val="000000"/>
                <w:sz w:val="21"/>
                <w:szCs w:val="21"/>
                <w:highlight w:val="none"/>
                <w:lang w:val="en-US" w:eastAsia="zh-CN" w:bidi="ar-SA"/>
              </w:rPr>
              <w:t>得2</w:t>
            </w:r>
            <w:r>
              <w:rPr>
                <w:rFonts w:hint="eastAsia" w:ascii="宋体" w:hAnsi="宋体" w:eastAsia="宋体" w:cs="宋体"/>
                <w:color w:val="000000"/>
                <w:sz w:val="21"/>
                <w:szCs w:val="21"/>
                <w:highlight w:val="none"/>
                <w:lang w:val="en-US" w:bidi="ar-SA"/>
              </w:rPr>
              <w:t>分</w:t>
            </w:r>
            <w:r>
              <w:rPr>
                <w:rFonts w:hint="eastAsia" w:ascii="宋体" w:hAnsi="宋体" w:eastAsia="宋体" w:cs="宋体"/>
                <w:color w:val="000000"/>
                <w:sz w:val="21"/>
                <w:szCs w:val="21"/>
                <w:highlight w:val="none"/>
                <w:lang w:val="en-US" w:eastAsia="zh-CN" w:bidi="ar-SA"/>
              </w:rPr>
              <w:t>，最多得6分</w:t>
            </w:r>
            <w:r>
              <w:rPr>
                <w:rFonts w:hint="eastAsia" w:ascii="宋体" w:hAnsi="宋体" w:eastAsia="宋体" w:cs="宋体"/>
                <w:color w:val="000000"/>
                <w:sz w:val="21"/>
                <w:szCs w:val="21"/>
                <w:highlight w:val="none"/>
                <w:lang w:val="en-US" w:bidi="ar-SA"/>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1" w:hRule="atLeast"/>
        </w:trPr>
        <w:tc>
          <w:tcPr>
            <w:tcW w:w="48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2.2.4（2）</w:t>
            </w:r>
          </w:p>
        </w:tc>
        <w:tc>
          <w:tcPr>
            <w:tcW w:w="610"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监理</w:t>
            </w:r>
            <w:r>
              <w:rPr>
                <w:rFonts w:hint="eastAsia" w:ascii="宋体" w:hAnsi="宋体" w:eastAsia="宋体" w:cs="宋体"/>
                <w:color w:val="000000"/>
                <w:spacing w:val="-2"/>
                <w:kern w:val="0"/>
                <w:sz w:val="21"/>
                <w:szCs w:val="21"/>
                <w:highlight w:val="none"/>
              </w:rPr>
              <w:t>大</w:t>
            </w:r>
            <w:r>
              <w:rPr>
                <w:rFonts w:hint="eastAsia" w:ascii="宋体" w:hAnsi="宋体" w:eastAsia="宋体" w:cs="宋体"/>
                <w:color w:val="000000"/>
                <w:kern w:val="0"/>
                <w:sz w:val="21"/>
                <w:szCs w:val="21"/>
                <w:highlight w:val="none"/>
              </w:rPr>
              <w:t>纲评分</w:t>
            </w:r>
            <w:r>
              <w:rPr>
                <w:rFonts w:hint="eastAsia" w:ascii="宋体" w:hAnsi="宋体" w:eastAsia="宋体" w:cs="宋体"/>
                <w:color w:val="000000"/>
                <w:spacing w:val="-2"/>
                <w:kern w:val="0"/>
                <w:sz w:val="21"/>
                <w:szCs w:val="21"/>
                <w:highlight w:val="none"/>
              </w:rPr>
              <w:t>标</w:t>
            </w:r>
            <w:r>
              <w:rPr>
                <w:rFonts w:hint="eastAsia" w:ascii="宋体" w:hAnsi="宋体" w:eastAsia="宋体" w:cs="宋体"/>
                <w:color w:val="000000"/>
                <w:kern w:val="0"/>
                <w:sz w:val="21"/>
                <w:szCs w:val="21"/>
                <w:highlight w:val="none"/>
              </w:rPr>
              <w:t>准</w:t>
            </w:r>
          </w:p>
          <w:p>
            <w:pPr>
              <w:autoSpaceDE w:val="0"/>
              <w:autoSpaceDN w:val="0"/>
              <w:adjustRightInd w:val="0"/>
              <w:spacing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55</w:t>
            </w:r>
            <w:r>
              <w:rPr>
                <w:rFonts w:hint="eastAsia" w:ascii="宋体" w:hAnsi="宋体" w:eastAsia="宋体" w:cs="宋体"/>
                <w:color w:val="000000"/>
                <w:kern w:val="0"/>
                <w:sz w:val="21"/>
                <w:szCs w:val="21"/>
                <w:highlight w:val="none"/>
              </w:rPr>
              <w:t>分</w:t>
            </w:r>
          </w:p>
        </w:tc>
        <w:tc>
          <w:tcPr>
            <w:tcW w:w="71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投资控制措施</w:t>
            </w:r>
          </w:p>
          <w:p>
            <w:pPr>
              <w:adjustRightInd w:val="0"/>
              <w:snapToGri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sz w:val="21"/>
                <w:szCs w:val="21"/>
                <w:highlight w:val="none"/>
              </w:rPr>
              <w:t>要求目标明确、方法合理可行、措施具体、针对性强。方案为优得</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分；良得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分；一般得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分。差或无措施不得分。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1"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进度控制措施</w:t>
            </w:r>
          </w:p>
          <w:p>
            <w:pPr>
              <w:adjustRightInd w:val="0"/>
              <w:snapToGri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要求目标明确、方法合理可行、措施具体、针对性强。方案为优得</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分；良得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分；一般得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分。差或无措施不得分。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1"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质量控制措施</w:t>
            </w:r>
          </w:p>
          <w:p>
            <w:pPr>
              <w:adjustRightInd w:val="0"/>
              <w:snapToGri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要求目标明确、方法合理可行、措施具体、针对性强。方案为优得</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分；良得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分；一般得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分。差或无措施不得分。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1"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合同管理、信息管理</w:t>
            </w:r>
          </w:p>
          <w:p>
            <w:pPr>
              <w:adjustRightInd w:val="0"/>
              <w:snapToGri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合同管理、信息管理方法针对性强、措施具体得</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分；基本可行得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分；措施不得力得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分。差或无措施不得分。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1"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安全、文明施工管理</w:t>
            </w:r>
          </w:p>
          <w:p>
            <w:pPr>
              <w:adjustRightInd w:val="0"/>
              <w:snapToGrid w:val="0"/>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管理措施优得</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分；良得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分；一般得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分；差或无措施不得分。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1"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组织协调方案</w:t>
            </w:r>
          </w:p>
          <w:p>
            <w:pPr>
              <w:adjustRightInd w:val="0"/>
              <w:snapToGrid w:val="0"/>
              <w:spacing w:line="360" w:lineRule="auto"/>
              <w:jc w:val="center"/>
              <w:rPr>
                <w:rFonts w:hint="eastAsia" w:ascii="宋体" w:hAnsi="宋体" w:eastAsia="宋体" w:cs="宋体"/>
                <w:color w:val="000000"/>
                <w:kern w:val="0"/>
                <w:position w:val="-2"/>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协调方法清晰合理，有具体措施。优得</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分；良得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分；一般得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分。差或无措施不得分。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1"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hint="eastAsia"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lang w:val="en-US"/>
              </w:rPr>
              <w:t>监理工程程序</w:t>
            </w:r>
          </w:p>
          <w:p>
            <w:pPr>
              <w:adjustRightInd w:val="0"/>
              <w:snapToGrid w:val="0"/>
              <w:spacing w:line="360" w:lineRule="auto"/>
              <w:jc w:val="center"/>
              <w:rPr>
                <w:rFonts w:hint="eastAsia" w:ascii="宋体" w:hAnsi="宋体" w:eastAsia="宋体" w:cs="宋体"/>
                <w:color w:val="000000"/>
                <w:kern w:val="0"/>
                <w:position w:val="-2"/>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lang w:val="en-US"/>
              </w:rPr>
              <w:t>分</w:t>
            </w:r>
            <w:r>
              <w:rPr>
                <w:rFonts w:hint="eastAsia" w:ascii="宋体" w:hAnsi="宋体" w:eastAsia="宋体" w:cs="宋体"/>
                <w:color w:val="000000"/>
                <w:sz w:val="21"/>
                <w:szCs w:val="21"/>
                <w:highlight w:val="none"/>
              </w:rPr>
              <w:t>）</w:t>
            </w: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有清晰的工作流程图，工作准则，优得</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分；良得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分；一般得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分；差或无措施不得分。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692" w:hRule="atLeast"/>
        </w:trPr>
        <w:tc>
          <w:tcPr>
            <w:tcW w:w="48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61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 w:val="21"/>
                <w:szCs w:val="21"/>
                <w:highlight w:val="none"/>
              </w:rPr>
            </w:pPr>
          </w:p>
        </w:tc>
        <w:tc>
          <w:tcPr>
            <w:tcW w:w="710" w:type="pct"/>
            <w:tcBorders>
              <w:top w:val="single" w:color="auto" w:sz="4" w:space="0"/>
              <w:left w:val="single" w:color="auto" w:sz="4" w:space="0"/>
              <w:right w:val="single" w:color="auto" w:sz="4" w:space="0"/>
            </w:tcBorders>
            <w:noWrap w:val="0"/>
            <w:vAlign w:val="center"/>
          </w:tcPr>
          <w:p>
            <w:pPr>
              <w:spacing w:line="360" w:lineRule="auto"/>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监理重点难点监控措施</w:t>
            </w:r>
          </w:p>
          <w:p>
            <w:pPr>
              <w:adjustRightInd w:val="0"/>
              <w:snapToGrid w:val="0"/>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lang w:val="en-US"/>
              </w:rPr>
              <w:t>分</w:t>
            </w:r>
            <w:r>
              <w:rPr>
                <w:rFonts w:hint="eastAsia" w:ascii="宋体" w:hAnsi="宋体" w:eastAsia="宋体" w:cs="宋体"/>
                <w:color w:val="000000"/>
                <w:sz w:val="21"/>
                <w:szCs w:val="21"/>
                <w:highlight w:val="none"/>
              </w:rPr>
              <w:t>）</w:t>
            </w:r>
          </w:p>
          <w:p>
            <w:pPr>
              <w:adjustRightInd w:val="0"/>
              <w:snapToGrid w:val="0"/>
              <w:spacing w:line="360" w:lineRule="auto"/>
              <w:jc w:val="center"/>
              <w:rPr>
                <w:rFonts w:hint="eastAsia" w:ascii="宋体" w:hAnsi="宋体" w:eastAsia="宋体" w:cs="宋体"/>
                <w:color w:val="000000"/>
                <w:kern w:val="0"/>
                <w:position w:val="-2"/>
                <w:sz w:val="21"/>
                <w:szCs w:val="21"/>
                <w:highlight w:val="none"/>
              </w:rPr>
            </w:pPr>
          </w:p>
        </w:tc>
        <w:tc>
          <w:tcPr>
            <w:tcW w:w="3194" w:type="pct"/>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要求针对性强、措施具体、可操作。优得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分；良得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分；一般得</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分；差或无措施不得分。</w:t>
            </w:r>
          </w:p>
          <w:p>
            <w:pPr>
              <w:snapToGrid w:val="0"/>
              <w:spacing w:line="360" w:lineRule="auto"/>
              <w:rPr>
                <w:rFonts w:hint="eastAsia" w:ascii="宋体" w:hAnsi="宋体" w:eastAsia="宋体" w:cs="宋体"/>
                <w:color w:val="000000"/>
                <w:sz w:val="21"/>
                <w:szCs w:val="21"/>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129" w:hRule="atLeast"/>
        </w:trPr>
        <w:tc>
          <w:tcPr>
            <w:tcW w:w="484" w:type="pct"/>
            <w:gridSpan w:val="2"/>
            <w:tcBorders>
              <w:top w:val="single" w:color="auto" w:sz="4" w:space="0"/>
              <w:left w:val="single" w:color="auto" w:sz="4" w:space="0"/>
              <w:bottom w:val="single" w:color="000000" w:sz="4" w:space="0"/>
              <w:right w:val="single" w:color="auto" w:sz="4" w:space="0"/>
            </w:tcBorders>
            <w:noWrap w:val="0"/>
            <w:vAlign w:val="center"/>
          </w:tcPr>
          <w:p>
            <w:pPr>
              <w:autoSpaceDE w:val="0"/>
              <w:autoSpaceDN w:val="0"/>
              <w:adjustRightInd w:val="0"/>
              <w:spacing w:before="3"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2.2.4（3）</w:t>
            </w:r>
          </w:p>
        </w:tc>
        <w:tc>
          <w:tcPr>
            <w:tcW w:w="610" w:type="pct"/>
            <w:tcBorders>
              <w:top w:val="single" w:color="auto" w:sz="4" w:space="0"/>
              <w:left w:val="single" w:color="auto" w:sz="4" w:space="0"/>
              <w:bottom w:val="single" w:color="000000" w:sz="4" w:space="0"/>
              <w:right w:val="single" w:color="auto" w:sz="4" w:space="0"/>
            </w:tcBorders>
            <w:noWrap w:val="0"/>
            <w:vAlign w:val="center"/>
          </w:tcPr>
          <w:p>
            <w:pPr>
              <w:autoSpaceDE w:val="0"/>
              <w:autoSpaceDN w:val="0"/>
              <w:adjustRightInd w:val="0"/>
              <w:spacing w:before="3" w:line="360" w:lineRule="auto"/>
              <w:ind w:left="13" w:right="59" w:hanging="12" w:hangingChars="6"/>
              <w:jc w:val="both"/>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投标报价评分标准</w:t>
            </w:r>
          </w:p>
          <w:p>
            <w:pPr>
              <w:autoSpaceDE w:val="0"/>
              <w:autoSpaceDN w:val="0"/>
              <w:adjustRightInd w:val="0"/>
              <w:spacing w:before="3" w:line="360" w:lineRule="auto"/>
              <w:ind w:left="136" w:right="59"/>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2</w:t>
            </w:r>
            <w:r>
              <w:rPr>
                <w:rFonts w:hint="eastAsia" w:ascii="宋体" w:hAnsi="宋体" w:eastAsia="宋体" w:cs="宋体"/>
                <w:color w:val="000000"/>
                <w:kern w:val="0"/>
                <w:sz w:val="21"/>
                <w:szCs w:val="21"/>
                <w:highlight w:val="none"/>
              </w:rPr>
              <w:t>0分</w:t>
            </w:r>
          </w:p>
        </w:tc>
        <w:tc>
          <w:tcPr>
            <w:tcW w:w="710" w:type="pct"/>
            <w:tcBorders>
              <w:top w:val="single" w:color="auto" w:sz="4" w:space="0"/>
              <w:left w:val="single" w:color="auto" w:sz="4" w:space="0"/>
              <w:bottom w:val="single" w:color="000000" w:sz="4" w:space="0"/>
              <w:right w:val="single" w:color="auto" w:sz="4" w:space="0"/>
            </w:tcBorders>
            <w:noWrap w:val="0"/>
            <w:vAlign w:val="center"/>
          </w:tcPr>
          <w:p>
            <w:pPr>
              <w:autoSpaceDE w:val="0"/>
              <w:autoSpaceDN w:val="0"/>
              <w:adjustRightInd w:val="0"/>
              <w:spacing w:before="61" w:line="360" w:lineRule="auto"/>
              <w:ind w:right="-110"/>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spacing w:val="-2"/>
                <w:kern w:val="0"/>
                <w:position w:val="-2"/>
                <w:sz w:val="21"/>
                <w:szCs w:val="21"/>
                <w:highlight w:val="none"/>
              </w:rPr>
              <w:t>投标报价得分</w:t>
            </w:r>
          </w:p>
        </w:tc>
        <w:tc>
          <w:tcPr>
            <w:tcW w:w="3194" w:type="pct"/>
            <w:gridSpan w:val="2"/>
            <w:tcBorders>
              <w:top w:val="single" w:color="auto" w:sz="4" w:space="0"/>
              <w:left w:val="single" w:color="auto" w:sz="4" w:space="0"/>
              <w:bottom w:val="single" w:color="000000" w:sz="4" w:space="0"/>
              <w:right w:val="single" w:color="auto" w:sz="4" w:space="0"/>
            </w:tcBorders>
            <w:noWrap w:val="0"/>
            <w:vAlign w:val="center"/>
          </w:tcPr>
          <w:p>
            <w:pPr>
              <w:autoSpaceDE w:val="0"/>
              <w:autoSpaceDN w:val="0"/>
              <w:adjustRightInd w:val="0"/>
              <w:spacing w:line="360" w:lineRule="auto"/>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rPr>
              <w:t>投标报价得分以评标参考价作为计算各有效投标报价得分的基础，当有效投标报价等于评标参考价时得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0分；投标有效投价与评标参考价相比，每上偏扣1%扣0.5分、下偏1%扣0.3分，中间分值采用插值计算，保留小数点后两位，小数点后第三位采用四舍五入方式计算，最多扣</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0分。</w:t>
            </w:r>
          </w:p>
        </w:tc>
      </w:tr>
      <w:bookmarkEnd w:id="0"/>
      <w:bookmarkEnd w:id="1"/>
    </w:tbl>
    <w:p>
      <w:pPr>
        <w:pStyle w:val="2"/>
        <w:snapToGrid w:val="0"/>
        <w:spacing w:line="360" w:lineRule="auto"/>
        <w:ind w:firstLine="501" w:firstLineChars="228"/>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说明：</w:t>
      </w:r>
    </w:p>
    <w:p>
      <w:pPr>
        <w:pStyle w:val="2"/>
        <w:numPr>
          <w:ilvl w:val="0"/>
          <w:numId w:val="1"/>
        </w:numPr>
        <w:snapToGrid w:val="0"/>
        <w:spacing w:line="360" w:lineRule="auto"/>
        <w:ind w:firstLine="501" w:firstLineChars="228"/>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类似工程：是指市政公用工程监理服务，需同时提供中标通知书或免招标的相关证明、施工监理合同、竣工验收报告或竣工验收证明，业绩时间以竣工验收报告或竣工验收证明出具时间为准。</w:t>
      </w:r>
    </w:p>
    <w:p>
      <w:pPr>
        <w:pStyle w:val="2"/>
        <w:numPr>
          <w:ilvl w:val="0"/>
          <w:numId w:val="1"/>
        </w:numPr>
        <w:snapToGrid w:val="0"/>
        <w:spacing w:line="360" w:lineRule="auto"/>
        <w:ind w:firstLine="501" w:firstLineChars="228"/>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获奖业绩：①以投标单位的获奖证书为准。②获奖时间以获奖证书发证日期为准。③对同一工程项目按最高奖项计取，不重复计算。国家级奖项是指中国土木工程詹天佑奖、中国建设工程鲁班奖、国家优质工程（金质奖）、国家优质工程奖、全国市政金杯示范工程等；省级或市级奖项是指由建设行政主管部门或行业协会颁发（行业协会须在民政部门备案）。需提供获奖证书原件扫描件，时间以证书发证日期为准。</w:t>
      </w:r>
    </w:p>
    <w:p>
      <w:pPr>
        <w:pStyle w:val="2"/>
        <w:numPr>
          <w:ilvl w:val="0"/>
          <w:numId w:val="0"/>
        </w:numPr>
        <w:snapToGrid w:val="0"/>
        <w:spacing w:line="360" w:lineRule="auto"/>
        <w:ind w:firstLine="440" w:firstLineChars="200"/>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3）拟投入的所有人员需按要求提供各评分细项相关的证书，注册类的还需提供注册证书，证书须注册在投标人单位。原注册造价工程师自动划分为一级注册造价工程师，详见住房和城乡建设部关于修改《工程造价咨询企业管理办法》《注册造价工程师管理办法》的决定（中华人民共和国住房和城乡建设部令第50号）。注册造价工程师需同时提供“http://zaojiasys.jianshe99.com造价师注册信息查询”查询网页信息截图打印件，注册单位需是投标人单位，且状态为“正常”。提供社保缴费证明（以提供的2024年  月社保证明为准）、职称证或其它注册证等相关证明资料。</w:t>
      </w:r>
    </w:p>
    <w:p>
      <w:pPr>
        <w:pStyle w:val="2"/>
        <w:numPr>
          <w:ilvl w:val="0"/>
          <w:numId w:val="0"/>
        </w:numPr>
        <w:snapToGrid w:val="0"/>
        <w:spacing w:line="360" w:lineRule="auto"/>
        <w:ind w:firstLine="440" w:firstLineChars="200"/>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（4）管理体系认证证书以“国家市场监督管理总局全国认证认可信息公共服务平台”（ http://cx.cnca.cn/CertECloud/）查询结果为准，投标人须提供在上述官网的查询结果网页截图（不符合条件的不计分）。</w:t>
      </w:r>
    </w:p>
    <w:p>
      <w:pPr>
        <w:pStyle w:val="2"/>
        <w:snapToGrid w:val="0"/>
        <w:spacing w:line="360" w:lineRule="auto"/>
        <w:ind w:firstLine="501" w:firstLineChars="228"/>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5）以上所附证书证明文件均须提供原件扫描件，投标人提供的网页截图（含网页打印件）或原件扫描件或复印件必须加盖投标人公章且内容必须清晰可辨，如因网页截图或原件扫描件内容模糊导致评标时无法判断的，后果由投标人自负。上述资料不提供或提供不完整或提供不符合要求的不得分。</w:t>
      </w:r>
    </w:p>
    <w:p>
      <w:pPr>
        <w:pStyle w:val="2"/>
        <w:spacing w:line="360" w:lineRule="auto"/>
        <w:ind w:firstLine="440" w:firstLineChars="200"/>
        <w:rPr>
          <w:rFonts w:hint="default"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（6）投标人的得分为各评委评分的算术平均分。评分分数出现小数点时，保留小数点后二位，第三位小数四舍五入。</w:t>
      </w:r>
    </w:p>
    <w:p>
      <w:pPr>
        <w:spacing w:line="360" w:lineRule="auto"/>
        <w:ind w:firstLine="440" w:firstLineChars="200"/>
        <w:jc w:val="left"/>
        <w:rPr>
          <w:rFonts w:hint="eastAsia" w:ascii="宋体" w:hAnsi="宋体" w:eastAsia="Calibri" w:cs="宋体"/>
          <w:kern w:val="0"/>
          <w:sz w:val="22"/>
          <w:szCs w:val="21"/>
          <w:highlight w:val="none"/>
          <w:lang w:val="en-US" w:eastAsia="zh-CN"/>
        </w:rPr>
      </w:pPr>
    </w:p>
    <w:p>
      <w:pPr>
        <w:spacing w:line="360" w:lineRule="auto"/>
        <w:ind w:firstLine="440" w:firstLineChars="200"/>
        <w:jc w:val="left"/>
        <w:rPr>
          <w:rFonts w:hint="eastAsia" w:ascii="宋体" w:hAnsi="宋体" w:eastAsia="Calibri" w:cs="宋体"/>
          <w:kern w:val="0"/>
          <w:sz w:val="22"/>
          <w:szCs w:val="21"/>
          <w:highlight w:val="none"/>
          <w:lang w:val="en-US" w:eastAsia="zh-CN"/>
        </w:r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b/>
          <w:sz w:val="22"/>
          <w:szCs w:val="22"/>
          <w:highlight w:val="none"/>
          <w:lang w:val="en-US" w:eastAsia="zh-CN"/>
        </w:rPr>
        <w:t>三</w:t>
      </w:r>
      <w:r>
        <w:rPr>
          <w:rFonts w:hint="eastAsia" w:ascii="宋体" w:hAnsi="宋体" w:cs="宋体"/>
          <w:b w:val="0"/>
          <w:bCs/>
          <w:sz w:val="22"/>
          <w:szCs w:val="22"/>
          <w:highlight w:val="none"/>
          <w:lang w:val="en-US" w:eastAsia="zh-CN"/>
        </w:rPr>
        <w:t>、</w:t>
      </w:r>
      <w:r>
        <w:rPr>
          <w:rFonts w:hint="eastAsia" w:ascii="宋体" w:hAnsi="宋体" w:cs="宋体"/>
          <w:kern w:val="0"/>
          <w:sz w:val="22"/>
          <w:szCs w:val="22"/>
          <w:highlight w:val="none"/>
        </w:rPr>
        <w:t>投标人编制须按以上修改内容为准，调整后的</w:t>
      </w:r>
      <w:r>
        <w:rPr>
          <w:rFonts w:hint="eastAsia" w:ascii="宋体" w:hAnsi="宋体" w:cs="宋体"/>
          <w:kern w:val="0"/>
          <w:sz w:val="22"/>
          <w:szCs w:val="22"/>
          <w:highlight w:val="none"/>
          <w:lang w:val="en-US" w:eastAsia="zh-CN"/>
        </w:rPr>
        <w:t>招标公告、</w:t>
      </w:r>
      <w:r>
        <w:rPr>
          <w:rFonts w:hint="eastAsia" w:ascii="宋体" w:hAnsi="宋体" w:cs="宋体"/>
          <w:kern w:val="0"/>
          <w:sz w:val="22"/>
          <w:szCs w:val="22"/>
          <w:highlight w:val="none"/>
        </w:rPr>
        <w:t>招标文件</w:t>
      </w:r>
      <w:r>
        <w:rPr>
          <w:rFonts w:hint="eastAsia" w:ascii="宋体" w:hAnsi="宋体" w:cs="宋体"/>
          <w:kern w:val="0"/>
          <w:sz w:val="22"/>
          <w:szCs w:val="22"/>
          <w:highlight w:val="none"/>
          <w:lang w:val="en-US" w:eastAsia="zh-CN"/>
        </w:rPr>
        <w:t>、</w:t>
      </w:r>
      <w:r>
        <w:rPr>
          <w:rFonts w:hint="eastAsia" w:ascii="宋体" w:hAnsi="宋体" w:cs="宋体"/>
          <w:kern w:val="0"/>
          <w:sz w:val="22"/>
          <w:szCs w:val="22"/>
          <w:highlight w:val="none"/>
        </w:rPr>
        <w:t>电子招标文件（GZZB）详见本补充公告附件。</w:t>
      </w: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kern w:val="0"/>
          <w:sz w:val="22"/>
          <w:szCs w:val="22"/>
          <w:highlight w:val="none"/>
          <w:lang w:val="en-US" w:eastAsia="zh-CN"/>
        </w:rPr>
        <w:t>四</w:t>
      </w:r>
      <w:r>
        <w:rPr>
          <w:rFonts w:hint="eastAsia" w:ascii="宋体" w:hAnsi="宋体" w:cs="宋体"/>
          <w:kern w:val="0"/>
          <w:sz w:val="22"/>
          <w:szCs w:val="22"/>
          <w:highlight w:val="none"/>
        </w:rPr>
        <w:t>、本项目具体招标投标日程及场地安排请各投标人密切留意广州公共资源交易中心公布的本项目日程安排，投标人可登录广州公共资源交易中心网站首页，输入项目编号或项目名称查询最新信息。</w:t>
      </w: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cs="宋体"/>
          <w:kern w:val="0"/>
          <w:sz w:val="22"/>
          <w:szCs w:val="22"/>
          <w:highlight w:val="none"/>
        </w:rPr>
      </w:pPr>
      <w:r>
        <w:rPr>
          <w:rFonts w:hint="eastAsia" w:ascii="宋体" w:hAnsi="宋体" w:cs="宋体"/>
          <w:kern w:val="0"/>
          <w:sz w:val="22"/>
          <w:szCs w:val="22"/>
          <w:highlight w:val="none"/>
          <w:lang w:val="en-US" w:eastAsia="zh-CN"/>
        </w:rPr>
        <w:t>五</w:t>
      </w:r>
      <w:r>
        <w:rPr>
          <w:rFonts w:hint="eastAsia" w:ascii="宋体" w:hAnsi="宋体" w:cs="宋体"/>
          <w:kern w:val="0"/>
          <w:sz w:val="22"/>
          <w:szCs w:val="22"/>
          <w:highlight w:val="none"/>
        </w:rPr>
        <w:t>、本补充公告对于原招标公告、招标文件及其他函件内相同（或相同性质）的内容一并修改或补充。补充公告与原招标公告、招标文件不一致的以本补充公告为准。</w:t>
      </w: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eastAsia="宋体" w:cs="宋体"/>
          <w:kern w:val="0"/>
          <w:sz w:val="22"/>
          <w:szCs w:val="22"/>
          <w:highlight w:val="none"/>
        </w:rPr>
      </w:pPr>
    </w:p>
    <w:p>
      <w:pPr>
        <w:keepNext w:val="0"/>
        <w:keepLines w:val="0"/>
        <w:pageBreakBefore w:val="0"/>
        <w:widowControl/>
        <w:shd w:val="clear" w:color="auto" w:fill="FFFFFF"/>
        <w:kinsoku/>
        <w:wordWrap/>
        <w:overflowPunct/>
        <w:topLinePunct w:val="0"/>
        <w:autoSpaceDE/>
        <w:autoSpaceDN/>
        <w:bidi w:val="0"/>
        <w:spacing w:line="360" w:lineRule="auto"/>
        <w:ind w:firstLine="560"/>
        <w:jc w:val="left"/>
        <w:textAlignment w:val="auto"/>
        <w:rPr>
          <w:rFonts w:hint="eastAsia" w:ascii="宋体" w:hAnsi="宋体" w:eastAsia="宋体" w:cs="宋体"/>
          <w:sz w:val="22"/>
          <w:szCs w:val="22"/>
          <w:highlight w:val="none"/>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sz w:val="22"/>
          <w:szCs w:val="22"/>
          <w:highlight w:val="none"/>
          <w:u w:val="none"/>
        </w:rPr>
      </w:pPr>
      <w:r>
        <w:rPr>
          <w:rFonts w:hint="eastAsia" w:ascii="宋体" w:hAnsi="宋体" w:eastAsia="宋体" w:cs="宋体"/>
          <w:sz w:val="22"/>
          <w:szCs w:val="22"/>
          <w:highlight w:val="none"/>
          <w:u w:val="none"/>
        </w:rPr>
        <w:t xml:space="preserve">                                  招标单位：广州市花都区城市管理和综合执法局</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highlight w:val="none"/>
          <w:u w:val="none"/>
        </w:rPr>
      </w:pPr>
      <w:r>
        <w:rPr>
          <w:rFonts w:hint="eastAsia" w:ascii="宋体" w:hAnsi="宋体" w:eastAsia="宋体" w:cs="宋体"/>
          <w:sz w:val="22"/>
          <w:szCs w:val="22"/>
          <w:highlight w:val="none"/>
          <w:u w:val="none"/>
        </w:rPr>
        <w:t xml:space="preserve">                              招标代理机构：广州群生招标代理有限公司</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2"/>
          <w:szCs w:val="22"/>
          <w:highlight w:val="none"/>
          <w:u w:val="none"/>
        </w:rPr>
      </w:pPr>
      <w:r>
        <w:rPr>
          <w:rFonts w:hint="eastAsia" w:ascii="宋体" w:hAnsi="宋体" w:eastAsia="宋体" w:cs="宋体"/>
          <w:sz w:val="22"/>
          <w:szCs w:val="22"/>
          <w:highlight w:val="none"/>
          <w:u w:val="none"/>
        </w:rPr>
        <w:t xml:space="preserve">                                        日    期：2024年</w:t>
      </w:r>
      <w:r>
        <w:rPr>
          <w:rFonts w:hint="eastAsia" w:ascii="宋体" w:hAnsi="宋体" w:cs="宋体"/>
          <w:sz w:val="22"/>
          <w:szCs w:val="22"/>
          <w:highlight w:val="none"/>
          <w:u w:val="none"/>
          <w:lang w:val="en-US" w:eastAsia="zh-CN"/>
        </w:rPr>
        <w:t>6</w:t>
      </w:r>
      <w:r>
        <w:rPr>
          <w:rFonts w:hint="eastAsia" w:ascii="宋体" w:hAnsi="宋体" w:eastAsia="宋体" w:cs="宋体"/>
          <w:sz w:val="22"/>
          <w:szCs w:val="22"/>
          <w:highlight w:val="none"/>
          <w:u w:val="none"/>
        </w:rPr>
        <w:t>月</w:t>
      </w:r>
      <w:r>
        <w:rPr>
          <w:rFonts w:hint="eastAsia" w:ascii="宋体" w:hAnsi="宋体" w:cs="宋体"/>
          <w:sz w:val="22"/>
          <w:szCs w:val="22"/>
          <w:highlight w:val="none"/>
          <w:u w:val="none"/>
          <w:lang w:val="en-US" w:eastAsia="zh-CN"/>
        </w:rPr>
        <w:t>24</w:t>
      </w:r>
      <w:r>
        <w:rPr>
          <w:rFonts w:hint="eastAsia" w:ascii="宋体" w:hAnsi="宋体" w:eastAsia="宋体" w:cs="宋体"/>
          <w:sz w:val="22"/>
          <w:szCs w:val="22"/>
          <w:highlight w:val="none"/>
          <w:u w:val="none"/>
        </w:rPr>
        <w:t>日</w:t>
      </w:r>
    </w:p>
    <w:p>
      <w:pPr>
        <w:spacing w:line="360" w:lineRule="auto"/>
        <w:rPr>
          <w:highlight w:val="none"/>
        </w:rPr>
      </w:pPr>
    </w:p>
    <w:bookmarkEnd w:id="13"/>
    <w:sectPr>
      <w:footerReference r:id="rId3" w:type="default"/>
      <w:pgSz w:w="11906" w:h="16838"/>
      <w:pgMar w:top="1134" w:right="1134" w:bottom="1134" w:left="1134" w:header="851" w:footer="62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6</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1BC62"/>
    <w:multiLevelType w:val="singleLevel"/>
    <w:tmpl w:val="2581BC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MjY5NGE3YjRjMDliNTM5MmVhNGRhMzFmNTg5YjcifQ=="/>
  </w:docVars>
  <w:rsids>
    <w:rsidRoot w:val="54027A88"/>
    <w:rsid w:val="018E0B94"/>
    <w:rsid w:val="06A82A25"/>
    <w:rsid w:val="075E723B"/>
    <w:rsid w:val="0BF671B6"/>
    <w:rsid w:val="11E2741C"/>
    <w:rsid w:val="3EEE4878"/>
    <w:rsid w:val="41673F2E"/>
    <w:rsid w:val="53703C78"/>
    <w:rsid w:val="54027A88"/>
    <w:rsid w:val="66CE7718"/>
    <w:rsid w:val="6FD5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paragraph" w:styleId="3">
    <w:name w:val="heading 2"/>
    <w:basedOn w:val="1"/>
    <w:next w:val="1"/>
    <w:qFormat/>
    <w:uiPriority w:val="0"/>
    <w:pPr>
      <w:keepNext/>
      <w:keepLines/>
      <w:spacing w:after="172" w:line="265" w:lineRule="auto"/>
      <w:ind w:left="10" w:right="116" w:hanging="10"/>
      <w:outlineLvl w:val="1"/>
    </w:pPr>
    <w:rPr>
      <w:rFonts w:ascii="黑体" w:hAnsi="黑体" w:eastAsia="黑体"/>
      <w:kern w:val="0"/>
      <w:szCs w:val="20"/>
    </w:rPr>
  </w:style>
  <w:style w:type="paragraph" w:styleId="4">
    <w:name w:val="heading 3"/>
    <w:basedOn w:val="1"/>
    <w:next w:val="1"/>
    <w:qFormat/>
    <w:uiPriority w:val="0"/>
    <w:pPr>
      <w:keepNext/>
      <w:keepLines/>
      <w:spacing w:after="172" w:line="265" w:lineRule="auto"/>
      <w:ind w:left="10" w:right="116" w:hanging="10"/>
      <w:outlineLvl w:val="2"/>
    </w:pPr>
    <w:rPr>
      <w:rFonts w:ascii="黑体" w:hAnsi="黑体" w:eastAsia="黑体"/>
      <w:kern w:val="0"/>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5">
    <w:name w:val="annotation text"/>
    <w:qFormat/>
    <w:uiPriority w:val="0"/>
    <w:pPr>
      <w:widowControl w:val="0"/>
    </w:pPr>
    <w:rPr>
      <w:rFonts w:ascii="Times New Roman" w:hAnsi="Times New Roman" w:eastAsia="宋体" w:cs="Times New Roman"/>
      <w:kern w:val="2"/>
      <w:sz w:val="21"/>
      <w:szCs w:val="24"/>
      <w:lang w:val="en-US" w:eastAsia="zh-CN" w:bidi="ar-SA"/>
    </w:rPr>
  </w:style>
  <w:style w:type="paragraph" w:styleId="6">
    <w:name w:val="Body Text Indent"/>
    <w:basedOn w:val="1"/>
    <w:next w:val="7"/>
    <w:qFormat/>
    <w:uiPriority w:val="0"/>
    <w:pPr>
      <w:spacing w:after="120"/>
      <w:ind w:left="420" w:leftChars="200"/>
    </w:pPr>
    <w:rPr>
      <w:rFonts w:cs="Times New Roman"/>
    </w:rPr>
  </w:style>
  <w:style w:type="paragraph" w:styleId="7">
    <w:name w:val="envelope return"/>
    <w:basedOn w:val="1"/>
    <w:qFormat/>
    <w:uiPriority w:val="99"/>
    <w:pPr>
      <w:snapToGrid w:val="0"/>
    </w:pPr>
    <w:rPr>
      <w:rFonts w:ascii="Arial" w:hAnsi="Arial" w:cs="Arial"/>
    </w:rPr>
  </w:style>
  <w:style w:type="paragraph" w:styleId="8">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9">
    <w:name w:val="Body Text First Indent 2"/>
    <w:basedOn w:val="6"/>
    <w:unhideWhenUsed/>
    <w:qFormat/>
    <w:uiPriority w:val="99"/>
    <w:pPr>
      <w:widowControl w:val="0"/>
      <w:adjustRightInd/>
      <w:snapToGrid/>
      <w:ind w:firstLine="420" w:firstLineChars="200"/>
      <w:jc w:val="both"/>
    </w:pPr>
    <w:rPr>
      <w:rFonts w:ascii="Calibri" w:hAnsi="Calibri" w:eastAsia="宋体"/>
      <w:kern w:val="2"/>
      <w:sz w:val="21"/>
      <w:szCs w:val="24"/>
    </w:rPr>
  </w:style>
  <w:style w:type="paragraph" w:customStyle="1" w:styleId="12">
    <w:name w:val="reader-word-layer reader-word-s9-33"/>
    <w:next w:val="13"/>
    <w:qFormat/>
    <w:uiPriority w:val="0"/>
    <w:pPr>
      <w:spacing w:before="280" w:after="280"/>
      <w:ind w:firstLine="5632"/>
      <w:jc w:val="both"/>
    </w:pPr>
    <w:rPr>
      <w:rFonts w:ascii="Times New Roman" w:hAnsi="Times New Roman" w:eastAsia="宋体" w:cs="Times New Roman"/>
      <w:kern w:val="2"/>
      <w:sz w:val="21"/>
      <w:szCs w:val="24"/>
      <w:lang w:val="en-US" w:eastAsia="zh-CN" w:bidi="ar-SA"/>
    </w:rPr>
  </w:style>
  <w:style w:type="paragraph" w:customStyle="1" w:styleId="13">
    <w:name w:val="Char Char Char Char Char Char1 Char"/>
    <w:next w:val="1"/>
    <w:qFormat/>
    <w:uiPriority w:val="0"/>
    <w:pPr>
      <w:spacing w:after="160" w:line="240" w:lineRule="exact"/>
    </w:pPr>
    <w:rPr>
      <w:rFonts w:ascii="Verdana" w:hAnsi="Verdana" w:eastAsia="宋体" w:cs="Times New Roman"/>
      <w:sz w:val="24"/>
      <w:lang w:val="en-US" w:eastAsia="en-US" w:bidi="ar-SA"/>
    </w:rPr>
  </w:style>
  <w:style w:type="paragraph" w:customStyle="1" w:styleId="14">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3481</Words>
  <Characters>3702</Characters>
  <Lines>0</Lines>
  <Paragraphs>0</Paragraphs>
  <TotalTime>1</TotalTime>
  <ScaleCrop>false</ScaleCrop>
  <LinksUpToDate>false</LinksUpToDate>
  <CharactersWithSpaces>3841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2024-06-21T01:46:00Z</dcterms:created>
  <dc:creator>大钊</dc:creator>
  <cp:lastModifiedBy>D</cp:lastModifiedBy>
  <dcterms:modified xsi:type="dcterms:W3CDTF">2024-06-24T02:20:09Z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BFA70C12DF9E46FB91FF61EA679A3574_13</vt:lpwstr>
  </property>
</Properties>
</file>