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120" w:firstLineChars="200"/>
        <w:jc w:val="left"/>
        <w:rPr>
          <w:rFonts w:eastAsia="黑体"/>
          <w:sz w:val="56"/>
          <w:szCs w:val="56"/>
        </w:rPr>
      </w:pPr>
    </w:p>
    <w:p>
      <w:pPr>
        <w:spacing w:line="360" w:lineRule="auto"/>
        <w:ind w:firstLine="1120" w:firstLineChars="200"/>
        <w:jc w:val="left"/>
        <w:rPr>
          <w:rFonts w:eastAsia="黑体"/>
          <w:sz w:val="56"/>
          <w:szCs w:val="56"/>
        </w:rPr>
      </w:pPr>
    </w:p>
    <w:p>
      <w:pPr>
        <w:widowControl/>
        <w:adjustRightInd w:val="0"/>
        <w:snapToGrid w:val="0"/>
        <w:spacing w:after="200"/>
        <w:ind w:left="-26" w:leftChars="-67" w:right="-162" w:rightChars="-77" w:hanging="115" w:hangingChars="16"/>
        <w:jc w:val="center"/>
        <w:rPr>
          <w:rFonts w:ascii="宋体" w:hAnsi="宋体" w:eastAsia="微软雅黑" w:cstheme="minorBidi"/>
          <w:b/>
          <w:kern w:val="0"/>
          <w:sz w:val="72"/>
          <w:szCs w:val="72"/>
        </w:rPr>
      </w:pPr>
      <w:r>
        <w:rPr>
          <w:rFonts w:hint="eastAsia" w:ascii="宋体" w:hAnsi="宋体" w:eastAsia="微软雅黑" w:cstheme="minorBidi"/>
          <w:b/>
          <w:kern w:val="0"/>
          <w:sz w:val="72"/>
          <w:szCs w:val="72"/>
        </w:rPr>
        <w:t>万环西路快速化改造（下横沥南岸至南中高速段）工程</w:t>
      </w:r>
    </w:p>
    <w:p>
      <w:pPr>
        <w:widowControl/>
        <w:adjustRightInd w:val="0"/>
        <w:snapToGrid w:val="0"/>
        <w:spacing w:after="200"/>
        <w:jc w:val="center"/>
        <w:rPr>
          <w:rFonts w:ascii="宋体" w:hAnsi="宋体" w:eastAsia="微软雅黑" w:cstheme="minorBidi"/>
          <w:b/>
          <w:kern w:val="0"/>
          <w:sz w:val="84"/>
          <w:szCs w:val="84"/>
        </w:rPr>
      </w:pPr>
      <w:r>
        <w:rPr>
          <w:rFonts w:hint="eastAsia" w:ascii="宋体" w:hAnsi="宋体" w:eastAsia="微软雅黑" w:cstheme="minorBidi"/>
          <w:b/>
          <w:kern w:val="0"/>
          <w:sz w:val="84"/>
          <w:szCs w:val="84"/>
        </w:rPr>
        <w:t>勘察及设计任务书</w:t>
      </w:r>
    </w:p>
    <w:p>
      <w:pPr>
        <w:spacing w:line="360" w:lineRule="auto"/>
        <w:jc w:val="left"/>
        <w:rPr>
          <w:rFonts w:ascii="黑体" w:hAnsi="黑体" w:eastAsia="黑体"/>
          <w:b/>
          <w:bCs/>
          <w:sz w:val="52"/>
          <w:szCs w:val="52"/>
        </w:rPr>
      </w:pPr>
    </w:p>
    <w:p>
      <w:pPr>
        <w:pStyle w:val="4"/>
        <w:spacing w:before="240" w:after="240"/>
      </w:pPr>
    </w:p>
    <w:p>
      <w:pPr>
        <w:pStyle w:val="7"/>
      </w:pPr>
    </w:p>
    <w:p>
      <w:pPr>
        <w:pStyle w:val="7"/>
      </w:pPr>
    </w:p>
    <w:p>
      <w:pPr>
        <w:pStyle w:val="7"/>
      </w:pPr>
    </w:p>
    <w:p>
      <w:pPr>
        <w:pStyle w:val="7"/>
      </w:pPr>
    </w:p>
    <w:p>
      <w:pPr>
        <w:pStyle w:val="7"/>
      </w:pPr>
    </w:p>
    <w:p>
      <w:pPr>
        <w:pStyle w:val="7"/>
      </w:pPr>
    </w:p>
    <w:p>
      <w:pPr>
        <w:spacing w:line="360" w:lineRule="auto"/>
        <w:jc w:val="center"/>
        <w:rPr>
          <w:rFonts w:ascii="仿宋_GB2312" w:hAnsi="仿宋_GB2312" w:eastAsia="仿宋_GB2312" w:cs="仿宋_GB2312"/>
          <w:b/>
          <w:sz w:val="44"/>
          <w:szCs w:val="44"/>
        </w:rPr>
      </w:pPr>
    </w:p>
    <w:p>
      <w:pPr>
        <w:spacing w:line="360" w:lineRule="auto"/>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202</w:t>
      </w:r>
      <w:r>
        <w:rPr>
          <w:rFonts w:ascii="仿宋_GB2312" w:hAnsi="仿宋_GB2312" w:eastAsia="仿宋_GB2312" w:cs="仿宋_GB2312"/>
          <w:b/>
          <w:sz w:val="44"/>
          <w:szCs w:val="44"/>
        </w:rPr>
        <w:t>2</w:t>
      </w:r>
      <w:r>
        <w:rPr>
          <w:rFonts w:hint="eastAsia" w:ascii="仿宋_GB2312" w:hAnsi="仿宋_GB2312" w:eastAsia="仿宋_GB2312" w:cs="仿宋_GB2312"/>
          <w:b/>
          <w:sz w:val="44"/>
          <w:szCs w:val="44"/>
        </w:rPr>
        <w:t>年</w:t>
      </w:r>
      <w:r>
        <w:rPr>
          <w:rFonts w:ascii="仿宋_GB2312" w:hAnsi="仿宋_GB2312" w:eastAsia="仿宋_GB2312" w:cs="仿宋_GB2312"/>
          <w:b/>
          <w:sz w:val="44"/>
          <w:szCs w:val="44"/>
        </w:rPr>
        <w:t>3</w:t>
      </w:r>
      <w:r>
        <w:rPr>
          <w:rFonts w:hint="eastAsia" w:ascii="仿宋_GB2312" w:hAnsi="仿宋_GB2312" w:eastAsia="仿宋_GB2312" w:cs="仿宋_GB2312"/>
          <w:b/>
          <w:sz w:val="44"/>
          <w:szCs w:val="44"/>
        </w:rPr>
        <w:t>月</w:t>
      </w:r>
    </w:p>
    <w:p>
      <w:pPr>
        <w:pStyle w:val="4"/>
        <w:spacing w:before="240" w:after="240"/>
      </w:pPr>
      <w:r>
        <w:br w:type="page"/>
      </w:r>
    </w:p>
    <w:p>
      <w:pPr>
        <w:pStyle w:val="34"/>
        <w:spacing w:line="360" w:lineRule="auto"/>
        <w:jc w:val="center"/>
        <w:rPr>
          <w:rFonts w:ascii="黑体" w:hAnsi="黑体" w:eastAsia="黑体"/>
          <w:b/>
          <w:bCs/>
          <w:color w:val="auto"/>
          <w:sz w:val="44"/>
          <w:szCs w:val="44"/>
          <w:lang w:val="zh-CN"/>
        </w:rPr>
      </w:pPr>
    </w:p>
    <w:p>
      <w:pPr>
        <w:pStyle w:val="34"/>
        <w:spacing w:line="360" w:lineRule="auto"/>
        <w:jc w:val="center"/>
        <w:rPr>
          <w:rFonts w:ascii="黑体" w:hAnsi="黑体" w:eastAsia="黑体"/>
          <w:b/>
          <w:bCs/>
          <w:color w:val="auto"/>
          <w:sz w:val="44"/>
          <w:szCs w:val="44"/>
          <w:lang w:val="zh-CN"/>
        </w:rPr>
      </w:pPr>
      <w:r>
        <w:rPr>
          <w:rFonts w:ascii="黑体" w:hAnsi="黑体" w:eastAsia="黑体"/>
          <w:b/>
          <w:bCs/>
          <w:color w:val="auto"/>
          <w:sz w:val="44"/>
          <w:szCs w:val="44"/>
          <w:lang w:val="zh-CN"/>
        </w:rPr>
        <w:t>目</w:t>
      </w:r>
      <w:r>
        <w:rPr>
          <w:rFonts w:hint="eastAsia" w:ascii="黑体" w:hAnsi="黑体" w:eastAsia="黑体"/>
          <w:b/>
          <w:bCs/>
          <w:color w:val="auto"/>
          <w:sz w:val="44"/>
          <w:szCs w:val="44"/>
        </w:rPr>
        <w:t xml:space="preserve"> </w:t>
      </w:r>
      <w:r>
        <w:rPr>
          <w:rFonts w:ascii="黑体" w:hAnsi="黑体" w:eastAsia="黑体"/>
          <w:b/>
          <w:bCs/>
          <w:color w:val="auto"/>
          <w:sz w:val="44"/>
          <w:szCs w:val="44"/>
          <w:lang w:val="zh-CN"/>
        </w:rPr>
        <w:t>录</w:t>
      </w:r>
    </w:p>
    <w:p>
      <w:pPr>
        <w:rPr>
          <w:rFonts w:ascii="黑体" w:hAnsi="黑体" w:eastAsia="黑体"/>
          <w:b/>
          <w:bCs/>
          <w:sz w:val="44"/>
          <w:szCs w:val="44"/>
          <w:lang w:val="zh-CN"/>
        </w:rPr>
      </w:pPr>
    </w:p>
    <w:p>
      <w:pPr>
        <w:pStyle w:val="2"/>
        <w:rPr>
          <w:lang w:val="zh-CN"/>
        </w:rPr>
      </w:pPr>
    </w:p>
    <w:p>
      <w:pPr>
        <w:pStyle w:val="14"/>
        <w:tabs>
          <w:tab w:val="right" w:leader="dot" w:pos="9183"/>
        </w:tabs>
        <w:spacing w:line="360" w:lineRule="auto"/>
        <w:rPr>
          <w:rFonts w:asciiTheme="minorEastAsia" w:hAnsiTheme="minorEastAsia" w:eastAsiaTheme="minorEastAsia" w:cstheme="minorBidi"/>
          <w:b w:val="0"/>
          <w:sz w:val="30"/>
          <w:szCs w:val="30"/>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TOC \o "1-2" \h \z \u </w:instrText>
      </w:r>
      <w:r>
        <w:rPr>
          <w:rFonts w:hint="eastAsia" w:ascii="仿宋_GB2312" w:hAnsi="仿宋_GB2312" w:eastAsia="仿宋_GB2312" w:cs="仿宋_GB2312"/>
          <w:sz w:val="30"/>
          <w:szCs w:val="30"/>
        </w:rPr>
        <w:fldChar w:fldCharType="separate"/>
      </w:r>
      <w:r>
        <w:fldChar w:fldCharType="begin"/>
      </w:r>
      <w:r>
        <w:instrText xml:space="preserve"> HYPERLINK \l "_Toc89420042" </w:instrText>
      </w:r>
      <w:r>
        <w:fldChar w:fldCharType="separate"/>
      </w:r>
      <w:r>
        <w:rPr>
          <w:rStyle w:val="23"/>
          <w:rFonts w:cs="宋体" w:asciiTheme="minorEastAsia" w:hAnsiTheme="minorEastAsia" w:eastAsiaTheme="minorEastAsia"/>
          <w:color w:val="auto"/>
          <w:kern w:val="0"/>
          <w:sz w:val="30"/>
          <w:szCs w:val="30"/>
        </w:rPr>
        <w:t>第一章 工程概况</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_Toc89420042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3</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4"/>
        <w:tabs>
          <w:tab w:val="right" w:leader="dot" w:pos="9183"/>
        </w:tabs>
        <w:spacing w:line="360" w:lineRule="auto"/>
        <w:rPr>
          <w:rFonts w:asciiTheme="minorEastAsia" w:hAnsiTheme="minorEastAsia" w:eastAsiaTheme="minorEastAsia" w:cstheme="minorBidi"/>
          <w:b w:val="0"/>
          <w:sz w:val="30"/>
          <w:szCs w:val="30"/>
        </w:rPr>
      </w:pPr>
      <w:r>
        <w:fldChar w:fldCharType="begin"/>
      </w:r>
      <w:r>
        <w:instrText xml:space="preserve"> HYPERLINK \l "_Toc89420043" </w:instrText>
      </w:r>
      <w:r>
        <w:fldChar w:fldCharType="separate"/>
      </w:r>
      <w:r>
        <w:rPr>
          <w:rStyle w:val="23"/>
          <w:rFonts w:cs="宋体" w:asciiTheme="minorEastAsia" w:hAnsiTheme="minorEastAsia" w:eastAsiaTheme="minorEastAsia"/>
          <w:color w:val="auto"/>
          <w:kern w:val="0"/>
          <w:sz w:val="30"/>
          <w:szCs w:val="30"/>
        </w:rPr>
        <w:t>第二章 工程建设规模</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_Toc89420043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7</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4"/>
        <w:tabs>
          <w:tab w:val="right" w:leader="dot" w:pos="9183"/>
        </w:tabs>
        <w:spacing w:line="360" w:lineRule="auto"/>
        <w:rPr>
          <w:rFonts w:asciiTheme="minorEastAsia" w:hAnsiTheme="minorEastAsia" w:eastAsiaTheme="minorEastAsia" w:cstheme="minorBidi"/>
          <w:b w:val="0"/>
          <w:sz w:val="30"/>
          <w:szCs w:val="30"/>
        </w:rPr>
      </w:pPr>
      <w:r>
        <w:fldChar w:fldCharType="begin"/>
      </w:r>
      <w:r>
        <w:instrText xml:space="preserve"> HYPERLINK \l "_Toc89420044" </w:instrText>
      </w:r>
      <w:r>
        <w:fldChar w:fldCharType="separate"/>
      </w:r>
      <w:r>
        <w:rPr>
          <w:rStyle w:val="23"/>
          <w:rFonts w:cs="宋体" w:asciiTheme="minorEastAsia" w:hAnsiTheme="minorEastAsia" w:eastAsiaTheme="minorEastAsia"/>
          <w:color w:val="auto"/>
          <w:kern w:val="0"/>
          <w:sz w:val="30"/>
          <w:szCs w:val="30"/>
        </w:rPr>
        <w:t>第三章 建设条件及标准</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_Toc89420044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8</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6"/>
        <w:tabs>
          <w:tab w:val="right" w:leader="dot" w:pos="9183"/>
        </w:tabs>
        <w:spacing w:line="360" w:lineRule="auto"/>
        <w:rPr>
          <w:rFonts w:asciiTheme="minorEastAsia" w:hAnsiTheme="minorEastAsia" w:eastAsiaTheme="minorEastAsia" w:cstheme="minorBidi"/>
          <w:sz w:val="30"/>
          <w:szCs w:val="30"/>
        </w:rPr>
      </w:pPr>
      <w:r>
        <w:fldChar w:fldCharType="begin"/>
      </w:r>
      <w:r>
        <w:instrText xml:space="preserve"> HYPERLINK \l "_Toc89420045" </w:instrText>
      </w:r>
      <w:r>
        <w:fldChar w:fldCharType="separate"/>
      </w:r>
      <w:r>
        <w:rPr>
          <w:rStyle w:val="23"/>
          <w:rFonts w:asciiTheme="minorEastAsia" w:hAnsiTheme="minorEastAsia" w:eastAsiaTheme="minorEastAsia"/>
          <w:color w:val="auto"/>
          <w:sz w:val="30"/>
          <w:szCs w:val="30"/>
        </w:rPr>
        <w:t>一、工程场地现状</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_Toc89420045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8</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6"/>
        <w:tabs>
          <w:tab w:val="right" w:leader="dot" w:pos="9183"/>
        </w:tabs>
        <w:spacing w:line="360" w:lineRule="auto"/>
        <w:rPr>
          <w:rFonts w:asciiTheme="minorEastAsia" w:hAnsiTheme="minorEastAsia" w:eastAsiaTheme="minorEastAsia" w:cstheme="minorBidi"/>
          <w:sz w:val="30"/>
          <w:szCs w:val="30"/>
        </w:rPr>
      </w:pPr>
      <w:r>
        <w:fldChar w:fldCharType="begin"/>
      </w:r>
      <w:r>
        <w:instrText xml:space="preserve"> HYPERLINK \l "_Toc89420046" </w:instrText>
      </w:r>
      <w:r>
        <w:fldChar w:fldCharType="separate"/>
      </w:r>
      <w:r>
        <w:rPr>
          <w:rStyle w:val="23"/>
          <w:rFonts w:asciiTheme="minorEastAsia" w:hAnsiTheme="minorEastAsia" w:eastAsiaTheme="minorEastAsia"/>
          <w:color w:val="auto"/>
          <w:sz w:val="30"/>
          <w:szCs w:val="30"/>
        </w:rPr>
        <w:t>二、自然地理条件</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_Toc89420046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11</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6"/>
        <w:tabs>
          <w:tab w:val="right" w:leader="dot" w:pos="9183"/>
        </w:tabs>
        <w:spacing w:line="360" w:lineRule="auto"/>
        <w:rPr>
          <w:rFonts w:asciiTheme="minorEastAsia" w:hAnsiTheme="minorEastAsia" w:eastAsiaTheme="minorEastAsia" w:cstheme="minorBidi"/>
          <w:sz w:val="30"/>
          <w:szCs w:val="30"/>
        </w:rPr>
      </w:pPr>
      <w:r>
        <w:fldChar w:fldCharType="begin"/>
      </w:r>
      <w:r>
        <w:instrText xml:space="preserve"> HYPERLINK \l "_Toc89420047" </w:instrText>
      </w:r>
      <w:r>
        <w:fldChar w:fldCharType="separate"/>
      </w:r>
      <w:r>
        <w:rPr>
          <w:rStyle w:val="23"/>
          <w:rFonts w:asciiTheme="minorEastAsia" w:hAnsiTheme="minorEastAsia" w:eastAsiaTheme="minorEastAsia"/>
          <w:color w:val="auto"/>
          <w:sz w:val="30"/>
          <w:szCs w:val="30"/>
        </w:rPr>
        <w:t>三、地质条件</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_Toc89420047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11</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6"/>
        <w:tabs>
          <w:tab w:val="right" w:leader="dot" w:pos="9183"/>
        </w:tabs>
        <w:spacing w:line="360" w:lineRule="auto"/>
        <w:rPr>
          <w:rFonts w:asciiTheme="minorEastAsia" w:hAnsiTheme="minorEastAsia" w:eastAsiaTheme="minorEastAsia" w:cstheme="minorBidi"/>
          <w:sz w:val="30"/>
          <w:szCs w:val="30"/>
        </w:rPr>
      </w:pPr>
      <w:r>
        <w:fldChar w:fldCharType="begin"/>
      </w:r>
      <w:r>
        <w:instrText xml:space="preserve"> HYPERLINK \l "_Toc89420048" </w:instrText>
      </w:r>
      <w:r>
        <w:fldChar w:fldCharType="separate"/>
      </w:r>
      <w:r>
        <w:rPr>
          <w:rStyle w:val="23"/>
          <w:rFonts w:asciiTheme="minorEastAsia" w:hAnsiTheme="minorEastAsia" w:eastAsiaTheme="minorEastAsia"/>
          <w:color w:val="auto"/>
          <w:sz w:val="30"/>
          <w:szCs w:val="30"/>
        </w:rPr>
        <w:t>四、设计依据</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_Toc89420048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12</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6"/>
        <w:tabs>
          <w:tab w:val="right" w:leader="dot" w:pos="9183"/>
        </w:tabs>
        <w:spacing w:line="360" w:lineRule="auto"/>
        <w:rPr>
          <w:rFonts w:asciiTheme="minorEastAsia" w:hAnsiTheme="minorEastAsia" w:eastAsiaTheme="minorEastAsia" w:cstheme="minorBidi"/>
          <w:sz w:val="30"/>
          <w:szCs w:val="30"/>
        </w:rPr>
      </w:pPr>
      <w:r>
        <w:fldChar w:fldCharType="begin"/>
      </w:r>
      <w:r>
        <w:instrText xml:space="preserve"> HYPERLINK \l "_Toc89420049" </w:instrText>
      </w:r>
      <w:r>
        <w:fldChar w:fldCharType="separate"/>
      </w:r>
      <w:r>
        <w:rPr>
          <w:rStyle w:val="23"/>
          <w:rFonts w:asciiTheme="minorEastAsia" w:hAnsiTheme="minorEastAsia" w:eastAsiaTheme="minorEastAsia"/>
          <w:color w:val="auto"/>
          <w:sz w:val="30"/>
          <w:szCs w:val="30"/>
        </w:rPr>
        <w:t>五、工程建设技术标准</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_Toc89420049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12</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6"/>
        <w:tabs>
          <w:tab w:val="right" w:leader="dot" w:pos="9183"/>
        </w:tabs>
        <w:spacing w:line="360" w:lineRule="auto"/>
        <w:rPr>
          <w:rFonts w:asciiTheme="minorEastAsia" w:hAnsiTheme="minorEastAsia" w:eastAsiaTheme="minorEastAsia" w:cstheme="minorBidi"/>
          <w:sz w:val="30"/>
          <w:szCs w:val="30"/>
        </w:rPr>
      </w:pPr>
      <w:r>
        <w:fldChar w:fldCharType="begin"/>
      </w:r>
      <w:r>
        <w:instrText xml:space="preserve"> HYPERLINK \l "_Toc89420050" </w:instrText>
      </w:r>
      <w:r>
        <w:fldChar w:fldCharType="separate"/>
      </w:r>
      <w:r>
        <w:rPr>
          <w:rStyle w:val="23"/>
          <w:rFonts w:asciiTheme="minorEastAsia" w:hAnsiTheme="minorEastAsia" w:eastAsiaTheme="minorEastAsia"/>
          <w:color w:val="auto"/>
          <w:sz w:val="30"/>
          <w:szCs w:val="30"/>
        </w:rPr>
        <w:t>一、总体原则</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_Toc89420050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15</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6"/>
        <w:tabs>
          <w:tab w:val="right" w:leader="dot" w:pos="9183"/>
        </w:tabs>
        <w:spacing w:line="360" w:lineRule="auto"/>
        <w:rPr>
          <w:rFonts w:asciiTheme="minorEastAsia" w:hAnsiTheme="minorEastAsia" w:eastAsiaTheme="minorEastAsia" w:cstheme="minorBidi"/>
          <w:sz w:val="30"/>
          <w:szCs w:val="30"/>
        </w:rPr>
      </w:pPr>
      <w:r>
        <w:fldChar w:fldCharType="begin"/>
      </w:r>
      <w:r>
        <w:instrText xml:space="preserve"> HYPERLINK \l "_Toc89420051" </w:instrText>
      </w:r>
      <w:r>
        <w:fldChar w:fldCharType="separate"/>
      </w:r>
      <w:r>
        <w:rPr>
          <w:rStyle w:val="23"/>
          <w:rFonts w:asciiTheme="minorEastAsia" w:hAnsiTheme="minorEastAsia" w:eastAsiaTheme="minorEastAsia"/>
          <w:color w:val="auto"/>
          <w:sz w:val="30"/>
          <w:szCs w:val="30"/>
        </w:rPr>
        <w:t>二、总体要求</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_Toc89420051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17</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4"/>
        <w:tabs>
          <w:tab w:val="right" w:leader="dot" w:pos="9183"/>
        </w:tabs>
        <w:spacing w:line="360" w:lineRule="auto"/>
        <w:rPr>
          <w:rFonts w:asciiTheme="minorEastAsia" w:hAnsiTheme="minorEastAsia" w:eastAsiaTheme="minorEastAsia" w:cstheme="minorBidi"/>
          <w:b w:val="0"/>
          <w:sz w:val="30"/>
          <w:szCs w:val="30"/>
        </w:rPr>
      </w:pPr>
      <w:r>
        <w:fldChar w:fldCharType="begin"/>
      </w:r>
      <w:r>
        <w:instrText xml:space="preserve"> HYPERLINK \l "_Toc89420052" </w:instrText>
      </w:r>
      <w:r>
        <w:fldChar w:fldCharType="separate"/>
      </w:r>
      <w:r>
        <w:rPr>
          <w:rStyle w:val="23"/>
          <w:rFonts w:cs="宋体" w:asciiTheme="minorEastAsia" w:hAnsiTheme="minorEastAsia" w:eastAsiaTheme="minorEastAsia"/>
          <w:color w:val="auto"/>
          <w:kern w:val="0"/>
          <w:sz w:val="30"/>
          <w:szCs w:val="30"/>
        </w:rPr>
        <w:t>第五章 勘察设计内容及工作任务</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_Toc89420052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20</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6"/>
        <w:tabs>
          <w:tab w:val="right" w:leader="dot" w:pos="9183"/>
        </w:tabs>
        <w:spacing w:line="360" w:lineRule="auto"/>
        <w:rPr>
          <w:rFonts w:asciiTheme="minorEastAsia" w:hAnsiTheme="minorEastAsia" w:eastAsiaTheme="minorEastAsia" w:cstheme="minorBidi"/>
          <w:sz w:val="30"/>
          <w:szCs w:val="30"/>
        </w:rPr>
      </w:pPr>
      <w:r>
        <w:fldChar w:fldCharType="begin"/>
      </w:r>
      <w:r>
        <w:instrText xml:space="preserve"> HYPERLINK \l "_Toc89420053" </w:instrText>
      </w:r>
      <w:r>
        <w:fldChar w:fldCharType="separate"/>
      </w:r>
      <w:r>
        <w:rPr>
          <w:rStyle w:val="23"/>
          <w:rFonts w:asciiTheme="minorEastAsia" w:hAnsiTheme="minorEastAsia" w:eastAsiaTheme="minorEastAsia"/>
          <w:color w:val="auto"/>
          <w:sz w:val="30"/>
          <w:szCs w:val="30"/>
        </w:rPr>
        <w:t>一、勘察设计内容</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_Toc89420053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20</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6"/>
        <w:tabs>
          <w:tab w:val="right" w:leader="dot" w:pos="9183"/>
        </w:tabs>
        <w:spacing w:line="360" w:lineRule="auto"/>
        <w:rPr>
          <w:rFonts w:asciiTheme="minorHAnsi" w:hAnsiTheme="minorHAnsi" w:eastAsiaTheme="minorEastAsia" w:cstheme="minorBidi"/>
          <w:sz w:val="30"/>
          <w:szCs w:val="30"/>
        </w:rPr>
      </w:pPr>
      <w:r>
        <w:fldChar w:fldCharType="begin"/>
      </w:r>
      <w:r>
        <w:instrText xml:space="preserve"> HYPERLINK \l "_Toc89420054" </w:instrText>
      </w:r>
      <w:r>
        <w:fldChar w:fldCharType="separate"/>
      </w:r>
      <w:r>
        <w:rPr>
          <w:rStyle w:val="23"/>
          <w:rFonts w:asciiTheme="minorEastAsia" w:hAnsiTheme="minorEastAsia" w:eastAsiaTheme="minorEastAsia"/>
          <w:color w:val="auto"/>
          <w:sz w:val="30"/>
          <w:szCs w:val="30"/>
        </w:rPr>
        <w:t>二、工作任务</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_Toc89420054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22</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18"/>
        <w:spacing w:line="36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fldChar w:fldCharType="end"/>
      </w:r>
    </w:p>
    <w:p>
      <w:pPr>
        <w:pStyle w:val="4"/>
        <w:spacing w:before="240" w:after="240"/>
      </w:pPr>
      <w:r>
        <w:br w:type="page"/>
      </w:r>
    </w:p>
    <w:p>
      <w:pPr>
        <w:pStyle w:val="18"/>
        <w:rPr>
          <w:rFonts w:ascii="方正小标宋简体" w:hAnsi="黑体" w:eastAsia="方正小标宋简体" w:cs="宋体"/>
          <w:b w:val="0"/>
          <w:bCs w:val="0"/>
          <w:kern w:val="0"/>
          <w:sz w:val="44"/>
          <w:szCs w:val="44"/>
        </w:rPr>
      </w:pPr>
      <w:bookmarkStart w:id="0" w:name="_Toc89420042"/>
      <w:r>
        <w:rPr>
          <w:rFonts w:hint="eastAsia" w:ascii="方正小标宋简体" w:hAnsi="黑体" w:eastAsia="方正小标宋简体" w:cs="宋体"/>
          <w:b w:val="0"/>
          <w:bCs w:val="0"/>
          <w:kern w:val="0"/>
          <w:sz w:val="44"/>
          <w:szCs w:val="44"/>
        </w:rPr>
        <w:t>第一章 工程概况</w:t>
      </w:r>
      <w:bookmarkEnd w:id="0"/>
    </w:p>
    <w:p>
      <w:pPr>
        <w:widowControl/>
        <w:adjustRightInd w:val="0"/>
        <w:snapToGrid w:val="0"/>
        <w:spacing w:line="560" w:lineRule="exact"/>
        <w:ind w:firstLine="640" w:firstLineChars="200"/>
        <w:rPr>
          <w:rFonts w:ascii="仿宋_GB2312" w:eastAsia="仿宋_GB2312"/>
          <w:kern w:val="0"/>
          <w:sz w:val="32"/>
          <w:szCs w:val="32"/>
        </w:rPr>
      </w:pPr>
      <w:r>
        <w:rPr>
          <w:rFonts w:hint="eastAsia" w:ascii="仿宋_GB2312" w:eastAsia="仿宋_GB2312"/>
          <w:kern w:val="0"/>
          <w:sz w:val="32"/>
          <w:szCs w:val="32"/>
        </w:rPr>
        <w:t>万环西路位于大湾区核心区南沙区南部，广州最南端，向南接南中高速、深中通道及南沙港区，向北连通东新高速、南沙港快速，往广州市中心区方向，路线大致呈南北向，东侧为南沙港快速，西侧毗邻洪奇沥水道。规划为城市主干路，规划红线宽度60m，设计时速60km/h，推荐方案以一般路段采用路基、重要节点设置分离式立交方案（</w:t>
      </w:r>
      <w:r>
        <w:rPr>
          <w:rFonts w:hint="eastAsia" w:ascii="仿宋_GB2312" w:eastAsia="仿宋_GB2312"/>
          <w:kern w:val="0"/>
          <w:sz w:val="32"/>
          <w:szCs w:val="32"/>
          <w:lang w:val="en-US" w:eastAsia="zh-CN"/>
        </w:rPr>
        <w:t>最终以可研批复方案为准</w:t>
      </w:r>
      <w:r>
        <w:rPr>
          <w:rFonts w:hint="eastAsia" w:ascii="仿宋_GB2312" w:eastAsia="仿宋_GB2312"/>
          <w:kern w:val="0"/>
          <w:sz w:val="32"/>
          <w:szCs w:val="32"/>
        </w:rPr>
        <w:t>），采用主线双六车道、辅道双六车道，改造后以服务过境及道路沿线货运车辆为重要功能的快捷通道。</w:t>
      </w:r>
    </w:p>
    <w:p>
      <w:pPr>
        <w:widowControl/>
        <w:adjustRightInd w:val="0"/>
        <w:snapToGrid w:val="0"/>
        <w:spacing w:line="560" w:lineRule="exact"/>
        <w:ind w:firstLine="640" w:firstLineChars="200"/>
        <w:rPr>
          <w:rFonts w:hint="eastAsia" w:ascii="仿宋_GB2312" w:eastAsia="仿宋_GB2312"/>
          <w:kern w:val="0"/>
          <w:sz w:val="32"/>
          <w:szCs w:val="32"/>
          <w:lang w:eastAsia="zh-CN"/>
        </w:rPr>
      </w:pPr>
      <w:r>
        <w:rPr>
          <w:rFonts w:hint="eastAsia" w:ascii="仿宋_GB2312" w:eastAsia="仿宋_GB2312"/>
          <w:kern w:val="0"/>
          <w:sz w:val="32"/>
          <w:szCs w:val="32"/>
        </w:rPr>
        <w:t>拟改造的万环西路南段，起于下横沥南岸（桩号K6+200，暂定），止于南中高速，桩号K6+2</w:t>
      </w:r>
      <w:r>
        <w:rPr>
          <w:rFonts w:ascii="仿宋_GB2312" w:eastAsia="仿宋_GB2312"/>
          <w:kern w:val="0"/>
          <w:sz w:val="32"/>
          <w:szCs w:val="32"/>
        </w:rPr>
        <w:t>0</w:t>
      </w:r>
      <w:r>
        <w:rPr>
          <w:rFonts w:hint="eastAsia" w:ascii="仿宋_GB2312" w:eastAsia="仿宋_GB2312"/>
          <w:kern w:val="0"/>
          <w:sz w:val="32"/>
          <w:szCs w:val="32"/>
        </w:rPr>
        <w:t>0~K20+471.02，里程长度14.3km</w:t>
      </w:r>
      <w:r>
        <w:rPr>
          <w:rFonts w:hint="eastAsia" w:ascii="仿宋_GB2312" w:eastAsia="仿宋_GB2312"/>
          <w:kern w:val="0"/>
          <w:sz w:val="32"/>
          <w:szCs w:val="32"/>
          <w:lang w:eastAsia="zh-CN"/>
        </w:rPr>
        <w:t>。（</w:t>
      </w:r>
      <w:r>
        <w:rPr>
          <w:rFonts w:hint="eastAsia" w:ascii="仿宋_GB2312" w:eastAsia="仿宋_GB2312"/>
          <w:kern w:val="0"/>
          <w:sz w:val="32"/>
          <w:szCs w:val="32"/>
          <w:lang w:val="en-US" w:eastAsia="zh-CN"/>
        </w:rPr>
        <w:t>最终以可研批复实施范围为准</w:t>
      </w:r>
      <w:r>
        <w:rPr>
          <w:rFonts w:hint="eastAsia" w:ascii="仿宋_GB2312" w:eastAsia="仿宋_GB2312"/>
          <w:kern w:val="0"/>
          <w:sz w:val="32"/>
          <w:szCs w:val="32"/>
          <w:lang w:eastAsia="zh-CN"/>
        </w:rPr>
        <w:t>）</w:t>
      </w:r>
    </w:p>
    <w:p>
      <w:pPr>
        <w:widowControl/>
        <w:adjustRightInd w:val="0"/>
        <w:snapToGrid w:val="0"/>
        <w:spacing w:line="560" w:lineRule="exact"/>
        <w:ind w:firstLine="640" w:firstLineChars="200"/>
        <w:rPr>
          <w:rFonts w:ascii="仿宋_GB2312" w:eastAsia="仿宋_GB2312"/>
          <w:kern w:val="0"/>
          <w:sz w:val="32"/>
          <w:szCs w:val="32"/>
        </w:rPr>
      </w:pPr>
      <w:r>
        <w:rPr>
          <w:rFonts w:hint="eastAsia" w:ascii="仿宋_GB2312" w:eastAsia="仿宋_GB2312"/>
          <w:kern w:val="0"/>
          <w:sz w:val="32"/>
          <w:szCs w:val="32"/>
        </w:rPr>
        <w:t>万环西路本次拟改造的南段沿线主要服务重要产业园区、物流、仓储基地及其它工业用地为主，途经多个行政村，与南中高速、深中通道万顷沙支线、南沙港快速等现状或拟建高快速路连接。主要交叉道路中高快速路有</w:t>
      </w:r>
      <w:r>
        <w:rPr>
          <w:rFonts w:ascii="仿宋_GB2312" w:eastAsia="仿宋_GB2312"/>
          <w:kern w:val="0"/>
          <w:sz w:val="32"/>
          <w:szCs w:val="32"/>
        </w:rPr>
        <w:t>1</w:t>
      </w:r>
      <w:r>
        <w:rPr>
          <w:rFonts w:hint="eastAsia" w:ascii="仿宋_GB2312" w:eastAsia="仿宋_GB2312"/>
          <w:kern w:val="0"/>
          <w:sz w:val="32"/>
          <w:szCs w:val="32"/>
        </w:rPr>
        <w:t>条、主干路</w:t>
      </w:r>
      <w:r>
        <w:rPr>
          <w:rFonts w:ascii="仿宋_GB2312" w:eastAsia="仿宋_GB2312"/>
          <w:kern w:val="0"/>
          <w:sz w:val="32"/>
          <w:szCs w:val="32"/>
        </w:rPr>
        <w:t>6</w:t>
      </w:r>
      <w:r>
        <w:rPr>
          <w:rFonts w:hint="eastAsia" w:ascii="仿宋_GB2312" w:eastAsia="仿宋_GB2312"/>
          <w:kern w:val="0"/>
          <w:sz w:val="32"/>
          <w:szCs w:val="32"/>
        </w:rPr>
        <w:t>条，其余为支路，交叉道路中信号灯控1</w:t>
      </w:r>
      <w:r>
        <w:rPr>
          <w:rFonts w:ascii="仿宋_GB2312" w:eastAsia="仿宋_GB2312"/>
          <w:kern w:val="0"/>
          <w:sz w:val="32"/>
          <w:szCs w:val="32"/>
        </w:rPr>
        <w:t>2</w:t>
      </w:r>
      <w:r>
        <w:rPr>
          <w:rFonts w:hint="eastAsia" w:ascii="仿宋_GB2312" w:eastAsia="仿宋_GB2312"/>
          <w:kern w:val="0"/>
          <w:sz w:val="32"/>
          <w:szCs w:val="32"/>
        </w:rPr>
        <w:t>处（其中</w:t>
      </w:r>
      <w:r>
        <w:rPr>
          <w:rFonts w:ascii="仿宋_GB2312" w:eastAsia="仿宋_GB2312"/>
          <w:kern w:val="0"/>
          <w:sz w:val="32"/>
          <w:szCs w:val="32"/>
        </w:rPr>
        <w:t>5</w:t>
      </w:r>
      <w:r>
        <w:rPr>
          <w:rFonts w:hint="eastAsia" w:ascii="仿宋_GB2312" w:eastAsia="仿宋_GB2312"/>
          <w:kern w:val="0"/>
          <w:sz w:val="32"/>
          <w:szCs w:val="32"/>
        </w:rPr>
        <w:t>处为人行过街灯控），相交次干路、支路39条无信号灯控制。</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09" w:type="dxa"/>
          </w:tcPr>
          <w:p>
            <w:pPr>
              <w:jc w:val="center"/>
              <w:rPr>
                <w:rFonts w:ascii="黑体" w:hAnsi="黑体" w:eastAsia="黑体"/>
                <w:sz w:val="24"/>
                <w:szCs w:val="24"/>
              </w:rPr>
            </w:pPr>
            <w:r>
              <w:rPr>
                <w:rFonts w:ascii="黑体" w:hAnsi="黑体" w:eastAsia="黑体"/>
                <w:sz w:val="24"/>
                <w:szCs w:val="24"/>
              </w:rPr>
              <w:drawing>
                <wp:inline distT="0" distB="0" distL="0" distR="0">
                  <wp:extent cx="5822950" cy="445960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822950" cy="4459605"/>
                          </a:xfrm>
                          <a:prstGeom prst="rect">
                            <a:avLst/>
                          </a:prstGeom>
                          <a:noFill/>
                          <a:ln>
                            <a:noFill/>
                          </a:ln>
                        </pic:spPr>
                      </pic:pic>
                    </a:graphicData>
                  </a:graphic>
                </wp:inline>
              </w:drawing>
            </w:r>
          </w:p>
        </w:tc>
      </w:tr>
    </w:tbl>
    <w:p>
      <w:pPr>
        <w:jc w:val="center"/>
        <w:rPr>
          <w:rFonts w:ascii="黑体" w:hAnsi="黑体" w:eastAsia="黑体"/>
          <w:sz w:val="24"/>
          <w:szCs w:val="24"/>
        </w:rPr>
      </w:pPr>
      <w:r>
        <w:rPr>
          <w:rFonts w:ascii="黑体" w:hAnsi="黑体" w:eastAsia="黑体"/>
          <w:sz w:val="24"/>
          <w:szCs w:val="24"/>
        </w:rPr>
        <w:t>图1-1：本项目</w:t>
      </w:r>
      <w:r>
        <w:rPr>
          <w:rFonts w:hint="eastAsia" w:ascii="黑体" w:hAnsi="黑体" w:eastAsia="黑体"/>
          <w:sz w:val="24"/>
          <w:szCs w:val="24"/>
        </w:rPr>
        <w:t>地理位置图</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1、是广州市总体发展战略—“南拓”的要求</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广州城市总体发展战略规划为“南拓、北优、东进、西联”，确定以区域共同发展与生态优先为前提，采取跨越式发展模式，调整城市空间结构，促使城市结构由单中心向多中心转换，将全市划分为5个片区，即都会区、南沙片区、花都片区、增城片区和从化片区。都会区的主要发展方向为南部、东部，空间发展的基本取向为：南拓、北优、东进、西联。在城市生态构筑方面将建构多层次、多功能、立体化、复合型网络式生态结构体系，形成“山水中的城市，城市中的山水”的山水城一体化城乡生态安全格局。把广州建设成为一个高效、繁荣和文明的国际性区域中心城市，一个适宜创业发展又适宜生活居住的山水型生态城市，南沙是广州“南拓”战略的主要方向和节点，本项目作为南沙港区南北向的重要货运通道，其建设将进一步完善南沙区的路网结构配置，对于提升南沙区对外的交通运输能力和服务水平有着极其重要的意义，该项目的实施为广州南拓的战略实施提供强有力的帮助。</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2、是实施南沙区“十四五”规划的需要</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十四五”期间，南沙计划构建“一核两带三芯多极点”的科技创新空间格局，形成南沙科学城“一核”引领，北部先进制造业和战略性新兴产业带、南部海洋经济和未来产业带“两带”区域协同，冷泉生态系统研究装置、智能化动态宽域高超声速风洞、极端海洋动态过程多尺度自主观测科考设施“三芯”点轴联动，南沙资讯科技园、粤港深度合作园南沙枢纽片区、蕉门河中央商务区、南沙湾创新合作区等“多极点”战略支撑的多层次发展格局。</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本项目的实施将强力支撑南部海洋经济和未来产业带区的协同建设，落实了南沙区的十四五规划的要求，提高了南沙区城市基础设施建设水平，完善了城市布局和城市配套功能，是实现南沙区“十四五”规划的需要。</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3、万环西路提升改造并衔接深中通道有利于南沙区融入未来粤港澳大湾区的发展，打通咽喉部位的交通瓶颈</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 xml:space="preserve">万环西路与深中通道连接，提升改造后能拉近南沙中心区乃至广州市中心区的距离，而南沙作为粤港澳大湾区的核心区，万顷沙内的南北通道作为连接深中通道的重要通道，万环西路其功能定位应属于大湾区咽喉部位的重要通道，定位及其重要，其快速化改造将使得南沙在未来的粤港澳大湾区发展之中占得先机。 </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作为大湾区的桥头堡，南北通道的便捷，加速港城融合，推动湾区人流、物流、资金流的互联互通。</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4、进一步提高交通服务水平，推动沿线用地开发，带动沿线经济发展，对增强南沙的综合竞争力具有十分重要的意义，对打造湾区综合运输体系，优化交通运输路网结构，有很大的促进作用。</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5、强化服务南沙港区：万环西路+ 新垦-福安互通联络线接入南沙港区，盘活南沙港运输通道，筑牢其枢纽大港的地位。</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万顷沙地块为狭长型地块，南北向通道就显得尤为重要，目前仅南沙港快速1条南北向快速通道，若仅有的快速通道加之客货混行严重，难以满足远期交通的需求，因此，将万环西路进行快速化改造并且定位为货运为主的快速通道，十分必要。</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6、深中通道已在加快建设，通车后，将加大万顷沙地块南北向通道的交通压力。</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深中通道通过万顷沙支线接入新垦-福安互通联络线后连接南沙港快速，快速过境，南沙港快速的交通压力加大后，其货运功能的外移就显得尤为重要，而万环西路则是承接货运功能的优选通道，同时，深中通道建成后，万环西路规划的仓储及工业地块则是深圳部分产业外溢的选择，因此，万环西路的快速化改造，十分必要。</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7、万环西路部分路段两侧用地尚属于规划待定区，地块开发较为滞后，远期交通发展随地块开发必然快速增长，道路通行能力需结合周边交通组织一起考虑，进行必要预留。</w:t>
      </w:r>
    </w:p>
    <w:p>
      <w:pPr>
        <w:widowControl/>
        <w:adjustRightInd w:val="0"/>
        <w:snapToGrid w:val="0"/>
        <w:spacing w:line="312" w:lineRule="auto"/>
        <w:ind w:firstLine="640" w:firstLineChars="200"/>
        <w:rPr>
          <w:rFonts w:ascii="仿宋_GB2312" w:eastAsia="仿宋_GB2312"/>
          <w:kern w:val="0"/>
          <w:sz w:val="32"/>
          <w:szCs w:val="32"/>
        </w:rPr>
      </w:pPr>
      <w:r>
        <w:rPr>
          <w:rFonts w:hint="eastAsia" w:ascii="仿宋_GB2312" w:eastAsia="仿宋_GB2312"/>
          <w:kern w:val="0"/>
          <w:sz w:val="32"/>
          <w:szCs w:val="32"/>
        </w:rPr>
        <w:t>现状万环西路通行服务水平较好，周边主要以当地村居及较少已开发地块，随着周边地块正加快建设，远期周边地块建成后，交通量必然快速增长，交叉灯控节点众多，无法满足远期快捷的交通需求。</w:t>
      </w:r>
    </w:p>
    <w:p>
      <w:pPr>
        <w:rPr>
          <w:rFonts w:ascii="方正小标宋简体" w:hAnsi="黑体" w:eastAsia="方正小标宋简体" w:cs="宋体"/>
          <w:kern w:val="0"/>
          <w:sz w:val="44"/>
          <w:szCs w:val="44"/>
        </w:rPr>
      </w:pPr>
      <w:bookmarkStart w:id="1" w:name="_Toc483213819"/>
      <w:r>
        <w:rPr>
          <w:rFonts w:hint="eastAsia" w:ascii="方正小标宋简体" w:hAnsi="黑体" w:eastAsia="方正小标宋简体" w:cs="宋体"/>
          <w:kern w:val="0"/>
          <w:sz w:val="44"/>
          <w:szCs w:val="44"/>
        </w:rPr>
        <w:br w:type="page"/>
      </w:r>
    </w:p>
    <w:p>
      <w:pPr>
        <w:widowControl/>
        <w:adjustRightInd w:val="0"/>
        <w:snapToGrid w:val="0"/>
        <w:spacing w:after="200" w:line="300" w:lineRule="auto"/>
        <w:jc w:val="center"/>
        <w:outlineLvl w:val="0"/>
        <w:rPr>
          <w:rFonts w:ascii="方正小标宋简体" w:hAnsi="黑体" w:eastAsia="方正小标宋简体" w:cs="宋体"/>
          <w:kern w:val="0"/>
          <w:sz w:val="44"/>
          <w:szCs w:val="44"/>
        </w:rPr>
      </w:pPr>
      <w:bookmarkStart w:id="2" w:name="_Toc89420043"/>
      <w:r>
        <w:rPr>
          <w:rFonts w:hint="eastAsia" w:ascii="方正小标宋简体" w:hAnsi="黑体" w:eastAsia="方正小标宋简体" w:cs="宋体"/>
          <w:kern w:val="0"/>
          <w:sz w:val="44"/>
          <w:szCs w:val="44"/>
        </w:rPr>
        <w:t>第二章 工程建设规模</w:t>
      </w:r>
      <w:bookmarkEnd w:id="1"/>
      <w:bookmarkEnd w:id="2"/>
    </w:p>
    <w:p>
      <w:pPr>
        <w:pStyle w:val="36"/>
        <w:spacing w:line="520" w:lineRule="exact"/>
        <w:ind w:firstLine="640"/>
        <w:jc w:val="left"/>
        <w:rPr>
          <w:rFonts w:hAnsi="Times New Roman" w:eastAsia="仿宋_GB2312"/>
          <w:kern w:val="0"/>
          <w:sz w:val="32"/>
          <w:szCs w:val="32"/>
          <w:highlight w:val="yellow"/>
        </w:rPr>
      </w:pPr>
      <w:r>
        <w:rPr>
          <w:rFonts w:hint="eastAsia" w:hAnsi="Times New Roman" w:eastAsia="仿宋_GB2312"/>
          <w:kern w:val="0"/>
          <w:sz w:val="32"/>
          <w:szCs w:val="32"/>
        </w:rPr>
        <w:t>本项目起点位于下横沥南岸（桩号K6+200，暂定），终点接南中高速的新垦-福安互通立交节点，线长约14.3公里，规划道路等级为城市主干路，主线双向六车道，辅道双向六车道设计，标准段规划红线宽度</w:t>
      </w:r>
      <w:r>
        <w:rPr>
          <w:rFonts w:hAnsi="Times New Roman" w:eastAsia="仿宋_GB2312"/>
          <w:kern w:val="0"/>
          <w:sz w:val="32"/>
          <w:szCs w:val="32"/>
        </w:rPr>
        <w:t>6</w:t>
      </w:r>
      <w:r>
        <w:rPr>
          <w:rFonts w:hint="eastAsia" w:hAnsi="Times New Roman" w:eastAsia="仿宋_GB2312"/>
          <w:kern w:val="0"/>
          <w:sz w:val="32"/>
          <w:szCs w:val="32"/>
        </w:rPr>
        <w:t>0m，设计速度60km/h，全线除一般段采用主辅分隔的路基段外，另有隧道1座、3座跨线桥、人行天桥3座。</w:t>
      </w:r>
      <w:r>
        <w:rPr>
          <w:rFonts w:hint="eastAsia" w:hAnsi="Times New Roman" w:eastAsia="仿宋_GB2312"/>
          <w:kern w:val="0"/>
          <w:sz w:val="32"/>
          <w:szCs w:val="32"/>
          <w:lang w:val="en-US" w:eastAsia="zh-CN"/>
        </w:rPr>
        <w:t>估算</w:t>
      </w:r>
      <w:r>
        <w:rPr>
          <w:rFonts w:hint="eastAsia" w:hAnsi="Times New Roman" w:eastAsia="仿宋_GB2312"/>
          <w:kern w:val="0"/>
          <w:sz w:val="32"/>
          <w:szCs w:val="32"/>
        </w:rPr>
        <w:t>总投资</w:t>
      </w:r>
      <w:r>
        <w:rPr>
          <w:rFonts w:hAnsi="Times New Roman" w:eastAsia="仿宋_GB2312"/>
          <w:kern w:val="0"/>
          <w:sz w:val="32"/>
          <w:szCs w:val="32"/>
        </w:rPr>
        <w:t>47</w:t>
      </w:r>
      <w:r>
        <w:rPr>
          <w:rFonts w:hint="eastAsia" w:hAnsi="Times New Roman" w:eastAsia="仿宋_GB2312"/>
          <w:kern w:val="0"/>
          <w:sz w:val="32"/>
          <w:szCs w:val="32"/>
          <w:lang w:val="en-US" w:eastAsia="zh-CN"/>
        </w:rPr>
        <w:t>.41亿</w:t>
      </w:r>
      <w:r>
        <w:rPr>
          <w:rFonts w:hint="eastAsia" w:hAnsi="Times New Roman" w:eastAsia="仿宋_GB2312"/>
          <w:kern w:val="0"/>
          <w:sz w:val="32"/>
          <w:szCs w:val="32"/>
        </w:rPr>
        <w:t>元，其中工程费</w:t>
      </w:r>
      <w:r>
        <w:rPr>
          <w:rFonts w:hAnsi="Times New Roman" w:eastAsia="仿宋_GB2312"/>
          <w:kern w:val="0"/>
          <w:sz w:val="32"/>
          <w:szCs w:val="32"/>
        </w:rPr>
        <w:t>32</w:t>
      </w:r>
      <w:r>
        <w:rPr>
          <w:rFonts w:hint="eastAsia" w:hAnsi="Times New Roman" w:eastAsia="仿宋_GB2312"/>
          <w:kern w:val="0"/>
          <w:sz w:val="32"/>
          <w:szCs w:val="32"/>
          <w:lang w:val="en-US" w:eastAsia="zh-CN"/>
        </w:rPr>
        <w:t>.</w:t>
      </w:r>
      <w:r>
        <w:rPr>
          <w:rFonts w:hAnsi="Times New Roman" w:eastAsia="仿宋_GB2312"/>
          <w:kern w:val="0"/>
          <w:sz w:val="32"/>
          <w:szCs w:val="32"/>
        </w:rPr>
        <w:t>65</w:t>
      </w:r>
      <w:r>
        <w:rPr>
          <w:rFonts w:hint="eastAsia" w:hAnsi="Times New Roman" w:eastAsia="仿宋_GB2312"/>
          <w:kern w:val="0"/>
          <w:sz w:val="32"/>
          <w:szCs w:val="32"/>
          <w:lang w:val="en-US" w:eastAsia="zh-CN"/>
        </w:rPr>
        <w:t>亿元</w:t>
      </w:r>
      <w:r>
        <w:rPr>
          <w:rFonts w:hint="eastAsia" w:hAnsi="Times New Roman" w:eastAsia="仿宋_GB2312"/>
          <w:kern w:val="0"/>
          <w:sz w:val="32"/>
          <w:szCs w:val="32"/>
        </w:rPr>
        <w:t>。</w:t>
      </w:r>
      <w:r>
        <w:rPr>
          <w:rFonts w:hint="eastAsia" w:hAnsi="Times New Roman" w:eastAsia="仿宋_GB2312"/>
          <w:kern w:val="0"/>
          <w:sz w:val="32"/>
          <w:szCs w:val="32"/>
          <w:highlight w:val="yellow"/>
        </w:rPr>
        <w:t>（最终以可研批复方案为准）</w:t>
      </w:r>
    </w:p>
    <w:p>
      <w:pPr>
        <w:spacing w:line="520" w:lineRule="exact"/>
        <w:ind w:firstLine="551"/>
        <w:rPr>
          <w:rFonts w:ascii="仿宋_GB2312" w:eastAsia="仿宋_GB2312"/>
          <w:kern w:val="0"/>
          <w:sz w:val="32"/>
          <w:szCs w:val="32"/>
        </w:rPr>
      </w:pPr>
      <w:r>
        <w:rPr>
          <w:rFonts w:hint="eastAsia" w:ascii="仿宋_GB2312" w:eastAsia="仿宋_GB2312"/>
          <w:kern w:val="0"/>
          <w:sz w:val="32"/>
          <w:szCs w:val="32"/>
        </w:rPr>
        <w:t>建设内容包含：道路工程、桥</w:t>
      </w:r>
      <w:r>
        <w:rPr>
          <w:rFonts w:hint="eastAsia" w:ascii="仿宋_GB2312" w:eastAsia="仿宋_GB2312"/>
          <w:kern w:val="0"/>
          <w:sz w:val="32"/>
          <w:szCs w:val="32"/>
          <w:lang w:val="en-US" w:eastAsia="zh-CN"/>
        </w:rPr>
        <w:t>梁</w:t>
      </w:r>
      <w:r>
        <w:rPr>
          <w:rFonts w:hint="eastAsia" w:ascii="仿宋_GB2312" w:eastAsia="仿宋_GB2312"/>
          <w:kern w:val="0"/>
          <w:sz w:val="32"/>
          <w:szCs w:val="32"/>
        </w:rPr>
        <w:t>工程、隧道工程、排水工程、 交通工程及交通疏解、照明工程、电力工程、绿化工程、外电工程等。</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409" w:type="dxa"/>
          </w:tcPr>
          <w:p>
            <w:pPr>
              <w:pStyle w:val="2"/>
              <w:jc w:val="center"/>
            </w:pPr>
            <w:r>
              <w:rPr>
                <w:rFonts w:hint="eastAsia"/>
              </w:rPr>
              <w:drawing>
                <wp:inline distT="0" distB="0" distL="0" distR="0">
                  <wp:extent cx="4190365" cy="4244975"/>
                  <wp:effectExtent l="0" t="0" r="63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90460" cy="4245237"/>
                          </a:xfrm>
                          <a:prstGeom prst="rect">
                            <a:avLst/>
                          </a:prstGeom>
                          <a:noFill/>
                          <a:ln>
                            <a:noFill/>
                          </a:ln>
                        </pic:spPr>
                      </pic:pic>
                    </a:graphicData>
                  </a:graphic>
                </wp:inline>
              </w:drawing>
            </w:r>
          </w:p>
        </w:tc>
      </w:tr>
    </w:tbl>
    <w:p>
      <w:pPr>
        <w:pStyle w:val="2"/>
        <w:jc w:val="center"/>
      </w:pPr>
      <w:r>
        <w:rPr>
          <w:rFonts w:ascii="黑体" w:hAnsi="黑体" w:eastAsia="黑体"/>
          <w:sz w:val="24"/>
          <w:szCs w:val="24"/>
        </w:rPr>
        <w:t>图2-1：本项目</w:t>
      </w:r>
      <w:r>
        <w:rPr>
          <w:rFonts w:hint="eastAsia" w:ascii="黑体" w:hAnsi="黑体" w:eastAsia="黑体"/>
          <w:sz w:val="24"/>
          <w:szCs w:val="24"/>
        </w:rPr>
        <w:t>区位示意图</w:t>
      </w:r>
    </w:p>
    <w:p>
      <w:pPr>
        <w:rPr>
          <w:rFonts w:ascii="方正小标宋简体" w:hAnsi="黑体" w:eastAsia="方正小标宋简体" w:cs="宋体"/>
          <w:kern w:val="0"/>
          <w:sz w:val="44"/>
          <w:szCs w:val="44"/>
        </w:rPr>
      </w:pPr>
      <w:bookmarkStart w:id="3" w:name="_Toc483213820"/>
      <w:bookmarkStart w:id="4" w:name="_Toc485374341"/>
      <w:r>
        <w:rPr>
          <w:rFonts w:hint="eastAsia" w:ascii="方正小标宋简体" w:hAnsi="黑体" w:eastAsia="方正小标宋简体" w:cs="宋体"/>
          <w:kern w:val="0"/>
          <w:sz w:val="44"/>
          <w:szCs w:val="44"/>
        </w:rPr>
        <w:br w:type="page"/>
      </w:r>
    </w:p>
    <w:p>
      <w:pPr>
        <w:pStyle w:val="18"/>
        <w:keepNext w:val="0"/>
        <w:keepLines w:val="0"/>
        <w:pageBreakBefore w:val="0"/>
        <w:widowControl w:val="0"/>
        <w:kinsoku/>
        <w:wordWrap/>
        <w:overflowPunct/>
        <w:topLinePunct w:val="0"/>
        <w:autoSpaceDE/>
        <w:autoSpaceDN/>
        <w:bidi w:val="0"/>
        <w:adjustRightInd/>
        <w:snapToGrid/>
        <w:spacing w:line="560" w:lineRule="exact"/>
        <w:textAlignment w:val="auto"/>
        <w:rPr>
          <w:rFonts w:ascii="方正小标宋简体" w:hAnsi="黑体" w:eastAsia="方正小标宋简体" w:cs="宋体"/>
          <w:b w:val="0"/>
          <w:bCs w:val="0"/>
          <w:kern w:val="0"/>
          <w:sz w:val="44"/>
          <w:szCs w:val="44"/>
        </w:rPr>
      </w:pPr>
      <w:bookmarkStart w:id="5" w:name="_Toc89420044"/>
      <w:r>
        <w:rPr>
          <w:rFonts w:hint="eastAsia" w:ascii="方正小标宋简体" w:hAnsi="黑体" w:eastAsia="方正小标宋简体" w:cs="宋体"/>
          <w:b w:val="0"/>
          <w:bCs w:val="0"/>
          <w:kern w:val="0"/>
          <w:sz w:val="44"/>
          <w:szCs w:val="44"/>
        </w:rPr>
        <w:t>第三章 建设条件</w:t>
      </w:r>
      <w:bookmarkEnd w:id="3"/>
      <w:r>
        <w:rPr>
          <w:rFonts w:hint="eastAsia" w:ascii="方正小标宋简体" w:hAnsi="黑体" w:eastAsia="方正小标宋简体" w:cs="宋体"/>
          <w:b w:val="0"/>
          <w:bCs w:val="0"/>
          <w:kern w:val="0"/>
          <w:sz w:val="44"/>
          <w:szCs w:val="44"/>
        </w:rPr>
        <w:t>及标准</w:t>
      </w:r>
      <w:bookmarkEnd w:id="4"/>
      <w:bookmarkEnd w:id="5"/>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ascii="黑体" w:hAnsi="黑体" w:eastAsia="黑体"/>
          <w:sz w:val="32"/>
          <w:szCs w:val="32"/>
        </w:rPr>
      </w:pPr>
      <w:bookmarkStart w:id="6" w:name="_Toc483213821"/>
      <w:bookmarkStart w:id="7" w:name="_Toc89420045"/>
      <w:bookmarkStart w:id="8" w:name="_Toc5700"/>
      <w:r>
        <w:rPr>
          <w:rFonts w:hint="eastAsia" w:ascii="黑体" w:hAnsi="黑体" w:eastAsia="黑体"/>
          <w:sz w:val="32"/>
          <w:szCs w:val="32"/>
        </w:rPr>
        <w:t>一、</w:t>
      </w:r>
      <w:r>
        <w:rPr>
          <w:rFonts w:ascii="黑体" w:hAnsi="黑体" w:eastAsia="黑体"/>
          <w:sz w:val="32"/>
          <w:szCs w:val="32"/>
        </w:rPr>
        <w:t>工程场地现状</w:t>
      </w:r>
      <w:bookmarkEnd w:id="6"/>
      <w:bookmarkEnd w:id="7"/>
      <w:bookmarkEnd w:id="8"/>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eastAsia" w:hAnsi="Times New Roman" w:eastAsia="仿宋_GB2312"/>
          <w:kern w:val="0"/>
          <w:sz w:val="32"/>
          <w:szCs w:val="32"/>
        </w:rPr>
      </w:pPr>
      <w:r>
        <w:rPr>
          <w:rFonts w:hint="eastAsia" w:hAnsi="Times New Roman" w:eastAsia="仿宋_GB2312"/>
          <w:kern w:val="0"/>
          <w:sz w:val="32"/>
          <w:szCs w:val="32"/>
          <w:lang w:val="en-US" w:eastAsia="zh-CN"/>
        </w:rPr>
        <w:t>本项目</w:t>
      </w:r>
      <w:r>
        <w:rPr>
          <w:rFonts w:hint="eastAsia" w:hAnsi="Times New Roman" w:eastAsia="仿宋_GB2312"/>
          <w:kern w:val="0"/>
          <w:sz w:val="32"/>
          <w:szCs w:val="32"/>
        </w:rPr>
        <w:t>路线大致呈南北向，东侧为南沙港快速，西侧毗邻洪奇沥水道。拟改造段万环西路，番中公路节点以北段为双向四车道，现状路幅宽度3</w:t>
      </w:r>
      <w:r>
        <w:rPr>
          <w:rFonts w:hAnsi="Times New Roman" w:eastAsia="仿宋_GB2312"/>
          <w:kern w:val="0"/>
          <w:sz w:val="32"/>
          <w:szCs w:val="32"/>
        </w:rPr>
        <w:t>1</w:t>
      </w:r>
      <w:r>
        <w:rPr>
          <w:rFonts w:hint="eastAsia" w:hAnsi="Times New Roman" w:eastAsia="仿宋_GB2312"/>
          <w:kern w:val="0"/>
          <w:sz w:val="32"/>
          <w:szCs w:val="32"/>
        </w:rPr>
        <w:t>m；番中公路至南中高速段为双向六车道，现状路幅宽度42m，路线大致呈南北走向。</w:t>
      </w:r>
    </w:p>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66"/>
        <w:gridCol w:w="4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63" w:type="dxa"/>
          </w:tcPr>
          <w:p>
            <w:pPr>
              <w:pStyle w:val="36"/>
              <w:spacing w:line="240" w:lineRule="auto"/>
              <w:ind w:firstLine="210" w:firstLineChars="100"/>
              <w:jc w:val="left"/>
              <w:rPr>
                <w:rFonts w:hAnsi="Times New Roman" w:eastAsia="仿宋_GB2312"/>
                <w:kern w:val="0"/>
                <w:sz w:val="32"/>
                <w:szCs w:val="32"/>
              </w:rPr>
            </w:pPr>
            <w:r>
              <w:rPr>
                <w:rFonts w:ascii="宋体" w:hAnsi="宋体"/>
              </w:rPr>
              <w:drawing>
                <wp:inline distT="0" distB="0" distL="0" distR="0">
                  <wp:extent cx="2695575" cy="2619375"/>
                  <wp:effectExtent l="0" t="0" r="190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b="21214"/>
                          <a:stretch>
                            <a:fillRect/>
                          </a:stretch>
                        </pic:blipFill>
                        <pic:spPr>
                          <a:xfrm>
                            <a:off x="0" y="0"/>
                            <a:ext cx="2695575" cy="2619375"/>
                          </a:xfrm>
                          <a:prstGeom prst="rect">
                            <a:avLst/>
                          </a:prstGeom>
                          <a:noFill/>
                          <a:ln>
                            <a:noFill/>
                          </a:ln>
                        </pic:spPr>
                      </pic:pic>
                    </a:graphicData>
                  </a:graphic>
                </wp:inline>
              </w:drawing>
            </w:r>
          </w:p>
        </w:tc>
        <w:tc>
          <w:tcPr>
            <w:tcW w:w="4746" w:type="dxa"/>
          </w:tcPr>
          <w:p>
            <w:pPr>
              <w:pStyle w:val="36"/>
              <w:spacing w:line="240" w:lineRule="auto"/>
              <w:ind w:firstLine="0" w:firstLineChars="0"/>
              <w:jc w:val="left"/>
              <w:rPr>
                <w:rFonts w:hAnsi="Times New Roman" w:eastAsia="仿宋_GB2312"/>
                <w:kern w:val="0"/>
                <w:sz w:val="32"/>
                <w:szCs w:val="32"/>
              </w:rPr>
            </w:pPr>
            <w:r>
              <w:rPr>
                <w:rFonts w:ascii="宋体" w:hAnsi="宋体"/>
              </w:rPr>
              <w:drawing>
                <wp:inline distT="0" distB="0" distL="0" distR="0">
                  <wp:extent cx="2867025" cy="2609850"/>
                  <wp:effectExtent l="0" t="0" r="1333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67025" cy="2609850"/>
                          </a:xfrm>
                          <a:prstGeom prst="rect">
                            <a:avLst/>
                          </a:prstGeom>
                          <a:noFill/>
                          <a:ln>
                            <a:noFill/>
                          </a:ln>
                        </pic:spPr>
                      </pic:pic>
                    </a:graphicData>
                  </a:graphic>
                </wp:inline>
              </w:drawing>
            </w:r>
          </w:p>
        </w:tc>
      </w:tr>
    </w:tbl>
    <w:p>
      <w:pPr>
        <w:pStyle w:val="36"/>
        <w:ind w:firstLine="240" w:firstLineChars="100"/>
        <w:jc w:val="left"/>
        <w:rPr>
          <w:rFonts w:hint="eastAsia" w:hAnsi="Times New Roman" w:eastAsia="仿宋_GB2312"/>
          <w:kern w:val="0"/>
          <w:sz w:val="32"/>
          <w:szCs w:val="32"/>
        </w:rPr>
      </w:pPr>
      <w:r>
        <w:rPr>
          <w:rFonts w:hint="eastAsia" w:hAnsi="Times New Roman" w:eastAsia="仿宋_GB2312"/>
          <w:kern w:val="0"/>
          <w:sz w:val="24"/>
          <w:szCs w:val="24"/>
        </w:rPr>
        <w:t>图</w:t>
      </w:r>
      <w:r>
        <w:rPr>
          <w:rFonts w:hAnsi="Times New Roman" w:eastAsia="仿宋_GB2312"/>
          <w:kern w:val="0"/>
          <w:sz w:val="24"/>
          <w:szCs w:val="24"/>
        </w:rPr>
        <w:t>3</w:t>
      </w:r>
      <w:r>
        <w:rPr>
          <w:rFonts w:hint="eastAsia" w:hAnsi="Times New Roman" w:eastAsia="仿宋_GB2312"/>
          <w:kern w:val="0"/>
          <w:sz w:val="24"/>
          <w:szCs w:val="24"/>
        </w:rPr>
        <w:t xml:space="preserve">—1 现状万环西路（双向四车道段） </w:t>
      </w:r>
      <w:r>
        <w:rPr>
          <w:rFonts w:hAnsi="Times New Roman" w:eastAsia="仿宋_GB2312"/>
          <w:kern w:val="0"/>
          <w:sz w:val="24"/>
          <w:szCs w:val="24"/>
        </w:rPr>
        <w:t xml:space="preserve">   </w:t>
      </w:r>
      <w:r>
        <w:rPr>
          <w:rFonts w:hint="eastAsia" w:hAnsi="Times New Roman" w:eastAsia="仿宋_GB2312"/>
          <w:kern w:val="0"/>
          <w:sz w:val="24"/>
          <w:szCs w:val="24"/>
        </w:rPr>
        <w:t>图</w:t>
      </w:r>
      <w:r>
        <w:rPr>
          <w:rFonts w:hAnsi="Times New Roman" w:eastAsia="仿宋_GB2312"/>
          <w:kern w:val="0"/>
          <w:sz w:val="24"/>
          <w:szCs w:val="24"/>
        </w:rPr>
        <w:t>3</w:t>
      </w:r>
      <w:r>
        <w:rPr>
          <w:rFonts w:hint="eastAsia" w:hAnsi="Times New Roman" w:eastAsia="仿宋_GB2312"/>
          <w:kern w:val="0"/>
          <w:sz w:val="24"/>
          <w:szCs w:val="24"/>
        </w:rPr>
        <w:t>—</w:t>
      </w:r>
      <w:r>
        <w:rPr>
          <w:rFonts w:hAnsi="Times New Roman" w:eastAsia="仿宋_GB2312"/>
          <w:kern w:val="0"/>
          <w:sz w:val="24"/>
          <w:szCs w:val="24"/>
        </w:rPr>
        <w:t>2</w:t>
      </w:r>
      <w:r>
        <w:rPr>
          <w:rFonts w:hint="eastAsia" w:hAnsi="Times New Roman" w:eastAsia="仿宋_GB2312"/>
          <w:kern w:val="0"/>
          <w:sz w:val="24"/>
          <w:szCs w:val="24"/>
        </w:rPr>
        <w:t xml:space="preserve"> 现状万环西路（双向六车道段）</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（一）相交道路</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1</w:t>
      </w:r>
      <w:r>
        <w:rPr>
          <w:rFonts w:hint="eastAsia" w:hAnsi="Times New Roman" w:eastAsia="仿宋_GB2312"/>
          <w:kern w:val="0"/>
          <w:sz w:val="32"/>
          <w:szCs w:val="32"/>
          <w:lang w:val="en-US" w:eastAsia="zh-CN"/>
        </w:rPr>
        <w:t>.</w:t>
      </w:r>
      <w:r>
        <w:rPr>
          <w:rFonts w:hint="eastAsia" w:hAnsi="Times New Roman" w:eastAsia="仿宋_GB2312"/>
          <w:kern w:val="0"/>
          <w:sz w:val="32"/>
          <w:szCs w:val="32"/>
        </w:rPr>
        <w:t>番中公路</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番中公路，</w:t>
      </w:r>
      <w:r>
        <w:rPr>
          <w:rFonts w:hint="eastAsia" w:hAnsi="Times New Roman" w:eastAsia="仿宋_GB2312"/>
          <w:kern w:val="0"/>
          <w:sz w:val="32"/>
          <w:szCs w:val="32"/>
          <w:lang w:val="en-US" w:eastAsia="zh-CN"/>
        </w:rPr>
        <w:t>即省道</w:t>
      </w:r>
      <w:r>
        <w:rPr>
          <w:rFonts w:hint="eastAsia" w:hAnsi="Times New Roman" w:eastAsia="仿宋_GB2312"/>
          <w:kern w:val="0"/>
          <w:sz w:val="32"/>
          <w:szCs w:val="32"/>
        </w:rPr>
        <w:t>S111,连接凤凰大道与中山市民众镇，规划为东北至西南向的城市主干路，规划红线宽度60m。现状万环西路交叉节点路段为双向六车道，日常货运车流量较大，是近期南沙、甚至广州市区通往中山的一条重要通道，远期在南中高速建成后，其车流量会有所减少,但其作为不收费通道，其作用仍然十分重要，车流量仍较大且货运车辆比重较大。</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2</w:t>
      </w:r>
      <w:r>
        <w:rPr>
          <w:rFonts w:hint="eastAsia" w:hAnsi="Times New Roman" w:eastAsia="仿宋_GB2312"/>
          <w:kern w:val="0"/>
          <w:sz w:val="32"/>
          <w:szCs w:val="32"/>
          <w:lang w:val="en-US" w:eastAsia="zh-CN"/>
        </w:rPr>
        <w:t>.</w:t>
      </w:r>
      <w:r>
        <w:rPr>
          <w:rFonts w:hint="eastAsia" w:hAnsi="Times New Roman" w:eastAsia="仿宋_GB2312"/>
          <w:kern w:val="0"/>
          <w:sz w:val="32"/>
          <w:szCs w:val="32"/>
        </w:rPr>
        <w:t>南珠大道</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eastAsia" w:hAnsi="Times New Roman" w:eastAsia="仿宋_GB2312"/>
          <w:kern w:val="0"/>
          <w:sz w:val="32"/>
          <w:szCs w:val="32"/>
        </w:rPr>
      </w:pPr>
      <w:r>
        <w:rPr>
          <w:rFonts w:hint="eastAsia" w:hAnsi="Times New Roman" w:eastAsia="仿宋_GB2312"/>
          <w:kern w:val="0"/>
          <w:sz w:val="32"/>
          <w:szCs w:val="32"/>
        </w:rPr>
        <w:t>现状南珠大道为双向八车道城市主干路，设计速度60km/h，</w:t>
      </w:r>
    </w:p>
    <w:p>
      <w:pPr>
        <w:pStyle w:val="36"/>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eastAsia" w:hAnsi="Times New Roman" w:eastAsia="仿宋_GB2312"/>
          <w:kern w:val="0"/>
          <w:sz w:val="32"/>
          <w:szCs w:val="32"/>
        </w:rPr>
      </w:pPr>
      <w:r>
        <w:rPr>
          <w:rFonts w:hint="eastAsia" w:hAnsi="Times New Roman" w:eastAsia="仿宋_GB2312"/>
          <w:kern w:val="0"/>
          <w:sz w:val="32"/>
          <w:szCs w:val="32"/>
        </w:rPr>
        <w:t>与万环西路为T字平面交叉，南珠大道西起于万环西路，东接明珠湾大桥，通达南沙中心区，道路采用沥青铺装。</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lang w:val="en-US" w:eastAsia="zh-CN"/>
        </w:rPr>
        <w:t>3.</w:t>
      </w:r>
      <w:r>
        <w:rPr>
          <w:rFonts w:hint="eastAsia" w:hAnsi="Times New Roman" w:eastAsia="仿宋_GB2312"/>
          <w:kern w:val="0"/>
          <w:sz w:val="32"/>
          <w:szCs w:val="32"/>
        </w:rPr>
        <w:t>福安大道</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eastAsia" w:hAnsi="Times New Roman" w:eastAsia="仿宋_GB2312"/>
          <w:kern w:val="0"/>
          <w:sz w:val="32"/>
          <w:szCs w:val="32"/>
        </w:rPr>
      </w:pPr>
      <w:r>
        <w:rPr>
          <w:rFonts w:hint="eastAsia" w:hAnsi="Times New Roman" w:eastAsia="仿宋_GB2312"/>
          <w:kern w:val="0"/>
          <w:sz w:val="32"/>
          <w:szCs w:val="32"/>
        </w:rPr>
        <w:t>现状福安大道为双向四车道城市次干路，设计速度</w:t>
      </w:r>
      <w:r>
        <w:rPr>
          <w:rFonts w:hAnsi="Times New Roman" w:eastAsia="仿宋_GB2312"/>
          <w:kern w:val="0"/>
          <w:sz w:val="32"/>
          <w:szCs w:val="32"/>
        </w:rPr>
        <w:t>4</w:t>
      </w:r>
      <w:r>
        <w:rPr>
          <w:rFonts w:hint="eastAsia" w:hAnsi="Times New Roman" w:eastAsia="仿宋_GB2312"/>
          <w:kern w:val="0"/>
          <w:sz w:val="32"/>
          <w:szCs w:val="32"/>
        </w:rPr>
        <w:t>0km/h，</w:t>
      </w:r>
    </w:p>
    <w:p>
      <w:pPr>
        <w:pStyle w:val="36"/>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eastAsia" w:hAnsi="Times New Roman" w:eastAsia="仿宋_GB2312"/>
          <w:kern w:val="0"/>
          <w:sz w:val="32"/>
          <w:szCs w:val="32"/>
        </w:rPr>
      </w:pPr>
      <w:r>
        <w:rPr>
          <w:rFonts w:hint="eastAsia" w:hAnsi="Times New Roman" w:eastAsia="仿宋_GB2312"/>
          <w:kern w:val="0"/>
          <w:sz w:val="32"/>
          <w:szCs w:val="32"/>
        </w:rPr>
        <w:t>与万环西路为T字平面交叉，为一条东西向区域性交通次干路，西起万环西路，东接同安东围路，道路采用沥青铺装。</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lang w:val="en-US" w:eastAsia="zh-CN"/>
        </w:rPr>
        <w:t>4.</w:t>
      </w:r>
      <w:r>
        <w:rPr>
          <w:rFonts w:hint="eastAsia" w:hAnsi="Times New Roman" w:eastAsia="仿宋_GB2312"/>
          <w:kern w:val="0"/>
          <w:sz w:val="32"/>
          <w:szCs w:val="32"/>
        </w:rPr>
        <w:t>沥心沙东路</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eastAsia" w:hAnsi="Times New Roman" w:eastAsia="仿宋_GB2312"/>
          <w:kern w:val="0"/>
          <w:sz w:val="32"/>
          <w:szCs w:val="32"/>
        </w:rPr>
      </w:pPr>
      <w:r>
        <w:rPr>
          <w:rFonts w:hint="eastAsia" w:hAnsi="Times New Roman" w:eastAsia="仿宋_GB2312"/>
          <w:kern w:val="0"/>
          <w:sz w:val="32"/>
          <w:szCs w:val="32"/>
        </w:rPr>
        <w:t>沥心沙东路规划为东北至西南的一条城市主干路，规划边线宽度60m，东北向跨龙穴南水道后接龙穴大道，西南向跨洪奇沥水道后规划接中山翠珠快线，规划贯通性稍好，是南沙港重要的疏港通道，且该道路有提升为快捷路研究意向。现状沥心沙东路在万环西路交叉节点路段标准段为双向四车道。</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（二）现状管线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1、现状31m宽万环西路管线情况</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（1）给水管线：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中央绿化带DN1000给水主管。</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东侧人行道DN300给水管。</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（2）电力管线：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东侧人行道10KV20线电力排管。</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（3）燃气管线：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西侧人行道外侧DN300燃气管。</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（4）排水管线：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两侧侧绿化带边有雨水管线d600~d1500，西侧人行道有污水管d600~d1000。</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（5）通信管线：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西侧人行道8孔通信管线。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2、现状42m宽万环西路管线情况</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（1）给水管线：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中央绿化带DN1000给水主管。</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东侧人行道DN300给水管。</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（2）电力管线：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K</w:t>
      </w:r>
      <w:r>
        <w:rPr>
          <w:rFonts w:hAnsi="Times New Roman" w:eastAsia="仿宋_GB2312"/>
          <w:kern w:val="0"/>
          <w:sz w:val="32"/>
          <w:szCs w:val="32"/>
        </w:rPr>
        <w:t>10+778</w:t>
      </w:r>
      <w:r>
        <w:rPr>
          <w:rFonts w:hint="eastAsia" w:hAnsi="Times New Roman" w:eastAsia="仿宋_GB2312"/>
          <w:kern w:val="0"/>
          <w:sz w:val="32"/>
          <w:szCs w:val="32"/>
        </w:rPr>
        <w:t>~K2</w:t>
      </w:r>
      <w:r>
        <w:rPr>
          <w:rFonts w:hAnsi="Times New Roman" w:eastAsia="仿宋_GB2312"/>
          <w:kern w:val="0"/>
          <w:sz w:val="32"/>
          <w:szCs w:val="32"/>
        </w:rPr>
        <w:t>0</w:t>
      </w:r>
      <w:r>
        <w:rPr>
          <w:rFonts w:hint="eastAsia" w:hAnsi="Times New Roman" w:eastAsia="仿宋_GB2312"/>
          <w:kern w:val="0"/>
          <w:sz w:val="32"/>
          <w:szCs w:val="32"/>
        </w:rPr>
        <w:t>+</w:t>
      </w:r>
      <w:r>
        <w:rPr>
          <w:rFonts w:hAnsi="Times New Roman" w:eastAsia="仿宋_GB2312"/>
          <w:kern w:val="0"/>
          <w:sz w:val="32"/>
          <w:szCs w:val="32"/>
        </w:rPr>
        <w:t>471.02</w:t>
      </w:r>
      <w:r>
        <w:rPr>
          <w:rFonts w:hint="eastAsia" w:hAnsi="Times New Roman" w:eastAsia="仿宋_GB2312"/>
          <w:kern w:val="0"/>
          <w:sz w:val="32"/>
          <w:szCs w:val="32"/>
        </w:rPr>
        <w:t>段中央绿化带处110kv高压线。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东侧人行道10KV20线电力排管。</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（3）燃气管线：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西侧人行道外侧DN300燃气管。</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（4）排水管线：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两侧侧绿化带边有雨水管线d600~d1500，西侧人行道有污水管d600~d1000。</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（5）通信管线：</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 xml:space="preserve">   西侧人行道8孔通信管线。</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09" w:type="dxa"/>
          </w:tcPr>
          <w:p>
            <w:pPr>
              <w:pStyle w:val="36"/>
              <w:spacing w:line="240" w:lineRule="auto"/>
              <w:ind w:firstLine="0" w:firstLineChars="0"/>
              <w:jc w:val="left"/>
              <w:rPr>
                <w:rFonts w:hAnsi="Times New Roman" w:eastAsia="仿宋_GB2312"/>
                <w:kern w:val="0"/>
                <w:sz w:val="32"/>
                <w:szCs w:val="32"/>
              </w:rPr>
            </w:pPr>
            <w:r>
              <w:rPr>
                <w:rFonts w:ascii="宋体" w:hAnsi="宋体"/>
                <w:szCs w:val="21"/>
              </w:rPr>
              <w:drawing>
                <wp:inline distT="0" distB="0" distL="0" distR="0">
                  <wp:extent cx="5753100" cy="26384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53100" cy="2638425"/>
                          </a:xfrm>
                          <a:prstGeom prst="rect">
                            <a:avLst/>
                          </a:prstGeom>
                          <a:noFill/>
                          <a:ln>
                            <a:noFill/>
                          </a:ln>
                        </pic:spPr>
                      </pic:pic>
                    </a:graphicData>
                  </a:graphic>
                </wp:inline>
              </w:drawing>
            </w:r>
          </w:p>
        </w:tc>
      </w:tr>
    </w:tbl>
    <w:p>
      <w:pPr>
        <w:pStyle w:val="36"/>
        <w:ind w:firstLine="640"/>
        <w:jc w:val="center"/>
        <w:rPr>
          <w:rFonts w:hAnsi="Times New Roman" w:eastAsia="仿宋_GB2312"/>
          <w:kern w:val="0"/>
          <w:sz w:val="32"/>
          <w:szCs w:val="32"/>
        </w:rPr>
      </w:pPr>
      <w:r>
        <w:rPr>
          <w:rFonts w:hint="eastAsia" w:hAnsi="Times New Roman" w:eastAsia="仿宋_GB2312"/>
          <w:kern w:val="0"/>
          <w:sz w:val="32"/>
          <w:szCs w:val="32"/>
        </w:rPr>
        <w:t>图</w:t>
      </w:r>
      <w:r>
        <w:rPr>
          <w:rFonts w:hAnsi="Times New Roman" w:eastAsia="仿宋_GB2312"/>
          <w:kern w:val="0"/>
          <w:sz w:val="32"/>
          <w:szCs w:val="32"/>
        </w:rPr>
        <w:t>3-3</w:t>
      </w:r>
      <w:r>
        <w:rPr>
          <w:rFonts w:hint="eastAsia" w:hAnsi="Times New Roman" w:eastAsia="仿宋_GB2312"/>
          <w:kern w:val="0"/>
          <w:sz w:val="32"/>
          <w:szCs w:val="32"/>
        </w:rPr>
        <w:t xml:space="preserve"> 现状42m宽万环西路管线情况</w:t>
      </w:r>
    </w:p>
    <w:p>
      <w:pPr>
        <w:pStyle w:val="36"/>
        <w:ind w:firstLine="640"/>
        <w:jc w:val="left"/>
        <w:rPr>
          <w:rFonts w:hAnsi="Times New Roman" w:eastAsia="仿宋_GB2312"/>
          <w:kern w:val="0"/>
          <w:sz w:val="32"/>
          <w:szCs w:val="32"/>
        </w:rPr>
      </w:pP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（三）文物保护</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本项目工程范围暂未发现有文物保护目标。</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（四）古树名木</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现状乔木（古树名木）方面：古树名木1株（细叶榕，胸径150cm），位于十二涌南岸附近道路中央绿化带留空位置中间。 古树后续资源1株（芒果，胸径80cm），大树3株（朴树1株，胸径60cm；芒果1株，胸径45cm；细叶榕1株，胸径45cm）。</w:t>
      </w:r>
    </w:p>
    <w:p>
      <w:pPr>
        <w:pStyle w:val="36"/>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Ansi="Times New Roman" w:eastAsia="仿宋_GB2312"/>
          <w:kern w:val="0"/>
          <w:sz w:val="32"/>
          <w:szCs w:val="32"/>
        </w:rPr>
      </w:pPr>
      <w:r>
        <w:rPr>
          <w:rFonts w:hint="eastAsia" w:hAnsi="Times New Roman" w:eastAsia="仿宋_GB2312"/>
          <w:kern w:val="0"/>
          <w:sz w:val="32"/>
          <w:szCs w:val="32"/>
        </w:rPr>
        <w:t>根据现场调查，现状万环西路西侧在拓宽时线位为避让古树已进行调整。本次改造方案</w:t>
      </w:r>
      <w:r>
        <w:rPr>
          <w:rFonts w:hint="eastAsia" w:hAnsi="Times New Roman" w:eastAsia="仿宋_GB2312"/>
          <w:kern w:val="0"/>
          <w:sz w:val="32"/>
          <w:szCs w:val="32"/>
          <w:lang w:val="en-US" w:eastAsia="zh-CN"/>
        </w:rPr>
        <w:t>拟</w:t>
      </w:r>
      <w:r>
        <w:rPr>
          <w:rFonts w:hint="eastAsia" w:hAnsi="Times New Roman" w:eastAsia="仿宋_GB2312"/>
          <w:kern w:val="0"/>
          <w:sz w:val="32"/>
          <w:szCs w:val="32"/>
        </w:rPr>
        <w:t>采用两侧分离式跨线桥结构，以避让古树。</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09" w:type="dxa"/>
          </w:tcPr>
          <w:p>
            <w:pPr>
              <w:pStyle w:val="36"/>
              <w:spacing w:line="240" w:lineRule="auto"/>
              <w:ind w:firstLine="0" w:firstLineChars="0"/>
              <w:jc w:val="center"/>
              <w:rPr>
                <w:rFonts w:hAnsi="Times New Roman" w:eastAsia="仿宋_GB2312"/>
                <w:kern w:val="0"/>
                <w:sz w:val="32"/>
                <w:szCs w:val="32"/>
              </w:rPr>
            </w:pPr>
            <w:r>
              <w:rPr>
                <w:rFonts w:hAnsi="Times New Roman" w:eastAsia="仿宋_GB2312"/>
                <w:kern w:val="0"/>
                <w:sz w:val="32"/>
                <w:szCs w:val="32"/>
              </w:rPr>
              <w:drawing>
                <wp:inline distT="0" distB="0" distL="0" distR="0">
                  <wp:extent cx="3646170" cy="274574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46797" cy="2745907"/>
                          </a:xfrm>
                          <a:prstGeom prst="rect">
                            <a:avLst/>
                          </a:prstGeom>
                          <a:noFill/>
                          <a:ln>
                            <a:noFill/>
                          </a:ln>
                        </pic:spPr>
                      </pic:pic>
                    </a:graphicData>
                  </a:graphic>
                </wp:inline>
              </w:drawing>
            </w:r>
          </w:p>
        </w:tc>
      </w:tr>
    </w:tbl>
    <w:p>
      <w:pPr>
        <w:pStyle w:val="36"/>
        <w:ind w:firstLine="2240" w:firstLineChars="700"/>
        <w:jc w:val="left"/>
        <w:rPr>
          <w:rFonts w:hAnsi="Times New Roman" w:eastAsia="仿宋_GB2312"/>
          <w:kern w:val="0"/>
          <w:sz w:val="32"/>
          <w:szCs w:val="32"/>
        </w:rPr>
      </w:pPr>
      <w:r>
        <w:rPr>
          <w:rFonts w:hint="eastAsia" w:hAnsi="Times New Roman" w:eastAsia="仿宋_GB2312"/>
          <w:kern w:val="0"/>
          <w:sz w:val="32"/>
          <w:szCs w:val="32"/>
        </w:rPr>
        <w:t>图3-</w:t>
      </w:r>
      <w:r>
        <w:rPr>
          <w:rFonts w:hAnsi="Times New Roman" w:eastAsia="仿宋_GB2312"/>
          <w:kern w:val="0"/>
          <w:sz w:val="32"/>
          <w:szCs w:val="32"/>
        </w:rPr>
        <w:t>4</w:t>
      </w:r>
      <w:r>
        <w:rPr>
          <w:rFonts w:hint="eastAsia" w:hAnsi="Times New Roman" w:eastAsia="仿宋_GB2312"/>
          <w:kern w:val="0"/>
          <w:sz w:val="32"/>
          <w:szCs w:val="32"/>
        </w:rPr>
        <w:t xml:space="preserve"> 现状十二涌桥中间位置古树</w:t>
      </w:r>
    </w:p>
    <w:p>
      <w:pPr>
        <w:spacing w:line="560" w:lineRule="exact"/>
        <w:outlineLvl w:val="1"/>
        <w:rPr>
          <w:rFonts w:ascii="黑体" w:hAnsi="黑体" w:eastAsia="黑体"/>
          <w:sz w:val="32"/>
          <w:szCs w:val="32"/>
        </w:rPr>
      </w:pPr>
      <w:bookmarkStart w:id="9" w:name="_Toc89420046"/>
      <w:bookmarkStart w:id="10" w:name="_Toc8334"/>
      <w:bookmarkStart w:id="11" w:name="_Toc483213822"/>
      <w:r>
        <w:rPr>
          <w:rFonts w:hint="eastAsia" w:ascii="黑体" w:hAnsi="黑体" w:eastAsia="黑体"/>
          <w:sz w:val="32"/>
          <w:szCs w:val="32"/>
        </w:rPr>
        <w:t>二、自然地理条件</w:t>
      </w:r>
      <w:bookmarkEnd w:id="9"/>
      <w:bookmarkEnd w:id="10"/>
      <w:bookmarkEnd w:id="11"/>
    </w:p>
    <w:p>
      <w:pPr>
        <w:spacing w:line="520" w:lineRule="exact"/>
        <w:ind w:firstLine="551"/>
        <w:rPr>
          <w:rFonts w:ascii="仿宋_GB2312" w:eastAsia="仿宋_GB2312"/>
          <w:kern w:val="0"/>
          <w:sz w:val="32"/>
          <w:szCs w:val="32"/>
        </w:rPr>
      </w:pPr>
      <w:r>
        <w:rPr>
          <w:rFonts w:hint="eastAsia" w:ascii="仿宋_GB2312" w:eastAsia="仿宋_GB2312"/>
          <w:kern w:val="0"/>
          <w:sz w:val="32"/>
          <w:szCs w:val="32"/>
        </w:rPr>
        <w:t>参见项目可行性研究报告</w:t>
      </w:r>
      <w:r>
        <w:rPr>
          <w:rFonts w:hint="eastAsia" w:ascii="仿宋_GB2312" w:eastAsia="仿宋_GB2312"/>
          <w:kern w:val="0"/>
          <w:sz w:val="32"/>
          <w:szCs w:val="32"/>
          <w:lang w:eastAsia="zh-CN"/>
        </w:rPr>
        <w:t>（</w:t>
      </w:r>
      <w:r>
        <w:rPr>
          <w:rFonts w:hint="eastAsia" w:ascii="仿宋_GB2312" w:eastAsia="仿宋_GB2312"/>
          <w:kern w:val="0"/>
          <w:sz w:val="32"/>
          <w:szCs w:val="32"/>
          <w:lang w:val="en-US" w:eastAsia="zh-CN"/>
        </w:rPr>
        <w:t>过程稿</w:t>
      </w:r>
      <w:r>
        <w:rPr>
          <w:rFonts w:hint="eastAsia" w:ascii="仿宋_GB2312" w:eastAsia="仿宋_GB2312"/>
          <w:kern w:val="0"/>
          <w:sz w:val="32"/>
          <w:szCs w:val="32"/>
          <w:lang w:eastAsia="zh-CN"/>
        </w:rPr>
        <w:t>）</w:t>
      </w:r>
      <w:r>
        <w:rPr>
          <w:rFonts w:hint="eastAsia" w:ascii="仿宋_GB2312" w:eastAsia="仿宋_GB2312"/>
          <w:kern w:val="0"/>
          <w:sz w:val="32"/>
          <w:szCs w:val="32"/>
        </w:rPr>
        <w:t>，具体以现场勘测为准。</w:t>
      </w:r>
    </w:p>
    <w:p>
      <w:pPr>
        <w:spacing w:line="560" w:lineRule="exact"/>
        <w:outlineLvl w:val="1"/>
        <w:rPr>
          <w:rFonts w:ascii="黑体" w:hAnsi="黑体" w:eastAsia="黑体"/>
          <w:sz w:val="32"/>
          <w:szCs w:val="32"/>
        </w:rPr>
      </w:pPr>
      <w:bookmarkStart w:id="12" w:name="_Toc89420047"/>
      <w:bookmarkStart w:id="13" w:name="_Toc32"/>
      <w:r>
        <w:rPr>
          <w:rFonts w:hint="eastAsia" w:ascii="黑体" w:hAnsi="黑体" w:eastAsia="黑体"/>
          <w:sz w:val="32"/>
          <w:szCs w:val="32"/>
        </w:rPr>
        <w:t>三、地质条件</w:t>
      </w:r>
      <w:bookmarkEnd w:id="12"/>
      <w:bookmarkEnd w:id="13"/>
    </w:p>
    <w:p>
      <w:pPr>
        <w:spacing w:line="520" w:lineRule="exact"/>
        <w:ind w:firstLine="551"/>
        <w:rPr>
          <w:rFonts w:ascii="仿宋_GB2312" w:eastAsia="仿宋_GB2312"/>
          <w:kern w:val="0"/>
          <w:sz w:val="32"/>
          <w:szCs w:val="32"/>
        </w:rPr>
      </w:pPr>
      <w:r>
        <w:rPr>
          <w:rFonts w:hint="eastAsia" w:ascii="仿宋_GB2312" w:eastAsia="仿宋_GB2312"/>
          <w:kern w:val="0"/>
          <w:sz w:val="32"/>
          <w:szCs w:val="32"/>
        </w:rPr>
        <w:t>参见项目可行性研究报告</w:t>
      </w:r>
      <w:r>
        <w:rPr>
          <w:rFonts w:hint="eastAsia" w:ascii="仿宋_GB2312" w:eastAsia="仿宋_GB2312"/>
          <w:kern w:val="0"/>
          <w:sz w:val="32"/>
          <w:szCs w:val="32"/>
          <w:lang w:eastAsia="zh-CN"/>
        </w:rPr>
        <w:t>（</w:t>
      </w:r>
      <w:r>
        <w:rPr>
          <w:rFonts w:hint="eastAsia" w:ascii="仿宋_GB2312" w:eastAsia="仿宋_GB2312"/>
          <w:kern w:val="0"/>
          <w:sz w:val="32"/>
          <w:szCs w:val="32"/>
          <w:lang w:val="en-US" w:eastAsia="zh-CN"/>
        </w:rPr>
        <w:t>过程稿</w:t>
      </w:r>
      <w:r>
        <w:rPr>
          <w:rFonts w:hint="eastAsia" w:ascii="仿宋_GB2312" w:eastAsia="仿宋_GB2312"/>
          <w:kern w:val="0"/>
          <w:sz w:val="32"/>
          <w:szCs w:val="32"/>
          <w:lang w:eastAsia="zh-CN"/>
        </w:rPr>
        <w:t>）</w:t>
      </w:r>
      <w:r>
        <w:rPr>
          <w:rFonts w:hint="eastAsia" w:ascii="仿宋_GB2312" w:eastAsia="仿宋_GB2312"/>
          <w:kern w:val="0"/>
          <w:sz w:val="32"/>
          <w:szCs w:val="32"/>
        </w:rPr>
        <w:t>，具体以现场勘察为准。</w:t>
      </w:r>
    </w:p>
    <w:p>
      <w:pPr>
        <w:pStyle w:val="2"/>
      </w:pPr>
    </w:p>
    <w:p>
      <w:pPr>
        <w:spacing w:line="360" w:lineRule="auto"/>
        <w:outlineLvl w:val="1"/>
        <w:rPr>
          <w:rFonts w:ascii="黑体" w:hAnsi="黑体" w:eastAsia="黑体"/>
          <w:sz w:val="32"/>
          <w:szCs w:val="32"/>
        </w:rPr>
      </w:pPr>
      <w:bookmarkStart w:id="14" w:name="_Toc89420048"/>
      <w:bookmarkStart w:id="15" w:name="_Toc23817"/>
      <w:r>
        <w:rPr>
          <w:rFonts w:hint="eastAsia" w:ascii="黑体" w:hAnsi="黑体" w:eastAsia="黑体"/>
          <w:sz w:val="32"/>
          <w:szCs w:val="32"/>
        </w:rPr>
        <w:t>四、设计依据</w:t>
      </w:r>
      <w:bookmarkEnd w:id="14"/>
      <w:bookmarkEnd w:id="15"/>
    </w:p>
    <w:p>
      <w:pPr>
        <w:spacing w:line="360" w:lineRule="auto"/>
        <w:ind w:firstLine="551"/>
        <w:rPr>
          <w:rFonts w:ascii="仿宋_GB2312" w:eastAsia="仿宋_GB2312"/>
          <w:kern w:val="0"/>
          <w:sz w:val="32"/>
          <w:szCs w:val="32"/>
        </w:rPr>
      </w:pPr>
      <w:r>
        <w:rPr>
          <w:rFonts w:hint="eastAsia" w:ascii="仿宋_GB2312" w:eastAsia="仿宋_GB2312"/>
          <w:kern w:val="0"/>
          <w:sz w:val="32"/>
          <w:szCs w:val="32"/>
        </w:rPr>
        <w:t xml:space="preserve">包括且不限于规划设计条件、可行性研究报告批复、招标文件、相关部门批复或意见、有关纪要、设计任务书、可行性研究报告、南沙新区市政基础设施技术指引（试行）、相关规范和技术文件等。 </w:t>
      </w:r>
    </w:p>
    <w:p>
      <w:pPr>
        <w:spacing w:line="360" w:lineRule="auto"/>
        <w:outlineLvl w:val="1"/>
        <w:rPr>
          <w:rFonts w:ascii="黑体" w:hAnsi="黑体" w:eastAsia="黑体"/>
          <w:sz w:val="32"/>
          <w:szCs w:val="32"/>
        </w:rPr>
      </w:pPr>
      <w:bookmarkStart w:id="16" w:name="_Toc483213826"/>
      <w:bookmarkStart w:id="17" w:name="_Toc11942"/>
      <w:bookmarkStart w:id="18" w:name="_Toc89420049"/>
      <w:r>
        <w:rPr>
          <w:rFonts w:hint="eastAsia" w:ascii="黑体" w:hAnsi="黑体" w:eastAsia="黑体"/>
          <w:sz w:val="32"/>
          <w:szCs w:val="32"/>
        </w:rPr>
        <w:t>五、</w:t>
      </w:r>
      <w:r>
        <w:rPr>
          <w:rFonts w:ascii="黑体" w:hAnsi="黑体" w:eastAsia="黑体"/>
          <w:sz w:val="32"/>
          <w:szCs w:val="32"/>
        </w:rPr>
        <w:t>工程建设技术标准</w:t>
      </w:r>
      <w:bookmarkEnd w:id="16"/>
      <w:bookmarkEnd w:id="17"/>
      <w:bookmarkEnd w:id="18"/>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（一）桥梁工程设计标准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1.道路等级：城市主干道；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2.设计荷载：汽车荷载：城—A；人群荷载：3.0kN/m2；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3.设计速度：主线 60km/h，辅道、匝道 20～40km/h；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4.结构设计安全等级：一级；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5.结构设计基准期：100 年；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6.设计使用年限：100 年；</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7.设计洪水频率：1/100；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8.通航等级：根据河涌远期规划，按等外航道预留；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9.抗震设防标准：地震动峰值加速度为 0.1g，抗震设防烈度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为7度。</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10.其他参见可行性研究报告。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（二）隧道工程设计标准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1.道路等级：主干路；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2.设计速度：60km/h；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3.路面结构计算轴载：BZZ-100 型标准车；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4.路面使用年限：沥青路面 15 年；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5.净空要求：机动车道≥4.5m；非机动车道和人行道：≥2.5m。；</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6.车行道 2.0％，人行道 1.5％；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7.隧道类别：城市隧道；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8.隧道长度等级：中隧道；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9.隧道设计使用年限：主体结构100年；装饰装修25年；路面结构15年；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10.汽车荷载：城-A 级；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11.隧道防火设计分类：三类；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12.隧道主体结构耐火等级：一级；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13.隧道防水等级：二级；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14.隧道设计基准期：100 年；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15.结构安全等级：一级，结构重要性系数取 1.1；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16.设计洪水频率：1/100；</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17.环境类别：暂按</w:t>
      </w:r>
      <w:r>
        <w:rPr>
          <w:rFonts w:hint="eastAsia" w:ascii="仿宋_GB2312" w:hAnsi="仿宋_GB2312" w:eastAsia="仿宋_GB2312" w:cs="仿宋_GB2312"/>
          <w:kern w:val="0"/>
          <w:sz w:val="32"/>
          <w:szCs w:val="32"/>
          <w:lang w:val="en-US" w:eastAsia="zh-CN"/>
        </w:rPr>
        <w:t>Ⅰ</w:t>
      </w:r>
      <w:r>
        <w:rPr>
          <w:rFonts w:hint="eastAsia" w:ascii="仿宋_GB2312" w:eastAsia="仿宋_GB2312"/>
          <w:kern w:val="0"/>
          <w:sz w:val="32"/>
          <w:szCs w:val="32"/>
          <w:lang w:val="en-US" w:eastAsia="zh-CN"/>
        </w:rPr>
        <w:t>类；</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18.暴雨重现期：一般路段5 年，下沉式隧道50年； </w:t>
      </w:r>
    </w:p>
    <w:p>
      <w:pPr>
        <w:spacing w:line="360" w:lineRule="auto"/>
        <w:ind w:firstLine="551"/>
        <w:rPr>
          <w:rFonts w:hint="eastAsia" w:ascii="仿宋_GB2312" w:eastAsia="仿宋_GB2312"/>
          <w:kern w:val="0"/>
          <w:sz w:val="32"/>
          <w:szCs w:val="32"/>
        </w:rPr>
      </w:pPr>
      <w:r>
        <w:rPr>
          <w:rFonts w:hint="eastAsia" w:ascii="仿宋_GB2312" w:eastAsia="仿宋_GB2312"/>
          <w:kern w:val="0"/>
          <w:sz w:val="32"/>
          <w:szCs w:val="32"/>
          <w:lang w:val="en-US" w:eastAsia="zh-CN"/>
        </w:rPr>
        <w:t>19.其他参见可行性研究报告。</w:t>
      </w:r>
    </w:p>
    <w:p>
      <w:pPr>
        <w:spacing w:line="360" w:lineRule="auto"/>
        <w:ind w:firstLine="551"/>
        <w:rPr>
          <w:rFonts w:hint="eastAsia" w:ascii="仿宋_GB2312" w:eastAsia="仿宋_GB2312"/>
          <w:kern w:val="0"/>
          <w:sz w:val="32"/>
          <w:szCs w:val="32"/>
        </w:rPr>
      </w:pPr>
    </w:p>
    <w:p>
      <w:pPr>
        <w:rPr>
          <w:rFonts w:ascii="宋体" w:hAnsi="宋体" w:cs="宋体"/>
          <w:b/>
          <w:sz w:val="32"/>
          <w:szCs w:val="32"/>
        </w:rPr>
      </w:pPr>
      <w:r>
        <w:rPr>
          <w:rFonts w:hint="eastAsia" w:ascii="宋体" w:hAnsi="宋体" w:cs="宋体"/>
          <w:b/>
          <w:sz w:val="32"/>
          <w:szCs w:val="32"/>
        </w:rPr>
        <w:br w:type="page"/>
      </w:r>
    </w:p>
    <w:p>
      <w:pPr>
        <w:jc w:val="center"/>
        <w:rPr>
          <w:rFonts w:ascii="宋体" w:hAnsi="宋体" w:cs="宋体"/>
          <w:b/>
          <w:sz w:val="32"/>
          <w:szCs w:val="32"/>
        </w:rPr>
      </w:pPr>
      <w:r>
        <w:rPr>
          <w:rFonts w:hint="eastAsia" w:ascii="宋体" w:hAnsi="宋体" w:cs="宋体"/>
          <w:b/>
          <w:sz w:val="32"/>
          <w:szCs w:val="32"/>
        </w:rPr>
        <w:t>主要技术指标一览表</w:t>
      </w:r>
    </w:p>
    <w:tbl>
      <w:tblPr>
        <w:tblStyle w:val="20"/>
        <w:tblW w:w="9007"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3"/>
        <w:gridCol w:w="2236"/>
        <w:gridCol w:w="904"/>
        <w:gridCol w:w="1149"/>
        <w:gridCol w:w="2099"/>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vMerge w:val="restart"/>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序号</w:t>
            </w:r>
          </w:p>
        </w:tc>
        <w:tc>
          <w:tcPr>
            <w:tcW w:w="3140" w:type="dxa"/>
            <w:gridSpan w:val="2"/>
            <w:vMerge w:val="restart"/>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项     目</w:t>
            </w:r>
          </w:p>
        </w:tc>
        <w:tc>
          <w:tcPr>
            <w:tcW w:w="1149" w:type="dxa"/>
            <w:vMerge w:val="restart"/>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单位</w:t>
            </w:r>
          </w:p>
        </w:tc>
        <w:tc>
          <w:tcPr>
            <w:tcW w:w="3785" w:type="dxa"/>
            <w:gridSpan w:val="2"/>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主线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shd w:val="clear" w:color="auto" w:fill="auto"/>
            <w:vAlign w:val="center"/>
          </w:tcPr>
          <w:p>
            <w:pPr>
              <w:snapToGrid w:val="0"/>
              <w:jc w:val="center"/>
              <w:rPr>
                <w:rFonts w:ascii="宋体" w:hAnsi="宋体"/>
              </w:rPr>
            </w:pPr>
          </w:p>
        </w:tc>
        <w:tc>
          <w:tcPr>
            <w:tcW w:w="0" w:type="auto"/>
            <w:gridSpan w:val="2"/>
            <w:vMerge w:val="continue"/>
            <w:shd w:val="clear" w:color="auto" w:fill="auto"/>
            <w:vAlign w:val="center"/>
          </w:tcPr>
          <w:p>
            <w:pPr>
              <w:snapToGrid w:val="0"/>
              <w:ind w:firstLine="4" w:firstLineChars="2"/>
              <w:jc w:val="center"/>
              <w:rPr>
                <w:rFonts w:ascii="宋体" w:hAnsi="宋体"/>
              </w:rPr>
            </w:pPr>
          </w:p>
        </w:tc>
        <w:tc>
          <w:tcPr>
            <w:tcW w:w="0" w:type="auto"/>
            <w:vMerge w:val="continue"/>
            <w:shd w:val="clear" w:color="auto" w:fill="auto"/>
            <w:vAlign w:val="center"/>
          </w:tcPr>
          <w:p>
            <w:pPr>
              <w:snapToGrid w:val="0"/>
              <w:ind w:leftChars="-5" w:hanging="10" w:hangingChars="5"/>
              <w:jc w:val="center"/>
              <w:rPr>
                <w:rFonts w:ascii="宋体" w:hAnsi="宋体"/>
              </w:rPr>
            </w:pPr>
          </w:p>
        </w:tc>
        <w:tc>
          <w:tcPr>
            <w:tcW w:w="2099"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规范值</w:t>
            </w:r>
          </w:p>
        </w:tc>
        <w:tc>
          <w:tcPr>
            <w:tcW w:w="1686" w:type="dxa"/>
            <w:shd w:val="clear" w:color="auto" w:fill="auto"/>
            <w:tcMar>
              <w:top w:w="15" w:type="dxa"/>
              <w:left w:w="41" w:type="dxa"/>
              <w:bottom w:w="0" w:type="dxa"/>
              <w:right w:w="41" w:type="dxa"/>
            </w:tcMar>
            <w:vAlign w:val="center"/>
          </w:tcPr>
          <w:p>
            <w:pPr>
              <w:snapToGrid w:val="0"/>
              <w:ind w:firstLine="1"/>
              <w:jc w:val="center"/>
              <w:rPr>
                <w:rFonts w:ascii="宋体" w:hAnsi="宋体"/>
              </w:rPr>
            </w:pPr>
            <w:r>
              <w:rPr>
                <w:rFonts w:hint="eastAsia" w:ascii="宋体" w:hAnsi="宋体"/>
              </w:rPr>
              <w:t>采用值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1</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道路等级</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p>
        </w:tc>
        <w:tc>
          <w:tcPr>
            <w:tcW w:w="3785" w:type="dxa"/>
            <w:gridSpan w:val="2"/>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城市主干路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2</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设计速度</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km/h</w:t>
            </w:r>
          </w:p>
        </w:tc>
        <w:tc>
          <w:tcPr>
            <w:tcW w:w="3785" w:type="dxa"/>
            <w:gridSpan w:val="2"/>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3</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圆曲线极限最小半径</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250</w:t>
            </w:r>
          </w:p>
        </w:tc>
        <w:tc>
          <w:tcPr>
            <w:tcW w:w="1686" w:type="dxa"/>
            <w:vMerge w:val="restart"/>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4</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圆曲线一般最小半径</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400</w:t>
            </w:r>
          </w:p>
        </w:tc>
        <w:tc>
          <w:tcPr>
            <w:tcW w:w="0" w:type="auto"/>
            <w:vMerge w:val="continue"/>
            <w:shd w:val="clear" w:color="auto" w:fill="auto"/>
            <w:vAlign w:val="center"/>
          </w:tcPr>
          <w:p>
            <w:pPr>
              <w:snapToGrid w:val="0"/>
              <w:ind w:leftChars="-17" w:hanging="35" w:hangingChars="17"/>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5</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不设超高最小半径</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1000</w:t>
            </w:r>
          </w:p>
        </w:tc>
        <w:tc>
          <w:tcPr>
            <w:tcW w:w="0" w:type="auto"/>
            <w:vMerge w:val="continue"/>
            <w:shd w:val="clear" w:color="auto" w:fill="auto"/>
            <w:vAlign w:val="center"/>
          </w:tcPr>
          <w:p>
            <w:pPr>
              <w:snapToGrid w:val="0"/>
              <w:ind w:leftChars="-17" w:hanging="35" w:hangingChars="17"/>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6</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圆曲线最小长度</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70</w:t>
            </w:r>
          </w:p>
        </w:tc>
        <w:tc>
          <w:tcPr>
            <w:tcW w:w="1686"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7</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缓和曲线最小长度</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70</w:t>
            </w:r>
          </w:p>
        </w:tc>
        <w:tc>
          <w:tcPr>
            <w:tcW w:w="1686"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8</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停车视距</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110</w:t>
            </w:r>
          </w:p>
        </w:tc>
        <w:tc>
          <w:tcPr>
            <w:tcW w:w="1686"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9</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最大纵坡（一般/极限）</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4%/5%</w:t>
            </w:r>
          </w:p>
        </w:tc>
        <w:tc>
          <w:tcPr>
            <w:tcW w:w="1686"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vMerge w:val="restart"/>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10</w:t>
            </w:r>
          </w:p>
        </w:tc>
        <w:tc>
          <w:tcPr>
            <w:tcW w:w="2236" w:type="dxa"/>
            <w:vMerge w:val="restart"/>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最小竖曲线半径</w:t>
            </w:r>
          </w:p>
          <w:p>
            <w:pPr>
              <w:snapToGrid w:val="0"/>
              <w:ind w:firstLine="4" w:firstLineChars="2"/>
              <w:jc w:val="center"/>
              <w:rPr>
                <w:rFonts w:ascii="宋体" w:hAnsi="宋体"/>
              </w:rPr>
            </w:pPr>
            <w:r>
              <w:rPr>
                <w:rFonts w:hint="eastAsia" w:ascii="宋体" w:hAnsi="宋体"/>
              </w:rPr>
              <w:t>（一般/极限）</w:t>
            </w:r>
          </w:p>
        </w:tc>
        <w:tc>
          <w:tcPr>
            <w:tcW w:w="904" w:type="dxa"/>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凸形</w:t>
            </w:r>
          </w:p>
        </w:tc>
        <w:tc>
          <w:tcPr>
            <w:tcW w:w="1149" w:type="dxa"/>
            <w:shd w:val="clear" w:color="auto" w:fill="auto"/>
            <w:tcMar>
              <w:top w:w="15" w:type="dxa"/>
              <w:left w:w="41" w:type="dxa"/>
              <w:bottom w:w="0" w:type="dxa"/>
              <w:right w:w="41" w:type="dxa"/>
            </w:tcMar>
            <w:vAlign w:val="center"/>
          </w:tcPr>
          <w:p>
            <w:pPr>
              <w:snapToGrid w:val="0"/>
              <w:ind w:leftChars="-5" w:hanging="10" w:hangingChars="5"/>
              <w:jc w:val="center"/>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4500/3000</w:t>
            </w:r>
          </w:p>
        </w:tc>
        <w:tc>
          <w:tcPr>
            <w:tcW w:w="1686"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3250（2800）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shd w:val="clear" w:color="auto" w:fill="auto"/>
            <w:vAlign w:val="center"/>
          </w:tcPr>
          <w:p>
            <w:pPr>
              <w:snapToGrid w:val="0"/>
              <w:jc w:val="center"/>
              <w:rPr>
                <w:rFonts w:ascii="宋体" w:hAnsi="宋体"/>
              </w:rPr>
            </w:pPr>
          </w:p>
        </w:tc>
        <w:tc>
          <w:tcPr>
            <w:tcW w:w="0" w:type="auto"/>
            <w:vMerge w:val="continue"/>
            <w:shd w:val="clear" w:color="auto" w:fill="auto"/>
            <w:vAlign w:val="center"/>
          </w:tcPr>
          <w:p>
            <w:pPr>
              <w:snapToGrid w:val="0"/>
              <w:ind w:firstLine="4" w:firstLineChars="2"/>
              <w:jc w:val="center"/>
              <w:rPr>
                <w:rFonts w:ascii="宋体" w:hAnsi="宋体"/>
              </w:rPr>
            </w:pPr>
          </w:p>
        </w:tc>
        <w:tc>
          <w:tcPr>
            <w:tcW w:w="904" w:type="dxa"/>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凹形</w:t>
            </w:r>
          </w:p>
        </w:tc>
        <w:tc>
          <w:tcPr>
            <w:tcW w:w="1149" w:type="dxa"/>
            <w:shd w:val="clear" w:color="auto" w:fill="auto"/>
            <w:tcMar>
              <w:top w:w="15" w:type="dxa"/>
              <w:left w:w="41" w:type="dxa"/>
              <w:bottom w:w="0" w:type="dxa"/>
              <w:right w:w="41" w:type="dxa"/>
            </w:tcMar>
            <w:vAlign w:val="center"/>
          </w:tcPr>
          <w:p>
            <w:pPr>
              <w:snapToGrid w:val="0"/>
              <w:ind w:firstLine="480"/>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2700/1800</w:t>
            </w:r>
          </w:p>
        </w:tc>
        <w:tc>
          <w:tcPr>
            <w:tcW w:w="1686"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3000（2100）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72" w:type="dxa"/>
              <w:left w:w="144" w:type="dxa"/>
              <w:bottom w:w="72" w:type="dxa"/>
              <w:right w:w="144" w:type="dxa"/>
            </w:tcMar>
          </w:tcPr>
          <w:p>
            <w:pPr>
              <w:snapToGrid w:val="0"/>
              <w:jc w:val="center"/>
              <w:rPr>
                <w:rFonts w:ascii="宋体" w:hAnsi="宋体"/>
              </w:rPr>
            </w:pPr>
            <w:r>
              <w:rPr>
                <w:rFonts w:hint="eastAsia" w:ascii="宋体" w:hAnsi="宋体"/>
              </w:rPr>
              <w:t>11</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竖曲线最小长度（一般/极限）</w:t>
            </w:r>
          </w:p>
        </w:tc>
        <w:tc>
          <w:tcPr>
            <w:tcW w:w="1149" w:type="dxa"/>
            <w:shd w:val="clear" w:color="auto" w:fill="auto"/>
            <w:tcMar>
              <w:top w:w="15" w:type="dxa"/>
              <w:left w:w="41" w:type="dxa"/>
              <w:bottom w:w="0" w:type="dxa"/>
              <w:right w:w="41" w:type="dxa"/>
            </w:tcMar>
            <w:vAlign w:val="center"/>
          </w:tcPr>
          <w:p>
            <w:pPr>
              <w:snapToGrid w:val="0"/>
              <w:ind w:firstLine="480"/>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170/70</w:t>
            </w:r>
          </w:p>
        </w:tc>
        <w:tc>
          <w:tcPr>
            <w:tcW w:w="1686"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12</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最短坡长</w:t>
            </w:r>
          </w:p>
        </w:tc>
        <w:tc>
          <w:tcPr>
            <w:tcW w:w="1149" w:type="dxa"/>
            <w:shd w:val="clear" w:color="auto" w:fill="auto"/>
            <w:tcMar>
              <w:top w:w="15" w:type="dxa"/>
              <w:left w:w="41" w:type="dxa"/>
              <w:bottom w:w="0" w:type="dxa"/>
              <w:right w:w="41" w:type="dxa"/>
            </w:tcMar>
            <w:vAlign w:val="center"/>
          </w:tcPr>
          <w:p>
            <w:pPr>
              <w:snapToGrid w:val="0"/>
              <w:ind w:firstLine="480"/>
              <w:rPr>
                <w:rFonts w:ascii="宋体" w:hAnsi="宋体"/>
              </w:rPr>
            </w:pPr>
            <w:r>
              <w:rPr>
                <w:rFonts w:hint="eastAsia" w:ascii="宋体" w:hAnsi="宋体"/>
              </w:rPr>
              <w:t>m</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200</w:t>
            </w:r>
          </w:p>
        </w:tc>
        <w:tc>
          <w:tcPr>
            <w:tcW w:w="1686"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200（175）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13</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荷载等级</w:t>
            </w:r>
          </w:p>
        </w:tc>
        <w:tc>
          <w:tcPr>
            <w:tcW w:w="1149" w:type="dxa"/>
            <w:shd w:val="clear" w:color="auto" w:fill="auto"/>
            <w:tcMar>
              <w:top w:w="15" w:type="dxa"/>
              <w:left w:w="41" w:type="dxa"/>
              <w:bottom w:w="0" w:type="dxa"/>
              <w:right w:w="41" w:type="dxa"/>
            </w:tcMar>
            <w:vAlign w:val="center"/>
          </w:tcPr>
          <w:p>
            <w:pPr>
              <w:snapToGrid w:val="0"/>
              <w:ind w:firstLine="480"/>
              <w:rPr>
                <w:rFonts w:ascii="宋体" w:hAnsi="宋体"/>
              </w:rPr>
            </w:pPr>
            <w:r>
              <w:rPr>
                <w:rFonts w:hint="eastAsia" w:ascii="宋体" w:hAnsi="宋体"/>
              </w:rPr>
              <w:t>/</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hint="eastAsia" w:ascii="宋体" w:hAnsi="宋体"/>
              </w:rPr>
              <w:t>城-A</w:t>
            </w:r>
          </w:p>
        </w:tc>
        <w:tc>
          <w:tcPr>
            <w:tcW w:w="1686"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城-A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1</w:t>
            </w:r>
            <w:r>
              <w:rPr>
                <w:rFonts w:ascii="宋体" w:hAnsi="宋体"/>
              </w:rPr>
              <w:t>4</w:t>
            </w:r>
          </w:p>
        </w:tc>
        <w:tc>
          <w:tcPr>
            <w:tcW w:w="3140" w:type="dxa"/>
            <w:gridSpan w:val="2"/>
            <w:vMerge w:val="restart"/>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设计洪水频率</w:t>
            </w:r>
          </w:p>
        </w:tc>
        <w:tc>
          <w:tcPr>
            <w:tcW w:w="1149"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路基</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ascii="宋体" w:hAnsi="宋体" w:cs="Arial"/>
                <w:szCs w:val="21"/>
              </w:rPr>
              <w:t>1/100</w:t>
            </w:r>
          </w:p>
        </w:tc>
        <w:tc>
          <w:tcPr>
            <w:tcW w:w="1686" w:type="dxa"/>
            <w:shd w:val="clear" w:color="auto" w:fill="auto"/>
            <w:tcMar>
              <w:top w:w="15" w:type="dxa"/>
              <w:left w:w="41" w:type="dxa"/>
              <w:bottom w:w="0" w:type="dxa"/>
              <w:right w:w="41" w:type="dxa"/>
            </w:tcMar>
            <w:vAlign w:val="center"/>
          </w:tcPr>
          <w:p>
            <w:pPr>
              <w:snapToGrid w:val="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1</w:t>
            </w:r>
            <w:r>
              <w:rPr>
                <w:rFonts w:ascii="宋体" w:hAnsi="宋体"/>
              </w:rPr>
              <w:t>5</w:t>
            </w:r>
          </w:p>
        </w:tc>
        <w:tc>
          <w:tcPr>
            <w:tcW w:w="3140" w:type="dxa"/>
            <w:gridSpan w:val="2"/>
            <w:vMerge w:val="continue"/>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p>
        </w:tc>
        <w:tc>
          <w:tcPr>
            <w:tcW w:w="1149"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桥涵</w:t>
            </w: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rPr>
            </w:pPr>
            <w:r>
              <w:rPr>
                <w:rFonts w:ascii="宋体" w:hAnsi="宋体" w:cs="Arial"/>
                <w:szCs w:val="21"/>
              </w:rPr>
              <w:t>1/100</w:t>
            </w:r>
          </w:p>
        </w:tc>
        <w:tc>
          <w:tcPr>
            <w:tcW w:w="1686" w:type="dxa"/>
            <w:shd w:val="clear" w:color="auto" w:fill="auto"/>
            <w:tcMar>
              <w:top w:w="15" w:type="dxa"/>
              <w:left w:w="41" w:type="dxa"/>
              <w:bottom w:w="0" w:type="dxa"/>
              <w:right w:w="41" w:type="dxa"/>
            </w:tcMar>
            <w:vAlign w:val="center"/>
          </w:tcPr>
          <w:p>
            <w:pPr>
              <w:snapToGrid w:val="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dxa"/>
            <w:shd w:val="clear" w:color="auto" w:fill="auto"/>
            <w:tcMar>
              <w:top w:w="15" w:type="dxa"/>
              <w:left w:w="41" w:type="dxa"/>
              <w:bottom w:w="0" w:type="dxa"/>
              <w:right w:w="41" w:type="dxa"/>
            </w:tcMar>
            <w:vAlign w:val="center"/>
          </w:tcPr>
          <w:p>
            <w:pPr>
              <w:snapToGrid w:val="0"/>
              <w:jc w:val="center"/>
              <w:rPr>
                <w:rFonts w:ascii="宋体" w:hAnsi="宋体"/>
              </w:rPr>
            </w:pPr>
            <w:r>
              <w:rPr>
                <w:rFonts w:hint="eastAsia" w:ascii="宋体" w:hAnsi="宋体"/>
              </w:rPr>
              <w:t>1</w:t>
            </w:r>
            <w:r>
              <w:rPr>
                <w:rFonts w:ascii="宋体" w:hAnsi="宋体"/>
              </w:rPr>
              <w:t>6</w:t>
            </w:r>
          </w:p>
        </w:tc>
        <w:tc>
          <w:tcPr>
            <w:tcW w:w="3140" w:type="dxa"/>
            <w:gridSpan w:val="2"/>
            <w:shd w:val="clear" w:color="auto" w:fill="auto"/>
            <w:tcMar>
              <w:top w:w="15" w:type="dxa"/>
              <w:left w:w="41" w:type="dxa"/>
              <w:bottom w:w="0" w:type="dxa"/>
              <w:right w:w="41" w:type="dxa"/>
            </w:tcMar>
            <w:vAlign w:val="center"/>
          </w:tcPr>
          <w:p>
            <w:pPr>
              <w:snapToGrid w:val="0"/>
              <w:ind w:firstLine="4" w:firstLineChars="2"/>
              <w:jc w:val="center"/>
              <w:rPr>
                <w:rFonts w:ascii="宋体" w:hAnsi="宋体"/>
              </w:rPr>
            </w:pPr>
            <w:r>
              <w:rPr>
                <w:rFonts w:hint="eastAsia" w:ascii="宋体" w:hAnsi="宋体"/>
              </w:rPr>
              <w:t>路面结构类型</w:t>
            </w:r>
          </w:p>
        </w:tc>
        <w:tc>
          <w:tcPr>
            <w:tcW w:w="1149" w:type="dxa"/>
            <w:shd w:val="clear" w:color="auto" w:fill="auto"/>
            <w:tcMar>
              <w:top w:w="15" w:type="dxa"/>
              <w:left w:w="41" w:type="dxa"/>
              <w:bottom w:w="0" w:type="dxa"/>
              <w:right w:w="41" w:type="dxa"/>
            </w:tcMar>
            <w:vAlign w:val="center"/>
          </w:tcPr>
          <w:p>
            <w:pPr>
              <w:snapToGrid w:val="0"/>
              <w:jc w:val="center"/>
              <w:rPr>
                <w:rFonts w:ascii="宋体" w:hAnsi="宋体"/>
              </w:rPr>
            </w:pPr>
          </w:p>
        </w:tc>
        <w:tc>
          <w:tcPr>
            <w:tcW w:w="2099" w:type="dxa"/>
            <w:shd w:val="clear" w:color="auto" w:fill="auto"/>
            <w:tcMar>
              <w:top w:w="15" w:type="dxa"/>
              <w:left w:w="41" w:type="dxa"/>
              <w:bottom w:w="0" w:type="dxa"/>
              <w:right w:w="41" w:type="dxa"/>
            </w:tcMar>
            <w:vAlign w:val="center"/>
          </w:tcPr>
          <w:p>
            <w:pPr>
              <w:snapToGrid w:val="0"/>
              <w:ind w:leftChars="-17" w:hanging="35" w:hangingChars="17"/>
              <w:jc w:val="center"/>
              <w:rPr>
                <w:rFonts w:ascii="宋体" w:hAnsi="宋体" w:cs="Arial"/>
                <w:szCs w:val="21"/>
              </w:rPr>
            </w:pPr>
            <w:r>
              <w:rPr>
                <w:rFonts w:hint="eastAsia" w:ascii="宋体" w:hAnsi="宋体" w:cs="Arial"/>
                <w:szCs w:val="21"/>
              </w:rPr>
              <w:t>沥青混凝土</w:t>
            </w:r>
          </w:p>
        </w:tc>
        <w:tc>
          <w:tcPr>
            <w:tcW w:w="1686" w:type="dxa"/>
            <w:shd w:val="clear" w:color="auto" w:fill="auto"/>
            <w:tcMar>
              <w:top w:w="15" w:type="dxa"/>
              <w:left w:w="41" w:type="dxa"/>
              <w:bottom w:w="0" w:type="dxa"/>
              <w:right w:w="41" w:type="dxa"/>
            </w:tcMar>
            <w:vAlign w:val="center"/>
          </w:tcPr>
          <w:p>
            <w:pPr>
              <w:snapToGrid w:val="0"/>
              <w:jc w:val="center"/>
              <w:rPr>
                <w:rFonts w:ascii="宋体" w:hAnsi="宋体"/>
              </w:rPr>
            </w:pP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rFonts w:asciiTheme="majorEastAsia" w:hAnsiTheme="majorEastAsia"/>
          <w:sz w:val="44"/>
          <w:szCs w:val="44"/>
        </w:rPr>
      </w:pPr>
      <w:r>
        <w:rPr>
          <w:rFonts w:hint="eastAsia" w:ascii="仿宋_GB2312" w:eastAsia="仿宋_GB2312"/>
          <w:kern w:val="0"/>
          <w:sz w:val="32"/>
          <w:szCs w:val="32"/>
        </w:rPr>
        <w:t xml:space="preserve">         </w:t>
      </w:r>
      <w:bookmarkStart w:id="19" w:name="_Toc483213824"/>
      <w:bookmarkStart w:id="20" w:name="_Toc485374342"/>
      <w:bookmarkStart w:id="21" w:name="_Toc22387"/>
      <w:r>
        <w:rPr>
          <w:rFonts w:hint="eastAsia" w:ascii="方正小标宋简体" w:hAnsi="黑体" w:eastAsia="方正小标宋简体" w:cs="宋体"/>
          <w:kern w:val="0"/>
          <w:sz w:val="44"/>
          <w:szCs w:val="44"/>
        </w:rPr>
        <w:t>第四章 工程勘察设计原则</w:t>
      </w:r>
      <w:bookmarkEnd w:id="19"/>
      <w:r>
        <w:rPr>
          <w:rFonts w:hint="eastAsia" w:ascii="方正小标宋简体" w:hAnsi="黑体" w:eastAsia="方正小标宋简体" w:cs="宋体"/>
          <w:kern w:val="0"/>
          <w:sz w:val="44"/>
          <w:szCs w:val="44"/>
        </w:rPr>
        <w:t>及要求</w:t>
      </w:r>
      <w:bookmarkEnd w:id="20"/>
    </w:p>
    <w:bookmarkEnd w:id="21"/>
    <w:p>
      <w:pPr>
        <w:spacing w:line="560" w:lineRule="exact"/>
        <w:outlineLvl w:val="1"/>
        <w:rPr>
          <w:rFonts w:ascii="黑体" w:hAnsi="黑体" w:eastAsia="黑体"/>
          <w:sz w:val="32"/>
          <w:szCs w:val="32"/>
        </w:rPr>
      </w:pPr>
      <w:bookmarkStart w:id="22" w:name="_Toc89420050"/>
      <w:bookmarkStart w:id="23" w:name="_Toc523"/>
      <w:bookmarkStart w:id="24" w:name="_Toc483213825"/>
      <w:bookmarkStart w:id="25" w:name="_Toc10433"/>
      <w:r>
        <w:rPr>
          <w:rFonts w:hint="eastAsia" w:ascii="黑体" w:hAnsi="黑体" w:eastAsia="黑体"/>
          <w:sz w:val="32"/>
          <w:szCs w:val="32"/>
        </w:rPr>
        <w:t>一、总体</w:t>
      </w:r>
      <w:r>
        <w:rPr>
          <w:rFonts w:ascii="黑体" w:hAnsi="黑体" w:eastAsia="黑体"/>
          <w:sz w:val="32"/>
          <w:szCs w:val="32"/>
        </w:rPr>
        <w:t>原则</w:t>
      </w:r>
      <w:bookmarkEnd w:id="22"/>
      <w:bookmarkEnd w:id="23"/>
      <w:bookmarkEnd w:id="24"/>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工程勘察设计工作应符合国家、省、市标准、规范、规程的有关规定，使工程在使用年限内安全可靠。设计方案应满足方案最优、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经济合理等原则，勘察工作应据实体现现场条件，细致准确，合理可靠为设计提供依据。包括且不限于以下：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（一）设计方案必须满足国家、省和市有关建设方针、政策、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规范、规程同时满足技术标准、通行能力的要求，并考虑工程造价、经济效益和社会效益等综合因素。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（二）路线总体布局应符合总体规划方案，快捷、舒顺。同时，应与其它路网现状及规划密切配合，使路网层次分明，功能完善，交通流转快捷，集散方便。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（三）满足交通快捷化的功能要求，对片区规划路网进一步分 析研究，合理确定技术指标，研究解决相交路口交叉设置及选型、平面交叉口渠化形式、道路交通流组织等。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（四）在尊重建设现状和城市规划所确定的城市空间结构、土地利用方式、道路交通组织及不违反强制性条文的前提下，在规划红线范围内对道路进行深化设计。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（五）道路的平面、纵断面、横断面应相互协调。道路标高应与地面排水、地下管线、两侧建筑物等配合。在道路建设中注意节约用地，妥善处理文物、名木、古迹等。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（六）道路建设应考虑城市道路整体布局和功能，根据交通工程要求，处理好人、车、路、环境之间的关系。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（七）桥涵工程应根据道路功能和技术等级进行总体设计，结合建设条件、防洪通航等要求，在设计使用年限内应满足正常使用的要求。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（八）隧道设计应遵循“安全、耐久、经济、节能、环保”的 的原则。</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（九）根据隧道所处位置的环境条件、工程技术要求与水文地质和道路状况，经技术、经济、工期、施工方式、环境影响和使用效果综合比较选定适当的结构形式、埋置深度和施工方案。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（十）隧道结构应按永久性建筑设计，具有规定的强度、稳定性和耐久性，满足使用年限要求，方便养护和维修作业。隧道附属工程满足隧道主体使用要求，结合周边条件予以优化。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（十一）妥善解决好各种交通流对片区路网的要求。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（十二）管线综合的布设需满足发展的需求。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（十三）尽量结合地形、地物、减少管线迁改，节约投资。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（十四）充分考虑城市环境和城市面貌的要求，解决好人、车、路、环境各种要素的相互关系。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（十五）设计应落实全要素设计概念，体现“国际化、高端化、精细化、品质化”。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（十六）应满足“海绵城市”的建设要求，体现“智慧城市” 的建设理念。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（十七）勘察方案应经济合理，勘察的重点、难点应理解准确；勘察工作流程应规范，勘察大纲经审核后方能进场实施，勘察工期进度计划应符合设计工作进度要求。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 xml:space="preserve">（十八）选用的材料、设备，应注明其规格、型号、性能等技术指标及适应性，满足质量、安全、节能、环保等要求，但不得指定生产厂、供应商和产品品牌，以及不得使用有专利等易产生纠纷或有指定倾向的产品或技术。 </w:t>
      </w:r>
    </w:p>
    <w:p>
      <w:pPr>
        <w:keepNext w:val="0"/>
        <w:keepLines w:val="0"/>
        <w:pageBreakBefore w:val="0"/>
        <w:widowControl w:val="0"/>
        <w:kinsoku/>
        <w:wordWrap/>
        <w:overflowPunct/>
        <w:topLinePunct w:val="0"/>
        <w:autoSpaceDE/>
        <w:autoSpaceDN/>
        <w:bidi w:val="0"/>
        <w:adjustRightInd/>
        <w:snapToGrid/>
        <w:spacing w:line="560" w:lineRule="exact"/>
        <w:ind w:firstLine="550"/>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（十九）BIM 技术的应用为项目方案优化和科学管理提供依据，促进项目提质增效</w:t>
      </w:r>
      <w:r>
        <w:rPr>
          <w:rFonts w:hint="eastAsia" w:ascii="仿宋_GB2312" w:eastAsia="仿宋_GB2312"/>
          <w:kern w:val="0"/>
          <w:sz w:val="32"/>
          <w:szCs w:val="32"/>
        </w:rPr>
        <w:t>。</w:t>
      </w:r>
    </w:p>
    <w:p>
      <w:pPr>
        <w:pStyle w:val="2"/>
      </w:pPr>
    </w:p>
    <w:bookmarkEnd w:id="25"/>
    <w:p>
      <w:pPr>
        <w:spacing w:line="360" w:lineRule="auto"/>
        <w:outlineLvl w:val="1"/>
        <w:rPr>
          <w:rFonts w:ascii="黑体" w:hAnsi="黑体" w:eastAsia="黑体"/>
          <w:sz w:val="32"/>
          <w:szCs w:val="32"/>
        </w:rPr>
      </w:pPr>
      <w:bookmarkStart w:id="26" w:name="_Toc21967"/>
      <w:bookmarkStart w:id="27" w:name="_Toc89420051"/>
      <w:r>
        <w:rPr>
          <w:rFonts w:hint="eastAsia" w:ascii="黑体" w:hAnsi="黑体" w:eastAsia="黑体"/>
          <w:sz w:val="32"/>
          <w:szCs w:val="32"/>
        </w:rPr>
        <w:t>二、总体要求</w:t>
      </w:r>
      <w:bookmarkEnd w:id="26"/>
      <w:bookmarkEnd w:id="27"/>
    </w:p>
    <w:p>
      <w:pPr>
        <w:keepNext w:val="0"/>
        <w:keepLines w:val="0"/>
        <w:pageBreakBefore w:val="0"/>
        <w:widowControl w:val="0"/>
        <w:kinsoku/>
        <w:wordWrap/>
        <w:overflowPunct/>
        <w:topLinePunct w:val="0"/>
        <w:autoSpaceDE/>
        <w:autoSpaceDN/>
        <w:bidi w:val="0"/>
        <w:adjustRightInd/>
        <w:snapToGrid/>
        <w:spacing w:line="560" w:lineRule="exact"/>
        <w:ind w:firstLine="551"/>
        <w:textAlignment w:val="auto"/>
        <w:rPr>
          <w:rFonts w:ascii="仿宋_GB2312" w:eastAsia="仿宋_GB2312"/>
          <w:kern w:val="0"/>
          <w:sz w:val="32"/>
          <w:szCs w:val="32"/>
        </w:rPr>
      </w:pPr>
      <w:r>
        <w:rPr>
          <w:rFonts w:hint="eastAsia" w:ascii="仿宋_GB2312" w:eastAsia="仿宋_GB2312"/>
          <w:kern w:val="0"/>
          <w:sz w:val="32"/>
          <w:szCs w:val="32"/>
        </w:rPr>
        <w:t>项目建设内容包括且不限于道路工程、桥</w:t>
      </w:r>
      <w:r>
        <w:rPr>
          <w:rFonts w:hint="eastAsia" w:ascii="仿宋_GB2312" w:eastAsia="仿宋_GB2312"/>
          <w:kern w:val="0"/>
          <w:sz w:val="32"/>
          <w:szCs w:val="32"/>
          <w:lang w:val="en-US" w:eastAsia="zh-CN"/>
        </w:rPr>
        <w:t>梁</w:t>
      </w:r>
      <w:r>
        <w:rPr>
          <w:rFonts w:hint="eastAsia" w:ascii="仿宋_GB2312" w:eastAsia="仿宋_GB2312"/>
          <w:kern w:val="0"/>
          <w:sz w:val="32"/>
          <w:szCs w:val="32"/>
        </w:rPr>
        <w:t>工程、隧道工程、 排水工程、交通工程及交通疏解、照明工程、电力工程、绿化工程、 外电工程等。本工程不包含给水管道、通信管道及燃气管道工程， 仅为其提供足够的布设空间。</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（一）勘察应符合国家政策、省、市及行业规范、标准、规则 等有关规定。</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（二）在满足设计要求的前提下，应采用经济合理的勘察方案， 勘察费不应超过中标价，最终结算价以财政评审结果为准。</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（三）勘测及收集的基础资料应齐全、可靠和准确，并能满足 国家有关法规及技术标准的要求，满足建设工程规划、设计和施工 等需要</w:t>
      </w:r>
      <w:r>
        <w:rPr>
          <w:rFonts w:hint="eastAsia" w:ascii="仿宋_GB2312" w:eastAsia="仿宋_GB2312"/>
          <w:kern w:val="0"/>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 xml:space="preserve">（四）项目设计应满足国家和省、市、区有关建设方针、政策、 规划、规程要求，各阶段设计通过相关报建报批、审查要求。 </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（五）项目建设形式与规模能满足区域交通发展的需求，能满 足道路所承担的交通功能需求，并根据此要求合理的确定道路的用 地规模、断面型式及建设型式。</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（六）设计方案应结合建设条件考虑近远期方案，避免重复建 设、投资浪费。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（七）有利于发挥道路的交通功能，有利于城市交通的集散和 疏解、均衡路网流量、发挥路网整体运行效率以及地区规划的开发 和协调。做好慢行交通系统的连续性设计。</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（八）从交通安全角度出发，完善人行过街设施，做好无障碍 设计，方便残疾人、老年人和弱视群体的出行需求。</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（九）妥善考虑公交车线路和设站规划、横向人行通道设置</w:t>
      </w:r>
      <w:r>
        <w:rPr>
          <w:rFonts w:hint="eastAsia" w:ascii="仿宋_GB2312" w:eastAsia="仿宋_GB2312"/>
          <w:kern w:val="0"/>
          <w:sz w:val="32"/>
          <w:szCs w:val="32"/>
          <w:lang w:eastAsia="zh-CN"/>
        </w:rPr>
        <w:t>、</w:t>
      </w:r>
      <w:r>
        <w:rPr>
          <w:rFonts w:hint="eastAsia" w:ascii="仿宋_GB2312" w:eastAsia="仿宋_GB2312"/>
          <w:kern w:val="0"/>
          <w:sz w:val="32"/>
          <w:szCs w:val="32"/>
        </w:rPr>
        <w:t>沿线非机动车通道安排，最终以相关部门审批意见为准。</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（十）满足项目的使用功能和便于维护管理的要求。</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（十一）须具有经济性，以适当的投资建设取得较好的经济效 益和社会效益。采用新技术、新工艺、新材料，合理确定建设规模， 使工程方案充分体现合理性、适用性、可行性和性价比。设计以低 碳绿色环保意念。</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（十二）选择适合南沙地区生长的优势树种，根据《广州市关 于科学绿化的实施意见》和《广州市城市树木保护管理规定（试 行）》，道路绿化应选用适应道路环境条件、生长稳定、吸尘降噪、 生态景观功能好、安全易管护的树种，并注重乔灌草的合理搭配</w:t>
      </w:r>
      <w:r>
        <w:rPr>
          <w:rFonts w:hint="eastAsia" w:ascii="仿宋_GB2312" w:eastAsia="仿宋_GB2312"/>
          <w:kern w:val="0"/>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lang w:val="en-US" w:eastAsia="zh-CN"/>
        </w:rPr>
      </w:pPr>
      <w:r>
        <w:rPr>
          <w:rFonts w:hint="eastAsia" w:ascii="仿宋_GB2312" w:eastAsia="仿宋_GB2312"/>
          <w:kern w:val="0"/>
          <w:sz w:val="32"/>
          <w:szCs w:val="32"/>
        </w:rPr>
        <w:t>（十三）桥梁设计需综合满足通航、行洪纳潮、景观、照明、 管线敷设等要求。</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（十四）现状已建桥梁、立交匝道应进行检测评估，复核是否 能满足现行规范的相关要求，并结合桥梁检测结果提出经济、合理 的改造方案。</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（十五）应配合必要的专项评估工作。</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（十六）下穿高速的设计方案应满足高速公路主管部门的相关 要求，充分避免施工期间和运营期间对高速公路桥梁稳定性的影 响</w:t>
      </w:r>
      <w:r>
        <w:rPr>
          <w:rFonts w:hint="eastAsia" w:ascii="仿宋_GB2312" w:eastAsia="仿宋_GB2312"/>
          <w:kern w:val="0"/>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（十七）隧道设计应满足城市规划、道路功能、土地资源、生 态环境、可持续发展的要求，总体平纵线形、建筑界限、基础结构、 横断面布置、通风、照明、消防和交通监控等各相关专业内容应与 道路等级相适应；应严格做好造价控制，在满足使用便利、施工安 全的基础上，尽量节约财政投资，如采用经济合理的施工措施、</w:t>
      </w:r>
      <w:r>
        <w:rPr>
          <w:rFonts w:hint="eastAsia" w:ascii="仿宋_GB2312" w:eastAsia="仿宋_GB2312"/>
          <w:kern w:val="0"/>
          <w:sz w:val="32"/>
          <w:szCs w:val="32"/>
          <w:lang w:val="en-US" w:eastAsia="zh-CN"/>
        </w:rPr>
        <w:t>充</w:t>
      </w:r>
      <w:r>
        <w:rPr>
          <w:rFonts w:hint="eastAsia" w:ascii="仿宋_GB2312" w:eastAsia="仿宋_GB2312"/>
          <w:kern w:val="0"/>
          <w:sz w:val="32"/>
          <w:szCs w:val="32"/>
        </w:rPr>
        <w:t>分考虑岩渣利用等。</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（十八）隧道防排水应遵循“防、排、截、堵结合，因地制宜， 综合治理”的原则，保证隧道结构物和营运设备的正常使用和行车 安全。隧道防排水设计应对地表水、地下水妥善处理，洞内外应形 成完整通畅的防排水系统。当对隧道开挖后存在大面积淋水地段或 开挖后局部的出露股水地段采用“限量排放”注浆堵水措施，减少 地下水的排放量。</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（十九）尽量做到土石方平衡利用和弃方利用。</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（二十）积极配合文物保护安全评估工作，隧道施工工艺应符 合文物保护安全的要求。</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（二十一）电力设施迁改应在主体工程初步设计概算编制前经 供电局审核确认，稳定迁改方案和预算，并将迁改预算纳入主体工 程概算一并送审。</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（二十二）技术标准及指标均应满足各专业规范的具体要求， 并参照执行《南沙新区市政基础设施技术指引（试行）》、《南沙 新区市政道路照明工程智能控制管理系统建设指南》、《南沙优良 适生植物推荐》、《南沙区市政消火栓建设工作方案》、《城市道 路品质化提升建设指引》、《广州市海绵城市建设技术指引及标准 图集（试行）》等广州市及南沙区颁布的有关指引及标准。</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（二十三）应采用南沙地区应用成熟的技术、工艺和材料设备， 不得采用存在或可能出现专利、产权纠纷的产品或工艺。</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（二十四）做好交通组织设计，施工期间保证道路通行畅通。 （二十五）本项目全过程严格实行投资控制，落实限额设计， 要求概算全面准确、合理，符合相关规范、标准要求，不超批复的 可行性研究报告估算投资。</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（二十六）采用 BIM 技术开展项目方案汇报，内容包括但不限 于方案优化比选、模拟分析、专业间协调等应用。</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kern w:val="0"/>
          <w:sz w:val="32"/>
          <w:szCs w:val="32"/>
        </w:rPr>
      </w:pPr>
      <w:r>
        <w:rPr>
          <w:rFonts w:hint="eastAsia" w:ascii="仿宋_GB2312" w:eastAsia="仿宋_GB2312"/>
          <w:kern w:val="0"/>
          <w:sz w:val="32"/>
          <w:szCs w:val="32"/>
        </w:rPr>
        <w:t>（二十七）采用 BIM 技术对地下管线布设、立体交叉形式等重 要方案进行研究，通过可视化的分析，确保方案合理、可行。</w:t>
      </w:r>
    </w:p>
    <w:p>
      <w:pPr>
        <w:pStyle w:val="2"/>
      </w:pPr>
    </w:p>
    <w:p>
      <w:pPr>
        <w:rPr>
          <w:rFonts w:ascii="方正小标宋简体" w:hAnsi="黑体" w:eastAsia="方正小标宋简体" w:cs="宋体"/>
          <w:kern w:val="0"/>
          <w:sz w:val="44"/>
          <w:szCs w:val="44"/>
        </w:rPr>
      </w:pPr>
      <w:r>
        <w:rPr>
          <w:rFonts w:hint="eastAsia" w:ascii="方正小标宋简体" w:hAnsi="黑体" w:eastAsia="方正小标宋简体" w:cs="宋体"/>
          <w:kern w:val="0"/>
          <w:sz w:val="44"/>
          <w:szCs w:val="44"/>
        </w:rPr>
        <w:br w:type="page"/>
      </w:r>
    </w:p>
    <w:p>
      <w:pPr>
        <w:widowControl/>
        <w:adjustRightInd w:val="0"/>
        <w:snapToGrid w:val="0"/>
        <w:spacing w:after="200" w:line="300" w:lineRule="auto"/>
        <w:jc w:val="center"/>
        <w:outlineLvl w:val="0"/>
        <w:rPr>
          <w:rFonts w:ascii="方正小标宋简体" w:hAnsi="黑体" w:eastAsia="方正小标宋简体" w:cs="宋体"/>
          <w:kern w:val="0"/>
          <w:sz w:val="44"/>
          <w:szCs w:val="44"/>
        </w:rPr>
      </w:pPr>
      <w:bookmarkStart w:id="28" w:name="_Toc89420052"/>
      <w:r>
        <w:rPr>
          <w:rFonts w:hint="eastAsia" w:ascii="方正小标宋简体" w:hAnsi="黑体" w:eastAsia="方正小标宋简体" w:cs="宋体"/>
          <w:kern w:val="0"/>
          <w:sz w:val="44"/>
          <w:szCs w:val="44"/>
        </w:rPr>
        <w:t>第五章 勘察设计内容及工作任务</w:t>
      </w:r>
      <w:bookmarkEnd w:id="28"/>
    </w:p>
    <w:p>
      <w:pPr>
        <w:spacing w:line="560" w:lineRule="exact"/>
        <w:outlineLvl w:val="1"/>
        <w:rPr>
          <w:rFonts w:ascii="黑体" w:hAnsi="黑体" w:eastAsia="黑体"/>
          <w:sz w:val="32"/>
          <w:szCs w:val="32"/>
        </w:rPr>
      </w:pPr>
      <w:bookmarkStart w:id="29" w:name="_Toc89420053"/>
      <w:bookmarkStart w:id="30" w:name="_Toc30294"/>
      <w:r>
        <w:rPr>
          <w:rFonts w:hint="eastAsia" w:ascii="黑体" w:hAnsi="黑体" w:eastAsia="黑体"/>
          <w:sz w:val="32"/>
          <w:szCs w:val="32"/>
        </w:rPr>
        <w:t>一、勘察设计内容</w:t>
      </w:r>
      <w:bookmarkEnd w:id="29"/>
      <w:bookmarkEnd w:id="30"/>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项目勘察指初勘、详勘等设计全过程的勘察工作，本项目设计指方案设计、初步设计、概算等各项设计工作。勘察及设计工作需满足专业齐全、内容完善、依据充分、方案经济合理等方面的要求，深度和编制要求应符合国家、省、市等相关文件规定。具体设计内容参考可行性研究报告，包括且不限于以下内容：</w:t>
      </w:r>
    </w:p>
    <w:p>
      <w:pPr>
        <w:spacing w:line="560" w:lineRule="exact"/>
        <w:ind w:firstLine="640" w:firstLineChars="200"/>
        <w:rPr>
          <w:rFonts w:ascii="仿宋_GB2312" w:eastAsia="仿宋_GB2312"/>
          <w:sz w:val="32"/>
          <w:szCs w:val="32"/>
        </w:rPr>
      </w:pPr>
      <w:bookmarkStart w:id="31" w:name="_Toc5492"/>
      <w:r>
        <w:rPr>
          <w:rFonts w:hint="eastAsia" w:ascii="仿宋_GB2312" w:eastAsia="仿宋_GB2312"/>
          <w:sz w:val="32"/>
          <w:szCs w:val="32"/>
        </w:rPr>
        <w:t>（一）主动收集设计所需的国土、规划、水利、电力、地铁等相关资料，配合完成规划、用地、交通、电力、水务、环评、水保、地灾评估、消防等报建报批工作。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（二）按相关要求，合理开展初勘、详勘各阶段勘察工作，包括并不限于对场地进行勘察、测量、物探等，最终以财政评审结果为准。</w:t>
      </w:r>
    </w:p>
    <w:p>
      <w:pPr>
        <w:spacing w:line="560" w:lineRule="exact"/>
        <w:ind w:firstLine="640" w:firstLineChars="200"/>
        <w:rPr>
          <w:rFonts w:eastAsia="仿宋_GB2312"/>
        </w:rPr>
      </w:pPr>
      <w:r>
        <w:rPr>
          <w:rFonts w:hint="eastAsia" w:ascii="仿宋_GB2312" w:eastAsia="仿宋_GB2312"/>
          <w:sz w:val="32"/>
          <w:szCs w:val="32"/>
        </w:rPr>
        <w:t>（三）隧道工程：结合场地条件，做好隧道总体平纵横及视距设计，根据工程实施条件，考虑工程所在区域，工程功能定位、与周边环境协调及景观提升要求，提出适合的工程方案，隧道工程内容包括隧道土建工程、隧道通风、隧道给排水、隧道消防、隧道电气及照明、隧道监控及隧道装饰等。基于隧道工程100年的设计使用寿命要求和项目营运需求，在结构和构造设计中，应充分考虑结构的可检性、可修性、可换性、可控性、可持续性和安全性；充分考虑维护通道的便利化、人性化。</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桥梁工程：综合考虑结构的受力特点、结构高度、通航要求和景观等因素做到方案可行、结构美观、便于施工、造价经济和节约投资，正确处理工期与成本的关系，寻找最佳工期成本点。在特殊施工条件下，应反复权衡为保证工期而采用的措施所增加的费用与因工期延误造成的损失。同时，通过技术创新，可以提高施工效率与工程质量，缩短工期，防止因误工、返工造成的浪费。</w:t>
      </w:r>
    </w:p>
    <w:p>
      <w:pPr>
        <w:tabs>
          <w:tab w:val="left" w:pos="1134"/>
        </w:tabs>
        <w:spacing w:line="560" w:lineRule="exact"/>
        <w:ind w:firstLine="640" w:firstLineChars="200"/>
        <w:rPr>
          <w:rFonts w:ascii="仿宋_GB2312" w:eastAsia="仿宋_GB2312"/>
          <w:sz w:val="32"/>
          <w:szCs w:val="32"/>
        </w:rPr>
      </w:pPr>
      <w:r>
        <w:rPr>
          <w:rFonts w:hint="eastAsia" w:ascii="仿宋_GB2312" w:eastAsia="仿宋_GB2312"/>
          <w:sz w:val="32"/>
          <w:szCs w:val="32"/>
        </w:rPr>
        <w:t>（五）道路工程：总体设计应在可行性研究报告方案的基础上，结合城市规划、防洪排涝、地铁保护等相关部门意见、主管部门等单位意见，对道路总体布置进行优化；按要求做好道路交叉及交通组织设计、路基路面设计，同时应考虑新旧路基、路面的衔接等。最终方案以相关部门审批为准。</w:t>
      </w:r>
    </w:p>
    <w:p>
      <w:pPr>
        <w:tabs>
          <w:tab w:val="left" w:pos="1134"/>
        </w:tabs>
        <w:spacing w:line="560" w:lineRule="exact"/>
        <w:ind w:firstLine="640" w:firstLineChars="200"/>
        <w:rPr>
          <w:rFonts w:ascii="仿宋_GB2312" w:eastAsia="仿宋_GB2312"/>
          <w:sz w:val="32"/>
          <w:szCs w:val="32"/>
        </w:rPr>
      </w:pPr>
      <w:r>
        <w:rPr>
          <w:rFonts w:hint="eastAsia" w:ascii="仿宋_GB2312" w:eastAsia="仿宋_GB2312"/>
          <w:sz w:val="32"/>
          <w:szCs w:val="32"/>
        </w:rPr>
        <w:t>（六）排水工程：应对现有的排水系统进行摸查，并结合规划及实际需求，对雨、污管线进行合理设计，在满足规划审批及使用功能要求的前提下；做好管道基础处理及基坑支护设计；做好“海绵城市”排水系统的相关设计；做好近远期、周边相关道路既有排水系统的衔接设计；做好临时排水系统设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（七）电力管廊设计：参照《广州市电力管廊设计指引》进行设计，根据可行性研究报告，进行电力管廊基础处理设计</w:t>
      </w:r>
      <w:r>
        <w:rPr>
          <w:rFonts w:ascii="仿宋_GB2312" w:eastAsia="仿宋_GB2312"/>
          <w:sz w:val="32"/>
          <w:szCs w:val="32"/>
        </w:rPr>
        <w:t>。</w:t>
      </w:r>
      <w:r>
        <w:rPr>
          <w:rFonts w:hint="eastAsia" w:ascii="仿宋_GB2312" w:eastAsia="仿宋_GB2312"/>
          <w:sz w:val="32"/>
          <w:szCs w:val="32"/>
        </w:rPr>
        <w:t>具体设计方案以电力等主管部门审批意见为准。</w:t>
      </w:r>
    </w:p>
    <w:p>
      <w:pPr>
        <w:tabs>
          <w:tab w:val="left" w:pos="1134"/>
        </w:tabs>
        <w:spacing w:line="560" w:lineRule="exact"/>
        <w:ind w:firstLine="640" w:firstLineChars="200"/>
        <w:rPr>
          <w:rFonts w:ascii="仿宋_GB2312" w:eastAsia="仿宋_GB2312"/>
          <w:sz w:val="32"/>
          <w:szCs w:val="32"/>
        </w:rPr>
      </w:pPr>
      <w:r>
        <w:rPr>
          <w:rFonts w:hint="eastAsia" w:ascii="仿宋_GB2312" w:eastAsia="仿宋_GB2312"/>
          <w:sz w:val="32"/>
          <w:szCs w:val="32"/>
        </w:rPr>
        <w:t>（八）管线综合工程：应取得水务、电力、通讯、供水、煤气等有关的管线产权单位的意见，根据相应的市政基础设施规划和各市政管线建设的要求进行管线综合设计，并完成管线综合报建报批手续。</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（九）交通工程：对道路沿线的交通标志、标线等进行设计，落实多杆合一的设计理念及智能交通系统的要求，标志牌采用中英文对照。最终以交警部门审批意见为准。</w:t>
      </w:r>
    </w:p>
    <w:p>
      <w:pPr>
        <w:tabs>
          <w:tab w:val="left" w:pos="1134"/>
        </w:tabs>
        <w:spacing w:line="560" w:lineRule="exact"/>
        <w:ind w:firstLine="640" w:firstLineChars="200"/>
      </w:pPr>
      <w:r>
        <w:rPr>
          <w:rFonts w:hint="eastAsia" w:ascii="仿宋_GB2312" w:eastAsia="仿宋_GB2312"/>
          <w:sz w:val="32"/>
          <w:szCs w:val="32"/>
        </w:rPr>
        <w:t>（十）照明工程：</w:t>
      </w:r>
      <w:r>
        <w:rPr>
          <w:rFonts w:ascii="仿宋_GB2312" w:eastAsia="仿宋_GB2312"/>
          <w:sz w:val="32"/>
          <w:szCs w:val="32"/>
        </w:rPr>
        <w:t>包括道路功能性照明设计、相关照明设施的供配电系统设计</w:t>
      </w:r>
      <w:r>
        <w:rPr>
          <w:rFonts w:hint="eastAsia" w:ascii="仿宋_GB2312" w:eastAsia="仿宋_GB2312"/>
          <w:sz w:val="32"/>
          <w:szCs w:val="32"/>
        </w:rPr>
        <w:t>、智能照明控制系统</w:t>
      </w:r>
      <w:r>
        <w:rPr>
          <w:rFonts w:ascii="仿宋_GB2312" w:eastAsia="仿宋_GB2312"/>
          <w:sz w:val="32"/>
          <w:szCs w:val="32"/>
        </w:rPr>
        <w:t>及防雷接地系统。</w:t>
      </w:r>
      <w:r>
        <w:rPr>
          <w:rFonts w:hint="eastAsia" w:ascii="仿宋_GB2312" w:eastAsia="仿宋_GB2312"/>
          <w:sz w:val="32"/>
          <w:szCs w:val="32"/>
        </w:rPr>
        <w:t xml:space="preserve">对路灯灯杆型式要进行比选，兼顾景观及悬挂外饰等功能。为确保在路灯供电线路出现故障时，电气保护元件能瞬时起到作用，要求做好路灯灯杆的单独接地和联网接地。    </w:t>
      </w:r>
    </w:p>
    <w:p>
      <w:pPr>
        <w:tabs>
          <w:tab w:val="left" w:pos="1134"/>
        </w:tabs>
        <w:spacing w:line="560" w:lineRule="exact"/>
        <w:ind w:firstLine="640" w:firstLineChars="200"/>
        <w:rPr>
          <w:rFonts w:ascii="仿宋_GB2312" w:eastAsia="仿宋_GB2312"/>
          <w:sz w:val="32"/>
          <w:szCs w:val="32"/>
        </w:rPr>
      </w:pPr>
      <w:r>
        <w:rPr>
          <w:rFonts w:hint="eastAsia" w:ascii="仿宋_GB2312" w:eastAsia="仿宋_GB2312"/>
          <w:sz w:val="32"/>
          <w:szCs w:val="32"/>
        </w:rPr>
        <w:t>（十一）进场苗木应选择全冠假植苗，主枝三级分枝以上，乔木胸径不低于15厘米；绿化种植区域不得有建筑垃圾层或不透水层，种植土厚度满足相关规范要求。着重景观设计，绿化乔木应与沿线现有景观协调。</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（十二）结合规划和海绵办要求，落实海绵城市设计，以及全要素的“国际化、高端化、精细化、品质化”设计要求。</w:t>
      </w:r>
    </w:p>
    <w:p>
      <w:pPr>
        <w:spacing w:line="560" w:lineRule="exact"/>
        <w:ind w:firstLine="640" w:firstLineChars="200"/>
        <w:rPr>
          <w:rFonts w:ascii="仿宋_GB2312" w:eastAsia="仿宋_GB2312"/>
          <w:sz w:val="32"/>
          <w:szCs w:val="32"/>
        </w:rPr>
      </w:pPr>
      <w:bookmarkStart w:id="32" w:name="_Toc388"/>
      <w:r>
        <w:rPr>
          <w:rFonts w:hint="eastAsia" w:ascii="仿宋_GB2312" w:eastAsia="仿宋_GB2312"/>
          <w:sz w:val="32"/>
          <w:szCs w:val="32"/>
        </w:rPr>
        <w:t>（十三）以上各专业工程的概算编制工作。</w:t>
      </w:r>
      <w:bookmarkEnd w:id="32"/>
    </w:p>
    <w:p>
      <w:pPr>
        <w:tabs>
          <w:tab w:val="left" w:pos="1134"/>
        </w:tabs>
        <w:spacing w:line="560" w:lineRule="exact"/>
        <w:ind w:firstLine="640" w:firstLineChars="200"/>
        <w:rPr>
          <w:rFonts w:ascii="仿宋_GB2312" w:eastAsia="仿宋_GB2312"/>
          <w:sz w:val="32"/>
          <w:szCs w:val="32"/>
        </w:rPr>
      </w:pPr>
      <w:r>
        <w:rPr>
          <w:rFonts w:hint="eastAsia" w:ascii="仿宋_GB2312" w:eastAsia="仿宋_GB2312"/>
          <w:sz w:val="32"/>
          <w:szCs w:val="32"/>
        </w:rPr>
        <w:t>（十四）业主提出所需要开展的其他相关工作。</w:t>
      </w:r>
    </w:p>
    <w:bookmarkEnd w:id="31"/>
    <w:p>
      <w:pPr>
        <w:spacing w:line="560" w:lineRule="exact"/>
        <w:ind w:firstLine="640" w:firstLineChars="200"/>
        <w:outlineLvl w:val="1"/>
        <w:rPr>
          <w:rFonts w:ascii="黑体" w:hAnsi="黑体" w:eastAsia="黑体"/>
          <w:sz w:val="32"/>
          <w:szCs w:val="32"/>
        </w:rPr>
      </w:pPr>
      <w:bookmarkStart w:id="33" w:name="_Toc19855"/>
      <w:bookmarkStart w:id="34" w:name="_Toc89420054"/>
      <w:r>
        <w:rPr>
          <w:rFonts w:hint="eastAsia" w:ascii="黑体" w:hAnsi="黑体" w:eastAsia="黑体"/>
          <w:sz w:val="32"/>
          <w:szCs w:val="32"/>
        </w:rPr>
        <w:t>二、工作任务</w:t>
      </w:r>
      <w:bookmarkEnd w:id="33"/>
      <w:bookmarkEnd w:id="34"/>
    </w:p>
    <w:p>
      <w:pPr>
        <w:spacing w:line="560" w:lineRule="exact"/>
        <w:ind w:firstLine="640" w:firstLineChars="200"/>
        <w:rPr>
          <w:rFonts w:ascii="仿宋_GB2312" w:eastAsia="仿宋_GB2312"/>
          <w:sz w:val="32"/>
          <w:szCs w:val="32"/>
        </w:rPr>
      </w:pPr>
      <w:r>
        <w:rPr>
          <w:rFonts w:hint="eastAsia" w:ascii="仿宋_GB2312" w:eastAsia="仿宋_GB2312"/>
          <w:sz w:val="32"/>
          <w:szCs w:val="32"/>
        </w:rPr>
        <w:t>项目设计阶段包括：勘察（含物探、测量、地质勘探等）、方案设计、初步设计（含工程概算）以及与设计相关的报建报批、专项深化设计、补充设计等全过程设计工作、以及配合完成概算财政评审工作和施工配合等后续服务。勘察测量应满足各阶段设计的需要及符合相关标准、规范要求，各阶段设计成果文件需满足市政公用工程设计文件编制深度规定及其它相关规范规定的设计深度要求，并报业主单位审核。具体包括且不限于以下内容：</w:t>
      </w:r>
    </w:p>
    <w:p>
      <w:pPr>
        <w:tabs>
          <w:tab w:val="left" w:pos="709"/>
        </w:tabs>
        <w:spacing w:line="560" w:lineRule="exact"/>
        <w:ind w:firstLine="643" w:firstLineChars="200"/>
        <w:rPr>
          <w:rFonts w:ascii="仿宋_GB2312" w:eastAsia="仿宋_GB2312"/>
          <w:b/>
          <w:sz w:val="32"/>
          <w:szCs w:val="32"/>
        </w:rPr>
      </w:pPr>
      <w:r>
        <w:rPr>
          <w:rFonts w:hint="eastAsia" w:ascii="仿宋_GB2312" w:eastAsia="仿宋_GB2312"/>
          <w:b/>
          <w:sz w:val="32"/>
          <w:szCs w:val="32"/>
        </w:rPr>
        <w:t>（一）勘察</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现行地质勘察、测量规范、管线物探、标准进行现场勘察、测量和物探，并提供合格的报告，内容应包括但不限于以下内容：岩土工程勘察、工程测量、工程物探、水下地形测量及扫床工作、现场服务、其他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1、岩土工程勘察：</w:t>
      </w:r>
      <w:r>
        <w:rPr>
          <w:rFonts w:hint="eastAsia" w:ascii="仿宋_GB2312" w:eastAsia="仿宋_GB2312"/>
          <w:sz w:val="32"/>
          <w:szCs w:val="32"/>
          <w:highlight w:val="yellow"/>
        </w:rPr>
        <w:t>中标人在收到中标通知后</w:t>
      </w:r>
      <w:r>
        <w:rPr>
          <w:rFonts w:hint="eastAsia" w:ascii="仿宋_GB2312" w:eastAsia="仿宋_GB2312"/>
          <w:sz w:val="32"/>
          <w:szCs w:val="32"/>
          <w:highlight w:val="yellow"/>
          <w:lang w:val="en-US" w:eastAsia="zh-CN"/>
        </w:rPr>
        <w:t>7</w:t>
      </w:r>
      <w:r>
        <w:rPr>
          <w:rFonts w:hint="eastAsia" w:ascii="仿宋_GB2312" w:eastAsia="仿宋_GB2312"/>
          <w:sz w:val="32"/>
          <w:szCs w:val="32"/>
          <w:highlight w:val="yellow"/>
        </w:rPr>
        <w:t>个日历天内</w:t>
      </w:r>
      <w:r>
        <w:rPr>
          <w:rFonts w:hint="eastAsia" w:ascii="仿宋_GB2312" w:eastAsia="仿宋_GB2312"/>
          <w:sz w:val="32"/>
          <w:szCs w:val="32"/>
          <w:highlight w:val="yellow"/>
          <w:lang w:val="en-US" w:eastAsia="zh-CN"/>
        </w:rPr>
        <w:t>完成勘察大纲编制</w:t>
      </w:r>
      <w:r>
        <w:rPr>
          <w:rFonts w:hint="eastAsia" w:ascii="仿宋_GB2312" w:eastAsia="仿宋_GB2312"/>
          <w:sz w:val="32"/>
          <w:szCs w:val="32"/>
          <w:highlight w:val="yellow"/>
        </w:rPr>
        <w:t>，满足</w:t>
      </w:r>
      <w:r>
        <w:rPr>
          <w:rFonts w:hint="eastAsia" w:ascii="仿宋_GB2312" w:eastAsia="仿宋_GB2312"/>
          <w:sz w:val="32"/>
          <w:szCs w:val="32"/>
          <w:highlight w:val="yellow"/>
          <w:lang w:val="en-US" w:eastAsia="zh-CN"/>
        </w:rPr>
        <w:t>项目建设和限额勘察</w:t>
      </w:r>
      <w:r>
        <w:rPr>
          <w:rFonts w:hint="eastAsia" w:ascii="仿宋_GB2312" w:eastAsia="仿宋_GB2312"/>
          <w:sz w:val="32"/>
          <w:szCs w:val="32"/>
          <w:highlight w:val="yellow"/>
        </w:rPr>
        <w:t>要求，</w:t>
      </w:r>
      <w:r>
        <w:rPr>
          <w:rFonts w:hint="eastAsia" w:ascii="仿宋_GB2312" w:eastAsia="仿宋_GB2312"/>
          <w:sz w:val="32"/>
          <w:szCs w:val="32"/>
          <w:highlight w:val="yellow"/>
          <w:lang w:val="en-US" w:eastAsia="zh-CN"/>
        </w:rPr>
        <w:t>并通过专家审查</w:t>
      </w:r>
      <w:r>
        <w:rPr>
          <w:rFonts w:hint="eastAsia" w:ascii="仿宋_GB2312" w:eastAsia="仿宋_GB2312"/>
          <w:sz w:val="32"/>
          <w:szCs w:val="32"/>
          <w:highlight w:val="yellow"/>
          <w:lang w:eastAsia="zh-CN"/>
        </w:rPr>
        <w:t>。</w:t>
      </w:r>
      <w:r>
        <w:rPr>
          <w:rFonts w:hint="eastAsia" w:ascii="仿宋_GB2312" w:eastAsia="仿宋_GB2312"/>
          <w:sz w:val="32"/>
          <w:szCs w:val="32"/>
        </w:rPr>
        <w:t>文字报告部分包含简述工程概况、勘察方法、地质评价、岩土技术参数、基础处理方案建议以及设计施工中应注意的问题等；图表部分包含钻孔平面位置图、工程地质剖面图、钻孔柱状图、土工试验成果表、岩芯照片等，以及其他所需要提供的成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2、工程测量：GPS控制点及水准高程控制点资料，按不同设计阶段提供符合深度要求各比例地形图，以及设计所必需的其他测量成果。</w:t>
      </w:r>
    </w:p>
    <w:p>
      <w:pPr>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、工程物探:物探的内容包括但不限于各种管线的性质、管位、构筑物、管径 、规格、材质、高程等。</w:t>
      </w:r>
    </w:p>
    <w:p>
      <w:pPr>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、其他：根据工作需要提供的其他勘察成果资料。</w:t>
      </w:r>
    </w:p>
    <w:p>
      <w:pPr>
        <w:tabs>
          <w:tab w:val="left" w:pos="709"/>
        </w:tabs>
        <w:spacing w:line="560" w:lineRule="exact"/>
        <w:ind w:left="643"/>
        <w:rPr>
          <w:rFonts w:ascii="仿宋_GB2312" w:eastAsia="仿宋_GB2312"/>
          <w:b/>
          <w:sz w:val="32"/>
          <w:szCs w:val="32"/>
        </w:rPr>
      </w:pPr>
      <w:r>
        <w:rPr>
          <w:rFonts w:hint="eastAsia" w:ascii="仿宋_GB2312" w:eastAsia="仿宋_GB2312"/>
          <w:b/>
          <w:sz w:val="32"/>
          <w:szCs w:val="32"/>
        </w:rPr>
        <w:t>（二）方案设计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根据政府部门批准的项目规划设计条件和可行性研究报告（含可研方案）等相关基础资料，结合现场实际情况，编制内容全面完整、重点难点分析透彻的方案（含管线综合方案）设计文件。对于道路平、纵、横断面布局、交叉口型式、桥隧布局、桥隧施工措施等设计关键内容应进行多方案比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中标人在收到中标通知后</w:t>
      </w:r>
      <w:r>
        <w:rPr>
          <w:rFonts w:hint="eastAsia" w:ascii="仿宋_GB2312" w:eastAsia="仿宋_GB2312"/>
          <w:sz w:val="32"/>
          <w:szCs w:val="32"/>
          <w:lang w:val="en-US" w:eastAsia="zh-CN"/>
        </w:rPr>
        <w:t>2</w:t>
      </w:r>
      <w:r>
        <w:rPr>
          <w:rFonts w:ascii="仿宋_GB2312" w:eastAsia="仿宋_GB2312"/>
          <w:sz w:val="32"/>
          <w:szCs w:val="32"/>
        </w:rPr>
        <w:t>0</w:t>
      </w:r>
      <w:r>
        <w:rPr>
          <w:rFonts w:hint="eastAsia" w:ascii="仿宋_GB2312" w:eastAsia="仿宋_GB2312"/>
          <w:sz w:val="32"/>
          <w:szCs w:val="32"/>
        </w:rPr>
        <w:t>个日历天内根据要求完善方案（含管线综合方案）设计，满足业主向主管部门送审的要求，完成规划部门的方案设计审查。</w:t>
      </w:r>
    </w:p>
    <w:p>
      <w:pPr>
        <w:tabs>
          <w:tab w:val="left" w:pos="709"/>
        </w:tabs>
        <w:spacing w:line="560" w:lineRule="exact"/>
        <w:ind w:left="643"/>
        <w:rPr>
          <w:rFonts w:ascii="仿宋_GB2312" w:eastAsia="仿宋_GB2312"/>
          <w:b/>
          <w:sz w:val="32"/>
          <w:szCs w:val="32"/>
        </w:rPr>
      </w:pPr>
      <w:r>
        <w:rPr>
          <w:rFonts w:hint="eastAsia" w:ascii="仿宋_GB2312" w:eastAsia="仿宋_GB2312"/>
          <w:b/>
          <w:sz w:val="32"/>
          <w:szCs w:val="32"/>
        </w:rPr>
        <w:t>（三）初步设计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以批准的规划方案为依据，在初步设计阶段，要基本稳定工程规模、建设目标、投资效益、技术标准以及重要技术节点的方案。并提出设计存在的问题、注意事项及相关建议，其设计深度应能控制工程投资，满足指导施工图设计的需要。</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 设计说明书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1.1 道路地理位置图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  示出道路在地区交通网络中的关系及沿线主要建筑物的概略位置。</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1.2 概述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1.2.1 经批复的可行性研究报告文件，有关评审报告及设计委托书。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1.2.2 采用的规范和标准。</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1.2.3 对可行性研究报告批复意见的执行情况。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1.2.4 需要说明的其他事项。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1.3 现状评价及沿线自然地理概况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1.3.1 道路现状评价。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1.3.2 现状交通量及技术评价(交通量、车辆组成、路口交通流量与流向特征及路口、路段饱和度等)。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1.3.3 沿线(控制性)建筑、河流、铁路及地上、地下管线等情况。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1.3.4 水文地质、气象等自然条件：如河流设计水位、流速、地下水位、气温、降雨、日照、蒸发量、主导风向、风速、冻深等。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1.3.5 工程地质资料。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1.3.6 地震基本烈度及对大型工程构筑物区域地震分析评价。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1.4 工程概况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1.4.1 工程地点、范围、规模、建设期限、分期修建计划。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1.4.2 规划简况：着重阐明设计道路、立交在规划道路网中的性质、功能、位置、走向、相交道路的性质、功能。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1.4.3 远期交通流量流向的分析，设计小时交通量的确定，荷载等级的确定。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1.4.4 主要交叉路口渠化处理方式，如选用立交，需阐明其必要性及选型依据。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1.4.5 简述工程建成后的功能和效益：对道路路网的影响，缓解干扰提高车速和服务水平的程度。根据以上内容，阐明工程修建的意义。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 1.5 全要素设计，海绵城市设计等内容</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（2）工程概算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 详见下文概算编制要求及任务</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（3）主要材料及设备表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工程全部所需的三材和其它主要设备材料的名称、规格(型号)、数量(以表格形式列出)。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(4)主要技术经济指标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(5) 附件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可行性研究报告批复文件、勘测及设计合同、有关部门的批复以及协议、纪要等。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(6) 设计图纸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6.1 平面总体设计图：比尺1：2000～1：10000，包括设计道路(或立交)在城市道路网中的位置，沿线规划布局和现状重要建筑物、单位、文物古迹、立交、桥隧及主要相交道路和附近道路系统。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6.2 平面设计图：比尺1：500～l：2000(立交l：200～1：500)，包括规划道路中线位置，红线宽度、规划道路宽度、道路施工中线及主要部位的平面布置和尺寸。拆迁房屋征地范围，桥隧、立交平面布置，相交的主要道路规划中线、红线宽度、道路宽度、过街设施、及公交车站等设施，主要杆管线和附属构筑物的位置等。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6.3 纵断面图：比尺纵向1：50～1：200，横向1：500～1：2000，包括道路高程控制点及初步确定纵断线形及相应参数，立交主要部位的高程，新建桥隧、主要附属构筑物和重要交叉管线位置及高程，如涉及立交，应包括相交道路和匝道初步确定的纵断，如设有辅路或非机动车道应一并考虑。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6.4 典型横断面设计图：比尺1：100～1：200，包括规划横断面图、设计横断面图、现状横断面图及相互之间的关系，现况或规划地上、地下杆管线位置、两侧重要建筑、路面结构设计图。 </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 xml:space="preserve">6.5 广场或交叉口设计图：比尺l：200～l：500，包括主要尺寸、形式布置、公交车站、过街设施、渠化设计、局部部位的竖向等高线设计图。 </w:t>
      </w:r>
    </w:p>
    <w:p>
      <w:pPr>
        <w:spacing w:line="560" w:lineRule="exact"/>
        <w:ind w:firstLine="680" w:firstLineChars="200"/>
        <w:rPr>
          <w:rFonts w:hint="eastAsia" w:ascii="仿宋_GB2312" w:hAnsi="Arial" w:eastAsia="仿宋_GB2312" w:cs="Arial"/>
          <w:spacing w:val="10"/>
          <w:sz w:val="32"/>
          <w:szCs w:val="32"/>
        </w:rPr>
      </w:pPr>
      <w:r>
        <w:rPr>
          <w:rFonts w:hint="eastAsia" w:ascii="仿宋_GB2312" w:hAnsi="Arial" w:eastAsia="仿宋_GB2312" w:cs="Arial"/>
          <w:spacing w:val="10"/>
          <w:sz w:val="32"/>
          <w:szCs w:val="32"/>
        </w:rPr>
        <w:t>6.6 挡土墙、涵洞及附属构筑物等结构图。</w:t>
      </w:r>
    </w:p>
    <w:p>
      <w:pPr>
        <w:spacing w:line="560" w:lineRule="exact"/>
        <w:ind w:firstLine="680" w:firstLineChars="200"/>
        <w:rPr>
          <w:rFonts w:hint="eastAsia" w:ascii="仿宋_GB2312" w:hAnsi="Arial" w:eastAsia="仿宋_GB2312" w:cs="Arial"/>
          <w:spacing w:val="10"/>
          <w:sz w:val="32"/>
          <w:szCs w:val="32"/>
        </w:rPr>
      </w:pPr>
      <w:r>
        <w:rPr>
          <w:rFonts w:hint="eastAsia" w:ascii="仿宋_GB2312" w:hAnsi="Arial" w:eastAsia="仿宋_GB2312" w:cs="Arial"/>
          <w:spacing w:val="10"/>
          <w:sz w:val="32"/>
          <w:szCs w:val="32"/>
        </w:rPr>
        <w:t>6.7 隧道衬砌设计图、隧道开挖方案设计图、隧道监控设 计图、隧道给排水及消防设计图、隧道照明及供配电设施设计 图、管理用房设计图等。</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6.</w:t>
      </w:r>
      <w:r>
        <w:rPr>
          <w:rFonts w:hint="eastAsia" w:ascii="仿宋_GB2312" w:hAnsi="Arial" w:eastAsia="仿宋_GB2312" w:cs="Arial"/>
          <w:spacing w:val="10"/>
          <w:sz w:val="32"/>
          <w:szCs w:val="32"/>
          <w:lang w:val="en-US" w:eastAsia="zh-CN"/>
        </w:rPr>
        <w:t>8</w:t>
      </w:r>
      <w:r>
        <w:rPr>
          <w:rFonts w:hint="eastAsia" w:ascii="仿宋_GB2312" w:hAnsi="Arial" w:eastAsia="仿宋_GB2312" w:cs="Arial"/>
          <w:spacing w:val="10"/>
          <w:sz w:val="32"/>
          <w:szCs w:val="32"/>
        </w:rPr>
        <w:t>旧路旧桥改造段路基路面结构设计图，新旧路面衔接图及相关结构图。</w:t>
      </w:r>
    </w:p>
    <w:p>
      <w:pPr>
        <w:spacing w:line="560" w:lineRule="exact"/>
        <w:ind w:firstLine="680" w:firstLineChars="200"/>
        <w:rPr>
          <w:rFonts w:hint="eastAsia" w:ascii="仿宋_GB2312" w:hAnsi="Arial" w:eastAsia="仿宋_GB2312" w:cs="Arial"/>
          <w:spacing w:val="10"/>
          <w:sz w:val="32"/>
          <w:szCs w:val="32"/>
        </w:rPr>
      </w:pPr>
      <w:r>
        <w:rPr>
          <w:rFonts w:hint="eastAsia" w:ascii="仿宋_GB2312" w:hAnsi="Arial" w:eastAsia="仿宋_GB2312" w:cs="Arial"/>
          <w:spacing w:val="10"/>
          <w:sz w:val="32"/>
          <w:szCs w:val="32"/>
        </w:rPr>
        <w:t>6.</w:t>
      </w:r>
      <w:r>
        <w:rPr>
          <w:rFonts w:hint="eastAsia" w:ascii="仿宋_GB2312" w:hAnsi="Arial" w:eastAsia="仿宋_GB2312" w:cs="Arial"/>
          <w:spacing w:val="10"/>
          <w:sz w:val="32"/>
          <w:szCs w:val="32"/>
          <w:lang w:val="en-US" w:eastAsia="zh-CN"/>
        </w:rPr>
        <w:t>9</w:t>
      </w:r>
      <w:r>
        <w:rPr>
          <w:rFonts w:hint="eastAsia" w:ascii="仿宋_GB2312" w:hAnsi="Arial" w:eastAsia="仿宋_GB2312" w:cs="Arial"/>
          <w:spacing w:val="10"/>
          <w:sz w:val="32"/>
          <w:szCs w:val="32"/>
        </w:rPr>
        <w:t xml:space="preserve"> 交通标志、标线布置图。</w:t>
      </w:r>
    </w:p>
    <w:p>
      <w:pPr>
        <w:spacing w:line="560" w:lineRule="exact"/>
        <w:ind w:firstLine="680" w:firstLineChars="200"/>
        <w:rPr>
          <w:rFonts w:hint="eastAsia" w:ascii="仿宋_GB2312" w:hAnsi="Arial" w:eastAsia="仿宋_GB2312" w:cs="Arial"/>
          <w:spacing w:val="10"/>
          <w:sz w:val="32"/>
          <w:szCs w:val="32"/>
        </w:rPr>
      </w:pPr>
      <w:r>
        <w:rPr>
          <w:rFonts w:hint="eastAsia" w:ascii="仿宋_GB2312" w:hAnsi="Arial" w:eastAsia="仿宋_GB2312" w:cs="Arial"/>
          <w:spacing w:val="10"/>
          <w:sz w:val="32"/>
          <w:szCs w:val="32"/>
          <w:lang w:val="en-US" w:eastAsia="zh-CN"/>
        </w:rPr>
        <w:t>6.10 交通疏解方案说明及设计图。</w:t>
      </w:r>
      <w:r>
        <w:rPr>
          <w:rFonts w:hint="eastAsia" w:ascii="仿宋_GB2312" w:hAnsi="Arial" w:eastAsia="仿宋_GB2312" w:cs="Arial"/>
          <w:spacing w:val="10"/>
          <w:sz w:val="32"/>
          <w:szCs w:val="32"/>
        </w:rPr>
        <w:t xml:space="preserve"> </w:t>
      </w:r>
    </w:p>
    <w:p>
      <w:pPr>
        <w:spacing w:line="560" w:lineRule="exact"/>
        <w:ind w:firstLine="680" w:firstLineChars="200"/>
        <w:rPr>
          <w:rFonts w:hint="eastAsia" w:ascii="仿宋_GB2312" w:hAnsi="Arial" w:eastAsia="仿宋_GB2312" w:cs="Arial"/>
          <w:spacing w:val="10"/>
          <w:sz w:val="32"/>
          <w:szCs w:val="32"/>
        </w:rPr>
      </w:pPr>
      <w:r>
        <w:rPr>
          <w:rFonts w:hint="eastAsia" w:ascii="仿宋_GB2312" w:hAnsi="Arial" w:eastAsia="仿宋_GB2312" w:cs="Arial"/>
          <w:spacing w:val="10"/>
          <w:sz w:val="32"/>
          <w:szCs w:val="32"/>
        </w:rPr>
        <w:t>6.</w:t>
      </w:r>
      <w:r>
        <w:rPr>
          <w:rFonts w:hint="eastAsia" w:ascii="仿宋_GB2312" w:hAnsi="Arial" w:eastAsia="仿宋_GB2312" w:cs="Arial"/>
          <w:spacing w:val="10"/>
          <w:sz w:val="32"/>
          <w:szCs w:val="32"/>
          <w:lang w:val="en-US" w:eastAsia="zh-CN"/>
        </w:rPr>
        <w:t>11</w:t>
      </w:r>
      <w:r>
        <w:rPr>
          <w:rFonts w:hint="eastAsia" w:ascii="仿宋_GB2312" w:hAnsi="Arial" w:eastAsia="仿宋_GB2312" w:cs="Arial"/>
          <w:spacing w:val="10"/>
          <w:sz w:val="32"/>
          <w:szCs w:val="32"/>
        </w:rPr>
        <w:t xml:space="preserve"> 工程特殊部位技术处理的主要图纸。</w:t>
      </w:r>
    </w:p>
    <w:p>
      <w:pPr>
        <w:spacing w:line="560" w:lineRule="exact"/>
        <w:ind w:firstLine="680" w:firstLineChars="200"/>
      </w:pPr>
      <w:r>
        <w:rPr>
          <w:rFonts w:hint="eastAsia" w:ascii="仿宋_GB2312" w:hAnsi="Arial" w:eastAsia="仿宋_GB2312" w:cs="Arial"/>
          <w:spacing w:val="10"/>
          <w:sz w:val="32"/>
          <w:szCs w:val="32"/>
          <w:highlight w:val="yellow"/>
        </w:rPr>
        <w:t>6.</w:t>
      </w:r>
      <w:r>
        <w:rPr>
          <w:rFonts w:hint="eastAsia" w:ascii="仿宋_GB2312" w:hAnsi="Arial" w:eastAsia="仿宋_GB2312" w:cs="Arial"/>
          <w:spacing w:val="10"/>
          <w:sz w:val="32"/>
          <w:szCs w:val="32"/>
          <w:highlight w:val="yellow"/>
          <w:lang w:val="en-US" w:eastAsia="zh-CN"/>
        </w:rPr>
        <w:t>12</w:t>
      </w:r>
      <w:r>
        <w:rPr>
          <w:rFonts w:hint="eastAsia" w:ascii="仿宋_GB2312" w:hAnsi="Arial" w:eastAsia="仿宋_GB2312" w:cs="Arial"/>
          <w:spacing w:val="10"/>
          <w:sz w:val="32"/>
          <w:szCs w:val="32"/>
          <w:highlight w:val="yellow"/>
        </w:rPr>
        <w:t xml:space="preserve"> </w:t>
      </w:r>
      <w:r>
        <w:rPr>
          <w:rFonts w:hint="eastAsia" w:ascii="仿宋_GB2312" w:hAnsi="Arial" w:eastAsia="仿宋_GB2312" w:cs="Arial"/>
          <w:spacing w:val="10"/>
          <w:sz w:val="32"/>
          <w:szCs w:val="32"/>
          <w:highlight w:val="yellow"/>
          <w:lang w:val="en-US" w:eastAsia="zh-CN"/>
        </w:rPr>
        <w:t>设计图纸需满足绿化保护专篇相关要求</w:t>
      </w:r>
      <w:r>
        <w:rPr>
          <w:rFonts w:hint="eastAsia" w:ascii="仿宋_GB2312" w:hAnsi="Arial" w:eastAsia="仿宋_GB2312" w:cs="Arial"/>
          <w:spacing w:val="10"/>
          <w:sz w:val="32"/>
          <w:szCs w:val="32"/>
        </w:rPr>
        <w:t>。</w:t>
      </w:r>
    </w:p>
    <w:p>
      <w:pPr>
        <w:spacing w:line="560" w:lineRule="exact"/>
        <w:ind w:firstLine="680" w:firstLineChars="200"/>
      </w:pPr>
      <w:r>
        <w:rPr>
          <w:rFonts w:hint="eastAsia" w:ascii="仿宋_GB2312" w:hAnsi="Arial" w:eastAsia="仿宋_GB2312" w:cs="Arial"/>
          <w:spacing w:val="10"/>
          <w:sz w:val="32"/>
          <w:szCs w:val="32"/>
        </w:rPr>
        <w:t>6.1</w:t>
      </w:r>
      <w:r>
        <w:rPr>
          <w:rFonts w:hint="eastAsia" w:ascii="仿宋_GB2312" w:hAnsi="Arial" w:eastAsia="仿宋_GB2312" w:cs="Arial"/>
          <w:spacing w:val="10"/>
          <w:sz w:val="32"/>
          <w:szCs w:val="32"/>
          <w:lang w:val="en-US" w:eastAsia="zh-CN"/>
        </w:rPr>
        <w:t>3</w:t>
      </w:r>
      <w:r>
        <w:rPr>
          <w:rFonts w:hint="eastAsia" w:ascii="仿宋_GB2312" w:hAnsi="Arial" w:eastAsia="仿宋_GB2312" w:cs="Arial"/>
          <w:spacing w:val="10"/>
          <w:sz w:val="32"/>
          <w:szCs w:val="32"/>
        </w:rPr>
        <w:t xml:space="preserve">其他未详细列尽的专业工程的说明及设计图纸等。 </w:t>
      </w:r>
    </w:p>
    <w:p>
      <w:pPr>
        <w:spacing w:line="560" w:lineRule="exact"/>
        <w:ind w:firstLine="643" w:firstLineChars="200"/>
        <w:rPr>
          <w:rFonts w:ascii="仿宋_GB2312" w:hAnsi="宋体" w:eastAsia="仿宋_GB2312" w:cstheme="majorBidi"/>
          <w:b/>
          <w:bCs/>
          <w:sz w:val="32"/>
          <w:szCs w:val="32"/>
        </w:rPr>
      </w:pPr>
      <w:r>
        <w:rPr>
          <w:rFonts w:hint="eastAsia" w:ascii="仿宋_GB2312" w:hAnsi="宋体" w:eastAsia="仿宋_GB2312" w:cstheme="majorBidi"/>
          <w:b/>
          <w:bCs/>
          <w:sz w:val="32"/>
          <w:szCs w:val="32"/>
        </w:rPr>
        <w:t>（四）</w:t>
      </w:r>
      <w:r>
        <w:rPr>
          <w:rFonts w:ascii="仿宋_GB2312" w:hAnsi="宋体" w:eastAsia="仿宋_GB2312" w:cstheme="majorBidi"/>
          <w:b/>
          <w:bCs/>
          <w:sz w:val="32"/>
          <w:szCs w:val="32"/>
        </w:rPr>
        <w:t>概算</w:t>
      </w:r>
      <w:r>
        <w:rPr>
          <w:rFonts w:hint="eastAsia" w:ascii="仿宋_GB2312" w:hAnsi="宋体" w:eastAsia="仿宋_GB2312" w:cstheme="majorBidi"/>
          <w:b/>
          <w:bCs/>
          <w:sz w:val="32"/>
          <w:szCs w:val="32"/>
        </w:rPr>
        <w:t>及合同价编制</w:t>
      </w:r>
      <w:r>
        <w:rPr>
          <w:rFonts w:ascii="仿宋_GB2312" w:hAnsi="宋体" w:eastAsia="仿宋_GB2312" w:cstheme="majorBidi"/>
          <w:b/>
          <w:bCs/>
          <w:sz w:val="32"/>
          <w:szCs w:val="32"/>
        </w:rPr>
        <w:t>要求</w:t>
      </w:r>
    </w:p>
    <w:p>
      <w:pPr>
        <w:pStyle w:val="42"/>
        <w:spacing w:line="560" w:lineRule="exact"/>
        <w:ind w:firstLine="640"/>
        <w:rPr>
          <w:rFonts w:hint="eastAsia" w:ascii="仿宋_GB2312" w:eastAsia="仿宋_GB2312"/>
          <w:sz w:val="32"/>
          <w:szCs w:val="32"/>
        </w:rPr>
      </w:pPr>
      <w:r>
        <w:rPr>
          <w:rFonts w:hint="eastAsia" w:ascii="仿宋_GB2312" w:eastAsia="仿宋_GB2312"/>
          <w:sz w:val="32"/>
          <w:szCs w:val="32"/>
        </w:rPr>
        <w:t>承包单位在组织项目实施过程中，以送审概算价不超过批复的 项目投资估算金额为原则进行限额设计。承包商提交专项限额设计 管理方案经发包人（业主）审核后</w:t>
      </w:r>
      <w:bookmarkStart w:id="36" w:name="_GoBack"/>
      <w:bookmarkEnd w:id="36"/>
      <w:r>
        <w:rPr>
          <w:rFonts w:hint="eastAsia" w:ascii="仿宋_GB2312" w:eastAsia="仿宋_GB2312"/>
          <w:sz w:val="32"/>
          <w:szCs w:val="32"/>
        </w:rPr>
        <w:t>开展限额设计，限额设计严格按 二个阶段进行：</w:t>
      </w:r>
    </w:p>
    <w:p>
      <w:pPr>
        <w:pStyle w:val="42"/>
        <w:spacing w:line="560" w:lineRule="exact"/>
        <w:ind w:firstLine="640"/>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方案阶段的限额设计。根据批复的可研报告以及投资估算 分析、设计任务书和发包人（业主）提出的限额设计要求进行方案 设计，进行多方案比较，优化建设标准，细化经济指标，经发包人 （业主）同意后合理确定限额设计控制指标。</w:t>
      </w:r>
    </w:p>
    <w:p>
      <w:pPr>
        <w:pStyle w:val="42"/>
        <w:spacing w:line="560" w:lineRule="exact"/>
        <w:ind w:firstLine="64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初步设计阶段的限额设计。按照方案设计阶段的限额设计 控制指标进行初步设计，根据有关计价依据和收费标准编制设计概 算，若由于客观原因需对既定的方案设计作重大修改且需增加投 资，应本着经济实用的原则进行方案优化，确保概算不超估算，报 发包人（业主）批准后方可对方案设计作出重大修改。承包人专业 设计人员应强化投资控制意识，在既定的设计原则、设计方案、技 术方案基础上，严格按照限额设计控制指标进行限额设计，以单位 工程为考核单元并进行细化，提出节约投资的措施，确保将初步设 计控制在限额指标范围之内，并将审定的概算投资额逐层分解到各 单项工程、单位工程、分部工程和主要分项工程，制定施工图设计 限额指标标准，合理确定施工图设计限额控制标准和规模。</w:t>
      </w:r>
    </w:p>
    <w:p>
      <w:pPr>
        <w:pStyle w:val="42"/>
        <w:spacing w:line="560" w:lineRule="exact"/>
        <w:ind w:firstLine="640"/>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设计概算分为建安工程费、工程建设其他费用和基本预备费三个部分，概算送审价以批复的可行性研究报告估算总投资为上 限。建安工程费包括分部分项费用、措施项目费、其他项目费用。 要求工程量和费用项目列计与计算符合计量规范，综合单价组价合 理考虑周全。工程建设其他费用承包人必须按有关规定开项并足额 计算费用，不得少计、漏计，费用项目及标准必须按照相关规定和 标准列项计算。</w:t>
      </w:r>
    </w:p>
    <w:p>
      <w:pPr>
        <w:pStyle w:val="42"/>
        <w:spacing w:line="560" w:lineRule="exact"/>
        <w:ind w:firstLine="640"/>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概算编制质量与进度要求。评审偏差率分别不超过 10%， 评审核减率分别不超过 5%，否则承包人按照合同承担违约责任； 编制进度必须与初步设计进度要求一致，按初步设计时限要求完成 概算编制工作。</w:t>
      </w:r>
    </w:p>
    <w:p>
      <w:pPr>
        <w:pStyle w:val="42"/>
        <w:spacing w:line="560" w:lineRule="exact"/>
        <w:ind w:firstLine="640"/>
        <w:rPr>
          <w:rFonts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在进行限额设计过程中，设计方必须确保不改变有关设计 和规划原则、内容与要求，不改变方案设计本质要求、不降低使用 功能和质量标准。</w:t>
      </w:r>
    </w:p>
    <w:p>
      <w:pPr>
        <w:spacing w:line="560" w:lineRule="exact"/>
        <w:ind w:firstLine="643" w:firstLineChars="200"/>
        <w:rPr>
          <w:rFonts w:ascii="仿宋_GB2312" w:hAnsi="宋体" w:eastAsia="仿宋_GB2312" w:cstheme="majorBidi"/>
          <w:b/>
          <w:bCs/>
          <w:sz w:val="32"/>
          <w:szCs w:val="32"/>
        </w:rPr>
      </w:pPr>
      <w:bookmarkStart w:id="35" w:name="_Toc2138"/>
      <w:r>
        <w:rPr>
          <w:rFonts w:hint="eastAsia" w:ascii="仿宋_GB2312" w:hAnsi="宋体" w:eastAsia="仿宋_GB2312" w:cstheme="majorBidi"/>
          <w:b/>
          <w:bCs/>
          <w:sz w:val="32"/>
          <w:szCs w:val="32"/>
        </w:rPr>
        <w:t>（五）成果文件要求</w:t>
      </w:r>
      <w:bookmarkEnd w:id="35"/>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（1）提交的成果文件必须符合设计任务书的要求，应完整、系统、有条理，应达到建设部《市政公用工程设计文件编制深度规定》的深度要求。</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（2）所有设计成果的计量单位均采用国际标准计量单位。</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（3）设计成果的文字说明和文字标注均采用中文版本。</w:t>
      </w:r>
    </w:p>
    <w:p>
      <w:pPr>
        <w:spacing w:line="560" w:lineRule="exact"/>
        <w:ind w:firstLine="680" w:firstLineChars="200"/>
        <w:rPr>
          <w:rFonts w:ascii="仿宋_GB2312" w:hAnsi="Arial" w:eastAsia="仿宋_GB2312" w:cs="Arial"/>
          <w:spacing w:val="10"/>
          <w:sz w:val="32"/>
          <w:szCs w:val="32"/>
        </w:rPr>
      </w:pPr>
      <w:r>
        <w:rPr>
          <w:rFonts w:hint="eastAsia" w:ascii="仿宋_GB2312" w:hAnsi="Arial" w:eastAsia="仿宋_GB2312" w:cs="Arial"/>
          <w:spacing w:val="10"/>
          <w:sz w:val="32"/>
          <w:szCs w:val="32"/>
        </w:rPr>
        <w:t>（4）设计图纸和文本文件必须做到清晰、完整，尺寸齐全、准确，同类图纸规格应统一。</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（5）初步设计初稿完成后，应送设计咨询、造价咨询等单位审核。完成初步设计评审后，应结合会议意见按要求进行修编。</w:t>
      </w:r>
    </w:p>
    <w:p>
      <w:pPr>
        <w:pStyle w:val="2"/>
        <w:ind w:firstLine="640" w:firstLineChars="200"/>
        <w:rPr>
          <w:rFonts w:hint="eastAsia" w:ascii="仿宋_GB2312" w:eastAsia="仿宋_GB2312"/>
          <w:sz w:val="32"/>
          <w:szCs w:val="32"/>
        </w:rPr>
      </w:pPr>
      <w:r>
        <w:rPr>
          <w:rFonts w:hint="eastAsia" w:ascii="仿宋_GB2312" w:eastAsia="仿宋_GB2312"/>
          <w:sz w:val="32"/>
          <w:szCs w:val="32"/>
        </w:rPr>
        <w:t>（6）交付的BIM 模型应具有真实的地理坐标且和项目一致，</w:t>
      </w:r>
    </w:p>
    <w:p>
      <w:pPr>
        <w:pStyle w:val="2"/>
        <w:rPr>
          <w:rFonts w:hint="eastAsia" w:ascii="仿宋_GB2312" w:eastAsia="仿宋_GB2312"/>
          <w:sz w:val="32"/>
          <w:szCs w:val="32"/>
        </w:rPr>
      </w:pPr>
      <w:r>
        <w:rPr>
          <w:rFonts w:hint="eastAsia" w:ascii="仿宋_GB2312" w:eastAsia="仿宋_GB2312"/>
          <w:sz w:val="32"/>
          <w:szCs w:val="32"/>
        </w:rPr>
        <w:t>保证建模阶段数据的准确性及完整性。</w:t>
      </w:r>
    </w:p>
    <w:p>
      <w:pPr>
        <w:tabs>
          <w:tab w:val="left" w:pos="709"/>
        </w:tabs>
        <w:spacing w:line="560" w:lineRule="exact"/>
        <w:ind w:firstLine="643" w:firstLineChars="200"/>
        <w:rPr>
          <w:rFonts w:ascii="仿宋_GB2312" w:hAnsi="宋体" w:eastAsia="仿宋_GB2312" w:cstheme="majorBidi"/>
          <w:b/>
          <w:bCs/>
          <w:sz w:val="32"/>
          <w:szCs w:val="32"/>
        </w:rPr>
      </w:pPr>
      <w:r>
        <w:rPr>
          <w:rFonts w:hint="eastAsia" w:ascii="仿宋_GB2312" w:hAnsi="宋体" w:eastAsia="仿宋_GB2312" w:cstheme="majorBidi"/>
          <w:b/>
          <w:bCs/>
          <w:sz w:val="32"/>
          <w:szCs w:val="32"/>
        </w:rPr>
        <w:t>（六）提交的设计成果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（1）向业主单位提交设计成果资料，并对其质量负责。各阶段设计文件格式应按照《关于规范市政工程建设项目成果文件格式的通知》（穗南基建办[2017]123号）执行。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（2）提交设计文件（含招标用初步设计图及正式初步设计图）各壹式拾陆份，交付地点为：业主指定的地点。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（3）初步设计文件、初步设计概算及其相关文件的交付日期要匹配业主的工作推进计划要求。</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设计图纸包含并不限于方案设计图、初步设计图、报建图等，概算文件包括建设单位及政府有关部门要求提供的上述相关设计文件的电子文件（含业主营运管理所需的设计电子文件，包括Word版文本说明、CAD图纸及全部PDF文件）。</w:t>
      </w:r>
    </w:p>
    <w:p>
      <w:pPr>
        <w:spacing w:line="336" w:lineRule="auto"/>
        <w:ind w:firstLine="640" w:firstLineChars="200"/>
        <w:rPr>
          <w:rFonts w:ascii="仿宋_GB2312" w:eastAsia="仿宋_GB2312"/>
          <w:sz w:val="32"/>
          <w:szCs w:val="32"/>
        </w:rPr>
      </w:pPr>
      <w:r>
        <w:rPr>
          <w:rFonts w:hint="eastAsia" w:ascii="仿宋_GB2312" w:eastAsia="仿宋_GB2312"/>
          <w:sz w:val="32"/>
          <w:szCs w:val="32"/>
        </w:rPr>
        <w:t>（5）按业主单位要求的时间提供进行招标工作所需的本合同工程各标段（按建设管理单位划分的施工管理标段）各项目的工程概况、工程量清单及所需的技术规范，并不另外计量支付。</w:t>
      </w:r>
    </w:p>
    <w:p>
      <w:pPr>
        <w:pStyle w:val="2"/>
        <w:ind w:firstLine="640" w:firstLineChars="200"/>
        <w:rPr>
          <w:rFonts w:hint="eastAsia" w:ascii="仿宋_GB2312" w:eastAsia="仿宋_GB2312"/>
          <w:sz w:val="32"/>
          <w:szCs w:val="32"/>
        </w:rPr>
      </w:pPr>
      <w:r>
        <w:rPr>
          <w:rFonts w:hint="eastAsia" w:ascii="仿宋_GB2312" w:eastAsia="仿宋_GB2312"/>
          <w:sz w:val="32"/>
          <w:szCs w:val="32"/>
        </w:rPr>
        <w:t>（6）交付的BIM 模型格式应为原始文件格式及符合招标人要</w:t>
      </w:r>
    </w:p>
    <w:p>
      <w:pPr>
        <w:pStyle w:val="2"/>
        <w:rPr>
          <w:rFonts w:hint="eastAsia" w:ascii="仿宋_GB2312" w:eastAsia="仿宋_GB2312"/>
          <w:sz w:val="32"/>
          <w:szCs w:val="32"/>
        </w:rPr>
      </w:pPr>
      <w:r>
        <w:rPr>
          <w:rFonts w:hint="eastAsia" w:ascii="仿宋_GB2312" w:eastAsia="仿宋_GB2312"/>
          <w:sz w:val="32"/>
          <w:szCs w:val="32"/>
        </w:rPr>
        <w:t>求的格式。</w:t>
      </w:r>
    </w:p>
    <w:p>
      <w:pPr>
        <w:tabs>
          <w:tab w:val="left" w:pos="709"/>
        </w:tabs>
        <w:spacing w:line="336" w:lineRule="auto"/>
        <w:ind w:firstLine="643" w:firstLineChars="200"/>
        <w:rPr>
          <w:rFonts w:ascii="仿宋_GB2312" w:hAnsi="宋体" w:eastAsia="仿宋_GB2312" w:cstheme="majorBidi"/>
          <w:b/>
          <w:bCs/>
          <w:sz w:val="32"/>
          <w:szCs w:val="32"/>
        </w:rPr>
      </w:pPr>
      <w:r>
        <w:rPr>
          <w:rFonts w:hint="eastAsia" w:ascii="仿宋_GB2312" w:hAnsi="宋体" w:eastAsia="仿宋_GB2312" w:cstheme="majorBidi"/>
          <w:b/>
          <w:bCs/>
          <w:sz w:val="32"/>
          <w:szCs w:val="32"/>
        </w:rPr>
        <w:t>（七）其他未尽事宜</w:t>
      </w:r>
    </w:p>
    <w:p>
      <w:pPr>
        <w:tabs>
          <w:tab w:val="left" w:pos="709"/>
        </w:tabs>
        <w:spacing w:line="336" w:lineRule="auto"/>
        <w:ind w:firstLine="640" w:firstLineChars="200"/>
        <w:rPr>
          <w:rFonts w:ascii="仿宋_GB2312" w:eastAsia="仿宋_GB2312"/>
          <w:sz w:val="32"/>
          <w:szCs w:val="32"/>
        </w:rPr>
      </w:pPr>
      <w:r>
        <w:rPr>
          <w:rFonts w:hint="eastAsia" w:ascii="仿宋_GB2312" w:eastAsia="仿宋_GB2312"/>
          <w:sz w:val="32"/>
          <w:szCs w:val="32"/>
        </w:rPr>
        <w:t>（1）如因规划、建设、环保、交警等行政主管部门或业主等单位在项目建设过程中，提出对设计内容或工作任务进行调整意见的，由业主单位通知设计单位进行调整。</w:t>
      </w:r>
    </w:p>
    <w:p>
      <w:pPr>
        <w:tabs>
          <w:tab w:val="left" w:pos="709"/>
        </w:tabs>
        <w:spacing w:line="336" w:lineRule="auto"/>
        <w:ind w:firstLine="640" w:firstLineChars="200"/>
        <w:rPr>
          <w:rFonts w:ascii="仿宋_GB2312" w:eastAsia="仿宋_GB2312"/>
          <w:sz w:val="32"/>
          <w:szCs w:val="32"/>
        </w:rPr>
      </w:pPr>
      <w:r>
        <w:rPr>
          <w:rFonts w:hint="eastAsia" w:ascii="仿宋_GB2312" w:eastAsia="仿宋_GB2312"/>
          <w:sz w:val="32"/>
          <w:szCs w:val="32"/>
        </w:rPr>
        <w:t>（2）如因设计单位为完善设计等原因提出对设计内容或工作任务进行调整的，需书面报业主等相关主管单位审核批准。</w:t>
      </w:r>
    </w:p>
    <w:p>
      <w:pPr>
        <w:tabs>
          <w:tab w:val="left" w:pos="709"/>
        </w:tabs>
        <w:spacing w:line="336" w:lineRule="auto"/>
        <w:ind w:firstLine="640" w:firstLineChars="200"/>
      </w:pPr>
      <w:r>
        <w:rPr>
          <w:rFonts w:hint="eastAsia" w:ascii="仿宋_GB2312" w:eastAsia="仿宋_GB2312"/>
          <w:sz w:val="32"/>
          <w:szCs w:val="32"/>
        </w:rPr>
        <w:t>（</w:t>
      </w:r>
      <w:r>
        <w:rPr>
          <w:rFonts w:hint="eastAsia" w:ascii="仿宋_GB2312" w:eastAsia="仿宋_GB2312"/>
          <w:sz w:val="32"/>
          <w:szCs w:val="32"/>
          <w:lang w:val="en-US" w:eastAsia="zh-CN"/>
        </w:rPr>
        <w:t>3</w:t>
      </w:r>
      <w:r>
        <w:rPr>
          <w:rFonts w:hint="eastAsia" w:ascii="仿宋_GB2312" w:eastAsia="仿宋_GB2312"/>
          <w:sz w:val="32"/>
          <w:szCs w:val="32"/>
        </w:rPr>
        <w:t>）其他按业主单位相关管理办法执行。</w:t>
      </w:r>
    </w:p>
    <w:sectPr>
      <w:footerReference r:id="rId3" w:type="default"/>
      <w:pgSz w:w="11907" w:h="16840"/>
      <w:pgMar w:top="1487" w:right="1247" w:bottom="1093" w:left="146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18</w:t>
    </w:r>
    <w:r>
      <w:fldChar w:fldCharType="end"/>
    </w:r>
  </w:p>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073"/>
    <w:rsid w:val="0000491F"/>
    <w:rsid w:val="0001591A"/>
    <w:rsid w:val="00017712"/>
    <w:rsid w:val="00024645"/>
    <w:rsid w:val="00024A78"/>
    <w:rsid w:val="0003197F"/>
    <w:rsid w:val="00036955"/>
    <w:rsid w:val="000508A8"/>
    <w:rsid w:val="000540CF"/>
    <w:rsid w:val="0005634A"/>
    <w:rsid w:val="0006312E"/>
    <w:rsid w:val="0006539C"/>
    <w:rsid w:val="00067441"/>
    <w:rsid w:val="00072B0C"/>
    <w:rsid w:val="00083A76"/>
    <w:rsid w:val="000863ED"/>
    <w:rsid w:val="000915D9"/>
    <w:rsid w:val="00097433"/>
    <w:rsid w:val="000A2EE5"/>
    <w:rsid w:val="000A776F"/>
    <w:rsid w:val="000A7D58"/>
    <w:rsid w:val="000B0C08"/>
    <w:rsid w:val="000B5E0E"/>
    <w:rsid w:val="000B6168"/>
    <w:rsid w:val="000D6623"/>
    <w:rsid w:val="000D6838"/>
    <w:rsid w:val="000F3D03"/>
    <w:rsid w:val="000F580B"/>
    <w:rsid w:val="000F7554"/>
    <w:rsid w:val="0010450B"/>
    <w:rsid w:val="001073F3"/>
    <w:rsid w:val="00115EB0"/>
    <w:rsid w:val="0013273A"/>
    <w:rsid w:val="0013535C"/>
    <w:rsid w:val="00137E66"/>
    <w:rsid w:val="001408FE"/>
    <w:rsid w:val="00141384"/>
    <w:rsid w:val="0014725B"/>
    <w:rsid w:val="00157105"/>
    <w:rsid w:val="00177D19"/>
    <w:rsid w:val="00182873"/>
    <w:rsid w:val="00183D54"/>
    <w:rsid w:val="00184668"/>
    <w:rsid w:val="00191FDB"/>
    <w:rsid w:val="001936C8"/>
    <w:rsid w:val="001A180C"/>
    <w:rsid w:val="001A5617"/>
    <w:rsid w:val="001C11E7"/>
    <w:rsid w:val="001C7E1C"/>
    <w:rsid w:val="001E239A"/>
    <w:rsid w:val="001E7A2E"/>
    <w:rsid w:val="001F4BD4"/>
    <w:rsid w:val="00202135"/>
    <w:rsid w:val="002160A7"/>
    <w:rsid w:val="0021776E"/>
    <w:rsid w:val="00223777"/>
    <w:rsid w:val="002239D3"/>
    <w:rsid w:val="00230271"/>
    <w:rsid w:val="00231350"/>
    <w:rsid w:val="00241916"/>
    <w:rsid w:val="00241BFD"/>
    <w:rsid w:val="00247BDF"/>
    <w:rsid w:val="0026040E"/>
    <w:rsid w:val="00262D03"/>
    <w:rsid w:val="002663A5"/>
    <w:rsid w:val="002749F3"/>
    <w:rsid w:val="0027513A"/>
    <w:rsid w:val="00290BBD"/>
    <w:rsid w:val="00292D5D"/>
    <w:rsid w:val="002A7937"/>
    <w:rsid w:val="002A7EC7"/>
    <w:rsid w:val="002B4251"/>
    <w:rsid w:val="002B4550"/>
    <w:rsid w:val="002B4A1B"/>
    <w:rsid w:val="002C7FD6"/>
    <w:rsid w:val="002D2BA8"/>
    <w:rsid w:val="002D4BE3"/>
    <w:rsid w:val="002F2D25"/>
    <w:rsid w:val="003044F2"/>
    <w:rsid w:val="003163C5"/>
    <w:rsid w:val="00331CB6"/>
    <w:rsid w:val="00331DF1"/>
    <w:rsid w:val="00336AE3"/>
    <w:rsid w:val="00340719"/>
    <w:rsid w:val="003502E8"/>
    <w:rsid w:val="00355168"/>
    <w:rsid w:val="003621C5"/>
    <w:rsid w:val="003773F6"/>
    <w:rsid w:val="003817B8"/>
    <w:rsid w:val="003847F6"/>
    <w:rsid w:val="00386566"/>
    <w:rsid w:val="0038711B"/>
    <w:rsid w:val="00396A6E"/>
    <w:rsid w:val="003A048A"/>
    <w:rsid w:val="003A23E1"/>
    <w:rsid w:val="003A552D"/>
    <w:rsid w:val="003B2154"/>
    <w:rsid w:val="003B49F3"/>
    <w:rsid w:val="003B4F64"/>
    <w:rsid w:val="003C2031"/>
    <w:rsid w:val="003C55AB"/>
    <w:rsid w:val="003D3B3C"/>
    <w:rsid w:val="003E60F8"/>
    <w:rsid w:val="003F49AF"/>
    <w:rsid w:val="0041246D"/>
    <w:rsid w:val="0041251A"/>
    <w:rsid w:val="0041559F"/>
    <w:rsid w:val="00416649"/>
    <w:rsid w:val="0042347C"/>
    <w:rsid w:val="0042624A"/>
    <w:rsid w:val="004328A5"/>
    <w:rsid w:val="00434506"/>
    <w:rsid w:val="00450944"/>
    <w:rsid w:val="00451154"/>
    <w:rsid w:val="00467BEA"/>
    <w:rsid w:val="004701D9"/>
    <w:rsid w:val="00477DF6"/>
    <w:rsid w:val="00486B1A"/>
    <w:rsid w:val="004876C9"/>
    <w:rsid w:val="004A3D58"/>
    <w:rsid w:val="004C43C0"/>
    <w:rsid w:val="004D2151"/>
    <w:rsid w:val="004D4A12"/>
    <w:rsid w:val="004E3FDF"/>
    <w:rsid w:val="004F051E"/>
    <w:rsid w:val="004F7250"/>
    <w:rsid w:val="0050660B"/>
    <w:rsid w:val="0051013B"/>
    <w:rsid w:val="005313B6"/>
    <w:rsid w:val="0053188C"/>
    <w:rsid w:val="0055036E"/>
    <w:rsid w:val="00557DE5"/>
    <w:rsid w:val="00566647"/>
    <w:rsid w:val="00574C80"/>
    <w:rsid w:val="0058356A"/>
    <w:rsid w:val="00592437"/>
    <w:rsid w:val="00594F06"/>
    <w:rsid w:val="005A0002"/>
    <w:rsid w:val="005A408A"/>
    <w:rsid w:val="005A6F81"/>
    <w:rsid w:val="005B0C60"/>
    <w:rsid w:val="005B4F7F"/>
    <w:rsid w:val="005C1EBE"/>
    <w:rsid w:val="005D0ADA"/>
    <w:rsid w:val="005D163F"/>
    <w:rsid w:val="005D42EF"/>
    <w:rsid w:val="005E1034"/>
    <w:rsid w:val="005F0F24"/>
    <w:rsid w:val="0060285E"/>
    <w:rsid w:val="00613207"/>
    <w:rsid w:val="00623810"/>
    <w:rsid w:val="00631E39"/>
    <w:rsid w:val="006325AB"/>
    <w:rsid w:val="006374EC"/>
    <w:rsid w:val="00643FC1"/>
    <w:rsid w:val="00666C0E"/>
    <w:rsid w:val="0066720A"/>
    <w:rsid w:val="00675236"/>
    <w:rsid w:val="00676123"/>
    <w:rsid w:val="00681681"/>
    <w:rsid w:val="00682D86"/>
    <w:rsid w:val="00683179"/>
    <w:rsid w:val="006869A1"/>
    <w:rsid w:val="0069476B"/>
    <w:rsid w:val="0069609D"/>
    <w:rsid w:val="006C0868"/>
    <w:rsid w:val="006C09F4"/>
    <w:rsid w:val="006C3A09"/>
    <w:rsid w:val="006C3A52"/>
    <w:rsid w:val="006D4C68"/>
    <w:rsid w:val="006D5C39"/>
    <w:rsid w:val="006D70E3"/>
    <w:rsid w:val="006D7C1E"/>
    <w:rsid w:val="006E01FF"/>
    <w:rsid w:val="006E487E"/>
    <w:rsid w:val="006F015E"/>
    <w:rsid w:val="007032D8"/>
    <w:rsid w:val="0072245E"/>
    <w:rsid w:val="007268D4"/>
    <w:rsid w:val="00726A7E"/>
    <w:rsid w:val="00740BC8"/>
    <w:rsid w:val="00751C6D"/>
    <w:rsid w:val="007538C2"/>
    <w:rsid w:val="00772351"/>
    <w:rsid w:val="00787D70"/>
    <w:rsid w:val="0079124A"/>
    <w:rsid w:val="00796625"/>
    <w:rsid w:val="007A5C6E"/>
    <w:rsid w:val="007B3197"/>
    <w:rsid w:val="007C144A"/>
    <w:rsid w:val="007C19B8"/>
    <w:rsid w:val="007D1652"/>
    <w:rsid w:val="007F2297"/>
    <w:rsid w:val="007F47FC"/>
    <w:rsid w:val="0080035D"/>
    <w:rsid w:val="0080493F"/>
    <w:rsid w:val="008509AB"/>
    <w:rsid w:val="00852F1F"/>
    <w:rsid w:val="00855740"/>
    <w:rsid w:val="0086558E"/>
    <w:rsid w:val="00870059"/>
    <w:rsid w:val="00870B81"/>
    <w:rsid w:val="00872C5F"/>
    <w:rsid w:val="00887C98"/>
    <w:rsid w:val="0089085F"/>
    <w:rsid w:val="008928C3"/>
    <w:rsid w:val="00895C96"/>
    <w:rsid w:val="008D592A"/>
    <w:rsid w:val="008E2551"/>
    <w:rsid w:val="008E2C2E"/>
    <w:rsid w:val="008E6D84"/>
    <w:rsid w:val="008E7554"/>
    <w:rsid w:val="008F14D3"/>
    <w:rsid w:val="00924E0E"/>
    <w:rsid w:val="009304E6"/>
    <w:rsid w:val="0093309D"/>
    <w:rsid w:val="00943F51"/>
    <w:rsid w:val="009457CF"/>
    <w:rsid w:val="00946C1B"/>
    <w:rsid w:val="0095576E"/>
    <w:rsid w:val="00963024"/>
    <w:rsid w:val="009639E7"/>
    <w:rsid w:val="00973643"/>
    <w:rsid w:val="009767DB"/>
    <w:rsid w:val="009818CC"/>
    <w:rsid w:val="00991711"/>
    <w:rsid w:val="009B0CC0"/>
    <w:rsid w:val="009B34B1"/>
    <w:rsid w:val="009C2E45"/>
    <w:rsid w:val="009D0AF8"/>
    <w:rsid w:val="009D1F58"/>
    <w:rsid w:val="009D74F5"/>
    <w:rsid w:val="009F2745"/>
    <w:rsid w:val="00A032D2"/>
    <w:rsid w:val="00A37356"/>
    <w:rsid w:val="00A40A08"/>
    <w:rsid w:val="00A5309C"/>
    <w:rsid w:val="00A73037"/>
    <w:rsid w:val="00A74F3C"/>
    <w:rsid w:val="00A77CA9"/>
    <w:rsid w:val="00A9018F"/>
    <w:rsid w:val="00A92853"/>
    <w:rsid w:val="00AB1D6E"/>
    <w:rsid w:val="00AB6CC3"/>
    <w:rsid w:val="00AC0440"/>
    <w:rsid w:val="00AC1D17"/>
    <w:rsid w:val="00AE6BB7"/>
    <w:rsid w:val="00AE747A"/>
    <w:rsid w:val="00AE748F"/>
    <w:rsid w:val="00AF14CF"/>
    <w:rsid w:val="00AF3600"/>
    <w:rsid w:val="00AF3C80"/>
    <w:rsid w:val="00AF4EE8"/>
    <w:rsid w:val="00B10AF5"/>
    <w:rsid w:val="00B10F1E"/>
    <w:rsid w:val="00B13AAC"/>
    <w:rsid w:val="00B16C75"/>
    <w:rsid w:val="00B21443"/>
    <w:rsid w:val="00B23D1E"/>
    <w:rsid w:val="00B37513"/>
    <w:rsid w:val="00B42849"/>
    <w:rsid w:val="00B43412"/>
    <w:rsid w:val="00B46081"/>
    <w:rsid w:val="00B52E94"/>
    <w:rsid w:val="00B60553"/>
    <w:rsid w:val="00B81B3E"/>
    <w:rsid w:val="00B857E4"/>
    <w:rsid w:val="00B91565"/>
    <w:rsid w:val="00B97AFA"/>
    <w:rsid w:val="00BA3CB0"/>
    <w:rsid w:val="00BA74F2"/>
    <w:rsid w:val="00BB0E00"/>
    <w:rsid w:val="00BB3471"/>
    <w:rsid w:val="00BC4715"/>
    <w:rsid w:val="00BE3198"/>
    <w:rsid w:val="00BF0141"/>
    <w:rsid w:val="00BF0224"/>
    <w:rsid w:val="00C05781"/>
    <w:rsid w:val="00C05C34"/>
    <w:rsid w:val="00C10736"/>
    <w:rsid w:val="00C1459C"/>
    <w:rsid w:val="00C14A5E"/>
    <w:rsid w:val="00C22341"/>
    <w:rsid w:val="00C32CCC"/>
    <w:rsid w:val="00C33B45"/>
    <w:rsid w:val="00C363EC"/>
    <w:rsid w:val="00C36465"/>
    <w:rsid w:val="00C43DF6"/>
    <w:rsid w:val="00C502B3"/>
    <w:rsid w:val="00C508CC"/>
    <w:rsid w:val="00C51A88"/>
    <w:rsid w:val="00C52B12"/>
    <w:rsid w:val="00C61CD1"/>
    <w:rsid w:val="00C64D4C"/>
    <w:rsid w:val="00C76866"/>
    <w:rsid w:val="00C83783"/>
    <w:rsid w:val="00C83DB2"/>
    <w:rsid w:val="00C8573B"/>
    <w:rsid w:val="00C97553"/>
    <w:rsid w:val="00CA4E16"/>
    <w:rsid w:val="00CA5253"/>
    <w:rsid w:val="00CB205D"/>
    <w:rsid w:val="00CB2BFE"/>
    <w:rsid w:val="00CC3681"/>
    <w:rsid w:val="00CC70F0"/>
    <w:rsid w:val="00CE42CA"/>
    <w:rsid w:val="00CE5896"/>
    <w:rsid w:val="00CF5CB3"/>
    <w:rsid w:val="00CF66BA"/>
    <w:rsid w:val="00CF6F3F"/>
    <w:rsid w:val="00D035EA"/>
    <w:rsid w:val="00D228A8"/>
    <w:rsid w:val="00D26467"/>
    <w:rsid w:val="00D556DA"/>
    <w:rsid w:val="00D57E91"/>
    <w:rsid w:val="00D6055E"/>
    <w:rsid w:val="00D92D26"/>
    <w:rsid w:val="00DA0CF8"/>
    <w:rsid w:val="00DA6A05"/>
    <w:rsid w:val="00DA74F6"/>
    <w:rsid w:val="00DB1298"/>
    <w:rsid w:val="00DB42C0"/>
    <w:rsid w:val="00DC17D3"/>
    <w:rsid w:val="00DC7DA4"/>
    <w:rsid w:val="00DD065A"/>
    <w:rsid w:val="00DD1AC5"/>
    <w:rsid w:val="00DD1E95"/>
    <w:rsid w:val="00DD6F31"/>
    <w:rsid w:val="00DE2073"/>
    <w:rsid w:val="00DF18F7"/>
    <w:rsid w:val="00DF2596"/>
    <w:rsid w:val="00DF2BC6"/>
    <w:rsid w:val="00DF36A1"/>
    <w:rsid w:val="00E03F27"/>
    <w:rsid w:val="00E041D2"/>
    <w:rsid w:val="00E04D6C"/>
    <w:rsid w:val="00E22F68"/>
    <w:rsid w:val="00E27CC8"/>
    <w:rsid w:val="00E31657"/>
    <w:rsid w:val="00E31858"/>
    <w:rsid w:val="00E320DC"/>
    <w:rsid w:val="00E34EEE"/>
    <w:rsid w:val="00E35DFC"/>
    <w:rsid w:val="00E3755A"/>
    <w:rsid w:val="00E41711"/>
    <w:rsid w:val="00E4518A"/>
    <w:rsid w:val="00E54E3C"/>
    <w:rsid w:val="00E67790"/>
    <w:rsid w:val="00E95A31"/>
    <w:rsid w:val="00EA3524"/>
    <w:rsid w:val="00ED15F5"/>
    <w:rsid w:val="00ED7BE7"/>
    <w:rsid w:val="00EE23C3"/>
    <w:rsid w:val="00EF35B0"/>
    <w:rsid w:val="00EF5B25"/>
    <w:rsid w:val="00EF5D99"/>
    <w:rsid w:val="00EF6F57"/>
    <w:rsid w:val="00F25A7F"/>
    <w:rsid w:val="00F26B2A"/>
    <w:rsid w:val="00F45864"/>
    <w:rsid w:val="00F51ADE"/>
    <w:rsid w:val="00F53197"/>
    <w:rsid w:val="00F6124B"/>
    <w:rsid w:val="00F6512F"/>
    <w:rsid w:val="00F80D64"/>
    <w:rsid w:val="00F93C25"/>
    <w:rsid w:val="00FA45B3"/>
    <w:rsid w:val="00FC035D"/>
    <w:rsid w:val="00FC1B0F"/>
    <w:rsid w:val="00FC7FDD"/>
    <w:rsid w:val="00FD3412"/>
    <w:rsid w:val="00FE13BA"/>
    <w:rsid w:val="00FE70DF"/>
    <w:rsid w:val="00FE74AC"/>
    <w:rsid w:val="00FF0F22"/>
    <w:rsid w:val="00FF76B5"/>
    <w:rsid w:val="00FF76C3"/>
    <w:rsid w:val="01435E3A"/>
    <w:rsid w:val="025C71C4"/>
    <w:rsid w:val="02CE51D8"/>
    <w:rsid w:val="02D6159F"/>
    <w:rsid w:val="03830FE4"/>
    <w:rsid w:val="04BC2297"/>
    <w:rsid w:val="04F12E21"/>
    <w:rsid w:val="05633B06"/>
    <w:rsid w:val="057165DD"/>
    <w:rsid w:val="062F2D1E"/>
    <w:rsid w:val="06675C84"/>
    <w:rsid w:val="06CF04CF"/>
    <w:rsid w:val="077F59D4"/>
    <w:rsid w:val="07D12DA1"/>
    <w:rsid w:val="08584F3D"/>
    <w:rsid w:val="08E61E86"/>
    <w:rsid w:val="08FF4CB3"/>
    <w:rsid w:val="094E1962"/>
    <w:rsid w:val="09D71D69"/>
    <w:rsid w:val="0A595EAE"/>
    <w:rsid w:val="0A9E5F43"/>
    <w:rsid w:val="0C314329"/>
    <w:rsid w:val="0CDB2626"/>
    <w:rsid w:val="0D23239E"/>
    <w:rsid w:val="0D5D3E94"/>
    <w:rsid w:val="0DEC6F3D"/>
    <w:rsid w:val="0E217DAF"/>
    <w:rsid w:val="0FC0180B"/>
    <w:rsid w:val="109763F0"/>
    <w:rsid w:val="10CC3F98"/>
    <w:rsid w:val="118F66B5"/>
    <w:rsid w:val="11D44FD1"/>
    <w:rsid w:val="12AE5C9B"/>
    <w:rsid w:val="12EF5FBA"/>
    <w:rsid w:val="137F1CE0"/>
    <w:rsid w:val="13E05B09"/>
    <w:rsid w:val="15363A68"/>
    <w:rsid w:val="15E60CC4"/>
    <w:rsid w:val="160577AF"/>
    <w:rsid w:val="163E5282"/>
    <w:rsid w:val="169305AF"/>
    <w:rsid w:val="176321B8"/>
    <w:rsid w:val="17C550ED"/>
    <w:rsid w:val="17CD5356"/>
    <w:rsid w:val="18221982"/>
    <w:rsid w:val="1889755F"/>
    <w:rsid w:val="191A5425"/>
    <w:rsid w:val="19770636"/>
    <w:rsid w:val="19935F13"/>
    <w:rsid w:val="19AF5A77"/>
    <w:rsid w:val="19DF2EFA"/>
    <w:rsid w:val="1A06285A"/>
    <w:rsid w:val="1A195C6D"/>
    <w:rsid w:val="1AFE182E"/>
    <w:rsid w:val="1BE35EAC"/>
    <w:rsid w:val="1C2965FA"/>
    <w:rsid w:val="1C891DC5"/>
    <w:rsid w:val="1CCA0D77"/>
    <w:rsid w:val="1EA95EEB"/>
    <w:rsid w:val="1EAA7773"/>
    <w:rsid w:val="1F1B61FD"/>
    <w:rsid w:val="1F394761"/>
    <w:rsid w:val="1F712DF7"/>
    <w:rsid w:val="1FCF47D6"/>
    <w:rsid w:val="1FE00193"/>
    <w:rsid w:val="20BA7F54"/>
    <w:rsid w:val="20F404C0"/>
    <w:rsid w:val="21C476DA"/>
    <w:rsid w:val="21F1387C"/>
    <w:rsid w:val="22014258"/>
    <w:rsid w:val="234A183C"/>
    <w:rsid w:val="23F24EDE"/>
    <w:rsid w:val="244C4670"/>
    <w:rsid w:val="25004B1F"/>
    <w:rsid w:val="254E600C"/>
    <w:rsid w:val="259740BA"/>
    <w:rsid w:val="25A36DC3"/>
    <w:rsid w:val="26474CF9"/>
    <w:rsid w:val="26BD71A5"/>
    <w:rsid w:val="26D35E03"/>
    <w:rsid w:val="26D96385"/>
    <w:rsid w:val="271F2EF8"/>
    <w:rsid w:val="282176B9"/>
    <w:rsid w:val="28823373"/>
    <w:rsid w:val="28A7175C"/>
    <w:rsid w:val="2A135269"/>
    <w:rsid w:val="2A6920F5"/>
    <w:rsid w:val="2AE46D0C"/>
    <w:rsid w:val="2AF404DD"/>
    <w:rsid w:val="2B2962CE"/>
    <w:rsid w:val="2B5F20F9"/>
    <w:rsid w:val="2B9D7166"/>
    <w:rsid w:val="2BBB5676"/>
    <w:rsid w:val="2BE539C6"/>
    <w:rsid w:val="2C226AD5"/>
    <w:rsid w:val="2C6675B6"/>
    <w:rsid w:val="2C6E6A96"/>
    <w:rsid w:val="2CFC0EF3"/>
    <w:rsid w:val="2D030D87"/>
    <w:rsid w:val="2D355F16"/>
    <w:rsid w:val="2D3B0E27"/>
    <w:rsid w:val="2E0617DF"/>
    <w:rsid w:val="2E746758"/>
    <w:rsid w:val="2EC8419E"/>
    <w:rsid w:val="2F633D0C"/>
    <w:rsid w:val="2F9A5FF9"/>
    <w:rsid w:val="2FBE761E"/>
    <w:rsid w:val="3090603B"/>
    <w:rsid w:val="31AF029D"/>
    <w:rsid w:val="31BB79CC"/>
    <w:rsid w:val="329E78DC"/>
    <w:rsid w:val="32FA2ADB"/>
    <w:rsid w:val="334318E8"/>
    <w:rsid w:val="33482D44"/>
    <w:rsid w:val="336D46E4"/>
    <w:rsid w:val="341C7A3E"/>
    <w:rsid w:val="343E43C9"/>
    <w:rsid w:val="345F20C4"/>
    <w:rsid w:val="3513326E"/>
    <w:rsid w:val="352E3B08"/>
    <w:rsid w:val="355754E9"/>
    <w:rsid w:val="361E22E4"/>
    <w:rsid w:val="366C0B20"/>
    <w:rsid w:val="36BE5673"/>
    <w:rsid w:val="37634CB0"/>
    <w:rsid w:val="397B72CC"/>
    <w:rsid w:val="39F11721"/>
    <w:rsid w:val="3A387501"/>
    <w:rsid w:val="3A404153"/>
    <w:rsid w:val="3A7A3A9E"/>
    <w:rsid w:val="3ACB5DF6"/>
    <w:rsid w:val="3C420B52"/>
    <w:rsid w:val="3CE35084"/>
    <w:rsid w:val="3E600F80"/>
    <w:rsid w:val="3EC918BE"/>
    <w:rsid w:val="3EEC382F"/>
    <w:rsid w:val="3F877AC4"/>
    <w:rsid w:val="401C758E"/>
    <w:rsid w:val="40C90D83"/>
    <w:rsid w:val="41686388"/>
    <w:rsid w:val="421D0E2C"/>
    <w:rsid w:val="426254CD"/>
    <w:rsid w:val="42A54FBD"/>
    <w:rsid w:val="42A77CC0"/>
    <w:rsid w:val="42F90CC5"/>
    <w:rsid w:val="438254A7"/>
    <w:rsid w:val="439C47BD"/>
    <w:rsid w:val="43C64CF1"/>
    <w:rsid w:val="44DD744C"/>
    <w:rsid w:val="45124FED"/>
    <w:rsid w:val="45585787"/>
    <w:rsid w:val="456F3A81"/>
    <w:rsid w:val="45A55647"/>
    <w:rsid w:val="45BA2864"/>
    <w:rsid w:val="46184901"/>
    <w:rsid w:val="464D7DBD"/>
    <w:rsid w:val="46DD120D"/>
    <w:rsid w:val="472C1836"/>
    <w:rsid w:val="47A56FDC"/>
    <w:rsid w:val="47B7497B"/>
    <w:rsid w:val="48015F87"/>
    <w:rsid w:val="48922818"/>
    <w:rsid w:val="48D52AB6"/>
    <w:rsid w:val="48E6501B"/>
    <w:rsid w:val="496B5C2B"/>
    <w:rsid w:val="4A6E45F5"/>
    <w:rsid w:val="4AC72371"/>
    <w:rsid w:val="4B0519C8"/>
    <w:rsid w:val="4B0C4228"/>
    <w:rsid w:val="4BDF1F5C"/>
    <w:rsid w:val="4C3A2790"/>
    <w:rsid w:val="4D341814"/>
    <w:rsid w:val="4D4D37F3"/>
    <w:rsid w:val="4D784666"/>
    <w:rsid w:val="4D8E3507"/>
    <w:rsid w:val="4DDE7B20"/>
    <w:rsid w:val="4ED35A30"/>
    <w:rsid w:val="4F390D34"/>
    <w:rsid w:val="50655DC9"/>
    <w:rsid w:val="50E56642"/>
    <w:rsid w:val="51025EDC"/>
    <w:rsid w:val="5130503D"/>
    <w:rsid w:val="513E0E15"/>
    <w:rsid w:val="51BA49DE"/>
    <w:rsid w:val="53443DE8"/>
    <w:rsid w:val="538709C6"/>
    <w:rsid w:val="53C16F5F"/>
    <w:rsid w:val="53E366E3"/>
    <w:rsid w:val="55423F4B"/>
    <w:rsid w:val="5598523A"/>
    <w:rsid w:val="56165414"/>
    <w:rsid w:val="5681091C"/>
    <w:rsid w:val="56925E96"/>
    <w:rsid w:val="5773022F"/>
    <w:rsid w:val="57762CC5"/>
    <w:rsid w:val="57C27F0F"/>
    <w:rsid w:val="57C717C3"/>
    <w:rsid w:val="57F46932"/>
    <w:rsid w:val="583312E3"/>
    <w:rsid w:val="588418A2"/>
    <w:rsid w:val="58ED2557"/>
    <w:rsid w:val="592F13D6"/>
    <w:rsid w:val="5954396A"/>
    <w:rsid w:val="59562AC9"/>
    <w:rsid w:val="59E637AE"/>
    <w:rsid w:val="5A0133EC"/>
    <w:rsid w:val="5A0834AF"/>
    <w:rsid w:val="5A52024D"/>
    <w:rsid w:val="5A525579"/>
    <w:rsid w:val="5A7E259F"/>
    <w:rsid w:val="5AC468CD"/>
    <w:rsid w:val="5AD14B46"/>
    <w:rsid w:val="5B0B4AE5"/>
    <w:rsid w:val="5BC052E6"/>
    <w:rsid w:val="5CAF28D9"/>
    <w:rsid w:val="5CBF3C55"/>
    <w:rsid w:val="5D6677C8"/>
    <w:rsid w:val="5E302A6E"/>
    <w:rsid w:val="5E5B5792"/>
    <w:rsid w:val="5E893728"/>
    <w:rsid w:val="5ED60E54"/>
    <w:rsid w:val="5F0158D0"/>
    <w:rsid w:val="5F564F79"/>
    <w:rsid w:val="5F6A6A14"/>
    <w:rsid w:val="5F6E599F"/>
    <w:rsid w:val="5FF667A9"/>
    <w:rsid w:val="603C0810"/>
    <w:rsid w:val="606F4656"/>
    <w:rsid w:val="60DC2AED"/>
    <w:rsid w:val="616109D2"/>
    <w:rsid w:val="61686FAA"/>
    <w:rsid w:val="61741F32"/>
    <w:rsid w:val="617E53BE"/>
    <w:rsid w:val="619B1600"/>
    <w:rsid w:val="61AD4CDA"/>
    <w:rsid w:val="61AE2929"/>
    <w:rsid w:val="61CC42B5"/>
    <w:rsid w:val="61F43B19"/>
    <w:rsid w:val="630F5F55"/>
    <w:rsid w:val="658B0301"/>
    <w:rsid w:val="65BA27B8"/>
    <w:rsid w:val="65DD5498"/>
    <w:rsid w:val="65E10333"/>
    <w:rsid w:val="660F0C54"/>
    <w:rsid w:val="662F194B"/>
    <w:rsid w:val="6772383C"/>
    <w:rsid w:val="67F65B09"/>
    <w:rsid w:val="67F67319"/>
    <w:rsid w:val="681E071D"/>
    <w:rsid w:val="68E1372D"/>
    <w:rsid w:val="69F2691D"/>
    <w:rsid w:val="6A2C025F"/>
    <w:rsid w:val="6A7A2B04"/>
    <w:rsid w:val="6BB362CE"/>
    <w:rsid w:val="6C894CB3"/>
    <w:rsid w:val="6C8E0825"/>
    <w:rsid w:val="6C977692"/>
    <w:rsid w:val="6CC4340A"/>
    <w:rsid w:val="6D035033"/>
    <w:rsid w:val="6D0E37D9"/>
    <w:rsid w:val="6D454B3E"/>
    <w:rsid w:val="6D531993"/>
    <w:rsid w:val="6E870483"/>
    <w:rsid w:val="7030466E"/>
    <w:rsid w:val="70CA25B3"/>
    <w:rsid w:val="714F6694"/>
    <w:rsid w:val="715D1F29"/>
    <w:rsid w:val="727C3AF7"/>
    <w:rsid w:val="7404754C"/>
    <w:rsid w:val="746361A1"/>
    <w:rsid w:val="74A5565C"/>
    <w:rsid w:val="75DA6B4D"/>
    <w:rsid w:val="76216C45"/>
    <w:rsid w:val="76391AC6"/>
    <w:rsid w:val="768465AD"/>
    <w:rsid w:val="76FC6414"/>
    <w:rsid w:val="77472DB0"/>
    <w:rsid w:val="77D92C55"/>
    <w:rsid w:val="77FE0A3B"/>
    <w:rsid w:val="781F3775"/>
    <w:rsid w:val="78221E4A"/>
    <w:rsid w:val="78792A81"/>
    <w:rsid w:val="78B039E4"/>
    <w:rsid w:val="7911307F"/>
    <w:rsid w:val="795D3277"/>
    <w:rsid w:val="79A056CF"/>
    <w:rsid w:val="7A6E6EFC"/>
    <w:rsid w:val="7AAA175E"/>
    <w:rsid w:val="7AEA15E0"/>
    <w:rsid w:val="7B037957"/>
    <w:rsid w:val="7B3A5901"/>
    <w:rsid w:val="7B734673"/>
    <w:rsid w:val="7B8D6C56"/>
    <w:rsid w:val="7B9A0B28"/>
    <w:rsid w:val="7BAB4C32"/>
    <w:rsid w:val="7C0D613F"/>
    <w:rsid w:val="7C1C51F6"/>
    <w:rsid w:val="7C8C6146"/>
    <w:rsid w:val="7E884AF2"/>
    <w:rsid w:val="7F2A2726"/>
    <w:rsid w:val="7F786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before="340" w:after="330" w:line="578" w:lineRule="auto"/>
      <w:ind w:firstLine="2650" w:firstLineChars="600"/>
      <w:outlineLvl w:val="0"/>
    </w:pPr>
    <w:rPr>
      <w:rFonts w:ascii="黑体" w:hAnsi="黑体" w:eastAsia="黑体"/>
      <w:b/>
      <w:bCs/>
      <w:kern w:val="44"/>
      <w:sz w:val="44"/>
      <w:szCs w:val="44"/>
    </w:rPr>
  </w:style>
  <w:style w:type="paragraph" w:styleId="4">
    <w:name w:val="heading 2"/>
    <w:basedOn w:val="1"/>
    <w:next w:val="1"/>
    <w:qFormat/>
    <w:uiPriority w:val="0"/>
    <w:pPr>
      <w:keepNext/>
      <w:keepLines/>
      <w:spacing w:beforeLines="100" w:afterLines="100" w:line="400" w:lineRule="exact"/>
      <w:outlineLvl w:val="1"/>
    </w:pPr>
    <w:rPr>
      <w:rFonts w:ascii="黑体" w:hAnsi="黑体" w:eastAsia="黑体"/>
      <w:bCs/>
      <w:sz w:val="30"/>
      <w:szCs w:val="32"/>
    </w:rPr>
  </w:style>
  <w:style w:type="paragraph" w:styleId="5">
    <w:name w:val="heading 3"/>
    <w:basedOn w:val="1"/>
    <w:next w:val="1"/>
    <w:qFormat/>
    <w:uiPriority w:val="0"/>
    <w:pPr>
      <w:keepNext/>
      <w:keepLines/>
      <w:spacing w:beforeLines="50" w:afterLines="50"/>
      <w:outlineLvl w:val="2"/>
    </w:pPr>
    <w:rPr>
      <w:b/>
      <w:bCs/>
      <w:szCs w:val="32"/>
    </w:rPr>
  </w:style>
  <w:style w:type="paragraph" w:styleId="6">
    <w:name w:val="heading 4"/>
    <w:basedOn w:val="1"/>
    <w:next w:val="1"/>
    <w:link w:val="24"/>
    <w:unhideWhenUsed/>
    <w:qFormat/>
    <w:uiPriority w:val="9"/>
    <w:pPr>
      <w:keepNext/>
      <w:keepLines/>
      <w:spacing w:before="280" w:after="290" w:line="376" w:lineRule="auto"/>
      <w:outlineLvl w:val="3"/>
    </w:pPr>
    <w:rPr>
      <w:rFonts w:ascii="Cambria" w:hAnsi="Cambria"/>
      <w:b/>
      <w:bCs/>
      <w:sz w:val="28"/>
      <w:szCs w:val="28"/>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99"/>
    <w:pPr>
      <w:spacing w:after="120"/>
    </w:pPr>
  </w:style>
  <w:style w:type="paragraph" w:styleId="7">
    <w:name w:val="Normal Indent"/>
    <w:basedOn w:val="1"/>
    <w:qFormat/>
    <w:uiPriority w:val="0"/>
    <w:pPr>
      <w:ind w:firstLine="420" w:firstLineChars="200"/>
    </w:pPr>
  </w:style>
  <w:style w:type="paragraph" w:styleId="8">
    <w:name w:val="Document Map"/>
    <w:basedOn w:val="1"/>
    <w:semiHidden/>
    <w:qFormat/>
    <w:uiPriority w:val="0"/>
    <w:pPr>
      <w:shd w:val="clear" w:color="auto" w:fill="000080"/>
    </w:pPr>
  </w:style>
  <w:style w:type="paragraph" w:styleId="9">
    <w:name w:val="annotation text"/>
    <w:basedOn w:val="1"/>
    <w:link w:val="44"/>
    <w:qFormat/>
    <w:uiPriority w:val="0"/>
    <w:pPr>
      <w:jc w:val="left"/>
    </w:pPr>
  </w:style>
  <w:style w:type="paragraph" w:styleId="10">
    <w:name w:val="Plain Text"/>
    <w:basedOn w:val="1"/>
    <w:qFormat/>
    <w:uiPriority w:val="0"/>
    <w:rPr>
      <w:rFonts w:hint="eastAsia" w:ascii="宋体" w:hAnsi="Courier New" w:cs="仿宋_GB2312"/>
      <w:szCs w:val="21"/>
    </w:rPr>
  </w:style>
  <w:style w:type="paragraph" w:styleId="11">
    <w:name w:val="Balloon Text"/>
    <w:basedOn w:val="1"/>
    <w:link w:val="25"/>
    <w:qFormat/>
    <w:uiPriority w:val="0"/>
    <w:rPr>
      <w:sz w:val="18"/>
      <w:szCs w:val="18"/>
    </w:rPr>
  </w:style>
  <w:style w:type="paragraph" w:styleId="12">
    <w:name w:val="footer"/>
    <w:basedOn w:val="1"/>
    <w:link w:val="26"/>
    <w:qFormat/>
    <w:uiPriority w:val="99"/>
    <w:pPr>
      <w:tabs>
        <w:tab w:val="center" w:pos="4153"/>
        <w:tab w:val="right" w:pos="8306"/>
      </w:tabs>
      <w:snapToGrid w:val="0"/>
      <w:jc w:val="left"/>
    </w:pPr>
    <w:rPr>
      <w:sz w:val="18"/>
      <w:szCs w:val="18"/>
    </w:rPr>
  </w:style>
  <w:style w:type="paragraph" w:styleId="13">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rPr>
      <w:rFonts w:eastAsia="仿宋"/>
      <w:b/>
      <w:sz w:val="28"/>
    </w:rPr>
  </w:style>
  <w:style w:type="paragraph" w:styleId="15">
    <w:name w:val="Body Text Indent 3"/>
    <w:basedOn w:val="1"/>
    <w:qFormat/>
    <w:uiPriority w:val="0"/>
    <w:pPr>
      <w:adjustRightInd w:val="0"/>
      <w:snapToGrid w:val="0"/>
      <w:spacing w:before="100" w:line="500" w:lineRule="exact"/>
      <w:ind w:firstLine="567"/>
    </w:pPr>
    <w:rPr>
      <w:snapToGrid w:val="0"/>
      <w:color w:val="FF0000"/>
      <w:kern w:val="0"/>
      <w:sz w:val="24"/>
      <w:szCs w:val="28"/>
    </w:rPr>
  </w:style>
  <w:style w:type="paragraph" w:styleId="16">
    <w:name w:val="toc 2"/>
    <w:basedOn w:val="1"/>
    <w:next w:val="1"/>
    <w:unhideWhenUsed/>
    <w:qFormat/>
    <w:uiPriority w:val="39"/>
    <w:pPr>
      <w:ind w:left="420" w:leftChars="200"/>
    </w:pPr>
  </w:style>
  <w:style w:type="paragraph" w:styleId="17">
    <w:name w:val="Normal (Web)"/>
    <w:basedOn w:val="1"/>
    <w:qFormat/>
    <w:uiPriority w:val="0"/>
    <w:pPr>
      <w:spacing w:before="100" w:beforeAutospacing="1" w:after="100" w:afterAutospacing="1"/>
    </w:pPr>
    <w:rPr>
      <w:rFonts w:ascii="宋体" w:hAnsi="宋体"/>
      <w:sz w:val="24"/>
      <w:szCs w:val="24"/>
    </w:rPr>
  </w:style>
  <w:style w:type="paragraph" w:styleId="18">
    <w:name w:val="Title"/>
    <w:basedOn w:val="1"/>
    <w:next w:val="1"/>
    <w:link w:val="40"/>
    <w:qFormat/>
    <w:uiPriority w:val="0"/>
    <w:pPr>
      <w:spacing w:before="240" w:after="60"/>
      <w:jc w:val="center"/>
      <w:outlineLvl w:val="0"/>
    </w:pPr>
    <w:rPr>
      <w:rFonts w:asciiTheme="majorHAnsi" w:hAnsiTheme="majorHAnsi" w:eastAsiaTheme="majorEastAsia" w:cstheme="majorBidi"/>
      <w:b/>
      <w:bCs/>
      <w:sz w:val="32"/>
      <w:szCs w:val="32"/>
    </w:rPr>
  </w:style>
  <w:style w:type="paragraph" w:styleId="19">
    <w:name w:val="annotation subject"/>
    <w:basedOn w:val="9"/>
    <w:next w:val="9"/>
    <w:link w:val="45"/>
    <w:unhideWhenUsed/>
    <w:qFormat/>
    <w:uiPriority w:val="99"/>
    <w:pPr>
      <w:widowControl/>
      <w:adjustRightInd w:val="0"/>
      <w:snapToGrid w:val="0"/>
      <w:spacing w:after="200"/>
    </w:pPr>
    <w:rPr>
      <w:rFonts w:ascii="Tahoma" w:hAnsi="Tahoma" w:eastAsia="微软雅黑" w:cstheme="minorBidi"/>
      <w:b/>
      <w:bCs/>
      <w:kern w:val="0"/>
      <w:sz w:val="22"/>
      <w:szCs w:val="2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000FF"/>
      <w:u w:val="single"/>
    </w:rPr>
  </w:style>
  <w:style w:type="character" w:customStyle="1" w:styleId="24">
    <w:name w:val="标题 4 字符"/>
    <w:link w:val="6"/>
    <w:qFormat/>
    <w:uiPriority w:val="9"/>
    <w:rPr>
      <w:rFonts w:ascii="Cambria" w:hAnsi="Cambria"/>
      <w:b/>
      <w:bCs/>
      <w:kern w:val="2"/>
      <w:sz w:val="28"/>
      <w:szCs w:val="28"/>
    </w:rPr>
  </w:style>
  <w:style w:type="character" w:customStyle="1" w:styleId="25">
    <w:name w:val="批注框文本 字符"/>
    <w:link w:val="11"/>
    <w:qFormat/>
    <w:uiPriority w:val="0"/>
    <w:rPr>
      <w:kern w:val="2"/>
      <w:sz w:val="18"/>
      <w:szCs w:val="18"/>
    </w:rPr>
  </w:style>
  <w:style w:type="character" w:customStyle="1" w:styleId="26">
    <w:name w:val="页脚 字符"/>
    <w:basedOn w:val="22"/>
    <w:link w:val="12"/>
    <w:qFormat/>
    <w:uiPriority w:val="99"/>
    <w:rPr>
      <w:kern w:val="2"/>
      <w:sz w:val="18"/>
      <w:szCs w:val="18"/>
    </w:rPr>
  </w:style>
  <w:style w:type="character" w:customStyle="1" w:styleId="27">
    <w:name w:val="页眉 字符"/>
    <w:basedOn w:val="22"/>
    <w:link w:val="13"/>
    <w:qFormat/>
    <w:uiPriority w:val="0"/>
    <w:rPr>
      <w:kern w:val="2"/>
      <w:sz w:val="18"/>
      <w:szCs w:val="18"/>
    </w:rPr>
  </w:style>
  <w:style w:type="character" w:customStyle="1" w:styleId="28">
    <w:name w:val="YB正文小四宋体 Char"/>
    <w:link w:val="29"/>
    <w:qFormat/>
    <w:uiPriority w:val="0"/>
    <w:rPr>
      <w:rFonts w:eastAsia="宋体"/>
      <w:kern w:val="2"/>
      <w:sz w:val="24"/>
      <w:lang w:bidi="ar-SA"/>
    </w:rPr>
  </w:style>
  <w:style w:type="paragraph" w:customStyle="1" w:styleId="29">
    <w:name w:val="YB正文小四宋体"/>
    <w:basedOn w:val="1"/>
    <w:link w:val="28"/>
    <w:qFormat/>
    <w:uiPriority w:val="0"/>
    <w:pPr>
      <w:autoSpaceDE w:val="0"/>
      <w:autoSpaceDN w:val="0"/>
      <w:spacing w:line="500" w:lineRule="exact"/>
      <w:ind w:firstLine="200" w:firstLineChars="200"/>
      <w:textAlignment w:val="bottom"/>
    </w:pPr>
    <w:rPr>
      <w:sz w:val="24"/>
    </w:rPr>
  </w:style>
  <w:style w:type="paragraph" w:customStyle="1" w:styleId="30">
    <w:name w:val="正文文字缩进 3"/>
    <w:basedOn w:val="1"/>
    <w:qFormat/>
    <w:uiPriority w:val="0"/>
    <w:pPr>
      <w:spacing w:line="312" w:lineRule="auto"/>
      <w:ind w:firstLine="480" w:firstLineChars="200"/>
    </w:pPr>
    <w:rPr>
      <w:kern w:val="0"/>
      <w:sz w:val="24"/>
      <w:szCs w:val="24"/>
    </w:rPr>
  </w:style>
  <w:style w:type="paragraph" w:customStyle="1" w:styleId="31">
    <w:name w:val="公正文"/>
    <w:basedOn w:val="1"/>
    <w:qFormat/>
    <w:uiPriority w:val="0"/>
    <w:pPr>
      <w:adjustRightInd w:val="0"/>
      <w:snapToGrid w:val="0"/>
      <w:spacing w:line="355" w:lineRule="auto"/>
      <w:ind w:firstLine="200" w:firstLineChars="200"/>
    </w:pPr>
    <w:rPr>
      <w:rFonts w:ascii="宋体" w:hAnsi="宋体" w:eastAsia="仿宋_GB2312"/>
      <w:sz w:val="28"/>
      <w:szCs w:val="24"/>
    </w:rPr>
  </w:style>
  <w:style w:type="paragraph" w:customStyle="1" w:styleId="32">
    <w:name w:val="工可正文"/>
    <w:basedOn w:val="1"/>
    <w:link w:val="43"/>
    <w:qFormat/>
    <w:uiPriority w:val="0"/>
    <w:pPr>
      <w:autoSpaceDE w:val="0"/>
      <w:autoSpaceDN w:val="0"/>
      <w:ind w:firstLine="480" w:firstLineChars="200"/>
    </w:pPr>
  </w:style>
  <w:style w:type="paragraph" w:customStyle="1" w:styleId="33">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34">
    <w:name w:val="TOC 标题1"/>
    <w:basedOn w:val="3"/>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5">
    <w:name w:val="标题3"/>
    <w:basedOn w:val="1"/>
    <w:qFormat/>
    <w:uiPriority w:val="0"/>
    <w:pPr>
      <w:outlineLvl w:val="2"/>
    </w:pPr>
    <w:rPr>
      <w:rFonts w:ascii="黑体" w:hAnsi="黑体" w:eastAsia="黑体"/>
      <w:b/>
    </w:rPr>
  </w:style>
  <w:style w:type="paragraph" w:customStyle="1" w:styleId="36">
    <w:name w:val="宏达正文"/>
    <w:basedOn w:val="1"/>
    <w:qFormat/>
    <w:uiPriority w:val="0"/>
    <w:pPr>
      <w:spacing w:line="360" w:lineRule="auto"/>
      <w:ind w:firstLine="200" w:firstLineChars="200"/>
    </w:pPr>
    <w:rPr>
      <w:rFonts w:ascii="仿宋_GB2312" w:hAnsi="仿宋_GB2312"/>
      <w:szCs w:val="28"/>
    </w:rPr>
  </w:style>
  <w:style w:type="paragraph" w:customStyle="1" w:styleId="37">
    <w:name w:val="图片"/>
    <w:basedOn w:val="1"/>
    <w:qFormat/>
    <w:uiPriority w:val="0"/>
    <w:pPr>
      <w:spacing w:before="156" w:after="156" w:line="360" w:lineRule="auto"/>
      <w:ind w:firstLine="482" w:firstLineChars="200"/>
      <w:jc w:val="center"/>
    </w:pPr>
    <w:rPr>
      <w:rFonts w:ascii="黑体" w:eastAsia="黑体"/>
      <w:b/>
      <w:sz w:val="24"/>
      <w:szCs w:val="24"/>
    </w:rPr>
  </w:style>
  <w:style w:type="paragraph" w:customStyle="1" w:styleId="38">
    <w:name w:val="表格表头"/>
    <w:basedOn w:val="1"/>
    <w:qFormat/>
    <w:uiPriority w:val="0"/>
    <w:rPr>
      <w:rFonts w:ascii="黑体" w:hAnsi="黑体" w:eastAsia="黑体"/>
      <w:b/>
      <w:sz w:val="24"/>
      <w:szCs w:val="24"/>
    </w:rPr>
  </w:style>
  <w:style w:type="paragraph" w:customStyle="1" w:styleId="39">
    <w:name w:val="图表正文"/>
    <w:basedOn w:val="1"/>
    <w:link w:val="41"/>
    <w:qFormat/>
    <w:uiPriority w:val="0"/>
    <w:pPr>
      <w:jc w:val="center"/>
    </w:pPr>
    <w:rPr>
      <w:rFonts w:ascii="宋体"/>
      <w:spacing w:val="8"/>
      <w:sz w:val="24"/>
    </w:rPr>
  </w:style>
  <w:style w:type="character" w:customStyle="1" w:styleId="40">
    <w:name w:val="标题 字符"/>
    <w:basedOn w:val="22"/>
    <w:link w:val="18"/>
    <w:qFormat/>
    <w:uiPriority w:val="0"/>
    <w:rPr>
      <w:rFonts w:asciiTheme="majorHAnsi" w:hAnsiTheme="majorHAnsi" w:eastAsiaTheme="majorEastAsia" w:cstheme="majorBidi"/>
      <w:b/>
      <w:bCs/>
      <w:kern w:val="2"/>
      <w:sz w:val="32"/>
      <w:szCs w:val="32"/>
    </w:rPr>
  </w:style>
  <w:style w:type="character" w:customStyle="1" w:styleId="41">
    <w:name w:val="图表正文 Char"/>
    <w:basedOn w:val="22"/>
    <w:link w:val="39"/>
    <w:qFormat/>
    <w:uiPriority w:val="0"/>
    <w:rPr>
      <w:rFonts w:ascii="宋体"/>
      <w:spacing w:val="8"/>
      <w:kern w:val="2"/>
      <w:sz w:val="24"/>
    </w:rPr>
  </w:style>
  <w:style w:type="paragraph" w:customStyle="1" w:styleId="42">
    <w:name w:val="列出段落1"/>
    <w:basedOn w:val="1"/>
    <w:qFormat/>
    <w:uiPriority w:val="34"/>
    <w:pPr>
      <w:ind w:firstLine="420" w:firstLineChars="200"/>
    </w:pPr>
  </w:style>
  <w:style w:type="character" w:customStyle="1" w:styleId="43">
    <w:name w:val="工可正文 Char"/>
    <w:basedOn w:val="22"/>
    <w:link w:val="32"/>
    <w:qFormat/>
    <w:uiPriority w:val="0"/>
    <w:rPr>
      <w:kern w:val="2"/>
      <w:sz w:val="21"/>
    </w:rPr>
  </w:style>
  <w:style w:type="character" w:customStyle="1" w:styleId="44">
    <w:name w:val="批注文字 字符"/>
    <w:basedOn w:val="22"/>
    <w:link w:val="9"/>
    <w:qFormat/>
    <w:uiPriority w:val="0"/>
    <w:rPr>
      <w:kern w:val="2"/>
      <w:sz w:val="21"/>
    </w:rPr>
  </w:style>
  <w:style w:type="character" w:customStyle="1" w:styleId="45">
    <w:name w:val="批注主题 字符"/>
    <w:basedOn w:val="44"/>
    <w:link w:val="19"/>
    <w:qFormat/>
    <w:uiPriority w:val="99"/>
    <w:rPr>
      <w:rFonts w:ascii="Tahoma" w:hAnsi="Tahoma" w:eastAsia="微软雅黑" w:cstheme="minorBidi"/>
      <w:b/>
      <w:bCs/>
      <w:kern w:val="2"/>
      <w:sz w:val="22"/>
      <w:szCs w:val="22"/>
    </w:rPr>
  </w:style>
  <w:style w:type="paragraph" w:customStyle="1" w:styleId="46">
    <w:name w:val="_Style 139"/>
    <w:basedOn w:val="1"/>
    <w:semiHidden/>
    <w:uiPriority w:val="0"/>
    <w:pPr>
      <w:spacing w:after="50" w:afterLines="50" w:line="520" w:lineRule="exact"/>
      <w:jc w:val="center"/>
    </w:pPr>
    <w:rPr>
      <w:rFonts w:ascii="Arial" w:hAnsi="Arial" w:eastAsia="仿宋_GB23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2106</Words>
  <Characters>12007</Characters>
  <Lines>100</Lines>
  <Paragraphs>28</Paragraphs>
  <TotalTime>3</TotalTime>
  <ScaleCrop>false</ScaleCrop>
  <LinksUpToDate>false</LinksUpToDate>
  <CharactersWithSpaces>14085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2017-01-19T08:03:00Z</dcterms:created>
  <dc:creator>成克辉</dc:creator>
  <cp:lastModifiedBy>kane昶</cp:lastModifiedBy>
  <cp:lastPrinted>2021-12-03T05:06:00Z</cp:lastPrinted>
  <dcterms:modified xsi:type="dcterms:W3CDTF">2022-03-15T03:29:54Z</dcterms:modified>
  <cp:revision>225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202156A3BD454569A1AF3CCAF9A2357C</vt:lpwstr>
  </property>
</Properties>
</file>