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宋体" w:hAnsi="宋体" w:cs="宋体"/>
          <w:b/>
          <w:color w:val="auto"/>
          <w:kern w:val="0"/>
          <w:sz w:val="48"/>
          <w:szCs w:val="48"/>
          <w:highlight w:val="none"/>
        </w:rPr>
      </w:pPr>
      <w:bookmarkStart w:id="0" w:name="_Hlk53133821"/>
    </w:p>
    <w:p>
      <w:pPr>
        <w:spacing w:line="720" w:lineRule="auto"/>
        <w:jc w:val="center"/>
        <w:rPr>
          <w:rFonts w:hint="eastAsia" w:ascii="宋体" w:hAnsi="宋体" w:eastAsia="宋体" w:cs="宋体"/>
          <w:color w:val="auto"/>
          <w:sz w:val="32"/>
          <w:szCs w:val="32"/>
          <w:highlight w:val="none"/>
          <w:u w:val="single"/>
          <w:lang w:val="en-US" w:eastAsia="zh-CN"/>
        </w:rPr>
      </w:pPr>
      <w:r>
        <w:rPr>
          <w:rFonts w:hint="eastAsia" w:ascii="宋体" w:hAnsi="宋体" w:cs="宋体"/>
          <w:b/>
          <w:color w:val="auto"/>
          <w:kern w:val="0"/>
          <w:sz w:val="44"/>
          <w:szCs w:val="44"/>
          <w:highlight w:val="none"/>
          <w:lang w:eastAsia="zh-CN"/>
        </w:rPr>
        <w:t>广州市第八十六中学改扩建工程施工总承包</w:t>
      </w:r>
    </w:p>
    <w:bookmarkEnd w:id="0"/>
    <w:p>
      <w:pPr>
        <w:spacing w:line="360" w:lineRule="auto"/>
        <w:jc w:val="center"/>
        <w:rPr>
          <w:rFonts w:ascii="宋体" w:hAnsi="宋体" w:cs="宋体"/>
          <w:color w:val="auto"/>
          <w:sz w:val="36"/>
          <w:szCs w:val="36"/>
          <w:highlight w:val="none"/>
          <w:u w:val="single"/>
        </w:rPr>
      </w:pPr>
    </w:p>
    <w:p>
      <w:pPr>
        <w:spacing w:line="360" w:lineRule="auto"/>
        <w:jc w:val="center"/>
        <w:rPr>
          <w:rFonts w:ascii="宋体" w:hAnsi="宋体" w:cs="宋体"/>
          <w:color w:val="auto"/>
          <w:sz w:val="36"/>
          <w:szCs w:val="36"/>
          <w:highlight w:val="none"/>
          <w:u w:val="single"/>
        </w:rPr>
      </w:pPr>
    </w:p>
    <w:p>
      <w:pPr>
        <w:spacing w:line="360" w:lineRule="auto"/>
        <w:jc w:val="center"/>
        <w:rPr>
          <w:rFonts w:ascii="宋体" w:hAnsi="宋体" w:cs="宋体"/>
          <w:color w:val="auto"/>
          <w:sz w:val="36"/>
          <w:szCs w:val="36"/>
          <w:highlight w:val="none"/>
          <w:u w:val="single"/>
        </w:rPr>
      </w:pPr>
    </w:p>
    <w:p>
      <w:pPr>
        <w:pStyle w:val="50"/>
        <w:jc w:val="center"/>
        <w:rPr>
          <w:rFonts w:ascii="宋体" w:hAnsi="宋体" w:cs="宋体"/>
          <w:color w:val="auto"/>
          <w:sz w:val="36"/>
          <w:szCs w:val="36"/>
          <w:highlight w:val="none"/>
          <w:u w:val="single"/>
        </w:rPr>
      </w:pPr>
    </w:p>
    <w:p>
      <w:pPr>
        <w:pStyle w:val="50"/>
        <w:jc w:val="center"/>
        <w:rPr>
          <w:rFonts w:ascii="宋体" w:hAnsi="宋体" w:cs="宋体"/>
          <w:color w:val="auto"/>
          <w:sz w:val="36"/>
          <w:szCs w:val="36"/>
          <w:highlight w:val="none"/>
          <w:u w:val="single"/>
        </w:rPr>
      </w:pPr>
    </w:p>
    <w:p>
      <w:pPr>
        <w:pStyle w:val="50"/>
        <w:rPr>
          <w:color w:val="auto"/>
          <w:highlight w:val="none"/>
        </w:rPr>
      </w:pPr>
    </w:p>
    <w:p>
      <w:pPr>
        <w:spacing w:line="360" w:lineRule="auto"/>
        <w:jc w:val="center"/>
        <w:rPr>
          <w:rFonts w:ascii="宋体" w:hAnsi="宋体" w:cs="宋体"/>
          <w:b/>
          <w:bCs/>
          <w:color w:val="auto"/>
          <w:spacing w:val="26"/>
          <w:sz w:val="110"/>
          <w:szCs w:val="110"/>
          <w:highlight w:val="none"/>
        </w:rPr>
      </w:pPr>
      <w:r>
        <w:rPr>
          <w:rFonts w:hint="eastAsia" w:ascii="宋体" w:hAnsi="宋体" w:cs="宋体"/>
          <w:b/>
          <w:bCs/>
          <w:color w:val="auto"/>
          <w:spacing w:val="26"/>
          <w:sz w:val="110"/>
          <w:szCs w:val="110"/>
          <w:highlight w:val="none"/>
        </w:rPr>
        <w:t>招标文件</w:t>
      </w:r>
    </w:p>
    <w:p>
      <w:pPr>
        <w:spacing w:line="360" w:lineRule="auto"/>
        <w:jc w:val="center"/>
        <w:rPr>
          <w:rFonts w:ascii="宋体" w:hAnsi="宋体" w:cs="宋体"/>
          <w:color w:val="auto"/>
          <w:sz w:val="32"/>
          <w:szCs w:val="32"/>
          <w:highlight w:val="none"/>
        </w:rPr>
      </w:pPr>
    </w:p>
    <w:p>
      <w:pPr>
        <w:spacing w:line="360" w:lineRule="auto"/>
        <w:ind w:firstLine="2560" w:firstLineChars="800"/>
        <w:rPr>
          <w:rFonts w:ascii="宋体" w:hAnsi="宋体" w:cs="宋体"/>
          <w:color w:val="auto"/>
          <w:sz w:val="32"/>
          <w:szCs w:val="32"/>
          <w:highlight w:val="none"/>
        </w:rPr>
      </w:pPr>
    </w:p>
    <w:p>
      <w:pPr>
        <w:spacing w:line="360" w:lineRule="auto"/>
        <w:ind w:firstLine="2560" w:firstLineChars="800"/>
        <w:rPr>
          <w:rFonts w:ascii="宋体" w:hAnsi="宋体" w:cs="宋体"/>
          <w:color w:val="auto"/>
          <w:sz w:val="32"/>
          <w:szCs w:val="32"/>
          <w:highlight w:val="none"/>
        </w:rPr>
      </w:pPr>
    </w:p>
    <w:p>
      <w:pPr>
        <w:spacing w:line="360" w:lineRule="auto"/>
        <w:ind w:firstLine="1200" w:firstLineChars="400"/>
        <w:rPr>
          <w:rFonts w:ascii="宋体" w:hAnsi="宋体" w:cs="宋体"/>
          <w:color w:val="auto"/>
          <w:sz w:val="30"/>
          <w:szCs w:val="30"/>
          <w:highlight w:val="none"/>
        </w:rPr>
      </w:pPr>
    </w:p>
    <w:p>
      <w:pPr>
        <w:spacing w:line="360" w:lineRule="auto"/>
        <w:ind w:firstLine="1200" w:firstLineChars="400"/>
        <w:rPr>
          <w:rFonts w:ascii="宋体" w:hAnsi="宋体" w:cs="宋体"/>
          <w:color w:val="auto"/>
          <w:sz w:val="30"/>
          <w:szCs w:val="30"/>
          <w:highlight w:val="none"/>
        </w:rPr>
      </w:pPr>
    </w:p>
    <w:p>
      <w:pPr>
        <w:pStyle w:val="50"/>
        <w:rPr>
          <w:color w:val="auto"/>
          <w:highlight w:val="none"/>
        </w:rPr>
      </w:pPr>
    </w:p>
    <w:p>
      <w:pPr>
        <w:spacing w:line="360" w:lineRule="auto"/>
        <w:jc w:val="center"/>
        <w:rPr>
          <w:rFonts w:ascii="宋体" w:hAnsi="宋体" w:cs="宋体"/>
          <w:color w:val="auto"/>
          <w:spacing w:val="-2"/>
          <w:sz w:val="30"/>
          <w:szCs w:val="30"/>
          <w:highlight w:val="none"/>
        </w:rPr>
      </w:pPr>
    </w:p>
    <w:p>
      <w:pPr>
        <w:spacing w:line="360" w:lineRule="auto"/>
        <w:ind w:left="1418" w:leftChars="675"/>
        <w:jc w:val="left"/>
        <w:rPr>
          <w:rFonts w:ascii="宋体" w:hAnsi="宋体" w:cs="宋体"/>
          <w:b/>
          <w:bCs/>
          <w:color w:val="auto"/>
          <w:spacing w:val="-2"/>
          <w:sz w:val="30"/>
          <w:szCs w:val="30"/>
          <w:highlight w:val="none"/>
        </w:rPr>
      </w:pPr>
      <w:r>
        <w:rPr>
          <w:rFonts w:hint="eastAsia" w:ascii="宋体" w:hAnsi="宋体" w:cs="宋体"/>
          <w:b/>
          <w:bCs/>
          <w:color w:val="auto"/>
          <w:spacing w:val="-2"/>
          <w:sz w:val="30"/>
          <w:szCs w:val="30"/>
          <w:highlight w:val="none"/>
        </w:rPr>
        <w:t>招标单位：广州开发区财政投资建设项目管理中心</w:t>
      </w:r>
    </w:p>
    <w:p>
      <w:pPr>
        <w:spacing w:line="360" w:lineRule="auto"/>
        <w:ind w:left="1418" w:leftChars="675"/>
        <w:jc w:val="left"/>
        <w:rPr>
          <w:rFonts w:hint="eastAsia" w:ascii="宋体" w:hAnsi="宋体" w:eastAsia="宋体" w:cs="宋体"/>
          <w:b/>
          <w:bCs/>
          <w:color w:val="auto"/>
          <w:spacing w:val="-2"/>
          <w:sz w:val="30"/>
          <w:szCs w:val="30"/>
          <w:highlight w:val="none"/>
          <w:lang w:eastAsia="zh-CN"/>
        </w:rPr>
      </w:pPr>
      <w:r>
        <w:rPr>
          <w:rFonts w:hint="eastAsia" w:ascii="宋体" w:hAnsi="宋体" w:cs="宋体"/>
          <w:b/>
          <w:bCs/>
          <w:color w:val="auto"/>
          <w:spacing w:val="-2"/>
          <w:sz w:val="30"/>
          <w:szCs w:val="30"/>
          <w:highlight w:val="none"/>
        </w:rPr>
        <w:t>招标代理单位：</w:t>
      </w:r>
      <w:r>
        <w:rPr>
          <w:rFonts w:hint="eastAsia" w:ascii="宋体" w:hAnsi="宋体" w:cs="宋体"/>
          <w:b/>
          <w:bCs/>
          <w:color w:val="auto"/>
          <w:spacing w:val="-2"/>
          <w:sz w:val="30"/>
          <w:szCs w:val="30"/>
          <w:highlight w:val="none"/>
          <w:lang w:eastAsia="zh-CN"/>
        </w:rPr>
        <w:t>广东省机电设备招标中心有限公司</w:t>
      </w:r>
    </w:p>
    <w:p>
      <w:pPr>
        <w:spacing w:line="360" w:lineRule="auto"/>
        <w:ind w:left="1418" w:leftChars="675"/>
        <w:jc w:val="left"/>
        <w:rPr>
          <w:rFonts w:hint="eastAsia" w:ascii="宋体" w:hAnsi="宋体" w:eastAsia="宋体" w:cs="宋体"/>
          <w:b/>
          <w:bCs/>
          <w:color w:val="auto"/>
          <w:spacing w:val="-2"/>
          <w:sz w:val="30"/>
          <w:szCs w:val="30"/>
          <w:highlight w:val="none"/>
          <w:lang w:eastAsia="zh-CN"/>
        </w:rPr>
      </w:pPr>
      <w:r>
        <w:rPr>
          <w:rFonts w:hint="eastAsia" w:ascii="宋体" w:hAnsi="宋体" w:cs="宋体"/>
          <w:b/>
          <w:bCs/>
          <w:color w:val="auto"/>
          <w:spacing w:val="-2"/>
          <w:sz w:val="30"/>
          <w:szCs w:val="30"/>
          <w:highlight w:val="none"/>
        </w:rPr>
        <w:t>日期：</w:t>
      </w:r>
      <w:r>
        <w:rPr>
          <w:rFonts w:hint="eastAsia" w:ascii="宋体" w:hAnsi="宋体" w:cs="宋体"/>
          <w:b/>
          <w:bCs/>
          <w:color w:val="auto"/>
          <w:spacing w:val="-2"/>
          <w:sz w:val="30"/>
          <w:szCs w:val="30"/>
          <w:highlight w:val="none"/>
          <w:u w:val="none"/>
          <w:lang w:eastAsia="zh-CN"/>
        </w:rPr>
        <w:t>2024年6月</w:t>
      </w:r>
    </w:p>
    <w:p>
      <w:pPr>
        <w:spacing w:line="360" w:lineRule="auto"/>
        <w:jc w:val="center"/>
        <w:rPr>
          <w:rFonts w:ascii="宋体" w:hAnsi="宋体" w:cs="宋体"/>
          <w:b/>
          <w:bCs/>
          <w:color w:val="auto"/>
          <w:spacing w:val="-2"/>
          <w:sz w:val="30"/>
          <w:szCs w:val="30"/>
          <w:highlight w:val="none"/>
        </w:rPr>
      </w:pPr>
    </w:p>
    <w:p>
      <w:pPr>
        <w:jc w:val="center"/>
        <w:rPr>
          <w:rStyle w:val="60"/>
          <w:rFonts w:ascii="宋体" w:hAnsi="宋体" w:cs="宋体"/>
          <w:b/>
          <w:bCs/>
          <w:color w:val="auto"/>
          <w:highlight w:val="none"/>
        </w:rPr>
        <w:sectPr>
          <w:headerReference r:id="rId3" w:type="default"/>
          <w:headerReference r:id="rId4" w:type="even"/>
          <w:footerReference r:id="rId5" w:type="even"/>
          <w:endnotePr>
            <w:numFmt w:val="decimal"/>
          </w:endnotePr>
          <w:pgSz w:w="11906" w:h="16838"/>
          <w:pgMar w:top="1134" w:right="1418" w:bottom="1247" w:left="1418" w:header="851" w:footer="907" w:gutter="0"/>
          <w:pgNumType w:start="0"/>
          <w:cols w:space="720" w:num="1"/>
          <w:titlePg/>
          <w:docGrid w:type="lines" w:linePitch="312" w:charSpace="0"/>
        </w:sectPr>
      </w:pPr>
    </w:p>
    <w:p>
      <w:pPr>
        <w:jc w:val="center"/>
        <w:rPr>
          <w:rStyle w:val="60"/>
          <w:rFonts w:ascii="宋体" w:hAnsi="宋体" w:cs="宋体"/>
          <w:b/>
          <w:bCs/>
          <w:color w:val="auto"/>
          <w:highlight w:val="none"/>
        </w:rPr>
      </w:pPr>
    </w:p>
    <w:p>
      <w:pPr>
        <w:jc w:val="center"/>
        <w:rPr>
          <w:rFonts w:ascii="宋体" w:hAnsi="宋体" w:cs="宋体"/>
          <w:b/>
          <w:caps/>
          <w:color w:val="auto"/>
          <w:kern w:val="0"/>
          <w:sz w:val="21"/>
          <w:szCs w:val="21"/>
          <w:highlight w:val="none"/>
        </w:rPr>
      </w:pPr>
      <w:r>
        <w:rPr>
          <w:rStyle w:val="60"/>
          <w:rFonts w:hint="eastAsia" w:ascii="宋体" w:hAnsi="宋体" w:cs="宋体"/>
          <w:b/>
          <w:bCs/>
          <w:color w:val="auto"/>
          <w:sz w:val="21"/>
          <w:szCs w:val="21"/>
          <w:highlight w:val="none"/>
          <w:u w:val="none"/>
        </w:rPr>
        <w:t>目录</w:t>
      </w:r>
    </w:p>
    <w:p>
      <w:pPr>
        <w:pStyle w:val="35"/>
        <w:tabs>
          <w:tab w:val="right" w:leader="dot" w:pos="9070"/>
          <w:tab w:val="clear" w:pos="9060"/>
        </w:tabs>
        <w:rPr>
          <w:color w:val="auto"/>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TOC \o "1-3" \h \z \u </w:instrText>
      </w:r>
      <w:r>
        <w:rPr>
          <w:rFonts w:hint="eastAsia" w:cs="宋体"/>
          <w:color w:val="auto"/>
          <w:sz w:val="21"/>
          <w:szCs w:val="21"/>
          <w:highlight w:val="none"/>
        </w:rPr>
        <w:fldChar w:fldCharType="separate"/>
      </w:r>
      <w:r>
        <w:rPr>
          <w:rFonts w:hint="eastAsia"/>
          <w:color w:val="auto"/>
          <w:szCs w:val="21"/>
          <w:highlight w:val="none"/>
        </w:rPr>
        <w:fldChar w:fldCharType="begin"/>
      </w:r>
      <w:r>
        <w:rPr>
          <w:rFonts w:hint="eastAsia"/>
          <w:color w:val="auto"/>
          <w:szCs w:val="21"/>
          <w:highlight w:val="none"/>
        </w:rPr>
        <w:instrText xml:space="preserve"> HYPERLINK \l _Toc18121 </w:instrText>
      </w:r>
      <w:r>
        <w:rPr>
          <w:rFonts w:hint="eastAsia"/>
          <w:color w:val="auto"/>
          <w:szCs w:val="21"/>
          <w:highlight w:val="none"/>
        </w:rPr>
        <w:fldChar w:fldCharType="separate"/>
      </w:r>
      <w:r>
        <w:rPr>
          <w:rFonts w:hint="eastAsia"/>
          <w:color w:val="auto"/>
          <w:highlight w:val="none"/>
        </w:rPr>
        <w:t>第一章 投标须知</w:t>
      </w:r>
      <w:r>
        <w:rPr>
          <w:color w:val="auto"/>
          <w:highlight w:val="none"/>
        </w:rPr>
        <w:tab/>
      </w:r>
      <w:r>
        <w:rPr>
          <w:color w:val="auto"/>
          <w:highlight w:val="none"/>
        </w:rPr>
        <w:fldChar w:fldCharType="begin"/>
      </w:r>
      <w:r>
        <w:rPr>
          <w:color w:val="auto"/>
          <w:highlight w:val="none"/>
        </w:rPr>
        <w:instrText xml:space="preserve"> PAGEREF _Toc18121 \h </w:instrText>
      </w:r>
      <w:r>
        <w:rPr>
          <w:color w:val="auto"/>
          <w:highlight w:val="none"/>
        </w:rPr>
        <w:fldChar w:fldCharType="separate"/>
      </w:r>
      <w:r>
        <w:rPr>
          <w:color w:val="auto"/>
          <w:highlight w:val="none"/>
        </w:rPr>
        <w:t>2</w:t>
      </w:r>
      <w:r>
        <w:rPr>
          <w:color w:val="auto"/>
          <w:highlight w:val="none"/>
        </w:rPr>
        <w:fldChar w:fldCharType="end"/>
      </w:r>
      <w:r>
        <w:rPr>
          <w:rFonts w:hint="eastAsia"/>
          <w:color w:val="auto"/>
          <w:szCs w:val="21"/>
          <w:highlight w:val="none"/>
        </w:rPr>
        <w:fldChar w:fldCharType="end"/>
      </w:r>
    </w:p>
    <w:p>
      <w:pPr>
        <w:pStyle w:val="43"/>
        <w:tabs>
          <w:tab w:val="right" w:leader="dot" w:pos="9070"/>
          <w:tab w:val="clear" w:pos="9060"/>
        </w:tabs>
        <w:rPr>
          <w:color w:val="auto"/>
          <w:highlight w:val="none"/>
        </w:rPr>
      </w:pPr>
      <w:r>
        <w:rPr>
          <w:rFonts w:hint="eastAsia"/>
          <w:color w:val="auto"/>
          <w:szCs w:val="21"/>
          <w:highlight w:val="none"/>
        </w:rPr>
        <w:fldChar w:fldCharType="begin"/>
      </w:r>
      <w:r>
        <w:rPr>
          <w:rFonts w:hint="eastAsia"/>
          <w:color w:val="auto"/>
          <w:szCs w:val="21"/>
          <w:highlight w:val="none"/>
        </w:rPr>
        <w:instrText xml:space="preserve"> HYPERLINK \l _Toc11066 </w:instrText>
      </w:r>
      <w:r>
        <w:rPr>
          <w:rFonts w:hint="eastAsia"/>
          <w:color w:val="auto"/>
          <w:szCs w:val="21"/>
          <w:highlight w:val="none"/>
        </w:rPr>
        <w:fldChar w:fldCharType="separate"/>
      </w:r>
      <w:r>
        <w:rPr>
          <w:rFonts w:hint="eastAsia"/>
          <w:color w:val="auto"/>
          <w:highlight w:val="none"/>
        </w:rPr>
        <w:t>一、投标须知前附表</w:t>
      </w:r>
      <w:r>
        <w:rPr>
          <w:color w:val="auto"/>
          <w:highlight w:val="none"/>
        </w:rPr>
        <w:tab/>
      </w:r>
      <w:r>
        <w:rPr>
          <w:color w:val="auto"/>
          <w:highlight w:val="none"/>
        </w:rPr>
        <w:fldChar w:fldCharType="begin"/>
      </w:r>
      <w:r>
        <w:rPr>
          <w:color w:val="auto"/>
          <w:highlight w:val="none"/>
        </w:rPr>
        <w:instrText xml:space="preserve"> PAGEREF _Toc11066 \h </w:instrText>
      </w:r>
      <w:r>
        <w:rPr>
          <w:color w:val="auto"/>
          <w:highlight w:val="none"/>
        </w:rPr>
        <w:fldChar w:fldCharType="separate"/>
      </w:r>
      <w:r>
        <w:rPr>
          <w:color w:val="auto"/>
          <w:highlight w:val="none"/>
        </w:rPr>
        <w:t>2</w:t>
      </w:r>
      <w:r>
        <w:rPr>
          <w:color w:val="auto"/>
          <w:highlight w:val="none"/>
        </w:rPr>
        <w:fldChar w:fldCharType="end"/>
      </w:r>
      <w:r>
        <w:rPr>
          <w:rFonts w:hint="eastAsia"/>
          <w:color w:val="auto"/>
          <w:szCs w:val="21"/>
          <w:highlight w:val="none"/>
        </w:rPr>
        <w:fldChar w:fldCharType="end"/>
      </w:r>
    </w:p>
    <w:p>
      <w:pPr>
        <w:pStyle w:val="43"/>
        <w:tabs>
          <w:tab w:val="right" w:leader="dot" w:pos="9070"/>
          <w:tab w:val="clear" w:pos="9060"/>
        </w:tabs>
        <w:rPr>
          <w:color w:val="auto"/>
          <w:highlight w:val="none"/>
        </w:rPr>
      </w:pPr>
      <w:r>
        <w:rPr>
          <w:rFonts w:hint="eastAsia"/>
          <w:color w:val="auto"/>
          <w:szCs w:val="21"/>
          <w:highlight w:val="none"/>
        </w:rPr>
        <w:fldChar w:fldCharType="begin"/>
      </w:r>
      <w:r>
        <w:rPr>
          <w:rFonts w:hint="eastAsia"/>
          <w:color w:val="auto"/>
          <w:szCs w:val="21"/>
          <w:highlight w:val="none"/>
        </w:rPr>
        <w:instrText xml:space="preserve"> HYPERLINK \l _Toc20889 </w:instrText>
      </w:r>
      <w:r>
        <w:rPr>
          <w:rFonts w:hint="eastAsia"/>
          <w:color w:val="auto"/>
          <w:szCs w:val="21"/>
          <w:highlight w:val="none"/>
        </w:rPr>
        <w:fldChar w:fldCharType="separate"/>
      </w:r>
      <w:r>
        <w:rPr>
          <w:rFonts w:hint="eastAsia"/>
          <w:color w:val="auto"/>
          <w:highlight w:val="none"/>
        </w:rPr>
        <w:t>二、投标须知修改表</w:t>
      </w:r>
      <w:r>
        <w:rPr>
          <w:color w:val="auto"/>
          <w:highlight w:val="none"/>
        </w:rPr>
        <w:tab/>
      </w:r>
      <w:r>
        <w:rPr>
          <w:color w:val="auto"/>
          <w:highlight w:val="none"/>
        </w:rPr>
        <w:fldChar w:fldCharType="begin"/>
      </w:r>
      <w:r>
        <w:rPr>
          <w:color w:val="auto"/>
          <w:highlight w:val="none"/>
        </w:rPr>
        <w:instrText xml:space="preserve"> PAGEREF _Toc20889 \h </w:instrText>
      </w:r>
      <w:r>
        <w:rPr>
          <w:color w:val="auto"/>
          <w:highlight w:val="none"/>
        </w:rPr>
        <w:fldChar w:fldCharType="separate"/>
      </w:r>
      <w:r>
        <w:rPr>
          <w:color w:val="auto"/>
          <w:highlight w:val="none"/>
        </w:rPr>
        <w:t>9</w:t>
      </w:r>
      <w:r>
        <w:rPr>
          <w:color w:val="auto"/>
          <w:highlight w:val="none"/>
        </w:rPr>
        <w:fldChar w:fldCharType="end"/>
      </w:r>
      <w:r>
        <w:rPr>
          <w:rFonts w:hint="eastAsia"/>
          <w:color w:val="auto"/>
          <w:szCs w:val="21"/>
          <w:highlight w:val="none"/>
        </w:rPr>
        <w:fldChar w:fldCharType="end"/>
      </w:r>
    </w:p>
    <w:p>
      <w:pPr>
        <w:pStyle w:val="43"/>
        <w:tabs>
          <w:tab w:val="right" w:leader="dot" w:pos="9070"/>
          <w:tab w:val="clear" w:pos="9060"/>
        </w:tabs>
        <w:rPr>
          <w:color w:val="auto"/>
          <w:highlight w:val="none"/>
        </w:rPr>
      </w:pPr>
      <w:r>
        <w:rPr>
          <w:rFonts w:hint="eastAsia"/>
          <w:color w:val="auto"/>
          <w:szCs w:val="21"/>
          <w:highlight w:val="none"/>
        </w:rPr>
        <w:fldChar w:fldCharType="begin"/>
      </w:r>
      <w:r>
        <w:rPr>
          <w:rFonts w:hint="eastAsia"/>
          <w:color w:val="auto"/>
          <w:szCs w:val="21"/>
          <w:highlight w:val="none"/>
        </w:rPr>
        <w:instrText xml:space="preserve"> HYPERLINK \l _Toc406 </w:instrText>
      </w:r>
      <w:r>
        <w:rPr>
          <w:rFonts w:hint="eastAsia"/>
          <w:color w:val="auto"/>
          <w:szCs w:val="21"/>
          <w:highlight w:val="none"/>
        </w:rPr>
        <w:fldChar w:fldCharType="separate"/>
      </w:r>
      <w:r>
        <w:rPr>
          <w:rFonts w:hint="eastAsia"/>
          <w:color w:val="auto"/>
          <w:highlight w:val="none"/>
        </w:rPr>
        <w:t>三、投标须知通用条款</w:t>
      </w:r>
      <w:r>
        <w:rPr>
          <w:color w:val="auto"/>
          <w:highlight w:val="none"/>
        </w:rPr>
        <w:tab/>
      </w:r>
      <w:r>
        <w:rPr>
          <w:color w:val="auto"/>
          <w:highlight w:val="none"/>
        </w:rPr>
        <w:fldChar w:fldCharType="begin"/>
      </w:r>
      <w:r>
        <w:rPr>
          <w:color w:val="auto"/>
          <w:highlight w:val="none"/>
        </w:rPr>
        <w:instrText xml:space="preserve"> PAGEREF _Toc406 \h </w:instrText>
      </w:r>
      <w:r>
        <w:rPr>
          <w:color w:val="auto"/>
          <w:highlight w:val="none"/>
        </w:rPr>
        <w:fldChar w:fldCharType="separate"/>
      </w:r>
      <w:r>
        <w:rPr>
          <w:color w:val="auto"/>
          <w:highlight w:val="none"/>
        </w:rPr>
        <w:t>26</w:t>
      </w:r>
      <w:r>
        <w:rPr>
          <w:color w:val="auto"/>
          <w:highlight w:val="none"/>
        </w:rPr>
        <w:fldChar w:fldCharType="end"/>
      </w:r>
      <w:r>
        <w:rPr>
          <w:rFonts w:hint="eastAsia"/>
          <w:color w:val="auto"/>
          <w:szCs w:val="21"/>
          <w:highlight w:val="none"/>
        </w:rPr>
        <w:fldChar w:fldCharType="end"/>
      </w:r>
    </w:p>
    <w:p>
      <w:pPr>
        <w:pStyle w:val="35"/>
        <w:tabs>
          <w:tab w:val="right" w:leader="dot" w:pos="9070"/>
          <w:tab w:val="clear" w:pos="9060"/>
        </w:tabs>
        <w:rPr>
          <w:color w:val="auto"/>
          <w:highlight w:val="none"/>
        </w:rPr>
      </w:pPr>
      <w:r>
        <w:rPr>
          <w:rFonts w:hint="eastAsia"/>
          <w:color w:val="auto"/>
          <w:szCs w:val="21"/>
          <w:highlight w:val="none"/>
        </w:rPr>
        <w:fldChar w:fldCharType="begin"/>
      </w:r>
      <w:r>
        <w:rPr>
          <w:rFonts w:hint="eastAsia"/>
          <w:color w:val="auto"/>
          <w:szCs w:val="21"/>
          <w:highlight w:val="none"/>
        </w:rPr>
        <w:instrText xml:space="preserve"> HYPERLINK \l _Toc4329 </w:instrText>
      </w:r>
      <w:r>
        <w:rPr>
          <w:rFonts w:hint="eastAsia"/>
          <w:color w:val="auto"/>
          <w:szCs w:val="21"/>
          <w:highlight w:val="none"/>
        </w:rPr>
        <w:fldChar w:fldCharType="separate"/>
      </w:r>
      <w:r>
        <w:rPr>
          <w:rFonts w:hint="eastAsia"/>
          <w:color w:val="auto"/>
          <w:highlight w:val="none"/>
        </w:rPr>
        <w:t>第二章 开标、评标及定标办法</w:t>
      </w:r>
      <w:r>
        <w:rPr>
          <w:color w:val="auto"/>
          <w:highlight w:val="none"/>
        </w:rPr>
        <w:tab/>
      </w:r>
      <w:r>
        <w:rPr>
          <w:color w:val="auto"/>
          <w:highlight w:val="none"/>
        </w:rPr>
        <w:fldChar w:fldCharType="begin"/>
      </w:r>
      <w:r>
        <w:rPr>
          <w:color w:val="auto"/>
          <w:highlight w:val="none"/>
        </w:rPr>
        <w:instrText xml:space="preserve"> PAGEREF _Toc4329 \h </w:instrText>
      </w:r>
      <w:r>
        <w:rPr>
          <w:color w:val="auto"/>
          <w:highlight w:val="none"/>
        </w:rPr>
        <w:fldChar w:fldCharType="separate"/>
      </w:r>
      <w:r>
        <w:rPr>
          <w:color w:val="auto"/>
          <w:highlight w:val="none"/>
        </w:rPr>
        <w:t>39</w:t>
      </w:r>
      <w:r>
        <w:rPr>
          <w:color w:val="auto"/>
          <w:highlight w:val="none"/>
        </w:rPr>
        <w:fldChar w:fldCharType="end"/>
      </w:r>
      <w:r>
        <w:rPr>
          <w:rFonts w:hint="eastAsia"/>
          <w:color w:val="auto"/>
          <w:szCs w:val="21"/>
          <w:highlight w:val="none"/>
        </w:rPr>
        <w:fldChar w:fldCharType="end"/>
      </w:r>
    </w:p>
    <w:p>
      <w:pPr>
        <w:pStyle w:val="43"/>
        <w:tabs>
          <w:tab w:val="right" w:leader="dot" w:pos="9070"/>
          <w:tab w:val="clear" w:pos="9060"/>
        </w:tabs>
        <w:rPr>
          <w:color w:val="auto"/>
          <w:highlight w:val="none"/>
        </w:rPr>
      </w:pPr>
      <w:r>
        <w:rPr>
          <w:rFonts w:hint="eastAsia"/>
          <w:color w:val="auto"/>
          <w:szCs w:val="21"/>
          <w:highlight w:val="none"/>
        </w:rPr>
        <w:fldChar w:fldCharType="begin"/>
      </w:r>
      <w:r>
        <w:rPr>
          <w:rFonts w:hint="eastAsia"/>
          <w:color w:val="auto"/>
          <w:szCs w:val="21"/>
          <w:highlight w:val="none"/>
        </w:rPr>
        <w:instrText xml:space="preserve"> HYPERLINK \l _Toc28757 </w:instrText>
      </w:r>
      <w:r>
        <w:rPr>
          <w:rFonts w:hint="eastAsia"/>
          <w:color w:val="auto"/>
          <w:szCs w:val="21"/>
          <w:highlight w:val="none"/>
        </w:rPr>
        <w:fldChar w:fldCharType="separate"/>
      </w:r>
      <w:r>
        <w:rPr>
          <w:rFonts w:hint="eastAsia"/>
          <w:color w:val="auto"/>
          <w:szCs w:val="28"/>
          <w:highlight w:val="none"/>
        </w:rPr>
        <w:t>一、</w:t>
      </w:r>
      <w:r>
        <w:rPr>
          <w:rFonts w:hint="eastAsia"/>
          <w:color w:val="auto"/>
          <w:highlight w:val="none"/>
        </w:rPr>
        <w:t>开标、评标及定标办法修改表</w:t>
      </w:r>
      <w:r>
        <w:rPr>
          <w:color w:val="auto"/>
          <w:highlight w:val="none"/>
        </w:rPr>
        <w:tab/>
      </w:r>
      <w:r>
        <w:rPr>
          <w:color w:val="auto"/>
          <w:highlight w:val="none"/>
        </w:rPr>
        <w:fldChar w:fldCharType="begin"/>
      </w:r>
      <w:r>
        <w:rPr>
          <w:color w:val="auto"/>
          <w:highlight w:val="none"/>
        </w:rPr>
        <w:instrText xml:space="preserve"> PAGEREF _Toc28757 \h </w:instrText>
      </w:r>
      <w:r>
        <w:rPr>
          <w:color w:val="auto"/>
          <w:highlight w:val="none"/>
        </w:rPr>
        <w:fldChar w:fldCharType="separate"/>
      </w:r>
      <w:r>
        <w:rPr>
          <w:color w:val="auto"/>
          <w:highlight w:val="none"/>
        </w:rPr>
        <w:t>39</w:t>
      </w:r>
      <w:r>
        <w:rPr>
          <w:color w:val="auto"/>
          <w:highlight w:val="none"/>
        </w:rPr>
        <w:fldChar w:fldCharType="end"/>
      </w:r>
      <w:r>
        <w:rPr>
          <w:rFonts w:hint="eastAsia"/>
          <w:color w:val="auto"/>
          <w:szCs w:val="21"/>
          <w:highlight w:val="none"/>
        </w:rPr>
        <w:fldChar w:fldCharType="end"/>
      </w:r>
    </w:p>
    <w:p>
      <w:pPr>
        <w:pStyle w:val="43"/>
        <w:tabs>
          <w:tab w:val="right" w:leader="dot" w:pos="9070"/>
          <w:tab w:val="clear" w:pos="9060"/>
        </w:tabs>
        <w:rPr>
          <w:color w:val="auto"/>
          <w:highlight w:val="none"/>
        </w:rPr>
      </w:pPr>
      <w:r>
        <w:rPr>
          <w:rFonts w:hint="eastAsia"/>
          <w:color w:val="auto"/>
          <w:szCs w:val="21"/>
          <w:highlight w:val="none"/>
        </w:rPr>
        <w:fldChar w:fldCharType="begin"/>
      </w:r>
      <w:r>
        <w:rPr>
          <w:rFonts w:hint="eastAsia"/>
          <w:color w:val="auto"/>
          <w:szCs w:val="21"/>
          <w:highlight w:val="none"/>
        </w:rPr>
        <w:instrText xml:space="preserve"> HYPERLINK \l _Toc24714 </w:instrText>
      </w:r>
      <w:r>
        <w:rPr>
          <w:rFonts w:hint="eastAsia"/>
          <w:color w:val="auto"/>
          <w:szCs w:val="21"/>
          <w:highlight w:val="none"/>
        </w:rPr>
        <w:fldChar w:fldCharType="separate"/>
      </w:r>
      <w:r>
        <w:rPr>
          <w:rFonts w:hint="eastAsia"/>
          <w:color w:val="auto"/>
          <w:highlight w:val="none"/>
        </w:rPr>
        <w:t>二、开标、评标及定标办法</w:t>
      </w:r>
      <w:r>
        <w:rPr>
          <w:rFonts w:hint="eastAsia"/>
          <w:color w:val="auto"/>
          <w:szCs w:val="30"/>
          <w:highlight w:val="none"/>
        </w:rPr>
        <w:t>通用条款</w:t>
      </w:r>
      <w:r>
        <w:rPr>
          <w:color w:val="auto"/>
          <w:highlight w:val="none"/>
        </w:rPr>
        <w:tab/>
      </w:r>
      <w:r>
        <w:rPr>
          <w:color w:val="auto"/>
          <w:highlight w:val="none"/>
        </w:rPr>
        <w:fldChar w:fldCharType="begin"/>
      </w:r>
      <w:r>
        <w:rPr>
          <w:color w:val="auto"/>
          <w:highlight w:val="none"/>
        </w:rPr>
        <w:instrText xml:space="preserve"> PAGEREF _Toc24714 \h </w:instrText>
      </w:r>
      <w:r>
        <w:rPr>
          <w:color w:val="auto"/>
          <w:highlight w:val="none"/>
        </w:rPr>
        <w:fldChar w:fldCharType="separate"/>
      </w:r>
      <w:r>
        <w:rPr>
          <w:color w:val="auto"/>
          <w:highlight w:val="none"/>
        </w:rPr>
        <w:t>49</w:t>
      </w:r>
      <w:r>
        <w:rPr>
          <w:color w:val="auto"/>
          <w:highlight w:val="none"/>
        </w:rPr>
        <w:fldChar w:fldCharType="end"/>
      </w:r>
      <w:r>
        <w:rPr>
          <w:rFonts w:hint="eastAsia"/>
          <w:color w:val="auto"/>
          <w:szCs w:val="21"/>
          <w:highlight w:val="none"/>
        </w:rPr>
        <w:fldChar w:fldCharType="end"/>
      </w:r>
    </w:p>
    <w:p>
      <w:pPr>
        <w:pStyle w:val="25"/>
        <w:tabs>
          <w:tab w:val="right" w:leader="dot" w:pos="9070"/>
        </w:tabs>
        <w:rPr>
          <w:color w:val="auto"/>
          <w:highlight w:val="none"/>
        </w:rPr>
      </w:pPr>
      <w:r>
        <w:rPr>
          <w:rFonts w:hint="eastAsia"/>
          <w:color w:val="auto"/>
          <w:szCs w:val="21"/>
          <w:highlight w:val="none"/>
        </w:rPr>
        <w:fldChar w:fldCharType="begin"/>
      </w:r>
      <w:r>
        <w:rPr>
          <w:rFonts w:hint="eastAsia"/>
          <w:color w:val="auto"/>
          <w:szCs w:val="21"/>
          <w:highlight w:val="none"/>
        </w:rPr>
        <w:instrText xml:space="preserve"> HYPERLINK \l _Toc8178 </w:instrText>
      </w:r>
      <w:r>
        <w:rPr>
          <w:rFonts w:hint="eastAsia"/>
          <w:color w:val="auto"/>
          <w:szCs w:val="21"/>
          <w:highlight w:val="none"/>
        </w:rPr>
        <w:fldChar w:fldCharType="separate"/>
      </w:r>
      <w:r>
        <w:rPr>
          <w:rFonts w:hint="eastAsia" w:ascii="宋体" w:hAnsi="宋体" w:cs="宋体"/>
          <w:color w:val="auto"/>
          <w:kern w:val="0"/>
          <w:szCs w:val="24"/>
          <w:highlight w:val="none"/>
        </w:rPr>
        <w:t>（一）总则</w:t>
      </w:r>
      <w:r>
        <w:rPr>
          <w:color w:val="auto"/>
          <w:highlight w:val="none"/>
        </w:rPr>
        <w:tab/>
      </w:r>
      <w:r>
        <w:rPr>
          <w:color w:val="auto"/>
          <w:highlight w:val="none"/>
        </w:rPr>
        <w:fldChar w:fldCharType="begin"/>
      </w:r>
      <w:r>
        <w:rPr>
          <w:color w:val="auto"/>
          <w:highlight w:val="none"/>
        </w:rPr>
        <w:instrText xml:space="preserve"> PAGEREF _Toc8178 \h </w:instrText>
      </w:r>
      <w:r>
        <w:rPr>
          <w:color w:val="auto"/>
          <w:highlight w:val="none"/>
        </w:rPr>
        <w:fldChar w:fldCharType="separate"/>
      </w:r>
      <w:r>
        <w:rPr>
          <w:color w:val="auto"/>
          <w:highlight w:val="none"/>
        </w:rPr>
        <w:t>49</w:t>
      </w:r>
      <w:r>
        <w:rPr>
          <w:color w:val="auto"/>
          <w:highlight w:val="none"/>
        </w:rPr>
        <w:fldChar w:fldCharType="end"/>
      </w:r>
      <w:r>
        <w:rPr>
          <w:rFonts w:hint="eastAsia"/>
          <w:color w:val="auto"/>
          <w:szCs w:val="21"/>
          <w:highlight w:val="none"/>
        </w:rPr>
        <w:fldChar w:fldCharType="end"/>
      </w:r>
    </w:p>
    <w:p>
      <w:pPr>
        <w:pStyle w:val="25"/>
        <w:tabs>
          <w:tab w:val="right" w:leader="dot" w:pos="9070"/>
        </w:tabs>
        <w:rPr>
          <w:color w:val="auto"/>
          <w:highlight w:val="none"/>
        </w:rPr>
      </w:pPr>
      <w:r>
        <w:rPr>
          <w:rFonts w:hint="eastAsia"/>
          <w:color w:val="auto"/>
          <w:szCs w:val="21"/>
          <w:highlight w:val="none"/>
        </w:rPr>
        <w:fldChar w:fldCharType="begin"/>
      </w:r>
      <w:r>
        <w:rPr>
          <w:rFonts w:hint="eastAsia"/>
          <w:color w:val="auto"/>
          <w:szCs w:val="21"/>
          <w:highlight w:val="none"/>
        </w:rPr>
        <w:instrText xml:space="preserve"> HYPERLINK \l _Toc16210 </w:instrText>
      </w:r>
      <w:r>
        <w:rPr>
          <w:rFonts w:hint="eastAsia"/>
          <w:color w:val="auto"/>
          <w:szCs w:val="21"/>
          <w:highlight w:val="none"/>
        </w:rPr>
        <w:fldChar w:fldCharType="separate"/>
      </w:r>
      <w:r>
        <w:rPr>
          <w:rFonts w:hint="eastAsia" w:ascii="宋体" w:hAnsi="宋体" w:cs="宋体"/>
          <w:color w:val="auto"/>
          <w:kern w:val="0"/>
          <w:szCs w:val="24"/>
          <w:highlight w:val="none"/>
        </w:rPr>
        <w:t>（二）开标评标办法程序和细则</w:t>
      </w:r>
      <w:r>
        <w:rPr>
          <w:color w:val="auto"/>
          <w:highlight w:val="none"/>
        </w:rPr>
        <w:tab/>
      </w:r>
      <w:r>
        <w:rPr>
          <w:color w:val="auto"/>
          <w:highlight w:val="none"/>
        </w:rPr>
        <w:fldChar w:fldCharType="begin"/>
      </w:r>
      <w:r>
        <w:rPr>
          <w:color w:val="auto"/>
          <w:highlight w:val="none"/>
        </w:rPr>
        <w:instrText xml:space="preserve"> PAGEREF _Toc16210 \h </w:instrText>
      </w:r>
      <w:r>
        <w:rPr>
          <w:color w:val="auto"/>
          <w:highlight w:val="none"/>
        </w:rPr>
        <w:fldChar w:fldCharType="separate"/>
      </w:r>
      <w:r>
        <w:rPr>
          <w:color w:val="auto"/>
          <w:highlight w:val="none"/>
        </w:rPr>
        <w:t>51</w:t>
      </w:r>
      <w:r>
        <w:rPr>
          <w:color w:val="auto"/>
          <w:highlight w:val="none"/>
        </w:rPr>
        <w:fldChar w:fldCharType="end"/>
      </w:r>
      <w:r>
        <w:rPr>
          <w:rFonts w:hint="eastAsia"/>
          <w:color w:val="auto"/>
          <w:szCs w:val="21"/>
          <w:highlight w:val="none"/>
        </w:rPr>
        <w:fldChar w:fldCharType="end"/>
      </w:r>
    </w:p>
    <w:p>
      <w:pPr>
        <w:pStyle w:val="25"/>
        <w:tabs>
          <w:tab w:val="right" w:leader="dot" w:pos="9070"/>
        </w:tabs>
        <w:rPr>
          <w:color w:val="auto"/>
          <w:highlight w:val="none"/>
        </w:rPr>
      </w:pPr>
      <w:r>
        <w:rPr>
          <w:rFonts w:hint="eastAsia"/>
          <w:color w:val="auto"/>
          <w:szCs w:val="21"/>
          <w:highlight w:val="none"/>
        </w:rPr>
        <w:fldChar w:fldCharType="begin"/>
      </w:r>
      <w:r>
        <w:rPr>
          <w:rFonts w:hint="eastAsia"/>
          <w:color w:val="auto"/>
          <w:szCs w:val="21"/>
          <w:highlight w:val="none"/>
        </w:rPr>
        <w:instrText xml:space="preserve"> HYPERLINK \l _Toc24407 </w:instrText>
      </w:r>
      <w:r>
        <w:rPr>
          <w:rFonts w:hint="eastAsia"/>
          <w:color w:val="auto"/>
          <w:szCs w:val="21"/>
          <w:highlight w:val="none"/>
        </w:rPr>
        <w:fldChar w:fldCharType="separate"/>
      </w:r>
      <w:r>
        <w:rPr>
          <w:rFonts w:hint="eastAsia"/>
          <w:color w:val="auto"/>
          <w:highlight w:val="none"/>
        </w:rPr>
        <w:t>可选办法六（适合综合评分法三，技术标与经济标同时开启）</w:t>
      </w:r>
      <w:r>
        <w:rPr>
          <w:color w:val="auto"/>
          <w:highlight w:val="none"/>
        </w:rPr>
        <w:tab/>
      </w:r>
      <w:r>
        <w:rPr>
          <w:color w:val="auto"/>
          <w:highlight w:val="none"/>
        </w:rPr>
        <w:fldChar w:fldCharType="begin"/>
      </w:r>
      <w:r>
        <w:rPr>
          <w:color w:val="auto"/>
          <w:highlight w:val="none"/>
        </w:rPr>
        <w:instrText xml:space="preserve"> PAGEREF _Toc24407 \h </w:instrText>
      </w:r>
      <w:r>
        <w:rPr>
          <w:color w:val="auto"/>
          <w:highlight w:val="none"/>
        </w:rPr>
        <w:fldChar w:fldCharType="separate"/>
      </w:r>
      <w:r>
        <w:rPr>
          <w:color w:val="auto"/>
          <w:highlight w:val="none"/>
        </w:rPr>
        <w:t>52</w:t>
      </w:r>
      <w:r>
        <w:rPr>
          <w:color w:val="auto"/>
          <w:highlight w:val="none"/>
        </w:rPr>
        <w:fldChar w:fldCharType="end"/>
      </w:r>
      <w:r>
        <w:rPr>
          <w:rFonts w:hint="eastAsia"/>
          <w:color w:val="auto"/>
          <w:szCs w:val="21"/>
          <w:highlight w:val="none"/>
        </w:rPr>
        <w:fldChar w:fldCharType="end"/>
      </w:r>
    </w:p>
    <w:p>
      <w:pPr>
        <w:pStyle w:val="35"/>
        <w:tabs>
          <w:tab w:val="right" w:leader="dot" w:pos="9070"/>
          <w:tab w:val="clear" w:pos="9060"/>
        </w:tabs>
        <w:rPr>
          <w:color w:val="auto"/>
          <w:highlight w:val="none"/>
        </w:rPr>
      </w:pPr>
      <w:r>
        <w:rPr>
          <w:rFonts w:hint="eastAsia"/>
          <w:color w:val="auto"/>
          <w:szCs w:val="21"/>
          <w:highlight w:val="none"/>
        </w:rPr>
        <w:fldChar w:fldCharType="begin"/>
      </w:r>
      <w:r>
        <w:rPr>
          <w:rFonts w:hint="eastAsia"/>
          <w:color w:val="auto"/>
          <w:szCs w:val="21"/>
          <w:highlight w:val="none"/>
        </w:rPr>
        <w:instrText xml:space="preserve"> HYPERLINK \l _Toc1402 </w:instrText>
      </w:r>
      <w:r>
        <w:rPr>
          <w:rFonts w:hint="eastAsia"/>
          <w:color w:val="auto"/>
          <w:szCs w:val="21"/>
          <w:highlight w:val="none"/>
        </w:rPr>
        <w:fldChar w:fldCharType="separate"/>
      </w:r>
      <w:r>
        <w:rPr>
          <w:rFonts w:hint="eastAsia" w:ascii="宋体" w:hAnsi="宋体" w:eastAsia="宋体" w:cs="宋体"/>
          <w:bCs/>
          <w:color w:val="auto"/>
          <w:kern w:val="44"/>
          <w:szCs w:val="28"/>
          <w:highlight w:val="none"/>
          <w:lang w:val="en-US" w:eastAsia="zh-CN" w:bidi="ar-SA"/>
        </w:rPr>
        <w:t>第三章 合同条款</w:t>
      </w:r>
      <w:r>
        <w:rPr>
          <w:color w:val="auto"/>
          <w:highlight w:val="none"/>
        </w:rPr>
        <w:tab/>
      </w:r>
      <w:r>
        <w:rPr>
          <w:color w:val="auto"/>
          <w:highlight w:val="none"/>
        </w:rPr>
        <w:fldChar w:fldCharType="begin"/>
      </w:r>
      <w:r>
        <w:rPr>
          <w:color w:val="auto"/>
          <w:highlight w:val="none"/>
        </w:rPr>
        <w:instrText xml:space="preserve"> PAGEREF _Toc1402 \h </w:instrText>
      </w:r>
      <w:r>
        <w:rPr>
          <w:color w:val="auto"/>
          <w:highlight w:val="none"/>
        </w:rPr>
        <w:fldChar w:fldCharType="separate"/>
      </w:r>
      <w:r>
        <w:rPr>
          <w:color w:val="auto"/>
          <w:highlight w:val="none"/>
        </w:rPr>
        <w:t>75</w:t>
      </w:r>
      <w:r>
        <w:rPr>
          <w:color w:val="auto"/>
          <w:highlight w:val="none"/>
        </w:rPr>
        <w:fldChar w:fldCharType="end"/>
      </w:r>
      <w:r>
        <w:rPr>
          <w:rFonts w:hint="eastAsia"/>
          <w:color w:val="auto"/>
          <w:szCs w:val="21"/>
          <w:highlight w:val="none"/>
        </w:rPr>
        <w:fldChar w:fldCharType="end"/>
      </w:r>
    </w:p>
    <w:p>
      <w:pPr>
        <w:pStyle w:val="35"/>
        <w:tabs>
          <w:tab w:val="right" w:leader="dot" w:pos="9070"/>
          <w:tab w:val="clear" w:pos="9060"/>
        </w:tabs>
        <w:rPr>
          <w:color w:val="auto"/>
          <w:highlight w:val="none"/>
        </w:rPr>
      </w:pPr>
      <w:r>
        <w:rPr>
          <w:rFonts w:hint="eastAsia"/>
          <w:color w:val="auto"/>
          <w:szCs w:val="21"/>
          <w:highlight w:val="none"/>
        </w:rPr>
        <w:fldChar w:fldCharType="begin"/>
      </w:r>
      <w:r>
        <w:rPr>
          <w:rFonts w:hint="eastAsia"/>
          <w:color w:val="auto"/>
          <w:szCs w:val="21"/>
          <w:highlight w:val="none"/>
        </w:rPr>
        <w:instrText xml:space="preserve"> HYPERLINK \l _Toc9557 </w:instrText>
      </w:r>
      <w:r>
        <w:rPr>
          <w:rFonts w:hint="eastAsia"/>
          <w:color w:val="auto"/>
          <w:szCs w:val="21"/>
          <w:highlight w:val="none"/>
        </w:rPr>
        <w:fldChar w:fldCharType="separate"/>
      </w:r>
      <w:r>
        <w:rPr>
          <w:rFonts w:hint="eastAsia"/>
          <w:color w:val="auto"/>
          <w:highlight w:val="none"/>
        </w:rPr>
        <w:t>第四章 投标文件格式</w:t>
      </w:r>
      <w:r>
        <w:rPr>
          <w:color w:val="auto"/>
          <w:highlight w:val="none"/>
        </w:rPr>
        <w:tab/>
      </w:r>
      <w:r>
        <w:rPr>
          <w:color w:val="auto"/>
          <w:highlight w:val="none"/>
        </w:rPr>
        <w:fldChar w:fldCharType="begin"/>
      </w:r>
      <w:r>
        <w:rPr>
          <w:color w:val="auto"/>
          <w:highlight w:val="none"/>
        </w:rPr>
        <w:instrText xml:space="preserve"> PAGEREF _Toc9557 \h </w:instrText>
      </w:r>
      <w:r>
        <w:rPr>
          <w:color w:val="auto"/>
          <w:highlight w:val="none"/>
        </w:rPr>
        <w:fldChar w:fldCharType="separate"/>
      </w:r>
      <w:r>
        <w:rPr>
          <w:color w:val="auto"/>
          <w:highlight w:val="none"/>
        </w:rPr>
        <w:t>141</w:t>
      </w:r>
      <w:r>
        <w:rPr>
          <w:color w:val="auto"/>
          <w:highlight w:val="none"/>
        </w:rPr>
        <w:fldChar w:fldCharType="end"/>
      </w:r>
      <w:r>
        <w:rPr>
          <w:rFonts w:hint="eastAsia"/>
          <w:color w:val="auto"/>
          <w:szCs w:val="21"/>
          <w:highlight w:val="none"/>
        </w:rPr>
        <w:fldChar w:fldCharType="end"/>
      </w:r>
    </w:p>
    <w:p>
      <w:pPr>
        <w:pStyle w:val="35"/>
        <w:tabs>
          <w:tab w:val="right" w:leader="dot" w:pos="9070"/>
          <w:tab w:val="clear" w:pos="9060"/>
        </w:tabs>
        <w:rPr>
          <w:color w:val="auto"/>
          <w:highlight w:val="none"/>
        </w:rPr>
      </w:pPr>
      <w:r>
        <w:rPr>
          <w:rFonts w:hint="eastAsia"/>
          <w:color w:val="auto"/>
          <w:szCs w:val="21"/>
          <w:highlight w:val="none"/>
        </w:rPr>
        <w:fldChar w:fldCharType="begin"/>
      </w:r>
      <w:r>
        <w:rPr>
          <w:rFonts w:hint="eastAsia"/>
          <w:color w:val="auto"/>
          <w:szCs w:val="21"/>
          <w:highlight w:val="none"/>
        </w:rPr>
        <w:instrText xml:space="preserve"> HYPERLINK \l _Toc3671 </w:instrText>
      </w:r>
      <w:r>
        <w:rPr>
          <w:rFonts w:hint="eastAsia"/>
          <w:color w:val="auto"/>
          <w:szCs w:val="21"/>
          <w:highlight w:val="none"/>
        </w:rPr>
        <w:fldChar w:fldCharType="separate"/>
      </w:r>
      <w:r>
        <w:rPr>
          <w:rFonts w:hint="eastAsia"/>
          <w:color w:val="auto"/>
          <w:highlight w:val="none"/>
        </w:rPr>
        <w:t>第五章 技术条件（工程建设标准）</w:t>
      </w:r>
      <w:r>
        <w:rPr>
          <w:color w:val="auto"/>
          <w:highlight w:val="none"/>
        </w:rPr>
        <w:tab/>
      </w:r>
      <w:r>
        <w:rPr>
          <w:color w:val="auto"/>
          <w:highlight w:val="none"/>
        </w:rPr>
        <w:fldChar w:fldCharType="begin"/>
      </w:r>
      <w:r>
        <w:rPr>
          <w:color w:val="auto"/>
          <w:highlight w:val="none"/>
        </w:rPr>
        <w:instrText xml:space="preserve"> PAGEREF _Toc3671 \h </w:instrText>
      </w:r>
      <w:r>
        <w:rPr>
          <w:color w:val="auto"/>
          <w:highlight w:val="none"/>
        </w:rPr>
        <w:fldChar w:fldCharType="separate"/>
      </w:r>
      <w:r>
        <w:rPr>
          <w:color w:val="auto"/>
          <w:highlight w:val="none"/>
        </w:rPr>
        <w:t>161</w:t>
      </w:r>
      <w:r>
        <w:rPr>
          <w:color w:val="auto"/>
          <w:highlight w:val="none"/>
        </w:rPr>
        <w:fldChar w:fldCharType="end"/>
      </w:r>
      <w:r>
        <w:rPr>
          <w:rFonts w:hint="eastAsia"/>
          <w:color w:val="auto"/>
          <w:szCs w:val="21"/>
          <w:highlight w:val="none"/>
        </w:rPr>
        <w:fldChar w:fldCharType="end"/>
      </w:r>
    </w:p>
    <w:p>
      <w:pPr>
        <w:pStyle w:val="35"/>
        <w:tabs>
          <w:tab w:val="right" w:leader="dot" w:pos="9070"/>
          <w:tab w:val="clear" w:pos="9060"/>
        </w:tabs>
        <w:rPr>
          <w:color w:val="auto"/>
          <w:highlight w:val="none"/>
        </w:rPr>
      </w:pPr>
      <w:r>
        <w:rPr>
          <w:rFonts w:hint="eastAsia"/>
          <w:color w:val="auto"/>
          <w:szCs w:val="21"/>
          <w:highlight w:val="none"/>
        </w:rPr>
        <w:fldChar w:fldCharType="begin"/>
      </w:r>
      <w:r>
        <w:rPr>
          <w:rFonts w:hint="eastAsia"/>
          <w:color w:val="auto"/>
          <w:szCs w:val="21"/>
          <w:highlight w:val="none"/>
        </w:rPr>
        <w:instrText xml:space="preserve"> HYPERLINK \l _Toc3063 </w:instrText>
      </w:r>
      <w:r>
        <w:rPr>
          <w:rFonts w:hint="eastAsia"/>
          <w:color w:val="auto"/>
          <w:szCs w:val="21"/>
          <w:highlight w:val="none"/>
        </w:rPr>
        <w:fldChar w:fldCharType="separate"/>
      </w:r>
      <w:r>
        <w:rPr>
          <w:rFonts w:hint="eastAsia"/>
          <w:color w:val="auto"/>
          <w:highlight w:val="none"/>
        </w:rPr>
        <w:t>第六章 图纸及勘察资料</w:t>
      </w:r>
      <w:r>
        <w:rPr>
          <w:color w:val="auto"/>
          <w:highlight w:val="none"/>
        </w:rPr>
        <w:tab/>
      </w:r>
      <w:r>
        <w:rPr>
          <w:color w:val="auto"/>
          <w:highlight w:val="none"/>
        </w:rPr>
        <w:fldChar w:fldCharType="begin"/>
      </w:r>
      <w:r>
        <w:rPr>
          <w:color w:val="auto"/>
          <w:highlight w:val="none"/>
        </w:rPr>
        <w:instrText xml:space="preserve"> PAGEREF _Toc3063 \h </w:instrText>
      </w:r>
      <w:r>
        <w:rPr>
          <w:color w:val="auto"/>
          <w:highlight w:val="none"/>
        </w:rPr>
        <w:fldChar w:fldCharType="separate"/>
      </w:r>
      <w:r>
        <w:rPr>
          <w:color w:val="auto"/>
          <w:highlight w:val="none"/>
        </w:rPr>
        <w:t>164</w:t>
      </w:r>
      <w:r>
        <w:rPr>
          <w:color w:val="auto"/>
          <w:highlight w:val="none"/>
        </w:rPr>
        <w:fldChar w:fldCharType="end"/>
      </w:r>
      <w:r>
        <w:rPr>
          <w:rFonts w:hint="eastAsia"/>
          <w:color w:val="auto"/>
          <w:szCs w:val="21"/>
          <w:highlight w:val="none"/>
        </w:rPr>
        <w:fldChar w:fldCharType="end"/>
      </w:r>
    </w:p>
    <w:p>
      <w:pPr>
        <w:pStyle w:val="35"/>
        <w:tabs>
          <w:tab w:val="right" w:leader="dot" w:pos="9070"/>
          <w:tab w:val="clear" w:pos="9060"/>
        </w:tabs>
        <w:rPr>
          <w:color w:val="auto"/>
          <w:highlight w:val="none"/>
        </w:rPr>
      </w:pPr>
      <w:r>
        <w:rPr>
          <w:rFonts w:hint="eastAsia"/>
          <w:color w:val="auto"/>
          <w:szCs w:val="21"/>
          <w:highlight w:val="none"/>
        </w:rPr>
        <w:fldChar w:fldCharType="begin"/>
      </w:r>
      <w:r>
        <w:rPr>
          <w:rFonts w:hint="eastAsia"/>
          <w:color w:val="auto"/>
          <w:szCs w:val="21"/>
          <w:highlight w:val="none"/>
        </w:rPr>
        <w:instrText xml:space="preserve"> HYPERLINK \l _Toc11931 </w:instrText>
      </w:r>
      <w:r>
        <w:rPr>
          <w:rFonts w:hint="eastAsia"/>
          <w:color w:val="auto"/>
          <w:szCs w:val="21"/>
          <w:highlight w:val="none"/>
        </w:rPr>
        <w:fldChar w:fldCharType="separate"/>
      </w:r>
      <w:r>
        <w:rPr>
          <w:rFonts w:hint="eastAsia"/>
          <w:color w:val="auto"/>
          <w:szCs w:val="28"/>
          <w:highlight w:val="none"/>
        </w:rPr>
        <w:t>第七章 工程量清单</w:t>
      </w:r>
      <w:r>
        <w:rPr>
          <w:color w:val="auto"/>
          <w:highlight w:val="none"/>
        </w:rPr>
        <w:tab/>
      </w:r>
      <w:r>
        <w:rPr>
          <w:color w:val="auto"/>
          <w:highlight w:val="none"/>
        </w:rPr>
        <w:fldChar w:fldCharType="begin"/>
      </w:r>
      <w:r>
        <w:rPr>
          <w:color w:val="auto"/>
          <w:highlight w:val="none"/>
        </w:rPr>
        <w:instrText xml:space="preserve"> PAGEREF _Toc11931 \h </w:instrText>
      </w:r>
      <w:r>
        <w:rPr>
          <w:color w:val="auto"/>
          <w:highlight w:val="none"/>
        </w:rPr>
        <w:fldChar w:fldCharType="separate"/>
      </w:r>
      <w:r>
        <w:rPr>
          <w:color w:val="auto"/>
          <w:highlight w:val="none"/>
        </w:rPr>
        <w:t>165</w:t>
      </w:r>
      <w:r>
        <w:rPr>
          <w:color w:val="auto"/>
          <w:highlight w:val="none"/>
        </w:rPr>
        <w:fldChar w:fldCharType="end"/>
      </w:r>
      <w:r>
        <w:rPr>
          <w:rFonts w:hint="eastAsia"/>
          <w:color w:val="auto"/>
          <w:szCs w:val="21"/>
          <w:highlight w:val="none"/>
        </w:rPr>
        <w:fldChar w:fldCharType="end"/>
      </w:r>
    </w:p>
    <w:p>
      <w:pPr>
        <w:pStyle w:val="35"/>
        <w:tabs>
          <w:tab w:val="right" w:leader="dot" w:pos="9070"/>
          <w:tab w:val="clear" w:pos="9060"/>
        </w:tabs>
        <w:rPr>
          <w:color w:val="auto"/>
          <w:highlight w:val="none"/>
        </w:rPr>
      </w:pPr>
      <w:r>
        <w:rPr>
          <w:rFonts w:hint="eastAsia"/>
          <w:color w:val="auto"/>
          <w:szCs w:val="21"/>
          <w:highlight w:val="none"/>
        </w:rPr>
        <w:fldChar w:fldCharType="begin"/>
      </w:r>
      <w:r>
        <w:rPr>
          <w:rFonts w:hint="eastAsia"/>
          <w:color w:val="auto"/>
          <w:szCs w:val="21"/>
          <w:highlight w:val="none"/>
        </w:rPr>
        <w:instrText xml:space="preserve"> HYPERLINK \l _Toc30433 </w:instrText>
      </w:r>
      <w:r>
        <w:rPr>
          <w:rFonts w:hint="eastAsia"/>
          <w:color w:val="auto"/>
          <w:szCs w:val="21"/>
          <w:highlight w:val="none"/>
        </w:rPr>
        <w:fldChar w:fldCharType="separate"/>
      </w:r>
      <w:r>
        <w:rPr>
          <w:rFonts w:hint="eastAsia"/>
          <w:color w:val="auto"/>
          <w:highlight w:val="none"/>
        </w:rPr>
        <w:t>第八章 最高投标限价</w:t>
      </w:r>
      <w:r>
        <w:rPr>
          <w:color w:val="auto"/>
          <w:highlight w:val="none"/>
        </w:rPr>
        <w:tab/>
      </w:r>
      <w:r>
        <w:rPr>
          <w:color w:val="auto"/>
          <w:highlight w:val="none"/>
        </w:rPr>
        <w:fldChar w:fldCharType="begin"/>
      </w:r>
      <w:r>
        <w:rPr>
          <w:color w:val="auto"/>
          <w:highlight w:val="none"/>
        </w:rPr>
        <w:instrText xml:space="preserve"> PAGEREF _Toc30433 \h </w:instrText>
      </w:r>
      <w:r>
        <w:rPr>
          <w:color w:val="auto"/>
          <w:highlight w:val="none"/>
        </w:rPr>
        <w:fldChar w:fldCharType="separate"/>
      </w:r>
      <w:r>
        <w:rPr>
          <w:color w:val="auto"/>
          <w:highlight w:val="none"/>
        </w:rPr>
        <w:t>166</w:t>
      </w:r>
      <w:r>
        <w:rPr>
          <w:color w:val="auto"/>
          <w:highlight w:val="none"/>
        </w:rPr>
        <w:fldChar w:fldCharType="end"/>
      </w:r>
      <w:r>
        <w:rPr>
          <w:rFonts w:hint="eastAsia"/>
          <w:color w:val="auto"/>
          <w:szCs w:val="21"/>
          <w:highlight w:val="none"/>
        </w:rPr>
        <w:fldChar w:fldCharType="end"/>
      </w:r>
    </w:p>
    <w:p>
      <w:pPr>
        <w:pStyle w:val="2"/>
        <w:jc w:val="center"/>
        <w:rPr>
          <w:rFonts w:hint="eastAsia"/>
          <w:color w:val="auto"/>
          <w:sz w:val="21"/>
          <w:szCs w:val="21"/>
          <w:highlight w:val="none"/>
        </w:rPr>
      </w:pPr>
      <w:r>
        <w:rPr>
          <w:rFonts w:hint="eastAsia"/>
          <w:color w:val="auto"/>
          <w:sz w:val="21"/>
          <w:szCs w:val="21"/>
          <w:highlight w:val="none"/>
        </w:rPr>
        <w:fldChar w:fldCharType="end"/>
      </w:r>
      <w:bookmarkStart w:id="1" w:name="_Toc7779"/>
      <w:bookmarkStart w:id="2" w:name="_Toc8362"/>
      <w:bookmarkStart w:id="3" w:name="_Toc18121"/>
      <w:bookmarkStart w:id="4" w:name="_Toc11817"/>
      <w:bookmarkStart w:id="5" w:name="_Toc24642"/>
      <w:bookmarkStart w:id="6" w:name="_Toc2272545"/>
      <w:bookmarkStart w:id="7" w:name="_Toc8964"/>
      <w:bookmarkStart w:id="8" w:name="_Toc28740"/>
      <w:bookmarkStart w:id="9" w:name="_Toc22598"/>
      <w:bookmarkStart w:id="10" w:name="_Toc31598"/>
      <w:bookmarkStart w:id="11" w:name="_Toc15158"/>
      <w:bookmarkStart w:id="12" w:name="_Toc25370"/>
    </w:p>
    <w:p>
      <w:pPr>
        <w:rPr>
          <w:rFonts w:hint="eastAsia"/>
          <w:color w:val="auto"/>
          <w:sz w:val="21"/>
          <w:szCs w:val="21"/>
          <w:highlight w:val="none"/>
        </w:rPr>
      </w:pPr>
      <w:r>
        <w:rPr>
          <w:rFonts w:hint="eastAsia"/>
          <w:color w:val="auto"/>
          <w:sz w:val="21"/>
          <w:szCs w:val="21"/>
          <w:highlight w:val="none"/>
        </w:rPr>
        <w:br w:type="page"/>
      </w:r>
    </w:p>
    <w:p>
      <w:pPr>
        <w:pStyle w:val="2"/>
        <w:jc w:val="center"/>
        <w:rPr>
          <w:color w:val="auto"/>
          <w:highlight w:val="none"/>
        </w:rPr>
      </w:pPr>
      <w:r>
        <w:rPr>
          <w:rFonts w:hint="eastAsia"/>
          <w:color w:val="auto"/>
          <w:highlight w:val="none"/>
        </w:rPr>
        <w:t>第一章 投标须知</w:t>
      </w:r>
      <w:bookmarkEnd w:id="1"/>
      <w:bookmarkEnd w:id="2"/>
      <w:bookmarkEnd w:id="3"/>
      <w:bookmarkEnd w:id="4"/>
      <w:bookmarkEnd w:id="5"/>
      <w:bookmarkEnd w:id="6"/>
      <w:bookmarkEnd w:id="7"/>
      <w:bookmarkEnd w:id="8"/>
      <w:bookmarkEnd w:id="9"/>
      <w:bookmarkEnd w:id="10"/>
      <w:bookmarkEnd w:id="11"/>
      <w:bookmarkEnd w:id="12"/>
    </w:p>
    <w:p>
      <w:pPr>
        <w:pStyle w:val="4"/>
        <w:rPr>
          <w:color w:val="auto"/>
          <w:highlight w:val="none"/>
        </w:rPr>
      </w:pPr>
      <w:bookmarkStart w:id="13" w:name="_Toc2997"/>
      <w:bookmarkStart w:id="14" w:name="_Toc2272546"/>
      <w:bookmarkStart w:id="15" w:name="_Toc11066"/>
      <w:bookmarkStart w:id="16" w:name="_Toc1940"/>
      <w:bookmarkStart w:id="17" w:name="_Toc24375"/>
      <w:bookmarkStart w:id="18" w:name="_Toc26894"/>
      <w:bookmarkStart w:id="19" w:name="_Toc25865"/>
      <w:bookmarkStart w:id="20" w:name="_Toc15272"/>
      <w:bookmarkStart w:id="21" w:name="_Toc474"/>
      <w:bookmarkStart w:id="22" w:name="_Toc26400"/>
      <w:bookmarkStart w:id="23" w:name="_Toc20608"/>
      <w:bookmarkStart w:id="24" w:name="_Toc17518"/>
      <w:r>
        <w:rPr>
          <w:rFonts w:hint="eastAsia"/>
          <w:color w:val="auto"/>
          <w:highlight w:val="none"/>
        </w:rPr>
        <w:t>一、投标须知前附表</w:t>
      </w:r>
      <w:bookmarkEnd w:id="13"/>
      <w:bookmarkEnd w:id="14"/>
      <w:bookmarkEnd w:id="15"/>
      <w:bookmarkEnd w:id="16"/>
      <w:bookmarkEnd w:id="17"/>
      <w:bookmarkEnd w:id="18"/>
      <w:bookmarkEnd w:id="19"/>
      <w:bookmarkEnd w:id="20"/>
      <w:bookmarkEnd w:id="21"/>
      <w:bookmarkEnd w:id="22"/>
      <w:bookmarkEnd w:id="23"/>
      <w:bookmarkEnd w:id="24"/>
    </w:p>
    <w:p>
      <w:pPr>
        <w:pStyle w:val="7"/>
        <w:spacing w:line="360" w:lineRule="auto"/>
        <w:ind w:firstLine="0"/>
        <w:rPr>
          <w:rFonts w:ascii="宋体" w:hAnsi="宋体" w:cs="宋体"/>
          <w:b/>
          <w:color w:val="auto"/>
          <w:sz w:val="24"/>
          <w:szCs w:val="24"/>
          <w:highlight w:val="none"/>
        </w:rPr>
      </w:pPr>
      <w:r>
        <w:rPr>
          <w:rFonts w:hint="eastAsia" w:ascii="宋体" w:hAnsi="宋体" w:cs="宋体"/>
          <w:b/>
          <w:color w:val="auto"/>
          <w:sz w:val="24"/>
          <w:szCs w:val="24"/>
          <w:highlight w:val="none"/>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Style w:val="51"/>
        <w:tblW w:w="935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981"/>
        <w:gridCol w:w="1810"/>
        <w:gridCol w:w="58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tblHeader/>
        </w:trPr>
        <w:tc>
          <w:tcPr>
            <w:tcW w:w="702" w:type="dxa"/>
            <w:tcBorders>
              <w:top w:val="double" w:color="auto" w:sz="4" w:space="0"/>
              <w:left w:val="doub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项目</w:t>
            </w:r>
          </w:p>
        </w:tc>
        <w:tc>
          <w:tcPr>
            <w:tcW w:w="981" w:type="dxa"/>
            <w:tcBorders>
              <w:top w:val="doub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条款号</w:t>
            </w:r>
          </w:p>
        </w:tc>
        <w:tc>
          <w:tcPr>
            <w:tcW w:w="1810" w:type="dxa"/>
            <w:tcBorders>
              <w:top w:val="double" w:color="auto" w:sz="4" w:space="0"/>
              <w:left w:val="single" w:color="auto" w:sz="4" w:space="0"/>
              <w:bottom w:val="single" w:color="auto" w:sz="4" w:space="0"/>
              <w:right w:val="single" w:color="auto" w:sz="4" w:space="0"/>
            </w:tcBorders>
            <w:vAlign w:val="center"/>
          </w:tcPr>
          <w:p>
            <w:pPr>
              <w:spacing w:line="276" w:lineRule="auto"/>
              <w:ind w:firstLine="458"/>
              <w:rPr>
                <w:rFonts w:ascii="宋体" w:hAnsi="宋体" w:cs="宋体"/>
                <w:color w:val="auto"/>
                <w:szCs w:val="21"/>
                <w:highlight w:val="none"/>
              </w:rPr>
            </w:pPr>
            <w:r>
              <w:rPr>
                <w:rFonts w:hint="eastAsia" w:ascii="宋体" w:hAnsi="宋体" w:cs="宋体"/>
                <w:color w:val="auto"/>
                <w:szCs w:val="21"/>
                <w:highlight w:val="none"/>
              </w:rPr>
              <w:t>内容</w:t>
            </w:r>
          </w:p>
        </w:tc>
        <w:tc>
          <w:tcPr>
            <w:tcW w:w="5857" w:type="dxa"/>
            <w:tcBorders>
              <w:top w:val="double" w:color="auto" w:sz="4" w:space="0"/>
              <w:left w:val="single" w:color="auto" w:sz="4" w:space="0"/>
              <w:bottom w:val="single" w:color="auto" w:sz="4" w:space="0"/>
              <w:right w:val="double" w:color="auto" w:sz="4" w:space="0"/>
            </w:tcBorders>
            <w:vAlign w:val="center"/>
          </w:tcPr>
          <w:p>
            <w:pPr>
              <w:pStyle w:val="28"/>
              <w:spacing w:line="276" w:lineRule="auto"/>
              <w:ind w:firstLine="458"/>
              <w:jc w:val="center"/>
              <w:rPr>
                <w:rFonts w:ascii="宋体" w:hAnsi="宋体" w:cs="宋体"/>
                <w:color w:val="auto"/>
                <w:szCs w:val="21"/>
                <w:highlight w:val="none"/>
              </w:rPr>
            </w:pPr>
            <w:r>
              <w:rPr>
                <w:rFonts w:hint="eastAsia" w:ascii="宋体" w:hAnsi="宋体" w:cs="宋体"/>
                <w:color w:val="auto"/>
                <w:szCs w:val="21"/>
                <w:highlight w:val="none"/>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1</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定义</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color w:val="auto"/>
                <w:highlight w:val="none"/>
                <w:u w:val="single"/>
              </w:rPr>
            </w:pPr>
            <w:r>
              <w:rPr>
                <w:rFonts w:hint="eastAsia" w:ascii="宋体" w:hAnsi="宋体" w:cs="宋体"/>
                <w:color w:val="auto"/>
                <w:highlight w:val="none"/>
              </w:rPr>
              <w:t>招标人（即发包人）：</w:t>
            </w:r>
            <w:r>
              <w:rPr>
                <w:rFonts w:hint="eastAsia" w:ascii="宋体" w:hAnsi="宋体" w:cs="宋体"/>
                <w:color w:val="auto"/>
                <w:highlight w:val="none"/>
                <w:u w:val="single"/>
              </w:rPr>
              <w:t>广州开发区财政投资建设项目管理中心</w:t>
            </w:r>
          </w:p>
          <w:p>
            <w:pPr>
              <w:spacing w:line="276" w:lineRule="auto"/>
              <w:rPr>
                <w:rFonts w:hint="eastAsia" w:ascii="宋体" w:hAnsi="宋体" w:eastAsia="宋体" w:cs="宋体"/>
                <w:color w:val="auto"/>
                <w:highlight w:val="none"/>
                <w:lang w:eastAsia="zh-CN"/>
              </w:rPr>
            </w:pPr>
            <w:r>
              <w:rPr>
                <w:rFonts w:hint="eastAsia" w:ascii="宋体" w:hAnsi="宋体" w:cs="宋体"/>
                <w:color w:val="auto"/>
                <w:highlight w:val="none"/>
              </w:rPr>
              <w:t>招标代理：</w:t>
            </w:r>
            <w:r>
              <w:rPr>
                <w:rFonts w:hint="eastAsia" w:ascii="宋体" w:hAnsi="宋体" w:cs="宋体"/>
                <w:color w:val="auto"/>
                <w:szCs w:val="21"/>
                <w:highlight w:val="none"/>
                <w:u w:val="single"/>
                <w:lang w:eastAsia="zh-CN"/>
              </w:rPr>
              <w:t>广东省机电设备招标中心有限公司</w:t>
            </w:r>
          </w:p>
          <w:p>
            <w:pPr>
              <w:spacing w:line="276" w:lineRule="auto"/>
              <w:rPr>
                <w:rFonts w:hint="default" w:ascii="宋体" w:hAnsi="宋体" w:eastAsia="宋体" w:cs="宋体"/>
                <w:color w:val="auto"/>
                <w:highlight w:val="none"/>
                <w:lang w:val="en-US" w:eastAsia="zh-CN"/>
              </w:rPr>
            </w:pPr>
            <w:r>
              <w:rPr>
                <w:rFonts w:hint="eastAsia" w:ascii="宋体" w:hAnsi="宋体" w:cs="宋体"/>
                <w:color w:val="auto"/>
                <w:highlight w:val="none"/>
              </w:rPr>
              <w:t>设计单位：</w:t>
            </w:r>
            <w:r>
              <w:rPr>
                <w:rFonts w:hint="default" w:ascii="宋体" w:hAnsi="宋体" w:cs="宋体"/>
                <w:color w:val="auto"/>
                <w:sz w:val="21"/>
                <w:szCs w:val="22"/>
                <w:highlight w:val="none"/>
                <w:u w:val="single"/>
                <w:lang w:val="en-US" w:eastAsia="zh-CN"/>
              </w:rPr>
              <w:t>广州汉森建筑设计有限公司</w:t>
            </w:r>
          </w:p>
          <w:p>
            <w:pPr>
              <w:spacing w:line="276" w:lineRule="auto"/>
              <w:rPr>
                <w:rFonts w:hint="eastAsia" w:ascii="宋体" w:hAnsi="宋体" w:eastAsia="宋体" w:cs="宋体"/>
                <w:color w:val="auto"/>
                <w:highlight w:val="none"/>
                <w:lang w:val="en-US" w:eastAsia="zh-CN"/>
              </w:rPr>
            </w:pPr>
            <w:r>
              <w:rPr>
                <w:rFonts w:hint="eastAsia" w:ascii="宋体" w:hAnsi="宋体" w:cs="宋体"/>
                <w:color w:val="auto"/>
                <w:highlight w:val="none"/>
              </w:rPr>
              <w:t>监理单位：</w:t>
            </w:r>
            <w:r>
              <w:rPr>
                <w:rFonts w:hint="eastAsia" w:ascii="宋体" w:hAnsi="宋体" w:cs="宋体"/>
                <w:color w:val="auto"/>
                <w:highlight w:val="none"/>
                <w:u w:val="single"/>
                <w:lang w:val="en-US" w:eastAsia="zh-CN"/>
              </w:rPr>
              <w:t>/</w:t>
            </w:r>
          </w:p>
          <w:p>
            <w:pPr>
              <w:spacing w:line="276" w:lineRule="auto"/>
              <w:rPr>
                <w:rFonts w:ascii="宋体" w:hAnsi="宋体" w:cs="宋体"/>
                <w:color w:val="auto"/>
                <w:szCs w:val="21"/>
                <w:highlight w:val="none"/>
              </w:rPr>
            </w:pPr>
            <w:r>
              <w:rPr>
                <w:rFonts w:hint="eastAsia" w:ascii="宋体" w:hAnsi="宋体" w:cs="宋体"/>
                <w:color w:val="auto"/>
                <w:highlight w:val="none"/>
              </w:rPr>
              <w:t>检测机构：</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w:t>
            </w:r>
            <w:r>
              <w:rPr>
                <w:rFonts w:hint="eastAsia" w:ascii="宋体" w:hAnsi="宋体" w:cs="宋体"/>
                <w:color w:val="auto"/>
                <w:highlight w:val="none"/>
                <w:u w:val="single"/>
              </w:rPr>
              <w:t xml:space="preserve">   </w:t>
            </w:r>
            <w:r>
              <w:rPr>
                <w:rFonts w:ascii="宋体" w:hAnsi="宋体" w:cs="宋体"/>
                <w:color w:val="auto"/>
                <w:szCs w:val="21"/>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2</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工程名称</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hint="eastAsia" w:ascii="宋体" w:hAnsi="宋体" w:eastAsia="宋体" w:cs="宋体"/>
                <w:color w:val="auto"/>
                <w:szCs w:val="21"/>
                <w:highlight w:val="none"/>
                <w:u w:val="single"/>
                <w:lang w:val="en-US" w:eastAsia="zh-CN"/>
              </w:rPr>
            </w:pPr>
            <w:r>
              <w:rPr>
                <w:rFonts w:hint="eastAsia" w:ascii="宋体" w:hAnsi="宋体" w:cs="宋体"/>
                <w:color w:val="auto"/>
                <w:szCs w:val="21"/>
                <w:highlight w:val="none"/>
                <w:u w:val="single"/>
                <w:lang w:eastAsia="zh-CN"/>
              </w:rPr>
              <w:t>广州市第八十六中学改扩建工程施工总承包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3</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建设地点</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color w:val="auto"/>
                <w:szCs w:val="21"/>
                <w:highlight w:val="none"/>
                <w:u w:val="single"/>
              </w:rPr>
            </w:pPr>
            <w:r>
              <w:rPr>
                <w:rFonts w:hint="eastAsia" w:ascii="宋体" w:hAnsi="宋体"/>
                <w:color w:val="auto"/>
                <w:szCs w:val="21"/>
                <w:highlight w:val="non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4</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建设规模</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color w:val="auto"/>
                <w:szCs w:val="21"/>
                <w:highlight w:val="none"/>
                <w:u w:val="single"/>
              </w:rPr>
            </w:pPr>
            <w:r>
              <w:rPr>
                <w:rFonts w:hint="eastAsia" w:ascii="宋体" w:hAnsi="宋体"/>
                <w:color w:val="auto"/>
                <w:szCs w:val="21"/>
                <w:highlight w:val="non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5</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承包方式</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color w:val="auto"/>
                <w:szCs w:val="21"/>
                <w:highlight w:val="none"/>
                <w:u w:val="single"/>
              </w:rPr>
            </w:pPr>
            <w:r>
              <w:rPr>
                <w:rFonts w:hint="eastAsia" w:ascii="宋体" w:hAnsi="宋体" w:cs="宋体"/>
                <w:color w:val="auto"/>
                <w:szCs w:val="21"/>
                <w:highlight w:val="none"/>
                <w:u w:val="single"/>
              </w:rPr>
              <w:t>包工、包料、包工期、包质量、包安全、包文明施工、包验收、包保修。综合单价包干；措施项目费（除施工围蔽费用外）包干，施工围蔽清单综合单价包干，工程量按实计量。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6</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质量标准</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hint="eastAsia" w:ascii="宋体" w:hAnsi="宋体"/>
                <w:color w:val="auto"/>
                <w:sz w:val="21"/>
                <w:szCs w:val="21"/>
                <w:highlight w:val="none"/>
              </w:rPr>
            </w:pPr>
            <w:r>
              <w:rPr>
                <w:rFonts w:hint="eastAsia" w:ascii="宋体" w:hAnsi="宋体"/>
                <w:color w:val="auto"/>
                <w:sz w:val="21"/>
                <w:szCs w:val="21"/>
                <w:highlight w:val="none"/>
              </w:rPr>
              <w:t>工程规模符合申报“广州市优良样板工程”的，需达到“广州市优良样板工程”的质量标准；工程规模不符合申报“广州市优良样板工程”的，工程质量达到国家或行业质量检验评定的合格标准。</w:t>
            </w:r>
          </w:p>
          <w:p>
            <w:pPr>
              <w:spacing w:line="276" w:lineRule="auto"/>
              <w:rPr>
                <w:color w:val="auto"/>
                <w:highlight w:val="none"/>
              </w:rPr>
            </w:pPr>
            <w:r>
              <w:rPr>
                <w:rFonts w:hint="eastAsia" w:ascii="宋体" w:hAnsi="宋体"/>
                <w:color w:val="auto"/>
                <w:sz w:val="21"/>
                <w:szCs w:val="21"/>
                <w:highlight w:val="none"/>
              </w:rPr>
              <w:t>注：本工程正式签署合同时，质量标准按中标人投标文件承诺质量标准。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7</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招标范围</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color w:val="auto"/>
                <w:szCs w:val="21"/>
                <w:highlight w:val="none"/>
                <w:u w:val="single"/>
              </w:rPr>
            </w:pPr>
            <w:r>
              <w:rPr>
                <w:rFonts w:hint="eastAsia" w:ascii="宋体" w:hAnsi="宋体"/>
                <w:color w:val="auto"/>
                <w:szCs w:val="21"/>
                <w:highlight w:val="non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8</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工期要求</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ind w:firstLine="105" w:firstLineChars="50"/>
              <w:rPr>
                <w:rFonts w:ascii="宋体" w:hAnsi="宋体" w:cs="宋体"/>
                <w:color w:val="auto"/>
                <w:szCs w:val="21"/>
                <w:highlight w:val="none"/>
              </w:rPr>
            </w:pPr>
            <w:r>
              <w:rPr>
                <w:rFonts w:hint="eastAsia" w:ascii="宋体" w:hAnsi="宋体" w:cs="宋体"/>
                <w:color w:val="auto"/>
                <w:szCs w:val="21"/>
                <w:highlight w:val="none"/>
                <w:u w:val="single"/>
                <w:lang w:eastAsia="zh-CN"/>
              </w:rPr>
              <w:t>2024</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日计划开工，施工总期：</w:t>
            </w:r>
            <w:r>
              <w:rPr>
                <w:rFonts w:hint="eastAsia" w:ascii="宋体" w:hAnsi="宋体" w:cs="宋体"/>
                <w:color w:val="auto"/>
                <w:szCs w:val="21"/>
                <w:highlight w:val="none"/>
                <w:lang w:val="en-US" w:eastAsia="zh-CN"/>
              </w:rPr>
              <w:t>暂定</w:t>
            </w:r>
            <w:r>
              <w:rPr>
                <w:rFonts w:hint="eastAsia" w:ascii="宋体" w:hAnsi="宋体" w:cs="宋体"/>
                <w:color w:val="auto"/>
                <w:szCs w:val="21"/>
                <w:highlight w:val="none"/>
                <w:u w:val="single"/>
                <w:lang w:val="en-US" w:eastAsia="zh-CN"/>
              </w:rPr>
              <w:t>1095</w:t>
            </w:r>
            <w:r>
              <w:rPr>
                <w:rFonts w:hint="eastAsia" w:ascii="宋体" w:hAnsi="宋体" w:cs="宋体"/>
                <w:color w:val="auto"/>
                <w:szCs w:val="21"/>
                <w:highlight w:val="none"/>
              </w:rPr>
              <w:t>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9</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3.1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资金来源</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color w:val="auto"/>
                <w:szCs w:val="21"/>
                <w:highlight w:val="none"/>
                <w:u w:val="single"/>
              </w:rPr>
            </w:pPr>
            <w:r>
              <w:rPr>
                <w:rFonts w:hint="eastAsia" w:ascii="宋体" w:hAnsi="宋体" w:cs="宋体"/>
                <w:color w:val="auto"/>
                <w:szCs w:val="21"/>
                <w:highlight w:val="none"/>
                <w:u w:val="single"/>
              </w:rPr>
              <w:t>区财政资金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10</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4.1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投标人资质等级及项目负责人等级要求</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color w:val="auto"/>
                <w:szCs w:val="21"/>
                <w:highlight w:val="none"/>
              </w:rPr>
            </w:pPr>
            <w:r>
              <w:rPr>
                <w:rFonts w:hint="eastAsia" w:ascii="宋体" w:hAnsi="宋体"/>
                <w:color w:val="auto"/>
                <w:szCs w:val="21"/>
                <w:highlight w:val="non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11</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ind w:firstLine="458"/>
              <w:rPr>
                <w:rFonts w:ascii="宋体" w:hAnsi="宋体" w:cs="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资格审查方式</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color w:val="auto"/>
                <w:szCs w:val="21"/>
                <w:highlight w:val="none"/>
              </w:rPr>
            </w:pPr>
            <w:r>
              <w:rPr>
                <w:rFonts w:hint="eastAsia" w:ascii="宋体" w:hAnsi="宋体"/>
                <w:color w:val="auto"/>
                <w:szCs w:val="21"/>
                <w:highlight w:val="non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12</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13.1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报价以及单价和总价计算方式</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工程量清单计价</w:t>
            </w:r>
            <w:r>
              <w:rPr>
                <w:rFonts w:hint="eastAsia" w:ascii="宋体" w:hAnsi="宋体" w:cs="宋体"/>
                <w:color w:val="auto"/>
                <w:szCs w:val="21"/>
                <w:highlight w:val="none"/>
                <w:u w:val="single"/>
              </w:rPr>
              <w:t>，按国家、省有关计价规范执行。纳入年度审计项目计划的政府投资项目，审计机关出具的审计结果应当作为该政府投资项目价款结算的依据（适用于纳入年度审计项目计划的项目）</w:t>
            </w: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13</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15.1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投标有效期</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color w:val="auto"/>
                <w:szCs w:val="21"/>
                <w:highlight w:val="none"/>
                <w:u w:val="single"/>
              </w:rPr>
            </w:pPr>
            <w:r>
              <w:rPr>
                <w:rFonts w:hint="eastAsia" w:ascii="宋体" w:hAnsi="宋体" w:cs="宋体"/>
                <w:color w:val="auto"/>
                <w:szCs w:val="21"/>
                <w:highlight w:val="none"/>
                <w:u w:val="single"/>
              </w:rPr>
              <w:t>90</w:t>
            </w:r>
            <w:r>
              <w:rPr>
                <w:rFonts w:hint="eastAsia" w:ascii="宋体" w:hAnsi="宋体" w:cs="宋体"/>
                <w:color w:val="auto"/>
                <w:szCs w:val="21"/>
                <w:highlight w:val="none"/>
              </w:rPr>
              <w:t>日历天。（从投标截止之日计起）。</w:t>
            </w:r>
            <w:r>
              <w:rPr>
                <w:rFonts w:hint="eastAsia" w:ascii="宋体" w:hAnsi="宋体" w:cs="宋体"/>
                <w:color w:val="auto"/>
                <w:szCs w:val="21"/>
                <w:highlight w:val="none"/>
                <w:u w:val="single"/>
              </w:rPr>
              <w:t>如投标有效期内发生异议或投诉的，则投标有效期自动延长至异议或投诉处理结束后90日历天。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14</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16.1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投标保证金</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hint="eastAsia" w:ascii="宋体" w:hAnsi="宋体"/>
                <w:color w:val="auto"/>
                <w:highlight w:val="none"/>
                <w:u w:val="single"/>
              </w:rPr>
            </w:pPr>
            <w:r>
              <w:rPr>
                <w:rFonts w:hint="eastAsia" w:ascii="宋体" w:hAnsi="宋体"/>
                <w:color w:val="auto"/>
                <w:highlight w:val="none"/>
                <w:u w:val="single"/>
              </w:rPr>
              <w:t>是否要求投标人递交投标保证金：</w:t>
            </w:r>
          </w:p>
          <w:p>
            <w:pPr>
              <w:spacing w:line="276" w:lineRule="auto"/>
              <w:rPr>
                <w:rFonts w:ascii="宋体" w:hAnsi="宋体"/>
                <w:color w:val="auto"/>
                <w:szCs w:val="21"/>
                <w:highlight w:val="none"/>
                <w:u w:val="single"/>
              </w:rPr>
            </w:pPr>
            <w:r>
              <w:rPr>
                <w:rFonts w:hint="eastAsia" w:ascii="宋体" w:hAnsi="宋体"/>
                <w:color w:val="auto"/>
                <w:highlight w:val="none"/>
                <w:u w:val="single"/>
              </w:rPr>
              <w:t>■不要求递交投标保证金。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15</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5</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踏勘现场</w:t>
            </w:r>
          </w:p>
        </w:tc>
        <w:tc>
          <w:tcPr>
            <w:tcW w:w="5857" w:type="dxa"/>
            <w:tcBorders>
              <w:top w:val="single" w:color="auto" w:sz="4" w:space="0"/>
              <w:left w:val="single" w:color="auto" w:sz="4" w:space="0"/>
              <w:bottom w:val="single" w:color="auto" w:sz="4" w:space="0"/>
              <w:right w:val="double" w:color="auto" w:sz="4" w:space="0"/>
            </w:tcBorders>
            <w:vAlign w:val="center"/>
          </w:tcPr>
          <w:p>
            <w:pPr>
              <w:pStyle w:val="28"/>
              <w:spacing w:line="276" w:lineRule="auto"/>
              <w:rPr>
                <w:rFonts w:ascii="宋体" w:hAnsi="宋体" w:cs="宋体"/>
                <w:color w:val="auto"/>
                <w:szCs w:val="21"/>
                <w:highlight w:val="none"/>
              </w:rPr>
            </w:pPr>
            <w:r>
              <w:rPr>
                <w:rFonts w:hint="eastAsia" w:ascii="宋体" w:hAnsi="宋体" w:cs="宋体"/>
                <w:color w:val="auto"/>
                <w:szCs w:val="21"/>
                <w:highlight w:val="none"/>
                <w:u w:val="single"/>
              </w:rPr>
              <w:t>自行踏勘，投标人不进行踏勘的，视为已熟知现场条件，自行承担相关风险。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16</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8</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投标答疑</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color w:val="auto"/>
                <w:szCs w:val="21"/>
                <w:highlight w:val="none"/>
                <w:u w:val="single"/>
              </w:rPr>
            </w:pPr>
            <w:r>
              <w:rPr>
                <w:rFonts w:hint="eastAsia" w:ascii="宋体" w:hAnsi="宋体" w:cs="宋体"/>
                <w:color w:val="auto"/>
                <w:szCs w:val="21"/>
                <w:highlight w:val="none"/>
                <w:u w:val="single"/>
              </w:rPr>
              <w:t>1.方式：网上答疑；</w:t>
            </w:r>
          </w:p>
          <w:p>
            <w:pPr>
              <w:spacing w:line="276" w:lineRule="auto"/>
              <w:rPr>
                <w:rFonts w:ascii="宋体" w:hAnsi="宋体" w:cs="宋体"/>
                <w:color w:val="auto"/>
                <w:szCs w:val="21"/>
                <w:highlight w:val="none"/>
                <w:u w:val="single"/>
              </w:rPr>
            </w:pPr>
            <w:r>
              <w:rPr>
                <w:rFonts w:hint="eastAsia" w:ascii="宋体" w:hAnsi="宋体" w:cs="宋体"/>
                <w:color w:val="auto"/>
                <w:szCs w:val="21"/>
                <w:highlight w:val="none"/>
                <w:u w:val="single"/>
              </w:rPr>
              <w:t xml:space="preserve">2.疑问提交时间：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w:t>
            </w:r>
            <w:r>
              <w:rPr>
                <w:rFonts w:hint="eastAsia" w:ascii="宋体" w:hAnsi="宋体" w:cs="宋体"/>
                <w:color w:val="auto"/>
                <w:szCs w:val="21"/>
                <w:highlight w:val="none"/>
                <w:u w:val="single"/>
              </w:rPr>
              <w:t>前(在递交投标文件截止日期前</w:t>
            </w:r>
            <w:r>
              <w:rPr>
                <w:rFonts w:hint="eastAsia" w:ascii="宋体" w:hAnsi="宋体" w:cs="宋体"/>
                <w:color w:val="auto"/>
                <w:szCs w:val="21"/>
                <w:highlight w:val="none"/>
                <w:u w:val="single"/>
                <w:lang w:val="en-US" w:eastAsia="zh-CN"/>
              </w:rPr>
              <w:t>18</w:t>
            </w:r>
            <w:r>
              <w:rPr>
                <w:rFonts w:hint="eastAsia" w:ascii="宋体" w:hAnsi="宋体" w:cs="宋体"/>
                <w:color w:val="auto"/>
                <w:szCs w:val="21"/>
                <w:highlight w:val="none"/>
                <w:u w:val="single"/>
              </w:rPr>
              <w:t>日)；</w:t>
            </w:r>
          </w:p>
          <w:p>
            <w:pPr>
              <w:spacing w:line="276" w:lineRule="auto"/>
              <w:rPr>
                <w:rFonts w:ascii="宋体" w:hAnsi="宋体" w:cs="宋体"/>
                <w:color w:val="auto"/>
                <w:szCs w:val="21"/>
                <w:highlight w:val="none"/>
                <w:u w:val="single"/>
              </w:rPr>
            </w:pPr>
            <w:r>
              <w:rPr>
                <w:rFonts w:hint="eastAsia" w:ascii="宋体" w:hAnsi="宋体" w:cs="宋体"/>
                <w:color w:val="auto"/>
                <w:szCs w:val="21"/>
                <w:highlight w:val="none"/>
                <w:u w:val="single"/>
              </w:rPr>
              <w:t>3.招标人澄清、修补或答疑期限：在递交投标文件截止日期前15 日；</w:t>
            </w:r>
          </w:p>
          <w:p>
            <w:pPr>
              <w:spacing w:line="276" w:lineRule="auto"/>
              <w:rPr>
                <w:rFonts w:ascii="宋体" w:hAnsi="宋体" w:cs="宋体"/>
                <w:color w:val="auto"/>
                <w:szCs w:val="21"/>
                <w:highlight w:val="none"/>
              </w:rPr>
            </w:pPr>
            <w:r>
              <w:rPr>
                <w:rFonts w:hint="eastAsia" w:ascii="宋体" w:hAnsi="宋体" w:cs="宋体"/>
                <w:color w:val="auto"/>
                <w:szCs w:val="21"/>
                <w:highlight w:val="none"/>
                <w:u w:val="single"/>
              </w:rPr>
              <w:t>4.具体要求：按照</w:t>
            </w:r>
            <w:r>
              <w:rPr>
                <w:rFonts w:hint="eastAsia" w:ascii="宋体" w:hAnsi="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u w:val="single"/>
              </w:rPr>
              <w:t>交易平台关于全流程电子化项目的相关指南进行操作，详见：</w:t>
            </w:r>
            <w:r>
              <w:rPr>
                <w:rFonts w:hint="eastAsia" w:ascii="宋体" w:hAnsi="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u w:val="single"/>
              </w:rPr>
              <w:t>网站最新指引。提问一律不得署名。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17</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20.1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投标截止时间</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trike/>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18</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20.1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开标开始时间和地点</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（技术标和经济标同时开标）</w:t>
            </w:r>
          </w:p>
          <w:p>
            <w:pPr>
              <w:spacing w:line="276"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1、开标开始时间：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分（与投标截止时间为同一时间），地点：</w:t>
            </w:r>
            <w:r>
              <w:rPr>
                <w:rFonts w:hint="eastAsia" w:ascii="宋体" w:hAnsi="宋体" w:cs="宋体"/>
                <w:color w:val="auto"/>
                <w:szCs w:val="21"/>
                <w:highlight w:val="none"/>
                <w:u w:val="single"/>
                <w:lang w:eastAsia="zh-CN"/>
              </w:rPr>
              <w:t>广州交易集团有限公司（广州公共资源交易中心）指定</w:t>
            </w:r>
            <w:r>
              <w:rPr>
                <w:rFonts w:hint="eastAsia" w:ascii="宋体" w:hAnsi="宋体" w:cs="宋体"/>
                <w:color w:val="auto"/>
                <w:szCs w:val="21"/>
                <w:highlight w:val="none"/>
                <w:u w:val="single"/>
              </w:rPr>
              <w:t>开标室。</w:t>
            </w:r>
            <w:r>
              <w:rPr>
                <w:rFonts w:hint="eastAsia" w:ascii="宋体" w:hAnsi="宋体" w:cs="宋体"/>
                <w:b/>
                <w:bCs/>
                <w:color w:val="auto"/>
                <w:szCs w:val="21"/>
                <w:highlight w:val="none"/>
                <w:u w:val="none"/>
              </w:rPr>
              <w:t>投标人也可选择参加在线开标，具体按照交易平台相关指南进行操作。详见：</w:t>
            </w:r>
            <w:r>
              <w:rPr>
                <w:rFonts w:hint="eastAsia" w:ascii="宋体" w:hAnsi="宋体" w:cs="宋体"/>
                <w:b/>
                <w:bCs/>
                <w:color w:val="auto"/>
                <w:szCs w:val="21"/>
                <w:highlight w:val="none"/>
                <w:u w:val="single"/>
                <w:lang w:eastAsia="zh-CN"/>
              </w:rPr>
              <w:t>广州交易集团有限公司（广州公共资源交易中心）</w:t>
            </w:r>
            <w:r>
              <w:rPr>
                <w:rFonts w:hint="eastAsia" w:ascii="宋体" w:hAnsi="宋体" w:cs="宋体"/>
                <w:b/>
                <w:bCs/>
                <w:color w:val="auto"/>
                <w:szCs w:val="21"/>
                <w:highlight w:val="none"/>
                <w:u w:val="single"/>
              </w:rPr>
              <w:t>网站最新指引</w:t>
            </w:r>
            <w:r>
              <w:rPr>
                <w:rFonts w:hint="eastAsia" w:ascii="宋体" w:hAnsi="宋体" w:cs="宋体"/>
                <w:b/>
                <w:bCs/>
                <w:color w:val="auto"/>
                <w:szCs w:val="21"/>
                <w:highlight w:val="none"/>
                <w:u w:val="single"/>
                <w:lang w:eastAsia="zh-CN"/>
              </w:rPr>
              <w:t>。</w:t>
            </w:r>
          </w:p>
          <w:p>
            <w:pPr>
              <w:spacing w:line="276" w:lineRule="auto"/>
              <w:rPr>
                <w:rFonts w:hint="eastAsia" w:ascii="宋体" w:hAnsi="宋体" w:cs="宋体"/>
                <w:color w:val="auto"/>
                <w:szCs w:val="21"/>
                <w:highlight w:val="none"/>
              </w:rPr>
            </w:pPr>
            <w:r>
              <w:rPr>
                <w:rFonts w:hint="eastAsia" w:ascii="宋体" w:hAnsi="宋体" w:cs="宋体"/>
                <w:color w:val="auto"/>
                <w:szCs w:val="21"/>
                <w:highlight w:val="none"/>
              </w:rPr>
              <w:t>注：投标文件解密问题。投标人只用执行一次解密，招标人执行解密次数根据招标文件开标次数确定。</w:t>
            </w:r>
          </w:p>
          <w:p>
            <w:pPr>
              <w:spacing w:line="276" w:lineRule="auto"/>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2、递交投标文件备用光盘时间：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分；递交地点：</w:t>
            </w:r>
            <w:r>
              <w:rPr>
                <w:rFonts w:hint="eastAsia" w:ascii="宋体" w:hAnsi="宋体" w:cs="宋体"/>
                <w:color w:val="auto"/>
                <w:szCs w:val="21"/>
                <w:highlight w:val="none"/>
                <w:u w:val="single"/>
                <w:lang w:eastAsia="zh-CN"/>
              </w:rPr>
              <w:t>广州交易集团有限公司（广州公共资源交易中心）指定</w:t>
            </w:r>
            <w:r>
              <w:rPr>
                <w:rFonts w:hint="eastAsia" w:ascii="宋体" w:hAnsi="宋体" w:cs="宋体"/>
                <w:color w:val="auto"/>
                <w:szCs w:val="21"/>
                <w:highlight w:val="none"/>
                <w:u w:val="single"/>
              </w:rPr>
              <w:t>开标室</w:t>
            </w:r>
            <w:r>
              <w:rPr>
                <w:rFonts w:hint="eastAsia" w:ascii="宋体" w:hAnsi="宋体" w:cs="宋体"/>
                <w:color w:val="auto"/>
                <w:szCs w:val="21"/>
                <w:highlight w:val="none"/>
                <w:u w:val="single"/>
                <w:lang w:eastAsia="zh-CN"/>
              </w:rPr>
              <w:t>。</w:t>
            </w:r>
          </w:p>
          <w:p>
            <w:pPr>
              <w:spacing w:line="276" w:lineRule="auto"/>
              <w:rPr>
                <w:rFonts w:ascii="宋体" w:hAnsi="宋体" w:cs="宋体"/>
                <w:color w:val="auto"/>
                <w:szCs w:val="21"/>
                <w:highlight w:val="none"/>
                <w:u w:val="single"/>
              </w:rPr>
            </w:pP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投标人应在投标文件[含定标文件（如有）]递交截止时间前通过广州交易集团有限公司（广州公共资源交易中心）电子招标投标交易平台递交电子投标文件[含电子定标文件（如有）]。</w:t>
            </w:r>
          </w:p>
          <w:p>
            <w:pPr>
              <w:spacing w:line="276" w:lineRule="auto"/>
              <w:rPr>
                <w:rFonts w:hint="eastAsia" w:ascii="宋体" w:hAnsi="宋体" w:cs="宋体"/>
                <w:color w:val="auto"/>
                <w:highlight w:val="none"/>
              </w:rPr>
            </w:pPr>
            <w:r>
              <w:rPr>
                <w:rFonts w:hint="eastAsia" w:ascii="宋体" w:hAnsi="宋体" w:cs="宋体"/>
                <w:color w:val="auto"/>
                <w:highlight w:val="none"/>
              </w:rPr>
              <w:t>上述时间及地点是否有改变，请密切留意补充公告和招标答疑纪要的相关信息。</w:t>
            </w:r>
          </w:p>
          <w:p>
            <w:pPr>
              <w:spacing w:line="276" w:lineRule="auto"/>
              <w:rPr>
                <w:rFonts w:ascii="宋体" w:hAnsi="宋体" w:cs="宋体"/>
                <w:color w:val="auto"/>
                <w:szCs w:val="21"/>
                <w:highlight w:val="none"/>
              </w:rPr>
            </w:pPr>
            <w:r>
              <w:rPr>
                <w:rFonts w:hint="eastAsia" w:ascii="宋体" w:hAnsi="宋体"/>
                <w:color w:val="auto"/>
                <w:szCs w:val="21"/>
                <w:highlight w:val="none"/>
                <w:u w:val="single"/>
              </w:rPr>
              <w:t>请各投标人密切留意本项目的日程安排，投标人可登录广州交易集团有限公司（广州公共资源交易中心）网站首页，点击“交易业务-建设工程”专栏中的“项目查询（日程安排、答疑纪要）”，输入项目编号或项目名称查询最新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19</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26</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开标评标办法</w:t>
            </w:r>
          </w:p>
        </w:tc>
        <w:tc>
          <w:tcPr>
            <w:tcW w:w="5857" w:type="dxa"/>
            <w:tcBorders>
              <w:top w:val="single" w:color="auto" w:sz="4" w:space="0"/>
              <w:left w:val="single" w:color="auto" w:sz="4" w:space="0"/>
              <w:bottom w:val="single" w:color="auto" w:sz="4" w:space="0"/>
              <w:right w:val="double" w:color="auto" w:sz="4" w:space="0"/>
            </w:tcBorders>
            <w:vAlign w:val="center"/>
          </w:tcPr>
          <w:p>
            <w:pPr>
              <w:pStyle w:val="49"/>
              <w:ind w:firstLine="0"/>
              <w:rPr>
                <w:color w:val="auto"/>
                <w:highlight w:val="none"/>
              </w:rPr>
            </w:pPr>
            <w:r>
              <w:rPr>
                <w:rFonts w:hint="eastAsia" w:ascii="宋体" w:hAnsi="宋体" w:cs="宋体"/>
                <w:color w:val="auto"/>
                <w:szCs w:val="21"/>
                <w:highlight w:val="none"/>
              </w:rPr>
              <w:t>采用评定分离定标办法</w:t>
            </w:r>
            <w:r>
              <w:rPr>
                <w:rFonts w:hint="eastAsia" w:ascii="宋体" w:hAnsi="宋体" w:cs="宋体"/>
                <w:color w:val="auto"/>
                <w:szCs w:val="21"/>
                <w:highlight w:val="none"/>
              </w:rPr>
              <w:br w:type="textWrapping"/>
            </w:r>
            <w:r>
              <w:rPr>
                <w:rFonts w:hint="eastAsia" w:ascii="宋体" w:hAnsi="宋体" w:cs="宋体"/>
                <w:color w:val="auto"/>
                <w:kern w:val="2"/>
                <w:sz w:val="21"/>
                <w:szCs w:val="21"/>
                <w:highlight w:val="none"/>
              </w:rPr>
              <w:t>1、评标办法：采用“有限数量制评审法”，推荐</w:t>
            </w:r>
            <w:r>
              <w:rPr>
                <w:rFonts w:hint="eastAsia" w:ascii="宋体" w:hAnsi="宋体" w:cs="宋体"/>
                <w:color w:val="auto"/>
                <w:kern w:val="2"/>
                <w:sz w:val="21"/>
                <w:szCs w:val="21"/>
                <w:highlight w:val="none"/>
                <w:lang w:val="en-US" w:eastAsia="zh-CN"/>
              </w:rPr>
              <w:t>7</w:t>
            </w:r>
            <w:r>
              <w:rPr>
                <w:rFonts w:hint="eastAsia" w:ascii="宋体" w:hAnsi="宋体" w:cs="宋体"/>
                <w:color w:val="auto"/>
                <w:kern w:val="2"/>
                <w:sz w:val="21"/>
                <w:szCs w:val="21"/>
                <w:highlight w:val="none"/>
              </w:rPr>
              <w:t>名（通过经济标有效性审查家数在[3,</w:t>
            </w:r>
            <w:r>
              <w:rPr>
                <w:rFonts w:hint="eastAsia" w:ascii="宋体" w:hAnsi="宋体" w:cs="宋体"/>
                <w:color w:val="auto"/>
                <w:kern w:val="2"/>
                <w:sz w:val="21"/>
                <w:szCs w:val="21"/>
                <w:highlight w:val="none"/>
                <w:lang w:val="en-US" w:eastAsia="zh-CN"/>
              </w:rPr>
              <w:t>7</w:t>
            </w:r>
            <w:r>
              <w:rPr>
                <w:rFonts w:hint="eastAsia" w:ascii="宋体" w:hAnsi="宋体" w:cs="宋体"/>
                <w:color w:val="auto"/>
                <w:kern w:val="2"/>
                <w:sz w:val="21"/>
                <w:szCs w:val="21"/>
                <w:highlight w:val="none"/>
              </w:rPr>
              <w:t>]的，以实际家数为准；超过</w:t>
            </w:r>
            <w:r>
              <w:rPr>
                <w:rFonts w:hint="eastAsia" w:ascii="宋体" w:hAnsi="宋体" w:cs="宋体"/>
                <w:color w:val="auto"/>
                <w:kern w:val="2"/>
                <w:sz w:val="21"/>
                <w:szCs w:val="21"/>
                <w:highlight w:val="none"/>
                <w:lang w:val="en-US" w:eastAsia="zh-CN"/>
              </w:rPr>
              <w:t>7</w:t>
            </w:r>
            <w:r>
              <w:rPr>
                <w:rFonts w:hint="eastAsia" w:ascii="宋体" w:hAnsi="宋体" w:cs="宋体"/>
                <w:color w:val="auto"/>
                <w:kern w:val="2"/>
                <w:sz w:val="21"/>
                <w:szCs w:val="21"/>
                <w:highlight w:val="none"/>
              </w:rPr>
              <w:t>家的，则只推荐</w:t>
            </w:r>
            <w:r>
              <w:rPr>
                <w:rFonts w:hint="eastAsia" w:ascii="宋体" w:hAnsi="宋体" w:cs="宋体"/>
                <w:color w:val="auto"/>
                <w:kern w:val="2"/>
                <w:sz w:val="21"/>
                <w:szCs w:val="21"/>
                <w:highlight w:val="none"/>
                <w:lang w:val="en-US" w:eastAsia="zh-CN"/>
              </w:rPr>
              <w:t>7</w:t>
            </w:r>
            <w:r>
              <w:rPr>
                <w:rFonts w:hint="eastAsia" w:ascii="宋体" w:hAnsi="宋体" w:cs="宋体"/>
                <w:color w:val="auto"/>
                <w:kern w:val="2"/>
                <w:sz w:val="21"/>
                <w:szCs w:val="21"/>
                <w:highlight w:val="none"/>
              </w:rPr>
              <w:t>家）不排序的合格中标候选人进入定标阶段【按统一社会信用代码后4位（除校验码外）大小排位，如统一社会信用代码后4位出现字母情况的，字母以“0”进行代替大小排位；如出现后4位（除校验码外）大小一致的，则随机排位】。</w:t>
            </w:r>
          </w:p>
          <w:p>
            <w:pPr>
              <w:pStyle w:val="49"/>
              <w:ind w:firstLine="0"/>
              <w:rPr>
                <w:rFonts w:ascii="宋体" w:hAnsi="宋体" w:cs="宋体"/>
                <w:strike w:val="0"/>
                <w:color w:val="auto"/>
                <w:kern w:val="2"/>
                <w:sz w:val="21"/>
                <w:szCs w:val="21"/>
                <w:highlight w:val="none"/>
              </w:rPr>
            </w:pPr>
            <w:r>
              <w:rPr>
                <w:rFonts w:hint="eastAsia" w:ascii="宋体" w:hAnsi="宋体" w:cs="宋体"/>
                <w:strike w:val="0"/>
                <w:color w:val="auto"/>
                <w:kern w:val="2"/>
                <w:sz w:val="21"/>
                <w:szCs w:val="21"/>
                <w:highlight w:val="none"/>
              </w:rPr>
              <w:t>评分办法选用  选取办法六（适合综合评分法三，技术标与经济标同时开启），采用两阶段综合评标法，具体内容如下：</w:t>
            </w:r>
          </w:p>
          <w:p>
            <w:pPr>
              <w:pStyle w:val="49"/>
              <w:ind w:firstLine="0"/>
              <w:rPr>
                <w:rFonts w:ascii="宋体" w:hAnsi="宋体" w:cs="宋体"/>
                <w:strike w:val="0"/>
                <w:color w:val="auto"/>
                <w:kern w:val="2"/>
                <w:sz w:val="21"/>
                <w:szCs w:val="21"/>
                <w:highlight w:val="none"/>
              </w:rPr>
            </w:pPr>
            <w:r>
              <w:rPr>
                <w:rFonts w:hint="eastAsia" w:ascii="宋体" w:hAnsi="宋体" w:cs="宋体"/>
                <w:strike w:val="0"/>
                <w:color w:val="auto"/>
                <w:kern w:val="2"/>
                <w:sz w:val="21"/>
                <w:szCs w:val="21"/>
                <w:highlight w:val="none"/>
              </w:rPr>
              <w:t>第一阶段得分=技术</w:t>
            </w:r>
            <w:r>
              <w:rPr>
                <w:rFonts w:hint="eastAsia" w:ascii="宋体" w:hAnsi="宋体" w:cs="宋体" w:eastAsiaTheme="minorEastAsia"/>
                <w:strike w:val="0"/>
                <w:color w:val="auto"/>
                <w:szCs w:val="21"/>
                <w:highlight w:val="none"/>
              </w:rPr>
              <w:t>标</w:t>
            </w:r>
            <w:r>
              <w:rPr>
                <w:rFonts w:hint="eastAsia" w:ascii="宋体" w:hAnsi="宋体" w:cs="宋体"/>
                <w:strike w:val="0"/>
                <w:color w:val="auto"/>
                <w:kern w:val="2"/>
                <w:sz w:val="21"/>
                <w:szCs w:val="21"/>
                <w:highlight w:val="none"/>
              </w:rPr>
              <w:t>得分×得分权重（80%）＋综合诚信评价排名得分×诚信综合评价分数权重（20%）</w:t>
            </w:r>
          </w:p>
          <w:p>
            <w:pPr>
              <w:pStyle w:val="49"/>
              <w:ind w:firstLine="0"/>
              <w:rPr>
                <w:rFonts w:hint="eastAsia" w:ascii="宋体" w:hAnsi="宋体" w:cs="宋体"/>
                <w:strike w:val="0"/>
                <w:color w:val="auto"/>
                <w:kern w:val="2"/>
                <w:sz w:val="21"/>
                <w:szCs w:val="21"/>
                <w:highlight w:val="none"/>
              </w:rPr>
            </w:pPr>
            <w:r>
              <w:rPr>
                <w:rFonts w:hint="eastAsia" w:ascii="宋体" w:hAnsi="宋体" w:cs="宋体"/>
                <w:strike w:val="0"/>
                <w:color w:val="auto"/>
                <w:kern w:val="2"/>
                <w:sz w:val="21"/>
                <w:szCs w:val="21"/>
                <w:highlight w:val="none"/>
              </w:rPr>
              <w:t>第二阶段得分（总得分）</w:t>
            </w:r>
            <w:r>
              <w:rPr>
                <w:rFonts w:hint="eastAsia" w:ascii="宋体" w:hAnsi="宋体" w:cs="宋体"/>
                <w:strike w:val="0"/>
                <w:color w:val="auto"/>
                <w:szCs w:val="21"/>
                <w:highlight w:val="none"/>
                <w:u w:val="none"/>
              </w:rPr>
              <w:t>=经济分×经济分权重（</w:t>
            </w:r>
            <w:r>
              <w:rPr>
                <w:rFonts w:hint="eastAsia" w:ascii="宋体" w:hAnsi="宋体" w:cs="宋体"/>
                <w:strike w:val="0"/>
                <w:color w:val="auto"/>
                <w:szCs w:val="21"/>
                <w:highlight w:val="none"/>
                <w:u w:val="none"/>
                <w:lang w:val="en-US" w:eastAsia="zh-CN"/>
              </w:rPr>
              <w:t>10</w:t>
            </w:r>
            <w:r>
              <w:rPr>
                <w:rFonts w:hint="eastAsia" w:ascii="宋体" w:hAnsi="宋体" w:cs="宋体"/>
                <w:strike w:val="0"/>
                <w:color w:val="auto"/>
                <w:szCs w:val="21"/>
                <w:highlight w:val="none"/>
                <w:u w:val="none"/>
              </w:rPr>
              <w:t>0%）</w:t>
            </w:r>
          </w:p>
          <w:p>
            <w:pPr>
              <w:pStyle w:val="49"/>
              <w:ind w:firstLine="0"/>
              <w:rPr>
                <w:rFonts w:ascii="宋体" w:hAnsi="宋体" w:cs="宋体"/>
                <w:strike w:val="0"/>
                <w:color w:val="auto"/>
                <w:kern w:val="2"/>
                <w:sz w:val="21"/>
                <w:szCs w:val="21"/>
                <w:highlight w:val="none"/>
              </w:rPr>
            </w:pPr>
            <w:r>
              <w:rPr>
                <w:rFonts w:hint="eastAsia" w:ascii="宋体" w:hAnsi="宋体" w:cs="宋体"/>
                <w:strike w:val="0"/>
                <w:color w:val="auto"/>
                <w:kern w:val="2"/>
                <w:sz w:val="21"/>
                <w:szCs w:val="21"/>
                <w:highlight w:val="none"/>
              </w:rPr>
              <w:t>进入第二阶段评审的家数：</w:t>
            </w:r>
          </w:p>
          <w:p>
            <w:pPr>
              <w:pStyle w:val="49"/>
              <w:ind w:firstLine="0"/>
              <w:rPr>
                <w:rFonts w:ascii="宋体" w:hAnsi="宋体" w:cs="宋体"/>
                <w:strike w:val="0"/>
                <w:color w:val="auto"/>
                <w:kern w:val="2"/>
                <w:sz w:val="21"/>
                <w:szCs w:val="21"/>
                <w:highlight w:val="none"/>
              </w:rPr>
            </w:pPr>
            <w:r>
              <w:rPr>
                <w:rFonts w:hint="eastAsia" w:ascii="宋体" w:hAnsi="宋体" w:cs="宋体"/>
                <w:strike w:val="0"/>
                <w:color w:val="auto"/>
                <w:kern w:val="2"/>
                <w:sz w:val="21"/>
                <w:szCs w:val="21"/>
                <w:highlight w:val="none"/>
              </w:rPr>
              <w:t xml:space="preserve">①通过技术有效性审查的投标人均进入第二阶段（适用于通过技术有效性审查家数在[3, </w:t>
            </w:r>
            <w:r>
              <w:rPr>
                <w:rFonts w:hint="eastAsia" w:ascii="宋体" w:hAnsi="宋体" w:cs="宋体"/>
                <w:strike w:val="0"/>
                <w:color w:val="auto"/>
                <w:kern w:val="2"/>
                <w:sz w:val="21"/>
                <w:szCs w:val="21"/>
                <w:highlight w:val="none"/>
                <w:lang w:val="en-US" w:eastAsia="zh-CN"/>
              </w:rPr>
              <w:t>20</w:t>
            </w:r>
            <w:r>
              <w:rPr>
                <w:rFonts w:hint="eastAsia" w:ascii="宋体" w:hAnsi="宋体" w:cs="宋体"/>
                <w:strike w:val="0"/>
                <w:color w:val="auto"/>
                <w:kern w:val="2"/>
                <w:sz w:val="21"/>
                <w:szCs w:val="21"/>
                <w:highlight w:val="none"/>
              </w:rPr>
              <w:t>]中的）。</w:t>
            </w:r>
          </w:p>
          <w:p>
            <w:pPr>
              <w:pStyle w:val="49"/>
              <w:ind w:firstLine="0"/>
              <w:rPr>
                <w:rFonts w:hint="eastAsia" w:ascii="宋体" w:hAnsi="宋体" w:cs="宋体"/>
                <w:strike w:val="0"/>
                <w:color w:val="auto"/>
                <w:kern w:val="2"/>
                <w:sz w:val="21"/>
                <w:szCs w:val="21"/>
                <w:highlight w:val="none"/>
              </w:rPr>
            </w:pPr>
            <w:r>
              <w:rPr>
                <w:rFonts w:hint="eastAsia" w:ascii="宋体" w:hAnsi="宋体" w:cs="宋体"/>
                <w:strike w:val="0"/>
                <w:color w:val="auto"/>
                <w:kern w:val="2"/>
                <w:sz w:val="21"/>
                <w:szCs w:val="21"/>
                <w:highlight w:val="none"/>
              </w:rPr>
              <w:t>②将第一阶段得分由高至低排序，前</w:t>
            </w:r>
            <w:r>
              <w:rPr>
                <w:rFonts w:hint="eastAsia" w:ascii="宋体" w:hAnsi="宋体" w:cs="宋体"/>
                <w:strike w:val="0"/>
                <w:color w:val="auto"/>
                <w:kern w:val="2"/>
                <w:sz w:val="21"/>
                <w:szCs w:val="21"/>
                <w:highlight w:val="none"/>
                <w:lang w:val="en-US" w:eastAsia="zh-CN"/>
              </w:rPr>
              <w:t>20</w:t>
            </w:r>
            <w:r>
              <w:rPr>
                <w:rFonts w:hint="eastAsia" w:ascii="宋体" w:hAnsi="宋体" w:cs="宋体"/>
                <w:strike w:val="0"/>
                <w:color w:val="auto"/>
                <w:kern w:val="2"/>
                <w:sz w:val="21"/>
                <w:szCs w:val="21"/>
                <w:highlight w:val="none"/>
              </w:rPr>
              <w:t>名投标人进入第二阶段评审（适用于通过技术标有效性审查家数大于20家的，若投标人第一阶段得分相同的，则以投标总报价较低的排前；若投标总报价仍相同的，则以诚信综合评价得分较高的排前；如仍存在相同情况，则对具有相同情况的投标人，由评标委员会采用记名投票方式，确定投标人第一阶段名次的排序，确定前20家进入第二阶段）。记名投票方式确定排序的具体操作步骤为：由评标委员会对出现该情况的投标人采取记名投票的方式确定，按得票数从高到低排列先后次序，以得票数高的排前，根据得票数高低确定排序。</w:t>
            </w:r>
          </w:p>
          <w:p>
            <w:pPr>
              <w:pStyle w:val="49"/>
              <w:numPr>
                <w:ilvl w:val="-1"/>
                <w:numId w:val="0"/>
              </w:numPr>
              <w:spacing w:after="0" w:line="240" w:lineRule="auto"/>
              <w:ind w:firstLine="0"/>
              <w:rPr>
                <w:rFonts w:hint="eastAsia" w:ascii="宋体" w:hAnsi="宋体" w:cs="宋体" w:eastAsiaTheme="minorEastAsia"/>
                <w:color w:val="auto"/>
                <w:kern w:val="2"/>
                <w:sz w:val="21"/>
                <w:szCs w:val="21"/>
                <w:highlight w:val="none"/>
                <w:lang w:val="en-US" w:eastAsia="zh-CN"/>
              </w:rPr>
            </w:pPr>
            <w:r>
              <w:rPr>
                <w:rFonts w:hint="eastAsia" w:ascii="宋体" w:hAnsi="宋体" w:cs="宋体"/>
                <w:color w:val="auto"/>
                <w:sz w:val="21"/>
                <w:szCs w:val="21"/>
                <w:highlight w:val="none"/>
                <w:lang w:val="en-US" w:eastAsia="zh-CN"/>
              </w:rPr>
              <w:t>2、</w:t>
            </w:r>
            <w:r>
              <w:rPr>
                <w:rFonts w:hint="eastAsia" w:ascii="宋体" w:hAnsi="宋体" w:cs="宋体" w:eastAsiaTheme="minorEastAsia"/>
                <w:color w:val="auto"/>
                <w:sz w:val="21"/>
                <w:szCs w:val="21"/>
                <w:highlight w:val="none"/>
              </w:rPr>
              <w:t>定标采用直接票决定标法（记名投票+撰写评语）</w:t>
            </w:r>
            <w:r>
              <w:rPr>
                <w:rFonts w:hint="eastAsia" w:ascii="宋体" w:hAnsi="宋体" w:cs="宋体"/>
                <w:color w:val="auto"/>
                <w:sz w:val="21"/>
                <w:szCs w:val="21"/>
                <w:highlight w:val="none"/>
                <w:lang w:eastAsia="zh-CN"/>
              </w:rPr>
              <w:t>。</w:t>
            </w:r>
          </w:p>
          <w:p>
            <w:pPr>
              <w:pStyle w:val="49"/>
              <w:spacing w:line="240" w:lineRule="auto"/>
              <w:ind w:firstLine="0"/>
              <w:rPr>
                <w:rFonts w:ascii="宋体" w:hAnsi="宋体" w:eastAsia="宋体" w:cs="宋体"/>
                <w:color w:val="auto"/>
                <w:szCs w:val="21"/>
                <w:highlight w:val="none"/>
              </w:rPr>
            </w:pPr>
            <w:r>
              <w:rPr>
                <w:rFonts w:hint="eastAsia" w:ascii="宋体" w:hAnsi="宋体" w:cs="宋体"/>
                <w:color w:val="auto"/>
                <w:kern w:val="2"/>
                <w:sz w:val="21"/>
                <w:szCs w:val="21"/>
                <w:highlight w:val="none"/>
              </w:rPr>
              <w:t>3、定标因素：详见《定标因素表》。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20</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宋体" w:hAnsi="宋体" w:cs="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宋体" w:hAnsi="宋体" w:cs="宋体"/>
                <w:color w:val="auto"/>
                <w:szCs w:val="21"/>
                <w:highlight w:val="none"/>
                <w:u w:val="single"/>
              </w:rPr>
            </w:pPr>
            <w:r>
              <w:rPr>
                <w:rFonts w:hint="eastAsia" w:ascii="宋体" w:hAnsi="宋体" w:cs="宋体"/>
                <w:color w:val="auto"/>
                <w:szCs w:val="21"/>
                <w:highlight w:val="none"/>
                <w:u w:val="single"/>
              </w:rPr>
              <w:t>是否授权评标委员会确定中标人</w:t>
            </w:r>
          </w:p>
        </w:tc>
        <w:tc>
          <w:tcPr>
            <w:tcW w:w="5857" w:type="dxa"/>
            <w:tcBorders>
              <w:top w:val="single" w:color="auto" w:sz="4" w:space="0"/>
              <w:left w:val="single" w:color="auto" w:sz="4" w:space="0"/>
              <w:bottom w:val="single" w:color="auto" w:sz="4" w:space="0"/>
              <w:right w:val="double" w:color="auto" w:sz="4" w:space="0"/>
            </w:tcBorders>
            <w:vAlign w:val="center"/>
          </w:tcPr>
          <w:p>
            <w:pPr>
              <w:pStyle w:val="49"/>
              <w:spacing w:line="240" w:lineRule="auto"/>
              <w:ind w:firstLine="0"/>
              <w:rPr>
                <w:rFonts w:hint="eastAsia" w:ascii="宋体" w:hAnsi="宋体" w:cs="宋体"/>
                <w:color w:val="auto"/>
                <w:highlight w:val="none"/>
                <w:u w:val="single"/>
              </w:rPr>
            </w:pPr>
            <w:r>
              <w:rPr>
                <w:rFonts w:hint="eastAsia" w:ascii="宋体" w:hAnsi="宋体" w:cs="宋体"/>
                <w:color w:val="auto"/>
                <w:szCs w:val="21"/>
                <w:highlight w:val="none"/>
                <w:u w:val="single"/>
              </w:rPr>
              <w:t>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21</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29.1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履约担保</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color w:val="auto"/>
                <w:highlight w:val="none"/>
              </w:rPr>
            </w:pPr>
            <w:r>
              <w:rPr>
                <w:rFonts w:hint="eastAsia" w:ascii="宋体" w:hAnsi="宋体" w:cs="宋体"/>
                <w:color w:val="auto"/>
                <w:highlight w:val="none"/>
              </w:rPr>
              <w:t>方式一：中标人提供的履约保证金为中标价款的10%。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22</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最高投标限价</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本项目最高投标限价为人民币</w:t>
            </w:r>
            <w:r>
              <w:rPr>
                <w:rFonts w:hint="eastAsia" w:ascii="宋体" w:hAnsi="宋体" w:cs="宋体"/>
                <w:color w:val="auto"/>
                <w:sz w:val="21"/>
                <w:szCs w:val="21"/>
                <w:highlight w:val="none"/>
                <w:u w:val="single"/>
                <w:lang w:val="en-US" w:eastAsia="zh-CN"/>
              </w:rPr>
              <w:t>307691843.40</w:t>
            </w:r>
            <w:r>
              <w:rPr>
                <w:rFonts w:hint="eastAsia" w:ascii="宋体" w:hAnsi="宋体" w:cs="宋体"/>
                <w:color w:val="auto"/>
                <w:szCs w:val="21"/>
                <w:highlight w:val="none"/>
              </w:rPr>
              <w:t>元。</w:t>
            </w:r>
            <w:r>
              <w:rPr>
                <w:rFonts w:hint="eastAsia" w:ascii="宋体" w:hAnsi="宋体"/>
                <w:color w:val="auto"/>
                <w:szCs w:val="21"/>
                <w:highlight w:val="none"/>
                <w:u w:val="none"/>
              </w:rPr>
              <w:t>详见招标人最终发出的《最高投标限价公布函》，投标总报价超过最高投标限价的投标文件将被拒绝。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1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23</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非竞争费用</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ind w:left="0" w:leftChars="0" w:firstLine="0" w:firstLineChars="0"/>
              <w:jc w:val="left"/>
              <w:rPr>
                <w:rFonts w:ascii="宋体" w:hAnsi="宋体" w:cs="宋体"/>
                <w:color w:val="auto"/>
                <w:szCs w:val="21"/>
                <w:highlight w:val="none"/>
              </w:rPr>
            </w:pPr>
            <w:r>
              <w:rPr>
                <w:rFonts w:hint="eastAsia" w:ascii="宋体" w:hAnsi="宋体"/>
                <w:color w:val="auto"/>
                <w:szCs w:val="21"/>
                <w:highlight w:val="none"/>
              </w:rPr>
              <w:t>本项目绿色施工安全防护措施费为</w:t>
            </w:r>
            <w:r>
              <w:rPr>
                <w:rFonts w:hint="eastAsia" w:ascii="宋体" w:hAnsi="宋体"/>
                <w:color w:val="auto"/>
                <w:szCs w:val="21"/>
                <w:highlight w:val="none"/>
                <w:u w:val="single"/>
                <w:lang w:val="en-US" w:eastAsia="zh-CN"/>
              </w:rPr>
              <w:t>14402191.77</w:t>
            </w:r>
            <w:r>
              <w:rPr>
                <w:rFonts w:hint="eastAsia" w:ascii="宋体" w:hAnsi="宋体"/>
                <w:color w:val="auto"/>
                <w:szCs w:val="21"/>
                <w:highlight w:val="none"/>
              </w:rPr>
              <w:t>元，暂列金额为</w:t>
            </w:r>
            <w:r>
              <w:rPr>
                <w:rFonts w:hint="eastAsia" w:ascii="宋体" w:hAnsi="宋体"/>
                <w:color w:val="auto"/>
                <w:szCs w:val="21"/>
                <w:highlight w:val="none"/>
                <w:u w:val="single"/>
                <w:lang w:val="en-US" w:eastAsia="zh-CN"/>
              </w:rPr>
              <w:t>22468620.59</w:t>
            </w:r>
            <w:r>
              <w:rPr>
                <w:rFonts w:hint="eastAsia" w:ascii="宋体" w:hAnsi="宋体"/>
                <w:color w:val="auto"/>
                <w:szCs w:val="21"/>
                <w:highlight w:val="none"/>
              </w:rPr>
              <w:t>元，暂估价为</w:t>
            </w:r>
            <w:r>
              <w:rPr>
                <w:rFonts w:hint="eastAsia" w:ascii="宋体" w:hAnsi="宋体"/>
                <w:color w:val="auto"/>
                <w:szCs w:val="21"/>
                <w:highlight w:val="none"/>
                <w:u w:val="single"/>
                <w:lang w:val="en-US" w:eastAsia="zh-CN"/>
              </w:rPr>
              <w:t xml:space="preserve">   /  </w:t>
            </w:r>
            <w:r>
              <w:rPr>
                <w:rFonts w:hint="eastAsia" w:ascii="宋体" w:hAnsi="宋体"/>
                <w:color w:val="auto"/>
                <w:szCs w:val="21"/>
                <w:highlight w:val="none"/>
              </w:rPr>
              <w:t>元。（未按招标文件规定的金额填写的，由评标委员会按照招标文件规定的金额进行修正）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24</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pStyle w:val="49"/>
              <w:spacing w:line="276" w:lineRule="auto"/>
              <w:ind w:firstLine="0"/>
              <w:rPr>
                <w:rFonts w:ascii="宋体" w:hAnsi="宋体" w:eastAsia="宋体" w:cs="宋体"/>
                <w:color w:val="auto"/>
                <w:szCs w:val="21"/>
                <w:highlight w:val="none"/>
              </w:rPr>
            </w:pPr>
            <w:r>
              <w:rPr>
                <w:rFonts w:hint="eastAsia" w:ascii="宋体" w:hAnsi="宋体" w:eastAsia="宋体" w:cs="宋体"/>
                <w:color w:val="auto"/>
                <w:szCs w:val="21"/>
                <w:highlight w:val="none"/>
              </w:rPr>
              <w:t>保修期</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按照《建设工程质量管理条例》规定。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25</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trike w:val="0"/>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trike w:val="0"/>
                <w:dstrike w:val="0"/>
                <w:color w:val="auto"/>
                <w:szCs w:val="21"/>
                <w:highlight w:val="none"/>
              </w:rPr>
            </w:pPr>
            <w:r>
              <w:rPr>
                <w:rFonts w:hint="eastAsia" w:ascii="宋体" w:hAnsi="宋体" w:cs="宋体"/>
                <w:strike w:val="0"/>
                <w:dstrike w:val="0"/>
                <w:color w:val="auto"/>
                <w:szCs w:val="21"/>
                <w:highlight w:val="none"/>
              </w:rPr>
              <w:t>计算评标参考价的等分点值</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trike w:val="0"/>
                <w:dstrike w:val="0"/>
                <w:color w:val="auto"/>
                <w:szCs w:val="21"/>
                <w:highlight w:val="none"/>
              </w:rPr>
            </w:pPr>
            <w:r>
              <w:rPr>
                <w:rFonts w:hint="eastAsia" w:ascii="宋体" w:hAnsi="宋体" w:cs="宋体"/>
                <w:strike w:val="0"/>
                <w:dstrike w:val="0"/>
                <w:color w:val="auto"/>
                <w:szCs w:val="21"/>
                <w:highlight w:val="none"/>
              </w:rPr>
              <w:t>计算评标参考价的等分点值X在开标前从[0,100]的整数中随机抽取。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26</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trike/>
                <w:dstrike w:val="0"/>
                <w:color w:val="auto"/>
                <w:szCs w:val="21"/>
                <w:highlight w:val="none"/>
              </w:rPr>
            </w:pPr>
            <w:r>
              <w:rPr>
                <w:rFonts w:hint="eastAsia" w:ascii="宋体" w:hAnsi="宋体" w:cs="宋体"/>
                <w:strike w:val="0"/>
                <w:dstrike w:val="0"/>
                <w:color w:val="auto"/>
                <w:szCs w:val="21"/>
                <w:highlight w:val="none"/>
              </w:rPr>
              <w:t>进入第二阶段评审的家数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 1 \* GB3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①</w:t>
            </w:r>
            <w:r>
              <w:rPr>
                <w:rFonts w:hint="eastAsia" w:ascii="宋体" w:hAnsi="宋体" w:cs="宋体"/>
                <w:color w:val="auto"/>
                <w:szCs w:val="21"/>
                <w:highlight w:val="none"/>
              </w:rPr>
              <w:fldChar w:fldCharType="end"/>
            </w:r>
            <w:r>
              <w:rPr>
                <w:rFonts w:hint="eastAsia" w:ascii="宋体" w:hAnsi="宋体" w:cs="宋体"/>
                <w:color w:val="auto"/>
                <w:szCs w:val="21"/>
                <w:highlight w:val="none"/>
              </w:rPr>
              <w:t>通过技术有效性审查的投标人均进入第二阶段（适用于通过技术有效性审查家数在[3,</w:t>
            </w:r>
            <w:r>
              <w:rPr>
                <w:rFonts w:hint="eastAsia" w:ascii="宋体" w:hAnsi="宋体" w:cs="宋体"/>
                <w:color w:val="auto"/>
                <w:szCs w:val="21"/>
                <w:highlight w:val="none"/>
                <w:u w:val="none"/>
              </w:rPr>
              <w:t xml:space="preserve"> </w:t>
            </w:r>
            <w:r>
              <w:rPr>
                <w:rFonts w:hint="eastAsia" w:ascii="宋体" w:hAnsi="宋体" w:cs="宋体"/>
                <w:color w:val="auto"/>
                <w:szCs w:val="21"/>
                <w:highlight w:val="none"/>
                <w:u w:val="none"/>
                <w:lang w:val="en-US" w:eastAsia="zh-CN"/>
              </w:rPr>
              <w:t>20</w:t>
            </w:r>
            <w:r>
              <w:rPr>
                <w:rFonts w:hint="eastAsia" w:ascii="宋体" w:hAnsi="宋体" w:cs="宋体"/>
                <w:color w:val="auto"/>
                <w:szCs w:val="21"/>
                <w:highlight w:val="none"/>
              </w:rPr>
              <w:t>]中的）。</w:t>
            </w:r>
          </w:p>
          <w:p>
            <w:pPr>
              <w:rPr>
                <w:rFonts w:ascii="宋体" w:hAnsi="宋体" w:cs="宋体"/>
                <w:color w:val="auto"/>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 2 \* GB3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②</w:t>
            </w:r>
            <w:r>
              <w:rPr>
                <w:rFonts w:hint="eastAsia" w:ascii="宋体" w:hAnsi="宋体" w:cs="宋体"/>
                <w:color w:val="auto"/>
                <w:szCs w:val="21"/>
                <w:highlight w:val="none"/>
              </w:rPr>
              <w:fldChar w:fldCharType="end"/>
            </w:r>
            <w:r>
              <w:rPr>
                <w:rFonts w:hint="eastAsia" w:ascii="宋体" w:hAnsi="宋体" w:cs="宋体"/>
                <w:color w:val="auto"/>
                <w:szCs w:val="21"/>
                <w:highlight w:val="none"/>
              </w:rPr>
              <w:t>将第一阶段得分由高至低排序，前</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名投标人进入第二阶段评审（适用于通过技术有效性审查家数大于</w:t>
            </w:r>
            <w:r>
              <w:rPr>
                <w:rFonts w:hint="eastAsia" w:ascii="宋体" w:hAnsi="宋体" w:cs="宋体"/>
                <w:color w:val="auto"/>
                <w:szCs w:val="21"/>
                <w:highlight w:val="none"/>
                <w:u w:val="single"/>
                <w:lang w:val="en-US" w:eastAsia="zh-CN"/>
              </w:rPr>
              <w:t>20</w:t>
            </w:r>
            <w:r>
              <w:rPr>
                <w:rFonts w:hint="eastAsia" w:ascii="宋体" w:hAnsi="宋体" w:cs="宋体"/>
                <w:color w:val="auto"/>
                <w:szCs w:val="21"/>
                <w:highlight w:val="none"/>
              </w:rPr>
              <w:t>家的，招标人可根据工程具体情况，确定不少于</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家进入第二阶段）。</w:t>
            </w:r>
          </w:p>
          <w:p>
            <w:pPr>
              <w:spacing w:line="240" w:lineRule="auto"/>
              <w:rPr>
                <w:rFonts w:ascii="宋体" w:hAnsi="宋体" w:cs="宋体"/>
                <w:strike/>
                <w:dstrike w:val="0"/>
                <w:color w:val="auto"/>
                <w:szCs w:val="21"/>
                <w:highlight w:val="none"/>
              </w:rPr>
            </w:pPr>
            <w:r>
              <w:rPr>
                <w:rFonts w:hint="eastAsia" w:ascii="宋体" w:hAnsi="宋体" w:cs="宋体"/>
                <w:color w:val="auto"/>
                <w:kern w:val="2"/>
                <w:sz w:val="21"/>
                <w:szCs w:val="21"/>
                <w:highlight w:val="none"/>
              </w:rPr>
              <w:t>注：本款适用于选择评标办法一至评标办法六。进入第二阶段的投标人家数应符合行政监管部门的要求。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27</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工程成本警戒价</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工程成本警戒价为</w:t>
            </w:r>
            <w:r>
              <w:rPr>
                <w:rFonts w:hint="eastAsia" w:ascii="宋体" w:hAnsi="宋体" w:cs="宋体"/>
                <w:color w:val="auto"/>
                <w:szCs w:val="21"/>
                <w:highlight w:val="none"/>
                <w:u w:val="single"/>
                <w:lang w:val="en-US" w:eastAsia="zh-CN"/>
              </w:rPr>
              <w:t>283172019.84</w:t>
            </w:r>
            <w:r>
              <w:rPr>
                <w:rFonts w:hint="eastAsia" w:ascii="宋体" w:hAnsi="宋体" w:cs="宋体"/>
                <w:color w:val="auto"/>
                <w:szCs w:val="21"/>
                <w:highlight w:val="none"/>
              </w:rPr>
              <w:t>元。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spacing w:line="276" w:lineRule="auto"/>
              <w:rPr>
                <w:rFonts w:ascii="宋体" w:hAnsi="宋体" w:cs="宋体"/>
                <w:color w:val="auto"/>
                <w:szCs w:val="21"/>
                <w:highlight w:val="none"/>
                <w:u w:val="single"/>
              </w:rPr>
            </w:pPr>
            <w:r>
              <w:rPr>
                <w:rFonts w:hint="eastAsia" w:ascii="宋体" w:hAnsi="宋体" w:cs="宋体"/>
                <w:color w:val="auto"/>
                <w:szCs w:val="21"/>
                <w:highlight w:val="none"/>
              </w:rPr>
              <w:t>注：为充分体现招标人意愿及落实项目招标人负责制，警戒价由招标人决定。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28</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u w:val="single"/>
              </w:rPr>
            </w:pPr>
            <w:r>
              <w:rPr>
                <w:rFonts w:hint="eastAsia" w:ascii="宋体" w:hAnsi="宋体" w:cs="宋体"/>
                <w:color w:val="auto"/>
                <w:szCs w:val="21"/>
                <w:highlight w:val="none"/>
                <w:u w:val="single"/>
              </w:rPr>
              <w:t>第一阶段各分值的权重</w:t>
            </w:r>
          </w:p>
        </w:tc>
        <w:tc>
          <w:tcPr>
            <w:tcW w:w="5857"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color w:val="auto"/>
                <w:szCs w:val="21"/>
                <w:highlight w:val="none"/>
                <w:u w:val="single"/>
              </w:rPr>
            </w:pPr>
            <w:r>
              <w:rPr>
                <w:rFonts w:hint="eastAsia" w:ascii="宋体" w:hAnsi="宋体"/>
                <w:color w:val="auto"/>
                <w:szCs w:val="21"/>
                <w:highlight w:val="none"/>
                <w:u w:val="single"/>
              </w:rPr>
              <w:t>技术标得分权重为80%，综合诚信评价分数权重为20%。</w:t>
            </w:r>
          </w:p>
          <w:p>
            <w:pPr>
              <w:rPr>
                <w:rFonts w:hint="eastAsia" w:ascii="宋体" w:hAnsi="宋体"/>
                <w:color w:val="auto"/>
                <w:szCs w:val="21"/>
                <w:highlight w:val="none"/>
                <w:u w:val="single"/>
              </w:rPr>
            </w:pPr>
            <w:r>
              <w:rPr>
                <w:rFonts w:hint="eastAsia" w:ascii="宋体" w:hAnsi="宋体"/>
                <w:color w:val="auto"/>
                <w:szCs w:val="21"/>
                <w:highlight w:val="none"/>
                <w:u w:val="single"/>
              </w:rPr>
              <w:t>注：综合诚信评价得分权重按《关于在招标投标环节中应用相关行业协会诚信综合评价结果的指引》（招标投标指引2020年第6期）规定执行,诚信综合评价得分权重不宜超过20%。</w:t>
            </w:r>
          </w:p>
          <w:p>
            <w:pPr>
              <w:rPr>
                <w:rFonts w:ascii="宋体" w:hAnsi="宋体" w:cs="宋体"/>
                <w:color w:val="auto"/>
                <w:szCs w:val="21"/>
                <w:highlight w:val="none"/>
                <w:u w:val="single"/>
              </w:rPr>
            </w:pPr>
            <w:r>
              <w:rPr>
                <w:rFonts w:hint="eastAsia" w:ascii="宋体" w:hAnsi="宋体"/>
                <w:color w:val="auto"/>
                <w:szCs w:val="21"/>
                <w:highlight w:val="none"/>
                <w:u w:val="single"/>
              </w:rPr>
              <w:t>技术标得分权重=100%-综合诚信评价得分权重。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trPr>
        <w:tc>
          <w:tcPr>
            <w:tcW w:w="702" w:type="dxa"/>
            <w:tcBorders>
              <w:top w:val="single" w:color="auto" w:sz="4" w:space="0"/>
              <w:left w:val="double" w:color="auto" w:sz="4" w:space="0"/>
              <w:right w:val="single" w:color="auto" w:sz="4" w:space="0"/>
            </w:tcBorders>
            <w:vAlign w:val="center"/>
          </w:tcPr>
          <w:p>
            <w:pPr>
              <w:spacing w:line="276" w:lineRule="auto"/>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29</w:t>
            </w:r>
          </w:p>
        </w:tc>
        <w:tc>
          <w:tcPr>
            <w:tcW w:w="981" w:type="dxa"/>
            <w:tcBorders>
              <w:top w:val="single" w:color="auto" w:sz="4" w:space="0"/>
              <w:left w:val="single" w:color="auto" w:sz="4" w:space="0"/>
              <w:right w:val="single" w:color="auto" w:sz="4" w:space="0"/>
            </w:tcBorders>
            <w:vAlign w:val="center"/>
          </w:tcPr>
          <w:p>
            <w:pPr>
              <w:spacing w:line="276" w:lineRule="auto"/>
              <w:rPr>
                <w:rFonts w:ascii="宋体" w:hAnsi="宋体" w:cs="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评标委员会人数</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评标委员会由招标人依法组建。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30</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trike/>
                <w:dstrike w:val="0"/>
                <w:color w:val="auto"/>
                <w:szCs w:val="21"/>
                <w:highlight w:val="none"/>
              </w:rPr>
            </w:pPr>
            <w:r>
              <w:rPr>
                <w:rFonts w:hint="eastAsia" w:ascii="宋体" w:hAnsi="宋体" w:cs="宋体"/>
                <w:strike w:val="0"/>
                <w:dstrike w:val="0"/>
                <w:color w:val="auto"/>
                <w:szCs w:val="21"/>
                <w:highlight w:val="none"/>
              </w:rPr>
              <w:t>企业诚信综合评价分数</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trike/>
                <w:dstrike w:val="0"/>
                <w:color w:val="auto"/>
                <w:szCs w:val="21"/>
                <w:highlight w:val="none"/>
              </w:rPr>
            </w:pPr>
            <w:r>
              <w:rPr>
                <w:rFonts w:hint="eastAsia" w:ascii="宋体" w:hAnsi="宋体" w:cs="宋体"/>
                <w:color w:val="auto"/>
                <w:szCs w:val="21"/>
                <w:highlight w:val="none"/>
              </w:rPr>
              <w:t>本项目的企业诚信综合评价分数</w:t>
            </w:r>
            <w:r>
              <w:rPr>
                <w:rFonts w:hint="eastAsia" w:ascii="宋体" w:hAnsi="宋体" w:cs="宋体"/>
                <w:color w:val="auto"/>
                <w:szCs w:val="21"/>
                <w:highlight w:val="none"/>
                <w:u w:val="single"/>
              </w:rPr>
              <w:t>（若为联合体投标，以联合体主办方得分为准）</w:t>
            </w:r>
            <w:r>
              <w:rPr>
                <w:rFonts w:hint="eastAsia" w:ascii="宋体" w:hAnsi="宋体" w:cs="宋体"/>
                <w:color w:val="auto"/>
                <w:szCs w:val="21"/>
                <w:highlight w:val="none"/>
              </w:rPr>
              <w:t>，以</w:t>
            </w:r>
            <w:r>
              <w:rPr>
                <w:rFonts w:hint="eastAsia" w:ascii="宋体" w:hAnsi="宋体" w:cs="宋体"/>
                <w:color w:val="auto"/>
                <w:szCs w:val="21"/>
                <w:highlight w:val="none"/>
                <w:u w:val="single"/>
              </w:rPr>
              <w:t>施工企业-施工企业房建诚信评价</w:t>
            </w:r>
            <w:r>
              <w:rPr>
                <w:rFonts w:hint="eastAsia" w:ascii="宋体" w:hAnsi="宋体" w:cs="宋体"/>
                <w:color w:val="auto"/>
                <w:szCs w:val="21"/>
                <w:highlight w:val="none"/>
              </w:rPr>
              <w:t>排名为准。</w:t>
            </w:r>
            <w:r>
              <w:rPr>
                <w:rFonts w:hint="eastAsia" w:ascii="宋体" w:hAnsi="宋体" w:cs="宋体"/>
                <w:color w:val="auto"/>
                <w:szCs w:val="21"/>
                <w:highlight w:val="none"/>
                <w:u w:val="single"/>
              </w:rPr>
              <w:t>企业的诚信综合评价排名以开标当天广州市工程招标代理行业协会网站施工企业专栏上公布的企业</w:t>
            </w:r>
            <w:r>
              <w:rPr>
                <w:rFonts w:ascii="宋体" w:hAnsi="宋体" w:cs="宋体"/>
                <w:color w:val="auto"/>
                <w:szCs w:val="21"/>
                <w:highlight w:val="none"/>
                <w:u w:val="single"/>
              </w:rPr>
              <w:t>60</w:t>
            </w:r>
            <w:r>
              <w:rPr>
                <w:rFonts w:hint="eastAsia" w:ascii="宋体" w:hAnsi="宋体" w:cs="宋体"/>
                <w:color w:val="auto"/>
                <w:szCs w:val="21"/>
                <w:highlight w:val="none"/>
                <w:u w:val="single"/>
              </w:rPr>
              <w:t>日诚信分排名为准。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41"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31</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ind w:firstLine="0"/>
              <w:rPr>
                <w:rFonts w:ascii="宋体" w:hAnsi="宋体" w:cs="宋体"/>
                <w:strike/>
                <w:color w:val="auto"/>
                <w:szCs w:val="21"/>
                <w:highlight w:val="none"/>
              </w:rPr>
            </w:pPr>
            <w:r>
              <w:rPr>
                <w:rFonts w:hint="eastAsia" w:ascii="宋体" w:hAnsi="宋体" w:cs="宋体"/>
                <w:color w:val="auto"/>
                <w:szCs w:val="21"/>
                <w:highlight w:val="none"/>
              </w:rPr>
              <w:t>第二阶段投标人名次的排序方法（适用于办法一、办法二）</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trike/>
                <w:color w:val="auto"/>
                <w:szCs w:val="21"/>
                <w:highlight w:val="none"/>
              </w:rPr>
            </w:pPr>
            <w:r>
              <w:rPr>
                <w:rFonts w:hint="eastAsia" w:ascii="宋体" w:hAnsi="宋体" w:cs="宋体"/>
                <w:color w:val="auto"/>
                <w:szCs w:val="21"/>
                <w:highlight w:val="none"/>
                <w:u w:val="single"/>
              </w:rPr>
              <w:t>本款不适用。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32</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trike/>
                <w:dstrike w:val="0"/>
                <w:color w:val="auto"/>
                <w:szCs w:val="21"/>
                <w:highlight w:val="none"/>
              </w:rPr>
            </w:pPr>
            <w:r>
              <w:rPr>
                <w:rFonts w:hint="eastAsia" w:ascii="宋体" w:hAnsi="宋体" w:cs="宋体"/>
                <w:strike w:val="0"/>
                <w:dstrike w:val="0"/>
                <w:color w:val="auto"/>
                <w:szCs w:val="21"/>
                <w:highlight w:val="none"/>
              </w:rPr>
              <w:t>经济分相同情况下的排序方法（适用于办法三、办法四）</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strike/>
                <w:dstrike w:val="0"/>
                <w:color w:val="auto"/>
                <w:szCs w:val="21"/>
                <w:highlight w:val="none"/>
              </w:rPr>
            </w:pPr>
            <w:r>
              <w:rPr>
                <w:rFonts w:hint="eastAsia" w:ascii="宋体" w:hAnsi="宋体"/>
                <w:color w:val="auto"/>
                <w:szCs w:val="21"/>
                <w:highlight w:val="none"/>
                <w:u w:val="single"/>
              </w:rPr>
              <w:t>本款不适用。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33</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第二阶段投标人名次的排序方法（适用于办法五、办法六）</w:t>
            </w:r>
          </w:p>
        </w:tc>
        <w:tc>
          <w:tcPr>
            <w:tcW w:w="5857" w:type="dxa"/>
            <w:tcBorders>
              <w:top w:val="single" w:color="auto" w:sz="4" w:space="0"/>
              <w:left w:val="single" w:color="auto" w:sz="4" w:space="0"/>
              <w:bottom w:val="single" w:color="auto" w:sz="4" w:space="0"/>
              <w:right w:val="double" w:color="auto" w:sz="4" w:space="0"/>
            </w:tcBorders>
            <w:vAlign w:val="center"/>
          </w:tcPr>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选取方法</w:t>
            </w:r>
            <w:r>
              <w:rPr>
                <w:rFonts w:hint="eastAsia" w:ascii="宋体" w:hAnsi="宋体" w:eastAsia="宋体" w:cs="宋体"/>
                <w:color w:val="auto"/>
                <w:sz w:val="21"/>
                <w:szCs w:val="21"/>
                <w:highlight w:val="none"/>
                <w:u w:val="single"/>
              </w:rPr>
              <w:t xml:space="preserve"> 二 </w:t>
            </w:r>
          </w:p>
          <w:p>
            <w:pPr>
              <w:wordWrap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方法二：</w:t>
            </w:r>
            <w:r>
              <w:rPr>
                <w:rFonts w:hint="eastAsia" w:ascii="宋体" w:hAnsi="宋体" w:eastAsia="宋体" w:cs="宋体"/>
                <w:b/>
                <w:color w:val="auto"/>
                <w:sz w:val="21"/>
                <w:szCs w:val="21"/>
                <w:highlight w:val="none"/>
                <w:u w:val="single"/>
              </w:rPr>
              <w:t>按照“总分=</w:t>
            </w:r>
            <w:r>
              <w:rPr>
                <w:rFonts w:hint="eastAsia" w:ascii="宋体" w:hAnsi="宋体" w:cs="宋体"/>
                <w:b/>
                <w:strike w:val="0"/>
                <w:color w:val="auto"/>
                <w:szCs w:val="21"/>
                <w:highlight w:val="none"/>
                <w:u w:val="single"/>
              </w:rPr>
              <w:t>经济分×经济分权重（</w:t>
            </w:r>
            <w:r>
              <w:rPr>
                <w:rFonts w:hint="eastAsia" w:ascii="宋体" w:hAnsi="宋体" w:cs="宋体"/>
                <w:b/>
                <w:strike w:val="0"/>
                <w:color w:val="auto"/>
                <w:szCs w:val="21"/>
                <w:highlight w:val="none"/>
                <w:u w:val="single"/>
                <w:lang w:val="en-US" w:eastAsia="zh-CN"/>
              </w:rPr>
              <w:t>10</w:t>
            </w:r>
            <w:r>
              <w:rPr>
                <w:rFonts w:hint="eastAsia" w:ascii="宋体" w:hAnsi="宋体" w:cs="宋体"/>
                <w:b/>
                <w:strike w:val="0"/>
                <w:color w:val="auto"/>
                <w:szCs w:val="21"/>
                <w:highlight w:val="none"/>
                <w:u w:val="single"/>
              </w:rPr>
              <w:t>0%）</w:t>
            </w:r>
            <w:r>
              <w:rPr>
                <w:rFonts w:hint="eastAsia" w:ascii="宋体" w:hAnsi="宋体" w:eastAsia="宋体" w:cs="宋体"/>
                <w:b/>
                <w:color w:val="auto"/>
                <w:sz w:val="21"/>
                <w:szCs w:val="21"/>
                <w:highlight w:val="none"/>
                <w:u w:val="single"/>
              </w:rPr>
              <w:t>”</w:t>
            </w:r>
            <w:r>
              <w:rPr>
                <w:rFonts w:hint="eastAsia" w:ascii="宋体" w:hAnsi="宋体" w:eastAsia="宋体" w:cs="宋体"/>
                <w:color w:val="auto"/>
                <w:sz w:val="21"/>
                <w:szCs w:val="21"/>
                <w:highlight w:val="none"/>
              </w:rPr>
              <w:t>的公式，计算各有效投标文件的经济分，并按照经济分从高到低排序。经济分相同的投标文件，以技术分较高的排前；经济分与技术分均相同的投标文件，以综合诚信评价分数高的排前；如仍存在相同情况，则对具有相同情况的投标人，由评标委员会采用记名投票方式，确定投标人的排序。</w:t>
            </w:r>
          </w:p>
          <w:p>
            <w:pPr>
              <w:rPr>
                <w:rFonts w:ascii="宋体" w:hAnsi="宋体"/>
                <w:color w:val="auto"/>
                <w:szCs w:val="21"/>
                <w:highlight w:val="none"/>
              </w:rPr>
            </w:pPr>
            <w:r>
              <w:rPr>
                <w:rFonts w:hint="eastAsia" w:ascii="宋体" w:hAnsi="宋体" w:eastAsia="宋体" w:cs="宋体"/>
                <w:color w:val="auto"/>
                <w:sz w:val="21"/>
                <w:szCs w:val="21"/>
                <w:highlight w:val="none"/>
                <w:u w:val="single"/>
              </w:rPr>
              <w:t>注：记名投票方式确定排序的具体操作步骤为由评标委员会对出现该情况的投标人采取记名投票的方式确定，按得票数从高到低排列先后次序，以得票数高的排前，根据得票数高低确定中标候选人排序。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34</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13.4、13.5.2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合同价款的调整办法</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color w:val="auto"/>
                <w:szCs w:val="21"/>
                <w:highlight w:val="none"/>
                <w:u w:val="single"/>
              </w:rPr>
            </w:pPr>
            <w:r>
              <w:rPr>
                <w:rFonts w:hint="eastAsia" w:ascii="宋体" w:hAnsi="宋体" w:cs="宋体"/>
                <w:color w:val="auto"/>
                <w:szCs w:val="21"/>
                <w:highlight w:val="none"/>
                <w:u w:val="single"/>
              </w:rPr>
              <w:t>详见招标文件及相关合同条款。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35</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宋体" w:hAnsi="宋体" w:cs="宋体"/>
                <w:color w:val="auto"/>
                <w:szCs w:val="21"/>
                <w:highlight w:val="none"/>
                <w:u w:val="none"/>
              </w:rPr>
            </w:pPr>
            <w:r>
              <w:rPr>
                <w:rFonts w:hint="eastAsia" w:ascii="宋体" w:hAnsi="宋体" w:cs="宋体"/>
                <w:color w:val="auto"/>
                <w:szCs w:val="21"/>
                <w:highlight w:val="none"/>
                <w:u w:val="none"/>
              </w:rPr>
              <w:t>建设工程质量检测单位</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hint="eastAsia" w:ascii="宋体" w:hAnsi="宋体" w:cs="宋体"/>
                <w:color w:val="auto"/>
                <w:szCs w:val="21"/>
                <w:highlight w:val="none"/>
                <w:u w:val="none"/>
                <w:lang w:val="zh-CN"/>
              </w:rPr>
            </w:pPr>
            <w:r>
              <w:rPr>
                <w:rFonts w:hint="eastAsia" w:ascii="宋体" w:hAnsi="宋体" w:cs="宋体"/>
                <w:color w:val="auto"/>
                <w:szCs w:val="21"/>
                <w:highlight w:val="none"/>
                <w:u w:val="none"/>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36</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分包</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color w:val="auto"/>
                <w:kern w:val="0"/>
                <w:szCs w:val="21"/>
                <w:highlight w:val="none"/>
                <w:lang w:val="zh-CN"/>
              </w:rPr>
            </w:pPr>
            <w:r>
              <w:rPr>
                <w:rFonts w:hint="eastAsia" w:ascii="宋体" w:hAnsi="宋体" w:cs="宋体"/>
                <w:color w:val="auto"/>
                <w:szCs w:val="21"/>
                <w:highlight w:val="none"/>
              </w:rPr>
              <w:t>□</w:t>
            </w:r>
            <w:r>
              <w:rPr>
                <w:rFonts w:hint="eastAsia" w:ascii="宋体" w:hAnsi="宋体" w:cs="宋体"/>
                <w:color w:val="auto"/>
                <w:kern w:val="0"/>
                <w:szCs w:val="21"/>
                <w:highlight w:val="none"/>
                <w:lang w:val="zh-CN"/>
              </w:rPr>
              <w:t>不允许；</w:t>
            </w:r>
          </w:p>
          <w:p>
            <w:pPr>
              <w:spacing w:line="276" w:lineRule="auto"/>
              <w:rPr>
                <w:rFonts w:ascii="宋体" w:hAnsi="宋体" w:cs="宋体"/>
                <w:color w:val="auto"/>
                <w:kern w:val="0"/>
                <w:szCs w:val="21"/>
                <w:highlight w:val="none"/>
                <w:lang w:val="zh-CN"/>
              </w:rPr>
            </w:pPr>
            <w:r>
              <w:rPr>
                <w:rFonts w:hint="eastAsia" w:ascii="宋体" w:hAnsi="宋体" w:cs="宋体"/>
                <w:color w:val="auto"/>
                <w:szCs w:val="21"/>
                <w:highlight w:val="none"/>
              </w:rPr>
              <w:t>☑</w:t>
            </w:r>
            <w:r>
              <w:rPr>
                <w:rFonts w:hint="eastAsia" w:ascii="宋体" w:hAnsi="宋体" w:cs="宋体"/>
                <w:color w:val="auto"/>
                <w:kern w:val="0"/>
                <w:szCs w:val="21"/>
                <w:highlight w:val="none"/>
                <w:lang w:val="zh-CN"/>
              </w:rPr>
              <w:t>允许：分包内容要要求：</w:t>
            </w:r>
            <w:r>
              <w:rPr>
                <w:rFonts w:hint="eastAsia" w:ascii="宋体" w:hAnsi="宋体" w:cs="宋体"/>
                <w:color w:val="auto"/>
                <w:kern w:val="0"/>
                <w:szCs w:val="21"/>
                <w:highlight w:val="none"/>
                <w:u w:val="single"/>
                <w:lang w:val="zh-CN"/>
              </w:rPr>
              <w:t>非主体关键工程。</w:t>
            </w:r>
          </w:p>
          <w:p>
            <w:pPr>
              <w:spacing w:line="276"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 xml:space="preserve">        分包金额要求：</w:t>
            </w:r>
            <w:r>
              <w:rPr>
                <w:rFonts w:hint="eastAsia" w:ascii="宋体" w:hAnsi="宋体"/>
                <w:color w:val="auto"/>
                <w:szCs w:val="21"/>
                <w:highlight w:val="none"/>
                <w:u w:val="single"/>
              </w:rPr>
              <w:t>无。</w:t>
            </w:r>
          </w:p>
          <w:p>
            <w:pPr>
              <w:spacing w:line="276"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 xml:space="preserve">        对分包人的资质要求：</w:t>
            </w:r>
            <w:r>
              <w:rPr>
                <w:rFonts w:hint="eastAsia" w:ascii="宋体" w:hAnsi="宋体" w:cs="宋体"/>
                <w:color w:val="auto"/>
                <w:kern w:val="0"/>
                <w:szCs w:val="21"/>
                <w:highlight w:val="none"/>
                <w:u w:val="single"/>
                <w:lang w:val="zh-CN"/>
              </w:rPr>
              <w:t>符合有关法律法规和文件规定，并不得再次分包。</w:t>
            </w:r>
          </w:p>
          <w:p>
            <w:pPr>
              <w:spacing w:line="276" w:lineRule="auto"/>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 xml:space="preserve">        对分包人的其他要求：</w:t>
            </w:r>
            <w:r>
              <w:rPr>
                <w:rFonts w:hint="eastAsia" w:ascii="宋体" w:hAnsi="宋体"/>
                <w:color w:val="auto"/>
                <w:szCs w:val="21"/>
                <w:highlight w:val="none"/>
                <w:u w:val="single"/>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37</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sz w:val="21"/>
                <w:szCs w:val="21"/>
                <w:highlight w:val="none"/>
                <w:u w:val="single"/>
              </w:rPr>
              <w:t>安全生产责任保险</w:t>
            </w:r>
            <w:r>
              <w:rPr>
                <w:rFonts w:hint="eastAsia" w:ascii="宋体" w:hAnsi="宋体" w:eastAsia="宋体" w:cs="宋体"/>
                <w:color w:val="auto"/>
                <w:sz w:val="21"/>
                <w:szCs w:val="21"/>
                <w:highlight w:val="none"/>
                <w:u w:val="single"/>
                <w:lang w:val="en-US" w:eastAsia="zh-CN"/>
              </w:rPr>
              <w:t>及</w:t>
            </w:r>
            <w:r>
              <w:rPr>
                <w:rFonts w:hint="eastAsia" w:ascii="宋体" w:hAnsi="宋体" w:eastAsia="宋体" w:cs="宋体"/>
                <w:color w:val="auto"/>
                <w:sz w:val="21"/>
                <w:szCs w:val="21"/>
                <w:highlight w:val="none"/>
                <w:u w:val="single"/>
              </w:rPr>
              <w:t>绿色发展理念</w:t>
            </w:r>
          </w:p>
        </w:tc>
        <w:tc>
          <w:tcPr>
            <w:tcW w:w="5857"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color w:val="auto"/>
                <w:szCs w:val="21"/>
                <w:highlight w:val="none"/>
              </w:rPr>
            </w:pPr>
            <w:r>
              <w:rPr>
                <w:rFonts w:hint="eastAsia" w:ascii="宋体" w:hAnsi="宋体"/>
                <w:color w:val="auto"/>
                <w:szCs w:val="21"/>
                <w:highlight w:val="none"/>
              </w:rPr>
              <w:t>1、开工前中标人应当投保安全生产责任保险，且该保险保障场所应包含中标项目。投标人的投标报价视为包含该项费用。中标人未按规定购买安全生产责任保险，招标人可视严重程度拒绝该单位一定时期内参与后续工程投标，在招标公告和合同专用条款中予以明确，并在后续工程招标时随招标公告发布拒绝投标名单（注明拒绝理由）。</w:t>
            </w:r>
          </w:p>
          <w:p>
            <w:pPr>
              <w:spacing w:line="276" w:lineRule="auto"/>
              <w:rPr>
                <w:rFonts w:hint="eastAsia" w:ascii="宋体" w:hAnsi="宋体" w:cs="宋体"/>
                <w:color w:val="auto"/>
                <w:kern w:val="0"/>
                <w:szCs w:val="21"/>
                <w:highlight w:val="none"/>
                <w:lang w:val="zh-CN"/>
              </w:rPr>
            </w:pPr>
            <w:r>
              <w:rPr>
                <w:rFonts w:hint="eastAsia" w:ascii="宋体" w:hAnsi="宋体"/>
                <w:color w:val="auto"/>
                <w:szCs w:val="21"/>
                <w:highlight w:val="none"/>
              </w:rPr>
              <w:t>2、</w:t>
            </w:r>
            <w:r>
              <w:rPr>
                <w:rFonts w:hint="eastAsia" w:ascii="宋体" w:hAnsi="宋体"/>
                <w:color w:val="auto"/>
                <w:szCs w:val="21"/>
                <w:highlight w:val="none"/>
                <w:u w:val="single"/>
                <w:shd w:val="clear" w:color="auto" w:fill="auto"/>
              </w:rPr>
              <w:t>为贯彻绿色发展理念，本项目应积极使用燃料电池汽车等新能源工程车，要求投标人投入的新能源工程车占投入的建筑垃圾自卸车（渣土车）总数比例不低于</w:t>
            </w:r>
            <w:r>
              <w:rPr>
                <w:rFonts w:hint="eastAsia" w:ascii="宋体" w:hAnsi="宋体"/>
                <w:b/>
                <w:bCs/>
                <w:color w:val="auto"/>
                <w:szCs w:val="21"/>
                <w:highlight w:val="none"/>
                <w:u w:val="single"/>
                <w:shd w:val="clear" w:color="auto" w:fill="auto"/>
                <w:lang w:val="en-US" w:eastAsia="zh-CN"/>
              </w:rPr>
              <w:t>4</w:t>
            </w:r>
            <w:r>
              <w:rPr>
                <w:rFonts w:hint="eastAsia" w:ascii="宋体" w:hAnsi="宋体"/>
                <w:b/>
                <w:bCs/>
                <w:color w:val="auto"/>
                <w:szCs w:val="21"/>
                <w:highlight w:val="none"/>
                <w:u w:val="single"/>
                <w:shd w:val="clear" w:color="auto" w:fill="auto"/>
              </w:rPr>
              <w:t>0</w:t>
            </w:r>
            <w:r>
              <w:rPr>
                <w:rFonts w:hint="eastAsia" w:ascii="宋体" w:hAnsi="宋体"/>
                <w:color w:val="auto"/>
                <w:szCs w:val="21"/>
                <w:highlight w:val="none"/>
                <w:u w:val="single"/>
                <w:shd w:val="clear" w:color="auto" w:fill="auto"/>
              </w:rPr>
              <w:t>%。一旦中标，必须全部到位，否则按合同违约处理。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hint="default" w:ascii="宋体" w:hAnsi="宋体" w:eastAsia="宋体" w:cs="宋体"/>
                <w:color w:val="auto"/>
                <w:kern w:val="2"/>
                <w:sz w:val="21"/>
                <w:szCs w:val="21"/>
                <w:highlight w:val="none"/>
                <w:u w:val="single"/>
                <w:lang w:val="en-US" w:eastAsia="zh-CN" w:bidi="ar-SA"/>
              </w:rPr>
            </w:pPr>
            <w:r>
              <w:rPr>
                <w:rFonts w:hint="eastAsia" w:ascii="宋体" w:hAnsi="宋体" w:cs="宋体"/>
                <w:color w:val="auto"/>
                <w:szCs w:val="21"/>
                <w:highlight w:val="none"/>
                <w:u w:val="single"/>
                <w:lang w:val="en-US" w:eastAsia="zh-CN"/>
              </w:rPr>
              <w:t>38</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auto"/>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auto"/>
                <w:highlight w:val="none"/>
              </w:rPr>
            </w:pPr>
            <w:r>
              <w:rPr>
                <w:rFonts w:hint="eastAsia" w:ascii="宋体" w:hAnsi="宋体" w:cs="宋体"/>
                <w:color w:val="auto"/>
                <w:highlight w:val="none"/>
              </w:rPr>
              <w:t>电子招标投标解密失败及突发情况的补救</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color w:val="auto"/>
                <w:szCs w:val="21"/>
                <w:highlight w:val="none"/>
              </w:rPr>
            </w:pPr>
            <w:r>
              <w:rPr>
                <w:rFonts w:hint="eastAsia" w:ascii="宋体" w:hAnsi="宋体" w:cs="宋体"/>
                <w:color w:val="auto"/>
                <w:szCs w:val="21"/>
                <w:highlight w:val="none"/>
              </w:rPr>
              <w:t>1、按照</w:t>
            </w:r>
            <w:r>
              <w:rPr>
                <w:rFonts w:hint="eastAsia" w:ascii="宋体" w:hAnsi="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rPr>
              <w:t>交易平台关于全流程电子化项目的相关指南进行操作。详见：</w:t>
            </w:r>
            <w:r>
              <w:rPr>
                <w:rFonts w:hint="eastAsia" w:ascii="宋体" w:hAnsi="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u w:val="single"/>
              </w:rPr>
              <w:t>网站最新指引</w:t>
            </w:r>
            <w:r>
              <w:rPr>
                <w:rFonts w:hint="eastAsia" w:ascii="宋体" w:hAnsi="宋体" w:cs="宋体"/>
                <w:color w:val="auto"/>
                <w:szCs w:val="21"/>
                <w:highlight w:val="none"/>
              </w:rPr>
              <w:t xml:space="preserve">。  </w:t>
            </w:r>
          </w:p>
          <w:p>
            <w:pPr>
              <w:spacing w:line="276" w:lineRule="auto"/>
              <w:rPr>
                <w:rFonts w:ascii="宋体" w:hAnsi="宋体" w:cs="宋体"/>
                <w:color w:val="auto"/>
                <w:szCs w:val="21"/>
                <w:highlight w:val="none"/>
              </w:rPr>
            </w:pPr>
            <w:r>
              <w:rPr>
                <w:rFonts w:hint="eastAsia" w:ascii="宋体" w:hAnsi="宋体" w:cs="宋体"/>
                <w:color w:val="auto"/>
                <w:szCs w:val="21"/>
                <w:highlight w:val="none"/>
              </w:rPr>
              <w:t>2、提交投标文件光盘备用</w:t>
            </w:r>
          </w:p>
          <w:p>
            <w:pPr>
              <w:spacing w:line="276" w:lineRule="auto"/>
              <w:rPr>
                <w:rFonts w:ascii="宋体" w:hAnsi="宋体" w:cs="宋体"/>
                <w:color w:val="auto"/>
                <w:szCs w:val="21"/>
                <w:highlight w:val="none"/>
              </w:rPr>
            </w:pPr>
            <w:r>
              <w:rPr>
                <w:rFonts w:hint="eastAsia" w:ascii="宋体" w:hAnsi="宋体" w:cs="宋体"/>
                <w:color w:val="auto"/>
                <w:szCs w:val="21"/>
                <w:highlight w:val="none"/>
              </w:rPr>
              <w:t>投标人可制作非加密的电子投标文件（PDF格式）刻入光盘（1份），在投标须知前附表第18项规定的时间、地点提交备用。刻录好的投标文件光盘密封在密封袋中，并在封口处加盖投标人单位公章。密封袋上应写明项目名称和招标人名称。递交的光盘不得加密。光盘无法读取或导入的，则视为未提交备用投标文件光盘。如果投标人没有按规定通过交易平台网上递交电子投标文件的，不再读取提交的光盘。投标人也可不提交备用光盘。</w:t>
            </w:r>
          </w:p>
          <w:p>
            <w:pPr>
              <w:spacing w:line="276" w:lineRule="auto"/>
              <w:rPr>
                <w:rFonts w:ascii="宋体" w:hAnsi="宋体" w:cs="宋体"/>
                <w:color w:val="auto"/>
                <w:szCs w:val="21"/>
                <w:highlight w:val="none"/>
              </w:rPr>
            </w:pPr>
            <w:r>
              <w:rPr>
                <w:rFonts w:hint="eastAsia" w:ascii="宋体" w:hAnsi="宋体" w:cs="宋体"/>
                <w:color w:val="auto"/>
                <w:szCs w:val="21"/>
                <w:highlight w:val="none"/>
              </w:rPr>
              <w:t xml:space="preserve"> 3、补救方案</w:t>
            </w:r>
          </w:p>
          <w:p>
            <w:pPr>
              <w:spacing w:line="276" w:lineRule="auto"/>
              <w:rPr>
                <w:rFonts w:ascii="宋体" w:hAnsi="宋体" w:cs="宋体"/>
                <w:color w:val="auto"/>
                <w:szCs w:val="21"/>
                <w:highlight w:val="none"/>
              </w:rPr>
            </w:pPr>
            <w:r>
              <w:rPr>
                <w:rFonts w:hint="eastAsia" w:ascii="宋体" w:hAnsi="宋体" w:cs="宋体"/>
                <w:color w:val="auto"/>
                <w:szCs w:val="21"/>
                <w:highlight w:val="none"/>
              </w:rPr>
              <w:t>（1）投标文件解密失败的补救方案：</w:t>
            </w:r>
          </w:p>
          <w:p>
            <w:pPr>
              <w:spacing w:line="276" w:lineRule="auto"/>
              <w:rPr>
                <w:rFonts w:ascii="宋体" w:hAnsi="宋体" w:cs="宋体"/>
                <w:color w:val="auto"/>
                <w:szCs w:val="21"/>
                <w:highlight w:val="none"/>
              </w:rPr>
            </w:pPr>
            <w:r>
              <w:rPr>
                <w:rFonts w:hint="eastAsia" w:ascii="宋体" w:hAnsi="宋体" w:cs="宋体"/>
                <w:color w:val="auto"/>
                <w:szCs w:val="21"/>
                <w:highlight w:val="none"/>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spacing w:line="276" w:lineRule="auto"/>
              <w:rPr>
                <w:rFonts w:ascii="宋体" w:hAnsi="宋体" w:cs="宋体"/>
                <w:color w:val="auto"/>
                <w:szCs w:val="21"/>
                <w:highlight w:val="none"/>
              </w:rPr>
            </w:pPr>
            <w:r>
              <w:rPr>
                <w:rFonts w:hint="eastAsia" w:ascii="宋体" w:hAnsi="宋体" w:cs="宋体"/>
                <w:color w:val="auto"/>
                <w:szCs w:val="21"/>
                <w:highlight w:val="none"/>
              </w:rPr>
              <w:t>（2）评标时突发情况的补救方案</w:t>
            </w:r>
          </w:p>
          <w:p>
            <w:pPr>
              <w:spacing w:line="276" w:lineRule="auto"/>
              <w:rPr>
                <w:rFonts w:ascii="宋体" w:hAnsi="宋体" w:cs="宋体"/>
                <w:color w:val="auto"/>
                <w:szCs w:val="21"/>
                <w:highlight w:val="none"/>
              </w:rPr>
            </w:pPr>
            <w:r>
              <w:rPr>
                <w:rFonts w:hint="eastAsia" w:ascii="宋体" w:hAnsi="宋体" w:cs="宋体"/>
                <w:color w:val="auto"/>
                <w:szCs w:val="21"/>
                <w:highlight w:val="none"/>
              </w:rPr>
              <w:t>若遇不可抗力发生（指网络瘫痪、服务器损坏、交易系统故障短期无法恢复等因素），由评标委员会开启投标人递交的全部投标文件光盘，并按光盘内容进行评审。</w:t>
            </w:r>
          </w:p>
          <w:p>
            <w:pPr>
              <w:spacing w:line="276" w:lineRule="auto"/>
              <w:rPr>
                <w:rFonts w:ascii="宋体" w:hAnsi="宋体" w:cs="宋体"/>
                <w:color w:val="auto"/>
                <w:szCs w:val="21"/>
                <w:highlight w:val="none"/>
              </w:rPr>
            </w:pPr>
            <w:r>
              <w:rPr>
                <w:rFonts w:hint="eastAsia" w:ascii="宋体" w:hAnsi="宋体" w:cs="宋体"/>
                <w:color w:val="auto"/>
                <w:szCs w:val="21"/>
                <w:highlight w:val="none"/>
              </w:rPr>
              <w:t>（3）除发生上述情况外，开标评标均以投标人通过</w:t>
            </w:r>
            <w:r>
              <w:rPr>
                <w:rFonts w:hint="eastAsia" w:ascii="宋体" w:hAnsi="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rPr>
              <w:t>交易平台网上递交的电子投标文件为准。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hint="default" w:ascii="宋体" w:hAnsi="宋体" w:eastAsia="宋体" w:cs="宋体"/>
                <w:color w:val="auto"/>
                <w:kern w:val="2"/>
                <w:sz w:val="21"/>
                <w:szCs w:val="21"/>
                <w:highlight w:val="none"/>
                <w:u w:val="single"/>
                <w:lang w:val="en-US" w:eastAsia="zh-CN" w:bidi="ar-SA"/>
              </w:rPr>
            </w:pPr>
            <w:r>
              <w:rPr>
                <w:rFonts w:hint="eastAsia" w:ascii="宋体" w:hAnsi="宋体" w:cs="宋体"/>
                <w:color w:val="auto"/>
                <w:szCs w:val="21"/>
                <w:highlight w:val="none"/>
                <w:u w:val="single"/>
                <w:lang w:val="en-US" w:eastAsia="zh-CN"/>
              </w:rPr>
              <w:t>39</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auto"/>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u w:val="single"/>
              </w:rPr>
            </w:pPr>
            <w:r>
              <w:rPr>
                <w:rFonts w:hint="eastAsia" w:ascii="宋体" w:hAnsi="宋体" w:cs="宋体"/>
                <w:color w:val="auto"/>
                <w:szCs w:val="21"/>
                <w:highlight w:val="none"/>
                <w:u w:val="single"/>
              </w:rPr>
              <w:t>招标人拒绝接收投标文件备用光盘的情况</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color w:val="auto"/>
                <w:szCs w:val="21"/>
                <w:highlight w:val="none"/>
                <w:u w:val="single"/>
              </w:rPr>
            </w:pPr>
            <w:r>
              <w:rPr>
                <w:rFonts w:hint="eastAsia" w:ascii="宋体" w:hAnsi="宋体" w:cs="宋体"/>
                <w:color w:val="auto"/>
                <w:szCs w:val="21"/>
                <w:highlight w:val="none"/>
                <w:u w:val="single"/>
              </w:rPr>
              <w:t>1、在投标截止期后逾期或未在指定地点递交投标文件备用光盘的；</w:t>
            </w:r>
          </w:p>
          <w:p>
            <w:pPr>
              <w:spacing w:line="276" w:lineRule="auto"/>
              <w:rPr>
                <w:rFonts w:ascii="宋体" w:hAnsi="宋体" w:cs="宋体"/>
                <w:color w:val="auto"/>
                <w:szCs w:val="21"/>
                <w:highlight w:val="none"/>
                <w:u w:val="single"/>
              </w:rPr>
            </w:pPr>
            <w:r>
              <w:rPr>
                <w:rFonts w:hint="eastAsia" w:ascii="宋体" w:hAnsi="宋体" w:cs="宋体"/>
                <w:color w:val="auto"/>
                <w:szCs w:val="21"/>
                <w:highlight w:val="none"/>
                <w:u w:val="single"/>
              </w:rPr>
              <w:t>2、投标文件备用光盘未按招标文件要求密封或未在密封处盖章的；</w:t>
            </w:r>
          </w:p>
          <w:p>
            <w:pPr>
              <w:spacing w:line="276" w:lineRule="auto"/>
              <w:rPr>
                <w:rFonts w:ascii="宋体" w:hAnsi="宋体" w:cs="宋体"/>
                <w:color w:val="auto"/>
                <w:szCs w:val="21"/>
                <w:highlight w:val="none"/>
                <w:u w:val="single"/>
              </w:rPr>
            </w:pPr>
            <w:r>
              <w:rPr>
                <w:rFonts w:hint="eastAsia" w:ascii="宋体" w:hAnsi="宋体" w:cs="宋体"/>
                <w:color w:val="auto"/>
                <w:szCs w:val="21"/>
                <w:highlight w:val="none"/>
                <w:u w:val="single"/>
              </w:rPr>
              <w:t>3、投标人代表未凭法定代表人证明书（原件）、授权委托书原件（仅限于非法定代表人）、本人身份证原件递交投标文件备用光盘的。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276" w:lineRule="auto"/>
              <w:rPr>
                <w:rFonts w:hint="default" w:ascii="宋体" w:hAnsi="宋体" w:eastAsia="宋体" w:cs="宋体"/>
                <w:color w:val="auto"/>
                <w:kern w:val="2"/>
                <w:sz w:val="21"/>
                <w:szCs w:val="21"/>
                <w:highlight w:val="none"/>
                <w:u w:val="single"/>
                <w:lang w:val="en-US" w:eastAsia="zh-CN" w:bidi="ar-SA"/>
              </w:rPr>
            </w:pPr>
            <w:r>
              <w:rPr>
                <w:rFonts w:hint="eastAsia" w:ascii="宋体" w:hAnsi="宋体" w:cs="宋体"/>
                <w:color w:val="auto"/>
                <w:szCs w:val="21"/>
                <w:highlight w:val="none"/>
                <w:u w:val="single"/>
                <w:lang w:val="en-US" w:eastAsia="zh-CN"/>
              </w:rPr>
              <w:t>40</w:t>
            </w:r>
          </w:p>
        </w:tc>
        <w:tc>
          <w:tcPr>
            <w:tcW w:w="98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auto"/>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highlight w:val="none"/>
                <w:u w:val="single"/>
              </w:rPr>
            </w:pPr>
            <w:r>
              <w:rPr>
                <w:rFonts w:hint="eastAsia" w:ascii="宋体" w:hAnsi="宋体" w:cs="宋体"/>
                <w:color w:val="auto"/>
                <w:szCs w:val="21"/>
                <w:highlight w:val="none"/>
                <w:u w:val="single"/>
              </w:rPr>
              <w:t>中标公示后中标单位提交投标文件要求</w:t>
            </w:r>
          </w:p>
        </w:tc>
        <w:tc>
          <w:tcPr>
            <w:tcW w:w="5857" w:type="dxa"/>
            <w:tcBorders>
              <w:top w:val="single" w:color="auto" w:sz="4" w:space="0"/>
              <w:left w:val="single" w:color="auto" w:sz="4" w:space="0"/>
              <w:bottom w:val="single" w:color="auto" w:sz="4" w:space="0"/>
              <w:right w:val="double" w:color="auto" w:sz="4" w:space="0"/>
            </w:tcBorders>
            <w:vAlign w:val="center"/>
          </w:tcPr>
          <w:p>
            <w:pPr>
              <w:spacing w:line="276" w:lineRule="auto"/>
              <w:rPr>
                <w:rFonts w:ascii="宋体" w:hAnsi="宋体" w:cs="宋体"/>
                <w:color w:val="auto"/>
                <w:szCs w:val="21"/>
                <w:highlight w:val="none"/>
                <w:u w:val="single"/>
              </w:rPr>
            </w:pPr>
            <w:r>
              <w:rPr>
                <w:rFonts w:hint="eastAsia" w:ascii="宋体" w:hAnsi="宋体" w:cs="宋体"/>
                <w:color w:val="auto"/>
                <w:szCs w:val="21"/>
                <w:highlight w:val="none"/>
                <w:u w:val="single"/>
              </w:rPr>
              <w:t>中标人在签订合同前需向招标人另行提供与投标递交的电子标书一致且加盖单位公章的纸质投标文件（含投标人须知11.3列表明细包含的所有工程量清单报价表）4份及电子文件1份（不用生成投标书；包括用Microsoft Excel 软件或</w:t>
            </w:r>
            <w:r>
              <w:rPr>
                <w:rFonts w:hint="eastAsia" w:ascii="宋体" w:hAnsi="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u w:val="single"/>
              </w:rPr>
              <w:t>提供的投标书制作软件制作的工程量清单报价表和单价分析表，用 Microsoft Word 软件或</w:t>
            </w:r>
            <w:r>
              <w:rPr>
                <w:rFonts w:hint="eastAsia" w:ascii="宋体" w:hAnsi="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u w:val="single"/>
              </w:rPr>
              <w:t>提供的投标书制作软件制作的经济投标文件其他部分。电子文件介质使用CD-R光盘，所有电子文件不能采用压缩处理）。</w:t>
            </w:r>
          </w:p>
        </w:tc>
      </w:tr>
    </w:tbl>
    <w:p>
      <w:pPr>
        <w:pStyle w:val="4"/>
        <w:rPr>
          <w:color w:val="auto"/>
          <w:highlight w:val="none"/>
        </w:rPr>
      </w:pPr>
      <w:r>
        <w:rPr>
          <w:rFonts w:hint="eastAsia"/>
          <w:color w:val="auto"/>
          <w:highlight w:val="none"/>
        </w:rPr>
        <w:br w:type="page"/>
      </w:r>
      <w:bookmarkStart w:id="25" w:name="_Toc27741"/>
      <w:bookmarkStart w:id="26" w:name="_Toc10170"/>
      <w:bookmarkStart w:id="27" w:name="_Toc20889"/>
      <w:bookmarkStart w:id="28" w:name="_Toc2272547"/>
      <w:bookmarkStart w:id="29" w:name="_Toc8522"/>
      <w:bookmarkStart w:id="30" w:name="_Toc17688"/>
      <w:bookmarkStart w:id="31" w:name="_Toc15392"/>
      <w:bookmarkStart w:id="32" w:name="_Toc21367"/>
      <w:bookmarkStart w:id="33" w:name="_Toc13635"/>
      <w:bookmarkStart w:id="34" w:name="_Toc20925"/>
      <w:bookmarkStart w:id="35" w:name="_Toc22003"/>
      <w:bookmarkStart w:id="36" w:name="_Toc25257"/>
      <w:r>
        <w:rPr>
          <w:rFonts w:hint="eastAsia"/>
          <w:color w:val="auto"/>
          <w:highlight w:val="none"/>
        </w:rPr>
        <w:t>二、投标须知修改表</w:t>
      </w:r>
      <w:bookmarkEnd w:id="25"/>
      <w:bookmarkEnd w:id="26"/>
      <w:bookmarkEnd w:id="27"/>
      <w:bookmarkEnd w:id="28"/>
      <w:bookmarkEnd w:id="29"/>
      <w:bookmarkEnd w:id="30"/>
      <w:bookmarkEnd w:id="31"/>
      <w:bookmarkEnd w:id="32"/>
      <w:bookmarkEnd w:id="33"/>
      <w:bookmarkEnd w:id="34"/>
      <w:bookmarkEnd w:id="35"/>
      <w:bookmarkEnd w:id="36"/>
    </w:p>
    <w:p>
      <w:pPr>
        <w:pStyle w:val="49"/>
        <w:pBdr>
          <w:bottom w:val="single" w:color="auto" w:sz="6" w:space="1"/>
        </w:pBdr>
        <w:spacing w:line="360" w:lineRule="auto"/>
        <w:rPr>
          <w:rFonts w:ascii="宋体" w:hAnsi="宋体" w:eastAsia="宋体" w:cs="宋体"/>
          <w:b/>
          <w:color w:val="auto"/>
          <w:szCs w:val="21"/>
          <w:highlight w:val="none"/>
        </w:rPr>
      </w:pPr>
      <w:r>
        <w:rPr>
          <w:rFonts w:hint="eastAsia" w:ascii="宋体" w:hAnsi="宋体" w:eastAsia="宋体" w:cs="宋体"/>
          <w:b/>
          <w:color w:val="auto"/>
          <w:szCs w:val="21"/>
          <w:highlight w:val="none"/>
        </w:rPr>
        <w:t>声明：本投标须知使用GZZB2018-3招标文件范本的投标须知通用条款，与该通用条款不同之处，均在本表中列明，并以现文为准，原文不再有效。本招标文件中不再转录投标须知通用条款，请投标人自行到广州市住房和城乡建设局网站（</w:t>
      </w:r>
      <w:r>
        <w:rPr>
          <w:rFonts w:hint="eastAsia" w:ascii="宋体" w:hAnsi="宋体" w:eastAsia="宋体" w:cs="宋体"/>
          <w:b/>
          <w:color w:val="auto"/>
          <w:szCs w:val="21"/>
          <w:highlight w:val="none"/>
          <w:u w:val="single"/>
        </w:rPr>
        <w:t>网址：http://zfcj.gz.gov.cn/</w:t>
      </w:r>
      <w:r>
        <w:rPr>
          <w:rFonts w:hint="eastAsia" w:ascii="宋体" w:hAnsi="宋体" w:eastAsia="宋体" w:cs="宋体"/>
          <w:b/>
          <w:color w:val="auto"/>
          <w:szCs w:val="21"/>
          <w:highlight w:val="none"/>
        </w:rPr>
        <w:t>）下载查阅。</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条款号：2.5                          修改类型：增加</w:t>
      </w:r>
    </w:p>
    <w:p>
      <w:pPr>
        <w:pStyle w:val="49"/>
        <w:pBdr>
          <w:bottom w:val="single" w:color="auto" w:sz="6" w:space="1"/>
        </w:pBdr>
        <w:spacing w:after="0" w:line="360" w:lineRule="auto"/>
        <w:ind w:firstLine="411" w:firstLineChars="195"/>
        <w:rPr>
          <w:rFonts w:ascii="宋体" w:hAnsi="宋体" w:eastAsia="宋体" w:cs="宋体"/>
          <w:color w:val="auto"/>
          <w:szCs w:val="21"/>
          <w:highlight w:val="none"/>
        </w:rPr>
      </w:pPr>
      <w:r>
        <w:rPr>
          <w:rFonts w:hint="eastAsia" w:ascii="宋体" w:hAnsi="宋体" w:eastAsia="宋体" w:cs="宋体"/>
          <w:b/>
          <w:color w:val="auto"/>
          <w:szCs w:val="21"/>
          <w:highlight w:val="none"/>
        </w:rPr>
        <w:t>现文：</w:t>
      </w:r>
      <w:r>
        <w:rPr>
          <w:rFonts w:hint="eastAsia" w:ascii="宋体" w:hAnsi="宋体" w:eastAsia="宋体" w:cs="宋体"/>
          <w:color w:val="auto"/>
          <w:szCs w:val="21"/>
          <w:highlight w:val="none"/>
        </w:rPr>
        <w:t>2.5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条款号：5.1                          修改类型：修改</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：5.1</w:t>
      </w:r>
      <w:r>
        <w:rPr>
          <w:rFonts w:hint="eastAsia" w:ascii="宋体" w:hAnsi="宋体" w:cs="宋体"/>
          <w:bCs/>
          <w:color w:val="auto"/>
          <w:szCs w:val="21"/>
          <w:highlight w:val="none"/>
        </w:rPr>
        <w:t>投标人应按本投标须知前附表第15项所述时间和要求对工程现场及周围环境进行踏勘，</w:t>
      </w:r>
      <w:r>
        <w:rPr>
          <w:rFonts w:hint="eastAsia" w:ascii="宋体" w:hAnsi="宋体" w:cs="宋体"/>
          <w:color w:val="auto"/>
          <w:szCs w:val="21"/>
          <w:highlight w:val="none"/>
        </w:rPr>
        <w:t>投标人应充分重视和仔细地进行这种考察，</w:t>
      </w:r>
      <w:r>
        <w:rPr>
          <w:rFonts w:hint="eastAsia" w:ascii="宋体" w:hAnsi="宋体" w:cs="宋体"/>
          <w:bCs/>
          <w:color w:val="auto"/>
          <w:szCs w:val="21"/>
          <w:highlight w:val="none"/>
        </w:rPr>
        <w:t>以便投标人获取</w:t>
      </w:r>
      <w:r>
        <w:rPr>
          <w:rFonts w:hint="eastAsia" w:ascii="宋体" w:hAnsi="宋体" w:cs="宋体"/>
          <w:color w:val="auto"/>
          <w:szCs w:val="21"/>
          <w:highlight w:val="none"/>
        </w:rPr>
        <w:t>那些须投标人自己负责的</w:t>
      </w:r>
      <w:r>
        <w:rPr>
          <w:rFonts w:hint="eastAsia" w:ascii="宋体" w:hAnsi="宋体" w:cs="宋体"/>
          <w:bCs/>
          <w:color w:val="auto"/>
          <w:szCs w:val="21"/>
          <w:highlight w:val="none"/>
        </w:rPr>
        <w:t>有关编制投标文件和签署合同所涉及现场所有的资料。</w:t>
      </w:r>
      <w:r>
        <w:rPr>
          <w:rFonts w:hint="eastAsia" w:ascii="宋体" w:hAnsi="宋体" w:cs="宋体"/>
          <w:color w:val="auto"/>
          <w:szCs w:val="21"/>
          <w:highlight w:val="none"/>
        </w:rPr>
        <w:t>一旦中标，这种考察即被认为其结果已在中标文件中得到充分反映。考察现场的费用由投标人自己承担。</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5.1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w:t>
      </w:r>
      <w:r>
        <w:rPr>
          <w:rFonts w:hint="eastAsia" w:ascii="宋体" w:hAnsi="宋体" w:cs="宋体"/>
          <w:color w:val="auto"/>
          <w:szCs w:val="21"/>
          <w:highlight w:val="none"/>
          <w:u w:val="single"/>
        </w:rPr>
        <w:t>，投标人不进行踏勘的，视为已熟知现场条件，自行承担相关风险</w:t>
      </w:r>
      <w:r>
        <w:rPr>
          <w:rFonts w:hint="eastAsia" w:ascii="宋体" w:hAnsi="宋体" w:cs="宋体"/>
          <w:color w:val="auto"/>
          <w:szCs w:val="21"/>
          <w:highlight w:val="none"/>
        </w:rPr>
        <w:t>。一旦中标，这种考察即被认为其结果已在中标文件中得到充分反映。</w:t>
      </w:r>
      <w:r>
        <w:rPr>
          <w:rFonts w:hint="eastAsia" w:ascii="宋体" w:hAnsi="宋体" w:cs="宋体"/>
          <w:color w:val="auto"/>
          <w:szCs w:val="21"/>
          <w:highlight w:val="none"/>
          <w:u w:val="single"/>
        </w:rPr>
        <w:t>招标人不受理因投标人缺乏对现场条件的了解或掌握而提出的任何索赔。</w:t>
      </w:r>
      <w:r>
        <w:rPr>
          <w:rFonts w:hint="eastAsia" w:ascii="宋体" w:hAnsi="宋体" w:cs="宋体"/>
          <w:color w:val="auto"/>
          <w:szCs w:val="21"/>
          <w:highlight w:val="none"/>
        </w:rPr>
        <w:t>考察现场的费用由投标人自己承担。</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条款号：8.1                          修改类型：修改</w:t>
      </w:r>
    </w:p>
    <w:p>
      <w:pPr>
        <w:pStyle w:val="49"/>
        <w:pBdr>
          <w:bottom w:val="single" w:color="auto" w:sz="6" w:space="1"/>
        </w:pBdr>
        <w:spacing w:after="0" w:line="360" w:lineRule="auto"/>
        <w:ind w:firstLine="411" w:firstLineChars="195"/>
        <w:rPr>
          <w:rFonts w:ascii="宋体" w:hAnsi="宋体" w:eastAsia="宋体" w:cs="宋体"/>
          <w:color w:val="auto"/>
          <w:szCs w:val="21"/>
          <w:highlight w:val="none"/>
        </w:rPr>
      </w:pPr>
      <w:r>
        <w:rPr>
          <w:rFonts w:hint="eastAsia" w:ascii="宋体" w:hAnsi="宋体" w:eastAsia="宋体" w:cs="宋体"/>
          <w:b/>
          <w:color w:val="auto"/>
          <w:szCs w:val="21"/>
          <w:highlight w:val="none"/>
        </w:rPr>
        <w:t>原文：</w:t>
      </w:r>
      <w:r>
        <w:rPr>
          <w:rFonts w:hint="eastAsia" w:ascii="宋体" w:hAnsi="宋体" w:eastAsia="宋体" w:cs="宋体"/>
          <w:color w:val="auto"/>
          <w:szCs w:val="21"/>
          <w:highlight w:val="none"/>
        </w:rPr>
        <w:t>8.1投标人若对招标文件（包括招标图纸）中有疑问，可以书面形式通过</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交易平台提交给招标人或招标代理人，提交形式见本须知前附表第16项。</w:t>
      </w:r>
    </w:p>
    <w:p>
      <w:pPr>
        <w:pStyle w:val="49"/>
        <w:pBdr>
          <w:bottom w:val="single" w:color="auto" w:sz="6" w:space="1"/>
        </w:pBdr>
        <w:spacing w:after="0" w:line="360" w:lineRule="auto"/>
        <w:ind w:firstLine="411" w:firstLineChars="195"/>
        <w:rPr>
          <w:rFonts w:ascii="宋体" w:hAnsi="宋体" w:eastAsia="宋体" w:cs="宋体"/>
          <w:color w:val="auto"/>
          <w:szCs w:val="21"/>
          <w:highlight w:val="none"/>
        </w:rPr>
      </w:pPr>
      <w:r>
        <w:rPr>
          <w:rFonts w:hint="eastAsia" w:ascii="宋体" w:hAnsi="宋体" w:eastAsia="宋体" w:cs="宋体"/>
          <w:b/>
          <w:color w:val="auto"/>
          <w:szCs w:val="21"/>
          <w:highlight w:val="none"/>
        </w:rPr>
        <w:t>现文：</w:t>
      </w:r>
      <w:r>
        <w:rPr>
          <w:rFonts w:hint="eastAsia" w:ascii="宋体" w:hAnsi="宋体" w:eastAsia="宋体" w:cs="宋体"/>
          <w:color w:val="auto"/>
          <w:szCs w:val="21"/>
          <w:highlight w:val="none"/>
        </w:rPr>
        <w:t>8.1</w:t>
      </w:r>
      <w:r>
        <w:rPr>
          <w:rFonts w:hint="eastAsia" w:ascii="宋体" w:hAnsi="宋体" w:eastAsia="宋体" w:cs="宋体"/>
          <w:bCs/>
          <w:color w:val="auto"/>
          <w:szCs w:val="21"/>
          <w:highlight w:val="none"/>
          <w:u w:val="single"/>
        </w:rPr>
        <w:t>投标人若对招标文件（包括招标图纸、清单、最高投标限价）中有疑问，采用网上答疑方式进行，详见本须知前附表第16项。招标人或招标代理人将于本须知前附表第16项指定的地点（交易平台）和时间对疑问进行答复。</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条款号：8.2                         修改类型：修改</w:t>
      </w:r>
    </w:p>
    <w:p>
      <w:pPr>
        <w:pStyle w:val="49"/>
        <w:spacing w:after="0" w:line="360" w:lineRule="auto"/>
        <w:ind w:firstLine="411" w:firstLineChars="195"/>
        <w:rPr>
          <w:rFonts w:ascii="宋体" w:hAnsi="宋体" w:eastAsia="宋体" w:cs="宋体"/>
          <w:color w:val="auto"/>
          <w:szCs w:val="21"/>
          <w:highlight w:val="none"/>
        </w:rPr>
      </w:pPr>
      <w:r>
        <w:rPr>
          <w:rFonts w:hint="eastAsia" w:ascii="宋体" w:hAnsi="宋体" w:eastAsia="宋体" w:cs="宋体"/>
          <w:b/>
          <w:color w:val="auto"/>
          <w:szCs w:val="21"/>
          <w:highlight w:val="none"/>
        </w:rPr>
        <w:t>原文：</w:t>
      </w:r>
      <w:r>
        <w:rPr>
          <w:rFonts w:hint="eastAsia" w:ascii="宋体" w:hAnsi="宋体" w:eastAsia="宋体" w:cs="宋体"/>
          <w:color w:val="auto"/>
          <w:szCs w:val="21"/>
          <w:highlight w:val="none"/>
        </w:rPr>
        <w:t>8.2招标答疑会会议纪要将在提交投标文件截止时间15日前在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交易平台 “项目答疑纪要”专区公开发布。答疑纪要一经在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交易平台发布，视作已发放给所有投标人。</w:t>
      </w:r>
    </w:p>
    <w:p>
      <w:pPr>
        <w:pBdr>
          <w:bottom w:val="single" w:color="auto" w:sz="6" w:space="1"/>
        </w:pBdr>
        <w:spacing w:line="400" w:lineRule="exact"/>
        <w:ind w:firstLine="422" w:firstLineChars="200"/>
        <w:rPr>
          <w:rFonts w:hint="eastAsia" w:ascii="宋体" w:hAnsi="宋体" w:cs="宋体"/>
          <w:color w:val="auto"/>
          <w:szCs w:val="21"/>
          <w:highlight w:val="none"/>
        </w:rPr>
      </w:pPr>
      <w:r>
        <w:rPr>
          <w:rFonts w:hint="eastAsia" w:ascii="宋体" w:hAnsi="宋体" w:eastAsia="宋体" w:cs="宋体"/>
          <w:b/>
          <w:color w:val="auto"/>
          <w:szCs w:val="21"/>
          <w:highlight w:val="none"/>
        </w:rPr>
        <w:t>现文：</w:t>
      </w:r>
      <w:r>
        <w:rPr>
          <w:rFonts w:hint="eastAsia" w:ascii="宋体" w:hAnsi="宋体" w:eastAsia="宋体" w:cs="宋体"/>
          <w:color w:val="auto"/>
          <w:szCs w:val="21"/>
          <w:highlight w:val="none"/>
        </w:rPr>
        <w:t>8.2招标答疑会会议纪要将在提交投标文件截止时间15日前在</w:t>
      </w:r>
      <w:r>
        <w:rPr>
          <w:rFonts w:hint="eastAsia" w:ascii="宋体" w:hAnsi="宋体" w:eastAsia="宋体" w:cs="宋体"/>
          <w:color w:val="auto"/>
          <w:szCs w:val="21"/>
          <w:highlight w:val="none"/>
          <w:u w:val="single"/>
          <w:lang w:eastAsia="zh-CN"/>
        </w:rPr>
        <w:t>广州交易集团有限公司（广州公共资源交易中心）</w:t>
      </w:r>
      <w:r>
        <w:rPr>
          <w:rFonts w:hint="eastAsia" w:ascii="宋体" w:hAnsi="宋体" w:eastAsia="宋体" w:cs="宋体"/>
          <w:color w:val="auto"/>
          <w:szCs w:val="21"/>
          <w:highlight w:val="none"/>
        </w:rPr>
        <w:t>交易平台“</w:t>
      </w:r>
      <w:r>
        <w:rPr>
          <w:color w:val="auto"/>
          <w:highlight w:val="none"/>
        </w:rPr>
        <w:fldChar w:fldCharType="begin"/>
      </w:r>
      <w:r>
        <w:rPr>
          <w:color w:val="auto"/>
          <w:highlight w:val="none"/>
        </w:rPr>
        <w:instrText xml:space="preserve"> HYPERLINK "http://ggzy.gz.gov.cn/xmcxjsgc/index.jhtml" </w:instrText>
      </w:r>
      <w:r>
        <w:rPr>
          <w:color w:val="auto"/>
          <w:highlight w:val="none"/>
        </w:rPr>
        <w:fldChar w:fldCharType="separate"/>
      </w:r>
      <w:r>
        <w:rPr>
          <w:rFonts w:hint="eastAsia" w:ascii="宋体" w:hAnsi="宋体" w:eastAsia="宋体" w:cs="宋体"/>
          <w:color w:val="auto"/>
          <w:szCs w:val="21"/>
          <w:highlight w:val="none"/>
          <w:u w:val="single"/>
        </w:rPr>
        <w:t>项目查询(日程安排、答疑纪要)</w:t>
      </w:r>
      <w:r>
        <w:rPr>
          <w:rFonts w:hint="eastAsia" w:ascii="宋体" w:hAnsi="宋体" w:eastAsia="宋体" w:cs="宋体"/>
          <w:color w:val="auto"/>
          <w:szCs w:val="21"/>
          <w:highlight w:val="none"/>
          <w:u w:val="single"/>
        </w:rPr>
        <w:fldChar w:fldCharType="end"/>
      </w:r>
      <w:r>
        <w:rPr>
          <w:rFonts w:hint="eastAsia" w:ascii="宋体" w:hAnsi="宋体" w:eastAsia="宋体" w:cs="宋体"/>
          <w:color w:val="auto"/>
          <w:szCs w:val="21"/>
          <w:highlight w:val="none"/>
        </w:rPr>
        <w:t>”专区公开发布。答疑纪要一经在</w:t>
      </w:r>
      <w:r>
        <w:rPr>
          <w:rFonts w:hint="eastAsia" w:ascii="宋体" w:hAnsi="宋体" w:eastAsia="宋体" w:cs="宋体"/>
          <w:color w:val="auto"/>
          <w:szCs w:val="21"/>
          <w:highlight w:val="none"/>
          <w:u w:val="single"/>
          <w:lang w:eastAsia="zh-CN"/>
        </w:rPr>
        <w:t>广州交易集团有限公司（广州公共资源交易中心）</w:t>
      </w:r>
      <w:r>
        <w:rPr>
          <w:rFonts w:hint="eastAsia" w:ascii="宋体" w:hAnsi="宋体" w:eastAsia="宋体" w:cs="宋体"/>
          <w:color w:val="auto"/>
          <w:szCs w:val="21"/>
          <w:highlight w:val="none"/>
        </w:rPr>
        <w:t>交易平台发布，视作已发放给所有投标人</w:t>
      </w:r>
      <w:r>
        <w:rPr>
          <w:rFonts w:hint="eastAsia" w:ascii="宋体" w:hAnsi="宋体" w:cs="宋体"/>
          <w:color w:val="auto"/>
          <w:szCs w:val="21"/>
          <w:highlight w:val="none"/>
        </w:rPr>
        <w:t>。</w:t>
      </w:r>
    </w:p>
    <w:p>
      <w:pPr>
        <w:spacing w:line="40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条款号：8.4             修改类型：修改</w:t>
      </w:r>
    </w:p>
    <w:p>
      <w:pPr>
        <w:spacing w:line="400" w:lineRule="exact"/>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8.4若招标答疑会会议纪要与招标文件有矛盾，以答疑会议纪要最后发出的书面形式的文件为准。</w:t>
      </w:r>
    </w:p>
    <w:p>
      <w:pPr>
        <w:pBdr>
          <w:bottom w:val="single" w:color="auto" w:sz="6" w:space="1"/>
        </w:pBdr>
        <w:spacing w:line="400" w:lineRule="exact"/>
        <w:ind w:firstLine="527" w:firstLineChars="250"/>
        <w:rPr>
          <w:rFonts w:hint="eastAsia"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8.4若招标答疑纪要与招标文件有矛盾时，以</w:t>
      </w:r>
      <w:r>
        <w:rPr>
          <w:rFonts w:hint="eastAsia" w:ascii="宋体" w:hAnsi="宋体" w:eastAsia="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rPr>
        <w:t>网站最后发布的答疑纪要为准。</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条款号：9.2                         修改类型：修改</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9.2招标文件的澄清或修改将在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交易平台“项目答疑纪要”专区公开发布。答疑纪要一经在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交易平台发布，视作已发放给所有投标人，以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交易平台上网发布时间作为送达时间。</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9.2招标文件的澄清或修改将在</w:t>
      </w:r>
      <w:r>
        <w:rPr>
          <w:rFonts w:hint="eastAsia" w:ascii="宋体" w:hAnsi="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rPr>
        <w:t>交易平台“</w:t>
      </w:r>
      <w:r>
        <w:rPr>
          <w:color w:val="auto"/>
          <w:highlight w:val="none"/>
        </w:rPr>
        <w:fldChar w:fldCharType="begin"/>
      </w:r>
      <w:r>
        <w:rPr>
          <w:color w:val="auto"/>
          <w:highlight w:val="none"/>
        </w:rPr>
        <w:instrText xml:space="preserve"> HYPERLINK "http://ggzy.gz.gov.cn/xmcxjsgc/index.jhtml" </w:instrText>
      </w:r>
      <w:r>
        <w:rPr>
          <w:color w:val="auto"/>
          <w:highlight w:val="none"/>
        </w:rPr>
        <w:fldChar w:fldCharType="separate"/>
      </w:r>
      <w:r>
        <w:rPr>
          <w:rFonts w:hint="eastAsia" w:ascii="宋体" w:hAnsi="宋体" w:cs="宋体"/>
          <w:color w:val="auto"/>
          <w:szCs w:val="21"/>
          <w:highlight w:val="none"/>
          <w:u w:val="single"/>
        </w:rPr>
        <w:t>项目查询(日程安排、答疑纪要)</w:t>
      </w:r>
      <w:r>
        <w:rPr>
          <w:rFonts w:hint="eastAsia" w:ascii="宋体" w:hAnsi="宋体" w:cs="宋体"/>
          <w:color w:val="auto"/>
          <w:szCs w:val="21"/>
          <w:highlight w:val="none"/>
          <w:u w:val="single"/>
        </w:rPr>
        <w:fldChar w:fldCharType="end"/>
      </w:r>
      <w:r>
        <w:rPr>
          <w:rFonts w:hint="eastAsia" w:ascii="宋体" w:hAnsi="宋体" w:cs="宋体"/>
          <w:color w:val="auto"/>
          <w:szCs w:val="21"/>
          <w:highlight w:val="none"/>
        </w:rPr>
        <w:t>”专区公开发布。答疑纪要一经在</w:t>
      </w:r>
      <w:r>
        <w:rPr>
          <w:rFonts w:hint="eastAsia" w:ascii="宋体" w:hAnsi="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rPr>
        <w:t>交易平台发布，视作已发放给所有投标人，以</w:t>
      </w:r>
      <w:r>
        <w:rPr>
          <w:rFonts w:hint="eastAsia" w:ascii="宋体" w:hAnsi="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rPr>
        <w:t>交易平台上网发布时间作为送达时间。</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条款号：9.4                         修改类型：修改</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9.4招标文件的澄清或修改均以书面形式明确的内容为准。当招标文件的澄清、修改、补充等在同一内容的表述不一致时，以最后发出的书面形式的文件为准。</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9.4招标文件的澄清或修改均以</w:t>
      </w:r>
      <w:r>
        <w:rPr>
          <w:rFonts w:hint="eastAsia" w:ascii="宋体" w:hAnsi="宋体" w:cs="宋体"/>
          <w:color w:val="auto"/>
          <w:szCs w:val="21"/>
          <w:highlight w:val="none"/>
          <w:u w:val="single"/>
        </w:rPr>
        <w:t>网上答疑公布</w:t>
      </w:r>
      <w:r>
        <w:rPr>
          <w:rFonts w:hint="eastAsia" w:ascii="宋体" w:hAnsi="宋体" w:cs="宋体"/>
          <w:color w:val="auto"/>
          <w:szCs w:val="21"/>
          <w:highlight w:val="none"/>
        </w:rPr>
        <w:t>的内容为准。当招标文件的澄清、修改、补充等在同一内容的表述不一致时，以最后发出的</w:t>
      </w:r>
      <w:r>
        <w:rPr>
          <w:rFonts w:hint="eastAsia" w:ascii="宋体" w:hAnsi="宋体" w:cs="宋体"/>
          <w:color w:val="auto"/>
          <w:szCs w:val="21"/>
          <w:highlight w:val="none"/>
          <w:u w:val="single"/>
        </w:rPr>
        <w:t>文件</w:t>
      </w:r>
      <w:r>
        <w:rPr>
          <w:rFonts w:hint="eastAsia" w:ascii="宋体" w:hAnsi="宋体" w:cs="宋体"/>
          <w:color w:val="auto"/>
          <w:szCs w:val="21"/>
          <w:highlight w:val="none"/>
        </w:rPr>
        <w:t>为准。</w:t>
      </w:r>
    </w:p>
    <w:p>
      <w:pPr>
        <w:spacing w:line="360" w:lineRule="auto"/>
        <w:ind w:firstLine="472" w:firstLineChars="224"/>
        <w:rPr>
          <w:rFonts w:hint="eastAsia" w:ascii="宋体" w:hAnsi="宋体" w:cs="宋体"/>
          <w:bCs/>
          <w:color w:val="auto"/>
          <w:szCs w:val="21"/>
          <w:highlight w:val="none"/>
        </w:rPr>
      </w:pPr>
      <w:r>
        <w:rPr>
          <w:rFonts w:hint="eastAsia" w:ascii="宋体" w:hAnsi="宋体" w:cs="宋体"/>
          <w:b/>
          <w:color w:val="auto"/>
          <w:szCs w:val="21"/>
          <w:highlight w:val="none"/>
        </w:rPr>
        <w:t>条款号：11.1                       修改类型：修改</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11.1 投标文件由技术部分（含资格审查文件）和经济部分二部分投标文件组成。</w:t>
      </w:r>
    </w:p>
    <w:p>
      <w:pPr>
        <w:pBdr>
          <w:bottom w:val="single" w:color="auto" w:sz="6" w:space="1"/>
        </w:pBdr>
        <w:spacing w:line="360" w:lineRule="auto"/>
        <w:ind w:firstLine="472" w:firstLineChars="224"/>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11.1 投标文件由技术部分（含资格审查文件）</w:t>
      </w:r>
      <w:r>
        <w:rPr>
          <w:rFonts w:hint="eastAsia" w:ascii="宋体" w:hAnsi="宋体" w:cs="宋体"/>
          <w:color w:val="auto"/>
          <w:szCs w:val="21"/>
          <w:highlight w:val="none"/>
          <w:u w:val="single"/>
        </w:rPr>
        <w:t>、经济部分和定标文件（如有）</w:t>
      </w:r>
      <w:r>
        <w:rPr>
          <w:rFonts w:hint="eastAsia" w:ascii="宋体" w:hAnsi="宋体" w:cs="宋体"/>
          <w:color w:val="auto"/>
          <w:szCs w:val="21"/>
          <w:highlight w:val="none"/>
        </w:rPr>
        <w:t>组成。</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条款号：11.2                       修改类型：修改</w:t>
      </w:r>
    </w:p>
    <w:p>
      <w:pPr>
        <w:spacing w:line="360" w:lineRule="auto"/>
        <w:ind w:firstLine="411" w:firstLineChars="195"/>
        <w:rPr>
          <w:rFonts w:ascii="宋体" w:hAnsi="宋体" w:cs="宋体"/>
          <w:bCs/>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11.2投标文件技术标部分主要包括下列内容:</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11.2.1 技术投标文件</w:t>
      </w:r>
      <w:r>
        <w:rPr>
          <w:rFonts w:hint="eastAsia" w:ascii="宋体" w:hAnsi="宋体" w:cs="宋体"/>
          <w:color w:val="auto"/>
          <w:szCs w:val="21"/>
          <w:highlight w:val="none"/>
        </w:rPr>
        <w:t>(按招标文件的要求填写)</w:t>
      </w:r>
      <w:r>
        <w:rPr>
          <w:rFonts w:hint="eastAsia" w:ascii="宋体" w:hAnsi="宋体" w:cs="宋体"/>
          <w:bCs/>
          <w:color w:val="auto"/>
          <w:szCs w:val="21"/>
          <w:highlight w:val="none"/>
        </w:rPr>
        <w:t>；</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11.2.2 资格审查文件：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 xml:space="preserve">（1）投标人声明； </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（2）法定代表人证明书、法定代表人签字或盖章的本投标文件授权委托证明书；</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（3）企业营业执照（取自平台内上传件）；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（4）企业资质证书（取自平台内上传件）；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（5）建筑施工企业安全生产许可证（取自平台内上传件）；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（6）项目负责人（按网上投标登记时选择拟投标的项目负责人）；</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（7）专职安全员（按网上投标登记时选择拟投标的专职安全员）；</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（8）拟委托技术负责人的相关证书、资料（具体要求由招标人明确）；</w:t>
      </w:r>
    </w:p>
    <w:p>
      <w:pPr>
        <w:spacing w:line="360" w:lineRule="auto"/>
        <w:ind w:firstLine="409" w:firstLineChars="195"/>
        <w:rPr>
          <w:rFonts w:hint="eastAsia" w:ascii="宋体" w:hAnsi="宋体" w:cs="宋体"/>
          <w:bCs/>
          <w:color w:val="auto"/>
          <w:szCs w:val="21"/>
          <w:highlight w:val="none"/>
        </w:rPr>
      </w:pPr>
      <w:r>
        <w:rPr>
          <w:rFonts w:hint="eastAsia" w:ascii="宋体" w:hAnsi="宋体" w:cs="宋体"/>
          <w:bCs/>
          <w:color w:val="auto"/>
          <w:szCs w:val="21"/>
          <w:highlight w:val="none"/>
        </w:rPr>
        <w:t>（9）拟委派项目负责人的建造师注册证书（取自平台内上传件）；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（10）项目负责人安全生产考核合格证明或在有效期内的安全考核合格证书（B类）或建筑施工企业项目负责人安全生产考核合格证书（取自平台内上传件）；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（11）专职安全员须具有在有效期内的安全考核合格证书（C类）或建筑施工企业专职安全生产管理人员安全生产考核合格证书（取自平台内上传件）；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（12）用于资格审查的业绩（设置业绩要求时选择此项，投标人</w:t>
      </w:r>
      <w:r>
        <w:rPr>
          <w:rFonts w:hint="eastAsia" w:ascii="宋体" w:hAnsi="宋体" w:cs="宋体"/>
          <w:color w:val="auto"/>
          <w:szCs w:val="21"/>
          <w:highlight w:val="none"/>
        </w:rPr>
        <w:t>须提供类似工程业绩的项目名称及项目编号，具体格式由招标人自定</w:t>
      </w:r>
      <w:r>
        <w:rPr>
          <w:rFonts w:hint="eastAsia" w:ascii="宋体" w:hAnsi="宋体" w:cs="宋体"/>
          <w:bCs/>
          <w:color w:val="auto"/>
          <w:szCs w:val="21"/>
          <w:highlight w:val="none"/>
        </w:rPr>
        <w:t>）；</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（13）资格审查前，投标人须在广州市住房和城乡建设局建立企业信用档案，拟担任本工程项目负责人须是本企业信用档案中的在册人员。</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（14）列明主办单位的联合体工作协议（采用联合体投标时需递交，投标人拟任本工程项目负责人应为联合体主办方信用档案中的在册人员，</w:t>
      </w:r>
      <w:r>
        <w:rPr>
          <w:rFonts w:hint="eastAsia" w:ascii="宋体" w:hAnsi="宋体" w:cs="宋体"/>
          <w:color w:val="auto"/>
          <w:szCs w:val="21"/>
          <w:highlight w:val="none"/>
        </w:rPr>
        <w:t>联合体工作协议应明确约定各方拟承担的工作和责任</w:t>
      </w:r>
      <w:r>
        <w:rPr>
          <w:rFonts w:hint="eastAsia" w:ascii="宋体" w:hAnsi="宋体" w:cs="宋体"/>
          <w:bCs/>
          <w:color w:val="auto"/>
          <w:szCs w:val="21"/>
          <w:highlight w:val="none"/>
        </w:rPr>
        <w:t xml:space="preserve">）； </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（15）</w:t>
      </w:r>
      <w:r>
        <w:rPr>
          <w:rFonts w:hint="eastAsia" w:ascii="宋体" w:hAnsi="宋体" w:cs="宋体"/>
          <w:color w:val="auto"/>
          <w:szCs w:val="21"/>
          <w:highlight w:val="none"/>
        </w:rPr>
        <w:t>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11.2.3项目管理机构配备。</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（1）投标人应列出该项目工程的施工组织机构构成和画出机构框架图及其负责人；</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（2）投标人应详细列出该施工组织机构中主要成员的名单、简历资料、职务职称和在本项目中拟担任的职务等资料，并附上有关证明材料扫描件；</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（3）其他辅助说明资料。</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11.2.4投标人在广州市可使用适合本工程的机械设备（附：机械设备为自有或租赁的说明；及承诺机械设备如属于租赁的，其租赁是不属于重复租赁）。</w:t>
      </w:r>
    </w:p>
    <w:p>
      <w:pPr>
        <w:tabs>
          <w:tab w:val="left" w:pos="1125"/>
        </w:tabs>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11.2.5施工组织设计或施工方案。</w:t>
      </w:r>
    </w:p>
    <w:p>
      <w:pPr>
        <w:tabs>
          <w:tab w:val="left" w:pos="1125"/>
        </w:tabs>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11.2.6按照</w:t>
      </w:r>
      <w:r>
        <w:rPr>
          <w:rFonts w:hint="eastAsia" w:ascii="宋体" w:hAnsi="宋体" w:cs="宋体"/>
          <w:bCs/>
          <w:color w:val="auto"/>
          <w:szCs w:val="21"/>
          <w:highlight w:val="none"/>
        </w:rPr>
        <w:t>招标文件要求</w:t>
      </w:r>
      <w:r>
        <w:rPr>
          <w:rFonts w:hint="eastAsia" w:ascii="宋体" w:hAnsi="宋体" w:cs="宋体"/>
          <w:color w:val="auto"/>
          <w:szCs w:val="21"/>
          <w:highlight w:val="none"/>
        </w:rPr>
        <w:t>填写的《参与编制技术标投标文件人员名单》。</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现文：</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11.2投标文件技术标部分</w:t>
      </w:r>
      <w:r>
        <w:rPr>
          <w:rFonts w:hint="eastAsia" w:ascii="宋体" w:hAnsi="宋体" w:cs="宋体"/>
          <w:color w:val="auto"/>
          <w:szCs w:val="21"/>
          <w:highlight w:val="none"/>
          <w:u w:val="single"/>
        </w:rPr>
        <w:t>（含资格审查文件）</w:t>
      </w:r>
      <w:r>
        <w:rPr>
          <w:rFonts w:hint="eastAsia" w:ascii="宋体" w:hAnsi="宋体" w:cs="宋体"/>
          <w:bCs/>
          <w:color w:val="auto"/>
          <w:szCs w:val="21"/>
          <w:highlight w:val="none"/>
        </w:rPr>
        <w:t>主要包括下列内容</w:t>
      </w:r>
      <w:r>
        <w:rPr>
          <w:rFonts w:hint="eastAsia" w:ascii="宋体" w:hAnsi="宋体" w:cs="宋体"/>
          <w:color w:val="auto"/>
          <w:szCs w:val="21"/>
          <w:highlight w:val="none"/>
          <w:u w:val="single"/>
        </w:rPr>
        <w:t>（除注明原件外，均为清晰扫描件即可）</w:t>
      </w:r>
      <w:r>
        <w:rPr>
          <w:rFonts w:hint="eastAsia" w:ascii="宋体" w:hAnsi="宋体" w:cs="宋体"/>
          <w:bCs/>
          <w:color w:val="auto"/>
          <w:szCs w:val="21"/>
          <w:highlight w:val="none"/>
        </w:rPr>
        <w:t>:</w:t>
      </w:r>
    </w:p>
    <w:p>
      <w:pPr>
        <w:spacing w:line="360" w:lineRule="auto"/>
        <w:ind w:firstLine="409" w:firstLineChars="195"/>
        <w:rPr>
          <w:rFonts w:hint="eastAsia" w:ascii="宋体" w:hAnsi="宋体" w:cs="宋体"/>
          <w:color w:val="auto"/>
          <w:szCs w:val="21"/>
          <w:highlight w:val="none"/>
          <w:u w:val="single"/>
          <w:lang w:eastAsia="zh-CN"/>
        </w:rPr>
      </w:pPr>
      <w:r>
        <w:rPr>
          <w:rFonts w:hint="eastAsia" w:ascii="宋体" w:hAnsi="宋体" w:cs="宋体"/>
          <w:bCs/>
          <w:color w:val="auto"/>
          <w:szCs w:val="21"/>
          <w:highlight w:val="none"/>
        </w:rPr>
        <w:t>11.2.1</w:t>
      </w:r>
      <w:r>
        <w:rPr>
          <w:rFonts w:hint="eastAsia" w:ascii="宋体" w:hAnsi="宋体" w:cs="宋体"/>
          <w:color w:val="auto"/>
          <w:szCs w:val="21"/>
          <w:highlight w:val="none"/>
          <w:u w:val="single"/>
        </w:rPr>
        <w:t>广州建设工程施工招标投标书（技术标）（格式见第四章）</w:t>
      </w:r>
      <w:r>
        <w:rPr>
          <w:rFonts w:hint="eastAsia" w:ascii="宋体" w:hAnsi="宋体" w:cs="宋体"/>
          <w:color w:val="auto"/>
          <w:szCs w:val="21"/>
          <w:highlight w:val="none"/>
          <w:u w:val="single"/>
          <w:lang w:eastAsia="zh-CN"/>
        </w:rPr>
        <w:t>；</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11.2.2 资格审查文件：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（1）投标人声明</w:t>
      </w:r>
      <w:r>
        <w:rPr>
          <w:rFonts w:hint="eastAsia" w:ascii="宋体" w:hAnsi="宋体" w:cs="宋体"/>
          <w:bCs/>
          <w:color w:val="auto"/>
          <w:szCs w:val="21"/>
          <w:highlight w:val="none"/>
          <w:u w:val="single"/>
        </w:rPr>
        <w:t>（若为联合体投标，指联合体各方）</w:t>
      </w:r>
      <w:r>
        <w:rPr>
          <w:rFonts w:hint="eastAsia" w:ascii="宋体" w:hAnsi="宋体" w:cs="宋体"/>
          <w:bCs/>
          <w:color w:val="auto"/>
          <w:szCs w:val="21"/>
          <w:highlight w:val="none"/>
          <w:u w:val="single"/>
          <w:lang w:val="en-US" w:eastAsia="zh-CN"/>
        </w:rPr>
        <w:t>扫描件</w:t>
      </w:r>
      <w:r>
        <w:rPr>
          <w:rFonts w:hint="eastAsia" w:ascii="宋体" w:hAnsi="宋体" w:cs="宋体"/>
          <w:bCs/>
          <w:color w:val="auto"/>
          <w:szCs w:val="21"/>
          <w:highlight w:val="none"/>
          <w:u w:val="single"/>
        </w:rPr>
        <w:t>（须按招标公告附件内容及格式要求编制）</w:t>
      </w:r>
      <w:r>
        <w:rPr>
          <w:rFonts w:hint="eastAsia" w:ascii="宋体" w:hAnsi="宋体" w:cs="宋体"/>
          <w:bCs/>
          <w:color w:val="auto"/>
          <w:szCs w:val="21"/>
          <w:highlight w:val="none"/>
        </w:rPr>
        <w:t>；</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（2）法定代表人证明书、法定代表人签字或盖章的本投标文件授权委托证明书</w:t>
      </w:r>
      <w:r>
        <w:rPr>
          <w:rFonts w:hint="eastAsia" w:ascii="宋体" w:hAnsi="宋体" w:eastAsia="宋体" w:cs="宋体"/>
          <w:bCs/>
          <w:color w:val="auto"/>
          <w:sz w:val="21"/>
          <w:szCs w:val="21"/>
          <w:highlight w:val="none"/>
          <w:u w:val="single"/>
        </w:rPr>
        <w:t>（联合体主办方提供）</w:t>
      </w:r>
      <w:r>
        <w:rPr>
          <w:rFonts w:hint="eastAsia" w:ascii="宋体" w:hAnsi="宋体" w:cs="宋体"/>
          <w:bCs/>
          <w:color w:val="auto"/>
          <w:szCs w:val="21"/>
          <w:highlight w:val="none"/>
          <w:u w:val="single"/>
          <w:lang w:val="en-US" w:eastAsia="zh-CN"/>
        </w:rPr>
        <w:t>扫描件</w:t>
      </w:r>
      <w:r>
        <w:rPr>
          <w:rFonts w:hint="eastAsia" w:ascii="宋体" w:hAnsi="宋体" w:cs="宋体"/>
          <w:bCs/>
          <w:color w:val="auto"/>
          <w:szCs w:val="21"/>
          <w:highlight w:val="none"/>
        </w:rPr>
        <w:t>；</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（3）企业营业执照（取自</w:t>
      </w:r>
      <w:r>
        <w:rPr>
          <w:rFonts w:hint="eastAsia" w:ascii="宋体" w:hAnsi="宋体" w:eastAsia="宋体" w:cs="宋体"/>
          <w:bCs/>
          <w:color w:val="auto"/>
          <w:sz w:val="21"/>
          <w:szCs w:val="21"/>
          <w:highlight w:val="none"/>
          <w:u w:val="single"/>
        </w:rPr>
        <w:t>联合体各</w:t>
      </w:r>
      <w:r>
        <w:rPr>
          <w:rFonts w:hint="eastAsia" w:ascii="宋体" w:hAnsi="宋体" w:eastAsia="宋体" w:cs="宋体"/>
          <w:bCs/>
          <w:color w:val="auto"/>
          <w:sz w:val="21"/>
          <w:szCs w:val="21"/>
          <w:highlight w:val="none"/>
          <w:u w:val="single"/>
          <w:lang w:val="en-US" w:eastAsia="zh-CN"/>
        </w:rPr>
        <w:t>方</w:t>
      </w:r>
      <w:r>
        <w:rPr>
          <w:rFonts w:hint="eastAsia" w:ascii="宋体" w:hAnsi="宋体" w:cs="宋体"/>
          <w:bCs/>
          <w:color w:val="auto"/>
          <w:szCs w:val="21"/>
          <w:highlight w:val="none"/>
        </w:rPr>
        <w:t>平台内上传件）；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（4）企业资质证书（取自</w:t>
      </w:r>
      <w:r>
        <w:rPr>
          <w:rFonts w:hint="eastAsia" w:ascii="宋体" w:hAnsi="宋体" w:eastAsia="宋体" w:cs="宋体"/>
          <w:bCs/>
          <w:color w:val="auto"/>
          <w:sz w:val="21"/>
          <w:szCs w:val="21"/>
          <w:highlight w:val="none"/>
          <w:u w:val="single"/>
        </w:rPr>
        <w:t>联合体各</w:t>
      </w:r>
      <w:r>
        <w:rPr>
          <w:rFonts w:hint="eastAsia" w:ascii="宋体" w:hAnsi="宋体" w:eastAsia="宋体" w:cs="宋体"/>
          <w:bCs/>
          <w:color w:val="auto"/>
          <w:sz w:val="21"/>
          <w:szCs w:val="21"/>
          <w:highlight w:val="none"/>
          <w:u w:val="single"/>
          <w:lang w:val="en-US" w:eastAsia="zh-CN"/>
        </w:rPr>
        <w:t>方</w:t>
      </w:r>
      <w:r>
        <w:rPr>
          <w:rFonts w:hint="eastAsia" w:ascii="宋体" w:hAnsi="宋体" w:cs="宋体"/>
          <w:bCs/>
          <w:color w:val="auto"/>
          <w:szCs w:val="21"/>
          <w:highlight w:val="none"/>
        </w:rPr>
        <w:t>平台内上传件）；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（5）建筑施工企业安全生产许可证（取自</w:t>
      </w:r>
      <w:r>
        <w:rPr>
          <w:rFonts w:hint="eastAsia" w:ascii="宋体" w:hAnsi="宋体" w:eastAsia="宋体" w:cs="宋体"/>
          <w:bCs/>
          <w:color w:val="auto"/>
          <w:sz w:val="21"/>
          <w:szCs w:val="21"/>
          <w:highlight w:val="none"/>
          <w:u w:val="single"/>
        </w:rPr>
        <w:t>联合体各</w:t>
      </w:r>
      <w:r>
        <w:rPr>
          <w:rFonts w:hint="eastAsia" w:ascii="宋体" w:hAnsi="宋体" w:eastAsia="宋体" w:cs="宋体"/>
          <w:bCs/>
          <w:color w:val="auto"/>
          <w:sz w:val="21"/>
          <w:szCs w:val="21"/>
          <w:highlight w:val="none"/>
          <w:u w:val="single"/>
          <w:lang w:val="en-US" w:eastAsia="zh-CN"/>
        </w:rPr>
        <w:t>方</w:t>
      </w:r>
      <w:r>
        <w:rPr>
          <w:rFonts w:hint="eastAsia" w:ascii="宋体" w:hAnsi="宋体" w:cs="宋体"/>
          <w:bCs/>
          <w:color w:val="auto"/>
          <w:szCs w:val="21"/>
          <w:highlight w:val="none"/>
        </w:rPr>
        <w:t>平台内上传件）；</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（6）项目负责人（按网上投标登记时选择拟投标的项目负责人）</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（7）专职安全员（按网上投标登记时选择拟投标的专职安全员）</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（8）</w:t>
      </w:r>
      <w:r>
        <w:rPr>
          <w:rFonts w:hint="eastAsia" w:ascii="宋体" w:hAnsi="宋体" w:cs="宋体"/>
          <w:bCs/>
          <w:color w:val="auto"/>
          <w:szCs w:val="21"/>
          <w:highlight w:val="none"/>
          <w:u w:val="single"/>
        </w:rPr>
        <w:t>拟委派技术负责人的职称证书（</w:t>
      </w:r>
      <w:r>
        <w:rPr>
          <w:rFonts w:hint="eastAsia" w:ascii="宋体" w:hAnsi="宋体" w:eastAsia="宋体" w:cs="宋体"/>
          <w:bCs/>
          <w:color w:val="auto"/>
          <w:sz w:val="21"/>
          <w:szCs w:val="21"/>
          <w:highlight w:val="none"/>
          <w:u w:val="single"/>
        </w:rPr>
        <w:t>联合体主办方</w:t>
      </w:r>
      <w:r>
        <w:rPr>
          <w:rFonts w:hint="eastAsia" w:ascii="宋体" w:hAnsi="宋体" w:cs="宋体"/>
          <w:bCs/>
          <w:color w:val="auto"/>
          <w:szCs w:val="21"/>
          <w:highlight w:val="none"/>
          <w:u w:val="single"/>
        </w:rPr>
        <w:t>提供清晰扫描件或取自</w:t>
      </w:r>
      <w:r>
        <w:rPr>
          <w:rFonts w:hint="eastAsia" w:ascii="宋体" w:hAnsi="宋体" w:eastAsia="宋体" w:cs="宋体"/>
          <w:bCs/>
          <w:color w:val="auto"/>
          <w:sz w:val="21"/>
          <w:szCs w:val="21"/>
          <w:highlight w:val="none"/>
          <w:u w:val="single"/>
        </w:rPr>
        <w:t>联合体主办方</w:t>
      </w:r>
      <w:r>
        <w:rPr>
          <w:rFonts w:hint="eastAsia" w:ascii="宋体" w:hAnsi="宋体" w:cs="宋体"/>
          <w:bCs/>
          <w:color w:val="auto"/>
          <w:szCs w:val="21"/>
          <w:highlight w:val="none"/>
          <w:u w:val="single"/>
        </w:rPr>
        <w:t>平台内上传件）；</w:t>
      </w:r>
    </w:p>
    <w:p>
      <w:pPr>
        <w:spacing w:line="360" w:lineRule="auto"/>
        <w:ind w:firstLine="409" w:firstLineChars="195"/>
        <w:rPr>
          <w:rFonts w:ascii="宋体" w:hAnsi="宋体" w:cs="宋体"/>
          <w:bCs/>
          <w:color w:val="auto"/>
          <w:szCs w:val="21"/>
          <w:highlight w:val="none"/>
          <w:u w:val="none"/>
        </w:rPr>
      </w:pPr>
      <w:r>
        <w:rPr>
          <w:rFonts w:hint="eastAsia" w:ascii="宋体" w:hAnsi="宋体" w:cs="宋体"/>
          <w:bCs/>
          <w:color w:val="auto"/>
          <w:szCs w:val="21"/>
          <w:highlight w:val="none"/>
          <w:u w:val="none"/>
        </w:rPr>
        <w:t>（9）拟委派项目负责人的建造师注册证书（取自</w:t>
      </w:r>
      <w:r>
        <w:rPr>
          <w:rFonts w:hint="eastAsia" w:ascii="宋体" w:hAnsi="宋体" w:eastAsia="宋体" w:cs="宋体"/>
          <w:bCs/>
          <w:color w:val="auto"/>
          <w:sz w:val="21"/>
          <w:szCs w:val="21"/>
          <w:highlight w:val="none"/>
          <w:u w:val="single"/>
        </w:rPr>
        <w:t>联合体主办方</w:t>
      </w:r>
      <w:r>
        <w:rPr>
          <w:rFonts w:hint="eastAsia" w:ascii="宋体" w:hAnsi="宋体" w:cs="宋体"/>
          <w:bCs/>
          <w:color w:val="auto"/>
          <w:szCs w:val="21"/>
          <w:highlight w:val="none"/>
          <w:u w:val="none"/>
        </w:rPr>
        <w:t>平台内上传件）；</w:t>
      </w:r>
    </w:p>
    <w:p>
      <w:pPr>
        <w:spacing w:line="360" w:lineRule="auto"/>
        <w:ind w:firstLine="409" w:firstLineChars="195"/>
        <w:rPr>
          <w:rFonts w:ascii="宋体" w:hAnsi="宋体" w:cs="宋体"/>
          <w:bCs/>
          <w:color w:val="auto"/>
          <w:szCs w:val="21"/>
          <w:highlight w:val="none"/>
          <w:u w:val="none"/>
        </w:rPr>
      </w:pPr>
      <w:r>
        <w:rPr>
          <w:rFonts w:hint="eastAsia" w:ascii="宋体" w:hAnsi="宋体" w:cs="宋体"/>
          <w:bCs/>
          <w:color w:val="auto"/>
          <w:szCs w:val="21"/>
          <w:highlight w:val="none"/>
          <w:u w:val="none"/>
        </w:rPr>
        <w:t>（10）项目负责人</w:t>
      </w:r>
      <w:r>
        <w:rPr>
          <w:rFonts w:hint="eastAsia" w:ascii="宋体" w:hAnsi="宋体" w:cs="宋体"/>
          <w:bCs/>
          <w:color w:val="auto"/>
          <w:szCs w:val="21"/>
          <w:highlight w:val="none"/>
          <w:u w:val="none"/>
          <w:lang w:eastAsia="zh-CN"/>
        </w:rPr>
        <w:t>（</w:t>
      </w:r>
      <w:r>
        <w:rPr>
          <w:rFonts w:hint="eastAsia" w:ascii="宋体" w:hAnsi="宋体" w:eastAsia="宋体" w:cs="宋体"/>
          <w:bCs/>
          <w:color w:val="auto"/>
          <w:sz w:val="21"/>
          <w:szCs w:val="21"/>
          <w:highlight w:val="none"/>
          <w:u w:val="single"/>
        </w:rPr>
        <w:t>联合体主办方</w:t>
      </w:r>
      <w:r>
        <w:rPr>
          <w:rFonts w:hint="eastAsia" w:ascii="宋体" w:hAnsi="宋体" w:eastAsia="宋体" w:cs="宋体"/>
          <w:bCs/>
          <w:color w:val="auto"/>
          <w:sz w:val="21"/>
          <w:szCs w:val="21"/>
          <w:highlight w:val="none"/>
          <w:u w:val="single"/>
          <w:lang w:val="en-US" w:eastAsia="zh-CN"/>
        </w:rPr>
        <w:t>提供</w:t>
      </w:r>
      <w:r>
        <w:rPr>
          <w:rFonts w:hint="eastAsia" w:ascii="宋体" w:hAnsi="宋体" w:cs="宋体"/>
          <w:bCs/>
          <w:color w:val="auto"/>
          <w:szCs w:val="21"/>
          <w:highlight w:val="none"/>
          <w:u w:val="none"/>
          <w:lang w:eastAsia="zh-CN"/>
        </w:rPr>
        <w:t>）</w:t>
      </w:r>
      <w:r>
        <w:rPr>
          <w:rFonts w:hint="eastAsia" w:ascii="宋体" w:hAnsi="宋体" w:cs="宋体"/>
          <w:bCs/>
          <w:color w:val="auto"/>
          <w:szCs w:val="21"/>
          <w:highlight w:val="none"/>
          <w:u w:val="none"/>
        </w:rPr>
        <w:t>安全生产考核合格证明或在有效期内的安全考核合格证书（B类）或建筑施工企业项目负责人安全生产考核合格证书（取自</w:t>
      </w:r>
      <w:r>
        <w:rPr>
          <w:rFonts w:hint="eastAsia" w:ascii="宋体" w:hAnsi="宋体" w:eastAsia="宋体" w:cs="宋体"/>
          <w:bCs/>
          <w:color w:val="auto"/>
          <w:sz w:val="21"/>
          <w:szCs w:val="21"/>
          <w:highlight w:val="none"/>
          <w:u w:val="single"/>
        </w:rPr>
        <w:t>联合体主办方</w:t>
      </w:r>
      <w:r>
        <w:rPr>
          <w:rFonts w:hint="eastAsia" w:ascii="宋体" w:hAnsi="宋体" w:cs="宋体"/>
          <w:bCs/>
          <w:color w:val="auto"/>
          <w:szCs w:val="21"/>
          <w:highlight w:val="none"/>
          <w:u w:val="none"/>
        </w:rPr>
        <w:t>平台内上传件）；</w:t>
      </w:r>
    </w:p>
    <w:p>
      <w:pPr>
        <w:spacing w:line="360" w:lineRule="auto"/>
        <w:ind w:firstLine="409" w:firstLineChars="195"/>
        <w:rPr>
          <w:rFonts w:hint="eastAsia" w:ascii="宋体" w:hAnsi="宋体" w:cs="宋体"/>
          <w:bCs/>
          <w:color w:val="auto"/>
          <w:szCs w:val="21"/>
          <w:highlight w:val="none"/>
        </w:rPr>
      </w:pPr>
      <w:r>
        <w:rPr>
          <w:rFonts w:hint="eastAsia" w:ascii="宋体" w:hAnsi="宋体" w:cs="宋体"/>
          <w:bCs/>
          <w:color w:val="auto"/>
          <w:szCs w:val="21"/>
          <w:highlight w:val="none"/>
        </w:rPr>
        <w:t>（11）专职安全员</w:t>
      </w:r>
      <w:r>
        <w:rPr>
          <w:rFonts w:hint="eastAsia" w:ascii="宋体" w:hAnsi="宋体" w:eastAsia="宋体" w:cs="宋体"/>
          <w:bCs/>
          <w:color w:val="auto"/>
          <w:sz w:val="21"/>
          <w:szCs w:val="21"/>
          <w:highlight w:val="none"/>
          <w:u w:val="single"/>
        </w:rPr>
        <w:t>（联合体主办方提供）</w:t>
      </w:r>
      <w:r>
        <w:rPr>
          <w:rFonts w:hint="eastAsia" w:ascii="宋体" w:hAnsi="宋体" w:cs="宋体"/>
          <w:bCs/>
          <w:color w:val="auto"/>
          <w:szCs w:val="21"/>
          <w:highlight w:val="none"/>
        </w:rPr>
        <w:t>须具有在有效期内的安全考核合格证书（C类）或建筑施工企业专职安全生产管理人员安全生产考核合格证书</w:t>
      </w:r>
      <w:r>
        <w:rPr>
          <w:rFonts w:hint="eastAsia" w:ascii="宋体" w:hAnsi="宋体" w:cs="宋体"/>
          <w:bCs/>
          <w:color w:val="auto"/>
          <w:szCs w:val="21"/>
          <w:highlight w:val="none"/>
          <w:u w:val="single"/>
        </w:rPr>
        <w:t>（C3）</w:t>
      </w:r>
      <w:r>
        <w:rPr>
          <w:rFonts w:hint="eastAsia" w:ascii="宋体" w:hAnsi="宋体" w:cs="宋体"/>
          <w:bCs/>
          <w:color w:val="auto"/>
          <w:szCs w:val="21"/>
          <w:highlight w:val="none"/>
        </w:rPr>
        <w:t>（取自</w:t>
      </w:r>
      <w:r>
        <w:rPr>
          <w:rFonts w:hint="eastAsia" w:ascii="宋体" w:hAnsi="宋体" w:eastAsia="宋体" w:cs="宋体"/>
          <w:bCs/>
          <w:color w:val="auto"/>
          <w:sz w:val="21"/>
          <w:szCs w:val="21"/>
          <w:highlight w:val="none"/>
          <w:u w:val="single"/>
        </w:rPr>
        <w:t>联合体主办方</w:t>
      </w:r>
      <w:r>
        <w:rPr>
          <w:rFonts w:hint="eastAsia" w:ascii="宋体" w:hAnsi="宋体" w:cs="宋体"/>
          <w:bCs/>
          <w:color w:val="auto"/>
          <w:szCs w:val="21"/>
          <w:highlight w:val="none"/>
        </w:rPr>
        <w:t>平台内上传件）；</w:t>
      </w:r>
    </w:p>
    <w:p>
      <w:pPr>
        <w:spacing w:line="360" w:lineRule="auto"/>
        <w:ind w:firstLine="409" w:firstLineChars="195"/>
        <w:rPr>
          <w:rFonts w:hint="eastAsia" w:ascii="宋体" w:hAnsi="宋体" w:eastAsia="宋体" w:cs="宋体"/>
          <w:bCs/>
          <w:color w:val="auto"/>
          <w:szCs w:val="21"/>
          <w:highlight w:val="none"/>
        </w:rPr>
      </w:pPr>
      <w:r>
        <w:rPr>
          <w:rFonts w:hint="eastAsia" w:ascii="宋体" w:hAnsi="宋体" w:cs="宋体"/>
          <w:bCs/>
          <w:color w:val="auto"/>
          <w:szCs w:val="21"/>
          <w:highlight w:val="none"/>
        </w:rPr>
        <w:t>（1</w:t>
      </w:r>
      <w:r>
        <w:rPr>
          <w:rFonts w:hint="eastAsia" w:ascii="宋体" w:hAnsi="宋体" w:cs="宋体"/>
          <w:bCs/>
          <w:color w:val="auto"/>
          <w:szCs w:val="21"/>
          <w:highlight w:val="none"/>
          <w:lang w:val="en-US" w:eastAsia="zh-CN"/>
        </w:rPr>
        <w:t>2</w:t>
      </w:r>
      <w:r>
        <w:rPr>
          <w:rFonts w:hint="eastAsia" w:ascii="宋体" w:hAnsi="宋体" w:cs="宋体"/>
          <w:bCs/>
          <w:color w:val="auto"/>
          <w:szCs w:val="21"/>
          <w:highlight w:val="none"/>
        </w:rPr>
        <w:t>）资格审查前，投标人</w:t>
      </w:r>
      <w:r>
        <w:rPr>
          <w:rFonts w:hint="eastAsia" w:ascii="宋体" w:hAnsi="宋体" w:cs="宋体"/>
          <w:bCs/>
          <w:color w:val="auto"/>
          <w:szCs w:val="21"/>
          <w:highlight w:val="none"/>
          <w:lang w:eastAsia="zh-CN"/>
        </w:rPr>
        <w:t>（</w:t>
      </w:r>
      <w:r>
        <w:rPr>
          <w:rFonts w:hint="eastAsia" w:ascii="宋体" w:hAnsi="宋体" w:eastAsia="宋体" w:cs="宋体"/>
          <w:bCs/>
          <w:color w:val="auto"/>
          <w:sz w:val="21"/>
          <w:szCs w:val="21"/>
          <w:highlight w:val="none"/>
          <w:u w:val="single"/>
        </w:rPr>
        <w:t>联合体各</w:t>
      </w:r>
      <w:r>
        <w:rPr>
          <w:rFonts w:hint="eastAsia" w:ascii="宋体" w:hAnsi="宋体" w:eastAsia="宋体" w:cs="宋体"/>
          <w:bCs/>
          <w:color w:val="auto"/>
          <w:sz w:val="21"/>
          <w:szCs w:val="21"/>
          <w:highlight w:val="none"/>
          <w:u w:val="single"/>
          <w:lang w:val="en-US" w:eastAsia="zh-CN"/>
        </w:rPr>
        <w:t>方</w:t>
      </w:r>
      <w:r>
        <w:rPr>
          <w:rFonts w:hint="eastAsia" w:ascii="宋体" w:hAnsi="宋体" w:cs="宋体"/>
          <w:bCs/>
          <w:color w:val="auto"/>
          <w:szCs w:val="21"/>
          <w:highlight w:val="none"/>
          <w:lang w:eastAsia="zh-CN"/>
        </w:rPr>
        <w:t>）</w:t>
      </w:r>
      <w:r>
        <w:rPr>
          <w:rFonts w:hint="eastAsia" w:ascii="宋体" w:hAnsi="宋体" w:eastAsia="宋体" w:cs="宋体"/>
          <w:bCs/>
          <w:color w:val="auto"/>
          <w:szCs w:val="21"/>
          <w:highlight w:val="none"/>
        </w:rPr>
        <w:t>须在</w:t>
      </w:r>
      <w:r>
        <w:rPr>
          <w:rFonts w:hint="eastAsia" w:ascii="宋体" w:hAnsi="宋体" w:eastAsia="宋体" w:cs="宋体"/>
          <w:bCs/>
          <w:color w:val="auto"/>
          <w:sz w:val="21"/>
          <w:szCs w:val="21"/>
          <w:highlight w:val="none"/>
        </w:rPr>
        <w:t>广州市住建行业信用管理平台</w:t>
      </w:r>
      <w:r>
        <w:rPr>
          <w:rFonts w:hint="eastAsia" w:ascii="宋体" w:hAnsi="宋体" w:eastAsia="宋体" w:cs="宋体"/>
          <w:bCs/>
          <w:color w:val="auto"/>
          <w:szCs w:val="21"/>
          <w:highlight w:val="none"/>
        </w:rPr>
        <w:t>建立企业信用档案，拟担任本工程项目负责人、专职安全员须是</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 w:val="21"/>
          <w:szCs w:val="21"/>
          <w:highlight w:val="none"/>
          <w:u w:val="single"/>
        </w:rPr>
        <w:t>联合体主办方</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本企业信用档案中的在册人员。</w:t>
      </w:r>
    </w:p>
    <w:p>
      <w:pPr>
        <w:spacing w:line="360" w:lineRule="auto"/>
        <w:ind w:firstLine="409" w:firstLineChars="195"/>
        <w:rPr>
          <w:rFonts w:hint="eastAsia" w:ascii="宋体" w:hAnsi="宋体" w:cs="宋体"/>
          <w:bCs/>
          <w:color w:val="auto"/>
          <w:szCs w:val="21"/>
          <w:highlight w:val="none"/>
          <w:u w:val="single"/>
        </w:rPr>
      </w:pPr>
      <w:r>
        <w:rPr>
          <w:rFonts w:hint="eastAsia" w:ascii="宋体" w:hAnsi="宋体" w:cs="宋体"/>
          <w:bCs/>
          <w:color w:val="auto"/>
          <w:szCs w:val="21"/>
          <w:highlight w:val="none"/>
          <w:u w:val="single"/>
        </w:rPr>
        <w:t>（1</w:t>
      </w:r>
      <w:r>
        <w:rPr>
          <w:rFonts w:hint="eastAsia" w:ascii="宋体" w:hAnsi="宋体" w:cs="宋体"/>
          <w:bCs/>
          <w:color w:val="auto"/>
          <w:szCs w:val="21"/>
          <w:highlight w:val="none"/>
          <w:u w:val="single"/>
          <w:lang w:val="en-US" w:eastAsia="zh-CN"/>
        </w:rPr>
        <w:t>3</w:t>
      </w:r>
      <w:r>
        <w:rPr>
          <w:rFonts w:hint="eastAsia" w:ascii="宋体" w:hAnsi="宋体" w:cs="宋体"/>
          <w:bCs/>
          <w:color w:val="auto"/>
          <w:szCs w:val="21"/>
          <w:highlight w:val="none"/>
          <w:u w:val="single"/>
        </w:rPr>
        <w:t>）投标人</w:t>
      </w:r>
      <w:r>
        <w:rPr>
          <w:rFonts w:hint="eastAsia" w:ascii="宋体" w:hAnsi="宋体" w:cs="宋体"/>
          <w:bCs/>
          <w:color w:val="auto"/>
          <w:szCs w:val="21"/>
          <w:highlight w:val="none"/>
          <w:u w:val="single"/>
          <w:lang w:eastAsia="zh-CN"/>
        </w:rPr>
        <w:t>（</w:t>
      </w:r>
      <w:r>
        <w:rPr>
          <w:rFonts w:hint="eastAsia" w:ascii="宋体" w:hAnsi="宋体" w:eastAsia="宋体" w:cs="宋体"/>
          <w:bCs/>
          <w:color w:val="auto"/>
          <w:sz w:val="21"/>
          <w:szCs w:val="21"/>
          <w:highlight w:val="none"/>
          <w:u w:val="single"/>
        </w:rPr>
        <w:t>联合体各</w:t>
      </w:r>
      <w:r>
        <w:rPr>
          <w:rFonts w:hint="eastAsia" w:ascii="宋体" w:hAnsi="宋体" w:eastAsia="宋体" w:cs="宋体"/>
          <w:bCs/>
          <w:color w:val="auto"/>
          <w:sz w:val="21"/>
          <w:szCs w:val="21"/>
          <w:highlight w:val="none"/>
          <w:u w:val="single"/>
          <w:lang w:val="en-US" w:eastAsia="zh-CN"/>
        </w:rPr>
        <w:t>方</w:t>
      </w:r>
      <w:r>
        <w:rPr>
          <w:rFonts w:hint="eastAsia" w:ascii="宋体" w:hAnsi="宋体" w:cs="宋体"/>
          <w:bCs/>
          <w:color w:val="auto"/>
          <w:szCs w:val="21"/>
          <w:highlight w:val="none"/>
          <w:u w:val="single"/>
          <w:lang w:eastAsia="zh-CN"/>
        </w:rPr>
        <w:t>）</w:t>
      </w:r>
      <w:r>
        <w:rPr>
          <w:rFonts w:hint="eastAsia" w:ascii="宋体" w:hAnsi="宋体" w:cs="宋体"/>
          <w:bCs/>
          <w:color w:val="auto"/>
          <w:szCs w:val="21"/>
          <w:highlight w:val="none"/>
          <w:u w:val="single"/>
        </w:rPr>
        <w:t>未出现以下情形：与其它投标人的单位负责人为同一人或者存在控股、管理关系的（按投标人提供的《投标人声明》第八条内容进行评审）。如不同投标申请人出现单位负责人为同一人或者存在控股、管理关系的情形，则判定为无效标。</w:t>
      </w:r>
    </w:p>
    <w:p>
      <w:pPr>
        <w:spacing w:line="360" w:lineRule="auto"/>
        <w:ind w:firstLine="409" w:firstLineChars="195"/>
        <w:rPr>
          <w:rFonts w:hint="eastAsia" w:ascii="宋体" w:hAnsi="宋体" w:cs="宋体"/>
          <w:bCs/>
          <w:color w:val="auto"/>
          <w:szCs w:val="21"/>
          <w:highlight w:val="none"/>
          <w:u w:val="single"/>
        </w:rPr>
      </w:pPr>
      <w:r>
        <w:rPr>
          <w:rFonts w:hint="eastAsia" w:ascii="宋体" w:hAnsi="宋体" w:cs="宋体"/>
          <w:bCs/>
          <w:color w:val="auto"/>
          <w:szCs w:val="21"/>
          <w:highlight w:val="none"/>
          <w:u w:val="single"/>
        </w:rPr>
        <w:t>（1</w:t>
      </w:r>
      <w:r>
        <w:rPr>
          <w:rFonts w:hint="eastAsia" w:ascii="宋体" w:hAnsi="宋体" w:cs="宋体"/>
          <w:bCs/>
          <w:color w:val="auto"/>
          <w:szCs w:val="21"/>
          <w:highlight w:val="none"/>
          <w:u w:val="single"/>
          <w:lang w:val="en-US" w:eastAsia="zh-CN"/>
        </w:rPr>
        <w:t>4</w:t>
      </w:r>
      <w:r>
        <w:rPr>
          <w:rFonts w:hint="eastAsia" w:ascii="宋体" w:hAnsi="宋体" w:cs="宋体"/>
          <w:bCs/>
          <w:color w:val="auto"/>
          <w:szCs w:val="21"/>
          <w:highlight w:val="none"/>
          <w:u w:val="single"/>
        </w:rPr>
        <w:t>）</w:t>
      </w:r>
      <w:r>
        <w:rPr>
          <w:rFonts w:hint="eastAsia" w:ascii="宋体" w:hAnsi="宋体" w:eastAsia="宋体" w:cs="宋体"/>
          <w:bCs/>
          <w:color w:val="auto"/>
          <w:sz w:val="21"/>
          <w:szCs w:val="21"/>
          <w:highlight w:val="none"/>
          <w:u w:val="single"/>
        </w:rPr>
        <w:t>投标人</w:t>
      </w:r>
      <w:r>
        <w:rPr>
          <w:rFonts w:hint="eastAsia" w:ascii="宋体" w:hAnsi="宋体" w:eastAsia="宋体" w:cs="宋体"/>
          <w:bCs/>
          <w:color w:val="auto"/>
          <w:sz w:val="21"/>
          <w:szCs w:val="21"/>
          <w:highlight w:val="none"/>
          <w:u w:val="single"/>
          <w:lang w:val="en-US" w:eastAsia="zh-CN"/>
        </w:rPr>
        <w:t>（联合体各方）</w:t>
      </w:r>
      <w:r>
        <w:rPr>
          <w:rFonts w:hint="eastAsia" w:ascii="宋体" w:hAnsi="宋体" w:cs="宋体"/>
          <w:bCs/>
          <w:color w:val="auto"/>
          <w:szCs w:val="21"/>
          <w:highlight w:val="none"/>
          <w:u w:val="single"/>
        </w:rPr>
        <w:t>未被列入拖欠农民工工资失信联合惩戒对象名单</w:t>
      </w:r>
      <w:r>
        <w:rPr>
          <w:rFonts w:hint="eastAsia" w:ascii="宋体" w:hAnsi="宋体" w:eastAsia="宋体" w:cs="宋体"/>
          <w:bCs/>
          <w:color w:val="auto"/>
          <w:sz w:val="21"/>
          <w:szCs w:val="21"/>
          <w:highlight w:val="none"/>
          <w:u w:val="single"/>
        </w:rPr>
        <w:t>（投标人无需提供资料，按交易系统比对的结果进行评审）</w:t>
      </w:r>
      <w:r>
        <w:rPr>
          <w:rFonts w:hint="eastAsia" w:ascii="宋体" w:hAnsi="宋体" w:cs="宋体"/>
          <w:bCs/>
          <w:color w:val="auto"/>
          <w:szCs w:val="21"/>
          <w:highlight w:val="none"/>
          <w:u w:val="single"/>
        </w:rPr>
        <w:t>。</w:t>
      </w:r>
    </w:p>
    <w:p>
      <w:pPr>
        <w:spacing w:line="360" w:lineRule="auto"/>
        <w:ind w:left="0" w:leftChars="0" w:firstLine="409" w:firstLineChars="195"/>
        <w:rPr>
          <w:rFonts w:hint="eastAsia" w:ascii="宋体" w:hAnsi="宋体" w:eastAsia="宋体" w:cs="宋体"/>
          <w:bCs/>
          <w:color w:val="auto"/>
          <w:sz w:val="21"/>
          <w:szCs w:val="21"/>
          <w:highlight w:val="none"/>
          <w:u w:val="single"/>
        </w:rPr>
      </w:pPr>
      <w:r>
        <w:rPr>
          <w:rFonts w:hint="eastAsia" w:ascii="宋体" w:hAnsi="宋体" w:eastAsia="宋体" w:cs="宋体"/>
          <w:bCs/>
          <w:color w:val="auto"/>
          <w:szCs w:val="21"/>
          <w:highlight w:val="none"/>
          <w:u w:val="single"/>
          <w:lang w:eastAsia="zh-CN"/>
        </w:rPr>
        <w:t>（</w:t>
      </w:r>
      <w:r>
        <w:rPr>
          <w:rFonts w:hint="eastAsia" w:ascii="宋体" w:hAnsi="宋体" w:eastAsia="宋体" w:cs="宋体"/>
          <w:bCs/>
          <w:color w:val="auto"/>
          <w:szCs w:val="21"/>
          <w:highlight w:val="none"/>
          <w:u w:val="single"/>
          <w:lang w:val="en-US" w:eastAsia="zh-CN"/>
        </w:rPr>
        <w:t>1</w:t>
      </w:r>
      <w:r>
        <w:rPr>
          <w:rFonts w:hint="eastAsia" w:ascii="宋体" w:hAnsi="宋体" w:cs="宋体"/>
          <w:bCs/>
          <w:color w:val="auto"/>
          <w:szCs w:val="21"/>
          <w:highlight w:val="none"/>
          <w:u w:val="single"/>
          <w:lang w:val="en-US" w:eastAsia="zh-CN"/>
        </w:rPr>
        <w:t>5</w:t>
      </w:r>
      <w:r>
        <w:rPr>
          <w:rFonts w:hint="eastAsia" w:ascii="宋体" w:hAnsi="宋体" w:eastAsia="宋体" w:cs="宋体"/>
          <w:bCs/>
          <w:color w:val="auto"/>
          <w:szCs w:val="21"/>
          <w:highlight w:val="none"/>
          <w:u w:val="single"/>
          <w:lang w:eastAsia="zh-CN"/>
        </w:rPr>
        <w:t>）</w:t>
      </w:r>
      <w:r>
        <w:rPr>
          <w:rFonts w:hint="eastAsia" w:ascii="宋体" w:hAnsi="宋体" w:eastAsia="宋体" w:cs="宋体"/>
          <w:bCs/>
          <w:color w:val="auto"/>
          <w:sz w:val="21"/>
          <w:szCs w:val="21"/>
          <w:highlight w:val="none"/>
          <w:u w:val="single"/>
        </w:rPr>
        <w:t>投标人（联合体各</w:t>
      </w:r>
      <w:r>
        <w:rPr>
          <w:rFonts w:hint="eastAsia" w:ascii="宋体" w:hAnsi="宋体" w:eastAsia="宋体" w:cs="宋体"/>
          <w:bCs/>
          <w:color w:val="auto"/>
          <w:sz w:val="21"/>
          <w:szCs w:val="21"/>
          <w:highlight w:val="none"/>
          <w:u w:val="single"/>
          <w:lang w:val="en-US" w:eastAsia="zh-CN"/>
        </w:rPr>
        <w:t>方</w:t>
      </w:r>
      <w:r>
        <w:rPr>
          <w:rFonts w:hint="eastAsia" w:ascii="宋体" w:hAnsi="宋体" w:eastAsia="宋体" w:cs="宋体"/>
          <w:bCs/>
          <w:color w:val="auto"/>
          <w:sz w:val="21"/>
          <w:szCs w:val="21"/>
          <w:highlight w:val="none"/>
          <w:u w:val="single"/>
        </w:rPr>
        <w:t>）未被列入本项目招标人书面拒绝投标的（详见</w:t>
      </w:r>
      <w:r>
        <w:rPr>
          <w:rFonts w:hint="eastAsia" w:ascii="宋体" w:hAnsi="宋体" w:eastAsia="宋体" w:cs="宋体"/>
          <w:bCs/>
          <w:color w:val="auto"/>
          <w:sz w:val="21"/>
          <w:szCs w:val="21"/>
          <w:highlight w:val="none"/>
          <w:u w:val="single"/>
          <w:lang w:val="en-US" w:eastAsia="zh-CN"/>
        </w:rPr>
        <w:t>招标公告</w:t>
      </w:r>
      <w:r>
        <w:rPr>
          <w:rFonts w:hint="eastAsia" w:ascii="宋体" w:hAnsi="宋体" w:eastAsia="宋体" w:cs="宋体"/>
          <w:bCs/>
          <w:color w:val="auto"/>
          <w:sz w:val="21"/>
          <w:szCs w:val="21"/>
          <w:highlight w:val="none"/>
          <w:u w:val="single"/>
        </w:rPr>
        <w:t>附件</w:t>
      </w:r>
      <w:r>
        <w:rPr>
          <w:rFonts w:hint="eastAsia" w:ascii="宋体" w:hAnsi="宋体" w:eastAsia="宋体" w:cs="宋体"/>
          <w:bCs/>
          <w:color w:val="auto"/>
          <w:sz w:val="21"/>
          <w:szCs w:val="21"/>
          <w:highlight w:val="none"/>
          <w:u w:val="single"/>
          <w:lang w:val="en-US" w:eastAsia="zh-CN"/>
        </w:rPr>
        <w:t>三</w:t>
      </w:r>
      <w:r>
        <w:rPr>
          <w:rFonts w:hint="eastAsia" w:ascii="宋体" w:hAnsi="宋体" w:eastAsia="宋体" w:cs="宋体"/>
          <w:bCs/>
          <w:color w:val="auto"/>
          <w:sz w:val="21"/>
          <w:szCs w:val="21"/>
          <w:highlight w:val="none"/>
          <w:u w:val="single"/>
        </w:rPr>
        <w:t>《被招标人拒绝投标的企业名单》）</w:t>
      </w:r>
    </w:p>
    <w:p>
      <w:pPr>
        <w:spacing w:line="360" w:lineRule="auto"/>
        <w:ind w:left="0" w:leftChars="0" w:firstLine="409" w:firstLineChars="195"/>
        <w:rPr>
          <w:rFonts w:hint="eastAsia" w:ascii="宋体" w:hAnsi="宋体" w:eastAsia="宋体" w:cs="宋体"/>
          <w:bCs/>
          <w:color w:val="auto"/>
          <w:sz w:val="21"/>
          <w:szCs w:val="21"/>
          <w:highlight w:val="none"/>
          <w:u w:val="single"/>
          <w:lang w:eastAsia="zh-CN"/>
        </w:rPr>
      </w:pPr>
      <w:r>
        <w:rPr>
          <w:rFonts w:hint="eastAsia" w:ascii="宋体" w:hAnsi="宋体" w:cs="宋体"/>
          <w:bCs/>
          <w:color w:val="auto"/>
          <w:sz w:val="21"/>
          <w:szCs w:val="21"/>
          <w:highlight w:val="none"/>
          <w:u w:val="single"/>
          <w:lang w:eastAsia="zh-CN"/>
        </w:rPr>
        <w:t>（</w:t>
      </w:r>
      <w:r>
        <w:rPr>
          <w:rFonts w:hint="eastAsia" w:ascii="宋体" w:hAnsi="宋体" w:cs="宋体"/>
          <w:bCs/>
          <w:color w:val="auto"/>
          <w:sz w:val="21"/>
          <w:szCs w:val="21"/>
          <w:highlight w:val="none"/>
          <w:u w:val="single"/>
          <w:lang w:val="en-US" w:eastAsia="zh-CN"/>
        </w:rPr>
        <w:t>16</w:t>
      </w:r>
      <w:r>
        <w:rPr>
          <w:rFonts w:hint="eastAsia" w:ascii="宋体" w:hAnsi="宋体" w:cs="宋体"/>
          <w:bCs/>
          <w:color w:val="auto"/>
          <w:sz w:val="21"/>
          <w:szCs w:val="21"/>
          <w:highlight w:val="none"/>
          <w:u w:val="single"/>
          <w:lang w:eastAsia="zh-CN"/>
        </w:rPr>
        <w:t>）列明主办单位的联合体工作协议（采用联合体投标时需递交，须明确联合体主办方，并按招标公告附件二签订联合体工作协议。投标人拟任本工程项目负责人、专职安全员应为联合体主办方信用档案中的在册人员，联合体工作协议应明确约定各方拟承担的工作和责任）；</w:t>
      </w:r>
    </w:p>
    <w:p>
      <w:pPr>
        <w:spacing w:line="360" w:lineRule="auto"/>
        <w:ind w:firstLine="409" w:firstLineChars="195"/>
        <w:rPr>
          <w:rFonts w:ascii="宋体" w:hAnsi="宋体" w:cs="宋体"/>
          <w:bCs/>
          <w:color w:val="auto"/>
          <w:szCs w:val="21"/>
          <w:highlight w:val="none"/>
          <w:u w:val="single"/>
        </w:rPr>
      </w:pPr>
      <w:r>
        <w:rPr>
          <w:rFonts w:hint="eastAsia" w:ascii="宋体" w:hAnsi="宋体" w:cs="宋体"/>
          <w:bCs/>
          <w:color w:val="auto"/>
          <w:szCs w:val="21"/>
          <w:highlight w:val="none"/>
          <w:u w:val="single"/>
        </w:rPr>
        <w:t>（1</w:t>
      </w:r>
      <w:r>
        <w:rPr>
          <w:rFonts w:hint="eastAsia" w:ascii="宋体" w:hAnsi="宋体" w:cs="宋体"/>
          <w:bCs/>
          <w:color w:val="auto"/>
          <w:szCs w:val="21"/>
          <w:highlight w:val="none"/>
          <w:u w:val="single"/>
          <w:lang w:val="en-US" w:eastAsia="zh-CN"/>
        </w:rPr>
        <w:t>7</w:t>
      </w:r>
      <w:r>
        <w:rPr>
          <w:rFonts w:hint="eastAsia" w:ascii="宋体" w:hAnsi="宋体" w:cs="宋体"/>
          <w:bCs/>
          <w:color w:val="auto"/>
          <w:szCs w:val="21"/>
          <w:highlight w:val="none"/>
          <w:u w:val="single"/>
        </w:rPr>
        <w:t>）投标人认为应提供的其他资料。</w:t>
      </w:r>
    </w:p>
    <w:p>
      <w:pPr>
        <w:spacing w:line="360" w:lineRule="auto"/>
        <w:ind w:firstLine="409" w:firstLineChars="195"/>
        <w:rPr>
          <w:rFonts w:ascii="宋体" w:hAnsi="宋体" w:cs="宋体"/>
          <w:bCs/>
          <w:color w:val="auto"/>
          <w:szCs w:val="21"/>
          <w:highlight w:val="none"/>
          <w:u w:val="single"/>
        </w:rPr>
      </w:pPr>
      <w:r>
        <w:rPr>
          <w:rFonts w:hint="eastAsia" w:ascii="宋体" w:hAnsi="宋体" w:cs="宋体"/>
          <w:color w:val="auto"/>
          <w:szCs w:val="21"/>
          <w:highlight w:val="none"/>
          <w:u w:val="single"/>
        </w:rPr>
        <w:t>注：上述第</w:t>
      </w:r>
      <w:r>
        <w:rPr>
          <w:rFonts w:hint="eastAsia" w:ascii="宋体" w:hAnsi="宋体" w:cs="宋体"/>
          <w:bCs/>
          <w:color w:val="auto"/>
          <w:szCs w:val="21"/>
          <w:highlight w:val="none"/>
          <w:u w:val="single"/>
        </w:rPr>
        <w:t>11.2.2（</w:t>
      </w:r>
      <w:r>
        <w:rPr>
          <w:rFonts w:hint="eastAsia" w:ascii="宋体" w:hAnsi="宋体" w:cs="宋体"/>
          <w:bCs/>
          <w:color w:val="auto"/>
          <w:szCs w:val="21"/>
          <w:highlight w:val="none"/>
          <w:u w:val="single"/>
          <w:lang w:val="en-US" w:eastAsia="zh-CN"/>
        </w:rPr>
        <w:t>1</w:t>
      </w:r>
      <w:r>
        <w:rPr>
          <w:rFonts w:hint="eastAsia" w:ascii="宋体" w:hAnsi="宋体" w:cs="宋体"/>
          <w:bCs/>
          <w:color w:val="auto"/>
          <w:szCs w:val="21"/>
          <w:highlight w:val="none"/>
          <w:u w:val="single"/>
        </w:rPr>
        <w:t>）—（</w:t>
      </w:r>
      <w:r>
        <w:rPr>
          <w:rFonts w:hint="eastAsia" w:ascii="宋体" w:hAnsi="宋体" w:cs="宋体"/>
          <w:bCs/>
          <w:color w:val="auto"/>
          <w:szCs w:val="21"/>
          <w:highlight w:val="none"/>
          <w:u w:val="single"/>
          <w:lang w:val="en-US" w:eastAsia="zh-CN"/>
        </w:rPr>
        <w:t>16</w:t>
      </w:r>
      <w:r>
        <w:rPr>
          <w:rFonts w:hint="eastAsia" w:ascii="宋体" w:hAnsi="宋体" w:cs="宋体"/>
          <w:bCs/>
          <w:color w:val="auto"/>
          <w:szCs w:val="21"/>
          <w:highlight w:val="none"/>
          <w:u w:val="single"/>
        </w:rPr>
        <w:t>）条没有要求提交的资料，不作为资格审查不合格的依据。</w:t>
      </w:r>
    </w:p>
    <w:p>
      <w:pPr>
        <w:pBdr>
          <w:bottom w:val="single" w:color="auto" w:sz="6" w:space="1"/>
        </w:pBdr>
        <w:spacing w:line="360" w:lineRule="auto"/>
        <w:ind w:firstLine="409" w:firstLineChars="195"/>
        <w:rPr>
          <w:rFonts w:ascii="宋体" w:hAnsi="宋体"/>
          <w:bCs/>
          <w:color w:val="auto"/>
          <w:szCs w:val="21"/>
          <w:highlight w:val="none"/>
          <w:u w:val="single"/>
        </w:rPr>
      </w:pPr>
      <w:r>
        <w:rPr>
          <w:rFonts w:hint="eastAsia" w:ascii="宋体" w:hAnsi="宋体" w:cs="宋体"/>
          <w:color w:val="auto"/>
          <w:szCs w:val="21"/>
          <w:highlight w:val="none"/>
          <w:u w:val="single"/>
        </w:rPr>
        <w:t>11.2.3《投标函》、《标函承诺书》、《项目负责人驻场承诺书》（格式见第四章）。</w:t>
      </w:r>
    </w:p>
    <w:p>
      <w:pPr>
        <w:pBdr>
          <w:bottom w:val="single" w:color="auto" w:sz="6" w:space="1"/>
        </w:pBdr>
        <w:spacing w:line="360" w:lineRule="auto"/>
        <w:ind w:firstLine="409" w:firstLineChars="195"/>
        <w:rPr>
          <w:rFonts w:hint="eastAsia" w:ascii="宋体" w:hAnsi="宋体" w:cs="宋体"/>
          <w:color w:val="auto"/>
          <w:szCs w:val="21"/>
          <w:highlight w:val="none"/>
          <w:u w:val="single"/>
        </w:rPr>
      </w:pPr>
      <w:r>
        <w:rPr>
          <w:rFonts w:hint="eastAsia" w:ascii="宋体" w:hAnsi="宋体" w:cs="宋体"/>
          <w:color w:val="auto"/>
          <w:szCs w:val="21"/>
          <w:highlight w:val="none"/>
          <w:u w:val="single"/>
        </w:rPr>
        <w:t>11.2.4《施工项目管理团队人员信息表》、《主要人员简历表》（投标人需按相应表格备注要求提供相关资料）（格式见第四章）。</w:t>
      </w:r>
    </w:p>
    <w:p>
      <w:pPr>
        <w:pBdr>
          <w:bottom w:val="single" w:color="auto" w:sz="6" w:space="1"/>
        </w:pBdr>
        <w:spacing w:line="360" w:lineRule="auto"/>
        <w:ind w:firstLine="409" w:firstLineChars="195"/>
        <w:rPr>
          <w:rFonts w:ascii="宋体" w:hAnsi="宋体"/>
          <w:color w:val="auto"/>
          <w:szCs w:val="21"/>
          <w:highlight w:val="none"/>
        </w:rPr>
      </w:pPr>
      <w:r>
        <w:rPr>
          <w:rFonts w:hint="eastAsia" w:ascii="宋体" w:hAnsi="宋体" w:cs="宋体"/>
          <w:color w:val="auto"/>
          <w:szCs w:val="21"/>
          <w:highlight w:val="none"/>
          <w:u w:val="single"/>
        </w:rPr>
        <w:t>11.2.5按照招标文件《技术标详细审查评分表》提供的证明材料（按附表</w:t>
      </w:r>
      <w:r>
        <w:rPr>
          <w:rFonts w:hint="eastAsia" w:ascii="宋体" w:hAnsi="宋体" w:cs="宋体"/>
          <w:color w:val="auto"/>
          <w:szCs w:val="21"/>
          <w:highlight w:val="none"/>
          <w:u w:val="single"/>
          <w:lang w:val="en-US" w:eastAsia="zh-CN"/>
        </w:rPr>
        <w:t>四</w:t>
      </w:r>
      <w:r>
        <w:rPr>
          <w:rFonts w:hint="eastAsia" w:ascii="宋体" w:hAnsi="宋体" w:cs="宋体"/>
          <w:color w:val="auto"/>
          <w:szCs w:val="21"/>
          <w:highlight w:val="none"/>
          <w:u w:val="single"/>
        </w:rPr>
        <w:t>要求提交，招标文件有规定格式的，需按招标文件格式提供，无格式要求的，格式自拟）。</w:t>
      </w:r>
    </w:p>
    <w:p>
      <w:pPr>
        <w:pBdr>
          <w:bottom w:val="single" w:color="auto" w:sz="6" w:space="1"/>
        </w:pBdr>
        <w:spacing w:line="360" w:lineRule="auto"/>
        <w:ind w:firstLine="409" w:firstLineChars="195"/>
        <w:rPr>
          <w:rFonts w:ascii="宋体" w:hAnsi="宋体"/>
          <w:color w:val="auto"/>
          <w:szCs w:val="21"/>
          <w:highlight w:val="none"/>
        </w:rPr>
      </w:pPr>
      <w:r>
        <w:rPr>
          <w:rFonts w:hint="eastAsia" w:ascii="宋体" w:hAnsi="宋体" w:cs="宋体"/>
          <w:color w:val="auto"/>
          <w:szCs w:val="21"/>
          <w:highlight w:val="none"/>
          <w:u w:val="single"/>
        </w:rPr>
        <w:t>11.2.</w:t>
      </w:r>
      <w:r>
        <w:rPr>
          <w:rFonts w:hint="eastAsia" w:ascii="宋体" w:hAnsi="宋体" w:cs="宋体"/>
          <w:color w:val="auto"/>
          <w:szCs w:val="21"/>
          <w:highlight w:val="none"/>
          <w:u w:val="single"/>
          <w:lang w:val="en-US" w:eastAsia="zh-CN"/>
        </w:rPr>
        <w:t>6</w:t>
      </w:r>
      <w:r>
        <w:rPr>
          <w:rFonts w:hint="eastAsia" w:ascii="宋体" w:hAnsi="宋体" w:cs="宋体"/>
          <w:color w:val="auto"/>
          <w:szCs w:val="21"/>
          <w:highlight w:val="none"/>
          <w:u w:val="single"/>
        </w:rPr>
        <w:t>《危险性较大的分部分项工程安全管理措施》（格式见第四章）。</w:t>
      </w:r>
    </w:p>
    <w:p>
      <w:pPr>
        <w:pBdr>
          <w:bottom w:val="single" w:color="auto" w:sz="6" w:space="1"/>
        </w:pBdr>
        <w:spacing w:line="360" w:lineRule="auto"/>
        <w:ind w:firstLine="409" w:firstLineChars="195"/>
        <w:rPr>
          <w:rFonts w:hint="eastAsia" w:ascii="宋体" w:hAnsi="宋体" w:cs="宋体"/>
          <w:color w:val="auto"/>
          <w:szCs w:val="21"/>
          <w:highlight w:val="none"/>
        </w:rPr>
      </w:pPr>
      <w:r>
        <w:rPr>
          <w:rFonts w:hint="eastAsia" w:ascii="宋体" w:hAnsi="宋体" w:cs="宋体"/>
          <w:color w:val="auto"/>
          <w:szCs w:val="21"/>
          <w:highlight w:val="none"/>
          <w:u w:val="single"/>
        </w:rPr>
        <w:t>11.2.</w:t>
      </w:r>
      <w:r>
        <w:rPr>
          <w:rFonts w:hint="eastAsia" w:ascii="宋体" w:hAnsi="宋体" w:cs="宋体"/>
          <w:color w:val="auto"/>
          <w:szCs w:val="21"/>
          <w:highlight w:val="none"/>
          <w:u w:val="single"/>
          <w:lang w:val="en-US" w:eastAsia="zh-CN"/>
        </w:rPr>
        <w:t>7</w:t>
      </w:r>
      <w:r>
        <w:rPr>
          <w:rFonts w:hint="eastAsia" w:ascii="宋体" w:hAnsi="宋体" w:cs="宋体"/>
          <w:color w:val="auto"/>
          <w:szCs w:val="21"/>
          <w:highlight w:val="none"/>
          <w:u w:val="single"/>
        </w:rPr>
        <w:t>《参与编制技术标投标文件人员名单》（格式见第四章）</w:t>
      </w:r>
      <w:r>
        <w:rPr>
          <w:rFonts w:hint="eastAsia" w:ascii="宋体" w:hAnsi="宋体" w:cs="宋体"/>
          <w:color w:val="auto"/>
          <w:szCs w:val="21"/>
          <w:highlight w:val="none"/>
        </w:rPr>
        <w:t>。</w:t>
      </w:r>
    </w:p>
    <w:p>
      <w:pPr>
        <w:pBdr>
          <w:bottom w:val="single" w:color="auto" w:sz="6" w:space="1"/>
        </w:pBdr>
        <w:spacing w:line="360" w:lineRule="auto"/>
        <w:ind w:firstLine="409" w:firstLineChars="195"/>
        <w:rPr>
          <w:rFonts w:ascii="宋体" w:hAnsi="宋体" w:cs="宋体"/>
          <w:color w:val="auto"/>
          <w:szCs w:val="21"/>
          <w:highlight w:val="none"/>
          <w:u w:val="single"/>
        </w:rPr>
      </w:pPr>
      <w:r>
        <w:rPr>
          <w:rFonts w:hint="eastAsia" w:ascii="宋体" w:hAnsi="宋体" w:cs="宋体"/>
          <w:color w:val="auto"/>
          <w:szCs w:val="21"/>
          <w:highlight w:val="none"/>
          <w:u w:val="single"/>
        </w:rPr>
        <w:t>11.2.</w:t>
      </w:r>
      <w:r>
        <w:rPr>
          <w:rFonts w:hint="eastAsia" w:ascii="宋体" w:hAnsi="宋体" w:cs="宋体"/>
          <w:color w:val="auto"/>
          <w:szCs w:val="21"/>
          <w:highlight w:val="none"/>
          <w:u w:val="single"/>
          <w:lang w:val="en-US" w:eastAsia="zh-CN"/>
        </w:rPr>
        <w:t>8</w:t>
      </w:r>
      <w:r>
        <w:rPr>
          <w:rFonts w:hint="eastAsia" w:ascii="宋体" w:hAnsi="宋体" w:cs="宋体"/>
          <w:bCs/>
          <w:color w:val="auto"/>
          <w:szCs w:val="21"/>
          <w:highlight w:val="none"/>
          <w:u w:val="single"/>
        </w:rPr>
        <w:t>投标人认为应提供的其他资料</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lang w:val="en-US" w:eastAsia="zh-CN"/>
        </w:rPr>
        <w:t>如有</w:t>
      </w:r>
      <w:r>
        <w:rPr>
          <w:rFonts w:hint="eastAsia" w:ascii="宋体" w:hAnsi="宋体" w:cs="宋体"/>
          <w:color w:val="auto"/>
          <w:szCs w:val="21"/>
          <w:highlight w:val="none"/>
          <w:u w:val="single"/>
          <w:lang w:eastAsia="zh-CN"/>
        </w:rPr>
        <w:t>）</w:t>
      </w:r>
      <w:r>
        <w:rPr>
          <w:rFonts w:hint="eastAsia" w:ascii="宋体" w:hAnsi="宋体" w:cs="宋体"/>
          <w:bCs/>
          <w:color w:val="auto"/>
          <w:szCs w:val="21"/>
          <w:highlight w:val="none"/>
          <w:u w:val="single"/>
        </w:rPr>
        <w:t>。</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条款号：11.3                      修改类型：修改</w:t>
      </w:r>
    </w:p>
    <w:p>
      <w:pPr>
        <w:spacing w:line="360" w:lineRule="auto"/>
        <w:ind w:firstLine="411" w:firstLineChars="195"/>
        <w:rPr>
          <w:rFonts w:ascii="宋体" w:hAnsi="宋体" w:cs="宋体"/>
          <w:bCs/>
          <w:color w:val="auto"/>
          <w:szCs w:val="21"/>
          <w:highlight w:val="none"/>
        </w:rPr>
      </w:pPr>
      <w:r>
        <w:rPr>
          <w:rFonts w:hint="eastAsia" w:ascii="宋体" w:hAnsi="宋体" w:cs="宋体"/>
          <w:b/>
          <w:bCs/>
          <w:color w:val="auto"/>
          <w:szCs w:val="21"/>
          <w:highlight w:val="none"/>
        </w:rPr>
        <w:t>原文：</w:t>
      </w:r>
    </w:p>
    <w:p>
      <w:pPr>
        <w:spacing w:line="360" w:lineRule="auto"/>
        <w:ind w:firstLine="409" w:firstLineChars="195"/>
        <w:rPr>
          <w:rFonts w:ascii="宋体" w:hAnsi="宋体" w:cs="宋体"/>
          <w:bCs/>
          <w:color w:val="auto"/>
          <w:szCs w:val="21"/>
          <w:highlight w:val="none"/>
        </w:rPr>
      </w:pPr>
      <w:r>
        <w:rPr>
          <w:rFonts w:hint="eastAsia" w:ascii="宋体" w:hAnsi="宋体" w:cs="宋体"/>
          <w:bCs/>
          <w:color w:val="auto"/>
          <w:szCs w:val="21"/>
          <w:highlight w:val="none"/>
        </w:rPr>
        <w:t>11.3经济部分投标文件主要包括下列内容：</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11.3.1 经济投标文件(按招标文件的要求填写)。</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 xml:space="preserve">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 </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（1）投标总价封面、扉页；</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（2）总说明</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（3）工程项目投标报价汇总表；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（4）单项工程投标报价汇总表；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（5）单位工程投标报价汇总表；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（6）分部分项工程清单与计价表；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（7）单价措施项目清单与计价表；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（8）总价措施项目清单与计价表；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（9）综合单价分析表；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（10）其他项目清单与计价汇总表；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（11）暂列金额明细表；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（12）材料（工程设备）暂估价明细表；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（13）专业工程暂估价明细表；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（14）计日工表；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（15）总承包服务计价表；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（16）规费和税金项目计价表；</w:t>
      </w:r>
    </w:p>
    <w:p>
      <w:pP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（17）人工、主要材料和设备一览表</w:t>
      </w:r>
    </w:p>
    <w:p>
      <w:pPr>
        <w:tabs>
          <w:tab w:val="left" w:pos="1125"/>
        </w:tabs>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11.3.3按照</w:t>
      </w:r>
      <w:r>
        <w:rPr>
          <w:rFonts w:hint="eastAsia" w:ascii="宋体" w:hAnsi="宋体" w:cs="宋体"/>
          <w:bCs/>
          <w:color w:val="auto"/>
          <w:szCs w:val="21"/>
          <w:highlight w:val="none"/>
        </w:rPr>
        <w:t>招标文件要求</w:t>
      </w:r>
      <w:r>
        <w:rPr>
          <w:rFonts w:hint="eastAsia" w:ascii="宋体" w:hAnsi="宋体" w:cs="宋体"/>
          <w:color w:val="auto"/>
          <w:szCs w:val="21"/>
          <w:highlight w:val="none"/>
        </w:rPr>
        <w:t>填写的《参与编制经济标投标文件人员名单》。</w:t>
      </w:r>
    </w:p>
    <w:p>
      <w:pPr>
        <w:tabs>
          <w:tab w:val="left" w:pos="1125"/>
        </w:tabs>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11.3.4若投标人的投标报价低于工程成本警戒价的，投标人还须提供详细的施工组织设计、单价、措施性费用、单价分析表、主要材料价格表、投标人成本分析供评标委员会评审。</w:t>
      </w:r>
    </w:p>
    <w:p>
      <w:pPr>
        <w:pBdr>
          <w:bottom w:val="single" w:color="auto" w:sz="6" w:space="1"/>
        </w:pBd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现文：</w:t>
      </w:r>
    </w:p>
    <w:p>
      <w:pPr>
        <w:pBdr>
          <w:bottom w:val="single" w:color="auto" w:sz="6" w:space="1"/>
        </w:pBdr>
        <w:adjustRightInd w:val="0"/>
        <w:spacing w:line="360" w:lineRule="auto"/>
        <w:ind w:firstLine="409" w:firstLineChars="195"/>
        <w:textAlignment w:val="baseline"/>
        <w:rPr>
          <w:rFonts w:ascii="宋体" w:hAnsi="宋体" w:cs="宋体"/>
          <w:b/>
          <w:color w:val="auto"/>
          <w:szCs w:val="21"/>
          <w:highlight w:val="none"/>
        </w:rPr>
      </w:pPr>
      <w:r>
        <w:rPr>
          <w:rFonts w:hint="eastAsia" w:ascii="宋体" w:hAnsi="宋体" w:cs="宋体"/>
          <w:bCs/>
          <w:color w:val="auto"/>
          <w:szCs w:val="21"/>
          <w:highlight w:val="none"/>
        </w:rPr>
        <w:t>11.3 经济标投标文件主要包括下列内容：</w:t>
      </w:r>
    </w:p>
    <w:p>
      <w:pPr>
        <w:pBdr>
          <w:bottom w:val="single" w:color="auto" w:sz="6" w:space="1"/>
        </w:pBdr>
        <w:adjustRightInd w:val="0"/>
        <w:spacing w:line="360" w:lineRule="auto"/>
        <w:ind w:firstLine="409" w:firstLineChars="195"/>
        <w:textAlignment w:val="baseline"/>
        <w:rPr>
          <w:rFonts w:hint="eastAsia" w:ascii="宋体" w:hAnsi="宋体" w:cs="宋体"/>
          <w:bCs/>
          <w:color w:val="auto"/>
          <w:szCs w:val="21"/>
          <w:highlight w:val="none"/>
          <w:u w:val="single"/>
          <w:lang w:eastAsia="zh-CN"/>
        </w:rPr>
      </w:pPr>
      <w:r>
        <w:rPr>
          <w:rFonts w:hint="eastAsia" w:ascii="宋体" w:hAnsi="宋体" w:cs="宋体"/>
          <w:color w:val="auto"/>
          <w:szCs w:val="21"/>
          <w:highlight w:val="none"/>
        </w:rPr>
        <w:t>11.3.1</w:t>
      </w:r>
      <w:r>
        <w:rPr>
          <w:rFonts w:hint="eastAsia" w:ascii="宋体" w:hAnsi="宋体" w:cs="宋体"/>
          <w:color w:val="auto"/>
          <w:szCs w:val="21"/>
          <w:highlight w:val="none"/>
          <w:u w:val="single"/>
        </w:rPr>
        <w:t>广州建设工程施工招标投标书（经济标）（格式见第四章）</w:t>
      </w:r>
      <w:r>
        <w:rPr>
          <w:rFonts w:hint="eastAsia" w:ascii="宋体"/>
          <w:bCs/>
          <w:color w:val="auto"/>
          <w:szCs w:val="21"/>
          <w:highlight w:val="none"/>
          <w:u w:val="single"/>
          <w:lang w:eastAsia="zh-CN"/>
        </w:rPr>
        <w:t>。</w:t>
      </w:r>
    </w:p>
    <w:p>
      <w:pPr>
        <w:pBdr>
          <w:bottom w:val="single" w:color="auto" w:sz="6" w:space="1"/>
        </w:pBdr>
        <w:adjustRightInd w:val="0"/>
        <w:spacing w:line="360" w:lineRule="auto"/>
        <w:ind w:firstLine="409" w:firstLineChars="195"/>
        <w:textAlignment w:val="baseline"/>
        <w:rPr>
          <w:rFonts w:ascii="宋体" w:hAnsi="宋体" w:cs="宋体"/>
          <w:color w:val="auto"/>
          <w:szCs w:val="21"/>
          <w:highlight w:val="none"/>
        </w:rPr>
      </w:pPr>
      <w:r>
        <w:rPr>
          <w:rFonts w:hint="eastAsia" w:ascii="宋体" w:hAnsi="宋体" w:cs="宋体"/>
          <w:color w:val="auto"/>
          <w:szCs w:val="21"/>
          <w:highlight w:val="none"/>
        </w:rPr>
        <w:t>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w:t>
      </w:r>
    </w:p>
    <w:p>
      <w:pPr>
        <w:pBdr>
          <w:bottom w:val="single" w:color="auto" w:sz="6" w:space="1"/>
        </w:pBdr>
        <w:adjustRightInd w:val="0"/>
        <w:spacing w:line="360" w:lineRule="auto"/>
        <w:ind w:firstLine="409" w:firstLineChars="195"/>
        <w:textAlignment w:val="baseline"/>
        <w:rPr>
          <w:rFonts w:ascii="宋体" w:hAnsi="宋体" w:cs="宋体"/>
          <w:color w:val="auto"/>
          <w:szCs w:val="21"/>
          <w:highlight w:val="none"/>
        </w:rPr>
      </w:pPr>
      <w:r>
        <w:rPr>
          <w:rFonts w:hint="eastAsia" w:ascii="宋体" w:hAnsi="宋体" w:cs="宋体"/>
          <w:color w:val="auto"/>
          <w:szCs w:val="21"/>
          <w:highlight w:val="none"/>
        </w:rPr>
        <w:t>（1）投标总价封面、扉页；</w:t>
      </w:r>
    </w:p>
    <w:p>
      <w:pPr>
        <w:pBdr>
          <w:bottom w:val="single" w:color="auto" w:sz="6" w:space="1"/>
        </w:pBdr>
        <w:adjustRightInd w:val="0"/>
        <w:spacing w:line="360" w:lineRule="auto"/>
        <w:ind w:firstLine="409" w:firstLineChars="195"/>
        <w:textAlignment w:val="baseline"/>
        <w:rPr>
          <w:rFonts w:ascii="宋体" w:hAnsi="宋体" w:cs="宋体"/>
          <w:color w:val="auto"/>
          <w:szCs w:val="21"/>
          <w:highlight w:val="none"/>
        </w:rPr>
      </w:pPr>
      <w:r>
        <w:rPr>
          <w:rFonts w:hint="eastAsia" w:ascii="宋体" w:hAnsi="宋体" w:cs="宋体"/>
          <w:color w:val="auto"/>
          <w:szCs w:val="21"/>
          <w:highlight w:val="none"/>
        </w:rPr>
        <w:t>（2）总说明；</w:t>
      </w:r>
    </w:p>
    <w:p>
      <w:pPr>
        <w:pBdr>
          <w:bottom w:val="single" w:color="auto" w:sz="6" w:space="1"/>
        </w:pBdr>
        <w:adjustRightInd w:val="0"/>
        <w:spacing w:line="360" w:lineRule="auto"/>
        <w:ind w:firstLine="409" w:firstLineChars="195"/>
        <w:textAlignment w:val="baseline"/>
        <w:rPr>
          <w:rFonts w:ascii="宋体" w:hAnsi="宋体" w:cs="宋体"/>
          <w:b/>
          <w:color w:val="auto"/>
          <w:szCs w:val="21"/>
          <w:highlight w:val="none"/>
        </w:rPr>
      </w:pPr>
      <w:r>
        <w:rPr>
          <w:rFonts w:hint="eastAsia" w:ascii="宋体" w:hAnsi="宋体" w:cs="宋体"/>
          <w:color w:val="auto"/>
          <w:szCs w:val="21"/>
          <w:highlight w:val="none"/>
          <w:u w:val="single"/>
        </w:rPr>
        <w:t>（3）工程量清单报价表及综合单价分析表（相关表格的内容及格式要求以招标人发出的最新版电子招标文件中的相应内容及格式为准）；</w:t>
      </w:r>
    </w:p>
    <w:p>
      <w:pPr>
        <w:pBdr>
          <w:bottom w:val="single" w:color="auto" w:sz="6" w:space="1"/>
        </w:pBdr>
        <w:adjustRightInd w:val="0"/>
        <w:spacing w:line="360" w:lineRule="auto"/>
        <w:ind w:firstLine="409" w:firstLineChars="195"/>
        <w:textAlignment w:val="baseline"/>
        <w:rPr>
          <w:rFonts w:ascii="宋体" w:hAnsi="宋体" w:cs="宋体"/>
          <w:color w:val="auto"/>
          <w:szCs w:val="21"/>
          <w:highlight w:val="none"/>
        </w:rPr>
      </w:pPr>
      <w:r>
        <w:rPr>
          <w:rFonts w:hint="eastAsia" w:ascii="宋体" w:hAnsi="宋体" w:cs="宋体"/>
          <w:color w:val="auto"/>
          <w:szCs w:val="21"/>
          <w:highlight w:val="none"/>
          <w:u w:val="single"/>
        </w:rPr>
        <w:t>（4）其它辅助说明资料（包括但不限于招标文件要求填写的《对投标文件编制的承诺》（格式见第四章））</w:t>
      </w:r>
      <w:r>
        <w:rPr>
          <w:rFonts w:hint="eastAsia" w:ascii="宋体" w:hAnsi="宋体" w:cs="宋体"/>
          <w:color w:val="auto"/>
          <w:szCs w:val="21"/>
          <w:highlight w:val="none"/>
        </w:rPr>
        <w:t>。</w:t>
      </w:r>
    </w:p>
    <w:p>
      <w:pPr>
        <w:pBdr>
          <w:bottom w:val="single" w:color="auto" w:sz="6" w:space="1"/>
        </w:pBdr>
        <w:adjustRightInd w:val="0"/>
        <w:spacing w:line="360" w:lineRule="auto"/>
        <w:ind w:firstLine="409" w:firstLineChars="195"/>
        <w:textAlignment w:val="baseline"/>
        <w:rPr>
          <w:rFonts w:ascii="宋体" w:hAnsi="宋体" w:cs="宋体"/>
          <w:color w:val="auto"/>
          <w:szCs w:val="21"/>
          <w:highlight w:val="none"/>
        </w:rPr>
      </w:pPr>
      <w:r>
        <w:rPr>
          <w:rFonts w:hint="eastAsia" w:ascii="宋体" w:hAnsi="宋体" w:cs="宋体"/>
          <w:color w:val="auto"/>
          <w:szCs w:val="21"/>
          <w:highlight w:val="none"/>
        </w:rPr>
        <w:t>11.3.3按照招标文件要求填写的《参与编制经济标投标文件人员名单》</w:t>
      </w:r>
      <w:r>
        <w:rPr>
          <w:rFonts w:hint="eastAsia" w:ascii="宋体" w:hAnsi="宋体" w:cs="宋体"/>
          <w:color w:val="auto"/>
          <w:szCs w:val="21"/>
          <w:highlight w:val="none"/>
          <w:u w:val="single"/>
        </w:rPr>
        <w:t>（格式见第四章）</w:t>
      </w:r>
      <w:r>
        <w:rPr>
          <w:rFonts w:hint="eastAsia" w:ascii="宋体" w:hAnsi="宋体" w:cs="宋体"/>
          <w:color w:val="auto"/>
          <w:szCs w:val="21"/>
          <w:highlight w:val="none"/>
        </w:rPr>
        <w:t>。</w:t>
      </w:r>
    </w:p>
    <w:p>
      <w:pPr>
        <w:pBdr>
          <w:bottom w:val="single" w:color="auto" w:sz="6" w:space="1"/>
        </w:pBdr>
        <w:adjustRightInd w:val="0"/>
        <w:spacing w:line="360" w:lineRule="auto"/>
        <w:ind w:firstLine="409" w:firstLineChars="195"/>
        <w:textAlignment w:val="baseline"/>
        <w:rPr>
          <w:rFonts w:ascii="宋体" w:hAnsi="宋体" w:cs="宋体"/>
          <w:color w:val="auto"/>
          <w:szCs w:val="21"/>
          <w:highlight w:val="none"/>
        </w:rPr>
      </w:pPr>
      <w:r>
        <w:rPr>
          <w:rFonts w:hint="eastAsia" w:ascii="宋体" w:hAnsi="宋体" w:cs="宋体"/>
          <w:color w:val="auto"/>
          <w:szCs w:val="21"/>
          <w:highlight w:val="none"/>
        </w:rPr>
        <w:t>11.3.4若投标人的投标报价低于工程成本警戒价的，投标人还须提供详细的施工组织设计、单价、措施性费用、单价分析表、主要材料价格表、投标人成本分析供评标委员会评审。</w:t>
      </w:r>
    </w:p>
    <w:p>
      <w:pPr>
        <w:pBdr>
          <w:bottom w:val="single" w:color="auto" w:sz="6" w:space="1"/>
        </w:pBdr>
        <w:spacing w:line="440" w:lineRule="exact"/>
        <w:ind w:firstLine="470" w:firstLineChars="224"/>
        <w:rPr>
          <w:rFonts w:hint="eastAsia" w:ascii="宋体" w:hAnsi="宋体" w:cs="宋体"/>
          <w:color w:val="auto"/>
          <w:szCs w:val="21"/>
          <w:highlight w:val="none"/>
        </w:rPr>
      </w:pPr>
      <w:r>
        <w:rPr>
          <w:rFonts w:hint="eastAsia" w:ascii="宋体" w:hAnsi="宋体" w:cs="宋体"/>
          <w:color w:val="auto"/>
          <w:szCs w:val="21"/>
          <w:highlight w:val="none"/>
          <w:u w:val="single"/>
        </w:rPr>
        <w:t>11.3.5投标人认为应提供的其他资料</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lang w:val="en-US" w:eastAsia="zh-CN"/>
        </w:rPr>
        <w:t>如有</w:t>
      </w:r>
      <w:r>
        <w:rPr>
          <w:rFonts w:hint="eastAsia" w:ascii="宋体" w:hAnsi="宋体" w:cs="宋体"/>
          <w:color w:val="auto"/>
          <w:szCs w:val="21"/>
          <w:highlight w:val="none"/>
          <w:u w:val="single"/>
          <w:lang w:eastAsia="zh-CN"/>
        </w:rPr>
        <w:t>）</w:t>
      </w:r>
      <w:r>
        <w:rPr>
          <w:rFonts w:hint="eastAsia" w:ascii="宋体" w:hAnsi="宋体"/>
          <w:b/>
          <w:bCs/>
          <w:color w:val="auto"/>
          <w:szCs w:val="21"/>
          <w:highlight w:val="none"/>
          <w:u w:val="single"/>
        </w:rPr>
        <w:t>。</w:t>
      </w:r>
    </w:p>
    <w:p>
      <w:pPr>
        <w:adjustRightInd w:val="0"/>
        <w:spacing w:line="360" w:lineRule="auto"/>
        <w:ind w:firstLine="411" w:firstLineChars="195"/>
        <w:textAlignment w:val="baseline"/>
        <w:rPr>
          <w:rFonts w:hint="eastAsia" w:ascii="宋体" w:hAnsi="宋体" w:cs="宋体"/>
          <w:b/>
          <w:color w:val="auto"/>
          <w:szCs w:val="21"/>
          <w:highlight w:val="none"/>
        </w:rPr>
      </w:pPr>
      <w:r>
        <w:rPr>
          <w:rFonts w:hint="eastAsia" w:ascii="宋体" w:hAnsi="宋体" w:cs="宋体"/>
          <w:b/>
          <w:color w:val="auto"/>
          <w:szCs w:val="21"/>
          <w:highlight w:val="none"/>
        </w:rPr>
        <w:t>条款号：11.4           修改类型：增加</w:t>
      </w:r>
    </w:p>
    <w:p>
      <w:pPr>
        <w:adjustRightInd w:val="0"/>
        <w:spacing w:line="360" w:lineRule="auto"/>
        <w:ind w:firstLine="411" w:firstLineChars="195"/>
        <w:textAlignment w:val="baseline"/>
        <w:rPr>
          <w:rFonts w:hint="eastAsia" w:ascii="宋体" w:hAnsi="宋体" w:cs="宋体"/>
          <w:b w:val="0"/>
          <w:bCs/>
          <w:color w:val="auto"/>
          <w:szCs w:val="21"/>
          <w:highlight w:val="none"/>
          <w:u w:val="none"/>
        </w:rPr>
      </w:pPr>
      <w:r>
        <w:rPr>
          <w:rFonts w:hint="eastAsia" w:ascii="宋体" w:hAnsi="宋体" w:cs="宋体"/>
          <w:b/>
          <w:color w:val="auto"/>
          <w:szCs w:val="21"/>
          <w:highlight w:val="none"/>
        </w:rPr>
        <w:t>现文：</w:t>
      </w:r>
      <w:r>
        <w:rPr>
          <w:rFonts w:hint="eastAsia" w:ascii="宋体" w:hAnsi="宋体" w:cs="宋体"/>
          <w:b w:val="0"/>
          <w:bCs/>
          <w:color w:val="auto"/>
          <w:szCs w:val="21"/>
          <w:highlight w:val="none"/>
          <w:u w:val="none"/>
        </w:rPr>
        <w:t>11.4定标文件的组成</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11.4.</w:t>
      </w:r>
      <w:r>
        <w:rPr>
          <w:rFonts w:hint="eastAsia" w:ascii="宋体" w:hAnsi="宋体" w:cs="宋体"/>
          <w:color w:val="auto"/>
          <w:szCs w:val="21"/>
          <w:highlight w:val="none"/>
          <w:u w:val="single"/>
          <w:lang w:eastAsia="zh-CN"/>
        </w:rPr>
        <w:t>1</w:t>
      </w:r>
      <w:r>
        <w:rPr>
          <w:rFonts w:hint="eastAsia" w:ascii="宋体" w:hAnsi="宋体" w:eastAsia="宋体" w:cs="宋体"/>
          <w:color w:val="auto"/>
          <w:sz w:val="21"/>
          <w:szCs w:val="21"/>
          <w:highlight w:val="none"/>
          <w:u w:val="single"/>
        </w:rPr>
        <w:t>投标人依据《定标因素表》提供定标技术文件资料（如有）</w:t>
      </w:r>
      <w:r>
        <w:rPr>
          <w:rFonts w:hint="eastAsia" w:ascii="宋体" w:hAnsi="宋体" w:cs="宋体"/>
          <w:color w:val="auto"/>
          <w:szCs w:val="21"/>
          <w:highlight w:val="none"/>
          <w:u w:val="single"/>
        </w:rPr>
        <w:t>；</w:t>
      </w:r>
    </w:p>
    <w:p>
      <w:pPr>
        <w:spacing w:line="440" w:lineRule="exact"/>
        <w:ind w:left="420" w:leftChars="200" w:firstLine="0" w:firstLineChars="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11.4.2《定标因素表》中的</w:t>
      </w:r>
      <w:r>
        <w:rPr>
          <w:rFonts w:hint="eastAsia" w:ascii="宋体" w:hAnsi="宋体" w:cs="宋体"/>
          <w:color w:val="auto"/>
          <w:sz w:val="21"/>
          <w:szCs w:val="21"/>
          <w:highlight w:val="none"/>
          <w:u w:val="single"/>
          <w:lang w:val="en-US" w:eastAsia="zh-CN"/>
        </w:rPr>
        <w:t>投标</w:t>
      </w:r>
      <w:r>
        <w:rPr>
          <w:rFonts w:hint="eastAsia" w:ascii="宋体" w:hAnsi="宋体" w:eastAsia="宋体" w:cs="宋体"/>
          <w:color w:val="auto"/>
          <w:sz w:val="21"/>
          <w:szCs w:val="21"/>
          <w:highlight w:val="none"/>
          <w:u w:val="single"/>
        </w:rPr>
        <w:t>报价不需要投标人重复提供；</w:t>
      </w:r>
    </w:p>
    <w:p>
      <w:pPr>
        <w:spacing w:line="440" w:lineRule="exact"/>
        <w:ind w:left="420" w:leftChars="200" w:firstLine="0" w:firstLineChars="0"/>
        <w:rPr>
          <w:rFonts w:hint="eastAsia" w:ascii="宋体" w:hAnsi="宋体" w:eastAsia="宋体" w:cs="宋体"/>
          <w:color w:val="auto"/>
          <w:szCs w:val="21"/>
          <w:highlight w:val="none"/>
          <w:u w:val="single"/>
          <w:lang w:eastAsia="zh-CN"/>
        </w:rPr>
      </w:pPr>
      <w:r>
        <w:rPr>
          <w:rFonts w:hint="eastAsia" w:ascii="宋体" w:hAnsi="宋体" w:eastAsia="宋体" w:cs="宋体"/>
          <w:color w:val="auto"/>
          <w:sz w:val="21"/>
          <w:szCs w:val="21"/>
          <w:highlight w:val="none"/>
          <w:u w:val="single"/>
        </w:rPr>
        <w:t>11.4.</w:t>
      </w:r>
      <w:r>
        <w:rPr>
          <w:rFonts w:hint="eastAsia" w:ascii="宋体" w:hAnsi="宋体" w:cs="宋体"/>
          <w:color w:val="auto"/>
          <w:sz w:val="21"/>
          <w:szCs w:val="21"/>
          <w:highlight w:val="none"/>
          <w:u w:val="single"/>
          <w:lang w:val="en-US" w:eastAsia="zh-CN"/>
        </w:rPr>
        <w:t>3</w:t>
      </w:r>
      <w:r>
        <w:rPr>
          <w:rFonts w:hint="eastAsia" w:ascii="宋体" w:hAnsi="宋体" w:eastAsia="宋体" w:cs="宋体"/>
          <w:color w:val="auto"/>
          <w:sz w:val="21"/>
          <w:szCs w:val="21"/>
          <w:highlight w:val="none"/>
          <w:u w:val="single"/>
        </w:rPr>
        <w:t>投标人认为应该提供的资料（如有）</w:t>
      </w:r>
      <w:r>
        <w:rPr>
          <w:rFonts w:hint="eastAsia" w:ascii="宋体" w:hAnsi="宋体" w:cs="宋体"/>
          <w:color w:val="auto"/>
          <w:sz w:val="21"/>
          <w:szCs w:val="21"/>
          <w:highlight w:val="none"/>
          <w:u w:val="single"/>
          <w:lang w:eastAsia="zh-CN"/>
        </w:rPr>
        <w:t>。</w:t>
      </w:r>
    </w:p>
    <w:p>
      <w:pPr>
        <w:pBdr>
          <w:bottom w:val="single" w:color="auto" w:sz="6" w:space="1"/>
        </w:pBdr>
        <w:adjustRightInd w:val="0"/>
        <w:spacing w:line="360" w:lineRule="auto"/>
        <w:ind w:firstLine="411" w:firstLineChars="195"/>
        <w:textAlignment w:val="baseline"/>
        <w:rPr>
          <w:rFonts w:ascii="宋体" w:hAnsi="宋体" w:cs="宋体"/>
          <w:color w:val="auto"/>
          <w:szCs w:val="21"/>
          <w:highlight w:val="none"/>
          <w:u w:val="single"/>
        </w:rPr>
      </w:pPr>
      <w:r>
        <w:rPr>
          <w:rFonts w:hint="eastAsia" w:ascii="宋体" w:hAnsi="宋体" w:cs="宋体"/>
          <w:b/>
          <w:color w:val="auto"/>
          <w:kern w:val="0"/>
          <w:szCs w:val="20"/>
          <w:highlight w:val="none"/>
          <w:u w:val="single"/>
        </w:rPr>
        <w:t>注</w:t>
      </w:r>
      <w:r>
        <w:rPr>
          <w:rFonts w:hint="eastAsia" w:ascii="宋体" w:hAnsi="宋体" w:cs="宋体"/>
          <w:b/>
          <w:color w:val="auto"/>
          <w:kern w:val="0"/>
          <w:szCs w:val="20"/>
          <w:highlight w:val="none"/>
          <w:u w:val="single"/>
          <w:lang w:eastAsia="zh-CN"/>
        </w:rPr>
        <w:t>：</w:t>
      </w:r>
      <w:r>
        <w:rPr>
          <w:rFonts w:hint="eastAsia" w:ascii="宋体" w:hAnsi="宋体" w:eastAsia="宋体" w:cs="宋体"/>
          <w:b/>
          <w:color w:val="auto"/>
          <w:kern w:val="0"/>
          <w:sz w:val="21"/>
          <w:szCs w:val="20"/>
          <w:highlight w:val="none"/>
          <w:u w:val="single"/>
        </w:rPr>
        <w:t>定标文件的递交时间和形式由投标人按照投标须知前附表第18项所规定的时间及本须知第18条的相关要求执行</w:t>
      </w:r>
      <w:r>
        <w:rPr>
          <w:rFonts w:hint="eastAsia" w:ascii="宋体" w:hAnsi="宋体" w:cs="宋体"/>
          <w:b/>
          <w:color w:val="auto"/>
          <w:kern w:val="0"/>
          <w:szCs w:val="20"/>
          <w:highlight w:val="none"/>
          <w:u w:val="single"/>
        </w:rPr>
        <w:t>。</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条款号：12.2                        修改类型：修改</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12.2投标文件全部采用电子文档，投标文件所附证书证件均为原件扫描件，并采用单位数字证书，按招标文件要求在相应位置加盖电子印章。投标文件中需个人签字或盖章的，应在线下完成后扫描上传。按照交易平台关于全流程电子化项目的相关指南进行操作。详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pBdr>
          <w:bottom w:val="single" w:color="auto" w:sz="6" w:space="1"/>
        </w:pBdr>
        <w:adjustRightInd w:val="0"/>
        <w:spacing w:line="360" w:lineRule="auto"/>
        <w:ind w:firstLine="411" w:firstLineChars="195"/>
        <w:textAlignment w:val="baseline"/>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12.2</w:t>
      </w:r>
      <w:r>
        <w:rPr>
          <w:rFonts w:hint="eastAsia" w:ascii="宋体" w:hAnsi="宋体" w:cs="宋体"/>
          <w:color w:val="auto"/>
          <w:szCs w:val="21"/>
          <w:highlight w:val="none"/>
          <w:u w:val="single"/>
        </w:rPr>
        <w:t>投标人应仔细阅读招标文件第四章投标文件格式的相关规定和要求。</w:t>
      </w:r>
      <w:r>
        <w:rPr>
          <w:rFonts w:hint="eastAsia" w:ascii="宋体" w:hAnsi="宋体" w:cs="宋体"/>
          <w:color w:val="auto"/>
          <w:szCs w:val="21"/>
          <w:highlight w:val="none"/>
        </w:rPr>
        <w:t>投标文件全部采用电子文档，投标文件所附证书证件均为原件</w:t>
      </w:r>
      <w:r>
        <w:rPr>
          <w:rFonts w:hint="eastAsia" w:ascii="宋体" w:hAnsi="宋体" w:cs="宋体"/>
          <w:color w:val="auto"/>
          <w:szCs w:val="21"/>
          <w:highlight w:val="none"/>
          <w:u w:val="single"/>
        </w:rPr>
        <w:t>清晰</w:t>
      </w:r>
      <w:r>
        <w:rPr>
          <w:rFonts w:hint="eastAsia" w:ascii="宋体" w:hAnsi="宋体" w:cs="宋体"/>
          <w:color w:val="auto"/>
          <w:szCs w:val="21"/>
          <w:highlight w:val="none"/>
        </w:rPr>
        <w:t>扫描件，并采用单位数字证书，按招标文件要求在相应位置加盖电子印章。投标文件中需个人签字或盖章的，应在线下完成后扫描上传。按照</w:t>
      </w:r>
      <w:r>
        <w:rPr>
          <w:rFonts w:hint="eastAsia" w:ascii="宋体" w:hAnsi="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rPr>
        <w:t>交易平台关于全流程电子化项目的相关指南进行操作。详见：</w:t>
      </w:r>
      <w:r>
        <w:rPr>
          <w:rFonts w:hint="eastAsia" w:ascii="宋体" w:hAnsi="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u w:val="single"/>
        </w:rPr>
        <w:t>网站最新指引</w:t>
      </w:r>
      <w:r>
        <w:rPr>
          <w:rFonts w:hint="eastAsia" w:ascii="宋体" w:hAnsi="宋体" w:cs="宋体"/>
          <w:color w:val="auto"/>
          <w:szCs w:val="21"/>
          <w:highlight w:val="none"/>
        </w:rPr>
        <w:t>。</w:t>
      </w:r>
    </w:p>
    <w:p>
      <w:pPr>
        <w:pBdr>
          <w:bottom w:val="single" w:color="auto" w:sz="6" w:space="1"/>
        </w:pBdr>
        <w:adjustRightInd w:val="0"/>
        <w:spacing w:line="360" w:lineRule="auto"/>
        <w:ind w:firstLine="431" w:firstLineChars="195"/>
        <w:textAlignment w:val="baseline"/>
        <w:rPr>
          <w:rFonts w:hint="eastAsia" w:ascii="宋体" w:hAnsi="宋体"/>
          <w:b/>
          <w:color w:val="auto"/>
          <w:sz w:val="22"/>
          <w:szCs w:val="20"/>
          <w:highlight w:val="none"/>
          <w:u w:val="single"/>
        </w:rPr>
      </w:pPr>
      <w:r>
        <w:rPr>
          <w:rFonts w:hint="eastAsia" w:ascii="宋体" w:hAnsi="宋体"/>
          <w:b/>
          <w:color w:val="auto"/>
          <w:sz w:val="22"/>
          <w:szCs w:val="20"/>
          <w:highlight w:val="none"/>
          <w:u w:val="single"/>
        </w:rPr>
        <w:t>如联合体投标，投标文件中的“投标人”、“声明企业”、“投标单位”应填写联合体各成员的单位全称“（主）***公司（成）***公司”。除投标文件中的联合体工作协议、投标人声明需联合体各</w:t>
      </w:r>
      <w:r>
        <w:rPr>
          <w:rFonts w:hint="eastAsia" w:ascii="宋体" w:hAnsi="宋体"/>
          <w:b/>
          <w:color w:val="auto"/>
          <w:sz w:val="22"/>
          <w:szCs w:val="20"/>
          <w:highlight w:val="none"/>
          <w:u w:val="single"/>
          <w:lang w:val="en-US" w:eastAsia="zh-CN"/>
        </w:rPr>
        <w:t>方</w:t>
      </w:r>
      <w:r>
        <w:rPr>
          <w:rFonts w:hint="eastAsia" w:ascii="宋体" w:hAnsi="宋体"/>
          <w:b/>
          <w:color w:val="auto"/>
          <w:sz w:val="22"/>
          <w:szCs w:val="20"/>
          <w:highlight w:val="none"/>
          <w:u w:val="single"/>
        </w:rPr>
        <w:t>按格式要求盖章或签字外，其他资料均由主办方盖章或签字即可。</w:t>
      </w:r>
    </w:p>
    <w:p>
      <w:pPr>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条款号：12.3                        修改类型：修改</w:t>
      </w:r>
    </w:p>
    <w:p>
      <w:pPr>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12.3投标文件应按照交易平台关于全流程电子化项目的相关指南进行编制，详见：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09" w:firstLineChars="195"/>
        <w:textAlignment w:val="baseline"/>
        <w:rPr>
          <w:rFonts w:ascii="宋体" w:hAnsi="宋体" w:cs="宋体"/>
          <w:b/>
          <w:color w:val="auto"/>
          <w:szCs w:val="21"/>
          <w:highlight w:val="none"/>
        </w:rPr>
      </w:pPr>
      <w:r>
        <w:rPr>
          <w:rFonts w:hint="eastAsia" w:ascii="宋体" w:hAnsi="宋体" w:cs="宋体"/>
          <w:bCs/>
          <w:color w:val="auto"/>
          <w:szCs w:val="21"/>
          <w:highlight w:val="none"/>
        </w:rPr>
        <w:t>如不按上述要求编制引起系统无法检索、读取相关信息的，其后果由投标人承担。</w:t>
      </w:r>
    </w:p>
    <w:p>
      <w:pPr>
        <w:pBdr>
          <w:bottom w:val="single" w:color="auto" w:sz="6" w:space="1"/>
        </w:pBdr>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12.3</w:t>
      </w:r>
      <w:r>
        <w:rPr>
          <w:rFonts w:hint="eastAsia" w:ascii="宋体" w:hAnsi="宋体" w:cs="宋体"/>
          <w:bCs/>
          <w:color w:val="auto"/>
          <w:szCs w:val="21"/>
          <w:highlight w:val="none"/>
        </w:rPr>
        <w:t>投标文件应按</w:t>
      </w:r>
      <w:r>
        <w:rPr>
          <w:rFonts w:hint="eastAsia" w:ascii="宋体" w:hAnsi="宋体" w:cs="宋体"/>
          <w:color w:val="auto"/>
          <w:szCs w:val="21"/>
          <w:highlight w:val="none"/>
        </w:rPr>
        <w:t>照</w:t>
      </w:r>
      <w:r>
        <w:rPr>
          <w:rFonts w:hint="eastAsia" w:ascii="宋体" w:hAnsi="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rPr>
        <w:t>交易平台关于全流程电子化项目的相关指南进行编制，详见：</w:t>
      </w:r>
      <w:r>
        <w:rPr>
          <w:rFonts w:hint="eastAsia" w:ascii="宋体" w:hAnsi="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u w:val="single"/>
        </w:rPr>
        <w:t>网站最新指引</w:t>
      </w:r>
      <w:r>
        <w:rPr>
          <w:rFonts w:hint="eastAsia" w:ascii="宋体" w:hAnsi="宋体" w:cs="宋体"/>
          <w:color w:val="auto"/>
          <w:szCs w:val="21"/>
          <w:highlight w:val="none"/>
        </w:rPr>
        <w:t>。</w:t>
      </w:r>
    </w:p>
    <w:p>
      <w:pPr>
        <w:pBdr>
          <w:bottom w:val="single" w:color="auto" w:sz="6" w:space="1"/>
        </w:pBdr>
        <w:spacing w:line="360" w:lineRule="auto"/>
        <w:ind w:firstLine="409" w:firstLineChars="195"/>
        <w:textAlignment w:val="baseline"/>
        <w:rPr>
          <w:rFonts w:ascii="宋体" w:hAnsi="宋体" w:cs="宋体"/>
          <w:b/>
          <w:color w:val="auto"/>
          <w:szCs w:val="21"/>
          <w:highlight w:val="none"/>
        </w:rPr>
      </w:pPr>
      <w:r>
        <w:rPr>
          <w:rFonts w:hint="eastAsia" w:ascii="宋体" w:hAnsi="宋体" w:cs="宋体"/>
          <w:bCs/>
          <w:color w:val="auto"/>
          <w:szCs w:val="21"/>
          <w:highlight w:val="none"/>
        </w:rPr>
        <w:t>如不按上述要求编制引起系统无法检索、读取相关信息的，其后果由投标人承担。</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条款号：13.1                        修改类型：修改</w:t>
      </w:r>
    </w:p>
    <w:p>
      <w:pPr>
        <w:pBdr>
          <w:bottom w:val="single" w:color="auto" w:sz="6" w:space="1"/>
        </w:pBdr>
        <w:spacing w:line="360" w:lineRule="auto"/>
        <w:ind w:firstLine="411" w:firstLineChars="195"/>
        <w:rPr>
          <w:rFonts w:ascii="宋体" w:hAnsi="宋体" w:cs="宋体"/>
          <w:color w:val="auto"/>
          <w:szCs w:val="21"/>
          <w:highlight w:val="none"/>
          <w:u w:val="single"/>
        </w:rPr>
      </w:pPr>
      <w:r>
        <w:rPr>
          <w:rFonts w:hint="eastAsia" w:ascii="宋体" w:hAnsi="宋体" w:cs="宋体"/>
          <w:b/>
          <w:color w:val="auto"/>
          <w:szCs w:val="21"/>
          <w:highlight w:val="none"/>
        </w:rPr>
        <w:t>原文：</w:t>
      </w:r>
      <w:r>
        <w:rPr>
          <w:rFonts w:hint="eastAsia" w:ascii="宋体" w:hAnsi="宋体" w:cs="宋体"/>
          <w:color w:val="auto"/>
          <w:szCs w:val="21"/>
          <w:highlight w:val="none"/>
        </w:rPr>
        <w:t>13.1本工程的投标报价采用投标须知前附表第12项所规定的方式。投标报价（含单价及总价）精确到“分”。</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13.1本工程的投标报价采用投标须知前附表第12项所规定的方式。</w:t>
      </w:r>
      <w:r>
        <w:rPr>
          <w:rFonts w:hint="eastAsia" w:ascii="宋体" w:hAnsi="宋体" w:cs="宋体"/>
          <w:color w:val="auto"/>
          <w:szCs w:val="21"/>
          <w:highlight w:val="none"/>
          <w:u w:val="single"/>
        </w:rPr>
        <w:t>投标文件中的大写金额和小写金额不一致的，以大写金额为准。</w:t>
      </w:r>
      <w:r>
        <w:rPr>
          <w:rFonts w:hint="eastAsia" w:ascii="宋体" w:hAnsi="宋体" w:cs="宋体"/>
          <w:color w:val="auto"/>
          <w:szCs w:val="21"/>
          <w:highlight w:val="none"/>
        </w:rPr>
        <w:t>投标报价（含单价及总价）精确到“分”。</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条款号：13.3                        修改类型：修改</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13.3投标人的投标报价，应是按照投标须知前附表第8项的工期要求，在投标须知前附表第3项的建设地点，完成投标须知前附表第7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13.3投标人的投标报价，应是按照投标须知前附表第8项的工期要求，在投标须知前附表第3项的建设地点，完成投标须知前附表第7项的招标范围内已由招标人</w:t>
      </w:r>
      <w:r>
        <w:rPr>
          <w:rFonts w:hint="eastAsia" w:ascii="宋体" w:hAnsi="宋体" w:cs="宋体"/>
          <w:color w:val="auto"/>
          <w:szCs w:val="21"/>
          <w:highlight w:val="none"/>
          <w:u w:val="single"/>
        </w:rPr>
        <w:t>提供的招标图纸（包括有关于本项目招标的相关资料）及</w:t>
      </w:r>
      <w:r>
        <w:rPr>
          <w:rFonts w:hint="eastAsia" w:ascii="宋体" w:hAnsi="宋体" w:cs="宋体"/>
          <w:color w:val="auto"/>
          <w:szCs w:val="21"/>
          <w:highlight w:val="none"/>
        </w:rPr>
        <w:t>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条款号：13.4                         修改类型：修改</w:t>
      </w:r>
    </w:p>
    <w:p>
      <w:pPr>
        <w:pStyle w:val="49"/>
        <w:spacing w:after="0" w:line="360" w:lineRule="auto"/>
        <w:ind w:firstLine="411" w:firstLineChars="195"/>
        <w:rPr>
          <w:rFonts w:ascii="宋体" w:hAnsi="宋体" w:eastAsia="宋体" w:cs="宋体"/>
          <w:color w:val="auto"/>
          <w:szCs w:val="21"/>
          <w:highlight w:val="none"/>
        </w:rPr>
      </w:pPr>
      <w:r>
        <w:rPr>
          <w:rFonts w:hint="eastAsia" w:ascii="宋体" w:hAnsi="宋体" w:eastAsia="宋体" w:cs="宋体"/>
          <w:b/>
          <w:color w:val="auto"/>
          <w:szCs w:val="21"/>
          <w:highlight w:val="none"/>
        </w:rPr>
        <w:t>原文：</w:t>
      </w:r>
      <w:r>
        <w:rPr>
          <w:rFonts w:hint="eastAsia" w:ascii="宋体" w:hAnsi="宋体" w:eastAsia="宋体" w:cs="宋体"/>
          <w:color w:val="auto"/>
          <w:szCs w:val="21"/>
          <w:highlight w:val="none"/>
        </w:rPr>
        <w:t>13.4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Bdr>
          <w:bottom w:val="single" w:color="auto" w:sz="6" w:space="1"/>
        </w:pBdr>
        <w:spacing w:line="360" w:lineRule="auto"/>
        <w:ind w:firstLine="411" w:firstLineChars="195"/>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13.4投标人一旦中标，投标人对招标人提供的招标工程量清单中列出的工程项目所报出的综合单价</w:t>
      </w:r>
      <w:r>
        <w:rPr>
          <w:rFonts w:hint="eastAsia" w:ascii="宋体" w:hAnsi="宋体" w:cs="宋体"/>
          <w:color w:val="auto"/>
          <w:szCs w:val="21"/>
          <w:highlight w:val="none"/>
          <w:u w:val="single"/>
        </w:rPr>
        <w:t>和措施项目费（措施项目费必须单列，没有单独列出的，视为已经包含在投标报价中），在工程结算时，按招标文件第三章合同条款相关约定调整。</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条款号：13.5                        修改类型：修改</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13.5工程项目实施期间和结算时，招标文件工程量清单中漏列而由监理单位和招标人现场签证确认的工程项目、原设计没有而由招标人批准设计变更产生的工程项目，视为新增项目，按以下顺序确定价格：</w:t>
      </w:r>
    </w:p>
    <w:p>
      <w:pPr>
        <w:pBdr>
          <w:bottom w:val="single" w:color="auto" w:sz="6" w:space="1"/>
        </w:pBd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13.5.1中标的投标文件工程量清单中已有相同项目的适用综合单价，则沿用；</w:t>
      </w:r>
    </w:p>
    <w:p>
      <w:pPr>
        <w:pBdr>
          <w:bottom w:val="single" w:color="auto" w:sz="6" w:space="1"/>
        </w:pBd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13.5.2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Bdr>
          <w:bottom w:val="single" w:color="auto" w:sz="6" w:space="1"/>
        </w:pBd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rPr>
        <w:t>13.5.3 中标的投标文件工程量清单中没有相同项目或类似项目的，如可套取相关定额，则以相关定额为基数下浮计算单价,下浮率为中标价相对于最高投标限价的下浮率（下浮率=(最高投标限价-中标价)/最高投标限价）。</w:t>
      </w:r>
    </w:p>
    <w:p>
      <w:pPr>
        <w:pBdr>
          <w:bottom w:val="single" w:color="auto" w:sz="6" w:space="1"/>
        </w:pBdr>
        <w:spacing w:line="360" w:lineRule="auto"/>
        <w:ind w:firstLine="409" w:firstLineChars="195"/>
        <w:rPr>
          <w:rFonts w:ascii="宋体" w:hAnsi="宋体" w:cs="宋体"/>
          <w:color w:val="auto"/>
          <w:szCs w:val="21"/>
          <w:highlight w:val="none"/>
          <w:u w:val="single"/>
        </w:rPr>
      </w:pPr>
      <w:r>
        <w:rPr>
          <w:rFonts w:hint="eastAsia" w:ascii="宋体" w:hAnsi="宋体" w:cs="宋体"/>
          <w:color w:val="auto"/>
          <w:szCs w:val="21"/>
          <w:highlight w:val="none"/>
        </w:rPr>
        <w:t>13.5.4 如相关定额没有相应子目的，其计价方式由招标人在本招标文件第三章中另行规定。未规定的，中标后双方协商约定。</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13.5</w:t>
      </w:r>
      <w:r>
        <w:rPr>
          <w:rFonts w:hint="eastAsia" w:ascii="宋体" w:hAnsi="宋体" w:cs="宋体"/>
          <w:color w:val="auto"/>
          <w:szCs w:val="21"/>
          <w:highlight w:val="none"/>
          <w:u w:val="single"/>
        </w:rPr>
        <w:t>工程项目实施期间和结算时，根据招标图纸及工程量清单计价规范在招标文件工程量清单中漏列而由监理单位和招标人现场签证确认的实体工程项目、原设计没有而由招标人批准设计变更产生的实体工程项目，视为新增项目，按合同专用条款相关约定确定价格。</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条款号：13.6.2                      修改类型：修改</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13.6.2在工程实施中，暂列金额、暂估价所包含的工作范围和图纸、标准深化固定后，按照工程专业、设备、材料类别等分类汇总的金额，达到法定招标范围标准的，应由招标人同中标人联合招标，确定承包人和承包价格。</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13.6.2在工程实施中，暂列金额、暂估价所包含的工作范围和图纸、标准深化固定后，按照工程专业、设备、材料类别等分类汇总的金额，达到法定招标范围标准的</w:t>
      </w:r>
      <w:r>
        <w:rPr>
          <w:rFonts w:hint="eastAsia" w:ascii="宋体" w:hAnsi="宋体" w:cs="宋体"/>
          <w:color w:val="auto"/>
          <w:szCs w:val="21"/>
          <w:highlight w:val="none"/>
          <w:u w:val="single"/>
        </w:rPr>
        <w:t>应由招标人招标确定承包人和承包价格。</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条款号：13.6.4                      修改类型：修改</w:t>
      </w:r>
    </w:p>
    <w:p>
      <w:pP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13.6.4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13.5款规定确定。</w:t>
      </w:r>
    </w:p>
    <w:p>
      <w:pPr>
        <w:pStyle w:val="49"/>
        <w:pBdr>
          <w:bottom w:val="single" w:color="auto" w:sz="6" w:space="1"/>
        </w:pBdr>
        <w:spacing w:after="0" w:line="360" w:lineRule="auto"/>
        <w:ind w:firstLine="411" w:firstLineChars="195"/>
        <w:rPr>
          <w:rFonts w:ascii="宋体" w:hAnsi="宋体" w:eastAsia="宋体" w:cs="宋体"/>
          <w:color w:val="auto"/>
          <w:szCs w:val="21"/>
          <w:highlight w:val="none"/>
        </w:rPr>
      </w:pPr>
      <w:r>
        <w:rPr>
          <w:rFonts w:hint="eastAsia" w:ascii="宋体" w:hAnsi="宋体" w:eastAsia="宋体" w:cs="宋体"/>
          <w:b/>
          <w:color w:val="auto"/>
          <w:szCs w:val="21"/>
          <w:highlight w:val="none"/>
        </w:rPr>
        <w:t>现文：</w:t>
      </w:r>
      <w:r>
        <w:rPr>
          <w:rFonts w:hint="eastAsia" w:ascii="宋体" w:hAnsi="宋体" w:eastAsia="宋体" w:cs="宋体"/>
          <w:color w:val="auto"/>
          <w:szCs w:val="21"/>
          <w:highlight w:val="none"/>
        </w:rPr>
        <w:t>13.6.4在工程实施中，暂列金额、暂估价所包含的工作范围和图纸、标准深化固定后，按照工程专业、设备、材料类别等分类汇总的金额，未达到法定招标范围标准也不适用政府采购规定，</w:t>
      </w:r>
      <w:r>
        <w:rPr>
          <w:rFonts w:hint="eastAsia" w:ascii="宋体" w:hAnsi="宋体" w:eastAsia="宋体" w:cs="宋体"/>
          <w:color w:val="auto"/>
          <w:szCs w:val="21"/>
          <w:highlight w:val="none"/>
          <w:u w:val="single"/>
        </w:rPr>
        <w:t>经发包人同意，</w:t>
      </w:r>
      <w:r>
        <w:rPr>
          <w:rFonts w:hint="eastAsia" w:ascii="宋体" w:hAnsi="宋体" w:eastAsia="宋体" w:cs="宋体"/>
          <w:color w:val="auto"/>
          <w:szCs w:val="21"/>
          <w:highlight w:val="none"/>
        </w:rPr>
        <w:t>承包人有法定的承包资格的，由承包人承包，承包人无法定的承包资格但有法定的分包权的，由承包人分包，招标人同承包人结算的价格按本投标须知13.5款规定确定。</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条款号：13.8                         修改类型：修改</w:t>
      </w:r>
    </w:p>
    <w:p>
      <w:pPr>
        <w:pStyle w:val="49"/>
        <w:spacing w:after="0" w:line="360" w:lineRule="auto"/>
        <w:ind w:firstLine="411" w:firstLineChars="195"/>
        <w:rPr>
          <w:rFonts w:ascii="宋体" w:hAnsi="宋体" w:eastAsia="宋体" w:cs="宋体"/>
          <w:color w:val="auto"/>
          <w:szCs w:val="21"/>
          <w:highlight w:val="none"/>
        </w:rPr>
      </w:pPr>
      <w:r>
        <w:rPr>
          <w:rFonts w:hint="eastAsia" w:ascii="宋体" w:hAnsi="宋体" w:eastAsia="宋体" w:cs="宋体"/>
          <w:b/>
          <w:color w:val="auto"/>
          <w:szCs w:val="21"/>
          <w:highlight w:val="none"/>
        </w:rPr>
        <w:t>原文：</w:t>
      </w:r>
      <w:r>
        <w:rPr>
          <w:rFonts w:hint="eastAsia" w:ascii="宋体" w:hAnsi="宋体" w:eastAsia="宋体" w:cs="宋体"/>
          <w:color w:val="auto"/>
          <w:szCs w:val="21"/>
          <w:highlight w:val="none"/>
        </w:rPr>
        <w:t>13.8属于承包人自行采购的主要材料、设备，招标人应当在招标文件中提出材料、设备的技术标准或者质量要求，或者提出不少于3个同等档次品牌或分包商供投标人报价时选择,凡招标人在招标文件中提出参考品牌的，必须在参考品牌后面加上“或相当于”字样。投标人在投标文件中应明确所选用主要材料、设备的品牌、厂家以及质量等级，并且应当符合招标文件的要求。</w:t>
      </w:r>
    </w:p>
    <w:p>
      <w:pPr>
        <w:pBdr>
          <w:bottom w:val="single" w:color="auto" w:sz="4" w:space="0"/>
        </w:pBdr>
        <w:spacing w:line="360" w:lineRule="auto"/>
        <w:ind w:firstLine="411" w:firstLineChars="195"/>
        <w:rPr>
          <w:rFonts w:hint="eastAsia"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13.8</w:t>
      </w:r>
      <w:r>
        <w:rPr>
          <w:rFonts w:hint="eastAsia" w:ascii="宋体" w:hAnsi="宋体" w:cs="宋体"/>
          <w:color w:val="auto"/>
          <w:szCs w:val="21"/>
          <w:highlight w:val="none"/>
          <w:u w:val="single"/>
        </w:rPr>
        <w:t>本工程采用的主要材料推荐选用本招标文件附件《参考品牌》的品牌、厂家或选用相当于该档次（或以上）的产品。投标期间，投标人不需在投标文件中明确所选用主要材料、设备的品牌、厂家以及质量等级。实施期间，所有材料品牌选择均须报发包人、监理工程师确认，所有材料及成品质量必须满足设计与规范要求，且经检验合格后方可使用。</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条款号：13.10                       修改类型：增加</w:t>
      </w:r>
    </w:p>
    <w:p>
      <w:pPr>
        <w:pBdr>
          <w:bottom w:val="single" w:color="auto" w:sz="6" w:space="1"/>
        </w:pBdr>
        <w:spacing w:line="360" w:lineRule="auto"/>
        <w:ind w:firstLine="411" w:firstLineChars="195"/>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13.10工程量清单报价中有关问题的说明：</w:t>
      </w:r>
    </w:p>
    <w:p>
      <w:pPr>
        <w:pBdr>
          <w:bottom w:val="single" w:color="auto" w:sz="6" w:space="1"/>
        </w:pBdr>
        <w:spacing w:line="360" w:lineRule="auto"/>
        <w:ind w:firstLine="409" w:firstLineChars="195"/>
        <w:rPr>
          <w:rFonts w:ascii="宋体" w:hAnsi="宋体" w:cs="宋体"/>
          <w:color w:val="auto"/>
          <w:szCs w:val="21"/>
          <w:highlight w:val="none"/>
          <w:u w:val="single"/>
        </w:rPr>
      </w:pPr>
      <w:r>
        <w:rPr>
          <w:rFonts w:hint="eastAsia" w:ascii="宋体" w:hAnsi="宋体" w:cs="宋体"/>
          <w:color w:val="auto"/>
          <w:szCs w:val="21"/>
          <w:highlight w:val="none"/>
          <w:u w:val="single"/>
        </w:rPr>
        <w:t>①工程量清单中的标志杆基础中的土方开挖、运输、外运等费用包含在相应项目中，不包含在土石方工程的相关项目中；</w:t>
      </w:r>
    </w:p>
    <w:p>
      <w:pPr>
        <w:pBdr>
          <w:bottom w:val="single" w:color="auto" w:sz="6" w:space="1"/>
        </w:pBdr>
        <w:spacing w:line="360" w:lineRule="auto"/>
        <w:ind w:firstLine="409" w:firstLineChars="195"/>
        <w:rPr>
          <w:rFonts w:ascii="宋体" w:hAnsi="宋体" w:cs="宋体"/>
          <w:color w:val="auto"/>
          <w:szCs w:val="21"/>
          <w:highlight w:val="none"/>
          <w:u w:val="single"/>
        </w:rPr>
      </w:pPr>
      <w:r>
        <w:rPr>
          <w:rFonts w:hint="eastAsia" w:ascii="宋体" w:hAnsi="宋体" w:cs="宋体"/>
          <w:color w:val="auto"/>
          <w:szCs w:val="21"/>
          <w:highlight w:val="none"/>
          <w:u w:val="single"/>
        </w:rPr>
        <w:t>②投标时,土方的弃运距离暂按15km内考虑，超过15km按15km计算，结算时按招标人确认的实际运距计算,实际运距超过15公里时按15公里包干,弃运的土方单价按定额计算。</w:t>
      </w:r>
    </w:p>
    <w:p>
      <w:pPr>
        <w:pBdr>
          <w:bottom w:val="single" w:color="auto" w:sz="6" w:space="1"/>
        </w:pBdr>
        <w:spacing w:line="360" w:lineRule="auto"/>
        <w:ind w:firstLine="409" w:firstLineChars="195"/>
        <w:rPr>
          <w:rFonts w:ascii="宋体" w:hAnsi="宋体" w:cs="宋体"/>
          <w:color w:val="auto"/>
          <w:szCs w:val="21"/>
          <w:highlight w:val="none"/>
        </w:rPr>
      </w:pPr>
      <w:r>
        <w:rPr>
          <w:rFonts w:hint="eastAsia" w:ascii="宋体" w:hAnsi="宋体" w:cs="宋体"/>
          <w:color w:val="auto"/>
          <w:szCs w:val="21"/>
          <w:highlight w:val="none"/>
          <w:u w:val="single"/>
        </w:rPr>
        <w:t>③工程量清单中措施项目清单费计价表中的绿色施工安全防护措施费执行《广东省住房和城乡建设厅关于印发&lt;广东省建设工程计价依据（2018)&gt;的通知》（穗建市〔2019〕6号）文，绿色施工安全防护措施费按发包人公布的本工程招标控制价（最高投标限价）中的绿色施工安全防护措施费计取，作为非竞争费用，在投标报价中单列，不参与投标竞价，该费用从工程施工中标价中提取，专款专用。</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条款号：13.11                       修改类型：增加</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13.11投标人应对当地现有的交通道路状况进行充分调查，充分考虑该路段的交通疏导问题和文明施工，制定可行的交通疏导（包括场内和场外）方案，确保原有道路的交通畅通和施工临时排水的通畅，并符合施工环保要求。承包人应与交警及公路管理部门协商，取得同意和协助，并负责承担道路改线或改善和其他费用。相关费用计入项目措施费中，结算时按发包人批准的实施方案，再按合同约定结算。如果中标人不及时按要求设置，业主可以另行委托实施，业主按实际发生的费用在工程款中扣除，中标人不得有任何异议。</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条款号：13.12                       修改类型：增加</w:t>
      </w:r>
    </w:p>
    <w:p>
      <w:pPr>
        <w:pBdr>
          <w:bottom w:val="single" w:color="auto" w:sz="6" w:space="1"/>
        </w:pBdr>
        <w:spacing w:line="360" w:lineRule="auto"/>
        <w:ind w:firstLine="411" w:firstLineChars="195"/>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olor w:val="auto"/>
          <w:szCs w:val="21"/>
          <w:highlight w:val="none"/>
          <w:u w:val="single"/>
        </w:rPr>
        <w:t>13.12中标人应加强周边学校、居民住宅的环境保护，制定绿色施工安全防护措施（包括防尘、防噪音、施工围蔽等），施工现场严格按照《广州市建设工程文明施工管理规定》（广州市人民政府令第62号）、《广州市建设工程现场文明施工管理办法》（穗建质〔2008〕937号）、《关于进一步加强我区建设工地文明施工管理的通知》（穗开规建〔2006〕74号）、《广州市住房和城乡建设委员会关于印发建设工程扬尘防治“6个100%”管理标准细化措施的通知》（穗建质〔2018〕1394号）及其他相关规定实施，施工围蔽严格按照、《关于进一步规范建设工程施工现场围蔽的通知》（穗建质〔2018〕1008号）、《广州市建设工程绿色施工围蔽指导图集（V2.0版）的通知》(穂建质〔2020〕1号)、《关于进一步落实我区市政建设项目施工围蔽提升工作的通知》（穗埔建[2019]123号）及《黄埔区住房和城乡建设局 广州开发区建设和交通局关于进一步规范全区建设工程施工围蔽标准的通知》（穗埔建﹝2020﹞183号）实施。以上文件要求不一致的，以后发布文件为准，若相关部门发布有关施工围蔽新文件规定的，按新规定执行。如中标人未及时按要求做好围蔽、落实工地扬尘防治等绿色施工安全防护措施，业主可另行委托单位实施，业主在工程款中扣减相应措施费用。中标人应当在项目施工前编制扬尘污染防治专项方案和扬尘污染防治费用使用计划，明确扬尘控制目标、防治部位、控制措施，并将扬尘污染防治费用专项使用</w:t>
      </w:r>
      <w:r>
        <w:rPr>
          <w:rFonts w:hint="eastAsia" w:ascii="宋体" w:hAnsi="宋体" w:cs="宋体"/>
          <w:bCs/>
          <w:color w:val="auto"/>
          <w:szCs w:val="21"/>
          <w:highlight w:val="none"/>
          <w:u w:val="single"/>
        </w:rPr>
        <w:t>。</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条款号：13.13                       修改类型：增加</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13.13本工程中标人通过现场考察，提出具体施工方案，无论在工程施工期间或是在质量保修期内，若因施工而引起的一切索赔、赔偿、诉讼费用和其他开支，由中标人承担全部责任。该项费用在措施项目费中设有独立单项项目，该费用（除围蔽费用除外）包干使用，且中标人不得以任何理由要求业主另行增加该部分费用（中标人要充分考虑最不利因素影响而采用的施工方案所需的费用）。</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条款号：13.14                       修改类型：增加</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13.14投标单位应结合本工程招标内容对现场进行充分的调查，充分考虑工程招标内容及施工组织方案，承包单位应与相关管理部门（如铁路管理部门）协商，取得同意协调，按要求完成工程招标内容，工程及相关费用包含在投标总价中，不另行计费。如果中标人不及时按要求完成，业主可以另行委托实施，业主按实际发生的费用在工程款中扣除，中标人不得有任何异议。</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条款号：13.15                       修改类型：增加</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13.15投标单位应根据区相关主管部门批复的水土保持实施方案及相关规定完成本工程的水土保持工作，承担防止水土流失职责，相关费用包含在投标总价中，不另行计费。如果中标人不及时按要求完成上述工作，业主可以另行委托实施，业主按实际发生的费用在工程款中扣除，中标人不得有任何异议。</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条款号：13.16                       修改类型：增加</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13.16中标人应使用绿色生产达标企业生产的混凝土，若不遵守承诺，自愿按不履行合同约定处理。</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条款号：13.17                       修改类型：增加</w:t>
      </w:r>
    </w:p>
    <w:p>
      <w:pPr>
        <w:pBdr>
          <w:bottom w:val="single" w:color="auto" w:sz="6" w:space="1"/>
        </w:pBdr>
        <w:spacing w:line="360" w:lineRule="auto"/>
        <w:ind w:firstLine="411" w:firstLineChars="195"/>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13.17中标人应按有关规定协助建设业主完成公共排水设施竣工图纸备案工作。</w:t>
      </w:r>
    </w:p>
    <w:p>
      <w:pPr>
        <w:spacing w:line="560" w:lineRule="exact"/>
        <w:ind w:firstLine="413" w:firstLineChars="196"/>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条款号：</w:t>
      </w:r>
      <w:r>
        <w:rPr>
          <w:rFonts w:hint="eastAsia" w:ascii="宋体" w:hAnsi="宋体" w:eastAsia="宋体" w:cs="宋体"/>
          <w:b/>
          <w:color w:val="auto"/>
          <w:szCs w:val="21"/>
          <w:highlight w:val="none"/>
          <w:lang w:val="en-US" w:eastAsia="zh-CN"/>
        </w:rPr>
        <w:t>15.2</w:t>
      </w:r>
      <w:r>
        <w:rPr>
          <w:rFonts w:hint="eastAsia" w:ascii="宋体" w:hAnsi="宋体" w:eastAsia="宋体" w:cs="宋体"/>
          <w:b/>
          <w:color w:val="auto"/>
          <w:szCs w:val="21"/>
          <w:highlight w:val="none"/>
        </w:rPr>
        <w:t xml:space="preserve">                                修改类型：修改</w:t>
      </w:r>
    </w:p>
    <w:p>
      <w:pPr>
        <w:spacing w:line="560" w:lineRule="exact"/>
        <w:ind w:firstLine="422" w:firstLineChars="200"/>
        <w:rPr>
          <w:rFonts w:hint="eastAsia" w:ascii="宋体" w:hAnsi="宋体" w:eastAsia="宋体" w:cs="宋体"/>
          <w:bCs/>
          <w:color w:val="auto"/>
          <w:szCs w:val="21"/>
          <w:highlight w:val="none"/>
        </w:rPr>
      </w:pPr>
      <w:r>
        <w:rPr>
          <w:rFonts w:hint="eastAsia" w:ascii="宋体" w:hAnsi="宋体" w:eastAsia="宋体" w:cs="宋体"/>
          <w:b/>
          <w:color w:val="auto"/>
          <w:szCs w:val="21"/>
          <w:highlight w:val="none"/>
        </w:rPr>
        <w:t>原文：</w:t>
      </w:r>
      <w:r>
        <w:rPr>
          <w:rFonts w:hint="eastAsia" w:ascii="宋体" w:hAnsi="宋体" w:eastAsia="宋体" w:cs="宋体"/>
          <w:bCs/>
          <w:color w:val="auto"/>
          <w:sz w:val="21"/>
          <w:szCs w:val="21"/>
          <w:highlight w:val="none"/>
        </w:rPr>
        <w:t>15.2 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16条关于投标保证金的退还与不予退还的规定仍然适用</w:t>
      </w:r>
      <w:r>
        <w:rPr>
          <w:rFonts w:hint="eastAsia" w:ascii="宋体" w:hAnsi="宋体" w:eastAsia="宋体" w:cs="宋体"/>
          <w:bCs/>
          <w:color w:val="auto"/>
          <w:szCs w:val="21"/>
          <w:highlight w:val="none"/>
        </w:rPr>
        <w:t>。</w:t>
      </w:r>
    </w:p>
    <w:p>
      <w:pPr>
        <w:pBdr>
          <w:bottom w:val="single" w:color="auto" w:sz="6" w:space="1"/>
        </w:pBdr>
        <w:spacing w:line="560" w:lineRule="exact"/>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现文：</w:t>
      </w:r>
      <w:r>
        <w:rPr>
          <w:rFonts w:hint="eastAsia" w:ascii="宋体" w:hAnsi="宋体" w:eastAsia="宋体" w:cs="宋体"/>
          <w:bCs/>
          <w:color w:val="auto"/>
          <w:sz w:val="21"/>
          <w:szCs w:val="21"/>
          <w:highlight w:val="none"/>
        </w:rPr>
        <w:t>15.2 在特殊情况下，招标人在原定投标有效期内，可以根据需要以书面形式向投标人提出延长投标有效期的要求，对此要求投标人须以书面形式予以答复。投标人可以拒绝招标人这种要求。同意延长投标有效期的投标人既不能要求也不允许修改其投标文件</w:t>
      </w:r>
      <w:r>
        <w:rPr>
          <w:rFonts w:hint="eastAsia" w:ascii="宋体" w:hAnsi="宋体" w:eastAsia="宋体" w:cs="宋体"/>
          <w:color w:val="auto"/>
          <w:szCs w:val="21"/>
          <w:highlight w:val="none"/>
        </w:rPr>
        <w:t>。</w:t>
      </w:r>
    </w:p>
    <w:p>
      <w:pPr>
        <w:spacing w:line="560" w:lineRule="exact"/>
        <w:ind w:firstLine="316" w:firstLineChars="150"/>
        <w:rPr>
          <w:rFonts w:hint="eastAsia" w:ascii="宋体" w:hAnsi="宋体" w:eastAsia="宋体" w:cs="宋体"/>
          <w:color w:val="auto"/>
          <w:szCs w:val="21"/>
          <w:highlight w:val="none"/>
          <w:lang w:eastAsia="zh-CN"/>
        </w:rPr>
      </w:pPr>
      <w:r>
        <w:rPr>
          <w:rFonts w:hint="eastAsia" w:ascii="宋体" w:hAnsi="宋体" w:eastAsia="宋体" w:cs="宋体"/>
          <w:b/>
          <w:color w:val="auto"/>
          <w:szCs w:val="21"/>
          <w:highlight w:val="none"/>
        </w:rPr>
        <w:t>条款号：</w:t>
      </w:r>
      <w:r>
        <w:rPr>
          <w:rFonts w:hint="eastAsia" w:ascii="宋体" w:hAnsi="宋体" w:eastAsia="宋体" w:cs="宋体"/>
          <w:b/>
          <w:color w:val="auto"/>
          <w:szCs w:val="21"/>
          <w:highlight w:val="none"/>
          <w:lang w:val="en-US" w:eastAsia="zh-CN"/>
        </w:rPr>
        <w:t>16、16.1.1、16.1.2、16.1.3</w:t>
      </w:r>
      <w:r>
        <w:rPr>
          <w:rFonts w:hint="eastAsia" w:ascii="宋体" w:hAnsi="宋体" w:eastAsia="宋体" w:cs="宋体"/>
          <w:b/>
          <w:color w:val="auto"/>
          <w:szCs w:val="21"/>
          <w:highlight w:val="none"/>
        </w:rPr>
        <w:t>  </w:t>
      </w:r>
      <w:r>
        <w:rPr>
          <w:rFonts w:hint="eastAsia" w:ascii="宋体" w:hAnsi="宋体" w:eastAsia="宋体" w:cs="宋体"/>
          <w:b/>
          <w:color w:val="auto"/>
          <w:szCs w:val="21"/>
          <w:highlight w:val="none"/>
          <w:lang w:val="en-US" w:eastAsia="zh-CN"/>
        </w:rPr>
        <w:t xml:space="preserve">       </w:t>
      </w:r>
      <w:r>
        <w:rPr>
          <w:rFonts w:hint="eastAsia" w:ascii="宋体" w:hAnsi="宋体" w:eastAsia="宋体" w:cs="宋体"/>
          <w:b/>
          <w:color w:val="auto"/>
          <w:szCs w:val="21"/>
          <w:highlight w:val="none"/>
        </w:rPr>
        <w:t>修改类型：</w:t>
      </w:r>
      <w:r>
        <w:rPr>
          <w:rFonts w:hint="eastAsia" w:ascii="宋体" w:hAnsi="宋体" w:eastAsia="宋体" w:cs="宋体"/>
          <w:b/>
          <w:color w:val="auto"/>
          <w:szCs w:val="21"/>
          <w:highlight w:val="none"/>
          <w:lang w:val="en-US" w:eastAsia="zh-CN"/>
        </w:rPr>
        <w:t>删除</w:t>
      </w:r>
    </w:p>
    <w:p>
      <w:pPr>
        <w:pBdr>
          <w:bottom w:val="single" w:color="auto" w:sz="6" w:space="1"/>
        </w:pBdr>
        <w:spacing w:line="560" w:lineRule="exact"/>
        <w:ind w:firstLine="316" w:firstLineChars="150"/>
        <w:rPr>
          <w:rFonts w:hint="eastAsia" w:ascii="宋体" w:hAnsi="宋体" w:eastAsia="宋体" w:cs="宋体"/>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rPr>
        <w:t>原文：</w:t>
      </w:r>
      <w:r>
        <w:rPr>
          <w:rFonts w:hint="eastAsia" w:ascii="宋体" w:hAnsi="宋体" w:eastAsia="宋体" w:cs="宋体"/>
          <w:b/>
          <w:bCs w:val="0"/>
          <w:color w:val="auto"/>
          <w:kern w:val="2"/>
          <w:sz w:val="21"/>
          <w:szCs w:val="21"/>
          <w:highlight w:val="none"/>
        </w:rPr>
        <w:t>16．投标保证金</w:t>
      </w:r>
    </w:p>
    <w:p>
      <w:pPr>
        <w:pBdr>
          <w:bottom w:val="single" w:color="auto" w:sz="6" w:space="1"/>
        </w:pBdr>
        <w:spacing w:line="560" w:lineRule="exact"/>
        <w:ind w:firstLine="315" w:firstLineChars="15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16.1投标人应按投标须知前附表第14项所述金额和时间递交投标保证金。招标人应当允许投标人自主选择现金、银行保函、保证保险、专业工程担保公司担保等方式缴纳投标保证金。</w:t>
      </w:r>
    </w:p>
    <w:p>
      <w:pPr>
        <w:pBdr>
          <w:bottom w:val="single" w:color="auto" w:sz="6" w:space="1"/>
        </w:pBdr>
        <w:spacing w:line="560" w:lineRule="exact"/>
        <w:ind w:firstLine="315" w:firstLineChars="15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16.1.1 采用现金或者支票形式提交的，投标保证金须从投标人的银行基本账户转出。</w:t>
      </w:r>
    </w:p>
    <w:p>
      <w:pPr>
        <w:pBdr>
          <w:bottom w:val="single" w:color="auto" w:sz="6" w:space="1"/>
        </w:pBdr>
        <w:spacing w:line="560" w:lineRule="exact"/>
        <w:ind w:firstLine="315" w:firstLineChars="15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pBdr>
          <w:bottom w:val="single" w:color="auto" w:sz="6" w:space="1"/>
        </w:pBdr>
        <w:spacing w:line="560" w:lineRule="exact"/>
        <w:ind w:firstLine="315" w:firstLineChars="15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16.1.3 采用电子形式的保函、担保或保证保险提交投标保证金的，应在招标文件中明确电子递交途径。</w:t>
      </w:r>
    </w:p>
    <w:p>
      <w:pPr>
        <w:spacing w:line="560" w:lineRule="exact"/>
        <w:ind w:firstLine="316" w:firstLineChars="150"/>
        <w:rPr>
          <w:rFonts w:hint="eastAsia" w:ascii="宋体" w:hAnsi="宋体" w:eastAsia="宋体" w:cs="宋体"/>
          <w:color w:val="auto"/>
          <w:szCs w:val="21"/>
          <w:highlight w:val="none"/>
          <w:lang w:val="en-US" w:eastAsia="zh-CN"/>
        </w:rPr>
      </w:pPr>
      <w:r>
        <w:rPr>
          <w:rFonts w:hint="eastAsia" w:ascii="宋体" w:hAnsi="宋体" w:eastAsia="宋体" w:cs="宋体"/>
          <w:b/>
          <w:color w:val="auto"/>
          <w:szCs w:val="21"/>
          <w:highlight w:val="none"/>
        </w:rPr>
        <w:t>条款号：16.</w:t>
      </w:r>
      <w:r>
        <w:rPr>
          <w:rFonts w:hint="eastAsia" w:ascii="宋体" w:hAnsi="宋体" w:eastAsia="宋体" w:cs="宋体"/>
          <w:b/>
          <w:color w:val="auto"/>
          <w:szCs w:val="21"/>
          <w:highlight w:val="none"/>
          <w:lang w:val="en-US" w:eastAsia="zh-CN"/>
        </w:rPr>
        <w:t>2、16.3、16.4、16.4.1、16.4.2、16.4.3</w:t>
      </w: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lang w:val="en-US" w:eastAsia="zh-CN"/>
        </w:rPr>
        <w:t>16.4.4</w:t>
      </w:r>
      <w:r>
        <w:rPr>
          <w:rFonts w:hint="eastAsia" w:ascii="宋体" w:hAnsi="宋体" w:eastAsia="宋体" w:cs="宋体"/>
          <w:b/>
          <w:color w:val="auto"/>
          <w:szCs w:val="21"/>
          <w:highlight w:val="none"/>
        </w:rPr>
        <w:t>   修改类型：</w:t>
      </w:r>
      <w:r>
        <w:rPr>
          <w:rFonts w:hint="eastAsia" w:ascii="宋体" w:hAnsi="宋体" w:eastAsia="宋体" w:cs="宋体"/>
          <w:b/>
          <w:color w:val="auto"/>
          <w:szCs w:val="21"/>
          <w:highlight w:val="none"/>
          <w:lang w:val="en-US" w:eastAsia="zh-CN"/>
        </w:rPr>
        <w:t>删除</w:t>
      </w:r>
    </w:p>
    <w:p>
      <w:pPr>
        <w:pBdr>
          <w:bottom w:val="single" w:color="auto" w:sz="6" w:space="1"/>
        </w:pBdr>
        <w:spacing w:line="560" w:lineRule="exact"/>
        <w:ind w:firstLine="316" w:firstLineChars="150"/>
        <w:rPr>
          <w:rFonts w:hint="eastAsia" w:ascii="宋体" w:hAnsi="宋体" w:eastAsia="宋体" w:cs="宋体"/>
          <w:color w:val="auto"/>
          <w:kern w:val="2"/>
          <w:sz w:val="21"/>
          <w:szCs w:val="21"/>
          <w:highlight w:val="none"/>
        </w:rPr>
      </w:pPr>
      <w:r>
        <w:rPr>
          <w:rFonts w:hint="eastAsia" w:ascii="宋体" w:hAnsi="宋体" w:eastAsia="宋体" w:cs="宋体"/>
          <w:b/>
          <w:color w:val="auto"/>
          <w:szCs w:val="21"/>
          <w:highlight w:val="none"/>
        </w:rPr>
        <w:t>原文：</w:t>
      </w:r>
      <w:r>
        <w:rPr>
          <w:rFonts w:hint="eastAsia" w:ascii="宋体" w:hAnsi="宋体" w:eastAsia="宋体" w:cs="宋体"/>
          <w:color w:val="auto"/>
          <w:kern w:val="2"/>
          <w:sz w:val="21"/>
          <w:szCs w:val="21"/>
          <w:highlight w:val="none"/>
        </w:rPr>
        <w:t>16.2开标时投标人没有按要求提供投标保证金的，其投标文件将被否决；未按招标文件要求提交符合免予提供投标保证金相关证明材料，且未提交投标保证金的投标人，视为未按要求提供投标保证金。</w:t>
      </w:r>
    </w:p>
    <w:p>
      <w:pPr>
        <w:pBdr>
          <w:bottom w:val="single" w:color="auto" w:sz="6" w:space="1"/>
        </w:pBdr>
        <w:spacing w:line="560" w:lineRule="exact"/>
        <w:ind w:firstLine="315" w:firstLineChars="15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16.3投标保证金应依据法律法规的相关规定退还。</w:t>
      </w:r>
    </w:p>
    <w:p>
      <w:pPr>
        <w:pBdr>
          <w:bottom w:val="single" w:color="auto" w:sz="6" w:space="1"/>
        </w:pBdr>
        <w:spacing w:line="560" w:lineRule="exact"/>
        <w:ind w:firstLine="315" w:firstLineChars="15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16.4如有下列情况之一的，招标人可以不予退还投标保证金（是否退还投标保证金由招标人在招标文件中规定）：</w:t>
      </w:r>
    </w:p>
    <w:p>
      <w:pPr>
        <w:pBdr>
          <w:bottom w:val="single" w:color="auto" w:sz="6" w:space="1"/>
        </w:pBdr>
        <w:spacing w:line="560" w:lineRule="exact"/>
        <w:ind w:firstLine="315" w:firstLineChars="15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16.4.1因投标人原因造成投标文件未解密的；</w:t>
      </w:r>
    </w:p>
    <w:p>
      <w:pPr>
        <w:pBdr>
          <w:bottom w:val="single" w:color="auto" w:sz="6" w:space="1"/>
        </w:pBdr>
        <w:spacing w:line="560" w:lineRule="exact"/>
        <w:ind w:firstLine="315" w:firstLineChars="15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16.4.2投标人在投标有效期内撤销投标文件；</w:t>
      </w:r>
    </w:p>
    <w:p>
      <w:pPr>
        <w:pBdr>
          <w:bottom w:val="single" w:color="auto" w:sz="6" w:space="1"/>
        </w:pBdr>
        <w:spacing w:line="560" w:lineRule="exact"/>
        <w:ind w:firstLine="315" w:firstLineChars="15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16.4.3中标人未能在规定期限内按要求提交履约担保；</w:t>
      </w:r>
    </w:p>
    <w:p>
      <w:pPr>
        <w:pBdr>
          <w:bottom w:val="single" w:color="auto" w:sz="6" w:space="1"/>
        </w:pBdr>
        <w:spacing w:line="560" w:lineRule="exact"/>
        <w:ind w:firstLine="315" w:firstLineChars="15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16.4.4中标人未能在规定期限内签署合同协议。</w:t>
      </w:r>
    </w:p>
    <w:p>
      <w:pPr>
        <w:pBdr>
          <w:bottom w:val="single" w:color="auto" w:sz="6" w:space="1"/>
        </w:pBdr>
        <w:spacing w:line="560" w:lineRule="exact"/>
        <w:ind w:firstLine="315" w:firstLineChars="150"/>
        <w:rPr>
          <w:rFonts w:hint="eastAsia" w:ascii="宋体" w:hAnsi="宋体" w:eastAsia="宋体" w:cs="宋体"/>
          <w:color w:val="auto"/>
          <w:szCs w:val="21"/>
          <w:highlight w:val="none"/>
        </w:rPr>
      </w:pPr>
    </w:p>
    <w:p>
      <w:pPr>
        <w:spacing w:line="560" w:lineRule="exact"/>
        <w:ind w:firstLine="316" w:firstLineChars="150"/>
        <w:rPr>
          <w:rFonts w:hint="eastAsia" w:ascii="宋体" w:hAnsi="宋体" w:eastAsia="宋体" w:cs="宋体"/>
          <w:color w:val="auto"/>
          <w:szCs w:val="21"/>
          <w:highlight w:val="none"/>
          <w:lang w:eastAsia="zh-CN"/>
        </w:rPr>
      </w:pPr>
      <w:r>
        <w:rPr>
          <w:rFonts w:hint="eastAsia" w:ascii="宋体" w:hAnsi="宋体" w:eastAsia="宋体" w:cs="宋体"/>
          <w:b/>
          <w:color w:val="auto"/>
          <w:szCs w:val="21"/>
          <w:highlight w:val="none"/>
        </w:rPr>
        <w:t>条款号：16</w:t>
      </w:r>
      <w:r>
        <w:rPr>
          <w:rFonts w:hint="eastAsia" w:ascii="宋体" w:hAnsi="宋体" w:eastAsia="宋体" w:cs="宋体"/>
          <w:b/>
          <w:color w:val="auto"/>
          <w:szCs w:val="21"/>
          <w:highlight w:val="none"/>
          <w:lang w:val="en-US" w:eastAsia="zh-CN"/>
        </w:rPr>
        <w:t>.5</w:t>
      </w:r>
      <w:r>
        <w:rPr>
          <w:rFonts w:hint="eastAsia" w:ascii="宋体" w:hAnsi="宋体" w:eastAsia="宋体" w:cs="宋体"/>
          <w:b/>
          <w:color w:val="auto"/>
          <w:szCs w:val="21"/>
          <w:highlight w:val="none"/>
        </w:rPr>
        <w:t>                  修改类型：</w:t>
      </w:r>
      <w:r>
        <w:rPr>
          <w:rFonts w:hint="eastAsia" w:ascii="宋体" w:hAnsi="宋体" w:eastAsia="宋体" w:cs="宋体"/>
          <w:b/>
          <w:color w:val="auto"/>
          <w:szCs w:val="21"/>
          <w:highlight w:val="none"/>
          <w:lang w:val="en-US" w:eastAsia="zh-CN"/>
        </w:rPr>
        <w:t>删除</w:t>
      </w:r>
    </w:p>
    <w:p>
      <w:pPr>
        <w:pBdr>
          <w:bottom w:val="single" w:color="auto" w:sz="6" w:space="1"/>
        </w:pBdr>
        <w:spacing w:line="560" w:lineRule="exact"/>
        <w:ind w:firstLine="316" w:firstLineChars="150"/>
        <w:rPr>
          <w:rFonts w:hint="eastAsia" w:ascii="宋体" w:hAnsi="宋体" w:eastAsia="宋体" w:cs="宋体"/>
          <w:color w:val="auto"/>
          <w:kern w:val="2"/>
          <w:sz w:val="21"/>
          <w:szCs w:val="21"/>
          <w:highlight w:val="none"/>
        </w:rPr>
      </w:pPr>
      <w:r>
        <w:rPr>
          <w:rFonts w:hint="eastAsia" w:ascii="宋体" w:hAnsi="宋体" w:eastAsia="宋体" w:cs="宋体"/>
          <w:b/>
          <w:color w:val="auto"/>
          <w:szCs w:val="21"/>
          <w:highlight w:val="none"/>
        </w:rPr>
        <w:t>原文：</w:t>
      </w:r>
      <w:r>
        <w:rPr>
          <w:rFonts w:hint="eastAsia" w:ascii="宋体" w:hAnsi="宋体" w:eastAsia="宋体" w:cs="宋体"/>
          <w:color w:val="auto"/>
          <w:kern w:val="2"/>
          <w:sz w:val="21"/>
          <w:szCs w:val="21"/>
          <w:highlight w:val="none"/>
        </w:rPr>
        <w:t>16.5投标人如存在下列情况之一的，将被拒绝在一定时期内参与招标人后续工程投标（拒绝时限需在招标文件中明确）：</w:t>
      </w:r>
    </w:p>
    <w:p>
      <w:pPr>
        <w:pBdr>
          <w:bottom w:val="single" w:color="auto" w:sz="6" w:space="1"/>
        </w:pBdr>
        <w:spacing w:line="560" w:lineRule="exact"/>
        <w:ind w:firstLine="315" w:firstLineChars="15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16.5.1投标人存在16.4条款所列情形且投标人提交的保函、担保或保证保险无法兑付的；</w:t>
      </w:r>
    </w:p>
    <w:p>
      <w:pPr>
        <w:pBdr>
          <w:bottom w:val="single" w:color="auto" w:sz="6" w:space="1"/>
        </w:pBdr>
        <w:spacing w:line="560" w:lineRule="exact"/>
        <w:ind w:firstLine="315" w:firstLineChars="15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16.5.2采用非电子形式提交投标保证金的投标人存在16.4条款所列情形，且未按招标人要求补交银行保函、专业工程担保公司担保或保证保险原件的；</w:t>
      </w:r>
    </w:p>
    <w:p>
      <w:pPr>
        <w:pBdr>
          <w:bottom w:val="single" w:color="auto" w:sz="6" w:space="1"/>
        </w:pBdr>
        <w:spacing w:line="560" w:lineRule="exact"/>
        <w:ind w:firstLine="315" w:firstLineChars="15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16.5.3按招标文件要求免于提供投标保证金的投标人存在16.4条款所列情形，且未按招标人要求补交投标保证金的；</w:t>
      </w:r>
    </w:p>
    <w:p>
      <w:pPr>
        <w:pBdr>
          <w:bottom w:val="single" w:color="auto" w:sz="6" w:space="1"/>
        </w:pBdr>
        <w:spacing w:line="560" w:lineRule="exact"/>
        <w:ind w:firstLine="315" w:firstLineChars="15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16.5.3按招标文件要求免于提供投标保证金的投标人存在16.4条款所列情形的。</w:t>
      </w:r>
    </w:p>
    <w:p>
      <w:pPr>
        <w:pBdr>
          <w:bottom w:val="single" w:color="auto" w:sz="6" w:space="1"/>
        </w:pBdr>
        <w:spacing w:line="560" w:lineRule="exact"/>
        <w:ind w:firstLine="315" w:firstLineChars="150"/>
        <w:rPr>
          <w:rFonts w:hint="eastAsia" w:ascii="宋体" w:hAnsi="宋体" w:eastAsia="宋体" w:cs="宋体"/>
          <w:color w:val="auto"/>
          <w:kern w:val="0"/>
          <w:sz w:val="24"/>
          <w:szCs w:val="24"/>
          <w:highlight w:val="none"/>
        </w:rPr>
      </w:pPr>
      <w:r>
        <w:rPr>
          <w:rFonts w:hint="eastAsia" w:ascii="宋体" w:hAnsi="宋体" w:eastAsia="宋体" w:cs="宋体"/>
          <w:color w:val="auto"/>
          <w:kern w:val="2"/>
          <w:sz w:val="21"/>
          <w:szCs w:val="21"/>
          <w:highlight w:val="none"/>
        </w:rPr>
        <w:t>注：16.5.3款由招标人二选一，需在招标文件中明确。</w:t>
      </w:r>
    </w:p>
    <w:p>
      <w:pPr>
        <w:pStyle w:val="49"/>
        <w:spacing w:after="0" w:line="560" w:lineRule="exact"/>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条款号：</w:t>
      </w:r>
      <w:r>
        <w:rPr>
          <w:rFonts w:hint="eastAsia" w:ascii="宋体" w:hAnsi="宋体" w:cs="宋体"/>
          <w:b/>
          <w:bCs/>
          <w:color w:val="auto"/>
          <w:sz w:val="21"/>
          <w:szCs w:val="21"/>
          <w:highlight w:val="none"/>
        </w:rPr>
        <w:t>17．</w:t>
      </w:r>
      <w:r>
        <w:rPr>
          <w:rFonts w:hint="eastAsia" w:ascii="宋体" w:hAnsi="宋体" w:cs="宋体"/>
          <w:b/>
          <w:color w:val="auto"/>
          <w:sz w:val="21"/>
          <w:szCs w:val="21"/>
          <w:highlight w:val="none"/>
        </w:rPr>
        <w:t>投标文件的签署    修改类型：修改</w:t>
      </w:r>
    </w:p>
    <w:p>
      <w:pPr>
        <w:spacing w:line="56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原文：</w:t>
      </w:r>
      <w:r>
        <w:rPr>
          <w:rFonts w:hint="eastAsia" w:ascii="宋体" w:hAnsi="宋体" w:eastAsia="宋体" w:cs="宋体"/>
          <w:b/>
          <w:bCs/>
          <w:color w:val="auto"/>
          <w:sz w:val="21"/>
          <w:szCs w:val="21"/>
          <w:highlight w:val="none"/>
        </w:rPr>
        <w:t>17．</w:t>
      </w:r>
      <w:r>
        <w:rPr>
          <w:rFonts w:hint="eastAsia" w:ascii="宋体" w:hAnsi="宋体" w:eastAsia="宋体" w:cs="宋体"/>
          <w:b/>
          <w:color w:val="auto"/>
          <w:sz w:val="21"/>
          <w:szCs w:val="21"/>
          <w:highlight w:val="none"/>
        </w:rPr>
        <w:t>投标文件的签署</w:t>
      </w:r>
      <w:r>
        <w:rPr>
          <w:rFonts w:hint="eastAsia" w:ascii="宋体" w:hAnsi="宋体" w:eastAsia="宋体" w:cs="宋体"/>
          <w:b/>
          <w:color w:val="auto"/>
          <w:szCs w:val="21"/>
          <w:highlight w:val="none"/>
        </w:rPr>
        <w:t xml:space="preserve">   </w:t>
      </w:r>
    </w:p>
    <w:p>
      <w:pPr>
        <w:spacing w:line="560" w:lineRule="exact"/>
        <w:ind w:firstLine="420" w:firstLineChars="200"/>
        <w:rPr>
          <w:rFonts w:hint="eastAsia" w:ascii="宋体" w:hAnsi="宋体" w:eastAsia="宋体" w:cs="宋体"/>
          <w:bCs/>
          <w:color w:val="auto"/>
          <w:kern w:val="0"/>
          <w:sz w:val="21"/>
          <w:szCs w:val="21"/>
          <w:highlight w:val="none"/>
        </w:rPr>
      </w:pPr>
      <w:r>
        <w:rPr>
          <w:rFonts w:hint="eastAsia" w:ascii="宋体" w:hAnsi="宋体" w:eastAsia="宋体" w:cs="宋体"/>
          <w:color w:val="auto"/>
          <w:szCs w:val="21"/>
          <w:highlight w:val="none"/>
        </w:rPr>
        <w:t>17.1</w:t>
      </w:r>
      <w:r>
        <w:rPr>
          <w:rFonts w:hint="eastAsia" w:ascii="宋体" w:hAnsi="宋体" w:eastAsia="宋体" w:cs="宋体"/>
          <w:bCs/>
          <w:color w:val="auto"/>
          <w:kern w:val="0"/>
          <w:sz w:val="21"/>
          <w:szCs w:val="21"/>
          <w:highlight w:val="none"/>
        </w:rPr>
        <w:t>投标人应采用单位数字证书，按招标文件要求在相应位置加盖电子印章。投标文件中需个人签字或盖章的，</w:t>
      </w:r>
      <w:r>
        <w:rPr>
          <w:rFonts w:hint="eastAsia" w:ascii="宋体" w:hAnsi="宋体" w:eastAsia="宋体" w:cs="宋体"/>
          <w:b/>
          <w:color w:val="auto"/>
          <w:kern w:val="0"/>
          <w:sz w:val="21"/>
          <w:szCs w:val="21"/>
          <w:highlight w:val="none"/>
        </w:rPr>
        <w:t>应加盖个人电子印章或在线下完成后扫描上传。</w:t>
      </w:r>
      <w:r>
        <w:rPr>
          <w:rFonts w:hint="eastAsia" w:ascii="宋体" w:hAnsi="宋体" w:eastAsia="宋体" w:cs="宋体"/>
          <w:bCs/>
          <w:color w:val="auto"/>
          <w:kern w:val="0"/>
          <w:sz w:val="21"/>
          <w:szCs w:val="21"/>
          <w:highlight w:val="none"/>
        </w:rPr>
        <w:t>按照交易平台关于全流程电子化项目的相关指南进行操作。详见：</w:t>
      </w:r>
      <w:r>
        <w:rPr>
          <w:rFonts w:hint="eastAsia" w:ascii="宋体" w:hAnsi="宋体" w:eastAsia="宋体" w:cs="宋体"/>
          <w:bCs/>
          <w:color w:val="auto"/>
          <w:kern w:val="0"/>
          <w:sz w:val="21"/>
          <w:szCs w:val="21"/>
          <w:highlight w:val="none"/>
          <w:u w:val="single"/>
        </w:rPr>
        <w:t xml:space="preserve">             </w:t>
      </w:r>
      <w:r>
        <w:rPr>
          <w:rFonts w:hint="eastAsia" w:ascii="宋体" w:hAnsi="宋体" w:eastAsia="宋体" w:cs="宋体"/>
          <w:bCs/>
          <w:color w:val="auto"/>
          <w:kern w:val="0"/>
          <w:sz w:val="21"/>
          <w:szCs w:val="21"/>
          <w:highlight w:val="none"/>
        </w:rPr>
        <w:t>。</w:t>
      </w:r>
    </w:p>
    <w:p>
      <w:pPr>
        <w:spacing w:line="56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现文：</w:t>
      </w:r>
    </w:p>
    <w:p>
      <w:pPr>
        <w:pBdr>
          <w:bottom w:val="single" w:color="auto" w:sz="6" w:space="1"/>
        </w:pBdr>
        <w:spacing w:line="56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17．</w:t>
      </w:r>
      <w:r>
        <w:rPr>
          <w:rFonts w:hint="eastAsia" w:ascii="宋体" w:hAnsi="宋体" w:eastAsia="宋体" w:cs="宋体"/>
          <w:b/>
          <w:color w:val="auto"/>
          <w:sz w:val="21"/>
          <w:szCs w:val="21"/>
          <w:highlight w:val="none"/>
        </w:rPr>
        <w:t>投标文件的签署及份数</w:t>
      </w:r>
    </w:p>
    <w:p>
      <w:pPr>
        <w:pBdr>
          <w:bottom w:val="single" w:color="auto" w:sz="6" w:space="1"/>
        </w:pBdr>
        <w:spacing w:line="560" w:lineRule="exact"/>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 xml:space="preserve">   17.1</w:t>
      </w:r>
      <w:r>
        <w:rPr>
          <w:rFonts w:hint="eastAsia" w:ascii="宋体" w:hAnsi="宋体" w:eastAsia="宋体" w:cs="宋体"/>
          <w:bCs/>
          <w:color w:val="auto"/>
          <w:kern w:val="0"/>
          <w:sz w:val="21"/>
          <w:szCs w:val="21"/>
          <w:highlight w:val="none"/>
        </w:rPr>
        <w:t>投标人应采用单位数字证书，按招标文件要求在相应位置加盖电子印章。投标文件中需个人签字或盖章的，</w:t>
      </w:r>
      <w:r>
        <w:rPr>
          <w:rFonts w:hint="eastAsia" w:ascii="宋体" w:hAnsi="宋体" w:eastAsia="宋体" w:cs="宋体"/>
          <w:b/>
          <w:color w:val="auto"/>
          <w:kern w:val="0"/>
          <w:sz w:val="21"/>
          <w:szCs w:val="21"/>
          <w:highlight w:val="none"/>
        </w:rPr>
        <w:t>应加盖个人电子印章或在线下完成后扫描上传。</w:t>
      </w:r>
      <w:r>
        <w:rPr>
          <w:rFonts w:hint="eastAsia" w:ascii="宋体" w:hAnsi="宋体" w:eastAsia="宋体" w:cs="宋体"/>
          <w:bCs/>
          <w:color w:val="auto"/>
          <w:kern w:val="0"/>
          <w:sz w:val="21"/>
          <w:szCs w:val="21"/>
          <w:highlight w:val="none"/>
        </w:rPr>
        <w:t>按照交易平台关于全流程电子化项目的相关指南进行操作。</w:t>
      </w:r>
      <w:r>
        <w:rPr>
          <w:rFonts w:hint="eastAsia" w:ascii="宋体" w:hAnsi="宋体" w:eastAsia="宋体" w:cs="宋体"/>
          <w:color w:val="auto"/>
          <w:szCs w:val="21"/>
          <w:highlight w:val="none"/>
        </w:rPr>
        <w:t>详见：</w:t>
      </w:r>
      <w:r>
        <w:rPr>
          <w:rFonts w:hint="eastAsia" w:ascii="宋体" w:hAnsi="宋体" w:eastAsia="宋体" w:cs="宋体"/>
          <w:color w:val="auto"/>
          <w:szCs w:val="21"/>
          <w:highlight w:val="none"/>
          <w:u w:val="single"/>
        </w:rPr>
        <w:t>广州交易集团有限公司（广州公共资源交易中心）最新指引</w:t>
      </w:r>
      <w:r>
        <w:rPr>
          <w:rFonts w:hint="eastAsia" w:ascii="宋体" w:hAnsi="宋体" w:eastAsia="宋体" w:cs="宋体"/>
          <w:color w:val="auto"/>
          <w:szCs w:val="21"/>
          <w:highlight w:val="none"/>
        </w:rPr>
        <w:t>。</w:t>
      </w:r>
    </w:p>
    <w:p>
      <w:pPr>
        <w:pBdr>
          <w:bottom w:val="single" w:color="auto" w:sz="6" w:space="1"/>
        </w:pBdr>
        <w:spacing w:line="560" w:lineRule="exact"/>
        <w:ind w:firstLine="420" w:firstLineChars="20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17.2投标文件份数为含电子印章的加密电子投标文件1套。</w:t>
      </w:r>
      <w:r>
        <w:rPr>
          <w:rFonts w:hint="eastAsia" w:ascii="宋体" w:hAnsi="宋体" w:eastAsia="宋体" w:cs="宋体"/>
          <w:color w:val="auto"/>
          <w:szCs w:val="21"/>
          <w:highlight w:val="none"/>
          <w:u w:val="single"/>
        </w:rPr>
        <w:t>中标人在签订合同前需向招标人另行提供与投标递交的电子标书一致且加盖单位公章的纸质投标文件（含投标人须知11.3列表明细包含的所有工程量清单报价表）4份及电子文件1份（不用生成投标书；包括用Microsoft Excel 软件或广州交易集团有限公司（广州公共资源交易中心）提供的投标书制作软件制作的工程量清单报价表和单价分析表，用 Microsoft Word 软件或广州交易集团有限公司（广州公共资源交易中心）提供的投标书制作软件制作的经济投标文件其他部分。电子文件介质使用CD-R光盘，所有电子文件不能采用压缩处理）。</w:t>
      </w:r>
    </w:p>
    <w:p>
      <w:pPr>
        <w:spacing w:line="360" w:lineRule="auto"/>
        <w:ind w:firstLine="413" w:firstLineChars="196"/>
        <w:rPr>
          <w:rFonts w:hint="eastAsia" w:ascii="宋体" w:hAnsi="宋体" w:cs="宋体"/>
          <w:b/>
          <w:color w:val="auto"/>
          <w:szCs w:val="21"/>
          <w:highlight w:val="none"/>
        </w:rPr>
      </w:pPr>
      <w:r>
        <w:rPr>
          <w:rFonts w:hint="eastAsia" w:ascii="宋体" w:hAnsi="宋体" w:cs="宋体"/>
          <w:b/>
          <w:color w:val="auto"/>
          <w:szCs w:val="21"/>
          <w:highlight w:val="none"/>
        </w:rPr>
        <w:t>条款号：18                          修改类型：修改</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原文：18．投标文件的密封和标记</w:t>
      </w:r>
    </w:p>
    <w:p>
      <w:pPr>
        <w:spacing w:line="360" w:lineRule="auto"/>
        <w:ind w:firstLine="420" w:firstLineChars="200"/>
        <w:rPr>
          <w:rFonts w:hint="eastAsia" w:ascii="宋体" w:hAnsi="宋体" w:cs="宋体"/>
          <w:color w:val="auto"/>
          <w:szCs w:val="21"/>
          <w:highlight w:val="none"/>
        </w:rPr>
      </w:pPr>
      <w:r>
        <w:rPr>
          <w:rFonts w:hint="eastAsia" w:ascii="宋体" w:hAnsi="宋体" w:cs="宋体"/>
          <w:bCs/>
          <w:color w:val="auto"/>
          <w:szCs w:val="21"/>
          <w:highlight w:val="none"/>
        </w:rPr>
        <w:t>18.1递交的电子投标文件（不含备用光盘）必须进行加密。按照交易平台关于</w:t>
      </w:r>
      <w:r>
        <w:rPr>
          <w:rFonts w:hint="eastAsia" w:ascii="宋体" w:hAnsi="宋体" w:cs="宋体"/>
          <w:color w:val="auto"/>
          <w:szCs w:val="21"/>
          <w:highlight w:val="none"/>
        </w:rPr>
        <w:t>全流程电子化项目的相关指南进行操作。详见：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360" w:lineRule="auto"/>
        <w:ind w:firstLine="420" w:firstLineChars="200"/>
        <w:rPr>
          <w:rFonts w:hint="eastAsia" w:ascii="宋体" w:hAnsi="宋体" w:cs="宋体"/>
          <w:bCs/>
          <w:color w:val="auto"/>
          <w:szCs w:val="21"/>
          <w:highlight w:val="none"/>
        </w:rPr>
      </w:pPr>
      <w:r>
        <w:rPr>
          <w:rFonts w:hint="eastAsia" w:ascii="宋体" w:hAnsi="宋体" w:cs="宋体"/>
          <w:color w:val="auto"/>
          <w:szCs w:val="21"/>
          <w:highlight w:val="none"/>
        </w:rPr>
        <w:t>18.2</w:t>
      </w:r>
      <w:r>
        <w:rPr>
          <w:rFonts w:hint="eastAsia" w:ascii="宋体" w:hAnsi="宋体" w:cs="宋体"/>
          <w:bCs/>
          <w:color w:val="auto"/>
          <w:szCs w:val="21"/>
          <w:highlight w:val="none"/>
        </w:rPr>
        <w:t>未按要求加密的投标文件，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w:t>
      </w:r>
      <w:r>
        <w:rPr>
          <w:rFonts w:hint="eastAsia" w:ascii="宋体" w:hAnsi="宋体" w:cs="宋体"/>
          <w:bCs/>
          <w:color w:val="auto"/>
          <w:szCs w:val="21"/>
          <w:highlight w:val="none"/>
        </w:rPr>
        <w:t>将予以拒收。</w:t>
      </w:r>
    </w:p>
    <w:p>
      <w:pPr>
        <w:pBdr>
          <w:bottom w:val="single" w:color="auto" w:sz="6" w:space="1"/>
        </w:pBd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现文：18．投标文件</w:t>
      </w:r>
      <w:r>
        <w:rPr>
          <w:rFonts w:hint="eastAsia" w:ascii="宋体" w:hAnsi="宋体" w:cs="宋体"/>
          <w:b/>
          <w:color w:val="auto"/>
          <w:szCs w:val="21"/>
          <w:highlight w:val="none"/>
          <w:u w:val="single"/>
        </w:rPr>
        <w:t>（含定标文件）</w:t>
      </w:r>
      <w:r>
        <w:rPr>
          <w:rFonts w:hint="eastAsia" w:ascii="宋体" w:hAnsi="宋体" w:cs="宋体"/>
          <w:b/>
          <w:color w:val="auto"/>
          <w:szCs w:val="21"/>
          <w:highlight w:val="none"/>
        </w:rPr>
        <w:t>的密封和标记</w:t>
      </w:r>
    </w:p>
    <w:p>
      <w:pPr>
        <w:pBdr>
          <w:bottom w:val="single" w:color="auto" w:sz="6" w:space="1"/>
        </w:pBdr>
        <w:spacing w:line="360" w:lineRule="auto"/>
        <w:ind w:firstLine="420" w:firstLineChars="200"/>
        <w:rPr>
          <w:rFonts w:hint="eastAsia" w:ascii="宋体" w:hAnsi="宋体" w:cs="宋体"/>
          <w:b/>
          <w:color w:val="auto"/>
          <w:szCs w:val="21"/>
          <w:highlight w:val="none"/>
        </w:rPr>
      </w:pPr>
      <w:r>
        <w:rPr>
          <w:rFonts w:hint="eastAsia" w:ascii="宋体" w:hAnsi="宋体" w:cs="宋体"/>
          <w:bCs/>
          <w:color w:val="auto"/>
          <w:szCs w:val="21"/>
          <w:highlight w:val="none"/>
        </w:rPr>
        <w:t>18.1递交的电子投标文件</w:t>
      </w:r>
      <w:r>
        <w:rPr>
          <w:rFonts w:hint="eastAsia" w:ascii="宋体" w:hAnsi="宋体" w:cs="宋体"/>
          <w:bCs/>
          <w:color w:val="auto"/>
          <w:szCs w:val="21"/>
          <w:highlight w:val="none"/>
          <w:u w:val="single"/>
        </w:rPr>
        <w:t>[含电子定标文件（如有），不含备用光盘]</w:t>
      </w:r>
      <w:r>
        <w:rPr>
          <w:rFonts w:hint="eastAsia" w:ascii="宋体" w:hAnsi="宋体" w:cs="宋体"/>
          <w:bCs/>
          <w:color w:val="auto"/>
          <w:szCs w:val="21"/>
          <w:highlight w:val="none"/>
        </w:rPr>
        <w:t>必须进行加密。按照</w:t>
      </w:r>
      <w:r>
        <w:rPr>
          <w:rFonts w:hint="eastAsia" w:ascii="宋体" w:hAnsi="宋体"/>
          <w:color w:val="auto"/>
          <w:szCs w:val="21"/>
          <w:highlight w:val="none"/>
          <w:u w:val="single"/>
        </w:rPr>
        <w:t>广州交易集团有限公司（广州公共资源交易中心）</w:t>
      </w:r>
      <w:r>
        <w:rPr>
          <w:rFonts w:hint="eastAsia" w:ascii="宋体" w:hAnsi="宋体" w:cs="宋体"/>
          <w:bCs/>
          <w:color w:val="auto"/>
          <w:szCs w:val="21"/>
          <w:highlight w:val="none"/>
        </w:rPr>
        <w:t>交易平台关于</w:t>
      </w:r>
      <w:r>
        <w:rPr>
          <w:rFonts w:hint="eastAsia" w:ascii="宋体" w:hAnsi="宋体" w:cs="宋体"/>
          <w:color w:val="auto"/>
          <w:szCs w:val="21"/>
          <w:highlight w:val="none"/>
        </w:rPr>
        <w:t>全流程电子化项目的相关指南进行操作。详见：</w:t>
      </w:r>
      <w:r>
        <w:rPr>
          <w:rFonts w:hint="eastAsia" w:ascii="宋体" w:hAnsi="宋体" w:cs="宋体"/>
          <w:color w:val="auto"/>
          <w:szCs w:val="21"/>
          <w:highlight w:val="none"/>
          <w:u w:val="single"/>
        </w:rPr>
        <w:t>广州交易集团有限公司（广州公共资源交易中心）网站最新指引</w:t>
      </w:r>
      <w:r>
        <w:rPr>
          <w:rFonts w:hint="eastAsia" w:ascii="宋体" w:hAnsi="宋体" w:cs="宋体"/>
          <w:color w:val="auto"/>
          <w:szCs w:val="21"/>
          <w:highlight w:val="none"/>
        </w:rPr>
        <w:t>。</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18.2</w:t>
      </w:r>
      <w:r>
        <w:rPr>
          <w:rFonts w:hint="eastAsia" w:ascii="宋体" w:hAnsi="宋体" w:cs="宋体"/>
          <w:bCs/>
          <w:color w:val="auto"/>
          <w:szCs w:val="21"/>
          <w:highlight w:val="none"/>
        </w:rPr>
        <w:t>未按要求加密的投标文件</w:t>
      </w:r>
      <w:r>
        <w:rPr>
          <w:rFonts w:hint="eastAsia" w:ascii="宋体" w:hAnsi="宋体" w:cs="宋体"/>
          <w:bCs/>
          <w:color w:val="auto"/>
          <w:szCs w:val="21"/>
          <w:highlight w:val="none"/>
          <w:u w:val="single"/>
        </w:rPr>
        <w:t>[含电子定标文件（如有）]</w:t>
      </w:r>
      <w:r>
        <w:rPr>
          <w:rFonts w:hint="eastAsia" w:ascii="宋体" w:hAnsi="宋体" w:cs="宋体"/>
          <w:bCs/>
          <w:color w:val="auto"/>
          <w:szCs w:val="21"/>
          <w:highlight w:val="none"/>
        </w:rPr>
        <w:t>，</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w:t>
      </w:r>
      <w:r>
        <w:rPr>
          <w:rFonts w:hint="eastAsia" w:ascii="宋体" w:hAnsi="宋体" w:cs="宋体"/>
          <w:bCs/>
          <w:color w:val="auto"/>
          <w:szCs w:val="21"/>
          <w:highlight w:val="none"/>
        </w:rPr>
        <w:t>将予以拒收</w:t>
      </w:r>
      <w:r>
        <w:rPr>
          <w:rFonts w:hint="eastAsia" w:ascii="宋体" w:hAnsi="宋体" w:cs="宋体"/>
          <w:color w:val="auto"/>
          <w:szCs w:val="21"/>
          <w:highlight w:val="none"/>
        </w:rPr>
        <w:t>。</w:t>
      </w:r>
    </w:p>
    <w:p>
      <w:pPr>
        <w:pBdr>
          <w:bottom w:val="single" w:color="auto" w:sz="6" w:space="1"/>
        </w:pBdr>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18.3投标人可制作非加密的电子投标文件</w:t>
      </w:r>
      <w:r>
        <w:rPr>
          <w:rFonts w:hint="eastAsia" w:ascii="宋体" w:hAnsi="宋体" w:cs="宋体"/>
          <w:bCs/>
          <w:color w:val="auto"/>
          <w:szCs w:val="21"/>
          <w:highlight w:val="none"/>
          <w:u w:val="single"/>
        </w:rPr>
        <w:t>[含电子定标文件（如有）]</w:t>
      </w:r>
      <w:r>
        <w:rPr>
          <w:rFonts w:hint="eastAsia" w:ascii="宋体" w:hAnsi="宋体" w:cs="宋体"/>
          <w:color w:val="auto"/>
          <w:szCs w:val="21"/>
          <w:highlight w:val="none"/>
          <w:u w:val="single"/>
        </w:rPr>
        <w:t>光盘备用，制作要求详见投标须知前附表第36项。</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条款号：19                          修改类型：修改</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原文：19.投标文件的递交和接收</w:t>
      </w:r>
    </w:p>
    <w:p>
      <w:pPr>
        <w:pBdr>
          <w:bottom w:val="single" w:color="auto" w:sz="6" w:space="1"/>
        </w:pBdr>
        <w:spacing w:line="360" w:lineRule="auto"/>
        <w:ind w:firstLine="411" w:firstLineChars="195"/>
        <w:rPr>
          <w:rFonts w:ascii="宋体" w:hAnsi="宋体" w:cs="宋体"/>
          <w:bCs/>
          <w:color w:val="auto"/>
          <w:szCs w:val="21"/>
          <w:highlight w:val="none"/>
        </w:rPr>
      </w:pPr>
      <w:r>
        <w:rPr>
          <w:rFonts w:hint="eastAsia" w:ascii="宋体" w:hAnsi="宋体" w:cs="宋体"/>
          <w:b/>
          <w:color w:val="auto"/>
          <w:szCs w:val="21"/>
          <w:highlight w:val="none"/>
        </w:rPr>
        <w:t>现文：19.</w:t>
      </w:r>
      <w:r>
        <w:rPr>
          <w:rFonts w:hint="eastAsia" w:ascii="宋体" w:hAnsi="宋体" w:cs="宋体"/>
          <w:b/>
          <w:color w:val="auto"/>
          <w:szCs w:val="21"/>
          <w:highlight w:val="none"/>
          <w:u w:val="single"/>
        </w:rPr>
        <w:t>投标登记和</w:t>
      </w:r>
      <w:r>
        <w:rPr>
          <w:rFonts w:hint="eastAsia" w:ascii="宋体" w:hAnsi="宋体" w:cs="宋体"/>
          <w:b/>
          <w:color w:val="auto"/>
          <w:szCs w:val="21"/>
          <w:highlight w:val="none"/>
        </w:rPr>
        <w:t>投标文件的递交和接收</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条款号：19.1                        修改类型：修改</w:t>
      </w:r>
    </w:p>
    <w:p>
      <w:pPr>
        <w:spacing w:line="360" w:lineRule="auto"/>
        <w:ind w:firstLine="411" w:firstLineChars="195"/>
        <w:rPr>
          <w:rFonts w:ascii="宋体" w:hAnsi="宋体" w:cs="宋体"/>
          <w:bCs/>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19.1</w:t>
      </w:r>
      <w:r>
        <w:rPr>
          <w:rFonts w:hint="eastAsia" w:ascii="宋体" w:hAnsi="宋体" w:cs="宋体"/>
          <w:bCs/>
          <w:color w:val="auto"/>
          <w:szCs w:val="21"/>
          <w:highlight w:val="none"/>
        </w:rPr>
        <w:t>投标人通过</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交易平台递交电子投标文件。</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19.1</w:t>
      </w:r>
      <w:r>
        <w:rPr>
          <w:rFonts w:hint="eastAsia" w:ascii="宋体" w:hAnsi="宋体" w:cs="宋体"/>
          <w:bCs/>
          <w:color w:val="auto"/>
          <w:szCs w:val="21"/>
          <w:highlight w:val="none"/>
        </w:rPr>
        <w:t>投标人通过</w:t>
      </w:r>
      <w:r>
        <w:rPr>
          <w:rFonts w:hint="eastAsia" w:ascii="宋体" w:hAnsi="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rPr>
        <w:t>交易平台递交电子投标文件</w:t>
      </w:r>
      <w:r>
        <w:rPr>
          <w:rFonts w:hint="eastAsia" w:ascii="宋体" w:hAnsi="宋体" w:cs="宋体"/>
          <w:color w:val="auto"/>
          <w:szCs w:val="21"/>
          <w:highlight w:val="none"/>
          <w:u w:val="single"/>
        </w:rPr>
        <w:t>[含电子定标文件（如有）]</w:t>
      </w:r>
      <w:r>
        <w:rPr>
          <w:rFonts w:hint="eastAsia" w:ascii="宋体" w:hAnsi="宋体" w:cs="宋体"/>
          <w:color w:val="auto"/>
          <w:szCs w:val="21"/>
          <w:highlight w:val="none"/>
        </w:rPr>
        <w:t>。</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条款号：19.2                       修改类型：修改</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19.2</w:t>
      </w:r>
      <w:r>
        <w:rPr>
          <w:rFonts w:hint="eastAsia" w:ascii="宋体" w:hAnsi="宋体" w:cs="宋体"/>
          <w:bCs/>
          <w:color w:val="auto"/>
          <w:szCs w:val="21"/>
          <w:highlight w:val="none"/>
        </w:rPr>
        <w:t>投标人完成电子</w:t>
      </w:r>
      <w:r>
        <w:rPr>
          <w:rFonts w:hint="eastAsia" w:ascii="宋体" w:hAnsi="宋体" w:cs="宋体"/>
          <w:color w:val="auto"/>
          <w:szCs w:val="21"/>
          <w:highlight w:val="none"/>
        </w:rPr>
        <w:t>投标文件</w:t>
      </w:r>
      <w:r>
        <w:rPr>
          <w:rFonts w:hint="eastAsia" w:ascii="宋体" w:hAnsi="宋体" w:cs="宋体"/>
          <w:bCs/>
          <w:color w:val="auto"/>
          <w:szCs w:val="21"/>
          <w:highlight w:val="none"/>
        </w:rPr>
        <w:t>上传后，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交易平台即时向投标人发出递交回执通知。递交时间以递交回执通知载明的传输完成时间为准。</w:t>
      </w:r>
    </w:p>
    <w:p>
      <w:pPr>
        <w:pBdr>
          <w:bottom w:val="single" w:color="auto" w:sz="6" w:space="1"/>
        </w:pBdr>
        <w:adjustRightInd w:val="0"/>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19.2</w:t>
      </w:r>
      <w:r>
        <w:rPr>
          <w:rFonts w:hint="eastAsia" w:ascii="宋体" w:hAnsi="宋体" w:cs="宋体"/>
          <w:bCs/>
          <w:color w:val="auto"/>
          <w:szCs w:val="21"/>
          <w:highlight w:val="none"/>
        </w:rPr>
        <w:t>投标人完成电子</w:t>
      </w:r>
      <w:r>
        <w:rPr>
          <w:rFonts w:hint="eastAsia" w:ascii="宋体" w:hAnsi="宋体" w:cs="宋体"/>
          <w:color w:val="auto"/>
          <w:szCs w:val="21"/>
          <w:highlight w:val="none"/>
        </w:rPr>
        <w:t>投标文件</w:t>
      </w:r>
      <w:r>
        <w:rPr>
          <w:rFonts w:hint="eastAsia" w:ascii="宋体" w:hAnsi="宋体" w:cs="宋体"/>
          <w:color w:val="auto"/>
          <w:szCs w:val="21"/>
          <w:highlight w:val="none"/>
          <w:u w:val="single"/>
        </w:rPr>
        <w:t>[含电子定标文件（如有）]</w:t>
      </w:r>
      <w:r>
        <w:rPr>
          <w:rFonts w:hint="eastAsia" w:ascii="宋体" w:hAnsi="宋体" w:cs="宋体"/>
          <w:bCs/>
          <w:color w:val="auto"/>
          <w:szCs w:val="21"/>
          <w:highlight w:val="none"/>
        </w:rPr>
        <w:t>上传后，</w:t>
      </w:r>
      <w:r>
        <w:rPr>
          <w:rFonts w:hint="eastAsia" w:ascii="宋体" w:hAnsi="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rPr>
        <w:t>交易平台即时向投标人发出递交回执通知。递交时间以递交回执通知载明的传输完成时间为准。</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条款号：19.3                       修改类型：修改</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19.3</w:t>
      </w:r>
      <w:r>
        <w:rPr>
          <w:rFonts w:hint="eastAsia" w:ascii="宋体" w:hAnsi="宋体" w:cs="宋体"/>
          <w:bCs/>
          <w:color w:val="auto"/>
          <w:szCs w:val="21"/>
          <w:highlight w:val="none"/>
        </w:rPr>
        <w:t>逾期送达的电子投标文件，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交易平台将予以拒收。</w:t>
      </w:r>
    </w:p>
    <w:p>
      <w:pPr>
        <w:pBdr>
          <w:bottom w:val="single" w:color="auto" w:sz="6" w:space="1"/>
        </w:pBdr>
        <w:adjustRightInd w:val="0"/>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19.3</w:t>
      </w:r>
      <w:r>
        <w:rPr>
          <w:rFonts w:hint="eastAsia" w:ascii="宋体" w:hAnsi="宋体" w:cs="宋体"/>
          <w:bCs/>
          <w:color w:val="auto"/>
          <w:szCs w:val="21"/>
          <w:highlight w:val="none"/>
        </w:rPr>
        <w:t>逾期送达的电子投标文件</w:t>
      </w:r>
      <w:r>
        <w:rPr>
          <w:rFonts w:hint="eastAsia" w:ascii="宋体" w:hAnsi="宋体" w:cs="宋体"/>
          <w:color w:val="auto"/>
          <w:szCs w:val="21"/>
          <w:highlight w:val="none"/>
          <w:u w:val="single"/>
        </w:rPr>
        <w:t>[含电子定标文件（如有）]</w:t>
      </w:r>
      <w:r>
        <w:rPr>
          <w:rFonts w:hint="eastAsia" w:ascii="宋体" w:hAnsi="宋体" w:cs="宋体"/>
          <w:bCs/>
          <w:color w:val="auto"/>
          <w:szCs w:val="21"/>
          <w:highlight w:val="none"/>
        </w:rPr>
        <w:t>，</w:t>
      </w:r>
      <w:r>
        <w:rPr>
          <w:rFonts w:hint="eastAsia" w:ascii="宋体" w:hAnsi="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rPr>
        <w:t>交易平台将予以拒收。</w:t>
      </w:r>
    </w:p>
    <w:p>
      <w:pPr>
        <w:adjustRightInd w:val="0"/>
        <w:spacing w:line="560" w:lineRule="exact"/>
        <w:ind w:firstLine="472" w:firstLineChars="224"/>
        <w:textAlignment w:val="baseline"/>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条款号：19.5                                   修改类型：修改</w:t>
      </w:r>
    </w:p>
    <w:p>
      <w:pPr>
        <w:adjustRightInd w:val="0"/>
        <w:spacing w:line="560" w:lineRule="exact"/>
        <w:ind w:firstLine="472" w:firstLineChars="224"/>
        <w:textAlignment w:val="baseline"/>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原文：</w:t>
      </w:r>
      <w:r>
        <w:rPr>
          <w:rFonts w:hint="eastAsia" w:ascii="宋体" w:hAnsi="宋体" w:eastAsia="宋体" w:cs="宋体"/>
          <w:color w:val="auto"/>
          <w:szCs w:val="21"/>
          <w:highlight w:val="none"/>
        </w:rPr>
        <w:t>如技术标和经济标先后分别开启，</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交易平台将按招标文件规定的时间分别开启技术标和经济标。</w:t>
      </w:r>
    </w:p>
    <w:p>
      <w:pPr>
        <w:pBdr>
          <w:bottom w:val="single" w:color="auto" w:sz="6" w:space="1"/>
        </w:pBdr>
        <w:adjustRightInd w:val="0"/>
        <w:spacing w:line="560" w:lineRule="exact"/>
        <w:ind w:firstLine="527" w:firstLineChars="250"/>
        <w:textAlignment w:val="baseline"/>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现文：</w:t>
      </w:r>
      <w:r>
        <w:rPr>
          <w:rFonts w:hint="eastAsia" w:ascii="宋体" w:hAnsi="宋体" w:eastAsia="宋体" w:cs="宋体"/>
          <w:color w:val="auto"/>
          <w:szCs w:val="21"/>
          <w:highlight w:val="none"/>
          <w:u w:val="single"/>
        </w:rPr>
        <w:t>广州交易集团有限公司（广州公共资源交易中心）交易平台将按招标文件规定的时间同时开启资格审查文件、技术标</w:t>
      </w:r>
      <w:r>
        <w:rPr>
          <w:rFonts w:hint="eastAsia" w:ascii="宋体" w:hAnsi="宋体" w:cs="宋体"/>
          <w:color w:val="auto"/>
          <w:szCs w:val="21"/>
          <w:highlight w:val="none"/>
          <w:u w:val="single"/>
          <w:lang w:eastAsia="zh-CN"/>
        </w:rPr>
        <w:t>、</w:t>
      </w:r>
      <w:r>
        <w:rPr>
          <w:rFonts w:hint="eastAsia" w:ascii="宋体" w:hAnsi="宋体" w:eastAsia="宋体" w:cs="宋体"/>
          <w:color w:val="auto"/>
          <w:szCs w:val="21"/>
          <w:highlight w:val="none"/>
          <w:u w:val="single"/>
        </w:rPr>
        <w:t>经济标</w:t>
      </w:r>
      <w:r>
        <w:rPr>
          <w:rFonts w:hint="eastAsia" w:ascii="宋体" w:hAnsi="宋体" w:cs="宋体"/>
          <w:color w:val="auto"/>
          <w:szCs w:val="21"/>
          <w:highlight w:val="none"/>
          <w:u w:val="single"/>
        </w:rPr>
        <w:t>和定标文件（如有）</w:t>
      </w:r>
      <w:r>
        <w:rPr>
          <w:rFonts w:hint="eastAsia" w:ascii="宋体" w:hAnsi="宋体" w:eastAsia="宋体" w:cs="宋体"/>
          <w:color w:val="auto"/>
          <w:szCs w:val="21"/>
          <w:highlight w:val="none"/>
        </w:rPr>
        <w:t>。</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条款号：20.3                       修改类型：修改</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20.3 到投标截止时间止，招标人收到的投标文件少于3家的，招标人将重新组织招标（当N个标段同时招标且不允许兼中时，若有效投标人不足N+2家，则重新组织招标）。</w:t>
      </w:r>
    </w:p>
    <w:p>
      <w:pPr>
        <w:pBdr>
          <w:bottom w:val="single" w:color="auto" w:sz="6" w:space="1"/>
        </w:pBdr>
        <w:adjustRightInd w:val="0"/>
        <w:spacing w:line="360" w:lineRule="auto"/>
        <w:ind w:firstLine="411" w:firstLineChars="195"/>
        <w:textAlignment w:val="baseline"/>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bCs/>
          <w:color w:val="auto"/>
          <w:szCs w:val="21"/>
          <w:highlight w:val="none"/>
        </w:rPr>
        <w:t>20.3 到投标截止时间止，招标人收到的投标文件少于3家的，招标人将重新组织招标。</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条款号：21.1                       修改类型：修改</w:t>
      </w:r>
    </w:p>
    <w:p>
      <w:pPr>
        <w:adjustRightInd w:val="0"/>
        <w:spacing w:line="360" w:lineRule="auto"/>
        <w:ind w:firstLine="411" w:firstLineChars="195"/>
        <w:textAlignment w:val="baseline"/>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21.1本须知前附表第17项规定的投标截止时间</w:t>
      </w:r>
      <w:r>
        <w:rPr>
          <w:rFonts w:hint="eastAsia" w:ascii="宋体" w:hAnsi="宋体" w:cs="宋体"/>
          <w:bCs/>
          <w:color w:val="auto"/>
          <w:szCs w:val="21"/>
          <w:highlight w:val="none"/>
        </w:rPr>
        <w:t>后送达的电子投标文件，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交易平台将予以拒收。</w:t>
      </w:r>
    </w:p>
    <w:p>
      <w:pPr>
        <w:pBdr>
          <w:bottom w:val="single" w:color="auto" w:sz="6" w:space="1"/>
        </w:pBd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21.1本须知前附表第17项规定的投标截止时间</w:t>
      </w:r>
      <w:r>
        <w:rPr>
          <w:rFonts w:hint="eastAsia" w:ascii="宋体" w:hAnsi="宋体" w:cs="宋体"/>
          <w:bCs/>
          <w:color w:val="auto"/>
          <w:szCs w:val="21"/>
          <w:highlight w:val="none"/>
        </w:rPr>
        <w:t>后送达的电子投标文件</w:t>
      </w:r>
      <w:r>
        <w:rPr>
          <w:rFonts w:hint="eastAsia" w:ascii="宋体" w:hAnsi="宋体" w:cs="宋体"/>
          <w:color w:val="auto"/>
          <w:szCs w:val="21"/>
          <w:highlight w:val="none"/>
          <w:u w:val="single"/>
        </w:rPr>
        <w:t>[含电子定标文件（如有）]</w:t>
      </w:r>
      <w:r>
        <w:rPr>
          <w:rFonts w:hint="eastAsia" w:ascii="宋体" w:hAnsi="宋体" w:cs="宋体"/>
          <w:bCs/>
          <w:color w:val="auto"/>
          <w:szCs w:val="21"/>
          <w:highlight w:val="none"/>
        </w:rPr>
        <w:t>，</w:t>
      </w:r>
      <w:r>
        <w:rPr>
          <w:rFonts w:hint="eastAsia" w:ascii="宋体" w:hAnsi="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rPr>
        <w:t>交易平台将予以拒收。</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 xml:space="preserve">条款号：24.1 </w:t>
      </w:r>
      <w:r>
        <w:rPr>
          <w:rFonts w:hint="eastAsia" w:ascii="宋体" w:hAnsi="宋体" w:cs="宋体"/>
          <w:b/>
          <w:color w:val="auto"/>
          <w:szCs w:val="21"/>
          <w:highlight w:val="none"/>
          <w:lang w:val="en-US" w:eastAsia="zh-CN"/>
        </w:rPr>
        <w:t xml:space="preserve"> </w:t>
      </w:r>
      <w:r>
        <w:rPr>
          <w:rFonts w:hint="eastAsia" w:ascii="宋体" w:hAnsi="宋体" w:cs="宋体"/>
          <w:b/>
          <w:color w:val="auto"/>
          <w:szCs w:val="21"/>
          <w:highlight w:val="none"/>
        </w:rPr>
        <w:t>24.2                     修改类型：修改</w:t>
      </w:r>
    </w:p>
    <w:p>
      <w:pPr>
        <w:spacing w:line="360" w:lineRule="auto"/>
        <w:ind w:firstLine="525" w:firstLineChars="249"/>
        <w:rPr>
          <w:rFonts w:hint="eastAsia" w:ascii="宋体" w:hAnsi="宋体" w:cs="宋体"/>
          <w:color w:val="auto"/>
          <w:szCs w:val="20"/>
          <w:highlight w:val="none"/>
        </w:rPr>
      </w:pPr>
      <w:r>
        <w:rPr>
          <w:rFonts w:hint="eastAsia" w:ascii="宋体" w:hAnsi="宋体" w:cs="宋体"/>
          <w:b/>
          <w:color w:val="auto"/>
          <w:szCs w:val="21"/>
          <w:highlight w:val="none"/>
        </w:rPr>
        <w:t>原文：</w:t>
      </w:r>
      <w:r>
        <w:rPr>
          <w:rFonts w:hint="eastAsia" w:ascii="宋体" w:hAnsi="宋体" w:cs="宋体"/>
          <w:color w:val="auto"/>
          <w:szCs w:val="20"/>
          <w:highlight w:val="none"/>
        </w:rPr>
        <w:t>24.1 开标后，直至中标公示为止，凡属于对投标文件的审查、澄清、评价和比较有关的资料以及中标候选人的推荐情况，与评标有关的其他任何情况均严格保密。</w:t>
      </w:r>
    </w:p>
    <w:p>
      <w:pPr>
        <w:pBdr>
          <w:bottom w:val="single" w:color="auto" w:sz="6" w:space="1"/>
        </w:pBdr>
        <w:spacing w:line="440" w:lineRule="exact"/>
        <w:ind w:firstLine="525" w:firstLineChars="250"/>
        <w:rPr>
          <w:rFonts w:hint="eastAsia" w:ascii="宋体" w:hAnsi="宋体" w:cs="宋体"/>
          <w:color w:val="auto"/>
          <w:szCs w:val="20"/>
          <w:highlight w:val="none"/>
        </w:rPr>
      </w:pPr>
      <w:r>
        <w:rPr>
          <w:rFonts w:hint="eastAsia" w:ascii="宋体" w:hAnsi="宋体" w:cs="宋体"/>
          <w:color w:val="auto"/>
          <w:szCs w:val="20"/>
          <w:highlight w:val="none"/>
        </w:rPr>
        <w:t>24.2 在投标文件的评审和比较、中标候选人推荐以及授予合同的过程中，投标人向招标人和评标委员会施加不公正影响的任何行为，都将会导致其投标被拒绝</w:t>
      </w:r>
    </w:p>
    <w:p>
      <w:pPr>
        <w:pBdr>
          <w:bottom w:val="single" w:color="auto" w:sz="6" w:space="1"/>
        </w:pBdr>
        <w:spacing w:line="440" w:lineRule="exact"/>
        <w:ind w:firstLine="527" w:firstLineChars="250"/>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24.1开标后，直至合格的中标候选人公示为止，凡属于对投标文件的审查、澄清、评价和比较有关的资料以及合格的中标候选人的推荐</w:t>
      </w:r>
      <w:r>
        <w:rPr>
          <w:rFonts w:hint="eastAsia" w:ascii="宋体" w:hAnsi="宋体" w:cs="宋体"/>
          <w:color w:val="auto"/>
          <w:szCs w:val="21"/>
          <w:highlight w:val="none"/>
          <w:u w:val="single"/>
        </w:rPr>
        <w:t>【不排序，</w:t>
      </w:r>
      <w:r>
        <w:rPr>
          <w:rFonts w:hint="eastAsia" w:ascii="宋体" w:hAnsi="宋体" w:eastAsia="宋体" w:cs="宋体"/>
          <w:color w:val="auto"/>
          <w:sz w:val="21"/>
          <w:szCs w:val="21"/>
          <w:highlight w:val="none"/>
          <w:u w:val="single"/>
        </w:rPr>
        <w:t>按统一社会信用代码后4位（除校验码外）大小排位</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如</w:t>
      </w:r>
      <w:r>
        <w:rPr>
          <w:rFonts w:hint="eastAsia" w:ascii="宋体" w:hAnsi="宋体" w:eastAsia="宋体" w:cs="宋体"/>
          <w:color w:val="auto"/>
          <w:sz w:val="21"/>
          <w:szCs w:val="21"/>
          <w:highlight w:val="none"/>
          <w:u w:val="single"/>
        </w:rPr>
        <w:t>统一社会信用代码后</w:t>
      </w:r>
      <w:r>
        <w:rPr>
          <w:rFonts w:hint="eastAsia" w:ascii="宋体" w:hAnsi="宋体" w:eastAsia="宋体" w:cs="宋体"/>
          <w:color w:val="auto"/>
          <w:sz w:val="21"/>
          <w:szCs w:val="21"/>
          <w:highlight w:val="none"/>
          <w:u w:val="single"/>
          <w:lang w:val="en-US" w:eastAsia="zh-CN"/>
        </w:rPr>
        <w:t>4位出现字母情况的，字母以“0”进行代替大小排位；如出现</w:t>
      </w:r>
      <w:r>
        <w:rPr>
          <w:rFonts w:hint="eastAsia" w:ascii="宋体" w:hAnsi="宋体" w:eastAsia="宋体" w:cs="宋体"/>
          <w:color w:val="auto"/>
          <w:sz w:val="21"/>
          <w:szCs w:val="21"/>
          <w:highlight w:val="none"/>
          <w:u w:val="single"/>
        </w:rPr>
        <w:t>后4位（除校验码外）</w:t>
      </w:r>
      <w:r>
        <w:rPr>
          <w:rFonts w:hint="eastAsia" w:ascii="宋体" w:hAnsi="宋体" w:eastAsia="宋体" w:cs="宋体"/>
          <w:color w:val="auto"/>
          <w:sz w:val="21"/>
          <w:szCs w:val="21"/>
          <w:highlight w:val="none"/>
          <w:u w:val="single"/>
          <w:lang w:val="en-US" w:eastAsia="zh-CN"/>
        </w:rPr>
        <w:t>大小一致的，则随机排位</w:t>
      </w:r>
      <w:r>
        <w:rPr>
          <w:rFonts w:hint="eastAsia" w:ascii="宋体" w:hAnsi="宋体" w:cs="宋体"/>
          <w:color w:val="auto"/>
          <w:szCs w:val="21"/>
          <w:highlight w:val="none"/>
          <w:u w:val="single"/>
        </w:rPr>
        <w:t>】</w:t>
      </w:r>
      <w:r>
        <w:rPr>
          <w:rFonts w:hint="eastAsia" w:ascii="宋体" w:hAnsi="宋体" w:cs="宋体"/>
          <w:color w:val="auto"/>
          <w:szCs w:val="21"/>
          <w:highlight w:val="none"/>
        </w:rPr>
        <w:t>情况，与评标有关的其他任何情况均严格保密。</w:t>
      </w:r>
    </w:p>
    <w:p>
      <w:pPr>
        <w:pBdr>
          <w:bottom w:val="single" w:color="auto" w:sz="6" w:space="1"/>
        </w:pBdr>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24.2在投标文件的评审和比较、合格的中标候选人推荐</w:t>
      </w:r>
      <w:r>
        <w:rPr>
          <w:rFonts w:hint="eastAsia" w:ascii="宋体" w:hAnsi="宋体" w:cs="宋体"/>
          <w:color w:val="auto"/>
          <w:szCs w:val="21"/>
          <w:highlight w:val="none"/>
          <w:u w:val="single"/>
        </w:rPr>
        <w:t>【不排序，</w:t>
      </w:r>
      <w:r>
        <w:rPr>
          <w:rFonts w:hint="eastAsia" w:ascii="宋体" w:hAnsi="宋体" w:eastAsia="宋体" w:cs="宋体"/>
          <w:color w:val="auto"/>
          <w:sz w:val="21"/>
          <w:szCs w:val="21"/>
          <w:highlight w:val="none"/>
          <w:u w:val="single"/>
        </w:rPr>
        <w:t>按统一社会信用代码后4位（除校验码外）大小排位</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如</w:t>
      </w:r>
      <w:r>
        <w:rPr>
          <w:rFonts w:hint="eastAsia" w:ascii="宋体" w:hAnsi="宋体" w:eastAsia="宋体" w:cs="宋体"/>
          <w:color w:val="auto"/>
          <w:sz w:val="21"/>
          <w:szCs w:val="21"/>
          <w:highlight w:val="none"/>
          <w:u w:val="single"/>
        </w:rPr>
        <w:t>统一社会信用代码后</w:t>
      </w:r>
      <w:r>
        <w:rPr>
          <w:rFonts w:hint="eastAsia" w:ascii="宋体" w:hAnsi="宋体" w:eastAsia="宋体" w:cs="宋体"/>
          <w:color w:val="auto"/>
          <w:sz w:val="21"/>
          <w:szCs w:val="21"/>
          <w:highlight w:val="none"/>
          <w:u w:val="single"/>
          <w:lang w:val="en-US" w:eastAsia="zh-CN"/>
        </w:rPr>
        <w:t>4位出现字母情况的，字母以“0”进行代替大小排位；如出现</w:t>
      </w:r>
      <w:r>
        <w:rPr>
          <w:rFonts w:hint="eastAsia" w:ascii="宋体" w:hAnsi="宋体" w:eastAsia="宋体" w:cs="宋体"/>
          <w:color w:val="auto"/>
          <w:sz w:val="21"/>
          <w:szCs w:val="21"/>
          <w:highlight w:val="none"/>
          <w:u w:val="single"/>
        </w:rPr>
        <w:t>后4位（除校验码外）</w:t>
      </w:r>
      <w:r>
        <w:rPr>
          <w:rFonts w:hint="eastAsia" w:ascii="宋体" w:hAnsi="宋体" w:eastAsia="宋体" w:cs="宋体"/>
          <w:color w:val="auto"/>
          <w:sz w:val="21"/>
          <w:szCs w:val="21"/>
          <w:highlight w:val="none"/>
          <w:u w:val="single"/>
          <w:lang w:val="en-US" w:eastAsia="zh-CN"/>
        </w:rPr>
        <w:t>大小一致的，则随机排位</w:t>
      </w:r>
      <w:r>
        <w:rPr>
          <w:rFonts w:hint="eastAsia" w:ascii="宋体" w:hAnsi="宋体" w:cs="宋体"/>
          <w:color w:val="auto"/>
          <w:szCs w:val="21"/>
          <w:highlight w:val="none"/>
          <w:u w:val="single"/>
        </w:rPr>
        <w:t>】、定标</w:t>
      </w:r>
      <w:r>
        <w:rPr>
          <w:rFonts w:hint="eastAsia" w:ascii="宋体" w:hAnsi="宋体" w:cs="宋体"/>
          <w:color w:val="auto"/>
          <w:szCs w:val="21"/>
          <w:highlight w:val="none"/>
        </w:rPr>
        <w:t>以及授予合同的过程中，投标人向招标人、评标委员会</w:t>
      </w:r>
      <w:r>
        <w:rPr>
          <w:rFonts w:hint="eastAsia" w:ascii="宋体" w:hAnsi="宋体" w:cs="宋体"/>
          <w:color w:val="auto"/>
          <w:szCs w:val="21"/>
          <w:highlight w:val="none"/>
          <w:u w:val="single"/>
        </w:rPr>
        <w:t>和定标委员会</w:t>
      </w:r>
      <w:r>
        <w:rPr>
          <w:rFonts w:hint="eastAsia" w:ascii="宋体" w:hAnsi="宋体" w:cs="宋体"/>
          <w:color w:val="auto"/>
          <w:szCs w:val="21"/>
          <w:highlight w:val="none"/>
        </w:rPr>
        <w:t>施加不公正影响的任何行为，都将会导致其投标被拒绝。</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条款号：27.1                        修改类型：修改</w:t>
      </w:r>
    </w:p>
    <w:p>
      <w:pP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b w:val="0"/>
          <w:bCs/>
          <w:color w:val="auto"/>
          <w:szCs w:val="21"/>
          <w:highlight w:val="none"/>
        </w:rPr>
        <w:t>27.1</w:t>
      </w:r>
      <w:r>
        <w:rPr>
          <w:rFonts w:hint="eastAsia" w:ascii="宋体" w:hAnsi="宋体" w:cs="宋体"/>
          <w:color w:val="auto"/>
          <w:szCs w:val="21"/>
          <w:highlight w:val="none"/>
        </w:rPr>
        <w:t>招标人将在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交易平台、广东省招标投标监管网和中国招标投标公共服务平台公示中标候选人，公示期为三天。</w:t>
      </w:r>
      <w:r>
        <w:rPr>
          <w:rFonts w:hint="eastAsia" w:ascii="宋体" w:hAnsi="宋体" w:cs="宋体"/>
          <w:b/>
          <w:bCs/>
          <w:color w:val="auto"/>
          <w:szCs w:val="21"/>
          <w:highlight w:val="none"/>
        </w:rPr>
        <w:t>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pBdr>
          <w:bottom w:val="single" w:color="auto" w:sz="6" w:space="1"/>
        </w:pBdr>
        <w:spacing w:line="360" w:lineRule="auto"/>
        <w:ind w:firstLine="411" w:firstLineChars="195"/>
        <w:rPr>
          <w:rFonts w:hint="eastAsia" w:ascii="宋体" w:hAnsi="宋体" w:cs="宋体"/>
          <w:b/>
          <w:bCs/>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27.1招标人将在</w:t>
      </w:r>
      <w:r>
        <w:rPr>
          <w:rFonts w:hint="eastAsia" w:ascii="宋体" w:hAnsi="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rPr>
        <w:t>交易平台、广东省招标投标监管网和中国招标投标公共服务平台公示</w:t>
      </w:r>
      <w:r>
        <w:rPr>
          <w:rFonts w:hint="eastAsia" w:ascii="宋体" w:hAnsi="宋体" w:cs="宋体"/>
          <w:color w:val="auto"/>
          <w:szCs w:val="21"/>
          <w:highlight w:val="none"/>
          <w:lang w:val="en-US" w:eastAsia="zh-CN"/>
        </w:rPr>
        <w:t>合格</w:t>
      </w:r>
      <w:r>
        <w:rPr>
          <w:rFonts w:hint="eastAsia" w:ascii="宋体" w:hAnsi="宋体" w:cs="宋体"/>
          <w:color w:val="auto"/>
          <w:szCs w:val="21"/>
          <w:highlight w:val="none"/>
        </w:rPr>
        <w:t>中标候选人，公示期为三天。</w:t>
      </w:r>
      <w:r>
        <w:rPr>
          <w:rFonts w:hint="eastAsia" w:ascii="宋体" w:hAnsi="宋体" w:cs="宋体"/>
          <w:b/>
          <w:bCs/>
          <w:color w:val="auto"/>
          <w:szCs w:val="21"/>
          <w:highlight w:val="none"/>
        </w:rPr>
        <w:t>投标人或其他利害关系人对评标结果有异议的，应当在</w:t>
      </w:r>
      <w:r>
        <w:rPr>
          <w:rFonts w:hint="eastAsia" w:ascii="宋体" w:hAnsi="宋体" w:cs="宋体"/>
          <w:b/>
          <w:bCs/>
          <w:color w:val="auto"/>
          <w:szCs w:val="21"/>
          <w:highlight w:val="none"/>
          <w:lang w:val="en-US" w:eastAsia="zh-CN"/>
        </w:rPr>
        <w:t>合格</w:t>
      </w:r>
      <w:r>
        <w:rPr>
          <w:rFonts w:hint="eastAsia" w:ascii="宋体" w:hAnsi="宋体" w:cs="宋体"/>
          <w:b/>
          <w:bCs/>
          <w:color w:val="auto"/>
          <w:szCs w:val="21"/>
          <w:highlight w:val="none"/>
        </w:rPr>
        <w:t>中标候选人公示期间提出，可以通过线下或线上的形式提出异议。线上提交的，应通过交易平台进行，招标人也应通过交易平台答复线上提交的异议。作出答复前，应当暂停招标投标活动。</w:t>
      </w:r>
    </w:p>
    <w:p>
      <w:pPr>
        <w:pBdr>
          <w:bottom w:val="single" w:color="auto" w:sz="6" w:space="1"/>
        </w:pBdr>
        <w:spacing w:line="360" w:lineRule="auto"/>
        <w:ind w:firstLine="409" w:firstLineChars="195"/>
        <w:rPr>
          <w:rFonts w:ascii="宋体" w:hAnsi="宋体" w:cs="宋体"/>
          <w:color w:val="auto"/>
          <w:szCs w:val="21"/>
          <w:highlight w:val="none"/>
        </w:rPr>
      </w:pPr>
      <w:r>
        <w:rPr>
          <w:rFonts w:hint="eastAsia" w:ascii="宋体" w:hAnsi="宋体" w:cs="宋体"/>
          <w:color w:val="auto"/>
          <w:sz w:val="21"/>
          <w:szCs w:val="21"/>
          <w:highlight w:val="none"/>
          <w:u w:val="single"/>
        </w:rPr>
        <w:t>合格中标候选人公示结束后</w:t>
      </w:r>
      <w:r>
        <w:rPr>
          <w:rFonts w:ascii="宋体" w:hAnsi="宋体" w:cs="宋体"/>
          <w:color w:val="auto"/>
          <w:sz w:val="21"/>
          <w:szCs w:val="21"/>
          <w:highlight w:val="none"/>
          <w:u w:val="single"/>
        </w:rPr>
        <w:t>10</w:t>
      </w:r>
      <w:r>
        <w:rPr>
          <w:rFonts w:hint="eastAsia" w:ascii="宋体" w:hAnsi="宋体" w:cs="宋体"/>
          <w:color w:val="auto"/>
          <w:sz w:val="21"/>
          <w:szCs w:val="21"/>
          <w:highlight w:val="none"/>
          <w:u w:val="single"/>
        </w:rPr>
        <w:t>个工作日内在广州交易集团有限公司（广州公共资源交易中心）开展定标工作，在定标委员会完成定标工作后，招标人将在广州公共资源交易中心交易平台、广东省招标投标监管网和中国招标投标公共服务平台进行中标结果公示。</w:t>
      </w:r>
      <w:r>
        <w:rPr>
          <w:rFonts w:hint="eastAsia" w:ascii="宋体" w:hAnsi="宋体" w:cs="宋体"/>
          <w:b/>
          <w:color w:val="auto"/>
          <w:sz w:val="21"/>
          <w:szCs w:val="21"/>
          <w:highlight w:val="none"/>
          <w:u w:val="single"/>
        </w:rPr>
        <w:t>因投诉生效导致中标人不符合中标资格的，或定标后出现中标人不符合法定情形的，招标人可从其他合格中标候选人中采用原定标办法，由原定标委员会确定中标人，也可以重新组织招标</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条款号：27.4                        修改类型：修改</w:t>
      </w:r>
    </w:p>
    <w:p>
      <w:pP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27.4在产生中标候选人后，招标人将中标候选人的投标文件商务部分文件的所有内容（包括人员、业绩、奖项等资料）在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交易平台和广东省招标投标监管网公开。</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27.4在产生</w:t>
      </w:r>
      <w:r>
        <w:rPr>
          <w:rFonts w:hint="eastAsia" w:ascii="宋体" w:hAnsi="宋体" w:cs="宋体"/>
          <w:color w:val="auto"/>
          <w:szCs w:val="21"/>
          <w:highlight w:val="none"/>
          <w:lang w:val="en-US" w:eastAsia="zh-CN"/>
        </w:rPr>
        <w:t>合格</w:t>
      </w:r>
      <w:r>
        <w:rPr>
          <w:rFonts w:hint="eastAsia" w:ascii="宋体" w:hAnsi="宋体" w:cs="宋体"/>
          <w:color w:val="auto"/>
          <w:szCs w:val="21"/>
          <w:highlight w:val="none"/>
        </w:rPr>
        <w:t>中标候选人后，招标人将</w:t>
      </w:r>
      <w:r>
        <w:rPr>
          <w:rFonts w:hint="eastAsia" w:ascii="宋体" w:hAnsi="宋体" w:cs="宋体"/>
          <w:color w:val="auto"/>
          <w:szCs w:val="21"/>
          <w:highlight w:val="none"/>
          <w:lang w:val="en-US" w:eastAsia="zh-CN"/>
        </w:rPr>
        <w:t>合格</w:t>
      </w:r>
      <w:r>
        <w:rPr>
          <w:rFonts w:hint="eastAsia" w:ascii="宋体" w:hAnsi="宋体" w:cs="宋体"/>
          <w:color w:val="auto"/>
          <w:szCs w:val="21"/>
          <w:highlight w:val="none"/>
        </w:rPr>
        <w:t>中标候选人的投标文件商务部分文件的所有内容（</w:t>
      </w:r>
      <w:r>
        <w:rPr>
          <w:rFonts w:hint="eastAsia" w:ascii="宋体" w:hAnsi="宋体" w:cs="宋体"/>
          <w:color w:val="auto"/>
          <w:szCs w:val="21"/>
          <w:highlight w:val="none"/>
          <w:u w:val="none"/>
        </w:rPr>
        <w:t>包括人员、业绩、奖项等资料</w:t>
      </w:r>
      <w:r>
        <w:rPr>
          <w:rFonts w:hint="eastAsia" w:ascii="宋体" w:hAnsi="宋体" w:cs="宋体"/>
          <w:color w:val="auto"/>
          <w:szCs w:val="21"/>
          <w:highlight w:val="none"/>
        </w:rPr>
        <w:t>）在</w:t>
      </w:r>
      <w:r>
        <w:rPr>
          <w:rFonts w:hint="eastAsia" w:ascii="宋体" w:hAnsi="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rPr>
        <w:t>交易平台和广东省招标投标监管网公开。</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条款号：28.</w:t>
      </w:r>
      <w:r>
        <w:rPr>
          <w:rFonts w:hint="eastAsia" w:ascii="宋体" w:hAnsi="宋体" w:cs="宋体"/>
          <w:b/>
          <w:color w:val="auto"/>
          <w:szCs w:val="21"/>
          <w:highlight w:val="none"/>
          <w:lang w:val="en-US" w:eastAsia="zh-CN"/>
        </w:rPr>
        <w:t>2</w:t>
      </w:r>
      <w:r>
        <w:rPr>
          <w:rFonts w:hint="eastAsia" w:ascii="宋体" w:hAnsi="宋体" w:cs="宋体"/>
          <w:b/>
          <w:color w:val="auto"/>
          <w:szCs w:val="21"/>
          <w:highlight w:val="none"/>
        </w:rPr>
        <w:t xml:space="preserve">                        修改类型：修改</w:t>
      </w:r>
    </w:p>
    <w:p>
      <w:pPr>
        <w:spacing w:line="360" w:lineRule="auto"/>
        <w:ind w:firstLine="411" w:firstLineChars="195"/>
        <w:rPr>
          <w:rFonts w:hint="eastAsia" w:ascii="宋体" w:hAnsi="宋体"/>
          <w:color w:val="auto"/>
          <w:sz w:val="21"/>
          <w:szCs w:val="21"/>
          <w:highlight w:val="none"/>
        </w:rPr>
      </w:pPr>
      <w:r>
        <w:rPr>
          <w:rFonts w:hint="eastAsia" w:ascii="宋体" w:hAnsi="宋体" w:cs="宋体"/>
          <w:b/>
          <w:color w:val="auto"/>
          <w:szCs w:val="21"/>
          <w:highlight w:val="none"/>
        </w:rPr>
        <w:t>原文：</w:t>
      </w:r>
      <w:r>
        <w:rPr>
          <w:rFonts w:ascii="宋体" w:hAnsi="宋体"/>
          <w:color w:val="auto"/>
          <w:sz w:val="21"/>
          <w:szCs w:val="21"/>
          <w:highlight w:val="none"/>
        </w:rPr>
        <w:t>28.2</w:t>
      </w:r>
      <w:r>
        <w:rPr>
          <w:rFonts w:hint="eastAsia" w:ascii="宋体" w:hAnsi="宋体"/>
          <w:color w:val="auto"/>
          <w:sz w:val="21"/>
          <w:szCs w:val="21"/>
          <w:highlight w:val="none"/>
        </w:rPr>
        <w:t>中标通知书发出之日起</w:t>
      </w:r>
      <w:r>
        <w:rPr>
          <w:rFonts w:ascii="宋体" w:hAnsi="宋体"/>
          <w:color w:val="auto"/>
          <w:sz w:val="21"/>
          <w:szCs w:val="21"/>
          <w:highlight w:val="none"/>
        </w:rPr>
        <w:t>30</w:t>
      </w:r>
      <w:r>
        <w:rPr>
          <w:rFonts w:hint="eastAsia" w:ascii="宋体" w:hAnsi="宋体"/>
          <w:color w:val="auto"/>
          <w:sz w:val="21"/>
          <w:szCs w:val="21"/>
          <w:highlight w:val="none"/>
        </w:rPr>
        <w:t>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pBdr>
          <w:bottom w:val="single" w:color="auto" w:sz="4" w:space="0"/>
        </w:pBdr>
        <w:spacing w:line="360" w:lineRule="auto"/>
        <w:ind w:firstLine="411" w:firstLineChars="195"/>
        <w:rPr>
          <w:rFonts w:hint="eastAsia" w:ascii="宋体" w:hAnsi="宋体"/>
          <w:color w:val="auto"/>
          <w:sz w:val="24"/>
          <w:szCs w:val="24"/>
          <w:highlight w:val="none"/>
        </w:rPr>
      </w:pPr>
      <w:r>
        <w:rPr>
          <w:rFonts w:hint="eastAsia" w:ascii="宋体" w:hAnsi="宋体" w:cs="宋体"/>
          <w:b/>
          <w:color w:val="auto"/>
          <w:szCs w:val="21"/>
          <w:highlight w:val="none"/>
        </w:rPr>
        <w:t>现文：</w:t>
      </w:r>
      <w:r>
        <w:rPr>
          <w:rFonts w:ascii="宋体" w:hAnsi="宋体"/>
          <w:color w:val="auto"/>
          <w:sz w:val="21"/>
          <w:szCs w:val="21"/>
          <w:highlight w:val="none"/>
        </w:rPr>
        <w:t>28.2</w:t>
      </w:r>
      <w:r>
        <w:rPr>
          <w:rFonts w:hint="eastAsia" w:ascii="宋体" w:hAnsi="宋体"/>
          <w:color w:val="auto"/>
          <w:sz w:val="21"/>
          <w:szCs w:val="21"/>
          <w:highlight w:val="none"/>
        </w:rPr>
        <w:t>中标通知书发出之日起</w:t>
      </w:r>
      <w:r>
        <w:rPr>
          <w:rFonts w:ascii="宋体" w:hAnsi="宋体"/>
          <w:color w:val="auto"/>
          <w:sz w:val="21"/>
          <w:szCs w:val="21"/>
          <w:highlight w:val="none"/>
        </w:rPr>
        <w:t>30</w:t>
      </w:r>
      <w:r>
        <w:rPr>
          <w:rFonts w:hint="eastAsia" w:ascii="宋体" w:hAnsi="宋体"/>
          <w:color w:val="auto"/>
          <w:sz w:val="21"/>
          <w:szCs w:val="21"/>
          <w:highlight w:val="none"/>
        </w:rPr>
        <w:t>日后，中标人未按上款的规定与招标人订立合同，招标人将解除中标通知书，原中标人依法承担相应法律责任。原中标人给招标人造成损失</w:t>
      </w:r>
      <w:r>
        <w:rPr>
          <w:rFonts w:hint="eastAsia" w:ascii="宋体" w:hAnsi="宋体"/>
          <w:color w:val="auto"/>
          <w:sz w:val="21"/>
          <w:szCs w:val="21"/>
          <w:highlight w:val="none"/>
          <w:lang w:val="en-US" w:eastAsia="zh-CN"/>
        </w:rPr>
        <w:t>的</w:t>
      </w:r>
      <w:r>
        <w:rPr>
          <w:rFonts w:hint="eastAsia" w:ascii="宋体" w:hAnsi="宋体"/>
          <w:color w:val="auto"/>
          <w:sz w:val="21"/>
          <w:szCs w:val="21"/>
          <w:highlight w:val="none"/>
        </w:rPr>
        <w:t>，还应当予以赔偿。原中标人有异议的，可以向人民法院起诉。</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条款号：28.3                        修改类型：修改</w:t>
      </w:r>
    </w:p>
    <w:p>
      <w:pP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28.3非经招标人同意，中标人在投标过程中使用的银行名称及帐号至完成竣工结算不得变更，否则招标人有权停止工程款项的拔付及至解除合同，由此造成的一切责任由中标人承担。</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28.3非经招标人同意，中标人在投标过程中使用的银行名称及帐号至完成竣工结算不得变更，否则招标人有权停止工程款项的</w:t>
      </w:r>
      <w:r>
        <w:rPr>
          <w:rFonts w:hint="eastAsia" w:ascii="宋体" w:hAnsi="宋体" w:cs="宋体"/>
          <w:color w:val="auto"/>
          <w:szCs w:val="21"/>
          <w:highlight w:val="none"/>
          <w:u w:val="single"/>
        </w:rPr>
        <w:t>拨付</w:t>
      </w:r>
      <w:r>
        <w:rPr>
          <w:rFonts w:hint="eastAsia" w:ascii="宋体" w:hAnsi="宋体" w:cs="宋体"/>
          <w:color w:val="auto"/>
          <w:szCs w:val="21"/>
          <w:highlight w:val="none"/>
        </w:rPr>
        <w:t>及至解除合同，由此造成的一切责任由中标人承担。</w:t>
      </w:r>
    </w:p>
    <w:p>
      <w:pPr>
        <w:spacing w:line="360" w:lineRule="auto"/>
        <w:ind w:firstLine="411" w:firstLineChars="195"/>
        <w:contextualSpacing/>
        <w:rPr>
          <w:rFonts w:ascii="宋体" w:hAnsi="宋体" w:cs="宋体"/>
          <w:b/>
          <w:color w:val="auto"/>
          <w:szCs w:val="21"/>
          <w:highlight w:val="none"/>
        </w:rPr>
      </w:pPr>
      <w:r>
        <w:rPr>
          <w:rFonts w:hint="eastAsia" w:ascii="宋体" w:hAnsi="宋体" w:cs="宋体"/>
          <w:b/>
          <w:color w:val="auto"/>
          <w:szCs w:val="21"/>
          <w:highlight w:val="none"/>
        </w:rPr>
        <w:t>条款号：28.5                        修改类型：增加</w:t>
      </w:r>
    </w:p>
    <w:p>
      <w:pPr>
        <w:pBdr>
          <w:bottom w:val="single" w:color="auto" w:sz="6" w:space="1"/>
        </w:pBdr>
        <w:tabs>
          <w:tab w:val="left" w:pos="3990"/>
        </w:tabs>
        <w:spacing w:line="360" w:lineRule="auto"/>
        <w:ind w:firstLine="411" w:firstLineChars="195"/>
        <w:rPr>
          <w:rFonts w:ascii="宋体" w:hAnsi="宋体" w:cs="宋体"/>
          <w:b/>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28.5如本工程委托代建单位（项目建设管理单位），则可由代建单位作为发包人与中标人签订合同。</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条款号：29.1                        修改类型：修改</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29.1在收到中标通知书后的</w:t>
      </w:r>
      <w:r>
        <w:rPr>
          <w:rFonts w:hint="eastAsia" w:ascii="宋体" w:hAnsi="宋体" w:cs="宋体"/>
          <w:b/>
          <w:color w:val="auto"/>
          <w:szCs w:val="21"/>
          <w:highlight w:val="none"/>
        </w:rPr>
        <w:t>15日</w:t>
      </w:r>
      <w:r>
        <w:rPr>
          <w:rFonts w:hint="eastAsia" w:ascii="宋体" w:hAnsi="宋体" w:cs="宋体"/>
          <w:color w:val="auto"/>
          <w:szCs w:val="21"/>
          <w:highlight w:val="none"/>
        </w:rPr>
        <w:t>内，中标人应按本须知前附表第20项的规定向招标人提交履约担保。</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29.1</w:t>
      </w:r>
      <w:r>
        <w:rPr>
          <w:rFonts w:hint="eastAsia" w:ascii="宋体" w:hAnsi="宋体" w:cs="宋体"/>
          <w:color w:val="auto"/>
          <w:szCs w:val="21"/>
          <w:highlight w:val="none"/>
          <w:u w:val="single"/>
        </w:rPr>
        <w:t>合同正式签订之日后的30日内</w:t>
      </w:r>
      <w:r>
        <w:rPr>
          <w:rFonts w:hint="eastAsia" w:ascii="宋体" w:hAnsi="宋体" w:cs="宋体"/>
          <w:color w:val="auto"/>
          <w:szCs w:val="21"/>
          <w:highlight w:val="none"/>
        </w:rPr>
        <w:t>，中标人应按本须知前附表第20项的规定向招标人提交履约担保。</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条款号：29.2                        修改类型：修改</w:t>
      </w:r>
    </w:p>
    <w:p>
      <w:pP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29.2中标通知书发出之日起15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w:t>
      </w:r>
      <w:r>
        <w:rPr>
          <w:rFonts w:hint="eastAsia" w:ascii="宋体" w:hAnsi="宋体" w:eastAsia="宋体" w:cs="宋体"/>
          <w:color w:val="auto"/>
          <w:sz w:val="21"/>
          <w:szCs w:val="21"/>
          <w:highlight w:val="none"/>
        </w:rPr>
        <w:t>29.2合同正式签订之日后的30日内，中标人未按上款的规定递交履约担保，招标人将解除中标通知书，且依法承担相应法律责任。原中标人给招标人造成损失的，还应当予以赔偿。原中标人有异议的，可以向人民法院起诉</w:t>
      </w:r>
      <w:r>
        <w:rPr>
          <w:rFonts w:hint="eastAsia" w:ascii="宋体" w:hAnsi="宋体" w:cs="宋体"/>
          <w:color w:val="auto"/>
          <w:szCs w:val="21"/>
          <w:highlight w:val="none"/>
        </w:rPr>
        <w:t>。</w:t>
      </w:r>
    </w:p>
    <w:p>
      <w:pP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条款号：30.1                        修改类型：修改</w:t>
      </w:r>
    </w:p>
    <w:p>
      <w:pP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30.1在合同双方全权代表在合同协议书上签字，并分别加盖双方单位的公章后，合同正式生效。</w:t>
      </w:r>
    </w:p>
    <w:p>
      <w:pPr>
        <w:pBdr>
          <w:bottom w:val="single" w:color="auto" w:sz="6" w:space="1"/>
        </w:pBdr>
        <w:spacing w:line="360" w:lineRule="auto"/>
        <w:ind w:firstLine="411" w:firstLineChars="195"/>
        <w:rPr>
          <w:rFonts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30.1在合同双方全权代表在合同协议书上签字，并分别加盖双方单位的公章</w:t>
      </w:r>
      <w:r>
        <w:rPr>
          <w:rFonts w:hint="eastAsia" w:ascii="宋体" w:hAnsi="宋体" w:cs="宋体"/>
          <w:color w:val="auto"/>
          <w:szCs w:val="21"/>
          <w:highlight w:val="none"/>
          <w:u w:val="single"/>
        </w:rPr>
        <w:t>且承包人提交履约担保后，合同正式生效。</w:t>
      </w:r>
    </w:p>
    <w:p>
      <w:pPr>
        <w:spacing w:line="360" w:lineRule="auto"/>
        <w:ind w:firstLine="411" w:firstLineChars="195"/>
        <w:rPr>
          <w:rFonts w:ascii="宋体" w:hAnsi="宋体" w:cs="宋体"/>
          <w:b/>
          <w:bCs/>
          <w:color w:val="auto"/>
          <w:szCs w:val="21"/>
          <w:highlight w:val="none"/>
        </w:rPr>
      </w:pPr>
      <w:r>
        <w:rPr>
          <w:rFonts w:hint="eastAsia" w:ascii="宋体" w:hAnsi="宋体" w:cs="宋体"/>
          <w:b/>
          <w:bCs/>
          <w:color w:val="auto"/>
          <w:szCs w:val="21"/>
          <w:highlight w:val="none"/>
        </w:rPr>
        <w:t>条款号：31                          修改类型：修改</w:t>
      </w:r>
    </w:p>
    <w:p>
      <w:pPr>
        <w:pBdr>
          <w:bottom w:val="single" w:color="auto" w:sz="6" w:space="1"/>
        </w:pBdr>
        <w:spacing w:line="360" w:lineRule="auto"/>
        <w:ind w:firstLine="411" w:firstLineChars="195"/>
        <w:rPr>
          <w:rFonts w:ascii="宋体" w:hAnsi="宋体" w:cs="宋体"/>
          <w:b/>
          <w:bCs/>
          <w:color w:val="auto"/>
          <w:szCs w:val="21"/>
          <w:highlight w:val="none"/>
        </w:rPr>
      </w:pPr>
      <w:r>
        <w:rPr>
          <w:rFonts w:hint="eastAsia" w:ascii="宋体" w:hAnsi="宋体" w:cs="宋体"/>
          <w:b/>
          <w:bCs/>
          <w:color w:val="auto"/>
          <w:szCs w:val="21"/>
          <w:highlight w:val="none"/>
        </w:rPr>
        <w:t>原文：31.其它费用</w:t>
      </w:r>
    </w:p>
    <w:p>
      <w:pPr>
        <w:pBdr>
          <w:bottom w:val="single" w:color="auto" w:sz="6" w:space="1"/>
        </w:pBdr>
        <w:spacing w:line="360" w:lineRule="auto"/>
        <w:ind w:firstLine="411" w:firstLineChars="195"/>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w:t>
      </w:r>
      <w:r>
        <w:rPr>
          <w:rFonts w:hint="eastAsia" w:ascii="宋体" w:hAnsi="宋体" w:cs="宋体"/>
          <w:b/>
          <w:color w:val="auto"/>
          <w:szCs w:val="21"/>
          <w:highlight w:val="none"/>
        </w:rPr>
        <w:t>31.</w:t>
      </w:r>
      <w:r>
        <w:rPr>
          <w:rFonts w:hint="eastAsia" w:ascii="宋体" w:hAnsi="宋体" w:cs="宋体"/>
          <w:b/>
          <w:bCs/>
          <w:color w:val="auto"/>
          <w:szCs w:val="21"/>
          <w:highlight w:val="none"/>
        </w:rPr>
        <w:t>其它费用</w:t>
      </w:r>
    </w:p>
    <w:p>
      <w:pPr>
        <w:pBdr>
          <w:bottom w:val="single" w:color="auto" w:sz="6" w:space="1"/>
        </w:pBdr>
        <w:spacing w:line="360" w:lineRule="auto"/>
        <w:ind w:firstLine="409" w:firstLineChars="195"/>
        <w:rPr>
          <w:rFonts w:ascii="宋体" w:hAnsi="宋体" w:cs="宋体"/>
          <w:color w:val="auto"/>
          <w:szCs w:val="21"/>
          <w:highlight w:val="none"/>
          <w:u w:val="single"/>
        </w:rPr>
      </w:pPr>
      <w:r>
        <w:rPr>
          <w:rFonts w:hint="eastAsia" w:ascii="宋体" w:hAnsi="宋体" w:cs="宋体"/>
          <w:color w:val="auto"/>
          <w:szCs w:val="21"/>
          <w:highlight w:val="none"/>
          <w:u w:val="single"/>
        </w:rPr>
        <w:t>中标人应交纳交易服务费，该费用包含在投标价中。</w:t>
      </w:r>
    </w:p>
    <w:p>
      <w:pPr>
        <w:spacing w:line="360" w:lineRule="auto"/>
        <w:ind w:firstLine="211" w:firstLineChars="100"/>
        <w:rPr>
          <w:rFonts w:ascii="宋体" w:hAnsi="宋体" w:cs="宋体"/>
          <w:b/>
          <w:color w:val="auto"/>
          <w:szCs w:val="21"/>
          <w:highlight w:val="none"/>
        </w:rPr>
      </w:pPr>
      <w:r>
        <w:rPr>
          <w:rFonts w:hint="eastAsia" w:ascii="宋体" w:hAnsi="宋体" w:cs="宋体"/>
          <w:b/>
          <w:color w:val="auto"/>
          <w:szCs w:val="21"/>
          <w:highlight w:val="none"/>
        </w:rPr>
        <w:t>注：以上修改，仅限于本范本中有可供选择条款的情形。</w:t>
      </w:r>
    </w:p>
    <w:p>
      <w:pPr>
        <w:spacing w:line="360" w:lineRule="auto"/>
        <w:rPr>
          <w:rFonts w:ascii="宋体" w:hAnsi="宋体" w:cs="宋体"/>
          <w:color w:val="auto"/>
          <w:highlight w:val="none"/>
        </w:rPr>
      </w:pPr>
      <w:r>
        <w:rPr>
          <w:rFonts w:hint="eastAsia" w:ascii="宋体" w:hAnsi="宋体" w:cs="宋体"/>
          <w:b/>
          <w:color w:val="auto"/>
          <w:szCs w:val="21"/>
          <w:highlight w:val="none"/>
        </w:rPr>
        <w:t>（以下无正文）</w:t>
      </w:r>
    </w:p>
    <w:p>
      <w:pPr>
        <w:pStyle w:val="4"/>
        <w:rPr>
          <w:color w:val="auto"/>
          <w:highlight w:val="none"/>
        </w:rPr>
      </w:pPr>
      <w:r>
        <w:rPr>
          <w:rFonts w:hint="eastAsia"/>
          <w:color w:val="auto"/>
          <w:highlight w:val="none"/>
        </w:rPr>
        <w:br w:type="page"/>
      </w:r>
      <w:bookmarkStart w:id="37" w:name="_Toc5355"/>
      <w:bookmarkStart w:id="38" w:name="_Toc27485"/>
      <w:bookmarkStart w:id="39" w:name="_Toc406"/>
      <w:bookmarkStart w:id="40" w:name="_Toc7019"/>
      <w:bookmarkStart w:id="41" w:name="_Toc432"/>
      <w:bookmarkStart w:id="42" w:name="_Toc14676"/>
      <w:bookmarkStart w:id="43" w:name="_Toc2272548"/>
      <w:bookmarkStart w:id="44" w:name="_Toc27873"/>
      <w:bookmarkStart w:id="45" w:name="_Toc1651"/>
      <w:bookmarkStart w:id="46" w:name="_Toc5805"/>
      <w:bookmarkStart w:id="47" w:name="_Toc21331"/>
      <w:bookmarkStart w:id="48" w:name="_Toc14321"/>
      <w:r>
        <w:rPr>
          <w:rFonts w:hint="eastAsia"/>
          <w:color w:val="auto"/>
          <w:highlight w:val="none"/>
        </w:rPr>
        <w:t>三、投标须知通用条款</w:t>
      </w:r>
      <w:bookmarkEnd w:id="37"/>
      <w:bookmarkEnd w:id="38"/>
      <w:bookmarkEnd w:id="39"/>
      <w:bookmarkEnd w:id="40"/>
      <w:bookmarkEnd w:id="41"/>
      <w:bookmarkEnd w:id="42"/>
      <w:bookmarkEnd w:id="43"/>
      <w:bookmarkEnd w:id="44"/>
      <w:bookmarkEnd w:id="45"/>
      <w:bookmarkEnd w:id="46"/>
      <w:bookmarkEnd w:id="47"/>
      <w:bookmarkEnd w:id="48"/>
    </w:p>
    <w:p>
      <w:pPr>
        <w:widowControl/>
        <w:spacing w:before="100" w:beforeAutospacing="1" w:after="100" w:afterAutospacing="1" w:line="360" w:lineRule="auto"/>
        <w:jc w:val="left"/>
        <w:outlineLvl w:val="2"/>
        <w:rPr>
          <w:rFonts w:ascii="宋体" w:hAnsi="宋体" w:cs="宋体"/>
          <w:color w:val="auto"/>
          <w:kern w:val="0"/>
          <w:sz w:val="24"/>
          <w:szCs w:val="24"/>
          <w:highlight w:val="none"/>
        </w:rPr>
      </w:pPr>
      <w:bookmarkStart w:id="49" w:name="_Toc28097"/>
      <w:bookmarkStart w:id="50" w:name="_Toc19152"/>
      <w:bookmarkStart w:id="51" w:name="_Toc22974"/>
      <w:bookmarkStart w:id="52" w:name="_Toc2272549"/>
      <w:bookmarkStart w:id="53" w:name="_Toc17135"/>
      <w:bookmarkStart w:id="54" w:name="_Toc58838571"/>
      <w:bookmarkStart w:id="55" w:name="_Toc27047"/>
      <w:bookmarkStart w:id="56" w:name="_Toc81"/>
      <w:bookmarkStart w:id="57" w:name="_Toc31237"/>
      <w:bookmarkStart w:id="58" w:name="_Toc9566"/>
      <w:bookmarkStart w:id="59" w:name="_Toc3006"/>
      <w:bookmarkStart w:id="60" w:name="_Toc26119"/>
      <w:bookmarkStart w:id="61" w:name="_Toc25900"/>
      <w:r>
        <w:rPr>
          <w:rFonts w:hint="eastAsia" w:ascii="宋体" w:hAnsi="宋体" w:cs="宋体"/>
          <w:color w:val="auto"/>
          <w:kern w:val="0"/>
          <w:sz w:val="24"/>
          <w:szCs w:val="24"/>
          <w:highlight w:val="none"/>
        </w:rPr>
        <w:t>（一）总则</w:t>
      </w:r>
      <w:bookmarkEnd w:id="49"/>
      <w:bookmarkEnd w:id="50"/>
      <w:bookmarkEnd w:id="51"/>
      <w:bookmarkEnd w:id="52"/>
      <w:bookmarkEnd w:id="53"/>
      <w:bookmarkEnd w:id="54"/>
      <w:bookmarkEnd w:id="55"/>
      <w:bookmarkEnd w:id="56"/>
      <w:bookmarkEnd w:id="57"/>
      <w:bookmarkEnd w:id="58"/>
      <w:bookmarkEnd w:id="59"/>
      <w:bookmarkEnd w:id="60"/>
      <w:bookmarkEnd w:id="61"/>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w:t>
      </w:r>
      <w:r>
        <w:rPr>
          <w:rFonts w:hint="eastAsia" w:ascii="宋体" w:hAnsi="宋体"/>
          <w:b/>
          <w:bCs/>
          <w:color w:val="auto"/>
          <w:sz w:val="24"/>
          <w:szCs w:val="24"/>
          <w:highlight w:val="none"/>
        </w:rPr>
        <w:t>、定义</w:t>
      </w:r>
    </w:p>
    <w:p>
      <w:pPr>
        <w:spacing w:line="360" w:lineRule="auto"/>
        <w:ind w:firstLine="480" w:firstLineChars="200"/>
        <w:rPr>
          <w:rFonts w:ascii="宋体" w:hAnsi="宋体"/>
          <w:b/>
          <w:bCs/>
          <w:color w:val="auto"/>
          <w:sz w:val="24"/>
          <w:szCs w:val="24"/>
          <w:highlight w:val="none"/>
        </w:rPr>
      </w:pPr>
      <w:r>
        <w:rPr>
          <w:rFonts w:hint="eastAsia" w:ascii="宋体" w:hAnsi="宋体"/>
          <w:color w:val="auto"/>
          <w:sz w:val="24"/>
          <w:szCs w:val="24"/>
          <w:highlight w:val="none"/>
        </w:rPr>
        <w:t>本招标文件使用的下列词语具有如下规定的意义：</w:t>
      </w:r>
    </w:p>
    <w:p>
      <w:pPr>
        <w:spacing w:line="360" w:lineRule="auto"/>
        <w:ind w:firstLine="480" w:firstLineChars="200"/>
        <w:rPr>
          <w:rFonts w:ascii="宋体" w:hAnsi="宋体"/>
          <w:b/>
          <w:bCs/>
          <w:color w:val="auto"/>
          <w:sz w:val="24"/>
          <w:szCs w:val="24"/>
          <w:highlight w:val="none"/>
          <w:u w:val="single"/>
        </w:rPr>
      </w:pPr>
      <w:r>
        <w:rPr>
          <w:rFonts w:hint="eastAsia" w:ascii="宋体" w:hAnsi="宋体"/>
          <w:color w:val="auto"/>
          <w:sz w:val="24"/>
          <w:szCs w:val="24"/>
          <w:highlight w:val="none"/>
        </w:rPr>
        <w:t>（</w:t>
      </w:r>
      <w:r>
        <w:rPr>
          <w:rFonts w:ascii="宋体" w:hAnsi="宋体"/>
          <w:color w:val="auto"/>
          <w:sz w:val="24"/>
          <w:szCs w:val="24"/>
          <w:highlight w:val="none"/>
        </w:rPr>
        <w:t>1</w:t>
      </w:r>
      <w:r>
        <w:rPr>
          <w:rFonts w:hint="eastAsia" w:ascii="宋体" w:hAnsi="宋体"/>
          <w:color w:val="auto"/>
          <w:sz w:val="24"/>
          <w:szCs w:val="24"/>
          <w:highlight w:val="none"/>
        </w:rPr>
        <w:t>）“招标人”（即发包人）、“项目建设管理单位”（或称“项目代建单位”）、“招标代理”、“设计单位”、“监理单位”均已在投标须知前附表中列明。</w:t>
      </w:r>
    </w:p>
    <w:p>
      <w:pPr>
        <w:spacing w:line="360" w:lineRule="auto"/>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）“投标人”指向招标人提交投标文件的当事人。</w:t>
      </w:r>
      <w:r>
        <w:rPr>
          <w:rFonts w:ascii="宋体" w:hAnsi="宋体"/>
          <w:color w:val="auto"/>
          <w:sz w:val="24"/>
          <w:szCs w:val="24"/>
          <w:highlight w:val="none"/>
        </w:rPr>
        <w:t xml:space="preserve">   </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3</w:t>
      </w:r>
      <w:r>
        <w:rPr>
          <w:rFonts w:hint="eastAsia" w:ascii="宋体" w:hAnsi="宋体"/>
          <w:color w:val="auto"/>
          <w:sz w:val="24"/>
          <w:szCs w:val="24"/>
          <w:highlight w:val="none"/>
        </w:rPr>
        <w:t>）“承包人”指其投标被招标人接受并与其签订承包合同的当事人。</w:t>
      </w:r>
    </w:p>
    <w:p>
      <w:pPr>
        <w:spacing w:line="360" w:lineRule="auto"/>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w:t>
      </w:r>
      <w:r>
        <w:rPr>
          <w:rFonts w:ascii="宋体" w:hAnsi="宋体"/>
          <w:color w:val="auto"/>
          <w:sz w:val="24"/>
          <w:szCs w:val="24"/>
          <w:highlight w:val="none"/>
        </w:rPr>
        <w:t>4</w:t>
      </w:r>
      <w:r>
        <w:rPr>
          <w:rFonts w:hint="eastAsia" w:ascii="宋体" w:hAnsi="宋体"/>
          <w:color w:val="auto"/>
          <w:sz w:val="24"/>
          <w:szCs w:val="24"/>
          <w:highlight w:val="none"/>
        </w:rPr>
        <w:t>）“招标文件”指由招标代理发出的本文件（包括全部章节、附件）及招标答疑会会议纪要和</w:t>
      </w:r>
      <w:r>
        <w:rPr>
          <w:rFonts w:hint="eastAsia" w:ascii="宋体" w:hAnsi="宋体"/>
          <w:bCs/>
          <w:color w:val="auto"/>
          <w:sz w:val="24"/>
          <w:szCs w:val="24"/>
          <w:highlight w:val="none"/>
        </w:rPr>
        <w:t>招标文件的澄清与修改</w:t>
      </w:r>
      <w:r>
        <w:rPr>
          <w:rFonts w:hint="eastAsia" w:ascii="宋体" w:hAnsi="宋体"/>
          <w:color w:val="auto"/>
          <w:sz w:val="24"/>
          <w:szCs w:val="24"/>
          <w:highlight w:val="none"/>
        </w:rPr>
        <w:t>文件。</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5</w:t>
      </w:r>
      <w:r>
        <w:rPr>
          <w:rFonts w:hint="eastAsia" w:ascii="宋体" w:hAnsi="宋体"/>
          <w:color w:val="auto"/>
          <w:sz w:val="24"/>
          <w:szCs w:val="24"/>
          <w:highlight w:val="none"/>
        </w:rPr>
        <w:t>）“投标文件”指投标人根据本项目招标文件向招标人提交的全部文件。</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6</w:t>
      </w:r>
      <w:r>
        <w:rPr>
          <w:rFonts w:hint="eastAsia" w:ascii="宋体" w:hAnsi="宋体"/>
          <w:color w:val="auto"/>
          <w:sz w:val="24"/>
          <w:szCs w:val="24"/>
          <w:highlight w:val="none"/>
        </w:rPr>
        <w:t>）“书面形式”指打字或印刷的文件和数据电文（包括电报、电传、传真、电子数据交换和电子邮件）。</w:t>
      </w:r>
    </w:p>
    <w:p>
      <w:pPr>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2</w:t>
      </w:r>
      <w:r>
        <w:rPr>
          <w:rFonts w:hint="eastAsia" w:ascii="宋体" w:hAnsi="宋体"/>
          <w:b/>
          <w:color w:val="auto"/>
          <w:sz w:val="24"/>
          <w:szCs w:val="24"/>
          <w:highlight w:val="none"/>
        </w:rPr>
        <w:t>、招标说明</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2.1</w:t>
      </w:r>
      <w:r>
        <w:rPr>
          <w:rFonts w:hint="eastAsia" w:ascii="宋体" w:hAnsi="宋体"/>
          <w:bCs/>
          <w:color w:val="auto"/>
          <w:sz w:val="24"/>
          <w:szCs w:val="24"/>
          <w:highlight w:val="none"/>
        </w:rPr>
        <w:t>本招标工程项目按照《中华人民共和国招标投标法》等有关法律、行政法规、规章和规范性文件，通过招标方式选定承包人。</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2.2</w:t>
      </w:r>
      <w:r>
        <w:rPr>
          <w:rFonts w:hint="eastAsia" w:ascii="宋体" w:hAnsi="宋体"/>
          <w:bCs/>
          <w:color w:val="auto"/>
          <w:sz w:val="24"/>
          <w:szCs w:val="24"/>
          <w:highlight w:val="none"/>
        </w:rPr>
        <w:t>工程名称、建设地点、建设规模、承包方式、质量标准、招标范围、工期要求等均在投标须知前附表中列明。</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2.3</w:t>
      </w:r>
      <w:r>
        <w:rPr>
          <w:rFonts w:hint="eastAsia" w:ascii="宋体" w:hAnsi="宋体"/>
          <w:bCs/>
          <w:color w:val="auto"/>
          <w:sz w:val="24"/>
          <w:szCs w:val="24"/>
          <w:highlight w:val="none"/>
        </w:rPr>
        <w:t>设计说明：详见招标图纸。</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2.4</w:t>
      </w:r>
      <w:r>
        <w:rPr>
          <w:rFonts w:hint="eastAsia" w:ascii="宋体" w:hAnsi="宋体"/>
          <w:bCs/>
          <w:color w:val="auto"/>
          <w:sz w:val="24"/>
          <w:szCs w:val="24"/>
          <w:highlight w:val="none"/>
        </w:rPr>
        <w:t>工程施工特点：详见招标图纸。</w:t>
      </w:r>
    </w:p>
    <w:p>
      <w:pPr>
        <w:tabs>
          <w:tab w:val="left" w:pos="105"/>
        </w:tabs>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3</w:t>
      </w:r>
      <w:r>
        <w:rPr>
          <w:rFonts w:hint="eastAsia" w:ascii="宋体" w:hAnsi="宋体"/>
          <w:b/>
          <w:color w:val="auto"/>
          <w:sz w:val="24"/>
          <w:szCs w:val="24"/>
          <w:highlight w:val="none"/>
        </w:rPr>
        <w:t>．资金来源</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3.1</w:t>
      </w:r>
      <w:r>
        <w:rPr>
          <w:rFonts w:hint="eastAsia" w:ascii="宋体" w:hAnsi="宋体"/>
          <w:bCs/>
          <w:color w:val="auto"/>
          <w:sz w:val="24"/>
          <w:szCs w:val="24"/>
          <w:highlight w:val="none"/>
        </w:rPr>
        <w:t>本招标工程项目资金来源见投标须知前附表第</w:t>
      </w:r>
      <w:r>
        <w:rPr>
          <w:rFonts w:ascii="宋体" w:hAnsi="宋体"/>
          <w:bCs/>
          <w:color w:val="auto"/>
          <w:sz w:val="24"/>
          <w:szCs w:val="24"/>
          <w:highlight w:val="none"/>
        </w:rPr>
        <w:t>9</w:t>
      </w:r>
      <w:r>
        <w:rPr>
          <w:rFonts w:hint="eastAsia" w:ascii="宋体" w:hAnsi="宋体"/>
          <w:bCs/>
          <w:color w:val="auto"/>
          <w:sz w:val="24"/>
          <w:szCs w:val="24"/>
          <w:highlight w:val="none"/>
        </w:rPr>
        <w:t>项</w:t>
      </w:r>
    </w:p>
    <w:p>
      <w:pPr>
        <w:tabs>
          <w:tab w:val="left" w:pos="105"/>
        </w:tabs>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4</w:t>
      </w:r>
      <w:r>
        <w:rPr>
          <w:rFonts w:hint="eastAsia" w:ascii="宋体" w:hAnsi="宋体"/>
          <w:b/>
          <w:color w:val="auto"/>
          <w:sz w:val="24"/>
          <w:szCs w:val="24"/>
          <w:highlight w:val="none"/>
        </w:rPr>
        <w:t>．合格投标人的条件</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4.1</w:t>
      </w:r>
      <w:r>
        <w:rPr>
          <w:rFonts w:hint="eastAsia" w:ascii="宋体" w:hAnsi="宋体"/>
          <w:bCs/>
          <w:color w:val="auto"/>
          <w:sz w:val="24"/>
          <w:szCs w:val="24"/>
          <w:highlight w:val="none"/>
        </w:rPr>
        <w:t>详见本项目招标公告</w:t>
      </w:r>
    </w:p>
    <w:p>
      <w:pPr>
        <w:tabs>
          <w:tab w:val="left" w:pos="105"/>
        </w:tabs>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5</w:t>
      </w:r>
      <w:r>
        <w:rPr>
          <w:rFonts w:hint="eastAsia" w:ascii="宋体" w:hAnsi="宋体"/>
          <w:b/>
          <w:color w:val="auto"/>
          <w:sz w:val="24"/>
          <w:szCs w:val="24"/>
          <w:highlight w:val="none"/>
        </w:rPr>
        <w:t>．踏勘现场</w:t>
      </w:r>
    </w:p>
    <w:p>
      <w:pPr>
        <w:spacing w:line="360" w:lineRule="auto"/>
        <w:ind w:firstLine="480" w:firstLineChars="200"/>
        <w:rPr>
          <w:rFonts w:ascii="宋体" w:hAnsi="宋体"/>
          <w:bCs/>
          <w:color w:val="auto"/>
          <w:sz w:val="24"/>
          <w:szCs w:val="24"/>
          <w:highlight w:val="none"/>
          <w:u w:val="single"/>
        </w:rPr>
      </w:pPr>
      <w:r>
        <w:rPr>
          <w:rFonts w:ascii="宋体" w:hAnsi="宋体"/>
          <w:bCs/>
          <w:color w:val="auto"/>
          <w:sz w:val="24"/>
          <w:szCs w:val="24"/>
          <w:highlight w:val="none"/>
        </w:rPr>
        <w:t xml:space="preserve">5.1 </w:t>
      </w:r>
      <w:r>
        <w:rPr>
          <w:rFonts w:hint="eastAsia" w:ascii="宋体" w:hAnsi="宋体"/>
          <w:bCs/>
          <w:color w:val="auto"/>
          <w:sz w:val="24"/>
          <w:szCs w:val="24"/>
          <w:highlight w:val="none"/>
        </w:rPr>
        <w:t>投标人应按本投标须知前附表第</w:t>
      </w:r>
      <w:r>
        <w:rPr>
          <w:rFonts w:ascii="宋体" w:hAnsi="宋体"/>
          <w:bCs/>
          <w:color w:val="auto"/>
          <w:sz w:val="24"/>
          <w:szCs w:val="24"/>
          <w:highlight w:val="none"/>
        </w:rPr>
        <w:t>15</w:t>
      </w:r>
      <w:r>
        <w:rPr>
          <w:rFonts w:hint="eastAsia" w:ascii="宋体" w:hAnsi="宋体"/>
          <w:bCs/>
          <w:color w:val="auto"/>
          <w:sz w:val="24"/>
          <w:szCs w:val="24"/>
          <w:highlight w:val="none"/>
        </w:rPr>
        <w:t>项所述时间和要求对工程现场及周围环境进行踏勘，</w:t>
      </w:r>
      <w:r>
        <w:rPr>
          <w:rFonts w:hint="eastAsia" w:ascii="宋体" w:hAnsi="宋体"/>
          <w:color w:val="auto"/>
          <w:sz w:val="24"/>
          <w:szCs w:val="24"/>
          <w:highlight w:val="none"/>
        </w:rPr>
        <w:t>投标人应充分重视和仔细地进行这种考察，</w:t>
      </w:r>
      <w:r>
        <w:rPr>
          <w:rFonts w:hint="eastAsia" w:ascii="宋体" w:hAnsi="宋体"/>
          <w:bCs/>
          <w:color w:val="auto"/>
          <w:sz w:val="24"/>
          <w:szCs w:val="24"/>
          <w:highlight w:val="none"/>
        </w:rPr>
        <w:t>以便投标人获取</w:t>
      </w:r>
      <w:r>
        <w:rPr>
          <w:rFonts w:hint="eastAsia" w:ascii="宋体" w:hAnsi="宋体"/>
          <w:color w:val="auto"/>
          <w:sz w:val="24"/>
          <w:szCs w:val="24"/>
          <w:highlight w:val="none"/>
        </w:rPr>
        <w:t>那些须投标人自己负责的</w:t>
      </w:r>
      <w:r>
        <w:rPr>
          <w:rFonts w:hint="eastAsia" w:ascii="宋体" w:hAnsi="宋体"/>
          <w:bCs/>
          <w:color w:val="auto"/>
          <w:sz w:val="24"/>
          <w:szCs w:val="24"/>
          <w:highlight w:val="none"/>
        </w:rPr>
        <w:t>有关编制投标文件和签署合同所涉及现场所有的资料。</w:t>
      </w:r>
      <w:r>
        <w:rPr>
          <w:rFonts w:hint="eastAsia" w:ascii="宋体" w:hAnsi="宋体"/>
          <w:color w:val="auto"/>
          <w:sz w:val="24"/>
          <w:szCs w:val="24"/>
          <w:highlight w:val="none"/>
        </w:rPr>
        <w:t>一旦中标，这种考察即被认为其结果已在中标文件中得到充分反映。考察现场的费用由投标人自己承担。</w:t>
      </w:r>
    </w:p>
    <w:p>
      <w:pPr>
        <w:tabs>
          <w:tab w:val="left" w:pos="105"/>
        </w:tabs>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 xml:space="preserve">5.2 </w:t>
      </w:r>
      <w:r>
        <w:rPr>
          <w:rFonts w:hint="eastAsia" w:ascii="宋体" w:hAnsi="宋体"/>
          <w:bCs/>
          <w:color w:val="auto"/>
          <w:sz w:val="24"/>
          <w:szCs w:val="24"/>
          <w:highlight w:val="none"/>
        </w:rPr>
        <w:t>招标人向投标人提供的有关现场的数据和资料，是招标人现有的能被投标人利用的资料，招标人对投标人做出的任何推论、理解和结论均不负责任。</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 xml:space="preserve">5.3 </w:t>
      </w:r>
      <w:r>
        <w:rPr>
          <w:rFonts w:hint="eastAsia" w:ascii="宋体" w:hAnsi="宋体"/>
          <w:bCs/>
          <w:color w:val="auto"/>
          <w:sz w:val="24"/>
          <w:szCs w:val="24"/>
          <w:highlight w:val="none"/>
        </w:rPr>
        <w:t>经招标人允许，投标人可为踏勘目的进入招标人的项目现场。</w:t>
      </w:r>
      <w:r>
        <w:rPr>
          <w:rFonts w:hint="eastAsia" w:ascii="宋体" w:hAnsi="宋体"/>
          <w:color w:val="auto"/>
          <w:sz w:val="24"/>
          <w:szCs w:val="24"/>
          <w:highlight w:val="none"/>
        </w:rPr>
        <w:t>在考察过程中，投标人及其代表必须承担那些进入现场后，由于他们的行为所造成的人身伤害（不管是否致命）、财产损失或损坏，以及其他任何原因造成的损失、损坏或费用，</w:t>
      </w:r>
      <w:r>
        <w:rPr>
          <w:rFonts w:hint="eastAsia" w:ascii="宋体" w:hAnsi="宋体"/>
          <w:bCs/>
          <w:color w:val="auto"/>
          <w:sz w:val="24"/>
          <w:szCs w:val="24"/>
          <w:highlight w:val="none"/>
        </w:rPr>
        <w:t>投标人不得因此使招标人承担有关的责任和蒙受损失。</w:t>
      </w:r>
    </w:p>
    <w:p>
      <w:pPr>
        <w:tabs>
          <w:tab w:val="left" w:pos="105"/>
        </w:tabs>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6</w:t>
      </w:r>
      <w:r>
        <w:rPr>
          <w:rFonts w:hint="eastAsia" w:ascii="宋体" w:hAnsi="宋体"/>
          <w:b/>
          <w:color w:val="auto"/>
          <w:sz w:val="24"/>
          <w:szCs w:val="24"/>
          <w:highlight w:val="none"/>
        </w:rPr>
        <w:t>．投标费用</w:t>
      </w:r>
    </w:p>
    <w:p>
      <w:pPr>
        <w:tabs>
          <w:tab w:val="left" w:pos="105"/>
        </w:tabs>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6.1</w:t>
      </w:r>
      <w:r>
        <w:rPr>
          <w:rFonts w:hint="eastAsia" w:ascii="宋体" w:hAnsi="宋体"/>
          <w:color w:val="auto"/>
          <w:sz w:val="24"/>
          <w:szCs w:val="24"/>
          <w:highlight w:val="none"/>
        </w:rPr>
        <w:t>不论投标结果如何，投标人应承担</w:t>
      </w:r>
      <w:r>
        <w:rPr>
          <w:rFonts w:hint="eastAsia" w:ascii="宋体" w:hAnsi="宋体"/>
          <w:bCs/>
          <w:color w:val="auto"/>
          <w:sz w:val="24"/>
          <w:szCs w:val="24"/>
          <w:highlight w:val="none"/>
        </w:rPr>
        <w:t>自身</w:t>
      </w:r>
      <w:r>
        <w:rPr>
          <w:rFonts w:hint="eastAsia" w:ascii="宋体" w:hAnsi="宋体"/>
          <w:color w:val="auto"/>
          <w:sz w:val="24"/>
          <w:szCs w:val="24"/>
          <w:highlight w:val="none"/>
        </w:rPr>
        <w:t>因投标文件编制、递交及其他</w:t>
      </w:r>
      <w:r>
        <w:rPr>
          <w:rFonts w:hint="eastAsia" w:ascii="宋体" w:hAnsi="宋体"/>
          <w:bCs/>
          <w:color w:val="auto"/>
          <w:sz w:val="24"/>
          <w:szCs w:val="24"/>
          <w:highlight w:val="none"/>
        </w:rPr>
        <w:t>参加本招标活动</w:t>
      </w:r>
      <w:r>
        <w:rPr>
          <w:rFonts w:hint="eastAsia" w:ascii="宋体" w:hAnsi="宋体"/>
          <w:color w:val="auto"/>
          <w:sz w:val="24"/>
          <w:szCs w:val="24"/>
          <w:highlight w:val="none"/>
        </w:rPr>
        <w:t>所涉及的一切费用，招标人对上述费用不负任何责任。</w:t>
      </w:r>
    </w:p>
    <w:p>
      <w:pPr>
        <w:widowControl/>
        <w:spacing w:before="100" w:beforeAutospacing="1" w:after="100" w:afterAutospacing="1" w:line="360" w:lineRule="auto"/>
        <w:jc w:val="left"/>
        <w:outlineLvl w:val="2"/>
        <w:rPr>
          <w:rFonts w:ascii="宋体" w:hAnsi="宋体" w:cs="宋体"/>
          <w:color w:val="auto"/>
          <w:kern w:val="0"/>
          <w:sz w:val="24"/>
          <w:szCs w:val="24"/>
          <w:highlight w:val="none"/>
        </w:rPr>
      </w:pPr>
      <w:bookmarkStart w:id="62" w:name="_Toc16971"/>
      <w:bookmarkStart w:id="63" w:name="_Toc22591"/>
      <w:bookmarkStart w:id="64" w:name="_Toc8212"/>
      <w:bookmarkStart w:id="65" w:name="_Toc10822"/>
      <w:bookmarkStart w:id="66" w:name="_Toc18222"/>
      <w:bookmarkStart w:id="67" w:name="_Toc17551"/>
      <w:bookmarkStart w:id="68" w:name="_Toc12012"/>
      <w:bookmarkStart w:id="69" w:name="_Toc2272550"/>
      <w:bookmarkStart w:id="70" w:name="_Toc18412"/>
      <w:bookmarkStart w:id="71" w:name="_Toc58838572"/>
      <w:bookmarkStart w:id="72" w:name="_Toc20411"/>
      <w:bookmarkStart w:id="73" w:name="_Toc20940"/>
      <w:bookmarkStart w:id="74" w:name="_Toc5537"/>
      <w:r>
        <w:rPr>
          <w:rFonts w:hint="eastAsia" w:ascii="宋体" w:hAnsi="宋体" w:cs="宋体"/>
          <w:color w:val="auto"/>
          <w:kern w:val="0"/>
          <w:sz w:val="24"/>
          <w:szCs w:val="24"/>
          <w:highlight w:val="none"/>
        </w:rPr>
        <w:t>（二）招标文件</w:t>
      </w:r>
      <w:bookmarkEnd w:id="62"/>
      <w:bookmarkEnd w:id="63"/>
      <w:bookmarkEnd w:id="64"/>
      <w:bookmarkEnd w:id="65"/>
      <w:bookmarkEnd w:id="66"/>
      <w:bookmarkEnd w:id="67"/>
      <w:bookmarkEnd w:id="68"/>
      <w:bookmarkEnd w:id="69"/>
      <w:bookmarkEnd w:id="70"/>
      <w:bookmarkEnd w:id="71"/>
      <w:bookmarkEnd w:id="72"/>
      <w:bookmarkEnd w:id="73"/>
      <w:bookmarkEnd w:id="74"/>
    </w:p>
    <w:p>
      <w:pPr>
        <w:tabs>
          <w:tab w:val="left" w:pos="105"/>
        </w:tabs>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7.</w:t>
      </w:r>
      <w:r>
        <w:rPr>
          <w:rFonts w:hint="eastAsia" w:ascii="宋体" w:hAnsi="宋体"/>
          <w:b/>
          <w:color w:val="auto"/>
          <w:sz w:val="24"/>
          <w:szCs w:val="24"/>
          <w:highlight w:val="none"/>
        </w:rPr>
        <w:t>招标文件的组成</w:t>
      </w:r>
    </w:p>
    <w:p>
      <w:pPr>
        <w:spacing w:line="360" w:lineRule="auto"/>
        <w:ind w:firstLine="480" w:firstLineChars="200"/>
        <w:rPr>
          <w:rFonts w:ascii="宋体" w:hAnsi="宋体"/>
          <w:color w:val="auto"/>
          <w:sz w:val="24"/>
          <w:szCs w:val="24"/>
          <w:highlight w:val="none"/>
        </w:rPr>
      </w:pPr>
      <w:r>
        <w:rPr>
          <w:rFonts w:ascii="宋体" w:hAnsi="宋体"/>
          <w:bCs/>
          <w:color w:val="auto"/>
          <w:sz w:val="24"/>
          <w:szCs w:val="24"/>
          <w:highlight w:val="none"/>
        </w:rPr>
        <w:t>7.1</w:t>
      </w:r>
      <w:r>
        <w:rPr>
          <w:rFonts w:hint="eastAsia" w:ascii="宋体" w:hAnsi="宋体"/>
          <w:color w:val="auto"/>
          <w:sz w:val="24"/>
          <w:szCs w:val="24"/>
          <w:highlight w:val="none"/>
        </w:rPr>
        <w:t>本招标文件包括下列文件，以及所有按本须知第</w:t>
      </w:r>
      <w:r>
        <w:rPr>
          <w:rFonts w:ascii="宋体" w:hAnsi="宋体"/>
          <w:color w:val="auto"/>
          <w:sz w:val="24"/>
          <w:szCs w:val="24"/>
          <w:highlight w:val="none"/>
        </w:rPr>
        <w:t>8</w:t>
      </w:r>
      <w:r>
        <w:rPr>
          <w:rFonts w:hint="eastAsia" w:ascii="宋体" w:hAnsi="宋体"/>
          <w:color w:val="auto"/>
          <w:sz w:val="24"/>
          <w:szCs w:val="24"/>
          <w:highlight w:val="none"/>
        </w:rPr>
        <w:t>条发出的招标答疑会会议纪要和按本须知第</w:t>
      </w:r>
      <w:r>
        <w:rPr>
          <w:rFonts w:ascii="宋体" w:hAnsi="宋体"/>
          <w:color w:val="auto"/>
          <w:sz w:val="24"/>
          <w:szCs w:val="24"/>
          <w:highlight w:val="none"/>
        </w:rPr>
        <w:t>9</w:t>
      </w:r>
      <w:r>
        <w:rPr>
          <w:rFonts w:hint="eastAsia" w:ascii="宋体" w:hAnsi="宋体"/>
          <w:color w:val="auto"/>
          <w:sz w:val="24"/>
          <w:szCs w:val="24"/>
          <w:highlight w:val="none"/>
        </w:rPr>
        <w:t>条发出的澄清或修改：</w:t>
      </w:r>
    </w:p>
    <w:p>
      <w:pPr>
        <w:spacing w:line="360" w:lineRule="auto"/>
        <w:ind w:left="-2" w:firstLine="480" w:firstLineChars="200"/>
        <w:rPr>
          <w:rFonts w:ascii="宋体" w:hAnsi="宋体"/>
          <w:color w:val="auto"/>
          <w:sz w:val="24"/>
          <w:szCs w:val="24"/>
          <w:highlight w:val="none"/>
        </w:rPr>
      </w:pPr>
      <w:r>
        <w:rPr>
          <w:rFonts w:hint="eastAsia" w:ascii="宋体" w:hAnsi="宋体"/>
          <w:bCs/>
          <w:color w:val="auto"/>
          <w:sz w:val="24"/>
          <w:szCs w:val="24"/>
          <w:highlight w:val="none"/>
        </w:rPr>
        <w:t>第一章</w:t>
      </w:r>
      <w:r>
        <w:rPr>
          <w:rFonts w:ascii="宋体" w:hAnsi="宋体"/>
          <w:bCs/>
          <w:color w:val="auto"/>
          <w:sz w:val="24"/>
          <w:szCs w:val="24"/>
          <w:highlight w:val="none"/>
        </w:rPr>
        <w:t xml:space="preserve">  </w:t>
      </w:r>
      <w:r>
        <w:rPr>
          <w:rFonts w:hint="eastAsia" w:ascii="宋体" w:hAnsi="宋体"/>
          <w:color w:val="auto"/>
          <w:sz w:val="24"/>
          <w:szCs w:val="24"/>
          <w:highlight w:val="none"/>
        </w:rPr>
        <w:t>投标须知</w:t>
      </w:r>
    </w:p>
    <w:p>
      <w:pPr>
        <w:spacing w:line="360" w:lineRule="auto"/>
        <w:ind w:left="-2" w:firstLine="480" w:firstLineChars="200"/>
        <w:rPr>
          <w:rFonts w:ascii="宋体" w:hAnsi="宋体"/>
          <w:color w:val="auto"/>
          <w:sz w:val="24"/>
          <w:szCs w:val="24"/>
          <w:highlight w:val="none"/>
        </w:rPr>
      </w:pPr>
      <w:r>
        <w:rPr>
          <w:rFonts w:hint="eastAsia" w:ascii="宋体" w:hAnsi="宋体"/>
          <w:bCs/>
          <w:color w:val="auto"/>
          <w:sz w:val="24"/>
          <w:szCs w:val="24"/>
          <w:highlight w:val="none"/>
        </w:rPr>
        <w:t>第二章</w:t>
      </w:r>
      <w:r>
        <w:rPr>
          <w:rFonts w:ascii="宋体" w:hAnsi="宋体"/>
          <w:bCs/>
          <w:color w:val="auto"/>
          <w:sz w:val="24"/>
          <w:szCs w:val="24"/>
          <w:highlight w:val="none"/>
        </w:rPr>
        <w:t xml:space="preserve">  </w:t>
      </w:r>
      <w:r>
        <w:rPr>
          <w:rFonts w:hint="eastAsia" w:ascii="宋体" w:hAnsi="宋体"/>
          <w:color w:val="auto"/>
          <w:sz w:val="24"/>
          <w:szCs w:val="24"/>
          <w:highlight w:val="none"/>
        </w:rPr>
        <w:t>开标、评标及定标办法</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第三章</w:t>
      </w:r>
      <w:r>
        <w:rPr>
          <w:rFonts w:ascii="宋体" w:hAnsi="宋体"/>
          <w:color w:val="auto"/>
          <w:sz w:val="24"/>
          <w:szCs w:val="24"/>
          <w:highlight w:val="none"/>
        </w:rPr>
        <w:t xml:space="preserve">  </w:t>
      </w:r>
      <w:r>
        <w:rPr>
          <w:rFonts w:hint="eastAsia" w:ascii="宋体" w:hAnsi="宋体"/>
          <w:color w:val="auto"/>
          <w:sz w:val="24"/>
          <w:szCs w:val="24"/>
          <w:highlight w:val="none"/>
        </w:rPr>
        <w:t>合同条款</w:t>
      </w:r>
    </w:p>
    <w:p>
      <w:pPr>
        <w:spacing w:line="360" w:lineRule="auto"/>
        <w:ind w:firstLine="480" w:firstLineChars="200"/>
        <w:rPr>
          <w:rFonts w:ascii="宋体" w:hAnsi="宋体"/>
          <w:color w:val="auto"/>
          <w:sz w:val="24"/>
          <w:szCs w:val="24"/>
          <w:highlight w:val="none"/>
        </w:rPr>
      </w:pPr>
      <w:r>
        <w:rPr>
          <w:rFonts w:hint="eastAsia" w:ascii="宋体" w:hAnsi="宋体"/>
          <w:bCs/>
          <w:color w:val="auto"/>
          <w:sz w:val="24"/>
          <w:szCs w:val="24"/>
          <w:highlight w:val="none"/>
        </w:rPr>
        <w:t>第四章</w:t>
      </w:r>
      <w:r>
        <w:rPr>
          <w:rFonts w:ascii="宋体" w:hAnsi="宋体"/>
          <w:bCs/>
          <w:color w:val="auto"/>
          <w:sz w:val="24"/>
          <w:szCs w:val="24"/>
          <w:highlight w:val="none"/>
        </w:rPr>
        <w:t xml:space="preserve">  </w:t>
      </w:r>
      <w:r>
        <w:rPr>
          <w:rFonts w:hint="eastAsia" w:ascii="宋体" w:hAnsi="宋体"/>
          <w:color w:val="auto"/>
          <w:sz w:val="24"/>
          <w:szCs w:val="24"/>
          <w:highlight w:val="none"/>
        </w:rPr>
        <w:t>投标文件格式</w:t>
      </w:r>
    </w:p>
    <w:p>
      <w:pPr>
        <w:spacing w:line="360" w:lineRule="auto"/>
        <w:ind w:left="-2" w:firstLine="480" w:firstLineChars="200"/>
        <w:rPr>
          <w:rFonts w:ascii="宋体" w:hAnsi="宋体"/>
          <w:color w:val="auto"/>
          <w:sz w:val="24"/>
          <w:szCs w:val="24"/>
          <w:highlight w:val="none"/>
        </w:rPr>
      </w:pPr>
      <w:r>
        <w:rPr>
          <w:rFonts w:hint="eastAsia" w:ascii="宋体" w:hAnsi="宋体"/>
          <w:bCs/>
          <w:color w:val="auto"/>
          <w:sz w:val="24"/>
          <w:szCs w:val="24"/>
          <w:highlight w:val="none"/>
        </w:rPr>
        <w:t>第五章</w:t>
      </w:r>
      <w:r>
        <w:rPr>
          <w:rFonts w:ascii="宋体" w:hAnsi="宋体"/>
          <w:bCs/>
          <w:color w:val="auto"/>
          <w:sz w:val="24"/>
          <w:szCs w:val="24"/>
          <w:highlight w:val="none"/>
        </w:rPr>
        <w:t xml:space="preserve">  </w:t>
      </w:r>
      <w:r>
        <w:rPr>
          <w:rFonts w:hint="eastAsia" w:ascii="宋体" w:hAnsi="宋体"/>
          <w:color w:val="auto"/>
          <w:sz w:val="24"/>
          <w:szCs w:val="24"/>
          <w:highlight w:val="none"/>
        </w:rPr>
        <w:t>技术条件（工程建设标准）（另册）</w:t>
      </w:r>
    </w:p>
    <w:p>
      <w:pPr>
        <w:spacing w:line="360" w:lineRule="auto"/>
        <w:ind w:left="-2" w:firstLine="480" w:firstLineChars="200"/>
        <w:rPr>
          <w:rFonts w:ascii="宋体" w:hAnsi="宋体"/>
          <w:color w:val="auto"/>
          <w:sz w:val="24"/>
          <w:szCs w:val="24"/>
          <w:highlight w:val="none"/>
        </w:rPr>
      </w:pPr>
      <w:r>
        <w:rPr>
          <w:rFonts w:hint="eastAsia" w:ascii="宋体" w:hAnsi="宋体"/>
          <w:bCs/>
          <w:color w:val="auto"/>
          <w:sz w:val="24"/>
          <w:szCs w:val="24"/>
          <w:highlight w:val="none"/>
        </w:rPr>
        <w:t>第六章</w:t>
      </w:r>
      <w:r>
        <w:rPr>
          <w:rFonts w:ascii="宋体" w:hAnsi="宋体"/>
          <w:bCs/>
          <w:color w:val="auto"/>
          <w:sz w:val="24"/>
          <w:szCs w:val="24"/>
          <w:highlight w:val="none"/>
        </w:rPr>
        <w:t xml:space="preserve">  </w:t>
      </w:r>
      <w:r>
        <w:rPr>
          <w:rFonts w:hint="eastAsia" w:ascii="宋体" w:hAnsi="宋体"/>
          <w:color w:val="auto"/>
          <w:sz w:val="24"/>
          <w:szCs w:val="24"/>
          <w:highlight w:val="none"/>
        </w:rPr>
        <w:t>图纸及勘察资料（另册）</w:t>
      </w:r>
    </w:p>
    <w:p>
      <w:pPr>
        <w:spacing w:line="360" w:lineRule="auto"/>
        <w:ind w:left="-2" w:firstLine="480" w:firstLineChars="200"/>
        <w:rPr>
          <w:rFonts w:ascii="宋体" w:hAnsi="宋体"/>
          <w:color w:val="auto"/>
          <w:sz w:val="24"/>
          <w:szCs w:val="24"/>
          <w:highlight w:val="none"/>
        </w:rPr>
      </w:pPr>
      <w:r>
        <w:rPr>
          <w:rFonts w:hint="eastAsia" w:ascii="宋体" w:hAnsi="宋体"/>
          <w:bCs/>
          <w:color w:val="auto"/>
          <w:sz w:val="24"/>
          <w:szCs w:val="24"/>
          <w:highlight w:val="none"/>
        </w:rPr>
        <w:t>第七章</w:t>
      </w:r>
      <w:r>
        <w:rPr>
          <w:rFonts w:ascii="宋体" w:hAnsi="宋体"/>
          <w:bCs/>
          <w:color w:val="auto"/>
          <w:sz w:val="24"/>
          <w:szCs w:val="24"/>
          <w:highlight w:val="none"/>
        </w:rPr>
        <w:t xml:space="preserve">  </w:t>
      </w:r>
      <w:r>
        <w:rPr>
          <w:rFonts w:hint="eastAsia" w:ascii="宋体" w:hAnsi="宋体"/>
          <w:bCs/>
          <w:color w:val="auto"/>
          <w:sz w:val="24"/>
          <w:szCs w:val="24"/>
          <w:highlight w:val="none"/>
        </w:rPr>
        <w:t>招标</w:t>
      </w:r>
      <w:r>
        <w:rPr>
          <w:rFonts w:hint="eastAsia" w:ascii="宋体" w:hAnsi="宋体"/>
          <w:color w:val="auto"/>
          <w:sz w:val="24"/>
          <w:szCs w:val="24"/>
          <w:highlight w:val="none"/>
        </w:rPr>
        <w:t>工程量清单（另册）</w:t>
      </w:r>
    </w:p>
    <w:p>
      <w:pPr>
        <w:spacing w:line="360" w:lineRule="auto"/>
        <w:ind w:left="-2"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第八章</w:t>
      </w:r>
      <w:r>
        <w:rPr>
          <w:rFonts w:ascii="宋体" w:hAnsi="宋体"/>
          <w:color w:val="auto"/>
          <w:sz w:val="24"/>
          <w:szCs w:val="24"/>
          <w:highlight w:val="none"/>
        </w:rPr>
        <w:t xml:space="preserve">  </w:t>
      </w:r>
      <w:r>
        <w:rPr>
          <w:rFonts w:hint="eastAsia" w:ascii="宋体" w:hAnsi="宋体"/>
          <w:color w:val="auto"/>
          <w:sz w:val="24"/>
          <w:szCs w:val="24"/>
          <w:highlight w:val="none"/>
        </w:rPr>
        <w:t>最高投标限价</w:t>
      </w:r>
    </w:p>
    <w:p>
      <w:pPr>
        <w:spacing w:line="360" w:lineRule="auto"/>
        <w:ind w:left="-2"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注：招标人应在技术条件（工程建设标准）中明确施工现场建筑垃圾源头减量的具体要求和建筑垃圾综合利用产品的使用要求。</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7.2 </w:t>
      </w:r>
      <w:r>
        <w:rPr>
          <w:rFonts w:hint="eastAsia" w:ascii="宋体" w:hAnsi="宋体"/>
          <w:color w:val="auto"/>
          <w:sz w:val="24"/>
          <w:szCs w:val="24"/>
          <w:highlight w:val="none"/>
        </w:rPr>
        <w:t>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7.3 </w:t>
      </w:r>
      <w:r>
        <w:rPr>
          <w:rFonts w:hint="eastAsia" w:ascii="宋体" w:hAnsi="宋体"/>
          <w:color w:val="auto"/>
          <w:sz w:val="24"/>
          <w:szCs w:val="24"/>
          <w:highlight w:val="none"/>
        </w:rPr>
        <w:t>投标人一旦中标，招标文件的内容对招标人和中标人双方均有约束力。</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8</w:t>
      </w:r>
      <w:r>
        <w:rPr>
          <w:rFonts w:hint="eastAsia" w:ascii="宋体" w:hAnsi="宋体"/>
          <w:b/>
          <w:bCs/>
          <w:color w:val="auto"/>
          <w:sz w:val="24"/>
          <w:szCs w:val="24"/>
          <w:highlight w:val="none"/>
        </w:rPr>
        <w:t>．招标答疑</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8.1 </w:t>
      </w:r>
      <w:r>
        <w:rPr>
          <w:rFonts w:hint="eastAsia" w:ascii="宋体" w:hAnsi="宋体"/>
          <w:color w:val="auto"/>
          <w:sz w:val="24"/>
          <w:szCs w:val="24"/>
          <w:highlight w:val="none"/>
        </w:rPr>
        <w:t>投标人若对招标文件（包括招标图纸）中有疑问，可以书面形式通过</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交易平台提交给招标人或招标代理人，提交形式见本须知前附表第</w:t>
      </w:r>
      <w:r>
        <w:rPr>
          <w:rFonts w:ascii="宋体" w:hAnsi="宋体"/>
          <w:color w:val="auto"/>
          <w:sz w:val="24"/>
          <w:szCs w:val="24"/>
          <w:highlight w:val="none"/>
        </w:rPr>
        <w:t>16</w:t>
      </w:r>
      <w:r>
        <w:rPr>
          <w:rFonts w:hint="eastAsia" w:ascii="宋体" w:hAnsi="宋体"/>
          <w:color w:val="auto"/>
          <w:sz w:val="24"/>
          <w:szCs w:val="24"/>
          <w:highlight w:val="none"/>
        </w:rPr>
        <w:t>项。</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8.2</w:t>
      </w:r>
      <w:r>
        <w:rPr>
          <w:rFonts w:hint="eastAsia" w:ascii="宋体" w:hAnsi="宋体"/>
          <w:color w:val="auto"/>
          <w:sz w:val="24"/>
          <w:szCs w:val="24"/>
          <w:highlight w:val="none"/>
        </w:rPr>
        <w:t>招标答疑会会议纪要将在提交投标文件截止时间15日前在</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 “项目答疑纪要”专区公开发布。答疑纪要一经在</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交易平台发布，视作已发放给所有投标人。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8.3</w:t>
      </w:r>
      <w:r>
        <w:rPr>
          <w:rFonts w:hint="eastAsia" w:ascii="宋体" w:hAnsi="宋体"/>
          <w:color w:val="auto"/>
          <w:sz w:val="24"/>
          <w:szCs w:val="24"/>
          <w:highlight w:val="none"/>
        </w:rPr>
        <w:t>答疑会会议纪要为招标文件的一部分。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8.4</w:t>
      </w:r>
      <w:r>
        <w:rPr>
          <w:rFonts w:hint="eastAsia" w:ascii="宋体" w:hAnsi="宋体"/>
          <w:color w:val="auto"/>
          <w:sz w:val="24"/>
          <w:szCs w:val="24"/>
          <w:highlight w:val="none"/>
        </w:rPr>
        <w:t>若招标答疑会会议纪要与招标文件有矛盾，以答疑会议纪要最后发出的书面形式的文件为准。</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9.</w:t>
      </w:r>
      <w:r>
        <w:rPr>
          <w:rFonts w:hint="eastAsia" w:ascii="宋体" w:hAnsi="宋体"/>
          <w:b/>
          <w:bCs/>
          <w:color w:val="auto"/>
          <w:sz w:val="24"/>
          <w:szCs w:val="24"/>
          <w:highlight w:val="none"/>
        </w:rPr>
        <w:t>招标文件的澄清与修改</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9.1</w:t>
      </w:r>
      <w:r>
        <w:rPr>
          <w:rFonts w:hint="eastAsia" w:ascii="宋体" w:hAnsi="宋体"/>
          <w:color w:val="auto"/>
          <w:sz w:val="24"/>
          <w:szCs w:val="24"/>
          <w:highlight w:val="none"/>
        </w:rPr>
        <w:t>招标文件发出后</w:t>
      </w:r>
      <w:r>
        <w:rPr>
          <w:rFonts w:ascii="宋体" w:hAnsi="宋体"/>
          <w:color w:val="auto"/>
          <w:sz w:val="24"/>
          <w:szCs w:val="24"/>
          <w:highlight w:val="none"/>
        </w:rPr>
        <w:t>,</w:t>
      </w:r>
      <w:r>
        <w:rPr>
          <w:rFonts w:hint="eastAsia" w:ascii="宋体" w:hAnsi="宋体"/>
          <w:color w:val="auto"/>
          <w:sz w:val="24"/>
          <w:szCs w:val="24"/>
          <w:highlight w:val="none"/>
        </w:rPr>
        <w:t>在提交投标文件截止时间15日前，招标人可对招标文件进行必要的澄清或修改。</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9.2</w:t>
      </w:r>
      <w:r>
        <w:rPr>
          <w:rFonts w:hint="eastAsia" w:ascii="宋体" w:hAnsi="宋体"/>
          <w:color w:val="auto"/>
          <w:sz w:val="24"/>
          <w:szCs w:val="24"/>
          <w:highlight w:val="none"/>
        </w:rPr>
        <w:t>招标文件的澄清或修改将在</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交易平台“项目答疑纪要”专区公开发布。答疑纪要一经在</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交易平台发布，视作已发放给所有投标人，以</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交易平台上网发布时间作为送达时间。</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9.3</w:t>
      </w:r>
      <w:r>
        <w:rPr>
          <w:rFonts w:hint="eastAsia" w:ascii="宋体" w:hAnsi="宋体"/>
          <w:color w:val="auto"/>
          <w:sz w:val="24"/>
          <w:szCs w:val="24"/>
          <w:highlight w:val="none"/>
        </w:rPr>
        <w:t>招标文件的修改内容为招标文件的组成部分。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9.4</w:t>
      </w:r>
      <w:r>
        <w:rPr>
          <w:rFonts w:hint="eastAsia" w:ascii="宋体" w:hAnsi="宋体"/>
          <w:color w:val="auto"/>
          <w:sz w:val="24"/>
          <w:szCs w:val="24"/>
          <w:highlight w:val="none"/>
        </w:rPr>
        <w:t>招标文件的澄清或修改均以书面形式明确的内容为准。当招标文件的澄清、修改、补充等在同一内容的表述不一致时，以最后发出的书面形式的文件为准。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9.5</w:t>
      </w:r>
      <w:r>
        <w:rPr>
          <w:rFonts w:hint="eastAsia" w:ascii="宋体" w:hAnsi="宋体"/>
          <w:color w:val="auto"/>
          <w:sz w:val="24"/>
          <w:szCs w:val="24"/>
          <w:highlight w:val="none"/>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widowControl/>
        <w:spacing w:before="100" w:beforeAutospacing="1" w:after="100" w:afterAutospacing="1" w:line="360" w:lineRule="auto"/>
        <w:jc w:val="left"/>
        <w:outlineLvl w:val="2"/>
        <w:rPr>
          <w:rFonts w:ascii="宋体" w:hAnsi="宋体" w:cs="宋体"/>
          <w:color w:val="auto"/>
          <w:kern w:val="0"/>
          <w:sz w:val="24"/>
          <w:szCs w:val="24"/>
          <w:highlight w:val="none"/>
        </w:rPr>
      </w:pPr>
      <w:bookmarkStart w:id="75" w:name="_Toc32551"/>
      <w:bookmarkStart w:id="76" w:name="_Toc6993"/>
      <w:bookmarkStart w:id="77" w:name="_Toc2272551"/>
      <w:bookmarkStart w:id="78" w:name="_Toc2791"/>
      <w:bookmarkStart w:id="79" w:name="_Toc9985"/>
      <w:bookmarkStart w:id="80" w:name="_Toc1039"/>
      <w:bookmarkStart w:id="81" w:name="_Toc58838573"/>
      <w:bookmarkStart w:id="82" w:name="_Toc23386"/>
      <w:bookmarkStart w:id="83" w:name="_Toc12567"/>
      <w:bookmarkStart w:id="84" w:name="_Toc32431"/>
      <w:bookmarkStart w:id="85" w:name="_Toc27598"/>
      <w:bookmarkStart w:id="86" w:name="_Toc17219"/>
      <w:bookmarkStart w:id="87" w:name="_Toc10961"/>
      <w:r>
        <w:rPr>
          <w:rFonts w:hint="eastAsia" w:ascii="宋体" w:hAnsi="宋体" w:cs="宋体"/>
          <w:color w:val="auto"/>
          <w:kern w:val="0"/>
          <w:sz w:val="24"/>
          <w:szCs w:val="24"/>
          <w:highlight w:val="none"/>
        </w:rPr>
        <w:t>（三）投标文件的编制</w:t>
      </w:r>
      <w:bookmarkEnd w:id="75"/>
      <w:bookmarkEnd w:id="76"/>
      <w:bookmarkEnd w:id="77"/>
      <w:bookmarkEnd w:id="78"/>
      <w:bookmarkEnd w:id="79"/>
      <w:bookmarkEnd w:id="80"/>
      <w:bookmarkEnd w:id="81"/>
      <w:bookmarkEnd w:id="82"/>
      <w:bookmarkEnd w:id="83"/>
      <w:bookmarkEnd w:id="84"/>
      <w:bookmarkEnd w:id="85"/>
      <w:bookmarkEnd w:id="86"/>
      <w:bookmarkEnd w:id="87"/>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10</w:t>
      </w:r>
      <w:r>
        <w:rPr>
          <w:rFonts w:hint="eastAsia" w:ascii="宋体" w:hAnsi="宋体"/>
          <w:b/>
          <w:bCs/>
          <w:color w:val="auto"/>
          <w:sz w:val="24"/>
          <w:szCs w:val="24"/>
          <w:highlight w:val="none"/>
        </w:rPr>
        <w:t>．投标文件的语言及度量衡单位</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10.1 </w:t>
      </w:r>
      <w:r>
        <w:rPr>
          <w:rFonts w:hint="eastAsia" w:ascii="宋体" w:hAnsi="宋体"/>
          <w:color w:val="auto"/>
          <w:sz w:val="24"/>
          <w:szCs w:val="24"/>
          <w:highlight w:val="none"/>
        </w:rPr>
        <w:t>投标文件和与投标有关的所有文件均应使用中文。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10.2 </w:t>
      </w:r>
      <w:r>
        <w:rPr>
          <w:rFonts w:hint="eastAsia" w:ascii="宋体" w:hAnsi="宋体"/>
          <w:color w:val="auto"/>
          <w:sz w:val="24"/>
          <w:szCs w:val="24"/>
          <w:highlight w:val="none"/>
        </w:rPr>
        <w:t>除工程规范另有规定外，投标文件使用的度量衡单位，均采用中华人民共和国法定计量单位。</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11</w:t>
      </w:r>
      <w:r>
        <w:rPr>
          <w:rFonts w:hint="eastAsia" w:ascii="宋体" w:hAnsi="宋体"/>
          <w:b/>
          <w:bCs/>
          <w:color w:val="auto"/>
          <w:sz w:val="24"/>
          <w:szCs w:val="24"/>
          <w:highlight w:val="none"/>
        </w:rPr>
        <w:t>．投标文件的组成</w:t>
      </w:r>
    </w:p>
    <w:p>
      <w:pPr>
        <w:spacing w:line="360" w:lineRule="auto"/>
        <w:ind w:firstLine="480" w:firstLineChars="200"/>
        <w:rPr>
          <w:rFonts w:ascii="宋体" w:hAnsi="宋体"/>
          <w:b/>
          <w:color w:val="auto"/>
          <w:sz w:val="24"/>
          <w:szCs w:val="24"/>
          <w:highlight w:val="none"/>
        </w:rPr>
      </w:pPr>
      <w:r>
        <w:rPr>
          <w:rFonts w:ascii="宋体" w:hAnsi="宋体"/>
          <w:color w:val="auto"/>
          <w:sz w:val="24"/>
          <w:szCs w:val="24"/>
          <w:highlight w:val="none"/>
        </w:rPr>
        <w:t xml:space="preserve">11.1 </w:t>
      </w:r>
      <w:r>
        <w:rPr>
          <w:rFonts w:hint="eastAsia" w:ascii="宋体" w:hAnsi="宋体"/>
          <w:color w:val="auto"/>
          <w:sz w:val="24"/>
          <w:szCs w:val="24"/>
          <w:highlight w:val="none"/>
        </w:rPr>
        <w:t>投标文件由技术部分（含资格审查文件）和经济部分二部分投标文件组成</w:t>
      </w:r>
      <w:r>
        <w:rPr>
          <w:rFonts w:hint="eastAsia" w:ascii="宋体" w:hAnsi="宋体"/>
          <w:b/>
          <w:color w:val="auto"/>
          <w:sz w:val="24"/>
          <w:szCs w:val="24"/>
          <w:highlight w:val="none"/>
        </w:rPr>
        <w:t>。</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11.2</w:t>
      </w:r>
      <w:r>
        <w:rPr>
          <w:rFonts w:hint="eastAsia" w:ascii="宋体" w:hAnsi="宋体"/>
          <w:bCs/>
          <w:color w:val="auto"/>
          <w:sz w:val="24"/>
          <w:szCs w:val="24"/>
          <w:highlight w:val="none"/>
        </w:rPr>
        <w:t>投标文件技术标部分主要包括下列内容</w:t>
      </w:r>
      <w:r>
        <w:rPr>
          <w:rFonts w:ascii="宋体" w:hAnsi="宋体"/>
          <w:bCs/>
          <w:color w:val="auto"/>
          <w:sz w:val="24"/>
          <w:szCs w:val="24"/>
          <w:highlight w:val="none"/>
        </w:rPr>
        <w:t>:</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11.2.1 技术投标文件</w:t>
      </w:r>
      <w:r>
        <w:rPr>
          <w:rFonts w:ascii="宋体" w:hAnsi="宋体"/>
          <w:color w:val="auto"/>
          <w:sz w:val="24"/>
          <w:szCs w:val="24"/>
          <w:highlight w:val="none"/>
        </w:rPr>
        <w:t>(</w:t>
      </w:r>
      <w:r>
        <w:rPr>
          <w:rFonts w:hint="eastAsia" w:ascii="宋体" w:hAnsi="宋体"/>
          <w:color w:val="auto"/>
          <w:sz w:val="24"/>
          <w:szCs w:val="24"/>
          <w:highlight w:val="none"/>
        </w:rPr>
        <w:t>按招标文件的要求填写</w:t>
      </w:r>
      <w:r>
        <w:rPr>
          <w:rFonts w:ascii="宋体" w:hAnsi="宋体"/>
          <w:color w:val="auto"/>
          <w:sz w:val="24"/>
          <w:szCs w:val="24"/>
          <w:highlight w:val="none"/>
        </w:rPr>
        <w:t>)</w:t>
      </w:r>
      <w:r>
        <w:rPr>
          <w:rFonts w:hint="eastAsia" w:ascii="宋体" w:hAnsi="宋体"/>
          <w:bCs/>
          <w:color w:val="auto"/>
          <w:sz w:val="24"/>
          <w:szCs w:val="24"/>
          <w:highlight w:val="none"/>
        </w:rPr>
        <w:t>；</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11.2.2 资格审查文件：</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 xml:space="preserve">（1）投标人声明； </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（2）法定代表人证明书、法定代表人签字或盖章的本投标文件授权委托证明书；</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（3）企业营业执照（取自平台内上传件）；</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（4）企业资质证书（取自平台内上传件）；</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（5）建筑施工企业安全生产许可证（取自平台内上传件）；</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（6）项目负责人（按网上投标登记时选择拟投标的项目负责人）；</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（7）专职安全员（按网上投标登记时选择拟投标的专职安全员）；</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（8）拟委托技术负责人的相关证书、资料（具体要求由招标人明确）；</w:t>
      </w:r>
    </w:p>
    <w:p>
      <w:pPr>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（9）拟委派项目负责人的建造师注册证书（取自平台内上传件）；</w:t>
      </w:r>
    </w:p>
    <w:p>
      <w:pPr>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（10）项目负责人安全生产考核合格证明或在有效期内的安全考核合格证书（B类）或建筑施工企业项目负责人安全生产考核合格证书（取自平台内上传件）；</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（11）专职安全员须具有在有效期内的安全考核合格证书（C类）</w:t>
      </w:r>
      <w:r>
        <w:rPr>
          <w:rFonts w:hint="eastAsia" w:ascii="宋体" w:hAnsi="宋体"/>
          <w:color w:val="auto"/>
          <w:sz w:val="24"/>
          <w:szCs w:val="24"/>
          <w:highlight w:val="none"/>
        </w:rPr>
        <w:t>或建筑施工企业专职安全生产管理人员安全生产考核合格证书</w:t>
      </w:r>
      <w:r>
        <w:rPr>
          <w:rFonts w:hint="eastAsia" w:ascii="宋体" w:hAnsi="宋体"/>
          <w:bCs/>
          <w:color w:val="auto"/>
          <w:sz w:val="24"/>
          <w:szCs w:val="24"/>
          <w:highlight w:val="none"/>
        </w:rPr>
        <w:t>（取自平台内上传件）；</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（12）用于资格审查的业绩（设置业绩要求时选择此项，投标人</w:t>
      </w:r>
      <w:r>
        <w:rPr>
          <w:rFonts w:hint="eastAsia" w:ascii="宋体" w:hAnsi="宋体"/>
          <w:color w:val="auto"/>
          <w:sz w:val="24"/>
          <w:szCs w:val="24"/>
          <w:highlight w:val="none"/>
        </w:rPr>
        <w:t>须提供类似工程业绩的项目名称及项目编号，具体格式由招标人自定</w:t>
      </w:r>
      <w:r>
        <w:rPr>
          <w:rFonts w:hint="eastAsia" w:ascii="宋体" w:hAnsi="宋体"/>
          <w:bCs/>
          <w:color w:val="auto"/>
          <w:sz w:val="24"/>
          <w:szCs w:val="24"/>
          <w:highlight w:val="none"/>
        </w:rPr>
        <w:t>）；</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（13）资格审查前，投标人须在广州市住房和城乡建设局建立企业信用档案，拟担任本工程项目负责人、专职安全员须是本企业信用档案中的在册人员。</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（14）列明主办单位的联合体工作协议（采用联合体投标时需递交，投标人拟任本工程项目负责人应为联合体主办方信用档案中的在册人员，</w:t>
      </w:r>
      <w:r>
        <w:rPr>
          <w:rFonts w:hint="eastAsia" w:ascii="宋体" w:hAnsi="宋体"/>
          <w:color w:val="auto"/>
          <w:sz w:val="24"/>
          <w:szCs w:val="24"/>
          <w:highlight w:val="none"/>
        </w:rPr>
        <w:t>联合体工作协议应明确约定各方拟承担的工作和责任</w:t>
      </w:r>
      <w:r>
        <w:rPr>
          <w:rFonts w:hint="eastAsia" w:ascii="宋体" w:hAnsi="宋体"/>
          <w:bCs/>
          <w:color w:val="auto"/>
          <w:sz w:val="24"/>
          <w:szCs w:val="24"/>
          <w:highlight w:val="none"/>
        </w:rPr>
        <w:t xml:space="preserve">）； </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（15）</w:t>
      </w:r>
      <w:r>
        <w:rPr>
          <w:rFonts w:hint="eastAsia" w:ascii="宋体" w:hAnsi="宋体"/>
          <w:color w:val="auto"/>
          <w:sz w:val="24"/>
          <w:szCs w:val="24"/>
          <w:highlight w:val="none"/>
        </w:rPr>
        <w:t>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11.2.3</w:t>
      </w:r>
      <w:r>
        <w:rPr>
          <w:rFonts w:hint="eastAsia" w:ascii="宋体" w:hAnsi="宋体"/>
          <w:color w:val="auto"/>
          <w:sz w:val="24"/>
          <w:szCs w:val="24"/>
          <w:highlight w:val="none"/>
        </w:rPr>
        <w:t>项目管理机构配备。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w:t>
      </w:r>
      <w:r>
        <w:rPr>
          <w:rFonts w:hint="eastAsia" w:ascii="宋体" w:hAnsi="宋体"/>
          <w:color w:val="auto"/>
          <w:sz w:val="24"/>
          <w:szCs w:val="24"/>
          <w:highlight w:val="none"/>
        </w:rPr>
        <w:t>）投标人应列出该项目工程的施工组织机构构成和画出机构框架图及其负责人；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）投标人应详细列出该施工组织机构中主要成员的名单、简历资料、职务职称和在本项目中拟担任的职务等资料，并附上有关证明材料扫描件；</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3</w:t>
      </w:r>
      <w:r>
        <w:rPr>
          <w:rFonts w:hint="eastAsia" w:ascii="宋体" w:hAnsi="宋体"/>
          <w:color w:val="auto"/>
          <w:sz w:val="24"/>
          <w:szCs w:val="24"/>
          <w:highlight w:val="none"/>
        </w:rPr>
        <w:t>）其他辅助说明资料。</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11.2.4</w:t>
      </w:r>
      <w:r>
        <w:rPr>
          <w:rFonts w:hint="eastAsia" w:ascii="宋体" w:hAnsi="宋体"/>
          <w:color w:val="auto"/>
          <w:sz w:val="24"/>
          <w:szCs w:val="24"/>
          <w:highlight w:val="none"/>
        </w:rPr>
        <w:t>投标人在广州市可使用适合本工程的机械设备（附：机械设备为自有或租赁的说明；及承诺机械设备如属于租赁的，其租赁是不属于重复租赁）。</w:t>
      </w:r>
    </w:p>
    <w:p>
      <w:pPr>
        <w:tabs>
          <w:tab w:val="left" w:pos="1125"/>
        </w:tabs>
        <w:spacing w:line="360" w:lineRule="auto"/>
        <w:ind w:firstLine="480" w:firstLineChars="200"/>
        <w:rPr>
          <w:rFonts w:hint="eastAsia" w:ascii="宋体" w:hAnsi="宋体"/>
          <w:color w:val="auto"/>
          <w:sz w:val="24"/>
          <w:szCs w:val="24"/>
          <w:highlight w:val="none"/>
        </w:rPr>
      </w:pPr>
      <w:r>
        <w:rPr>
          <w:rFonts w:ascii="宋体" w:hAnsi="宋体"/>
          <w:color w:val="auto"/>
          <w:sz w:val="24"/>
          <w:szCs w:val="24"/>
          <w:highlight w:val="none"/>
        </w:rPr>
        <w:t>11.2.5</w:t>
      </w:r>
      <w:r>
        <w:rPr>
          <w:rFonts w:hint="eastAsia" w:ascii="宋体" w:hAnsi="宋体"/>
          <w:color w:val="auto"/>
          <w:sz w:val="24"/>
          <w:szCs w:val="24"/>
          <w:highlight w:val="none"/>
        </w:rPr>
        <w:t>施工组织设计或施工方案。（投标人在编制施工组织设计或施工方案时应按照招标人提出的施工现场建筑垃圾源头减量的具体要求以及建筑垃圾综合利用产品的使用要求提供相应措施。）</w:t>
      </w:r>
    </w:p>
    <w:p>
      <w:pPr>
        <w:tabs>
          <w:tab w:val="left" w:pos="1125"/>
        </w:tabs>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11.2.</w:t>
      </w:r>
      <w:r>
        <w:rPr>
          <w:rFonts w:hint="eastAsia" w:ascii="宋体" w:hAnsi="宋体"/>
          <w:color w:val="auto"/>
          <w:sz w:val="24"/>
          <w:szCs w:val="24"/>
          <w:highlight w:val="none"/>
        </w:rPr>
        <w:t>6按照</w:t>
      </w:r>
      <w:r>
        <w:rPr>
          <w:rFonts w:hint="eastAsia" w:ascii="宋体" w:hAnsi="宋体"/>
          <w:bCs/>
          <w:color w:val="auto"/>
          <w:sz w:val="24"/>
          <w:szCs w:val="24"/>
          <w:highlight w:val="none"/>
        </w:rPr>
        <w:t>招标文件要求</w:t>
      </w:r>
      <w:r>
        <w:rPr>
          <w:rFonts w:hint="eastAsia" w:ascii="宋体" w:hAnsi="宋体"/>
          <w:color w:val="auto"/>
          <w:sz w:val="24"/>
          <w:szCs w:val="24"/>
          <w:highlight w:val="none"/>
        </w:rPr>
        <w:t>填写的《参与编制技术标投标文件人员名单》。</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 xml:space="preserve">11.3 </w:t>
      </w:r>
      <w:r>
        <w:rPr>
          <w:rFonts w:hint="eastAsia" w:ascii="宋体" w:hAnsi="宋体"/>
          <w:bCs/>
          <w:color w:val="auto"/>
          <w:sz w:val="24"/>
          <w:szCs w:val="24"/>
          <w:highlight w:val="none"/>
        </w:rPr>
        <w:t>经济部分投标文件主要包括下列内容：</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11.3.1 </w:t>
      </w:r>
      <w:r>
        <w:rPr>
          <w:rFonts w:hint="eastAsia" w:ascii="宋体" w:hAnsi="宋体"/>
          <w:color w:val="auto"/>
          <w:sz w:val="24"/>
          <w:szCs w:val="24"/>
          <w:highlight w:val="none"/>
        </w:rPr>
        <w:t>经济投标文件</w:t>
      </w:r>
      <w:r>
        <w:rPr>
          <w:rFonts w:ascii="宋体" w:hAnsi="宋体"/>
          <w:color w:val="auto"/>
          <w:sz w:val="24"/>
          <w:szCs w:val="24"/>
          <w:highlight w:val="none"/>
        </w:rPr>
        <w:t>(</w:t>
      </w:r>
      <w:r>
        <w:rPr>
          <w:rFonts w:hint="eastAsia" w:ascii="宋体" w:hAnsi="宋体"/>
          <w:color w:val="auto"/>
          <w:sz w:val="24"/>
          <w:szCs w:val="24"/>
          <w:highlight w:val="none"/>
        </w:rPr>
        <w:t>按招标文件的要求填写</w:t>
      </w:r>
      <w:r>
        <w:rPr>
          <w:rFonts w:ascii="宋体" w:hAnsi="宋体"/>
          <w:color w:val="auto"/>
          <w:sz w:val="24"/>
          <w:szCs w:val="24"/>
          <w:highlight w:val="none"/>
        </w:rPr>
        <w:t>)</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11.3.2</w:t>
      </w:r>
      <w:r>
        <w:rPr>
          <w:rFonts w:hint="eastAsia" w:ascii="宋体" w:hAnsi="宋体"/>
          <w:color w:val="auto"/>
          <w:sz w:val="24"/>
          <w:szCs w:val="24"/>
          <w:highlight w:val="none"/>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w:t>
      </w:r>
      <w:r>
        <w:rPr>
          <w:rFonts w:ascii="宋体" w:hAnsi="宋体"/>
          <w:color w:val="auto"/>
          <w:sz w:val="24"/>
          <w:szCs w:val="24"/>
          <w:highlight w:val="none"/>
        </w:rPr>
        <w:t xml:space="preserve"> </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w:t>
      </w:r>
      <w:r>
        <w:rPr>
          <w:rFonts w:hint="eastAsia" w:ascii="宋体" w:hAnsi="宋体"/>
          <w:color w:val="auto"/>
          <w:sz w:val="24"/>
          <w:szCs w:val="24"/>
          <w:highlight w:val="none"/>
        </w:rPr>
        <w:t>）投标总价封面、扉页；</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）总说明</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（3）工程项目投标报价汇总表；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（4）单项工程投标报价汇总表；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（5）单位工程投标报价汇总表；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（6）分部分项工程清单与计价表；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（7）单价措施项目清单与计价表；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（8）总价措施项目清单与计价表；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（9）综合单价分析表；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（10）其他项目清单与计价汇总表；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（11）暂列金额明细表；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（12）材料（工程设备）暂估价明细表；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（13）专业工程暂估价明细表；</w:t>
      </w:r>
    </w:p>
    <w:p>
      <w:pPr>
        <w:spacing w:line="360" w:lineRule="auto"/>
        <w:ind w:firstLine="566" w:firstLineChars="236"/>
        <w:rPr>
          <w:rFonts w:ascii="宋体" w:hAnsi="宋体"/>
          <w:color w:val="auto"/>
          <w:sz w:val="24"/>
          <w:szCs w:val="24"/>
          <w:highlight w:val="none"/>
        </w:rPr>
      </w:pPr>
      <w:r>
        <w:rPr>
          <w:rFonts w:hint="eastAsia" w:ascii="宋体" w:hAnsi="宋体"/>
          <w:color w:val="auto"/>
          <w:sz w:val="24"/>
          <w:szCs w:val="24"/>
          <w:highlight w:val="none"/>
        </w:rPr>
        <w:t>（14）计日工表；</w:t>
      </w:r>
    </w:p>
    <w:p>
      <w:pPr>
        <w:spacing w:line="360" w:lineRule="auto"/>
        <w:ind w:firstLine="564" w:firstLineChars="235"/>
        <w:rPr>
          <w:rFonts w:ascii="宋体" w:hAnsi="宋体"/>
          <w:color w:val="auto"/>
          <w:sz w:val="24"/>
          <w:szCs w:val="24"/>
          <w:highlight w:val="none"/>
        </w:rPr>
      </w:pPr>
      <w:r>
        <w:rPr>
          <w:rFonts w:hint="eastAsia" w:ascii="宋体" w:hAnsi="宋体"/>
          <w:color w:val="auto"/>
          <w:sz w:val="24"/>
          <w:szCs w:val="24"/>
          <w:highlight w:val="none"/>
        </w:rPr>
        <w:t>（15）总承包服务计价表；</w:t>
      </w:r>
    </w:p>
    <w:p>
      <w:pPr>
        <w:spacing w:line="360" w:lineRule="auto"/>
        <w:ind w:firstLine="564" w:firstLineChars="235"/>
        <w:rPr>
          <w:rFonts w:ascii="宋体" w:hAnsi="宋体"/>
          <w:color w:val="auto"/>
          <w:sz w:val="24"/>
          <w:szCs w:val="24"/>
          <w:highlight w:val="none"/>
        </w:rPr>
      </w:pPr>
      <w:r>
        <w:rPr>
          <w:rFonts w:hint="eastAsia" w:ascii="宋体" w:hAnsi="宋体"/>
          <w:color w:val="auto"/>
          <w:sz w:val="24"/>
          <w:szCs w:val="24"/>
          <w:highlight w:val="none"/>
        </w:rPr>
        <w:t>（16）规费和税金项目计价表；</w:t>
      </w:r>
    </w:p>
    <w:p>
      <w:pPr>
        <w:spacing w:line="360" w:lineRule="auto"/>
        <w:ind w:firstLine="564" w:firstLineChars="235"/>
        <w:rPr>
          <w:rFonts w:ascii="宋体" w:hAnsi="宋体"/>
          <w:color w:val="auto"/>
          <w:sz w:val="24"/>
          <w:szCs w:val="24"/>
          <w:highlight w:val="none"/>
        </w:rPr>
      </w:pPr>
      <w:r>
        <w:rPr>
          <w:rFonts w:hint="eastAsia" w:ascii="宋体" w:hAnsi="宋体"/>
          <w:color w:val="auto"/>
          <w:sz w:val="24"/>
          <w:szCs w:val="24"/>
          <w:highlight w:val="none"/>
        </w:rPr>
        <w:t>（17）人工、主要材料和设备一览表</w:t>
      </w:r>
    </w:p>
    <w:p>
      <w:pPr>
        <w:tabs>
          <w:tab w:val="left" w:pos="1125"/>
        </w:tabs>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11.3.</w:t>
      </w:r>
      <w:r>
        <w:rPr>
          <w:rFonts w:hint="eastAsia" w:ascii="宋体" w:hAnsi="宋体"/>
          <w:color w:val="auto"/>
          <w:sz w:val="24"/>
          <w:szCs w:val="24"/>
          <w:highlight w:val="none"/>
        </w:rPr>
        <w:t>3按照</w:t>
      </w:r>
      <w:r>
        <w:rPr>
          <w:rFonts w:hint="eastAsia" w:ascii="宋体" w:hAnsi="宋体"/>
          <w:bCs/>
          <w:color w:val="auto"/>
          <w:sz w:val="24"/>
          <w:szCs w:val="24"/>
          <w:highlight w:val="none"/>
        </w:rPr>
        <w:t>招标文件要求</w:t>
      </w:r>
      <w:r>
        <w:rPr>
          <w:rFonts w:hint="eastAsia" w:ascii="宋体" w:hAnsi="宋体"/>
          <w:color w:val="auto"/>
          <w:sz w:val="24"/>
          <w:szCs w:val="24"/>
          <w:highlight w:val="none"/>
        </w:rPr>
        <w:t>填写的《参与编制经济标投标文件人员名单》。</w:t>
      </w:r>
    </w:p>
    <w:p>
      <w:pPr>
        <w:tabs>
          <w:tab w:val="left" w:pos="112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11.3.4若投标人的投标报价低于工程成本警戒价的，投标人还须提供详细的施工组织设计、单价、措施性费用、单价分析表、主要材料价格表、投标人成本分析供评标委员会评审。</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12</w:t>
      </w:r>
      <w:r>
        <w:rPr>
          <w:rFonts w:hint="eastAsia" w:ascii="宋体" w:hAnsi="宋体"/>
          <w:b/>
          <w:bCs/>
          <w:color w:val="auto"/>
          <w:sz w:val="24"/>
          <w:szCs w:val="24"/>
          <w:highlight w:val="none"/>
        </w:rPr>
        <w:t>．投标文件格式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12.1 </w:t>
      </w:r>
      <w:r>
        <w:rPr>
          <w:rFonts w:hint="eastAsia" w:ascii="宋体" w:hAnsi="宋体"/>
          <w:color w:val="auto"/>
          <w:sz w:val="24"/>
          <w:szCs w:val="24"/>
          <w:highlight w:val="none"/>
        </w:rPr>
        <w:t>投标文件包括本须知第</w:t>
      </w:r>
      <w:r>
        <w:rPr>
          <w:rFonts w:ascii="宋体" w:hAnsi="宋体"/>
          <w:color w:val="auto"/>
          <w:sz w:val="24"/>
          <w:szCs w:val="24"/>
          <w:highlight w:val="none"/>
        </w:rPr>
        <w:t>11</w:t>
      </w:r>
      <w:r>
        <w:rPr>
          <w:rFonts w:hint="eastAsia" w:ascii="宋体" w:hAnsi="宋体"/>
          <w:color w:val="auto"/>
          <w:sz w:val="24"/>
          <w:szCs w:val="24"/>
          <w:highlight w:val="none"/>
        </w:rPr>
        <w:t>条中规定的内容，投标人提交的投标文件应当使用招标文件所提供的投标文件全部格式（表格可以按同样格式扩展）。</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12.3 </w:t>
      </w:r>
      <w:r>
        <w:rPr>
          <w:rFonts w:hint="eastAsia" w:ascii="宋体" w:hAnsi="宋体"/>
          <w:bCs/>
          <w:color w:val="auto"/>
          <w:sz w:val="24"/>
          <w:szCs w:val="24"/>
          <w:highlight w:val="none"/>
        </w:rPr>
        <w:t>投标文件应按</w:t>
      </w:r>
      <w:r>
        <w:rPr>
          <w:rFonts w:hint="eastAsia" w:ascii="宋体" w:hAnsi="宋体"/>
          <w:color w:val="auto"/>
          <w:sz w:val="24"/>
          <w:szCs w:val="24"/>
          <w:highlight w:val="none"/>
        </w:rPr>
        <w:t>照交易平台关于全流程电子化项目的相关指南进行编制，详见：</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spacing w:line="360" w:lineRule="auto"/>
        <w:rPr>
          <w:rFonts w:ascii="宋体" w:hAnsi="宋体"/>
          <w:color w:val="auto"/>
          <w:sz w:val="24"/>
          <w:szCs w:val="24"/>
          <w:highlight w:val="none"/>
        </w:rPr>
      </w:pPr>
      <w:r>
        <w:rPr>
          <w:rFonts w:hint="eastAsia" w:ascii="宋体" w:hAnsi="宋体"/>
          <w:bCs/>
          <w:color w:val="auto"/>
          <w:sz w:val="24"/>
          <w:szCs w:val="24"/>
          <w:highlight w:val="none"/>
        </w:rPr>
        <w:t>如不按上述要求编制引起系统无法检索、读取相关信息的，其后果由投标人承担。</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13</w:t>
      </w:r>
      <w:r>
        <w:rPr>
          <w:rFonts w:hint="eastAsia" w:ascii="宋体" w:hAnsi="宋体"/>
          <w:b/>
          <w:bCs/>
          <w:color w:val="auto"/>
          <w:sz w:val="24"/>
          <w:szCs w:val="24"/>
          <w:highlight w:val="none"/>
        </w:rPr>
        <w:t>．投标报价及造价承包和变更结算方式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13.1 </w:t>
      </w:r>
      <w:r>
        <w:rPr>
          <w:rFonts w:hint="eastAsia" w:ascii="宋体" w:hAnsi="宋体"/>
          <w:color w:val="auto"/>
          <w:sz w:val="24"/>
          <w:szCs w:val="24"/>
          <w:highlight w:val="none"/>
        </w:rPr>
        <w:t>本工程的投标报价采用投标须知前附表第</w:t>
      </w:r>
      <w:r>
        <w:rPr>
          <w:rFonts w:ascii="宋体" w:hAnsi="宋体"/>
          <w:color w:val="auto"/>
          <w:sz w:val="24"/>
          <w:szCs w:val="24"/>
          <w:highlight w:val="none"/>
        </w:rPr>
        <w:t>12</w:t>
      </w:r>
      <w:r>
        <w:rPr>
          <w:rFonts w:hint="eastAsia" w:ascii="宋体" w:hAnsi="宋体"/>
          <w:color w:val="auto"/>
          <w:sz w:val="24"/>
          <w:szCs w:val="24"/>
          <w:highlight w:val="none"/>
        </w:rPr>
        <w:t>项所规定的方式。投标报价（含单价及总价）精确到“分”。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13.2</w:t>
      </w:r>
      <w:r>
        <w:rPr>
          <w:rFonts w:hint="eastAsia" w:ascii="宋体" w:hAnsi="宋体"/>
          <w:color w:val="auto"/>
          <w:sz w:val="24"/>
          <w:szCs w:val="24"/>
          <w:highlight w:val="none"/>
        </w:rPr>
        <w:t>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13.3</w:t>
      </w:r>
      <w:r>
        <w:rPr>
          <w:rFonts w:hint="eastAsia" w:ascii="宋体" w:hAnsi="宋体"/>
          <w:color w:val="auto"/>
          <w:sz w:val="24"/>
          <w:szCs w:val="24"/>
          <w:highlight w:val="none"/>
        </w:rPr>
        <w:t>投标人的投标报价，应是按照投标须知前附表第</w:t>
      </w:r>
      <w:r>
        <w:rPr>
          <w:rFonts w:ascii="宋体" w:hAnsi="宋体"/>
          <w:color w:val="auto"/>
          <w:sz w:val="24"/>
          <w:szCs w:val="24"/>
          <w:highlight w:val="none"/>
        </w:rPr>
        <w:t>8</w:t>
      </w:r>
      <w:r>
        <w:rPr>
          <w:rFonts w:hint="eastAsia" w:ascii="宋体" w:hAnsi="宋体"/>
          <w:color w:val="auto"/>
          <w:sz w:val="24"/>
          <w:szCs w:val="24"/>
          <w:highlight w:val="none"/>
        </w:rPr>
        <w:t>项的工期要求，在投标须知前附表第</w:t>
      </w:r>
      <w:r>
        <w:rPr>
          <w:rFonts w:ascii="宋体" w:hAnsi="宋体"/>
          <w:color w:val="auto"/>
          <w:sz w:val="24"/>
          <w:szCs w:val="24"/>
          <w:highlight w:val="none"/>
        </w:rPr>
        <w:t>3</w:t>
      </w:r>
      <w:r>
        <w:rPr>
          <w:rFonts w:hint="eastAsia" w:ascii="宋体" w:hAnsi="宋体"/>
          <w:color w:val="auto"/>
          <w:sz w:val="24"/>
          <w:szCs w:val="24"/>
          <w:highlight w:val="none"/>
        </w:rPr>
        <w:t>项的建设地点，完成投标须知前附表第</w:t>
      </w:r>
      <w:r>
        <w:rPr>
          <w:rFonts w:ascii="宋体" w:hAnsi="宋体"/>
          <w:color w:val="auto"/>
          <w:sz w:val="24"/>
          <w:szCs w:val="24"/>
          <w:highlight w:val="none"/>
        </w:rPr>
        <w:t>7</w:t>
      </w:r>
      <w:r>
        <w:rPr>
          <w:rFonts w:hint="eastAsia" w:ascii="宋体" w:hAnsi="宋体"/>
          <w:color w:val="auto"/>
          <w:sz w:val="24"/>
          <w:szCs w:val="24"/>
          <w:highlight w:val="none"/>
        </w:rPr>
        <w:t>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13.4</w:t>
      </w:r>
      <w:r>
        <w:rPr>
          <w:rFonts w:hint="eastAsia" w:ascii="宋体" w:hAnsi="宋体"/>
          <w:color w:val="auto"/>
          <w:sz w:val="24"/>
          <w:szCs w:val="24"/>
          <w:highlight w:val="none"/>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13.5</w:t>
      </w:r>
      <w:r>
        <w:rPr>
          <w:rFonts w:hint="eastAsia" w:ascii="宋体" w:hAnsi="宋体"/>
          <w:color w:val="auto"/>
          <w:sz w:val="24"/>
          <w:szCs w:val="24"/>
          <w:highlight w:val="none"/>
        </w:rPr>
        <w:t>工程项目实施期间和结算时，招标文件工程量清单中漏列而由监理单位和招标人现场签证确认的工程项目、原设计没有而由招标人批准设计变更产生的工程项目，视为新增项目，按以下顺序确定价格：</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13.5.1</w:t>
      </w:r>
      <w:r>
        <w:rPr>
          <w:rFonts w:hint="eastAsia" w:ascii="宋体" w:hAnsi="宋体"/>
          <w:color w:val="auto"/>
          <w:sz w:val="24"/>
          <w:szCs w:val="24"/>
          <w:highlight w:val="none"/>
        </w:rPr>
        <w:t>中标的投标文件工程量清单中已有相同项目的适用综合单价，则沿用；</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13.5.2</w:t>
      </w:r>
      <w:r>
        <w:rPr>
          <w:rFonts w:hint="eastAsia" w:ascii="宋体" w:hAnsi="宋体"/>
          <w:color w:val="auto"/>
          <w:sz w:val="24"/>
          <w:szCs w:val="24"/>
          <w:highlight w:val="none"/>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13.5.3 </w:t>
      </w:r>
      <w:r>
        <w:rPr>
          <w:rFonts w:hint="eastAsia" w:ascii="宋体" w:hAnsi="宋体"/>
          <w:color w:val="auto"/>
          <w:sz w:val="24"/>
          <w:szCs w:val="24"/>
          <w:highlight w:val="none"/>
        </w:rPr>
        <w:t>中标的投标文件工程量清单中没有相同项目或类似项目的，如可套取相关定额，则以相关定额为基数下浮计算单价</w:t>
      </w:r>
      <w:r>
        <w:rPr>
          <w:rFonts w:ascii="宋体" w:hAnsi="宋体"/>
          <w:color w:val="auto"/>
          <w:sz w:val="24"/>
          <w:szCs w:val="24"/>
          <w:highlight w:val="none"/>
        </w:rPr>
        <w:t>,</w:t>
      </w:r>
      <w:r>
        <w:rPr>
          <w:rFonts w:hint="eastAsia" w:ascii="宋体" w:hAnsi="宋体"/>
          <w:color w:val="auto"/>
          <w:sz w:val="24"/>
          <w:szCs w:val="24"/>
          <w:highlight w:val="none"/>
        </w:rPr>
        <w:t>下浮率为中标价相对于最高投标限价的下浮率（下浮率</w:t>
      </w:r>
      <w:r>
        <w:rPr>
          <w:rFonts w:ascii="宋体" w:hAnsi="宋体"/>
          <w:color w:val="auto"/>
          <w:sz w:val="24"/>
          <w:szCs w:val="24"/>
          <w:highlight w:val="none"/>
        </w:rPr>
        <w:t>=(</w:t>
      </w:r>
      <w:r>
        <w:rPr>
          <w:rFonts w:hint="eastAsia" w:ascii="宋体" w:hAnsi="宋体"/>
          <w:color w:val="auto"/>
          <w:sz w:val="24"/>
          <w:szCs w:val="24"/>
          <w:highlight w:val="none"/>
        </w:rPr>
        <w:t>最高投标限价</w:t>
      </w:r>
      <w:r>
        <w:rPr>
          <w:rFonts w:ascii="宋体" w:hAnsi="宋体"/>
          <w:color w:val="auto"/>
          <w:sz w:val="24"/>
          <w:szCs w:val="24"/>
          <w:highlight w:val="none"/>
        </w:rPr>
        <w:t>-</w:t>
      </w:r>
      <w:r>
        <w:rPr>
          <w:rFonts w:hint="eastAsia" w:ascii="宋体" w:hAnsi="宋体"/>
          <w:color w:val="auto"/>
          <w:sz w:val="24"/>
          <w:szCs w:val="24"/>
          <w:highlight w:val="none"/>
        </w:rPr>
        <w:t>中标价</w:t>
      </w:r>
      <w:r>
        <w:rPr>
          <w:rFonts w:ascii="宋体" w:hAnsi="宋体"/>
          <w:color w:val="auto"/>
          <w:sz w:val="24"/>
          <w:szCs w:val="24"/>
          <w:highlight w:val="none"/>
        </w:rPr>
        <w:t xml:space="preserve">)/ </w:t>
      </w:r>
      <w:r>
        <w:rPr>
          <w:rFonts w:hint="eastAsia" w:ascii="宋体" w:hAnsi="宋体"/>
          <w:color w:val="auto"/>
          <w:sz w:val="24"/>
          <w:szCs w:val="24"/>
          <w:highlight w:val="none"/>
        </w:rPr>
        <w:t>最高投标限价）。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13.5.4 </w:t>
      </w:r>
      <w:r>
        <w:rPr>
          <w:rFonts w:hint="eastAsia" w:ascii="宋体" w:hAnsi="宋体"/>
          <w:color w:val="auto"/>
          <w:sz w:val="24"/>
          <w:szCs w:val="24"/>
          <w:highlight w:val="none"/>
        </w:rPr>
        <w:t>如相关定额没有相应子目的，其计价方式由招标人在本招标文件第三章中另行规定。未规定的，中标后双方协商约定。</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13.6</w:t>
      </w:r>
      <w:r>
        <w:rPr>
          <w:rFonts w:hint="eastAsia" w:ascii="宋体" w:hAnsi="宋体"/>
          <w:color w:val="auto"/>
          <w:sz w:val="24"/>
          <w:szCs w:val="24"/>
          <w:highlight w:val="none"/>
        </w:rPr>
        <w:t>暂列金额、暂估价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13.6.1</w:t>
      </w:r>
      <w:r>
        <w:rPr>
          <w:rFonts w:hint="eastAsia" w:ascii="宋体" w:hAnsi="宋体"/>
          <w:color w:val="auto"/>
          <w:sz w:val="24"/>
          <w:szCs w:val="24"/>
          <w:highlight w:val="none"/>
        </w:rPr>
        <w:t>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暂估价是指招标人在工程量清单中提供的用于支付必然发生但暂时不能确定价格的材料的单价以及专业工程的金额。</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13.6.2</w:t>
      </w:r>
      <w:r>
        <w:rPr>
          <w:rFonts w:hint="eastAsia" w:ascii="宋体" w:hAnsi="宋体"/>
          <w:color w:val="auto"/>
          <w:sz w:val="24"/>
          <w:szCs w:val="24"/>
          <w:highlight w:val="none"/>
        </w:rPr>
        <w:t>在工程实施中，暂列金额、暂估价所包含的工作范围和图纸、标准深化固定后，按照工程专业、设备、材料类别等分类汇总的金额，达到法定招标范围标准的，应由招标人同中标人联合招标，确定承包人和承包价格。</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13.6.3</w:t>
      </w:r>
      <w:r>
        <w:rPr>
          <w:rFonts w:hint="eastAsia" w:ascii="宋体" w:hAnsi="宋体"/>
          <w:color w:val="auto"/>
          <w:sz w:val="24"/>
          <w:szCs w:val="24"/>
          <w:highlight w:val="none"/>
        </w:rPr>
        <w:t>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13.6.4</w:t>
      </w:r>
      <w:r>
        <w:rPr>
          <w:rFonts w:hint="eastAsia" w:ascii="宋体" w:hAnsi="宋体"/>
          <w:color w:val="auto"/>
          <w:sz w:val="24"/>
          <w:szCs w:val="24"/>
          <w:highlight w:val="none"/>
        </w:rPr>
        <w:t>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w:t>
      </w:r>
      <w:r>
        <w:rPr>
          <w:rFonts w:ascii="宋体" w:hAnsi="宋体"/>
          <w:color w:val="auto"/>
          <w:sz w:val="24"/>
          <w:szCs w:val="24"/>
          <w:highlight w:val="none"/>
        </w:rPr>
        <w:t>13.5</w:t>
      </w:r>
      <w:r>
        <w:rPr>
          <w:rFonts w:hint="eastAsia" w:ascii="宋体" w:hAnsi="宋体"/>
          <w:color w:val="auto"/>
          <w:sz w:val="24"/>
          <w:szCs w:val="24"/>
          <w:highlight w:val="none"/>
        </w:rPr>
        <w:t>款规定确定。</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13.6.5</w:t>
      </w:r>
      <w:r>
        <w:rPr>
          <w:rFonts w:hint="eastAsia" w:ascii="宋体" w:hAnsi="宋体"/>
          <w:color w:val="auto"/>
          <w:sz w:val="24"/>
          <w:szCs w:val="24"/>
          <w:highlight w:val="none"/>
        </w:rPr>
        <w:t>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13.6.6 </w:t>
      </w:r>
      <w:r>
        <w:rPr>
          <w:rFonts w:hint="eastAsia" w:ascii="宋体" w:hAnsi="宋体"/>
          <w:color w:val="auto"/>
          <w:sz w:val="24"/>
          <w:szCs w:val="24"/>
          <w:highlight w:val="none"/>
        </w:rPr>
        <w:t>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13.7</w:t>
      </w:r>
      <w:r>
        <w:rPr>
          <w:rFonts w:hint="eastAsia" w:ascii="宋体" w:hAnsi="宋体"/>
          <w:color w:val="auto"/>
          <w:sz w:val="24"/>
          <w:szCs w:val="24"/>
          <w:highlight w:val="none"/>
        </w:rPr>
        <w:t>投标人可先到工地踏勘以充分了解工地位置、情况、道路、储存空间、装卸限制及任何其他足以影响承包价的情况，任何因忽视或误解工地情况而导致的索赔或工期延长申请将不被批准。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13.8</w:t>
      </w:r>
      <w:r>
        <w:rPr>
          <w:rFonts w:hint="eastAsia" w:ascii="宋体" w:hAnsi="宋体"/>
          <w:color w:val="auto"/>
          <w:sz w:val="24"/>
          <w:szCs w:val="24"/>
          <w:highlight w:val="none"/>
        </w:rPr>
        <w:t>属于承包人自行采购的主要材料、设备，招标人应当在招标文件中提出材料、设备的技术标准或者质量要求，或者提出不少于</w:t>
      </w:r>
      <w:r>
        <w:rPr>
          <w:rFonts w:ascii="宋体" w:hAnsi="宋体"/>
          <w:color w:val="auto"/>
          <w:sz w:val="24"/>
          <w:szCs w:val="24"/>
          <w:highlight w:val="none"/>
        </w:rPr>
        <w:t>3</w:t>
      </w:r>
      <w:r>
        <w:rPr>
          <w:rFonts w:hint="eastAsia" w:ascii="宋体" w:hAnsi="宋体"/>
          <w:color w:val="auto"/>
          <w:sz w:val="24"/>
          <w:szCs w:val="24"/>
          <w:highlight w:val="none"/>
        </w:rPr>
        <w:t>个同等档次品牌或分包商供投标人报价时选择</w:t>
      </w:r>
      <w:r>
        <w:rPr>
          <w:rFonts w:ascii="宋体" w:hAnsi="宋体"/>
          <w:color w:val="auto"/>
          <w:sz w:val="24"/>
          <w:szCs w:val="24"/>
          <w:highlight w:val="none"/>
        </w:rPr>
        <w:t>,</w:t>
      </w:r>
      <w:r>
        <w:rPr>
          <w:rFonts w:hint="eastAsia" w:ascii="宋体" w:hAnsi="宋体"/>
          <w:color w:val="auto"/>
          <w:sz w:val="24"/>
          <w:szCs w:val="24"/>
          <w:highlight w:val="none"/>
        </w:rPr>
        <w:t>凡招标人在招标文件中提出参考品牌的，必须在参考品牌后面加上“或相当于”字样。投标人在投标文件中应明确所选用主要材料、设备的品牌、厂家以及质量等级，并且应当符合招标文件的要求。</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13.9</w:t>
      </w:r>
      <w:r>
        <w:rPr>
          <w:rFonts w:hint="eastAsia" w:ascii="宋体" w:hAnsi="宋体"/>
          <w:color w:val="auto"/>
          <w:sz w:val="24"/>
          <w:szCs w:val="24"/>
          <w:highlight w:val="none"/>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14</w:t>
      </w:r>
      <w:r>
        <w:rPr>
          <w:rFonts w:hint="eastAsia" w:ascii="宋体" w:hAnsi="宋体"/>
          <w:b/>
          <w:bCs/>
          <w:color w:val="auto"/>
          <w:sz w:val="24"/>
          <w:szCs w:val="24"/>
          <w:highlight w:val="none"/>
        </w:rPr>
        <w:t>．投标货币</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14.1 </w:t>
      </w:r>
      <w:r>
        <w:rPr>
          <w:rFonts w:hint="eastAsia" w:ascii="宋体" w:hAnsi="宋体"/>
          <w:color w:val="auto"/>
          <w:sz w:val="24"/>
          <w:szCs w:val="24"/>
          <w:highlight w:val="none"/>
        </w:rPr>
        <w:t>本工程投标报价采用的币种为人民币。</w:t>
      </w:r>
    </w:p>
    <w:p>
      <w:pPr>
        <w:spacing w:line="360" w:lineRule="auto"/>
        <w:ind w:firstLine="482" w:firstLineChars="200"/>
        <w:rPr>
          <w:rFonts w:ascii="宋体" w:hAnsi="宋体"/>
          <w:color w:val="auto"/>
          <w:sz w:val="24"/>
          <w:szCs w:val="24"/>
          <w:highlight w:val="none"/>
        </w:rPr>
      </w:pPr>
      <w:r>
        <w:rPr>
          <w:rFonts w:ascii="宋体" w:hAnsi="宋体"/>
          <w:b/>
          <w:bCs/>
          <w:color w:val="auto"/>
          <w:sz w:val="24"/>
          <w:szCs w:val="24"/>
          <w:highlight w:val="none"/>
        </w:rPr>
        <w:t>15</w:t>
      </w:r>
      <w:r>
        <w:rPr>
          <w:rFonts w:hint="eastAsia" w:ascii="宋体" w:hAnsi="宋体"/>
          <w:b/>
          <w:bCs/>
          <w:color w:val="auto"/>
          <w:sz w:val="24"/>
          <w:szCs w:val="24"/>
          <w:highlight w:val="none"/>
        </w:rPr>
        <w:t>．投标有效期</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15.1 </w:t>
      </w:r>
      <w:r>
        <w:rPr>
          <w:rFonts w:hint="eastAsia" w:ascii="宋体" w:hAnsi="宋体"/>
          <w:color w:val="auto"/>
          <w:sz w:val="24"/>
          <w:szCs w:val="24"/>
          <w:highlight w:val="none"/>
        </w:rPr>
        <w:t>投标有效期见投标须知前附表第</w:t>
      </w:r>
      <w:r>
        <w:rPr>
          <w:rFonts w:ascii="宋体" w:hAnsi="宋体"/>
          <w:color w:val="auto"/>
          <w:sz w:val="24"/>
          <w:szCs w:val="24"/>
          <w:highlight w:val="none"/>
        </w:rPr>
        <w:t>13</w:t>
      </w:r>
      <w:r>
        <w:rPr>
          <w:rFonts w:hint="eastAsia" w:ascii="宋体" w:hAnsi="宋体"/>
          <w:color w:val="auto"/>
          <w:sz w:val="24"/>
          <w:szCs w:val="24"/>
          <w:highlight w:val="none"/>
        </w:rPr>
        <w:t>项所规定的期限，在此期限内，凡符合本招标文件要求的投标文件均保持有效。</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15.2 </w:t>
      </w:r>
      <w:r>
        <w:rPr>
          <w:rFonts w:hint="eastAsia" w:ascii="宋体" w:hAnsi="宋体"/>
          <w:color w:val="auto"/>
          <w:sz w:val="24"/>
          <w:szCs w:val="24"/>
          <w:highlight w:val="none"/>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Pr>
          <w:rFonts w:ascii="宋体" w:hAnsi="宋体"/>
          <w:color w:val="auto"/>
          <w:sz w:val="24"/>
          <w:szCs w:val="24"/>
          <w:highlight w:val="none"/>
        </w:rPr>
        <w:t>16</w:t>
      </w:r>
      <w:r>
        <w:rPr>
          <w:rFonts w:hint="eastAsia" w:ascii="宋体" w:hAnsi="宋体"/>
          <w:color w:val="auto"/>
          <w:sz w:val="24"/>
          <w:szCs w:val="24"/>
          <w:highlight w:val="none"/>
        </w:rPr>
        <w:t>条关于投标保证金的退还与不予退还的规定仍然适用。</w:t>
      </w:r>
    </w:p>
    <w:p>
      <w:pPr>
        <w:pStyle w:val="49"/>
        <w:spacing w:after="0" w:line="360" w:lineRule="auto"/>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16．投标保证金</w:t>
      </w:r>
    </w:p>
    <w:p>
      <w:pPr>
        <w:pStyle w:val="49"/>
        <w:spacing w:after="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16.1投标人应按投标须知前附表第14项所述金额和时间递交投标保证金。招标人应当允许投标人自主选择现金、银行保函、保证保险、专业工程担保公司担保等方式缴纳投标保证金。</w:t>
      </w:r>
    </w:p>
    <w:p>
      <w:pPr>
        <w:pStyle w:val="49"/>
        <w:spacing w:after="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16.1.1采用现金或者支票形式提交的，投标保证金须从投标人的银行基本账户转出。</w:t>
      </w:r>
    </w:p>
    <w:p>
      <w:pPr>
        <w:pStyle w:val="49"/>
        <w:spacing w:after="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16.1.2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pStyle w:val="49"/>
        <w:spacing w:after="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16.1.3采用电子形式的保函、担保或保证保险提交投标保证金的，应在招标文件中明确电子递交途径。</w:t>
      </w:r>
    </w:p>
    <w:p>
      <w:pPr>
        <w:pStyle w:val="49"/>
        <w:spacing w:after="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16.2开标时投标人没有按要求提供投标保证金的，其投标文件将被否决；未按招标文件要求提交符合免予提供投标保证金相关证明材料，且未提交投标保证金的投标人，视为未按要求提供投标保证金。</w:t>
      </w:r>
    </w:p>
    <w:p>
      <w:pPr>
        <w:pStyle w:val="49"/>
        <w:spacing w:after="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16.3投标保证金应依据法律法规的相关规定退还。</w:t>
      </w:r>
    </w:p>
    <w:p>
      <w:pPr>
        <w:pStyle w:val="49"/>
        <w:spacing w:after="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16.4如有下列情况之一的，招标人可以不予退还投标保证金（是否退还投标保证金由招标人在招标文件中规定）：</w:t>
      </w:r>
    </w:p>
    <w:p>
      <w:pPr>
        <w:pStyle w:val="49"/>
        <w:spacing w:after="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16.4.1因投标人原因造成投标文件未解密的；</w:t>
      </w:r>
    </w:p>
    <w:p>
      <w:pPr>
        <w:pStyle w:val="49"/>
        <w:spacing w:after="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16.4.2投标人在投标有效期内撤销投标文件；</w:t>
      </w:r>
    </w:p>
    <w:p>
      <w:pPr>
        <w:pStyle w:val="49"/>
        <w:spacing w:after="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16.4.3中标人未能在规定期限内按要求提交履约担保；</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16.4.4中标人未能在规定期限内签署合同协议。</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16.5投标人如存在下列情况之一的，将被拒绝在一定时期内参与招标人后续工程投标（拒绝时限需在招标文件中明确）：</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16.5.1投标人存在16.4条款所列情形且投标人提交的保函、担保或保证保险无法兑付的；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16.5.2采用非电子形式提交投标保证金的投标人存在16.4条款所列情形，且未按招标人要求补交银行保函、专业工程担保公司担保或保证保险原件的；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16.5.3按招标文件要求免于提供投标保证金的投标人存在16.4条款所列情形，且未按招标人要求补交投标保证金的；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16.5.3按招标文件要求免于提供投标保证金的投标人存在16.4条款所列情形的。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highlight w:val="none"/>
        </w:rPr>
        <w:t>注：16.5.3款由招标人二选一，需在招标文件中明确。</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17</w:t>
      </w:r>
      <w:r>
        <w:rPr>
          <w:rFonts w:hint="eastAsia" w:ascii="宋体" w:hAnsi="宋体"/>
          <w:b/>
          <w:bCs/>
          <w:color w:val="auto"/>
          <w:sz w:val="24"/>
          <w:szCs w:val="24"/>
          <w:highlight w:val="none"/>
        </w:rPr>
        <w:t>．投标文件的签署</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17.1</w:t>
      </w:r>
      <w:r>
        <w:rPr>
          <w:rFonts w:hint="eastAsia" w:ascii="宋体" w:hAnsi="宋体"/>
          <w:color w:val="auto"/>
          <w:sz w:val="24"/>
          <w:szCs w:val="24"/>
          <w:highlight w:val="none"/>
        </w:rPr>
        <w:t>投标人应采用单位数字证书，按招标文件要求在相应位置加盖电子印章。投标文件中需个人签字或盖章的，</w:t>
      </w:r>
      <w:r>
        <w:rPr>
          <w:rFonts w:hint="eastAsia" w:ascii="宋体" w:hAnsi="宋体"/>
          <w:color w:val="auto"/>
          <w:sz w:val="24"/>
          <w:highlight w:val="none"/>
        </w:rPr>
        <w:t>应加盖个人电子印章或在线下完成后扫描上传。</w:t>
      </w:r>
      <w:r>
        <w:rPr>
          <w:rFonts w:hint="eastAsia" w:ascii="宋体" w:hAnsi="宋体"/>
          <w:color w:val="auto"/>
          <w:sz w:val="24"/>
          <w:szCs w:val="24"/>
          <w:highlight w:val="none"/>
        </w:rPr>
        <w:t>按照交易平台关于全流程电子化项目的相关指南进行操作。详见：</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widowControl/>
        <w:spacing w:before="100" w:beforeAutospacing="1" w:after="100" w:afterAutospacing="1" w:line="360" w:lineRule="auto"/>
        <w:jc w:val="left"/>
        <w:outlineLvl w:val="2"/>
        <w:rPr>
          <w:rFonts w:ascii="宋体" w:hAnsi="宋体" w:cs="宋体"/>
          <w:color w:val="auto"/>
          <w:kern w:val="0"/>
          <w:sz w:val="24"/>
          <w:szCs w:val="24"/>
          <w:highlight w:val="none"/>
        </w:rPr>
      </w:pPr>
      <w:bookmarkStart w:id="88" w:name="_Toc32474"/>
      <w:bookmarkStart w:id="89" w:name="_Toc8074"/>
      <w:bookmarkStart w:id="90" w:name="_Toc1148"/>
      <w:bookmarkStart w:id="91" w:name="_Toc13520"/>
      <w:bookmarkStart w:id="92" w:name="_Toc3745"/>
      <w:bookmarkStart w:id="93" w:name="_Toc287"/>
      <w:bookmarkStart w:id="94" w:name="_Toc7267"/>
      <w:bookmarkStart w:id="95" w:name="_Toc29510"/>
      <w:bookmarkStart w:id="96" w:name="_Toc2364"/>
      <w:bookmarkStart w:id="97" w:name="_Toc20027"/>
      <w:bookmarkStart w:id="98" w:name="_Toc2272552"/>
      <w:bookmarkStart w:id="99" w:name="_Toc58838574"/>
      <w:bookmarkStart w:id="100" w:name="_Toc19111"/>
      <w:r>
        <w:rPr>
          <w:rFonts w:hint="eastAsia" w:ascii="宋体" w:hAnsi="宋体" w:cs="宋体"/>
          <w:color w:val="auto"/>
          <w:kern w:val="0"/>
          <w:sz w:val="24"/>
          <w:szCs w:val="24"/>
          <w:highlight w:val="none"/>
        </w:rPr>
        <w:t>（四）投标文件的提交</w:t>
      </w:r>
      <w:bookmarkEnd w:id="88"/>
      <w:bookmarkEnd w:id="89"/>
      <w:bookmarkEnd w:id="90"/>
      <w:bookmarkEnd w:id="91"/>
      <w:bookmarkEnd w:id="92"/>
      <w:bookmarkEnd w:id="93"/>
      <w:bookmarkEnd w:id="94"/>
      <w:bookmarkEnd w:id="95"/>
      <w:bookmarkEnd w:id="96"/>
      <w:bookmarkEnd w:id="97"/>
      <w:bookmarkEnd w:id="98"/>
      <w:bookmarkEnd w:id="99"/>
      <w:bookmarkEnd w:id="100"/>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18</w:t>
      </w:r>
      <w:r>
        <w:rPr>
          <w:rFonts w:hint="eastAsia" w:ascii="宋体" w:hAnsi="宋体"/>
          <w:b/>
          <w:bCs/>
          <w:color w:val="auto"/>
          <w:sz w:val="24"/>
          <w:szCs w:val="24"/>
          <w:highlight w:val="none"/>
        </w:rPr>
        <w:t>．</w:t>
      </w:r>
      <w:r>
        <w:rPr>
          <w:rFonts w:hint="eastAsia" w:ascii="宋体" w:hAnsi="宋体"/>
          <w:b/>
          <w:color w:val="auto"/>
          <w:sz w:val="24"/>
          <w:szCs w:val="24"/>
          <w:highlight w:val="none"/>
        </w:rPr>
        <w:t>投标文件的密封和标记</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1</w:t>
      </w:r>
      <w:r>
        <w:rPr>
          <w:rFonts w:hint="eastAsia" w:ascii="宋体" w:hAnsi="宋体"/>
          <w:bCs/>
          <w:color w:val="auto"/>
          <w:sz w:val="24"/>
          <w:szCs w:val="24"/>
          <w:highlight w:val="none"/>
        </w:rPr>
        <w:t>8</w:t>
      </w:r>
      <w:r>
        <w:rPr>
          <w:rFonts w:ascii="宋体" w:hAnsi="宋体"/>
          <w:bCs/>
          <w:color w:val="auto"/>
          <w:sz w:val="24"/>
          <w:szCs w:val="24"/>
          <w:highlight w:val="none"/>
        </w:rPr>
        <w:t>.1</w:t>
      </w:r>
      <w:r>
        <w:rPr>
          <w:rFonts w:hint="eastAsia" w:ascii="宋体" w:hAnsi="宋体"/>
          <w:bCs/>
          <w:color w:val="auto"/>
          <w:sz w:val="24"/>
          <w:szCs w:val="24"/>
          <w:highlight w:val="none"/>
        </w:rPr>
        <w:t>递交的电子投标文件（不含备用光盘）必须进行加密。按照交易平台关于</w:t>
      </w:r>
      <w:r>
        <w:rPr>
          <w:rFonts w:hint="eastAsia" w:ascii="宋体" w:hAnsi="宋体"/>
          <w:color w:val="auto"/>
          <w:sz w:val="24"/>
          <w:szCs w:val="24"/>
          <w:highlight w:val="none"/>
        </w:rPr>
        <w:t>全流程电子化项目的相关指南进行操作。详见：</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1</w:t>
      </w:r>
      <w:r>
        <w:rPr>
          <w:rFonts w:hint="eastAsia" w:ascii="宋体" w:hAnsi="宋体"/>
          <w:bCs/>
          <w:color w:val="auto"/>
          <w:sz w:val="24"/>
          <w:szCs w:val="24"/>
          <w:highlight w:val="none"/>
        </w:rPr>
        <w:t>8</w:t>
      </w:r>
      <w:r>
        <w:rPr>
          <w:rFonts w:ascii="宋体" w:hAnsi="宋体"/>
          <w:bCs/>
          <w:color w:val="auto"/>
          <w:sz w:val="24"/>
          <w:szCs w:val="24"/>
          <w:highlight w:val="none"/>
        </w:rPr>
        <w:t xml:space="preserve">.2 </w:t>
      </w:r>
      <w:r>
        <w:rPr>
          <w:rFonts w:hint="eastAsia" w:ascii="宋体" w:hAnsi="宋体"/>
          <w:bCs/>
          <w:color w:val="auto"/>
          <w:sz w:val="24"/>
          <w:szCs w:val="24"/>
          <w:highlight w:val="none"/>
        </w:rPr>
        <w:t>未按要求加密的投标文件，</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w:t>
      </w:r>
      <w:r>
        <w:rPr>
          <w:rFonts w:hint="eastAsia" w:ascii="宋体" w:hAnsi="宋体"/>
          <w:bCs/>
          <w:color w:val="auto"/>
          <w:sz w:val="24"/>
          <w:szCs w:val="24"/>
          <w:highlight w:val="none"/>
        </w:rPr>
        <w:t>将予以拒收。</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19</w:t>
      </w:r>
      <w:r>
        <w:rPr>
          <w:rFonts w:hint="eastAsia" w:ascii="宋体" w:hAnsi="宋体"/>
          <w:b/>
          <w:bCs/>
          <w:color w:val="auto"/>
          <w:sz w:val="24"/>
          <w:szCs w:val="24"/>
          <w:highlight w:val="none"/>
        </w:rPr>
        <w:t>．投标文件的递交和接收</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1</w:t>
      </w:r>
      <w:r>
        <w:rPr>
          <w:rFonts w:hint="eastAsia" w:ascii="宋体" w:hAnsi="宋体"/>
          <w:bCs/>
          <w:color w:val="auto"/>
          <w:sz w:val="24"/>
          <w:szCs w:val="24"/>
          <w:highlight w:val="none"/>
        </w:rPr>
        <w:t>9</w:t>
      </w:r>
      <w:r>
        <w:rPr>
          <w:rFonts w:ascii="宋体" w:hAnsi="宋体"/>
          <w:bCs/>
          <w:color w:val="auto"/>
          <w:sz w:val="24"/>
          <w:szCs w:val="24"/>
          <w:highlight w:val="none"/>
        </w:rPr>
        <w:t>.</w:t>
      </w:r>
      <w:r>
        <w:rPr>
          <w:rFonts w:hint="eastAsia" w:ascii="宋体" w:hAnsi="宋体"/>
          <w:bCs/>
          <w:color w:val="auto"/>
          <w:sz w:val="24"/>
          <w:szCs w:val="24"/>
          <w:highlight w:val="none"/>
        </w:rPr>
        <w:t>1投标人通过</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交易平台递交电子投标文件。</w:t>
      </w:r>
    </w:p>
    <w:p>
      <w:pPr>
        <w:spacing w:line="360" w:lineRule="auto"/>
        <w:ind w:firstLine="480" w:firstLineChars="200"/>
        <w:rPr>
          <w:rFonts w:ascii="宋体" w:hAnsi="宋体"/>
          <w:bCs/>
          <w:color w:val="auto"/>
          <w:sz w:val="24"/>
          <w:szCs w:val="24"/>
          <w:highlight w:val="none"/>
        </w:rPr>
      </w:pPr>
      <w:r>
        <w:rPr>
          <w:rFonts w:ascii="宋体" w:hAnsi="宋体"/>
          <w:bCs/>
          <w:color w:val="auto"/>
          <w:sz w:val="24"/>
          <w:szCs w:val="24"/>
          <w:highlight w:val="none"/>
        </w:rPr>
        <w:t>1</w:t>
      </w:r>
      <w:r>
        <w:rPr>
          <w:rFonts w:hint="eastAsia" w:ascii="宋体" w:hAnsi="宋体"/>
          <w:bCs/>
          <w:color w:val="auto"/>
          <w:sz w:val="24"/>
          <w:szCs w:val="24"/>
          <w:highlight w:val="none"/>
        </w:rPr>
        <w:t>9</w:t>
      </w:r>
      <w:r>
        <w:rPr>
          <w:rFonts w:ascii="宋体" w:hAnsi="宋体"/>
          <w:bCs/>
          <w:color w:val="auto"/>
          <w:sz w:val="24"/>
          <w:szCs w:val="24"/>
          <w:highlight w:val="none"/>
        </w:rPr>
        <w:t>.</w:t>
      </w:r>
      <w:r>
        <w:rPr>
          <w:rFonts w:hint="eastAsia" w:ascii="宋体" w:hAnsi="宋体"/>
          <w:bCs/>
          <w:color w:val="auto"/>
          <w:sz w:val="24"/>
          <w:szCs w:val="24"/>
          <w:highlight w:val="none"/>
        </w:rPr>
        <w:t>2投标人完成电子</w:t>
      </w:r>
      <w:r>
        <w:rPr>
          <w:rFonts w:hint="eastAsia" w:ascii="宋体" w:hAnsi="宋体"/>
          <w:color w:val="auto"/>
          <w:sz w:val="24"/>
          <w:szCs w:val="24"/>
          <w:highlight w:val="none"/>
        </w:rPr>
        <w:t>投标文件</w:t>
      </w:r>
      <w:r>
        <w:rPr>
          <w:rFonts w:hint="eastAsia" w:ascii="宋体" w:hAnsi="宋体"/>
          <w:bCs/>
          <w:color w:val="auto"/>
          <w:sz w:val="24"/>
          <w:szCs w:val="24"/>
          <w:highlight w:val="none"/>
        </w:rPr>
        <w:t>上传后，</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交易平台即时向投标人发出递交回执通知。递交时间以递交回执通知载明的传输完成时间为准。</w:t>
      </w:r>
    </w:p>
    <w:p>
      <w:pPr>
        <w:spacing w:line="360" w:lineRule="auto"/>
        <w:ind w:firstLine="480" w:firstLineChars="200"/>
        <w:rPr>
          <w:rFonts w:ascii="宋体" w:hAnsi="宋体"/>
          <w:color w:val="auto"/>
          <w:sz w:val="24"/>
          <w:szCs w:val="24"/>
          <w:highlight w:val="none"/>
        </w:rPr>
      </w:pPr>
      <w:r>
        <w:rPr>
          <w:rFonts w:ascii="宋体" w:hAnsi="宋体"/>
          <w:bCs/>
          <w:color w:val="auto"/>
          <w:sz w:val="24"/>
          <w:szCs w:val="24"/>
          <w:highlight w:val="none"/>
        </w:rPr>
        <w:t>1</w:t>
      </w:r>
      <w:r>
        <w:rPr>
          <w:rFonts w:hint="eastAsia" w:ascii="宋体" w:hAnsi="宋体"/>
          <w:bCs/>
          <w:color w:val="auto"/>
          <w:sz w:val="24"/>
          <w:szCs w:val="24"/>
          <w:highlight w:val="none"/>
        </w:rPr>
        <w:t>9</w:t>
      </w:r>
      <w:r>
        <w:rPr>
          <w:rFonts w:ascii="宋体" w:hAnsi="宋体"/>
          <w:bCs/>
          <w:color w:val="auto"/>
          <w:sz w:val="24"/>
          <w:szCs w:val="24"/>
          <w:highlight w:val="none"/>
        </w:rPr>
        <w:t>.</w:t>
      </w:r>
      <w:r>
        <w:rPr>
          <w:rFonts w:hint="eastAsia" w:ascii="宋体" w:hAnsi="宋体"/>
          <w:bCs/>
          <w:color w:val="auto"/>
          <w:sz w:val="24"/>
          <w:szCs w:val="24"/>
          <w:highlight w:val="none"/>
        </w:rPr>
        <w:t>3逾期送达的电子投标文件，</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交易平台将予以拒收。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19.</w:t>
      </w:r>
      <w:r>
        <w:rPr>
          <w:rFonts w:hint="eastAsia" w:ascii="宋体" w:hAnsi="宋体"/>
          <w:color w:val="auto"/>
          <w:sz w:val="24"/>
          <w:szCs w:val="24"/>
          <w:highlight w:val="none"/>
        </w:rPr>
        <w:t>4</w:t>
      </w:r>
      <w:r>
        <w:rPr>
          <w:rFonts w:ascii="宋体" w:hAnsi="宋体"/>
          <w:color w:val="auto"/>
          <w:sz w:val="24"/>
          <w:szCs w:val="24"/>
          <w:highlight w:val="none"/>
        </w:rPr>
        <w:t xml:space="preserve"> </w:t>
      </w:r>
      <w:r>
        <w:rPr>
          <w:rFonts w:hint="eastAsia" w:ascii="宋体" w:hAnsi="宋体"/>
          <w:color w:val="auto"/>
          <w:sz w:val="24"/>
          <w:szCs w:val="24"/>
          <w:highlight w:val="none"/>
        </w:rPr>
        <w:t>投标截止前，招标人拒绝接收符合条件的投标文件，投标人可向招标投标监督机构投诉。</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19.</w:t>
      </w:r>
      <w:r>
        <w:rPr>
          <w:rFonts w:hint="eastAsia" w:ascii="宋体" w:hAnsi="宋体"/>
          <w:color w:val="auto"/>
          <w:sz w:val="24"/>
          <w:szCs w:val="24"/>
          <w:highlight w:val="none"/>
        </w:rPr>
        <w:t>5如技术标和经济标先后分别开启，</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交易平台将按招标文件规定的时间分别开启技术标和经济标。</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20</w:t>
      </w:r>
      <w:r>
        <w:rPr>
          <w:rFonts w:hint="eastAsia" w:ascii="宋体" w:hAnsi="宋体"/>
          <w:b/>
          <w:bCs/>
          <w:color w:val="auto"/>
          <w:sz w:val="24"/>
          <w:szCs w:val="24"/>
          <w:highlight w:val="none"/>
        </w:rPr>
        <w:t>．投标文件提交的截止时间</w:t>
      </w:r>
    </w:p>
    <w:p>
      <w:pPr>
        <w:spacing w:line="360" w:lineRule="auto"/>
        <w:ind w:firstLine="480" w:firstLineChars="200"/>
        <w:rPr>
          <w:rFonts w:ascii="宋体" w:hAnsi="宋体"/>
          <w:b/>
          <w:bCs/>
          <w:color w:val="auto"/>
          <w:sz w:val="24"/>
          <w:szCs w:val="24"/>
          <w:highlight w:val="none"/>
        </w:rPr>
      </w:pPr>
      <w:r>
        <w:rPr>
          <w:rFonts w:ascii="宋体" w:hAnsi="宋体"/>
          <w:color w:val="auto"/>
          <w:sz w:val="24"/>
          <w:szCs w:val="24"/>
          <w:highlight w:val="none"/>
        </w:rPr>
        <w:t>20.1</w:t>
      </w:r>
      <w:r>
        <w:rPr>
          <w:rFonts w:hint="eastAsia" w:ascii="宋体" w:hAnsi="宋体"/>
          <w:color w:val="auto"/>
          <w:sz w:val="24"/>
          <w:szCs w:val="24"/>
          <w:highlight w:val="none"/>
        </w:rPr>
        <w:t>投标人应在投标须知前附表第17项所述的时间前提交投标文件。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20.2</w:t>
      </w:r>
      <w:r>
        <w:rPr>
          <w:rFonts w:hint="eastAsia" w:ascii="宋体" w:hAnsi="宋体"/>
          <w:color w:val="auto"/>
          <w:sz w:val="24"/>
          <w:szCs w:val="24"/>
          <w:highlight w:val="none"/>
        </w:rPr>
        <w:t>招标人可按本须知第</w:t>
      </w:r>
      <w:r>
        <w:rPr>
          <w:rFonts w:ascii="宋体" w:hAnsi="宋体"/>
          <w:color w:val="auto"/>
          <w:sz w:val="24"/>
          <w:szCs w:val="24"/>
          <w:highlight w:val="none"/>
        </w:rPr>
        <w:t>9</w:t>
      </w:r>
      <w:r>
        <w:rPr>
          <w:rFonts w:hint="eastAsia" w:ascii="宋体" w:hAnsi="宋体"/>
          <w:color w:val="auto"/>
          <w:sz w:val="24"/>
          <w:szCs w:val="24"/>
          <w:highlight w:val="none"/>
        </w:rPr>
        <w:t>条规定以招标文件修改的方式，酌情延长提交投标文件的截止时间。在此情况下，投标人的所有权利和义务以及投标人受制约的截止时间，均以延长后新的投标截止时间为准。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20.3 </w:t>
      </w:r>
      <w:r>
        <w:rPr>
          <w:rFonts w:hint="eastAsia" w:ascii="宋体" w:hAnsi="宋体"/>
          <w:color w:val="auto"/>
          <w:sz w:val="24"/>
          <w:szCs w:val="24"/>
          <w:highlight w:val="none"/>
        </w:rPr>
        <w:t>到投标截止时间止，招标人收到的投标文件少于3家的，招标人将重新组织招标（当</w:t>
      </w:r>
      <w:r>
        <w:rPr>
          <w:rFonts w:ascii="宋体" w:hAnsi="宋体"/>
          <w:color w:val="auto"/>
          <w:sz w:val="24"/>
          <w:szCs w:val="24"/>
          <w:highlight w:val="none"/>
        </w:rPr>
        <w:t>N</w:t>
      </w:r>
      <w:r>
        <w:rPr>
          <w:rFonts w:hint="eastAsia" w:ascii="宋体" w:hAnsi="宋体"/>
          <w:color w:val="auto"/>
          <w:sz w:val="24"/>
          <w:szCs w:val="24"/>
          <w:highlight w:val="none"/>
        </w:rPr>
        <w:t>个标段同时招标且不允许兼中时，若有效投标人不足</w:t>
      </w:r>
      <w:r>
        <w:rPr>
          <w:rFonts w:ascii="宋体" w:hAnsi="宋体"/>
          <w:color w:val="auto"/>
          <w:sz w:val="24"/>
          <w:szCs w:val="24"/>
          <w:highlight w:val="none"/>
        </w:rPr>
        <w:t>N+</w:t>
      </w:r>
      <w:r>
        <w:rPr>
          <w:rFonts w:hint="eastAsia" w:ascii="宋体" w:hAnsi="宋体"/>
          <w:color w:val="auto"/>
          <w:sz w:val="24"/>
          <w:szCs w:val="24"/>
          <w:highlight w:val="none"/>
        </w:rPr>
        <w:t>2家，则重新组织招标）。</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21</w:t>
      </w:r>
      <w:r>
        <w:rPr>
          <w:rFonts w:hint="eastAsia" w:ascii="宋体" w:hAnsi="宋体"/>
          <w:b/>
          <w:bCs/>
          <w:color w:val="auto"/>
          <w:sz w:val="24"/>
          <w:szCs w:val="24"/>
          <w:highlight w:val="none"/>
        </w:rPr>
        <w:t>．迟交的投标文件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21.1 </w:t>
      </w:r>
      <w:r>
        <w:rPr>
          <w:rFonts w:hint="eastAsia" w:ascii="宋体" w:hAnsi="宋体"/>
          <w:color w:val="auto"/>
          <w:sz w:val="24"/>
          <w:szCs w:val="24"/>
          <w:highlight w:val="none"/>
        </w:rPr>
        <w:t>本须知前附表第</w:t>
      </w:r>
      <w:r>
        <w:rPr>
          <w:rFonts w:ascii="宋体" w:hAnsi="宋体"/>
          <w:color w:val="auto"/>
          <w:sz w:val="24"/>
          <w:szCs w:val="24"/>
          <w:highlight w:val="none"/>
        </w:rPr>
        <w:t>1</w:t>
      </w:r>
      <w:r>
        <w:rPr>
          <w:rFonts w:hint="eastAsia" w:ascii="宋体" w:hAnsi="宋体"/>
          <w:color w:val="auto"/>
          <w:sz w:val="24"/>
          <w:szCs w:val="24"/>
          <w:highlight w:val="none"/>
        </w:rPr>
        <w:t>7项规定的投标截止时间</w:t>
      </w:r>
      <w:r>
        <w:rPr>
          <w:rFonts w:hint="eastAsia" w:ascii="宋体" w:hAnsi="宋体"/>
          <w:bCs/>
          <w:color w:val="auto"/>
          <w:sz w:val="24"/>
          <w:szCs w:val="24"/>
          <w:highlight w:val="none"/>
        </w:rPr>
        <w:t>后送达的电子投标文件，</w:t>
      </w:r>
      <w:r>
        <w:rPr>
          <w:rFonts w:ascii="宋体" w:hAnsi="宋体"/>
          <w:color w:val="auto"/>
          <w:sz w:val="24"/>
          <w:szCs w:val="24"/>
          <w:highlight w:val="none"/>
          <w:u w:val="single"/>
        </w:rPr>
        <w:t xml:space="preserve">       </w:t>
      </w:r>
      <w:r>
        <w:rPr>
          <w:rFonts w:hint="eastAsia" w:ascii="宋体" w:hAnsi="宋体"/>
          <w:color w:val="auto"/>
          <w:sz w:val="24"/>
          <w:szCs w:val="24"/>
          <w:highlight w:val="none"/>
        </w:rPr>
        <w:t>交易平台将予以拒收。</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22</w:t>
      </w:r>
      <w:r>
        <w:rPr>
          <w:rFonts w:hint="eastAsia" w:ascii="宋体" w:hAnsi="宋体"/>
          <w:b/>
          <w:bCs/>
          <w:color w:val="auto"/>
          <w:sz w:val="24"/>
          <w:szCs w:val="24"/>
          <w:highlight w:val="none"/>
        </w:rPr>
        <w:t>．投标文件的修改与撤回</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22.1</w:t>
      </w:r>
      <w:r>
        <w:rPr>
          <w:rFonts w:hint="eastAsia" w:ascii="宋体" w:hAnsi="宋体"/>
          <w:color w:val="auto"/>
          <w:sz w:val="24"/>
          <w:szCs w:val="24"/>
          <w:highlight w:val="none"/>
        </w:rPr>
        <w:t>在规定的投标截止时间前，投标人可以修改或撤回已递交的投标文件，但应以书面形式通知招标人。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22.2投标人修改或撤回已递交</w:t>
      </w:r>
      <w:r>
        <w:rPr>
          <w:rFonts w:hint="eastAsia" w:ascii="宋体" w:hAnsi="宋体"/>
          <w:color w:val="auto"/>
          <w:sz w:val="24"/>
          <w:szCs w:val="24"/>
          <w:highlight w:val="none"/>
        </w:rPr>
        <w:t>的</w:t>
      </w:r>
      <w:r>
        <w:rPr>
          <w:rFonts w:ascii="宋体" w:hAnsi="宋体"/>
          <w:color w:val="auto"/>
          <w:sz w:val="24"/>
          <w:szCs w:val="24"/>
          <w:highlight w:val="none"/>
        </w:rPr>
        <w:t>投标文件</w:t>
      </w:r>
      <w:r>
        <w:rPr>
          <w:rFonts w:hint="eastAsia" w:ascii="宋体" w:hAnsi="宋体"/>
          <w:color w:val="auto"/>
          <w:sz w:val="24"/>
          <w:szCs w:val="24"/>
          <w:highlight w:val="none"/>
        </w:rPr>
        <w:t>，需在交易平台发出修改或撤回</w:t>
      </w:r>
      <w:r>
        <w:rPr>
          <w:rFonts w:ascii="宋体" w:hAnsi="宋体"/>
          <w:color w:val="auto"/>
          <w:sz w:val="24"/>
          <w:szCs w:val="24"/>
          <w:highlight w:val="none"/>
        </w:rPr>
        <w:t>通知，</w:t>
      </w:r>
      <w:r>
        <w:rPr>
          <w:rFonts w:hint="eastAsia" w:ascii="宋体" w:hAnsi="宋体"/>
          <w:color w:val="auto"/>
          <w:sz w:val="24"/>
          <w:szCs w:val="24"/>
          <w:highlight w:val="none"/>
        </w:rPr>
        <w:t>并按</w:t>
      </w:r>
      <w:r>
        <w:rPr>
          <w:rFonts w:ascii="宋体" w:hAnsi="宋体"/>
          <w:color w:val="auto"/>
          <w:sz w:val="24"/>
          <w:szCs w:val="24"/>
          <w:highlight w:val="none"/>
        </w:rPr>
        <w:t>要求加盖电子印章。</w:t>
      </w:r>
      <w:r>
        <w:rPr>
          <w:rFonts w:ascii="宋体" w:hAnsi="宋体"/>
          <w:bCs/>
          <w:iCs/>
          <w:color w:val="auto"/>
          <w:sz w:val="24"/>
          <w:szCs w:val="24"/>
          <w:highlight w:val="none"/>
        </w:rPr>
        <w:t>电子招标投标交易平台收到通知后，</w:t>
      </w:r>
      <w:r>
        <w:rPr>
          <w:rFonts w:ascii="宋体" w:hAnsi="宋体"/>
          <w:color w:val="auto"/>
          <w:sz w:val="24"/>
          <w:szCs w:val="24"/>
          <w:highlight w:val="none"/>
        </w:rPr>
        <w:t>即时向投标人发出确认回执通知。</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22.3修改后再次递交的，按19点的规定执行。</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22.</w:t>
      </w:r>
      <w:r>
        <w:rPr>
          <w:rFonts w:hint="eastAsia" w:ascii="宋体" w:hAnsi="宋体"/>
          <w:color w:val="auto"/>
          <w:sz w:val="24"/>
          <w:szCs w:val="24"/>
          <w:highlight w:val="none"/>
        </w:rPr>
        <w:t>4</w:t>
      </w:r>
      <w:r>
        <w:rPr>
          <w:rFonts w:ascii="宋体" w:hAnsi="宋体"/>
          <w:color w:val="auto"/>
          <w:sz w:val="24"/>
          <w:szCs w:val="24"/>
          <w:highlight w:val="none"/>
        </w:rPr>
        <w:t xml:space="preserve"> </w:t>
      </w:r>
      <w:r>
        <w:rPr>
          <w:rFonts w:hint="eastAsia" w:ascii="宋体" w:hAnsi="宋体"/>
          <w:color w:val="auto"/>
          <w:sz w:val="24"/>
          <w:szCs w:val="24"/>
          <w:highlight w:val="none"/>
        </w:rPr>
        <w:t>在投标截止时间之后，投标人不得补充、修改和更换投标文件。</w:t>
      </w:r>
    </w:p>
    <w:p>
      <w:pPr>
        <w:widowControl/>
        <w:spacing w:before="100" w:beforeAutospacing="1" w:after="100" w:afterAutospacing="1" w:line="360" w:lineRule="auto"/>
        <w:jc w:val="left"/>
        <w:outlineLvl w:val="2"/>
        <w:rPr>
          <w:rFonts w:ascii="宋体" w:hAnsi="宋体" w:cs="宋体"/>
          <w:color w:val="auto"/>
          <w:kern w:val="0"/>
          <w:sz w:val="24"/>
          <w:szCs w:val="24"/>
          <w:highlight w:val="none"/>
        </w:rPr>
      </w:pPr>
      <w:bookmarkStart w:id="101" w:name="_Toc18143"/>
      <w:bookmarkStart w:id="102" w:name="_Toc25975"/>
      <w:bookmarkStart w:id="103" w:name="_Toc25942"/>
      <w:bookmarkStart w:id="104" w:name="_Toc25367"/>
      <w:bookmarkStart w:id="105" w:name="_Toc28404"/>
      <w:bookmarkStart w:id="106" w:name="_Toc26190"/>
      <w:bookmarkStart w:id="107" w:name="_Toc18302"/>
      <w:bookmarkStart w:id="108" w:name="_Toc2272553"/>
      <w:bookmarkStart w:id="109" w:name="_Toc9521"/>
      <w:bookmarkStart w:id="110" w:name="_Toc26236"/>
      <w:bookmarkStart w:id="111" w:name="_Toc58838575"/>
      <w:bookmarkStart w:id="112" w:name="_Toc17990"/>
      <w:bookmarkStart w:id="113" w:name="_Toc21589"/>
      <w:r>
        <w:rPr>
          <w:rFonts w:hint="eastAsia" w:ascii="宋体" w:hAnsi="宋体" w:cs="宋体"/>
          <w:color w:val="auto"/>
          <w:kern w:val="0"/>
          <w:sz w:val="24"/>
          <w:szCs w:val="24"/>
          <w:highlight w:val="none"/>
        </w:rPr>
        <w:t>（五）开标、评标、定标及合同签定</w:t>
      </w:r>
      <w:bookmarkEnd w:id="101"/>
      <w:bookmarkEnd w:id="102"/>
      <w:bookmarkEnd w:id="103"/>
      <w:bookmarkEnd w:id="104"/>
      <w:bookmarkEnd w:id="105"/>
      <w:bookmarkEnd w:id="106"/>
      <w:bookmarkEnd w:id="107"/>
      <w:bookmarkEnd w:id="108"/>
      <w:bookmarkEnd w:id="109"/>
      <w:bookmarkEnd w:id="110"/>
      <w:bookmarkEnd w:id="111"/>
      <w:bookmarkEnd w:id="112"/>
      <w:bookmarkEnd w:id="113"/>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23</w:t>
      </w:r>
      <w:r>
        <w:rPr>
          <w:rFonts w:hint="eastAsia" w:ascii="宋体" w:hAnsi="宋体"/>
          <w:b/>
          <w:bCs/>
          <w:color w:val="auto"/>
          <w:sz w:val="24"/>
          <w:szCs w:val="24"/>
          <w:highlight w:val="none"/>
        </w:rPr>
        <w:t>、开标。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详见第二章开标、评标及定标办法</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24</w:t>
      </w:r>
      <w:r>
        <w:rPr>
          <w:rFonts w:hint="eastAsia" w:ascii="宋体" w:hAnsi="宋体"/>
          <w:b/>
          <w:bCs/>
          <w:color w:val="auto"/>
          <w:sz w:val="24"/>
          <w:szCs w:val="24"/>
          <w:highlight w:val="none"/>
        </w:rPr>
        <w:t>．评标过程的保密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24.1 </w:t>
      </w:r>
      <w:r>
        <w:rPr>
          <w:rFonts w:hint="eastAsia" w:ascii="宋体" w:hAnsi="宋体"/>
          <w:color w:val="auto"/>
          <w:sz w:val="24"/>
          <w:szCs w:val="24"/>
          <w:highlight w:val="none"/>
        </w:rPr>
        <w:t>开标后，直至中标公示为止，凡属于对投标文件的审查、澄清、评价和比较有关的资料以及中标候选人的推荐情况，与评标有关的其他任何情况均严格保密。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24.2 </w:t>
      </w:r>
      <w:r>
        <w:rPr>
          <w:rFonts w:hint="eastAsia" w:ascii="宋体" w:hAnsi="宋体"/>
          <w:color w:val="auto"/>
          <w:sz w:val="24"/>
          <w:szCs w:val="24"/>
          <w:highlight w:val="none"/>
        </w:rPr>
        <w:t>在投标文件的评审和比较、中标候选人推荐以及授予合同的过程中，投标人向招标人和评标委员会施加不公正影响的任何行为，都将会导致其投标被拒绝。</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25</w:t>
      </w:r>
      <w:r>
        <w:rPr>
          <w:rFonts w:hint="eastAsia" w:ascii="宋体" w:hAnsi="宋体"/>
          <w:b/>
          <w:bCs/>
          <w:color w:val="auto"/>
          <w:sz w:val="24"/>
          <w:szCs w:val="24"/>
          <w:highlight w:val="none"/>
        </w:rPr>
        <w:t>．投标文件的澄清，计算错误的修正</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详见招标文件第二章开标、评标及定标办法</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26</w:t>
      </w:r>
      <w:r>
        <w:rPr>
          <w:rFonts w:hint="eastAsia" w:ascii="宋体" w:hAnsi="宋体"/>
          <w:b/>
          <w:bCs/>
          <w:color w:val="auto"/>
          <w:sz w:val="24"/>
          <w:szCs w:val="24"/>
          <w:highlight w:val="none"/>
        </w:rPr>
        <w:t>．投标文件的评审、比较和否决</w:t>
      </w:r>
    </w:p>
    <w:p>
      <w:pPr>
        <w:spacing w:line="360" w:lineRule="auto"/>
        <w:ind w:firstLine="480" w:firstLineChars="200"/>
        <w:rPr>
          <w:rFonts w:ascii="宋体" w:hAnsi="宋体"/>
          <w:bCs/>
          <w:color w:val="auto"/>
          <w:sz w:val="24"/>
          <w:szCs w:val="24"/>
          <w:highlight w:val="none"/>
        </w:rPr>
      </w:pPr>
      <w:r>
        <w:rPr>
          <w:rFonts w:hint="eastAsia" w:ascii="宋体" w:hAnsi="宋体"/>
          <w:color w:val="auto"/>
          <w:sz w:val="24"/>
          <w:szCs w:val="24"/>
          <w:highlight w:val="none"/>
        </w:rPr>
        <w:t>详见招标文件第二章开标、评标及定标办法。</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27</w:t>
      </w:r>
      <w:r>
        <w:rPr>
          <w:rFonts w:hint="eastAsia" w:ascii="宋体" w:hAnsi="宋体"/>
          <w:b/>
          <w:bCs/>
          <w:color w:val="auto"/>
          <w:sz w:val="24"/>
          <w:szCs w:val="24"/>
          <w:highlight w:val="none"/>
        </w:rPr>
        <w:t>．中标通知书</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27.1招标人将在</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交易平台、广东省招标投标监管网和中国招标投标公共服务平台公示中标候选人，公示期为三天。</w:t>
      </w:r>
      <w:r>
        <w:rPr>
          <w:rFonts w:hint="eastAsia" w:ascii="宋体" w:hAnsi="宋体"/>
          <w:b/>
          <w:bCs/>
          <w:color w:val="auto"/>
          <w:sz w:val="24"/>
          <w:szCs w:val="24"/>
          <w:highlight w:val="none"/>
        </w:rPr>
        <w:t>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27.2</w:t>
      </w:r>
      <w:r>
        <w:rPr>
          <w:rFonts w:hint="eastAsia" w:ascii="宋体" w:hAnsi="宋体"/>
          <w:color w:val="auto"/>
          <w:sz w:val="24"/>
          <w:szCs w:val="24"/>
          <w:highlight w:val="none"/>
        </w:rPr>
        <w:t>招标人应当自确定中标人后，向招标投标监管机构提交招标投标情况的书面报告；经招投标监管机构备案后，方可发出中标通知书。</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27.3</w:t>
      </w:r>
      <w:r>
        <w:rPr>
          <w:rFonts w:hint="eastAsia" w:ascii="宋体" w:hAnsi="宋体"/>
          <w:color w:val="auto"/>
          <w:sz w:val="24"/>
          <w:szCs w:val="24"/>
          <w:highlight w:val="none"/>
        </w:rPr>
        <w:t>中标人必须在收到中标通知书后</w:t>
      </w:r>
      <w:r>
        <w:rPr>
          <w:rFonts w:ascii="宋体" w:hAnsi="宋体"/>
          <w:color w:val="auto"/>
          <w:sz w:val="24"/>
          <w:szCs w:val="24"/>
          <w:highlight w:val="none"/>
        </w:rPr>
        <w:t>24</w:t>
      </w:r>
      <w:r>
        <w:rPr>
          <w:rFonts w:hint="eastAsia" w:ascii="宋体" w:hAnsi="宋体"/>
          <w:color w:val="auto"/>
          <w:sz w:val="24"/>
          <w:szCs w:val="24"/>
          <w:highlight w:val="none"/>
        </w:rPr>
        <w:t>小时之内以书面形式回复招标人，确认收到。</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27.4在产生中标候选人后，招标人将中标候选人的投标文件商务部分文件的所有内容（包括人员、业绩、奖项等资料）在</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交易平台和广东省招标投标监管网公开。</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28</w:t>
      </w:r>
      <w:r>
        <w:rPr>
          <w:rFonts w:hint="eastAsia" w:ascii="宋体" w:hAnsi="宋体"/>
          <w:b/>
          <w:bCs/>
          <w:color w:val="auto"/>
          <w:sz w:val="24"/>
          <w:szCs w:val="24"/>
          <w:highlight w:val="none"/>
        </w:rPr>
        <w:t>．合同协议书的签订</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28.1 </w:t>
      </w:r>
      <w:r>
        <w:rPr>
          <w:rFonts w:hint="eastAsia" w:ascii="宋体" w:hAnsi="宋体"/>
          <w:color w:val="auto"/>
          <w:sz w:val="24"/>
          <w:szCs w:val="24"/>
          <w:highlight w:val="none"/>
        </w:rPr>
        <w:t>招标人与中标人将于中标通知书发出之日起</w:t>
      </w:r>
      <w:r>
        <w:rPr>
          <w:rFonts w:ascii="宋体" w:hAnsi="宋体"/>
          <w:color w:val="auto"/>
          <w:sz w:val="24"/>
          <w:szCs w:val="24"/>
          <w:highlight w:val="none"/>
        </w:rPr>
        <w:t>30</w:t>
      </w:r>
      <w:r>
        <w:rPr>
          <w:rFonts w:hint="eastAsia" w:ascii="宋体" w:hAnsi="宋体"/>
          <w:color w:val="auto"/>
          <w:sz w:val="24"/>
          <w:szCs w:val="24"/>
          <w:highlight w:val="none"/>
        </w:rPr>
        <w:t>日内，按照招标文件和中标人的投标文件商定和签订合同，招标人和中标人不得再行订立背离合同实质性内容的其他协议。</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28.2</w:t>
      </w:r>
      <w:r>
        <w:rPr>
          <w:rFonts w:hint="eastAsia" w:ascii="宋体" w:hAnsi="宋体"/>
          <w:color w:val="auto"/>
          <w:sz w:val="24"/>
          <w:szCs w:val="24"/>
          <w:highlight w:val="none"/>
        </w:rPr>
        <w:t>中标通知书发出之日起</w:t>
      </w:r>
      <w:r>
        <w:rPr>
          <w:rFonts w:ascii="宋体" w:hAnsi="宋体"/>
          <w:color w:val="auto"/>
          <w:sz w:val="24"/>
          <w:szCs w:val="24"/>
          <w:highlight w:val="none"/>
        </w:rPr>
        <w:t>30</w:t>
      </w:r>
      <w:r>
        <w:rPr>
          <w:rFonts w:hint="eastAsia" w:ascii="宋体" w:hAnsi="宋体"/>
          <w:color w:val="auto"/>
          <w:sz w:val="24"/>
          <w:szCs w:val="24"/>
          <w:highlight w:val="none"/>
        </w:rPr>
        <w:t>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28.3</w:t>
      </w:r>
      <w:r>
        <w:rPr>
          <w:rFonts w:hint="eastAsia" w:ascii="宋体" w:hAnsi="宋体"/>
          <w:color w:val="auto"/>
          <w:sz w:val="24"/>
          <w:szCs w:val="24"/>
          <w:highlight w:val="none"/>
        </w:rPr>
        <w:t>非经招标人同意，中标人在投标过程中使用的银行名称及帐号至完成竣工结算不得变更，否则招标人有权停止工程款项的拔付及至解除合同，由此造成的一切责任由中标人承担。</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28.4</w:t>
      </w:r>
      <w:r>
        <w:rPr>
          <w:rFonts w:hint="eastAsia" w:ascii="宋体" w:hAnsi="宋体"/>
          <w:color w:val="auto"/>
          <w:sz w:val="24"/>
          <w:szCs w:val="24"/>
          <w:highlight w:val="none"/>
        </w:rPr>
        <w:t>招标人支付工程款时，</w:t>
      </w:r>
      <w:r>
        <w:rPr>
          <w:rFonts w:hint="eastAsia" w:ascii="宋体" w:hAnsi="宋体"/>
          <w:color w:val="auto"/>
          <w:sz w:val="24"/>
          <w:highlight w:val="none"/>
        </w:rPr>
        <w:t>中标人应按规定开具发票</w:t>
      </w:r>
      <w:r>
        <w:rPr>
          <w:rFonts w:hint="eastAsia" w:ascii="宋体" w:hAnsi="宋体"/>
          <w:color w:val="auto"/>
          <w:sz w:val="24"/>
          <w:szCs w:val="24"/>
          <w:highlight w:val="none"/>
        </w:rPr>
        <w:t>。</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29</w:t>
      </w:r>
      <w:r>
        <w:rPr>
          <w:rFonts w:hint="eastAsia" w:ascii="宋体" w:hAnsi="宋体"/>
          <w:b/>
          <w:bCs/>
          <w:color w:val="auto"/>
          <w:sz w:val="24"/>
          <w:szCs w:val="24"/>
          <w:highlight w:val="none"/>
        </w:rPr>
        <w:t>．履约担保</w:t>
      </w:r>
    </w:p>
    <w:p>
      <w:pPr>
        <w:snapToGrid w:val="0"/>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29.1 </w:t>
      </w:r>
      <w:r>
        <w:rPr>
          <w:rFonts w:hint="eastAsia" w:ascii="宋体" w:hAnsi="宋体"/>
          <w:color w:val="auto"/>
          <w:sz w:val="24"/>
          <w:szCs w:val="24"/>
          <w:highlight w:val="none"/>
        </w:rPr>
        <w:t>在收到中标通知书后的</w:t>
      </w:r>
      <w:r>
        <w:rPr>
          <w:rFonts w:ascii="宋体" w:hAnsi="宋体"/>
          <w:b/>
          <w:color w:val="auto"/>
          <w:sz w:val="24"/>
          <w:szCs w:val="24"/>
          <w:highlight w:val="none"/>
        </w:rPr>
        <w:t>15</w:t>
      </w:r>
      <w:r>
        <w:rPr>
          <w:rFonts w:hint="eastAsia" w:ascii="宋体" w:hAnsi="宋体"/>
          <w:b/>
          <w:color w:val="auto"/>
          <w:sz w:val="24"/>
          <w:szCs w:val="24"/>
          <w:highlight w:val="none"/>
        </w:rPr>
        <w:t>日</w:t>
      </w:r>
      <w:r>
        <w:rPr>
          <w:rFonts w:hint="eastAsia" w:ascii="宋体" w:hAnsi="宋体"/>
          <w:color w:val="auto"/>
          <w:sz w:val="24"/>
          <w:szCs w:val="24"/>
          <w:highlight w:val="none"/>
        </w:rPr>
        <w:t>内，中标人应按本须知前附表第</w:t>
      </w:r>
      <w:r>
        <w:rPr>
          <w:rFonts w:ascii="宋体" w:hAnsi="宋体"/>
          <w:color w:val="auto"/>
          <w:sz w:val="24"/>
          <w:szCs w:val="24"/>
          <w:highlight w:val="none"/>
        </w:rPr>
        <w:t>2</w:t>
      </w:r>
      <w:r>
        <w:rPr>
          <w:rFonts w:hint="eastAsia" w:ascii="宋体" w:hAnsi="宋体"/>
          <w:color w:val="auto"/>
          <w:sz w:val="24"/>
          <w:szCs w:val="24"/>
          <w:highlight w:val="none"/>
        </w:rPr>
        <w:t>0项的规定向招标人提交履约担保；</w:t>
      </w:r>
    </w:p>
    <w:p>
      <w:pPr>
        <w:snapToGrid w:val="0"/>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29.2</w:t>
      </w:r>
      <w:r>
        <w:rPr>
          <w:rFonts w:hint="eastAsia" w:ascii="宋体" w:hAnsi="宋体"/>
          <w:color w:val="auto"/>
          <w:sz w:val="24"/>
          <w:szCs w:val="24"/>
          <w:highlight w:val="none"/>
        </w:rPr>
        <w:t>中标通知书发出之日起</w:t>
      </w:r>
      <w:r>
        <w:rPr>
          <w:rFonts w:ascii="宋体" w:hAnsi="宋体"/>
          <w:color w:val="auto"/>
          <w:sz w:val="24"/>
          <w:szCs w:val="24"/>
          <w:highlight w:val="none"/>
        </w:rPr>
        <w:t>15</w:t>
      </w:r>
      <w:r>
        <w:rPr>
          <w:rFonts w:hint="eastAsia" w:ascii="宋体" w:hAnsi="宋体"/>
          <w:color w:val="auto"/>
          <w:sz w:val="24"/>
          <w:szCs w:val="24"/>
          <w:highlight w:val="none"/>
        </w:rPr>
        <w:t>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30</w:t>
      </w:r>
      <w:r>
        <w:rPr>
          <w:rFonts w:hint="eastAsia" w:ascii="宋体" w:hAnsi="宋体"/>
          <w:b/>
          <w:bCs/>
          <w:color w:val="auto"/>
          <w:sz w:val="24"/>
          <w:szCs w:val="24"/>
          <w:highlight w:val="none"/>
        </w:rPr>
        <w:t>．合同生效</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30.1</w:t>
      </w:r>
      <w:r>
        <w:rPr>
          <w:rFonts w:hint="eastAsia" w:ascii="宋体" w:hAnsi="宋体"/>
          <w:color w:val="auto"/>
          <w:sz w:val="24"/>
          <w:szCs w:val="24"/>
          <w:highlight w:val="none"/>
        </w:rPr>
        <w:t>在合同双方全权代表在合同协议书上签字，并分别加盖双方单位的公章后，合同正式生效。</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31</w:t>
      </w:r>
      <w:r>
        <w:rPr>
          <w:rFonts w:hint="eastAsia" w:ascii="宋体" w:hAnsi="宋体"/>
          <w:b/>
          <w:bCs/>
          <w:color w:val="auto"/>
          <w:sz w:val="24"/>
          <w:szCs w:val="24"/>
          <w:highlight w:val="none"/>
        </w:rPr>
        <w:t>．其它费用</w:t>
      </w:r>
    </w:p>
    <w:p>
      <w:pPr>
        <w:spacing w:line="360" w:lineRule="auto"/>
        <w:ind w:firstLine="482" w:firstLineChars="200"/>
        <w:rPr>
          <w:rFonts w:ascii="宋体" w:hAnsi="宋体"/>
          <w:b/>
          <w:bCs/>
          <w:color w:val="auto"/>
          <w:sz w:val="24"/>
          <w:szCs w:val="24"/>
          <w:highlight w:val="none"/>
        </w:rPr>
      </w:pPr>
      <w:r>
        <w:rPr>
          <w:rFonts w:ascii="宋体" w:hAnsi="宋体"/>
          <w:b/>
          <w:bCs/>
          <w:color w:val="auto"/>
          <w:sz w:val="24"/>
          <w:szCs w:val="24"/>
          <w:highlight w:val="none"/>
        </w:rPr>
        <w:t>32</w:t>
      </w:r>
      <w:r>
        <w:rPr>
          <w:rFonts w:hint="eastAsia" w:ascii="宋体" w:hAnsi="宋体"/>
          <w:b/>
          <w:bCs/>
          <w:color w:val="auto"/>
          <w:sz w:val="24"/>
          <w:szCs w:val="24"/>
          <w:highlight w:val="none"/>
        </w:rPr>
        <w:t>．腐败与欺诈行为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在招标和合同实施期间，招标人要求投标人和承包人遵守最高的道德标准。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32</w:t>
      </w:r>
      <w:r>
        <w:rPr>
          <w:rFonts w:hint="eastAsia" w:ascii="宋体" w:hAnsi="宋体"/>
          <w:color w:val="auto"/>
          <w:sz w:val="24"/>
          <w:szCs w:val="24"/>
          <w:highlight w:val="none"/>
        </w:rPr>
        <w:t>．</w:t>
      </w:r>
      <w:r>
        <w:rPr>
          <w:rFonts w:ascii="宋体" w:hAnsi="宋体"/>
          <w:color w:val="auto"/>
          <w:sz w:val="24"/>
          <w:szCs w:val="24"/>
          <w:highlight w:val="none"/>
        </w:rPr>
        <w:t>1</w:t>
      </w:r>
      <w:r>
        <w:rPr>
          <w:rFonts w:hint="eastAsia" w:ascii="宋体" w:hAnsi="宋体"/>
          <w:color w:val="auto"/>
          <w:sz w:val="24"/>
          <w:szCs w:val="24"/>
          <w:highlight w:val="none"/>
        </w:rPr>
        <w:t>对本条款的规定，特定义如下词汇：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）、“腐败行为”是指在招标或合同执行期间，通过提供、给予、接受或索要任何有价值的东西，从而影响招标人有关人员工作的行为；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32</w:t>
      </w: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如果投标人被认定在本招标的竞争中有腐败或欺诈行为，则会被取消投标资格。</w:t>
      </w:r>
    </w:p>
    <w:p>
      <w:pPr>
        <w:spacing w:line="360" w:lineRule="auto"/>
        <w:ind w:firstLine="480" w:firstLineChars="200"/>
        <w:rPr>
          <w:rFonts w:ascii="宋体" w:hAnsi="宋体"/>
          <w:b/>
          <w:bCs/>
          <w:color w:val="auto"/>
          <w:sz w:val="24"/>
          <w:szCs w:val="24"/>
          <w:highlight w:val="none"/>
        </w:rPr>
      </w:pPr>
      <w:r>
        <w:rPr>
          <w:rFonts w:hint="eastAsia" w:ascii="宋体" w:hAnsi="宋体"/>
          <w:color w:val="auto"/>
          <w:sz w:val="24"/>
          <w:szCs w:val="24"/>
          <w:highlight w:val="none"/>
        </w:rPr>
        <w:t>32.3投标人如在本项目中存在串通投标、弄虚作假</w:t>
      </w:r>
      <w:r>
        <w:rPr>
          <w:rFonts w:hint="eastAsia" w:ascii="宋体" w:hAnsi="宋体"/>
          <w:b/>
          <w:bCs/>
          <w:color w:val="auto"/>
          <w:sz w:val="24"/>
          <w:szCs w:val="24"/>
          <w:highlight w:val="none"/>
        </w:rPr>
        <w:t>骗取中标、</w:t>
      </w:r>
      <w:r>
        <w:rPr>
          <w:rFonts w:hint="eastAsia" w:ascii="宋体" w:hAnsi="宋体"/>
          <w:color w:val="auto"/>
          <w:sz w:val="24"/>
          <w:szCs w:val="24"/>
          <w:highlight w:val="none"/>
        </w:rPr>
        <w:t>行贿情形的，中标无效，行政监督部门将对其违法行为进行政处罚。</w:t>
      </w:r>
      <w:r>
        <w:rPr>
          <w:rFonts w:hint="eastAsia" w:ascii="宋体" w:hAnsi="宋体"/>
          <w:b/>
          <w:bCs/>
          <w:color w:val="auto"/>
          <w:sz w:val="24"/>
          <w:szCs w:val="24"/>
          <w:highlight w:val="none"/>
        </w:rPr>
        <w:t>该投标人将被招标人列入黑名单并限制其参与招标人后续项目的投标。</w:t>
      </w:r>
    </w:p>
    <w:p>
      <w:pPr>
        <w:pStyle w:val="2"/>
        <w:jc w:val="center"/>
        <w:rPr>
          <w:color w:val="auto"/>
          <w:highlight w:val="none"/>
        </w:rPr>
      </w:pPr>
      <w:r>
        <w:rPr>
          <w:rFonts w:hint="eastAsia"/>
          <w:color w:val="auto"/>
          <w:sz w:val="24"/>
          <w:highlight w:val="none"/>
        </w:rPr>
        <w:br w:type="page"/>
      </w:r>
      <w:bookmarkStart w:id="114" w:name="_Toc26700"/>
      <w:bookmarkStart w:id="115" w:name="_Toc21361"/>
      <w:bookmarkStart w:id="116" w:name="_Toc25424"/>
      <w:bookmarkStart w:id="117" w:name="_Toc6591"/>
      <w:bookmarkStart w:id="118" w:name="_Toc8216"/>
      <w:bookmarkStart w:id="119" w:name="_Toc4329"/>
      <w:bookmarkStart w:id="120" w:name="_Toc4532"/>
      <w:bookmarkStart w:id="121" w:name="_Toc20995"/>
      <w:bookmarkStart w:id="122" w:name="_Toc30544"/>
      <w:bookmarkStart w:id="123" w:name="_Toc30011"/>
      <w:bookmarkStart w:id="124" w:name="_Toc26972"/>
      <w:bookmarkStart w:id="125" w:name="_Toc2272554"/>
      <w:r>
        <w:rPr>
          <w:rFonts w:hint="eastAsia"/>
          <w:color w:val="auto"/>
          <w:highlight w:val="none"/>
        </w:rPr>
        <w:t>第二章 开标、评标及定标办法</w:t>
      </w:r>
      <w:bookmarkEnd w:id="114"/>
      <w:bookmarkEnd w:id="115"/>
      <w:bookmarkEnd w:id="116"/>
      <w:bookmarkEnd w:id="117"/>
      <w:bookmarkEnd w:id="118"/>
      <w:bookmarkEnd w:id="119"/>
      <w:bookmarkEnd w:id="120"/>
      <w:bookmarkEnd w:id="121"/>
      <w:bookmarkEnd w:id="122"/>
      <w:bookmarkEnd w:id="123"/>
      <w:bookmarkEnd w:id="124"/>
      <w:bookmarkEnd w:id="125"/>
    </w:p>
    <w:p>
      <w:pPr>
        <w:pStyle w:val="4"/>
        <w:rPr>
          <w:color w:val="auto"/>
          <w:highlight w:val="none"/>
        </w:rPr>
      </w:pPr>
      <w:bookmarkStart w:id="126" w:name="_Toc28757"/>
      <w:bookmarkStart w:id="127" w:name="_Toc7473"/>
      <w:bookmarkStart w:id="128" w:name="_Toc17457"/>
      <w:bookmarkStart w:id="129" w:name="_Toc6262"/>
      <w:bookmarkStart w:id="130" w:name="_Toc24722"/>
      <w:bookmarkStart w:id="131" w:name="_Toc3123"/>
      <w:bookmarkStart w:id="132" w:name="_Toc19520"/>
      <w:bookmarkStart w:id="133" w:name="_Toc10712"/>
      <w:bookmarkStart w:id="134" w:name="_Toc24322"/>
      <w:bookmarkStart w:id="135" w:name="_Toc12910"/>
      <w:bookmarkStart w:id="136" w:name="_Toc31947"/>
      <w:bookmarkStart w:id="137" w:name="_Toc2272555"/>
      <w:r>
        <w:rPr>
          <w:rFonts w:hint="eastAsia"/>
          <w:color w:val="auto"/>
          <w:sz w:val="28"/>
          <w:szCs w:val="28"/>
          <w:highlight w:val="none"/>
        </w:rPr>
        <w:t>一、</w:t>
      </w:r>
      <w:r>
        <w:rPr>
          <w:rFonts w:hint="eastAsia"/>
          <w:color w:val="auto"/>
          <w:highlight w:val="none"/>
        </w:rPr>
        <w:t>开标、评标及定标办法修改表</w:t>
      </w:r>
      <w:bookmarkEnd w:id="126"/>
      <w:bookmarkEnd w:id="127"/>
      <w:bookmarkEnd w:id="128"/>
      <w:bookmarkEnd w:id="129"/>
      <w:bookmarkEnd w:id="130"/>
      <w:bookmarkEnd w:id="131"/>
      <w:bookmarkEnd w:id="132"/>
      <w:bookmarkEnd w:id="133"/>
      <w:bookmarkEnd w:id="134"/>
      <w:bookmarkEnd w:id="135"/>
      <w:bookmarkEnd w:id="136"/>
    </w:p>
    <w:p>
      <w:pPr>
        <w:pStyle w:val="49"/>
        <w:pBdr>
          <w:bottom w:val="single" w:color="auto" w:sz="6" w:space="1"/>
        </w:pBdr>
        <w:spacing w:after="0"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声明：本开标、评标及定标办法使用GZZB2018-3招标文件范本的开标、评标及定标办法通用条款，与该通用条款不同之处，均在本表中列明，并以现文为准，原文不再有效。本招标文件中不再转录开标、评标及定标办法通用条款，请投标人自行到广州市住房和城乡建设局网站（网址：</w:t>
      </w:r>
      <w:r>
        <w:rPr>
          <w:rFonts w:hint="eastAsia" w:ascii="宋体" w:hAnsi="宋体" w:eastAsia="宋体" w:cs="宋体"/>
          <w:b/>
          <w:color w:val="auto"/>
          <w:sz w:val="21"/>
          <w:szCs w:val="21"/>
          <w:highlight w:val="none"/>
          <w:u w:val="single"/>
        </w:rPr>
        <w:t>http://zfcj.gz.gov.cn/</w:t>
      </w:r>
      <w:r>
        <w:rPr>
          <w:rFonts w:hint="eastAsia" w:ascii="宋体" w:hAnsi="宋体" w:eastAsia="宋体" w:cs="宋体"/>
          <w:b/>
          <w:color w:val="auto"/>
          <w:sz w:val="21"/>
          <w:szCs w:val="21"/>
          <w:highlight w:val="none"/>
        </w:rPr>
        <w:t>）下载GZZB2018-3范本查阅。</w:t>
      </w:r>
    </w:p>
    <w:bookmarkEnd w:id="137"/>
    <w:p>
      <w:pPr>
        <w:spacing w:line="460" w:lineRule="exact"/>
        <w:ind w:firstLine="495" w:firstLineChars="235"/>
        <w:rPr>
          <w:rFonts w:ascii="宋体" w:hAnsi="宋体" w:cs="宋体"/>
          <w:b/>
          <w:color w:val="auto"/>
          <w:szCs w:val="21"/>
          <w:highlight w:val="none"/>
        </w:rPr>
      </w:pPr>
      <w:bookmarkStart w:id="138" w:name="_Toc2272556"/>
      <w:r>
        <w:rPr>
          <w:rFonts w:hint="eastAsia" w:ascii="宋体" w:hAnsi="宋体" w:cs="宋体"/>
          <w:b/>
          <w:color w:val="auto"/>
          <w:szCs w:val="21"/>
          <w:highlight w:val="none"/>
        </w:rPr>
        <w:t>条款号： 36.1            修改类型：修改</w:t>
      </w:r>
    </w:p>
    <w:p>
      <w:pPr>
        <w:spacing w:line="460" w:lineRule="exact"/>
        <w:ind w:firstLine="495" w:firstLineChars="235"/>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36.1 招标人按投标须知前附表第18项所规定的时间和地点公开开标，并邀请所有投标人参加。截标后，开标开始时间因故推迟的，相关评标信息仍以原定的开标开始时间的信息为准。</w:t>
      </w:r>
    </w:p>
    <w:p>
      <w:pPr>
        <w:pBdr>
          <w:bottom w:val="single" w:color="auto" w:sz="6" w:space="1"/>
        </w:pBd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36.1 招标人按投标须知前附表第18项所规定的时间和地点公开开标，并邀请所有投标人参加。截标后，开标开始时间因故推迟的，相关评标信息仍以原定的开标开始时间的信息为准。</w:t>
      </w:r>
      <w:r>
        <w:rPr>
          <w:rFonts w:hint="eastAsia" w:ascii="宋体" w:hAnsi="宋体" w:cs="宋体"/>
          <w:color w:val="auto"/>
          <w:szCs w:val="21"/>
          <w:highlight w:val="none"/>
          <w:u w:val="single"/>
        </w:rPr>
        <w:t>若投标人不参加开标会的，其投标文件在开标现场的投标人或招标人代表、招标代理机构代表及交易中心代表见证下公开开启、解密、公布，并视同该投标人认可开标结果</w:t>
      </w:r>
      <w:r>
        <w:rPr>
          <w:rFonts w:hint="eastAsia" w:ascii="宋体" w:hAnsi="宋体" w:cs="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条款号：36.3                        修改类型：删除</w:t>
      </w:r>
    </w:p>
    <w:p>
      <w:pPr>
        <w:pBdr>
          <w:bottom w:val="single" w:color="auto" w:sz="6" w:space="1"/>
        </w:pBd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24" w:firstLineChars="201"/>
        <w:rPr>
          <w:rFonts w:hint="eastAsia" w:ascii="宋体" w:hAnsi="宋体" w:eastAsia="宋体" w:cs="宋体"/>
          <w:b/>
          <w:color w:val="auto"/>
          <w:szCs w:val="21"/>
          <w:highlight w:val="none"/>
          <w:lang w:eastAsia="zh-CN"/>
        </w:rPr>
      </w:pPr>
      <w:r>
        <w:rPr>
          <w:rFonts w:hint="eastAsia" w:ascii="宋体" w:hAnsi="宋体" w:cs="宋体"/>
          <w:b/>
          <w:color w:val="auto"/>
          <w:szCs w:val="21"/>
          <w:highlight w:val="none"/>
        </w:rPr>
        <w:t>条款号：36.4                        修改类型：</w:t>
      </w:r>
      <w:r>
        <w:rPr>
          <w:rFonts w:hint="eastAsia" w:ascii="宋体" w:hAnsi="宋体" w:cs="宋体"/>
          <w:b/>
          <w:color w:val="auto"/>
          <w:szCs w:val="21"/>
          <w:highlight w:val="none"/>
          <w:lang w:val="en-US" w:eastAsia="zh-CN"/>
        </w:rPr>
        <w:t>修改</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36.4若递交投标文件的投标人不足3家，则重新组织招标。（当N个标段同时招标且不允许兼中时，若有效投标人不足N+2家，则重新组织招标）</w:t>
      </w:r>
    </w:p>
    <w:p>
      <w:pPr>
        <w:pBdr>
          <w:bottom w:val="single" w:color="auto" w:sz="6" w:space="1"/>
        </w:pBd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36.4若递交投标文件的投标人不足3家，则重新组织招标。</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条款号：36.5.1                      修改类型：修改</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36.5.1在投标截止时间后半小时内，投标人通过交易平台对已递交的电子投标文件进行解密。投标人完成解密后，再由招标人进行解密。解密完成后，公布招标项目名称、投标人名称、投标保证金的递交情况、投标报价、工期及其他内容；</w:t>
      </w:r>
    </w:p>
    <w:p>
      <w:pPr>
        <w:pBdr>
          <w:bottom w:val="single" w:color="auto" w:sz="6" w:space="1"/>
        </w:pBd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36.5.1在投标截止时间后半小时内，投标人通过</w:t>
      </w:r>
      <w:r>
        <w:rPr>
          <w:rFonts w:hint="eastAsia" w:ascii="宋体" w:hAnsi="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rPr>
        <w:t>交易平台对已递交的电子投标文件进行解密。投标人完成解密后，再由招标人</w:t>
      </w:r>
      <w:r>
        <w:rPr>
          <w:rFonts w:hint="eastAsia" w:ascii="宋体" w:hAnsi="宋体" w:cs="宋体"/>
          <w:color w:val="auto"/>
          <w:szCs w:val="21"/>
          <w:highlight w:val="none"/>
          <w:u w:val="single"/>
        </w:rPr>
        <w:t>或招标代理</w:t>
      </w:r>
      <w:r>
        <w:rPr>
          <w:rFonts w:hint="eastAsia" w:ascii="宋体" w:hAnsi="宋体" w:cs="宋体"/>
          <w:color w:val="auto"/>
          <w:szCs w:val="21"/>
          <w:highlight w:val="none"/>
        </w:rPr>
        <w:t>进行解密。解密完成后，公布招标项目名称、投标人名称、投标报价、工期及其他内容；</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 xml:space="preserve">条款号：  </w:t>
      </w:r>
      <w:r>
        <w:rPr>
          <w:rFonts w:hint="eastAsia" w:ascii="宋体" w:hAnsi="宋体" w:cs="宋体"/>
          <w:b/>
          <w:bCs/>
          <w:color w:val="auto"/>
          <w:szCs w:val="21"/>
          <w:highlight w:val="none"/>
        </w:rPr>
        <w:t xml:space="preserve">36.5.3 </w:t>
      </w:r>
      <w:r>
        <w:rPr>
          <w:rFonts w:hint="eastAsia" w:ascii="宋体" w:hAnsi="宋体" w:cs="宋体"/>
          <w:b/>
          <w:color w:val="auto"/>
          <w:szCs w:val="21"/>
          <w:highlight w:val="none"/>
        </w:rPr>
        <w:t xml:space="preserve">          修改类型：修改</w:t>
      </w:r>
    </w:p>
    <w:p>
      <w:pP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36.5.3</w:t>
      </w:r>
      <w:r>
        <w:rPr>
          <w:rFonts w:hint="eastAsia" w:ascii="宋体" w:hAnsi="宋体" w:cs="宋体"/>
          <w:b/>
          <w:color w:val="auto"/>
          <w:szCs w:val="21"/>
          <w:highlight w:val="none"/>
        </w:rPr>
        <w:t xml:space="preserve"> </w:t>
      </w:r>
      <w:r>
        <w:rPr>
          <w:rFonts w:hint="eastAsia" w:ascii="宋体" w:hAnsi="宋体" w:cs="宋体"/>
          <w:color w:val="auto"/>
          <w:szCs w:val="21"/>
          <w:highlight w:val="none"/>
        </w:rPr>
        <w:t>投标人代表、招标人代表、监标人、记录人等有关人员在开标记录上签字确认；若有关人员不签字的，不影响开标程序；</w:t>
      </w:r>
    </w:p>
    <w:p>
      <w:pPr>
        <w:pBdr>
          <w:bottom w:val="single" w:color="auto" w:sz="6" w:space="1"/>
        </w:pBd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36.5.3</w:t>
      </w:r>
      <w:r>
        <w:rPr>
          <w:rFonts w:hint="eastAsia" w:ascii="宋体" w:hAnsi="宋体" w:cs="宋体"/>
          <w:b/>
          <w:color w:val="auto"/>
          <w:szCs w:val="21"/>
          <w:highlight w:val="none"/>
        </w:rPr>
        <w:t xml:space="preserve"> </w:t>
      </w:r>
      <w:r>
        <w:rPr>
          <w:rFonts w:hint="eastAsia" w:ascii="宋体" w:hAnsi="宋体" w:cs="宋体"/>
          <w:color w:val="auto"/>
          <w:szCs w:val="21"/>
          <w:highlight w:val="none"/>
        </w:rPr>
        <w:t>投标人代表、招标人代表、监标人、记录人等有关人员在开标记录上签字确认；若有关人员不签字的，不影响开标程序；</w:t>
      </w:r>
      <w:r>
        <w:rPr>
          <w:rFonts w:hint="eastAsia" w:ascii="宋体" w:hAnsi="宋体" w:cs="宋体"/>
          <w:color w:val="auto"/>
          <w:szCs w:val="21"/>
          <w:highlight w:val="none"/>
          <w:u w:val="single"/>
        </w:rPr>
        <w:t>若投标人不参加开标会的，或不签字确认的，视同该投标人认可开标结果。</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条款号：37.2.2                      修改类型：修改</w:t>
      </w:r>
    </w:p>
    <w:p>
      <w:pPr>
        <w:spacing w:line="360" w:lineRule="auto"/>
        <w:ind w:firstLine="472" w:firstLineChars="224"/>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37.2.2向招标人报告评审意见，推荐合格的中标候选人。</w:t>
      </w:r>
    </w:p>
    <w:p>
      <w:pPr>
        <w:pBdr>
          <w:bottom w:val="single" w:color="auto" w:sz="6" w:space="1"/>
        </w:pBdr>
        <w:spacing w:line="360" w:lineRule="auto"/>
        <w:ind w:firstLine="527" w:firstLineChars="25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37.2.2向招标人报告评审意见，推荐</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名（通过经济标有效性审查家数在[3,</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]的，以实际家数为准；超过</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家的，则只推荐</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家）不排序的合格中标候选人进入定标阶段【按统一社会信用代码后4位（除校验码外）大小排位，如统一社会信用代码后4位出现字母情况的，字母以“0”进行代替大小排位；如出现后4位（除校验码外）大小一致的，则随机排位】。</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条款号：37.4                        修改类型：修改</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37.4 评标结束后，评标委员会递交评标报告并依法推荐中标候选人。</w:t>
      </w:r>
    </w:p>
    <w:p>
      <w:pPr>
        <w:pBdr>
          <w:bottom w:val="single" w:color="auto" w:sz="6" w:space="1"/>
        </w:pBd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37.4 评标结束后，评标委员会递交</w:t>
      </w:r>
      <w:r>
        <w:rPr>
          <w:rFonts w:hint="eastAsia" w:ascii="宋体" w:hAnsi="宋体" w:cs="宋体"/>
          <w:color w:val="auto"/>
          <w:szCs w:val="21"/>
          <w:highlight w:val="none"/>
          <w:u w:val="single"/>
        </w:rPr>
        <w:t>资格审查报告和</w:t>
      </w:r>
      <w:r>
        <w:rPr>
          <w:rFonts w:hint="eastAsia" w:ascii="宋体" w:hAnsi="宋体" w:cs="宋体"/>
          <w:color w:val="auto"/>
          <w:szCs w:val="21"/>
          <w:highlight w:val="none"/>
        </w:rPr>
        <w:t>评标报告并依法推荐</w:t>
      </w:r>
      <w:r>
        <w:rPr>
          <w:rFonts w:hint="eastAsia" w:ascii="宋体" w:hAnsi="宋体" w:cs="宋体"/>
          <w:color w:val="auto"/>
          <w:szCs w:val="21"/>
          <w:highlight w:val="none"/>
          <w:u w:val="single"/>
        </w:rPr>
        <w:t>7名（通过经济标有效性审查家数在[3,7]的，以实际家数为准；超过7家的，则只推荐7家）合格的</w:t>
      </w:r>
      <w:r>
        <w:rPr>
          <w:rFonts w:hint="eastAsia" w:ascii="宋体" w:hAnsi="宋体" w:cs="宋体"/>
          <w:color w:val="auto"/>
          <w:szCs w:val="21"/>
          <w:highlight w:val="none"/>
        </w:rPr>
        <w:t>中标候选人</w:t>
      </w:r>
      <w:r>
        <w:rPr>
          <w:rFonts w:hint="eastAsia" w:ascii="宋体" w:hAnsi="宋体" w:cs="宋体"/>
          <w:color w:val="auto"/>
          <w:szCs w:val="21"/>
          <w:highlight w:val="none"/>
          <w:u w:val="single"/>
        </w:rPr>
        <w:t>[不排序，按统一社会信用代码后4位（除校验码外）大小排位，如统一社会信用代码后4位出现字母情况的，字母以“0”进行代替大小排位；如出现后4位（除校验码外）大小一致的，则随机排位。若为联合体投标，指联合体主办方。]进入定标阶段</w:t>
      </w:r>
      <w:r>
        <w:rPr>
          <w:rFonts w:hint="eastAsia" w:ascii="宋体" w:hAnsi="宋体" w:cs="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条款号：38.1                               修改类型：修改</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38.1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38.1为有助于投标文件的审查、评价和比较，评标期间，经评标委员会或评标委员会专业评审组中两人以上（含两人）</w:t>
      </w:r>
      <w:r>
        <w:rPr>
          <w:rFonts w:hint="eastAsia" w:ascii="宋体" w:hAnsi="宋体" w:cs="宋体"/>
          <w:color w:val="auto"/>
          <w:szCs w:val="21"/>
          <w:highlight w:val="none"/>
          <w:u w:val="single"/>
        </w:rPr>
        <w:t>的成员</w:t>
      </w:r>
      <w:r>
        <w:rPr>
          <w:rFonts w:hint="eastAsia" w:ascii="宋体" w:hAnsi="宋体" w:cs="宋体"/>
          <w:color w:val="auto"/>
          <w:szCs w:val="21"/>
          <w:highlight w:val="none"/>
        </w:rPr>
        <w:t>以书面形式提出动议，评标委员会或评标委员会专业评审组应当书面发出澄清通知，要求投标人对投标文件含义不明确</w:t>
      </w:r>
      <w:r>
        <w:rPr>
          <w:rFonts w:hint="eastAsia" w:ascii="宋体" w:hAnsi="宋体" w:cs="宋体"/>
          <w:color w:val="auto"/>
          <w:szCs w:val="21"/>
          <w:highlight w:val="none"/>
          <w:u w:val="single"/>
        </w:rPr>
        <w:t>、对同类问题表述不一致、有明显文字和计算错误的内容以及细微偏差</w:t>
      </w:r>
      <w:r>
        <w:rPr>
          <w:rFonts w:hint="eastAsia" w:ascii="宋体" w:hAnsi="宋体" w:cs="宋体"/>
          <w:color w:val="auto"/>
          <w:szCs w:val="21"/>
          <w:highlight w:val="none"/>
        </w:rPr>
        <w:t>的内容作出澄清。</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b/>
          <w:color w:val="auto"/>
          <w:szCs w:val="21"/>
          <w:highlight w:val="none"/>
          <w:lang w:val="en-US" w:eastAsia="zh-CN"/>
        </w:rPr>
        <w:t>38.5</w:t>
      </w:r>
      <w:r>
        <w:rPr>
          <w:rFonts w:hint="eastAsia" w:ascii="宋体" w:hAnsi="宋体" w:cs="宋体"/>
          <w:b/>
          <w:color w:val="auto"/>
          <w:szCs w:val="21"/>
          <w:highlight w:val="none"/>
        </w:rPr>
        <w:t xml:space="preserve">                               修改类型：修改</w:t>
      </w:r>
    </w:p>
    <w:p>
      <w:pPr>
        <w:pBdr>
          <w:bottom w:val="single" w:color="auto" w:sz="6" w:space="1"/>
        </w:pBdr>
        <w:spacing w:line="360" w:lineRule="auto"/>
        <w:ind w:firstLine="404" w:firstLineChars="201"/>
        <w:rPr>
          <w:rFonts w:hint="eastAsia" w:ascii="宋体" w:hAnsi="宋体" w:cs="宋体"/>
          <w:color w:val="auto"/>
          <w:sz w:val="21"/>
          <w:szCs w:val="21"/>
          <w:highlight w:val="none"/>
        </w:rPr>
      </w:pPr>
      <w:r>
        <w:rPr>
          <w:rFonts w:hint="eastAsia" w:ascii="宋体" w:hAnsi="宋体" w:cs="宋体"/>
          <w:b/>
          <w:color w:val="auto"/>
          <w:sz w:val="20"/>
          <w:szCs w:val="20"/>
          <w:highlight w:val="none"/>
        </w:rPr>
        <w:t>原文：</w:t>
      </w:r>
      <w:r>
        <w:rPr>
          <w:rFonts w:hint="eastAsia" w:ascii="宋体" w:hAnsi="宋体"/>
          <w:color w:val="auto"/>
          <w:sz w:val="22"/>
          <w:szCs w:val="22"/>
          <w:highlight w:val="none"/>
        </w:rPr>
        <w:t>3</w:t>
      </w:r>
      <w:r>
        <w:rPr>
          <w:rFonts w:hint="eastAsia" w:ascii="宋体" w:hAnsi="宋体" w:cs="宋体"/>
          <w:color w:val="auto"/>
          <w:sz w:val="21"/>
          <w:szCs w:val="21"/>
          <w:highlight w:val="none"/>
        </w:rPr>
        <w:t>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pBdr>
          <w:bottom w:val="single" w:color="auto" w:sz="6" w:space="1"/>
        </w:pBdr>
        <w:spacing w:line="360" w:lineRule="auto"/>
        <w:ind w:firstLine="404" w:firstLineChars="201"/>
        <w:rPr>
          <w:rFonts w:ascii="宋体" w:hAnsi="宋体" w:cs="宋体"/>
          <w:color w:val="auto"/>
          <w:szCs w:val="21"/>
          <w:highlight w:val="none"/>
        </w:rPr>
      </w:pPr>
      <w:r>
        <w:rPr>
          <w:rFonts w:hint="eastAsia" w:ascii="宋体" w:hAnsi="宋体" w:cs="宋体"/>
          <w:b/>
          <w:color w:val="auto"/>
          <w:sz w:val="20"/>
          <w:szCs w:val="20"/>
          <w:highlight w:val="none"/>
        </w:rPr>
        <w:t>现文：</w:t>
      </w:r>
      <w:r>
        <w:rPr>
          <w:rFonts w:hint="eastAsia" w:ascii="宋体" w:hAnsi="宋体" w:cs="宋体"/>
          <w:color w:val="auto"/>
          <w:sz w:val="21"/>
          <w:szCs w:val="21"/>
          <w:highlight w:val="none"/>
        </w:rPr>
        <w:t>38.5</w:t>
      </w:r>
      <w:r>
        <w:rPr>
          <w:rFonts w:hint="eastAsia" w:ascii="宋体" w:hAnsi="宋体" w:eastAsia="宋体" w:cs="宋体"/>
          <w:b w:val="0"/>
          <w:bCs w:val="0"/>
          <w:color w:val="auto"/>
          <w:sz w:val="21"/>
          <w:szCs w:val="21"/>
          <w:highlight w:val="none"/>
        </w:rPr>
        <w:t>投标人如在本项目中存在串通投标、弄虚作假、行贿情形且在评标</w:t>
      </w:r>
      <w:r>
        <w:rPr>
          <w:rFonts w:hint="eastAsia" w:ascii="宋体" w:hAnsi="宋体" w:eastAsia="宋体" w:cs="宋体"/>
          <w:b w:val="0"/>
          <w:bCs w:val="0"/>
          <w:color w:val="auto"/>
          <w:sz w:val="21"/>
          <w:szCs w:val="21"/>
          <w:highlight w:val="none"/>
          <w:u w:val="none"/>
        </w:rPr>
        <w:t>或定标</w:t>
      </w:r>
      <w:r>
        <w:rPr>
          <w:rFonts w:hint="eastAsia" w:ascii="宋体" w:hAnsi="宋体" w:eastAsia="宋体" w:cs="宋体"/>
          <w:b w:val="0"/>
          <w:bCs w:val="0"/>
          <w:color w:val="auto"/>
          <w:sz w:val="21"/>
          <w:szCs w:val="21"/>
          <w:highlight w:val="none"/>
        </w:rPr>
        <w:t>过程中未被发现的，该投标不改变本项目评标结果排序，</w:t>
      </w:r>
      <w:r>
        <w:rPr>
          <w:rFonts w:hint="eastAsia" w:ascii="宋体" w:hAnsi="宋体" w:eastAsia="宋体" w:cs="宋体"/>
          <w:b w:val="0"/>
          <w:bCs w:val="0"/>
          <w:color w:val="auto"/>
          <w:sz w:val="21"/>
          <w:szCs w:val="21"/>
          <w:highlight w:val="none"/>
          <w:u w:val="none"/>
        </w:rPr>
        <w:t>若在定标过程中被确定为中标人，其中标无效，招标人可从其他合格的中标候选人中采用原定标办法，由原定标委员会重新确定中标人，也可以重新招标</w:t>
      </w:r>
      <w:r>
        <w:rPr>
          <w:rFonts w:hint="eastAsia" w:ascii="宋体" w:hAnsi="宋体" w:cs="宋体"/>
          <w:color w:val="auto"/>
          <w:sz w:val="20"/>
          <w:szCs w:val="20"/>
          <w:highlight w:val="none"/>
        </w:rPr>
        <w:t>。</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条款号：39                                修改类型：修改</w:t>
      </w:r>
    </w:p>
    <w:p>
      <w:pPr>
        <w:spacing w:line="360" w:lineRule="auto"/>
        <w:ind w:firstLine="422" w:firstLineChars="200"/>
        <w:rPr>
          <w:rFonts w:ascii="宋体" w:hAnsi="宋体" w:cs="宋体"/>
          <w:b/>
          <w:bCs/>
          <w:color w:val="auto"/>
          <w:szCs w:val="21"/>
          <w:highlight w:val="none"/>
        </w:rPr>
      </w:pPr>
      <w:r>
        <w:rPr>
          <w:rFonts w:hint="eastAsia"/>
          <w:b/>
          <w:bCs/>
          <w:color w:val="auto"/>
          <w:szCs w:val="21"/>
          <w:highlight w:val="none"/>
        </w:rPr>
        <w:t>原文：</w:t>
      </w:r>
      <w:r>
        <w:rPr>
          <w:rFonts w:hint="eastAsia" w:ascii="宋体" w:hAnsi="宋体" w:cs="宋体"/>
          <w:b/>
          <w:bCs/>
          <w:color w:val="auto"/>
          <w:szCs w:val="21"/>
          <w:highlight w:val="none"/>
        </w:rPr>
        <w:t>39．定标</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39.1招标人根据评标委员会递交的评标报告，最终审定中标人。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39.2依法必须进行公开招标的项目，招标人应当确定排名第一的中标候选人为中标人。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39.3排名第一的中标候选人放弃中标、或因不可抗力提出不能履行合同，或者招标文件规定应当提交履约担保而在规定的期限内未能提交的，招标人可以确定排名第二的中标候选人为中标人。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39.4排名第二的中标候选人出现前款所列的情形的，招标人可以确定排名第三的中标候选人为中标人。以此类推，如所有中标候选人均出现前款所列的情形，为招标失败，招标人依法重新招标。</w:t>
      </w:r>
    </w:p>
    <w:p>
      <w:pPr>
        <w:pBdr>
          <w:bottom w:val="single" w:color="auto" w:sz="6" w:space="1"/>
        </w:pBdr>
        <w:spacing w:line="360" w:lineRule="auto"/>
        <w:ind w:firstLine="470" w:firstLineChars="224"/>
        <w:rPr>
          <w:rFonts w:hint="eastAsia" w:ascii="宋体" w:hAnsi="宋体" w:cs="宋体"/>
          <w:color w:val="auto"/>
          <w:szCs w:val="21"/>
          <w:highlight w:val="none"/>
        </w:rPr>
      </w:pPr>
      <w:r>
        <w:rPr>
          <w:rFonts w:hint="eastAsia" w:ascii="宋体" w:hAnsi="宋体" w:cs="宋体"/>
          <w:color w:val="auto"/>
          <w:szCs w:val="21"/>
          <w:highlight w:val="none"/>
        </w:rPr>
        <w:t>39.5重新评标的，评标信息（含业绩、奖项等）仍以投标截止时投标人的信息为准。因特殊原因需要延长投标有效期，投标人拒绝延长投标有效期的，仍参与评标，但不被推荐为中标候选人。</w:t>
      </w:r>
    </w:p>
    <w:p>
      <w:pPr>
        <w:pBdr>
          <w:bottom w:val="single" w:color="auto" w:sz="6" w:space="1"/>
        </w:pBdr>
        <w:spacing w:line="360" w:lineRule="auto"/>
        <w:ind w:firstLine="472" w:firstLineChars="224"/>
        <w:rPr>
          <w:rFonts w:ascii="宋体" w:hAnsi="宋体" w:cs="宋体"/>
          <w:color w:val="auto"/>
          <w:szCs w:val="21"/>
          <w:highlight w:val="none"/>
        </w:rPr>
      </w:pPr>
      <w:r>
        <w:rPr>
          <w:rFonts w:hint="eastAsia"/>
          <w:b/>
          <w:bCs/>
          <w:color w:val="auto"/>
          <w:szCs w:val="21"/>
          <w:highlight w:val="none"/>
        </w:rPr>
        <w:t>现文：</w:t>
      </w:r>
      <w:r>
        <w:rPr>
          <w:rFonts w:hint="eastAsia" w:ascii="宋体" w:hAnsi="宋体" w:cs="宋体"/>
          <w:color w:val="auto"/>
          <w:szCs w:val="21"/>
          <w:highlight w:val="none"/>
        </w:rPr>
        <w:t>39.</w:t>
      </w:r>
      <w:r>
        <w:rPr>
          <w:rFonts w:hint="eastAsia" w:ascii="宋体" w:hAnsi="宋体" w:cs="宋体"/>
          <w:color w:val="auto"/>
          <w:szCs w:val="21"/>
          <w:highlight w:val="none"/>
          <w:u w:val="single"/>
        </w:rPr>
        <w:t>定标详细规定条款详见本章43.定标详细规定</w:t>
      </w:r>
      <w:r>
        <w:rPr>
          <w:rFonts w:hint="eastAsia" w:ascii="宋体" w:hAnsi="宋体"/>
          <w:bCs/>
          <w:color w:val="auto"/>
          <w:szCs w:val="21"/>
          <w:highlight w:val="none"/>
          <w:u w:val="single"/>
        </w:rPr>
        <w:t>。</w:t>
      </w:r>
    </w:p>
    <w:p>
      <w:pPr>
        <w:spacing w:line="360" w:lineRule="auto"/>
        <w:ind w:firstLine="472" w:firstLineChars="224"/>
        <w:rPr>
          <w:rFonts w:hint="eastAsia" w:ascii="宋体" w:hAnsi="宋体" w:eastAsia="宋体" w:cs="宋体"/>
          <w:color w:val="auto"/>
          <w:szCs w:val="21"/>
          <w:highlight w:val="none"/>
          <w:lang w:eastAsia="zh-CN"/>
        </w:rPr>
      </w:pPr>
      <w:r>
        <w:rPr>
          <w:rFonts w:hint="eastAsia" w:ascii="宋体" w:hAnsi="宋体" w:cs="宋体"/>
          <w:b/>
          <w:color w:val="auto"/>
          <w:szCs w:val="21"/>
          <w:highlight w:val="none"/>
        </w:rPr>
        <w:t>条款号：（二）开标评标办法程序和细则　注       　修改类型：</w:t>
      </w:r>
      <w:r>
        <w:rPr>
          <w:rFonts w:hint="eastAsia" w:ascii="宋体" w:hAnsi="宋体" w:cs="宋体"/>
          <w:b/>
          <w:color w:val="auto"/>
          <w:szCs w:val="21"/>
          <w:highlight w:val="none"/>
          <w:lang w:val="en-US" w:eastAsia="zh-CN"/>
        </w:rPr>
        <w:t>修改</w:t>
      </w:r>
    </w:p>
    <w:p>
      <w:pPr>
        <w:spacing w:line="360" w:lineRule="auto"/>
        <w:ind w:firstLine="422" w:firstLineChars="200"/>
        <w:rPr>
          <w:color w:val="auto"/>
          <w:szCs w:val="21"/>
          <w:highlight w:val="none"/>
        </w:rPr>
      </w:pPr>
      <w:r>
        <w:rPr>
          <w:rFonts w:hint="eastAsia"/>
          <w:b/>
          <w:bCs/>
          <w:color w:val="auto"/>
          <w:szCs w:val="21"/>
          <w:highlight w:val="none"/>
        </w:rPr>
        <w:t>原文：</w:t>
      </w:r>
      <w:r>
        <w:rPr>
          <w:rFonts w:hint="eastAsia"/>
          <w:color w:val="auto"/>
          <w:szCs w:val="21"/>
          <w:highlight w:val="none"/>
        </w:rPr>
        <w:t>（二）开标评标办法程序和细则</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注：以下七种评标办法所述企业综合诚信评价分数即投标截止当日广州市工程招标代理行业协会网站上公布的企业综合诚信评价</w:t>
      </w:r>
      <w:r>
        <w:rPr>
          <w:rFonts w:ascii="宋体" w:hAnsi="宋体" w:cs="宋体"/>
          <w:color w:val="auto"/>
          <w:szCs w:val="21"/>
          <w:highlight w:val="none"/>
        </w:rPr>
        <w:t>60</w:t>
      </w:r>
      <w:r>
        <w:rPr>
          <w:rFonts w:hint="eastAsia" w:ascii="宋体" w:hAnsi="宋体" w:cs="宋体"/>
          <w:color w:val="auto"/>
          <w:szCs w:val="21"/>
          <w:highlight w:val="none"/>
        </w:rPr>
        <w:t>日诚信分。</w:t>
      </w:r>
    </w:p>
    <w:p>
      <w:pPr>
        <w:pBdr>
          <w:bottom w:val="single" w:color="auto" w:sz="6" w:space="1"/>
        </w:pBdr>
        <w:spacing w:line="360" w:lineRule="auto"/>
        <w:ind w:firstLine="424" w:firstLineChars="201"/>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（二）开标评标办法程序和细则</w:t>
      </w:r>
    </w:p>
    <w:p>
      <w:pPr>
        <w:pBdr>
          <w:bottom w:val="single" w:color="auto" w:sz="6" w:space="1"/>
        </w:pBdr>
        <w:spacing w:line="360" w:lineRule="auto"/>
        <w:ind w:firstLine="422" w:firstLineChars="201"/>
        <w:rPr>
          <w:rFonts w:ascii="宋体" w:hAnsi="宋体" w:cs="宋体"/>
          <w:color w:val="auto"/>
          <w:szCs w:val="21"/>
          <w:highlight w:val="none"/>
        </w:rPr>
      </w:pPr>
      <w:r>
        <w:rPr>
          <w:rFonts w:hint="eastAsia" w:ascii="宋体" w:hAnsi="宋体" w:cs="宋体"/>
          <w:color w:val="auto"/>
          <w:szCs w:val="21"/>
          <w:highlight w:val="none"/>
        </w:rPr>
        <w:t>注：</w:t>
      </w:r>
      <w:r>
        <w:rPr>
          <w:rFonts w:hint="eastAsia" w:ascii="宋体" w:hAnsi="宋体" w:cs="宋体"/>
          <w:color w:val="auto"/>
          <w:szCs w:val="21"/>
          <w:highlight w:val="none"/>
          <w:u w:val="single"/>
        </w:rPr>
        <w:t>以下评标办法</w:t>
      </w:r>
      <w:r>
        <w:rPr>
          <w:rFonts w:hint="eastAsia" w:ascii="宋体" w:hAnsi="宋体" w:cs="宋体"/>
          <w:color w:val="auto"/>
          <w:szCs w:val="21"/>
          <w:highlight w:val="none"/>
        </w:rPr>
        <w:t>所述企业</w:t>
      </w:r>
      <w:r>
        <w:rPr>
          <w:rFonts w:hint="eastAsia" w:ascii="宋体" w:hAnsi="宋体" w:cs="宋体"/>
          <w:color w:val="auto"/>
          <w:szCs w:val="21"/>
          <w:highlight w:val="none"/>
          <w:u w:val="single"/>
        </w:rPr>
        <w:t>诚信综合</w:t>
      </w:r>
      <w:r>
        <w:rPr>
          <w:rFonts w:hint="eastAsia" w:ascii="宋体" w:hAnsi="宋体" w:cs="宋体"/>
          <w:color w:val="auto"/>
          <w:szCs w:val="21"/>
          <w:highlight w:val="none"/>
        </w:rPr>
        <w:t>评价分数即投标截止当日广州市工程招标行业协会网站施工企业专栏上公布的施工企业房建诚信评价60日诚信分</w:t>
      </w:r>
      <w:r>
        <w:rPr>
          <w:rFonts w:hint="eastAsia" w:ascii="宋体" w:hAnsi="宋体" w:cs="宋体"/>
          <w:color w:val="auto"/>
          <w:szCs w:val="21"/>
          <w:highlight w:val="none"/>
          <w:u w:val="single"/>
        </w:rPr>
        <w:t>（</w:t>
      </w:r>
      <w:r>
        <w:rPr>
          <w:rFonts w:hint="eastAsia" w:ascii="宋体" w:hAnsi="宋体"/>
          <w:color w:val="auto"/>
          <w:szCs w:val="21"/>
          <w:highlight w:val="none"/>
          <w:u w:val="single"/>
        </w:rPr>
        <w:t>若为联合体投标，诚信综合评价得分以联合体主办方得分为准</w:t>
      </w:r>
      <w:r>
        <w:rPr>
          <w:rFonts w:hint="eastAsia" w:ascii="宋体" w:hAnsi="宋体" w:cs="宋体"/>
          <w:color w:val="auto"/>
          <w:szCs w:val="21"/>
          <w:highlight w:val="none"/>
          <w:u w:val="singl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可选办法一（适合综合评分法一，技术标与经济标先后分别开启）</w:t>
      </w:r>
      <w:r>
        <w:rPr>
          <w:rFonts w:hint="eastAsia" w:ascii="宋体" w:hAnsi="宋体" w:cs="宋体"/>
          <w:b/>
          <w:color w:val="auto"/>
          <w:szCs w:val="21"/>
          <w:highlight w:val="none"/>
        </w:rPr>
        <w:t xml:space="preserve"> 修改类型：删除</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最新版广州市建设工程施工公开招标项目招标文件范本（适用于资格后审综合评分法、经评审的最低投标价法的施工电子招标项目）GZZB2018-3</w:t>
      </w:r>
      <w:r>
        <w:rPr>
          <w:rFonts w:hint="eastAsia" w:ascii="宋体" w:hAnsi="宋体" w:cs="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可选办法二（适合综合评分法一，技术标与经济标同时开启）</w:t>
      </w:r>
      <w:r>
        <w:rPr>
          <w:rFonts w:hint="eastAsia" w:ascii="宋体" w:hAnsi="宋体" w:cs="宋体"/>
          <w:b/>
          <w:color w:val="auto"/>
          <w:szCs w:val="21"/>
          <w:highlight w:val="none"/>
        </w:rPr>
        <w:t xml:space="preserve">     修改类型：删除</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最新版广州市建设工程施工公开招标项目招标文件范本（适用于资格后审综合评分法、经评审的最低投标价法的施工电子招标项目）GZZB2018-3</w:t>
      </w:r>
      <w:r>
        <w:rPr>
          <w:rFonts w:hint="eastAsia" w:ascii="宋体" w:hAnsi="宋体" w:cs="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可选办法三（适合综合评分法二，技术标与经济标先后分别开启）</w:t>
      </w:r>
      <w:r>
        <w:rPr>
          <w:rFonts w:hint="eastAsia" w:ascii="宋体" w:hAnsi="宋体" w:cs="宋体"/>
          <w:b/>
          <w:color w:val="auto"/>
          <w:szCs w:val="21"/>
          <w:highlight w:val="none"/>
        </w:rPr>
        <w:t xml:space="preserve"> 修改类型：删除</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最新版广州市建设工程施工公开招标项目招标文件范本（适用于资格后审综合评分法、经评审的最低投标价法的施工电子招标项目）GZZB2018-3</w:t>
      </w:r>
      <w:r>
        <w:rPr>
          <w:rFonts w:hint="eastAsia" w:ascii="宋体" w:hAnsi="宋体" w:cs="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可选办法四（适合综合评分法二，技术标与经济标同时开启）</w:t>
      </w:r>
      <w:r>
        <w:rPr>
          <w:rFonts w:hint="eastAsia" w:ascii="宋体" w:hAnsi="宋体" w:cs="宋体"/>
          <w:b/>
          <w:color w:val="auto"/>
          <w:szCs w:val="21"/>
          <w:highlight w:val="none"/>
        </w:rPr>
        <w:t xml:space="preserve">     修改类型：删除</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最新版广州市建设工程施工公开招标项目招标文件范本（适用于资格后审综合评分法、经评审的最低投标价法的施工电子招标项目）GZZB2018-3</w:t>
      </w:r>
      <w:r>
        <w:rPr>
          <w:rFonts w:hint="eastAsia" w:ascii="宋体" w:hAnsi="宋体" w:cs="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可选办法五（适合综合评分法三，技术标与经济标先后分别开启）</w:t>
      </w:r>
      <w:r>
        <w:rPr>
          <w:rFonts w:hint="eastAsia" w:ascii="宋体" w:hAnsi="宋体" w:cs="宋体"/>
          <w:b/>
          <w:color w:val="auto"/>
          <w:szCs w:val="21"/>
          <w:highlight w:val="none"/>
        </w:rPr>
        <w:t xml:space="preserve"> 修改类型：删除</w:t>
      </w:r>
    </w:p>
    <w:p>
      <w:pPr>
        <w:pBdr>
          <w:bottom w:val="single" w:color="auto" w:sz="6" w:space="1"/>
        </w:pBdr>
        <w:spacing w:line="360" w:lineRule="auto"/>
        <w:ind w:firstLine="472" w:firstLineChars="224"/>
        <w:rPr>
          <w:rFonts w:hint="eastAsia"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最新版广州市建设工程施工公开招标项目招标文件范本（适用于资格后审综合评分法、经评审的最低投标价法的施工电子招标项目）GZZB2018-3</w:t>
      </w:r>
      <w:r>
        <w:rPr>
          <w:rFonts w:hint="eastAsia" w:ascii="宋体" w:hAnsi="宋体" w:cs="宋体"/>
          <w:color w:val="auto"/>
          <w:szCs w:val="21"/>
          <w:highlight w:val="none"/>
        </w:rPr>
        <w:t>。</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可选办法六（适合综合评分法三，技术标与经济标同时开启）</w:t>
      </w:r>
      <w:r>
        <w:rPr>
          <w:rFonts w:hint="eastAsia" w:ascii="宋体" w:hAnsi="宋体" w:cs="宋体"/>
          <w:b/>
          <w:color w:val="auto"/>
          <w:szCs w:val="21"/>
          <w:highlight w:val="none"/>
        </w:rPr>
        <w:t xml:space="preserve">     修改类型：修改</w:t>
      </w:r>
    </w:p>
    <w:p>
      <w:pPr>
        <w:pBdr>
          <w:bottom w:val="single" w:color="auto" w:sz="6" w:space="1"/>
        </w:pBdr>
        <w:spacing w:line="360" w:lineRule="auto"/>
        <w:ind w:firstLine="472" w:firstLineChars="224"/>
        <w:rPr>
          <w:rFonts w:hint="eastAsia"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最新版广州市建设工程施工公开招标项目招标文件范本（适用于资格后审综合评分法、经评审的最低投标价法的施工电子招标项目）GZZB2018-3</w:t>
      </w:r>
      <w:r>
        <w:rPr>
          <w:rFonts w:hint="eastAsia" w:ascii="宋体" w:hAnsi="宋体" w:cs="宋体"/>
          <w:color w:val="auto"/>
          <w:szCs w:val="21"/>
          <w:highlight w:val="none"/>
        </w:rPr>
        <w:t>。</w:t>
      </w:r>
    </w:p>
    <w:p>
      <w:pPr>
        <w:pBdr>
          <w:bottom w:val="single" w:color="auto" w:sz="6" w:space="1"/>
        </w:pBdr>
        <w:spacing w:line="360" w:lineRule="auto"/>
        <w:ind w:firstLine="472" w:firstLineChars="224"/>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评定分离评标定标办法</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可选办法七（适合综合评分法四，技术标与经济标同时开启）</w:t>
      </w:r>
      <w:r>
        <w:rPr>
          <w:rFonts w:hint="eastAsia" w:ascii="宋体" w:hAnsi="宋体" w:cs="宋体"/>
          <w:b/>
          <w:color w:val="auto"/>
          <w:szCs w:val="21"/>
          <w:highlight w:val="none"/>
        </w:rPr>
        <w:t xml:space="preserve">     修改类型：删除</w:t>
      </w:r>
    </w:p>
    <w:p>
      <w:pPr>
        <w:pBdr>
          <w:bottom w:val="single" w:color="auto" w:sz="6" w:space="1"/>
        </w:pBdr>
        <w:spacing w:line="360" w:lineRule="auto"/>
        <w:ind w:firstLine="472" w:firstLineChars="224"/>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最新版广州市建设工程施工公开招标项目招标文件范本（适用于资格后审综合评分法、经评审的最低投标价法的施工电子招标项目）GZZB2018-3</w:t>
      </w:r>
      <w:r>
        <w:rPr>
          <w:rFonts w:hint="eastAsia" w:ascii="宋体" w:hAnsi="宋体" w:cs="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 w:val="18"/>
          <w:szCs w:val="18"/>
          <w:highlight w:val="none"/>
        </w:rPr>
        <w:t>可选办法八（适合经评审的最低投标价法，技术标与经济标同时开启）</w:t>
      </w:r>
      <w:r>
        <w:rPr>
          <w:rFonts w:hint="eastAsia" w:ascii="宋体" w:hAnsi="宋体" w:cs="宋体"/>
          <w:color w:val="auto"/>
          <w:sz w:val="21"/>
          <w:szCs w:val="21"/>
          <w:highlight w:val="none"/>
        </w:rPr>
        <w:t xml:space="preserve"> </w:t>
      </w:r>
      <w:r>
        <w:rPr>
          <w:rFonts w:hint="eastAsia" w:ascii="宋体" w:hAnsi="宋体" w:cs="宋体"/>
          <w:color w:val="auto"/>
          <w:sz w:val="18"/>
          <w:szCs w:val="18"/>
          <w:highlight w:val="none"/>
          <w:lang w:val="en-US" w:eastAsia="zh-CN"/>
        </w:rPr>
        <w:t xml:space="preserve">  </w:t>
      </w:r>
      <w:r>
        <w:rPr>
          <w:rFonts w:hint="eastAsia" w:ascii="宋体" w:hAnsi="宋体" w:cs="宋体"/>
          <w:b/>
          <w:color w:val="auto"/>
          <w:szCs w:val="21"/>
          <w:highlight w:val="none"/>
        </w:rPr>
        <w:t>修改类型：删除</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w:t>
      </w:r>
      <w:r>
        <w:rPr>
          <w:rFonts w:hint="eastAsia" w:ascii="宋体" w:hAnsi="宋体" w:cs="宋体"/>
          <w:bCs/>
          <w:color w:val="auto"/>
          <w:szCs w:val="21"/>
          <w:highlight w:val="none"/>
        </w:rPr>
        <w:t>最新版广州市建设工程施工公开招标项目招标文件范本（适用于资格后审综合评分法、经评审的最低投标价法的施工电子招标项目）GZZB2018-3</w:t>
      </w:r>
      <w:r>
        <w:rPr>
          <w:rFonts w:hint="eastAsia" w:ascii="宋体" w:hAnsi="宋体" w:cs="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条款号：40                          修改类型：修改</w:t>
      </w:r>
    </w:p>
    <w:p>
      <w:pP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40．开标和评标程序</w:t>
      </w:r>
    </w:p>
    <w:p>
      <w:pPr>
        <w:spacing w:line="360" w:lineRule="auto"/>
        <w:ind w:firstLine="422" w:firstLineChars="201"/>
        <w:rPr>
          <w:rFonts w:ascii="宋体" w:hAnsi="宋体" w:cs="宋体"/>
          <w:color w:val="auto"/>
          <w:szCs w:val="21"/>
          <w:highlight w:val="none"/>
        </w:rPr>
      </w:pPr>
      <w:r>
        <w:rPr>
          <w:rFonts w:hint="eastAsia" w:ascii="宋体" w:hAnsi="宋体" w:cs="宋体"/>
          <w:color w:val="auto"/>
          <w:szCs w:val="21"/>
          <w:highlight w:val="none"/>
        </w:rPr>
        <w:t>40.1投标人递交技术标、经济标投标文件；</w:t>
      </w:r>
    </w:p>
    <w:p>
      <w:pPr>
        <w:spacing w:line="360" w:lineRule="auto"/>
        <w:ind w:firstLine="422" w:firstLineChars="201"/>
        <w:rPr>
          <w:rFonts w:ascii="宋体" w:hAnsi="宋体" w:cs="宋体"/>
          <w:color w:val="auto"/>
          <w:szCs w:val="21"/>
          <w:highlight w:val="none"/>
        </w:rPr>
      </w:pPr>
      <w:r>
        <w:rPr>
          <w:rFonts w:hint="eastAsia" w:ascii="宋体" w:hAnsi="宋体" w:cs="宋体"/>
          <w:color w:val="auto"/>
          <w:szCs w:val="21"/>
          <w:highlight w:val="none"/>
        </w:rPr>
        <w:t>40.2技术标与经济标投标文件同时公开开标；</w:t>
      </w:r>
    </w:p>
    <w:p>
      <w:pPr>
        <w:spacing w:line="360" w:lineRule="auto"/>
        <w:ind w:firstLine="422" w:firstLineChars="201"/>
        <w:rPr>
          <w:rFonts w:ascii="宋体" w:hAnsi="宋体" w:cs="宋体"/>
          <w:color w:val="auto"/>
          <w:szCs w:val="21"/>
          <w:highlight w:val="none"/>
        </w:rPr>
      </w:pPr>
      <w:r>
        <w:rPr>
          <w:rFonts w:hint="eastAsia" w:ascii="宋体" w:hAnsi="宋体" w:cs="宋体"/>
          <w:color w:val="auto"/>
          <w:szCs w:val="21"/>
          <w:highlight w:val="none"/>
        </w:rPr>
        <w:t>40.3由评标委员会对所有已公开开标的投标人进行资格审查；</w:t>
      </w:r>
    </w:p>
    <w:p>
      <w:pPr>
        <w:spacing w:line="360" w:lineRule="auto"/>
        <w:ind w:firstLine="422" w:firstLineChars="201"/>
        <w:rPr>
          <w:rFonts w:ascii="宋体" w:hAnsi="宋体" w:cs="宋体"/>
          <w:color w:val="auto"/>
          <w:szCs w:val="21"/>
          <w:highlight w:val="none"/>
        </w:rPr>
      </w:pPr>
      <w:r>
        <w:rPr>
          <w:rFonts w:hint="eastAsia" w:ascii="宋体" w:hAnsi="宋体" w:cs="宋体"/>
          <w:color w:val="auto"/>
          <w:szCs w:val="21"/>
          <w:highlight w:val="none"/>
        </w:rPr>
        <w:t>40.4技术标投标文件有效性审查；</w:t>
      </w:r>
    </w:p>
    <w:p>
      <w:pPr>
        <w:spacing w:line="360" w:lineRule="auto"/>
        <w:ind w:firstLine="422" w:firstLineChars="201"/>
        <w:rPr>
          <w:rFonts w:ascii="宋体" w:hAnsi="宋体" w:cs="宋体"/>
          <w:color w:val="auto"/>
          <w:szCs w:val="21"/>
          <w:highlight w:val="none"/>
        </w:rPr>
      </w:pPr>
      <w:r>
        <w:rPr>
          <w:rFonts w:hint="eastAsia" w:ascii="宋体" w:hAnsi="宋体" w:cs="宋体"/>
          <w:color w:val="auto"/>
          <w:szCs w:val="21"/>
          <w:highlight w:val="none"/>
        </w:rPr>
        <w:t>40.5技术标详细审查评分；</w:t>
      </w:r>
    </w:p>
    <w:p>
      <w:pPr>
        <w:spacing w:line="360" w:lineRule="auto"/>
        <w:ind w:firstLine="422" w:firstLineChars="201"/>
        <w:rPr>
          <w:rFonts w:ascii="宋体" w:hAnsi="宋体" w:cs="宋体"/>
          <w:color w:val="auto"/>
          <w:szCs w:val="21"/>
          <w:highlight w:val="none"/>
        </w:rPr>
      </w:pPr>
      <w:r>
        <w:rPr>
          <w:rFonts w:hint="eastAsia" w:ascii="宋体" w:hAnsi="宋体" w:cs="宋体"/>
          <w:color w:val="auto"/>
          <w:szCs w:val="21"/>
          <w:highlight w:val="none"/>
        </w:rPr>
        <w:t xml:space="preserve">40.6计算第一阶段得分，并按照总分从高到低排列先后次序，编写第一阶段评审报告； </w:t>
      </w:r>
    </w:p>
    <w:p>
      <w:pPr>
        <w:spacing w:line="360" w:lineRule="auto"/>
        <w:ind w:firstLine="422" w:firstLineChars="201"/>
        <w:rPr>
          <w:rFonts w:ascii="宋体" w:hAnsi="宋体" w:cs="宋体"/>
          <w:color w:val="auto"/>
          <w:szCs w:val="21"/>
          <w:highlight w:val="none"/>
        </w:rPr>
      </w:pPr>
      <w:r>
        <w:rPr>
          <w:rFonts w:hint="eastAsia" w:ascii="宋体" w:hAnsi="宋体" w:cs="宋体"/>
          <w:color w:val="auto"/>
          <w:szCs w:val="21"/>
          <w:highlight w:val="none"/>
        </w:rPr>
        <w:t>40.7按投标须知前附表第25项规定，确定进入第二阶段评审的投标人；</w:t>
      </w:r>
    </w:p>
    <w:p>
      <w:pPr>
        <w:spacing w:line="360" w:lineRule="auto"/>
        <w:ind w:firstLine="422" w:firstLineChars="201"/>
        <w:rPr>
          <w:rFonts w:ascii="宋体" w:hAnsi="宋体" w:cs="宋体"/>
          <w:color w:val="auto"/>
          <w:szCs w:val="21"/>
          <w:highlight w:val="none"/>
        </w:rPr>
      </w:pPr>
      <w:r>
        <w:rPr>
          <w:rFonts w:hint="eastAsia" w:ascii="宋体" w:hAnsi="宋体" w:cs="宋体"/>
          <w:color w:val="auto"/>
          <w:szCs w:val="21"/>
          <w:highlight w:val="none"/>
        </w:rPr>
        <w:t>40.8将进入第二阶段评审的投标人进行排序；</w:t>
      </w:r>
    </w:p>
    <w:p>
      <w:pPr>
        <w:spacing w:line="360" w:lineRule="auto"/>
        <w:ind w:firstLine="422" w:firstLineChars="201"/>
        <w:rPr>
          <w:rFonts w:ascii="宋体" w:hAnsi="宋体" w:cs="宋体"/>
          <w:color w:val="auto"/>
          <w:szCs w:val="21"/>
          <w:highlight w:val="none"/>
        </w:rPr>
      </w:pPr>
      <w:r>
        <w:rPr>
          <w:rFonts w:hint="eastAsia" w:ascii="宋体" w:hAnsi="宋体" w:cs="宋体"/>
          <w:color w:val="auto"/>
          <w:szCs w:val="21"/>
          <w:highlight w:val="none"/>
        </w:rPr>
        <w:t>40.9按排序对经济标投标文件进行有效性审查（含投标报价算术校核），直至评出所有中标候选人；</w:t>
      </w:r>
    </w:p>
    <w:p>
      <w:pPr>
        <w:spacing w:line="360" w:lineRule="auto"/>
        <w:ind w:firstLine="422" w:firstLineChars="201"/>
        <w:rPr>
          <w:rFonts w:ascii="宋体" w:hAnsi="宋体" w:cs="宋体"/>
          <w:b/>
          <w:color w:val="auto"/>
          <w:szCs w:val="21"/>
          <w:highlight w:val="none"/>
        </w:rPr>
      </w:pPr>
      <w:r>
        <w:rPr>
          <w:rFonts w:hint="eastAsia" w:ascii="宋体" w:hAnsi="宋体" w:cs="宋体"/>
          <w:color w:val="auto"/>
          <w:szCs w:val="21"/>
          <w:highlight w:val="none"/>
        </w:rPr>
        <w:t>40.10评标委员会编写评标报告，向招标人推荐中标候选人名单。</w:t>
      </w:r>
    </w:p>
    <w:p>
      <w:pPr>
        <w:pBdr>
          <w:bottom w:val="single" w:color="auto" w:sz="6" w:space="1"/>
        </w:pBdr>
        <w:spacing w:line="360" w:lineRule="auto"/>
        <w:ind w:firstLine="424" w:firstLineChars="201"/>
        <w:rPr>
          <w:rFonts w:ascii="宋体" w:hAnsi="宋体"/>
          <w:color w:val="auto"/>
          <w:szCs w:val="21"/>
          <w:highlight w:val="none"/>
        </w:rPr>
      </w:pPr>
      <w:r>
        <w:rPr>
          <w:rFonts w:hint="eastAsia" w:ascii="宋体" w:hAnsi="宋体" w:cs="宋体"/>
          <w:b/>
          <w:color w:val="auto"/>
          <w:szCs w:val="21"/>
          <w:highlight w:val="none"/>
        </w:rPr>
        <w:t>现文：</w:t>
      </w:r>
      <w:r>
        <w:rPr>
          <w:rFonts w:hint="eastAsia" w:ascii="宋体" w:hAnsi="宋体"/>
          <w:color w:val="auto"/>
          <w:szCs w:val="21"/>
          <w:highlight w:val="none"/>
        </w:rPr>
        <w:t>40．开标和评标程序：</w:t>
      </w:r>
    </w:p>
    <w:p>
      <w:pPr>
        <w:pBdr>
          <w:bottom w:val="single" w:color="auto" w:sz="6" w:space="1"/>
        </w:pBdr>
        <w:spacing w:line="360" w:lineRule="auto"/>
        <w:ind w:firstLine="422" w:firstLineChars="201"/>
        <w:rPr>
          <w:rFonts w:ascii="宋体" w:hAnsi="宋体"/>
          <w:color w:val="auto"/>
          <w:szCs w:val="21"/>
          <w:highlight w:val="none"/>
        </w:rPr>
      </w:pPr>
      <w:r>
        <w:rPr>
          <w:rFonts w:hint="eastAsia" w:ascii="宋体" w:hAnsi="宋体"/>
          <w:color w:val="auto"/>
          <w:szCs w:val="21"/>
          <w:highlight w:val="none"/>
        </w:rPr>
        <w:t>40.1投标人递交技术标</w:t>
      </w:r>
      <w:r>
        <w:rPr>
          <w:rFonts w:hint="eastAsia" w:ascii="宋体" w:hAnsi="宋体" w:cs="宋体"/>
          <w:color w:val="auto"/>
          <w:szCs w:val="21"/>
          <w:highlight w:val="none"/>
          <w:u w:val="single"/>
        </w:rPr>
        <w:t>（含资格审查文件）</w:t>
      </w:r>
      <w:r>
        <w:rPr>
          <w:rFonts w:hint="eastAsia" w:ascii="宋体" w:hAnsi="宋体"/>
          <w:color w:val="auto"/>
          <w:szCs w:val="21"/>
          <w:highlight w:val="none"/>
        </w:rPr>
        <w:t>、经济标投标文件；</w:t>
      </w:r>
    </w:p>
    <w:p>
      <w:pPr>
        <w:pBdr>
          <w:bottom w:val="single" w:color="auto" w:sz="6" w:space="1"/>
        </w:pBdr>
        <w:spacing w:line="360" w:lineRule="auto"/>
        <w:ind w:firstLine="422" w:firstLineChars="201"/>
        <w:rPr>
          <w:rFonts w:ascii="宋体" w:hAnsi="宋体"/>
          <w:color w:val="auto"/>
          <w:szCs w:val="21"/>
          <w:highlight w:val="none"/>
        </w:rPr>
      </w:pPr>
      <w:r>
        <w:rPr>
          <w:rFonts w:hint="eastAsia" w:ascii="宋体" w:hAnsi="宋体"/>
          <w:color w:val="auto"/>
          <w:szCs w:val="21"/>
          <w:highlight w:val="none"/>
        </w:rPr>
        <w:t>40.2技术标</w:t>
      </w:r>
      <w:r>
        <w:rPr>
          <w:rFonts w:hint="eastAsia" w:ascii="宋体" w:hAnsi="宋体"/>
          <w:color w:val="auto"/>
          <w:szCs w:val="21"/>
          <w:highlight w:val="none"/>
          <w:u w:val="single"/>
        </w:rPr>
        <w:t>（含资格审查文件）</w:t>
      </w:r>
      <w:r>
        <w:rPr>
          <w:rFonts w:hint="eastAsia" w:ascii="宋体" w:hAnsi="宋体"/>
          <w:color w:val="auto"/>
          <w:szCs w:val="21"/>
          <w:highlight w:val="none"/>
        </w:rPr>
        <w:t>与经济标投标文件同时公开开标；</w:t>
      </w:r>
    </w:p>
    <w:p>
      <w:pPr>
        <w:pBdr>
          <w:bottom w:val="single" w:color="auto" w:sz="6" w:space="1"/>
        </w:pBdr>
        <w:spacing w:line="360" w:lineRule="auto"/>
        <w:ind w:firstLine="422" w:firstLineChars="201"/>
        <w:rPr>
          <w:rFonts w:ascii="宋体" w:hAnsi="宋体"/>
          <w:color w:val="auto"/>
          <w:szCs w:val="21"/>
          <w:highlight w:val="none"/>
          <w:u w:val="single"/>
        </w:rPr>
      </w:pPr>
      <w:r>
        <w:rPr>
          <w:rFonts w:hint="eastAsia" w:ascii="宋体" w:hAnsi="宋体"/>
          <w:color w:val="auto"/>
          <w:szCs w:val="21"/>
          <w:highlight w:val="none"/>
          <w:u w:val="single"/>
        </w:rPr>
        <w:t>40.3</w:t>
      </w:r>
      <w:r>
        <w:rPr>
          <w:rFonts w:hint="eastAsia" w:ascii="宋体" w:hAnsi="宋体" w:cs="宋体"/>
          <w:color w:val="auto"/>
          <w:szCs w:val="21"/>
          <w:highlight w:val="none"/>
          <w:u w:val="single"/>
        </w:rPr>
        <w:t>由评标委员会对所有已公开开标的投标人进行资格审查，并编写资格审查报告</w:t>
      </w:r>
      <w:r>
        <w:rPr>
          <w:rFonts w:hint="eastAsia" w:ascii="宋体" w:hAnsi="宋体"/>
          <w:color w:val="auto"/>
          <w:szCs w:val="21"/>
          <w:highlight w:val="none"/>
          <w:u w:val="single"/>
        </w:rPr>
        <w:t>；</w:t>
      </w:r>
    </w:p>
    <w:p>
      <w:pPr>
        <w:pBdr>
          <w:bottom w:val="single" w:color="auto" w:sz="6" w:space="1"/>
        </w:pBdr>
        <w:spacing w:line="360" w:lineRule="auto"/>
        <w:ind w:firstLine="422" w:firstLineChars="201"/>
        <w:rPr>
          <w:rFonts w:ascii="宋体" w:hAnsi="宋体"/>
          <w:color w:val="auto"/>
          <w:szCs w:val="21"/>
          <w:highlight w:val="none"/>
        </w:rPr>
      </w:pPr>
      <w:r>
        <w:rPr>
          <w:rFonts w:hint="eastAsia" w:ascii="宋体" w:hAnsi="宋体"/>
          <w:color w:val="auto"/>
          <w:szCs w:val="21"/>
          <w:highlight w:val="none"/>
        </w:rPr>
        <w:t>40.4技术标投标文件有效性审查；</w:t>
      </w:r>
    </w:p>
    <w:p>
      <w:pPr>
        <w:pBdr>
          <w:bottom w:val="single" w:color="auto" w:sz="6" w:space="1"/>
        </w:pBdr>
        <w:spacing w:line="360" w:lineRule="auto"/>
        <w:ind w:firstLine="422" w:firstLineChars="201"/>
        <w:rPr>
          <w:rFonts w:ascii="宋体" w:hAnsi="宋体"/>
          <w:color w:val="auto"/>
          <w:szCs w:val="21"/>
          <w:highlight w:val="none"/>
        </w:rPr>
      </w:pPr>
      <w:r>
        <w:rPr>
          <w:rFonts w:hint="eastAsia" w:ascii="宋体" w:hAnsi="宋体"/>
          <w:color w:val="auto"/>
          <w:szCs w:val="21"/>
          <w:highlight w:val="none"/>
        </w:rPr>
        <w:t>40.5</w:t>
      </w:r>
      <w:r>
        <w:rPr>
          <w:rFonts w:hint="eastAsia" w:ascii="宋体" w:hAnsi="宋体"/>
          <w:color w:val="auto"/>
          <w:szCs w:val="21"/>
          <w:highlight w:val="none"/>
          <w:u w:val="single"/>
        </w:rPr>
        <w:t>技术标详细审查评分</w:t>
      </w:r>
      <w:r>
        <w:rPr>
          <w:rFonts w:hint="eastAsia" w:ascii="宋体" w:hAnsi="宋体"/>
          <w:color w:val="auto"/>
          <w:szCs w:val="21"/>
          <w:highlight w:val="none"/>
        </w:rPr>
        <w:t>；</w:t>
      </w:r>
    </w:p>
    <w:p>
      <w:pPr>
        <w:pBdr>
          <w:bottom w:val="single" w:color="auto" w:sz="6" w:space="1"/>
        </w:pBdr>
        <w:spacing w:line="360" w:lineRule="auto"/>
        <w:ind w:firstLine="422" w:firstLineChars="201"/>
        <w:rPr>
          <w:rFonts w:ascii="宋体" w:hAnsi="宋体"/>
          <w:color w:val="auto"/>
          <w:szCs w:val="21"/>
          <w:highlight w:val="none"/>
        </w:rPr>
      </w:pPr>
      <w:r>
        <w:rPr>
          <w:rFonts w:hint="eastAsia" w:ascii="宋体" w:hAnsi="宋体"/>
          <w:color w:val="auto"/>
          <w:szCs w:val="21"/>
          <w:highlight w:val="none"/>
        </w:rPr>
        <w:t>40.6</w:t>
      </w:r>
      <w:r>
        <w:rPr>
          <w:rFonts w:hint="eastAsia" w:ascii="宋体" w:hAnsi="宋体"/>
          <w:color w:val="auto"/>
          <w:szCs w:val="21"/>
          <w:highlight w:val="none"/>
          <w:u w:val="single"/>
        </w:rPr>
        <w:t>按投标须知前附表第19项规定</w:t>
      </w:r>
      <w:r>
        <w:rPr>
          <w:rFonts w:hint="eastAsia" w:ascii="宋体" w:hAnsi="宋体"/>
          <w:color w:val="auto"/>
          <w:szCs w:val="21"/>
          <w:highlight w:val="none"/>
        </w:rPr>
        <w:t>计算第一阶段得分，并按照总分从高到低排列先后次序，编写第一阶段评审报告；</w:t>
      </w:r>
    </w:p>
    <w:p>
      <w:pPr>
        <w:pBdr>
          <w:bottom w:val="single" w:color="auto" w:sz="6" w:space="1"/>
        </w:pBdr>
        <w:spacing w:line="360" w:lineRule="auto"/>
        <w:ind w:firstLine="422" w:firstLineChars="201"/>
        <w:rPr>
          <w:rFonts w:ascii="宋体" w:hAnsi="宋体"/>
          <w:color w:val="auto"/>
          <w:szCs w:val="21"/>
          <w:highlight w:val="none"/>
        </w:rPr>
      </w:pPr>
      <w:r>
        <w:rPr>
          <w:rFonts w:hint="eastAsia" w:ascii="宋体" w:hAnsi="宋体"/>
          <w:color w:val="auto"/>
          <w:szCs w:val="21"/>
          <w:highlight w:val="none"/>
        </w:rPr>
        <w:t>40.7按投标须知前附表第</w:t>
      </w:r>
      <w:r>
        <w:rPr>
          <w:rFonts w:hint="eastAsia" w:ascii="宋体" w:hAnsi="宋体"/>
          <w:color w:val="auto"/>
          <w:szCs w:val="21"/>
          <w:highlight w:val="none"/>
          <w:u w:val="single"/>
          <w:lang w:val="en-US" w:eastAsia="zh-CN"/>
        </w:rPr>
        <w:t>26</w:t>
      </w:r>
      <w:r>
        <w:rPr>
          <w:rFonts w:hint="eastAsia" w:ascii="宋体" w:hAnsi="宋体"/>
          <w:color w:val="auto"/>
          <w:szCs w:val="21"/>
          <w:highlight w:val="none"/>
          <w:u w:val="single"/>
        </w:rPr>
        <w:t>项</w:t>
      </w:r>
      <w:r>
        <w:rPr>
          <w:rFonts w:hint="eastAsia" w:ascii="宋体" w:hAnsi="宋体"/>
          <w:color w:val="auto"/>
          <w:szCs w:val="21"/>
          <w:highlight w:val="none"/>
        </w:rPr>
        <w:t>规定，确定进入第二阶段评审的投标人；</w:t>
      </w:r>
    </w:p>
    <w:p>
      <w:pPr>
        <w:pBdr>
          <w:bottom w:val="single" w:color="auto" w:sz="6" w:space="1"/>
        </w:pBdr>
        <w:spacing w:line="360" w:lineRule="auto"/>
        <w:ind w:firstLine="422" w:firstLineChars="201"/>
        <w:rPr>
          <w:rFonts w:ascii="宋体" w:hAnsi="宋体"/>
          <w:color w:val="auto"/>
          <w:szCs w:val="21"/>
          <w:highlight w:val="none"/>
          <w:u w:val="single"/>
        </w:rPr>
      </w:pPr>
      <w:r>
        <w:rPr>
          <w:rFonts w:hint="eastAsia" w:ascii="宋体" w:hAnsi="宋体"/>
          <w:color w:val="auto"/>
          <w:szCs w:val="21"/>
          <w:highlight w:val="none"/>
          <w:u w:val="single"/>
        </w:rPr>
        <w:t>40.</w:t>
      </w:r>
      <w:r>
        <w:rPr>
          <w:rFonts w:hint="eastAsia" w:ascii="宋体" w:hAnsi="宋体"/>
          <w:color w:val="auto"/>
          <w:szCs w:val="21"/>
          <w:highlight w:val="none"/>
          <w:u w:val="single"/>
          <w:lang w:val="en-US" w:eastAsia="zh-CN"/>
        </w:rPr>
        <w:t>8</w:t>
      </w:r>
      <w:r>
        <w:rPr>
          <w:rFonts w:hint="eastAsia" w:ascii="宋体" w:hAnsi="宋体"/>
          <w:color w:val="auto"/>
          <w:szCs w:val="21"/>
          <w:highlight w:val="none"/>
          <w:u w:val="single"/>
        </w:rPr>
        <w:t>对进入第二阶段的投标人按投标须知前附表第19项规定计算第二阶段得分并排序；</w:t>
      </w:r>
    </w:p>
    <w:p>
      <w:pPr>
        <w:pBdr>
          <w:bottom w:val="single" w:color="auto" w:sz="6" w:space="1"/>
        </w:pBdr>
        <w:spacing w:line="360" w:lineRule="auto"/>
        <w:ind w:firstLine="422" w:firstLineChars="201"/>
        <w:rPr>
          <w:rFonts w:ascii="宋体" w:hAnsi="宋体"/>
          <w:color w:val="auto"/>
          <w:szCs w:val="21"/>
          <w:highlight w:val="none"/>
        </w:rPr>
      </w:pPr>
      <w:r>
        <w:rPr>
          <w:rFonts w:hint="eastAsia" w:ascii="宋体" w:hAnsi="宋体"/>
          <w:color w:val="auto"/>
          <w:szCs w:val="21"/>
          <w:highlight w:val="none"/>
        </w:rPr>
        <w:t>40.</w:t>
      </w:r>
      <w:r>
        <w:rPr>
          <w:rFonts w:hint="eastAsia" w:ascii="宋体" w:hAnsi="宋体"/>
          <w:color w:val="auto"/>
          <w:szCs w:val="21"/>
          <w:highlight w:val="none"/>
          <w:lang w:val="en-US" w:eastAsia="zh-CN"/>
        </w:rPr>
        <w:t>9</w:t>
      </w:r>
      <w:r>
        <w:rPr>
          <w:rFonts w:hint="eastAsia" w:ascii="宋体" w:hAnsi="宋体" w:cs="宋体"/>
          <w:bCs/>
          <w:color w:val="auto"/>
          <w:szCs w:val="21"/>
          <w:highlight w:val="none"/>
        </w:rPr>
        <w:t>经济标投标文件有效性审查</w:t>
      </w:r>
      <w:r>
        <w:rPr>
          <w:rFonts w:hint="eastAsia" w:ascii="宋体" w:hAnsi="宋体"/>
          <w:color w:val="auto"/>
          <w:szCs w:val="21"/>
          <w:highlight w:val="none"/>
        </w:rPr>
        <w:t>；</w:t>
      </w:r>
    </w:p>
    <w:p>
      <w:pPr>
        <w:pBdr>
          <w:bottom w:val="single" w:color="auto" w:sz="6" w:space="1"/>
        </w:pBdr>
        <w:spacing w:line="360" w:lineRule="auto"/>
        <w:ind w:firstLine="422" w:firstLineChars="201"/>
        <w:rPr>
          <w:rFonts w:hint="eastAsia" w:ascii="宋体" w:hAnsi="宋体" w:eastAsia="宋体" w:cs="宋体"/>
          <w:color w:val="auto"/>
          <w:szCs w:val="21"/>
          <w:highlight w:val="none"/>
          <w:u w:val="single"/>
          <w:lang w:eastAsia="zh-CN"/>
        </w:rPr>
      </w:pPr>
      <w:r>
        <w:rPr>
          <w:rFonts w:hint="eastAsia" w:ascii="宋体" w:hAnsi="宋体"/>
          <w:color w:val="auto"/>
          <w:szCs w:val="21"/>
          <w:highlight w:val="none"/>
        </w:rPr>
        <w:t>40.1</w:t>
      </w:r>
      <w:r>
        <w:rPr>
          <w:rFonts w:hint="eastAsia" w:ascii="宋体" w:hAnsi="宋体"/>
          <w:color w:val="auto"/>
          <w:szCs w:val="21"/>
          <w:highlight w:val="none"/>
          <w:lang w:val="en-US" w:eastAsia="zh-CN"/>
        </w:rPr>
        <w:t>0</w:t>
      </w:r>
      <w:r>
        <w:rPr>
          <w:rFonts w:hint="eastAsia" w:ascii="宋体" w:hAnsi="宋体" w:cs="宋体"/>
          <w:bCs/>
          <w:color w:val="auto"/>
          <w:szCs w:val="21"/>
          <w:highlight w:val="none"/>
          <w:u w:val="single"/>
        </w:rPr>
        <w:t>评标委员会编写资格审查报告以及评标报告，向招标人推荐</w:t>
      </w:r>
      <w:r>
        <w:rPr>
          <w:rFonts w:hint="eastAsia" w:ascii="宋体" w:hAnsi="宋体" w:cs="宋体"/>
          <w:bCs/>
          <w:color w:val="auto"/>
          <w:szCs w:val="21"/>
          <w:highlight w:val="none"/>
          <w:u w:val="single"/>
          <w:lang w:val="en-US" w:eastAsia="zh-CN"/>
        </w:rPr>
        <w:t>7</w:t>
      </w:r>
      <w:r>
        <w:rPr>
          <w:rFonts w:hint="eastAsia" w:ascii="宋体" w:hAnsi="宋体" w:cs="宋体"/>
          <w:bCs/>
          <w:color w:val="auto"/>
          <w:szCs w:val="21"/>
          <w:highlight w:val="none"/>
          <w:u w:val="single"/>
        </w:rPr>
        <w:t>名</w:t>
      </w:r>
      <w:r>
        <w:rPr>
          <w:rFonts w:hint="eastAsia" w:ascii="宋体" w:hAnsi="宋体" w:cs="宋体"/>
          <w:color w:val="auto"/>
          <w:szCs w:val="21"/>
          <w:highlight w:val="none"/>
        </w:rPr>
        <w:t>（通过经济标有效性审查家数在[3,</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]的，以实际家数为准；超过</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家的，则只推荐</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家）不排序的合格中标候选人进入定标阶段【按统一社会信用代码后4位（除校验码外）大小排位，如统一社会信用代码后4位出现字母情况的，字母以“0”进行代替大小排位；如出现后4位（除校验码外）大小一致的，则随机排位】</w:t>
      </w:r>
      <w:r>
        <w:rPr>
          <w:rFonts w:hint="eastAsia" w:ascii="宋体" w:hAnsi="宋体" w:cs="宋体"/>
          <w:color w:val="auto"/>
          <w:szCs w:val="21"/>
          <w:highlight w:val="none"/>
          <w:u w:val="single"/>
          <w:lang w:eastAsia="zh-CN"/>
        </w:rPr>
        <w:t>。</w:t>
      </w:r>
    </w:p>
    <w:p>
      <w:pPr>
        <w:pBdr>
          <w:bottom w:val="single" w:color="auto" w:sz="6" w:space="1"/>
        </w:pBdr>
        <w:spacing w:line="360" w:lineRule="auto"/>
        <w:ind w:firstLine="422" w:firstLineChars="201"/>
        <w:rPr>
          <w:rFonts w:ascii="宋体" w:hAnsi="宋体"/>
          <w:color w:val="auto"/>
          <w:szCs w:val="21"/>
          <w:highlight w:val="none"/>
        </w:rPr>
      </w:pPr>
      <w:r>
        <w:rPr>
          <w:rFonts w:hint="eastAsia" w:ascii="宋体" w:hAnsi="宋体" w:cs="宋体"/>
          <w:color w:val="auto"/>
          <w:szCs w:val="21"/>
          <w:highlight w:val="none"/>
        </w:rPr>
        <w:t>40.</w:t>
      </w:r>
      <w:r>
        <w:rPr>
          <w:rFonts w:hint="eastAsia" w:ascii="宋体" w:hAnsi="宋体" w:cs="宋体"/>
          <w:color w:val="auto"/>
          <w:szCs w:val="21"/>
          <w:highlight w:val="none"/>
          <w:lang w:val="en-US" w:eastAsia="zh-CN"/>
        </w:rPr>
        <w:t>11</w:t>
      </w:r>
      <w:r>
        <w:rPr>
          <w:rFonts w:hint="eastAsia" w:ascii="宋体" w:hAnsi="宋体" w:cs="宋体"/>
          <w:bCs/>
          <w:color w:val="auto"/>
          <w:szCs w:val="21"/>
          <w:highlight w:val="none"/>
          <w:u w:val="single"/>
        </w:rPr>
        <w:t>定标委员会对评标委员会推荐的合格的中标候选人进行择优评审，确定中标人。定标结束后，定标委员会向招标人递交定标报告</w:t>
      </w:r>
      <w:r>
        <w:rPr>
          <w:rFonts w:hint="eastAsia" w:ascii="宋体" w:hAnsi="宋体"/>
          <w:color w:val="auto"/>
          <w:szCs w:val="21"/>
          <w:highlight w:val="none"/>
        </w:rPr>
        <w:t>。</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条款号：41.1                        修改类型：修改</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41.1开标由招标人主持；</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41.1开标由招标人</w:t>
      </w:r>
      <w:r>
        <w:rPr>
          <w:rFonts w:hint="eastAsia" w:ascii="宋体" w:hAnsi="宋体" w:cs="宋体"/>
          <w:color w:val="auto"/>
          <w:szCs w:val="21"/>
          <w:highlight w:val="none"/>
          <w:u w:val="single"/>
        </w:rPr>
        <w:t>或招标代理</w:t>
      </w:r>
      <w:r>
        <w:rPr>
          <w:rFonts w:hint="eastAsia" w:ascii="宋体" w:hAnsi="宋体" w:cs="宋体"/>
          <w:color w:val="auto"/>
          <w:szCs w:val="21"/>
          <w:highlight w:val="none"/>
        </w:rPr>
        <w:t>主持；</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条款号：41.2.1                      修改类型：修改</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41.2.1投标截止期前，各投标人递交投标文件（包括技术标投标文件、经济标投标文件）至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交易平台。有关投标文件提交的事项详见第一章投标须知。</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41.2.1投标截止期前，各投标人递交投标文件（包括</w:t>
      </w:r>
      <w:r>
        <w:rPr>
          <w:rFonts w:hint="eastAsia" w:ascii="宋体" w:hAnsi="宋体" w:cs="宋体"/>
          <w:color w:val="auto"/>
          <w:szCs w:val="21"/>
          <w:highlight w:val="none"/>
          <w:u w:val="single"/>
        </w:rPr>
        <w:t>技术标投标文件（含资格审查文件）</w:t>
      </w:r>
      <w:r>
        <w:rPr>
          <w:rFonts w:hint="eastAsia" w:ascii="宋体" w:hAnsi="宋体" w:cs="宋体"/>
          <w:color w:val="auto"/>
          <w:szCs w:val="21"/>
          <w:highlight w:val="none"/>
        </w:rPr>
        <w:t>、经济标投标文件）至</w:t>
      </w:r>
      <w:r>
        <w:rPr>
          <w:rFonts w:hint="eastAsia" w:ascii="宋体" w:hAnsi="宋体" w:cs="宋体"/>
          <w:color w:val="auto"/>
          <w:szCs w:val="21"/>
          <w:highlight w:val="none"/>
          <w:u w:val="single"/>
          <w:lang w:eastAsia="zh-CN"/>
        </w:rPr>
        <w:t>广州交易集团有限公司（广州公共资源交易中心）</w:t>
      </w:r>
      <w:r>
        <w:rPr>
          <w:rFonts w:hint="eastAsia" w:ascii="宋体" w:hAnsi="宋体" w:cs="宋体"/>
          <w:color w:val="auto"/>
          <w:szCs w:val="21"/>
          <w:highlight w:val="none"/>
        </w:rPr>
        <w:t>交易平台。有关投标文件提交的事项详见第一章投标须知。</w:t>
      </w:r>
    </w:p>
    <w:p>
      <w:pPr>
        <w:spacing w:line="360" w:lineRule="auto"/>
        <w:ind w:firstLine="424" w:firstLineChars="201"/>
        <w:rPr>
          <w:rFonts w:hint="eastAsia" w:ascii="宋体" w:hAnsi="宋体" w:cs="宋体"/>
          <w:color w:val="auto"/>
          <w:szCs w:val="21"/>
          <w:highlight w:val="none"/>
        </w:rPr>
      </w:pPr>
      <w:r>
        <w:rPr>
          <w:rFonts w:hint="eastAsia" w:ascii="宋体" w:hAnsi="宋体" w:cs="宋体"/>
          <w:b/>
          <w:color w:val="auto"/>
          <w:szCs w:val="21"/>
          <w:highlight w:val="none"/>
        </w:rPr>
        <w:t>条款号：41.3.1     　               修改类型：修改</w:t>
      </w:r>
    </w:p>
    <w:p>
      <w:pPr>
        <w:spacing w:line="360" w:lineRule="auto"/>
        <w:ind w:firstLine="424" w:firstLineChars="201"/>
        <w:rPr>
          <w:rFonts w:hint="eastAsia" w:ascii="宋体" w:hAnsi="宋体" w:cs="宋体"/>
          <w:color w:val="auto"/>
          <w:szCs w:val="21"/>
          <w:highlight w:val="none"/>
        </w:rPr>
      </w:pPr>
      <w:r>
        <w:rPr>
          <w:rFonts w:hint="eastAsia" w:ascii="宋体" w:hAnsi="宋体" w:cs="宋体"/>
          <w:b/>
          <w:bCs/>
          <w:color w:val="auto"/>
          <w:szCs w:val="21"/>
          <w:highlight w:val="none"/>
        </w:rPr>
        <w:t>原文：</w:t>
      </w:r>
      <w:r>
        <w:rPr>
          <w:rFonts w:hint="eastAsia" w:ascii="宋体" w:hAnsi="宋体" w:cs="宋体"/>
          <w:color w:val="auto"/>
          <w:szCs w:val="21"/>
          <w:highlight w:val="none"/>
        </w:rPr>
        <w:t>41.3.1开标时，公布：a、投标人名称；b、投标文件密封情况；c、投标报价；d、投标保证金；e、项目经理（负责人）名称；f、法定代表人证明及授权委托等主要内容及开标记录表中的其他必要内容。投标报价以数字和文字两种方式表述的，应公布文字表述的投标报价。</w:t>
      </w:r>
    </w:p>
    <w:p>
      <w:pPr>
        <w:pBdr>
          <w:bottom w:val="single" w:color="auto" w:sz="6" w:space="1"/>
        </w:pBdr>
        <w:spacing w:line="360" w:lineRule="auto"/>
        <w:ind w:firstLine="424" w:firstLineChars="201"/>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41.3.1开标时，公布：a、投标人名称；b、投标文件密封情况；c、投标报价；</w:t>
      </w:r>
      <w:r>
        <w:rPr>
          <w:rFonts w:hint="eastAsia" w:ascii="宋体" w:hAnsi="宋体" w:cs="宋体"/>
          <w:color w:val="auto"/>
          <w:szCs w:val="21"/>
          <w:highlight w:val="none"/>
          <w:u w:val="single"/>
        </w:rPr>
        <w:t>d、项目经理（负责人）名称；e、</w:t>
      </w:r>
      <w:r>
        <w:rPr>
          <w:rFonts w:hint="eastAsia" w:ascii="宋体" w:hAnsi="宋体" w:cs="宋体"/>
          <w:color w:val="auto"/>
          <w:szCs w:val="21"/>
          <w:highlight w:val="none"/>
        </w:rPr>
        <w:t>法定代表人证明及授权委托等主要内容及开标记录表中的其他必要内容。投标报价以数字和文字两种方式表述的，应公布文字表述的投标报价。</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条款号：41.</w:t>
      </w:r>
      <w:r>
        <w:rPr>
          <w:rFonts w:ascii="宋体" w:hAnsi="宋体" w:cs="宋体"/>
          <w:b/>
          <w:color w:val="auto"/>
          <w:szCs w:val="21"/>
          <w:highlight w:val="none"/>
        </w:rPr>
        <w:t xml:space="preserve">4 </w:t>
      </w:r>
      <w:r>
        <w:rPr>
          <w:rFonts w:hint="eastAsia" w:ascii="宋体" w:hAnsi="宋体" w:cs="宋体"/>
          <w:b/>
          <w:color w:val="auto"/>
          <w:szCs w:val="21"/>
          <w:highlight w:val="none"/>
        </w:rPr>
        <w:t xml:space="preserve">                 </w:t>
      </w:r>
      <w:r>
        <w:rPr>
          <w:rFonts w:ascii="宋体" w:hAnsi="宋体" w:cs="宋体"/>
          <w:b/>
          <w:color w:val="auto"/>
          <w:szCs w:val="21"/>
          <w:highlight w:val="none"/>
        </w:rPr>
        <w:t xml:space="preserve"> </w:t>
      </w:r>
      <w:r>
        <w:rPr>
          <w:rFonts w:hint="eastAsia" w:ascii="宋体" w:hAnsi="宋体" w:cs="宋体"/>
          <w:b/>
          <w:color w:val="auto"/>
          <w:szCs w:val="21"/>
          <w:highlight w:val="none"/>
        </w:rPr>
        <w:t xml:space="preserve">     修改类型：修改</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41.4招标人对开标过程进行记录，并存档备查，投标人在开标记录上签字。</w:t>
      </w:r>
    </w:p>
    <w:p>
      <w:pPr>
        <w:pBdr>
          <w:bottom w:val="single" w:color="auto" w:sz="6" w:space="1"/>
        </w:pBd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41.</w:t>
      </w:r>
      <w:r>
        <w:rPr>
          <w:rFonts w:ascii="宋体" w:hAnsi="宋体" w:cs="宋体"/>
          <w:color w:val="auto"/>
          <w:szCs w:val="21"/>
          <w:highlight w:val="none"/>
        </w:rPr>
        <w:t>4</w:t>
      </w:r>
      <w:r>
        <w:rPr>
          <w:rFonts w:hint="eastAsia" w:ascii="宋体" w:hAnsi="宋体" w:cs="宋体"/>
          <w:color w:val="auto"/>
          <w:szCs w:val="21"/>
          <w:highlight w:val="none"/>
        </w:rPr>
        <w:t>招标人</w:t>
      </w:r>
      <w:r>
        <w:rPr>
          <w:rFonts w:hint="eastAsia" w:ascii="宋体" w:hAnsi="宋体" w:cs="宋体"/>
          <w:color w:val="auto"/>
          <w:szCs w:val="21"/>
          <w:highlight w:val="none"/>
          <w:u w:val="single"/>
        </w:rPr>
        <w:t>或招标代理机构</w:t>
      </w:r>
      <w:r>
        <w:rPr>
          <w:rFonts w:hint="eastAsia" w:ascii="宋体" w:hAnsi="宋体" w:cs="宋体"/>
          <w:color w:val="auto"/>
          <w:szCs w:val="21"/>
          <w:highlight w:val="none"/>
        </w:rPr>
        <w:t>对开标过程进行记录，并存档备查，</w:t>
      </w:r>
      <w:r>
        <w:rPr>
          <w:rFonts w:hint="eastAsia" w:ascii="宋体" w:hAnsi="宋体" w:cs="宋体"/>
          <w:color w:val="auto"/>
          <w:szCs w:val="21"/>
          <w:highlight w:val="none"/>
          <w:u w:val="single"/>
        </w:rPr>
        <w:t>参加现场开标会的</w:t>
      </w:r>
      <w:r>
        <w:rPr>
          <w:rFonts w:hint="eastAsia" w:ascii="宋体" w:hAnsi="宋体" w:cs="宋体"/>
          <w:color w:val="auto"/>
          <w:szCs w:val="21"/>
          <w:highlight w:val="none"/>
        </w:rPr>
        <w:t>投标人在开标记录上签字。</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条款号：42.1                                修改类型：修改</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42.1评标委员会的组成：方式</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方式一：评标委员会为综合评标委员会，负责评标工作。</w:t>
      </w:r>
    </w:p>
    <w:p>
      <w:pPr>
        <w:pBdr>
          <w:bottom w:val="single" w:color="auto" w:sz="6" w:space="1"/>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方式二：评标委员会由技术评审组和经济评审组组成。其中：资格审查、技术评审由技术评标组负责，经济评审由经济评审组负责</w:t>
      </w:r>
    </w:p>
    <w:p>
      <w:pPr>
        <w:pBdr>
          <w:bottom w:val="single" w:color="auto" w:sz="6" w:space="1"/>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p>
    <w:p>
      <w:pPr>
        <w:pBdr>
          <w:bottom w:val="single" w:color="auto" w:sz="6" w:space="1"/>
        </w:pBdr>
        <w:spacing w:line="360" w:lineRule="auto"/>
        <w:ind w:firstLine="470" w:firstLineChars="224"/>
        <w:rPr>
          <w:rFonts w:ascii="宋体" w:hAnsi="宋体" w:cs="宋体"/>
          <w:color w:val="auto"/>
          <w:szCs w:val="21"/>
          <w:highlight w:val="none"/>
        </w:rPr>
      </w:pPr>
      <w:r>
        <w:rPr>
          <w:rFonts w:hint="eastAsia" w:ascii="宋体" w:hAnsi="宋体" w:cs="宋体"/>
          <w:color w:val="auto"/>
          <w:szCs w:val="21"/>
          <w:highlight w:val="none"/>
        </w:rPr>
        <w:t>42.1评标委员会的组成：</w:t>
      </w:r>
      <w:r>
        <w:rPr>
          <w:rFonts w:hint="eastAsia" w:ascii="宋体" w:hAnsi="宋体" w:cs="宋体"/>
          <w:color w:val="auto"/>
          <w:szCs w:val="21"/>
          <w:highlight w:val="none"/>
          <w:u w:val="single"/>
        </w:rPr>
        <w:t>方式一：评标委员会为综合评标委员会，负责资格审查及评标工作。由技术及经济专业专家组成，均由</w:t>
      </w:r>
      <w:r>
        <w:rPr>
          <w:rFonts w:hint="eastAsia" w:ascii="宋体" w:hAnsi="宋体"/>
          <w:color w:val="auto"/>
          <w:szCs w:val="21"/>
          <w:highlight w:val="none"/>
          <w:u w:val="single"/>
        </w:rPr>
        <w:t>广东省综合评标评审专家库</w:t>
      </w:r>
      <w:r>
        <w:rPr>
          <w:rFonts w:hint="eastAsia" w:ascii="宋体" w:hAnsi="宋体" w:cs="宋体"/>
          <w:color w:val="auto"/>
          <w:szCs w:val="21"/>
          <w:highlight w:val="none"/>
          <w:u w:val="single"/>
        </w:rPr>
        <w:t>随机抽取，评标委员会人数为五人或以上单数。</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42.2.6</w:t>
      </w:r>
      <w:r>
        <w:rPr>
          <w:rFonts w:hint="eastAsia" w:ascii="宋体" w:hAnsi="宋体" w:cs="宋体"/>
          <w:b/>
          <w:color w:val="auto"/>
          <w:szCs w:val="21"/>
          <w:highlight w:val="none"/>
        </w:rPr>
        <w:t xml:space="preserve">                              修改类型：修改</w:t>
      </w:r>
    </w:p>
    <w:p>
      <w:pPr>
        <w:widowControl/>
        <w:spacing w:line="360" w:lineRule="auto"/>
        <w:ind w:firstLine="422" w:firstLineChars="200"/>
        <w:jc w:val="left"/>
        <w:rPr>
          <w:rFonts w:ascii="宋体" w:hAnsi="宋体" w:cs="宋体"/>
          <w:color w:val="auto"/>
          <w:kern w:val="0"/>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42.2.6资格审查合格的投标人少于3名的（当N个标段同时招标且不允许兼中时，资格审查合格的投标人少于N+2名），则本项目招标失败。</w:t>
      </w:r>
    </w:p>
    <w:p>
      <w:pPr>
        <w:pBdr>
          <w:bottom w:val="single" w:color="auto" w:sz="6" w:space="1"/>
        </w:pBdr>
        <w:spacing w:line="360" w:lineRule="auto"/>
        <w:ind w:firstLine="472" w:firstLineChars="224"/>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42.2.6若满足资格审查合格条件的投标申请人不足3名，则重新招标。</w:t>
      </w:r>
    </w:p>
    <w:p>
      <w:pPr>
        <w:spacing w:line="360" w:lineRule="auto"/>
        <w:ind w:firstLine="472" w:firstLineChars="224"/>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条款号：42.3.1                        修改类型：修改</w:t>
      </w:r>
    </w:p>
    <w:p>
      <w:pPr>
        <w:pBdr>
          <w:bottom w:val="single" w:color="auto" w:sz="6" w:space="1"/>
        </w:pBdr>
        <w:wordWrap w:val="0"/>
        <w:spacing w:line="360" w:lineRule="auto"/>
        <w:ind w:firstLine="472" w:firstLineChars="224"/>
        <w:jc w:val="left"/>
        <w:rPr>
          <w:rFonts w:hint="eastAsia" w:ascii="宋体" w:hAnsi="宋体" w:eastAsia="宋体" w:cs="宋体"/>
          <w:color w:val="auto"/>
          <w:sz w:val="21"/>
          <w:szCs w:val="21"/>
          <w:highlight w:val="none"/>
          <w:u w:val="single"/>
        </w:rPr>
      </w:pPr>
      <w:r>
        <w:rPr>
          <w:rFonts w:hint="eastAsia" w:ascii="宋体" w:hAnsi="宋体" w:eastAsia="宋体" w:cs="宋体"/>
          <w:b/>
          <w:color w:val="auto"/>
          <w:sz w:val="21"/>
          <w:szCs w:val="21"/>
          <w:highlight w:val="none"/>
        </w:rPr>
        <w:t>原文：</w:t>
      </w:r>
      <w:r>
        <w:rPr>
          <w:rFonts w:hint="eastAsia" w:ascii="宋体" w:hAnsi="宋体" w:eastAsia="宋体" w:cs="宋体"/>
          <w:color w:val="auto"/>
          <w:sz w:val="21"/>
          <w:szCs w:val="21"/>
          <w:highlight w:val="none"/>
        </w:rPr>
        <w:t>42.3.1技术标的有效性审查：投标文件中没有任一种列于本办法附表二《技术标有效性审查表》中情形的，为有效投标文件。否则其投标文件将被否决。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w:t>
      </w:r>
    </w:p>
    <w:p>
      <w:pPr>
        <w:pBdr>
          <w:bottom w:val="single" w:color="auto" w:sz="6" w:space="1"/>
        </w:pBdr>
        <w:spacing w:line="360" w:lineRule="auto"/>
        <w:ind w:firstLine="472" w:firstLineChars="224"/>
        <w:rPr>
          <w:rFonts w:hint="eastAsia" w:ascii="宋体" w:hAnsi="宋体" w:eastAsia="宋体" w:cs="宋体"/>
          <w:b/>
          <w:color w:val="auto"/>
          <w:sz w:val="21"/>
          <w:szCs w:val="21"/>
          <w:highlight w:val="none"/>
          <w:u w:val="single"/>
        </w:rPr>
      </w:pPr>
      <w:r>
        <w:rPr>
          <w:rFonts w:hint="eastAsia" w:ascii="宋体" w:hAnsi="宋体" w:eastAsia="宋体" w:cs="宋体"/>
          <w:b/>
          <w:color w:val="auto"/>
          <w:sz w:val="21"/>
          <w:szCs w:val="21"/>
          <w:highlight w:val="none"/>
        </w:rPr>
        <w:t>现文：42.3.1</w:t>
      </w:r>
      <w:r>
        <w:rPr>
          <w:rFonts w:hint="eastAsia" w:ascii="宋体" w:hAnsi="宋体" w:eastAsia="宋体" w:cs="宋体"/>
          <w:bCs/>
          <w:color w:val="auto"/>
          <w:sz w:val="21"/>
          <w:szCs w:val="21"/>
          <w:highlight w:val="none"/>
        </w:rPr>
        <w:t>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3名，则本项目招标失败。</w:t>
      </w:r>
      <w:r>
        <w:rPr>
          <w:rFonts w:hint="eastAsia" w:ascii="宋体" w:hAnsi="宋体" w:eastAsia="宋体" w:cs="宋体"/>
          <w:b/>
          <w:color w:val="auto"/>
          <w:sz w:val="21"/>
          <w:szCs w:val="21"/>
          <w:highlight w:val="none"/>
          <w:u w:val="single"/>
        </w:rPr>
        <w:t>评委发现投标文件中含义不明确、对同类问题表述不一致、有明显文字和计算错误的，应当要求投标人作必要的澄清、说明后再判定投标人是否通过有效性审查，不得直接否决投标。</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42.3.2</w:t>
      </w:r>
      <w:r>
        <w:rPr>
          <w:rFonts w:hint="eastAsia" w:ascii="宋体" w:hAnsi="宋体" w:cs="宋体"/>
          <w:b/>
          <w:color w:val="auto"/>
          <w:szCs w:val="21"/>
          <w:highlight w:val="none"/>
        </w:rPr>
        <w:t xml:space="preserve">                             修改类型：修改</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42.3.2</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详细审查评分：评标委员会按照本办法附表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详细审查评分表》对通过技术标有效性审查的投标文件进行详细审查，评出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得分。</w:t>
      </w:r>
    </w:p>
    <w:p>
      <w:pPr>
        <w:pBdr>
          <w:bottom w:val="single" w:color="auto" w:sz="6" w:space="1"/>
        </w:pBdr>
        <w:spacing w:line="360" w:lineRule="auto"/>
        <w:ind w:firstLine="472" w:firstLineChars="224"/>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42.3.2</w:t>
      </w:r>
      <w:r>
        <w:rPr>
          <w:rFonts w:hint="eastAsia" w:ascii="宋体" w:hAnsi="宋体"/>
          <w:color w:val="auto"/>
          <w:szCs w:val="21"/>
          <w:highlight w:val="none"/>
          <w:u w:val="single"/>
        </w:rPr>
        <w:t>技术标</w:t>
      </w:r>
      <w:r>
        <w:rPr>
          <w:rFonts w:hint="eastAsia" w:ascii="宋体" w:hAnsi="宋体"/>
          <w:color w:val="auto"/>
          <w:szCs w:val="21"/>
          <w:highlight w:val="none"/>
        </w:rPr>
        <w:t>详细审查评分：评标委员会按照本办法附表</w:t>
      </w:r>
      <w:r>
        <w:rPr>
          <w:rFonts w:hint="eastAsia" w:ascii="宋体" w:hAnsi="宋体"/>
          <w:color w:val="auto"/>
          <w:szCs w:val="21"/>
          <w:highlight w:val="none"/>
          <w:u w:val="single"/>
        </w:rPr>
        <w:t xml:space="preserve"> 四 </w:t>
      </w:r>
      <w:r>
        <w:rPr>
          <w:rFonts w:hint="eastAsia" w:ascii="宋体" w:hAnsi="宋体"/>
          <w:color w:val="auto"/>
          <w:szCs w:val="21"/>
          <w:highlight w:val="none"/>
        </w:rPr>
        <w:t>《</w:t>
      </w:r>
      <w:r>
        <w:rPr>
          <w:rFonts w:hint="eastAsia" w:ascii="宋体" w:hAnsi="宋体"/>
          <w:color w:val="auto"/>
          <w:szCs w:val="21"/>
          <w:highlight w:val="none"/>
          <w:u w:val="single"/>
        </w:rPr>
        <w:t>技术标</w:t>
      </w:r>
      <w:r>
        <w:rPr>
          <w:rFonts w:hint="eastAsia" w:ascii="宋体" w:hAnsi="宋体"/>
          <w:color w:val="auto"/>
          <w:szCs w:val="21"/>
          <w:highlight w:val="none"/>
        </w:rPr>
        <w:t>详细审查评分表》对通过技术标有效性审查的投标文件进行详细审查，评出</w:t>
      </w:r>
      <w:r>
        <w:rPr>
          <w:rFonts w:hint="eastAsia" w:ascii="宋体" w:hAnsi="宋体"/>
          <w:color w:val="auto"/>
          <w:szCs w:val="21"/>
          <w:highlight w:val="none"/>
          <w:u w:val="single"/>
        </w:rPr>
        <w:t xml:space="preserve"> 技术</w:t>
      </w:r>
      <w:r>
        <w:rPr>
          <w:rFonts w:hint="eastAsia" w:ascii="宋体" w:hAnsi="宋体"/>
          <w:color w:val="auto"/>
          <w:szCs w:val="21"/>
          <w:highlight w:val="none"/>
          <w:u w:val="single"/>
          <w:lang w:val="en-US" w:eastAsia="zh-CN"/>
        </w:rPr>
        <w:t xml:space="preserve">标 </w:t>
      </w:r>
      <w:r>
        <w:rPr>
          <w:rFonts w:hint="eastAsia" w:ascii="宋体" w:hAnsi="宋体"/>
          <w:color w:val="auto"/>
          <w:szCs w:val="21"/>
          <w:highlight w:val="none"/>
        </w:rPr>
        <w:t>得分</w:t>
      </w:r>
      <w:r>
        <w:rPr>
          <w:rFonts w:hint="eastAsia" w:ascii="宋体" w:hAnsi="宋体" w:cs="宋体"/>
          <w:color w:val="auto"/>
          <w:szCs w:val="21"/>
          <w:highlight w:val="none"/>
        </w:rPr>
        <w:t>。</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42.3.4</w:t>
      </w:r>
      <w:r>
        <w:rPr>
          <w:rFonts w:hint="eastAsia" w:ascii="宋体" w:hAnsi="宋体" w:cs="宋体"/>
          <w:b/>
          <w:color w:val="auto"/>
          <w:szCs w:val="21"/>
          <w:highlight w:val="none"/>
        </w:rPr>
        <w:t xml:space="preserve">                                修改类型：修改</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42.3.4评标委员会按照“第一阶段得分=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的公式及投标须知前附表第27项的规定，计算各投标人第一阶段得分(按四舍五入的原则保留两位小数)，并按照得分从高到低排列先后次序，若投标人得分相同的，则名次并列，占用名次。编写第一阶段评审报告。（适用于进行了技术标评分的）</w:t>
      </w:r>
    </w:p>
    <w:p>
      <w:pPr>
        <w:pBdr>
          <w:bottom w:val="single" w:color="auto" w:sz="6" w:space="1"/>
        </w:pBdr>
        <w:spacing w:line="360" w:lineRule="auto"/>
        <w:ind w:firstLine="424" w:firstLineChars="201"/>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42.3.4评标委员会按照</w:t>
      </w:r>
      <w:r>
        <w:rPr>
          <w:rFonts w:hint="eastAsia" w:ascii="宋体" w:hAnsi="宋体" w:cs="宋体"/>
          <w:color w:val="auto"/>
          <w:szCs w:val="21"/>
          <w:highlight w:val="none"/>
          <w:u w:val="single"/>
        </w:rPr>
        <w:t>“第一阶段得分=技术标得分（满分为100分）×得分权重（80%）＋综合诚信评价排名得分×诚信综合评价分数权重（20%）”</w:t>
      </w:r>
      <w:r>
        <w:rPr>
          <w:rFonts w:hint="eastAsia" w:ascii="宋体" w:hAnsi="宋体" w:cs="宋体"/>
          <w:color w:val="auto"/>
          <w:szCs w:val="21"/>
          <w:highlight w:val="none"/>
        </w:rPr>
        <w:t>的公式及投标须知前附表第</w:t>
      </w:r>
      <w:r>
        <w:rPr>
          <w:rFonts w:hint="eastAsia" w:ascii="宋体" w:hAnsi="宋体" w:cs="宋体"/>
          <w:color w:val="auto"/>
          <w:szCs w:val="21"/>
          <w:highlight w:val="none"/>
          <w:lang w:eastAsia="zh-CN"/>
        </w:rPr>
        <w:t>2</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项的规定，计算各投标人第一阶段得分(按四舍五入的原则保留两位小数)，并按照得分从高到低排列先后次序。</w:t>
      </w:r>
      <w:r>
        <w:rPr>
          <w:rFonts w:hint="eastAsia" w:ascii="宋体" w:hAnsi="宋体" w:cs="宋体"/>
          <w:color w:val="auto"/>
          <w:szCs w:val="21"/>
          <w:highlight w:val="none"/>
          <w:u w:val="single"/>
        </w:rPr>
        <w:t>若投标人得分相同的，则以投标总报价较低的排前；投标总报价仍相同的，则以诚信综合评价得分较高的排前；如仍存在相同情况，则对具有相同情况的投标人，由评标委员会采用记名投票方式，确定投标人第一阶段名次的排序。编写第一阶段评审报告。</w:t>
      </w:r>
    </w:p>
    <w:p>
      <w:pPr>
        <w:pBdr>
          <w:bottom w:val="single" w:color="auto" w:sz="6" w:space="1"/>
        </w:pBdr>
        <w:spacing w:line="360" w:lineRule="auto"/>
        <w:ind w:firstLine="470" w:firstLineChars="224"/>
        <w:rPr>
          <w:rFonts w:ascii="宋体" w:hAnsi="宋体" w:cs="宋体"/>
          <w:color w:val="auto"/>
          <w:szCs w:val="21"/>
          <w:highlight w:val="none"/>
        </w:rPr>
      </w:pPr>
      <w:r>
        <w:rPr>
          <w:rFonts w:hint="eastAsia" w:ascii="宋体" w:hAnsi="宋体" w:cs="宋体"/>
          <w:color w:val="auto"/>
          <w:szCs w:val="21"/>
          <w:highlight w:val="none"/>
          <w:u w:val="single"/>
        </w:rPr>
        <w:t>注：记名投票方式确定排序的具体操作步骤为：由评标委员会对出现该情况的投标人采取记名投票的方式确定，按得票数从高到低排列先后次序，以得票数高的排前，根据得票数高低确定中标候选人排序。</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条款号：42.4.1                      修改类型：修改</w:t>
      </w:r>
    </w:p>
    <w:p>
      <w:pPr>
        <w:pBdr>
          <w:bottom w:val="single" w:color="auto" w:sz="6" w:space="1"/>
        </w:pBdr>
        <w:spacing w:line="360" w:lineRule="auto"/>
        <w:ind w:firstLine="413" w:firstLineChars="196"/>
        <w:rPr>
          <w:rFonts w:hint="eastAsia"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42.4.1按照投标须知前附表第25项规定，确定进入第二阶段评审的投标人。若在进入第二阶段的最后名次发生并列的，则所有并列的投标人均进入第二阶段。</w:t>
      </w:r>
    </w:p>
    <w:p>
      <w:pPr>
        <w:pBdr>
          <w:bottom w:val="single" w:color="auto" w:sz="6" w:space="1"/>
        </w:pBdr>
        <w:spacing w:line="360" w:lineRule="auto"/>
        <w:ind w:firstLine="413" w:firstLineChars="196"/>
        <w:rPr>
          <w:rFonts w:hint="eastAsia"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42.4.1</w:t>
      </w:r>
      <w:r>
        <w:rPr>
          <w:rFonts w:hint="eastAsia" w:ascii="宋体" w:hAnsi="宋体" w:cs="宋体"/>
          <w:color w:val="auto"/>
          <w:szCs w:val="21"/>
          <w:highlight w:val="none"/>
          <w:u w:val="single"/>
        </w:rPr>
        <w:t>按照投标须知前附表第2</w:t>
      </w:r>
      <w:r>
        <w:rPr>
          <w:rFonts w:hint="eastAsia" w:ascii="宋体" w:hAnsi="宋体" w:cs="宋体"/>
          <w:color w:val="auto"/>
          <w:szCs w:val="21"/>
          <w:highlight w:val="none"/>
          <w:u w:val="single"/>
          <w:lang w:val="en-US" w:eastAsia="zh-CN"/>
        </w:rPr>
        <w:t>6</w:t>
      </w:r>
      <w:r>
        <w:rPr>
          <w:rFonts w:hint="eastAsia" w:ascii="宋体" w:hAnsi="宋体" w:cs="宋体"/>
          <w:color w:val="auto"/>
          <w:szCs w:val="21"/>
          <w:highlight w:val="none"/>
          <w:u w:val="single"/>
        </w:rPr>
        <w:t>项规定，确定进入第二阶段评审的投标人。</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条款号：42.4.2                      修改类型：修改</w:t>
      </w:r>
    </w:p>
    <w:p>
      <w:pP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42.4.2若进入第二阶段投标人中所有投标报价均大于等于最高投标限价*D%（D的取值范围为[94,100],由招标人自主确定）的（具体金额为：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元），则本项目招标失败，由招标人依法重新招标。</w:t>
      </w:r>
    </w:p>
    <w:p>
      <w:pPr>
        <w:spacing w:line="360" w:lineRule="auto"/>
        <w:ind w:left="199" w:leftChars="95" w:firstLine="211" w:firstLineChars="100"/>
        <w:rPr>
          <w:rFonts w:ascii="宋体" w:hAnsi="宋体" w:cs="宋体"/>
          <w:color w:val="auto"/>
          <w:szCs w:val="21"/>
          <w:highlight w:val="none"/>
        </w:rPr>
      </w:pPr>
      <w:r>
        <w:rPr>
          <w:rFonts w:hint="eastAsia" w:ascii="宋体" w:hAnsi="宋体" w:cs="宋体"/>
          <w:b/>
          <w:bCs/>
          <w:color w:val="auto"/>
          <w:szCs w:val="21"/>
          <w:highlight w:val="none"/>
        </w:rPr>
        <w:t>现文</w:t>
      </w:r>
      <w:r>
        <w:rPr>
          <w:rFonts w:hint="eastAsia" w:ascii="宋体" w:hAnsi="宋体" w:cs="宋体"/>
          <w:color w:val="auto"/>
          <w:szCs w:val="21"/>
          <w:highlight w:val="none"/>
        </w:rPr>
        <w:t>：42.4.2若进入第二阶段投标人中所有</w:t>
      </w:r>
      <w:r>
        <w:rPr>
          <w:rFonts w:hint="eastAsia" w:ascii="宋体" w:hAnsi="宋体" w:cs="宋体"/>
          <w:color w:val="auto"/>
          <w:szCs w:val="21"/>
          <w:highlight w:val="none"/>
          <w:u w:val="single"/>
        </w:rPr>
        <w:t>投标总报价</w:t>
      </w:r>
      <w:r>
        <w:rPr>
          <w:rFonts w:hint="eastAsia" w:ascii="宋体" w:hAnsi="宋体" w:cs="宋体"/>
          <w:color w:val="auto"/>
          <w:szCs w:val="21"/>
          <w:highlight w:val="none"/>
        </w:rPr>
        <w:t>均大于等于最高投标限价</w:t>
      </w:r>
      <w:r>
        <w:rPr>
          <w:rFonts w:ascii="宋体" w:hAnsi="宋体" w:cs="宋体"/>
          <w:color w:val="auto"/>
          <w:szCs w:val="21"/>
          <w:highlight w:val="none"/>
        </w:rPr>
        <w:t>，则本项目招标失败，由招标人依法重新招标。</w:t>
      </w:r>
    </w:p>
    <w:p>
      <w:pPr>
        <w:spacing w:line="360" w:lineRule="auto"/>
        <w:rPr>
          <w:rFonts w:ascii="宋体" w:hAnsi="宋体" w:cs="宋体"/>
          <w:b/>
          <w:color w:val="auto"/>
          <w:szCs w:val="21"/>
          <w:highlight w:val="none"/>
          <w:u w:val="single"/>
        </w:rPr>
      </w:pPr>
      <w:r>
        <w:rPr>
          <w:rFonts w:hint="eastAsia" w:ascii="宋体" w:hAnsi="宋体" w:cs="宋体"/>
          <w:b/>
          <w:color w:val="auto"/>
          <w:szCs w:val="21"/>
          <w:highlight w:val="none"/>
          <w:u w:val="single"/>
        </w:rPr>
        <w:t xml:space="preserve">                                                                                          </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原文：42.4.3.1                              修改类型：修改</w:t>
      </w:r>
    </w:p>
    <w:p>
      <w:pPr>
        <w:widowControl/>
        <w:spacing w:line="360" w:lineRule="auto"/>
        <w:ind w:firstLine="527" w:firstLineChars="250"/>
        <w:rPr>
          <w:rFonts w:ascii="宋体" w:hAnsi="宋体" w:cs="宋体"/>
          <w:b/>
          <w:color w:val="auto"/>
          <w:szCs w:val="21"/>
          <w:highlight w:val="none"/>
        </w:rPr>
      </w:pPr>
      <w:r>
        <w:rPr>
          <w:rFonts w:hint="eastAsia" w:ascii="宋体" w:hAnsi="宋体" w:cs="宋体"/>
          <w:b/>
          <w:color w:val="auto"/>
          <w:szCs w:val="21"/>
          <w:highlight w:val="none"/>
        </w:rPr>
        <w:t xml:space="preserve">42.4.3.1按方法 </w:t>
      </w:r>
      <w:r>
        <w:rPr>
          <w:rFonts w:hint="eastAsia" w:ascii="宋体" w:hAnsi="宋体" w:cs="宋体"/>
          <w:b/>
          <w:color w:val="auto"/>
          <w:szCs w:val="21"/>
          <w:highlight w:val="none"/>
          <w:u w:val="single"/>
        </w:rPr>
        <w:t xml:space="preserve">     </w:t>
      </w:r>
      <w:r>
        <w:rPr>
          <w:rFonts w:hint="eastAsia" w:ascii="宋体" w:hAnsi="宋体" w:cs="宋体"/>
          <w:b/>
          <w:color w:val="auto"/>
          <w:szCs w:val="21"/>
          <w:highlight w:val="none"/>
        </w:rPr>
        <w:t>计算评标参考价：</w:t>
      </w:r>
    </w:p>
    <w:p>
      <w:pPr>
        <w:widowControl/>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（选择方法一或方法二）</w:t>
      </w:r>
    </w:p>
    <w:p>
      <w:pPr>
        <w:widowControl/>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方法一：加权平均法</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技术标或技术标加诚信得分（具体由招标人自定）前N名（N≥5，具体由招标人自定）的经济报价加权平均，计算评标参考价。公式如下：</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评标参考价=Σ（投标人的投标报价*报价权重）。</w:t>
      </w:r>
    </w:p>
    <w:p>
      <w:pPr>
        <w:widowControl/>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其中：报价权重的计算方法为：将N名投标人按技术分由高至低进行排序，第一名投标人的权重为（</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QUOTE </w:instrText>
      </w:r>
      <w:r>
        <w:rPr>
          <w:rFonts w:hint="eastAsia" w:ascii="宋体" w:hAnsi="宋体" w:cs="宋体"/>
          <w:color w:val="auto"/>
          <w:szCs w:val="21"/>
          <w:highlight w:val="none"/>
        </w:rPr>
        <w:drawing>
          <wp:inline distT="0" distB="0" distL="114300" distR="114300">
            <wp:extent cx="381000" cy="447675"/>
            <wp:effectExtent l="0" t="0" r="0" b="9525"/>
            <wp:docPr id="5"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9"/>
                    <pic:cNvPicPr>
                      <a:picLocks noChangeAspect="1"/>
                    </pic:cNvPicPr>
                  </pic:nvPicPr>
                  <pic:blipFill>
                    <a:blip r:embed="rId25"/>
                    <a:stretch>
                      <a:fillRect/>
                    </a:stretch>
                  </pic:blipFill>
                  <pic:spPr>
                    <a:xfrm>
                      <a:off x="0" y="0"/>
                      <a:ext cx="381000" cy="447675"/>
                    </a:xfrm>
                    <a:prstGeom prst="rect">
                      <a:avLst/>
                    </a:prstGeom>
                    <a:noFill/>
                    <a:ln>
                      <a:noFill/>
                    </a:ln>
                  </pic:spPr>
                </pic:pic>
              </a:graphicData>
            </a:graphic>
          </wp:inline>
        </w:drawing>
      </w:r>
      <w:r>
        <w:rPr>
          <w:rFonts w:hint="eastAsia" w:ascii="宋体" w:hAnsi="宋体" w:cs="宋体"/>
          <w:color w:val="auto"/>
          <w:szCs w:val="21"/>
          <w:highlight w:val="none"/>
        </w:rPr>
        <w:instrText xml:space="preserve"> \* MERGEFORMAT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drawing>
          <wp:inline distT="0" distB="0" distL="114300" distR="114300">
            <wp:extent cx="381000" cy="447675"/>
            <wp:effectExtent l="0" t="0" r="0" b="9525"/>
            <wp:docPr id="7"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0"/>
                    <pic:cNvPicPr>
                      <a:picLocks noChangeAspect="1"/>
                    </pic:cNvPicPr>
                  </pic:nvPicPr>
                  <pic:blipFill>
                    <a:blip r:embed="rId25"/>
                    <a:stretch>
                      <a:fillRect/>
                    </a:stretch>
                  </pic:blipFill>
                  <pic:spPr>
                    <a:xfrm>
                      <a:off x="0" y="0"/>
                      <a:ext cx="381000" cy="447675"/>
                    </a:xfrm>
                    <a:prstGeom prst="rect">
                      <a:avLst/>
                    </a:prstGeom>
                    <a:noFill/>
                    <a:ln>
                      <a:noFill/>
                    </a:ln>
                  </pic:spPr>
                </pic:pic>
              </a:graphicData>
            </a:graphic>
          </wp:inline>
        </w:drawing>
      </w:r>
      <w:r>
        <w:rPr>
          <w:rFonts w:hint="eastAsia" w:ascii="宋体" w:hAnsi="宋体" w:cs="宋体"/>
          <w:color w:val="auto"/>
          <w:szCs w:val="21"/>
          <w:highlight w:val="none"/>
        </w:rPr>
        <w:fldChar w:fldCharType="end"/>
      </w:r>
      <w:r>
        <w:rPr>
          <w:rFonts w:hint="eastAsia" w:ascii="宋体" w:hAnsi="宋体" w:cs="宋体"/>
          <w:color w:val="auto"/>
          <w:szCs w:val="21"/>
          <w:highlight w:val="none"/>
        </w:rPr>
        <w:t>），第二名投标人的权重为（</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QUOTE </w:instrText>
      </w:r>
      <w:r>
        <w:rPr>
          <w:rFonts w:hint="eastAsia" w:ascii="宋体" w:hAnsi="宋体" w:cs="宋体"/>
          <w:color w:val="auto"/>
          <w:position w:val="-23"/>
          <w:szCs w:val="21"/>
          <w:highlight w:val="none"/>
        </w:rPr>
        <w:drawing>
          <wp:inline distT="0" distB="0" distL="114300" distR="114300">
            <wp:extent cx="323850" cy="400050"/>
            <wp:effectExtent l="0" t="0" r="0" b="0"/>
            <wp:docPr id="8"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1"/>
                    <pic:cNvPicPr>
                      <a:picLocks noChangeAspect="1"/>
                    </pic:cNvPicPr>
                  </pic:nvPicPr>
                  <pic:blipFill>
                    <a:blip r:embed="rId26"/>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color w:val="auto"/>
          <w:position w:val="-23"/>
          <w:szCs w:val="21"/>
          <w:highlight w:val="none"/>
        </w:rPr>
        <w:instrText xml:space="preserve"> \* MERGEFORMAT </w:instrText>
      </w:r>
      <w:r>
        <w:rPr>
          <w:rFonts w:hint="eastAsia" w:ascii="宋体" w:hAnsi="宋体" w:cs="宋体"/>
          <w:color w:val="auto"/>
          <w:szCs w:val="21"/>
          <w:highlight w:val="none"/>
        </w:rPr>
        <w:fldChar w:fldCharType="separate"/>
      </w:r>
      <w:r>
        <w:rPr>
          <w:rFonts w:hint="eastAsia" w:ascii="宋体" w:hAnsi="宋体" w:cs="宋体"/>
          <w:color w:val="auto"/>
          <w:position w:val="-23"/>
          <w:szCs w:val="21"/>
          <w:highlight w:val="none"/>
        </w:rPr>
        <w:drawing>
          <wp:inline distT="0" distB="0" distL="114300" distR="114300">
            <wp:extent cx="323850" cy="400050"/>
            <wp:effectExtent l="0" t="0" r="0" b="0"/>
            <wp:docPr id="9"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2"/>
                    <pic:cNvPicPr>
                      <a:picLocks noChangeAspect="1"/>
                    </pic:cNvPicPr>
                  </pic:nvPicPr>
                  <pic:blipFill>
                    <a:blip r:embed="rId26"/>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color w:val="auto"/>
          <w:szCs w:val="21"/>
          <w:highlight w:val="none"/>
        </w:rPr>
        <w:fldChar w:fldCharType="end"/>
      </w:r>
      <w:r>
        <w:rPr>
          <w:rFonts w:hint="eastAsia" w:ascii="宋体" w:hAnsi="宋体" w:cs="宋体"/>
          <w:color w:val="auto"/>
          <w:szCs w:val="21"/>
          <w:highlight w:val="none"/>
        </w:rPr>
        <w:t>），以此类推，最后一名投标人的权重为（</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QUOTE </w:instrText>
      </w:r>
      <w:r>
        <w:rPr>
          <w:rFonts w:hint="eastAsia" w:ascii="宋体" w:hAnsi="宋体" w:cs="宋体"/>
          <w:color w:val="auto"/>
          <w:position w:val="-23"/>
          <w:szCs w:val="21"/>
          <w:highlight w:val="none"/>
        </w:rPr>
        <w:drawing>
          <wp:inline distT="0" distB="0" distL="114300" distR="114300">
            <wp:extent cx="323850" cy="400050"/>
            <wp:effectExtent l="0" t="0" r="0" b="0"/>
            <wp:docPr id="10"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3"/>
                    <pic:cNvPicPr>
                      <a:picLocks noChangeAspect="1"/>
                    </pic:cNvPicPr>
                  </pic:nvPicPr>
                  <pic:blipFill>
                    <a:blip r:embed="rId27"/>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color w:val="auto"/>
          <w:position w:val="-23"/>
          <w:szCs w:val="21"/>
          <w:highlight w:val="none"/>
        </w:rPr>
        <w:instrText xml:space="preserve"> \* MERGEFORMAT </w:instrText>
      </w:r>
      <w:r>
        <w:rPr>
          <w:rFonts w:hint="eastAsia" w:ascii="宋体" w:hAnsi="宋体" w:cs="宋体"/>
          <w:color w:val="auto"/>
          <w:szCs w:val="21"/>
          <w:highlight w:val="none"/>
        </w:rPr>
        <w:fldChar w:fldCharType="separate"/>
      </w:r>
      <w:r>
        <w:rPr>
          <w:rFonts w:hint="eastAsia" w:ascii="宋体" w:hAnsi="宋体" w:cs="宋体"/>
          <w:color w:val="auto"/>
          <w:position w:val="-23"/>
          <w:szCs w:val="21"/>
          <w:highlight w:val="none"/>
        </w:rPr>
        <w:drawing>
          <wp:inline distT="0" distB="0" distL="114300" distR="114300">
            <wp:extent cx="323850" cy="400050"/>
            <wp:effectExtent l="0" t="0" r="0" b="0"/>
            <wp:docPr id="11"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4"/>
                    <pic:cNvPicPr>
                      <a:picLocks noChangeAspect="1"/>
                    </pic:cNvPicPr>
                  </pic:nvPicPr>
                  <pic:blipFill>
                    <a:blip r:embed="rId27"/>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color w:val="auto"/>
          <w:szCs w:val="21"/>
          <w:highlight w:val="none"/>
        </w:rPr>
        <w:fldChar w:fldCharType="end"/>
      </w:r>
      <w:r>
        <w:rPr>
          <w:rFonts w:hint="eastAsia" w:ascii="宋体" w:hAnsi="宋体" w:cs="宋体"/>
          <w:color w:val="auto"/>
          <w:szCs w:val="21"/>
          <w:highlight w:val="none"/>
        </w:rPr>
        <w:t xml:space="preserve">）。 </w:t>
      </w:r>
    </w:p>
    <w:p>
      <w:pPr>
        <w:widowControl/>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kern w:val="0"/>
          <w:szCs w:val="21"/>
          <w:highlight w:val="none"/>
        </w:rPr>
        <w:t>方法二：区间抽取法</w:t>
      </w:r>
      <w:r>
        <w:rPr>
          <w:rFonts w:hint="eastAsia" w:ascii="宋体" w:hAnsi="宋体" w:cs="宋体"/>
          <w:b/>
          <w:color w:val="auto"/>
          <w:szCs w:val="21"/>
          <w:highlight w:val="none"/>
        </w:rPr>
        <w:t xml:space="preserve">  </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napToGrid w:val="0"/>
        <w:spacing w:line="360" w:lineRule="auto"/>
        <w:ind w:firstLine="420" w:firstLineChars="200"/>
        <w:rPr>
          <w:rFonts w:ascii="宋体" w:hAnsi="宋体" w:cs="宋体"/>
          <w:color w:val="auto"/>
          <w:kern w:val="0"/>
          <w:szCs w:val="21"/>
          <w:highlight w:val="none"/>
          <w:vertAlign w:val="subscript"/>
        </w:rPr>
      </w:pPr>
      <w:r>
        <w:rPr>
          <w:rFonts w:hint="eastAsia" w:ascii="宋体" w:hAnsi="宋体" w:cs="宋体"/>
          <w:color w:val="auto"/>
          <w:kern w:val="0"/>
          <w:szCs w:val="21"/>
          <w:highlight w:val="none"/>
        </w:rPr>
        <w:t>评标参考价=（Q</w:t>
      </w:r>
      <w:r>
        <w:rPr>
          <w:rFonts w:hint="eastAsia" w:ascii="宋体" w:hAnsi="宋体" w:cs="宋体"/>
          <w:color w:val="auto"/>
          <w:kern w:val="0"/>
          <w:szCs w:val="21"/>
          <w:highlight w:val="none"/>
          <w:vertAlign w:val="subscript"/>
        </w:rPr>
        <w:t>高</w:t>
      </w:r>
      <w:r>
        <w:rPr>
          <w:rFonts w:hint="eastAsia" w:ascii="宋体" w:hAnsi="宋体" w:cs="宋体"/>
          <w:color w:val="auto"/>
          <w:kern w:val="0"/>
          <w:szCs w:val="21"/>
          <w:highlight w:val="none"/>
        </w:rPr>
        <w:t>-Q</w:t>
      </w:r>
      <w:r>
        <w:rPr>
          <w:rFonts w:hint="eastAsia" w:ascii="宋体" w:hAnsi="宋体" w:cs="宋体"/>
          <w:color w:val="auto"/>
          <w:kern w:val="0"/>
          <w:szCs w:val="21"/>
          <w:highlight w:val="none"/>
          <w:vertAlign w:val="subscript"/>
        </w:rPr>
        <w:t>低</w:t>
      </w:r>
      <w:r>
        <w:rPr>
          <w:rFonts w:hint="eastAsia" w:ascii="宋体" w:hAnsi="宋体" w:cs="宋体"/>
          <w:color w:val="auto"/>
          <w:kern w:val="0"/>
          <w:szCs w:val="21"/>
          <w:highlight w:val="none"/>
        </w:rPr>
        <w:t>）/100*Ｘ+Q</w:t>
      </w:r>
      <w:r>
        <w:rPr>
          <w:rFonts w:hint="eastAsia" w:ascii="宋体" w:hAnsi="宋体" w:cs="宋体"/>
          <w:color w:val="auto"/>
          <w:kern w:val="0"/>
          <w:szCs w:val="21"/>
          <w:highlight w:val="none"/>
          <w:vertAlign w:val="subscript"/>
        </w:rPr>
        <w:t>低</w:t>
      </w:r>
    </w:p>
    <w:p>
      <w:pPr>
        <w:widowControl/>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Q</w:t>
      </w:r>
      <w:r>
        <w:rPr>
          <w:rFonts w:hint="eastAsia" w:ascii="宋体" w:hAnsi="宋体" w:cs="宋体"/>
          <w:color w:val="auto"/>
          <w:szCs w:val="21"/>
          <w:highlight w:val="none"/>
          <w:vertAlign w:val="subscript"/>
        </w:rPr>
        <w:t>低</w:t>
      </w:r>
      <w:r>
        <w:rPr>
          <w:rFonts w:hint="eastAsia" w:ascii="宋体" w:hAnsi="宋体" w:cs="宋体"/>
          <w:color w:val="auto"/>
          <w:szCs w:val="21"/>
          <w:highlight w:val="none"/>
        </w:rPr>
        <w:t>：为达到或超过技术标及格分数线的投标人最低报价与工程成本警示价两者中的较高值；</w:t>
      </w:r>
    </w:p>
    <w:p>
      <w:pPr>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Q</w:t>
      </w:r>
      <w:r>
        <w:rPr>
          <w:rFonts w:hint="eastAsia" w:ascii="宋体" w:hAnsi="宋体" w:cs="宋体"/>
          <w:color w:val="auto"/>
          <w:kern w:val="0"/>
          <w:szCs w:val="21"/>
          <w:highlight w:val="none"/>
          <w:vertAlign w:val="subscript"/>
        </w:rPr>
        <w:t>高</w:t>
      </w:r>
      <w:r>
        <w:rPr>
          <w:rFonts w:hint="eastAsia" w:ascii="宋体" w:hAnsi="宋体" w:cs="宋体"/>
          <w:color w:val="auto"/>
          <w:szCs w:val="21"/>
          <w:highlight w:val="none"/>
        </w:rPr>
        <w:t>：为最高投标限价</w:t>
      </w:r>
    </w:p>
    <w:p>
      <w:pPr>
        <w:widowControl/>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X：为等分值点，在开标前从[0,100]整数中随机抽取。</w:t>
      </w:r>
    </w:p>
    <w:p>
      <w:pPr>
        <w:widowControl/>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42.4.3.1按方法</w:t>
      </w:r>
      <w:r>
        <w:rPr>
          <w:rFonts w:hint="eastAsia" w:ascii="宋体" w:hAnsi="宋体" w:cs="宋体"/>
          <w:color w:val="auto"/>
          <w:szCs w:val="21"/>
          <w:highlight w:val="none"/>
          <w:lang w:val="en-US" w:eastAsia="zh-CN"/>
        </w:rPr>
        <w:t xml:space="preserve">  </w:t>
      </w:r>
      <w:r>
        <w:rPr>
          <w:rFonts w:hint="eastAsia" w:ascii="宋体" w:hAnsi="宋体" w:cs="宋体"/>
          <w:b/>
          <w:bCs/>
          <w:color w:val="auto"/>
          <w:szCs w:val="21"/>
          <w:highlight w:val="none"/>
          <w:lang w:val="en-US" w:eastAsia="zh-CN"/>
        </w:rPr>
        <w:t xml:space="preserve">二  </w:t>
      </w:r>
      <w:r>
        <w:rPr>
          <w:rFonts w:hint="eastAsia" w:ascii="宋体" w:hAnsi="宋体" w:cs="宋体"/>
          <w:color w:val="auto"/>
          <w:szCs w:val="21"/>
          <w:highlight w:val="none"/>
        </w:rPr>
        <w:t>计算评标参考价：</w:t>
      </w:r>
    </w:p>
    <w:p>
      <w:pPr>
        <w:widowControl/>
        <w:spacing w:line="360" w:lineRule="auto"/>
        <w:ind w:firstLine="422" w:firstLineChars="200"/>
        <w:rPr>
          <w:rFonts w:ascii="宋体" w:hAnsi="宋体"/>
          <w:b/>
          <w:bCs/>
          <w:color w:val="auto"/>
          <w:kern w:val="0"/>
          <w:szCs w:val="21"/>
          <w:highlight w:val="none"/>
        </w:rPr>
      </w:pPr>
      <w:r>
        <w:rPr>
          <w:rFonts w:hint="eastAsia" w:ascii="宋体" w:hAnsi="宋体" w:cs="仿宋"/>
          <w:b/>
          <w:bCs/>
          <w:color w:val="auto"/>
          <w:kern w:val="0"/>
          <w:szCs w:val="21"/>
          <w:highlight w:val="none"/>
        </w:rPr>
        <w:t>方法二：区间抽取法</w:t>
      </w:r>
    </w:p>
    <w:p>
      <w:pPr>
        <w:widowControl/>
        <w:spacing w:line="360" w:lineRule="auto"/>
        <w:ind w:firstLine="420" w:firstLineChars="200"/>
        <w:rPr>
          <w:rFonts w:ascii="宋体" w:hAnsi="宋体"/>
          <w:color w:val="auto"/>
          <w:kern w:val="0"/>
          <w:szCs w:val="21"/>
          <w:highlight w:val="none"/>
        </w:rPr>
      </w:pPr>
      <w:r>
        <w:rPr>
          <w:rFonts w:hint="eastAsia" w:ascii="宋体" w:hAnsi="宋体" w:cs="仿宋"/>
          <w:color w:val="auto"/>
          <w:szCs w:val="21"/>
          <w:highlight w:val="none"/>
        </w:rPr>
        <w:t>设立入围合格分数线（</w:t>
      </w:r>
      <w:r>
        <w:rPr>
          <w:rFonts w:hint="eastAsia" w:ascii="宋体" w:hAnsi="宋体" w:cs="宋体" w:eastAsiaTheme="minorEastAsia"/>
          <w:b/>
          <w:bCs/>
          <w:strike w:val="0"/>
          <w:color w:val="auto"/>
          <w:szCs w:val="21"/>
          <w:highlight w:val="none"/>
          <w:u w:val="single"/>
          <w:lang w:val="en-US" w:eastAsia="zh-CN"/>
        </w:rPr>
        <w:t>技术标得分为80分</w:t>
      </w:r>
      <w:r>
        <w:rPr>
          <w:rFonts w:hint="eastAsia" w:ascii="宋体" w:hAnsi="宋体" w:cs="仿宋"/>
          <w:color w:val="auto"/>
          <w:szCs w:val="21"/>
          <w:highlight w:val="none"/>
        </w:rPr>
        <w:t>），达到或超过</w:t>
      </w:r>
      <w:r>
        <w:rPr>
          <w:rFonts w:hint="eastAsia" w:ascii="宋体" w:hAnsi="宋体" w:cs="仿宋"/>
          <w:color w:val="auto"/>
          <w:szCs w:val="21"/>
          <w:highlight w:val="none"/>
          <w:u w:val="single"/>
        </w:rPr>
        <w:t>入围合格分数线</w:t>
      </w:r>
      <w:r>
        <w:rPr>
          <w:rFonts w:hint="eastAsia" w:ascii="宋体" w:hAnsi="宋体" w:cs="仿宋"/>
          <w:color w:val="auto"/>
          <w:szCs w:val="21"/>
          <w:highlight w:val="none"/>
        </w:rPr>
        <w:t>的投标人的报价方能参与评标参考价的计算。将达到或超过</w:t>
      </w:r>
      <w:r>
        <w:rPr>
          <w:rFonts w:hint="eastAsia" w:ascii="宋体" w:hAnsi="宋体" w:cs="仿宋"/>
          <w:color w:val="auto"/>
          <w:szCs w:val="21"/>
          <w:highlight w:val="none"/>
          <w:u w:val="single"/>
        </w:rPr>
        <w:t>入围合格分数线</w:t>
      </w:r>
      <w:r>
        <w:rPr>
          <w:rFonts w:hint="eastAsia" w:ascii="宋体" w:hAnsi="宋体" w:cs="仿宋"/>
          <w:color w:val="auto"/>
          <w:szCs w:val="21"/>
          <w:highlight w:val="none"/>
        </w:rPr>
        <w:t>的投标报价由低至高进行排列，按以下公式计算评标参考价，计算公式如下：</w:t>
      </w:r>
    </w:p>
    <w:p>
      <w:pPr>
        <w:widowControl/>
        <w:spacing w:line="360" w:lineRule="auto"/>
        <w:ind w:firstLine="420" w:firstLineChars="200"/>
        <w:rPr>
          <w:rFonts w:ascii="宋体" w:hAnsi="宋体"/>
          <w:color w:val="auto"/>
          <w:kern w:val="0"/>
          <w:szCs w:val="21"/>
          <w:highlight w:val="none"/>
          <w:vertAlign w:val="subscript"/>
        </w:rPr>
      </w:pPr>
      <w:r>
        <w:rPr>
          <w:rFonts w:hint="eastAsia" w:ascii="宋体" w:hAnsi="宋体" w:cs="仿宋"/>
          <w:color w:val="auto"/>
          <w:kern w:val="0"/>
          <w:szCs w:val="21"/>
          <w:highlight w:val="none"/>
        </w:rPr>
        <w:t>评标参考价</w:t>
      </w:r>
      <w:r>
        <w:rPr>
          <w:rFonts w:ascii="宋体" w:hAnsi="宋体" w:cs="仿宋"/>
          <w:color w:val="auto"/>
          <w:kern w:val="0"/>
          <w:szCs w:val="21"/>
          <w:highlight w:val="none"/>
        </w:rPr>
        <w:t>=</w:t>
      </w:r>
      <w:r>
        <w:rPr>
          <w:rFonts w:hint="eastAsia" w:ascii="宋体" w:hAnsi="宋体" w:cs="仿宋"/>
          <w:color w:val="auto"/>
          <w:kern w:val="0"/>
          <w:szCs w:val="21"/>
          <w:highlight w:val="none"/>
        </w:rPr>
        <w:t>（</w:t>
      </w:r>
      <w:r>
        <w:rPr>
          <w:rFonts w:ascii="宋体" w:hAnsi="宋体" w:cs="仿宋"/>
          <w:color w:val="auto"/>
          <w:kern w:val="0"/>
          <w:szCs w:val="21"/>
          <w:highlight w:val="none"/>
        </w:rPr>
        <w:t>Q</w:t>
      </w:r>
      <w:r>
        <w:rPr>
          <w:rFonts w:hint="eastAsia" w:ascii="宋体" w:hAnsi="宋体" w:cs="仿宋"/>
          <w:color w:val="auto"/>
          <w:kern w:val="0"/>
          <w:szCs w:val="21"/>
          <w:highlight w:val="none"/>
          <w:vertAlign w:val="subscript"/>
        </w:rPr>
        <w:t>高</w:t>
      </w:r>
      <w:r>
        <w:rPr>
          <w:rFonts w:ascii="宋体" w:hAnsi="宋体" w:cs="仿宋"/>
          <w:color w:val="auto"/>
          <w:kern w:val="0"/>
          <w:szCs w:val="21"/>
          <w:highlight w:val="none"/>
        </w:rPr>
        <w:t>-Q</w:t>
      </w:r>
      <w:r>
        <w:rPr>
          <w:rFonts w:hint="eastAsia" w:ascii="宋体" w:hAnsi="宋体" w:cs="仿宋"/>
          <w:color w:val="auto"/>
          <w:kern w:val="0"/>
          <w:szCs w:val="21"/>
          <w:highlight w:val="none"/>
          <w:vertAlign w:val="subscript"/>
        </w:rPr>
        <w:t>低</w:t>
      </w:r>
      <w:r>
        <w:rPr>
          <w:rFonts w:hint="eastAsia" w:ascii="宋体" w:hAnsi="宋体" w:cs="仿宋"/>
          <w:color w:val="auto"/>
          <w:kern w:val="0"/>
          <w:szCs w:val="21"/>
          <w:highlight w:val="none"/>
        </w:rPr>
        <w:t>）</w:t>
      </w:r>
      <w:r>
        <w:rPr>
          <w:rFonts w:ascii="宋体" w:hAnsi="宋体" w:cs="仿宋"/>
          <w:color w:val="auto"/>
          <w:kern w:val="0"/>
          <w:szCs w:val="21"/>
          <w:highlight w:val="none"/>
        </w:rPr>
        <w:t>/100*</w:t>
      </w:r>
      <w:r>
        <w:rPr>
          <w:rFonts w:hint="eastAsia" w:ascii="宋体" w:hAnsi="宋体" w:cs="仿宋"/>
          <w:color w:val="auto"/>
          <w:kern w:val="0"/>
          <w:szCs w:val="21"/>
          <w:highlight w:val="none"/>
        </w:rPr>
        <w:t>Ｘ</w:t>
      </w:r>
      <w:r>
        <w:rPr>
          <w:rFonts w:ascii="宋体" w:hAnsi="宋体" w:cs="仿宋"/>
          <w:color w:val="auto"/>
          <w:kern w:val="0"/>
          <w:szCs w:val="21"/>
          <w:highlight w:val="none"/>
        </w:rPr>
        <w:t>+Q</w:t>
      </w:r>
      <w:r>
        <w:rPr>
          <w:rFonts w:hint="eastAsia" w:ascii="宋体" w:hAnsi="宋体" w:cs="仿宋"/>
          <w:color w:val="auto"/>
          <w:kern w:val="0"/>
          <w:szCs w:val="21"/>
          <w:highlight w:val="none"/>
          <w:vertAlign w:val="subscript"/>
        </w:rPr>
        <w:t>低</w:t>
      </w:r>
    </w:p>
    <w:p>
      <w:pPr>
        <w:widowControl/>
        <w:spacing w:line="360" w:lineRule="auto"/>
        <w:ind w:firstLine="420" w:firstLineChars="200"/>
        <w:rPr>
          <w:rFonts w:ascii="宋体" w:hAnsi="宋体"/>
          <w:color w:val="auto"/>
          <w:szCs w:val="21"/>
          <w:highlight w:val="none"/>
        </w:rPr>
      </w:pPr>
      <w:r>
        <w:rPr>
          <w:rFonts w:ascii="宋体" w:hAnsi="宋体" w:cs="仿宋"/>
          <w:color w:val="auto"/>
          <w:szCs w:val="21"/>
          <w:highlight w:val="none"/>
        </w:rPr>
        <w:t>Q</w:t>
      </w:r>
      <w:r>
        <w:rPr>
          <w:rFonts w:hint="eastAsia" w:ascii="宋体" w:hAnsi="宋体" w:cs="仿宋"/>
          <w:color w:val="auto"/>
          <w:szCs w:val="21"/>
          <w:highlight w:val="none"/>
          <w:vertAlign w:val="subscript"/>
        </w:rPr>
        <w:t>低</w:t>
      </w:r>
      <w:r>
        <w:rPr>
          <w:rFonts w:hint="eastAsia" w:ascii="宋体" w:hAnsi="宋体" w:cs="仿宋"/>
          <w:color w:val="auto"/>
          <w:szCs w:val="21"/>
          <w:highlight w:val="none"/>
        </w:rPr>
        <w:t>：为达到或超过</w:t>
      </w:r>
      <w:r>
        <w:rPr>
          <w:rFonts w:hint="eastAsia" w:ascii="宋体" w:hAnsi="宋体" w:cs="仿宋"/>
          <w:color w:val="auto"/>
          <w:szCs w:val="21"/>
          <w:highlight w:val="none"/>
          <w:u w:val="single"/>
        </w:rPr>
        <w:t>入围合格分数线</w:t>
      </w:r>
      <w:r>
        <w:rPr>
          <w:rFonts w:hint="eastAsia" w:ascii="宋体" w:hAnsi="宋体" w:cs="仿宋"/>
          <w:color w:val="auto"/>
          <w:szCs w:val="21"/>
          <w:highlight w:val="none"/>
        </w:rPr>
        <w:t>的投标人最低报价与工程成本警示价两者中的较高值；</w:t>
      </w:r>
    </w:p>
    <w:p>
      <w:pPr>
        <w:spacing w:line="360" w:lineRule="auto"/>
        <w:ind w:firstLine="420" w:firstLineChars="200"/>
        <w:rPr>
          <w:rFonts w:ascii="宋体" w:hAnsi="宋体" w:cs="仿宋"/>
          <w:color w:val="auto"/>
          <w:szCs w:val="21"/>
          <w:highlight w:val="none"/>
        </w:rPr>
      </w:pPr>
      <w:r>
        <w:rPr>
          <w:rFonts w:ascii="宋体" w:hAnsi="宋体" w:cs="仿宋"/>
          <w:color w:val="auto"/>
          <w:kern w:val="0"/>
          <w:szCs w:val="21"/>
          <w:highlight w:val="none"/>
        </w:rPr>
        <w:t>Q</w:t>
      </w:r>
      <w:r>
        <w:rPr>
          <w:rFonts w:hint="eastAsia" w:ascii="宋体" w:hAnsi="宋体" w:cs="仿宋"/>
          <w:color w:val="auto"/>
          <w:kern w:val="0"/>
          <w:szCs w:val="21"/>
          <w:highlight w:val="none"/>
          <w:vertAlign w:val="subscript"/>
        </w:rPr>
        <w:t>高</w:t>
      </w:r>
      <w:r>
        <w:rPr>
          <w:rFonts w:hint="eastAsia" w:ascii="宋体" w:hAnsi="宋体" w:cs="仿宋"/>
          <w:color w:val="auto"/>
          <w:szCs w:val="21"/>
          <w:highlight w:val="none"/>
        </w:rPr>
        <w:t>：为最高投标限价</w:t>
      </w:r>
    </w:p>
    <w:p>
      <w:pPr>
        <w:spacing w:line="360" w:lineRule="auto"/>
        <w:ind w:firstLine="420" w:firstLineChars="200"/>
        <w:rPr>
          <w:rFonts w:ascii="宋体" w:hAnsi="宋体"/>
          <w:color w:val="auto"/>
          <w:szCs w:val="21"/>
          <w:highlight w:val="none"/>
        </w:rPr>
      </w:pPr>
      <w:r>
        <w:rPr>
          <w:rFonts w:ascii="宋体" w:hAnsi="宋体" w:cs="仿宋"/>
          <w:color w:val="auto"/>
          <w:szCs w:val="21"/>
          <w:highlight w:val="none"/>
        </w:rPr>
        <w:t>X</w:t>
      </w:r>
      <w:r>
        <w:rPr>
          <w:rFonts w:hint="eastAsia" w:ascii="宋体" w:hAnsi="宋体" w:cs="仿宋"/>
          <w:color w:val="auto"/>
          <w:szCs w:val="21"/>
          <w:highlight w:val="none"/>
        </w:rPr>
        <w:t>：为等分点值，</w:t>
      </w:r>
      <w:r>
        <w:rPr>
          <w:rFonts w:hint="eastAsia" w:ascii="宋体" w:hAnsi="宋体" w:cs="宋体"/>
          <w:color w:val="auto"/>
          <w:szCs w:val="21"/>
          <w:highlight w:val="none"/>
          <w:u w:val="single"/>
        </w:rPr>
        <w:t>采用广州交易集团有限公司（广州公共资源交易中心）交易平台在线系统</w:t>
      </w:r>
      <w:r>
        <w:rPr>
          <w:rFonts w:hint="eastAsia" w:ascii="宋体" w:hAnsi="宋体" w:cs="仿宋"/>
          <w:color w:val="auto"/>
          <w:szCs w:val="21"/>
          <w:highlight w:val="none"/>
        </w:rPr>
        <w:t>在开标前从</w:t>
      </w:r>
      <w:r>
        <w:rPr>
          <w:rFonts w:ascii="宋体" w:hAnsi="宋体" w:cs="仿宋"/>
          <w:color w:val="auto"/>
          <w:szCs w:val="21"/>
          <w:highlight w:val="none"/>
        </w:rPr>
        <w:t>[0,100]</w:t>
      </w:r>
      <w:r>
        <w:rPr>
          <w:rFonts w:hint="eastAsia" w:ascii="宋体" w:hAnsi="宋体" w:cs="仿宋"/>
          <w:color w:val="auto"/>
          <w:szCs w:val="21"/>
          <w:highlight w:val="none"/>
        </w:rPr>
        <w:t>整数中随机抽取</w:t>
      </w:r>
    </w:p>
    <w:p>
      <w:pPr>
        <w:pBdr>
          <w:bottom w:val="single" w:color="auto" w:sz="6" w:space="1"/>
        </w:pBdr>
        <w:spacing w:line="360" w:lineRule="auto"/>
        <w:ind w:firstLine="417" w:firstLineChars="199"/>
        <w:rPr>
          <w:rFonts w:ascii="宋体" w:hAnsi="宋体"/>
          <w:color w:val="auto"/>
          <w:szCs w:val="21"/>
          <w:highlight w:val="none"/>
        </w:rPr>
      </w:pPr>
      <w:r>
        <w:rPr>
          <w:rFonts w:hint="eastAsia" w:ascii="宋体" w:hAnsi="宋体" w:eastAsia="宋体" w:cs="Times New Roman"/>
          <w:color w:val="auto"/>
          <w:kern w:val="2"/>
          <w:sz w:val="21"/>
          <w:szCs w:val="21"/>
          <w:highlight w:val="none"/>
        </w:rPr>
        <w:t>42.4.3.2</w:t>
      </w:r>
      <w:r>
        <w:rPr>
          <w:rFonts w:hint="eastAsia" w:ascii="宋体" w:hAnsi="宋体"/>
          <w:color w:val="auto"/>
          <w:szCs w:val="21"/>
          <w:highlight w:val="none"/>
        </w:rPr>
        <w:t>当</w:t>
      </w:r>
      <w:r>
        <w:rPr>
          <w:rFonts w:hint="eastAsia" w:ascii="宋体" w:hAnsi="宋体"/>
          <w:color w:val="auto"/>
          <w:szCs w:val="21"/>
          <w:highlight w:val="none"/>
          <w:u w:val="single"/>
        </w:rPr>
        <w:t>投标总报价</w:t>
      </w:r>
      <w:r>
        <w:rPr>
          <w:rFonts w:hint="eastAsia" w:ascii="宋体" w:hAnsi="宋体"/>
          <w:color w:val="auto"/>
          <w:szCs w:val="21"/>
          <w:highlight w:val="none"/>
        </w:rPr>
        <w:t>等于评标参考价时得</w:t>
      </w:r>
      <w:r>
        <w:rPr>
          <w:rFonts w:ascii="宋体" w:hAnsi="宋体"/>
          <w:color w:val="auto"/>
          <w:szCs w:val="21"/>
          <w:highlight w:val="none"/>
        </w:rPr>
        <w:t>100</w:t>
      </w:r>
      <w:r>
        <w:rPr>
          <w:rFonts w:hint="eastAsia" w:ascii="宋体" w:hAnsi="宋体"/>
          <w:color w:val="auto"/>
          <w:szCs w:val="21"/>
          <w:highlight w:val="none"/>
        </w:rPr>
        <w:t>分，</w:t>
      </w:r>
      <w:r>
        <w:rPr>
          <w:rFonts w:hint="eastAsia" w:ascii="宋体" w:hAnsi="宋体"/>
          <w:color w:val="auto"/>
          <w:szCs w:val="21"/>
          <w:highlight w:val="none"/>
          <w:u w:val="single"/>
        </w:rPr>
        <w:t>投标总报价</w:t>
      </w:r>
      <w:r>
        <w:rPr>
          <w:rFonts w:hint="eastAsia" w:ascii="宋体" w:hAnsi="宋体"/>
          <w:color w:val="auto"/>
          <w:szCs w:val="21"/>
          <w:highlight w:val="none"/>
        </w:rPr>
        <w:t>每高于评标参考价</w:t>
      </w:r>
      <w:r>
        <w:rPr>
          <w:rFonts w:ascii="宋体" w:hAnsi="宋体"/>
          <w:color w:val="auto"/>
          <w:szCs w:val="21"/>
          <w:highlight w:val="none"/>
        </w:rPr>
        <w:t>1%</w:t>
      </w:r>
      <w:r>
        <w:rPr>
          <w:rFonts w:hint="eastAsia" w:ascii="宋体" w:hAnsi="宋体"/>
          <w:color w:val="auto"/>
          <w:szCs w:val="21"/>
          <w:highlight w:val="none"/>
        </w:rPr>
        <w:t>，扣1.5分，每低于评标参考价</w:t>
      </w:r>
      <w:r>
        <w:rPr>
          <w:rFonts w:ascii="宋体" w:hAnsi="宋体"/>
          <w:color w:val="auto"/>
          <w:szCs w:val="21"/>
          <w:highlight w:val="none"/>
        </w:rPr>
        <w:t>1%</w:t>
      </w:r>
      <w:r>
        <w:rPr>
          <w:rFonts w:hint="eastAsia" w:ascii="宋体" w:hAnsi="宋体"/>
          <w:color w:val="auto"/>
          <w:szCs w:val="21"/>
          <w:highlight w:val="none"/>
        </w:rPr>
        <w:t>，扣1分，扣至</w:t>
      </w:r>
      <w:r>
        <w:rPr>
          <w:rFonts w:ascii="宋体" w:hAnsi="宋体"/>
          <w:color w:val="auto"/>
          <w:szCs w:val="21"/>
          <w:highlight w:val="none"/>
        </w:rPr>
        <w:t>0</w:t>
      </w:r>
      <w:r>
        <w:rPr>
          <w:rFonts w:hint="eastAsia" w:ascii="宋体" w:hAnsi="宋体"/>
          <w:color w:val="auto"/>
          <w:szCs w:val="21"/>
          <w:highlight w:val="none"/>
        </w:rPr>
        <w:t>分为止，得出经济分，精确到小数点后两位。</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b/>
          <w:color w:val="auto"/>
          <w:kern w:val="0"/>
          <w:szCs w:val="21"/>
          <w:highlight w:val="none"/>
        </w:rPr>
        <w:t>42.4.5.8</w:t>
      </w:r>
      <w:r>
        <w:rPr>
          <w:rFonts w:hint="eastAsia" w:ascii="宋体" w:hAnsi="宋体" w:cs="宋体"/>
          <w:b/>
          <w:color w:val="auto"/>
          <w:szCs w:val="21"/>
          <w:highlight w:val="none"/>
        </w:rPr>
        <w:t xml:space="preserve">                    修改类型：修改</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42.4.5.8按上述修正错误的原则及方法调整或修正投标文件的投标报价，调整后的投标报价对投标人起约束作用。如果投标人不接受修正后的报价，则取消其投标资格，并且其投标保证金也将不予退还。</w:t>
      </w:r>
    </w:p>
    <w:p>
      <w:pPr>
        <w:pBdr>
          <w:bottom w:val="single" w:color="auto" w:sz="6" w:space="1"/>
        </w:pBdr>
        <w:spacing w:line="360" w:lineRule="auto"/>
        <w:ind w:firstLine="420" w:firstLineChars="199"/>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：42.4.5.8按上述修正错误的原则及方法调整或修正投标文件的投标报价，调整后的投标报价对投标人起约束作用。如果投标人不接受修正后的报价，则取消其投标资格。</w:t>
      </w:r>
    </w:p>
    <w:p>
      <w:pPr>
        <w:pBdr>
          <w:top w:val="single" w:color="auto" w:sz="4" w:space="1"/>
        </w:pBdr>
        <w:spacing w:line="360" w:lineRule="auto"/>
        <w:ind w:firstLine="413" w:firstLineChars="196"/>
        <w:rPr>
          <w:rFonts w:hint="eastAsia"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42.</w:t>
      </w:r>
      <w:r>
        <w:rPr>
          <w:rFonts w:hint="eastAsia" w:ascii="宋体" w:hAnsi="宋体" w:cs="宋体"/>
          <w:b/>
          <w:color w:val="auto"/>
          <w:szCs w:val="21"/>
          <w:highlight w:val="none"/>
        </w:rPr>
        <w:t>5                        修改类型：修改</w:t>
      </w:r>
    </w:p>
    <w:p>
      <w:pPr>
        <w:pBdr>
          <w:top w:val="single" w:color="auto" w:sz="4" w:space="1"/>
        </w:pBdr>
        <w:spacing w:line="360" w:lineRule="auto"/>
        <w:ind w:firstLine="413" w:firstLineChars="196"/>
        <w:rPr>
          <w:rFonts w:hint="eastAsia"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42.</w:t>
      </w:r>
      <w:r>
        <w:rPr>
          <w:rFonts w:hint="eastAsia" w:ascii="宋体" w:hAnsi="宋体" w:cs="宋体"/>
          <w:color w:val="auto"/>
          <w:szCs w:val="21"/>
          <w:highlight w:val="none"/>
        </w:rPr>
        <w:t>5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pStyle w:val="26"/>
        <w:spacing w:line="360" w:lineRule="auto"/>
        <w:ind w:firstLine="420" w:firstLineChars="199"/>
        <w:rPr>
          <w:rFonts w:hint="eastAsia" w:hAnsi="宋体" w:cs="宋体"/>
          <w:color w:val="auto"/>
          <w:kern w:val="2"/>
          <w:sz w:val="21"/>
          <w:szCs w:val="21"/>
          <w:highlight w:val="none"/>
        </w:rPr>
      </w:pPr>
      <w:r>
        <w:rPr>
          <w:rFonts w:hint="eastAsia" w:hAnsi="宋体" w:cs="宋体"/>
          <w:b/>
          <w:color w:val="auto"/>
          <w:sz w:val="21"/>
          <w:szCs w:val="21"/>
          <w:highlight w:val="none"/>
        </w:rPr>
        <w:t>现文：</w:t>
      </w:r>
      <w:r>
        <w:rPr>
          <w:rFonts w:hAnsi="宋体" w:cs="宋体"/>
          <w:color w:val="auto"/>
          <w:sz w:val="21"/>
          <w:szCs w:val="21"/>
          <w:highlight w:val="none"/>
        </w:rPr>
        <w:t>42.</w:t>
      </w:r>
      <w:r>
        <w:rPr>
          <w:rFonts w:hint="eastAsia" w:hAnsi="宋体" w:cs="宋体"/>
          <w:color w:val="auto"/>
          <w:sz w:val="21"/>
          <w:szCs w:val="21"/>
          <w:highlight w:val="none"/>
        </w:rPr>
        <w:t>5评标委员会按只有通过有效性审查的投标人的投标文件方可进入下一阶段评审的评审原则，根据有效性审查结果，</w:t>
      </w:r>
      <w:r>
        <w:rPr>
          <w:rFonts w:hint="eastAsia" w:hAnsi="宋体" w:cs="宋体"/>
          <w:color w:val="auto"/>
          <w:sz w:val="21"/>
          <w:szCs w:val="21"/>
          <w:highlight w:val="none"/>
          <w:u w:val="single"/>
        </w:rPr>
        <w:t>取消被否决投标的投标人，直至经济标有效性审查结束。</w:t>
      </w:r>
    </w:p>
    <w:p>
      <w:pPr>
        <w:pBdr>
          <w:top w:val="single" w:color="auto" w:sz="4" w:space="1"/>
        </w:pBdr>
        <w:spacing w:line="360" w:lineRule="auto"/>
        <w:ind w:firstLine="413" w:firstLineChars="196"/>
        <w:rPr>
          <w:rFonts w:hint="eastAsia" w:ascii="宋体" w:hAnsi="宋体"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42.</w:t>
      </w:r>
      <w:r>
        <w:rPr>
          <w:rFonts w:hint="eastAsia" w:ascii="宋体" w:hAnsi="宋体" w:cs="宋体"/>
          <w:b/>
          <w:color w:val="auto"/>
          <w:szCs w:val="21"/>
          <w:highlight w:val="none"/>
        </w:rPr>
        <w:t>6                        修改类型：修改</w:t>
      </w:r>
    </w:p>
    <w:p>
      <w:pPr>
        <w:pBdr>
          <w:top w:val="single" w:color="auto" w:sz="4" w:space="1"/>
        </w:pBdr>
        <w:spacing w:line="360" w:lineRule="auto"/>
        <w:ind w:firstLine="413" w:firstLineChars="196"/>
        <w:rPr>
          <w:rFonts w:hint="eastAsia"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42.6评标委员会应在通过投标文件经济标有效性审查的投标人中，按步骤42.4确定的投标人第二阶段排序，推荐前3名依次为第一中标候选人至第三中标候选人，并编制评标报告。</w:t>
      </w:r>
    </w:p>
    <w:p>
      <w:pPr>
        <w:pStyle w:val="26"/>
        <w:spacing w:line="360" w:lineRule="auto"/>
        <w:ind w:firstLine="420" w:firstLineChars="199"/>
        <w:rPr>
          <w:rFonts w:hint="eastAsia" w:hAnsi="宋体" w:cs="宋体"/>
          <w:color w:val="auto"/>
          <w:kern w:val="2"/>
          <w:sz w:val="21"/>
          <w:szCs w:val="21"/>
          <w:highlight w:val="none"/>
        </w:rPr>
      </w:pPr>
      <w:r>
        <w:rPr>
          <w:rFonts w:hint="eastAsia" w:hAnsi="宋体" w:cs="宋体"/>
          <w:b/>
          <w:color w:val="auto"/>
          <w:sz w:val="21"/>
          <w:szCs w:val="21"/>
          <w:highlight w:val="none"/>
        </w:rPr>
        <w:t>现文：</w:t>
      </w:r>
      <w:r>
        <w:rPr>
          <w:rFonts w:hint="eastAsia" w:hAnsi="宋体" w:cs="宋体"/>
          <w:color w:val="auto"/>
          <w:sz w:val="21"/>
          <w:szCs w:val="21"/>
          <w:highlight w:val="none"/>
        </w:rPr>
        <w:t>42.6评标委员会应在通过投标文件经济标有效性审查的投标人中，按步骤42.4确定的投标人第二阶段排序，推荐前</w:t>
      </w:r>
      <w:r>
        <w:rPr>
          <w:rFonts w:hint="eastAsia" w:hAnsi="宋体" w:cs="宋体"/>
          <w:color w:val="auto"/>
          <w:sz w:val="21"/>
          <w:szCs w:val="21"/>
          <w:highlight w:val="none"/>
          <w:u w:val="single"/>
        </w:rPr>
        <w:t>7名（通过经济标有效性审查家数在[3,7]的，以实际家数为准；超过7家的，则只推荐7家）不排序的合格的中标候选人进入定标阶段[不排序，按统一社会信用代码后4位（除校验码外）大小排位，如统一社会信用代码后4位出现字母情况的，字母以“0”进行代替大小排位；如出现后4位（除校验码外）大小一致的，则随机排位。若为联合体投标，指联合体主办方]，</w:t>
      </w:r>
      <w:r>
        <w:rPr>
          <w:rFonts w:hint="eastAsia" w:hAnsi="宋体" w:cs="宋体"/>
          <w:color w:val="auto"/>
          <w:sz w:val="21"/>
          <w:szCs w:val="21"/>
          <w:highlight w:val="none"/>
        </w:rPr>
        <w:t>并编制评标报告。</w:t>
      </w:r>
    </w:p>
    <w:p>
      <w:pPr>
        <w:pBdr>
          <w:bottom w:val="single" w:color="auto" w:sz="6" w:space="1"/>
        </w:pBdr>
        <w:spacing w:line="360" w:lineRule="auto"/>
        <w:rPr>
          <w:rFonts w:ascii="宋体" w:hAnsi="宋体" w:cs="宋体"/>
          <w:color w:val="auto"/>
          <w:szCs w:val="21"/>
          <w:highlight w:val="none"/>
        </w:rPr>
      </w:pP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b/>
          <w:color w:val="auto"/>
          <w:kern w:val="0"/>
          <w:szCs w:val="21"/>
          <w:highlight w:val="none"/>
        </w:rPr>
        <w:t>43</w:t>
      </w:r>
      <w:r>
        <w:rPr>
          <w:rFonts w:hint="eastAsia" w:ascii="宋体" w:hAnsi="宋体" w:cs="宋体"/>
          <w:b/>
          <w:color w:val="auto"/>
          <w:szCs w:val="21"/>
          <w:highlight w:val="none"/>
        </w:rPr>
        <w:t xml:space="preserve">                          修改类型：增加</w:t>
      </w:r>
    </w:p>
    <w:p>
      <w:pPr>
        <w:pBdr>
          <w:bottom w:val="single" w:color="auto" w:sz="6" w:space="1"/>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w:t>
      </w:r>
      <w:r>
        <w:rPr>
          <w:rFonts w:hint="eastAsia" w:ascii="宋体" w:hAnsi="宋体" w:cs="宋体"/>
          <w:b/>
          <w:bCs/>
          <w:color w:val="auto"/>
          <w:szCs w:val="21"/>
          <w:highlight w:val="none"/>
        </w:rPr>
        <w:t>43、定标</w:t>
      </w:r>
    </w:p>
    <w:p>
      <w:pPr>
        <w:pBdr>
          <w:bottom w:val="single" w:color="auto" w:sz="6" w:space="1"/>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43.1定标时间和地点</w:t>
      </w:r>
    </w:p>
    <w:p>
      <w:pPr>
        <w:pBdr>
          <w:bottom w:val="single" w:color="auto" w:sz="6" w:space="1"/>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招标人在中标候选人公示结束后10个工作日内在广州交易集团有限公司（广州公共资源交易中心）开展定标工作，招标人按规定程序在投标人须知的时间和地点完成定标工作。</w:t>
      </w:r>
    </w:p>
    <w:p>
      <w:pPr>
        <w:pBdr>
          <w:bottom w:val="single" w:color="auto" w:sz="6" w:space="1"/>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43.2定标委员会：成员数量为5人，由招标人组建。</w:t>
      </w:r>
    </w:p>
    <w:p>
      <w:pPr>
        <w:pBdr>
          <w:bottom w:val="single" w:color="auto" w:sz="6" w:space="1"/>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43.3监督小组：成员数量为1人，由招标人组建。</w:t>
      </w:r>
    </w:p>
    <w:p>
      <w:pPr>
        <w:pBdr>
          <w:bottom w:val="single" w:color="auto" w:sz="6" w:space="1"/>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43.4定标办法：</w:t>
      </w:r>
      <w:r>
        <w:rPr>
          <w:rFonts w:hint="eastAsia" w:ascii="宋体" w:hAnsi="宋体" w:cs="宋体" w:eastAsiaTheme="minorEastAsia"/>
          <w:b w:val="0"/>
          <w:bCs w:val="0"/>
          <w:color w:val="auto"/>
          <w:sz w:val="21"/>
          <w:szCs w:val="21"/>
          <w:highlight w:val="none"/>
          <w:u w:val="none"/>
          <w:lang w:val="en-US" w:eastAsia="zh-CN"/>
        </w:rPr>
        <w:t>定标采用直接票决定标法（记名投票+撰写评语）。</w:t>
      </w:r>
    </w:p>
    <w:p>
      <w:pPr>
        <w:pBdr>
          <w:bottom w:val="single" w:color="auto" w:sz="6" w:space="1"/>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43.5定标因素：</w:t>
      </w:r>
      <w:r>
        <w:rPr>
          <w:rFonts w:hint="eastAsia" w:ascii="宋体" w:hAnsi="宋体" w:cs="宋体"/>
          <w:color w:val="auto"/>
          <w:kern w:val="2"/>
          <w:sz w:val="21"/>
          <w:szCs w:val="21"/>
          <w:highlight w:val="none"/>
        </w:rPr>
        <w:t>详见《定标因素表》</w:t>
      </w:r>
      <w:r>
        <w:rPr>
          <w:rFonts w:hint="eastAsia" w:ascii="宋体" w:hAnsi="宋体" w:cs="宋体"/>
          <w:color w:val="auto"/>
          <w:szCs w:val="21"/>
          <w:highlight w:val="none"/>
        </w:rPr>
        <w:t>。</w:t>
      </w:r>
    </w:p>
    <w:p>
      <w:pPr>
        <w:pBdr>
          <w:bottom w:val="single" w:color="auto" w:sz="6" w:space="1"/>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43.6定标程序</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招标人或其委托的招标代理机构应安排1名熟悉情况的工作人员在定标会场担任招标项目负责人，按程序组织定标工作：</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43.6.1招标项目负责人宣读定标委员会组建情况及成员名单，宣读定标纪律，签订廉政责任书。</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43.6.2定标工作开始后，定标委员会应推荐一人为定标委员会组长。</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43.6.3发放定标辅助资料：招标文件、评标阶段的评标报告、合格的中标候选人提交的投标文件（含定标文件</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如有</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43.6.4定标委员会在评标委员会评审的基础上，根据评标阶段的评标报告、合格中标候选人提交的投标文件及定标文件</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如有</w:t>
      </w:r>
      <w:r>
        <w:rPr>
          <w:rFonts w:hint="eastAsia" w:ascii="宋体" w:hAnsi="宋体" w:cs="宋体"/>
          <w:color w:val="auto"/>
          <w:szCs w:val="21"/>
          <w:highlight w:val="none"/>
          <w:lang w:eastAsia="zh-CN"/>
        </w:rPr>
        <w:t>）</w:t>
      </w:r>
      <w:r>
        <w:rPr>
          <w:rFonts w:hint="eastAsia" w:ascii="宋体" w:hAnsi="宋体" w:cs="宋体"/>
          <w:color w:val="auto"/>
          <w:szCs w:val="21"/>
          <w:highlight w:val="none"/>
        </w:rPr>
        <w:t>、定标因素对进入定标阶段合格中标候选人的定标技术文件合理性、价格进行横向对比并投票。</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43.6.5发放选票，由定标委员会根据定标因素进行记名投票并撰写评语。</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43.6.6投票规则：定标委员会根据定标因素对各合格的中标候选人进行评审后，进行一轮一次性票决，每位定标委员会成员只有1票表决权（即只能对其中1家合格的中标候选人投票），得票数最多的合格的中标候选人确定为中标人，若出现票数相同且无法决出中标人时，对票数相同的合格的中标候选人再进行一次性票决，直至决出中标人。</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43.6.6.1定标委员会成员投票时，应按照招标文件规定的投票规则独立行使投票权，不得弃权或产生废票。</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43.6.6.2定标委员会根据选票情况确定中标人。</w:t>
      </w:r>
    </w:p>
    <w:p>
      <w:pPr>
        <w:pBdr>
          <w:bottom w:val="single" w:color="auto" w:sz="6" w:space="1"/>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43.6.6.3编写定标报告，定标委员会全体确认后签署定标报告。</w:t>
      </w:r>
    </w:p>
    <w:p>
      <w:pPr>
        <w:pBdr>
          <w:bottom w:val="single" w:color="auto" w:sz="6" w:space="1"/>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43.7 招标人应当在定标工作完成后3日内公示中标结果。</w:t>
      </w:r>
    </w:p>
    <w:p>
      <w:pPr>
        <w:pBdr>
          <w:bottom w:val="single" w:color="auto" w:sz="6" w:space="1"/>
        </w:pBd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43.8</w:t>
      </w:r>
      <w:r>
        <w:rPr>
          <w:rFonts w:hint="eastAsia" w:ascii="宋体" w:hAnsi="宋体" w:eastAsia="宋体" w:cs="宋体"/>
          <w:color w:val="auto"/>
          <w:sz w:val="21"/>
          <w:szCs w:val="21"/>
          <w:highlight w:val="none"/>
        </w:rPr>
        <w:t>重新评标或定标的，评标信息（含业绩、奖项等）、定标信息仍以投标截止时投标人的信息为准。因特殊原因需要延长投标有效期，投标人拒绝延长投标有效期的，仍参与评标、定标，但不被推荐为合格的中标候选人。</w:t>
      </w:r>
    </w:p>
    <w:p>
      <w:pPr>
        <w:pBdr>
          <w:bottom w:val="single" w:color="auto" w:sz="6" w:space="1"/>
        </w:pBdr>
        <w:spacing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cs="宋体"/>
          <w:color w:val="auto"/>
          <w:szCs w:val="21"/>
          <w:highlight w:val="none"/>
        </w:rPr>
        <w:t>43.9</w:t>
      </w:r>
      <w:r>
        <w:rPr>
          <w:rFonts w:hint="eastAsia" w:ascii="宋体" w:hAnsi="宋体" w:eastAsia="宋体" w:cs="宋体"/>
          <w:color w:val="auto"/>
          <w:sz w:val="21"/>
          <w:szCs w:val="21"/>
          <w:highlight w:val="none"/>
        </w:rPr>
        <w:t>在合格中标候选人公示期间或在定标前，如有合格的中标候选人放弃中标候选人资格或者被查实存在影响中标候选人资格的违法行为等情形，且合格的中标候选人至少有1名的，招标人不再递补其他合格的中标候选人，可以继续定标或依法重新招标；如没有合格的中标候选人的，则依法重新招标。</w:t>
      </w:r>
    </w:p>
    <w:p>
      <w:pPr>
        <w:pBdr>
          <w:bottom w:val="single" w:color="auto" w:sz="6" w:space="1"/>
        </w:pBdr>
        <w:spacing w:line="360" w:lineRule="auto"/>
        <w:ind w:firstLine="420" w:firstLineChars="200"/>
        <w:jc w:val="left"/>
        <w:rPr>
          <w:rFonts w:hint="eastAsia" w:ascii="宋体" w:hAnsi="宋体" w:eastAsia="宋体" w:cs="宋体"/>
          <w:b w:val="0"/>
          <w:bCs w:val="0"/>
          <w:color w:val="auto"/>
          <w:szCs w:val="21"/>
          <w:highlight w:val="none"/>
          <w:u w:val="none"/>
        </w:rPr>
      </w:pPr>
      <w:r>
        <w:rPr>
          <w:rFonts w:hint="eastAsia" w:ascii="宋体" w:hAnsi="宋体" w:cs="宋体"/>
          <w:b w:val="0"/>
          <w:bCs/>
          <w:color w:val="auto"/>
          <w:szCs w:val="21"/>
          <w:highlight w:val="none"/>
          <w:u w:val="none"/>
          <w:lang w:eastAsia="zh-CN"/>
        </w:rPr>
        <w:t>4</w:t>
      </w:r>
      <w:r>
        <w:rPr>
          <w:rFonts w:hint="eastAsia" w:ascii="宋体" w:hAnsi="宋体" w:cs="宋体"/>
          <w:b w:val="0"/>
          <w:bCs/>
          <w:color w:val="auto"/>
          <w:szCs w:val="21"/>
          <w:highlight w:val="none"/>
          <w:u w:val="none"/>
          <w:lang w:val="en-US" w:eastAsia="zh-CN"/>
        </w:rPr>
        <w:t>3.10</w:t>
      </w:r>
      <w:r>
        <w:rPr>
          <w:rFonts w:hint="eastAsia" w:ascii="宋体" w:hAnsi="宋体" w:eastAsia="宋体" w:cs="宋体"/>
          <w:color w:val="auto"/>
          <w:sz w:val="21"/>
          <w:szCs w:val="21"/>
          <w:highlight w:val="none"/>
        </w:rPr>
        <w:t>在定标后，如中标人放弃中标、或因不可抗力提出不能履行合同，或者招标文件规定应当提交履约担保而在规定的期限内未能提交的，或经核查发现委派的项目负责人已在其他在建项目中担任本职务的，或者被查实存在影响中标结果的违法行为等情形，招标人有权取消其中标人资格或解除合同，可由原定标委员会根据原定标办法从其他合格的中标候选人中重新票决确定中标人，招标人也可以依法重新招标。</w:t>
      </w:r>
    </w:p>
    <w:p>
      <w:pPr>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条款号：附表一《资格审查表》                   修改类型：修改</w:t>
      </w:r>
    </w:p>
    <w:p>
      <w:pPr>
        <w:spacing w:line="360" w:lineRule="auto"/>
        <w:ind w:firstLine="424" w:firstLineChars="201"/>
        <w:rPr>
          <w:rFonts w:ascii="宋体" w:hAnsi="宋体" w:cs="宋体"/>
          <w:bCs/>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详见最新版广州市建设工程施工公开招标项目招标文件范本（适用于资格后审综合评分法、经评审的最低投标价法的施工电子招标项目）GZZB2018-3</w:t>
      </w:r>
    </w:p>
    <w:p>
      <w:pPr>
        <w:pBdr>
          <w:bottom w:val="single" w:color="auto" w:sz="6" w:space="1"/>
        </w:pBdr>
        <w:spacing w:line="360" w:lineRule="auto"/>
        <w:ind w:firstLine="424" w:firstLineChars="201"/>
        <w:rPr>
          <w:rFonts w:ascii="宋体" w:hAnsi="宋体" w:cs="宋体"/>
          <w:color w:val="auto"/>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详见本招标文件第二章附表一《资格审查表》</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条款号：附表二 《技术标有效性审查表》          修改类型：修改</w:t>
      </w:r>
    </w:p>
    <w:p>
      <w:pPr>
        <w:pBdr>
          <w:bottom w:val="single" w:color="auto" w:sz="6" w:space="1"/>
        </w:pBdr>
        <w:spacing w:line="360" w:lineRule="auto"/>
        <w:ind w:firstLine="424" w:firstLineChars="201"/>
        <w:rPr>
          <w:rFonts w:ascii="宋体" w:hAnsi="宋体" w:cs="宋体"/>
          <w:bCs/>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详见最新版广州市建设工程施工公开招标项目招标文件范本（适用于资格后审综合评分法、经评审的最低投标价法的施工电子招标项目）GZZB2018-3</w:t>
      </w:r>
    </w:p>
    <w:p>
      <w:pPr>
        <w:pBdr>
          <w:bottom w:val="single" w:color="auto" w:sz="6" w:space="1"/>
        </w:pBdr>
        <w:spacing w:line="360" w:lineRule="auto"/>
        <w:ind w:firstLine="424" w:firstLineChars="201"/>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详见本招标文件第二章附表二《技术标有效性审查表》</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条款号：附表三《经济标有效性审查表》           修改类型：修改</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详见最新版广州市建设工程施工公开招标项目招标文件范本（适用于资格后审综合评分法、经评审的最低投标价法的施工电子招标项目）GZZB2018-3</w:t>
      </w:r>
    </w:p>
    <w:p>
      <w:pPr>
        <w:pBdr>
          <w:bottom w:val="single" w:color="auto" w:sz="6" w:space="1"/>
        </w:pBd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详见本招标文件第二章附表三《经济标有效性审查表》</w:t>
      </w:r>
    </w:p>
    <w:p>
      <w:pP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条款号：附表</w:t>
      </w:r>
      <w:r>
        <w:rPr>
          <w:rFonts w:hint="eastAsia" w:ascii="宋体" w:hAnsi="宋体" w:cs="宋体"/>
          <w:b/>
          <w:color w:val="auto"/>
          <w:szCs w:val="21"/>
          <w:highlight w:val="none"/>
          <w:lang w:val="en-US" w:eastAsia="zh-CN"/>
        </w:rPr>
        <w:t>四</w:t>
      </w:r>
      <w:r>
        <w:rPr>
          <w:rFonts w:hint="eastAsia" w:ascii="宋体" w:hAnsi="宋体" w:cs="宋体"/>
          <w:b/>
          <w:color w:val="auto"/>
          <w:szCs w:val="21"/>
          <w:highlight w:val="none"/>
        </w:rPr>
        <w:t xml:space="preserve">《技术标详细审查评分表》         修改类型：修改  </w:t>
      </w:r>
    </w:p>
    <w:p>
      <w:pPr>
        <w:spacing w:line="360" w:lineRule="auto"/>
        <w:ind w:firstLine="424" w:firstLineChars="201"/>
        <w:rPr>
          <w:rFonts w:ascii="宋体" w:hAnsi="宋体" w:cs="宋体"/>
          <w:bCs/>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详见最新版广州市建设工程施工公开招标项目招标文件范本（适用于资格后审综合评分法、经评审的最低投标价法的施工电子招标项目）GZZB2018-3</w:t>
      </w:r>
    </w:p>
    <w:p>
      <w:pPr>
        <w:pBdr>
          <w:bottom w:val="single" w:color="auto" w:sz="6" w:space="1"/>
        </w:pBdr>
        <w:spacing w:line="360" w:lineRule="auto"/>
        <w:ind w:firstLine="424" w:firstLineChars="201"/>
        <w:rPr>
          <w:rFonts w:ascii="宋体" w:hAnsi="宋体" w:cs="宋体"/>
          <w:b/>
          <w:color w:val="auto"/>
          <w:szCs w:val="21"/>
          <w:highlight w:val="none"/>
        </w:rPr>
      </w:pPr>
      <w:r>
        <w:rPr>
          <w:rFonts w:hint="eastAsia" w:ascii="宋体" w:hAnsi="宋体" w:cs="宋体"/>
          <w:b/>
          <w:color w:val="auto"/>
          <w:szCs w:val="21"/>
          <w:highlight w:val="none"/>
        </w:rPr>
        <w:t>现文：</w:t>
      </w:r>
      <w:r>
        <w:rPr>
          <w:rFonts w:hint="eastAsia" w:ascii="Times New Roman" w:hAnsi="Times New Roman"/>
          <w:color w:val="auto"/>
          <w:szCs w:val="21"/>
          <w:highlight w:val="none"/>
          <w:u w:val="single"/>
        </w:rPr>
        <w:t>见后附（现文：附表四《</w:t>
      </w:r>
      <w:r>
        <w:rPr>
          <w:rFonts w:hint="eastAsia" w:ascii="宋体" w:hAnsi="宋体" w:cs="宋体"/>
          <w:color w:val="auto"/>
          <w:szCs w:val="21"/>
          <w:highlight w:val="none"/>
          <w:u w:val="single"/>
        </w:rPr>
        <w:t>技术标详细审查评分表</w:t>
      </w:r>
      <w:r>
        <w:rPr>
          <w:rFonts w:hint="eastAsia" w:ascii="Times New Roman" w:hAnsi="Times New Roman"/>
          <w:color w:val="auto"/>
          <w:szCs w:val="21"/>
          <w:highlight w:val="none"/>
          <w:u w:val="single"/>
        </w:rPr>
        <w:t>》。</w:t>
      </w:r>
    </w:p>
    <w:p>
      <w:pP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条款号：附表五（适用于加权平均法）《经济标评分表》        修改类型：删除</w:t>
      </w:r>
    </w:p>
    <w:p>
      <w:pPr>
        <w:pBdr>
          <w:bottom w:val="single" w:color="auto" w:sz="6" w:space="1"/>
        </w:pBdr>
        <w:spacing w:line="360" w:lineRule="auto"/>
        <w:ind w:firstLine="472" w:firstLineChars="224"/>
        <w:rPr>
          <w:rFonts w:hint="eastAsia"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详见最新版广州市建设工程施工公开招标项目招标文件范本（适用于资格后审综合评分法、经评审的最低投标价法的施工电子招标项目）GZZB2018-3</w:t>
      </w:r>
    </w:p>
    <w:p>
      <w:pPr>
        <w:spacing w:line="360" w:lineRule="auto"/>
        <w:ind w:firstLine="420" w:firstLineChars="200"/>
        <w:jc w:val="left"/>
        <w:rPr>
          <w:rFonts w:hint="eastAsia" w:ascii="宋体" w:hAnsi="Calibri" w:eastAsia="宋体" w:cs="宋体"/>
          <w:b w:val="0"/>
          <w:bCs/>
          <w:color w:val="auto"/>
          <w:sz w:val="21"/>
          <w:szCs w:val="21"/>
          <w:highlight w:val="none"/>
          <w:u w:val="single"/>
        </w:rPr>
      </w:pPr>
      <w:r>
        <w:rPr>
          <w:rFonts w:hint="eastAsia" w:ascii="宋体" w:hAnsi="Calibri" w:eastAsia="宋体" w:cs="宋体"/>
          <w:b w:val="0"/>
          <w:bCs/>
          <w:color w:val="auto"/>
          <w:sz w:val="21"/>
          <w:szCs w:val="21"/>
          <w:highlight w:val="none"/>
          <w:u w:val="none"/>
        </w:rPr>
        <w:t>条款号：</w:t>
      </w:r>
      <w:r>
        <w:rPr>
          <w:rFonts w:hint="eastAsia" w:ascii="宋体" w:hAnsi="Calibri" w:eastAsia="宋体" w:cs="宋体"/>
          <w:b w:val="0"/>
          <w:bCs/>
          <w:color w:val="auto"/>
          <w:sz w:val="21"/>
          <w:szCs w:val="21"/>
          <w:highlight w:val="none"/>
          <w:u w:val="single"/>
        </w:rPr>
        <w:t>附表七：《定标因素表（定标阶段用表）》    附表八：《定标选票表（定标阶段）》附表九：《投票汇总表格（定标阶段）》 附表十：《附加票定标选票表（定标阶段-票数相同时定标委员会个人用表）》  附表十一《附加票定标选票表汇总表（定标阶段-票数相同时定标委员会汇总用表）》  附表十二《定标情况汇总表（定标阶段）》  修改类型：增加</w:t>
      </w:r>
    </w:p>
    <w:p>
      <w:pPr>
        <w:spacing w:line="360" w:lineRule="auto"/>
        <w:ind w:firstLine="0" w:firstLineChars="0"/>
        <w:jc w:val="both"/>
        <w:rPr>
          <w:rFonts w:hAnsi="宋体" w:cs="宋体"/>
          <w:b w:val="0"/>
          <w:bCs/>
          <w:color w:val="auto"/>
          <w:szCs w:val="21"/>
          <w:highlight w:val="none"/>
          <w:u w:val="single"/>
        </w:rPr>
      </w:pPr>
    </w:p>
    <w:p>
      <w:pPr>
        <w:spacing w:line="360" w:lineRule="auto"/>
        <w:ind w:firstLine="422" w:firstLineChars="200"/>
        <w:jc w:val="left"/>
        <w:rPr>
          <w:rFonts w:hint="eastAsia" w:ascii="宋体" w:eastAsia="宋体" w:cs="宋体"/>
          <w:b w:val="0"/>
          <w:bCs/>
          <w:color w:val="auto"/>
          <w:szCs w:val="21"/>
          <w:highlight w:val="none"/>
          <w:u w:val="single"/>
        </w:rPr>
      </w:pPr>
      <w:r>
        <w:rPr>
          <w:rFonts w:hAnsi="宋体" w:cs="宋体"/>
          <w:b/>
          <w:bCs w:val="0"/>
          <w:color w:val="auto"/>
          <w:szCs w:val="21"/>
          <w:highlight w:val="none"/>
          <w:u w:val="single"/>
        </w:rPr>
        <w:t>现文：</w:t>
      </w:r>
      <w:r>
        <w:rPr>
          <w:rFonts w:hint="eastAsia" w:ascii="宋体" w:cs="宋体"/>
          <w:b w:val="0"/>
          <w:bCs/>
          <w:color w:val="auto"/>
          <w:szCs w:val="21"/>
          <w:highlight w:val="none"/>
          <w:u w:val="single"/>
        </w:rPr>
        <w:t>附表七：《定标因素表（定标阶段用表）》    附表八：《定标选票表（定标阶段）》附表九：《投票汇总表格（定标阶段）》 附表十：《附加票定标选票表（定标阶段-票数相同时定标委员会个人用表）》  附表十一《附加票定标选票表汇总表（定标阶段-票数相同时定标委员会汇总用表）》  附表十二《定标情况汇总表（定标阶段）》</w:t>
      </w:r>
    </w:p>
    <w:p>
      <w:pPr>
        <w:pBdr>
          <w:bottom w:val="single" w:color="auto" w:sz="6" w:space="1"/>
        </w:pBdr>
        <w:spacing w:line="360" w:lineRule="auto"/>
        <w:ind w:firstLine="420" w:firstLineChars="200"/>
        <w:jc w:val="left"/>
        <w:rPr>
          <w:rFonts w:hint="eastAsia" w:hAnsi="宋体" w:eastAsia="宋体" w:cs="宋体"/>
          <w:b w:val="0"/>
          <w:bCs/>
          <w:color w:val="auto"/>
          <w:szCs w:val="21"/>
          <w:highlight w:val="none"/>
          <w:u w:val="single"/>
          <w:lang w:eastAsia="zh-CN"/>
        </w:rPr>
      </w:pPr>
    </w:p>
    <w:p>
      <w:pPr>
        <w:spacing w:line="360" w:lineRule="auto"/>
        <w:ind w:firstLine="211" w:firstLineChars="100"/>
        <w:rPr>
          <w:rFonts w:ascii="宋体" w:hAnsi="宋体" w:cs="宋体"/>
          <w:b/>
          <w:color w:val="auto"/>
          <w:szCs w:val="21"/>
          <w:highlight w:val="none"/>
        </w:rPr>
      </w:pPr>
      <w:r>
        <w:rPr>
          <w:rFonts w:hint="eastAsia" w:ascii="宋体" w:hAnsi="宋体" w:cs="宋体"/>
          <w:b/>
          <w:color w:val="auto"/>
          <w:szCs w:val="21"/>
          <w:highlight w:val="none"/>
        </w:rPr>
        <w:t>注：以上修改，仅限于本范本中有可供选择条款的情形。</w:t>
      </w:r>
    </w:p>
    <w:p>
      <w:pPr>
        <w:spacing w:line="360" w:lineRule="auto"/>
        <w:rPr>
          <w:rFonts w:ascii="宋体" w:hAnsi="宋体" w:cs="宋体"/>
          <w:b/>
          <w:bCs/>
          <w:color w:val="auto"/>
          <w:highlight w:val="none"/>
        </w:rPr>
      </w:pPr>
      <w:r>
        <w:rPr>
          <w:rFonts w:hint="eastAsia" w:ascii="宋体" w:hAnsi="宋体" w:cs="宋体"/>
          <w:b/>
          <w:color w:val="auto"/>
          <w:szCs w:val="21"/>
          <w:highlight w:val="none"/>
        </w:rPr>
        <w:t>（以下无正文）</w:t>
      </w:r>
      <w:r>
        <w:rPr>
          <w:rFonts w:ascii="宋体" w:hAnsi="宋体" w:cs="宋体"/>
          <w:b/>
          <w:bCs/>
          <w:color w:val="auto"/>
          <w:highlight w:val="none"/>
        </w:rPr>
        <w:br w:type="page"/>
      </w:r>
    </w:p>
    <w:bookmarkEnd w:id="138"/>
    <w:p>
      <w:pPr>
        <w:pStyle w:val="4"/>
        <w:rPr>
          <w:color w:val="auto"/>
          <w:highlight w:val="none"/>
        </w:rPr>
      </w:pPr>
      <w:bookmarkStart w:id="139" w:name="_Toc31501"/>
      <w:bookmarkStart w:id="140" w:name="_Toc24714"/>
      <w:bookmarkStart w:id="141" w:name="_Toc29873"/>
      <w:bookmarkStart w:id="142" w:name="_Toc17484"/>
      <w:bookmarkStart w:id="143" w:name="_Toc25875"/>
      <w:bookmarkStart w:id="144" w:name="_Toc13295"/>
      <w:bookmarkStart w:id="145" w:name="_Toc6210"/>
      <w:bookmarkStart w:id="146" w:name="_Toc20194"/>
      <w:bookmarkStart w:id="147" w:name="_Toc14783"/>
      <w:bookmarkStart w:id="148" w:name="_Toc902"/>
      <w:bookmarkStart w:id="149" w:name="_Toc16163"/>
      <w:r>
        <w:rPr>
          <w:rFonts w:hint="eastAsia"/>
          <w:color w:val="auto"/>
          <w:highlight w:val="none"/>
        </w:rPr>
        <w:t>二、开标、评标及定标办法</w:t>
      </w:r>
      <w:r>
        <w:rPr>
          <w:rFonts w:hint="eastAsia"/>
          <w:color w:val="auto"/>
          <w:szCs w:val="30"/>
          <w:highlight w:val="none"/>
        </w:rPr>
        <w:t>通用条款</w:t>
      </w:r>
      <w:bookmarkEnd w:id="139"/>
      <w:bookmarkEnd w:id="140"/>
      <w:bookmarkEnd w:id="141"/>
      <w:bookmarkEnd w:id="142"/>
      <w:bookmarkEnd w:id="143"/>
      <w:bookmarkEnd w:id="144"/>
      <w:bookmarkEnd w:id="145"/>
      <w:bookmarkEnd w:id="146"/>
      <w:bookmarkEnd w:id="147"/>
      <w:bookmarkEnd w:id="148"/>
      <w:bookmarkEnd w:id="149"/>
    </w:p>
    <w:p>
      <w:pPr>
        <w:widowControl/>
        <w:spacing w:before="100" w:beforeAutospacing="1" w:after="100" w:afterAutospacing="1" w:line="360" w:lineRule="auto"/>
        <w:ind w:firstLine="480" w:firstLineChars="200"/>
        <w:jc w:val="left"/>
        <w:outlineLvl w:val="2"/>
        <w:rPr>
          <w:rFonts w:ascii="宋体" w:hAnsi="宋体" w:cs="宋体"/>
          <w:color w:val="auto"/>
          <w:kern w:val="0"/>
          <w:sz w:val="24"/>
          <w:szCs w:val="24"/>
          <w:highlight w:val="none"/>
        </w:rPr>
      </w:pPr>
      <w:bookmarkStart w:id="150" w:name="_Toc6913"/>
      <w:bookmarkStart w:id="151" w:name="_Toc8178"/>
      <w:bookmarkStart w:id="152" w:name="_Toc7160"/>
      <w:bookmarkStart w:id="153" w:name="_Toc2715"/>
      <w:bookmarkStart w:id="154" w:name="_Toc5586"/>
      <w:bookmarkStart w:id="155" w:name="_Toc28877"/>
      <w:bookmarkStart w:id="156" w:name="_Toc25978"/>
      <w:bookmarkStart w:id="157" w:name="_Toc58838579"/>
      <w:bookmarkStart w:id="158" w:name="_Toc12818"/>
      <w:bookmarkStart w:id="159" w:name="_Toc18738"/>
      <w:bookmarkStart w:id="160" w:name="_Toc6121"/>
      <w:bookmarkStart w:id="161" w:name="_Toc19505"/>
      <w:r>
        <w:rPr>
          <w:rFonts w:hint="eastAsia" w:ascii="宋体" w:hAnsi="宋体" w:cs="宋体"/>
          <w:color w:val="auto"/>
          <w:kern w:val="0"/>
          <w:sz w:val="24"/>
          <w:szCs w:val="24"/>
          <w:highlight w:val="none"/>
        </w:rPr>
        <w:t>（一）总则</w:t>
      </w:r>
      <w:bookmarkEnd w:id="150"/>
      <w:bookmarkEnd w:id="151"/>
      <w:bookmarkEnd w:id="152"/>
      <w:bookmarkEnd w:id="153"/>
      <w:bookmarkEnd w:id="154"/>
      <w:bookmarkEnd w:id="155"/>
      <w:bookmarkEnd w:id="156"/>
      <w:bookmarkEnd w:id="157"/>
      <w:bookmarkEnd w:id="158"/>
      <w:bookmarkEnd w:id="159"/>
      <w:bookmarkEnd w:id="160"/>
      <w:bookmarkEnd w:id="161"/>
    </w:p>
    <w:p>
      <w:pPr>
        <w:spacing w:line="360" w:lineRule="auto"/>
        <w:ind w:firstLine="480" w:firstLineChars="200"/>
        <w:rPr>
          <w:rFonts w:ascii="宋体" w:hAnsi="宋体"/>
          <w:b/>
          <w:color w:val="auto"/>
          <w:sz w:val="24"/>
          <w:szCs w:val="24"/>
          <w:highlight w:val="none"/>
        </w:rPr>
      </w:pPr>
      <w:r>
        <w:rPr>
          <w:rFonts w:ascii="宋体" w:hAnsi="宋体"/>
          <w:color w:val="auto"/>
          <w:sz w:val="24"/>
          <w:szCs w:val="24"/>
          <w:highlight w:val="none"/>
        </w:rPr>
        <w:t xml:space="preserve">35 </w:t>
      </w:r>
      <w:r>
        <w:rPr>
          <w:rFonts w:hint="eastAsia" w:ascii="宋体" w:hAnsi="宋体"/>
          <w:color w:val="auto"/>
          <w:sz w:val="24"/>
          <w:szCs w:val="24"/>
          <w:highlight w:val="none"/>
        </w:rPr>
        <w:t>开标、评标及定标所依据的规则</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35.1</w:t>
      </w:r>
      <w:r>
        <w:rPr>
          <w:rFonts w:hint="eastAsia" w:ascii="宋体" w:hAnsi="宋体"/>
          <w:color w:val="auto"/>
          <w:sz w:val="24"/>
          <w:szCs w:val="24"/>
          <w:highlight w:val="none"/>
        </w:rPr>
        <w:t>《中华人民共和国招标投标法》；</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35.2</w:t>
      </w:r>
      <w:r>
        <w:rPr>
          <w:rFonts w:hint="eastAsia" w:ascii="宋体" w:hAnsi="宋体"/>
          <w:color w:val="auto"/>
          <w:sz w:val="24"/>
          <w:szCs w:val="24"/>
          <w:highlight w:val="none"/>
        </w:rPr>
        <w:t>《中华人民共和国招标投标法实施条例》；</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35.3</w:t>
      </w:r>
      <w:r>
        <w:rPr>
          <w:rFonts w:hint="eastAsia" w:ascii="宋体" w:hAnsi="宋体"/>
          <w:color w:val="auto"/>
          <w:sz w:val="24"/>
          <w:szCs w:val="24"/>
          <w:highlight w:val="none"/>
        </w:rPr>
        <w:t>《评标委员会和评标方法暂行规定》（七部委第</w:t>
      </w:r>
      <w:r>
        <w:rPr>
          <w:rFonts w:ascii="宋体" w:hAnsi="宋体"/>
          <w:color w:val="auto"/>
          <w:sz w:val="24"/>
          <w:szCs w:val="24"/>
          <w:highlight w:val="none"/>
        </w:rPr>
        <w:t>12</w:t>
      </w:r>
      <w:r>
        <w:rPr>
          <w:rFonts w:hint="eastAsia" w:ascii="宋体" w:hAnsi="宋体"/>
          <w:color w:val="auto"/>
          <w:sz w:val="24"/>
          <w:szCs w:val="24"/>
          <w:highlight w:val="none"/>
        </w:rPr>
        <w:t>号令）</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35.4</w:t>
      </w:r>
      <w:r>
        <w:rPr>
          <w:rFonts w:hint="eastAsia" w:ascii="宋体" w:hAnsi="宋体"/>
          <w:color w:val="auto"/>
          <w:sz w:val="24"/>
          <w:szCs w:val="24"/>
          <w:highlight w:val="none"/>
        </w:rPr>
        <w:t>《工程建设项目施工招标投标办法》（七部委</w:t>
      </w:r>
      <w:r>
        <w:rPr>
          <w:rFonts w:ascii="宋体" w:hAnsi="宋体"/>
          <w:color w:val="auto"/>
          <w:sz w:val="24"/>
          <w:szCs w:val="24"/>
          <w:highlight w:val="none"/>
        </w:rPr>
        <w:t>2003</w:t>
      </w:r>
      <w:r>
        <w:rPr>
          <w:rFonts w:hint="eastAsia" w:ascii="宋体" w:hAnsi="宋体"/>
          <w:color w:val="auto"/>
          <w:sz w:val="24"/>
          <w:szCs w:val="24"/>
          <w:highlight w:val="none"/>
        </w:rPr>
        <w:t>年第</w:t>
      </w:r>
      <w:r>
        <w:rPr>
          <w:rFonts w:ascii="宋体" w:hAnsi="宋体"/>
          <w:color w:val="auto"/>
          <w:sz w:val="24"/>
          <w:szCs w:val="24"/>
          <w:highlight w:val="none"/>
        </w:rPr>
        <w:t>30</w:t>
      </w:r>
      <w:r>
        <w:rPr>
          <w:rFonts w:hint="eastAsia" w:ascii="宋体" w:hAnsi="宋体"/>
          <w:color w:val="auto"/>
          <w:sz w:val="24"/>
          <w:szCs w:val="24"/>
          <w:highlight w:val="none"/>
        </w:rPr>
        <w:t>号令）</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35.5</w:t>
      </w:r>
      <w:r>
        <w:rPr>
          <w:rFonts w:hint="eastAsia" w:ascii="宋体" w:hAnsi="宋体"/>
          <w:color w:val="auto"/>
          <w:sz w:val="24"/>
          <w:szCs w:val="24"/>
          <w:highlight w:val="none"/>
        </w:rPr>
        <w:t>《广东省实施〈中华人民共和国招标投标法〉办法》；</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35.6</w:t>
      </w:r>
      <w:r>
        <w:rPr>
          <w:rFonts w:hint="eastAsia" w:ascii="宋体" w:hAnsi="宋体"/>
          <w:color w:val="auto"/>
          <w:sz w:val="24"/>
          <w:szCs w:val="24"/>
          <w:highlight w:val="none"/>
        </w:rPr>
        <w:t>《房屋建筑和市政基础设施工程施工招标投标管理办法》（建设部令第</w:t>
      </w:r>
      <w:r>
        <w:rPr>
          <w:rFonts w:ascii="宋体" w:hAnsi="宋体"/>
          <w:color w:val="auto"/>
          <w:sz w:val="24"/>
          <w:szCs w:val="24"/>
          <w:highlight w:val="none"/>
        </w:rPr>
        <w:t>89</w:t>
      </w:r>
      <w:r>
        <w:rPr>
          <w:rFonts w:hint="eastAsia" w:ascii="宋体" w:hAnsi="宋体"/>
          <w:color w:val="auto"/>
          <w:sz w:val="24"/>
          <w:szCs w:val="24"/>
          <w:highlight w:val="none"/>
        </w:rPr>
        <w:t>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35.7</w:t>
      </w:r>
      <w:r>
        <w:rPr>
          <w:rFonts w:hint="eastAsia" w:ascii="宋体" w:hAnsi="宋体"/>
          <w:color w:val="auto"/>
          <w:sz w:val="24"/>
          <w:szCs w:val="24"/>
          <w:highlight w:val="none"/>
        </w:rPr>
        <w:t>《广东省加强建设工程招标投标监督管理的若干规定》（粤发[2004]4号）；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35.</w:t>
      </w:r>
      <w:r>
        <w:rPr>
          <w:rFonts w:hint="eastAsia" w:ascii="宋体" w:hAnsi="宋体"/>
          <w:color w:val="auto"/>
          <w:sz w:val="24"/>
          <w:szCs w:val="24"/>
          <w:highlight w:val="none"/>
        </w:rPr>
        <w:t>8《广州市工程建设项目招标投标管理办法》（</w:t>
      </w:r>
      <w:r>
        <w:rPr>
          <w:rFonts w:hint="eastAsia" w:ascii="宋体" w:hAnsi="宋体" w:eastAsia="宋体" w:cs="Times New Roman"/>
          <w:i w:val="0"/>
          <w:iCs w:val="0"/>
          <w:caps w:val="0"/>
          <w:color w:val="auto"/>
          <w:spacing w:val="0"/>
          <w:sz w:val="24"/>
          <w:szCs w:val="24"/>
          <w:highlight w:val="none"/>
          <w:u w:val="single"/>
          <w:shd w:val="clear"/>
          <w:vertAlign w:val="baseline"/>
        </w:rPr>
        <w:t>穗建规字〔</w:t>
      </w:r>
      <w:r>
        <w:rPr>
          <w:rFonts w:hint="eastAsia" w:ascii="宋体" w:hAnsi="宋体" w:cs="Times New Roman"/>
          <w:i w:val="0"/>
          <w:iCs w:val="0"/>
          <w:caps w:val="0"/>
          <w:color w:val="auto"/>
          <w:spacing w:val="0"/>
          <w:sz w:val="24"/>
          <w:szCs w:val="24"/>
          <w:highlight w:val="none"/>
          <w:u w:val="single"/>
          <w:shd w:val="clear"/>
          <w:vertAlign w:val="baseline"/>
          <w:lang w:eastAsia="zh-CN"/>
        </w:rPr>
        <w:t>2024</w:t>
      </w:r>
      <w:r>
        <w:rPr>
          <w:rFonts w:hint="eastAsia" w:ascii="宋体" w:hAnsi="宋体" w:eastAsia="宋体" w:cs="Times New Roman"/>
          <w:i w:val="0"/>
          <w:iCs w:val="0"/>
          <w:caps w:val="0"/>
          <w:color w:val="auto"/>
          <w:spacing w:val="0"/>
          <w:sz w:val="24"/>
          <w:szCs w:val="24"/>
          <w:highlight w:val="none"/>
          <w:u w:val="single"/>
          <w:shd w:val="clear"/>
          <w:vertAlign w:val="baseline"/>
        </w:rPr>
        <w:t>〕12号</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35.9本项目招标文件。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w:t>
      </w:r>
      <w:r>
        <w:rPr>
          <w:rFonts w:hint="eastAsia" w:ascii="宋体" w:hAnsi="宋体"/>
          <w:color w:val="auto"/>
          <w:sz w:val="24"/>
          <w:szCs w:val="24"/>
          <w:highlight w:val="none"/>
        </w:rPr>
        <w:t>．开标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36.1 </w:t>
      </w:r>
      <w:r>
        <w:rPr>
          <w:rFonts w:hint="eastAsia" w:ascii="宋体" w:hAnsi="宋体"/>
          <w:color w:val="auto"/>
          <w:sz w:val="24"/>
          <w:szCs w:val="24"/>
          <w:highlight w:val="none"/>
        </w:rPr>
        <w:t>招标人按投标须知前附表第18项所规定的时间和地点公开开标，并邀请所有投标人参加。截标后，开标开始时间因故推迟的，相关评标信息仍以原定的开标开始时间的信息为准。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36.2</w:t>
      </w:r>
      <w:r>
        <w:rPr>
          <w:rFonts w:hint="eastAsia" w:ascii="宋体" w:hAnsi="宋体"/>
          <w:color w:val="auto"/>
          <w:sz w:val="24"/>
          <w:szCs w:val="24"/>
          <w:highlight w:val="none"/>
        </w:rPr>
        <w:t xml:space="preserve"> 招标人在招标文件要求提交投标文件的截止时间前收到的投标文件，开标时都当众予以解密、公布。</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36.4若递交投标文件的投标人不足3家，则重新组织招标。（当</w:t>
      </w:r>
      <w:r>
        <w:rPr>
          <w:rFonts w:ascii="宋体" w:hAnsi="宋体"/>
          <w:color w:val="auto"/>
          <w:sz w:val="24"/>
          <w:szCs w:val="24"/>
          <w:highlight w:val="none"/>
        </w:rPr>
        <w:t>N</w:t>
      </w:r>
      <w:r>
        <w:rPr>
          <w:rFonts w:hint="eastAsia" w:ascii="宋体" w:hAnsi="宋体"/>
          <w:color w:val="auto"/>
          <w:sz w:val="24"/>
          <w:szCs w:val="24"/>
          <w:highlight w:val="none"/>
        </w:rPr>
        <w:t>个标段同时招标且不允许兼中时，若有效投标人不足</w:t>
      </w:r>
      <w:r>
        <w:rPr>
          <w:rFonts w:ascii="宋体" w:hAnsi="宋体"/>
          <w:color w:val="auto"/>
          <w:sz w:val="24"/>
          <w:szCs w:val="24"/>
          <w:highlight w:val="none"/>
        </w:rPr>
        <w:t>N+</w:t>
      </w:r>
      <w:r>
        <w:rPr>
          <w:rFonts w:hint="eastAsia" w:ascii="宋体" w:hAnsi="宋体"/>
          <w:color w:val="auto"/>
          <w:sz w:val="24"/>
          <w:szCs w:val="24"/>
          <w:highlight w:val="none"/>
        </w:rPr>
        <w:t>2家，则重新组织招标）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36.5按下列程序进行开标：</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36.5.1在投标截止时间后半小时内，投标人通过交易平台对已递交的电子投标文件进行解密。投标人完成解密后，再由招标人进行解密。解密完成后，公布招标项目名称、投标人名称、投标保证金的递交情况、投标报价、工期及其他内容；</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36.5.2备用光盘的读取按投标须知前附表第36项的规定执行；</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36.5.3投标人代表、招标人代表、监标人、记录人等有关人员在开标记录上签字确认；若有关人员不签字的，不影响开标程序；</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36.5.4开标结束。</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36.6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36.7开标时，两个（含两个）以上的投标人加密打包投标文件电脑机器特征码一致的，不参与下一程序，并由评标委员会否决其投标。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37</w:t>
      </w:r>
      <w:r>
        <w:rPr>
          <w:rFonts w:hint="eastAsia" w:ascii="宋体" w:hAnsi="宋体"/>
          <w:color w:val="auto"/>
          <w:sz w:val="24"/>
          <w:szCs w:val="24"/>
          <w:highlight w:val="none"/>
        </w:rPr>
        <w:t>．评标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37.1</w:t>
      </w:r>
      <w:r>
        <w:rPr>
          <w:rFonts w:hint="eastAsia" w:ascii="宋体" w:hAnsi="宋体"/>
          <w:color w:val="auto"/>
          <w:sz w:val="24"/>
          <w:szCs w:val="24"/>
          <w:highlight w:val="none"/>
        </w:rPr>
        <w:t>评标委员会由招标人依法组建。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37.2</w:t>
      </w:r>
      <w:r>
        <w:rPr>
          <w:rFonts w:hint="eastAsia" w:ascii="宋体" w:hAnsi="宋体"/>
          <w:color w:val="auto"/>
          <w:sz w:val="24"/>
          <w:szCs w:val="24"/>
          <w:highlight w:val="none"/>
        </w:rPr>
        <w:t>评标委员会的职责及守则：</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37.2.1</w:t>
      </w:r>
      <w:r>
        <w:rPr>
          <w:rFonts w:hint="eastAsia" w:ascii="宋体" w:hAnsi="宋体"/>
          <w:color w:val="auto"/>
          <w:sz w:val="24"/>
          <w:szCs w:val="24"/>
          <w:highlight w:val="none"/>
        </w:rPr>
        <w:t>根据评标细则，对投标文件进行认真评审，完成评审报告；</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37.2.2</w:t>
      </w:r>
      <w:r>
        <w:rPr>
          <w:rFonts w:hint="eastAsia" w:ascii="宋体" w:hAnsi="宋体"/>
          <w:color w:val="auto"/>
          <w:sz w:val="24"/>
          <w:szCs w:val="24"/>
          <w:highlight w:val="none"/>
        </w:rPr>
        <w:t>向招标人报告评审意见，推荐合格的中标候选人。</w:t>
      </w:r>
    </w:p>
    <w:p>
      <w:pPr>
        <w:spacing w:line="360" w:lineRule="auto"/>
        <w:ind w:firstLine="480" w:firstLineChars="200"/>
        <w:rPr>
          <w:rFonts w:ascii="宋体" w:hAnsi="宋体"/>
          <w:color w:val="auto"/>
          <w:sz w:val="24"/>
          <w:szCs w:val="24"/>
          <w:highlight w:val="none"/>
        </w:rPr>
      </w:pPr>
      <w:r>
        <w:rPr>
          <w:rFonts w:ascii="宋体" w:hAnsi="宋体"/>
          <w:bCs/>
          <w:color w:val="auto"/>
          <w:sz w:val="24"/>
          <w:szCs w:val="24"/>
          <w:highlight w:val="none"/>
        </w:rPr>
        <w:t>37.2.3</w:t>
      </w:r>
      <w:r>
        <w:rPr>
          <w:rFonts w:ascii="宋体" w:hAnsi="宋体"/>
          <w:b/>
          <w:bCs/>
          <w:color w:val="auto"/>
          <w:sz w:val="24"/>
          <w:szCs w:val="24"/>
          <w:highlight w:val="none"/>
        </w:rPr>
        <w:t xml:space="preserve"> </w:t>
      </w:r>
      <w:r>
        <w:rPr>
          <w:rFonts w:hint="eastAsia" w:ascii="宋体" w:hAnsi="宋体"/>
          <w:color w:val="auto"/>
          <w:sz w:val="24"/>
          <w:szCs w:val="24"/>
          <w:highlight w:val="none"/>
        </w:rPr>
        <w:t>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37.2.4</w:t>
      </w:r>
      <w:r>
        <w:rPr>
          <w:rFonts w:hint="eastAsia" w:ascii="宋体" w:hAnsi="宋体"/>
          <w:color w:val="auto"/>
          <w:sz w:val="24"/>
          <w:szCs w:val="24"/>
          <w:highlight w:val="none"/>
        </w:rPr>
        <w:t>全体参与评标人员：</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37.2.4.1 </w:t>
      </w:r>
      <w:r>
        <w:rPr>
          <w:rFonts w:hint="eastAsia" w:ascii="宋体" w:hAnsi="宋体"/>
          <w:color w:val="auto"/>
          <w:sz w:val="24"/>
          <w:szCs w:val="24"/>
          <w:highlight w:val="none"/>
        </w:rPr>
        <w:t>必须遵守评标纪律、不得泄密；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37.2.4.2 </w:t>
      </w:r>
      <w:r>
        <w:rPr>
          <w:rFonts w:hint="eastAsia" w:ascii="宋体" w:hAnsi="宋体"/>
          <w:color w:val="auto"/>
          <w:sz w:val="24"/>
          <w:szCs w:val="24"/>
          <w:highlight w:val="none"/>
        </w:rPr>
        <w:t>必须公正、不得循私；</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37.2.4.3 </w:t>
      </w:r>
      <w:r>
        <w:rPr>
          <w:rFonts w:hint="eastAsia" w:ascii="宋体" w:hAnsi="宋体"/>
          <w:color w:val="auto"/>
          <w:sz w:val="24"/>
          <w:szCs w:val="24"/>
          <w:highlight w:val="none"/>
        </w:rPr>
        <w:t>必须科学、不得草率；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37.2.4.4 </w:t>
      </w:r>
      <w:r>
        <w:rPr>
          <w:rFonts w:hint="eastAsia" w:ascii="宋体" w:hAnsi="宋体"/>
          <w:color w:val="auto"/>
          <w:sz w:val="24"/>
          <w:szCs w:val="24"/>
          <w:highlight w:val="none"/>
        </w:rPr>
        <w:t>必须客观、不得带有成见；</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37.2.4.5 </w:t>
      </w:r>
      <w:r>
        <w:rPr>
          <w:rFonts w:hint="eastAsia" w:ascii="宋体" w:hAnsi="宋体"/>
          <w:color w:val="auto"/>
          <w:sz w:val="24"/>
          <w:szCs w:val="24"/>
          <w:highlight w:val="none"/>
        </w:rPr>
        <w:t>必须平等、不得强加于人；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37.2.4.6 </w:t>
      </w:r>
      <w:r>
        <w:rPr>
          <w:rFonts w:hint="eastAsia" w:ascii="宋体" w:hAnsi="宋体"/>
          <w:color w:val="auto"/>
          <w:sz w:val="24"/>
          <w:szCs w:val="24"/>
          <w:highlight w:val="none"/>
        </w:rPr>
        <w:t>必须严谨、不得随意马虎。</w:t>
      </w:r>
    </w:p>
    <w:p>
      <w:pPr>
        <w:spacing w:line="360" w:lineRule="auto"/>
        <w:ind w:firstLine="480" w:firstLineChars="200"/>
        <w:rPr>
          <w:rFonts w:hint="eastAsia" w:ascii="宋体" w:hAnsi="宋体"/>
          <w:color w:val="auto"/>
          <w:sz w:val="24"/>
          <w:szCs w:val="24"/>
          <w:highlight w:val="none"/>
        </w:rPr>
      </w:pPr>
      <w:r>
        <w:rPr>
          <w:rFonts w:ascii="宋体" w:hAnsi="宋体"/>
          <w:color w:val="auto"/>
          <w:sz w:val="24"/>
          <w:szCs w:val="24"/>
          <w:highlight w:val="none"/>
        </w:rPr>
        <w:t>37.3</w:t>
      </w:r>
      <w:r>
        <w:rPr>
          <w:rFonts w:hint="eastAsia" w:ascii="宋体" w:hAnsi="宋体"/>
          <w:color w:val="auto"/>
          <w:sz w:val="24"/>
          <w:szCs w:val="24"/>
          <w:highlight w:val="none"/>
        </w:rPr>
        <w:t>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37.4评标结束后，评标委员会递交评标报告并依法推荐中标候选人。</w:t>
      </w:r>
      <w:r>
        <w:rPr>
          <w:rFonts w:ascii="宋体" w:hAnsi="宋体"/>
          <w:color w:val="auto"/>
          <w:sz w:val="24"/>
          <w:szCs w:val="24"/>
          <w:highlight w:val="none"/>
        </w:rPr>
        <w:t xml:space="preserve">  </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38</w:t>
      </w:r>
      <w:r>
        <w:rPr>
          <w:rFonts w:hint="eastAsia" w:ascii="宋体" w:hAnsi="宋体"/>
          <w:color w:val="auto"/>
          <w:sz w:val="24"/>
          <w:szCs w:val="24"/>
          <w:highlight w:val="none"/>
        </w:rPr>
        <w:t>．投标文件的澄清</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38.1</w:t>
      </w:r>
      <w:r>
        <w:rPr>
          <w:rFonts w:hint="eastAsia" w:ascii="宋体" w:hAnsi="宋体"/>
          <w:color w:val="auto"/>
          <w:sz w:val="24"/>
          <w:szCs w:val="24"/>
          <w:highlight w:val="none"/>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38.2 </w:t>
      </w:r>
      <w:r>
        <w:rPr>
          <w:rFonts w:hint="eastAsia" w:ascii="宋体" w:hAnsi="宋体"/>
          <w:color w:val="auto"/>
          <w:sz w:val="24"/>
          <w:szCs w:val="24"/>
          <w:highlight w:val="none"/>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38.3 </w:t>
      </w:r>
      <w:r>
        <w:rPr>
          <w:rFonts w:hint="eastAsia" w:ascii="宋体" w:hAnsi="宋体"/>
          <w:color w:val="auto"/>
          <w:sz w:val="24"/>
          <w:szCs w:val="24"/>
          <w:highlight w:val="none"/>
        </w:rPr>
        <w:t>评标委员会或评标委员会专业评审组成员均应当阅读投标人的澄清，但应独立参考澄清对投标文件进行评审。</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38.4</w:t>
      </w:r>
      <w:r>
        <w:rPr>
          <w:rFonts w:hint="eastAsia" w:ascii="宋体" w:hAnsi="宋体"/>
          <w:color w:val="auto"/>
          <w:sz w:val="24"/>
          <w:szCs w:val="24"/>
          <w:highlight w:val="none"/>
        </w:rPr>
        <w:t>如果投标文件实质上不响应招标文件的各项要求，评标委员会将按照符合性审查标准予以拒绝，不接受投标人通过修改或撤销其不符合要求的差异或保留，使之成为具有响应性的投标。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39</w:t>
      </w:r>
      <w:r>
        <w:rPr>
          <w:rFonts w:hint="eastAsia" w:ascii="宋体" w:hAnsi="宋体"/>
          <w:color w:val="auto"/>
          <w:sz w:val="24"/>
          <w:szCs w:val="24"/>
          <w:highlight w:val="none"/>
        </w:rPr>
        <w:t>．定标</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39.1 </w:t>
      </w:r>
      <w:r>
        <w:rPr>
          <w:rFonts w:hint="eastAsia" w:ascii="宋体" w:hAnsi="宋体"/>
          <w:color w:val="auto"/>
          <w:sz w:val="24"/>
          <w:szCs w:val="24"/>
          <w:highlight w:val="none"/>
        </w:rPr>
        <w:t>招标人根据评标委员会递交的评标报告，最终审定中标人。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39.2 </w:t>
      </w:r>
      <w:r>
        <w:rPr>
          <w:rFonts w:hint="eastAsia" w:ascii="宋体" w:hAnsi="宋体"/>
          <w:color w:val="auto"/>
          <w:sz w:val="24"/>
          <w:szCs w:val="24"/>
          <w:highlight w:val="none"/>
        </w:rPr>
        <w:t>依法必须进行公开招标的项目，招标人应当确定排名第一的中标候选人为中标人。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39.3</w:t>
      </w:r>
      <w:r>
        <w:rPr>
          <w:rFonts w:hint="eastAsia" w:ascii="宋体" w:hAnsi="宋体"/>
          <w:color w:val="auto"/>
          <w:sz w:val="24"/>
          <w:szCs w:val="24"/>
          <w:highlight w:val="none"/>
        </w:rPr>
        <w:t>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39.4</w:t>
      </w:r>
      <w:r>
        <w:rPr>
          <w:rFonts w:hint="eastAsia" w:ascii="宋体" w:hAnsi="宋体"/>
          <w:color w:val="auto"/>
          <w:sz w:val="24"/>
          <w:szCs w:val="24"/>
          <w:highlight w:val="none"/>
        </w:rPr>
        <w:t>排名第二的中标候选人出现前款所列的情形的，招标人可以确定排名第三的中标候选人为中标人。以此类推，如所有中标候选人均出现前款所列的情形，为招标失败，招标人依法重新招标。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39.5 重新评标的，评标信息（含业绩、奖项等）仍以投标截止时投标人的信息为准。因特殊原因需要延长投标有效期，投标人拒绝延长投标有效期的，仍参与评标，但不被推荐为中标候选人。</w:t>
      </w:r>
    </w:p>
    <w:p>
      <w:pPr>
        <w:widowControl/>
        <w:spacing w:before="100" w:beforeAutospacing="1" w:after="100" w:afterAutospacing="1" w:line="360" w:lineRule="auto"/>
        <w:ind w:firstLine="480" w:firstLineChars="200"/>
        <w:jc w:val="left"/>
        <w:outlineLvl w:val="2"/>
        <w:rPr>
          <w:rFonts w:ascii="宋体" w:hAnsi="宋体" w:cs="宋体"/>
          <w:color w:val="auto"/>
          <w:kern w:val="0"/>
          <w:sz w:val="24"/>
          <w:szCs w:val="24"/>
          <w:highlight w:val="none"/>
        </w:rPr>
      </w:pPr>
      <w:bookmarkStart w:id="162" w:name="_Toc7154"/>
      <w:bookmarkStart w:id="163" w:name="_Toc5324"/>
      <w:bookmarkStart w:id="164" w:name="_Toc58838580"/>
      <w:bookmarkStart w:id="165" w:name="_Toc19268"/>
      <w:bookmarkStart w:id="166" w:name="_Toc17417"/>
      <w:bookmarkStart w:id="167" w:name="_Toc19728"/>
      <w:bookmarkStart w:id="168" w:name="_Toc8629"/>
      <w:bookmarkStart w:id="169" w:name="_Toc22948"/>
      <w:bookmarkStart w:id="170" w:name="_Toc2984"/>
      <w:bookmarkStart w:id="171" w:name="_Toc20104"/>
      <w:bookmarkStart w:id="172" w:name="_Toc15216"/>
      <w:bookmarkStart w:id="173" w:name="_Toc16210"/>
      <w:r>
        <w:rPr>
          <w:rFonts w:hint="eastAsia" w:ascii="宋体" w:hAnsi="宋体" w:cs="宋体"/>
          <w:color w:val="auto"/>
          <w:kern w:val="0"/>
          <w:sz w:val="24"/>
          <w:szCs w:val="24"/>
          <w:highlight w:val="none"/>
        </w:rPr>
        <w:t>（二）开标评标办法程序和细则</w:t>
      </w:r>
      <w:bookmarkEnd w:id="162"/>
      <w:bookmarkEnd w:id="163"/>
      <w:bookmarkEnd w:id="164"/>
      <w:bookmarkEnd w:id="165"/>
      <w:bookmarkEnd w:id="166"/>
      <w:bookmarkEnd w:id="167"/>
      <w:bookmarkEnd w:id="168"/>
      <w:bookmarkEnd w:id="169"/>
      <w:bookmarkEnd w:id="170"/>
      <w:bookmarkEnd w:id="171"/>
      <w:bookmarkEnd w:id="172"/>
      <w:bookmarkEnd w:id="173"/>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注：以下七种评标办法所述企业诚信综合评价分数即投标截止当日广州市工程招标代理行业协会网站上公布的企业诚信综合评价</w:t>
      </w:r>
      <w:r>
        <w:rPr>
          <w:rFonts w:ascii="宋体" w:hAnsi="宋体"/>
          <w:color w:val="auto"/>
          <w:sz w:val="24"/>
          <w:szCs w:val="24"/>
          <w:highlight w:val="none"/>
        </w:rPr>
        <w:t>60</w:t>
      </w:r>
      <w:r>
        <w:rPr>
          <w:rFonts w:hint="eastAsia" w:ascii="宋体" w:hAnsi="宋体"/>
          <w:color w:val="auto"/>
          <w:sz w:val="24"/>
          <w:szCs w:val="24"/>
          <w:highlight w:val="none"/>
        </w:rPr>
        <w:t>日诚信分。</w:t>
      </w:r>
    </w:p>
    <w:p>
      <w:pPr>
        <w:spacing w:line="360" w:lineRule="auto"/>
        <w:ind w:firstLine="480" w:firstLineChars="200"/>
        <w:rPr>
          <w:rFonts w:ascii="宋体" w:hAnsi="宋体"/>
          <w:color w:val="auto"/>
          <w:sz w:val="24"/>
          <w:szCs w:val="24"/>
          <w:highlight w:val="none"/>
        </w:rPr>
      </w:pPr>
    </w:p>
    <w:p>
      <w:pPr>
        <w:spacing w:line="360" w:lineRule="auto"/>
        <w:jc w:val="left"/>
        <w:rPr>
          <w:rFonts w:ascii="宋体" w:hAnsi="宋体" w:cs="宋体"/>
          <w:color w:val="auto"/>
          <w:sz w:val="24"/>
          <w:szCs w:val="24"/>
          <w:highlight w:val="none"/>
        </w:rPr>
      </w:pPr>
    </w:p>
    <w:p>
      <w:pPr>
        <w:spacing w:line="360" w:lineRule="auto"/>
        <w:jc w:val="left"/>
        <w:rPr>
          <w:rFonts w:ascii="宋体" w:hAnsi="宋体" w:cs="宋体"/>
          <w:color w:val="auto"/>
          <w:sz w:val="24"/>
          <w:szCs w:val="24"/>
          <w:highlight w:val="none"/>
        </w:rPr>
      </w:pPr>
    </w:p>
    <w:p>
      <w:pPr>
        <w:spacing w:line="360" w:lineRule="auto"/>
        <w:jc w:val="left"/>
        <w:rPr>
          <w:rFonts w:ascii="宋体" w:hAnsi="宋体" w:cs="宋体"/>
          <w:color w:val="auto"/>
          <w:sz w:val="24"/>
          <w:szCs w:val="24"/>
          <w:highlight w:val="none"/>
        </w:rPr>
      </w:pPr>
    </w:p>
    <w:p>
      <w:pPr>
        <w:pStyle w:val="2"/>
        <w:rPr>
          <w:color w:val="auto"/>
          <w:highlight w:val="none"/>
        </w:rPr>
      </w:pPr>
    </w:p>
    <w:p>
      <w:pPr>
        <w:pStyle w:val="5"/>
        <w:rPr>
          <w:color w:val="auto"/>
          <w:highlight w:val="none"/>
        </w:rPr>
      </w:pPr>
      <w:bookmarkStart w:id="174" w:name="_Toc9203"/>
      <w:bookmarkStart w:id="175" w:name="_Toc60070611"/>
      <w:bookmarkStart w:id="176" w:name="_Toc878"/>
      <w:bookmarkStart w:id="177" w:name="_Toc47440894"/>
      <w:bookmarkStart w:id="178" w:name="_Toc24407"/>
      <w:bookmarkStart w:id="179" w:name="_Toc4110"/>
      <w:bookmarkStart w:id="180" w:name="_Toc2150"/>
      <w:bookmarkStart w:id="181" w:name="_Toc6023"/>
      <w:bookmarkStart w:id="182" w:name="_Toc58838581"/>
      <w:bookmarkStart w:id="183" w:name="_Toc32114"/>
      <w:bookmarkStart w:id="184" w:name="_Toc189"/>
      <w:bookmarkStart w:id="185" w:name="_Toc17908"/>
      <w:bookmarkStart w:id="186" w:name="_Toc18116"/>
      <w:bookmarkStart w:id="187" w:name="_Toc11583"/>
      <w:bookmarkStart w:id="188" w:name="_Toc21525509"/>
      <w:bookmarkStart w:id="189" w:name="_Toc2272564"/>
      <w:r>
        <w:rPr>
          <w:rFonts w:hint="eastAsia"/>
          <w:color w:val="auto"/>
          <w:highlight w:val="none"/>
        </w:rPr>
        <w:t>可选办法六（适合综合评分法三，技术标与经济标同时开启）</w:t>
      </w:r>
      <w:bookmarkEnd w:id="174"/>
      <w:bookmarkEnd w:id="175"/>
      <w:bookmarkEnd w:id="176"/>
      <w:bookmarkEnd w:id="177"/>
      <w:bookmarkEnd w:id="178"/>
      <w:bookmarkEnd w:id="179"/>
      <w:bookmarkEnd w:id="180"/>
      <w:bookmarkEnd w:id="181"/>
      <w:bookmarkEnd w:id="182"/>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40．开标和评标程序：</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40.1投标人递交技术标、经济标投标文件；</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40.2技术标与经济标投标文件同时公开开标；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40.3由评标委员会对所有已公开开标的投标人进行资格审查；</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40.4技术标投标文件有效性审查；</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40.5技术标详细审查评分；</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40.6计算第一阶段得分，并按照总分从高到低排列先后次序，编写第一阶段评审报告； </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40.7按投标须知前附表第25项规定，确定进入第二阶段评审的投标人；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40.8将进入第二阶段评审的投标人进行排序；</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40.9按排序对经济标投标文件进行有效性审查（含投标报价算术校核），直至评出所有中标候选人；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40.10评标委员会编写评标报告，向招标人推荐中标候选人名单。</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41. 开标细则</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41.1开标由招标人主持；</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41.2细则</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41.2.1投标截止期前，各投标人递交投标文件（包括技术标投标文件、经济标投标文件）至</w:t>
      </w:r>
      <w:r>
        <w:rPr>
          <w:rFonts w:ascii="宋体" w:hAnsi="宋体"/>
          <w:color w:val="auto"/>
          <w:sz w:val="24"/>
          <w:szCs w:val="24"/>
          <w:highlight w:val="none"/>
          <w:u w:val="single"/>
        </w:rPr>
        <w:t xml:space="preserve">        </w:t>
      </w:r>
      <w:r>
        <w:rPr>
          <w:rFonts w:hint="eastAsia" w:ascii="宋体" w:hAnsi="宋体"/>
          <w:color w:val="auto"/>
          <w:sz w:val="24"/>
          <w:szCs w:val="24"/>
          <w:highlight w:val="none"/>
        </w:rPr>
        <w:t xml:space="preserve">交易平台。有关投标文件提交的事项详见第一章投标须知。 </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41.2.2开标时，投标人代表有权出席开标会，也可以自主决定不参加开标会，若投标人代表对开标过程提出异议，该投标人代表须同时出示本人身份证原件。</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41.3按36.5.1的规定完成解密后，公布下列内容，并予以记录，记录提交评标委员会评审： </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41.3.1开标时，公布：a、投标人名称；b、投标文件密封情况；c、投标报价；d、投标保证金；e、项目经理（负责人）名称；f、法定代表人证明及授权委托等主要内容及开标记录表中的其他必要内容。投标报价以数字和文字两种方式表述的，应公布文字表述的投标报价。</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41.4招标人对开标过程进行记录，并存档备查，投标人在开标记录上签字。</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41.5 招标人将上述符合要求的投标文件，送至评标委员会进行评审。</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 xml:space="preserve">42. </w:t>
      </w:r>
      <w:r>
        <w:rPr>
          <w:rFonts w:hint="eastAsia" w:ascii="宋体" w:hAnsi="宋体"/>
          <w:color w:val="auto"/>
          <w:sz w:val="24"/>
          <w:szCs w:val="24"/>
          <w:highlight w:val="none"/>
        </w:rPr>
        <w:t>评标细则</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42.1评标委员会的组成：方式</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方式一：评标委员会为综合评标委员会，负责评标工作。</w:t>
      </w:r>
    </w:p>
    <w:p>
      <w:pPr>
        <w:widowControl/>
        <w:spacing w:line="360" w:lineRule="auto"/>
        <w:ind w:firstLine="480" w:firstLineChars="200"/>
        <w:jc w:val="left"/>
        <w:rPr>
          <w:rFonts w:ascii="宋体" w:hAnsi="宋体" w:cs="宋体"/>
          <w:color w:val="auto"/>
          <w:kern w:val="0"/>
          <w:sz w:val="24"/>
          <w:szCs w:val="24"/>
          <w:highlight w:val="none"/>
        </w:rPr>
      </w:pPr>
      <w:r>
        <w:rPr>
          <w:rFonts w:hint="eastAsia" w:ascii="宋体" w:hAnsi="宋体"/>
          <w:color w:val="auto"/>
          <w:sz w:val="24"/>
          <w:szCs w:val="24"/>
          <w:highlight w:val="none"/>
        </w:rPr>
        <w:t>方式二：评标委员会由技术评审组和经济评审组组成。其中：资格审查、技术评审由技术评标组负责，经济评审由经济评审组负责。</w:t>
      </w:r>
      <w:r>
        <w:rPr>
          <w:rFonts w:hint="eastAsia" w:ascii="宋体" w:hAnsi="宋体" w:cs="宋体"/>
          <w:color w:val="auto"/>
          <w:kern w:val="0"/>
          <w:sz w:val="24"/>
          <w:szCs w:val="24"/>
          <w:highlight w:val="none"/>
        </w:rPr>
        <w:t xml:space="preserve"> </w:t>
      </w:r>
    </w:p>
    <w:p>
      <w:pPr>
        <w:tabs>
          <w:tab w:val="left" w:pos="7380"/>
        </w:tabs>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42.2投标人资格审查</w:t>
      </w:r>
    </w:p>
    <w:p>
      <w:pPr>
        <w:tabs>
          <w:tab w:val="left" w:pos="7380"/>
        </w:tabs>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42.2.1资格审查文件中全部符合附表一《资格审查表》中情形的，为资格审查合格；否则为资格审查不合格。如评标委员会成员的评审意见不一致时，以评标委员会过半数成员的意见作为评标委员会对该情形的认定结论。</w:t>
      </w:r>
    </w:p>
    <w:p>
      <w:pPr>
        <w:tabs>
          <w:tab w:val="left" w:pos="7380"/>
        </w:tabs>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42.2.2汇总资格审查情况，编写资格审查报告。</w:t>
      </w:r>
    </w:p>
    <w:p>
      <w:pPr>
        <w:tabs>
          <w:tab w:val="left" w:pos="7380"/>
        </w:tabs>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42.2.3资格审查不合格的投标文件不参加下一阶段的评标，不参与评标参考价的计算。</w:t>
      </w:r>
    </w:p>
    <w:p>
      <w:pPr>
        <w:tabs>
          <w:tab w:val="left" w:pos="7380"/>
        </w:tabs>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42.2.4资格审查时，投标企业名称已经工商变更的，但企业及个人的资质证书未完成企业名称变更，仍然承认其有效。资质证书、安全生产许可证之间登记的信息不一致，应当允许投标人澄清，不得直接否决其投标。</w:t>
      </w:r>
    </w:p>
    <w:p>
      <w:pPr>
        <w:tabs>
          <w:tab w:val="left" w:pos="7380"/>
        </w:tabs>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42.2.5资审合格后，投标人的资格发生变化而不满足投标人合格条件，在发出中标通知书前，资格问题仍未解决的，招标人将取消其中标资格。</w:t>
      </w:r>
    </w:p>
    <w:p>
      <w:pPr>
        <w:widowControl/>
        <w:spacing w:line="360" w:lineRule="auto"/>
        <w:ind w:firstLine="480" w:firstLineChars="200"/>
        <w:jc w:val="left"/>
        <w:rPr>
          <w:rFonts w:ascii="宋体" w:hAnsi="宋体" w:cs="宋体"/>
          <w:color w:val="auto"/>
          <w:kern w:val="0"/>
          <w:sz w:val="24"/>
          <w:szCs w:val="24"/>
          <w:highlight w:val="none"/>
        </w:rPr>
      </w:pPr>
      <w:r>
        <w:rPr>
          <w:rFonts w:hint="eastAsia" w:ascii="宋体" w:hAnsi="宋体"/>
          <w:color w:val="auto"/>
          <w:sz w:val="24"/>
          <w:szCs w:val="24"/>
          <w:highlight w:val="none"/>
        </w:rPr>
        <w:t>42.2.6资格审查合格的投标人少于3名的（当N个标段同时招标且不允许兼中时，资格审查合格的投标人少于N+2名），则本项目招标失败。</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42.3 第一阶段评审</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42.3</w:t>
      </w:r>
      <w:r>
        <w:rPr>
          <w:rFonts w:hint="eastAsia" w:ascii="宋体" w:hAnsi="宋体"/>
          <w:color w:val="auto"/>
          <w:sz w:val="24"/>
          <w:szCs w:val="24"/>
          <w:highlight w:val="none"/>
        </w:rPr>
        <w:t>.1技术标的有效性审查：投标文件中没有任一种列于本办法附表二《技术标有效性审查表》中情形的，为有效投标文件。否则其投标文件将被否决。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42.3.2</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详细审查评分：评标委员会按照本办法附表</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详细审查评分表》对通过技术标有效性审查的投标文件进行详细审查，评出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得分。</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42.3.4评标委员会按照“第一阶段得分=</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的公式及投标须知前附表第27项的规定，计算各投标人第一阶段得分(按四舍五入的原则保留两位小数)，并按照得分从高到低排列先后次序，若投标人得分相同的，则名次并列，占用名次。编写第一阶段评审报告。（适用于进行了技术标评分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42.3.5招标人应在《投标须知前附表》中明确选择使用施工企业总排名或相应的施工专业承包排名计分。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w:t>
      </w:r>
      <w:r>
        <w:rPr>
          <w:rFonts w:hint="eastAsia" w:ascii="宋体" w:hAnsi="宋体"/>
          <w:color w:val="auto"/>
          <w:sz w:val="24"/>
          <w:szCs w:val="24"/>
          <w:highlight w:val="none"/>
        </w:rPr>
        <w:t xml:space="preserve"> 第二阶段评审</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42.4.1</w:t>
      </w:r>
      <w:r>
        <w:rPr>
          <w:rFonts w:hint="eastAsia" w:ascii="宋体" w:hAnsi="宋体"/>
          <w:color w:val="auto"/>
          <w:sz w:val="24"/>
          <w:szCs w:val="24"/>
          <w:highlight w:val="none"/>
        </w:rPr>
        <w:t>按照投标须知前附表第25项规定，确定进入第二阶段评审的投标人。若在进入第二阶段的最后名次发生并列的，则所有并列的投标人均进入第二阶段。</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42.4.2若进入第二阶段投标人中有投标报价均大于等于最高投标限价*D%（D的取值范围为[94,100],由招标人自主确定）的（具体金额为：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元），则本项目招标失败，由招标人依法重新招标。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42.4.3投标文件经济标的评分</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42.4.3.1按方法</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计算评标参考价：</w:t>
      </w:r>
    </w:p>
    <w:p>
      <w:pPr>
        <w:widowControl/>
        <w:spacing w:line="360" w:lineRule="auto"/>
        <w:ind w:firstLine="482" w:firstLineChars="200"/>
        <w:rPr>
          <w:rFonts w:ascii="宋体" w:hAnsi="宋体"/>
          <w:b/>
          <w:bCs/>
          <w:color w:val="auto"/>
          <w:kern w:val="0"/>
          <w:sz w:val="24"/>
          <w:szCs w:val="24"/>
          <w:highlight w:val="none"/>
        </w:rPr>
      </w:pPr>
      <w:r>
        <w:rPr>
          <w:rFonts w:hint="eastAsia" w:ascii="宋体" w:hAnsi="宋体" w:cs="仿宋"/>
          <w:b/>
          <w:bCs/>
          <w:color w:val="auto"/>
          <w:kern w:val="0"/>
          <w:sz w:val="24"/>
          <w:szCs w:val="24"/>
          <w:highlight w:val="none"/>
        </w:rPr>
        <w:t>方法一：加权平均法</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技术标或技术标加诚信得分或第一阶段入围得分（具体由招标人自定）前</w:t>
      </w:r>
      <w:r>
        <w:rPr>
          <w:rFonts w:ascii="宋体" w:hAnsi="宋体" w:cs="仿宋"/>
          <w:color w:val="auto"/>
          <w:sz w:val="24"/>
          <w:szCs w:val="24"/>
          <w:highlight w:val="none"/>
        </w:rPr>
        <w:t>N</w:t>
      </w:r>
      <w:r>
        <w:rPr>
          <w:rFonts w:hint="eastAsia" w:ascii="宋体" w:hAnsi="宋体" w:cs="仿宋"/>
          <w:color w:val="auto"/>
          <w:sz w:val="24"/>
          <w:szCs w:val="24"/>
          <w:highlight w:val="none"/>
        </w:rPr>
        <w:t>名（N≥5，具体由招标人自定）的经济报价加权平均，计算评标参考价。公式如下：</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评标参考价</w:t>
      </w:r>
      <w:r>
        <w:rPr>
          <w:rFonts w:ascii="宋体" w:hAnsi="宋体" w:cs="仿宋"/>
          <w:color w:val="auto"/>
          <w:sz w:val="24"/>
          <w:szCs w:val="24"/>
          <w:highlight w:val="none"/>
        </w:rPr>
        <w:t>=</w:t>
      </w:r>
      <w:r>
        <w:rPr>
          <w:rFonts w:hint="eastAsia" w:ascii="宋体" w:hAnsi="宋体" w:cs="仿宋"/>
          <w:color w:val="auto"/>
          <w:sz w:val="24"/>
          <w:szCs w:val="24"/>
          <w:highlight w:val="none"/>
        </w:rPr>
        <w:t>Σ（投标人的投标报价</w:t>
      </w:r>
      <w:r>
        <w:rPr>
          <w:rFonts w:ascii="宋体" w:hAnsi="宋体" w:cs="仿宋"/>
          <w:color w:val="auto"/>
          <w:sz w:val="24"/>
          <w:szCs w:val="24"/>
          <w:highlight w:val="none"/>
        </w:rPr>
        <w:t>*</w:t>
      </w:r>
      <w:r>
        <w:rPr>
          <w:rFonts w:hint="eastAsia" w:ascii="宋体" w:hAnsi="宋体" w:cs="仿宋"/>
          <w:color w:val="auto"/>
          <w:sz w:val="24"/>
          <w:szCs w:val="24"/>
          <w:highlight w:val="none"/>
        </w:rPr>
        <w:t>报价权重）。</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其中：报价权重的计算方法为：将</w:t>
      </w:r>
      <w:r>
        <w:rPr>
          <w:rFonts w:ascii="宋体" w:hAnsi="宋体" w:cs="仿宋"/>
          <w:color w:val="auto"/>
          <w:sz w:val="24"/>
          <w:szCs w:val="24"/>
          <w:highlight w:val="none"/>
        </w:rPr>
        <w:t>N</w:t>
      </w:r>
      <w:r>
        <w:rPr>
          <w:rFonts w:hint="eastAsia" w:ascii="宋体" w:hAnsi="宋体" w:cs="仿宋"/>
          <w:color w:val="auto"/>
          <w:sz w:val="24"/>
          <w:szCs w:val="24"/>
          <w:highlight w:val="none"/>
        </w:rPr>
        <w:t>名投标人按技术分由高至低进行排序，第一名投标人的权重为（</w:t>
      </w:r>
      <w:r>
        <w:rPr>
          <w:rFonts w:ascii="宋体" w:hAnsi="宋体" w:cs="仿宋"/>
          <w:color w:val="auto"/>
          <w:sz w:val="24"/>
          <w:szCs w:val="24"/>
          <w:highlight w:val="none"/>
        </w:rPr>
        <w:fldChar w:fldCharType="begin"/>
      </w:r>
      <w:r>
        <w:rPr>
          <w:rFonts w:ascii="宋体" w:hAnsi="宋体" w:cs="仿宋"/>
          <w:color w:val="auto"/>
          <w:sz w:val="24"/>
          <w:szCs w:val="24"/>
          <w:highlight w:val="none"/>
        </w:rPr>
        <w:instrText xml:space="preserve"> QUOTE </w:instrText>
      </w:r>
      <w:r>
        <w:rPr>
          <w:rFonts w:ascii="宋体" w:hAnsi="宋体"/>
          <w:color w:val="auto"/>
          <w:sz w:val="24"/>
          <w:szCs w:val="24"/>
          <w:highlight w:val="none"/>
        </w:rPr>
        <w:drawing>
          <wp:inline distT="0" distB="0" distL="0" distR="0">
            <wp:extent cx="381000" cy="447675"/>
            <wp:effectExtent l="0" t="0" r="0" b="889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olor w:val="auto"/>
          <w:sz w:val="24"/>
          <w:szCs w:val="24"/>
          <w:highlight w:val="none"/>
        </w:rPr>
        <w:instrText xml:space="preserve"> \* MERGEFORMAT </w:instrText>
      </w:r>
      <w:r>
        <w:rPr>
          <w:rFonts w:ascii="宋体" w:hAnsi="宋体" w:cs="仿宋"/>
          <w:color w:val="auto"/>
          <w:sz w:val="24"/>
          <w:szCs w:val="24"/>
          <w:highlight w:val="none"/>
        </w:rPr>
        <w:fldChar w:fldCharType="separate"/>
      </w:r>
      <w:r>
        <w:rPr>
          <w:rFonts w:ascii="宋体" w:hAnsi="宋体"/>
          <w:color w:val="auto"/>
          <w:sz w:val="24"/>
          <w:szCs w:val="24"/>
          <w:highlight w:val="none"/>
        </w:rPr>
        <w:drawing>
          <wp:inline distT="0" distB="0" distL="0" distR="0">
            <wp:extent cx="381000" cy="447675"/>
            <wp:effectExtent l="0" t="0" r="0" b="889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auto"/>
          <w:sz w:val="24"/>
          <w:szCs w:val="24"/>
          <w:highlight w:val="none"/>
        </w:rPr>
        <w:fldChar w:fldCharType="end"/>
      </w:r>
      <w:r>
        <w:rPr>
          <w:rFonts w:hint="eastAsia" w:ascii="宋体" w:hAnsi="宋体" w:cs="仿宋"/>
          <w:color w:val="auto"/>
          <w:sz w:val="24"/>
          <w:szCs w:val="24"/>
          <w:highlight w:val="none"/>
        </w:rPr>
        <w:t>），第二名投标人的权重为（</w:t>
      </w:r>
      <w:r>
        <w:rPr>
          <w:rFonts w:ascii="宋体" w:hAnsi="宋体" w:cs="仿宋"/>
          <w:color w:val="auto"/>
          <w:sz w:val="24"/>
          <w:szCs w:val="24"/>
          <w:highlight w:val="none"/>
        </w:rPr>
        <w:fldChar w:fldCharType="begin"/>
      </w:r>
      <w:r>
        <w:rPr>
          <w:rFonts w:ascii="宋体" w:hAnsi="宋体" w:cs="仿宋"/>
          <w:color w:val="auto"/>
          <w:sz w:val="24"/>
          <w:szCs w:val="24"/>
          <w:highlight w:val="none"/>
        </w:rPr>
        <w:instrText xml:space="preserve"> QUOTE </w:instrText>
      </w:r>
      <w:r>
        <w:rPr>
          <w:rFonts w:ascii="宋体" w:hAnsi="宋体"/>
          <w:color w:val="auto"/>
          <w:position w:val="-23"/>
          <w:sz w:val="24"/>
          <w:szCs w:val="24"/>
          <w:highlight w:val="none"/>
        </w:rPr>
        <w:drawing>
          <wp:inline distT="0" distB="0" distL="0" distR="0">
            <wp:extent cx="323850" cy="40005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olor w:val="auto"/>
          <w:position w:val="-23"/>
          <w:sz w:val="24"/>
          <w:szCs w:val="24"/>
          <w:highlight w:val="none"/>
        </w:rPr>
        <w:instrText xml:space="preserve"> \* MERGEFORMAT </w:instrText>
      </w:r>
      <w:r>
        <w:rPr>
          <w:rFonts w:ascii="宋体" w:hAnsi="宋体" w:cs="仿宋"/>
          <w:color w:val="auto"/>
          <w:sz w:val="24"/>
          <w:szCs w:val="24"/>
          <w:highlight w:val="none"/>
        </w:rPr>
        <w:fldChar w:fldCharType="separate"/>
      </w:r>
      <w:r>
        <w:rPr>
          <w:rFonts w:ascii="宋体" w:hAnsi="宋体"/>
          <w:color w:val="auto"/>
          <w:position w:val="-23"/>
          <w:sz w:val="24"/>
          <w:szCs w:val="24"/>
          <w:highlight w:val="none"/>
        </w:rPr>
        <w:drawing>
          <wp:inline distT="0" distB="0" distL="0" distR="0">
            <wp:extent cx="323850" cy="40005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 w:val="24"/>
          <w:szCs w:val="24"/>
          <w:highlight w:val="none"/>
        </w:rPr>
        <w:fldChar w:fldCharType="end"/>
      </w:r>
      <w:r>
        <w:rPr>
          <w:rFonts w:hint="eastAsia" w:ascii="宋体" w:hAnsi="宋体" w:cs="仿宋"/>
          <w:color w:val="auto"/>
          <w:sz w:val="24"/>
          <w:szCs w:val="24"/>
          <w:highlight w:val="none"/>
        </w:rPr>
        <w:t>），以此类推，最后一名投标人的权重为（</w:t>
      </w:r>
      <w:r>
        <w:rPr>
          <w:rFonts w:ascii="宋体" w:hAnsi="宋体" w:cs="仿宋"/>
          <w:color w:val="auto"/>
          <w:sz w:val="24"/>
          <w:szCs w:val="24"/>
          <w:highlight w:val="none"/>
        </w:rPr>
        <w:fldChar w:fldCharType="begin"/>
      </w:r>
      <w:r>
        <w:rPr>
          <w:rFonts w:ascii="宋体" w:hAnsi="宋体" w:cs="仿宋"/>
          <w:color w:val="auto"/>
          <w:sz w:val="24"/>
          <w:szCs w:val="24"/>
          <w:highlight w:val="none"/>
        </w:rPr>
        <w:instrText xml:space="preserve"> QUOTE </w:instrText>
      </w:r>
      <w:r>
        <w:rPr>
          <w:rFonts w:ascii="宋体" w:hAnsi="宋体"/>
          <w:color w:val="auto"/>
          <w:position w:val="-23"/>
          <w:sz w:val="24"/>
          <w:szCs w:val="24"/>
          <w:highlight w:val="none"/>
        </w:rPr>
        <w:drawing>
          <wp:inline distT="0" distB="0" distL="0" distR="0">
            <wp:extent cx="323850" cy="40005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olor w:val="auto"/>
          <w:position w:val="-23"/>
          <w:sz w:val="24"/>
          <w:szCs w:val="24"/>
          <w:highlight w:val="none"/>
        </w:rPr>
        <w:instrText xml:space="preserve"> \* MERGEFORMAT </w:instrText>
      </w:r>
      <w:r>
        <w:rPr>
          <w:rFonts w:ascii="宋体" w:hAnsi="宋体" w:cs="仿宋"/>
          <w:color w:val="auto"/>
          <w:sz w:val="24"/>
          <w:szCs w:val="24"/>
          <w:highlight w:val="none"/>
        </w:rPr>
        <w:fldChar w:fldCharType="separate"/>
      </w:r>
      <w:r>
        <w:rPr>
          <w:rFonts w:ascii="宋体" w:hAnsi="宋体"/>
          <w:color w:val="auto"/>
          <w:position w:val="-23"/>
          <w:sz w:val="24"/>
          <w:szCs w:val="24"/>
          <w:highlight w:val="none"/>
        </w:rPr>
        <w:drawing>
          <wp:inline distT="0" distB="0" distL="0" distR="0">
            <wp:extent cx="323850" cy="40005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 w:val="24"/>
          <w:szCs w:val="24"/>
          <w:highlight w:val="none"/>
        </w:rPr>
        <w:fldChar w:fldCharType="end"/>
      </w:r>
      <w:r>
        <w:rPr>
          <w:rFonts w:hint="eastAsia" w:ascii="宋体" w:hAnsi="宋体" w:cs="仿宋"/>
          <w:color w:val="auto"/>
          <w:sz w:val="24"/>
          <w:szCs w:val="24"/>
          <w:highlight w:val="none"/>
        </w:rPr>
        <w:t>）。</w:t>
      </w:r>
    </w:p>
    <w:p>
      <w:pPr>
        <w:widowControl/>
        <w:spacing w:line="360" w:lineRule="auto"/>
        <w:ind w:firstLine="482" w:firstLineChars="200"/>
        <w:rPr>
          <w:rFonts w:ascii="宋体" w:hAnsi="宋体"/>
          <w:b/>
          <w:bCs/>
          <w:color w:val="auto"/>
          <w:kern w:val="0"/>
          <w:sz w:val="24"/>
          <w:szCs w:val="24"/>
          <w:highlight w:val="none"/>
        </w:rPr>
      </w:pPr>
      <w:r>
        <w:rPr>
          <w:rFonts w:hint="eastAsia" w:ascii="宋体" w:hAnsi="宋体" w:cs="仿宋"/>
          <w:b/>
          <w:bCs/>
          <w:color w:val="auto"/>
          <w:kern w:val="0"/>
          <w:sz w:val="24"/>
          <w:szCs w:val="24"/>
          <w:highlight w:val="none"/>
        </w:rPr>
        <w:t>方法二：区间抽取法</w:t>
      </w:r>
    </w:p>
    <w:p>
      <w:pPr>
        <w:widowControl/>
        <w:snapToGrid w:val="0"/>
        <w:spacing w:line="360" w:lineRule="auto"/>
        <w:ind w:firstLine="480" w:firstLineChars="200"/>
        <w:rPr>
          <w:rFonts w:ascii="宋体" w:hAnsi="宋体"/>
          <w:color w:val="auto"/>
          <w:kern w:val="0"/>
          <w:sz w:val="24"/>
          <w:szCs w:val="24"/>
          <w:highlight w:val="none"/>
        </w:rPr>
      </w:pPr>
      <w:r>
        <w:rPr>
          <w:rFonts w:hint="eastAsia" w:ascii="宋体" w:hAnsi="宋体" w:cs="仿宋"/>
          <w:color w:val="auto"/>
          <w:sz w:val="24"/>
          <w:szCs w:val="24"/>
          <w:highlight w:val="none"/>
        </w:rPr>
        <w:t>设立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napToGrid w:val="0"/>
        <w:spacing w:line="360" w:lineRule="auto"/>
        <w:ind w:firstLine="480" w:firstLineChars="200"/>
        <w:rPr>
          <w:rFonts w:ascii="宋体" w:hAnsi="宋体"/>
          <w:color w:val="auto"/>
          <w:kern w:val="0"/>
          <w:sz w:val="24"/>
          <w:szCs w:val="24"/>
          <w:highlight w:val="none"/>
          <w:vertAlign w:val="subscript"/>
        </w:rPr>
      </w:pPr>
      <w:r>
        <w:rPr>
          <w:rFonts w:hint="eastAsia" w:ascii="宋体" w:hAnsi="宋体" w:cs="仿宋"/>
          <w:color w:val="auto"/>
          <w:kern w:val="0"/>
          <w:sz w:val="24"/>
          <w:szCs w:val="24"/>
          <w:highlight w:val="none"/>
        </w:rPr>
        <w:t>评标参考价</w:t>
      </w:r>
      <w:r>
        <w:rPr>
          <w:rFonts w:ascii="宋体" w:hAnsi="宋体" w:cs="仿宋"/>
          <w:color w:val="auto"/>
          <w:kern w:val="0"/>
          <w:sz w:val="24"/>
          <w:szCs w:val="24"/>
          <w:highlight w:val="none"/>
        </w:rPr>
        <w:t>=</w:t>
      </w:r>
      <w:r>
        <w:rPr>
          <w:rFonts w:hint="eastAsia" w:ascii="宋体" w:hAnsi="宋体" w:cs="仿宋"/>
          <w:color w:val="auto"/>
          <w:kern w:val="0"/>
          <w:sz w:val="24"/>
          <w:szCs w:val="24"/>
          <w:highlight w:val="none"/>
        </w:rPr>
        <w:t>（</w:t>
      </w:r>
      <w:r>
        <w:rPr>
          <w:rFonts w:ascii="宋体" w:hAnsi="宋体" w:cs="仿宋"/>
          <w:color w:val="auto"/>
          <w:kern w:val="0"/>
          <w:sz w:val="24"/>
          <w:szCs w:val="24"/>
          <w:highlight w:val="none"/>
        </w:rPr>
        <w:t>Q</w:t>
      </w:r>
      <w:r>
        <w:rPr>
          <w:rFonts w:hint="eastAsia" w:ascii="宋体" w:hAnsi="宋体" w:cs="仿宋"/>
          <w:color w:val="auto"/>
          <w:kern w:val="0"/>
          <w:sz w:val="24"/>
          <w:szCs w:val="24"/>
          <w:highlight w:val="none"/>
          <w:vertAlign w:val="subscript"/>
        </w:rPr>
        <w:t>高</w:t>
      </w:r>
      <w:r>
        <w:rPr>
          <w:rFonts w:ascii="宋体" w:hAnsi="宋体" w:cs="仿宋"/>
          <w:color w:val="auto"/>
          <w:kern w:val="0"/>
          <w:sz w:val="24"/>
          <w:szCs w:val="24"/>
          <w:highlight w:val="none"/>
        </w:rPr>
        <w:t>-Q</w:t>
      </w:r>
      <w:r>
        <w:rPr>
          <w:rFonts w:hint="eastAsia" w:ascii="宋体" w:hAnsi="宋体" w:cs="仿宋"/>
          <w:color w:val="auto"/>
          <w:kern w:val="0"/>
          <w:sz w:val="24"/>
          <w:szCs w:val="24"/>
          <w:highlight w:val="none"/>
          <w:vertAlign w:val="subscript"/>
        </w:rPr>
        <w:t>低</w:t>
      </w:r>
      <w:r>
        <w:rPr>
          <w:rFonts w:hint="eastAsia" w:ascii="宋体" w:hAnsi="宋体" w:cs="仿宋"/>
          <w:color w:val="auto"/>
          <w:kern w:val="0"/>
          <w:sz w:val="24"/>
          <w:szCs w:val="24"/>
          <w:highlight w:val="none"/>
        </w:rPr>
        <w:t>）</w:t>
      </w:r>
      <w:r>
        <w:rPr>
          <w:rFonts w:ascii="宋体" w:hAnsi="宋体" w:cs="仿宋"/>
          <w:color w:val="auto"/>
          <w:kern w:val="0"/>
          <w:sz w:val="24"/>
          <w:szCs w:val="24"/>
          <w:highlight w:val="none"/>
        </w:rPr>
        <w:t>/100*</w:t>
      </w:r>
      <w:r>
        <w:rPr>
          <w:rFonts w:hint="eastAsia" w:ascii="宋体" w:hAnsi="宋体" w:cs="仿宋"/>
          <w:color w:val="auto"/>
          <w:kern w:val="0"/>
          <w:sz w:val="24"/>
          <w:szCs w:val="24"/>
          <w:highlight w:val="none"/>
        </w:rPr>
        <w:t>Ｘ</w:t>
      </w:r>
      <w:r>
        <w:rPr>
          <w:rFonts w:ascii="宋体" w:hAnsi="宋体" w:cs="仿宋"/>
          <w:color w:val="auto"/>
          <w:kern w:val="0"/>
          <w:sz w:val="24"/>
          <w:szCs w:val="24"/>
          <w:highlight w:val="none"/>
        </w:rPr>
        <w:t>+Q</w:t>
      </w:r>
      <w:r>
        <w:rPr>
          <w:rFonts w:hint="eastAsia" w:ascii="宋体" w:hAnsi="宋体" w:cs="仿宋"/>
          <w:color w:val="auto"/>
          <w:kern w:val="0"/>
          <w:sz w:val="24"/>
          <w:szCs w:val="24"/>
          <w:highlight w:val="none"/>
          <w:vertAlign w:val="subscript"/>
        </w:rPr>
        <w:t>低</w:t>
      </w:r>
    </w:p>
    <w:p>
      <w:pPr>
        <w:widowControl/>
        <w:snapToGrid w:val="0"/>
        <w:spacing w:line="360" w:lineRule="auto"/>
        <w:ind w:firstLine="480" w:firstLineChars="200"/>
        <w:rPr>
          <w:rFonts w:ascii="宋体" w:hAnsi="宋体"/>
          <w:color w:val="auto"/>
          <w:sz w:val="24"/>
          <w:szCs w:val="24"/>
          <w:highlight w:val="none"/>
        </w:rPr>
      </w:pPr>
      <w:r>
        <w:rPr>
          <w:rFonts w:ascii="宋体" w:hAnsi="宋体" w:cs="仿宋"/>
          <w:color w:val="auto"/>
          <w:sz w:val="24"/>
          <w:szCs w:val="24"/>
          <w:highlight w:val="none"/>
        </w:rPr>
        <w:t>Q</w:t>
      </w:r>
      <w:r>
        <w:rPr>
          <w:rFonts w:hint="eastAsia" w:ascii="宋体" w:hAnsi="宋体" w:cs="仿宋"/>
          <w:color w:val="auto"/>
          <w:sz w:val="24"/>
          <w:szCs w:val="24"/>
          <w:highlight w:val="none"/>
          <w:vertAlign w:val="subscript"/>
        </w:rPr>
        <w:t>低</w:t>
      </w:r>
      <w:r>
        <w:rPr>
          <w:rFonts w:hint="eastAsia" w:ascii="宋体" w:hAnsi="宋体" w:cs="仿宋"/>
          <w:color w:val="auto"/>
          <w:sz w:val="24"/>
          <w:szCs w:val="24"/>
          <w:highlight w:val="none"/>
        </w:rPr>
        <w:t>：为达到或超过技术标及格分数线的投标人最低报价与工程成本警示价两者中的较高值；</w:t>
      </w:r>
    </w:p>
    <w:p>
      <w:pPr>
        <w:spacing w:line="360" w:lineRule="auto"/>
        <w:ind w:firstLine="480" w:firstLineChars="200"/>
        <w:rPr>
          <w:rFonts w:ascii="宋体" w:hAnsi="宋体" w:cs="仿宋"/>
          <w:color w:val="auto"/>
          <w:sz w:val="24"/>
          <w:szCs w:val="24"/>
          <w:highlight w:val="none"/>
        </w:rPr>
      </w:pPr>
      <w:r>
        <w:rPr>
          <w:rFonts w:ascii="宋体" w:hAnsi="宋体" w:cs="仿宋"/>
          <w:color w:val="auto"/>
          <w:kern w:val="0"/>
          <w:sz w:val="24"/>
          <w:szCs w:val="24"/>
          <w:highlight w:val="none"/>
        </w:rPr>
        <w:t>Q</w:t>
      </w:r>
      <w:r>
        <w:rPr>
          <w:rFonts w:hint="eastAsia" w:ascii="宋体" w:hAnsi="宋体" w:cs="仿宋"/>
          <w:color w:val="auto"/>
          <w:kern w:val="0"/>
          <w:sz w:val="24"/>
          <w:szCs w:val="24"/>
          <w:highlight w:val="none"/>
          <w:vertAlign w:val="subscript"/>
        </w:rPr>
        <w:t>高</w:t>
      </w:r>
      <w:r>
        <w:rPr>
          <w:rFonts w:hint="eastAsia" w:ascii="宋体" w:hAnsi="宋体" w:cs="仿宋"/>
          <w:color w:val="auto"/>
          <w:sz w:val="24"/>
          <w:szCs w:val="24"/>
          <w:highlight w:val="none"/>
        </w:rPr>
        <w:t>：为最高投标限价</w:t>
      </w:r>
    </w:p>
    <w:p>
      <w:pPr>
        <w:spacing w:line="360" w:lineRule="auto"/>
        <w:ind w:firstLine="480" w:firstLineChars="200"/>
        <w:rPr>
          <w:rFonts w:ascii="宋体" w:hAnsi="宋体"/>
          <w:color w:val="auto"/>
          <w:sz w:val="24"/>
          <w:szCs w:val="24"/>
          <w:highlight w:val="none"/>
        </w:rPr>
      </w:pPr>
      <w:r>
        <w:rPr>
          <w:rFonts w:hint="eastAsia" w:ascii="宋体" w:hAnsi="宋体" w:cs="仿宋"/>
          <w:color w:val="auto"/>
          <w:sz w:val="24"/>
          <w:szCs w:val="24"/>
          <w:highlight w:val="none"/>
        </w:rPr>
        <w:t xml:space="preserve">    </w:t>
      </w:r>
      <w:r>
        <w:rPr>
          <w:rFonts w:ascii="宋体" w:hAnsi="宋体" w:cs="仿宋"/>
          <w:color w:val="auto"/>
          <w:sz w:val="24"/>
          <w:szCs w:val="24"/>
          <w:highlight w:val="none"/>
        </w:rPr>
        <w:t>X:</w:t>
      </w:r>
      <w:r>
        <w:rPr>
          <w:rFonts w:hint="eastAsia" w:ascii="宋体" w:hAnsi="宋体" w:cs="仿宋"/>
          <w:color w:val="auto"/>
          <w:sz w:val="24"/>
          <w:szCs w:val="24"/>
          <w:highlight w:val="none"/>
        </w:rPr>
        <w:t>为等分点值，在开标前从</w:t>
      </w:r>
      <w:r>
        <w:rPr>
          <w:rFonts w:ascii="宋体" w:hAnsi="宋体" w:cs="仿宋"/>
          <w:color w:val="auto"/>
          <w:sz w:val="24"/>
          <w:szCs w:val="24"/>
          <w:highlight w:val="none"/>
        </w:rPr>
        <w:t>[0,100]</w:t>
      </w:r>
      <w:r>
        <w:rPr>
          <w:rFonts w:hint="eastAsia" w:ascii="宋体" w:hAnsi="宋体" w:cs="仿宋"/>
          <w:color w:val="auto"/>
          <w:sz w:val="24"/>
          <w:szCs w:val="24"/>
          <w:highlight w:val="none"/>
        </w:rPr>
        <w:t>整数中随机抽取。</w:t>
      </w:r>
    </w:p>
    <w:p>
      <w:pPr>
        <w:spacing w:line="360" w:lineRule="auto"/>
        <w:ind w:firstLine="480" w:firstLineChars="200"/>
        <w:rPr>
          <w:rFonts w:ascii="宋体" w:hAnsi="宋体"/>
          <w:color w:val="auto"/>
          <w:sz w:val="24"/>
          <w:szCs w:val="24"/>
          <w:highlight w:val="none"/>
        </w:rPr>
      </w:pPr>
      <w:r>
        <w:rPr>
          <w:rFonts w:hint="eastAsia" w:ascii="宋体" w:hAnsi="宋体" w:cs="宋体"/>
          <w:color w:val="auto"/>
          <w:kern w:val="0"/>
          <w:sz w:val="24"/>
          <w:szCs w:val="24"/>
          <w:highlight w:val="none"/>
        </w:rPr>
        <w:t>42.4.3.2</w:t>
      </w:r>
      <w:r>
        <w:rPr>
          <w:rFonts w:hint="eastAsia" w:ascii="宋体" w:hAnsi="宋体"/>
          <w:color w:val="auto"/>
          <w:sz w:val="24"/>
          <w:szCs w:val="24"/>
          <w:highlight w:val="none"/>
        </w:rPr>
        <w:t>当标价等于评标参考价时得</w:t>
      </w:r>
      <w:r>
        <w:rPr>
          <w:rFonts w:ascii="宋体" w:hAnsi="宋体"/>
          <w:color w:val="auto"/>
          <w:sz w:val="24"/>
          <w:szCs w:val="24"/>
          <w:highlight w:val="none"/>
        </w:rPr>
        <w:t>100</w:t>
      </w:r>
      <w:r>
        <w:rPr>
          <w:rFonts w:hint="eastAsia" w:ascii="宋体" w:hAnsi="宋体"/>
          <w:color w:val="auto"/>
          <w:sz w:val="24"/>
          <w:szCs w:val="24"/>
          <w:highlight w:val="none"/>
        </w:rPr>
        <w:t>分，标价每高于评标参考价</w:t>
      </w:r>
      <w:r>
        <w:rPr>
          <w:rFonts w:ascii="宋体" w:hAnsi="宋体"/>
          <w:color w:val="auto"/>
          <w:sz w:val="24"/>
          <w:szCs w:val="24"/>
          <w:highlight w:val="none"/>
        </w:rPr>
        <w:t>1%</w:t>
      </w:r>
      <w:r>
        <w:rPr>
          <w:rFonts w:hint="eastAsia" w:ascii="宋体" w:hAnsi="宋体"/>
          <w:color w:val="auto"/>
          <w:sz w:val="24"/>
          <w:szCs w:val="24"/>
          <w:highlight w:val="none"/>
        </w:rPr>
        <w:t>，扣</w:t>
      </w:r>
      <w:r>
        <w:rPr>
          <w:rFonts w:ascii="宋体" w:hAnsi="宋体"/>
          <w:color w:val="auto"/>
          <w:sz w:val="24"/>
          <w:szCs w:val="24"/>
          <w:highlight w:val="none"/>
        </w:rPr>
        <w:t>1.5</w:t>
      </w:r>
      <w:r>
        <w:rPr>
          <w:rFonts w:hint="eastAsia" w:ascii="宋体" w:hAnsi="宋体"/>
          <w:color w:val="auto"/>
          <w:sz w:val="24"/>
          <w:szCs w:val="24"/>
          <w:highlight w:val="none"/>
        </w:rPr>
        <w:t>分，每低于评标参考价</w:t>
      </w:r>
      <w:r>
        <w:rPr>
          <w:rFonts w:ascii="宋体" w:hAnsi="宋体"/>
          <w:color w:val="auto"/>
          <w:sz w:val="24"/>
          <w:szCs w:val="24"/>
          <w:highlight w:val="none"/>
        </w:rPr>
        <w:t>1%</w:t>
      </w:r>
      <w:r>
        <w:rPr>
          <w:rFonts w:hint="eastAsia" w:ascii="宋体" w:hAnsi="宋体"/>
          <w:color w:val="auto"/>
          <w:sz w:val="24"/>
          <w:szCs w:val="24"/>
          <w:highlight w:val="none"/>
        </w:rPr>
        <w:t>，扣</w:t>
      </w:r>
      <w:r>
        <w:rPr>
          <w:rFonts w:ascii="宋体" w:hAnsi="宋体"/>
          <w:color w:val="auto"/>
          <w:sz w:val="24"/>
          <w:szCs w:val="24"/>
          <w:highlight w:val="none"/>
        </w:rPr>
        <w:t>1</w:t>
      </w:r>
      <w:r>
        <w:rPr>
          <w:rFonts w:hint="eastAsia" w:ascii="宋体" w:hAnsi="宋体"/>
          <w:color w:val="auto"/>
          <w:sz w:val="24"/>
          <w:szCs w:val="24"/>
          <w:highlight w:val="none"/>
        </w:rPr>
        <w:t>分，扣至</w:t>
      </w:r>
      <w:r>
        <w:rPr>
          <w:rFonts w:ascii="宋体" w:hAnsi="宋体"/>
          <w:color w:val="auto"/>
          <w:sz w:val="24"/>
          <w:szCs w:val="24"/>
          <w:highlight w:val="none"/>
        </w:rPr>
        <w:t>0</w:t>
      </w:r>
      <w:r>
        <w:rPr>
          <w:rFonts w:hint="eastAsia" w:ascii="宋体" w:hAnsi="宋体"/>
          <w:color w:val="auto"/>
          <w:sz w:val="24"/>
          <w:szCs w:val="24"/>
          <w:highlight w:val="none"/>
        </w:rPr>
        <w:t>分为止，得出经济分，精确到小数点后两位。</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42.4.3.3评标委员会按投标须知前附表第32项的规定确定排序。</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42.4.4经济标的有效性审查：按照投标人第二阶段排序，依次对进入第二阶段评审的投标文件进行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w:t>
      </w:r>
      <w:r>
        <w:rPr>
          <w:rFonts w:hint="eastAsia" w:ascii="宋体" w:hAnsi="宋体"/>
          <w:color w:val="auto"/>
          <w:sz w:val="24"/>
          <w:szCs w:val="24"/>
          <w:highlight w:val="none"/>
        </w:rPr>
        <w:t>4.5经济标的算术校核。评标委员会对进行经济标有效性审查的投标文件投标报价按照就低不就高的原则进行算术校核，具体标准如下：</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w:t>
      </w:r>
      <w:r>
        <w:rPr>
          <w:rFonts w:hint="eastAsia" w:ascii="宋体" w:hAnsi="宋体"/>
          <w:color w:val="auto"/>
          <w:sz w:val="24"/>
          <w:szCs w:val="24"/>
          <w:highlight w:val="none"/>
        </w:rPr>
        <w:t>4.5.1如果数字表示的金额和用文字表示的金额不一致时，应以文字表示的金额为准；</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w:t>
      </w:r>
      <w:r>
        <w:rPr>
          <w:rFonts w:hint="eastAsia" w:ascii="宋体" w:hAnsi="宋体"/>
          <w:color w:val="auto"/>
          <w:sz w:val="24"/>
          <w:szCs w:val="24"/>
          <w:highlight w:val="none"/>
        </w:rPr>
        <w:t>4.5.2经算术复核的投标人报价与其投标报价不一致时，按就低不就高原则确定其最终报价；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w:t>
      </w:r>
      <w:r>
        <w:rPr>
          <w:rFonts w:hint="eastAsia" w:ascii="宋体" w:hAnsi="宋体"/>
          <w:color w:val="auto"/>
          <w:sz w:val="24"/>
          <w:szCs w:val="24"/>
          <w:highlight w:val="none"/>
        </w:rPr>
        <w:t>4.5.3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w:t>
      </w:r>
      <w:r>
        <w:rPr>
          <w:rFonts w:hint="eastAsia" w:ascii="宋体" w:hAnsi="宋体"/>
          <w:color w:val="auto"/>
          <w:sz w:val="24"/>
          <w:szCs w:val="24"/>
          <w:highlight w:val="none"/>
        </w:rPr>
        <w:t>4.5.</w:t>
      </w:r>
      <w:r>
        <w:rPr>
          <w:rFonts w:ascii="宋体" w:hAnsi="宋体"/>
          <w:color w:val="auto"/>
          <w:sz w:val="24"/>
          <w:szCs w:val="24"/>
          <w:highlight w:val="none"/>
        </w:rPr>
        <w:t>4</w:t>
      </w:r>
      <w:r>
        <w:rPr>
          <w:rFonts w:hint="eastAsia" w:ascii="宋体" w:hAnsi="宋体"/>
          <w:color w:val="auto"/>
          <w:sz w:val="24"/>
          <w:szCs w:val="24"/>
          <w:highlight w:val="none"/>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w:t>
      </w:r>
      <w:r>
        <w:rPr>
          <w:rFonts w:hint="eastAsia" w:ascii="宋体" w:hAnsi="宋体"/>
          <w:color w:val="auto"/>
          <w:sz w:val="24"/>
          <w:szCs w:val="24"/>
          <w:highlight w:val="none"/>
        </w:rPr>
        <w:t>4.5.</w:t>
      </w:r>
      <w:r>
        <w:rPr>
          <w:rFonts w:ascii="宋体" w:hAnsi="宋体"/>
          <w:color w:val="auto"/>
          <w:sz w:val="24"/>
          <w:szCs w:val="24"/>
          <w:highlight w:val="none"/>
        </w:rPr>
        <w:t>5</w:t>
      </w:r>
      <w:r>
        <w:rPr>
          <w:rFonts w:hint="eastAsia" w:ascii="宋体" w:hAnsi="宋体"/>
          <w:color w:val="auto"/>
          <w:sz w:val="24"/>
          <w:szCs w:val="24"/>
          <w:highlight w:val="none"/>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w:t>
      </w:r>
      <w:r>
        <w:rPr>
          <w:rFonts w:hint="eastAsia" w:ascii="宋体" w:hAnsi="宋体"/>
          <w:color w:val="auto"/>
          <w:sz w:val="24"/>
          <w:szCs w:val="24"/>
          <w:highlight w:val="none"/>
        </w:rPr>
        <w:t>4.5.</w:t>
      </w:r>
      <w:r>
        <w:rPr>
          <w:rFonts w:ascii="宋体" w:hAnsi="宋体"/>
          <w:color w:val="auto"/>
          <w:sz w:val="24"/>
          <w:szCs w:val="24"/>
          <w:highlight w:val="none"/>
        </w:rPr>
        <w:t>6</w:t>
      </w:r>
      <w:r>
        <w:rPr>
          <w:rFonts w:hint="eastAsia" w:ascii="宋体" w:hAnsi="宋体"/>
          <w:color w:val="auto"/>
          <w:sz w:val="24"/>
          <w:szCs w:val="24"/>
          <w:highlight w:val="none"/>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w:t>
      </w:r>
      <w:r>
        <w:rPr>
          <w:rFonts w:hint="eastAsia" w:ascii="宋体" w:hAnsi="宋体"/>
          <w:color w:val="auto"/>
          <w:sz w:val="24"/>
          <w:szCs w:val="24"/>
          <w:highlight w:val="none"/>
        </w:rPr>
        <w:t>4.5.</w:t>
      </w:r>
      <w:r>
        <w:rPr>
          <w:rFonts w:ascii="宋体" w:hAnsi="宋体"/>
          <w:color w:val="auto"/>
          <w:sz w:val="24"/>
          <w:szCs w:val="24"/>
          <w:highlight w:val="none"/>
        </w:rPr>
        <w:t>7</w:t>
      </w:r>
      <w:r>
        <w:rPr>
          <w:rFonts w:hint="eastAsia" w:ascii="宋体" w:hAnsi="宋体"/>
          <w:color w:val="auto"/>
          <w:sz w:val="24"/>
          <w:szCs w:val="24"/>
          <w:highlight w:val="none"/>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w:t>
      </w:r>
      <w:r>
        <w:rPr>
          <w:rFonts w:hint="eastAsia" w:ascii="宋体" w:hAnsi="宋体"/>
          <w:color w:val="auto"/>
          <w:sz w:val="24"/>
          <w:szCs w:val="24"/>
          <w:highlight w:val="none"/>
        </w:rPr>
        <w:t>4.5.</w:t>
      </w:r>
      <w:r>
        <w:rPr>
          <w:rFonts w:ascii="宋体" w:hAnsi="宋体"/>
          <w:color w:val="auto"/>
          <w:sz w:val="24"/>
          <w:szCs w:val="24"/>
          <w:highlight w:val="none"/>
        </w:rPr>
        <w:t>8</w:t>
      </w:r>
      <w:r>
        <w:rPr>
          <w:rFonts w:hint="eastAsia" w:ascii="宋体" w:hAnsi="宋体"/>
          <w:color w:val="auto"/>
          <w:sz w:val="24"/>
          <w:szCs w:val="24"/>
          <w:highlight w:val="none"/>
        </w:rPr>
        <w:t>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w:t>
      </w:r>
      <w:r>
        <w:rPr>
          <w:rFonts w:hint="eastAsia" w:ascii="宋体" w:hAnsi="宋体"/>
          <w:color w:val="auto"/>
          <w:sz w:val="24"/>
          <w:szCs w:val="24"/>
          <w:highlight w:val="none"/>
        </w:rPr>
        <w:t>5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w:t>
      </w:r>
      <w:r>
        <w:rPr>
          <w:rFonts w:hint="eastAsia" w:ascii="宋体" w:hAnsi="宋体"/>
          <w:color w:val="auto"/>
          <w:sz w:val="24"/>
          <w:szCs w:val="24"/>
          <w:highlight w:val="none"/>
        </w:rPr>
        <w:t>6评标委员会应在通过投标文件经济标有效性审查的投标人中，按步骤42.4确定的投标人第二阶段排序，推荐前</w:t>
      </w:r>
      <w:r>
        <w:rPr>
          <w:rFonts w:ascii="宋体" w:hAnsi="宋体"/>
          <w:color w:val="auto"/>
          <w:sz w:val="24"/>
          <w:szCs w:val="24"/>
          <w:highlight w:val="none"/>
        </w:rPr>
        <w:t>3</w:t>
      </w:r>
      <w:r>
        <w:rPr>
          <w:rFonts w:hint="eastAsia" w:ascii="宋体" w:hAnsi="宋体"/>
          <w:color w:val="auto"/>
          <w:sz w:val="24"/>
          <w:szCs w:val="24"/>
          <w:highlight w:val="none"/>
        </w:rPr>
        <w:t>名依次为第一中标候选人至第三中标候选人</w:t>
      </w:r>
      <w:r>
        <w:rPr>
          <w:rFonts w:ascii="宋体" w:hAnsi="宋体"/>
          <w:color w:val="auto"/>
          <w:sz w:val="24"/>
          <w:szCs w:val="24"/>
          <w:highlight w:val="none"/>
        </w:rPr>
        <w:t>,</w:t>
      </w:r>
      <w:r>
        <w:rPr>
          <w:rFonts w:hint="eastAsia" w:ascii="宋体" w:hAnsi="宋体"/>
          <w:color w:val="auto"/>
          <w:sz w:val="24"/>
          <w:szCs w:val="24"/>
          <w:highlight w:val="none"/>
        </w:rPr>
        <w:t>并编制评标报告。</w:t>
      </w:r>
    </w:p>
    <w:p>
      <w:pPr>
        <w:spacing w:line="360" w:lineRule="auto"/>
        <w:ind w:firstLine="480" w:firstLineChars="200"/>
        <w:rPr>
          <w:rFonts w:ascii="宋体" w:hAnsi="宋体" w:cs="宋体"/>
          <w:strike/>
          <w:color w:val="auto"/>
          <w:szCs w:val="21"/>
          <w:highlight w:val="none"/>
        </w:rPr>
      </w:pPr>
      <w:r>
        <w:rPr>
          <w:rFonts w:ascii="宋体" w:hAnsi="宋体"/>
          <w:color w:val="auto"/>
          <w:sz w:val="24"/>
          <w:szCs w:val="24"/>
          <w:highlight w:val="none"/>
        </w:rPr>
        <w:t>42.</w:t>
      </w:r>
      <w:r>
        <w:rPr>
          <w:rFonts w:hint="eastAsia" w:ascii="宋体" w:hAnsi="宋体"/>
          <w:color w:val="auto"/>
          <w:sz w:val="24"/>
          <w:szCs w:val="24"/>
          <w:highlight w:val="none"/>
        </w:rPr>
        <w:t>7若通过经济标有效性审查的投标人不足三家，应当依法重新招标。（当</w:t>
      </w:r>
      <w:r>
        <w:rPr>
          <w:rFonts w:ascii="宋体" w:hAnsi="宋体"/>
          <w:color w:val="auto"/>
          <w:sz w:val="24"/>
          <w:szCs w:val="24"/>
          <w:highlight w:val="none"/>
        </w:rPr>
        <w:t>N</w:t>
      </w:r>
      <w:r>
        <w:rPr>
          <w:rFonts w:hint="eastAsia" w:ascii="宋体" w:hAnsi="宋体"/>
          <w:color w:val="auto"/>
          <w:sz w:val="24"/>
          <w:szCs w:val="24"/>
          <w:highlight w:val="none"/>
        </w:rPr>
        <w:t>个标段同时招标且不允许兼中时，若有效投标人不足</w:t>
      </w:r>
      <w:r>
        <w:rPr>
          <w:rFonts w:ascii="宋体" w:hAnsi="宋体"/>
          <w:color w:val="auto"/>
          <w:sz w:val="24"/>
          <w:szCs w:val="24"/>
          <w:highlight w:val="none"/>
        </w:rPr>
        <w:t>N+2</w:t>
      </w:r>
      <w:r>
        <w:rPr>
          <w:rFonts w:hint="eastAsia" w:ascii="宋体" w:hAnsi="宋体"/>
          <w:color w:val="auto"/>
          <w:sz w:val="24"/>
          <w:szCs w:val="24"/>
          <w:highlight w:val="none"/>
        </w:rPr>
        <w:t>家，应当依法重新招标）</w:t>
      </w:r>
    </w:p>
    <w:bookmarkEnd w:id="183"/>
    <w:bookmarkEnd w:id="184"/>
    <w:bookmarkEnd w:id="185"/>
    <w:bookmarkEnd w:id="186"/>
    <w:bookmarkEnd w:id="187"/>
    <w:bookmarkEnd w:id="188"/>
    <w:bookmarkEnd w:id="189"/>
    <w:p>
      <w:pPr>
        <w:spacing w:line="360" w:lineRule="auto"/>
        <w:ind w:firstLine="480" w:firstLineChars="200"/>
        <w:rPr>
          <w:rFonts w:ascii="宋体" w:hAnsi="宋体" w:cs="宋体"/>
          <w:color w:val="auto"/>
          <w:sz w:val="24"/>
          <w:szCs w:val="24"/>
          <w:highlight w:val="none"/>
        </w:rPr>
      </w:pPr>
    </w:p>
    <w:p>
      <w:pPr>
        <w:spacing w:line="360" w:lineRule="auto"/>
        <w:rPr>
          <w:rFonts w:ascii="宋体" w:hAnsi="宋体" w:cs="宋体"/>
          <w:color w:val="auto"/>
          <w:sz w:val="24"/>
          <w:szCs w:val="24"/>
          <w:highlight w:val="none"/>
        </w:rPr>
        <w:sectPr>
          <w:footerReference r:id="rId9" w:type="first"/>
          <w:footerReference r:id="rId7" w:type="default"/>
          <w:headerReference r:id="rId6" w:type="even"/>
          <w:footerReference r:id="rId8" w:type="even"/>
          <w:endnotePr>
            <w:numFmt w:val="decimal"/>
          </w:endnotePr>
          <w:pgSz w:w="11906" w:h="16838"/>
          <w:pgMar w:top="1134" w:right="1418" w:bottom="1247" w:left="1418" w:header="851" w:footer="907" w:gutter="0"/>
          <w:pgNumType w:start="1"/>
          <w:cols w:space="720" w:num="1"/>
          <w:titlePg/>
          <w:docGrid w:type="lines" w:linePitch="312" w:charSpace="0"/>
        </w:sectPr>
      </w:pPr>
    </w:p>
    <w:p>
      <w:pPr>
        <w:pStyle w:val="4"/>
        <w:jc w:val="left"/>
        <w:rPr>
          <w:color w:val="auto"/>
          <w:highlight w:val="none"/>
        </w:rPr>
      </w:pPr>
      <w:bookmarkStart w:id="190" w:name="_Toc9611"/>
      <w:bookmarkStart w:id="191" w:name="_Toc25920"/>
      <w:bookmarkStart w:id="192" w:name="_Toc11"/>
      <w:bookmarkStart w:id="193" w:name="_Toc8409"/>
      <w:bookmarkStart w:id="194" w:name="_Toc17701"/>
      <w:bookmarkStart w:id="195" w:name="_Toc30615"/>
      <w:bookmarkStart w:id="196" w:name="_Toc4199"/>
      <w:bookmarkStart w:id="197" w:name="_Toc22428"/>
      <w:bookmarkStart w:id="198" w:name="_Toc7031"/>
      <w:bookmarkStart w:id="199" w:name="_Toc7613"/>
      <w:bookmarkStart w:id="200" w:name="_Toc7589"/>
      <w:r>
        <w:rPr>
          <w:rFonts w:hint="eastAsia"/>
          <w:color w:val="auto"/>
          <w:highlight w:val="none"/>
        </w:rPr>
        <w:t>附表一</w:t>
      </w:r>
      <w:bookmarkEnd w:id="190"/>
      <w:bookmarkEnd w:id="191"/>
      <w:bookmarkEnd w:id="192"/>
      <w:bookmarkEnd w:id="193"/>
      <w:bookmarkEnd w:id="194"/>
      <w:bookmarkEnd w:id="195"/>
      <w:bookmarkEnd w:id="196"/>
      <w:bookmarkEnd w:id="197"/>
      <w:bookmarkEnd w:id="198"/>
      <w:bookmarkEnd w:id="199"/>
      <w:bookmarkEnd w:id="200"/>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资格审查表</w:t>
      </w:r>
    </w:p>
    <w:p>
      <w:pPr>
        <w:spacing w:line="360" w:lineRule="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工程名称：</w:t>
      </w:r>
      <w:r>
        <w:rPr>
          <w:rFonts w:hint="eastAsia" w:ascii="宋体" w:hAnsi="宋体" w:cs="宋体"/>
          <w:color w:val="auto"/>
          <w:sz w:val="24"/>
          <w:szCs w:val="24"/>
          <w:highlight w:val="none"/>
          <w:lang w:val="en-US" w:eastAsia="zh-CN"/>
        </w:rPr>
        <w:t xml:space="preserve">                                                              </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投标人名称：</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7046"/>
        <w:gridCol w:w="613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704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b/>
                <w:color w:val="auto"/>
                <w:szCs w:val="21"/>
                <w:highlight w:val="none"/>
              </w:rPr>
            </w:pPr>
            <w:r>
              <w:rPr>
                <w:rFonts w:hint="eastAsia" w:ascii="宋体" w:hAnsi="宋体" w:cs="宋体"/>
                <w:b/>
                <w:color w:val="auto"/>
                <w:szCs w:val="21"/>
                <w:highlight w:val="none"/>
              </w:rPr>
              <w:t>审查项目</w:t>
            </w:r>
          </w:p>
        </w:tc>
        <w:tc>
          <w:tcPr>
            <w:tcW w:w="613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b/>
                <w:color w:val="auto"/>
                <w:szCs w:val="21"/>
                <w:highlight w:val="none"/>
              </w:rPr>
            </w:pPr>
            <w:r>
              <w:rPr>
                <w:rFonts w:hint="eastAsia" w:ascii="宋体" w:hAnsi="宋体" w:cs="宋体"/>
                <w:b/>
                <w:color w:val="auto"/>
                <w:szCs w:val="21"/>
                <w:highlight w:val="none"/>
              </w:rPr>
              <w:t>须审查的资料</w:t>
            </w:r>
          </w:p>
        </w:tc>
        <w:tc>
          <w:tcPr>
            <w:tcW w:w="106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b/>
                <w:color w:val="auto"/>
                <w:szCs w:val="21"/>
                <w:highlight w:val="none"/>
              </w:rPr>
            </w:pPr>
            <w:r>
              <w:rPr>
                <w:rFonts w:hint="eastAsia" w:ascii="宋体" w:hAnsi="宋体" w:cs="宋体"/>
                <w:b/>
                <w:color w:val="auto"/>
                <w:szCs w:val="21"/>
                <w:highlight w:val="none"/>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1</w:t>
            </w:r>
          </w:p>
        </w:tc>
        <w:tc>
          <w:tcPr>
            <w:tcW w:w="7046" w:type="dxa"/>
            <w:tcBorders>
              <w:top w:val="single" w:color="auto" w:sz="4" w:space="0"/>
              <w:left w:val="single" w:color="auto" w:sz="4" w:space="0"/>
              <w:bottom w:val="single" w:color="auto" w:sz="4" w:space="0"/>
              <w:right w:val="single" w:color="auto" w:sz="4" w:space="0"/>
            </w:tcBorders>
            <w:vAlign w:val="center"/>
          </w:tcPr>
          <w:p>
            <w:pPr>
              <w:spacing w:before="120" w:after="60"/>
              <w:rPr>
                <w:rFonts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联合体各方</w:t>
            </w:r>
            <w:r>
              <w:rPr>
                <w:rFonts w:hint="eastAsia" w:ascii="宋体" w:hAnsi="宋体" w:cs="宋体"/>
                <w:color w:val="auto"/>
                <w:szCs w:val="21"/>
                <w:highlight w:val="none"/>
                <w:lang w:eastAsia="zh-CN"/>
              </w:rPr>
              <w:t>）</w:t>
            </w:r>
            <w:r>
              <w:rPr>
                <w:rFonts w:hint="eastAsia" w:ascii="宋体" w:hAnsi="宋体" w:cs="宋体"/>
                <w:color w:val="auto"/>
                <w:szCs w:val="21"/>
                <w:highlight w:val="none"/>
              </w:rPr>
              <w:t>参加投标的意思表达清楚，投标人代表被授权有效</w:t>
            </w:r>
            <w:r>
              <w:rPr>
                <w:rFonts w:hint="eastAsia" w:ascii="宋体" w:hAnsi="宋体" w:cs="宋体"/>
                <w:bCs/>
                <w:color w:val="auto"/>
                <w:szCs w:val="21"/>
                <w:highlight w:val="none"/>
                <w:u w:val="single"/>
              </w:rPr>
              <w:t>（若为联合体投标，由联合体主办方提供）</w:t>
            </w:r>
            <w:r>
              <w:rPr>
                <w:rFonts w:hint="eastAsia" w:ascii="宋体" w:hAnsi="宋体"/>
                <w:color w:val="auto"/>
                <w:szCs w:val="21"/>
                <w:highlight w:val="none"/>
              </w:rPr>
              <w:t>。</w:t>
            </w:r>
          </w:p>
        </w:tc>
        <w:tc>
          <w:tcPr>
            <w:tcW w:w="6135" w:type="dxa"/>
            <w:tcBorders>
              <w:top w:val="single" w:color="auto" w:sz="4" w:space="0"/>
              <w:left w:val="single" w:color="auto" w:sz="4" w:space="0"/>
              <w:bottom w:val="single" w:color="auto" w:sz="4" w:space="0"/>
              <w:right w:val="single" w:color="auto" w:sz="4" w:space="0"/>
            </w:tcBorders>
            <w:vAlign w:val="center"/>
          </w:tcPr>
          <w:p>
            <w:pPr>
              <w:spacing w:before="120" w:after="60"/>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投标人声明</w:t>
            </w:r>
            <w:r>
              <w:rPr>
                <w:rFonts w:hint="eastAsia" w:ascii="宋体" w:hAnsi="宋体" w:cs="宋体"/>
                <w:color w:val="auto"/>
                <w:szCs w:val="21"/>
                <w:highlight w:val="none"/>
                <w:lang w:val="en-US" w:eastAsia="zh-CN"/>
              </w:rPr>
              <w:t>原件扫描件（联合体各方）</w:t>
            </w:r>
            <w:r>
              <w:rPr>
                <w:rFonts w:hint="eastAsia" w:ascii="宋体" w:hAnsi="宋体" w:cs="宋体"/>
                <w:color w:val="auto"/>
                <w:szCs w:val="21"/>
                <w:highlight w:val="none"/>
                <w:lang w:eastAsia="zh-CN"/>
              </w:rPr>
              <w:t>；</w:t>
            </w:r>
            <w:r>
              <w:rPr>
                <w:rFonts w:hint="eastAsia" w:ascii="宋体" w:hAnsi="宋体" w:cs="宋体"/>
                <w:color w:val="auto"/>
                <w:szCs w:val="21"/>
                <w:highlight w:val="none"/>
              </w:rPr>
              <w:t>法定代表人</w:t>
            </w:r>
            <w:r>
              <w:rPr>
                <w:rFonts w:hint="eastAsia" w:ascii="宋体" w:hAnsi="宋体" w:cs="宋体"/>
                <w:color w:val="auto"/>
                <w:szCs w:val="21"/>
                <w:highlight w:val="none"/>
                <w:lang w:val="en-US" w:eastAsia="zh-CN"/>
              </w:rPr>
              <w:t>/</w:t>
            </w:r>
            <w:r>
              <w:rPr>
                <w:rFonts w:hint="eastAsia" w:ascii="宋体" w:hAnsi="宋体" w:cs="宋体"/>
                <w:bCs/>
                <w:color w:val="auto"/>
                <w:szCs w:val="21"/>
                <w:highlight w:val="none"/>
              </w:rPr>
              <w:t>企业负责人</w:t>
            </w:r>
            <w:r>
              <w:rPr>
                <w:rFonts w:hint="eastAsia" w:ascii="宋体" w:hAnsi="宋体" w:cs="宋体"/>
                <w:color w:val="auto"/>
                <w:szCs w:val="21"/>
                <w:highlight w:val="none"/>
              </w:rPr>
              <w:t>证明书</w:t>
            </w:r>
            <w:r>
              <w:rPr>
                <w:rFonts w:hint="eastAsia" w:ascii="宋体" w:hAnsi="宋体" w:cs="宋体"/>
                <w:bCs/>
                <w:color w:val="auto"/>
                <w:szCs w:val="21"/>
                <w:highlight w:val="none"/>
                <w:u w:val="single"/>
              </w:rPr>
              <w:t>（若为联合体投标，由联合体主办方提供）</w:t>
            </w:r>
            <w:r>
              <w:rPr>
                <w:rFonts w:hint="eastAsia" w:ascii="宋体" w:hAnsi="宋体" w:cs="宋体"/>
                <w:color w:val="auto"/>
                <w:szCs w:val="21"/>
                <w:highlight w:val="none"/>
              </w:rPr>
              <w:t>；委托投标的还应提供法人授权委托证明书</w:t>
            </w:r>
            <w:r>
              <w:rPr>
                <w:rFonts w:hint="eastAsia" w:ascii="宋体" w:hAnsi="宋体" w:cs="宋体"/>
                <w:color w:val="auto"/>
                <w:szCs w:val="21"/>
                <w:highlight w:val="none"/>
                <w:lang w:val="en-US" w:eastAsia="zh-CN"/>
              </w:rPr>
              <w:t>扫描件</w:t>
            </w:r>
            <w:r>
              <w:rPr>
                <w:rFonts w:hint="eastAsia" w:ascii="宋体" w:hAnsi="宋体" w:cs="宋体"/>
                <w:bCs/>
                <w:color w:val="auto"/>
                <w:szCs w:val="21"/>
                <w:highlight w:val="none"/>
                <w:u w:val="single"/>
              </w:rPr>
              <w:t>（若为联合体投标，由联合体主办方提供）</w:t>
            </w:r>
            <w:r>
              <w:rPr>
                <w:rFonts w:hint="eastAsia" w:ascii="宋体" w:hAnsi="宋体"/>
                <w:color w:val="auto"/>
                <w:szCs w:val="21"/>
                <w:highlight w:val="none"/>
              </w:rPr>
              <w:t>。</w:t>
            </w:r>
          </w:p>
        </w:tc>
        <w:tc>
          <w:tcPr>
            <w:tcW w:w="106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2</w:t>
            </w:r>
          </w:p>
        </w:tc>
        <w:tc>
          <w:tcPr>
            <w:tcW w:w="7046" w:type="dxa"/>
            <w:tcBorders>
              <w:top w:val="single" w:color="auto" w:sz="4" w:space="0"/>
              <w:left w:val="single" w:color="auto" w:sz="4" w:space="0"/>
              <w:bottom w:val="single" w:color="auto" w:sz="4" w:space="0"/>
              <w:right w:val="single" w:color="auto" w:sz="4" w:space="0"/>
            </w:tcBorders>
            <w:vAlign w:val="center"/>
          </w:tcPr>
          <w:p>
            <w:pPr>
              <w:spacing w:before="120" w:after="60"/>
              <w:rPr>
                <w:rFonts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eastAsia="宋体" w:cs="宋体"/>
                <w:color w:val="auto"/>
                <w:sz w:val="21"/>
                <w:szCs w:val="21"/>
                <w:highlight w:val="none"/>
                <w:u w:val="single"/>
              </w:rPr>
              <w:t>（联合体各</w:t>
            </w:r>
            <w:r>
              <w:rPr>
                <w:rFonts w:hint="eastAsia" w:ascii="宋体" w:hAnsi="宋体" w:eastAsia="宋体" w:cs="宋体"/>
                <w:color w:val="auto"/>
                <w:sz w:val="21"/>
                <w:szCs w:val="21"/>
                <w:highlight w:val="none"/>
                <w:u w:val="single"/>
                <w:lang w:val="en-US" w:eastAsia="zh-CN"/>
              </w:rPr>
              <w:t>方</w:t>
            </w:r>
            <w:r>
              <w:rPr>
                <w:rFonts w:hint="eastAsia" w:ascii="宋体" w:hAnsi="宋体" w:eastAsia="宋体" w:cs="宋体"/>
                <w:color w:val="auto"/>
                <w:sz w:val="21"/>
                <w:szCs w:val="21"/>
                <w:highlight w:val="none"/>
                <w:u w:val="single"/>
              </w:rPr>
              <w:t>）</w:t>
            </w:r>
            <w:r>
              <w:rPr>
                <w:rFonts w:hint="eastAsia" w:ascii="宋体" w:hAnsi="宋体" w:cs="宋体"/>
                <w:color w:val="auto"/>
                <w:szCs w:val="21"/>
                <w:highlight w:val="none"/>
              </w:rPr>
              <w:t>具有独立法人资格，按国家法律经营；</w:t>
            </w:r>
          </w:p>
        </w:tc>
        <w:tc>
          <w:tcPr>
            <w:tcW w:w="6135" w:type="dxa"/>
            <w:tcBorders>
              <w:top w:val="single" w:color="auto" w:sz="4" w:space="0"/>
              <w:left w:val="single" w:color="auto" w:sz="4" w:space="0"/>
              <w:bottom w:val="single" w:color="auto" w:sz="4" w:space="0"/>
              <w:right w:val="single" w:color="auto" w:sz="4" w:space="0"/>
            </w:tcBorders>
            <w:vAlign w:val="center"/>
          </w:tcPr>
          <w:p>
            <w:pPr>
              <w:spacing w:before="120" w:after="60"/>
              <w:rPr>
                <w:rFonts w:ascii="宋体" w:hAnsi="宋体" w:cs="宋体"/>
                <w:color w:val="auto"/>
                <w:szCs w:val="21"/>
                <w:highlight w:val="none"/>
              </w:rPr>
            </w:pPr>
            <w:r>
              <w:rPr>
                <w:rFonts w:hint="eastAsia" w:ascii="宋体" w:hAnsi="宋体" w:cs="宋体"/>
                <w:color w:val="auto"/>
                <w:szCs w:val="21"/>
                <w:highlight w:val="none"/>
              </w:rPr>
              <w:t>营业执照在</w:t>
            </w:r>
            <w:r>
              <w:rPr>
                <w:rFonts w:hint="eastAsia" w:ascii="宋体" w:hAnsi="宋体" w:cs="宋体"/>
                <w:color w:val="auto"/>
                <w:highlight w:val="none"/>
              </w:rPr>
              <w:t>广州市住建行业信用管理平台内上传件</w:t>
            </w:r>
            <w:r>
              <w:rPr>
                <w:rFonts w:hint="eastAsia" w:ascii="宋体" w:hAnsi="宋体" w:cs="宋体"/>
                <w:color w:val="auto"/>
                <w:highlight w:val="none"/>
                <w:lang w:eastAsia="zh-CN"/>
              </w:rPr>
              <w:t>；</w:t>
            </w:r>
          </w:p>
        </w:tc>
        <w:tc>
          <w:tcPr>
            <w:tcW w:w="106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3</w:t>
            </w:r>
          </w:p>
        </w:tc>
        <w:tc>
          <w:tcPr>
            <w:tcW w:w="7046" w:type="dxa"/>
            <w:tcBorders>
              <w:top w:val="single" w:color="auto" w:sz="4" w:space="0"/>
              <w:left w:val="single" w:color="auto" w:sz="4" w:space="0"/>
              <w:bottom w:val="single" w:color="auto" w:sz="4" w:space="0"/>
              <w:right w:val="single" w:color="auto" w:sz="4" w:space="0"/>
            </w:tcBorders>
            <w:vAlign w:val="center"/>
          </w:tcPr>
          <w:p>
            <w:pPr>
              <w:spacing w:before="120" w:after="60"/>
              <w:rPr>
                <w:rFonts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eastAsia="宋体" w:cs="宋体"/>
                <w:color w:val="auto"/>
                <w:sz w:val="21"/>
                <w:szCs w:val="21"/>
                <w:highlight w:val="none"/>
                <w:u w:val="single"/>
              </w:rPr>
              <w:t>（联合体各</w:t>
            </w:r>
            <w:r>
              <w:rPr>
                <w:rFonts w:hint="eastAsia" w:ascii="宋体" w:hAnsi="宋体" w:eastAsia="宋体" w:cs="宋体"/>
                <w:color w:val="auto"/>
                <w:sz w:val="21"/>
                <w:szCs w:val="21"/>
                <w:highlight w:val="none"/>
                <w:u w:val="single"/>
                <w:lang w:val="en-US" w:eastAsia="zh-CN"/>
              </w:rPr>
              <w:t>方</w:t>
            </w:r>
            <w:r>
              <w:rPr>
                <w:rFonts w:hint="eastAsia" w:ascii="宋体" w:hAnsi="宋体" w:eastAsia="宋体" w:cs="宋体"/>
                <w:color w:val="auto"/>
                <w:sz w:val="21"/>
                <w:szCs w:val="21"/>
                <w:highlight w:val="none"/>
                <w:u w:val="single"/>
              </w:rPr>
              <w:t>）</w:t>
            </w:r>
            <w:r>
              <w:rPr>
                <w:rFonts w:hint="eastAsia" w:ascii="宋体" w:hAnsi="宋体" w:cs="宋体"/>
                <w:color w:val="auto"/>
                <w:szCs w:val="21"/>
                <w:highlight w:val="none"/>
              </w:rPr>
              <w:t>持有建设行政主管部门颁发的企业资质证书及安全生产许可证；投标人资质符合公告要求；</w:t>
            </w:r>
          </w:p>
        </w:tc>
        <w:tc>
          <w:tcPr>
            <w:tcW w:w="6135" w:type="dxa"/>
            <w:tcBorders>
              <w:top w:val="single" w:color="auto" w:sz="4" w:space="0"/>
              <w:left w:val="single" w:color="auto" w:sz="4" w:space="0"/>
              <w:bottom w:val="single" w:color="auto" w:sz="4" w:space="0"/>
              <w:right w:val="single" w:color="auto" w:sz="4" w:space="0"/>
            </w:tcBorders>
            <w:vAlign w:val="center"/>
          </w:tcPr>
          <w:p>
            <w:pPr>
              <w:spacing w:before="120" w:after="60"/>
              <w:rPr>
                <w:rFonts w:hint="eastAsia" w:ascii="宋体" w:hAnsi="宋体" w:cs="宋体"/>
                <w:color w:val="auto"/>
                <w:szCs w:val="21"/>
                <w:highlight w:val="none"/>
                <w:lang w:val="en-US" w:eastAsia="zh-CN"/>
              </w:rPr>
            </w:pPr>
            <w:r>
              <w:rPr>
                <w:rFonts w:hint="eastAsia" w:ascii="宋体" w:hAnsi="宋体" w:cs="宋体"/>
                <w:color w:val="auto"/>
                <w:szCs w:val="21"/>
                <w:highlight w:val="none"/>
              </w:rPr>
              <w:t>资质证书及安全生产许可证在广州市住建行业信用管理平台内上传件</w:t>
            </w:r>
            <w:r>
              <w:rPr>
                <w:rFonts w:hint="eastAsia" w:ascii="宋体" w:hAnsi="宋体" w:cs="宋体"/>
                <w:color w:val="auto"/>
                <w:szCs w:val="21"/>
                <w:highlight w:val="none"/>
                <w:lang w:val="en-US" w:eastAsia="zh-CN"/>
              </w:rPr>
              <w:t>或办理资质延期的证明材料;</w:t>
            </w:r>
          </w:p>
          <w:p>
            <w:pPr>
              <w:spacing w:before="120" w:after="60"/>
              <w:rPr>
                <w:rFonts w:ascii="宋体" w:hAnsi="宋体" w:cs="宋体"/>
                <w:color w:val="auto"/>
                <w:szCs w:val="21"/>
                <w:highlight w:val="none"/>
                <w:u w:val="single"/>
              </w:rPr>
            </w:pPr>
            <w:r>
              <w:rPr>
                <w:rFonts w:hint="eastAsia" w:ascii="宋体" w:hAnsi="宋体" w:cs="宋体"/>
                <w:color w:val="auto"/>
                <w:szCs w:val="21"/>
                <w:highlight w:val="none"/>
                <w:u w:val="single"/>
                <w:lang w:val="en-US" w:eastAsia="zh-CN"/>
              </w:rPr>
              <w:t>（注：</w:t>
            </w:r>
            <w:r>
              <w:rPr>
                <w:rFonts w:hint="eastAsia" w:ascii="宋体" w:hAnsi="宋体" w:cs="宋体"/>
                <w:bCs/>
                <w:color w:val="auto"/>
                <w:kern w:val="0"/>
                <w:szCs w:val="21"/>
                <w:highlight w:val="none"/>
                <w:u w:val="single"/>
              </w:rPr>
              <w:t>须符合招标公告第九条第4款注①的规定</w:t>
            </w:r>
            <w:r>
              <w:rPr>
                <w:rFonts w:hint="eastAsia" w:ascii="宋体" w:hAnsi="宋体" w:cs="宋体"/>
                <w:color w:val="auto"/>
                <w:szCs w:val="21"/>
                <w:highlight w:val="none"/>
                <w:lang w:val="en-US" w:eastAsia="zh-CN"/>
              </w:rPr>
              <w:t>）</w:t>
            </w:r>
          </w:p>
        </w:tc>
        <w:tc>
          <w:tcPr>
            <w:tcW w:w="106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4</w:t>
            </w:r>
          </w:p>
        </w:tc>
        <w:tc>
          <w:tcPr>
            <w:tcW w:w="7046" w:type="dxa"/>
            <w:tcBorders>
              <w:top w:val="single" w:color="auto" w:sz="4" w:space="0"/>
              <w:left w:val="single" w:color="auto" w:sz="4" w:space="0"/>
              <w:bottom w:val="single" w:color="auto" w:sz="4" w:space="0"/>
              <w:right w:val="single" w:color="auto" w:sz="4" w:space="0"/>
            </w:tcBorders>
            <w:vAlign w:val="center"/>
          </w:tcPr>
          <w:p>
            <w:pPr>
              <w:spacing w:before="120" w:after="60"/>
              <w:rPr>
                <w:rFonts w:ascii="宋体" w:hAnsi="宋体" w:cs="宋体"/>
                <w:color w:val="auto"/>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（联合体</w:t>
            </w:r>
            <w:r>
              <w:rPr>
                <w:rFonts w:hint="eastAsia" w:ascii="宋体" w:hAnsi="宋体" w:eastAsia="宋体" w:cs="宋体"/>
                <w:color w:val="auto"/>
                <w:sz w:val="21"/>
                <w:szCs w:val="21"/>
                <w:highlight w:val="none"/>
                <w:u w:val="single"/>
                <w:lang w:val="en-US" w:eastAsia="zh-CN"/>
              </w:rPr>
              <w:t>主办方</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拟担任本工程项目负责人符合公告要求</w:t>
            </w:r>
          </w:p>
        </w:tc>
        <w:tc>
          <w:tcPr>
            <w:tcW w:w="6135" w:type="dxa"/>
            <w:tcBorders>
              <w:top w:val="single" w:color="auto" w:sz="4" w:space="0"/>
              <w:left w:val="single" w:color="auto" w:sz="4" w:space="0"/>
              <w:bottom w:val="single" w:color="auto" w:sz="4" w:space="0"/>
              <w:right w:val="single" w:color="auto" w:sz="4" w:space="0"/>
            </w:tcBorders>
            <w:vAlign w:val="center"/>
          </w:tcPr>
          <w:p>
            <w:pPr>
              <w:spacing w:before="120" w:after="60"/>
              <w:rPr>
                <w:rFonts w:hint="default" w:ascii="宋体" w:hAnsi="宋体" w:eastAsia="宋体" w:cs="宋体"/>
                <w:color w:val="auto"/>
                <w:szCs w:val="21"/>
                <w:highlight w:val="none"/>
                <w:u w:val="single"/>
                <w:lang w:val="en-US" w:eastAsia="zh-CN"/>
              </w:rPr>
            </w:pPr>
            <w:r>
              <w:rPr>
                <w:rFonts w:hint="eastAsia" w:ascii="宋体" w:hAnsi="宋体" w:cs="宋体"/>
                <w:color w:val="auto"/>
                <w:szCs w:val="21"/>
                <w:highlight w:val="none"/>
                <w:u w:val="single"/>
              </w:rPr>
              <w:t>有效期内的注册建造师注册证书在广州市住建行业信用平台内上传件</w:t>
            </w:r>
            <w:r>
              <w:rPr>
                <w:rFonts w:hint="eastAsia" w:ascii="宋体" w:hAnsi="宋体" w:cs="宋体"/>
                <w:color w:val="auto"/>
                <w:szCs w:val="21"/>
                <w:highlight w:val="none"/>
                <w:u w:val="single"/>
                <w:lang w:eastAsia="zh-CN"/>
              </w:rPr>
              <w:t>；</w:t>
            </w:r>
          </w:p>
          <w:p>
            <w:pPr>
              <w:spacing w:before="120" w:after="60"/>
              <w:rPr>
                <w:rFonts w:ascii="宋体" w:hAnsi="宋体" w:cs="宋体"/>
                <w:color w:val="auto"/>
                <w:szCs w:val="21"/>
                <w:highlight w:val="none"/>
                <w:u w:val="single"/>
              </w:rPr>
            </w:pPr>
            <w:r>
              <w:rPr>
                <w:rFonts w:hint="eastAsia" w:ascii="宋体" w:hAnsi="宋体" w:cs="宋体"/>
                <w:color w:val="auto"/>
                <w:szCs w:val="21"/>
                <w:highlight w:val="none"/>
                <w:u w:val="single"/>
              </w:rPr>
              <w:t>（注：</w:t>
            </w:r>
            <w:r>
              <w:rPr>
                <w:rFonts w:hint="eastAsia" w:ascii="宋体" w:hAnsi="宋体" w:cs="宋体"/>
                <w:bCs/>
                <w:color w:val="auto"/>
                <w:kern w:val="0"/>
                <w:szCs w:val="21"/>
                <w:highlight w:val="none"/>
                <w:u w:val="single"/>
              </w:rPr>
              <w:t>递交的注册建造师注册证书须符合招标公告第九条第4款注②的规定</w:t>
            </w:r>
            <w:r>
              <w:rPr>
                <w:rFonts w:hint="eastAsia" w:ascii="宋体" w:hAnsi="宋体" w:cs="宋体"/>
                <w:color w:val="auto"/>
                <w:szCs w:val="21"/>
                <w:highlight w:val="none"/>
                <w:u w:val="single"/>
              </w:rPr>
              <w:t>）</w:t>
            </w:r>
          </w:p>
        </w:tc>
        <w:tc>
          <w:tcPr>
            <w:tcW w:w="106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5</w:t>
            </w:r>
          </w:p>
        </w:tc>
        <w:tc>
          <w:tcPr>
            <w:tcW w:w="7046" w:type="dxa"/>
            <w:tcBorders>
              <w:top w:val="single" w:color="auto" w:sz="4" w:space="0"/>
              <w:left w:val="single" w:color="auto" w:sz="4" w:space="0"/>
              <w:bottom w:val="single" w:color="auto" w:sz="4" w:space="0"/>
              <w:right w:val="single" w:color="auto" w:sz="4" w:space="0"/>
            </w:tcBorders>
            <w:vAlign w:val="center"/>
          </w:tcPr>
          <w:p>
            <w:pPr>
              <w:spacing w:before="120" w:after="60"/>
              <w:rPr>
                <w:rFonts w:ascii="宋体" w:hAnsi="宋体" w:cs="宋体"/>
                <w:color w:val="auto"/>
                <w:szCs w:val="21"/>
                <w:highlight w:val="none"/>
              </w:rPr>
            </w:pPr>
            <w:r>
              <w:rPr>
                <w:rFonts w:hint="eastAsia" w:ascii="宋体" w:hAnsi="宋体" w:cs="宋体"/>
                <w:color w:val="auto"/>
                <w:szCs w:val="21"/>
                <w:highlight w:val="none"/>
                <w:u w:val="single"/>
              </w:rPr>
              <w:t>持有项目负责人</w:t>
            </w:r>
            <w:r>
              <w:rPr>
                <w:rFonts w:hint="eastAsia" w:ascii="宋体" w:hAnsi="宋体" w:eastAsia="宋体" w:cs="宋体"/>
                <w:color w:val="auto"/>
                <w:sz w:val="21"/>
                <w:szCs w:val="21"/>
                <w:highlight w:val="none"/>
                <w:u w:val="single"/>
              </w:rPr>
              <w:t>（联合体</w:t>
            </w:r>
            <w:r>
              <w:rPr>
                <w:rFonts w:hint="eastAsia" w:ascii="宋体" w:hAnsi="宋体" w:eastAsia="宋体" w:cs="宋体"/>
                <w:color w:val="auto"/>
                <w:sz w:val="21"/>
                <w:szCs w:val="21"/>
                <w:highlight w:val="none"/>
                <w:u w:val="single"/>
                <w:lang w:val="en-US" w:eastAsia="zh-CN"/>
              </w:rPr>
              <w:t>主办方</w:t>
            </w:r>
            <w:r>
              <w:rPr>
                <w:rFonts w:hint="eastAsia" w:ascii="宋体" w:hAnsi="宋体" w:eastAsia="宋体" w:cs="宋体"/>
                <w:color w:val="auto"/>
                <w:sz w:val="21"/>
                <w:szCs w:val="21"/>
                <w:highlight w:val="none"/>
                <w:u w:val="single"/>
              </w:rPr>
              <w:t>）</w:t>
            </w:r>
            <w:r>
              <w:rPr>
                <w:rFonts w:hint="eastAsia" w:ascii="宋体" w:hAnsi="宋体" w:cs="宋体"/>
                <w:color w:val="auto"/>
                <w:szCs w:val="21"/>
                <w:highlight w:val="none"/>
                <w:u w:val="single"/>
              </w:rPr>
              <w:t>安全生产考核合格证（B类）或建筑施工企业项目负责人安全生产考核合格证</w:t>
            </w:r>
            <w:r>
              <w:rPr>
                <w:rFonts w:hint="eastAsia" w:ascii="宋体" w:hAnsi="宋体" w:cs="宋体"/>
                <w:b/>
                <w:bCs/>
                <w:color w:val="auto"/>
                <w:szCs w:val="21"/>
                <w:highlight w:val="none"/>
                <w:u w:val="single"/>
              </w:rPr>
              <w:t>；</w:t>
            </w:r>
          </w:p>
        </w:tc>
        <w:tc>
          <w:tcPr>
            <w:tcW w:w="6135" w:type="dxa"/>
            <w:tcBorders>
              <w:top w:val="single" w:color="auto" w:sz="4" w:space="0"/>
              <w:left w:val="single" w:color="auto" w:sz="4" w:space="0"/>
              <w:bottom w:val="single" w:color="auto" w:sz="4" w:space="0"/>
              <w:right w:val="single" w:color="auto" w:sz="4" w:space="0"/>
            </w:tcBorders>
            <w:vAlign w:val="center"/>
          </w:tcPr>
          <w:p>
            <w:pPr>
              <w:spacing w:before="120" w:after="60"/>
              <w:rPr>
                <w:rFonts w:ascii="宋体" w:hAnsi="宋体" w:cs="宋体"/>
                <w:color w:val="auto"/>
                <w:szCs w:val="21"/>
                <w:highlight w:val="none"/>
              </w:rPr>
            </w:pPr>
            <w:r>
              <w:rPr>
                <w:rFonts w:hint="eastAsia" w:ascii="宋体" w:hAnsi="宋体" w:cs="宋体"/>
                <w:color w:val="auto"/>
                <w:szCs w:val="21"/>
                <w:highlight w:val="none"/>
                <w:u w:val="single"/>
              </w:rPr>
              <w:t>项目负责人安全生产考核合格证（B类）或建筑施工企业项目负责人安全生产考核合格证在广州市住建行业信用管理平台内上传件</w:t>
            </w:r>
            <w:r>
              <w:rPr>
                <w:rFonts w:hint="eastAsia" w:ascii="宋体" w:hAnsi="宋体" w:cs="宋体"/>
                <w:color w:val="auto"/>
                <w:szCs w:val="21"/>
                <w:highlight w:val="none"/>
                <w:u w:val="single"/>
                <w:lang w:eastAsia="zh-CN"/>
              </w:rPr>
              <w:t>；</w:t>
            </w:r>
          </w:p>
        </w:tc>
        <w:tc>
          <w:tcPr>
            <w:tcW w:w="106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6</w:t>
            </w:r>
          </w:p>
        </w:tc>
        <w:tc>
          <w:tcPr>
            <w:tcW w:w="7046" w:type="dxa"/>
            <w:tcBorders>
              <w:top w:val="single" w:color="auto" w:sz="4" w:space="0"/>
              <w:left w:val="single" w:color="auto" w:sz="4" w:space="0"/>
              <w:bottom w:val="single" w:color="auto" w:sz="4" w:space="0"/>
              <w:right w:val="single" w:color="auto" w:sz="4" w:space="0"/>
            </w:tcBorders>
            <w:vAlign w:val="center"/>
          </w:tcPr>
          <w:p>
            <w:pPr>
              <w:spacing w:before="120" w:after="60"/>
              <w:rPr>
                <w:rFonts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eastAsia="宋体" w:cs="宋体"/>
                <w:color w:val="auto"/>
                <w:sz w:val="21"/>
                <w:szCs w:val="21"/>
                <w:highlight w:val="none"/>
                <w:u w:val="single"/>
              </w:rPr>
              <w:t>（联合体</w:t>
            </w:r>
            <w:r>
              <w:rPr>
                <w:rFonts w:hint="eastAsia" w:ascii="宋体" w:hAnsi="宋体" w:eastAsia="宋体" w:cs="宋体"/>
                <w:color w:val="auto"/>
                <w:sz w:val="21"/>
                <w:szCs w:val="21"/>
                <w:highlight w:val="none"/>
                <w:u w:val="single"/>
                <w:lang w:val="en-US" w:eastAsia="zh-CN"/>
              </w:rPr>
              <w:t>主办方</w:t>
            </w:r>
            <w:r>
              <w:rPr>
                <w:rFonts w:hint="eastAsia" w:ascii="宋体" w:hAnsi="宋体" w:eastAsia="宋体" w:cs="宋体"/>
                <w:color w:val="auto"/>
                <w:sz w:val="21"/>
                <w:szCs w:val="21"/>
                <w:highlight w:val="none"/>
                <w:u w:val="single"/>
              </w:rPr>
              <w:t>）</w:t>
            </w:r>
            <w:r>
              <w:rPr>
                <w:rFonts w:hint="eastAsia" w:ascii="宋体" w:hAnsi="宋体" w:cs="宋体"/>
                <w:color w:val="auto"/>
                <w:szCs w:val="21"/>
                <w:highlight w:val="none"/>
              </w:rPr>
              <w:t>拟担任本工程技术负责人具有建筑工程相关专业</w:t>
            </w:r>
            <w:r>
              <w:rPr>
                <w:rFonts w:hint="eastAsia" w:ascii="宋体" w:hAnsi="宋体" w:cs="宋体"/>
                <w:color w:val="auto"/>
                <w:szCs w:val="21"/>
                <w:highlight w:val="none"/>
                <w:lang w:val="en-US" w:eastAsia="zh-CN"/>
              </w:rPr>
              <w:t>高</w:t>
            </w:r>
            <w:r>
              <w:rPr>
                <w:rFonts w:hint="eastAsia" w:ascii="宋体" w:hAnsi="宋体" w:cs="宋体"/>
                <w:color w:val="auto"/>
                <w:szCs w:val="21"/>
                <w:highlight w:val="none"/>
              </w:rPr>
              <w:t>级或以上职称；</w:t>
            </w:r>
          </w:p>
        </w:tc>
        <w:tc>
          <w:tcPr>
            <w:tcW w:w="6135" w:type="dxa"/>
            <w:tcBorders>
              <w:top w:val="single" w:color="auto" w:sz="4" w:space="0"/>
              <w:left w:val="single" w:color="auto" w:sz="4" w:space="0"/>
              <w:bottom w:val="single" w:color="auto" w:sz="4" w:space="0"/>
              <w:right w:val="single" w:color="auto" w:sz="4" w:space="0"/>
            </w:tcBorders>
            <w:vAlign w:val="center"/>
          </w:tcPr>
          <w:p>
            <w:pPr>
              <w:spacing w:before="0" w:after="0" w:line="360" w:lineRule="auto"/>
              <w:ind w:firstLine="0" w:firstLineChars="0"/>
              <w:rPr>
                <w:rFonts w:ascii="宋体" w:hAnsi="宋体" w:cs="宋体"/>
                <w:color w:val="auto"/>
                <w:szCs w:val="21"/>
                <w:highlight w:val="none"/>
              </w:rPr>
            </w:pPr>
            <w:r>
              <w:rPr>
                <w:rFonts w:hint="eastAsia" w:ascii="宋体" w:hAnsi="宋体" w:cs="宋体"/>
                <w:bCs/>
                <w:color w:val="auto"/>
                <w:szCs w:val="21"/>
                <w:highlight w:val="none"/>
                <w:u w:val="single"/>
              </w:rPr>
              <w:t>拟委派技术负责人的职称证书清晰扫描件或在</w:t>
            </w:r>
            <w:r>
              <w:rPr>
                <w:rFonts w:hint="eastAsia" w:ascii="宋体" w:hAnsi="宋体" w:cs="宋体"/>
                <w:color w:val="auto"/>
                <w:szCs w:val="21"/>
                <w:highlight w:val="none"/>
                <w:u w:val="single"/>
              </w:rPr>
              <w:t>广州市住建行业信用管理平台</w:t>
            </w:r>
            <w:r>
              <w:rPr>
                <w:rFonts w:hint="eastAsia" w:ascii="宋体" w:hAnsi="宋体" w:cs="宋体"/>
                <w:bCs/>
                <w:color w:val="auto"/>
                <w:szCs w:val="21"/>
                <w:highlight w:val="none"/>
                <w:u w:val="single"/>
              </w:rPr>
              <w:t>内上传件</w:t>
            </w:r>
            <w:r>
              <w:rPr>
                <w:rFonts w:hint="eastAsia" w:ascii="宋体" w:hAnsi="宋体" w:cs="宋体"/>
                <w:bCs/>
                <w:color w:val="auto"/>
                <w:szCs w:val="21"/>
                <w:highlight w:val="none"/>
                <w:u w:val="single"/>
                <w:lang w:eastAsia="zh-CN"/>
              </w:rPr>
              <w:t>；</w:t>
            </w:r>
          </w:p>
        </w:tc>
        <w:tc>
          <w:tcPr>
            <w:tcW w:w="106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7</w:t>
            </w:r>
          </w:p>
        </w:tc>
        <w:tc>
          <w:tcPr>
            <w:tcW w:w="7046" w:type="dxa"/>
            <w:tcBorders>
              <w:top w:val="single" w:color="auto" w:sz="4" w:space="0"/>
              <w:left w:val="single" w:color="auto" w:sz="4" w:space="0"/>
              <w:bottom w:val="single" w:color="auto" w:sz="4" w:space="0"/>
              <w:right w:val="single" w:color="auto" w:sz="4" w:space="0"/>
            </w:tcBorders>
            <w:vAlign w:val="center"/>
          </w:tcPr>
          <w:p>
            <w:pPr>
              <w:spacing w:before="120" w:after="60"/>
              <w:rPr>
                <w:rFonts w:ascii="宋体" w:hAnsi="宋体" w:cs="宋体"/>
                <w:color w:val="auto"/>
                <w:szCs w:val="21"/>
                <w:highlight w:val="none"/>
              </w:rPr>
            </w:pPr>
            <w:r>
              <w:rPr>
                <w:rFonts w:hint="eastAsia" w:ascii="宋体" w:hAnsi="宋体" w:cs="宋体"/>
                <w:color w:val="auto"/>
                <w:szCs w:val="21"/>
                <w:highlight w:val="none"/>
              </w:rPr>
              <w:t>专职安全员</w:t>
            </w:r>
            <w:r>
              <w:rPr>
                <w:rFonts w:hint="eastAsia" w:ascii="宋体" w:hAnsi="宋体" w:eastAsia="宋体" w:cs="宋体"/>
                <w:color w:val="auto"/>
                <w:sz w:val="21"/>
                <w:szCs w:val="21"/>
                <w:highlight w:val="none"/>
                <w:u w:val="single"/>
              </w:rPr>
              <w:t>（联合体</w:t>
            </w:r>
            <w:r>
              <w:rPr>
                <w:rFonts w:hint="eastAsia" w:ascii="宋体" w:hAnsi="宋体" w:eastAsia="宋体" w:cs="宋体"/>
                <w:color w:val="auto"/>
                <w:sz w:val="21"/>
                <w:szCs w:val="21"/>
                <w:highlight w:val="none"/>
                <w:u w:val="single"/>
                <w:lang w:val="en-US" w:eastAsia="zh-CN"/>
              </w:rPr>
              <w:t>主办方</w:t>
            </w:r>
            <w:r>
              <w:rPr>
                <w:rFonts w:hint="eastAsia" w:ascii="宋体" w:hAnsi="宋体" w:eastAsia="宋体" w:cs="宋体"/>
                <w:color w:val="auto"/>
                <w:sz w:val="21"/>
                <w:szCs w:val="21"/>
                <w:highlight w:val="none"/>
                <w:u w:val="single"/>
              </w:rPr>
              <w:t>）</w:t>
            </w:r>
            <w:r>
              <w:rPr>
                <w:rFonts w:hint="eastAsia" w:ascii="宋体" w:hAnsi="宋体" w:cs="宋体"/>
                <w:color w:val="auto"/>
                <w:szCs w:val="21"/>
                <w:highlight w:val="none"/>
              </w:rPr>
              <w:t>须具有安全生产考核合格证（C类）或建筑施工企业专职安全生产管理人员安全生产考核合格证书（C3）</w:t>
            </w:r>
            <w:r>
              <w:rPr>
                <w:rFonts w:hint="eastAsia" w:ascii="宋体" w:hAnsi="宋体" w:cs="宋体"/>
                <w:color w:val="auto"/>
                <w:szCs w:val="21"/>
                <w:highlight w:val="none"/>
                <w:lang w:eastAsia="zh-CN"/>
              </w:rPr>
              <w:t>；</w:t>
            </w:r>
            <w:r>
              <w:rPr>
                <w:rFonts w:hint="eastAsia" w:ascii="宋体" w:hAnsi="宋体" w:eastAsia="宋体" w:cs="Times New Roman"/>
                <w:color w:val="auto"/>
                <w:kern w:val="2"/>
                <w:sz w:val="21"/>
                <w:szCs w:val="21"/>
                <w:highlight w:val="none"/>
                <w:u w:val="none"/>
              </w:rPr>
              <w:t>项目负责人和</w:t>
            </w:r>
            <w:r>
              <w:rPr>
                <w:rFonts w:hint="eastAsia" w:ascii="宋体" w:hAnsi="宋体" w:eastAsia="宋体" w:cs="Times New Roman"/>
                <w:color w:val="auto"/>
                <w:sz w:val="21"/>
                <w:szCs w:val="21"/>
                <w:highlight w:val="none"/>
                <w:u w:val="none"/>
              </w:rPr>
              <w:t>专职</w:t>
            </w:r>
            <w:r>
              <w:rPr>
                <w:rFonts w:hint="eastAsia" w:ascii="宋体" w:hAnsi="宋体" w:eastAsia="宋体" w:cs="Times New Roman"/>
                <w:color w:val="auto"/>
                <w:kern w:val="2"/>
                <w:sz w:val="21"/>
                <w:szCs w:val="21"/>
                <w:highlight w:val="none"/>
                <w:u w:val="none"/>
              </w:rPr>
              <w:t>安全员不为同一人</w:t>
            </w:r>
          </w:p>
        </w:tc>
        <w:tc>
          <w:tcPr>
            <w:tcW w:w="6135" w:type="dxa"/>
            <w:tcBorders>
              <w:top w:val="single" w:color="auto" w:sz="4" w:space="0"/>
              <w:left w:val="single" w:color="auto" w:sz="4" w:space="0"/>
              <w:bottom w:val="single" w:color="auto" w:sz="4" w:space="0"/>
              <w:right w:val="single" w:color="auto" w:sz="4" w:space="0"/>
            </w:tcBorders>
            <w:vAlign w:val="center"/>
          </w:tcPr>
          <w:p>
            <w:pPr>
              <w:spacing w:before="120" w:after="60"/>
              <w:rPr>
                <w:rFonts w:hint="eastAsia" w:ascii="宋体" w:hAnsi="宋体"/>
                <w:b/>
                <w:bCs w:val="0"/>
                <w:color w:val="auto"/>
                <w:szCs w:val="21"/>
                <w:highlight w:val="none"/>
                <w:lang w:eastAsia="zh-CN"/>
              </w:rPr>
            </w:pPr>
            <w:r>
              <w:rPr>
                <w:rFonts w:hint="eastAsia" w:ascii="宋体" w:hAnsi="宋体"/>
                <w:color w:val="auto"/>
                <w:szCs w:val="21"/>
                <w:highlight w:val="none"/>
              </w:rPr>
              <w:t>专职安全员的安全生产考核合格证（C类）或建筑施工企业专职安全生产管理人员安全生产考核合格证（C3）在广州市住建行业信用管理平台内上传件</w:t>
            </w:r>
            <w:r>
              <w:rPr>
                <w:rFonts w:hint="eastAsia" w:ascii="宋体" w:hAnsi="宋体"/>
                <w:color w:val="auto"/>
                <w:szCs w:val="21"/>
                <w:highlight w:val="none"/>
                <w:lang w:eastAsia="zh-CN"/>
              </w:rPr>
              <w:t>。</w:t>
            </w:r>
          </w:p>
          <w:p>
            <w:pPr>
              <w:spacing w:before="120" w:after="60"/>
              <w:rPr>
                <w:rFonts w:ascii="宋体" w:hAnsi="宋体" w:cs="宋体"/>
                <w:color w:val="auto"/>
                <w:szCs w:val="21"/>
                <w:highlight w:val="none"/>
              </w:rPr>
            </w:pPr>
            <w:r>
              <w:rPr>
                <w:rFonts w:hint="eastAsia" w:ascii="宋体" w:hAnsi="宋体" w:eastAsia="宋体" w:cs="宋体"/>
                <w:color w:val="auto"/>
                <w:szCs w:val="21"/>
                <w:highlight w:val="none"/>
                <w:u w:val="single"/>
              </w:rPr>
              <w:t>根据《建筑施工企业主要负责人、项目负责人和专职安全生产管理人员安全生产管理规定》（住房城乡建设部令第17号）《关于印发建筑施工企业主要负责人、项目负责人和专职安全生产管理人员安全生产管理规定实施意见的通知》（建质〔2015〕206号），若投标人所属地区建设行政主管部门已对建筑施工企业专职安全生产管理人员实施机械、土建、综合分类管理的，本项目要求安全生产考核合格证（C类）或建筑施工企业专职安全生产管理人员安全生产考核合格证书须为综合类（C3）</w:t>
            </w:r>
          </w:p>
        </w:tc>
        <w:tc>
          <w:tcPr>
            <w:tcW w:w="106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8</w:t>
            </w:r>
          </w:p>
        </w:tc>
        <w:tc>
          <w:tcPr>
            <w:tcW w:w="7046" w:type="dxa"/>
            <w:tcBorders>
              <w:top w:val="single" w:color="auto" w:sz="4" w:space="0"/>
              <w:left w:val="single" w:color="auto" w:sz="4" w:space="0"/>
              <w:bottom w:val="single" w:color="auto" w:sz="4" w:space="0"/>
              <w:right w:val="single" w:color="auto" w:sz="4" w:space="0"/>
            </w:tcBorders>
            <w:vAlign w:val="center"/>
          </w:tcPr>
          <w:p>
            <w:pPr>
              <w:spacing w:before="120" w:after="60"/>
              <w:rPr>
                <w:rFonts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eastAsia="宋体" w:cs="宋体"/>
                <w:color w:val="auto"/>
                <w:sz w:val="21"/>
                <w:szCs w:val="21"/>
                <w:highlight w:val="none"/>
                <w:u w:val="single"/>
              </w:rPr>
              <w:t>（联合体各</w:t>
            </w:r>
            <w:r>
              <w:rPr>
                <w:rFonts w:hint="eastAsia" w:ascii="宋体" w:hAnsi="宋体" w:eastAsia="宋体" w:cs="宋体"/>
                <w:color w:val="auto"/>
                <w:sz w:val="21"/>
                <w:szCs w:val="21"/>
                <w:highlight w:val="none"/>
                <w:u w:val="single"/>
                <w:lang w:val="en-US" w:eastAsia="zh-CN"/>
              </w:rPr>
              <w:t>方</w:t>
            </w:r>
            <w:r>
              <w:rPr>
                <w:rFonts w:hint="eastAsia" w:ascii="宋体" w:hAnsi="宋体" w:eastAsia="宋体" w:cs="宋体"/>
                <w:color w:val="auto"/>
                <w:sz w:val="21"/>
                <w:szCs w:val="21"/>
                <w:highlight w:val="none"/>
                <w:u w:val="single"/>
              </w:rPr>
              <w:t>）</w:t>
            </w:r>
            <w:r>
              <w:rPr>
                <w:rFonts w:hint="eastAsia" w:ascii="宋体" w:hAnsi="宋体" w:cs="宋体"/>
                <w:color w:val="auto"/>
                <w:szCs w:val="21"/>
                <w:highlight w:val="none"/>
              </w:rPr>
              <w:t>提供的投标人声明符合公告要求</w:t>
            </w:r>
          </w:p>
        </w:tc>
        <w:tc>
          <w:tcPr>
            <w:tcW w:w="6135"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投标人声明</w:t>
            </w:r>
            <w:r>
              <w:rPr>
                <w:rFonts w:hint="eastAsia" w:ascii="宋体" w:hAnsi="宋体" w:cs="宋体"/>
                <w:color w:val="auto"/>
                <w:szCs w:val="21"/>
                <w:highlight w:val="none"/>
                <w:lang w:val="en-US" w:eastAsia="zh-CN"/>
              </w:rPr>
              <w:t>扫描件</w:t>
            </w:r>
          </w:p>
        </w:tc>
        <w:tc>
          <w:tcPr>
            <w:tcW w:w="106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9</w:t>
            </w:r>
          </w:p>
        </w:tc>
        <w:tc>
          <w:tcPr>
            <w:tcW w:w="7046" w:type="dxa"/>
            <w:tcBorders>
              <w:top w:val="single" w:color="auto" w:sz="4" w:space="0"/>
              <w:left w:val="single" w:color="auto" w:sz="4" w:space="0"/>
              <w:bottom w:val="single" w:color="auto" w:sz="4" w:space="0"/>
              <w:right w:val="single" w:color="auto" w:sz="4" w:space="0"/>
            </w:tcBorders>
            <w:vAlign w:val="center"/>
          </w:tcPr>
          <w:p>
            <w:pPr>
              <w:spacing w:before="120" w:after="60"/>
              <w:rPr>
                <w:rFonts w:ascii="宋体" w:hAnsi="宋体" w:cs="宋体"/>
                <w:color w:val="auto"/>
                <w:szCs w:val="21"/>
                <w:highlight w:val="none"/>
              </w:rPr>
            </w:pPr>
            <w:r>
              <w:rPr>
                <w:rFonts w:hint="eastAsia" w:ascii="宋体" w:hAnsi="宋体" w:cs="宋体"/>
                <w:color w:val="auto"/>
                <w:szCs w:val="21"/>
                <w:highlight w:val="none"/>
              </w:rPr>
              <w:t>投标人声明中签字的项目负责人和技术负责人与本项目拟派的项目负责人和技术负责人一致</w:t>
            </w:r>
          </w:p>
        </w:tc>
        <w:tc>
          <w:tcPr>
            <w:tcW w:w="6135"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Fonts w:hint="eastAsia" w:ascii="宋体" w:hAnsi="宋体"/>
                <w:color w:val="auto"/>
                <w:szCs w:val="21"/>
                <w:highlight w:val="none"/>
              </w:rPr>
              <w:t>网上投标时选择拟投标的项目负责人、资格审查文件中拟委派的技术负责人及投标人声明</w:t>
            </w:r>
          </w:p>
        </w:tc>
        <w:tc>
          <w:tcPr>
            <w:tcW w:w="106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w:t>
            </w:r>
          </w:p>
        </w:tc>
        <w:tc>
          <w:tcPr>
            <w:tcW w:w="7046" w:type="dxa"/>
            <w:tcBorders>
              <w:top w:val="single" w:color="auto" w:sz="4" w:space="0"/>
              <w:left w:val="single" w:color="auto" w:sz="4" w:space="0"/>
              <w:bottom w:val="single" w:color="auto" w:sz="4" w:space="0"/>
              <w:right w:val="single" w:color="auto" w:sz="4" w:space="0"/>
            </w:tcBorders>
            <w:vAlign w:val="center"/>
          </w:tcPr>
          <w:p>
            <w:pPr>
              <w:spacing w:before="120" w:after="60"/>
              <w:rPr>
                <w:rFonts w:ascii="宋体" w:hAnsi="宋体" w:eastAsia="宋体" w:cs="宋体"/>
                <w:color w:val="auto"/>
                <w:szCs w:val="21"/>
                <w:highlight w:val="none"/>
              </w:rPr>
            </w:pPr>
            <w:r>
              <w:rPr>
                <w:rFonts w:hint="default" w:ascii="宋体" w:hAnsi="宋体" w:eastAsia="宋体" w:cs="宋体"/>
                <w:color w:val="auto"/>
                <w:sz w:val="21"/>
                <w:szCs w:val="21"/>
                <w:highlight w:val="none"/>
              </w:rPr>
              <w:t>关于联合体投标：本项目接受联合体投标</w:t>
            </w:r>
          </w:p>
        </w:tc>
        <w:tc>
          <w:tcPr>
            <w:tcW w:w="6135"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eastAsia="宋体" w:cs="宋体"/>
                <w:strike w:val="0"/>
                <w:color w:val="auto"/>
                <w:szCs w:val="21"/>
                <w:highlight w:val="none"/>
                <w:u w:val="single"/>
              </w:rPr>
            </w:pPr>
            <w:r>
              <w:rPr>
                <w:rFonts w:hint="default" w:ascii="宋体" w:hAnsi="宋体" w:eastAsia="宋体" w:cs="宋体"/>
                <w:color w:val="auto"/>
                <w:sz w:val="21"/>
                <w:szCs w:val="21"/>
                <w:highlight w:val="none"/>
                <w:u w:val="single"/>
              </w:rPr>
              <w:t>联合体工作协议扫描件</w:t>
            </w:r>
          </w:p>
        </w:tc>
        <w:tc>
          <w:tcPr>
            <w:tcW w:w="106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11</w:t>
            </w:r>
          </w:p>
        </w:tc>
        <w:tc>
          <w:tcPr>
            <w:tcW w:w="7046" w:type="dxa"/>
            <w:tcBorders>
              <w:top w:val="single" w:color="auto" w:sz="4" w:space="0"/>
              <w:left w:val="single" w:color="auto" w:sz="4" w:space="0"/>
              <w:bottom w:val="single" w:color="auto" w:sz="4" w:space="0"/>
              <w:right w:val="single" w:color="auto" w:sz="4" w:space="0"/>
            </w:tcBorders>
            <w:vAlign w:val="center"/>
          </w:tcPr>
          <w:p>
            <w:pPr>
              <w:spacing w:before="120" w:after="60"/>
              <w:rPr>
                <w:rFonts w:ascii="宋体" w:hAnsi="宋体" w:cs="宋体"/>
                <w:color w:val="auto"/>
                <w:szCs w:val="21"/>
                <w:highlight w:val="none"/>
              </w:rPr>
            </w:pPr>
            <w:r>
              <w:rPr>
                <w:rFonts w:hint="eastAsia" w:ascii="宋体" w:hAnsi="宋体"/>
                <w:color w:val="auto"/>
                <w:szCs w:val="21"/>
                <w:highlight w:val="none"/>
              </w:rPr>
              <w:t>资格审查前，投标人</w:t>
            </w:r>
            <w:r>
              <w:rPr>
                <w:rFonts w:hint="eastAsia" w:ascii="宋体" w:hAnsi="宋体" w:eastAsia="宋体" w:cs="宋体"/>
                <w:color w:val="auto"/>
                <w:sz w:val="21"/>
                <w:szCs w:val="21"/>
                <w:highlight w:val="none"/>
                <w:u w:val="single"/>
              </w:rPr>
              <w:t>（联合体各</w:t>
            </w:r>
            <w:r>
              <w:rPr>
                <w:rFonts w:hint="eastAsia" w:ascii="宋体" w:hAnsi="宋体" w:eastAsia="宋体" w:cs="宋体"/>
                <w:color w:val="auto"/>
                <w:sz w:val="21"/>
                <w:szCs w:val="21"/>
                <w:highlight w:val="none"/>
                <w:u w:val="single"/>
                <w:lang w:val="en-US" w:eastAsia="zh-CN"/>
              </w:rPr>
              <w:t>方</w:t>
            </w:r>
            <w:r>
              <w:rPr>
                <w:rFonts w:hint="eastAsia" w:ascii="宋体" w:hAnsi="宋体" w:eastAsia="宋体" w:cs="宋体"/>
                <w:color w:val="auto"/>
                <w:sz w:val="21"/>
                <w:szCs w:val="21"/>
                <w:highlight w:val="none"/>
                <w:u w:val="single"/>
              </w:rPr>
              <w:t>）</w:t>
            </w:r>
            <w:r>
              <w:rPr>
                <w:rFonts w:hint="eastAsia" w:ascii="宋体" w:hAnsi="宋体"/>
                <w:color w:val="auto"/>
                <w:szCs w:val="21"/>
                <w:highlight w:val="none"/>
              </w:rPr>
              <w:t>须</w:t>
            </w:r>
            <w:r>
              <w:rPr>
                <w:rFonts w:ascii="宋体" w:hAnsi="宋体"/>
                <w:color w:val="auto"/>
                <w:szCs w:val="21"/>
                <w:highlight w:val="none"/>
              </w:rPr>
              <w:t>在</w:t>
            </w:r>
            <w:r>
              <w:rPr>
                <w:rFonts w:hint="eastAsia" w:ascii="宋体" w:hAnsi="宋体" w:cs="宋体"/>
                <w:color w:val="auto"/>
                <w:szCs w:val="21"/>
                <w:highlight w:val="none"/>
              </w:rPr>
              <w:t>广州市住建行业信用管理平台内</w:t>
            </w:r>
            <w:r>
              <w:rPr>
                <w:rFonts w:hint="eastAsia" w:ascii="宋体" w:hAnsi="宋体"/>
                <w:color w:val="auto"/>
                <w:szCs w:val="21"/>
                <w:highlight w:val="none"/>
              </w:rPr>
              <w:t>建立企业信用档案及拟担任本工程项目负责人、专职安全员须是</w:t>
            </w:r>
            <w:r>
              <w:rPr>
                <w:rFonts w:hint="eastAsia" w:ascii="宋体" w:hAnsi="宋体" w:eastAsia="宋体" w:cs="宋体"/>
                <w:color w:val="auto"/>
                <w:sz w:val="21"/>
                <w:szCs w:val="21"/>
                <w:highlight w:val="none"/>
                <w:u w:val="none"/>
              </w:rPr>
              <w:t>（联合体</w:t>
            </w:r>
            <w:r>
              <w:rPr>
                <w:rFonts w:hint="eastAsia" w:ascii="宋体" w:hAnsi="宋体" w:eastAsia="宋体" w:cs="宋体"/>
                <w:color w:val="auto"/>
                <w:sz w:val="21"/>
                <w:szCs w:val="21"/>
                <w:highlight w:val="none"/>
                <w:u w:val="none"/>
                <w:lang w:val="en-US" w:eastAsia="zh-CN"/>
              </w:rPr>
              <w:t>主办方</w:t>
            </w:r>
            <w:r>
              <w:rPr>
                <w:rFonts w:hint="eastAsia" w:ascii="宋体" w:hAnsi="宋体" w:eastAsia="宋体" w:cs="宋体"/>
                <w:color w:val="auto"/>
                <w:sz w:val="21"/>
                <w:szCs w:val="21"/>
                <w:highlight w:val="none"/>
                <w:u w:val="none"/>
              </w:rPr>
              <w:t>）</w:t>
            </w:r>
            <w:r>
              <w:rPr>
                <w:rFonts w:hint="eastAsia" w:ascii="宋体" w:hAnsi="宋体"/>
                <w:color w:val="auto"/>
                <w:szCs w:val="21"/>
                <w:highlight w:val="none"/>
              </w:rPr>
              <w:t>本企业中的在册人员</w:t>
            </w:r>
          </w:p>
        </w:tc>
        <w:tc>
          <w:tcPr>
            <w:tcW w:w="6135"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Fonts w:hint="eastAsia" w:ascii="宋体" w:hAnsi="宋体" w:cs="宋体"/>
                <w:color w:val="auto"/>
                <w:szCs w:val="21"/>
                <w:highlight w:val="none"/>
              </w:rPr>
              <w:t>投标人在广州市住建行业信用管理平台内企业信用档案的企业和人员信息</w:t>
            </w:r>
          </w:p>
        </w:tc>
        <w:tc>
          <w:tcPr>
            <w:tcW w:w="106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12</w:t>
            </w:r>
          </w:p>
        </w:tc>
        <w:tc>
          <w:tcPr>
            <w:tcW w:w="7046" w:type="dxa"/>
            <w:tcBorders>
              <w:top w:val="single" w:color="auto" w:sz="4" w:space="0"/>
              <w:left w:val="single" w:color="auto" w:sz="4" w:space="0"/>
              <w:bottom w:val="single" w:color="auto" w:sz="4" w:space="0"/>
              <w:right w:val="single" w:color="auto" w:sz="4" w:space="0"/>
            </w:tcBorders>
            <w:vAlign w:val="center"/>
          </w:tcPr>
          <w:p>
            <w:pPr>
              <w:spacing w:before="120" w:after="60"/>
              <w:rPr>
                <w:rFonts w:hint="eastAsia"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eastAsia="宋体" w:cs="宋体"/>
                <w:color w:val="auto"/>
                <w:sz w:val="21"/>
                <w:szCs w:val="21"/>
                <w:highlight w:val="none"/>
                <w:u w:val="single"/>
              </w:rPr>
              <w:t>（联合体各</w:t>
            </w:r>
            <w:r>
              <w:rPr>
                <w:rFonts w:hint="eastAsia" w:ascii="宋体" w:hAnsi="宋体" w:eastAsia="宋体" w:cs="宋体"/>
                <w:color w:val="auto"/>
                <w:sz w:val="21"/>
                <w:szCs w:val="21"/>
                <w:highlight w:val="none"/>
                <w:u w:val="single"/>
                <w:lang w:val="en-US" w:eastAsia="zh-CN"/>
              </w:rPr>
              <w:t>方</w:t>
            </w:r>
            <w:r>
              <w:rPr>
                <w:rFonts w:hint="eastAsia" w:ascii="宋体" w:hAnsi="宋体" w:eastAsia="宋体" w:cs="宋体"/>
                <w:color w:val="auto"/>
                <w:sz w:val="21"/>
                <w:szCs w:val="21"/>
                <w:highlight w:val="none"/>
                <w:u w:val="single"/>
              </w:rPr>
              <w:t>）</w:t>
            </w:r>
            <w:r>
              <w:rPr>
                <w:rFonts w:hint="eastAsia" w:ascii="宋体" w:hAnsi="宋体" w:cs="宋体"/>
                <w:color w:val="auto"/>
                <w:szCs w:val="21"/>
                <w:highlight w:val="none"/>
              </w:rPr>
              <w:t>未出现以下情形：与其它投标人的单位负责人为同一人或者存在控股、管理关系的（按投标人提供的《投标人声明》第八条内容进行评审）</w:t>
            </w:r>
          </w:p>
        </w:tc>
        <w:tc>
          <w:tcPr>
            <w:tcW w:w="6135"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Fonts w:hint="eastAsia" w:ascii="宋体" w:hAnsi="宋体" w:cs="宋体"/>
                <w:color w:val="auto"/>
                <w:szCs w:val="21"/>
                <w:highlight w:val="none"/>
              </w:rPr>
              <w:t>投标人声明</w:t>
            </w:r>
            <w:r>
              <w:rPr>
                <w:rFonts w:hint="eastAsia" w:ascii="宋体" w:hAnsi="宋体" w:cs="宋体"/>
                <w:color w:val="auto"/>
                <w:szCs w:val="21"/>
                <w:highlight w:val="none"/>
                <w:lang w:val="en-US" w:eastAsia="zh-CN"/>
              </w:rPr>
              <w:t>扫描件</w:t>
            </w:r>
          </w:p>
        </w:tc>
        <w:tc>
          <w:tcPr>
            <w:tcW w:w="106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13</w:t>
            </w:r>
          </w:p>
        </w:tc>
        <w:tc>
          <w:tcPr>
            <w:tcW w:w="704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rPr>
              <w:t>投标人</w:t>
            </w:r>
            <w:r>
              <w:rPr>
                <w:rFonts w:hint="eastAsia" w:ascii="宋体" w:hAnsi="宋体" w:eastAsia="宋体" w:cs="宋体"/>
                <w:color w:val="auto"/>
                <w:sz w:val="21"/>
                <w:szCs w:val="21"/>
                <w:highlight w:val="none"/>
                <w:u w:val="single"/>
              </w:rPr>
              <w:t>（联合体各</w:t>
            </w:r>
            <w:r>
              <w:rPr>
                <w:rFonts w:hint="eastAsia" w:ascii="宋体" w:hAnsi="宋体" w:eastAsia="宋体" w:cs="宋体"/>
                <w:color w:val="auto"/>
                <w:sz w:val="21"/>
                <w:szCs w:val="21"/>
                <w:highlight w:val="none"/>
                <w:u w:val="single"/>
                <w:lang w:val="en-US" w:eastAsia="zh-CN"/>
              </w:rPr>
              <w:t>方</w:t>
            </w:r>
            <w:r>
              <w:rPr>
                <w:rFonts w:hint="eastAsia" w:ascii="宋体" w:hAnsi="宋体" w:eastAsia="宋体" w:cs="宋体"/>
                <w:color w:val="auto"/>
                <w:sz w:val="21"/>
                <w:szCs w:val="21"/>
                <w:highlight w:val="none"/>
                <w:u w:val="single"/>
              </w:rPr>
              <w:t>）</w:t>
            </w:r>
            <w:r>
              <w:rPr>
                <w:rFonts w:hint="eastAsia" w:ascii="宋体" w:hAnsi="宋体" w:cs="宋体"/>
                <w:color w:val="auto"/>
                <w:szCs w:val="21"/>
                <w:highlight w:val="none"/>
                <w:lang w:val="en-US" w:eastAsia="zh-CN"/>
              </w:rPr>
              <w:t>未被列入拖欠农民工工资失信联合惩戒对象名单</w:t>
            </w:r>
          </w:p>
        </w:tc>
        <w:tc>
          <w:tcPr>
            <w:tcW w:w="6135"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hint="eastAsia" w:ascii="宋体" w:hAnsi="宋体" w:cs="宋体"/>
                <w:color w:val="auto"/>
                <w:szCs w:val="21"/>
                <w:highlight w:val="none"/>
                <w:lang w:val="en-US" w:eastAsia="zh-CN"/>
              </w:rPr>
            </w:pPr>
            <w:r>
              <w:rPr>
                <w:rFonts w:hint="eastAsia" w:ascii="宋体" w:hAnsi="宋体" w:eastAsia="宋体" w:cs="宋体"/>
                <w:color w:val="auto"/>
                <w:szCs w:val="21"/>
                <w:highlight w:val="none"/>
              </w:rPr>
              <w:t>投标人无需提供资料，</w:t>
            </w:r>
            <w:r>
              <w:rPr>
                <w:rFonts w:hint="eastAsia" w:ascii="宋体" w:hAnsi="宋体" w:eastAsia="宋体" w:cs="宋体"/>
                <w:color w:val="auto"/>
                <w:szCs w:val="21"/>
                <w:highlight w:val="none"/>
                <w:lang w:eastAsia="zh-CN"/>
              </w:rPr>
              <w:t>资格审查时</w:t>
            </w:r>
            <w:r>
              <w:rPr>
                <w:rFonts w:hint="eastAsia" w:ascii="宋体" w:hAnsi="宋体" w:eastAsia="宋体" w:cs="宋体"/>
                <w:color w:val="auto"/>
                <w:szCs w:val="21"/>
                <w:highlight w:val="none"/>
              </w:rPr>
              <w:t>按</w:t>
            </w:r>
            <w:r>
              <w:rPr>
                <w:rFonts w:hint="eastAsia" w:ascii="宋体" w:hAnsi="宋体" w:eastAsia="宋体" w:cs="宋体"/>
                <w:color w:val="auto"/>
                <w:kern w:val="2"/>
                <w:szCs w:val="21"/>
                <w:highlight w:val="none"/>
              </w:rPr>
              <w:t>广州交易集团有限公司（广州公共资源交易中心）</w:t>
            </w:r>
            <w:r>
              <w:rPr>
                <w:rFonts w:hint="eastAsia" w:ascii="宋体" w:hAnsi="宋体" w:eastAsia="宋体" w:cs="宋体"/>
                <w:color w:val="auto"/>
                <w:sz w:val="21"/>
                <w:szCs w:val="21"/>
                <w:highlight w:val="none"/>
              </w:rPr>
              <w:t>交易系统比对的结果进行评审</w:t>
            </w:r>
          </w:p>
        </w:tc>
        <w:tc>
          <w:tcPr>
            <w:tcW w:w="106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14</w:t>
            </w:r>
          </w:p>
        </w:tc>
        <w:tc>
          <w:tcPr>
            <w:tcW w:w="704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rPr>
              <w:t>投标人</w:t>
            </w:r>
            <w:r>
              <w:rPr>
                <w:rFonts w:hint="eastAsia" w:ascii="宋体" w:hAnsi="宋体" w:eastAsia="宋体" w:cs="宋体"/>
                <w:color w:val="auto"/>
                <w:sz w:val="21"/>
                <w:szCs w:val="21"/>
                <w:highlight w:val="none"/>
                <w:u w:val="single"/>
              </w:rPr>
              <w:t>（联合体各</w:t>
            </w:r>
            <w:r>
              <w:rPr>
                <w:rFonts w:hint="eastAsia" w:ascii="宋体" w:hAnsi="宋体" w:eastAsia="宋体" w:cs="宋体"/>
                <w:color w:val="auto"/>
                <w:sz w:val="21"/>
                <w:szCs w:val="21"/>
                <w:highlight w:val="none"/>
                <w:u w:val="single"/>
                <w:lang w:val="en-US" w:eastAsia="zh-CN"/>
              </w:rPr>
              <w:t>方</w:t>
            </w:r>
            <w:r>
              <w:rPr>
                <w:rFonts w:hint="eastAsia" w:ascii="宋体" w:hAnsi="宋体" w:eastAsia="宋体" w:cs="宋体"/>
                <w:color w:val="auto"/>
                <w:sz w:val="21"/>
                <w:szCs w:val="21"/>
                <w:highlight w:val="none"/>
                <w:u w:val="single"/>
              </w:rPr>
              <w:t>）</w:t>
            </w:r>
            <w:r>
              <w:rPr>
                <w:rFonts w:hint="eastAsia" w:ascii="宋体" w:hAnsi="宋体" w:cs="宋体"/>
                <w:color w:val="auto"/>
                <w:szCs w:val="21"/>
                <w:highlight w:val="none"/>
                <w:lang w:val="en-US" w:eastAsia="zh-CN"/>
              </w:rPr>
              <w:t>未被列入被招标人拒绝投标的企业名单</w:t>
            </w:r>
          </w:p>
        </w:tc>
        <w:tc>
          <w:tcPr>
            <w:tcW w:w="6135"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未被列入被招标人拒绝投标的企业名单（名单详见招标公告附件三）</w:t>
            </w:r>
          </w:p>
        </w:tc>
        <w:tc>
          <w:tcPr>
            <w:tcW w:w="106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bl>
    <w:p>
      <w:pPr>
        <w:ind w:firstLine="470" w:firstLineChars="224"/>
        <w:rPr>
          <w:rFonts w:ascii="宋体" w:hAnsi="宋体" w:cs="宋体"/>
          <w:color w:val="auto"/>
          <w:szCs w:val="21"/>
          <w:highlight w:val="none"/>
        </w:rPr>
      </w:pPr>
      <w:r>
        <w:rPr>
          <w:rFonts w:hint="eastAsia" w:ascii="宋体" w:hAnsi="宋体" w:cs="宋体"/>
          <w:color w:val="auto"/>
          <w:szCs w:val="21"/>
          <w:highlight w:val="none"/>
        </w:rPr>
        <w:t>备注：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1、每一项目符合的打“○”，不符合的打“×”；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2、若评委意见不一致时，则按少数服从多数的原则，作出评审结论。汇总后，出现一个“×”的结论为“不通过”。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cs="宋体"/>
          <w:b/>
          <w:bCs/>
          <w:color w:val="auto"/>
          <w:highlight w:val="none"/>
          <w:u w:val="single"/>
        </w:rPr>
        <w:sectPr>
          <w:endnotePr>
            <w:numFmt w:val="decimal"/>
          </w:endnotePr>
          <w:pgSz w:w="16838" w:h="11906" w:orient="landscape"/>
          <w:pgMar w:top="1134" w:right="1134" w:bottom="1134" w:left="1247" w:header="851" w:footer="907" w:gutter="0"/>
          <w:cols w:space="720" w:num="1"/>
          <w:titlePg/>
          <w:docGrid w:type="linesAndChars" w:linePitch="312" w:charSpace="0"/>
        </w:sectPr>
      </w:pPr>
      <w:r>
        <w:rPr>
          <w:rFonts w:hint="eastAsia" w:ascii="宋体" w:hAnsi="宋体" w:cs="宋体"/>
          <w:b/>
          <w:bCs/>
          <w:color w:val="auto"/>
          <w:szCs w:val="21"/>
          <w:highlight w:val="none"/>
          <w:u w:val="single"/>
        </w:rPr>
        <w:t>3.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p>
    <w:p>
      <w:pPr>
        <w:pStyle w:val="4"/>
        <w:jc w:val="left"/>
        <w:rPr>
          <w:color w:val="auto"/>
          <w:highlight w:val="none"/>
        </w:rPr>
      </w:pPr>
      <w:bookmarkStart w:id="201" w:name="_Toc18533"/>
      <w:bookmarkStart w:id="202" w:name="_Toc9291"/>
      <w:bookmarkStart w:id="203" w:name="_Toc27163"/>
      <w:bookmarkStart w:id="204" w:name="_Toc30974"/>
      <w:bookmarkStart w:id="205" w:name="_Toc28701"/>
      <w:bookmarkStart w:id="206" w:name="_Toc29687"/>
      <w:bookmarkStart w:id="207" w:name="_Toc25570"/>
      <w:bookmarkStart w:id="208" w:name="_Toc28868"/>
      <w:bookmarkStart w:id="209" w:name="_Toc21395"/>
      <w:bookmarkStart w:id="210" w:name="_Toc14138"/>
      <w:bookmarkStart w:id="211" w:name="_Toc26098"/>
      <w:r>
        <w:rPr>
          <w:rFonts w:hint="eastAsia"/>
          <w:color w:val="auto"/>
          <w:highlight w:val="none"/>
        </w:rPr>
        <w:t>附表二</w:t>
      </w:r>
      <w:bookmarkEnd w:id="201"/>
      <w:bookmarkEnd w:id="202"/>
      <w:bookmarkEnd w:id="203"/>
      <w:bookmarkEnd w:id="204"/>
      <w:bookmarkEnd w:id="205"/>
      <w:bookmarkEnd w:id="206"/>
      <w:bookmarkEnd w:id="207"/>
      <w:bookmarkEnd w:id="208"/>
      <w:bookmarkEnd w:id="209"/>
      <w:bookmarkEnd w:id="210"/>
      <w:bookmarkEnd w:id="211"/>
    </w:p>
    <w:p>
      <w:pPr>
        <w:jc w:val="center"/>
        <w:rPr>
          <w:rFonts w:ascii="宋体" w:hAnsi="宋体"/>
          <w:b/>
          <w:color w:val="auto"/>
          <w:sz w:val="36"/>
          <w:szCs w:val="36"/>
          <w:highlight w:val="none"/>
        </w:rPr>
      </w:pPr>
      <w:r>
        <w:rPr>
          <w:rFonts w:hint="eastAsia" w:ascii="宋体" w:hAnsi="宋体"/>
          <w:b/>
          <w:color w:val="auto"/>
          <w:sz w:val="36"/>
          <w:szCs w:val="36"/>
          <w:highlight w:val="none"/>
        </w:rPr>
        <w:t>技术标有效性审查表</w:t>
      </w:r>
    </w:p>
    <w:p>
      <w:pPr>
        <w:rPr>
          <w:rFonts w:ascii="宋体" w:hAnsi="宋体"/>
          <w:color w:val="auto"/>
          <w:szCs w:val="21"/>
          <w:highlight w:val="none"/>
        </w:rPr>
      </w:pPr>
      <w:r>
        <w:rPr>
          <w:rFonts w:hint="eastAsia" w:ascii="宋体" w:hAnsi="宋体"/>
          <w:color w:val="auto"/>
          <w:szCs w:val="21"/>
          <w:highlight w:val="none"/>
        </w:rPr>
        <w:t>工程名称：</w:t>
      </w:r>
    </w:p>
    <w:tbl>
      <w:tblPr>
        <w:tblStyle w:val="51"/>
        <w:tblW w:w="14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0546"/>
        <w:gridCol w:w="840"/>
        <w:gridCol w:w="860"/>
        <w:gridCol w:w="880"/>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序号</w:t>
            </w:r>
          </w:p>
        </w:tc>
        <w:tc>
          <w:tcPr>
            <w:tcW w:w="10546" w:type="dxa"/>
            <w:tcBorders>
              <w:top w:val="single" w:color="auto" w:sz="4" w:space="0"/>
              <w:left w:val="single" w:color="auto" w:sz="4" w:space="0"/>
              <w:bottom w:val="single" w:color="auto" w:sz="4" w:space="0"/>
              <w:right w:val="single" w:color="auto" w:sz="4" w:space="0"/>
              <w:tl2br w:val="single" w:color="auto" w:sz="4" w:space="0"/>
            </w:tcBorders>
          </w:tcPr>
          <w:p>
            <w:pPr>
              <w:adjustRightInd w:val="0"/>
              <w:ind w:firstLine="4830" w:firstLineChars="2300"/>
              <w:rPr>
                <w:rFonts w:ascii="宋体" w:hAnsi="宋体"/>
                <w:color w:val="auto"/>
                <w:szCs w:val="21"/>
                <w:highlight w:val="none"/>
              </w:rPr>
            </w:pPr>
            <w:r>
              <w:rPr>
                <w:rFonts w:hint="eastAsia" w:ascii="宋体" w:hAnsi="宋体"/>
                <w:color w:val="auto"/>
                <w:szCs w:val="21"/>
                <w:highlight w:val="none"/>
              </w:rPr>
              <w:t>投标人</w:t>
            </w:r>
          </w:p>
          <w:p>
            <w:pPr>
              <w:adjustRightInd w:val="0"/>
              <w:rPr>
                <w:rFonts w:ascii="宋体" w:hAnsi="宋体"/>
                <w:color w:val="auto"/>
                <w:szCs w:val="21"/>
                <w:highlight w:val="none"/>
              </w:rPr>
            </w:pPr>
            <w:r>
              <w:rPr>
                <w:rFonts w:hint="eastAsia" w:ascii="宋体" w:hAnsi="宋体"/>
                <w:color w:val="auto"/>
                <w:szCs w:val="21"/>
                <w:highlight w:val="none"/>
              </w:rPr>
              <w:t>评审内容</w:t>
            </w:r>
          </w:p>
        </w:tc>
        <w:tc>
          <w:tcPr>
            <w:tcW w:w="84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86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88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8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1</w:t>
            </w:r>
          </w:p>
        </w:tc>
        <w:tc>
          <w:tcPr>
            <w:tcW w:w="10546"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u w:val="single"/>
              </w:rPr>
            </w:pPr>
            <w:r>
              <w:rPr>
                <w:rFonts w:hint="eastAsia" w:ascii="宋体" w:hAnsi="宋体" w:cs="宋体"/>
                <w:color w:val="auto"/>
                <w:szCs w:val="21"/>
                <w:highlight w:val="none"/>
                <w:u w:val="single"/>
              </w:rPr>
              <w:t>《广州建设工程施工招标投标书（</w:t>
            </w:r>
            <w:r>
              <w:rPr>
                <w:rFonts w:hint="eastAsia" w:ascii="宋体" w:hAnsi="宋体" w:cs="宋体"/>
                <w:color w:val="auto"/>
                <w:szCs w:val="21"/>
                <w:highlight w:val="none"/>
                <w:u w:val="single"/>
                <w:lang w:val="en-US" w:eastAsia="zh-CN"/>
              </w:rPr>
              <w:t>技术</w:t>
            </w:r>
            <w:r>
              <w:rPr>
                <w:rFonts w:hint="eastAsia" w:ascii="宋体" w:hAnsi="宋体" w:cs="宋体"/>
                <w:color w:val="auto"/>
                <w:szCs w:val="21"/>
                <w:highlight w:val="none"/>
                <w:u w:val="single"/>
              </w:rPr>
              <w:t>标）》中填报的投标总工期不符合招标文件要求的；</w:t>
            </w:r>
          </w:p>
        </w:tc>
        <w:tc>
          <w:tcPr>
            <w:tcW w:w="84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86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88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8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2</w:t>
            </w:r>
          </w:p>
        </w:tc>
        <w:tc>
          <w:tcPr>
            <w:tcW w:w="10546"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u w:val="single"/>
              </w:rPr>
              <w:t>《广州建设工程施工招标投标书（</w:t>
            </w:r>
            <w:r>
              <w:rPr>
                <w:rFonts w:hint="eastAsia" w:ascii="宋体" w:hAnsi="宋体" w:cs="宋体"/>
                <w:color w:val="auto"/>
                <w:szCs w:val="21"/>
                <w:highlight w:val="none"/>
                <w:u w:val="single"/>
                <w:lang w:val="en-US" w:eastAsia="zh-CN"/>
              </w:rPr>
              <w:t>技术</w:t>
            </w:r>
            <w:r>
              <w:rPr>
                <w:rFonts w:hint="eastAsia" w:ascii="宋体" w:hAnsi="宋体" w:cs="宋体"/>
                <w:color w:val="auto"/>
                <w:szCs w:val="21"/>
                <w:highlight w:val="none"/>
                <w:u w:val="single"/>
              </w:rPr>
              <w:t>标）》中填报的工程质量标准不符合招标文件要求的；</w:t>
            </w:r>
          </w:p>
        </w:tc>
        <w:tc>
          <w:tcPr>
            <w:tcW w:w="84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86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88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8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olor w:val="auto"/>
                <w:szCs w:val="21"/>
                <w:highlight w:val="none"/>
                <w:u w:val="single"/>
                <w:lang w:eastAsia="zh-CN"/>
              </w:rPr>
            </w:pPr>
            <w:r>
              <w:rPr>
                <w:rFonts w:hint="eastAsia" w:ascii="宋体" w:hAnsi="宋体"/>
                <w:color w:val="auto"/>
                <w:szCs w:val="21"/>
                <w:highlight w:val="none"/>
                <w:u w:val="single"/>
                <w:lang w:val="en-US" w:eastAsia="zh-CN"/>
              </w:rPr>
              <w:t>3</w:t>
            </w:r>
          </w:p>
        </w:tc>
        <w:tc>
          <w:tcPr>
            <w:tcW w:w="10546"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投标文件中没有有效的法定代表人证明书，或由委托代理人签署的投标文件中没有法定代表人授权书；</w:t>
            </w:r>
          </w:p>
        </w:tc>
        <w:tc>
          <w:tcPr>
            <w:tcW w:w="84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86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88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8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olor w:val="auto"/>
                <w:szCs w:val="21"/>
                <w:highlight w:val="none"/>
                <w:u w:val="single"/>
                <w:lang w:eastAsia="zh-CN"/>
              </w:rPr>
            </w:pPr>
            <w:r>
              <w:rPr>
                <w:rFonts w:hint="eastAsia" w:ascii="宋体" w:hAnsi="宋体"/>
                <w:color w:val="auto"/>
                <w:szCs w:val="21"/>
                <w:highlight w:val="none"/>
                <w:u w:val="single"/>
                <w:lang w:val="en-US" w:eastAsia="zh-CN"/>
              </w:rPr>
              <w:t>4</w:t>
            </w:r>
          </w:p>
        </w:tc>
        <w:tc>
          <w:tcPr>
            <w:tcW w:w="10546"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u w:val="single"/>
              </w:rPr>
            </w:pPr>
            <w:r>
              <w:rPr>
                <w:rFonts w:hint="eastAsia" w:ascii="宋体" w:hAnsi="宋体" w:cs="宋体"/>
                <w:color w:val="auto"/>
                <w:szCs w:val="21"/>
                <w:highlight w:val="none"/>
              </w:rPr>
              <w:t>投标文件未按规定的格式填写</w:t>
            </w:r>
            <w:r>
              <w:rPr>
                <w:rFonts w:hint="eastAsia" w:ascii="宋体" w:hAnsi="宋体" w:cs="宋体"/>
                <w:color w:val="auto"/>
                <w:szCs w:val="21"/>
                <w:highlight w:val="none"/>
                <w:u w:val="single"/>
              </w:rPr>
              <w:t>（指招标文件第四章提供格式的《广州建设工程施工招标投标书（技术标）》、《投标函》、《标函承诺书》、《项目负责人驻场承诺书》</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w:t>
            </w:r>
            <w:r>
              <w:rPr>
                <w:rFonts w:hint="eastAsia" w:ascii="宋体" w:hAnsi="宋体" w:cs="宋体"/>
                <w:b w:val="0"/>
                <w:color w:val="auto"/>
                <w:sz w:val="21"/>
                <w:szCs w:val="21"/>
                <w:highlight w:val="none"/>
                <w:u w:val="single"/>
              </w:rPr>
              <w:t>危险性较大的分部分项工程安全管理措施</w:t>
            </w:r>
            <w:r>
              <w:rPr>
                <w:rFonts w:hint="eastAsia" w:ascii="宋体" w:hAnsi="宋体" w:eastAsia="宋体" w:cs="宋体"/>
                <w:color w:val="auto"/>
                <w:szCs w:val="21"/>
                <w:highlight w:val="none"/>
                <w:u w:val="single"/>
              </w:rPr>
              <w:t>》</w:t>
            </w:r>
            <w:r>
              <w:rPr>
                <w:rFonts w:hint="eastAsia" w:ascii="宋体" w:hAnsi="宋体" w:cs="宋体"/>
                <w:color w:val="auto"/>
                <w:szCs w:val="21"/>
                <w:highlight w:val="none"/>
              </w:rPr>
              <w:t>，或主要内容（指投标文件组成内容）不全，或关键字迹模糊、无法辨认的；</w:t>
            </w:r>
          </w:p>
        </w:tc>
        <w:tc>
          <w:tcPr>
            <w:tcW w:w="84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86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88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8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olor w:val="auto"/>
                <w:szCs w:val="21"/>
                <w:highlight w:val="none"/>
                <w:u w:val="single"/>
                <w:lang w:eastAsia="zh-CN"/>
              </w:rPr>
            </w:pPr>
            <w:r>
              <w:rPr>
                <w:rFonts w:hint="eastAsia" w:ascii="宋体" w:hAnsi="宋体"/>
                <w:color w:val="auto"/>
                <w:szCs w:val="21"/>
                <w:highlight w:val="none"/>
                <w:u w:val="single"/>
                <w:lang w:val="en-US" w:eastAsia="zh-CN"/>
              </w:rPr>
              <w:t>5</w:t>
            </w:r>
          </w:p>
        </w:tc>
        <w:tc>
          <w:tcPr>
            <w:tcW w:w="10546"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投标人之间存在《广东省实施&lt;中华人民共和国招标投标法&gt;》第十六条所禁止的情形的；</w:t>
            </w:r>
          </w:p>
        </w:tc>
        <w:tc>
          <w:tcPr>
            <w:tcW w:w="84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86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88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8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olor w:val="auto"/>
                <w:szCs w:val="21"/>
                <w:highlight w:val="none"/>
                <w:u w:val="single"/>
                <w:lang w:eastAsia="zh-CN"/>
              </w:rPr>
            </w:pPr>
            <w:r>
              <w:rPr>
                <w:rFonts w:hint="eastAsia" w:ascii="宋体" w:hAnsi="宋体"/>
                <w:color w:val="auto"/>
                <w:szCs w:val="21"/>
                <w:highlight w:val="none"/>
                <w:u w:val="single"/>
                <w:lang w:val="en-US" w:eastAsia="zh-CN"/>
              </w:rPr>
              <w:t>6</w:t>
            </w:r>
          </w:p>
        </w:tc>
        <w:tc>
          <w:tcPr>
            <w:tcW w:w="10546"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无《参与编制技术标投标文件人员名单》的；</w:t>
            </w:r>
          </w:p>
        </w:tc>
        <w:tc>
          <w:tcPr>
            <w:tcW w:w="84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shd w:val="pct10" w:color="auto" w:fill="FFFFFF"/>
              </w:rPr>
            </w:pPr>
          </w:p>
        </w:tc>
        <w:tc>
          <w:tcPr>
            <w:tcW w:w="86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shd w:val="pct10" w:color="auto" w:fill="FFFFFF"/>
              </w:rPr>
            </w:pPr>
          </w:p>
        </w:tc>
        <w:tc>
          <w:tcPr>
            <w:tcW w:w="88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shd w:val="pct10" w:color="auto" w:fill="FFFFFF"/>
              </w:rPr>
            </w:pPr>
          </w:p>
        </w:tc>
        <w:tc>
          <w:tcPr>
            <w:tcW w:w="8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olor w:val="auto"/>
                <w:szCs w:val="21"/>
                <w:highlight w:val="none"/>
                <w:u w:val="single"/>
                <w:lang w:eastAsia="zh-CN"/>
              </w:rPr>
            </w:pPr>
            <w:r>
              <w:rPr>
                <w:rFonts w:hint="eastAsia" w:ascii="宋体" w:hAnsi="宋体"/>
                <w:color w:val="auto"/>
                <w:szCs w:val="21"/>
                <w:highlight w:val="none"/>
                <w:u w:val="single"/>
                <w:lang w:val="en-US" w:eastAsia="zh-CN"/>
              </w:rPr>
              <w:t>7</w:t>
            </w:r>
          </w:p>
        </w:tc>
        <w:tc>
          <w:tcPr>
            <w:tcW w:w="10546"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highlight w:val="none"/>
              </w:rPr>
            </w:pPr>
            <w:r>
              <w:rPr>
                <w:rFonts w:hint="eastAsia" w:ascii="宋体" w:hAnsi="宋体"/>
                <w:color w:val="auto"/>
                <w:szCs w:val="21"/>
                <w:highlight w:val="none"/>
              </w:rPr>
              <w:t>投标人与</w:t>
            </w:r>
            <w:r>
              <w:rPr>
                <w:rFonts w:hint="eastAsia" w:ascii="宋体" w:hAnsi="宋体"/>
                <w:color w:val="auto"/>
                <w:szCs w:val="21"/>
                <w:highlight w:val="none"/>
                <w:u w:val="single"/>
              </w:rPr>
              <w:t>本项目</w:t>
            </w:r>
            <w:r>
              <w:rPr>
                <w:rFonts w:hint="eastAsia" w:ascii="宋体" w:hAnsi="宋体"/>
                <w:color w:val="auto"/>
                <w:szCs w:val="21"/>
                <w:highlight w:val="none"/>
              </w:rPr>
              <w:t>其他投标人加密打包投标文件电脑机器特征码一致的</w:t>
            </w:r>
            <w:r>
              <w:rPr>
                <w:rFonts w:hint="eastAsia" w:ascii="宋体" w:hAnsi="宋体"/>
                <w:color w:val="auto"/>
                <w:szCs w:val="21"/>
                <w:highlight w:val="none"/>
                <w:u w:val="single"/>
              </w:rPr>
              <w:t>(以交易平台评标系统的检索信息为准)</w:t>
            </w:r>
            <w:r>
              <w:rPr>
                <w:rFonts w:hint="eastAsia" w:ascii="宋体" w:hAnsi="宋体"/>
                <w:color w:val="auto"/>
                <w:szCs w:val="21"/>
                <w:highlight w:val="none"/>
              </w:rPr>
              <w:t>。</w:t>
            </w:r>
          </w:p>
        </w:tc>
        <w:tc>
          <w:tcPr>
            <w:tcW w:w="84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86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88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c>
          <w:tcPr>
            <w:tcW w:w="8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highlight w:val="none"/>
              </w:rPr>
            </w:pPr>
          </w:p>
        </w:tc>
      </w:tr>
    </w:tbl>
    <w:p>
      <w:pPr>
        <w:rPr>
          <w:rFonts w:hint="eastAsia" w:ascii="宋体" w:hAnsi="宋体"/>
          <w:color w:val="auto"/>
          <w:szCs w:val="21"/>
          <w:highlight w:val="none"/>
        </w:rPr>
      </w:pPr>
      <w:r>
        <w:rPr>
          <w:rFonts w:hint="eastAsia" w:ascii="宋体" w:hAnsi="宋体"/>
          <w:color w:val="auto"/>
          <w:szCs w:val="21"/>
          <w:highlight w:val="none"/>
        </w:rPr>
        <w:t>注：1.本表使用GZZB2018-3招标文件范本，与范本内容不同之处均以下划线标明。技术标评审中，响应性、承诺性内容不应作为评分因素，可在该表中对上述内容进行符合性审查。审查标准须具备可操作性。</w:t>
      </w:r>
    </w:p>
    <w:p>
      <w:pPr>
        <w:ind w:firstLine="420" w:firstLineChars="200"/>
        <w:rPr>
          <w:rFonts w:hint="eastAsia" w:ascii="宋体" w:hAnsi="宋体"/>
          <w:color w:val="auto"/>
          <w:szCs w:val="21"/>
          <w:highlight w:val="none"/>
          <w:u w:val="none"/>
        </w:rPr>
      </w:pPr>
      <w:r>
        <w:rPr>
          <w:rFonts w:hint="eastAsia" w:ascii="宋体" w:hAnsi="宋体"/>
          <w:color w:val="auto"/>
          <w:szCs w:val="21"/>
          <w:highlight w:val="none"/>
        </w:rPr>
        <w:t>2.</w:t>
      </w:r>
      <w:r>
        <w:rPr>
          <w:rFonts w:hint="eastAsia" w:ascii="宋体" w:hAnsi="宋体"/>
          <w:b/>
          <w:bCs/>
          <w:color w:val="auto"/>
          <w:szCs w:val="21"/>
          <w:highlight w:val="none"/>
          <w:u w:val="single"/>
        </w:rPr>
        <w:t>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w:t>
      </w:r>
      <w:r>
        <w:rPr>
          <w:rFonts w:hint="eastAsia" w:ascii="宋体" w:hAnsi="宋体"/>
          <w:color w:val="auto"/>
          <w:szCs w:val="21"/>
          <w:highlight w:val="none"/>
          <w:u w:val="none"/>
        </w:rPr>
        <w:t>若出现评标委员会否决投标的，应在评标报告中载明否决投标的具体情形、原因；</w:t>
      </w:r>
    </w:p>
    <w:p>
      <w:pPr>
        <w:ind w:firstLine="420" w:firstLineChars="200"/>
        <w:rPr>
          <w:rFonts w:hint="eastAsia" w:ascii="宋体" w:hAnsi="宋体"/>
          <w:color w:val="auto"/>
          <w:szCs w:val="21"/>
          <w:highlight w:val="none"/>
        </w:rPr>
      </w:pPr>
      <w:r>
        <w:rPr>
          <w:rFonts w:hint="eastAsia" w:ascii="宋体" w:hAnsi="宋体"/>
          <w:color w:val="auto"/>
          <w:szCs w:val="21"/>
          <w:highlight w:val="none"/>
        </w:rPr>
        <w:t>3.凡出现以上任何一项情形，结论均为无效，否则就为有效。</w:t>
      </w:r>
    </w:p>
    <w:p>
      <w:pPr>
        <w:ind w:firstLine="420" w:firstLineChars="200"/>
        <w:rPr>
          <w:rFonts w:ascii="宋体" w:hAnsi="宋体"/>
          <w:color w:val="auto"/>
          <w:szCs w:val="21"/>
          <w:highlight w:val="none"/>
        </w:rPr>
      </w:pPr>
      <w:r>
        <w:rPr>
          <w:rFonts w:hint="eastAsia" w:ascii="宋体" w:hAnsi="宋体"/>
          <w:color w:val="auto"/>
          <w:szCs w:val="21"/>
          <w:highlight w:val="none"/>
        </w:rPr>
        <w:t>4.如对本表中某种情形的评审意见不一致时，以评标委员会过半数成员的意见作为评标委员会对该情形的认定结论。</w:t>
      </w:r>
    </w:p>
    <w:p>
      <w:pPr>
        <w:rPr>
          <w:rFonts w:ascii="宋体" w:hAnsi="宋体"/>
          <w:color w:val="auto"/>
          <w:highlight w:val="none"/>
        </w:rPr>
      </w:pPr>
      <w:r>
        <w:rPr>
          <w:rFonts w:hint="eastAsia" w:ascii="宋体" w:hAnsi="宋体"/>
          <w:color w:val="auto"/>
          <w:szCs w:val="21"/>
          <w:highlight w:val="none"/>
        </w:rPr>
        <w:t>评委签名：</w:t>
      </w:r>
    </w:p>
    <w:p>
      <w:pPr>
        <w:pStyle w:val="4"/>
        <w:spacing w:line="240" w:lineRule="auto"/>
        <w:jc w:val="left"/>
        <w:rPr>
          <w:rFonts w:hint="eastAsia"/>
          <w:color w:val="auto"/>
          <w:highlight w:val="none"/>
        </w:rPr>
      </w:pPr>
    </w:p>
    <w:p>
      <w:pPr>
        <w:rPr>
          <w:rFonts w:hint="eastAsia"/>
          <w:color w:val="auto"/>
          <w:highlight w:val="none"/>
        </w:rPr>
      </w:pPr>
    </w:p>
    <w:p>
      <w:pPr>
        <w:pStyle w:val="4"/>
        <w:jc w:val="left"/>
        <w:rPr>
          <w:rFonts w:hint="eastAsia" w:ascii="宋体" w:hAnsi="宋体" w:eastAsia="宋体" w:cs="宋体"/>
          <w:color w:val="auto"/>
          <w:highlight w:val="none"/>
          <w:lang w:val="en-US" w:eastAsia="zh-CN"/>
        </w:rPr>
      </w:pPr>
      <w:bookmarkStart w:id="212" w:name="_Toc20737"/>
      <w:bookmarkStart w:id="213" w:name="_Toc7187"/>
      <w:bookmarkStart w:id="214" w:name="_Toc20279"/>
      <w:bookmarkStart w:id="215" w:name="_Toc20352"/>
      <w:bookmarkStart w:id="216" w:name="_Toc27099"/>
      <w:bookmarkStart w:id="217" w:name="_Toc5260"/>
      <w:r>
        <w:rPr>
          <w:rFonts w:hint="eastAsia" w:ascii="宋体" w:hAnsi="宋体" w:eastAsia="宋体" w:cs="宋体"/>
          <w:color w:val="auto"/>
          <w:highlight w:val="none"/>
          <w:lang w:val="en-US" w:eastAsia="zh-CN"/>
        </w:rPr>
        <w:t>附表三</w:t>
      </w:r>
      <w:bookmarkEnd w:id="212"/>
      <w:bookmarkEnd w:id="213"/>
      <w:bookmarkEnd w:id="214"/>
      <w:bookmarkEnd w:id="215"/>
      <w:bookmarkEnd w:id="216"/>
      <w:bookmarkEnd w:id="217"/>
    </w:p>
    <w:p>
      <w:pPr>
        <w:jc w:val="center"/>
        <w:rPr>
          <w:rFonts w:ascii="宋体" w:hAnsi="宋体"/>
          <w:b/>
          <w:color w:val="auto"/>
          <w:sz w:val="36"/>
          <w:szCs w:val="36"/>
          <w:highlight w:val="none"/>
        </w:rPr>
      </w:pPr>
      <w:r>
        <w:rPr>
          <w:rFonts w:hint="eastAsia" w:ascii="宋体" w:hAnsi="宋体"/>
          <w:b/>
          <w:color w:val="auto"/>
          <w:sz w:val="36"/>
          <w:szCs w:val="36"/>
          <w:highlight w:val="none"/>
        </w:rPr>
        <w:t>经济标有效性审查表</w:t>
      </w:r>
    </w:p>
    <w:p>
      <w:pPr>
        <w:rPr>
          <w:rFonts w:ascii="宋体" w:hAnsi="宋体"/>
          <w:color w:val="auto"/>
          <w:szCs w:val="21"/>
          <w:highlight w:val="none"/>
        </w:rPr>
      </w:pPr>
      <w:r>
        <w:rPr>
          <w:rFonts w:hint="eastAsia" w:ascii="宋体" w:hAnsi="宋体"/>
          <w:color w:val="auto"/>
          <w:szCs w:val="21"/>
          <w:highlight w:val="none"/>
        </w:rPr>
        <w:t>工程名称：</w:t>
      </w:r>
    </w:p>
    <w:tbl>
      <w:tblPr>
        <w:tblStyle w:val="51"/>
        <w:tblW w:w="14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9036"/>
        <w:gridCol w:w="843"/>
        <w:gridCol w:w="1038"/>
        <w:gridCol w:w="1038"/>
        <w:gridCol w:w="1038"/>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序号</w:t>
            </w:r>
          </w:p>
        </w:tc>
        <w:tc>
          <w:tcPr>
            <w:tcW w:w="9036" w:type="dxa"/>
            <w:tcBorders>
              <w:top w:val="single" w:color="auto" w:sz="4" w:space="0"/>
              <w:left w:val="single" w:color="auto" w:sz="4" w:space="0"/>
              <w:bottom w:val="single" w:color="auto" w:sz="4" w:space="0"/>
              <w:right w:val="single" w:color="auto" w:sz="4" w:space="0"/>
              <w:tl2br w:val="single" w:color="auto" w:sz="4" w:space="0"/>
            </w:tcBorders>
          </w:tcPr>
          <w:p>
            <w:pPr>
              <w:ind w:firstLine="4830" w:firstLineChars="2300"/>
              <w:rPr>
                <w:rFonts w:ascii="宋体" w:hAnsi="宋体"/>
                <w:color w:val="auto"/>
                <w:szCs w:val="21"/>
                <w:highlight w:val="none"/>
              </w:rPr>
            </w:pPr>
            <w:r>
              <w:rPr>
                <w:rFonts w:hint="eastAsia" w:ascii="宋体" w:hAnsi="宋体"/>
                <w:color w:val="auto"/>
                <w:szCs w:val="21"/>
                <w:highlight w:val="none"/>
              </w:rPr>
              <w:t>投标人</w:t>
            </w:r>
          </w:p>
          <w:p>
            <w:pPr>
              <w:rPr>
                <w:rFonts w:ascii="宋体" w:hAnsi="宋体"/>
                <w:color w:val="auto"/>
                <w:szCs w:val="21"/>
                <w:highlight w:val="none"/>
              </w:rPr>
            </w:pPr>
            <w:r>
              <w:rPr>
                <w:rFonts w:hint="eastAsia" w:ascii="宋体" w:hAnsi="宋体"/>
                <w:color w:val="auto"/>
                <w:szCs w:val="21"/>
                <w:highlight w:val="none"/>
              </w:rPr>
              <w:t>评审内容</w:t>
            </w:r>
          </w:p>
        </w:tc>
        <w:tc>
          <w:tcPr>
            <w:tcW w:w="84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w:t>
            </w:r>
          </w:p>
        </w:tc>
        <w:tc>
          <w:tcPr>
            <w:tcW w:w="903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对同一招标项目出现两个或以上的投标报价，且没有申明哪个有效；</w:t>
            </w:r>
          </w:p>
        </w:tc>
        <w:tc>
          <w:tcPr>
            <w:tcW w:w="84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2</w:t>
            </w:r>
          </w:p>
        </w:tc>
        <w:tc>
          <w:tcPr>
            <w:tcW w:w="903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投标报价高于最高投标限价的；</w:t>
            </w:r>
          </w:p>
        </w:tc>
        <w:tc>
          <w:tcPr>
            <w:tcW w:w="84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3</w:t>
            </w:r>
          </w:p>
        </w:tc>
        <w:tc>
          <w:tcPr>
            <w:tcW w:w="90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2" w:leftChars="-1"/>
              <w:jc w:val="left"/>
              <w:rPr>
                <w:rFonts w:ascii="宋体" w:hAnsi="宋体" w:cs="宋体"/>
                <w:color w:val="auto"/>
                <w:szCs w:val="21"/>
                <w:highlight w:val="none"/>
              </w:rPr>
            </w:pPr>
            <w:r>
              <w:rPr>
                <w:rFonts w:hint="eastAsia" w:ascii="宋体" w:hAnsi="宋体" w:cs="宋体"/>
                <w:color w:val="auto"/>
                <w:szCs w:val="21"/>
                <w:highlight w:val="none"/>
              </w:rPr>
              <w:t>投标报价低于成本的</w:t>
            </w:r>
            <w:r>
              <w:rPr>
                <w:rFonts w:hint="eastAsia" w:ascii="宋体" w:hAnsi="宋体" w:cs="宋体"/>
                <w:color w:val="auto"/>
                <w:szCs w:val="21"/>
                <w:highlight w:val="none"/>
                <w:u w:val="single"/>
              </w:rPr>
              <w:t>（投标人的报价明显低于其他投标报价或者低于成本警戒价，使得其投标报价可能低于其个别成本，并且投标人不能合理说明或者不能提供相关证明材料的，由评标委员会认定该投标人以低于成本报价竞标）；</w:t>
            </w:r>
          </w:p>
        </w:tc>
        <w:tc>
          <w:tcPr>
            <w:tcW w:w="84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4</w:t>
            </w:r>
          </w:p>
        </w:tc>
        <w:tc>
          <w:tcPr>
            <w:tcW w:w="903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算术复核后的投标报价与原投标报价相比存在</w:t>
            </w:r>
            <w:r>
              <w:rPr>
                <w:rFonts w:ascii="宋体" w:hAnsi="宋体"/>
                <w:color w:val="auto"/>
                <w:szCs w:val="21"/>
                <w:highlight w:val="none"/>
              </w:rPr>
              <w:t>1%</w:t>
            </w:r>
            <w:r>
              <w:rPr>
                <w:rFonts w:hint="eastAsia" w:ascii="宋体" w:hAnsi="宋体"/>
                <w:color w:val="auto"/>
                <w:szCs w:val="21"/>
                <w:highlight w:val="none"/>
              </w:rPr>
              <w:t>或以上误差的；</w:t>
            </w:r>
          </w:p>
        </w:tc>
        <w:tc>
          <w:tcPr>
            <w:tcW w:w="84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5</w:t>
            </w:r>
          </w:p>
        </w:tc>
        <w:tc>
          <w:tcPr>
            <w:tcW w:w="90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投标文件未按规定的格式填写</w:t>
            </w:r>
            <w:r>
              <w:rPr>
                <w:rFonts w:hint="eastAsia" w:ascii="宋体" w:hAnsi="宋体" w:cs="宋体"/>
                <w:color w:val="auto"/>
                <w:szCs w:val="21"/>
                <w:highlight w:val="none"/>
                <w:u w:val="single"/>
              </w:rPr>
              <w:t>（指招标文件第四章提供格式的《广州建设工程施工招标投标书（经济标）》《对投标文件编制的承诺》等）</w:t>
            </w:r>
            <w:r>
              <w:rPr>
                <w:rFonts w:hint="eastAsia" w:ascii="宋体" w:hAnsi="宋体" w:cs="宋体"/>
                <w:color w:val="auto"/>
                <w:szCs w:val="21"/>
                <w:highlight w:val="none"/>
              </w:rPr>
              <w:t>，或主要内容不全，或关键字迹模糊、无法辨认的；</w:t>
            </w:r>
          </w:p>
        </w:tc>
        <w:tc>
          <w:tcPr>
            <w:tcW w:w="84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6</w:t>
            </w:r>
          </w:p>
        </w:tc>
        <w:tc>
          <w:tcPr>
            <w:tcW w:w="903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不同投标人的投标报价中分部分项工程量清单综合单价相似度达到80%及以上的(以</w:t>
            </w:r>
            <w:r>
              <w:rPr>
                <w:rFonts w:hint="eastAsia" w:ascii="宋体" w:hAnsi="宋体" w:cs="宋体"/>
                <w:color w:val="auto"/>
                <w:szCs w:val="21"/>
                <w:highlight w:val="none"/>
                <w:u w:val="single"/>
                <w:lang w:eastAsia="zh-CN"/>
              </w:rPr>
              <w:t>广州交易集团有限公司（广州公共资源交易中心）</w:t>
            </w:r>
            <w:r>
              <w:rPr>
                <w:rFonts w:hint="eastAsia" w:ascii="宋体" w:hAnsi="宋体"/>
                <w:color w:val="auto"/>
                <w:szCs w:val="21"/>
                <w:highlight w:val="none"/>
              </w:rPr>
              <w:t>交易平台评标系统的检索信息为准)；</w:t>
            </w:r>
          </w:p>
        </w:tc>
        <w:tc>
          <w:tcPr>
            <w:tcW w:w="84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7</w:t>
            </w:r>
          </w:p>
        </w:tc>
        <w:tc>
          <w:tcPr>
            <w:tcW w:w="903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投标人之间存在《广东省实施&lt;中华人民共和国招标投标法&gt;》第十六条所禁止的情形的；</w:t>
            </w:r>
          </w:p>
        </w:tc>
        <w:tc>
          <w:tcPr>
            <w:tcW w:w="84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8</w:t>
            </w:r>
          </w:p>
        </w:tc>
        <w:tc>
          <w:tcPr>
            <w:tcW w:w="903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无《参与编制经济标投标文件人员名单》的；</w:t>
            </w:r>
          </w:p>
        </w:tc>
        <w:tc>
          <w:tcPr>
            <w:tcW w:w="84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9</w:t>
            </w:r>
          </w:p>
        </w:tc>
        <w:tc>
          <w:tcPr>
            <w:tcW w:w="903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无《对投标文件编制的承诺》。</w:t>
            </w:r>
          </w:p>
        </w:tc>
        <w:tc>
          <w:tcPr>
            <w:tcW w:w="84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u w:val="single"/>
              </w:rPr>
              <w:t>10</w:t>
            </w:r>
          </w:p>
        </w:tc>
        <w:tc>
          <w:tcPr>
            <w:tcW w:w="903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auto"/>
                <w:szCs w:val="21"/>
                <w:highlight w:val="none"/>
              </w:rPr>
            </w:pPr>
            <w:r>
              <w:rPr>
                <w:rFonts w:hint="eastAsia" w:ascii="宋体" w:hAnsi="宋体"/>
                <w:color w:val="auto"/>
                <w:szCs w:val="21"/>
                <w:highlight w:val="none"/>
                <w:u w:val="single"/>
              </w:rPr>
              <w:t>投标人与本项目其他投标人的投标文件工程量清单编制机器硬件信息一致的（以广州交易集团有限公司（广州公共资源交易中心）交易平台评标系统的检索信息为准）</w:t>
            </w:r>
          </w:p>
        </w:tc>
        <w:tc>
          <w:tcPr>
            <w:tcW w:w="84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038"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bl>
    <w:p>
      <w:pPr>
        <w:rPr>
          <w:rFonts w:hint="eastAsia" w:ascii="宋体" w:hAnsi="宋体"/>
          <w:color w:val="auto"/>
          <w:szCs w:val="21"/>
          <w:highlight w:val="none"/>
        </w:rPr>
      </w:pPr>
      <w:r>
        <w:rPr>
          <w:rFonts w:hint="eastAsia" w:ascii="宋体" w:hAnsi="宋体"/>
          <w:color w:val="auto"/>
          <w:szCs w:val="21"/>
          <w:highlight w:val="none"/>
        </w:rPr>
        <w:t>注：1.本表使用GZZB2018-3招标文件范本，与范本内容不同之处均以下划线标明。</w:t>
      </w:r>
    </w:p>
    <w:p>
      <w:pPr>
        <w:ind w:firstLine="458"/>
        <w:rPr>
          <w:rFonts w:hint="eastAsia" w:ascii="宋体" w:hAnsi="宋体"/>
          <w:color w:val="auto"/>
          <w:szCs w:val="21"/>
          <w:highlight w:val="none"/>
        </w:rPr>
      </w:pPr>
      <w:r>
        <w:rPr>
          <w:rFonts w:hint="eastAsia" w:ascii="宋体" w:hAnsi="宋体"/>
          <w:color w:val="auto"/>
          <w:szCs w:val="21"/>
          <w:highlight w:val="none"/>
        </w:rPr>
        <w:t>2.凡出现以上任何一项情形，结论均为无效，否则就为有效。</w:t>
      </w:r>
    </w:p>
    <w:p>
      <w:pPr>
        <w:ind w:firstLine="458"/>
        <w:rPr>
          <w:rFonts w:hint="eastAsia" w:ascii="宋体" w:hAnsi="宋体"/>
          <w:color w:val="auto"/>
          <w:szCs w:val="21"/>
          <w:highlight w:val="none"/>
        </w:rPr>
      </w:pPr>
      <w:r>
        <w:rPr>
          <w:rFonts w:hint="eastAsia" w:ascii="宋体" w:hAnsi="宋体"/>
          <w:color w:val="auto"/>
          <w:szCs w:val="21"/>
          <w:highlight w:val="none"/>
        </w:rPr>
        <w:t>3.如对本表中某种情形的评审意见不一致时，以评标委员会过半数成员的意见作为评标委员会对该情形的认定结论。</w:t>
      </w:r>
    </w:p>
    <w:p>
      <w:pPr>
        <w:ind w:firstLine="458"/>
        <w:rPr>
          <w:rFonts w:hint="eastAsia" w:ascii="宋体" w:hAnsi="宋体"/>
          <w:b/>
          <w:bCs/>
          <w:color w:val="auto"/>
          <w:szCs w:val="21"/>
          <w:highlight w:val="none"/>
          <w:u w:val="single"/>
        </w:rPr>
      </w:pPr>
      <w:r>
        <w:rPr>
          <w:rFonts w:hint="eastAsia" w:ascii="宋体" w:hAnsi="宋体"/>
          <w:b/>
          <w:bCs/>
          <w:color w:val="auto"/>
          <w:szCs w:val="21"/>
          <w:highlight w:val="none"/>
          <w:u w:val="single"/>
        </w:rPr>
        <w:t>4.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ind w:firstLine="458"/>
        <w:jc w:val="left"/>
        <w:rPr>
          <w:rFonts w:ascii="宋体" w:hAnsi="宋体" w:cs="宋体"/>
          <w:color w:val="auto"/>
          <w:szCs w:val="21"/>
          <w:highlight w:val="none"/>
        </w:rPr>
        <w:sectPr>
          <w:endnotePr>
            <w:numFmt w:val="decimal"/>
          </w:endnotePr>
          <w:pgSz w:w="16838" w:h="11906" w:orient="landscape"/>
          <w:pgMar w:top="1418" w:right="1247" w:bottom="1418" w:left="1134" w:header="851" w:footer="907" w:gutter="0"/>
          <w:cols w:space="720" w:num="1"/>
          <w:titlePg/>
          <w:docGrid w:type="lines" w:linePitch="312" w:charSpace="0"/>
        </w:sectPr>
      </w:pPr>
    </w:p>
    <w:p>
      <w:pPr>
        <w:pStyle w:val="4"/>
        <w:jc w:val="left"/>
        <w:rPr>
          <w:rFonts w:hint="eastAsia" w:ascii="宋体" w:hAnsi="宋体" w:eastAsia="宋体" w:cs="宋体"/>
          <w:color w:val="auto"/>
          <w:highlight w:val="none"/>
          <w:lang w:val="en-US" w:eastAsia="zh-CN"/>
        </w:rPr>
      </w:pPr>
      <w:bookmarkStart w:id="218" w:name="_Toc30629"/>
      <w:bookmarkStart w:id="219" w:name="_Toc18388"/>
      <w:r>
        <w:rPr>
          <w:rFonts w:hint="eastAsia" w:ascii="宋体" w:hAnsi="宋体" w:eastAsia="宋体" w:cs="宋体"/>
          <w:color w:val="auto"/>
          <w:highlight w:val="none"/>
          <w:lang w:val="en-US" w:eastAsia="zh-CN"/>
        </w:rPr>
        <w:t>附表四</w:t>
      </w:r>
      <w:bookmarkEnd w:id="218"/>
      <w:bookmarkEnd w:id="219"/>
    </w:p>
    <w:p>
      <w:pPr>
        <w:pStyle w:val="228"/>
        <w:spacing w:line="360" w:lineRule="auto"/>
        <w:ind w:left="1478" w:leftChars="704"/>
        <w:jc w:val="center"/>
        <w:rPr>
          <w:rFonts w:ascii="仿宋" w:hAnsi="仿宋" w:eastAsia="仿宋"/>
          <w:b/>
          <w:color w:val="auto"/>
          <w:sz w:val="32"/>
          <w:szCs w:val="32"/>
          <w:highlight w:val="none"/>
        </w:rPr>
      </w:pPr>
      <w:bookmarkStart w:id="220" w:name="_Toc20135"/>
      <w:bookmarkStart w:id="221" w:name="_Toc22943"/>
      <w:bookmarkStart w:id="222" w:name="_Toc12709"/>
      <w:bookmarkStart w:id="223" w:name="_Toc32003"/>
      <w:bookmarkStart w:id="224" w:name="_Toc21638"/>
      <w:bookmarkStart w:id="225" w:name="_Toc30168"/>
      <w:r>
        <w:rPr>
          <w:rFonts w:hint="eastAsia" w:ascii="仿宋" w:hAnsi="仿宋" w:eastAsia="仿宋"/>
          <w:b/>
          <w:color w:val="auto"/>
          <w:sz w:val="36"/>
          <w:szCs w:val="36"/>
          <w:highlight w:val="none"/>
        </w:rPr>
        <w:t>技术标详细审查评分表</w:t>
      </w:r>
    </w:p>
    <w:tbl>
      <w:tblPr>
        <w:tblStyle w:val="51"/>
        <w:tblpPr w:leftFromText="180" w:rightFromText="180" w:vertAnchor="text" w:horzAnchor="page" w:tblpX="1543" w:tblpY="6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567"/>
        <w:gridCol w:w="845"/>
        <w:gridCol w:w="820"/>
        <w:gridCol w:w="3095"/>
        <w:gridCol w:w="2761"/>
        <w:gridCol w:w="3129"/>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1063" w:type="dxa"/>
          </w:tcPr>
          <w:p>
            <w:pPr>
              <w:pStyle w:val="228"/>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评分项目</w:t>
            </w:r>
          </w:p>
        </w:tc>
        <w:tc>
          <w:tcPr>
            <w:tcW w:w="1412" w:type="dxa"/>
            <w:gridSpan w:val="2"/>
          </w:tcPr>
          <w:p>
            <w:pPr>
              <w:pStyle w:val="228"/>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评分内容</w:t>
            </w:r>
          </w:p>
        </w:tc>
        <w:tc>
          <w:tcPr>
            <w:tcW w:w="820" w:type="dxa"/>
          </w:tcPr>
          <w:p>
            <w:pPr>
              <w:pStyle w:val="228"/>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分值</w:t>
            </w:r>
          </w:p>
        </w:tc>
        <w:tc>
          <w:tcPr>
            <w:tcW w:w="11100" w:type="dxa"/>
            <w:gridSpan w:val="4"/>
          </w:tcPr>
          <w:p>
            <w:pPr>
              <w:pStyle w:val="228"/>
              <w:ind w:firstLine="422" w:firstLineChars="200"/>
              <w:jc w:val="center"/>
              <w:rPr>
                <w:rFonts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3295" w:type="dxa"/>
            <w:gridSpan w:val="4"/>
          </w:tcPr>
          <w:p>
            <w:pPr>
              <w:pStyle w:val="228"/>
              <w:ind w:firstLine="420" w:firstLineChars="200"/>
              <w:rPr>
                <w:rFonts w:ascii="宋体" w:hAnsi="宋体" w:eastAsia="宋体" w:cs="宋体"/>
                <w:color w:val="auto"/>
                <w:sz w:val="21"/>
                <w:szCs w:val="21"/>
                <w:highlight w:val="none"/>
              </w:rPr>
            </w:pPr>
          </w:p>
        </w:tc>
        <w:tc>
          <w:tcPr>
            <w:tcW w:w="3095" w:type="dxa"/>
          </w:tcPr>
          <w:p>
            <w:pPr>
              <w:pStyle w:val="228"/>
              <w:ind w:firstLine="422" w:firstLineChars="200"/>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优</w:t>
            </w:r>
          </w:p>
        </w:tc>
        <w:tc>
          <w:tcPr>
            <w:tcW w:w="2761" w:type="dxa"/>
          </w:tcPr>
          <w:p>
            <w:pPr>
              <w:pStyle w:val="228"/>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良 </w:t>
            </w:r>
          </w:p>
        </w:tc>
        <w:tc>
          <w:tcPr>
            <w:tcW w:w="3129" w:type="dxa"/>
          </w:tcPr>
          <w:p>
            <w:pPr>
              <w:pStyle w:val="228"/>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一般</w:t>
            </w:r>
          </w:p>
        </w:tc>
        <w:tc>
          <w:tcPr>
            <w:tcW w:w="2115" w:type="dxa"/>
          </w:tcPr>
          <w:p>
            <w:pPr>
              <w:pStyle w:val="228"/>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1063" w:type="dxa"/>
            <w:vMerge w:val="restart"/>
          </w:tcPr>
          <w:p>
            <w:pPr>
              <w:pStyle w:val="228"/>
              <w:jc w:val="lef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一、施工组织设计（30分）</w:t>
            </w:r>
          </w:p>
        </w:tc>
        <w:tc>
          <w:tcPr>
            <w:tcW w:w="1412" w:type="dxa"/>
            <w:gridSpan w:val="2"/>
          </w:tcPr>
          <w:p>
            <w:pPr>
              <w:pStyle w:val="228"/>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对工程重点、难点的分析及对策</w:t>
            </w:r>
          </w:p>
        </w:tc>
        <w:tc>
          <w:tcPr>
            <w:tcW w:w="820" w:type="dxa"/>
            <w:vAlign w:val="center"/>
          </w:tcPr>
          <w:p>
            <w:pPr>
              <w:pStyle w:val="228"/>
              <w:jc w:val="center"/>
              <w:rPr>
                <w:rFonts w:ascii="宋体" w:hAnsi="宋体" w:eastAsia="宋体" w:cs="宋体"/>
                <w:color w:val="auto"/>
                <w:sz w:val="21"/>
                <w:szCs w:val="21"/>
                <w:highlight w:val="none"/>
              </w:rPr>
            </w:pPr>
            <w:r>
              <w:rPr>
                <w:rFonts w:hint="eastAsia"/>
                <w:color w:val="auto"/>
                <w:highlight w:val="none"/>
                <w:shd w:val="clear" w:color="FFFFFF" w:fill="auto"/>
              </w:rPr>
              <w:t>3</w:t>
            </w:r>
          </w:p>
        </w:tc>
        <w:tc>
          <w:tcPr>
            <w:tcW w:w="3095" w:type="dxa"/>
          </w:tcPr>
          <w:p>
            <w:pPr>
              <w:rPr>
                <w:rFonts w:ascii="宋体" w:hAnsi="宋体" w:cs="宋体"/>
                <w:color w:val="auto"/>
                <w:kern w:val="0"/>
                <w:szCs w:val="21"/>
                <w:highlight w:val="none"/>
              </w:rPr>
            </w:pPr>
            <w:r>
              <w:rPr>
                <w:rFonts w:hint="eastAsia" w:ascii="宋体" w:hAnsi="宋体" w:cs="宋体"/>
                <w:color w:val="auto"/>
                <w:szCs w:val="21"/>
                <w:highlight w:val="none"/>
              </w:rPr>
              <w:t>依据工程特点制定专项施工方案，对本项目工程重点、难点分析透切，制定的相应对策针对性强，可行性高，得</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分。</w:t>
            </w:r>
          </w:p>
        </w:tc>
        <w:tc>
          <w:tcPr>
            <w:tcW w:w="2761" w:type="dxa"/>
          </w:tcPr>
          <w:p>
            <w:pPr>
              <w:rPr>
                <w:rFonts w:ascii="宋体" w:hAnsi="宋体" w:cs="宋体"/>
                <w:color w:val="auto"/>
                <w:kern w:val="0"/>
                <w:szCs w:val="21"/>
                <w:highlight w:val="none"/>
              </w:rPr>
            </w:pPr>
            <w:r>
              <w:rPr>
                <w:rFonts w:hint="eastAsia" w:ascii="宋体" w:hAnsi="宋体" w:cs="宋体"/>
                <w:color w:val="auto"/>
                <w:szCs w:val="21"/>
                <w:highlight w:val="none"/>
              </w:rPr>
              <w:t>依据工程特点制定专项施工方案，对本项目工程重点、难点分析</w:t>
            </w:r>
            <w:r>
              <w:rPr>
                <w:rFonts w:hint="eastAsia"/>
                <w:color w:val="auto"/>
                <w:highlight w:val="none"/>
              </w:rPr>
              <w:t>较</w:t>
            </w:r>
            <w:r>
              <w:rPr>
                <w:rFonts w:hint="eastAsia" w:ascii="宋体" w:hAnsi="宋体" w:cs="宋体"/>
                <w:color w:val="auto"/>
                <w:szCs w:val="21"/>
                <w:highlight w:val="none"/>
              </w:rPr>
              <w:t>透切，制定的相应对策针对性较强，可行性较高，得</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分。</w:t>
            </w:r>
          </w:p>
        </w:tc>
        <w:tc>
          <w:tcPr>
            <w:tcW w:w="3129" w:type="dxa"/>
          </w:tcPr>
          <w:p>
            <w:pPr>
              <w:rPr>
                <w:rFonts w:ascii="宋体" w:hAnsi="宋体" w:cs="宋体"/>
                <w:color w:val="auto"/>
                <w:kern w:val="0"/>
                <w:szCs w:val="21"/>
                <w:highlight w:val="none"/>
              </w:rPr>
            </w:pPr>
            <w:r>
              <w:rPr>
                <w:rFonts w:hint="eastAsia" w:ascii="宋体" w:hAnsi="宋体" w:cs="宋体"/>
                <w:color w:val="auto"/>
                <w:szCs w:val="21"/>
                <w:highlight w:val="none"/>
              </w:rPr>
              <w:t>依据工程特点制定专项施工方案，对本项目工程重点、难点分析一般，制定的相应对策针对性一般，基本可行，得</w:t>
            </w:r>
            <w:r>
              <w:rPr>
                <w:rFonts w:hint="eastAsia" w:ascii="宋体" w:hAnsi="宋体" w:cs="宋体"/>
                <w:color w:val="auto"/>
                <w:szCs w:val="21"/>
                <w:highlight w:val="none"/>
                <w:u w:val="single"/>
              </w:rPr>
              <w:t xml:space="preserve"> 1  </w:t>
            </w:r>
            <w:r>
              <w:rPr>
                <w:rFonts w:hint="eastAsia" w:ascii="宋体" w:hAnsi="宋体" w:cs="宋体"/>
                <w:color w:val="auto"/>
                <w:szCs w:val="21"/>
                <w:highlight w:val="none"/>
              </w:rPr>
              <w:t>分。</w:t>
            </w:r>
          </w:p>
        </w:tc>
        <w:tc>
          <w:tcPr>
            <w:tcW w:w="2115" w:type="dxa"/>
          </w:tcPr>
          <w:p>
            <w:pPr>
              <w:pStyle w:val="228"/>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不满足前述要求者，得0分。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1063" w:type="dxa"/>
            <w:vMerge w:val="continue"/>
          </w:tcPr>
          <w:p>
            <w:pPr>
              <w:pStyle w:val="228"/>
              <w:ind w:firstLine="420" w:firstLineChars="200"/>
              <w:rPr>
                <w:rFonts w:ascii="宋体" w:hAnsi="宋体" w:eastAsia="宋体" w:cs="宋体"/>
                <w:color w:val="auto"/>
                <w:sz w:val="21"/>
                <w:szCs w:val="21"/>
                <w:highlight w:val="none"/>
              </w:rPr>
            </w:pPr>
          </w:p>
        </w:tc>
        <w:tc>
          <w:tcPr>
            <w:tcW w:w="1412" w:type="dxa"/>
            <w:gridSpan w:val="2"/>
          </w:tcPr>
          <w:p>
            <w:pPr>
              <w:pStyle w:val="228"/>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施工组织方案与技术措施</w:t>
            </w:r>
          </w:p>
        </w:tc>
        <w:tc>
          <w:tcPr>
            <w:tcW w:w="820" w:type="dxa"/>
            <w:vAlign w:val="center"/>
          </w:tcPr>
          <w:p>
            <w:pPr>
              <w:pStyle w:val="228"/>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3095" w:type="dxa"/>
          </w:tcPr>
          <w:p>
            <w:pPr>
              <w:rPr>
                <w:rFonts w:ascii="宋体" w:hAnsi="宋体" w:cs="宋体"/>
                <w:color w:val="auto"/>
                <w:kern w:val="0"/>
                <w:szCs w:val="21"/>
                <w:highlight w:val="none"/>
              </w:rPr>
            </w:pPr>
            <w:r>
              <w:rPr>
                <w:rFonts w:hint="eastAsia" w:ascii="宋体" w:hAnsi="宋体" w:cs="宋体"/>
                <w:color w:val="auto"/>
                <w:kern w:val="0"/>
                <w:szCs w:val="21"/>
                <w:highlight w:val="none"/>
              </w:rPr>
              <w:t>施工组织方案及施工方法先进，工程重点难点、施工关键技术工艺把握及应用准确，技术措施可以充分保障工程质量、工期和施工安全生产，得</w:t>
            </w:r>
            <w:r>
              <w:rPr>
                <w:rFonts w:hint="eastAsia" w:ascii="宋体" w:hAnsi="宋体" w:cs="宋体"/>
                <w:color w:val="auto"/>
                <w:szCs w:val="21"/>
                <w:highlight w:val="none"/>
                <w:u w:val="single"/>
              </w:rPr>
              <w:t xml:space="preserve">  6 </w:t>
            </w:r>
            <w:r>
              <w:rPr>
                <w:rFonts w:hint="eastAsia" w:ascii="宋体" w:hAnsi="宋体" w:cs="宋体"/>
                <w:color w:val="auto"/>
                <w:kern w:val="0"/>
                <w:szCs w:val="21"/>
                <w:highlight w:val="none"/>
              </w:rPr>
              <w:t>分。</w:t>
            </w:r>
          </w:p>
        </w:tc>
        <w:tc>
          <w:tcPr>
            <w:tcW w:w="2761" w:type="dxa"/>
          </w:tcPr>
          <w:p>
            <w:pPr>
              <w:rPr>
                <w:rFonts w:ascii="宋体" w:hAnsi="宋体" w:cs="宋体"/>
                <w:color w:val="auto"/>
                <w:kern w:val="0"/>
                <w:szCs w:val="21"/>
                <w:highlight w:val="none"/>
              </w:rPr>
            </w:pPr>
            <w:r>
              <w:rPr>
                <w:rFonts w:hint="eastAsia" w:ascii="宋体" w:hAnsi="宋体" w:cs="宋体"/>
                <w:color w:val="auto"/>
                <w:kern w:val="0"/>
                <w:szCs w:val="21"/>
                <w:highlight w:val="none"/>
              </w:rPr>
              <w:t>施工组织方案及施工方法较好，工程重点难点、施工关键技术工艺把握及应用较好，技术措施较能保障工程质量、工期和施工安全生产，得</w:t>
            </w:r>
            <w:r>
              <w:rPr>
                <w:rFonts w:hint="eastAsia" w:ascii="宋体" w:hAnsi="宋体" w:cs="宋体"/>
                <w:color w:val="auto"/>
                <w:szCs w:val="21"/>
                <w:highlight w:val="none"/>
                <w:u w:val="single"/>
              </w:rPr>
              <w:t xml:space="preserve">  4  </w:t>
            </w:r>
            <w:r>
              <w:rPr>
                <w:rFonts w:hint="eastAsia" w:ascii="宋体" w:hAnsi="宋体" w:cs="宋体"/>
                <w:color w:val="auto"/>
                <w:kern w:val="0"/>
                <w:szCs w:val="21"/>
                <w:highlight w:val="none"/>
              </w:rPr>
              <w:t>分。</w:t>
            </w:r>
          </w:p>
        </w:tc>
        <w:tc>
          <w:tcPr>
            <w:tcW w:w="3129" w:type="dxa"/>
          </w:tcPr>
          <w:p>
            <w:pPr>
              <w:rPr>
                <w:color w:val="auto"/>
                <w:highlight w:val="none"/>
              </w:rPr>
            </w:pPr>
            <w:r>
              <w:rPr>
                <w:rFonts w:hint="eastAsia"/>
                <w:color w:val="auto"/>
                <w:highlight w:val="none"/>
              </w:rPr>
              <w:t>施工组织方案或施工方法一般，工程重点难点、施工关键技术工艺把握及应用基本可行，技术措施基本能保障工程质量、工期和施工安全生产，得 2 分。</w:t>
            </w:r>
          </w:p>
        </w:tc>
        <w:tc>
          <w:tcPr>
            <w:tcW w:w="2115" w:type="dxa"/>
          </w:tcPr>
          <w:p>
            <w:pPr>
              <w:pStyle w:val="228"/>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不满足前述要求者，得0分。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1063" w:type="dxa"/>
            <w:vMerge w:val="continue"/>
          </w:tcPr>
          <w:p>
            <w:pPr>
              <w:pStyle w:val="228"/>
              <w:ind w:firstLine="420" w:firstLineChars="200"/>
              <w:rPr>
                <w:rFonts w:ascii="宋体" w:hAnsi="宋体" w:eastAsia="宋体" w:cs="宋体"/>
                <w:color w:val="auto"/>
                <w:sz w:val="21"/>
                <w:szCs w:val="21"/>
                <w:highlight w:val="none"/>
              </w:rPr>
            </w:pPr>
          </w:p>
        </w:tc>
        <w:tc>
          <w:tcPr>
            <w:tcW w:w="1412" w:type="dxa"/>
            <w:gridSpan w:val="2"/>
          </w:tcPr>
          <w:p>
            <w:pPr>
              <w:pStyle w:val="228"/>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施工总进度计划</w:t>
            </w:r>
          </w:p>
        </w:tc>
        <w:tc>
          <w:tcPr>
            <w:tcW w:w="820" w:type="dxa"/>
            <w:vAlign w:val="center"/>
          </w:tcPr>
          <w:p>
            <w:pPr>
              <w:pStyle w:val="228"/>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3095" w:type="dxa"/>
          </w:tcPr>
          <w:p>
            <w:pPr>
              <w:pStyle w:val="228"/>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施工总进度计划逻辑性强、合理、可行，保证措施明确具体，得</w:t>
            </w:r>
            <w:r>
              <w:rPr>
                <w:rFonts w:hint="eastAsia" w:ascii="宋体" w:hAnsi="宋体" w:eastAsia="宋体" w:cs="宋体"/>
                <w:color w:val="auto"/>
                <w:kern w:val="2"/>
                <w:sz w:val="21"/>
                <w:szCs w:val="21"/>
                <w:highlight w:val="none"/>
                <w:u w:val="single"/>
              </w:rPr>
              <w:t xml:space="preserve">  3 </w:t>
            </w:r>
            <w:r>
              <w:rPr>
                <w:rFonts w:hint="eastAsia" w:ascii="宋体" w:hAnsi="宋体" w:eastAsia="宋体" w:cs="宋体"/>
                <w:color w:val="auto"/>
                <w:sz w:val="21"/>
                <w:szCs w:val="21"/>
                <w:highlight w:val="none"/>
              </w:rPr>
              <w:t>分。</w:t>
            </w:r>
          </w:p>
        </w:tc>
        <w:tc>
          <w:tcPr>
            <w:tcW w:w="2761" w:type="dxa"/>
          </w:tcPr>
          <w:p>
            <w:pPr>
              <w:pStyle w:val="228"/>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施工总进度计划逻辑性较强、较合理可行，有保证措施，得</w:t>
            </w:r>
            <w:r>
              <w:rPr>
                <w:rFonts w:hint="eastAsia" w:ascii="宋体" w:hAnsi="宋体" w:eastAsia="宋体" w:cs="宋体"/>
                <w:color w:val="auto"/>
                <w:kern w:val="2"/>
                <w:sz w:val="21"/>
                <w:szCs w:val="21"/>
                <w:highlight w:val="none"/>
                <w:u w:val="single"/>
              </w:rPr>
              <w:t xml:space="preserve"> 2 </w:t>
            </w:r>
            <w:r>
              <w:rPr>
                <w:rFonts w:hint="eastAsia" w:ascii="宋体" w:hAnsi="宋体" w:eastAsia="宋体" w:cs="宋体"/>
                <w:color w:val="auto"/>
                <w:sz w:val="21"/>
                <w:szCs w:val="21"/>
                <w:highlight w:val="none"/>
              </w:rPr>
              <w:t>分。</w:t>
            </w:r>
          </w:p>
        </w:tc>
        <w:tc>
          <w:tcPr>
            <w:tcW w:w="3129" w:type="dxa"/>
          </w:tcPr>
          <w:p>
            <w:pPr>
              <w:rPr>
                <w:rFonts w:ascii="宋体" w:hAnsi="宋体" w:cs="宋体"/>
                <w:color w:val="auto"/>
                <w:kern w:val="0"/>
                <w:szCs w:val="21"/>
                <w:highlight w:val="none"/>
              </w:rPr>
            </w:pPr>
            <w:r>
              <w:rPr>
                <w:rFonts w:hint="eastAsia" w:ascii="宋体" w:hAnsi="宋体" w:cs="宋体"/>
                <w:color w:val="auto"/>
                <w:kern w:val="0"/>
                <w:szCs w:val="21"/>
                <w:highlight w:val="none"/>
              </w:rPr>
              <w:t>施工总进度计划逻辑性一般、基本合理可行，得</w:t>
            </w:r>
            <w:r>
              <w:rPr>
                <w:rFonts w:hint="eastAsia" w:ascii="宋体" w:hAnsi="宋体" w:cs="宋体"/>
                <w:color w:val="auto"/>
                <w:szCs w:val="21"/>
                <w:highlight w:val="none"/>
                <w:u w:val="single"/>
              </w:rPr>
              <w:t xml:space="preserve"> 1 </w:t>
            </w:r>
            <w:r>
              <w:rPr>
                <w:rFonts w:hint="eastAsia" w:ascii="宋体" w:hAnsi="宋体" w:cs="宋体"/>
                <w:color w:val="auto"/>
                <w:kern w:val="0"/>
                <w:szCs w:val="21"/>
                <w:highlight w:val="none"/>
              </w:rPr>
              <w:t>分。</w:t>
            </w:r>
          </w:p>
        </w:tc>
        <w:tc>
          <w:tcPr>
            <w:tcW w:w="2115" w:type="dxa"/>
          </w:tcPr>
          <w:p>
            <w:pPr>
              <w:pStyle w:val="228"/>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不满足前述要求者，得0分。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1063" w:type="dxa"/>
            <w:vMerge w:val="continue"/>
          </w:tcPr>
          <w:p>
            <w:pPr>
              <w:pStyle w:val="228"/>
              <w:ind w:firstLine="420" w:firstLineChars="200"/>
              <w:rPr>
                <w:rFonts w:ascii="宋体" w:hAnsi="宋体" w:eastAsia="宋体" w:cs="宋体"/>
                <w:color w:val="auto"/>
                <w:sz w:val="21"/>
                <w:szCs w:val="21"/>
                <w:highlight w:val="none"/>
              </w:rPr>
            </w:pPr>
          </w:p>
        </w:tc>
        <w:tc>
          <w:tcPr>
            <w:tcW w:w="1412" w:type="dxa"/>
            <w:gridSpan w:val="2"/>
          </w:tcPr>
          <w:p>
            <w:pPr>
              <w:pStyle w:val="228"/>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资源供应计划</w:t>
            </w:r>
          </w:p>
        </w:tc>
        <w:tc>
          <w:tcPr>
            <w:tcW w:w="820" w:type="dxa"/>
            <w:vAlign w:val="center"/>
          </w:tcPr>
          <w:p>
            <w:pPr>
              <w:pStyle w:val="228"/>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3095" w:type="dxa"/>
          </w:tcPr>
          <w:p>
            <w:pPr>
              <w:rPr>
                <w:rFonts w:ascii="宋体" w:hAnsi="宋体" w:cs="宋体"/>
                <w:color w:val="auto"/>
                <w:szCs w:val="21"/>
                <w:highlight w:val="none"/>
              </w:rPr>
            </w:pPr>
            <w:r>
              <w:rPr>
                <w:rFonts w:hint="eastAsia" w:ascii="宋体" w:hAnsi="宋体" w:cs="宋体"/>
                <w:color w:val="auto"/>
                <w:szCs w:val="21"/>
                <w:highlight w:val="none"/>
              </w:rPr>
              <w:t>有劳动力需求计划及保障措施、机械设备需求计划及保障措施和材料需求计划及保障措施，措施合理、可行得</w:t>
            </w:r>
            <w:r>
              <w:rPr>
                <w:rFonts w:hint="eastAsia" w:ascii="宋体" w:hAnsi="宋体" w:cs="宋体"/>
                <w:color w:val="auto"/>
                <w:szCs w:val="21"/>
                <w:highlight w:val="none"/>
                <w:u w:val="single"/>
              </w:rPr>
              <w:t xml:space="preserve"> 3</w:t>
            </w:r>
            <w:r>
              <w:rPr>
                <w:rFonts w:hint="eastAsia" w:ascii="宋体" w:hAnsi="宋体" w:cs="宋体"/>
                <w:color w:val="auto"/>
                <w:szCs w:val="21"/>
                <w:highlight w:val="none"/>
              </w:rPr>
              <w:t>分。</w:t>
            </w:r>
          </w:p>
        </w:tc>
        <w:tc>
          <w:tcPr>
            <w:tcW w:w="2761" w:type="dxa"/>
          </w:tcPr>
          <w:p>
            <w:pPr>
              <w:rPr>
                <w:rFonts w:ascii="宋体" w:hAnsi="宋体" w:cs="宋体"/>
                <w:color w:val="auto"/>
                <w:szCs w:val="21"/>
                <w:highlight w:val="none"/>
              </w:rPr>
            </w:pPr>
            <w:r>
              <w:rPr>
                <w:rFonts w:hint="eastAsia" w:ascii="宋体" w:hAnsi="宋体" w:cs="宋体"/>
                <w:color w:val="auto"/>
                <w:szCs w:val="21"/>
                <w:highlight w:val="none"/>
              </w:rPr>
              <w:t>有劳动力需求计划及保障措施、机械设备需求计划及保障措施和材料需求计划及保障措施，措施较合理、可行得</w:t>
            </w:r>
            <w:r>
              <w:rPr>
                <w:rFonts w:hint="eastAsia" w:ascii="宋体" w:hAnsi="宋体" w:cs="宋体"/>
                <w:color w:val="auto"/>
                <w:szCs w:val="21"/>
                <w:highlight w:val="none"/>
                <w:u w:val="single"/>
              </w:rPr>
              <w:t xml:space="preserve"> 2</w:t>
            </w:r>
            <w:r>
              <w:rPr>
                <w:rFonts w:hint="eastAsia" w:ascii="宋体" w:hAnsi="宋体" w:cs="宋体"/>
                <w:color w:val="auto"/>
                <w:szCs w:val="21"/>
                <w:highlight w:val="none"/>
              </w:rPr>
              <w:t>分。</w:t>
            </w:r>
          </w:p>
        </w:tc>
        <w:tc>
          <w:tcPr>
            <w:tcW w:w="3129" w:type="dxa"/>
          </w:tcPr>
          <w:p>
            <w:pPr>
              <w:rPr>
                <w:rFonts w:ascii="宋体" w:hAnsi="宋体" w:cs="宋体"/>
                <w:color w:val="auto"/>
                <w:szCs w:val="21"/>
                <w:highlight w:val="none"/>
              </w:rPr>
            </w:pPr>
            <w:r>
              <w:rPr>
                <w:rFonts w:hint="eastAsia" w:ascii="宋体" w:hAnsi="宋体" w:cs="宋体"/>
                <w:color w:val="auto"/>
                <w:szCs w:val="21"/>
                <w:highlight w:val="none"/>
              </w:rPr>
              <w:t>有劳动力需求计划及保障措施、机械设备需求计划及保障措施和材料需求计划及保障措施，措施基本合理、可行得</w:t>
            </w:r>
            <w:r>
              <w:rPr>
                <w:rFonts w:hint="eastAsia" w:ascii="宋体" w:hAnsi="宋体" w:cs="宋体"/>
                <w:color w:val="auto"/>
                <w:szCs w:val="21"/>
                <w:highlight w:val="none"/>
                <w:u w:val="single"/>
              </w:rPr>
              <w:t xml:space="preserve"> 1</w:t>
            </w:r>
            <w:r>
              <w:rPr>
                <w:rFonts w:hint="eastAsia" w:ascii="宋体" w:hAnsi="宋体" w:cs="宋体"/>
                <w:color w:val="auto"/>
                <w:szCs w:val="21"/>
                <w:highlight w:val="none"/>
              </w:rPr>
              <w:t>分。</w:t>
            </w:r>
          </w:p>
        </w:tc>
        <w:tc>
          <w:tcPr>
            <w:tcW w:w="2115" w:type="dxa"/>
          </w:tcPr>
          <w:p>
            <w:pPr>
              <w:rPr>
                <w:rFonts w:ascii="宋体" w:hAnsi="宋体" w:cs="宋体"/>
                <w:color w:val="auto"/>
                <w:szCs w:val="21"/>
                <w:highlight w:val="none"/>
              </w:rPr>
            </w:pPr>
            <w:r>
              <w:rPr>
                <w:rFonts w:hint="eastAsia" w:ascii="宋体" w:hAnsi="宋体" w:cs="宋体"/>
                <w:color w:val="auto"/>
                <w:kern w:val="0"/>
                <w:szCs w:val="21"/>
                <w:highlight w:val="none"/>
              </w:rPr>
              <w:t>不满足前述要求者，得0分。</w:t>
            </w:r>
          </w:p>
          <w:p>
            <w:pPr>
              <w:pStyle w:val="228"/>
              <w:ind w:firstLine="420" w:firstLineChars="200"/>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1063" w:type="dxa"/>
            <w:vMerge w:val="continue"/>
          </w:tcPr>
          <w:p>
            <w:pPr>
              <w:ind w:left="218" w:leftChars="104"/>
              <w:rPr>
                <w:rFonts w:ascii="宋体" w:hAnsi="宋体" w:cs="宋体"/>
                <w:color w:val="auto"/>
                <w:szCs w:val="21"/>
                <w:highlight w:val="none"/>
              </w:rPr>
            </w:pPr>
          </w:p>
        </w:tc>
        <w:tc>
          <w:tcPr>
            <w:tcW w:w="1412" w:type="dxa"/>
            <w:gridSpan w:val="2"/>
          </w:tcPr>
          <w:p>
            <w:pPr>
              <w:pStyle w:val="228"/>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施工质量目标</w:t>
            </w:r>
          </w:p>
        </w:tc>
        <w:tc>
          <w:tcPr>
            <w:tcW w:w="820" w:type="dxa"/>
            <w:vAlign w:val="center"/>
          </w:tcPr>
          <w:p>
            <w:pPr>
              <w:pStyle w:val="228"/>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3095" w:type="dxa"/>
          </w:tcPr>
          <w:p>
            <w:pPr>
              <w:pStyle w:val="228"/>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有质量目标保证措施且质量目标符合招标文件要求，质量保证体系及质量事故应急预案</w:t>
            </w:r>
            <w:r>
              <w:rPr>
                <w:rFonts w:hint="eastAsia" w:ascii="宋体" w:hAnsi="宋体" w:eastAsia="宋体" w:cs="宋体"/>
                <w:color w:val="auto"/>
                <w:kern w:val="2"/>
                <w:sz w:val="21"/>
                <w:szCs w:val="21"/>
                <w:highlight w:val="none"/>
              </w:rPr>
              <w:t>合理、可行，得</w:t>
            </w:r>
            <w:r>
              <w:rPr>
                <w:rFonts w:hint="eastAsia" w:ascii="宋体" w:hAnsi="宋体" w:eastAsia="宋体" w:cs="宋体"/>
                <w:color w:val="auto"/>
                <w:kern w:val="2"/>
                <w:sz w:val="21"/>
                <w:szCs w:val="21"/>
                <w:highlight w:val="none"/>
                <w:u w:val="single"/>
              </w:rPr>
              <w:t xml:space="preserve"> 5</w:t>
            </w:r>
            <w:r>
              <w:rPr>
                <w:rFonts w:hint="eastAsia" w:ascii="宋体" w:hAnsi="宋体" w:eastAsia="宋体" w:cs="宋体"/>
                <w:color w:val="auto"/>
                <w:kern w:val="2"/>
                <w:sz w:val="21"/>
                <w:szCs w:val="21"/>
                <w:highlight w:val="none"/>
              </w:rPr>
              <w:t>分。</w:t>
            </w:r>
          </w:p>
        </w:tc>
        <w:tc>
          <w:tcPr>
            <w:tcW w:w="2761" w:type="dxa"/>
          </w:tcPr>
          <w:p>
            <w:pPr>
              <w:pStyle w:val="228"/>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有质量目标保证措施且质量目标符合招标文件要求，质量保证体系及质量事故应急预案较</w:t>
            </w:r>
            <w:r>
              <w:rPr>
                <w:rFonts w:hint="eastAsia" w:ascii="宋体" w:hAnsi="宋体" w:eastAsia="宋体" w:cs="宋体"/>
                <w:color w:val="auto"/>
                <w:kern w:val="2"/>
                <w:sz w:val="21"/>
                <w:szCs w:val="21"/>
                <w:highlight w:val="none"/>
              </w:rPr>
              <w:t>合理可行，得</w:t>
            </w:r>
            <w:r>
              <w:rPr>
                <w:rFonts w:hint="eastAsia" w:ascii="宋体" w:hAnsi="宋体" w:eastAsia="宋体" w:cs="宋体"/>
                <w:color w:val="auto"/>
                <w:kern w:val="2"/>
                <w:sz w:val="21"/>
                <w:szCs w:val="21"/>
                <w:highlight w:val="none"/>
                <w:u w:val="single"/>
              </w:rPr>
              <w:t xml:space="preserve"> 3</w:t>
            </w:r>
            <w:r>
              <w:rPr>
                <w:rFonts w:hint="eastAsia" w:ascii="宋体" w:hAnsi="宋体" w:eastAsia="宋体" w:cs="宋体"/>
                <w:color w:val="auto"/>
                <w:kern w:val="2"/>
                <w:sz w:val="21"/>
                <w:szCs w:val="21"/>
                <w:highlight w:val="none"/>
              </w:rPr>
              <w:t>分。</w:t>
            </w:r>
          </w:p>
        </w:tc>
        <w:tc>
          <w:tcPr>
            <w:tcW w:w="3129" w:type="dxa"/>
          </w:tcPr>
          <w:p>
            <w:pPr>
              <w:pStyle w:val="228"/>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有质量目标保证措施且质量目标符合招标文件要求，质量保证体系及质量事故应急预案基本</w:t>
            </w:r>
            <w:r>
              <w:rPr>
                <w:rFonts w:hint="eastAsia" w:ascii="宋体" w:hAnsi="宋体" w:eastAsia="宋体" w:cs="宋体"/>
                <w:color w:val="auto"/>
                <w:kern w:val="2"/>
                <w:sz w:val="21"/>
                <w:szCs w:val="21"/>
                <w:highlight w:val="none"/>
              </w:rPr>
              <w:t>合理可行，得</w:t>
            </w:r>
            <w:r>
              <w:rPr>
                <w:rFonts w:hint="eastAsia" w:ascii="宋体" w:hAnsi="宋体" w:eastAsia="宋体" w:cs="宋体"/>
                <w:color w:val="auto"/>
                <w:kern w:val="2"/>
                <w:sz w:val="21"/>
                <w:szCs w:val="21"/>
                <w:highlight w:val="none"/>
                <w:u w:val="single"/>
              </w:rPr>
              <w:t>1</w:t>
            </w:r>
            <w:r>
              <w:rPr>
                <w:rFonts w:hint="eastAsia" w:ascii="宋体" w:hAnsi="宋体" w:eastAsia="宋体" w:cs="宋体"/>
                <w:color w:val="auto"/>
                <w:kern w:val="2"/>
                <w:sz w:val="21"/>
                <w:szCs w:val="21"/>
                <w:highlight w:val="none"/>
              </w:rPr>
              <w:t>分。</w:t>
            </w:r>
          </w:p>
        </w:tc>
        <w:tc>
          <w:tcPr>
            <w:tcW w:w="2115" w:type="dxa"/>
          </w:tcPr>
          <w:p>
            <w:pPr>
              <w:pStyle w:val="228"/>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不满足前述要求者，得0分。</w:t>
            </w:r>
          </w:p>
          <w:p>
            <w:pPr>
              <w:pStyle w:val="228"/>
              <w:ind w:firstLine="420" w:firstLineChars="200"/>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1063" w:type="dxa"/>
            <w:vMerge w:val="continue"/>
          </w:tcPr>
          <w:p>
            <w:pPr>
              <w:pStyle w:val="228"/>
              <w:ind w:firstLine="420" w:firstLineChars="200"/>
              <w:rPr>
                <w:rFonts w:ascii="宋体" w:hAnsi="宋体" w:eastAsia="宋体" w:cs="宋体"/>
                <w:color w:val="auto"/>
                <w:sz w:val="21"/>
                <w:szCs w:val="21"/>
                <w:highlight w:val="none"/>
              </w:rPr>
            </w:pPr>
          </w:p>
        </w:tc>
        <w:tc>
          <w:tcPr>
            <w:tcW w:w="1412" w:type="dxa"/>
            <w:gridSpan w:val="2"/>
          </w:tcPr>
          <w:p>
            <w:pPr>
              <w:pStyle w:val="228"/>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安全文明施工措施</w:t>
            </w:r>
          </w:p>
        </w:tc>
        <w:tc>
          <w:tcPr>
            <w:tcW w:w="820" w:type="dxa"/>
            <w:vAlign w:val="center"/>
          </w:tcPr>
          <w:p>
            <w:pPr>
              <w:pStyle w:val="228"/>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3095" w:type="dxa"/>
          </w:tcPr>
          <w:p>
            <w:pPr>
              <w:pStyle w:val="228"/>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有安全文明施工目标、安全文明保障体系及安全文明施工保证措施，措施合理、 可行得</w:t>
            </w:r>
            <w:r>
              <w:rPr>
                <w:rFonts w:hint="eastAsia" w:ascii="宋体" w:hAnsi="宋体" w:eastAsia="宋体" w:cs="宋体"/>
                <w:color w:val="auto"/>
                <w:sz w:val="21"/>
                <w:szCs w:val="21"/>
                <w:highlight w:val="none"/>
                <w:u w:val="single"/>
              </w:rPr>
              <w:t xml:space="preserve"> 5分。</w:t>
            </w:r>
          </w:p>
          <w:p>
            <w:pPr>
              <w:pStyle w:val="228"/>
              <w:rPr>
                <w:rFonts w:ascii="宋体" w:hAnsi="宋体" w:eastAsia="宋体" w:cs="宋体"/>
                <w:color w:val="auto"/>
                <w:sz w:val="21"/>
                <w:szCs w:val="21"/>
                <w:highlight w:val="none"/>
              </w:rPr>
            </w:pPr>
          </w:p>
        </w:tc>
        <w:tc>
          <w:tcPr>
            <w:tcW w:w="2761" w:type="dxa"/>
          </w:tcPr>
          <w:p>
            <w:pPr>
              <w:pStyle w:val="228"/>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有安全文明施工目标、安全文明保障体系及安全文明施工保证措施，措施较合理、 可行得</w:t>
            </w:r>
            <w:r>
              <w:rPr>
                <w:rFonts w:hint="eastAsia" w:ascii="宋体" w:hAnsi="宋体" w:eastAsia="宋体" w:cs="宋体"/>
                <w:color w:val="auto"/>
                <w:sz w:val="21"/>
                <w:szCs w:val="21"/>
                <w:highlight w:val="none"/>
                <w:u w:val="single"/>
              </w:rPr>
              <w:t>3分。</w:t>
            </w:r>
          </w:p>
        </w:tc>
        <w:tc>
          <w:tcPr>
            <w:tcW w:w="3129" w:type="dxa"/>
          </w:tcPr>
          <w:p>
            <w:pPr>
              <w:pStyle w:val="228"/>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有安全文明施工目标、安全文明保障体系及安全文明施工保证措施，措施基本合理、可行得</w:t>
            </w:r>
            <w:r>
              <w:rPr>
                <w:rFonts w:hint="eastAsia" w:ascii="宋体" w:hAnsi="宋体" w:eastAsia="宋体" w:cs="宋体"/>
                <w:color w:val="auto"/>
                <w:sz w:val="21"/>
                <w:szCs w:val="21"/>
                <w:highlight w:val="none"/>
                <w:u w:val="single"/>
              </w:rPr>
              <w:t xml:space="preserve"> 1分。</w:t>
            </w:r>
          </w:p>
        </w:tc>
        <w:tc>
          <w:tcPr>
            <w:tcW w:w="2115" w:type="dxa"/>
          </w:tcPr>
          <w:p>
            <w:pPr>
              <w:pStyle w:val="228"/>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不满足前述要求者，得0分。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1063" w:type="dxa"/>
            <w:vMerge w:val="continue"/>
          </w:tcPr>
          <w:p>
            <w:pPr>
              <w:pStyle w:val="228"/>
              <w:ind w:firstLine="420" w:firstLineChars="200"/>
              <w:rPr>
                <w:rFonts w:ascii="宋体" w:hAnsi="宋体" w:eastAsia="宋体" w:cs="宋体"/>
                <w:color w:val="auto"/>
                <w:sz w:val="21"/>
                <w:szCs w:val="21"/>
                <w:highlight w:val="none"/>
              </w:rPr>
            </w:pPr>
          </w:p>
        </w:tc>
        <w:tc>
          <w:tcPr>
            <w:tcW w:w="1412" w:type="dxa"/>
            <w:gridSpan w:val="2"/>
          </w:tcPr>
          <w:p>
            <w:pPr>
              <w:pStyle w:val="228"/>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绿色施工措施</w:t>
            </w:r>
          </w:p>
        </w:tc>
        <w:tc>
          <w:tcPr>
            <w:tcW w:w="820" w:type="dxa"/>
            <w:vAlign w:val="center"/>
          </w:tcPr>
          <w:p>
            <w:pPr>
              <w:pStyle w:val="228"/>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3095" w:type="dxa"/>
          </w:tcPr>
          <w:p>
            <w:pPr>
              <w:rPr>
                <w:color w:val="auto"/>
                <w:highlight w:val="none"/>
              </w:rPr>
            </w:pPr>
            <w:r>
              <w:rPr>
                <w:rFonts w:hint="eastAsia"/>
                <w:color w:val="auto"/>
                <w:highlight w:val="none"/>
              </w:rPr>
              <w:t>承诺在本项目投入使用燃料电池汽车等新能源车的数量占本项目投入建筑垃圾自卸车（渣土车）总数比例占总数比例50%或以上得</w:t>
            </w:r>
            <w:r>
              <w:rPr>
                <w:rFonts w:hint="eastAsia"/>
                <w:color w:val="auto"/>
                <w:highlight w:val="none"/>
                <w:u w:val="single"/>
              </w:rPr>
              <w:t xml:space="preserve">5 </w:t>
            </w:r>
            <w:r>
              <w:rPr>
                <w:rFonts w:hint="eastAsia"/>
                <w:color w:val="auto"/>
                <w:highlight w:val="none"/>
              </w:rPr>
              <w:t>分。（以《拟投入本工程施工的主要机械设备配备表》为准）</w:t>
            </w:r>
          </w:p>
        </w:tc>
        <w:tc>
          <w:tcPr>
            <w:tcW w:w="2761" w:type="dxa"/>
          </w:tcPr>
          <w:p>
            <w:pPr>
              <w:rPr>
                <w:color w:val="auto"/>
                <w:highlight w:val="none"/>
              </w:rPr>
            </w:pPr>
            <w:r>
              <w:rPr>
                <w:rFonts w:hint="eastAsia"/>
                <w:color w:val="auto"/>
                <w:highlight w:val="none"/>
              </w:rPr>
              <w:t>承诺在本项目投入使用燃料电池汽车等新能源车的数量占本项目投入建筑垃圾自卸车（渣土车）总数比例[45%，50%）得</w:t>
            </w:r>
            <w:r>
              <w:rPr>
                <w:rFonts w:hint="eastAsia"/>
                <w:color w:val="auto"/>
                <w:highlight w:val="none"/>
                <w:u w:val="single"/>
              </w:rPr>
              <w:t xml:space="preserve"> 3</w:t>
            </w:r>
            <w:r>
              <w:rPr>
                <w:rFonts w:hint="eastAsia"/>
                <w:color w:val="auto"/>
                <w:highlight w:val="none"/>
              </w:rPr>
              <w:t>分。（以《拟投入本工程施工的主要机械设备配备表》为准）</w:t>
            </w:r>
          </w:p>
        </w:tc>
        <w:tc>
          <w:tcPr>
            <w:tcW w:w="3129" w:type="dxa"/>
          </w:tcPr>
          <w:p>
            <w:pPr>
              <w:rPr>
                <w:color w:val="auto"/>
                <w:highlight w:val="none"/>
              </w:rPr>
            </w:pPr>
            <w:r>
              <w:rPr>
                <w:rFonts w:hint="eastAsia"/>
                <w:color w:val="auto"/>
                <w:highlight w:val="none"/>
              </w:rPr>
              <w:t>承诺在本项目投入使用燃料电池汽车等新能源车的数量占本项目投入建筑垃圾自卸车（渣土车）总数比例[40%，45%）得</w:t>
            </w:r>
            <w:r>
              <w:rPr>
                <w:rFonts w:hint="eastAsia"/>
                <w:color w:val="auto"/>
                <w:highlight w:val="none"/>
                <w:u w:val="single"/>
              </w:rPr>
              <w:t xml:space="preserve"> 1</w:t>
            </w:r>
            <w:r>
              <w:rPr>
                <w:rFonts w:hint="eastAsia"/>
                <w:color w:val="auto"/>
                <w:highlight w:val="none"/>
              </w:rPr>
              <w:t>分。（以《拟投入本工程施工的主要机械设备配备表》为准）</w:t>
            </w:r>
          </w:p>
        </w:tc>
        <w:tc>
          <w:tcPr>
            <w:tcW w:w="2115" w:type="dxa"/>
          </w:tcPr>
          <w:p>
            <w:pPr>
              <w:rPr>
                <w:color w:val="auto"/>
                <w:highlight w:val="none"/>
              </w:rPr>
            </w:pPr>
            <w:r>
              <w:rPr>
                <w:rFonts w:hint="eastAsia"/>
                <w:color w:val="auto"/>
                <w:highlight w:val="none"/>
              </w:rPr>
              <w:t>承诺在本项目投入使用燃料电池汽车等新能源车的数量占本项目投入建筑垃圾自卸车（渣土车）总数比例40%以下，或未承诺在本项目投入使用燃料电池汽车等新能源车的不得分。（以《拟投入本工程施工的主要机械设备配备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1063" w:type="dxa"/>
            <w:vMerge w:val="restart"/>
          </w:tcPr>
          <w:p>
            <w:pPr>
              <w:spacing w:line="280" w:lineRule="exact"/>
              <w:jc w:val="left"/>
              <w:rPr>
                <w:rFonts w:ascii="宋体" w:hAnsi="宋体" w:cs="宋体"/>
                <w:color w:val="auto"/>
                <w:szCs w:val="21"/>
                <w:highlight w:val="none"/>
              </w:rPr>
            </w:pPr>
            <w:r>
              <w:rPr>
                <w:rFonts w:hint="eastAsia" w:ascii="宋体" w:hAnsi="宋体" w:cs="宋体"/>
                <w:color w:val="auto"/>
                <w:szCs w:val="21"/>
                <w:highlight w:val="none"/>
              </w:rPr>
              <w:t>二、项目组织管理机构能力（40分）</w:t>
            </w:r>
          </w:p>
        </w:tc>
        <w:tc>
          <w:tcPr>
            <w:tcW w:w="567" w:type="dxa"/>
            <w:vMerge w:val="restart"/>
          </w:tcPr>
          <w:p>
            <w:pPr>
              <w:widowControl/>
              <w:spacing w:line="280" w:lineRule="exact"/>
              <w:jc w:val="left"/>
              <w:rPr>
                <w:rFonts w:ascii="宋体" w:hAnsi="宋体" w:cs="宋体"/>
                <w:color w:val="auto"/>
                <w:szCs w:val="21"/>
                <w:highlight w:val="none"/>
              </w:rPr>
            </w:pPr>
            <w:r>
              <w:rPr>
                <w:rFonts w:hint="eastAsia" w:ascii="宋体" w:hAnsi="宋体" w:cs="宋体"/>
                <w:color w:val="auto"/>
                <w:kern w:val="0"/>
                <w:szCs w:val="21"/>
                <w:highlight w:val="none"/>
              </w:rPr>
              <w:t>项目管理机构</w:t>
            </w:r>
          </w:p>
        </w:tc>
        <w:tc>
          <w:tcPr>
            <w:tcW w:w="845" w:type="dxa"/>
          </w:tcPr>
          <w:p>
            <w:pPr>
              <w:widowControl/>
              <w:spacing w:line="280" w:lineRule="exact"/>
              <w:jc w:val="left"/>
              <w:rPr>
                <w:rFonts w:ascii="宋体" w:hAnsi="宋体" w:cs="宋体"/>
                <w:color w:val="auto"/>
                <w:szCs w:val="21"/>
                <w:highlight w:val="none"/>
              </w:rPr>
            </w:pPr>
            <w:r>
              <w:rPr>
                <w:rFonts w:hint="eastAsia" w:ascii="宋体" w:hAnsi="宋体" w:cs="宋体"/>
                <w:color w:val="auto"/>
                <w:kern w:val="0"/>
                <w:szCs w:val="21"/>
                <w:highlight w:val="none"/>
              </w:rPr>
              <w:t>项目</w:t>
            </w:r>
            <w:r>
              <w:rPr>
                <w:rFonts w:hint="eastAsia" w:ascii="宋体" w:hAnsi="宋体" w:cs="宋体"/>
                <w:color w:val="auto"/>
                <w:szCs w:val="21"/>
                <w:highlight w:val="none"/>
              </w:rPr>
              <w:t>负责人</w:t>
            </w:r>
          </w:p>
        </w:tc>
        <w:tc>
          <w:tcPr>
            <w:tcW w:w="820" w:type="dxa"/>
            <w:vAlign w:val="center"/>
          </w:tcPr>
          <w:p>
            <w:pPr>
              <w:widowControl/>
              <w:spacing w:line="280" w:lineRule="exact"/>
              <w:jc w:val="center"/>
              <w:rPr>
                <w:rFonts w:ascii="宋体" w:hAnsi="宋体" w:cs="宋体"/>
                <w:color w:val="auto"/>
                <w:szCs w:val="21"/>
                <w:highlight w:val="none"/>
              </w:rPr>
            </w:pPr>
            <w:r>
              <w:rPr>
                <w:rFonts w:hint="eastAsia" w:ascii="宋体" w:hAnsi="宋体" w:cs="宋体"/>
                <w:color w:val="auto"/>
                <w:szCs w:val="21"/>
                <w:highlight w:val="none"/>
              </w:rPr>
              <w:t>9</w:t>
            </w:r>
          </w:p>
        </w:tc>
        <w:tc>
          <w:tcPr>
            <w:tcW w:w="11100" w:type="dxa"/>
            <w:gridSpan w:val="4"/>
          </w:tcPr>
          <w:p>
            <w:pPr>
              <w:adjustRightInd w:val="0"/>
              <w:snapToGrid w:val="0"/>
              <w:spacing w:before="78" w:beforeLines="25" w:line="2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①从业能力：具有【建筑】类专业副高级或以上技术职称，得</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分；具有【建筑】类专业中级技术职称，得</w:t>
            </w:r>
            <w:r>
              <w:rPr>
                <w:rFonts w:hint="eastAsia" w:ascii="宋体" w:hAnsi="宋体" w:cs="宋体"/>
                <w:color w:val="auto"/>
                <w:szCs w:val="21"/>
                <w:highlight w:val="none"/>
                <w:u w:val="single"/>
              </w:rPr>
              <w:t xml:space="preserve"> 1  </w:t>
            </w:r>
            <w:r>
              <w:rPr>
                <w:rFonts w:hint="eastAsia" w:ascii="宋体" w:hAnsi="宋体" w:cs="宋体"/>
                <w:color w:val="auto"/>
                <w:szCs w:val="21"/>
                <w:highlight w:val="none"/>
              </w:rPr>
              <w:t>分；本项最多得</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分。</w:t>
            </w:r>
          </w:p>
          <w:p>
            <w:pPr>
              <w:adjustRightInd w:val="0"/>
              <w:snapToGrid w:val="0"/>
              <w:spacing w:before="78" w:beforeLines="25" w:line="240" w:lineRule="exact"/>
              <w:rPr>
                <w:rFonts w:ascii="宋体" w:hAnsi="宋体" w:cs="宋体"/>
                <w:color w:val="auto"/>
                <w:szCs w:val="21"/>
                <w:highlight w:val="none"/>
              </w:rPr>
            </w:pPr>
            <w:r>
              <w:rPr>
                <w:rFonts w:hint="eastAsia" w:ascii="宋体" w:hAnsi="宋体" w:cs="宋体"/>
                <w:color w:val="auto"/>
                <w:szCs w:val="21"/>
                <w:highlight w:val="none"/>
              </w:rPr>
              <w:t xml:space="preserve">    ②业绩：项目负责人自</w:t>
            </w:r>
            <w:r>
              <w:rPr>
                <w:rFonts w:hint="eastAsia" w:ascii="宋体" w:hAnsi="宋体" w:cs="宋体"/>
                <w:color w:val="auto"/>
                <w:szCs w:val="21"/>
                <w:highlight w:val="none"/>
                <w:u w:val="single"/>
              </w:rPr>
              <w:t xml:space="preserve">  2019  </w:t>
            </w:r>
            <w:r>
              <w:rPr>
                <w:rFonts w:hint="eastAsia" w:ascii="宋体" w:hAnsi="宋体" w:cs="宋体"/>
                <w:color w:val="auto"/>
                <w:szCs w:val="21"/>
                <w:highlight w:val="none"/>
              </w:rPr>
              <w:t>年</w:t>
            </w:r>
            <w:r>
              <w:rPr>
                <w:rFonts w:hint="eastAsia" w:ascii="宋体" w:hAnsi="宋体" w:cs="宋体"/>
                <w:color w:val="auto"/>
                <w:szCs w:val="21"/>
                <w:highlight w:val="none"/>
                <w:u w:val="single"/>
              </w:rPr>
              <w:t>1</w:t>
            </w:r>
            <w:r>
              <w:rPr>
                <w:rFonts w:hint="eastAsia" w:ascii="宋体" w:hAnsi="宋体" w:cs="宋体"/>
                <w:color w:val="auto"/>
                <w:szCs w:val="21"/>
                <w:highlight w:val="none"/>
              </w:rPr>
              <w:t>月</w:t>
            </w:r>
            <w:r>
              <w:rPr>
                <w:rFonts w:hint="eastAsia" w:ascii="宋体" w:hAnsi="宋体" w:cs="宋体"/>
                <w:color w:val="auto"/>
                <w:szCs w:val="21"/>
                <w:highlight w:val="none"/>
                <w:u w:val="single"/>
              </w:rPr>
              <w:t>1</w:t>
            </w:r>
            <w:r>
              <w:rPr>
                <w:rFonts w:hint="eastAsia" w:ascii="宋体" w:hAnsi="宋体" w:cs="宋体"/>
                <w:color w:val="auto"/>
                <w:szCs w:val="21"/>
                <w:highlight w:val="none"/>
              </w:rPr>
              <w:t>日至今完成过质量合格的且工程造价金额大于或等于</w:t>
            </w:r>
            <w:r>
              <w:rPr>
                <w:rFonts w:hint="eastAsia" w:ascii="宋体" w:hAnsi="宋体" w:cs="宋体"/>
                <w:color w:val="auto"/>
                <w:szCs w:val="21"/>
                <w:highlight w:val="none"/>
                <w:u w:val="single"/>
              </w:rPr>
              <w:t xml:space="preserve">18000 </w:t>
            </w:r>
            <w:r>
              <w:rPr>
                <w:rFonts w:hint="eastAsia" w:ascii="宋体" w:hAnsi="宋体" w:cs="宋体"/>
                <w:color w:val="auto"/>
                <w:szCs w:val="21"/>
                <w:highlight w:val="none"/>
              </w:rPr>
              <w:t>万元</w:t>
            </w:r>
            <w:r>
              <w:rPr>
                <w:rFonts w:hint="eastAsia" w:ascii="宋体" w:hAnsi="宋体" w:cs="宋体"/>
                <w:color w:val="auto"/>
                <w:szCs w:val="24"/>
                <w:highlight w:val="none"/>
              </w:rPr>
              <w:t>的</w:t>
            </w:r>
            <w:r>
              <w:rPr>
                <w:rFonts w:hint="eastAsia" w:ascii="宋体" w:hAnsi="宋体" w:cs="宋体"/>
                <w:color w:val="auto"/>
                <w:szCs w:val="21"/>
                <w:highlight w:val="none"/>
              </w:rPr>
              <w:t>【建筑】工程</w:t>
            </w:r>
            <w:r>
              <w:rPr>
                <w:rFonts w:hint="eastAsia" w:ascii="宋体" w:hAnsi="宋体" w:cs="宋体"/>
                <w:color w:val="auto"/>
                <w:szCs w:val="21"/>
                <w:highlight w:val="none"/>
                <w:u w:val="single"/>
              </w:rPr>
              <w:t>施工总承包或工程总承包施工部分业绩</w:t>
            </w:r>
            <w:r>
              <w:rPr>
                <w:rFonts w:hint="eastAsia" w:ascii="宋体" w:hAnsi="宋体" w:cs="宋体"/>
                <w:color w:val="auto"/>
                <w:szCs w:val="21"/>
                <w:highlight w:val="none"/>
              </w:rPr>
              <w:t>，得</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分；本项最多得</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分。</w:t>
            </w:r>
          </w:p>
          <w:p>
            <w:pPr>
              <w:adjustRightInd w:val="0"/>
              <w:snapToGrid w:val="0"/>
              <w:spacing w:before="78" w:beforeLines="25" w:line="2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③经历：具有10年或以上（含10年）施工管理工作经验，得</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分；具有5年（含5年）至10年（不含10年）施工管理工作经验，得</w:t>
            </w:r>
            <w:r>
              <w:rPr>
                <w:rFonts w:hint="eastAsia" w:ascii="宋体" w:hAnsi="宋体" w:cs="宋体"/>
                <w:color w:val="auto"/>
                <w:szCs w:val="21"/>
                <w:highlight w:val="none"/>
                <w:u w:val="single"/>
              </w:rPr>
              <w:t xml:space="preserve"> 1 </w:t>
            </w:r>
            <w:r>
              <w:rPr>
                <w:rFonts w:hint="eastAsia" w:ascii="宋体" w:hAnsi="宋体" w:cs="宋体"/>
                <w:color w:val="auto"/>
                <w:szCs w:val="21"/>
                <w:highlight w:val="none"/>
              </w:rPr>
              <w:t>分；本项最多得</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1063" w:type="dxa"/>
            <w:vMerge w:val="continue"/>
          </w:tcPr>
          <w:p>
            <w:pPr>
              <w:spacing w:line="280" w:lineRule="exact"/>
              <w:jc w:val="center"/>
              <w:rPr>
                <w:rFonts w:ascii="宋体" w:hAnsi="宋体" w:cs="宋体"/>
                <w:color w:val="auto"/>
                <w:szCs w:val="21"/>
                <w:highlight w:val="none"/>
              </w:rPr>
            </w:pPr>
          </w:p>
        </w:tc>
        <w:tc>
          <w:tcPr>
            <w:tcW w:w="567" w:type="dxa"/>
            <w:vMerge w:val="continue"/>
          </w:tcPr>
          <w:p>
            <w:pPr>
              <w:widowControl/>
              <w:spacing w:line="280" w:lineRule="exact"/>
              <w:jc w:val="left"/>
              <w:rPr>
                <w:rFonts w:ascii="宋体" w:hAnsi="宋体" w:cs="宋体"/>
                <w:color w:val="auto"/>
                <w:szCs w:val="21"/>
                <w:highlight w:val="none"/>
              </w:rPr>
            </w:pPr>
          </w:p>
        </w:tc>
        <w:tc>
          <w:tcPr>
            <w:tcW w:w="845" w:type="dxa"/>
          </w:tcPr>
          <w:p>
            <w:pPr>
              <w:widowControl/>
              <w:spacing w:line="280" w:lineRule="exact"/>
              <w:jc w:val="left"/>
              <w:rPr>
                <w:rFonts w:ascii="宋体" w:hAnsi="宋体" w:cs="宋体"/>
                <w:color w:val="auto"/>
                <w:szCs w:val="21"/>
                <w:highlight w:val="none"/>
              </w:rPr>
            </w:pPr>
            <w:r>
              <w:rPr>
                <w:rFonts w:hint="eastAsia" w:ascii="宋体" w:hAnsi="宋体" w:cs="宋体"/>
                <w:color w:val="auto"/>
                <w:szCs w:val="21"/>
                <w:highlight w:val="none"/>
              </w:rPr>
              <w:t>技术负责人</w:t>
            </w:r>
          </w:p>
        </w:tc>
        <w:tc>
          <w:tcPr>
            <w:tcW w:w="820" w:type="dxa"/>
            <w:vAlign w:val="center"/>
          </w:tcPr>
          <w:p>
            <w:pPr>
              <w:widowControl/>
              <w:spacing w:line="280" w:lineRule="exact"/>
              <w:jc w:val="center"/>
              <w:rPr>
                <w:rFonts w:ascii="宋体" w:hAnsi="宋体" w:cs="宋体"/>
                <w:color w:val="auto"/>
                <w:szCs w:val="21"/>
                <w:highlight w:val="none"/>
              </w:rPr>
            </w:pPr>
            <w:r>
              <w:rPr>
                <w:rFonts w:hint="eastAsia" w:ascii="宋体" w:hAnsi="宋体" w:cs="宋体"/>
                <w:color w:val="auto"/>
                <w:szCs w:val="21"/>
                <w:highlight w:val="none"/>
              </w:rPr>
              <w:t>5</w:t>
            </w:r>
          </w:p>
        </w:tc>
        <w:tc>
          <w:tcPr>
            <w:tcW w:w="11100" w:type="dxa"/>
            <w:gridSpan w:val="4"/>
          </w:tcPr>
          <w:p>
            <w:pPr>
              <w:adjustRightInd w:val="0"/>
              <w:snapToGrid w:val="0"/>
              <w:spacing w:before="78" w:beforeLines="25" w:line="240" w:lineRule="exact"/>
              <w:ind w:left="420"/>
              <w:rPr>
                <w:rFonts w:ascii="宋体" w:hAnsi="宋体" w:cs="宋体"/>
                <w:color w:val="auto"/>
                <w:szCs w:val="21"/>
                <w:highlight w:val="none"/>
              </w:rPr>
            </w:pPr>
            <w:r>
              <w:rPr>
                <w:rFonts w:hint="eastAsia" w:ascii="宋体" w:hAnsi="宋体" w:cs="宋体"/>
                <w:color w:val="auto"/>
                <w:szCs w:val="21"/>
                <w:highlight w:val="none"/>
              </w:rPr>
              <w:t>①从业能力：具有【建筑】类专业副高级或以上技术职称，得</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分；</w:t>
            </w:r>
          </w:p>
          <w:p>
            <w:pPr>
              <w:adjustRightInd w:val="0"/>
              <w:snapToGrid w:val="0"/>
              <w:spacing w:before="78" w:beforeLines="25" w:line="2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②经历：具有10年或（含10年）以上施工管理工作经验，得</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分；具有5年（含5年）至10年（不含10年）施工管理工作经验，得</w:t>
            </w:r>
            <w:r>
              <w:rPr>
                <w:rFonts w:hint="eastAsia" w:ascii="宋体" w:hAnsi="宋体" w:cs="宋体"/>
                <w:color w:val="auto"/>
                <w:szCs w:val="21"/>
                <w:highlight w:val="none"/>
                <w:u w:val="single"/>
              </w:rPr>
              <w:t xml:space="preserve">  1 </w:t>
            </w:r>
            <w:r>
              <w:rPr>
                <w:rFonts w:hint="eastAsia" w:ascii="宋体" w:hAnsi="宋体" w:cs="宋体"/>
                <w:color w:val="auto"/>
                <w:szCs w:val="21"/>
                <w:highlight w:val="none"/>
              </w:rPr>
              <w:t>分；本项最多得</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1063" w:type="dxa"/>
            <w:vMerge w:val="continue"/>
          </w:tcPr>
          <w:p>
            <w:pPr>
              <w:spacing w:line="280" w:lineRule="exact"/>
              <w:jc w:val="center"/>
              <w:rPr>
                <w:rFonts w:ascii="宋体" w:hAnsi="宋体" w:cs="宋体"/>
                <w:color w:val="auto"/>
                <w:szCs w:val="21"/>
                <w:highlight w:val="none"/>
              </w:rPr>
            </w:pPr>
          </w:p>
        </w:tc>
        <w:tc>
          <w:tcPr>
            <w:tcW w:w="567" w:type="dxa"/>
            <w:vMerge w:val="continue"/>
          </w:tcPr>
          <w:p>
            <w:pPr>
              <w:widowControl/>
              <w:spacing w:line="280" w:lineRule="exact"/>
              <w:jc w:val="left"/>
              <w:rPr>
                <w:rFonts w:ascii="宋体" w:hAnsi="宋体" w:cs="宋体"/>
                <w:color w:val="auto"/>
                <w:szCs w:val="21"/>
                <w:highlight w:val="none"/>
              </w:rPr>
            </w:pPr>
          </w:p>
        </w:tc>
        <w:tc>
          <w:tcPr>
            <w:tcW w:w="845" w:type="dxa"/>
          </w:tcPr>
          <w:p>
            <w:pPr>
              <w:widowControl/>
              <w:spacing w:line="280" w:lineRule="exact"/>
              <w:jc w:val="left"/>
              <w:rPr>
                <w:rFonts w:ascii="宋体" w:hAnsi="宋体" w:cs="宋体"/>
                <w:color w:val="auto"/>
                <w:szCs w:val="21"/>
                <w:highlight w:val="none"/>
              </w:rPr>
            </w:pPr>
            <w:r>
              <w:rPr>
                <w:rFonts w:hint="eastAsia" w:ascii="宋体" w:hAnsi="宋体" w:cs="宋体"/>
                <w:color w:val="auto"/>
                <w:szCs w:val="21"/>
                <w:highlight w:val="none"/>
              </w:rPr>
              <w:t>质量负责人</w:t>
            </w:r>
          </w:p>
        </w:tc>
        <w:tc>
          <w:tcPr>
            <w:tcW w:w="820" w:type="dxa"/>
            <w:vAlign w:val="center"/>
          </w:tcPr>
          <w:p>
            <w:pPr>
              <w:widowControl/>
              <w:spacing w:line="280" w:lineRule="exact"/>
              <w:jc w:val="center"/>
              <w:rPr>
                <w:rFonts w:ascii="宋体" w:hAnsi="宋体" w:cs="宋体"/>
                <w:color w:val="auto"/>
                <w:szCs w:val="21"/>
                <w:highlight w:val="none"/>
              </w:rPr>
            </w:pPr>
            <w:r>
              <w:rPr>
                <w:rFonts w:hint="eastAsia" w:ascii="宋体" w:hAnsi="宋体" w:cs="宋体"/>
                <w:color w:val="auto"/>
                <w:szCs w:val="21"/>
                <w:highlight w:val="none"/>
              </w:rPr>
              <w:t>5</w:t>
            </w:r>
          </w:p>
        </w:tc>
        <w:tc>
          <w:tcPr>
            <w:tcW w:w="11100" w:type="dxa"/>
            <w:gridSpan w:val="4"/>
          </w:tcPr>
          <w:p>
            <w:pPr>
              <w:adjustRightInd w:val="0"/>
              <w:snapToGrid w:val="0"/>
              <w:spacing w:before="78" w:beforeLines="25" w:line="2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①从业能力：具有【建筑】类专业副高级或以上技术职称，得</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分；具有【建筑】类专业中级技术职称，得</w:t>
            </w:r>
            <w:r>
              <w:rPr>
                <w:rFonts w:hint="eastAsia" w:ascii="宋体" w:hAnsi="宋体" w:cs="宋体"/>
                <w:color w:val="auto"/>
                <w:szCs w:val="21"/>
                <w:highlight w:val="none"/>
                <w:u w:val="single"/>
              </w:rPr>
              <w:t xml:space="preserve"> 1  </w:t>
            </w:r>
            <w:r>
              <w:rPr>
                <w:rFonts w:hint="eastAsia" w:ascii="宋体" w:hAnsi="宋体" w:cs="宋体"/>
                <w:color w:val="auto"/>
                <w:szCs w:val="21"/>
                <w:highlight w:val="none"/>
              </w:rPr>
              <w:t>分；本项最多得</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分。</w:t>
            </w:r>
          </w:p>
          <w:p>
            <w:pPr>
              <w:adjustRightInd w:val="0"/>
              <w:snapToGrid w:val="0"/>
              <w:spacing w:before="78" w:beforeLines="25" w:line="2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② 经历：具有10年或以上（含10年）施工管理工作经验，得</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分；具有5年（含5年）至10年（不含10年）施工管理工作经验，得</w:t>
            </w:r>
            <w:r>
              <w:rPr>
                <w:rFonts w:hint="eastAsia" w:ascii="宋体" w:hAnsi="宋体" w:cs="宋体"/>
                <w:color w:val="auto"/>
                <w:szCs w:val="21"/>
                <w:highlight w:val="none"/>
                <w:u w:val="single"/>
              </w:rPr>
              <w:t xml:space="preserve">  1 </w:t>
            </w:r>
            <w:r>
              <w:rPr>
                <w:rFonts w:hint="eastAsia" w:ascii="宋体" w:hAnsi="宋体" w:cs="宋体"/>
                <w:color w:val="auto"/>
                <w:szCs w:val="21"/>
                <w:highlight w:val="none"/>
              </w:rPr>
              <w:t>分；本项最多得</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1063" w:type="dxa"/>
            <w:vMerge w:val="continue"/>
          </w:tcPr>
          <w:p>
            <w:pPr>
              <w:spacing w:line="280" w:lineRule="exact"/>
              <w:jc w:val="center"/>
              <w:rPr>
                <w:rFonts w:ascii="宋体" w:hAnsi="宋体" w:cs="宋体"/>
                <w:color w:val="auto"/>
                <w:szCs w:val="21"/>
                <w:highlight w:val="none"/>
              </w:rPr>
            </w:pPr>
          </w:p>
        </w:tc>
        <w:tc>
          <w:tcPr>
            <w:tcW w:w="567" w:type="dxa"/>
            <w:vMerge w:val="continue"/>
          </w:tcPr>
          <w:p>
            <w:pPr>
              <w:widowControl/>
              <w:spacing w:line="280" w:lineRule="exact"/>
              <w:jc w:val="left"/>
              <w:rPr>
                <w:rFonts w:ascii="宋体" w:hAnsi="宋体" w:cs="宋体"/>
                <w:color w:val="auto"/>
                <w:szCs w:val="21"/>
                <w:highlight w:val="none"/>
              </w:rPr>
            </w:pPr>
          </w:p>
        </w:tc>
        <w:tc>
          <w:tcPr>
            <w:tcW w:w="845" w:type="dxa"/>
          </w:tcPr>
          <w:p>
            <w:pPr>
              <w:widowControl/>
              <w:spacing w:line="280" w:lineRule="exact"/>
              <w:jc w:val="left"/>
              <w:rPr>
                <w:rFonts w:ascii="宋体" w:hAnsi="宋体" w:cs="宋体"/>
                <w:color w:val="auto"/>
                <w:szCs w:val="21"/>
                <w:highlight w:val="none"/>
              </w:rPr>
            </w:pPr>
            <w:r>
              <w:rPr>
                <w:rFonts w:hint="eastAsia" w:ascii="宋体" w:hAnsi="宋体" w:cs="宋体"/>
                <w:color w:val="auto"/>
                <w:szCs w:val="21"/>
                <w:highlight w:val="none"/>
              </w:rPr>
              <w:t>安全负责人</w:t>
            </w:r>
          </w:p>
        </w:tc>
        <w:tc>
          <w:tcPr>
            <w:tcW w:w="820" w:type="dxa"/>
            <w:vAlign w:val="center"/>
          </w:tcPr>
          <w:p>
            <w:pPr>
              <w:widowControl/>
              <w:spacing w:line="280" w:lineRule="exact"/>
              <w:jc w:val="center"/>
              <w:rPr>
                <w:rFonts w:ascii="宋体" w:hAnsi="宋体" w:cs="宋体"/>
                <w:color w:val="auto"/>
                <w:szCs w:val="21"/>
                <w:highlight w:val="none"/>
              </w:rPr>
            </w:pPr>
            <w:r>
              <w:rPr>
                <w:rFonts w:hint="eastAsia" w:ascii="宋体" w:hAnsi="宋体" w:cs="宋体"/>
                <w:color w:val="auto"/>
                <w:szCs w:val="21"/>
                <w:highlight w:val="none"/>
              </w:rPr>
              <w:t>5</w:t>
            </w:r>
          </w:p>
        </w:tc>
        <w:tc>
          <w:tcPr>
            <w:tcW w:w="11100" w:type="dxa"/>
            <w:gridSpan w:val="4"/>
          </w:tcPr>
          <w:p>
            <w:pPr>
              <w:widowControl/>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①从业能力：具有安全工程专业副高级或以上技术职称、或【建筑】类专业副高级或以上技术职称，且具有安全生产考核合格证（B类）或安全生产考核合格证（C类）或建筑施工企业项目负责人安全生产考核合格证书或建筑施工企业专职安全生产管理人员安全生产考核合格证书（C3），得</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分；</w:t>
            </w:r>
          </w:p>
          <w:p>
            <w:pPr>
              <w:widowControl/>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具有安全工程专业中级技术职称或【建筑】类专业中级技术职称，且具有安全生产考核合格证（B类）或安全生产考核合格证（C类）或建筑施工企业项目负责人安全生产考核合格证书或建筑施工企业专职安全生产管理人员安全生产考核合格证书（C3），得</w:t>
            </w:r>
            <w:r>
              <w:rPr>
                <w:rFonts w:hint="eastAsia" w:ascii="宋体" w:hAnsi="宋体" w:cs="宋体"/>
                <w:color w:val="auto"/>
                <w:szCs w:val="21"/>
                <w:highlight w:val="none"/>
                <w:u w:val="single"/>
              </w:rPr>
              <w:t xml:space="preserve">  1 </w:t>
            </w:r>
            <w:r>
              <w:rPr>
                <w:rFonts w:hint="eastAsia" w:ascii="宋体" w:hAnsi="宋体" w:cs="宋体"/>
                <w:color w:val="auto"/>
                <w:szCs w:val="21"/>
                <w:highlight w:val="none"/>
              </w:rPr>
              <w:t>分；</w:t>
            </w:r>
          </w:p>
          <w:p>
            <w:pPr>
              <w:widowControl/>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本项最多得</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分。</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②经历：具有10年或以上（含10年）施工管理工作经验，得</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分；具有5年（含5年）至10年（不含10年）施工管理工作经验，得</w:t>
            </w:r>
            <w:r>
              <w:rPr>
                <w:rFonts w:hint="eastAsia" w:ascii="宋体" w:hAnsi="宋体" w:cs="宋体"/>
                <w:color w:val="auto"/>
                <w:szCs w:val="21"/>
                <w:highlight w:val="none"/>
                <w:u w:val="single"/>
              </w:rPr>
              <w:t xml:space="preserve">  1 </w:t>
            </w:r>
            <w:r>
              <w:rPr>
                <w:rFonts w:hint="eastAsia" w:ascii="宋体" w:hAnsi="宋体" w:cs="宋体"/>
                <w:color w:val="auto"/>
                <w:szCs w:val="21"/>
                <w:highlight w:val="none"/>
              </w:rPr>
              <w:t>分；本项最多得</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分。</w:t>
            </w:r>
          </w:p>
          <w:p>
            <w:pPr>
              <w:widowControl/>
              <w:ind w:firstLine="420" w:firstLineChars="200"/>
              <w:jc w:val="left"/>
              <w:rPr>
                <w:rFonts w:ascii="宋体" w:hAnsi="宋体" w:cs="宋体"/>
                <w:color w:val="auto"/>
                <w:szCs w:val="21"/>
                <w:highlight w:val="none"/>
              </w:rPr>
            </w:pPr>
            <w:r>
              <w:rPr>
                <w:rFonts w:hint="eastAsia"/>
                <w:color w:val="auto"/>
                <w:highlight w:val="none"/>
              </w:rPr>
              <w:t>注：广东省建筑施工企业安全生产管理人员执行《广东省住房和城乡建设厅关于加快推进建筑施工企业安全生产管理人员考核合格证书电子证照办理相关工作的通知》（粤建质函〔2023〕754号），在10月底前完成换证业务，从2023年11月1日起，旧版电子证照停止使用。其他地区建筑施工企业安全生产管理人员执行属地安全生产管理人员考核合格证书电子证照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1063" w:type="dxa"/>
            <w:vMerge w:val="continue"/>
          </w:tcPr>
          <w:p>
            <w:pPr>
              <w:spacing w:line="280" w:lineRule="exact"/>
              <w:jc w:val="center"/>
              <w:rPr>
                <w:rFonts w:ascii="宋体" w:hAnsi="宋体" w:cs="宋体"/>
                <w:color w:val="auto"/>
                <w:szCs w:val="21"/>
                <w:highlight w:val="none"/>
              </w:rPr>
            </w:pPr>
          </w:p>
        </w:tc>
        <w:tc>
          <w:tcPr>
            <w:tcW w:w="567" w:type="dxa"/>
            <w:vMerge w:val="continue"/>
          </w:tcPr>
          <w:p>
            <w:pPr>
              <w:widowControl/>
              <w:spacing w:line="280" w:lineRule="exact"/>
              <w:jc w:val="left"/>
              <w:rPr>
                <w:rFonts w:ascii="宋体" w:hAnsi="宋体" w:cs="宋体"/>
                <w:color w:val="auto"/>
                <w:szCs w:val="21"/>
                <w:highlight w:val="none"/>
              </w:rPr>
            </w:pPr>
          </w:p>
        </w:tc>
        <w:tc>
          <w:tcPr>
            <w:tcW w:w="845" w:type="dxa"/>
          </w:tcPr>
          <w:p>
            <w:pPr>
              <w:widowControl/>
              <w:spacing w:line="280" w:lineRule="exact"/>
              <w:jc w:val="left"/>
              <w:rPr>
                <w:rFonts w:ascii="宋体" w:hAnsi="宋体" w:cs="宋体"/>
                <w:color w:val="auto"/>
                <w:szCs w:val="21"/>
                <w:highlight w:val="none"/>
              </w:rPr>
            </w:pPr>
            <w:r>
              <w:rPr>
                <w:rFonts w:hint="eastAsia" w:ascii="宋体" w:hAnsi="宋体" w:cs="宋体"/>
                <w:color w:val="auto"/>
                <w:szCs w:val="21"/>
                <w:highlight w:val="none"/>
              </w:rPr>
              <w:t>造价负责人</w:t>
            </w:r>
          </w:p>
        </w:tc>
        <w:tc>
          <w:tcPr>
            <w:tcW w:w="820" w:type="dxa"/>
            <w:vAlign w:val="center"/>
          </w:tcPr>
          <w:p>
            <w:pPr>
              <w:widowControl/>
              <w:spacing w:line="280" w:lineRule="exact"/>
              <w:jc w:val="center"/>
              <w:rPr>
                <w:rFonts w:ascii="宋体" w:hAnsi="宋体" w:cs="宋体"/>
                <w:color w:val="auto"/>
                <w:szCs w:val="21"/>
                <w:highlight w:val="none"/>
              </w:rPr>
            </w:pPr>
            <w:r>
              <w:rPr>
                <w:rFonts w:hint="eastAsia" w:ascii="宋体" w:hAnsi="宋体" w:cs="宋体"/>
                <w:color w:val="auto"/>
                <w:szCs w:val="21"/>
                <w:highlight w:val="none"/>
              </w:rPr>
              <w:t>4</w:t>
            </w:r>
          </w:p>
        </w:tc>
        <w:tc>
          <w:tcPr>
            <w:tcW w:w="11100" w:type="dxa"/>
            <w:gridSpan w:val="4"/>
          </w:tcPr>
          <w:p>
            <w:pPr>
              <w:adjustRightInd w:val="0"/>
              <w:snapToGrid w:val="0"/>
              <w:spacing w:before="78" w:beforeLines="25" w:line="2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①从业能力：具有有效的注册造价工程师（或一级注册造价工程师）证书、或具有工程造价类专业副高级或以上技术职称，得</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分；</w:t>
            </w:r>
          </w:p>
          <w:p>
            <w:pPr>
              <w:adjustRightInd w:val="0"/>
              <w:snapToGrid w:val="0"/>
              <w:spacing w:before="78" w:beforeLines="25" w:line="2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②经历：具有10年或以上（含10年）工程管理工作经验，得</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分；具有5年（含5年）至10年（不含10年）工程管理工作经验，得</w:t>
            </w:r>
            <w:r>
              <w:rPr>
                <w:rFonts w:hint="eastAsia" w:ascii="宋体" w:hAnsi="宋体" w:cs="宋体"/>
                <w:color w:val="auto"/>
                <w:szCs w:val="21"/>
                <w:highlight w:val="none"/>
                <w:u w:val="single"/>
              </w:rPr>
              <w:t xml:space="preserve">  1 </w:t>
            </w:r>
            <w:r>
              <w:rPr>
                <w:rFonts w:hint="eastAsia" w:ascii="宋体" w:hAnsi="宋体" w:cs="宋体"/>
                <w:color w:val="auto"/>
                <w:szCs w:val="21"/>
                <w:highlight w:val="none"/>
              </w:rPr>
              <w:t>分；本项最多得</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分。</w:t>
            </w:r>
          </w:p>
          <w:p>
            <w:pPr>
              <w:pStyle w:val="228"/>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注：有效的注册造价工程师指根据原人事部、原建设部发布的《造价工程师执业资格制度暂行规定》（人发〔1996〕77号）取得的造价工程师执业资格，并经注册且在有效期内；有效的注册一级造价工程师资格指根据住房城乡建设部、交通运输部、水利部、人力资源社会保障部发布的《造价工程师职业资格制度规定》《造价工程师职业资格考试实施办法》（建人〔2018〕67号）取得的一级造价工程师职业资格，并经注册且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1063" w:type="dxa"/>
            <w:vMerge w:val="continue"/>
            <w:vAlign w:val="center"/>
          </w:tcPr>
          <w:p>
            <w:pPr>
              <w:spacing w:line="280" w:lineRule="exact"/>
              <w:jc w:val="center"/>
              <w:rPr>
                <w:rFonts w:ascii="宋体" w:hAnsi="宋体" w:cs="宋体"/>
                <w:color w:val="auto"/>
                <w:szCs w:val="21"/>
                <w:highlight w:val="none"/>
              </w:rPr>
            </w:pPr>
          </w:p>
        </w:tc>
        <w:tc>
          <w:tcPr>
            <w:tcW w:w="567" w:type="dxa"/>
            <w:vAlign w:val="center"/>
          </w:tcPr>
          <w:p>
            <w:pPr>
              <w:widowControl/>
              <w:spacing w:line="280" w:lineRule="exact"/>
              <w:jc w:val="left"/>
              <w:rPr>
                <w:rFonts w:ascii="宋体" w:hAnsi="宋体" w:cs="宋体"/>
                <w:color w:val="auto"/>
                <w:szCs w:val="21"/>
                <w:highlight w:val="none"/>
              </w:rPr>
            </w:pPr>
          </w:p>
        </w:tc>
        <w:tc>
          <w:tcPr>
            <w:tcW w:w="845" w:type="dxa"/>
            <w:vAlign w:val="center"/>
          </w:tcPr>
          <w:p>
            <w:pPr>
              <w:widowControl/>
              <w:spacing w:line="280" w:lineRule="exact"/>
              <w:jc w:val="left"/>
              <w:rPr>
                <w:rFonts w:ascii="宋体" w:hAnsi="宋体" w:cs="宋体"/>
                <w:color w:val="auto"/>
                <w:szCs w:val="21"/>
                <w:highlight w:val="none"/>
              </w:rPr>
            </w:pPr>
            <w:r>
              <w:rPr>
                <w:rFonts w:hint="eastAsia" w:ascii="宋体" w:hAnsi="宋体" w:cs="宋体"/>
                <w:color w:val="auto"/>
                <w:szCs w:val="21"/>
                <w:highlight w:val="none"/>
              </w:rPr>
              <w:t>其他专业工程师</w:t>
            </w:r>
          </w:p>
        </w:tc>
        <w:tc>
          <w:tcPr>
            <w:tcW w:w="820" w:type="dxa"/>
            <w:vAlign w:val="center"/>
          </w:tcPr>
          <w:p>
            <w:pPr>
              <w:widowControl/>
              <w:spacing w:line="280" w:lineRule="exact"/>
              <w:jc w:val="center"/>
              <w:rPr>
                <w:rFonts w:ascii="宋体" w:hAnsi="宋体" w:cs="宋体"/>
                <w:color w:val="auto"/>
                <w:szCs w:val="21"/>
                <w:highlight w:val="none"/>
              </w:rPr>
            </w:pPr>
            <w:r>
              <w:rPr>
                <w:rFonts w:hint="eastAsia" w:ascii="宋体" w:hAnsi="宋体" w:cs="宋体"/>
                <w:color w:val="auto"/>
                <w:szCs w:val="21"/>
                <w:highlight w:val="none"/>
              </w:rPr>
              <w:t>12</w:t>
            </w:r>
          </w:p>
        </w:tc>
        <w:tc>
          <w:tcPr>
            <w:tcW w:w="11100" w:type="dxa"/>
            <w:gridSpan w:val="4"/>
            <w:vAlign w:val="center"/>
          </w:tcPr>
          <w:p>
            <w:pPr>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①从业能力：</w:t>
            </w:r>
            <w:r>
              <w:rPr>
                <w:rFonts w:hint="eastAsia" w:ascii="宋体" w:hAnsi="宋体" w:cs="宋体"/>
                <w:color w:val="auto"/>
                <w:szCs w:val="21"/>
                <w:highlight w:val="none"/>
              </w:rPr>
              <w:t>每个专业的工程师</w:t>
            </w:r>
            <w:r>
              <w:rPr>
                <w:rFonts w:hint="eastAsia" w:ascii="宋体" w:hAnsi="宋体" w:cs="宋体"/>
                <w:color w:val="auto"/>
                <w:kern w:val="0"/>
                <w:szCs w:val="21"/>
                <w:highlight w:val="none"/>
              </w:rPr>
              <w:t>（该专业有多名工程师的，只计1人）</w:t>
            </w:r>
            <w:r>
              <w:rPr>
                <w:rFonts w:hint="eastAsia" w:ascii="宋体" w:hAnsi="宋体" w:cs="宋体"/>
                <w:color w:val="auto"/>
                <w:szCs w:val="21"/>
                <w:highlight w:val="none"/>
              </w:rPr>
              <w:t>具有对应专业</w:t>
            </w:r>
            <w:r>
              <w:rPr>
                <w:rFonts w:hint="eastAsia" w:ascii="宋体" w:hAnsi="宋体" w:cs="宋体"/>
                <w:color w:val="auto"/>
                <w:kern w:val="0"/>
                <w:szCs w:val="21"/>
                <w:highlight w:val="none"/>
              </w:rPr>
              <w:t>中级或以上</w:t>
            </w:r>
            <w:r>
              <w:rPr>
                <w:rFonts w:hint="eastAsia" w:ascii="宋体" w:hAnsi="宋体" w:cs="宋体"/>
                <w:color w:val="auto"/>
                <w:szCs w:val="21"/>
                <w:highlight w:val="none"/>
              </w:rPr>
              <w:t>技术职称的，得</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1</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w:t>
            </w:r>
            <w:r>
              <w:rPr>
                <w:rFonts w:hint="eastAsia" w:ascii="宋体" w:hAnsi="宋体" w:cs="宋体"/>
                <w:color w:val="auto"/>
                <w:kern w:val="0"/>
                <w:szCs w:val="21"/>
                <w:highlight w:val="none"/>
              </w:rPr>
              <w:t>本项最多</w:t>
            </w:r>
            <w:r>
              <w:rPr>
                <w:rFonts w:hint="eastAsia" w:ascii="宋体" w:hAnsi="宋体" w:cs="宋体"/>
                <w:color w:val="auto"/>
                <w:szCs w:val="21"/>
                <w:highlight w:val="none"/>
              </w:rPr>
              <w:t>得</w:t>
            </w:r>
            <w:r>
              <w:rPr>
                <w:rFonts w:hint="eastAsia" w:ascii="宋体" w:hAnsi="宋体" w:cs="宋体"/>
                <w:color w:val="auto"/>
                <w:szCs w:val="21"/>
                <w:highlight w:val="none"/>
                <w:u w:val="single"/>
              </w:rPr>
              <w:t xml:space="preserve"> 6 </w:t>
            </w:r>
            <w:r>
              <w:rPr>
                <w:rFonts w:hint="eastAsia" w:ascii="宋体" w:hAnsi="宋体" w:cs="宋体"/>
                <w:color w:val="auto"/>
                <w:szCs w:val="21"/>
                <w:highlight w:val="none"/>
              </w:rPr>
              <w:t>分；</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 xml:space="preserve">    ②经历：每个专业的工程师（该专业有多名工程师的，只计1人）具有10年或以上（含10年）施工管理工作经验，得</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1</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分；具有5年（含5年）至10年（不含10年）施工管理工作经验，得</w:t>
            </w:r>
            <w:r>
              <w:rPr>
                <w:rFonts w:hint="eastAsia" w:ascii="宋体" w:hAnsi="宋体" w:cs="宋体"/>
                <w:color w:val="auto"/>
                <w:szCs w:val="21"/>
                <w:highlight w:val="none"/>
                <w:u w:val="single"/>
              </w:rPr>
              <w:t xml:space="preserve"> 0.5</w:t>
            </w:r>
            <w:r>
              <w:rPr>
                <w:rFonts w:ascii="宋体" w:hAnsi="宋体" w:cs="宋体"/>
                <w:color w:val="auto"/>
                <w:szCs w:val="21"/>
                <w:highlight w:val="none"/>
                <w:u w:val="single"/>
              </w:rPr>
              <w:t xml:space="preserve"> </w:t>
            </w:r>
            <w:r>
              <w:rPr>
                <w:rFonts w:hint="eastAsia" w:ascii="宋体" w:hAnsi="宋体" w:cs="宋体"/>
                <w:color w:val="auto"/>
                <w:szCs w:val="21"/>
                <w:highlight w:val="none"/>
              </w:rPr>
              <w:t>分；本项最多得</w:t>
            </w:r>
            <w:r>
              <w:rPr>
                <w:rFonts w:hint="eastAsia" w:ascii="宋体" w:hAnsi="宋体" w:cs="宋体"/>
                <w:color w:val="auto"/>
                <w:szCs w:val="21"/>
                <w:highlight w:val="none"/>
                <w:u w:val="single"/>
              </w:rPr>
              <w:t xml:space="preserve"> 6 </w:t>
            </w:r>
            <w:r>
              <w:rPr>
                <w:rFonts w:hint="eastAsia" w:ascii="宋体" w:hAnsi="宋体" w:cs="宋体"/>
                <w:color w:val="auto"/>
                <w:szCs w:val="21"/>
                <w:highlight w:val="none"/>
              </w:rPr>
              <w:t>分。</w:t>
            </w:r>
          </w:p>
          <w:p>
            <w:pPr>
              <w:spacing w:line="240" w:lineRule="atLeas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其他专业指：建筑工程专业：☑工民建（建筑、土木）类、☑电气类、☑给排水类、☑供热通风与空调类、☑弱电类、☑建筑装饰类、☑园林绿化类、☑岩土（土石方、地基与基础）类、☑测量类、☑机电类、☑检测类、□燃气类 ）</w:t>
            </w:r>
          </w:p>
          <w:p>
            <w:pPr>
              <w:spacing w:line="240" w:lineRule="atLeast"/>
              <w:rPr>
                <w:rFonts w:ascii="宋体" w:hAnsi="宋体" w:cs="宋体"/>
                <w:color w:val="auto"/>
                <w:szCs w:val="21"/>
                <w:highlight w:val="none"/>
              </w:rPr>
            </w:pPr>
            <w:r>
              <w:rPr>
                <w:rFonts w:hint="eastAsia" w:ascii="宋体" w:hAnsi="宋体" w:cs="宋体"/>
                <w:color w:val="auto"/>
                <w:szCs w:val="21"/>
                <w:highlight w:val="none"/>
              </w:rPr>
              <w:t>注:具体专业名称按照职称证相关专业类别进行评审。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3295" w:type="dxa"/>
            <w:gridSpan w:val="4"/>
            <w:vAlign w:val="center"/>
          </w:tcPr>
          <w:p>
            <w:pPr>
              <w:widowControl/>
              <w:spacing w:line="280" w:lineRule="exact"/>
              <w:jc w:val="center"/>
              <w:rPr>
                <w:rFonts w:ascii="宋体" w:hAnsi="宋体" w:cs="宋体"/>
                <w:color w:val="auto"/>
                <w:szCs w:val="21"/>
                <w:highlight w:val="none"/>
                <w:u w:val="single"/>
              </w:rPr>
            </w:pPr>
          </w:p>
        </w:tc>
        <w:tc>
          <w:tcPr>
            <w:tcW w:w="11100" w:type="dxa"/>
            <w:gridSpan w:val="4"/>
            <w:vAlign w:val="center"/>
          </w:tcPr>
          <w:p>
            <w:pPr>
              <w:pStyle w:val="228"/>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注：①上述人员须提供身份证、毕业证书（大学专科（或以上）学历）及投标截止前一个月（</w:t>
            </w:r>
            <w:r>
              <w:rPr>
                <w:rFonts w:hint="eastAsia" w:ascii="宋体" w:hAnsi="宋体" w:eastAsia="宋体" w:cs="宋体"/>
                <w:color w:val="auto"/>
                <w:sz w:val="21"/>
                <w:szCs w:val="21"/>
                <w:highlight w:val="none"/>
                <w:u w:val="single"/>
              </w:rPr>
              <w:t xml:space="preserve">2024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5 </w:t>
            </w:r>
            <w:r>
              <w:rPr>
                <w:rFonts w:hint="eastAsia" w:ascii="宋体" w:hAnsi="宋体" w:eastAsia="宋体" w:cs="宋体"/>
                <w:color w:val="auto"/>
                <w:sz w:val="21"/>
                <w:szCs w:val="21"/>
                <w:highlight w:val="none"/>
              </w:rPr>
              <w:t>月）有效社保证明，且须按相应要求提供职称证</w:t>
            </w:r>
            <w:r>
              <w:rPr>
                <w:rFonts w:hint="eastAsia" w:ascii="宋体" w:hAnsi="宋体" w:eastAsia="宋体" w:cs="宋体"/>
                <w:color w:val="auto"/>
                <w:sz w:val="21"/>
                <w:szCs w:val="21"/>
                <w:highlight w:val="none"/>
                <w:u w:val="single"/>
              </w:rPr>
              <w:t>（若证书无法明确为相应专业，则需同时提供职称证书发证单位出具的证明材料，否则投标人需承担评委认定职称专业不符合评审标准的风险）</w:t>
            </w:r>
            <w:r>
              <w:rPr>
                <w:rFonts w:hint="eastAsia" w:ascii="宋体" w:hAnsi="宋体" w:eastAsia="宋体" w:cs="宋体"/>
                <w:color w:val="auto"/>
                <w:sz w:val="21"/>
                <w:szCs w:val="21"/>
                <w:highlight w:val="none"/>
              </w:rPr>
              <w:t>、有效期内的注册证及有效期内的安全生产考核合格证（B类）或安全生产考核合格证（C类）或建筑施工企业项目负责人安全生产考核合格证书或建筑施工企业专职安全生产管理人员安全生产考核合格证书（C3），所有资料为扫描件并加盖投标人电子公章；</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②工作经验年限从毕业证书的核发时间（大学专科（或以上）学历）起计；</w:t>
            </w:r>
          </w:p>
          <w:p>
            <w:pPr>
              <w:pStyle w:val="228"/>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③项目负责人、技术负责人、质量负责人、安全负责人、造价负责人、其他专业工程师不得兼任，且安全负责人不能同时兼任专职安全员。</w:t>
            </w:r>
          </w:p>
          <w:p>
            <w:pPr>
              <w:adjustRightInd w:val="0"/>
              <w:snapToGrid w:val="0"/>
              <w:spacing w:before="78" w:beforeLines="25" w:line="24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④若投标人为联合体，拟任本工程项目负责人、技术负责人、质量负责人、安全负责人、造价负责人须为联合体主办方人员。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1063" w:type="dxa"/>
            <w:vMerge w:val="restart"/>
          </w:tcPr>
          <w:p>
            <w:pPr>
              <w:jc w:val="center"/>
              <w:rPr>
                <w:rFonts w:ascii="宋体" w:hAnsi="宋体" w:cs="宋体"/>
                <w:b/>
                <w:color w:val="auto"/>
                <w:szCs w:val="21"/>
                <w:highlight w:val="none"/>
              </w:rPr>
            </w:pPr>
            <w:r>
              <w:rPr>
                <w:rFonts w:hint="eastAsia" w:ascii="宋体" w:hAnsi="宋体" w:cs="宋体"/>
                <w:color w:val="auto"/>
                <w:szCs w:val="21"/>
                <w:highlight w:val="none"/>
              </w:rPr>
              <w:t>三、企业资信（30分）</w:t>
            </w:r>
          </w:p>
        </w:tc>
        <w:tc>
          <w:tcPr>
            <w:tcW w:w="1412" w:type="dxa"/>
            <w:gridSpan w:val="2"/>
          </w:tcPr>
          <w:p>
            <w:pPr>
              <w:pStyle w:val="228"/>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企业类似工程业绩</w:t>
            </w:r>
          </w:p>
        </w:tc>
        <w:tc>
          <w:tcPr>
            <w:tcW w:w="820" w:type="dxa"/>
            <w:vAlign w:val="center"/>
          </w:tcPr>
          <w:p>
            <w:pPr>
              <w:pStyle w:val="228"/>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11100" w:type="dxa"/>
            <w:gridSpan w:val="4"/>
          </w:tcPr>
          <w:p>
            <w:pPr>
              <w:pStyle w:val="228"/>
              <w:ind w:firstLine="420" w:firstLineChars="200"/>
              <w:jc w:val="lef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投标人自</w:t>
            </w:r>
            <w:r>
              <w:rPr>
                <w:rFonts w:hint="eastAsia" w:ascii="宋体" w:hAnsi="宋体" w:eastAsia="宋体" w:cs="宋体"/>
                <w:color w:val="auto"/>
                <w:sz w:val="21"/>
                <w:szCs w:val="21"/>
                <w:highlight w:val="none"/>
                <w:u w:val="single"/>
              </w:rPr>
              <w:t>2021</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1</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1</w:t>
            </w:r>
            <w:r>
              <w:rPr>
                <w:rFonts w:hint="eastAsia" w:ascii="宋体" w:hAnsi="宋体" w:eastAsia="宋体" w:cs="宋体"/>
                <w:color w:val="auto"/>
                <w:sz w:val="21"/>
                <w:szCs w:val="21"/>
                <w:highlight w:val="none"/>
              </w:rPr>
              <w:t>日至今完成过质量合格的且工程造价金额大于或等于</w:t>
            </w:r>
            <w:r>
              <w:rPr>
                <w:rFonts w:hint="eastAsia" w:ascii="宋体" w:hAnsi="宋体" w:eastAsia="宋体" w:cs="宋体"/>
                <w:color w:val="auto"/>
                <w:sz w:val="21"/>
                <w:szCs w:val="21"/>
                <w:highlight w:val="none"/>
                <w:u w:val="single"/>
              </w:rPr>
              <w:t xml:space="preserve">18000 </w:t>
            </w:r>
            <w:r>
              <w:rPr>
                <w:rFonts w:hint="eastAsia" w:ascii="宋体" w:hAnsi="宋体" w:eastAsia="宋体" w:cs="宋体"/>
                <w:color w:val="auto"/>
                <w:sz w:val="21"/>
                <w:szCs w:val="21"/>
                <w:highlight w:val="none"/>
              </w:rPr>
              <w:t>万元</w:t>
            </w:r>
            <w:r>
              <w:rPr>
                <w:rFonts w:hint="eastAsia" w:ascii="宋体" w:hAnsi="宋体" w:eastAsia="宋体" w:cs="宋体"/>
                <w:color w:val="auto"/>
                <w:kern w:val="2"/>
                <w:sz w:val="21"/>
                <w:szCs w:val="24"/>
                <w:highlight w:val="none"/>
              </w:rPr>
              <w:t>的</w:t>
            </w:r>
            <w:r>
              <w:rPr>
                <w:rFonts w:hint="eastAsia" w:ascii="宋体" w:hAnsi="宋体" w:eastAsia="宋体" w:cs="宋体"/>
                <w:color w:val="auto"/>
                <w:sz w:val="21"/>
                <w:szCs w:val="21"/>
                <w:highlight w:val="none"/>
              </w:rPr>
              <w:t>【建筑】工程</w:t>
            </w:r>
            <w:r>
              <w:rPr>
                <w:rFonts w:hint="eastAsia" w:ascii="宋体" w:hAnsi="宋体" w:eastAsia="宋体" w:cs="宋体"/>
                <w:color w:val="auto"/>
                <w:sz w:val="21"/>
                <w:szCs w:val="21"/>
                <w:highlight w:val="none"/>
                <w:u w:val="single"/>
              </w:rPr>
              <w:t>施工总承包或工程总承包施工部分业绩</w:t>
            </w:r>
            <w:r>
              <w:rPr>
                <w:rFonts w:hint="eastAsia" w:ascii="宋体" w:hAnsi="宋体" w:eastAsia="宋体" w:cs="宋体"/>
                <w:color w:val="auto"/>
                <w:sz w:val="21"/>
                <w:szCs w:val="21"/>
                <w:highlight w:val="none"/>
              </w:rPr>
              <w:t>，完成过</w:t>
            </w:r>
            <w:r>
              <w:rPr>
                <w:rFonts w:hint="eastAsia" w:ascii="宋体" w:hAnsi="宋体" w:eastAsia="宋体" w:cs="宋体"/>
                <w:color w:val="auto"/>
                <w:sz w:val="21"/>
                <w:szCs w:val="21"/>
                <w:highlight w:val="none"/>
                <w:u w:val="single"/>
              </w:rPr>
              <w:t xml:space="preserve"> </w:t>
            </w:r>
            <w:r>
              <w:rPr>
                <w:rFonts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12</w:t>
            </w:r>
            <w:r>
              <w:rPr>
                <w:rFonts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项的得</w:t>
            </w:r>
            <w:r>
              <w:rPr>
                <w:rFonts w:hint="eastAsia" w:ascii="宋体" w:hAnsi="宋体" w:eastAsia="宋体" w:cs="宋体"/>
                <w:color w:val="auto"/>
                <w:sz w:val="21"/>
                <w:szCs w:val="21"/>
                <w:highlight w:val="none"/>
                <w:u w:val="single"/>
              </w:rPr>
              <w:t xml:space="preserve">  10 </w:t>
            </w:r>
            <w:r>
              <w:rPr>
                <w:rFonts w:hint="eastAsia" w:ascii="宋体" w:hAnsi="宋体" w:eastAsia="宋体" w:cs="宋体"/>
                <w:color w:val="auto"/>
                <w:sz w:val="21"/>
                <w:szCs w:val="21"/>
                <w:highlight w:val="none"/>
              </w:rPr>
              <w:t>分；完成过</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9</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val="en-US" w:eastAsia="zh-CN"/>
              </w:rPr>
              <w:t>11</w:t>
            </w:r>
            <w:r>
              <w:rPr>
                <w:rFonts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项的得</w:t>
            </w:r>
            <w:r>
              <w:rPr>
                <w:rFonts w:hint="eastAsia" w:ascii="宋体" w:hAnsi="宋体" w:eastAsia="宋体" w:cs="宋体"/>
                <w:color w:val="auto"/>
                <w:sz w:val="21"/>
                <w:szCs w:val="21"/>
                <w:highlight w:val="none"/>
                <w:u w:val="single"/>
              </w:rPr>
              <w:t xml:space="preserve"> 8 </w:t>
            </w:r>
            <w:r>
              <w:rPr>
                <w:rFonts w:hint="eastAsia" w:ascii="宋体" w:hAnsi="宋体" w:eastAsia="宋体" w:cs="宋体"/>
                <w:color w:val="auto"/>
                <w:sz w:val="21"/>
                <w:szCs w:val="21"/>
                <w:highlight w:val="none"/>
              </w:rPr>
              <w:t>分；完成过</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6</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val="en-US" w:eastAsia="zh-CN"/>
              </w:rPr>
              <w:t>8</w:t>
            </w:r>
            <w:r>
              <w:rPr>
                <w:rFonts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项的得</w:t>
            </w:r>
            <w:r>
              <w:rPr>
                <w:rFonts w:hint="eastAsia" w:ascii="宋体" w:hAnsi="宋体" w:eastAsia="宋体" w:cs="宋体"/>
                <w:color w:val="auto"/>
                <w:sz w:val="21"/>
                <w:szCs w:val="21"/>
                <w:highlight w:val="none"/>
                <w:u w:val="single"/>
              </w:rPr>
              <w:t xml:space="preserve"> 6 </w:t>
            </w:r>
            <w:r>
              <w:rPr>
                <w:rFonts w:hint="eastAsia" w:ascii="宋体" w:hAnsi="宋体" w:eastAsia="宋体" w:cs="宋体"/>
                <w:color w:val="auto"/>
                <w:sz w:val="21"/>
                <w:szCs w:val="21"/>
                <w:highlight w:val="none"/>
              </w:rPr>
              <w:t>分；完成过</w:t>
            </w:r>
            <w:r>
              <w:rPr>
                <w:rFonts w:hint="eastAsia" w:ascii="宋体" w:hAnsi="宋体" w:eastAsia="宋体" w:cs="宋体"/>
                <w:color w:val="auto"/>
                <w:sz w:val="21"/>
                <w:szCs w:val="21"/>
                <w:highlight w:val="none"/>
                <w:u w:val="single"/>
              </w:rPr>
              <w:t xml:space="preserve"> 1-</w:t>
            </w:r>
            <w:r>
              <w:rPr>
                <w:rFonts w:hint="eastAsia" w:ascii="宋体" w:hAnsi="宋体" w:eastAsia="宋体" w:cs="宋体"/>
                <w:color w:val="auto"/>
                <w:sz w:val="21"/>
                <w:szCs w:val="21"/>
                <w:highlight w:val="none"/>
                <w:u w:val="single"/>
                <w:lang w:val="en-US" w:eastAsia="zh-CN"/>
              </w:rPr>
              <w:t>5</w:t>
            </w:r>
            <w:r>
              <w:rPr>
                <w:rFonts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项的得</w:t>
            </w:r>
            <w:r>
              <w:rPr>
                <w:rFonts w:hint="eastAsia" w:ascii="宋体" w:hAnsi="宋体" w:eastAsia="宋体" w:cs="宋体"/>
                <w:color w:val="auto"/>
                <w:sz w:val="21"/>
                <w:szCs w:val="21"/>
                <w:highlight w:val="none"/>
                <w:u w:val="single"/>
              </w:rPr>
              <w:t xml:space="preserve"> 4 </w:t>
            </w:r>
            <w:r>
              <w:rPr>
                <w:rFonts w:hint="eastAsia" w:ascii="宋体" w:hAnsi="宋体" w:eastAsia="宋体" w:cs="宋体"/>
                <w:color w:val="auto"/>
                <w:sz w:val="21"/>
                <w:szCs w:val="21"/>
                <w:highlight w:val="none"/>
              </w:rPr>
              <w:t>分；</w:t>
            </w:r>
            <w:r>
              <w:rPr>
                <w:rFonts w:hint="eastAsia" w:ascii="Calibri" w:hAnsi="Calibri" w:eastAsia="宋体" w:cs="黑体"/>
                <w:color w:val="auto"/>
                <w:kern w:val="2"/>
                <w:sz w:val="21"/>
                <w:szCs w:val="24"/>
                <w:highlight w:val="none"/>
              </w:rPr>
              <w:t>其他或不提供的均不得分</w:t>
            </w:r>
            <w:r>
              <w:rPr>
                <w:rFonts w:hint="eastAsia" w:ascii="Calibri" w:hAnsi="Calibri" w:eastAsia="宋体" w:cs="黑体"/>
                <w:color w:val="auto"/>
                <w:kern w:val="2"/>
                <w:sz w:val="21"/>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1063" w:type="dxa"/>
            <w:vMerge w:val="continue"/>
          </w:tcPr>
          <w:p>
            <w:pPr>
              <w:pStyle w:val="228"/>
              <w:ind w:firstLine="420" w:firstLineChars="200"/>
              <w:rPr>
                <w:rFonts w:ascii="宋体" w:hAnsi="宋体" w:eastAsia="宋体" w:cs="宋体"/>
                <w:color w:val="auto"/>
                <w:sz w:val="21"/>
                <w:szCs w:val="21"/>
                <w:highlight w:val="none"/>
              </w:rPr>
            </w:pPr>
          </w:p>
        </w:tc>
        <w:tc>
          <w:tcPr>
            <w:tcW w:w="1412" w:type="dxa"/>
            <w:gridSpan w:val="2"/>
          </w:tcPr>
          <w:p>
            <w:pPr>
              <w:pStyle w:val="228"/>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企业工程项目获奖情况</w:t>
            </w:r>
          </w:p>
        </w:tc>
        <w:tc>
          <w:tcPr>
            <w:tcW w:w="820" w:type="dxa"/>
            <w:vAlign w:val="center"/>
          </w:tcPr>
          <w:p>
            <w:pPr>
              <w:pStyle w:val="228"/>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1100" w:type="dxa"/>
            <w:gridSpan w:val="4"/>
          </w:tcPr>
          <w:p>
            <w:pPr>
              <w:ind w:firstLine="420" w:firstLineChars="200"/>
              <w:rPr>
                <w:rFonts w:ascii="宋体" w:hAnsi="宋体" w:cs="宋体"/>
                <w:color w:val="auto"/>
                <w:szCs w:val="21"/>
                <w:highlight w:val="none"/>
              </w:rPr>
            </w:pPr>
            <w:r>
              <w:rPr>
                <w:rFonts w:hint="eastAsia" w:ascii="宋体" w:hAnsi="宋体" w:cs="宋体"/>
                <w:color w:val="auto"/>
                <w:szCs w:val="21"/>
                <w:highlight w:val="none"/>
              </w:rPr>
              <w:t>投标人</w:t>
            </w:r>
            <w:r>
              <w:rPr>
                <w:rFonts w:hint="eastAsia"/>
                <w:color w:val="auto"/>
                <w:highlight w:val="none"/>
              </w:rPr>
              <w:t>自2021年</w:t>
            </w:r>
            <w:r>
              <w:rPr>
                <w:rFonts w:hint="eastAsia"/>
                <w:color w:val="auto"/>
                <w:highlight w:val="none"/>
                <w:u w:val="single"/>
              </w:rPr>
              <w:t>1</w:t>
            </w:r>
            <w:r>
              <w:rPr>
                <w:rFonts w:hint="eastAsia"/>
                <w:color w:val="auto"/>
                <w:highlight w:val="none"/>
              </w:rPr>
              <w:t>月</w:t>
            </w:r>
            <w:r>
              <w:rPr>
                <w:rFonts w:hint="eastAsia"/>
                <w:color w:val="auto"/>
                <w:highlight w:val="none"/>
                <w:u w:val="single"/>
              </w:rPr>
              <w:t>1</w:t>
            </w:r>
            <w:r>
              <w:rPr>
                <w:rFonts w:hint="eastAsia"/>
                <w:color w:val="auto"/>
                <w:highlight w:val="none"/>
              </w:rPr>
              <w:t>日至今获得【建筑】工程的奖项，获得国家级的每项得1分，最多得6分；获得省级的每项得 0.5分，最多得3分；市级的每项得 0.25分，最多得1分；其他或不提供的均不得分。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1063" w:type="dxa"/>
            <w:vMerge w:val="continue"/>
          </w:tcPr>
          <w:p>
            <w:pPr>
              <w:ind w:firstLine="400"/>
              <w:rPr>
                <w:rFonts w:ascii="宋体" w:hAnsi="宋体" w:cs="宋体"/>
                <w:color w:val="auto"/>
                <w:szCs w:val="21"/>
                <w:highlight w:val="none"/>
              </w:rPr>
            </w:pPr>
          </w:p>
        </w:tc>
        <w:tc>
          <w:tcPr>
            <w:tcW w:w="1412" w:type="dxa"/>
            <w:gridSpan w:val="2"/>
          </w:tcPr>
          <w:p>
            <w:pPr>
              <w:pStyle w:val="228"/>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企业工程研发能力</w:t>
            </w:r>
          </w:p>
        </w:tc>
        <w:tc>
          <w:tcPr>
            <w:tcW w:w="820" w:type="dxa"/>
            <w:vAlign w:val="center"/>
          </w:tcPr>
          <w:p>
            <w:pPr>
              <w:pStyle w:val="228"/>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11100" w:type="dxa"/>
            <w:gridSpan w:val="4"/>
          </w:tcPr>
          <w:p>
            <w:pPr>
              <w:ind w:firstLine="420" w:firstLineChars="200"/>
              <w:rPr>
                <w:rFonts w:ascii="宋体" w:hAnsi="宋体" w:cs="宋体"/>
                <w:color w:val="auto"/>
                <w:szCs w:val="21"/>
                <w:highlight w:val="none"/>
              </w:rPr>
            </w:pPr>
            <w:r>
              <w:rPr>
                <w:rFonts w:hint="eastAsia" w:ascii="宋体" w:hAnsi="宋体" w:cs="宋体"/>
                <w:color w:val="auto"/>
                <w:szCs w:val="21"/>
                <w:highlight w:val="none"/>
              </w:rPr>
              <w:t>①投标人自</w:t>
            </w:r>
            <w:r>
              <w:rPr>
                <w:rFonts w:hint="eastAsia" w:ascii="宋体" w:hAnsi="宋体" w:cs="宋体"/>
                <w:color w:val="auto"/>
                <w:szCs w:val="21"/>
                <w:highlight w:val="none"/>
                <w:u w:val="single"/>
              </w:rPr>
              <w:t>2021</w:t>
            </w:r>
            <w:r>
              <w:rPr>
                <w:rFonts w:hint="eastAsia" w:ascii="宋体" w:hAnsi="宋体" w:cs="宋体"/>
                <w:color w:val="auto"/>
                <w:szCs w:val="21"/>
                <w:highlight w:val="none"/>
              </w:rPr>
              <w:t>年</w:t>
            </w:r>
            <w:r>
              <w:rPr>
                <w:rFonts w:hint="eastAsia" w:ascii="宋体" w:hAnsi="宋体" w:cs="宋体"/>
                <w:color w:val="auto"/>
                <w:szCs w:val="21"/>
                <w:highlight w:val="none"/>
                <w:u w:val="single"/>
              </w:rPr>
              <w:t>1</w:t>
            </w:r>
            <w:r>
              <w:rPr>
                <w:rFonts w:hint="eastAsia" w:ascii="宋体" w:hAnsi="宋体" w:cs="宋体"/>
                <w:color w:val="auto"/>
                <w:szCs w:val="21"/>
                <w:highlight w:val="none"/>
              </w:rPr>
              <w:t>月</w:t>
            </w:r>
            <w:r>
              <w:rPr>
                <w:rFonts w:hint="eastAsia" w:ascii="宋体" w:hAnsi="宋体" w:cs="宋体"/>
                <w:color w:val="auto"/>
                <w:szCs w:val="21"/>
                <w:highlight w:val="none"/>
                <w:u w:val="single"/>
              </w:rPr>
              <w:t>1</w:t>
            </w:r>
            <w:r>
              <w:rPr>
                <w:rFonts w:hint="eastAsia" w:ascii="宋体" w:hAnsi="宋体" w:cs="宋体"/>
                <w:color w:val="auto"/>
                <w:szCs w:val="21"/>
                <w:highlight w:val="none"/>
              </w:rPr>
              <w:t>日至今</w:t>
            </w:r>
            <w:r>
              <w:rPr>
                <w:rFonts w:hint="eastAsia" w:ascii="宋体" w:hAnsi="宋体" w:cs="宋体"/>
                <w:color w:val="auto"/>
                <w:szCs w:val="21"/>
                <w:highlight w:val="none"/>
                <w:lang w:eastAsia="zh-CN"/>
              </w:rPr>
              <w:t>，</w:t>
            </w:r>
            <w:r>
              <w:rPr>
                <w:rFonts w:hint="eastAsia" w:ascii="宋体" w:hAnsi="宋体" w:cs="宋体"/>
                <w:color w:val="auto"/>
                <w:szCs w:val="21"/>
                <w:highlight w:val="none"/>
              </w:rPr>
              <w:t>作为主要完成单位或独立完成单位获得省级或以上工法证书奖项，按数量由多至少排序，第1-5名的，得</w:t>
            </w:r>
            <w:r>
              <w:rPr>
                <w:rFonts w:hint="eastAsia" w:ascii="宋体" w:hAnsi="宋体" w:cs="宋体"/>
                <w:color w:val="auto"/>
                <w:szCs w:val="21"/>
                <w:highlight w:val="none"/>
                <w:u w:val="single"/>
              </w:rPr>
              <w:t xml:space="preserve">  4  </w:t>
            </w:r>
            <w:r>
              <w:rPr>
                <w:rFonts w:hint="eastAsia" w:ascii="宋体" w:hAnsi="宋体" w:cs="宋体"/>
                <w:color w:val="auto"/>
                <w:szCs w:val="21"/>
                <w:highlight w:val="none"/>
              </w:rPr>
              <w:t>分；第6-10名的，得</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分；第11-15名的，得</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分；第16-20名的，得</w:t>
            </w:r>
            <w:r>
              <w:rPr>
                <w:rFonts w:hint="eastAsia" w:ascii="宋体" w:hAnsi="宋体" w:cs="宋体"/>
                <w:color w:val="auto"/>
                <w:szCs w:val="21"/>
                <w:highlight w:val="none"/>
                <w:u w:val="single"/>
              </w:rPr>
              <w:t xml:space="preserve"> 1 </w:t>
            </w:r>
            <w:r>
              <w:rPr>
                <w:rFonts w:hint="eastAsia" w:ascii="宋体" w:hAnsi="宋体" w:cs="宋体"/>
                <w:color w:val="auto"/>
                <w:szCs w:val="21"/>
                <w:highlight w:val="none"/>
              </w:rPr>
              <w:t>分；</w:t>
            </w:r>
            <w:r>
              <w:rPr>
                <w:rFonts w:hint="eastAsia"/>
                <w:color w:val="auto"/>
                <w:highlight w:val="none"/>
              </w:rPr>
              <w:t>其他或不提供的均不得分</w:t>
            </w:r>
            <w:r>
              <w:rPr>
                <w:rFonts w:hint="eastAsia" w:ascii="宋体" w:hAnsi="宋体" w:cs="宋体"/>
                <w:color w:val="auto"/>
                <w:szCs w:val="21"/>
                <w:highlight w:val="none"/>
              </w:rPr>
              <w:t>；相同工法按最高级别奖项只计一次得分；本项最多得</w:t>
            </w:r>
            <w:r>
              <w:rPr>
                <w:rFonts w:hint="eastAsia" w:ascii="宋体" w:hAnsi="宋体" w:cs="宋体"/>
                <w:color w:val="auto"/>
                <w:szCs w:val="21"/>
                <w:highlight w:val="none"/>
                <w:u w:val="single"/>
              </w:rPr>
              <w:t xml:space="preserve">  4  </w:t>
            </w:r>
            <w:r>
              <w:rPr>
                <w:rFonts w:hint="eastAsia" w:ascii="宋体" w:hAnsi="宋体" w:cs="宋体"/>
                <w:color w:val="auto"/>
                <w:szCs w:val="21"/>
                <w:highlight w:val="none"/>
              </w:rPr>
              <w:t>分。</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②投标人自</w:t>
            </w:r>
            <w:r>
              <w:rPr>
                <w:rFonts w:hint="eastAsia" w:ascii="宋体" w:hAnsi="宋体" w:cs="宋体"/>
                <w:color w:val="auto"/>
                <w:szCs w:val="21"/>
                <w:highlight w:val="none"/>
                <w:u w:val="single"/>
              </w:rPr>
              <w:t xml:space="preserve">2021 </w:t>
            </w:r>
            <w:r>
              <w:rPr>
                <w:rFonts w:hint="eastAsia" w:ascii="宋体" w:hAnsi="宋体" w:cs="宋体"/>
                <w:color w:val="auto"/>
                <w:szCs w:val="21"/>
                <w:highlight w:val="none"/>
              </w:rPr>
              <w:t>年1月1日至今，作为主要完成单位或独立完成单位获得过省级（或以上）科学技术进步奖或科技进步奖或科学技术奖项：按数量由多至少排序，第1-5名的，得</w:t>
            </w:r>
            <w:r>
              <w:rPr>
                <w:rFonts w:hint="eastAsia" w:ascii="宋体" w:hAnsi="宋体" w:cs="宋体"/>
                <w:color w:val="auto"/>
                <w:szCs w:val="21"/>
                <w:highlight w:val="none"/>
                <w:u w:val="single"/>
              </w:rPr>
              <w:t xml:space="preserve">  4  </w:t>
            </w:r>
            <w:r>
              <w:rPr>
                <w:rFonts w:hint="eastAsia" w:ascii="宋体" w:hAnsi="宋体" w:cs="宋体"/>
                <w:color w:val="auto"/>
                <w:szCs w:val="21"/>
                <w:highlight w:val="none"/>
              </w:rPr>
              <w:t>分；第6-10名的，得</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分；第11-15名的，得</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分；第16-20名的，得</w:t>
            </w:r>
            <w:r>
              <w:rPr>
                <w:rFonts w:hint="eastAsia" w:ascii="宋体" w:hAnsi="宋体" w:cs="宋体"/>
                <w:color w:val="auto"/>
                <w:szCs w:val="21"/>
                <w:highlight w:val="none"/>
                <w:u w:val="single"/>
              </w:rPr>
              <w:t xml:space="preserve"> 1 </w:t>
            </w:r>
            <w:r>
              <w:rPr>
                <w:rFonts w:hint="eastAsia" w:ascii="宋体" w:hAnsi="宋体" w:cs="宋体"/>
                <w:color w:val="auto"/>
                <w:szCs w:val="21"/>
                <w:highlight w:val="none"/>
              </w:rPr>
              <w:t>分；</w:t>
            </w:r>
            <w:r>
              <w:rPr>
                <w:rFonts w:hint="eastAsia"/>
                <w:color w:val="auto"/>
                <w:highlight w:val="none"/>
              </w:rPr>
              <w:t>其他或不提供的均不得分.</w:t>
            </w:r>
            <w:r>
              <w:rPr>
                <w:rFonts w:hint="eastAsia" w:ascii="宋体" w:hAnsi="宋体" w:cs="宋体"/>
                <w:color w:val="auto"/>
                <w:szCs w:val="21"/>
                <w:highlight w:val="none"/>
              </w:rPr>
              <w:t>；同一</w:t>
            </w:r>
            <w:r>
              <w:rPr>
                <w:rFonts w:hint="eastAsia" w:ascii="宋体" w:hAnsi="宋体" w:cs="宋体"/>
                <w:color w:val="auto"/>
                <w:highlight w:val="none"/>
              </w:rPr>
              <w:t>科技成果获得不同级别</w:t>
            </w:r>
            <w:r>
              <w:rPr>
                <w:rFonts w:hint="eastAsia" w:ascii="宋体" w:hAnsi="宋体" w:cs="宋体"/>
                <w:color w:val="auto"/>
                <w:szCs w:val="21"/>
                <w:highlight w:val="none"/>
              </w:rPr>
              <w:t>科学技术进步奖或科技进步奖或科学技术奖的按最高级别只计一次得分；本项最多得</w:t>
            </w:r>
            <w:r>
              <w:rPr>
                <w:rFonts w:hint="eastAsia" w:ascii="宋体" w:hAnsi="宋体" w:cs="宋体"/>
                <w:color w:val="auto"/>
                <w:szCs w:val="21"/>
                <w:highlight w:val="none"/>
                <w:u w:val="single"/>
              </w:rPr>
              <w:t xml:space="preserve">  4  </w:t>
            </w:r>
            <w:r>
              <w:rPr>
                <w:rFonts w:hint="eastAsia" w:ascii="宋体" w:hAnsi="宋体" w:cs="宋体"/>
                <w:color w:val="auto"/>
                <w:szCs w:val="21"/>
                <w:highlight w:val="none"/>
              </w:rPr>
              <w:t>分。</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注：1.仅计算【建筑】工程项目所获的工法奖项、科学技术进步奖、科技进步奖或科学技术奖；时间以发证日期为准。</w:t>
            </w:r>
          </w:p>
          <w:p>
            <w:pPr>
              <w:rPr>
                <w:rFonts w:ascii="宋体" w:hAnsi="宋体" w:cs="宋体"/>
                <w:color w:val="auto"/>
                <w:szCs w:val="21"/>
                <w:highlight w:val="none"/>
              </w:rPr>
            </w:pPr>
            <w:r>
              <w:rPr>
                <w:rFonts w:hint="eastAsia" w:ascii="宋体" w:hAnsi="宋体" w:cs="宋体"/>
                <w:color w:val="auto"/>
                <w:szCs w:val="21"/>
                <w:highlight w:val="none"/>
              </w:rPr>
              <w:t xml:space="preserve">        2.数量相同的投标人，按同一排名计分占用后续名次：假设数量相同的投标人为M 个，按同一排名名次为N，数量与之紧挨的下一个单位的排名名次为（M+N）。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1063" w:type="dxa"/>
            <w:vMerge w:val="continue"/>
          </w:tcPr>
          <w:p>
            <w:pPr>
              <w:ind w:firstLine="400"/>
              <w:rPr>
                <w:rFonts w:ascii="宋体" w:hAnsi="宋体" w:cs="宋体"/>
                <w:color w:val="auto"/>
                <w:szCs w:val="21"/>
                <w:highlight w:val="none"/>
              </w:rPr>
            </w:pPr>
          </w:p>
        </w:tc>
        <w:tc>
          <w:tcPr>
            <w:tcW w:w="1412" w:type="dxa"/>
            <w:gridSpan w:val="2"/>
          </w:tcPr>
          <w:p>
            <w:pPr>
              <w:pStyle w:val="228"/>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第三方评价</w:t>
            </w:r>
          </w:p>
        </w:tc>
        <w:tc>
          <w:tcPr>
            <w:tcW w:w="820" w:type="dxa"/>
            <w:vAlign w:val="center"/>
          </w:tcPr>
          <w:p>
            <w:pPr>
              <w:pStyle w:val="228"/>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1100" w:type="dxa"/>
            <w:gridSpan w:val="4"/>
          </w:tcPr>
          <w:p>
            <w:pPr>
              <w:ind w:firstLine="420" w:firstLineChars="200"/>
              <w:rPr>
                <w:rFonts w:ascii="宋体" w:hAnsi="宋体" w:cs="宋体"/>
                <w:color w:val="auto"/>
                <w:szCs w:val="21"/>
                <w:highlight w:val="none"/>
              </w:rPr>
            </w:pPr>
            <w:r>
              <w:rPr>
                <w:rFonts w:hint="eastAsia" w:ascii="宋体" w:hAnsi="宋体" w:cs="宋体"/>
                <w:color w:val="auto"/>
                <w:szCs w:val="21"/>
                <w:highlight w:val="none"/>
              </w:rPr>
              <w:t>①投标人自</w:t>
            </w:r>
            <w:r>
              <w:rPr>
                <w:rFonts w:hint="eastAsia" w:ascii="宋体" w:hAnsi="宋体" w:cs="宋体"/>
                <w:color w:val="auto"/>
                <w:szCs w:val="21"/>
                <w:highlight w:val="none"/>
                <w:u w:val="single"/>
              </w:rPr>
              <w:t>201</w:t>
            </w:r>
            <w:r>
              <w:rPr>
                <w:rFonts w:hint="eastAsia" w:ascii="宋体" w:hAnsi="宋体" w:cs="宋体"/>
                <w:color w:val="auto"/>
                <w:szCs w:val="21"/>
                <w:highlight w:val="none"/>
                <w:u w:val="single"/>
                <w:lang w:val="en-US" w:eastAsia="zh-CN"/>
              </w:rPr>
              <w:t>8</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至今</w:t>
            </w:r>
            <w:r>
              <w:rPr>
                <w:rFonts w:hint="eastAsia" w:ascii="宋体" w:hAnsi="宋体" w:cs="宋体"/>
                <w:color w:val="auto"/>
                <w:highlight w:val="none"/>
              </w:rPr>
              <w:t>获得税务机关评定为“纳税信用A级纳税人”的，获得过五年的</w:t>
            </w:r>
            <w:r>
              <w:rPr>
                <w:rFonts w:hint="eastAsia" w:ascii="宋体" w:hAnsi="宋体" w:cs="宋体"/>
                <w:color w:val="auto"/>
                <w:szCs w:val="21"/>
                <w:highlight w:val="none"/>
              </w:rPr>
              <w:t>得</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3</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w:t>
            </w:r>
            <w:r>
              <w:rPr>
                <w:rFonts w:hint="eastAsia" w:ascii="宋体" w:hAnsi="宋体" w:cs="宋体"/>
                <w:color w:val="auto"/>
                <w:highlight w:val="none"/>
              </w:rPr>
              <w:t>获得过三至四年的</w:t>
            </w:r>
            <w:r>
              <w:rPr>
                <w:rFonts w:hint="eastAsia" w:ascii="宋体" w:hAnsi="宋体" w:cs="宋体"/>
                <w:color w:val="auto"/>
                <w:szCs w:val="21"/>
                <w:highlight w:val="none"/>
              </w:rPr>
              <w:t>得</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2</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w:t>
            </w:r>
            <w:r>
              <w:rPr>
                <w:rFonts w:hint="eastAsia" w:ascii="宋体" w:hAnsi="宋体" w:cs="宋体"/>
                <w:color w:val="auto"/>
                <w:highlight w:val="none"/>
              </w:rPr>
              <w:t>获得过一至二年的</w:t>
            </w:r>
            <w:r>
              <w:rPr>
                <w:rFonts w:hint="eastAsia" w:ascii="宋体" w:hAnsi="宋体" w:cs="宋体"/>
                <w:color w:val="auto"/>
                <w:szCs w:val="21"/>
                <w:highlight w:val="none"/>
              </w:rPr>
              <w:t>得</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1</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分；一个年度只计算一次，本项最多得</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分。</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②投标人自</w:t>
            </w:r>
            <w:r>
              <w:rPr>
                <w:rFonts w:hint="eastAsia" w:ascii="宋体" w:hAnsi="宋体" w:cs="宋体"/>
                <w:color w:val="auto"/>
                <w:szCs w:val="21"/>
                <w:highlight w:val="none"/>
                <w:u w:val="single"/>
              </w:rPr>
              <w:t>2019</w:t>
            </w:r>
            <w:r>
              <w:rPr>
                <w:rFonts w:hint="eastAsia" w:ascii="宋体" w:hAnsi="宋体" w:cs="宋体"/>
                <w:color w:val="auto"/>
                <w:szCs w:val="21"/>
                <w:highlight w:val="none"/>
              </w:rPr>
              <w:t>年1月1日至今（近五年）获得中国施工企业管理协会或中国建筑业协会颁发的诚信评价或信用等级评价A</w:t>
            </w:r>
            <w:r>
              <w:rPr>
                <w:rFonts w:ascii="宋体" w:hAnsi="宋体" w:cs="宋体"/>
                <w:color w:val="auto"/>
                <w:szCs w:val="21"/>
                <w:highlight w:val="none"/>
              </w:rPr>
              <w:t>AA</w:t>
            </w:r>
            <w:r>
              <w:rPr>
                <w:rFonts w:hint="eastAsia" w:ascii="宋体" w:hAnsi="宋体" w:cs="宋体"/>
                <w:color w:val="auto"/>
                <w:szCs w:val="21"/>
                <w:highlight w:val="none"/>
              </w:rPr>
              <w:t>级，</w:t>
            </w:r>
            <w:r>
              <w:rPr>
                <w:rFonts w:hint="eastAsia" w:ascii="宋体" w:hAnsi="宋体" w:cs="宋体"/>
                <w:color w:val="auto"/>
                <w:highlight w:val="none"/>
              </w:rPr>
              <w:t>获得过五次的</w:t>
            </w:r>
            <w:r>
              <w:rPr>
                <w:rFonts w:hint="eastAsia" w:ascii="宋体" w:hAnsi="宋体" w:cs="宋体"/>
                <w:color w:val="auto"/>
                <w:szCs w:val="21"/>
                <w:highlight w:val="none"/>
              </w:rPr>
              <w:t>得</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3</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w:t>
            </w:r>
            <w:r>
              <w:rPr>
                <w:rFonts w:hint="eastAsia" w:ascii="宋体" w:hAnsi="宋体" w:cs="宋体"/>
                <w:color w:val="auto"/>
                <w:highlight w:val="none"/>
              </w:rPr>
              <w:t>获得过三至四次的</w:t>
            </w:r>
            <w:r>
              <w:rPr>
                <w:rFonts w:hint="eastAsia" w:ascii="宋体" w:hAnsi="宋体" w:cs="宋体"/>
                <w:color w:val="auto"/>
                <w:szCs w:val="21"/>
                <w:highlight w:val="none"/>
              </w:rPr>
              <w:t>得</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2</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w:t>
            </w:r>
            <w:r>
              <w:rPr>
                <w:rFonts w:hint="eastAsia" w:ascii="宋体" w:hAnsi="宋体" w:cs="宋体"/>
                <w:color w:val="auto"/>
                <w:highlight w:val="none"/>
              </w:rPr>
              <w:t>获得过一至二次的</w:t>
            </w:r>
            <w:r>
              <w:rPr>
                <w:rFonts w:hint="eastAsia" w:ascii="宋体" w:hAnsi="宋体" w:cs="宋体"/>
                <w:color w:val="auto"/>
                <w:szCs w:val="21"/>
                <w:highlight w:val="none"/>
              </w:rPr>
              <w:t>得</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1</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分；本项最多得</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2475" w:type="dxa"/>
            <w:gridSpan w:val="3"/>
            <w:vAlign w:val="center"/>
          </w:tcPr>
          <w:p>
            <w:pPr>
              <w:pStyle w:val="228"/>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合计（一+二+三）</w:t>
            </w:r>
          </w:p>
        </w:tc>
        <w:tc>
          <w:tcPr>
            <w:tcW w:w="820" w:type="dxa"/>
            <w:vAlign w:val="center"/>
          </w:tcPr>
          <w:p>
            <w:pPr>
              <w:pStyle w:val="228"/>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11100" w:type="dxa"/>
            <w:gridSpan w:val="4"/>
            <w:vAlign w:val="center"/>
          </w:tcPr>
          <w:p>
            <w:pPr>
              <w:pStyle w:val="228"/>
              <w:ind w:firstLine="420" w:firstLineChars="200"/>
              <w:jc w:val="center"/>
              <w:rPr>
                <w:rFonts w:ascii="宋体" w:hAnsi="宋体" w:eastAsia="宋体" w:cs="宋体"/>
                <w:color w:val="auto"/>
                <w:sz w:val="21"/>
                <w:szCs w:val="21"/>
                <w:highlight w:val="none"/>
              </w:rPr>
            </w:pPr>
          </w:p>
        </w:tc>
      </w:tr>
    </w:tbl>
    <w:p>
      <w:pPr>
        <w:pStyle w:val="228"/>
        <w:ind w:firstLine="422" w:firstLineChars="200"/>
        <w:rPr>
          <w:rFonts w:ascii="仿宋" w:hAnsi="仿宋" w:eastAsia="仿宋" w:cs="宋体"/>
          <w:color w:val="auto"/>
          <w:sz w:val="21"/>
          <w:szCs w:val="21"/>
          <w:highlight w:val="none"/>
        </w:rPr>
      </w:pPr>
      <w:r>
        <w:rPr>
          <w:rFonts w:hint="eastAsia" w:ascii="仿宋" w:hAnsi="仿宋" w:eastAsia="仿宋" w:cs="宋体"/>
          <w:b/>
          <w:color w:val="auto"/>
          <w:sz w:val="21"/>
          <w:szCs w:val="21"/>
          <w:highlight w:val="none"/>
        </w:rPr>
        <w:t>备注</w:t>
      </w:r>
      <w:r>
        <w:rPr>
          <w:rFonts w:hint="eastAsia" w:ascii="仿宋" w:hAnsi="仿宋" w:eastAsia="仿宋" w:cs="宋体"/>
          <w:color w:val="auto"/>
          <w:sz w:val="21"/>
          <w:szCs w:val="21"/>
          <w:highlight w:val="none"/>
        </w:rPr>
        <w:t>：</w:t>
      </w:r>
    </w:p>
    <w:p>
      <w:pPr>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1.评委对业绩认定意见不一致时，则由招标人解释招标文件后，评委讨论业绩认定标准；经讨论后标准仍不一致时，则按少数服从多数处理。按少数服从多数仍不能形成一致意见时，对评标结果有不同意见的评标委员会成员应当以书面形式说明其不同意见和理由，评标报告应当注明该不同意见。评标委员会成员拒绝在评标报告上签字又不书面说明其不同意见和理由的，视为同意评标结果。 </w:t>
      </w:r>
    </w:p>
    <w:p>
      <w:pPr>
        <w:pStyle w:val="228"/>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2</w:t>
      </w:r>
      <w:bookmarkStart w:id="226" w:name="_Hlk97049913"/>
      <w:r>
        <w:rPr>
          <w:rFonts w:hint="eastAsia" w:ascii="仿宋" w:hAnsi="仿宋" w:eastAsia="仿宋" w:cs="仿宋"/>
          <w:b/>
          <w:bCs/>
          <w:color w:val="auto"/>
          <w:sz w:val="21"/>
          <w:szCs w:val="21"/>
          <w:highlight w:val="none"/>
        </w:rPr>
        <w:t>.企业类似工程业绩：</w:t>
      </w:r>
    </w:p>
    <w:p>
      <w:pPr>
        <w:pStyle w:val="228"/>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（1）建筑工程项目：业绩取自</w:t>
      </w:r>
      <w:r>
        <w:rPr>
          <w:rFonts w:hint="eastAsia" w:ascii="仿宋" w:hAnsi="仿宋" w:eastAsia="仿宋" w:cs="仿宋"/>
          <w:b/>
          <w:bCs/>
          <w:color w:val="auto"/>
          <w:sz w:val="21"/>
          <w:szCs w:val="21"/>
          <w:highlight w:val="none"/>
        </w:rPr>
        <w:t>广州市住建行业信用管理平台</w:t>
      </w:r>
      <w:r>
        <w:rPr>
          <w:rFonts w:hint="eastAsia" w:ascii="仿宋" w:hAnsi="仿宋" w:eastAsia="仿宋" w:cs="仿宋"/>
          <w:color w:val="auto"/>
          <w:sz w:val="21"/>
          <w:szCs w:val="21"/>
          <w:highlight w:val="none"/>
        </w:rPr>
        <w:t>。投标人须提供类似工程业绩的项目名称及业绩在</w:t>
      </w:r>
      <w:r>
        <w:rPr>
          <w:rFonts w:hint="eastAsia" w:ascii="仿宋" w:hAnsi="仿宋" w:eastAsia="仿宋" w:cs="仿宋"/>
          <w:b/>
          <w:bCs/>
          <w:color w:val="auto"/>
          <w:sz w:val="21"/>
          <w:szCs w:val="21"/>
          <w:highlight w:val="none"/>
        </w:rPr>
        <w:t>广州市住建行业信用管理平台</w:t>
      </w:r>
      <w:r>
        <w:rPr>
          <w:rFonts w:hint="eastAsia" w:ascii="仿宋" w:hAnsi="仿宋" w:eastAsia="仿宋" w:cs="仿宋"/>
          <w:color w:val="auto"/>
          <w:sz w:val="21"/>
          <w:szCs w:val="21"/>
          <w:highlight w:val="none"/>
        </w:rPr>
        <w:t>中项目编号。不提供项目名称及项目编号的业绩不予评审。若投标人提供的项目名称与项目编号不一致：①项目名称和项目编号在</w:t>
      </w:r>
      <w:r>
        <w:rPr>
          <w:rFonts w:hint="eastAsia" w:ascii="仿宋" w:hAnsi="仿宋" w:eastAsia="仿宋" w:cs="仿宋"/>
          <w:b/>
          <w:bCs/>
          <w:color w:val="auto"/>
          <w:sz w:val="21"/>
          <w:szCs w:val="21"/>
          <w:highlight w:val="none"/>
        </w:rPr>
        <w:t>平台内</w:t>
      </w:r>
      <w:r>
        <w:rPr>
          <w:rFonts w:hint="eastAsia" w:ascii="仿宋" w:hAnsi="仿宋" w:eastAsia="仿宋" w:cs="仿宋"/>
          <w:color w:val="auto"/>
          <w:sz w:val="21"/>
          <w:szCs w:val="21"/>
          <w:highlight w:val="none"/>
        </w:rPr>
        <w:t>分别对应不同业绩的，以项目名称对应的业绩为准；②项目名称存在对应业绩的，项目编号在</w:t>
      </w:r>
      <w:r>
        <w:rPr>
          <w:rFonts w:hint="eastAsia" w:ascii="仿宋" w:hAnsi="仿宋" w:eastAsia="仿宋" w:cs="仿宋"/>
          <w:b/>
          <w:bCs/>
          <w:color w:val="auto"/>
          <w:sz w:val="21"/>
          <w:szCs w:val="21"/>
          <w:highlight w:val="none"/>
        </w:rPr>
        <w:t>平台内</w:t>
      </w:r>
      <w:r>
        <w:rPr>
          <w:rFonts w:hint="eastAsia" w:ascii="仿宋" w:hAnsi="仿宋" w:eastAsia="仿宋" w:cs="仿宋"/>
          <w:color w:val="auto"/>
          <w:sz w:val="21"/>
          <w:szCs w:val="21"/>
          <w:highlight w:val="none"/>
        </w:rPr>
        <w:t>不存在对应业绩，以项目名称对应的业绩为准；③项目名称在</w:t>
      </w:r>
      <w:r>
        <w:rPr>
          <w:rFonts w:hint="eastAsia" w:ascii="仿宋" w:hAnsi="仿宋" w:eastAsia="仿宋" w:cs="仿宋"/>
          <w:b/>
          <w:bCs/>
          <w:color w:val="auto"/>
          <w:sz w:val="21"/>
          <w:szCs w:val="21"/>
          <w:highlight w:val="none"/>
        </w:rPr>
        <w:t>平台内</w:t>
      </w:r>
      <w:r>
        <w:rPr>
          <w:rFonts w:hint="eastAsia" w:ascii="仿宋" w:hAnsi="仿宋" w:eastAsia="仿宋" w:cs="仿宋"/>
          <w:color w:val="auto"/>
          <w:sz w:val="21"/>
          <w:szCs w:val="21"/>
          <w:highlight w:val="none"/>
        </w:rPr>
        <w:t>不存在对应业绩，项目编号存在对应业绩的，以项目编号对应的业绩为准。评标委员会对业绩的评审以递交投标文件截止时间投标人在</w:t>
      </w:r>
      <w:r>
        <w:rPr>
          <w:rFonts w:hint="eastAsia" w:ascii="仿宋" w:hAnsi="仿宋" w:eastAsia="仿宋" w:cs="仿宋"/>
          <w:b/>
          <w:bCs/>
          <w:color w:val="auto"/>
          <w:sz w:val="21"/>
          <w:szCs w:val="21"/>
          <w:highlight w:val="none"/>
        </w:rPr>
        <w:t>平台内</w:t>
      </w:r>
      <w:r>
        <w:rPr>
          <w:rFonts w:hint="eastAsia" w:ascii="仿宋" w:hAnsi="仿宋" w:eastAsia="仿宋" w:cs="仿宋"/>
          <w:color w:val="auto"/>
          <w:sz w:val="21"/>
          <w:szCs w:val="21"/>
          <w:highlight w:val="none"/>
        </w:rPr>
        <w:t>业绩上传件为依据。其中：工程总承包业绩包括勘察设计施工总承包或设计施工总承包或设计采购施工总承包或勘察设计采购施工总承包业绩等。</w:t>
      </w:r>
    </w:p>
    <w:p>
      <w:pPr>
        <w:pStyle w:val="228"/>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a.适用于施工总承包及工程总承包项目：金额以中标通知书（其中工程总承包业绩以施工费中标金额）为准，中标通知书上没有金额或免招标的，以施工合同或工程总承包合同（不含补充合同，其中工程总承包业绩以施工费合同金额）为准。在平台中“工程对应的企业资质”栏中须登记有与本项目要求相对应的资质【具体资质要求：建筑工程施工总承包（原房屋建筑工程施工总承包）】。</w:t>
      </w:r>
    </w:p>
    <w:p>
      <w:pPr>
        <w:pStyle w:val="228"/>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b.技术指标（如有，具体要求在招标公告中明确）需在</w:t>
      </w:r>
      <w:r>
        <w:rPr>
          <w:rFonts w:hint="eastAsia" w:ascii="仿宋" w:hAnsi="仿宋" w:eastAsia="仿宋" w:cs="仿宋"/>
          <w:b/>
          <w:bCs/>
          <w:color w:val="auto"/>
          <w:sz w:val="21"/>
          <w:szCs w:val="21"/>
          <w:highlight w:val="none"/>
        </w:rPr>
        <w:t>广州市住建行业信用管理平台</w:t>
      </w:r>
      <w:r>
        <w:rPr>
          <w:rFonts w:hint="eastAsia" w:ascii="仿宋" w:hAnsi="仿宋" w:eastAsia="仿宋" w:cs="仿宋"/>
          <w:color w:val="auto"/>
          <w:sz w:val="21"/>
          <w:szCs w:val="21"/>
          <w:highlight w:val="none"/>
        </w:rPr>
        <w:t>业绩上传件中反映。</w:t>
      </w:r>
    </w:p>
    <w:p>
      <w:pPr>
        <w:pStyle w:val="228"/>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c.完成时间以竣工验收文件为准。验收文件至少具有建设单位、设计、施工和监理单位盖章（适用于施工总承包项目）。</w:t>
      </w:r>
    </w:p>
    <w:p>
      <w:pPr>
        <w:pStyle w:val="228"/>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d.平台内业绩上传件不符合上述要求的或登记的工程资质内容与施工合同或工程总承包合同等业绩证明资料不相符的，该项业绩不予认定。</w:t>
      </w:r>
    </w:p>
    <w:bookmarkEnd w:id="226"/>
    <w:p>
      <w:pPr>
        <w:pStyle w:val="228"/>
        <w:ind w:firstLine="360"/>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3.企业工程项目获奖情况：</w:t>
      </w:r>
    </w:p>
    <w:p>
      <w:pPr>
        <w:pStyle w:val="228"/>
        <w:ind w:firstLine="36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bookmarkStart w:id="227" w:name="_Hlk150104747"/>
      <w:r>
        <w:rPr>
          <w:rFonts w:hint="eastAsia" w:ascii="仿宋" w:hAnsi="仿宋" w:eastAsia="仿宋" w:cs="仿宋"/>
          <w:color w:val="auto"/>
          <w:sz w:val="21"/>
          <w:szCs w:val="21"/>
          <w:highlight w:val="none"/>
        </w:rPr>
        <w:t>建筑工程</w:t>
      </w:r>
      <w:bookmarkEnd w:id="227"/>
      <w:r>
        <w:rPr>
          <w:rFonts w:hint="eastAsia" w:ascii="仿宋" w:hAnsi="仿宋" w:eastAsia="仿宋" w:cs="仿宋"/>
          <w:color w:val="auto"/>
          <w:sz w:val="21"/>
          <w:szCs w:val="21"/>
          <w:highlight w:val="none"/>
        </w:rPr>
        <w:t>项目：</w:t>
      </w:r>
    </w:p>
    <w:p>
      <w:pPr>
        <w:pStyle w:val="228"/>
        <w:ind w:firstLine="36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①只评质量奖项，不包含技术创新、QC成果、科技进步及技术应用类、安全文明类等非质量奖项;工程获奖资料取自广州市住建行业信用管理平台，时间以发证日期为准。其中国家级奖项包括：中国建设工程鲁班奖、国家优质工程金奖、国家优质工程奖、中国土木工程詹天佑奖；省级</w:t>
      </w:r>
      <w:r>
        <w:rPr>
          <w:rFonts w:hint="eastAsia" w:ascii="仿宋" w:hAnsi="仿宋" w:eastAsia="仿宋" w:cs="仿宋"/>
          <w:color w:val="auto"/>
          <w:sz w:val="21"/>
          <w:szCs w:val="21"/>
          <w:highlight w:val="none"/>
          <w:lang w:val="en-US" w:eastAsia="zh-CN"/>
        </w:rPr>
        <w:t>或市级</w:t>
      </w:r>
      <w:r>
        <w:rPr>
          <w:rFonts w:hint="eastAsia" w:ascii="仿宋" w:hAnsi="仿宋" w:eastAsia="仿宋" w:cs="仿宋"/>
          <w:color w:val="auto"/>
          <w:sz w:val="21"/>
          <w:szCs w:val="21"/>
          <w:highlight w:val="none"/>
        </w:rPr>
        <w:t>奖项是指由省级</w:t>
      </w:r>
      <w:r>
        <w:rPr>
          <w:rFonts w:hint="eastAsia" w:ascii="仿宋" w:hAnsi="仿宋" w:eastAsia="仿宋" w:cs="仿宋"/>
          <w:color w:val="auto"/>
          <w:sz w:val="21"/>
          <w:szCs w:val="21"/>
          <w:highlight w:val="none"/>
          <w:lang w:val="en-US" w:eastAsia="zh-CN"/>
        </w:rPr>
        <w:t>或市级</w:t>
      </w:r>
      <w:r>
        <w:rPr>
          <w:rFonts w:hint="eastAsia" w:ascii="仿宋" w:hAnsi="仿宋" w:eastAsia="仿宋" w:cs="仿宋"/>
          <w:color w:val="auto"/>
          <w:sz w:val="21"/>
          <w:szCs w:val="21"/>
          <w:highlight w:val="none"/>
        </w:rPr>
        <w:t>建设行政主管部门或行业协会颁发的工程质量类奖项。同一项目按最高级别奖项只计一次得分。不符合条件的奖项不计分。</w:t>
      </w:r>
    </w:p>
    <w:p>
      <w:pPr>
        <w:pStyle w:val="228"/>
        <w:ind w:firstLine="36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②投标人须同时提供广州市住建行业信用管理平台获奖网页信息截图及奖项证书扫描件，时间以发证时间为准。不符合上述条件或不提供平台内网页信息截图和获奖证书上传件的获奖不予计分。</w:t>
      </w:r>
    </w:p>
    <w:p>
      <w:pPr>
        <w:pStyle w:val="228"/>
        <w:ind w:firstLine="360"/>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4.项目负责人业绩：</w:t>
      </w:r>
    </w:p>
    <w:p>
      <w:pPr>
        <w:pStyle w:val="228"/>
        <w:ind w:firstLine="360"/>
        <w:rPr>
          <w:rFonts w:ascii="仿宋" w:hAnsi="仿宋" w:eastAsia="仿宋" w:cs="仿宋"/>
          <w:b/>
          <w:bCs/>
          <w:color w:val="auto"/>
          <w:sz w:val="21"/>
          <w:szCs w:val="21"/>
          <w:highlight w:val="none"/>
        </w:rPr>
      </w:pPr>
      <w:r>
        <w:rPr>
          <w:rFonts w:hint="eastAsia" w:ascii="仿宋" w:hAnsi="仿宋" w:eastAsia="仿宋" w:cs="仿宋"/>
          <w:color w:val="auto"/>
          <w:sz w:val="21"/>
          <w:szCs w:val="21"/>
          <w:highlight w:val="none"/>
        </w:rPr>
        <w:t>（1）建筑工程项目：业绩取自广州市住建行业信用管理平台，投标人须提供类似工程业绩的项目名称及业绩在广州市住建行业信用管理平台中项目编号。不提供项目名称及项目编号的业绩不予评审。若投标人提供的项目名称与项目编号不一致：①项目名称和项目编号在平台分别对应不同业绩的，以项目名称对应的业绩为准②项目名称存在对应业绩的，项目编号在平台不存在对应业绩，以项目名称对应的业绩为准③项目名称在平台不存在对应业绩，项目编号存在对应业绩的，以项目编号对应的业绩为准。评标委员会对业绩的评审以投标截止时间在平台业绩上传件为依据。平台中竣工验收文件须有对应职位及该人员的姓名（如竣工文件无对应职位及该人员姓名的，则投标人需提供体现该人员以对应职位参与过该项目的其他经建设单位盖章确认的证明材料扫描件并加盖投标人电子印章，无提供证明材料不计分）。金额以中标通知书为准，中标通知书上没有金额或免招标的，以施工合同或工程总承包合同的施工费合同金额为准（不含补充合同），在平台中“工程对应的企业资质”栏中须登记有与本项目要求相对应的资质【具体资质要求：建筑工程施工总承包（原房屋建筑工程施工总承包）】，完成时间以竣工验收文件为准。验收文件至少具有建设单位、设计、施工和监理单位盖章，平台业绩上传件不符合上述要求的或登记的工程资质内容与施工合同或工程总承包合同等业绩证明资料不相符的，该项业绩不予认定。</w:t>
      </w:r>
    </w:p>
    <w:p>
      <w:pPr>
        <w:pStyle w:val="228"/>
        <w:ind w:firstLine="360"/>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5.企业工程研发能力：</w:t>
      </w:r>
    </w:p>
    <w:p>
      <w:pPr>
        <w:pStyle w:val="228"/>
        <w:ind w:firstLine="36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省级或以上工法奖，需提供经建设行政主管部门认定的获奖证书原件扫描件。证书上应可反映其为【建筑】类工法，若无法反映，需提供建设职能部门（或其主管的行业协会）出具的科学技术成果鉴定证书扫描件，并且在科学技术成果鉴定证书中需能反映该工法的研究背景项目为【建筑】类项目，无法证明该工法为【建筑】类项目获得的工法不得分。相同工法按最高级别奖项只计一次得分。获奖时间以发证时间为准。如颁奖单位为协会的，还须提供其在“全国社会组织信用信息公示平台（试运行）”网站（https://xxgs.chinanpo.mca.gov.cn/gsxt/newList）（注：由于全国社会组织信用信息公示平台（试运行）属于试运行，平台名称及网址若有更新，以最新发布的为准。）“全国社会组织信用信息公示平台”栏查询结果截图，同时须提供其在查询结果“状态”栏必须为“正常”，证明其有登记备案，否则不得分。</w:t>
      </w:r>
    </w:p>
    <w:p>
      <w:pPr>
        <w:pStyle w:val="228"/>
        <w:ind w:firstLine="36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省级或以上科学技术进步奖或科技进步奖或科学技术奖：指省级或以上政府部门或中国社会组织依法依规设立的“科学技术进步奖”或“科技进步奖”或“科学技术奖”：须提供科学技术奖证书扫描件，时间以证书中载明的发证时间为准。①科学技术奖励发证机构须为省级或以上政府部门或在国家科学技术奖励工作办公室相关网站（https://www.nosta.gov.cn/pc/zh/shkjjl/jlmu/page_1.shtml，平台名称及网址若有更新，以最新发布的为准。）或省级科技行政部门相关网站可查询到的社会组织或按照《国家科学技术奖励条例》及《科技部关于进一步鼓励和规范社会力量设立科学技术奖的指导意见》的相关规定设立“科学技术奖”的中国社会组织 ；②中国社会组织（如协会、学会等）需提供其在国家或省级科技行政部门网页查询信息页截图及查询路径或提供发证机构符合科技行政部门要求具有设奖资格等相关证明材料，还须提供其在“全国社会组织信用信息公示平台（试运行）”网站（https://xxgs.chinanpo.mca.gov.cn/gsxt/newList）（注：由于全国社会组织信用信息公示平台（试运行）属于试运行，平台名称及网址若有更新，以最新发布的为准。）“全国社会组织信用信息公示平台”栏查询结果截图，同时须提供其在查询结果“状态”栏必须为“正常”；③仅计算【建筑】工程获得的科学技术奖，证书上需明确其为【建筑】工程获得的科学技术奖励，若无法明确，需提供当地行政主管部门或科技行政部门认可的组织出具的科学技术成果鉴定证书或第三方技术评价证明材料扫描件，并且在科学技术成果鉴定证书或第三方评价证明材料中需明确该科学技术奖励的研究背景项目为【建筑】工程项目，无法提供证书清晰扫描件和科学技术成果鉴定证书或第三方评价证明材料扫描件的且无法证明该科学技术奖励为【建筑】工程项目获得的科学技术奖励不得分。社会组织颁发的科技奖项无法提供发证单位在上述相关网页查询信息页截图及查询路径或提供其设奖资格证明材料的不得分。同一科学技术进步奖或科技进步奖或科学技术奖获得不同级别奖项的按最高级别只计一次得分。</w:t>
      </w:r>
    </w:p>
    <w:p>
      <w:pPr>
        <w:pStyle w:val="228"/>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不符合上述条件或未提供上述资料的奖项不计分。</w:t>
      </w:r>
    </w:p>
    <w:p>
      <w:pPr>
        <w:pStyle w:val="228"/>
        <w:ind w:firstLine="422" w:firstLineChars="200"/>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6.第三方评价：</w:t>
      </w:r>
    </w:p>
    <w:p>
      <w:pPr>
        <w:pStyle w:val="228"/>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纳税信用A级纳税人”须提供国家税务总局官网（http://www.chinatax.gov.cn/）“纳税信用A级纳税人名单公布栏”查询结果网页截图或其省级（含直辖市）税务局官网“纳税信用A级纳税人名单公布栏”查询结果网页截图。时间以国家税务总局或其省级（含直辖市）税务局网站纳税信用信息查询结果的网页截图公布的评价年度为准，上述资料显示的纳税人全称须与投标人名称一致，否则不得分。不满足上述要求或无提交上述资料不得分。</w:t>
      </w:r>
    </w:p>
    <w:p>
      <w:pPr>
        <w:pStyle w:val="228"/>
        <w:ind w:firstLine="420" w:firstLineChars="20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u w:val="single"/>
        </w:rPr>
        <w:t>（2）企业诚信或信用状况：投标人需提供中国建筑业协会网站（网址：http://www.zgjzy.org.cn/）或中国施工企业管理协会网站（网址：https://www.cacem.com.cn/）颁发的企业诚信或信用等级的证书扫描件，如证书需年度复审或年审的，须提供企业诚信或信用等级证书相应年度的复审、年审记录。获得评价时间以发证时间（年度复审或年审时间）为准。发证年度和复审年度或年审年度均计算次数。不同年度不同协会的企业诚信或信用等级评价结果可互相累加，但同一年度不同协会的企业诚信或信用等级评价结果不可累加，只计算一次。本项只计算投标人自身（不计算投标人的分公司、子公司和分支机构）。不符合上述条件或未提供上述资料的不得分。</w:t>
      </w:r>
    </w:p>
    <w:p>
      <w:pPr>
        <w:pStyle w:val="228"/>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本表按百分制评分，所有评委每个分项的分数汇总后去掉一个最高分和一个最低分的算术平均值为投标人的最终得分。分数出现小数点，保留小数点后二位小数，第三位小数四舍五入,若投标人满足多个档次的，按最高档计分一次，不累计。</w:t>
      </w:r>
    </w:p>
    <w:p>
      <w:pPr>
        <w:pStyle w:val="228"/>
        <w:ind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8.项目管理机构人员不得兼任。</w:t>
      </w:r>
    </w:p>
    <w:p>
      <w:pPr>
        <w:pStyle w:val="228"/>
        <w:ind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除了项目组织管理机构能力可计算投标人的分公司（不具备独立法人）或投标人的分支机构（不具备独立法人）外，评分表内其他评分项目只计算投标人自身（不计算投标人的分公司、子公司和分支机构），否则不得分。</w:t>
      </w:r>
    </w:p>
    <w:p>
      <w:pPr>
        <w:pStyle w:val="228"/>
        <w:ind w:firstLine="42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u w:val="single"/>
        </w:rPr>
        <w:t>10.</w:t>
      </w:r>
      <w:r>
        <w:rPr>
          <w:rFonts w:hint="eastAsia" w:ascii="仿宋" w:hAnsi="仿宋" w:eastAsia="仿宋" w:cs="宋体"/>
          <w:color w:val="auto"/>
          <w:sz w:val="21"/>
          <w:szCs w:val="21"/>
          <w:highlight w:val="none"/>
          <w:u w:val="single"/>
        </w:rPr>
        <w:t>若为联合体，除了其他专业工程师可计算联合体各方得分外，其他评分内容只计算主办方得分</w:t>
      </w:r>
      <w:r>
        <w:rPr>
          <w:rFonts w:hint="eastAsia" w:ascii="仿宋" w:hAnsi="仿宋" w:eastAsia="仿宋" w:cs="仿宋"/>
          <w:color w:val="auto"/>
          <w:sz w:val="21"/>
          <w:szCs w:val="21"/>
          <w:highlight w:val="none"/>
          <w:u w:val="single"/>
        </w:rPr>
        <w:t>。</w:t>
      </w:r>
    </w:p>
    <w:p>
      <w:pPr>
        <w:pStyle w:val="228"/>
        <w:spacing w:line="360" w:lineRule="auto"/>
        <w:ind w:firstLine="42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u w:val="single"/>
        </w:rPr>
        <w:t>11.投标人提供的网页信息截图或证明材料扫描件内容必须清晰可辨，如因网页信息截图或证明材料扫描件内容模糊导致评标时无法判断的，后果由投标人自负。</w:t>
      </w:r>
    </w:p>
    <w:p>
      <w:pPr>
        <w:rPr>
          <w:rFonts w:hint="eastAsia"/>
          <w:color w:val="auto"/>
          <w:highlight w:val="none"/>
        </w:rPr>
      </w:pPr>
      <w:r>
        <w:rPr>
          <w:rFonts w:hint="eastAsia"/>
          <w:color w:val="auto"/>
          <w:highlight w:val="none"/>
        </w:rPr>
        <w:br w:type="page"/>
      </w:r>
    </w:p>
    <w:p>
      <w:pPr>
        <w:pStyle w:val="4"/>
        <w:jc w:val="left"/>
        <w:rPr>
          <w:color w:val="auto"/>
          <w:highlight w:val="none"/>
        </w:rPr>
      </w:pPr>
      <w:r>
        <w:rPr>
          <w:rFonts w:hint="eastAsia"/>
          <w:color w:val="auto"/>
          <w:highlight w:val="none"/>
        </w:rPr>
        <w:t>附表五（适用于区间抽取法）</w:t>
      </w:r>
      <w:bookmarkEnd w:id="220"/>
      <w:bookmarkEnd w:id="221"/>
      <w:bookmarkEnd w:id="222"/>
      <w:bookmarkEnd w:id="223"/>
      <w:bookmarkEnd w:id="224"/>
      <w:bookmarkEnd w:id="225"/>
    </w:p>
    <w:p>
      <w:pPr>
        <w:jc w:val="center"/>
        <w:rPr>
          <w:b/>
          <w:color w:val="auto"/>
          <w:sz w:val="36"/>
          <w:szCs w:val="36"/>
          <w:highlight w:val="none"/>
        </w:rPr>
      </w:pPr>
      <w:r>
        <w:rPr>
          <w:rFonts w:hint="eastAsia"/>
          <w:b/>
          <w:color w:val="auto"/>
          <w:sz w:val="36"/>
          <w:szCs w:val="36"/>
          <w:highlight w:val="none"/>
        </w:rPr>
        <w:t>经济标评分表</w:t>
      </w:r>
    </w:p>
    <w:p>
      <w:pPr>
        <w:rPr>
          <w:color w:val="auto"/>
          <w:szCs w:val="21"/>
          <w:highlight w:val="none"/>
        </w:rPr>
      </w:pPr>
      <w:r>
        <w:rPr>
          <w:rFonts w:hint="eastAsia"/>
          <w:color w:val="auto"/>
          <w:szCs w:val="21"/>
          <w:highlight w:val="none"/>
        </w:rPr>
        <w:t>工程名称：</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1037"/>
        <w:gridCol w:w="1051"/>
        <w:gridCol w:w="1050"/>
        <w:gridCol w:w="1050"/>
        <w:gridCol w:w="1050"/>
        <w:gridCol w:w="1050"/>
        <w:gridCol w:w="1050"/>
        <w:gridCol w:w="1050"/>
        <w:gridCol w:w="1050"/>
        <w:gridCol w:w="1050"/>
        <w:gridCol w:w="1050"/>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0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投标人名称</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投标报价</w:t>
            </w:r>
            <w:r>
              <w:rPr>
                <w:rFonts w:ascii="宋体" w:hAnsi="宋体"/>
                <w:color w:val="auto"/>
                <w:szCs w:val="21"/>
                <w:highlight w:val="none"/>
              </w:rPr>
              <w:t>PT</w:t>
            </w:r>
            <w:r>
              <w:rPr>
                <w:rFonts w:hint="eastAsia" w:ascii="宋体" w:hAnsi="宋体"/>
                <w:color w:val="auto"/>
                <w:szCs w:val="21"/>
                <w:highlight w:val="none"/>
              </w:rPr>
              <w:t>（元）</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计算评标参考价的等分点值X</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评标参考价PC（元）</w:t>
            </w:r>
          </w:p>
        </w:tc>
        <w:tc>
          <w:tcPr>
            <w:tcW w:w="12587" w:type="dxa"/>
            <w:gridSpan w:val="12"/>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偏差（（</w:t>
            </w:r>
            <w:r>
              <w:rPr>
                <w:rFonts w:ascii="宋体" w:hAnsi="宋体"/>
                <w:color w:val="auto"/>
                <w:szCs w:val="21"/>
                <w:highlight w:val="none"/>
              </w:rPr>
              <w:t>PT-PC</w:t>
            </w:r>
            <w:r>
              <w:rPr>
                <w:rFonts w:hint="eastAsia" w:ascii="宋体" w:hAnsi="宋体"/>
                <w:color w:val="auto"/>
                <w:szCs w:val="21"/>
                <w:highlight w:val="none"/>
              </w:rPr>
              <w:t>）</w:t>
            </w:r>
            <w:r>
              <w:rPr>
                <w:rFonts w:ascii="宋体" w:hAnsi="宋体"/>
                <w:color w:val="auto"/>
                <w:szCs w:val="21"/>
                <w:highlight w:val="none"/>
              </w:rPr>
              <w:t>/PC</w:t>
            </w:r>
            <w:r>
              <w:rPr>
                <w:rFonts w:hint="eastAsia" w:ascii="宋体" w:hAnsi="宋体"/>
                <w:color w:val="auto"/>
                <w:szCs w:val="21"/>
                <w:highlight w:val="none"/>
              </w:rPr>
              <w:t>）（</w:t>
            </w:r>
            <w:r>
              <w:rPr>
                <w:rFonts w:ascii="宋体" w:hAnsi="宋体"/>
                <w:color w:val="auto"/>
                <w:szCs w:val="21"/>
                <w:highlight w:val="none"/>
              </w:rPr>
              <w:t>%</w:t>
            </w:r>
            <w:r>
              <w:rPr>
                <w:rFonts w:hint="eastAsia" w:ascii="宋体" w:hAnsi="宋体"/>
                <w:color w:val="auto"/>
                <w:szCs w:val="21"/>
                <w:highlight w:val="none"/>
              </w:rPr>
              <w:t>）</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减分（</w:t>
            </w:r>
            <w:r>
              <w:rPr>
                <w:rFonts w:ascii="宋体" w:hAnsi="宋体"/>
                <w:color w:val="auto"/>
                <w:szCs w:val="21"/>
                <w:highlight w:val="none"/>
              </w:rPr>
              <w:t>A</w:t>
            </w:r>
            <w:r>
              <w:rPr>
                <w:rFonts w:hint="eastAsia" w:ascii="宋体" w:hAnsi="宋体"/>
                <w:color w:val="auto"/>
                <w:szCs w:val="21"/>
                <w:highlight w:val="none"/>
              </w:rPr>
              <w:t>）</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得分</w:t>
            </w:r>
            <w:r>
              <w:rPr>
                <w:rFonts w:ascii="宋体" w:hAnsi="宋体"/>
                <w:color w:val="auto"/>
                <w:szCs w:val="21"/>
                <w:highlight w:val="none"/>
              </w:rPr>
              <w:t>(I=100-A)</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r>
              <w:rPr>
                <w:rFonts w:hint="eastAsia" w:ascii="宋体" w:hAnsi="宋体"/>
                <w:color w:val="auto"/>
                <w:szCs w:val="21"/>
                <w:highlight w:val="none"/>
              </w:rPr>
              <w:t>得分排名次序</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r>
    </w:tbl>
    <w:p>
      <w:pPr>
        <w:jc w:val="left"/>
        <w:rPr>
          <w:rFonts w:hint="eastAsia" w:ascii="宋体" w:hAnsi="宋体" w:cs="宋体"/>
          <w:b/>
          <w:color w:val="auto"/>
          <w:sz w:val="36"/>
          <w:szCs w:val="36"/>
          <w:highlight w:val="none"/>
        </w:rPr>
      </w:pPr>
      <w:r>
        <w:rPr>
          <w:rFonts w:hint="eastAsia"/>
          <w:color w:val="auto"/>
          <w:szCs w:val="21"/>
          <w:highlight w:val="none"/>
        </w:rPr>
        <w:t>评委签名：</w:t>
      </w:r>
      <w:r>
        <w:rPr>
          <w:b/>
          <w:color w:val="auto"/>
          <w:sz w:val="36"/>
          <w:szCs w:val="36"/>
          <w:highlight w:val="none"/>
        </w:rPr>
        <w:br w:type="page"/>
      </w:r>
    </w:p>
    <w:p>
      <w:pPr>
        <w:pStyle w:val="4"/>
        <w:jc w:val="left"/>
        <w:rPr>
          <w:rFonts w:hint="eastAsia" w:ascii="Calibri" w:hAnsi="Calibri" w:eastAsia="宋体" w:cs="Times New Roman"/>
          <w:b w:val="0"/>
          <w:color w:val="auto"/>
          <w:sz w:val="24"/>
          <w:szCs w:val="18"/>
          <w:highlight w:val="none"/>
          <w:lang w:val="en-US" w:eastAsia="zh-CN"/>
        </w:rPr>
      </w:pPr>
      <w:bookmarkStart w:id="228" w:name="_Toc8824"/>
      <w:bookmarkStart w:id="229" w:name="_Toc4523"/>
      <w:bookmarkStart w:id="230" w:name="_Toc10172"/>
      <w:bookmarkStart w:id="231" w:name="_Toc2589"/>
      <w:bookmarkStart w:id="232" w:name="_Toc26660"/>
      <w:bookmarkStart w:id="233" w:name="_Toc7490"/>
      <w:r>
        <w:rPr>
          <w:rFonts w:hint="default" w:ascii="宋体" w:hAnsi="宋体" w:eastAsia="宋体" w:cs="宋体"/>
          <w:b/>
          <w:color w:val="auto"/>
          <w:sz w:val="24"/>
          <w:szCs w:val="24"/>
          <w:highlight w:val="none"/>
          <w:lang w:val="en-US" w:eastAsia="zh-CN"/>
        </w:rPr>
        <w:t>附表六</w:t>
      </w:r>
      <w:bookmarkEnd w:id="228"/>
      <w:bookmarkEnd w:id="229"/>
      <w:bookmarkEnd w:id="230"/>
      <w:bookmarkEnd w:id="231"/>
      <w:bookmarkEnd w:id="232"/>
      <w:bookmarkEnd w:id="233"/>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算术复核表</w:t>
      </w:r>
    </w:p>
    <w:p>
      <w:pPr>
        <w:rPr>
          <w:rFonts w:ascii="宋体" w:hAnsi="宋体" w:cs="宋体"/>
          <w:color w:val="auto"/>
          <w:kern w:val="0"/>
          <w:szCs w:val="21"/>
          <w:highlight w:val="none"/>
        </w:rPr>
      </w:pPr>
      <w:r>
        <w:rPr>
          <w:rFonts w:hint="eastAsia" w:ascii="宋体" w:hAnsi="宋体" w:cs="宋体"/>
          <w:color w:val="auto"/>
          <w:kern w:val="0"/>
          <w:szCs w:val="21"/>
          <w:highlight w:val="none"/>
        </w:rPr>
        <w:t>工程名称：投标人:                                                  单位：元</w:t>
      </w:r>
    </w:p>
    <w:tbl>
      <w:tblPr>
        <w:tblStyle w:val="51"/>
        <w:tblW w:w="0" w:type="auto"/>
        <w:tblInd w:w="0" w:type="dxa"/>
        <w:tblLayout w:type="fixed"/>
        <w:tblCellMar>
          <w:top w:w="0" w:type="dxa"/>
          <w:left w:w="108" w:type="dxa"/>
          <w:bottom w:w="0" w:type="dxa"/>
          <w:right w:w="108" w:type="dxa"/>
        </w:tblCellMar>
      </w:tblPr>
      <w:tblGrid>
        <w:gridCol w:w="645"/>
        <w:gridCol w:w="4488"/>
        <w:gridCol w:w="1602"/>
        <w:gridCol w:w="1575"/>
        <w:gridCol w:w="1575"/>
        <w:gridCol w:w="1470"/>
        <w:gridCol w:w="3465"/>
      </w:tblGrid>
      <w:tr>
        <w:tblPrEx>
          <w:tblCellMar>
            <w:top w:w="0" w:type="dxa"/>
            <w:left w:w="108" w:type="dxa"/>
            <w:bottom w:w="0" w:type="dxa"/>
            <w:right w:w="108" w:type="dxa"/>
          </w:tblCellMar>
        </w:tblPrEx>
        <w:trPr>
          <w:trHeight w:val="705" w:hRule="atLeast"/>
        </w:trPr>
        <w:tc>
          <w:tcPr>
            <w:tcW w:w="6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编号</w:t>
            </w:r>
          </w:p>
        </w:tc>
        <w:tc>
          <w:tcPr>
            <w:tcW w:w="4488"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算术校核项目</w:t>
            </w:r>
          </w:p>
        </w:tc>
        <w:tc>
          <w:tcPr>
            <w:tcW w:w="1602"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修正前投标</w:t>
            </w:r>
          </w:p>
          <w:p>
            <w:pPr>
              <w:rPr>
                <w:rFonts w:ascii="宋体" w:hAnsi="宋体" w:cs="宋体"/>
                <w:color w:val="auto"/>
                <w:kern w:val="0"/>
                <w:szCs w:val="21"/>
                <w:highlight w:val="none"/>
              </w:rPr>
            </w:pPr>
            <w:r>
              <w:rPr>
                <w:rFonts w:hint="eastAsia" w:ascii="宋体" w:hAnsi="宋体" w:cs="宋体"/>
                <w:color w:val="auto"/>
                <w:kern w:val="0"/>
                <w:szCs w:val="21"/>
                <w:highlight w:val="none"/>
              </w:rPr>
              <w:t>报价A</w:t>
            </w:r>
          </w:p>
        </w:tc>
        <w:tc>
          <w:tcPr>
            <w:tcW w:w="157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修正后投标</w:t>
            </w:r>
          </w:p>
          <w:p>
            <w:pPr>
              <w:rPr>
                <w:rFonts w:ascii="宋体" w:hAnsi="宋体" w:cs="宋体"/>
                <w:color w:val="auto"/>
                <w:kern w:val="0"/>
                <w:szCs w:val="21"/>
                <w:highlight w:val="none"/>
              </w:rPr>
            </w:pPr>
            <w:r>
              <w:rPr>
                <w:rFonts w:hint="eastAsia" w:ascii="宋体" w:hAnsi="宋体" w:cs="宋体"/>
                <w:color w:val="auto"/>
                <w:kern w:val="0"/>
                <w:szCs w:val="21"/>
                <w:highlight w:val="none"/>
              </w:rPr>
              <w:t>报价B</w:t>
            </w:r>
          </w:p>
        </w:tc>
        <w:tc>
          <w:tcPr>
            <w:tcW w:w="1575"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修正率</w:t>
            </w:r>
          </w:p>
          <w:p>
            <w:pPr>
              <w:rPr>
                <w:rFonts w:ascii="宋体" w:hAnsi="宋体" w:cs="宋体"/>
                <w:color w:val="auto"/>
                <w:kern w:val="0"/>
                <w:szCs w:val="21"/>
                <w:highlight w:val="none"/>
              </w:rPr>
            </w:pPr>
            <w:r>
              <w:rPr>
                <w:rFonts w:hint="eastAsia" w:ascii="宋体" w:hAnsi="宋体" w:cs="宋体"/>
                <w:color w:val="auto"/>
                <w:kern w:val="0"/>
                <w:szCs w:val="21"/>
                <w:highlight w:val="none"/>
              </w:rPr>
              <w:t>r=|A-B|/A*100%</w:t>
            </w:r>
          </w:p>
        </w:tc>
        <w:tc>
          <w:tcPr>
            <w:tcW w:w="1470"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经评审的最终投标报价</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当B&gt;A时，修正后报价与原报价的差额；当B≤A时,R=0</w:t>
            </w: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[单位工程1]</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[单位工程2]</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n</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[单位工程n]</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投标总报价</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r2bl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∑A=A</w:t>
            </w:r>
            <w:r>
              <w:rPr>
                <w:rFonts w:hint="eastAsia" w:ascii="宋体" w:hAnsi="宋体" w:cs="宋体"/>
                <w:color w:val="auto"/>
                <w:kern w:val="0"/>
                <w:szCs w:val="21"/>
                <w:highlight w:val="none"/>
                <w:vertAlign w:val="subscript"/>
              </w:rPr>
              <w:t>1</w:t>
            </w:r>
            <w:r>
              <w:rPr>
                <w:rFonts w:hint="eastAsia" w:ascii="宋体" w:hAnsi="宋体" w:cs="宋体"/>
                <w:color w:val="auto"/>
                <w:kern w:val="0"/>
                <w:szCs w:val="21"/>
                <w:highlight w:val="none"/>
              </w:rPr>
              <w:t>+A</w:t>
            </w:r>
            <w:r>
              <w:rPr>
                <w:rFonts w:hint="eastAsia" w:ascii="宋体" w:hAnsi="宋体" w:cs="宋体"/>
                <w:color w:val="auto"/>
                <w:kern w:val="0"/>
                <w:szCs w:val="21"/>
                <w:highlight w:val="none"/>
                <w:vertAlign w:val="subscript"/>
              </w:rPr>
              <w:t>2</w:t>
            </w:r>
            <w:r>
              <w:rPr>
                <w:rFonts w:hint="eastAsia" w:ascii="宋体" w:hAnsi="宋体" w:cs="宋体"/>
                <w:color w:val="auto"/>
                <w:kern w:val="0"/>
                <w:szCs w:val="21"/>
                <w:highlight w:val="none"/>
              </w:rPr>
              <w:t>+…An；∑B=B</w:t>
            </w:r>
            <w:r>
              <w:rPr>
                <w:rFonts w:hint="eastAsia" w:ascii="宋体" w:hAnsi="宋体" w:cs="宋体"/>
                <w:color w:val="auto"/>
                <w:kern w:val="0"/>
                <w:szCs w:val="21"/>
                <w:highlight w:val="none"/>
                <w:vertAlign w:val="subscript"/>
              </w:rPr>
              <w:t>1</w:t>
            </w:r>
            <w:r>
              <w:rPr>
                <w:rFonts w:hint="eastAsia" w:ascii="宋体" w:hAnsi="宋体" w:cs="宋体"/>
                <w:color w:val="auto"/>
                <w:kern w:val="0"/>
                <w:szCs w:val="21"/>
                <w:highlight w:val="none"/>
              </w:rPr>
              <w:t>+B</w:t>
            </w:r>
            <w:r>
              <w:rPr>
                <w:rFonts w:hint="eastAsia" w:ascii="宋体" w:hAnsi="宋体" w:cs="宋体"/>
                <w:color w:val="auto"/>
                <w:kern w:val="0"/>
                <w:szCs w:val="21"/>
                <w:highlight w:val="none"/>
                <w:vertAlign w:val="subscript"/>
              </w:rPr>
              <w:t>2</w:t>
            </w:r>
            <w:r>
              <w:rPr>
                <w:rFonts w:hint="eastAsia" w:ascii="宋体" w:hAnsi="宋体" w:cs="宋体"/>
                <w:color w:val="auto"/>
                <w:kern w:val="0"/>
                <w:szCs w:val="21"/>
                <w:highlight w:val="none"/>
              </w:rPr>
              <w:t>+…Bn</w:t>
            </w:r>
          </w:p>
        </w:tc>
      </w:tr>
    </w:tbl>
    <w:p>
      <w:pPr>
        <w:rPr>
          <w:rFonts w:ascii="宋体" w:hAnsi="宋体" w:cs="宋体"/>
          <w:color w:val="auto"/>
          <w:kern w:val="0"/>
          <w:szCs w:val="21"/>
          <w:highlight w:val="none"/>
        </w:rPr>
      </w:pPr>
      <w:r>
        <w:rPr>
          <w:rFonts w:hint="eastAsia" w:ascii="宋体" w:hAnsi="宋体" w:cs="宋体"/>
          <w:color w:val="auto"/>
          <w:kern w:val="0"/>
          <w:szCs w:val="21"/>
          <w:highlight w:val="none"/>
        </w:rPr>
        <w:t>修正原则：</w:t>
      </w:r>
      <w:r>
        <w:rPr>
          <w:rFonts w:hint="eastAsia" w:ascii="宋体" w:hAnsi="宋体" w:cs="宋体"/>
          <w:color w:val="auto"/>
          <w:szCs w:val="21"/>
          <w:highlight w:val="none"/>
        </w:rPr>
        <w:t>按就低不就高原则，当修正后报价小于原报价，总价按修正后报价；当修正后报价大于原报价，总价按原报价，并在签订合同时载明在结算价中扣除修正报价与原报价的差额。</w:t>
      </w:r>
      <w:r>
        <w:rPr>
          <w:rFonts w:hint="eastAsia" w:ascii="宋体" w:hAnsi="宋体" w:cs="宋体"/>
          <w:color w:val="auto"/>
          <w:kern w:val="0"/>
          <w:szCs w:val="21"/>
          <w:highlight w:val="none"/>
        </w:rPr>
        <w:tab/>
      </w:r>
    </w:p>
    <w:p>
      <w:pPr>
        <w:rPr>
          <w:rFonts w:ascii="宋体" w:hAnsi="宋体" w:cs="宋体"/>
          <w:color w:val="auto"/>
          <w:kern w:val="0"/>
          <w:szCs w:val="21"/>
          <w:highlight w:val="none"/>
        </w:rPr>
      </w:pPr>
      <w:r>
        <w:rPr>
          <w:rFonts w:hint="eastAsia" w:ascii="宋体" w:hAnsi="宋体" w:cs="宋体"/>
          <w:color w:val="auto"/>
          <w:kern w:val="0"/>
          <w:szCs w:val="21"/>
          <w:highlight w:val="none"/>
        </w:rPr>
        <w:t>评委签名：</w:t>
      </w:r>
    </w:p>
    <w:p>
      <w:pPr>
        <w:rPr>
          <w:rFonts w:ascii="宋体" w:hAnsi="宋体" w:cs="宋体"/>
          <w:color w:val="auto"/>
          <w:highlight w:val="none"/>
        </w:rPr>
      </w:pPr>
    </w:p>
    <w:p>
      <w:pPr>
        <w:rPr>
          <w:rFonts w:ascii="宋体" w:hAnsi="宋体" w:cs="宋体"/>
          <w:color w:val="auto"/>
          <w:highlight w:val="none"/>
        </w:rPr>
      </w:pPr>
      <w:r>
        <w:rPr>
          <w:rFonts w:hint="eastAsia" w:ascii="宋体" w:hAnsi="宋体" w:cs="宋体"/>
          <w:color w:val="auto"/>
          <w:highlight w:val="none"/>
        </w:rPr>
        <w:br w:type="page"/>
      </w:r>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算术复核表</w:t>
      </w:r>
    </w:p>
    <w:p>
      <w:pPr>
        <w:rPr>
          <w:rFonts w:ascii="宋体" w:hAnsi="宋体" w:cs="宋体"/>
          <w:color w:val="auto"/>
          <w:szCs w:val="21"/>
          <w:highlight w:val="none"/>
        </w:rPr>
      </w:pPr>
      <w:r>
        <w:rPr>
          <w:rFonts w:hint="eastAsia" w:ascii="宋体" w:hAnsi="宋体" w:cs="宋体"/>
          <w:color w:val="auto"/>
          <w:szCs w:val="21"/>
          <w:highlight w:val="none"/>
        </w:rPr>
        <w:t>工程名称：</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4297"/>
        <w:gridCol w:w="2330"/>
        <w:gridCol w:w="3101"/>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编号</w:t>
            </w:r>
          </w:p>
        </w:tc>
        <w:tc>
          <w:tcPr>
            <w:tcW w:w="4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投标人名称</w:t>
            </w:r>
          </w:p>
        </w:tc>
        <w:tc>
          <w:tcPr>
            <w:tcW w:w="23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原投标报价（A）</w:t>
            </w:r>
          </w:p>
        </w:tc>
        <w:tc>
          <w:tcPr>
            <w:tcW w:w="3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算数复核后投标报价（B）</w:t>
            </w: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误差率（r=|A-B|/A*100%）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bl>
    <w:p>
      <w:pPr>
        <w:rPr>
          <w:rFonts w:ascii="宋体" w:hAnsi="宋体" w:cs="宋体"/>
          <w:color w:val="auto"/>
          <w:szCs w:val="21"/>
          <w:highlight w:val="none"/>
        </w:rPr>
      </w:pPr>
      <w:r>
        <w:rPr>
          <w:rFonts w:hint="eastAsia" w:ascii="宋体" w:hAnsi="宋体" w:cs="宋体"/>
          <w:color w:val="auto"/>
          <w:szCs w:val="21"/>
          <w:highlight w:val="none"/>
        </w:rPr>
        <w:t>评委签名：</w:t>
      </w:r>
    </w:p>
    <w:p>
      <w:pPr>
        <w:spacing w:line="240" w:lineRule="auto"/>
        <w:jc w:val="left"/>
        <w:rPr>
          <w:rFonts w:ascii="宋体" w:hAnsi="宋体" w:cs="宋体"/>
          <w:color w:val="auto"/>
          <w:szCs w:val="21"/>
          <w:highlight w:val="none"/>
        </w:rPr>
      </w:pPr>
      <w:r>
        <w:rPr>
          <w:rFonts w:ascii="宋体" w:hAnsi="宋体" w:cs="宋体"/>
          <w:color w:val="auto"/>
          <w:szCs w:val="21"/>
          <w:highlight w:val="none"/>
        </w:rPr>
        <w:br w:type="page"/>
      </w:r>
    </w:p>
    <w:p>
      <w:pPr>
        <w:rPr>
          <w:color w:val="auto"/>
          <w:highlight w:val="none"/>
        </w:rPr>
        <w:sectPr>
          <w:headerReference r:id="rId12" w:type="first"/>
          <w:footerReference r:id="rId15" w:type="first"/>
          <w:headerReference r:id="rId10" w:type="default"/>
          <w:footerReference r:id="rId13" w:type="default"/>
          <w:headerReference r:id="rId11" w:type="even"/>
          <w:footerReference r:id="rId14" w:type="even"/>
          <w:endnotePr>
            <w:numFmt w:val="decimal"/>
          </w:endnotePr>
          <w:pgSz w:w="16838" w:h="11906" w:orient="landscape"/>
          <w:pgMar w:top="1418" w:right="1247" w:bottom="1418" w:left="1134" w:header="851" w:footer="907" w:gutter="0"/>
          <w:cols w:space="720" w:num="1"/>
          <w:titlePg/>
          <w:docGrid w:type="lines" w:linePitch="312" w:charSpace="0"/>
        </w:sectPr>
      </w:pPr>
    </w:p>
    <w:p>
      <w:pPr>
        <w:rPr>
          <w:rFonts w:hint="eastAsia" w:ascii="Calibri" w:hAnsi="Calibri"/>
          <w:color w:val="auto"/>
          <w:sz w:val="24"/>
          <w:szCs w:val="24"/>
          <w:highlight w:val="none"/>
        </w:rPr>
      </w:pPr>
      <w:bookmarkStart w:id="234" w:name="_Toc17155"/>
      <w:bookmarkStart w:id="235" w:name="_Toc32093"/>
      <w:bookmarkStart w:id="236" w:name="_Toc1402"/>
      <w:bookmarkStart w:id="237" w:name="_Toc18827"/>
      <w:bookmarkStart w:id="238" w:name="_Toc30231"/>
      <w:bookmarkStart w:id="239" w:name="_Toc2272566"/>
      <w:bookmarkStart w:id="240" w:name="_Toc1052"/>
      <w:bookmarkStart w:id="241" w:name="_Toc1339"/>
      <w:bookmarkStart w:id="242" w:name="_Toc22028"/>
      <w:bookmarkStart w:id="243" w:name="_Toc4517"/>
      <w:bookmarkStart w:id="244" w:name="_Toc12101"/>
      <w:bookmarkStart w:id="245" w:name="_Toc6940"/>
      <w:r>
        <w:rPr>
          <w:rFonts w:hint="eastAsia" w:ascii="Calibri" w:hAnsi="Calibri"/>
          <w:color w:val="auto"/>
          <w:sz w:val="24"/>
          <w:szCs w:val="24"/>
          <w:highlight w:val="none"/>
        </w:rPr>
        <w:t>附表七</w:t>
      </w:r>
    </w:p>
    <w:p>
      <w:pPr>
        <w:jc w:val="center"/>
        <w:rPr>
          <w:rFonts w:ascii="宋体" w:hAnsi="宋体"/>
          <w:b/>
          <w:color w:val="auto"/>
          <w:sz w:val="36"/>
          <w:szCs w:val="36"/>
          <w:highlight w:val="none"/>
        </w:rPr>
      </w:pPr>
      <w:r>
        <w:rPr>
          <w:rFonts w:hint="eastAsia" w:ascii="宋体" w:hAnsi="宋体"/>
          <w:b/>
          <w:color w:val="auto"/>
          <w:sz w:val="36"/>
          <w:szCs w:val="36"/>
          <w:highlight w:val="none"/>
        </w:rPr>
        <w:t>定标因素表（定标阶段用表）</w:t>
      </w:r>
    </w:p>
    <w:p>
      <w:pPr>
        <w:jc w:val="left"/>
        <w:rPr>
          <w:rFonts w:hint="eastAsia" w:ascii="宋体" w:hAnsi="宋体" w:cs="宋体"/>
          <w:color w:val="auto"/>
          <w:szCs w:val="21"/>
          <w:highlight w:val="none"/>
        </w:rPr>
      </w:pPr>
    </w:p>
    <w:p>
      <w:pPr>
        <w:jc w:val="left"/>
        <w:rPr>
          <w:rFonts w:ascii="宋体" w:hAnsi="宋体" w:cs="宋体"/>
          <w:color w:val="auto"/>
          <w:szCs w:val="21"/>
          <w:highlight w:val="none"/>
        </w:rPr>
      </w:pPr>
      <w:r>
        <w:rPr>
          <w:rFonts w:hint="eastAsia" w:ascii="宋体" w:hAnsi="宋体" w:cs="宋体"/>
          <w:color w:val="auto"/>
          <w:szCs w:val="21"/>
          <w:highlight w:val="none"/>
        </w:rPr>
        <w:t>工程名称：</w:t>
      </w:r>
    </w:p>
    <w:tbl>
      <w:tblPr>
        <w:tblStyle w:val="51"/>
        <w:tblW w:w="8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486"/>
        <w:gridCol w:w="6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b/>
                <w:color w:val="auto"/>
                <w:kern w:val="0"/>
                <w:szCs w:val="21"/>
                <w:highlight w:val="none"/>
              </w:rPr>
              <w:br w:type="page"/>
            </w:r>
            <w:r>
              <w:rPr>
                <w:rFonts w:hint="eastAsia" w:ascii="宋体" w:hAnsi="宋体" w:cs="宋体"/>
                <w:color w:val="auto"/>
                <w:szCs w:val="21"/>
                <w:highlight w:val="none"/>
              </w:rPr>
              <w:t>序号</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评价项目</w:t>
            </w:r>
          </w:p>
        </w:tc>
        <w:tc>
          <w:tcPr>
            <w:tcW w:w="60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定标评价的内容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方案因素</w:t>
            </w:r>
          </w:p>
        </w:tc>
        <w:tc>
          <w:tcPr>
            <w:tcW w:w="60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定标委员会对合格的中标候选人的方案进行评审，方案包括：安全控制措施、质量控制措施、绿色节能控制措施、进度控制措施等，鼓励将建筑业科技创新应用在项目中。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价格因素</w:t>
            </w:r>
          </w:p>
        </w:tc>
        <w:tc>
          <w:tcPr>
            <w:tcW w:w="60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定标委员会对各合格的中标候选人的投标报价进行横向对比。</w:t>
            </w:r>
          </w:p>
        </w:tc>
      </w:tr>
    </w:tbl>
    <w:p>
      <w:pPr>
        <w:spacing w:line="360" w:lineRule="auto"/>
        <w:rPr>
          <w:rFonts w:ascii="宋体" w:hAnsi="宋体" w:cs="宋体"/>
          <w:color w:val="auto"/>
          <w:szCs w:val="21"/>
          <w:highlight w:val="none"/>
        </w:rPr>
      </w:pPr>
    </w:p>
    <w:p>
      <w:pPr>
        <w:spacing w:line="360" w:lineRule="auto"/>
        <w:rPr>
          <w:rFonts w:hint="eastAsia" w:ascii="Calibri" w:hAnsi="Calibri"/>
          <w:color w:val="auto"/>
          <w:sz w:val="24"/>
          <w:szCs w:val="24"/>
          <w:highlight w:val="none"/>
        </w:rPr>
      </w:pPr>
      <w:r>
        <w:rPr>
          <w:rFonts w:ascii="宋体" w:hAnsi="宋体" w:cs="宋体"/>
          <w:color w:val="auto"/>
          <w:szCs w:val="21"/>
          <w:highlight w:val="none"/>
        </w:rPr>
        <w:br w:type="page"/>
      </w:r>
      <w:r>
        <w:rPr>
          <w:rFonts w:hint="eastAsia" w:ascii="Calibri" w:hAnsi="Calibri"/>
          <w:color w:val="auto"/>
          <w:sz w:val="24"/>
          <w:szCs w:val="24"/>
          <w:highlight w:val="none"/>
        </w:rPr>
        <w:t>附表八</w:t>
      </w:r>
    </w:p>
    <w:p>
      <w:pPr>
        <w:rPr>
          <w:rFonts w:hint="eastAsia" w:ascii="Calibri" w:hAnsi="Calibri"/>
          <w:color w:val="auto"/>
          <w:highlight w:val="none"/>
        </w:rPr>
      </w:pPr>
      <w:r>
        <w:rPr>
          <w:rFonts w:hint="eastAsia" w:ascii="Calibri" w:hAnsi="Calibri"/>
          <w:color w:val="auto"/>
          <w:highlight w:val="none"/>
        </w:rPr>
        <w:t>（本页发给定标委员会成员，本轮投票结束时收回）</w:t>
      </w:r>
    </w:p>
    <w:p>
      <w:pPr>
        <w:rPr>
          <w:rFonts w:hint="eastAsia" w:ascii="Calibri" w:hAnsi="Calibri"/>
          <w:color w:val="auto"/>
          <w:szCs w:val="21"/>
          <w:highlight w:val="none"/>
        </w:rPr>
      </w:pPr>
    </w:p>
    <w:p>
      <w:pPr>
        <w:jc w:val="center"/>
        <w:rPr>
          <w:rFonts w:ascii="宋体" w:hAnsi="宋体"/>
          <w:b/>
          <w:color w:val="auto"/>
          <w:sz w:val="36"/>
          <w:szCs w:val="36"/>
          <w:highlight w:val="none"/>
        </w:rPr>
      </w:pPr>
      <w:r>
        <w:rPr>
          <w:rFonts w:hint="eastAsia" w:ascii="宋体" w:hAnsi="宋体"/>
          <w:b/>
          <w:color w:val="auto"/>
          <w:sz w:val="36"/>
          <w:szCs w:val="36"/>
          <w:highlight w:val="none"/>
        </w:rPr>
        <w:t>定标选票表（定标阶段）</w:t>
      </w:r>
    </w:p>
    <w:p>
      <w:pPr>
        <w:jc w:val="left"/>
        <w:rPr>
          <w:rFonts w:hint="eastAsia" w:ascii="宋体" w:hAnsi="宋体" w:cs="宋体"/>
          <w:color w:val="auto"/>
          <w:szCs w:val="21"/>
          <w:highlight w:val="none"/>
        </w:rPr>
      </w:pPr>
    </w:p>
    <w:p>
      <w:pPr>
        <w:jc w:val="left"/>
        <w:rPr>
          <w:rFonts w:ascii="宋体" w:hAnsi="宋体" w:cs="宋体"/>
          <w:color w:val="auto"/>
          <w:szCs w:val="21"/>
          <w:highlight w:val="none"/>
        </w:rPr>
      </w:pPr>
      <w:r>
        <w:rPr>
          <w:rFonts w:hint="eastAsia" w:ascii="宋体" w:hAnsi="宋体" w:cs="宋体"/>
          <w:color w:val="auto"/>
          <w:szCs w:val="21"/>
          <w:highlight w:val="none"/>
        </w:rPr>
        <w:t>工程名称：</w:t>
      </w:r>
    </w:p>
    <w:tbl>
      <w:tblPr>
        <w:tblStyle w:val="51"/>
        <w:tblW w:w="8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5"/>
        <w:gridCol w:w="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38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支持的中标候选人名称</w:t>
            </w:r>
          </w:p>
        </w:tc>
        <w:tc>
          <w:tcPr>
            <w:tcW w:w="458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支持理由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38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color w:val="auto"/>
                <w:kern w:val="0"/>
                <w:szCs w:val="21"/>
                <w:highlight w:val="none"/>
              </w:rPr>
            </w:pPr>
          </w:p>
        </w:tc>
        <w:tc>
          <w:tcPr>
            <w:tcW w:w="4583"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auto"/>
              <w:jc w:val="center"/>
              <w:rPr>
                <w:rFonts w:ascii="宋体" w:hAnsi="宋体" w:cs="宋体"/>
                <w:color w:val="auto"/>
                <w:kern w:val="0"/>
                <w:szCs w:val="21"/>
                <w:highlight w:val="none"/>
              </w:rPr>
            </w:pPr>
          </w:p>
        </w:tc>
      </w:tr>
    </w:tbl>
    <w:p>
      <w:pPr>
        <w:spacing w:line="360" w:lineRule="auto"/>
        <w:rPr>
          <w:rFonts w:ascii="宋体" w:hAnsi="宋体"/>
          <w:color w:val="auto"/>
          <w:szCs w:val="21"/>
          <w:highlight w:val="none"/>
        </w:rPr>
      </w:pPr>
      <w:r>
        <w:rPr>
          <w:rFonts w:hint="eastAsia" w:ascii="宋体" w:hAnsi="宋体"/>
          <w:color w:val="auto"/>
          <w:szCs w:val="21"/>
          <w:highlight w:val="none"/>
        </w:rPr>
        <w:t>正式投票规则：</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（1）以上表格用于正式投票，投票时须注明支持的中标候选人及支持理由。</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（2）由定标委员会成员进行投票，各定标委员会成员只能支持一家中标候选人。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w:t>
      </w:r>
      <w:r>
        <w:rPr>
          <w:rFonts w:hint="eastAsia" w:ascii="宋体" w:hAnsi="宋体" w:cs="Arial"/>
          <w:color w:val="auto"/>
          <w:szCs w:val="21"/>
          <w:highlight w:val="none"/>
        </w:rPr>
        <w:t>投票结束后，</w:t>
      </w:r>
      <w:r>
        <w:rPr>
          <w:rFonts w:hint="eastAsia" w:ascii="宋体" w:hAnsi="宋体"/>
          <w:color w:val="auto"/>
          <w:szCs w:val="21"/>
          <w:highlight w:val="none"/>
        </w:rPr>
        <w:t>点票人员</w:t>
      </w:r>
      <w:r>
        <w:rPr>
          <w:rFonts w:hint="eastAsia" w:ascii="宋体" w:hAnsi="宋体" w:cs="Arial"/>
          <w:color w:val="auto"/>
          <w:szCs w:val="21"/>
          <w:highlight w:val="none"/>
        </w:rPr>
        <w:t>对投票人数、票数和每票应选中标候选人总数加以核对和统计，作废的选票不得统计，并向</w:t>
      </w:r>
      <w:r>
        <w:rPr>
          <w:rFonts w:hint="eastAsia" w:ascii="宋体" w:hAnsi="宋体"/>
          <w:color w:val="auto"/>
          <w:szCs w:val="21"/>
          <w:highlight w:val="none"/>
        </w:rPr>
        <w:t>定标委员会</w:t>
      </w:r>
      <w:r>
        <w:rPr>
          <w:rFonts w:hint="eastAsia" w:ascii="宋体" w:hAnsi="宋体" w:cs="Arial"/>
          <w:color w:val="auto"/>
          <w:szCs w:val="21"/>
          <w:highlight w:val="none"/>
        </w:rPr>
        <w:t>报告。</w:t>
      </w:r>
    </w:p>
    <w:p>
      <w:pPr>
        <w:spacing w:line="360" w:lineRule="auto"/>
        <w:ind w:firstLine="480"/>
        <w:rPr>
          <w:rFonts w:ascii="宋体" w:hAnsi="宋体"/>
          <w:color w:val="auto"/>
          <w:szCs w:val="21"/>
          <w:highlight w:val="none"/>
        </w:rPr>
      </w:pPr>
      <w:r>
        <w:rPr>
          <w:rFonts w:hint="eastAsia" w:ascii="宋体" w:hAnsi="宋体"/>
          <w:color w:val="auto"/>
          <w:szCs w:val="21"/>
          <w:highlight w:val="none"/>
        </w:rPr>
        <w:t>（4）定标委员会成员应当独立投票，自投票开始至最终排名统计结果公布期间，任何人不得非法干预、影响投票过程，不得透露、协商、改变投票结果，不得使用通信联络工具。</w:t>
      </w:r>
    </w:p>
    <w:p>
      <w:pPr>
        <w:spacing w:line="360" w:lineRule="auto"/>
        <w:rPr>
          <w:rFonts w:ascii="宋体" w:hAnsi="宋体"/>
          <w:color w:val="auto"/>
          <w:szCs w:val="21"/>
          <w:highlight w:val="none"/>
        </w:rPr>
      </w:pPr>
    </w:p>
    <w:p>
      <w:pPr>
        <w:spacing w:line="360" w:lineRule="auto"/>
        <w:rPr>
          <w:rFonts w:hint="eastAsia" w:ascii="宋体" w:hAnsi="宋体"/>
          <w:color w:val="auto"/>
          <w:szCs w:val="21"/>
          <w:highlight w:val="none"/>
        </w:rPr>
      </w:pPr>
      <w:r>
        <w:rPr>
          <w:rFonts w:hint="eastAsia" w:ascii="宋体" w:hAnsi="宋体"/>
          <w:color w:val="auto"/>
          <w:szCs w:val="21"/>
          <w:highlight w:val="none"/>
        </w:rPr>
        <w:t>定标委员会成员签名：                                 日期：     年    月    日</w:t>
      </w:r>
    </w:p>
    <w:p>
      <w:pPr>
        <w:rPr>
          <w:rFonts w:hint="eastAsia" w:ascii="Calibri" w:hAnsi="Calibri"/>
          <w:color w:val="auto"/>
          <w:sz w:val="24"/>
          <w:szCs w:val="24"/>
          <w:highlight w:val="none"/>
        </w:rPr>
      </w:pPr>
      <w:r>
        <w:rPr>
          <w:rFonts w:hint="eastAsia" w:ascii="Calibri" w:hAnsi="Calibri"/>
          <w:color w:val="auto"/>
          <w:sz w:val="24"/>
          <w:szCs w:val="24"/>
          <w:highlight w:val="none"/>
        </w:rPr>
        <w:br w:type="page"/>
      </w:r>
    </w:p>
    <w:p>
      <w:pPr>
        <w:rPr>
          <w:rFonts w:hint="eastAsia" w:ascii="Calibri" w:hAnsi="Calibri"/>
          <w:color w:val="auto"/>
          <w:sz w:val="24"/>
          <w:szCs w:val="24"/>
          <w:highlight w:val="none"/>
        </w:rPr>
      </w:pPr>
      <w:r>
        <w:rPr>
          <w:rFonts w:hint="eastAsia" w:ascii="Calibri" w:hAnsi="Calibri"/>
          <w:color w:val="auto"/>
          <w:sz w:val="24"/>
          <w:szCs w:val="24"/>
          <w:highlight w:val="none"/>
        </w:rPr>
        <w:t>附表九</w:t>
      </w:r>
    </w:p>
    <w:p>
      <w:pPr>
        <w:jc w:val="center"/>
        <w:rPr>
          <w:rFonts w:hint="eastAsia" w:ascii="宋体" w:hAnsi="宋体" w:cs="宋体"/>
          <w:b/>
          <w:color w:val="auto"/>
          <w:sz w:val="36"/>
          <w:szCs w:val="36"/>
          <w:highlight w:val="none"/>
        </w:rPr>
      </w:pPr>
      <w:r>
        <w:rPr>
          <w:rFonts w:hint="eastAsia" w:ascii="宋体" w:hAnsi="宋体" w:cs="宋体"/>
          <w:b/>
          <w:bCs/>
          <w:color w:val="auto"/>
          <w:kern w:val="0"/>
          <w:sz w:val="36"/>
          <w:szCs w:val="36"/>
          <w:highlight w:val="none"/>
        </w:rPr>
        <w:t>投票汇总表格（定标阶段）</w:t>
      </w:r>
    </w:p>
    <w:p>
      <w:pPr>
        <w:jc w:val="left"/>
        <w:rPr>
          <w:rFonts w:ascii="宋体" w:hAnsi="宋体"/>
          <w:color w:val="auto"/>
          <w:szCs w:val="21"/>
          <w:highlight w:val="none"/>
        </w:rPr>
      </w:pPr>
      <w:r>
        <w:rPr>
          <w:rFonts w:hint="eastAsia" w:ascii="宋体" w:hAnsi="宋体"/>
          <w:color w:val="auto"/>
          <w:szCs w:val="21"/>
          <w:highlight w:val="none"/>
        </w:rPr>
        <w:t xml:space="preserve">工程名称：                                           </w:t>
      </w:r>
    </w:p>
    <w:tbl>
      <w:tblPr>
        <w:tblStyle w:val="51"/>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4834"/>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52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4834" w:type="dxa"/>
            <w:vMerge w:val="restart"/>
            <w:tcBorders>
              <w:top w:val="single" w:color="auto" w:sz="4" w:space="0"/>
              <w:left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中标候选人名称</w:t>
            </w:r>
          </w:p>
        </w:tc>
        <w:tc>
          <w:tcPr>
            <w:tcW w:w="213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得票数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szCs w:val="21"/>
                <w:highlight w:val="none"/>
              </w:rPr>
            </w:pPr>
          </w:p>
        </w:tc>
        <w:tc>
          <w:tcPr>
            <w:tcW w:w="4834" w:type="dxa"/>
            <w:vMerge w:val="continue"/>
            <w:tcBorders>
              <w:left w:val="single" w:color="auto" w:sz="4" w:space="0"/>
              <w:bottom w:val="single" w:color="auto" w:sz="4" w:space="0"/>
              <w:right w:val="single" w:color="auto" w:sz="4" w:space="0"/>
            </w:tcBorders>
            <w:noWrap w:val="0"/>
            <w:vAlign w:val="top"/>
          </w:tcPr>
          <w:p>
            <w:pPr>
              <w:widowControl/>
              <w:jc w:val="center"/>
              <w:rPr>
                <w:rFonts w:ascii="宋体" w:hAnsi="宋体"/>
                <w:color w:val="auto"/>
                <w:szCs w:val="21"/>
                <w:highlight w:val="none"/>
              </w:rPr>
            </w:pPr>
          </w:p>
        </w:tc>
        <w:tc>
          <w:tcPr>
            <w:tcW w:w="21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48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48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48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48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48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48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s="宋体"/>
                <w:color w:val="auto"/>
                <w:sz w:val="24"/>
                <w:highlight w:val="none"/>
              </w:rPr>
              <w:t>7</w:t>
            </w:r>
          </w:p>
        </w:tc>
        <w:tc>
          <w:tcPr>
            <w:tcW w:w="48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p>
        </w:tc>
      </w:tr>
    </w:tbl>
    <w:p>
      <w:pPr>
        <w:rPr>
          <w:rFonts w:ascii="宋体" w:hAnsi="宋体"/>
          <w:color w:val="auto"/>
          <w:szCs w:val="21"/>
          <w:highlight w:val="none"/>
        </w:rPr>
      </w:pPr>
    </w:p>
    <w:p>
      <w:pPr>
        <w:jc w:val="left"/>
        <w:rPr>
          <w:rFonts w:hint="eastAsia" w:ascii="宋体" w:hAnsi="宋体"/>
          <w:color w:val="auto"/>
          <w:szCs w:val="21"/>
          <w:highlight w:val="none"/>
        </w:rPr>
      </w:pPr>
      <w:r>
        <w:rPr>
          <w:rFonts w:hint="eastAsia" w:ascii="宋体" w:hAnsi="宋体"/>
          <w:color w:val="auto"/>
          <w:szCs w:val="21"/>
          <w:highlight w:val="none"/>
        </w:rPr>
        <w:t>定标委员会全体成员签名：</w:t>
      </w:r>
    </w:p>
    <w:p>
      <w:pPr>
        <w:jc w:val="left"/>
        <w:rPr>
          <w:rFonts w:hint="eastAsia" w:ascii="宋体" w:hAnsi="宋体"/>
          <w:color w:val="auto"/>
          <w:szCs w:val="21"/>
          <w:highlight w:val="none"/>
        </w:rPr>
      </w:pPr>
    </w:p>
    <w:p>
      <w:pPr>
        <w:jc w:val="left"/>
        <w:rPr>
          <w:rFonts w:hint="eastAsia" w:ascii="宋体" w:hAnsi="宋体"/>
          <w:color w:val="auto"/>
          <w:szCs w:val="21"/>
          <w:highlight w:val="none"/>
        </w:rPr>
      </w:pPr>
    </w:p>
    <w:p>
      <w:pPr>
        <w:jc w:val="left"/>
        <w:rPr>
          <w:rFonts w:hint="eastAsia" w:ascii="宋体" w:hAnsi="宋体"/>
          <w:color w:val="auto"/>
          <w:szCs w:val="21"/>
          <w:highlight w:val="none"/>
        </w:rPr>
      </w:pPr>
    </w:p>
    <w:p>
      <w:pPr>
        <w:jc w:val="right"/>
        <w:rPr>
          <w:rFonts w:ascii="宋体" w:hAnsi="宋体"/>
          <w:color w:val="auto"/>
          <w:szCs w:val="21"/>
          <w:highlight w:val="none"/>
        </w:rPr>
      </w:pPr>
      <w:r>
        <w:rPr>
          <w:rFonts w:hint="eastAsia" w:ascii="宋体" w:hAnsi="宋体"/>
          <w:color w:val="auto"/>
          <w:szCs w:val="21"/>
          <w:highlight w:val="none"/>
        </w:rPr>
        <w:t>日    期：       年    月    日</w:t>
      </w:r>
    </w:p>
    <w:p>
      <w:pPr>
        <w:rPr>
          <w:rFonts w:hint="eastAsia" w:ascii="Calibri" w:hAnsi="Calibri"/>
          <w:color w:val="auto"/>
          <w:highlight w:val="none"/>
        </w:rPr>
      </w:pPr>
    </w:p>
    <w:p>
      <w:pPr>
        <w:jc w:val="left"/>
        <w:rPr>
          <w:rFonts w:ascii="宋体" w:hAnsi="宋体"/>
          <w:color w:val="auto"/>
          <w:szCs w:val="21"/>
          <w:highlight w:val="none"/>
        </w:rPr>
      </w:pPr>
    </w:p>
    <w:p>
      <w:pPr>
        <w:rPr>
          <w:rFonts w:hint="eastAsia" w:ascii="Calibri" w:hAnsi="Calibri"/>
          <w:color w:val="auto"/>
          <w:sz w:val="24"/>
          <w:szCs w:val="24"/>
          <w:highlight w:val="none"/>
        </w:rPr>
      </w:pPr>
      <w:r>
        <w:rPr>
          <w:rFonts w:ascii="Calibri" w:hAnsi="Calibri"/>
          <w:color w:val="auto"/>
          <w:szCs w:val="21"/>
          <w:highlight w:val="none"/>
        </w:rPr>
        <w:br w:type="page"/>
      </w:r>
      <w:r>
        <w:rPr>
          <w:rFonts w:hint="eastAsia" w:ascii="Calibri" w:hAnsi="Calibri"/>
          <w:color w:val="auto"/>
          <w:sz w:val="24"/>
          <w:szCs w:val="24"/>
          <w:highlight w:val="none"/>
        </w:rPr>
        <w:t>附表十</w:t>
      </w:r>
    </w:p>
    <w:p>
      <w:pPr>
        <w:rPr>
          <w:rFonts w:hint="eastAsia" w:ascii="Calibri" w:hAnsi="Calibri"/>
          <w:color w:val="auto"/>
          <w:highlight w:val="none"/>
        </w:rPr>
      </w:pPr>
    </w:p>
    <w:p>
      <w:pPr>
        <w:jc w:val="center"/>
        <w:rPr>
          <w:rFonts w:hint="eastAsia" w:ascii="宋体" w:hAnsi="宋体" w:cs="宋体"/>
          <w:b/>
          <w:color w:val="auto"/>
          <w:sz w:val="36"/>
          <w:szCs w:val="36"/>
          <w:highlight w:val="none"/>
        </w:rPr>
      </w:pPr>
      <w:r>
        <w:rPr>
          <w:rFonts w:hint="eastAsia" w:ascii="宋体" w:hAnsi="宋体" w:cs="宋体"/>
          <w:b/>
          <w:color w:val="auto"/>
          <w:sz w:val="36"/>
          <w:szCs w:val="36"/>
          <w:highlight w:val="none"/>
        </w:rPr>
        <w:t>附加票定标选票表</w:t>
      </w:r>
    </w:p>
    <w:p>
      <w:pPr>
        <w:jc w:val="center"/>
        <w:rPr>
          <w:rFonts w:hint="eastAsia" w:ascii="宋体" w:hAnsi="宋体" w:cs="宋体"/>
          <w:b/>
          <w:color w:val="auto"/>
          <w:sz w:val="36"/>
          <w:szCs w:val="36"/>
          <w:highlight w:val="none"/>
        </w:rPr>
      </w:pPr>
      <w:r>
        <w:rPr>
          <w:rFonts w:hint="eastAsia" w:ascii="宋体" w:hAnsi="宋体" w:cs="宋体"/>
          <w:b/>
          <w:color w:val="auto"/>
          <w:sz w:val="36"/>
          <w:szCs w:val="36"/>
          <w:highlight w:val="none"/>
        </w:rPr>
        <w:t>（定标阶段-票数相同时定标委员会个人用表）</w:t>
      </w:r>
    </w:p>
    <w:p>
      <w:pPr>
        <w:adjustRightInd w:val="0"/>
        <w:snapToGrid w:val="0"/>
        <w:spacing w:line="360" w:lineRule="auto"/>
        <w:rPr>
          <w:rFonts w:ascii="宋体" w:hAnsi="宋体" w:cs="宋体"/>
          <w:color w:val="auto"/>
          <w:kern w:val="0"/>
          <w:highlight w:val="none"/>
        </w:rPr>
      </w:pPr>
      <w:r>
        <w:rPr>
          <w:rFonts w:hint="eastAsia" w:ascii="宋体" w:hAnsi="宋体" w:cs="宋体"/>
          <w:color w:val="auto"/>
          <w:kern w:val="0"/>
          <w:highlight w:val="none"/>
        </w:rPr>
        <w:t>工程名称：</w:t>
      </w:r>
    </w:p>
    <w:tbl>
      <w:tblPr>
        <w:tblStyle w:val="51"/>
        <w:tblW w:w="8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0"/>
        <w:gridCol w:w="1955"/>
        <w:gridCol w:w="1956"/>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2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支持的中标候选人名称</w:t>
            </w:r>
          </w:p>
        </w:tc>
        <w:tc>
          <w:tcPr>
            <w:tcW w:w="195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s="宋体"/>
                <w:color w:val="auto"/>
                <w:kern w:val="0"/>
                <w:highlight w:val="none"/>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s="宋体"/>
                <w:color w:val="auto"/>
                <w:kern w:val="0"/>
                <w:highlight w:val="none"/>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2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票决意见</w:t>
            </w:r>
          </w:p>
        </w:tc>
        <w:tc>
          <w:tcPr>
            <w:tcW w:w="195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s="宋体"/>
                <w:color w:val="auto"/>
                <w:kern w:val="0"/>
                <w:szCs w:val="24"/>
                <w:highlight w:val="none"/>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s="宋体"/>
                <w:color w:val="auto"/>
                <w:kern w:val="0"/>
                <w:highlight w:val="none"/>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cs="宋体"/>
                <w:color w:val="auto"/>
                <w:kern w:val="0"/>
                <w:highlight w:val="none"/>
              </w:rPr>
            </w:pPr>
          </w:p>
        </w:tc>
      </w:tr>
    </w:tbl>
    <w:p>
      <w:pPr>
        <w:rPr>
          <w:rFonts w:ascii="宋体" w:hAnsi="宋体" w:cs="宋体"/>
          <w:color w:val="auto"/>
          <w:szCs w:val="21"/>
          <w:highlight w:val="none"/>
        </w:rPr>
      </w:pPr>
    </w:p>
    <w:p>
      <w:pPr>
        <w:spacing w:line="400" w:lineRule="exact"/>
        <w:rPr>
          <w:rFonts w:ascii="宋体" w:hAnsi="宋体" w:cs="宋体"/>
          <w:color w:val="auto"/>
          <w:szCs w:val="21"/>
          <w:highlight w:val="none"/>
        </w:rPr>
      </w:pPr>
      <w:r>
        <w:rPr>
          <w:rFonts w:hint="eastAsia" w:ascii="宋体" w:hAnsi="宋体" w:cs="宋体"/>
          <w:color w:val="auto"/>
          <w:szCs w:val="21"/>
          <w:highlight w:val="none"/>
        </w:rPr>
        <w:t>定标委员会成员签名：</w:t>
      </w:r>
    </w:p>
    <w:p>
      <w:pPr>
        <w:spacing w:line="400" w:lineRule="exact"/>
        <w:rPr>
          <w:rFonts w:hint="eastAsia" w:ascii="宋体" w:hAnsi="宋体" w:cs="宋体"/>
          <w:color w:val="auto"/>
          <w:szCs w:val="21"/>
          <w:highlight w:val="none"/>
        </w:rPr>
      </w:pPr>
    </w:p>
    <w:p>
      <w:pPr>
        <w:spacing w:line="400" w:lineRule="exact"/>
        <w:rPr>
          <w:rFonts w:ascii="宋体" w:hAnsi="宋体" w:cs="宋体"/>
          <w:color w:val="auto"/>
          <w:szCs w:val="21"/>
          <w:highlight w:val="none"/>
        </w:rPr>
      </w:pPr>
    </w:p>
    <w:p>
      <w:pPr>
        <w:spacing w:line="360" w:lineRule="auto"/>
        <w:ind w:right="-2"/>
        <w:jc w:val="right"/>
        <w:rPr>
          <w:rFonts w:ascii="宋体" w:hAnsi="宋体" w:cs="宋体"/>
          <w:color w:val="auto"/>
          <w:szCs w:val="21"/>
          <w:highlight w:val="none"/>
        </w:rPr>
      </w:pPr>
      <w:r>
        <w:rPr>
          <w:rFonts w:hint="eastAsia" w:ascii="宋体" w:hAnsi="宋体" w:cs="宋体"/>
          <w:color w:val="auto"/>
          <w:szCs w:val="21"/>
          <w:highlight w:val="none"/>
        </w:rPr>
        <w:t>日期：     年   月   日</w:t>
      </w:r>
    </w:p>
    <w:p>
      <w:pPr>
        <w:rPr>
          <w:rFonts w:eastAsia="Times New Roman"/>
          <w:color w:val="auto"/>
          <w:szCs w:val="20"/>
          <w:highlight w:val="none"/>
        </w:rPr>
      </w:pPr>
    </w:p>
    <w:p>
      <w:pPr>
        <w:spacing w:line="360" w:lineRule="auto"/>
        <w:rPr>
          <w:rFonts w:ascii="宋体" w:hAnsi="宋体" w:cs="宋体"/>
          <w:bCs/>
          <w:color w:val="auto"/>
          <w:szCs w:val="21"/>
          <w:highlight w:val="none"/>
        </w:rPr>
      </w:pPr>
      <w:r>
        <w:rPr>
          <w:rFonts w:hint="eastAsia" w:ascii="宋体" w:hAnsi="宋体" w:cs="宋体"/>
          <w:bCs/>
          <w:color w:val="auto"/>
          <w:szCs w:val="21"/>
          <w:highlight w:val="none"/>
        </w:rPr>
        <w:t>注：1、本表用于投票出现票数相同的情况。</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由定标委员会成员进行附加投票，票决意见分别为“投票”或“不投票”，各定标委员会成员只有1票表决权（即只能对其中一名中标候选人“投票”），票决意见为“投票”的，用“○”表示；票决意见为“不投票”，用“×”表示。</w:t>
      </w:r>
    </w:p>
    <w:p>
      <w:pPr>
        <w:rPr>
          <w:rFonts w:ascii="宋体" w:hAnsi="宋体" w:cs="宋体"/>
          <w:color w:val="auto"/>
          <w:szCs w:val="21"/>
          <w:highlight w:val="none"/>
        </w:rPr>
      </w:pPr>
      <w:r>
        <w:rPr>
          <w:rFonts w:ascii="宋体" w:hAnsi="宋体" w:cs="宋体"/>
          <w:bCs/>
          <w:color w:val="auto"/>
          <w:szCs w:val="21"/>
          <w:highlight w:val="none"/>
        </w:rPr>
        <w:br w:type="page"/>
      </w:r>
      <w:r>
        <w:rPr>
          <w:rFonts w:hint="eastAsia" w:ascii="Calibri" w:hAnsi="Calibri"/>
          <w:color w:val="auto"/>
          <w:sz w:val="24"/>
          <w:szCs w:val="24"/>
          <w:highlight w:val="none"/>
        </w:rPr>
        <w:t>附表十一</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（本页发给定标委员会成员，本轮投票结束时收回）</w:t>
      </w:r>
    </w:p>
    <w:p>
      <w:pPr>
        <w:spacing w:line="360" w:lineRule="auto"/>
        <w:rPr>
          <w:rFonts w:hint="eastAsia" w:ascii="宋体" w:hAnsi="宋体" w:cs="宋体"/>
          <w:color w:val="auto"/>
          <w:sz w:val="24"/>
          <w:szCs w:val="24"/>
          <w:highlight w:val="none"/>
        </w:rPr>
      </w:pPr>
    </w:p>
    <w:p>
      <w:pPr>
        <w:adjustRightInd w:val="0"/>
        <w:snapToGrid w:val="0"/>
        <w:spacing w:line="276" w:lineRule="auto"/>
        <w:ind w:firstLine="720" w:firstLineChars="200"/>
        <w:jc w:val="center"/>
        <w:rPr>
          <w:rFonts w:hint="eastAsia" w:ascii="宋体" w:hAnsi="宋体" w:cs="宋体"/>
          <w:b/>
          <w:color w:val="auto"/>
          <w:sz w:val="36"/>
          <w:szCs w:val="36"/>
          <w:highlight w:val="none"/>
        </w:rPr>
      </w:pPr>
      <w:r>
        <w:rPr>
          <w:rFonts w:hint="eastAsia" w:ascii="宋体" w:hAnsi="宋体" w:cs="宋体"/>
          <w:b/>
          <w:color w:val="auto"/>
          <w:sz w:val="36"/>
          <w:szCs w:val="36"/>
          <w:highlight w:val="none"/>
        </w:rPr>
        <w:t>附加票定标选票表汇总表</w:t>
      </w:r>
    </w:p>
    <w:p>
      <w:pPr>
        <w:adjustRightInd w:val="0"/>
        <w:snapToGrid w:val="0"/>
        <w:spacing w:line="276" w:lineRule="auto"/>
        <w:ind w:firstLine="720" w:firstLineChars="200"/>
        <w:jc w:val="center"/>
        <w:rPr>
          <w:rFonts w:hint="eastAsia" w:ascii="宋体" w:hAnsi="宋体" w:cs="宋体"/>
          <w:b/>
          <w:bCs/>
          <w:color w:val="auto"/>
          <w:kern w:val="0"/>
          <w:sz w:val="36"/>
          <w:szCs w:val="36"/>
          <w:highlight w:val="none"/>
        </w:rPr>
      </w:pPr>
      <w:r>
        <w:rPr>
          <w:rFonts w:hint="eastAsia" w:ascii="宋体" w:hAnsi="宋体" w:cs="宋体"/>
          <w:b/>
          <w:color w:val="auto"/>
          <w:sz w:val="36"/>
          <w:szCs w:val="36"/>
          <w:highlight w:val="none"/>
        </w:rPr>
        <w:t>（定标阶段-票数相同时定标委员会汇总用表）</w:t>
      </w:r>
    </w:p>
    <w:p>
      <w:pPr>
        <w:jc w:val="left"/>
        <w:rPr>
          <w:rFonts w:hint="eastAsia" w:ascii="宋体" w:hAnsi="宋体"/>
          <w:color w:val="auto"/>
          <w:szCs w:val="21"/>
          <w:highlight w:val="none"/>
        </w:rPr>
      </w:pPr>
    </w:p>
    <w:p>
      <w:pPr>
        <w:adjustRightInd w:val="0"/>
        <w:snapToGrid w:val="0"/>
        <w:spacing w:line="360" w:lineRule="auto"/>
        <w:rPr>
          <w:rFonts w:ascii="宋体" w:hAnsi="宋体" w:cs="宋体"/>
          <w:color w:val="auto"/>
          <w:kern w:val="0"/>
          <w:highlight w:val="none"/>
        </w:rPr>
      </w:pPr>
      <w:r>
        <w:rPr>
          <w:rFonts w:hint="eastAsia" w:ascii="宋体" w:hAnsi="宋体" w:cs="宋体"/>
          <w:color w:val="auto"/>
          <w:kern w:val="0"/>
          <w:highlight w:val="none"/>
        </w:rPr>
        <w:t>工程名称：</w:t>
      </w:r>
    </w:p>
    <w:tbl>
      <w:tblPr>
        <w:tblStyle w:val="51"/>
        <w:tblW w:w="47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5"/>
        <w:gridCol w:w="5078"/>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310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highlight w:val="none"/>
              </w:rPr>
            </w:pPr>
            <w:r>
              <w:rPr>
                <w:rFonts w:hint="eastAsia" w:ascii="宋体" w:hAnsi="宋体"/>
                <w:color w:val="auto"/>
                <w:szCs w:val="21"/>
                <w:highlight w:val="none"/>
              </w:rPr>
              <w:t>中标候选人</w:t>
            </w:r>
            <w:r>
              <w:rPr>
                <w:rFonts w:hint="eastAsia" w:ascii="宋体" w:hAnsi="宋体" w:cs="宋体"/>
                <w:color w:val="auto"/>
                <w:szCs w:val="21"/>
                <w:highlight w:val="none"/>
              </w:rPr>
              <w:t>名称</w:t>
            </w:r>
          </w:p>
        </w:tc>
        <w:tc>
          <w:tcPr>
            <w:tcW w:w="10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得票数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2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310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highlight w:val="none"/>
              </w:rPr>
            </w:pPr>
          </w:p>
        </w:tc>
        <w:tc>
          <w:tcPr>
            <w:tcW w:w="10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2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310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highlight w:val="none"/>
              </w:rPr>
            </w:pPr>
          </w:p>
        </w:tc>
        <w:tc>
          <w:tcPr>
            <w:tcW w:w="10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2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310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highlight w:val="none"/>
              </w:rPr>
            </w:pPr>
          </w:p>
        </w:tc>
        <w:tc>
          <w:tcPr>
            <w:tcW w:w="10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2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4</w:t>
            </w:r>
          </w:p>
        </w:tc>
        <w:tc>
          <w:tcPr>
            <w:tcW w:w="310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highlight w:val="none"/>
              </w:rPr>
            </w:pPr>
          </w:p>
        </w:tc>
        <w:tc>
          <w:tcPr>
            <w:tcW w:w="10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2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310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highlight w:val="none"/>
              </w:rPr>
            </w:pPr>
          </w:p>
        </w:tc>
        <w:tc>
          <w:tcPr>
            <w:tcW w:w="10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highlight w:val="none"/>
              </w:rPr>
            </w:pPr>
          </w:p>
        </w:tc>
      </w:tr>
    </w:tbl>
    <w:p>
      <w:pPr>
        <w:spacing w:line="400" w:lineRule="exact"/>
        <w:rPr>
          <w:rFonts w:ascii="宋体" w:hAnsi="宋体" w:cs="宋体"/>
          <w:color w:val="auto"/>
          <w:sz w:val="24"/>
          <w:szCs w:val="24"/>
          <w:highlight w:val="none"/>
        </w:rPr>
      </w:pPr>
      <w:r>
        <w:rPr>
          <w:rFonts w:hint="eastAsia" w:ascii="宋体" w:hAnsi="宋体"/>
          <w:color w:val="auto"/>
          <w:szCs w:val="21"/>
          <w:highlight w:val="none"/>
        </w:rPr>
        <w:t>定标委员会全体成员签名：</w:t>
      </w:r>
    </w:p>
    <w:p>
      <w:pPr>
        <w:spacing w:line="400" w:lineRule="exact"/>
        <w:rPr>
          <w:rFonts w:ascii="宋体" w:hAnsi="宋体" w:cs="宋体"/>
          <w:color w:val="auto"/>
          <w:sz w:val="24"/>
          <w:szCs w:val="24"/>
          <w:highlight w:val="none"/>
        </w:rPr>
      </w:pPr>
    </w:p>
    <w:p>
      <w:pPr>
        <w:spacing w:line="400" w:lineRule="exact"/>
        <w:rPr>
          <w:rFonts w:ascii="宋体" w:hAnsi="宋体" w:cs="宋体"/>
          <w:color w:val="auto"/>
          <w:sz w:val="24"/>
          <w:szCs w:val="24"/>
          <w:highlight w:val="none"/>
        </w:rPr>
      </w:pPr>
    </w:p>
    <w:p>
      <w:pPr>
        <w:spacing w:line="360" w:lineRule="auto"/>
        <w:jc w:val="right"/>
        <w:rPr>
          <w:rFonts w:hint="eastAsia" w:ascii="宋体" w:hAnsi="宋体" w:cs="宋体"/>
          <w:color w:val="auto"/>
          <w:szCs w:val="21"/>
          <w:highlight w:val="none"/>
        </w:rPr>
      </w:pPr>
      <w:r>
        <w:rPr>
          <w:rFonts w:hint="eastAsia" w:ascii="宋体" w:hAnsi="宋体" w:cs="宋体"/>
          <w:color w:val="auto"/>
          <w:szCs w:val="21"/>
          <w:highlight w:val="none"/>
        </w:rPr>
        <w:t>日期：     年   月   日</w:t>
      </w:r>
    </w:p>
    <w:p>
      <w:pPr>
        <w:spacing w:line="360" w:lineRule="auto"/>
        <w:jc w:val="right"/>
        <w:rPr>
          <w:rFonts w:hint="eastAsia" w:ascii="宋体" w:hAnsi="宋体" w:cs="宋体"/>
          <w:color w:val="auto"/>
          <w:szCs w:val="21"/>
          <w:highlight w:val="none"/>
        </w:rPr>
      </w:pPr>
    </w:p>
    <w:p>
      <w:pPr>
        <w:rPr>
          <w:rFonts w:hint="eastAsia" w:ascii="Calibri" w:hAnsi="Calibri"/>
          <w:color w:val="auto"/>
          <w:sz w:val="24"/>
          <w:szCs w:val="24"/>
          <w:highlight w:val="none"/>
        </w:rPr>
      </w:pPr>
      <w:r>
        <w:rPr>
          <w:rFonts w:ascii="宋体" w:hAnsi="宋体" w:cs="宋体"/>
          <w:color w:val="auto"/>
          <w:szCs w:val="21"/>
          <w:highlight w:val="none"/>
        </w:rPr>
        <w:br w:type="page"/>
      </w:r>
      <w:r>
        <w:rPr>
          <w:rFonts w:hint="eastAsia" w:ascii="Calibri" w:hAnsi="Calibri"/>
          <w:color w:val="auto"/>
          <w:sz w:val="24"/>
          <w:szCs w:val="24"/>
          <w:highlight w:val="none"/>
        </w:rPr>
        <w:t>附表十二</w:t>
      </w:r>
    </w:p>
    <w:p>
      <w:pPr>
        <w:spacing w:line="360" w:lineRule="auto"/>
        <w:rPr>
          <w:rFonts w:hint="eastAsia" w:ascii="宋体" w:hAnsi="宋体" w:cs="宋体"/>
          <w:color w:val="auto"/>
          <w:sz w:val="24"/>
          <w:szCs w:val="24"/>
          <w:highlight w:val="none"/>
        </w:rPr>
      </w:pPr>
    </w:p>
    <w:p>
      <w:pPr>
        <w:jc w:val="center"/>
        <w:rPr>
          <w:rFonts w:ascii="宋体" w:hAnsi="宋体"/>
          <w:b/>
          <w:color w:val="auto"/>
          <w:sz w:val="36"/>
          <w:szCs w:val="36"/>
          <w:highlight w:val="none"/>
        </w:rPr>
      </w:pPr>
      <w:r>
        <w:rPr>
          <w:rFonts w:hint="eastAsia" w:ascii="宋体" w:hAnsi="宋体"/>
          <w:b/>
          <w:color w:val="auto"/>
          <w:sz w:val="36"/>
          <w:szCs w:val="36"/>
          <w:highlight w:val="none"/>
        </w:rPr>
        <w:t>定标情况汇总表（定标阶段）</w:t>
      </w:r>
    </w:p>
    <w:p>
      <w:pPr>
        <w:jc w:val="left"/>
        <w:rPr>
          <w:rFonts w:hint="eastAsia" w:ascii="宋体" w:hAnsi="宋体"/>
          <w:color w:val="auto"/>
          <w:szCs w:val="21"/>
          <w:highlight w:val="none"/>
        </w:rPr>
      </w:pPr>
    </w:p>
    <w:p>
      <w:pPr>
        <w:adjustRightInd w:val="0"/>
        <w:snapToGrid w:val="0"/>
        <w:spacing w:line="360" w:lineRule="auto"/>
        <w:rPr>
          <w:rFonts w:ascii="宋体" w:hAnsi="宋体" w:cs="宋体"/>
          <w:color w:val="auto"/>
          <w:kern w:val="0"/>
          <w:highlight w:val="none"/>
        </w:rPr>
      </w:pPr>
      <w:r>
        <w:rPr>
          <w:rFonts w:hint="eastAsia" w:ascii="宋体" w:hAnsi="宋体" w:cs="宋体"/>
          <w:color w:val="auto"/>
          <w:kern w:val="0"/>
          <w:highlight w:val="none"/>
        </w:rPr>
        <w:t>工程名称：</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3352"/>
        <w:gridCol w:w="931"/>
        <w:gridCol w:w="1774"/>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40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965"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Cs w:val="24"/>
                <w:highlight w:val="none"/>
              </w:rPr>
            </w:pPr>
            <w:r>
              <w:rPr>
                <w:rFonts w:hint="eastAsia" w:ascii="宋体" w:hAnsi="宋体"/>
                <w:color w:val="auto"/>
                <w:szCs w:val="21"/>
                <w:highlight w:val="none"/>
              </w:rPr>
              <w:t>中标候选人</w:t>
            </w:r>
            <w:r>
              <w:rPr>
                <w:rFonts w:hint="eastAsia" w:ascii="宋体" w:hAnsi="宋体" w:cs="宋体"/>
                <w:color w:val="auto"/>
                <w:szCs w:val="24"/>
                <w:highlight w:val="none"/>
              </w:rPr>
              <w:t>名称</w:t>
            </w:r>
          </w:p>
        </w:tc>
        <w:tc>
          <w:tcPr>
            <w:tcW w:w="546"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Cs w:val="24"/>
                <w:highlight w:val="none"/>
              </w:rPr>
            </w:pPr>
            <w:r>
              <w:rPr>
                <w:rFonts w:hint="eastAsia" w:ascii="宋体" w:hAnsi="宋体" w:cs="宋体"/>
                <w:color w:val="auto"/>
                <w:szCs w:val="24"/>
                <w:highlight w:val="none"/>
              </w:rPr>
              <w:t>第一轮得票数</w:t>
            </w:r>
          </w:p>
        </w:tc>
        <w:tc>
          <w:tcPr>
            <w:tcW w:w="1040" w:type="pct"/>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color w:val="auto"/>
                <w:szCs w:val="24"/>
                <w:highlight w:val="none"/>
              </w:rPr>
            </w:pPr>
            <w:r>
              <w:rPr>
                <w:rFonts w:hint="eastAsia" w:ascii="宋体" w:hAnsi="宋体" w:cs="宋体"/>
                <w:color w:val="auto"/>
                <w:szCs w:val="24"/>
                <w:highlight w:val="none"/>
              </w:rPr>
              <w:t>附加投票</w:t>
            </w:r>
          </w:p>
          <w:p>
            <w:pPr>
              <w:jc w:val="center"/>
              <w:rPr>
                <w:rFonts w:hint="eastAsia" w:ascii="宋体" w:hAnsi="宋体" w:cs="宋体"/>
                <w:color w:val="auto"/>
                <w:szCs w:val="24"/>
                <w:highlight w:val="none"/>
              </w:rPr>
            </w:pPr>
            <w:r>
              <w:rPr>
                <w:rFonts w:hint="eastAsia" w:ascii="宋体" w:hAnsi="宋体" w:cs="宋体"/>
                <w:color w:val="auto"/>
                <w:szCs w:val="24"/>
                <w:highlight w:val="none"/>
              </w:rPr>
              <w:t>（如有）</w:t>
            </w:r>
          </w:p>
        </w:tc>
        <w:tc>
          <w:tcPr>
            <w:tcW w:w="104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4"/>
                <w:highlight w:val="none"/>
              </w:rPr>
            </w:pPr>
            <w:r>
              <w:rPr>
                <w:rFonts w:hint="eastAsia" w:ascii="宋体" w:hAnsi="宋体" w:cs="宋体"/>
                <w:color w:val="auto"/>
                <w:szCs w:val="24"/>
                <w:highlight w:val="none"/>
              </w:rPr>
              <w:t>是否被推荐为中标人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40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1965"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24"/>
                <w:szCs w:val="24"/>
                <w:highlight w:val="none"/>
              </w:rPr>
            </w:pPr>
          </w:p>
        </w:tc>
        <w:tc>
          <w:tcPr>
            <w:tcW w:w="546"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24"/>
                <w:szCs w:val="24"/>
                <w:highlight w:val="none"/>
              </w:rPr>
            </w:pPr>
          </w:p>
        </w:tc>
        <w:tc>
          <w:tcPr>
            <w:tcW w:w="1040" w:type="pct"/>
            <w:tcBorders>
              <w:top w:val="single" w:color="auto" w:sz="4" w:space="0"/>
              <w:left w:val="nil"/>
              <w:bottom w:val="single" w:color="auto" w:sz="4" w:space="0"/>
              <w:right w:val="single" w:color="auto" w:sz="4" w:space="0"/>
            </w:tcBorders>
            <w:noWrap w:val="0"/>
            <w:vAlign w:val="top"/>
          </w:tcPr>
          <w:p>
            <w:pPr>
              <w:jc w:val="center"/>
              <w:rPr>
                <w:rFonts w:ascii="宋体" w:hAnsi="宋体" w:cs="宋体"/>
                <w:color w:val="auto"/>
                <w:sz w:val="24"/>
                <w:szCs w:val="24"/>
                <w:highlight w:val="none"/>
              </w:rPr>
            </w:pPr>
          </w:p>
        </w:tc>
        <w:tc>
          <w:tcPr>
            <w:tcW w:w="104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40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1965"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24"/>
                <w:szCs w:val="24"/>
                <w:highlight w:val="none"/>
              </w:rPr>
            </w:pPr>
          </w:p>
        </w:tc>
        <w:tc>
          <w:tcPr>
            <w:tcW w:w="546"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24"/>
                <w:szCs w:val="24"/>
                <w:highlight w:val="none"/>
              </w:rPr>
            </w:pPr>
          </w:p>
        </w:tc>
        <w:tc>
          <w:tcPr>
            <w:tcW w:w="1040" w:type="pct"/>
            <w:tcBorders>
              <w:top w:val="single" w:color="auto" w:sz="4" w:space="0"/>
              <w:left w:val="nil"/>
              <w:bottom w:val="single" w:color="auto" w:sz="4" w:space="0"/>
              <w:right w:val="single" w:color="auto" w:sz="4" w:space="0"/>
            </w:tcBorders>
            <w:noWrap w:val="0"/>
            <w:vAlign w:val="top"/>
          </w:tcPr>
          <w:p>
            <w:pPr>
              <w:jc w:val="center"/>
              <w:rPr>
                <w:rFonts w:ascii="宋体" w:hAnsi="宋体" w:cs="宋体"/>
                <w:color w:val="auto"/>
                <w:sz w:val="24"/>
                <w:szCs w:val="24"/>
                <w:highlight w:val="none"/>
              </w:rPr>
            </w:pPr>
          </w:p>
        </w:tc>
        <w:tc>
          <w:tcPr>
            <w:tcW w:w="104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40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1965"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24"/>
                <w:szCs w:val="24"/>
                <w:highlight w:val="none"/>
              </w:rPr>
            </w:pPr>
          </w:p>
        </w:tc>
        <w:tc>
          <w:tcPr>
            <w:tcW w:w="546"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24"/>
                <w:szCs w:val="24"/>
                <w:highlight w:val="none"/>
              </w:rPr>
            </w:pPr>
          </w:p>
        </w:tc>
        <w:tc>
          <w:tcPr>
            <w:tcW w:w="1040" w:type="pct"/>
            <w:tcBorders>
              <w:top w:val="single" w:color="auto" w:sz="4" w:space="0"/>
              <w:left w:val="nil"/>
              <w:bottom w:val="single" w:color="auto" w:sz="4" w:space="0"/>
              <w:right w:val="single" w:color="auto" w:sz="4" w:space="0"/>
            </w:tcBorders>
            <w:noWrap w:val="0"/>
            <w:vAlign w:val="top"/>
          </w:tcPr>
          <w:p>
            <w:pPr>
              <w:jc w:val="center"/>
              <w:rPr>
                <w:rFonts w:ascii="宋体" w:hAnsi="宋体" w:cs="宋体"/>
                <w:color w:val="auto"/>
                <w:sz w:val="24"/>
                <w:szCs w:val="24"/>
                <w:highlight w:val="none"/>
              </w:rPr>
            </w:pPr>
          </w:p>
        </w:tc>
        <w:tc>
          <w:tcPr>
            <w:tcW w:w="104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40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w:t>
            </w:r>
          </w:p>
        </w:tc>
        <w:tc>
          <w:tcPr>
            <w:tcW w:w="1965"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24"/>
                <w:szCs w:val="24"/>
                <w:highlight w:val="none"/>
              </w:rPr>
            </w:pPr>
          </w:p>
        </w:tc>
        <w:tc>
          <w:tcPr>
            <w:tcW w:w="546"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24"/>
                <w:szCs w:val="24"/>
                <w:highlight w:val="none"/>
              </w:rPr>
            </w:pPr>
          </w:p>
        </w:tc>
        <w:tc>
          <w:tcPr>
            <w:tcW w:w="1040" w:type="pct"/>
            <w:tcBorders>
              <w:top w:val="single" w:color="auto" w:sz="4" w:space="0"/>
              <w:left w:val="nil"/>
              <w:bottom w:val="single" w:color="auto" w:sz="4" w:space="0"/>
              <w:right w:val="single" w:color="auto" w:sz="4" w:space="0"/>
            </w:tcBorders>
            <w:noWrap w:val="0"/>
            <w:vAlign w:val="top"/>
          </w:tcPr>
          <w:p>
            <w:pPr>
              <w:jc w:val="center"/>
              <w:rPr>
                <w:rFonts w:ascii="宋体" w:hAnsi="宋体" w:cs="宋体"/>
                <w:color w:val="auto"/>
                <w:sz w:val="24"/>
                <w:szCs w:val="24"/>
                <w:highlight w:val="none"/>
              </w:rPr>
            </w:pPr>
          </w:p>
        </w:tc>
        <w:tc>
          <w:tcPr>
            <w:tcW w:w="104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40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1965"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24"/>
                <w:szCs w:val="24"/>
                <w:highlight w:val="none"/>
              </w:rPr>
            </w:pPr>
          </w:p>
        </w:tc>
        <w:tc>
          <w:tcPr>
            <w:tcW w:w="546"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24"/>
                <w:szCs w:val="24"/>
                <w:highlight w:val="none"/>
              </w:rPr>
            </w:pPr>
          </w:p>
        </w:tc>
        <w:tc>
          <w:tcPr>
            <w:tcW w:w="1040" w:type="pct"/>
            <w:tcBorders>
              <w:top w:val="single" w:color="auto" w:sz="4" w:space="0"/>
              <w:left w:val="nil"/>
              <w:bottom w:val="single" w:color="auto" w:sz="4" w:space="0"/>
              <w:right w:val="single" w:color="auto" w:sz="4" w:space="0"/>
            </w:tcBorders>
            <w:noWrap w:val="0"/>
            <w:vAlign w:val="top"/>
          </w:tcPr>
          <w:p>
            <w:pPr>
              <w:jc w:val="center"/>
              <w:rPr>
                <w:rFonts w:ascii="宋体" w:hAnsi="宋体" w:cs="宋体"/>
                <w:color w:val="auto"/>
                <w:sz w:val="24"/>
                <w:szCs w:val="24"/>
                <w:highlight w:val="none"/>
              </w:rPr>
            </w:pPr>
          </w:p>
        </w:tc>
        <w:tc>
          <w:tcPr>
            <w:tcW w:w="104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40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6</w:t>
            </w:r>
          </w:p>
        </w:tc>
        <w:tc>
          <w:tcPr>
            <w:tcW w:w="1965"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24"/>
                <w:szCs w:val="24"/>
                <w:highlight w:val="none"/>
              </w:rPr>
            </w:pPr>
          </w:p>
        </w:tc>
        <w:tc>
          <w:tcPr>
            <w:tcW w:w="546"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24"/>
                <w:szCs w:val="24"/>
                <w:highlight w:val="none"/>
              </w:rPr>
            </w:pPr>
          </w:p>
        </w:tc>
        <w:tc>
          <w:tcPr>
            <w:tcW w:w="1040" w:type="pct"/>
            <w:tcBorders>
              <w:top w:val="single" w:color="auto" w:sz="4" w:space="0"/>
              <w:left w:val="nil"/>
              <w:bottom w:val="single" w:color="auto" w:sz="4" w:space="0"/>
              <w:right w:val="single" w:color="auto" w:sz="4" w:space="0"/>
            </w:tcBorders>
            <w:noWrap w:val="0"/>
            <w:vAlign w:val="top"/>
          </w:tcPr>
          <w:p>
            <w:pPr>
              <w:jc w:val="center"/>
              <w:rPr>
                <w:rFonts w:ascii="宋体" w:hAnsi="宋体" w:cs="宋体"/>
                <w:color w:val="auto"/>
                <w:sz w:val="24"/>
                <w:szCs w:val="24"/>
                <w:highlight w:val="none"/>
              </w:rPr>
            </w:pPr>
          </w:p>
        </w:tc>
        <w:tc>
          <w:tcPr>
            <w:tcW w:w="104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40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7</w:t>
            </w:r>
          </w:p>
        </w:tc>
        <w:tc>
          <w:tcPr>
            <w:tcW w:w="1965"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24"/>
                <w:szCs w:val="24"/>
                <w:highlight w:val="none"/>
              </w:rPr>
            </w:pPr>
          </w:p>
        </w:tc>
        <w:tc>
          <w:tcPr>
            <w:tcW w:w="546"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24"/>
                <w:szCs w:val="24"/>
                <w:highlight w:val="none"/>
              </w:rPr>
            </w:pPr>
          </w:p>
        </w:tc>
        <w:tc>
          <w:tcPr>
            <w:tcW w:w="1040" w:type="pct"/>
            <w:tcBorders>
              <w:top w:val="single" w:color="auto" w:sz="4" w:space="0"/>
              <w:left w:val="nil"/>
              <w:bottom w:val="single" w:color="auto" w:sz="4" w:space="0"/>
              <w:right w:val="single" w:color="auto" w:sz="4" w:space="0"/>
            </w:tcBorders>
            <w:noWrap w:val="0"/>
            <w:vAlign w:val="top"/>
          </w:tcPr>
          <w:p>
            <w:pPr>
              <w:jc w:val="center"/>
              <w:rPr>
                <w:rFonts w:ascii="宋体" w:hAnsi="宋体" w:cs="宋体"/>
                <w:color w:val="auto"/>
                <w:sz w:val="24"/>
                <w:szCs w:val="24"/>
                <w:highlight w:val="none"/>
              </w:rPr>
            </w:pPr>
          </w:p>
        </w:tc>
        <w:tc>
          <w:tcPr>
            <w:tcW w:w="104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szCs w:val="24"/>
                <w:highlight w:val="none"/>
              </w:rPr>
            </w:pPr>
          </w:p>
        </w:tc>
      </w:tr>
    </w:tbl>
    <w:p>
      <w:pPr>
        <w:rPr>
          <w:rFonts w:ascii="宋体" w:hAnsi="宋体" w:cs="宋体"/>
          <w:color w:val="auto"/>
          <w:szCs w:val="21"/>
          <w:highlight w:val="none"/>
        </w:rPr>
      </w:pPr>
    </w:p>
    <w:p>
      <w:pPr>
        <w:spacing w:line="400" w:lineRule="exact"/>
        <w:rPr>
          <w:rFonts w:ascii="宋体" w:hAnsi="宋体" w:cs="宋体"/>
          <w:color w:val="auto"/>
          <w:sz w:val="24"/>
          <w:szCs w:val="24"/>
          <w:highlight w:val="none"/>
        </w:rPr>
      </w:pPr>
      <w:r>
        <w:rPr>
          <w:rFonts w:hint="eastAsia" w:ascii="宋体" w:hAnsi="宋体"/>
          <w:color w:val="auto"/>
          <w:szCs w:val="21"/>
          <w:highlight w:val="none"/>
        </w:rPr>
        <w:t>定标委员会全体成员签名：</w:t>
      </w:r>
    </w:p>
    <w:p>
      <w:pPr>
        <w:spacing w:line="400" w:lineRule="exact"/>
        <w:rPr>
          <w:rFonts w:ascii="宋体" w:hAnsi="宋体" w:cs="宋体"/>
          <w:color w:val="auto"/>
          <w:sz w:val="24"/>
          <w:szCs w:val="24"/>
          <w:highlight w:val="none"/>
        </w:rPr>
      </w:pPr>
    </w:p>
    <w:p>
      <w:pPr>
        <w:spacing w:line="400" w:lineRule="exact"/>
        <w:rPr>
          <w:rFonts w:ascii="宋体" w:hAnsi="宋体" w:cs="宋体"/>
          <w:color w:val="auto"/>
          <w:sz w:val="24"/>
          <w:szCs w:val="24"/>
          <w:highlight w:val="none"/>
        </w:rPr>
      </w:pPr>
    </w:p>
    <w:p>
      <w:pPr>
        <w:spacing w:line="360" w:lineRule="auto"/>
        <w:ind w:right="-2"/>
        <w:jc w:val="right"/>
        <w:rPr>
          <w:rFonts w:ascii="宋体" w:hAnsi="宋体" w:cs="宋体"/>
          <w:color w:val="auto"/>
          <w:sz w:val="24"/>
          <w:szCs w:val="24"/>
          <w:highlight w:val="none"/>
        </w:rPr>
      </w:pPr>
      <w:r>
        <w:rPr>
          <w:rFonts w:hint="eastAsia" w:ascii="宋体" w:hAnsi="宋体" w:cs="宋体"/>
          <w:color w:val="auto"/>
          <w:szCs w:val="21"/>
          <w:highlight w:val="none"/>
        </w:rPr>
        <w:t>日期：     年   月   日</w:t>
      </w:r>
    </w:p>
    <w:p>
      <w:pPr>
        <w:rPr>
          <w:rFonts w:ascii="宋体" w:hAnsi="宋体" w:cs="宋体"/>
          <w:color w:val="auto"/>
          <w:sz w:val="22"/>
          <w:highlight w:val="none"/>
        </w:rPr>
      </w:pPr>
    </w:p>
    <w:p>
      <w:pPr>
        <w:spacing w:line="360" w:lineRule="auto"/>
        <w:jc w:val="center"/>
        <w:rPr>
          <w:rFonts w:ascii="宋体" w:hAnsi="宋体" w:cs="宋体"/>
          <w:color w:val="auto"/>
          <w:sz w:val="24"/>
          <w:szCs w:val="24"/>
          <w:highlight w:val="none"/>
        </w:rPr>
        <w:sectPr>
          <w:pgSz w:w="11906" w:h="16838"/>
          <w:pgMar w:top="1440" w:right="1797" w:bottom="1440" w:left="1797" w:header="851" w:footer="992" w:gutter="0"/>
          <w:cols w:space="720" w:num="1"/>
          <w:docGrid w:type="linesAndChars" w:linePitch="312" w:charSpace="0"/>
        </w:sectPr>
      </w:pPr>
      <w:r>
        <w:rPr>
          <w:rFonts w:hint="eastAsia" w:ascii="宋体" w:hAnsi="宋体" w:cs="宋体"/>
          <w:color w:val="auto"/>
          <w:szCs w:val="21"/>
          <w:highlight w:val="none"/>
        </w:rPr>
        <w:t>注：定标委员会成员须根据每轮的投票结果，得票数最多的合格的中标候选人为中标人。</w:t>
      </w:r>
    </w:p>
    <w:p>
      <w:pPr>
        <w:rPr>
          <w:rFonts w:hint="eastAsia" w:ascii="Calibri" w:hAnsi="Calibri"/>
          <w:color w:val="auto"/>
          <w:sz w:val="24"/>
          <w:szCs w:val="24"/>
          <w:highlight w:val="none"/>
        </w:rPr>
      </w:pPr>
    </w:p>
    <w:p>
      <w:pPr>
        <w:jc w:val="center"/>
        <w:outlineLvl w:val="0"/>
        <w:rPr>
          <w:rFonts w:hint="eastAsia"/>
          <w:b/>
          <w:bCs/>
          <w:color w:val="auto"/>
          <w:sz w:val="32"/>
          <w:szCs w:val="32"/>
          <w:highlight w:val="none"/>
        </w:rPr>
      </w:pPr>
      <w:r>
        <w:rPr>
          <w:rFonts w:hint="eastAsia" w:ascii="宋体" w:hAnsi="宋体" w:eastAsia="宋体" w:cs="宋体"/>
          <w:b/>
          <w:bCs/>
          <w:color w:val="auto"/>
          <w:kern w:val="44"/>
          <w:sz w:val="28"/>
          <w:szCs w:val="28"/>
          <w:highlight w:val="none"/>
          <w:lang w:val="en-US" w:eastAsia="zh-CN" w:bidi="ar-SA"/>
        </w:rPr>
        <w:t>第三章 合同条款</w:t>
      </w:r>
      <w:bookmarkEnd w:id="234"/>
      <w:bookmarkEnd w:id="235"/>
      <w:bookmarkEnd w:id="236"/>
      <w:bookmarkEnd w:id="237"/>
      <w:bookmarkEnd w:id="238"/>
      <w:bookmarkEnd w:id="239"/>
      <w:bookmarkEnd w:id="240"/>
      <w:bookmarkEnd w:id="241"/>
      <w:bookmarkEnd w:id="242"/>
      <w:bookmarkEnd w:id="243"/>
      <w:bookmarkEnd w:id="244"/>
      <w:bookmarkEnd w:id="245"/>
    </w:p>
    <w:p>
      <w:pPr>
        <w:ind w:firstLine="420" w:firstLineChars="200"/>
        <w:rPr>
          <w:rFonts w:hint="eastAsia"/>
          <w:color w:val="auto"/>
          <w:highlight w:val="none"/>
        </w:rPr>
        <w:sectPr>
          <w:headerReference r:id="rId16" w:type="default"/>
          <w:footerReference r:id="rId17" w:type="default"/>
          <w:pgSz w:w="11906" w:h="16838"/>
          <w:pgMar w:top="1440" w:right="866" w:bottom="1440" w:left="1600" w:header="851" w:footer="992" w:gutter="0"/>
          <w:cols w:space="720" w:num="1"/>
          <w:docGrid w:type="lines" w:linePitch="312" w:charSpace="0"/>
        </w:sectPr>
      </w:pPr>
      <w:r>
        <w:rPr>
          <w:rFonts w:hint="eastAsia"/>
          <w:color w:val="auto"/>
          <w:highlight w:val="none"/>
        </w:rPr>
        <w:br w:type="page"/>
      </w:r>
    </w:p>
    <w:p>
      <w:pPr>
        <w:rPr>
          <w:rFonts w:hint="eastAsia"/>
          <w:color w:val="auto"/>
          <w:highlight w:val="none"/>
        </w:rPr>
      </w:pPr>
      <w:r>
        <w:rPr>
          <w:rFonts w:hint="eastAsia"/>
          <w:color w:val="auto"/>
          <w:highlight w:val="none"/>
        </w:rPr>
        <w:drawing>
          <wp:anchor distT="0" distB="0" distL="114300" distR="114300" simplePos="0" relativeHeight="251660288" behindDoc="0" locked="0" layoutInCell="1" allowOverlap="1">
            <wp:simplePos x="0" y="0"/>
            <wp:positionH relativeFrom="column">
              <wp:posOffset>4848860</wp:posOffset>
            </wp:positionH>
            <wp:positionV relativeFrom="paragraph">
              <wp:posOffset>304165</wp:posOffset>
            </wp:positionV>
            <wp:extent cx="2236470" cy="1571625"/>
            <wp:effectExtent l="0" t="0" r="11430" b="9525"/>
            <wp:wrapSquare wrapText="bothSides"/>
            <wp:docPr id="2" name="图片 10" descr="C:\Users\lanxing\Desktop\93b1542184114cf8b316f10d4b2d5c42.png93b1542184114cf8b316f10d4b2d5c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C:\Users\lanxing\Desktop\93b1542184114cf8b316f10d4b2d5c42.png93b1542184114cf8b316f10d4b2d5c42"/>
                    <pic:cNvPicPr>
                      <a:picLocks noChangeAspect="1"/>
                    </pic:cNvPicPr>
                  </pic:nvPicPr>
                  <pic:blipFill>
                    <a:blip r:embed="rId28"/>
                    <a:stretch>
                      <a:fillRect/>
                    </a:stretch>
                  </pic:blipFill>
                  <pic:spPr>
                    <a:xfrm>
                      <a:off x="0" y="0"/>
                      <a:ext cx="2236470" cy="1571625"/>
                    </a:xfrm>
                    <a:prstGeom prst="rect">
                      <a:avLst/>
                    </a:prstGeom>
                    <a:noFill/>
                    <a:ln>
                      <a:noFill/>
                    </a:ln>
                  </pic:spPr>
                </pic:pic>
              </a:graphicData>
            </a:graphic>
          </wp:anchor>
        </w:drawing>
      </w:r>
    </w:p>
    <w:p>
      <w:pPr>
        <w:ind w:firstLine="420" w:firstLineChars="200"/>
        <w:rPr>
          <w:rFonts w:hint="eastAsia"/>
          <w:color w:val="auto"/>
          <w:highlight w:val="none"/>
        </w:rPr>
      </w:pPr>
    </w:p>
    <w:p>
      <w:pPr>
        <w:ind w:firstLine="525" w:firstLineChars="250"/>
        <w:rPr>
          <w:rFonts w:hint="eastAsia"/>
          <w:color w:val="auto"/>
          <w:highlight w:val="none"/>
        </w:rPr>
      </w:pPr>
      <w:r>
        <w:rPr>
          <w:color w:val="auto"/>
          <w:highlight w:val="none"/>
        </w:rPr>
        <w:drawing>
          <wp:inline distT="0" distB="0" distL="114300" distR="114300">
            <wp:extent cx="2461260" cy="257175"/>
            <wp:effectExtent l="0" t="0" r="15240" b="952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29"/>
                    <a:stretch>
                      <a:fillRect/>
                    </a:stretch>
                  </pic:blipFill>
                  <pic:spPr>
                    <a:xfrm>
                      <a:off x="0" y="0"/>
                      <a:ext cx="2461260" cy="257175"/>
                    </a:xfrm>
                    <a:prstGeom prst="rect">
                      <a:avLst/>
                    </a:prstGeom>
                    <a:noFill/>
                    <a:ln>
                      <a:noFill/>
                    </a:ln>
                  </pic:spPr>
                </pic:pic>
              </a:graphicData>
            </a:graphic>
          </wp:inline>
        </w:drawing>
      </w:r>
    </w:p>
    <w:p>
      <w:pPr>
        <w:ind w:firstLine="8400" w:firstLineChars="3500"/>
        <w:rPr>
          <w:color w:val="auto"/>
          <w:sz w:val="24"/>
          <w:highlight w:val="none"/>
        </w:rPr>
      </w:pPr>
      <w:r>
        <w:rPr>
          <w:rFonts w:hint="eastAsia"/>
          <w:color w:val="auto"/>
          <w:sz w:val="24"/>
          <w:highlight w:val="none"/>
        </w:rPr>
        <w:t xml:space="preserve">                            </w:t>
      </w:r>
    </w:p>
    <w:p>
      <w:pPr>
        <w:tabs>
          <w:tab w:val="left" w:pos="870"/>
        </w:tabs>
        <w:ind w:firstLine="723" w:firstLineChars="300"/>
        <w:rPr>
          <w:rFonts w:hint="eastAsia" w:ascii="仿宋" w:hAnsi="仿宋" w:eastAsia="仿宋"/>
          <w:b/>
          <w:color w:val="auto"/>
          <w:sz w:val="24"/>
          <w:highlight w:val="none"/>
        </w:rPr>
      </w:pPr>
      <w:r>
        <w:rPr>
          <w:rFonts w:hint="eastAsia" w:ascii="仿宋" w:hAnsi="仿宋" w:eastAsia="仿宋"/>
          <w:b/>
          <w:color w:val="auto"/>
          <w:sz w:val="24"/>
          <w:highlight w:val="none"/>
        </w:rPr>
        <w:t>合同编号：穗开建管施[20  ]  号</w:t>
      </w:r>
    </w:p>
    <w:p>
      <w:pPr>
        <w:rPr>
          <w:rFonts w:hint="eastAsia" w:ascii="方正大标宋简体" w:eastAsia="方正大标宋简体"/>
          <w:color w:val="auto"/>
          <w:sz w:val="28"/>
          <w:szCs w:val="28"/>
          <w:highlight w:val="none"/>
        </w:rPr>
      </w:pPr>
      <w:r>
        <w:rPr>
          <w:rFonts w:hint="eastAsia" w:ascii="方正大标宋简体" w:eastAsia="方正大标宋简体"/>
          <w:color w:val="auto"/>
          <w:sz w:val="28"/>
          <w:szCs w:val="28"/>
          <w:highlight w:val="none"/>
        </w:rPr>
        <w:t xml:space="preserve"> </w:t>
      </w:r>
    </w:p>
    <w:p>
      <w:pPr>
        <w:ind w:firstLine="840" w:firstLineChars="400"/>
        <w:rPr>
          <w:rFonts w:hint="eastAsia"/>
          <w:color w:val="auto"/>
          <w:highlight w:val="none"/>
        </w:rPr>
      </w:pPr>
    </w:p>
    <w:p>
      <w:pPr>
        <w:ind w:firstLine="840" w:firstLineChars="400"/>
        <w:rPr>
          <w:rFonts w:hint="eastAsia"/>
          <w:color w:val="auto"/>
          <w:highlight w:val="none"/>
        </w:rPr>
      </w:pPr>
      <w:r>
        <w:rPr>
          <w:rFonts w:hint="eastAsia"/>
          <w:color w:val="auto"/>
          <w:highlight w:val="none"/>
        </w:rPr>
        <w:t xml:space="preserve">                                                              </w:t>
      </w:r>
    </w:p>
    <w:p>
      <w:pPr>
        <w:ind w:firstLine="840" w:firstLineChars="400"/>
        <w:rPr>
          <w:rFonts w:hint="eastAsia"/>
          <w:color w:val="auto"/>
          <w:highlight w:val="none"/>
        </w:rPr>
      </w:pPr>
      <w:r>
        <w:rPr>
          <w:rFonts w:hint="eastAsia"/>
          <w:color w:val="auto"/>
          <w:highlight w:val="none"/>
        </w:rPr>
        <w:t xml:space="preserve">                     </w:t>
      </w:r>
    </w:p>
    <w:p>
      <w:pPr>
        <w:snapToGrid w:val="0"/>
        <w:spacing w:line="440" w:lineRule="exact"/>
        <w:ind w:left="-197" w:leftChars="-94"/>
        <w:jc w:val="center"/>
        <w:rPr>
          <w:rFonts w:hint="eastAsia" w:ascii="宋体" w:hAnsi="宋体"/>
          <w:color w:val="auto"/>
          <w:highlight w:val="none"/>
        </w:rPr>
      </w:pPr>
    </w:p>
    <w:p>
      <w:pPr>
        <w:snapToGrid w:val="0"/>
        <w:spacing w:line="440" w:lineRule="exact"/>
        <w:ind w:left="-197" w:leftChars="-94"/>
        <w:jc w:val="center"/>
        <w:rPr>
          <w:rFonts w:hint="eastAsia" w:ascii="宋体" w:hAnsi="宋体"/>
          <w:color w:val="auto"/>
          <w:highlight w:val="none"/>
        </w:rPr>
      </w:pPr>
    </w:p>
    <w:p>
      <w:pPr>
        <w:snapToGrid w:val="0"/>
        <w:spacing w:line="440" w:lineRule="exact"/>
        <w:ind w:left="-197" w:leftChars="-94"/>
        <w:jc w:val="center"/>
        <w:rPr>
          <w:rFonts w:hint="eastAsia" w:ascii="宋体" w:hAnsi="宋体"/>
          <w:color w:val="auto"/>
          <w:highlight w:val="none"/>
        </w:rPr>
      </w:pPr>
      <w:r>
        <w:rPr>
          <w:rFonts w:hint="eastAsia"/>
          <w:color w:val="auto"/>
          <w:highlight w:val="none"/>
        </w:rPr>
        <w:drawing>
          <wp:anchor distT="0" distB="0" distL="114300" distR="114300" simplePos="0" relativeHeight="251661312" behindDoc="0" locked="0" layoutInCell="1" allowOverlap="1">
            <wp:simplePos x="0" y="0"/>
            <wp:positionH relativeFrom="column">
              <wp:posOffset>895350</wp:posOffset>
            </wp:positionH>
            <wp:positionV relativeFrom="paragraph">
              <wp:posOffset>163195</wp:posOffset>
            </wp:positionV>
            <wp:extent cx="5295900" cy="516255"/>
            <wp:effectExtent l="0" t="0" r="0" b="1714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30"/>
                    <a:stretch>
                      <a:fillRect/>
                    </a:stretch>
                  </pic:blipFill>
                  <pic:spPr>
                    <a:xfrm>
                      <a:off x="0" y="0"/>
                      <a:ext cx="5295900" cy="516255"/>
                    </a:xfrm>
                    <a:prstGeom prst="rect">
                      <a:avLst/>
                    </a:prstGeom>
                    <a:noFill/>
                    <a:ln>
                      <a:noFill/>
                    </a:ln>
                  </pic:spPr>
                </pic:pic>
              </a:graphicData>
            </a:graphic>
          </wp:anchor>
        </w:drawing>
      </w:r>
    </w:p>
    <w:p>
      <w:pPr>
        <w:snapToGrid w:val="0"/>
        <w:spacing w:line="440" w:lineRule="exact"/>
        <w:ind w:left="-197" w:leftChars="-94"/>
        <w:jc w:val="center"/>
        <w:rPr>
          <w:rFonts w:hint="eastAsia" w:ascii="宋体" w:hAnsi="宋体"/>
          <w:color w:val="auto"/>
          <w:highlight w:val="none"/>
        </w:rPr>
      </w:pPr>
    </w:p>
    <w:p>
      <w:pPr>
        <w:spacing w:line="480" w:lineRule="exact"/>
        <w:jc w:val="center"/>
        <w:rPr>
          <w:rFonts w:hint="eastAsia" w:ascii="宋体" w:hAnsi="宋体"/>
          <w:color w:val="auto"/>
          <w:highlight w:val="none"/>
        </w:rPr>
      </w:pPr>
    </w:p>
    <w:p>
      <w:pPr>
        <w:spacing w:line="480" w:lineRule="exact"/>
        <w:jc w:val="center"/>
        <w:rPr>
          <w:rFonts w:hint="eastAsia" w:ascii="宋体" w:hAnsi="宋体"/>
          <w:color w:val="auto"/>
          <w:highlight w:val="none"/>
        </w:rPr>
      </w:pPr>
    </w:p>
    <w:p>
      <w:pPr>
        <w:spacing w:line="480" w:lineRule="exact"/>
        <w:jc w:val="center"/>
        <w:rPr>
          <w:rFonts w:hint="eastAsia" w:ascii="宋体" w:hAnsi="宋体"/>
          <w:color w:val="auto"/>
          <w:highlight w:val="none"/>
        </w:rPr>
      </w:pPr>
    </w:p>
    <w:p>
      <w:pPr>
        <w:spacing w:line="480" w:lineRule="exact"/>
        <w:jc w:val="center"/>
        <w:rPr>
          <w:rFonts w:hint="eastAsia"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 xml:space="preserve">        </w:t>
      </w:r>
    </w:p>
    <w:p>
      <w:pPr>
        <w:spacing w:line="480" w:lineRule="exact"/>
        <w:jc w:val="center"/>
        <w:rPr>
          <w:rFonts w:hint="eastAsia" w:ascii="仿宋_GB2312" w:hAnsi="仿宋" w:eastAsia="仿宋_GB2312"/>
          <w:color w:val="auto"/>
          <w:sz w:val="28"/>
          <w:szCs w:val="28"/>
          <w:highlight w:val="none"/>
        </w:rPr>
      </w:pPr>
    </w:p>
    <w:p>
      <w:pPr>
        <w:spacing w:line="480" w:lineRule="exact"/>
        <w:jc w:val="center"/>
        <w:rPr>
          <w:rFonts w:hint="eastAsia" w:ascii="仿宋_GB2312" w:hAnsi="仿宋" w:eastAsia="仿宋_GB2312"/>
          <w:color w:val="auto"/>
          <w:sz w:val="28"/>
          <w:szCs w:val="28"/>
          <w:highlight w:val="none"/>
        </w:rPr>
      </w:pPr>
    </w:p>
    <w:p>
      <w:pPr>
        <w:spacing w:line="480" w:lineRule="exact"/>
        <w:jc w:val="center"/>
        <w:rPr>
          <w:rFonts w:hint="eastAsia" w:ascii="仿宋_GB2312" w:hAnsi="仿宋" w:eastAsia="仿宋_GB2312"/>
          <w:color w:val="auto"/>
          <w:sz w:val="28"/>
          <w:szCs w:val="28"/>
          <w:highlight w:val="none"/>
        </w:rPr>
      </w:pPr>
    </w:p>
    <w:p>
      <w:pPr>
        <w:spacing w:line="480" w:lineRule="exact"/>
        <w:ind w:firstLine="2520" w:firstLineChars="900"/>
        <w:rPr>
          <w:rFonts w:hint="eastAsia" w:ascii="宋体" w:hAnsi="宋体"/>
          <w:color w:val="auto"/>
          <w:sz w:val="28"/>
          <w:szCs w:val="28"/>
          <w:highlight w:val="none"/>
          <w:u w:val="single"/>
        </w:rPr>
      </w:pPr>
      <w:r>
        <w:rPr>
          <w:rFonts w:hint="eastAsia" w:ascii="仿宋_GB2312" w:hAnsi="仿宋" w:eastAsia="仿宋_GB2312"/>
          <w:color w:val="auto"/>
          <w:sz w:val="28"/>
          <w:szCs w:val="28"/>
          <w:highlight w:val="none"/>
        </w:rPr>
        <w:t xml:space="preserve"> </w:t>
      </w:r>
      <w:r>
        <w:rPr>
          <w:rFonts w:hint="eastAsia" w:ascii="宋体" w:hAnsi="宋体"/>
          <w:color w:val="auto"/>
          <w:sz w:val="28"/>
          <w:szCs w:val="28"/>
          <w:highlight w:val="none"/>
        </w:rPr>
        <w:t>项 目 名   称：</w:t>
      </w:r>
      <w:r>
        <w:rPr>
          <w:rFonts w:hint="eastAsia" w:ascii="宋体" w:hAnsi="宋体"/>
          <w:color w:val="auto"/>
          <w:sz w:val="28"/>
          <w:szCs w:val="28"/>
          <w:highlight w:val="none"/>
          <w:u w:val="single"/>
        </w:rPr>
        <w:t xml:space="preserve">                                    </w:t>
      </w:r>
    </w:p>
    <w:p>
      <w:pPr>
        <w:spacing w:line="440" w:lineRule="exact"/>
        <w:ind w:firstLine="2699" w:firstLineChars="964"/>
        <w:rPr>
          <w:rFonts w:hint="eastAsia" w:ascii="方正大标宋简体" w:hAnsi="仿宋" w:eastAsia="方正大标宋简体"/>
          <w:color w:val="auto"/>
          <w:sz w:val="28"/>
          <w:szCs w:val="28"/>
          <w:highlight w:val="none"/>
          <w:u w:val="single"/>
        </w:rPr>
      </w:pPr>
      <w:r>
        <w:rPr>
          <w:rFonts w:hint="eastAsia" w:ascii="仿宋_GB2312" w:hAnsi="仿宋" w:eastAsia="仿宋_GB2312"/>
          <w:color w:val="auto"/>
          <w:sz w:val="28"/>
          <w:szCs w:val="28"/>
          <w:highlight w:val="none"/>
        </w:rPr>
        <w:t>发包人（甲方）：</w:t>
      </w:r>
      <w:r>
        <w:rPr>
          <w:rFonts w:hint="eastAsia" w:ascii="方正大标宋简体" w:hAnsi="仿宋" w:eastAsia="方正大标宋简体"/>
          <w:color w:val="auto"/>
          <w:sz w:val="28"/>
          <w:szCs w:val="28"/>
          <w:highlight w:val="none"/>
          <w:u w:val="single"/>
        </w:rPr>
        <w:t xml:space="preserve">广州开发区财政投资建设项目管理中心 </w:t>
      </w:r>
    </w:p>
    <w:p>
      <w:pPr>
        <w:snapToGrid w:val="0"/>
        <w:spacing w:line="440" w:lineRule="exact"/>
        <w:ind w:firstLine="2699" w:firstLineChars="964"/>
        <w:rPr>
          <w:rFonts w:hint="eastAsia" w:ascii="方正大标宋简体" w:hAnsi="宋体" w:eastAsia="方正大标宋简体"/>
          <w:color w:val="auto"/>
          <w:sz w:val="28"/>
          <w:szCs w:val="28"/>
          <w:highlight w:val="none"/>
          <w:u w:val="single"/>
        </w:rPr>
      </w:pPr>
      <w:r>
        <w:rPr>
          <w:rFonts w:hint="eastAsia" w:ascii="仿宋_GB2312" w:hAnsi="仿宋" w:eastAsia="仿宋_GB2312"/>
          <w:color w:val="auto"/>
          <w:sz w:val="28"/>
          <w:szCs w:val="28"/>
          <w:highlight w:val="none"/>
        </w:rPr>
        <w:t>承包人（乙方）：</w:t>
      </w:r>
      <w:r>
        <w:rPr>
          <w:rFonts w:hint="eastAsia" w:ascii="方正大标宋简体" w:hAnsi="宋体" w:eastAsia="方正大标宋简体"/>
          <w:color w:val="auto"/>
          <w:sz w:val="28"/>
          <w:szCs w:val="28"/>
          <w:highlight w:val="none"/>
          <w:u w:val="single"/>
        </w:rPr>
        <w:t xml:space="preserve">                            </w:t>
      </w:r>
    </w:p>
    <w:p>
      <w:pPr>
        <w:spacing w:line="480" w:lineRule="exact"/>
        <w:ind w:firstLine="2660" w:firstLineChars="950"/>
        <w:rPr>
          <w:rFonts w:hint="eastAsia" w:ascii="宋体" w:hAnsi="宋体"/>
          <w:color w:val="auto"/>
          <w:sz w:val="28"/>
          <w:szCs w:val="28"/>
          <w:highlight w:val="none"/>
          <w:u w:val="single"/>
        </w:rPr>
      </w:pPr>
      <w:r>
        <w:rPr>
          <w:rFonts w:hint="eastAsia" w:ascii="宋体" w:hAnsi="宋体"/>
          <w:color w:val="auto"/>
          <w:sz w:val="28"/>
          <w:szCs w:val="28"/>
          <w:highlight w:val="none"/>
        </w:rPr>
        <w:t>合同签订日期：</w:t>
      </w:r>
      <w:r>
        <w:rPr>
          <w:rFonts w:hint="eastAsia" w:ascii="宋体" w:hAnsi="宋体"/>
          <w:color w:val="auto"/>
          <w:sz w:val="28"/>
          <w:szCs w:val="28"/>
          <w:highlight w:val="none"/>
          <w:u w:val="single"/>
        </w:rPr>
        <w:t xml:space="preserve">         年   月    日         </w:t>
      </w:r>
    </w:p>
    <w:p>
      <w:pPr>
        <w:spacing w:line="480" w:lineRule="exact"/>
        <w:ind w:firstLine="2660" w:firstLineChars="950"/>
        <w:rPr>
          <w:rFonts w:hint="eastAsia" w:ascii="宋体" w:hAnsi="宋体"/>
          <w:color w:val="auto"/>
          <w:sz w:val="28"/>
          <w:szCs w:val="28"/>
          <w:highlight w:val="none"/>
          <w:u w:val="single"/>
        </w:rPr>
      </w:pPr>
      <w:r>
        <w:rPr>
          <w:rFonts w:hint="eastAsia" w:ascii="宋体" w:hAnsi="宋体"/>
          <w:color w:val="auto"/>
          <w:sz w:val="28"/>
          <w:szCs w:val="28"/>
          <w:highlight w:val="none"/>
        </w:rPr>
        <w:t>签 订  地  点：</w:t>
      </w:r>
      <w:r>
        <w:rPr>
          <w:rFonts w:hint="eastAsia" w:ascii="宋体" w:hAnsi="宋体"/>
          <w:color w:val="auto"/>
          <w:sz w:val="28"/>
          <w:szCs w:val="28"/>
          <w:highlight w:val="none"/>
          <w:u w:val="single"/>
        </w:rPr>
        <w:t xml:space="preserve">        广州市黄埔区       </w:t>
      </w:r>
    </w:p>
    <w:p>
      <w:pPr>
        <w:spacing w:line="480" w:lineRule="exact"/>
        <w:jc w:val="center"/>
        <w:rPr>
          <w:rFonts w:hint="eastAsia" w:ascii="宋体" w:hAnsi="宋体"/>
          <w:color w:val="auto"/>
          <w:highlight w:val="none"/>
        </w:rPr>
      </w:pPr>
      <w:r>
        <w:rPr>
          <w:color w:val="auto"/>
          <w:highlight w:val="none"/>
        </w:rPr>
        <w:drawing>
          <wp:anchor distT="0" distB="0" distL="114300" distR="114300" simplePos="0" relativeHeight="251662336" behindDoc="0" locked="0" layoutInCell="1" allowOverlap="0">
            <wp:simplePos x="0" y="0"/>
            <wp:positionH relativeFrom="column">
              <wp:align>center</wp:align>
            </wp:positionH>
            <wp:positionV relativeFrom="paragraph">
              <wp:posOffset>742950</wp:posOffset>
            </wp:positionV>
            <wp:extent cx="7562850" cy="2300605"/>
            <wp:effectExtent l="0" t="0" r="0" b="4445"/>
            <wp:wrapSquare wrapText="bothSides"/>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31"/>
                    <a:stretch>
                      <a:fillRect/>
                    </a:stretch>
                  </pic:blipFill>
                  <pic:spPr>
                    <a:xfrm>
                      <a:off x="0" y="0"/>
                      <a:ext cx="7562850" cy="2300605"/>
                    </a:xfrm>
                    <a:prstGeom prst="rect">
                      <a:avLst/>
                    </a:prstGeom>
                    <a:noFill/>
                    <a:ln>
                      <a:noFill/>
                    </a:ln>
                  </pic:spPr>
                </pic:pic>
              </a:graphicData>
            </a:graphic>
          </wp:anchor>
        </w:drawing>
      </w:r>
    </w:p>
    <w:p>
      <w:pPr>
        <w:snapToGrid w:val="0"/>
        <w:spacing w:line="440" w:lineRule="exact"/>
        <w:ind w:left="-197" w:leftChars="-94"/>
        <w:jc w:val="center"/>
        <w:rPr>
          <w:rFonts w:ascii="宋体" w:hAnsi="宋体"/>
          <w:color w:val="auto"/>
          <w:highlight w:val="none"/>
        </w:rPr>
        <w:sectPr>
          <w:headerReference r:id="rId20" w:type="first"/>
          <w:footerReference r:id="rId23" w:type="first"/>
          <w:headerReference r:id="rId18" w:type="default"/>
          <w:footerReference r:id="rId21" w:type="default"/>
          <w:headerReference r:id="rId19" w:type="even"/>
          <w:footerReference r:id="rId22" w:type="even"/>
          <w:pgSz w:w="11906" w:h="16838"/>
          <w:pgMar w:top="0" w:right="0" w:bottom="0" w:left="0" w:header="4" w:footer="851" w:gutter="284"/>
          <w:cols w:space="720" w:num="1"/>
          <w:docGrid w:type="lines" w:linePitch="408" w:charSpace="0"/>
        </w:sectPr>
      </w:pPr>
    </w:p>
    <w:p>
      <w:pPr>
        <w:snapToGrid w:val="0"/>
        <w:spacing w:line="520" w:lineRule="exact"/>
        <w:jc w:val="center"/>
        <w:rPr>
          <w:rFonts w:hint="eastAsia" w:ascii="宋体" w:hAnsi="宋体"/>
          <w:b/>
          <w:color w:val="auto"/>
          <w:sz w:val="28"/>
          <w:szCs w:val="28"/>
          <w:highlight w:val="none"/>
        </w:rPr>
      </w:pPr>
      <w:r>
        <w:rPr>
          <w:rFonts w:hint="eastAsia" w:ascii="宋体" w:hAnsi="宋体"/>
          <w:b/>
          <w:color w:val="auto"/>
          <w:sz w:val="28"/>
          <w:szCs w:val="28"/>
          <w:highlight w:val="none"/>
        </w:rPr>
        <w:t>第一部分   协议书</w:t>
      </w:r>
    </w:p>
    <w:p>
      <w:pPr>
        <w:snapToGrid w:val="0"/>
        <w:spacing w:line="520" w:lineRule="exact"/>
        <w:rPr>
          <w:rFonts w:hint="eastAsia" w:ascii="宋体" w:hAnsi="宋体"/>
          <w:b/>
          <w:bCs/>
          <w:color w:val="auto"/>
          <w:sz w:val="28"/>
          <w:szCs w:val="28"/>
          <w:highlight w:val="none"/>
        </w:rPr>
      </w:pPr>
    </w:p>
    <w:p>
      <w:pPr>
        <w:snapToGrid w:val="0"/>
        <w:spacing w:line="440" w:lineRule="exact"/>
        <w:ind w:firstLine="480"/>
        <w:rPr>
          <w:rFonts w:hint="eastAsia" w:ascii="宋体" w:hAnsi="宋体" w:cs="宋体"/>
          <w:color w:val="auto"/>
          <w:sz w:val="24"/>
          <w:highlight w:val="none"/>
          <w:u w:val="single"/>
        </w:rPr>
      </w:pPr>
      <w:r>
        <w:rPr>
          <w:rFonts w:hint="eastAsia" w:ascii="宋体" w:hAnsi="宋体" w:cs="宋体"/>
          <w:color w:val="auto"/>
          <w:sz w:val="24"/>
          <w:highlight w:val="none"/>
        </w:rPr>
        <w:t>发包人（甲方）：</w:t>
      </w:r>
      <w:r>
        <w:rPr>
          <w:rFonts w:hint="eastAsia" w:ascii="宋体" w:hAnsi="宋体" w:eastAsia="宋体" w:cs="宋体"/>
          <w:color w:val="auto"/>
          <w:sz w:val="24"/>
          <w:highlight w:val="none"/>
          <w:u w:val="single"/>
        </w:rPr>
        <w:t>广州开发区财政投资建设项目管理中心</w:t>
      </w:r>
    </w:p>
    <w:p>
      <w:pPr>
        <w:snapToGrid w:val="0"/>
        <w:spacing w:line="440" w:lineRule="exact"/>
        <w:ind w:firstLine="480"/>
        <w:rPr>
          <w:rFonts w:hint="eastAsia" w:ascii="宋体" w:hAnsi="宋体" w:cs="宋体"/>
          <w:color w:val="auto"/>
          <w:sz w:val="24"/>
          <w:highlight w:val="none"/>
          <w:u w:val="single"/>
        </w:rPr>
      </w:pPr>
      <w:r>
        <w:rPr>
          <w:rFonts w:hint="eastAsia" w:ascii="宋体" w:hAnsi="宋体" w:cs="宋体"/>
          <w:color w:val="auto"/>
          <w:sz w:val="24"/>
          <w:highlight w:val="none"/>
        </w:rPr>
        <w:t xml:space="preserve">承包人（乙方）： </w:t>
      </w:r>
      <w:r>
        <w:rPr>
          <w:rFonts w:hint="eastAsia" w:ascii="宋体" w:hAnsi="宋体" w:cs="宋体"/>
          <w:color w:val="auto"/>
          <w:sz w:val="24"/>
          <w:highlight w:val="none"/>
          <w:u w:val="single"/>
        </w:rPr>
        <w:t xml:space="preserve">                             </w:t>
      </w:r>
    </w:p>
    <w:p>
      <w:pPr>
        <w:pStyle w:val="21"/>
        <w:snapToGrid w:val="0"/>
        <w:spacing w:line="440" w:lineRule="exact"/>
        <w:ind w:left="0" w:leftChars="0"/>
        <w:rPr>
          <w:rFonts w:hint="eastAsia" w:ascii="宋体" w:hAnsi="宋体" w:cs="宋体"/>
          <w:color w:val="auto"/>
          <w:sz w:val="24"/>
          <w:highlight w:val="none"/>
        </w:rPr>
      </w:pPr>
      <w:r>
        <w:rPr>
          <w:rFonts w:hint="eastAsia" w:ascii="宋体" w:hAnsi="宋体" w:cs="宋体"/>
          <w:color w:val="auto"/>
          <w:sz w:val="24"/>
          <w:highlight w:val="none"/>
        </w:rPr>
        <w:t xml:space="preserve">   依照《中华人民共和国民法典》、《中华人民共和国建筑法》及其他有关法律、行政法规，遵循平等、自愿、公平和诚实信用的原则，双方就本建设工程施工事项协商一致，订立本合同。</w:t>
      </w:r>
    </w:p>
    <w:p>
      <w:pPr>
        <w:snapToGrid w:val="0"/>
        <w:spacing w:line="440" w:lineRule="exact"/>
        <w:ind w:firstLine="472" w:firstLineChars="196"/>
        <w:rPr>
          <w:rFonts w:hint="eastAsia" w:ascii="宋体" w:hAnsi="宋体" w:cs="宋体"/>
          <w:b/>
          <w:bCs/>
          <w:color w:val="auto"/>
          <w:sz w:val="24"/>
          <w:highlight w:val="none"/>
        </w:rPr>
      </w:pPr>
      <w:r>
        <w:rPr>
          <w:rFonts w:hint="eastAsia" w:ascii="宋体" w:hAnsi="宋体" w:cs="宋体"/>
          <w:b/>
          <w:bCs/>
          <w:color w:val="auto"/>
          <w:sz w:val="24"/>
          <w:highlight w:val="none"/>
        </w:rPr>
        <w:t>一、工程概况</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工程名称：</w:t>
      </w:r>
      <w:r>
        <w:rPr>
          <w:rFonts w:hint="eastAsia" w:ascii="宋体" w:hAnsi="宋体" w:cs="宋体"/>
          <w:bCs/>
          <w:color w:val="auto"/>
          <w:sz w:val="24"/>
          <w:highlight w:val="none"/>
          <w:u w:val="single"/>
        </w:rPr>
        <w:t xml:space="preserve">                            </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工程地点：</w:t>
      </w:r>
      <w:r>
        <w:rPr>
          <w:rFonts w:hint="eastAsia" w:ascii="宋体" w:hAnsi="宋体" w:cs="宋体"/>
          <w:bCs/>
          <w:color w:val="auto"/>
          <w:sz w:val="24"/>
          <w:highlight w:val="none"/>
          <w:u w:val="single"/>
        </w:rPr>
        <w:t xml:space="preserve">                            </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工程内容：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。具体内容以施工图纸及工程量清单为准。</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建设业主有权根据工程实施情况，对承包人的承包范围和承包工程量进行适当调整。</w:t>
      </w:r>
    </w:p>
    <w:p>
      <w:pPr>
        <w:snapToGrid w:val="0"/>
        <w:spacing w:line="440" w:lineRule="exact"/>
        <w:ind w:firstLine="480"/>
        <w:rPr>
          <w:rFonts w:hint="eastAsia" w:ascii="宋体" w:hAnsi="宋体" w:cs="宋体"/>
          <w:color w:val="auto"/>
          <w:sz w:val="24"/>
          <w:highlight w:val="none"/>
          <w:u w:val="single"/>
        </w:rPr>
      </w:pPr>
      <w:r>
        <w:rPr>
          <w:rFonts w:hint="eastAsia" w:ascii="宋体" w:hAnsi="宋体" w:cs="宋体"/>
          <w:color w:val="auto"/>
          <w:sz w:val="24"/>
          <w:highlight w:val="none"/>
        </w:rPr>
        <w:t>工程立项批准文号：</w:t>
      </w:r>
      <w:r>
        <w:rPr>
          <w:rFonts w:hint="eastAsia" w:ascii="宋体" w:hAnsi="宋体" w:cs="宋体"/>
          <w:color w:val="auto"/>
          <w:sz w:val="24"/>
          <w:highlight w:val="none"/>
          <w:u w:val="single"/>
        </w:rPr>
        <w:t xml:space="preserve">             </w:t>
      </w:r>
    </w:p>
    <w:p>
      <w:pPr>
        <w:snapToGrid w:val="0"/>
        <w:spacing w:line="440" w:lineRule="exact"/>
        <w:ind w:firstLine="480"/>
        <w:rPr>
          <w:rFonts w:hint="eastAsia" w:ascii="宋体" w:hAnsi="宋体" w:cs="宋体"/>
          <w:color w:val="auto"/>
          <w:sz w:val="24"/>
          <w:highlight w:val="none"/>
          <w:u w:val="single"/>
        </w:rPr>
      </w:pPr>
      <w:r>
        <w:rPr>
          <w:rFonts w:hint="eastAsia" w:ascii="宋体" w:hAnsi="宋体" w:cs="宋体"/>
          <w:color w:val="auto"/>
          <w:sz w:val="24"/>
          <w:highlight w:val="none"/>
        </w:rPr>
        <w:t>资金来源：</w:t>
      </w:r>
      <w:r>
        <w:rPr>
          <w:rFonts w:hint="eastAsia" w:ascii="宋体" w:hAnsi="宋体" w:cs="宋体"/>
          <w:color w:val="auto"/>
          <w:sz w:val="24"/>
          <w:highlight w:val="none"/>
          <w:u w:val="single"/>
        </w:rPr>
        <w:tab/>
      </w:r>
      <w:r>
        <w:rPr>
          <w:rFonts w:hint="eastAsia" w:ascii="宋体" w:hAnsi="宋体" w:cs="宋体"/>
          <w:color w:val="auto"/>
          <w:sz w:val="24"/>
          <w:highlight w:val="none"/>
          <w:u w:val="single"/>
        </w:rPr>
        <w:t xml:space="preserve">财政投资 </w:t>
      </w:r>
    </w:p>
    <w:p>
      <w:pPr>
        <w:snapToGrid w:val="0"/>
        <w:spacing w:line="440" w:lineRule="exact"/>
        <w:ind w:left="480"/>
        <w:rPr>
          <w:rFonts w:hint="eastAsia" w:ascii="宋体" w:hAnsi="宋体" w:cs="宋体"/>
          <w:b/>
          <w:bCs/>
          <w:color w:val="auto"/>
          <w:sz w:val="24"/>
          <w:highlight w:val="none"/>
        </w:rPr>
      </w:pPr>
      <w:r>
        <w:rPr>
          <w:rFonts w:hint="eastAsia" w:ascii="宋体" w:hAnsi="宋体" w:cs="宋体"/>
          <w:b/>
          <w:bCs/>
          <w:color w:val="auto"/>
          <w:sz w:val="24"/>
          <w:highlight w:val="none"/>
        </w:rPr>
        <w:t>二、工程承包范围及承包方式</w:t>
      </w:r>
    </w:p>
    <w:p>
      <w:pPr>
        <w:snapToGrid w:val="0"/>
        <w:spacing w:line="440" w:lineRule="exact"/>
        <w:ind w:left="480" w:firstLine="472" w:firstLineChars="196"/>
        <w:rPr>
          <w:rFonts w:hint="eastAsia" w:ascii="宋体" w:hAnsi="宋体" w:cs="宋体"/>
          <w:color w:val="auto"/>
          <w:sz w:val="24"/>
          <w:highlight w:val="none"/>
          <w:u w:val="single"/>
        </w:rPr>
      </w:pPr>
      <w:r>
        <w:rPr>
          <w:rFonts w:hint="eastAsia" w:ascii="宋体" w:hAnsi="宋体" w:cs="宋体"/>
          <w:b/>
          <w:bCs/>
          <w:color w:val="auto"/>
          <w:sz w:val="24"/>
          <w:highlight w:val="none"/>
        </w:rPr>
        <w:t>（一）承包范围：</w:t>
      </w:r>
      <w:r>
        <w:rPr>
          <w:rFonts w:hint="eastAsia" w:ascii="宋体" w:hAnsi="宋体" w:cs="宋体"/>
          <w:color w:val="auto"/>
          <w:sz w:val="24"/>
          <w:highlight w:val="none"/>
          <w:u w:val="single"/>
        </w:rPr>
        <w:t>按发包人确认的施工图纸、图纸会审纪录和有关变更文件、资料 、招标文件、承包人投标文件以及双方签订的有关协议所包含的内容。</w:t>
      </w:r>
    </w:p>
    <w:p>
      <w:pPr>
        <w:snapToGrid w:val="0"/>
        <w:spacing w:line="440" w:lineRule="exact"/>
        <w:rPr>
          <w:rFonts w:hint="eastAsia" w:ascii="宋体" w:hAnsi="宋体" w:cs="宋体"/>
          <w:color w:val="auto"/>
          <w:sz w:val="24"/>
          <w:highlight w:val="none"/>
          <w:u w:val="single"/>
        </w:rPr>
      </w:pPr>
      <w:r>
        <w:rPr>
          <w:rFonts w:hint="eastAsia" w:ascii="宋体" w:hAnsi="宋体" w:cs="宋体"/>
          <w:color w:val="auto"/>
          <w:sz w:val="24"/>
          <w:highlight w:val="none"/>
        </w:rPr>
        <w:t xml:space="preserve">    </w:t>
      </w:r>
      <w:r>
        <w:rPr>
          <w:rFonts w:hint="eastAsia" w:ascii="宋体" w:hAnsi="宋体" w:cs="宋体"/>
          <w:b/>
          <w:color w:val="auto"/>
          <w:sz w:val="24"/>
          <w:highlight w:val="none"/>
        </w:rPr>
        <w:t>（二）承包方式：</w:t>
      </w:r>
      <w:r>
        <w:rPr>
          <w:rFonts w:hint="eastAsia" w:ascii="宋体" w:hAnsi="宋体" w:cs="宋体"/>
          <w:color w:val="auto"/>
          <w:sz w:val="24"/>
          <w:highlight w:val="none"/>
          <w:u w:val="single"/>
        </w:rPr>
        <w:t xml:space="preserve"> 包工、包料、包工期、包质量、包安全、包文明施工、包验收、包保修、综合单价包干，措施项目费（除施工围蔽费用外）包干，施工围蔽清单综合单价包干，工程量按实计量。</w:t>
      </w:r>
    </w:p>
    <w:p>
      <w:pPr>
        <w:snapToGrid w:val="0"/>
        <w:spacing w:line="440" w:lineRule="exact"/>
        <w:ind w:left="480"/>
        <w:rPr>
          <w:rFonts w:hint="eastAsia" w:ascii="宋体" w:hAnsi="宋体" w:cs="宋体"/>
          <w:b/>
          <w:bCs/>
          <w:color w:val="auto"/>
          <w:sz w:val="24"/>
          <w:highlight w:val="none"/>
          <w:u w:val="single"/>
        </w:rPr>
      </w:pPr>
      <w:r>
        <w:rPr>
          <w:rFonts w:hint="eastAsia" w:ascii="宋体" w:hAnsi="宋体" w:cs="宋体"/>
          <w:b/>
          <w:bCs/>
          <w:color w:val="auto"/>
          <w:sz w:val="24"/>
          <w:highlight w:val="none"/>
        </w:rPr>
        <w:t>三、合同工期</w:t>
      </w:r>
    </w:p>
    <w:p>
      <w:pPr>
        <w:snapToGrid w:val="0"/>
        <w:spacing w:line="440" w:lineRule="exact"/>
        <w:ind w:left="480"/>
        <w:rPr>
          <w:rFonts w:hint="eastAsia" w:ascii="宋体" w:hAnsi="宋体" w:cs="宋体"/>
          <w:color w:val="auto"/>
          <w:sz w:val="24"/>
          <w:highlight w:val="none"/>
          <w:u w:val="single"/>
        </w:rPr>
      </w:pPr>
      <w:r>
        <w:rPr>
          <w:rFonts w:hint="eastAsia" w:ascii="宋体" w:hAnsi="宋体" w:cs="宋体"/>
          <w:color w:val="auto"/>
          <w:sz w:val="24"/>
          <w:highlight w:val="none"/>
        </w:rPr>
        <w:t>暂定开工日期：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snapToGrid w:val="0"/>
        <w:spacing w:line="440" w:lineRule="exact"/>
        <w:ind w:left="480"/>
        <w:rPr>
          <w:rFonts w:hint="eastAsia" w:ascii="宋体" w:hAnsi="宋体" w:cs="宋体"/>
          <w:color w:val="auto"/>
          <w:sz w:val="24"/>
          <w:highlight w:val="none"/>
          <w:u w:val="single"/>
        </w:rPr>
      </w:pPr>
      <w:r>
        <w:rPr>
          <w:rFonts w:hint="eastAsia" w:ascii="宋体" w:hAnsi="宋体" w:cs="宋体"/>
          <w:color w:val="auto"/>
          <w:sz w:val="24"/>
          <w:highlight w:val="none"/>
        </w:rPr>
        <w:t>暂定竣工日期：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napToGrid w:val="0"/>
        <w:spacing w:line="440" w:lineRule="exact"/>
        <w:ind w:left="480"/>
        <w:rPr>
          <w:rFonts w:hint="eastAsia" w:ascii="宋体" w:hAnsi="宋体" w:cs="宋体"/>
          <w:color w:val="auto"/>
          <w:sz w:val="24"/>
          <w:highlight w:val="none"/>
        </w:rPr>
      </w:pPr>
      <w:r>
        <w:rPr>
          <w:rFonts w:hint="eastAsia" w:ascii="宋体" w:hAnsi="宋体" w:cs="宋体"/>
          <w:color w:val="auto"/>
          <w:sz w:val="24"/>
          <w:highlight w:val="none"/>
        </w:rPr>
        <w:t>合同工期为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日历天。实际开工日期以批准的开工报告为准。</w:t>
      </w:r>
    </w:p>
    <w:p>
      <w:pPr>
        <w:snapToGrid w:val="0"/>
        <w:spacing w:line="440" w:lineRule="exact"/>
        <w:ind w:left="480"/>
        <w:rPr>
          <w:rFonts w:hint="eastAsia" w:ascii="宋体" w:hAnsi="宋体" w:cs="宋体"/>
          <w:b/>
          <w:bCs/>
          <w:color w:val="auto"/>
          <w:sz w:val="24"/>
          <w:highlight w:val="none"/>
        </w:rPr>
      </w:pPr>
      <w:r>
        <w:rPr>
          <w:rFonts w:hint="eastAsia" w:ascii="宋体" w:hAnsi="宋体" w:cs="宋体"/>
          <w:b/>
          <w:bCs/>
          <w:color w:val="auto"/>
          <w:sz w:val="24"/>
          <w:highlight w:val="none"/>
        </w:rPr>
        <w:t>四、质量标准</w:t>
      </w:r>
    </w:p>
    <w:p>
      <w:pPr>
        <w:pStyle w:val="211"/>
        <w:snapToGrid w:val="0"/>
        <w:spacing w:line="440" w:lineRule="exact"/>
        <w:ind w:firstLine="495"/>
        <w:rPr>
          <w:rFonts w:hint="eastAsia" w:ascii="宋体" w:hAnsi="宋体" w:cs="宋体"/>
          <w:color w:val="auto"/>
          <w:sz w:val="24"/>
          <w:highlight w:val="none"/>
        </w:rPr>
      </w:pPr>
      <w:r>
        <w:rPr>
          <w:rFonts w:hint="eastAsia" w:ascii="宋体" w:hAnsi="宋体" w:cs="宋体"/>
          <w:color w:val="auto"/>
          <w:sz w:val="24"/>
          <w:highlight w:val="none"/>
        </w:rPr>
        <w:t>工程质量标准：</w:t>
      </w:r>
    </w:p>
    <w:p>
      <w:pPr>
        <w:pStyle w:val="211"/>
        <w:snapToGrid w:val="0"/>
        <w:spacing w:line="440" w:lineRule="exact"/>
        <w:ind w:firstLine="495"/>
        <w:rPr>
          <w:rFonts w:hint="eastAsia" w:ascii="宋体" w:hAnsi="宋体" w:cs="宋体"/>
          <w:color w:val="auto"/>
          <w:sz w:val="24"/>
          <w:highlight w:val="none"/>
        </w:rPr>
      </w:pPr>
      <w:r>
        <w:rPr>
          <w:rFonts w:hint="eastAsia" w:ascii="宋体" w:hAnsi="宋体" w:cs="宋体"/>
          <w:color w:val="auto"/>
          <w:sz w:val="24"/>
          <w:highlight w:val="none"/>
        </w:rPr>
        <w:t>□工程规模符合申报“广东省建筑工程优质奖”的，需达到“广东省建筑工程优质奖”的质量标准；工程规模不符合申报“广东省建筑工程优质奖”但符合申报“广州市优良样板工程”的，需达到“广州市优良样板工程”的质量标准；工程规模不符合申报“广东省建筑工程优质奖”及“广州市优良样板工程”的，工程质量达到国家或行业质量检验评定的合格标准</w:t>
      </w:r>
      <w:r>
        <w:rPr>
          <w:rFonts w:hint="eastAsia" w:ascii="宋体" w:hAnsi="宋体" w:cs="宋体"/>
          <w:color w:val="auto"/>
          <w:kern w:val="0"/>
          <w:sz w:val="24"/>
          <w:szCs w:val="20"/>
          <w:highlight w:val="none"/>
        </w:rPr>
        <w:t>，</w:t>
      </w:r>
      <w:r>
        <w:rPr>
          <w:rFonts w:hint="eastAsia" w:ascii="宋体" w:hAnsi="宋体" w:cs="宋体"/>
          <w:color w:val="auto"/>
          <w:kern w:val="0"/>
          <w:sz w:val="24"/>
          <w:szCs w:val="20"/>
          <w:highlight w:val="none"/>
          <w:u w:val="single"/>
        </w:rPr>
        <w:t>且达到投标承诺的    标准。</w:t>
      </w:r>
      <w:r>
        <w:rPr>
          <w:rFonts w:hint="eastAsia" w:ascii="宋体" w:hAnsi="宋体" w:cs="宋体"/>
          <w:color w:val="auto"/>
          <w:sz w:val="24"/>
          <w:highlight w:val="none"/>
        </w:rPr>
        <w:t>（医院类房建项目选此项）。</w:t>
      </w:r>
    </w:p>
    <w:p>
      <w:pPr>
        <w:pStyle w:val="211"/>
        <w:snapToGrid w:val="0"/>
        <w:spacing w:line="440" w:lineRule="exact"/>
        <w:ind w:firstLine="495"/>
        <w:rPr>
          <w:rFonts w:hint="eastAsia" w:ascii="宋体" w:hAnsi="宋体" w:cs="宋体"/>
          <w:color w:val="auto"/>
          <w:sz w:val="24"/>
          <w:highlight w:val="none"/>
        </w:rPr>
      </w:pPr>
      <w:r>
        <w:rPr>
          <w:rFonts w:hint="eastAsia" w:ascii="宋体" w:hAnsi="宋体" w:cs="宋体"/>
          <w:color w:val="auto"/>
          <w:sz w:val="24"/>
          <w:highlight w:val="none"/>
        </w:rPr>
        <w:t>□工程规模符合申报“广州市优良样板工程”的，需达到“广州市优良样板工程”的质量标准；工程规模不符合申报“广州市优良样板工程”的，工程质量达到国家或行业质量检验评定的合格标准</w:t>
      </w:r>
      <w:r>
        <w:rPr>
          <w:rFonts w:hint="eastAsia" w:ascii="宋体" w:hAnsi="宋体" w:cs="宋体"/>
          <w:color w:val="auto"/>
          <w:kern w:val="0"/>
          <w:sz w:val="24"/>
          <w:szCs w:val="20"/>
          <w:highlight w:val="none"/>
        </w:rPr>
        <w:t>，</w:t>
      </w:r>
      <w:r>
        <w:rPr>
          <w:rFonts w:hint="eastAsia" w:ascii="宋体" w:hAnsi="宋体" w:cs="宋体"/>
          <w:color w:val="auto"/>
          <w:kern w:val="0"/>
          <w:sz w:val="24"/>
          <w:szCs w:val="20"/>
          <w:highlight w:val="none"/>
          <w:u w:val="single"/>
        </w:rPr>
        <w:t>且达到投标承诺的    标准。</w:t>
      </w:r>
      <w:r>
        <w:rPr>
          <w:rFonts w:hint="eastAsia" w:ascii="宋体" w:hAnsi="宋体" w:cs="宋体"/>
          <w:color w:val="auto"/>
          <w:sz w:val="24"/>
          <w:highlight w:val="none"/>
        </w:rPr>
        <w:t>（学校类房建项目选此项）。</w:t>
      </w:r>
    </w:p>
    <w:p>
      <w:pPr>
        <w:pStyle w:val="211"/>
        <w:snapToGrid w:val="0"/>
        <w:spacing w:line="440" w:lineRule="exact"/>
        <w:ind w:firstLine="495"/>
        <w:rPr>
          <w:rFonts w:hint="eastAsia" w:ascii="宋体" w:hAnsi="宋体" w:cs="宋体"/>
          <w:color w:val="auto"/>
          <w:sz w:val="24"/>
          <w:highlight w:val="none"/>
        </w:rPr>
      </w:pPr>
      <w:r>
        <w:rPr>
          <w:rFonts w:hint="eastAsia" w:ascii="宋体" w:hAnsi="宋体" w:cs="宋体"/>
          <w:color w:val="auto"/>
          <w:sz w:val="24"/>
          <w:highlight w:val="none"/>
        </w:rPr>
        <w:t>□工程质量达到国家或行业质量检验评定的合格标准（医院、学校类房建项目以外的房建项目选此项）</w:t>
      </w:r>
      <w:r>
        <w:rPr>
          <w:rFonts w:hint="eastAsia" w:ascii="宋体" w:hAnsi="宋体" w:cs="宋体"/>
          <w:color w:val="auto"/>
          <w:kern w:val="0"/>
          <w:sz w:val="24"/>
          <w:szCs w:val="20"/>
          <w:highlight w:val="none"/>
        </w:rPr>
        <w:t>，</w:t>
      </w:r>
      <w:r>
        <w:rPr>
          <w:rFonts w:hint="eastAsia" w:ascii="宋体" w:hAnsi="宋体" w:cs="宋体"/>
          <w:color w:val="auto"/>
          <w:kern w:val="0"/>
          <w:sz w:val="24"/>
          <w:szCs w:val="20"/>
          <w:highlight w:val="none"/>
          <w:u w:val="single"/>
        </w:rPr>
        <w:t>且达到投标承诺的    标准。</w:t>
      </w:r>
      <w:r>
        <w:rPr>
          <w:rFonts w:hint="eastAsia" w:ascii="宋体" w:hAnsi="宋体" w:cs="宋体"/>
          <w:color w:val="auto"/>
          <w:sz w:val="24"/>
          <w:highlight w:val="none"/>
        </w:rPr>
        <w:t>。</w:t>
      </w:r>
    </w:p>
    <w:p>
      <w:pPr>
        <w:snapToGrid w:val="0"/>
        <w:spacing w:line="440" w:lineRule="exact"/>
        <w:ind w:firstLine="472" w:firstLineChars="196"/>
        <w:rPr>
          <w:rFonts w:hint="eastAsia" w:ascii="宋体" w:hAnsi="宋体" w:cs="宋体"/>
          <w:b/>
          <w:bCs/>
          <w:color w:val="auto"/>
          <w:sz w:val="24"/>
          <w:highlight w:val="none"/>
        </w:rPr>
      </w:pPr>
      <w:r>
        <w:rPr>
          <w:rFonts w:hint="eastAsia" w:ascii="宋体" w:hAnsi="宋体" w:cs="宋体"/>
          <w:b/>
          <w:bCs/>
          <w:color w:val="auto"/>
          <w:sz w:val="24"/>
          <w:highlight w:val="none"/>
        </w:rPr>
        <w:t>五、合同价款</w:t>
      </w:r>
    </w:p>
    <w:p>
      <w:pPr>
        <w:spacing w:line="440" w:lineRule="exact"/>
        <w:ind w:firstLine="480" w:firstLineChars="200"/>
        <w:rPr>
          <w:rFonts w:hint="eastAsia" w:ascii="宋体" w:hAnsi="宋体" w:cs="宋体"/>
          <w:bCs/>
          <w:snapToGrid w:val="0"/>
          <w:color w:val="auto"/>
          <w:kern w:val="0"/>
          <w:sz w:val="24"/>
          <w:highlight w:val="none"/>
        </w:rPr>
      </w:pPr>
      <w:r>
        <w:rPr>
          <w:rFonts w:hint="eastAsia" w:ascii="宋体" w:hAnsi="宋体" w:cs="宋体"/>
          <w:bCs/>
          <w:snapToGrid w:val="0"/>
          <w:color w:val="auto"/>
          <w:kern w:val="0"/>
          <w:sz w:val="24"/>
          <w:highlight w:val="none"/>
        </w:rPr>
        <w:t>合同价款暂定为￥</w:t>
      </w:r>
      <w:r>
        <w:rPr>
          <w:rFonts w:hint="eastAsia" w:ascii="宋体" w:hAnsi="宋体" w:cs="宋体"/>
          <w:bCs/>
          <w:snapToGrid w:val="0"/>
          <w:color w:val="auto"/>
          <w:kern w:val="0"/>
          <w:sz w:val="24"/>
          <w:highlight w:val="none"/>
          <w:u w:val="single"/>
        </w:rPr>
        <w:t xml:space="preserve">             </w:t>
      </w:r>
      <w:r>
        <w:rPr>
          <w:rFonts w:hint="eastAsia" w:ascii="宋体" w:hAnsi="宋体" w:cs="宋体"/>
          <w:bCs/>
          <w:snapToGrid w:val="0"/>
          <w:color w:val="auto"/>
          <w:kern w:val="0"/>
          <w:sz w:val="24"/>
          <w:highlight w:val="none"/>
        </w:rPr>
        <w:t>元（大写：人民币</w:t>
      </w:r>
      <w:r>
        <w:rPr>
          <w:rFonts w:hint="eastAsia" w:ascii="宋体" w:hAnsi="宋体" w:cs="宋体"/>
          <w:bCs/>
          <w:snapToGrid w:val="0"/>
          <w:color w:val="auto"/>
          <w:kern w:val="0"/>
          <w:sz w:val="24"/>
          <w:highlight w:val="none"/>
          <w:u w:val="single"/>
        </w:rPr>
        <w:t xml:space="preserve">             </w:t>
      </w:r>
      <w:r>
        <w:rPr>
          <w:rFonts w:hint="eastAsia" w:ascii="宋体" w:hAnsi="宋体" w:cs="宋体"/>
          <w:bCs/>
          <w:snapToGrid w:val="0"/>
          <w:color w:val="auto"/>
          <w:kern w:val="0"/>
          <w:sz w:val="24"/>
          <w:highlight w:val="none"/>
        </w:rPr>
        <w:t>），其中绿色施工安全防护措施费为</w:t>
      </w:r>
      <w:r>
        <w:rPr>
          <w:rFonts w:hint="eastAsia" w:ascii="宋体" w:hAnsi="宋体" w:cs="宋体"/>
          <w:bCs/>
          <w:snapToGrid w:val="0"/>
          <w:color w:val="auto"/>
          <w:kern w:val="0"/>
          <w:sz w:val="24"/>
          <w:highlight w:val="none"/>
          <w:u w:val="single"/>
        </w:rPr>
        <w:t xml:space="preserve">      </w:t>
      </w:r>
      <w:r>
        <w:rPr>
          <w:rFonts w:hint="eastAsia" w:ascii="宋体" w:hAnsi="宋体" w:cs="宋体"/>
          <w:bCs/>
          <w:snapToGrid w:val="0"/>
          <w:color w:val="auto"/>
          <w:kern w:val="0"/>
          <w:sz w:val="24"/>
          <w:highlight w:val="none"/>
        </w:rPr>
        <w:t>元、暂列金额为</w:t>
      </w:r>
      <w:r>
        <w:rPr>
          <w:rFonts w:hint="eastAsia" w:ascii="宋体" w:hAnsi="宋体" w:cs="宋体"/>
          <w:bCs/>
          <w:snapToGrid w:val="0"/>
          <w:color w:val="auto"/>
          <w:kern w:val="0"/>
          <w:sz w:val="24"/>
          <w:highlight w:val="none"/>
          <w:u w:val="single"/>
        </w:rPr>
        <w:t xml:space="preserve">       </w:t>
      </w:r>
      <w:r>
        <w:rPr>
          <w:rFonts w:hint="eastAsia" w:ascii="宋体" w:hAnsi="宋体" w:cs="宋体"/>
          <w:bCs/>
          <w:snapToGrid w:val="0"/>
          <w:color w:val="auto"/>
          <w:kern w:val="0"/>
          <w:sz w:val="24"/>
          <w:highlight w:val="none"/>
        </w:rPr>
        <w:t>元，人工费</w:t>
      </w:r>
      <w:r>
        <w:rPr>
          <w:rFonts w:hint="eastAsia" w:ascii="宋体" w:hAnsi="宋体" w:cs="宋体"/>
          <w:bCs/>
          <w:snapToGrid w:val="0"/>
          <w:color w:val="auto"/>
          <w:kern w:val="0"/>
          <w:sz w:val="24"/>
          <w:highlight w:val="none"/>
          <w:u w:val="single"/>
        </w:rPr>
        <w:t xml:space="preserve">     </w:t>
      </w:r>
      <w:r>
        <w:rPr>
          <w:rFonts w:hint="eastAsia" w:ascii="宋体" w:hAnsi="宋体" w:cs="宋体"/>
          <w:bCs/>
          <w:snapToGrid w:val="0"/>
          <w:color w:val="auto"/>
          <w:kern w:val="0"/>
          <w:sz w:val="24"/>
          <w:highlight w:val="none"/>
        </w:rPr>
        <w:t>元，工人工资比例为</w:t>
      </w:r>
      <w:r>
        <w:rPr>
          <w:rFonts w:hint="eastAsia" w:ascii="宋体" w:hAnsi="宋体" w:cs="宋体"/>
          <w:bCs/>
          <w:snapToGrid w:val="0"/>
          <w:color w:val="auto"/>
          <w:kern w:val="0"/>
          <w:sz w:val="24"/>
          <w:highlight w:val="none"/>
          <w:u w:val="single"/>
        </w:rPr>
        <w:t xml:space="preserve">      </w:t>
      </w:r>
      <w:r>
        <w:rPr>
          <w:rFonts w:hint="eastAsia" w:ascii="宋体" w:hAnsi="宋体" w:cs="宋体"/>
          <w:bCs/>
          <w:snapToGrid w:val="0"/>
          <w:color w:val="auto"/>
          <w:kern w:val="0"/>
          <w:sz w:val="24"/>
          <w:highlight w:val="none"/>
        </w:rPr>
        <w:t>。</w:t>
      </w:r>
    </w:p>
    <w:p>
      <w:pPr>
        <w:spacing w:line="440" w:lineRule="exact"/>
        <w:ind w:firstLine="480" w:firstLineChars="200"/>
        <w:rPr>
          <w:rFonts w:hint="eastAsia" w:ascii="宋体" w:hAnsi="宋体" w:cs="宋体"/>
          <w:bCs/>
          <w:snapToGrid w:val="0"/>
          <w:color w:val="auto"/>
          <w:kern w:val="0"/>
          <w:sz w:val="24"/>
          <w:highlight w:val="none"/>
        </w:rPr>
      </w:pPr>
      <w:r>
        <w:rPr>
          <w:rFonts w:hint="eastAsia" w:ascii="宋体" w:hAnsi="宋体" w:cs="宋体"/>
          <w:bCs/>
          <w:snapToGrid w:val="0"/>
          <w:color w:val="auto"/>
          <w:kern w:val="0"/>
          <w:sz w:val="24"/>
          <w:highlight w:val="none"/>
        </w:rPr>
        <w:t>工程结算价款以广州开发区财政局审定结算为准。如遇审计部门审计发现本合同结算价款存在超付的情形，发包人有权据实要求承包人返还该部分款项。</w:t>
      </w:r>
    </w:p>
    <w:p>
      <w:pPr>
        <w:widowControl/>
        <w:adjustRightInd w:val="0"/>
        <w:snapToGrid w:val="0"/>
        <w:spacing w:line="440" w:lineRule="exact"/>
        <w:ind w:firstLine="472" w:firstLineChars="196"/>
        <w:rPr>
          <w:rFonts w:hint="eastAsia" w:ascii="宋体" w:hAnsi="宋体" w:cs="宋体"/>
          <w:b/>
          <w:bCs/>
          <w:color w:val="auto"/>
          <w:sz w:val="24"/>
          <w:highlight w:val="none"/>
        </w:rPr>
      </w:pPr>
      <w:r>
        <w:rPr>
          <w:rFonts w:hint="eastAsia" w:ascii="宋体" w:hAnsi="宋体" w:cs="宋体"/>
          <w:b/>
          <w:bCs/>
          <w:color w:val="auto"/>
          <w:sz w:val="24"/>
          <w:highlight w:val="none"/>
        </w:rPr>
        <w:t>六、组成合同的文件</w:t>
      </w:r>
    </w:p>
    <w:p>
      <w:pPr>
        <w:widowControl/>
        <w:adjustRightInd w:val="0"/>
        <w:snapToGrid w:val="0"/>
        <w:spacing w:line="440" w:lineRule="exact"/>
        <w:ind w:left="336" w:leftChars="160" w:firstLine="241" w:firstLineChars="100"/>
        <w:rPr>
          <w:rFonts w:hint="eastAsia" w:ascii="宋体" w:hAnsi="宋体" w:cs="宋体"/>
          <w:color w:val="auto"/>
          <w:sz w:val="24"/>
          <w:highlight w:val="none"/>
        </w:rPr>
      </w:pPr>
      <w:r>
        <w:rPr>
          <w:rFonts w:hint="eastAsia" w:ascii="宋体" w:hAnsi="宋体" w:cs="宋体"/>
          <w:b/>
          <w:bCs/>
          <w:color w:val="auto"/>
          <w:sz w:val="24"/>
          <w:highlight w:val="none"/>
        </w:rPr>
        <w:t>1、本合同履行</w:t>
      </w:r>
      <w:r>
        <w:rPr>
          <w:rFonts w:hint="eastAsia" w:ascii="宋体" w:hAnsi="宋体" w:cs="宋体"/>
          <w:color w:val="auto"/>
          <w:sz w:val="24"/>
          <w:highlight w:val="none"/>
        </w:rPr>
        <w:t>期间发包人与承包人双方签订的补充合同（协议）或修正文件；</w:t>
      </w:r>
    </w:p>
    <w:p>
      <w:pPr>
        <w:widowControl/>
        <w:adjustRightInd w:val="0"/>
        <w:snapToGrid w:val="0"/>
        <w:spacing w:line="440" w:lineRule="exact"/>
        <w:ind w:left="336" w:leftChars="160" w:firstLine="240" w:firstLineChars="100"/>
        <w:rPr>
          <w:rFonts w:hint="eastAsia" w:ascii="宋体" w:hAnsi="宋体" w:cs="宋体"/>
          <w:color w:val="auto"/>
          <w:sz w:val="24"/>
          <w:highlight w:val="none"/>
        </w:rPr>
      </w:pPr>
      <w:r>
        <w:rPr>
          <w:rFonts w:hint="eastAsia" w:ascii="宋体" w:hAnsi="宋体" w:cs="宋体"/>
          <w:color w:val="auto"/>
          <w:sz w:val="24"/>
          <w:highlight w:val="none"/>
        </w:rPr>
        <w:t>2、本合同协议书</w:t>
      </w:r>
    </w:p>
    <w:p>
      <w:pPr>
        <w:widowControl/>
        <w:adjustRightInd w:val="0"/>
        <w:snapToGrid w:val="0"/>
        <w:spacing w:line="440" w:lineRule="exact"/>
        <w:ind w:left="336" w:leftChars="160" w:firstLine="240" w:firstLineChars="100"/>
        <w:rPr>
          <w:rFonts w:hint="eastAsia" w:ascii="宋体" w:hAnsi="宋体" w:cs="宋体"/>
          <w:color w:val="auto"/>
          <w:sz w:val="24"/>
          <w:highlight w:val="none"/>
        </w:rPr>
      </w:pPr>
      <w:r>
        <w:rPr>
          <w:rFonts w:hint="eastAsia" w:ascii="宋体" w:hAnsi="宋体" w:cs="宋体"/>
          <w:color w:val="auto"/>
          <w:sz w:val="24"/>
          <w:highlight w:val="none"/>
        </w:rPr>
        <w:t>3、国家、广东省、广州市、广州开发区、黄埔区关于本工程施工的有关文件（发包人在收到后尽快通报给承包人）；</w:t>
      </w:r>
    </w:p>
    <w:p>
      <w:pPr>
        <w:widowControl/>
        <w:adjustRightInd w:val="0"/>
        <w:snapToGrid w:val="0"/>
        <w:spacing w:line="440" w:lineRule="exact"/>
        <w:ind w:left="336" w:leftChars="160" w:firstLine="240" w:firstLineChars="100"/>
        <w:rPr>
          <w:rFonts w:hint="eastAsia" w:ascii="宋体" w:hAnsi="宋体" w:cs="宋体"/>
          <w:color w:val="auto"/>
          <w:sz w:val="24"/>
          <w:highlight w:val="none"/>
        </w:rPr>
      </w:pPr>
      <w:r>
        <w:rPr>
          <w:rFonts w:hint="eastAsia" w:ascii="宋体" w:hAnsi="宋体" w:cs="宋体"/>
          <w:color w:val="auto"/>
          <w:sz w:val="24"/>
          <w:highlight w:val="none"/>
        </w:rPr>
        <w:t>4、建设业主针对本工程建设管理的各项制度、规定；</w:t>
      </w:r>
    </w:p>
    <w:p>
      <w:pPr>
        <w:widowControl/>
        <w:adjustRightInd w:val="0"/>
        <w:snapToGrid w:val="0"/>
        <w:spacing w:line="440" w:lineRule="exact"/>
        <w:ind w:left="336" w:leftChars="160" w:firstLine="240" w:firstLineChars="100"/>
        <w:rPr>
          <w:rFonts w:hint="eastAsia" w:ascii="宋体" w:hAnsi="宋体" w:cs="宋体"/>
          <w:color w:val="auto"/>
          <w:sz w:val="24"/>
          <w:highlight w:val="none"/>
        </w:rPr>
      </w:pPr>
      <w:r>
        <w:rPr>
          <w:rFonts w:hint="eastAsia" w:ascii="宋体" w:hAnsi="宋体" w:cs="宋体"/>
          <w:color w:val="auto"/>
          <w:sz w:val="24"/>
          <w:highlight w:val="none"/>
        </w:rPr>
        <w:t>5、中标通知书</w:t>
      </w:r>
    </w:p>
    <w:p>
      <w:pPr>
        <w:widowControl/>
        <w:adjustRightInd w:val="0"/>
        <w:snapToGrid w:val="0"/>
        <w:spacing w:line="440" w:lineRule="exact"/>
        <w:ind w:left="336" w:leftChars="160" w:firstLine="240" w:firstLineChars="100"/>
        <w:rPr>
          <w:rFonts w:hint="eastAsia" w:ascii="宋体" w:hAnsi="宋体" w:cs="宋体"/>
          <w:color w:val="auto"/>
          <w:sz w:val="24"/>
          <w:highlight w:val="none"/>
        </w:rPr>
      </w:pPr>
      <w:r>
        <w:rPr>
          <w:rFonts w:hint="eastAsia" w:ascii="宋体" w:hAnsi="宋体" w:cs="宋体"/>
          <w:color w:val="auto"/>
          <w:sz w:val="24"/>
          <w:highlight w:val="none"/>
        </w:rPr>
        <w:t>6、本合同专用条款</w:t>
      </w:r>
    </w:p>
    <w:p>
      <w:pPr>
        <w:widowControl/>
        <w:adjustRightInd w:val="0"/>
        <w:snapToGrid w:val="0"/>
        <w:spacing w:line="440" w:lineRule="exact"/>
        <w:ind w:left="336" w:leftChars="160" w:firstLine="240" w:firstLineChars="100"/>
        <w:rPr>
          <w:rFonts w:hint="eastAsia" w:ascii="宋体" w:hAnsi="宋体" w:cs="宋体"/>
          <w:color w:val="auto"/>
          <w:sz w:val="24"/>
          <w:highlight w:val="none"/>
        </w:rPr>
      </w:pPr>
      <w:r>
        <w:rPr>
          <w:rFonts w:hint="eastAsia" w:ascii="宋体" w:hAnsi="宋体" w:cs="宋体"/>
          <w:color w:val="auto"/>
          <w:sz w:val="24"/>
          <w:highlight w:val="none"/>
        </w:rPr>
        <w:t>7、招标文件及附件（包括补充、修改、澄清文件及答疑纪要等）</w:t>
      </w:r>
    </w:p>
    <w:p>
      <w:pPr>
        <w:widowControl/>
        <w:adjustRightInd w:val="0"/>
        <w:snapToGrid w:val="0"/>
        <w:spacing w:line="440" w:lineRule="exact"/>
        <w:ind w:left="336" w:leftChars="160" w:firstLine="240" w:firstLineChars="100"/>
        <w:rPr>
          <w:rFonts w:hint="eastAsia" w:ascii="宋体" w:hAnsi="宋体" w:cs="宋体"/>
          <w:color w:val="auto"/>
          <w:sz w:val="24"/>
          <w:highlight w:val="none"/>
        </w:rPr>
      </w:pPr>
      <w:r>
        <w:rPr>
          <w:rFonts w:hint="eastAsia" w:ascii="宋体" w:hAnsi="宋体" w:cs="宋体"/>
          <w:color w:val="auto"/>
          <w:sz w:val="24"/>
          <w:highlight w:val="none"/>
        </w:rPr>
        <w:t>8、本合同通用条款</w:t>
      </w:r>
    </w:p>
    <w:p>
      <w:pPr>
        <w:widowControl/>
        <w:adjustRightInd w:val="0"/>
        <w:snapToGrid w:val="0"/>
        <w:spacing w:line="440" w:lineRule="exact"/>
        <w:ind w:left="336" w:leftChars="160" w:firstLine="240" w:firstLineChars="100"/>
        <w:rPr>
          <w:rFonts w:hint="eastAsia" w:ascii="宋体" w:hAnsi="宋体" w:cs="宋体"/>
          <w:color w:val="auto"/>
          <w:sz w:val="24"/>
          <w:highlight w:val="none"/>
        </w:rPr>
      </w:pPr>
      <w:r>
        <w:rPr>
          <w:rFonts w:hint="eastAsia" w:ascii="宋体" w:hAnsi="宋体" w:cs="宋体"/>
          <w:color w:val="auto"/>
          <w:sz w:val="24"/>
          <w:highlight w:val="none"/>
        </w:rPr>
        <w:t>9、投标文件及附件</w:t>
      </w:r>
    </w:p>
    <w:p>
      <w:pPr>
        <w:widowControl/>
        <w:adjustRightInd w:val="0"/>
        <w:snapToGrid w:val="0"/>
        <w:spacing w:line="440" w:lineRule="exact"/>
        <w:ind w:left="336" w:leftChars="160" w:firstLine="240" w:firstLineChars="100"/>
        <w:rPr>
          <w:rFonts w:hint="eastAsia" w:ascii="宋体" w:hAnsi="宋体" w:cs="宋体"/>
          <w:color w:val="auto"/>
          <w:sz w:val="24"/>
          <w:highlight w:val="none"/>
        </w:rPr>
      </w:pPr>
      <w:r>
        <w:rPr>
          <w:rFonts w:hint="eastAsia" w:ascii="宋体" w:hAnsi="宋体" w:cs="宋体"/>
          <w:color w:val="auto"/>
          <w:sz w:val="24"/>
          <w:highlight w:val="none"/>
        </w:rPr>
        <w:t>10、标准、规范和其他有关技术文件</w:t>
      </w:r>
    </w:p>
    <w:p>
      <w:pPr>
        <w:widowControl/>
        <w:adjustRightInd w:val="0"/>
        <w:snapToGrid w:val="0"/>
        <w:spacing w:line="440" w:lineRule="exact"/>
        <w:ind w:left="336" w:leftChars="160" w:firstLine="240" w:firstLineChars="100"/>
        <w:rPr>
          <w:rFonts w:hint="eastAsia" w:ascii="宋体" w:hAnsi="宋体" w:cs="宋体"/>
          <w:color w:val="auto"/>
          <w:sz w:val="24"/>
          <w:highlight w:val="none"/>
        </w:rPr>
      </w:pPr>
      <w:r>
        <w:rPr>
          <w:rFonts w:hint="eastAsia" w:ascii="宋体" w:hAnsi="宋体" w:cs="宋体"/>
          <w:color w:val="auto"/>
          <w:sz w:val="24"/>
          <w:highlight w:val="none"/>
        </w:rPr>
        <w:t>11、图纸</w:t>
      </w:r>
    </w:p>
    <w:p>
      <w:pPr>
        <w:widowControl/>
        <w:adjustRightInd w:val="0"/>
        <w:snapToGrid w:val="0"/>
        <w:spacing w:line="440" w:lineRule="exact"/>
        <w:ind w:left="336" w:leftChars="160" w:firstLine="240" w:firstLineChars="100"/>
        <w:rPr>
          <w:rFonts w:hint="eastAsia" w:ascii="宋体" w:hAnsi="宋体" w:cs="宋体"/>
          <w:color w:val="auto"/>
          <w:sz w:val="24"/>
          <w:highlight w:val="none"/>
        </w:rPr>
      </w:pPr>
      <w:r>
        <w:rPr>
          <w:rFonts w:hint="eastAsia" w:ascii="宋体" w:hAnsi="宋体" w:cs="宋体"/>
          <w:color w:val="auto"/>
          <w:sz w:val="24"/>
          <w:highlight w:val="none"/>
        </w:rPr>
        <w:t>12、工程量清单</w:t>
      </w:r>
    </w:p>
    <w:p>
      <w:pPr>
        <w:widowControl/>
        <w:adjustRightInd w:val="0"/>
        <w:snapToGrid w:val="0"/>
        <w:spacing w:line="440" w:lineRule="exact"/>
        <w:ind w:left="336" w:leftChars="160" w:firstLine="240" w:firstLineChars="100"/>
        <w:rPr>
          <w:rFonts w:hint="eastAsia" w:ascii="宋体" w:hAnsi="宋体" w:cs="宋体"/>
          <w:color w:val="auto"/>
          <w:sz w:val="24"/>
          <w:highlight w:val="none"/>
        </w:rPr>
      </w:pPr>
      <w:r>
        <w:rPr>
          <w:rFonts w:hint="eastAsia" w:ascii="宋体" w:hAnsi="宋体" w:cs="宋体"/>
          <w:color w:val="auto"/>
          <w:sz w:val="24"/>
          <w:highlight w:val="none"/>
        </w:rPr>
        <w:t>13、合同附件（工程质量保修责任书、标函承诺书、项目负责人驻场承诺书、工程建设廉政协议书等）</w:t>
      </w:r>
    </w:p>
    <w:p>
      <w:pPr>
        <w:pStyle w:val="41"/>
        <w:spacing w:line="440" w:lineRule="exact"/>
        <w:ind w:left="600"/>
        <w:rPr>
          <w:rFonts w:hint="eastAsia" w:ascii="宋体" w:hAnsi="宋体" w:cs="宋体"/>
          <w:color w:val="auto"/>
          <w:sz w:val="24"/>
          <w:szCs w:val="24"/>
          <w:highlight w:val="none"/>
        </w:rPr>
      </w:pPr>
      <w:r>
        <w:rPr>
          <w:rFonts w:hint="eastAsia" w:ascii="宋体" w:hAnsi="宋体" w:cs="宋体"/>
          <w:color w:val="auto"/>
          <w:sz w:val="24"/>
          <w:szCs w:val="24"/>
          <w:highlight w:val="none"/>
        </w:rPr>
        <w:t>双方有关工程的洽商、变更等书面协议或文件视为本合同的组成部分。</w:t>
      </w:r>
    </w:p>
    <w:p>
      <w:pPr>
        <w:pStyle w:val="29"/>
        <w:snapToGrid w:val="0"/>
        <w:spacing w:line="440" w:lineRule="exact"/>
        <w:ind w:left="0" w:leftChars="0"/>
        <w:rPr>
          <w:rFonts w:hint="eastAsia" w:ascii="宋体" w:hAnsi="宋体" w:cs="宋体"/>
          <w:bCs/>
          <w:color w:val="auto"/>
          <w:sz w:val="24"/>
          <w:highlight w:val="none"/>
        </w:rPr>
      </w:pPr>
      <w:r>
        <w:rPr>
          <w:rFonts w:hint="eastAsia" w:ascii="宋体" w:hAnsi="宋体" w:cs="宋体"/>
          <w:bCs/>
          <w:color w:val="auto"/>
          <w:sz w:val="24"/>
          <w:highlight w:val="none"/>
        </w:rPr>
        <w:t xml:space="preserve">   </w:t>
      </w:r>
      <w:r>
        <w:rPr>
          <w:rFonts w:hint="eastAsia" w:ascii="宋体" w:hAnsi="宋体" w:cs="宋体"/>
          <w:b/>
          <w:bCs/>
          <w:color w:val="auto"/>
          <w:sz w:val="24"/>
          <w:highlight w:val="none"/>
        </w:rPr>
        <w:t xml:space="preserve"> 七、</w:t>
      </w:r>
      <w:r>
        <w:rPr>
          <w:rFonts w:hint="eastAsia" w:ascii="宋体" w:hAnsi="宋体" w:cs="宋体"/>
          <w:bCs/>
          <w:color w:val="auto"/>
          <w:sz w:val="24"/>
          <w:highlight w:val="none"/>
        </w:rPr>
        <w:t>协议书中有关词语含义与本合同第二部分《通用条款》中分别赋予它们的定义相同。</w:t>
      </w:r>
    </w:p>
    <w:p>
      <w:pPr>
        <w:pStyle w:val="29"/>
        <w:snapToGrid w:val="0"/>
        <w:spacing w:line="440" w:lineRule="exact"/>
        <w:ind w:left="0" w:leftChars="0"/>
        <w:rPr>
          <w:rFonts w:hint="eastAsia" w:ascii="宋体" w:hAnsi="宋体" w:cs="宋体"/>
          <w:bCs/>
          <w:color w:val="auto"/>
          <w:sz w:val="24"/>
          <w:highlight w:val="none"/>
        </w:rPr>
      </w:pPr>
      <w:r>
        <w:rPr>
          <w:rFonts w:hint="eastAsia" w:ascii="宋体" w:hAnsi="宋体" w:cs="宋体"/>
          <w:bCs/>
          <w:color w:val="auto"/>
          <w:sz w:val="24"/>
          <w:highlight w:val="none"/>
        </w:rPr>
        <w:t xml:space="preserve">    </w:t>
      </w:r>
      <w:r>
        <w:rPr>
          <w:rFonts w:hint="eastAsia" w:ascii="宋体" w:hAnsi="宋体" w:cs="宋体"/>
          <w:b/>
          <w:bCs/>
          <w:color w:val="auto"/>
          <w:sz w:val="24"/>
          <w:highlight w:val="none"/>
        </w:rPr>
        <w:t>八、</w:t>
      </w:r>
      <w:r>
        <w:rPr>
          <w:rFonts w:hint="eastAsia" w:ascii="宋体" w:hAnsi="宋体" w:cs="宋体"/>
          <w:bCs/>
          <w:color w:val="auto"/>
          <w:sz w:val="24"/>
          <w:highlight w:val="none"/>
        </w:rPr>
        <w:t>承包人向发包人承诺按照合同约定进行施工、竣工并在质量保修期内承担工程质量保修责任。</w:t>
      </w:r>
    </w:p>
    <w:p>
      <w:pPr>
        <w:pStyle w:val="29"/>
        <w:snapToGrid w:val="0"/>
        <w:spacing w:line="440" w:lineRule="exact"/>
        <w:ind w:left="0" w:leftChars="0"/>
        <w:rPr>
          <w:rFonts w:hint="eastAsia" w:ascii="宋体" w:hAnsi="宋体" w:cs="宋体"/>
          <w:bCs/>
          <w:color w:val="auto"/>
          <w:sz w:val="24"/>
          <w:highlight w:val="none"/>
        </w:rPr>
      </w:pPr>
      <w:r>
        <w:rPr>
          <w:rFonts w:hint="eastAsia" w:ascii="宋体" w:hAnsi="宋体" w:cs="宋体"/>
          <w:bCs/>
          <w:color w:val="auto"/>
          <w:sz w:val="24"/>
          <w:highlight w:val="none"/>
        </w:rPr>
        <w:t xml:space="preserve">   </w:t>
      </w:r>
      <w:r>
        <w:rPr>
          <w:rFonts w:hint="eastAsia" w:ascii="宋体" w:hAnsi="宋体" w:cs="宋体"/>
          <w:b/>
          <w:bCs/>
          <w:color w:val="auto"/>
          <w:sz w:val="24"/>
          <w:highlight w:val="none"/>
        </w:rPr>
        <w:t xml:space="preserve"> 九、</w:t>
      </w:r>
      <w:r>
        <w:rPr>
          <w:rFonts w:hint="eastAsia" w:ascii="宋体" w:hAnsi="宋体" w:cs="宋体"/>
          <w:bCs/>
          <w:color w:val="auto"/>
          <w:sz w:val="24"/>
          <w:highlight w:val="none"/>
        </w:rPr>
        <w:t>发包人向承包人承诺按照合同约定的期限和方式支付合同价款及其他应当支付的款项。</w:t>
      </w:r>
    </w:p>
    <w:p>
      <w:pPr>
        <w:snapToGrid w:val="0"/>
        <w:spacing w:line="440" w:lineRule="exact"/>
        <w:ind w:firstLine="482"/>
        <w:rPr>
          <w:rFonts w:hint="eastAsia" w:ascii="宋体" w:hAnsi="宋体" w:cs="宋体"/>
          <w:b/>
          <w:bCs/>
          <w:color w:val="auto"/>
          <w:sz w:val="24"/>
          <w:highlight w:val="none"/>
        </w:rPr>
      </w:pPr>
      <w:r>
        <w:rPr>
          <w:rFonts w:hint="eastAsia" w:ascii="宋体" w:hAnsi="宋体" w:cs="宋体"/>
          <w:b/>
          <w:bCs/>
          <w:color w:val="auto"/>
          <w:sz w:val="24"/>
          <w:highlight w:val="none"/>
        </w:rPr>
        <w:t>十、合同生效</w:t>
      </w:r>
    </w:p>
    <w:p>
      <w:pPr>
        <w:snapToGrid w:val="0"/>
        <w:spacing w:line="440" w:lineRule="exact"/>
        <w:ind w:firstLine="482"/>
        <w:rPr>
          <w:rFonts w:hint="eastAsia" w:ascii="宋体" w:hAnsi="宋体" w:cs="宋体"/>
          <w:color w:val="auto"/>
          <w:sz w:val="24"/>
          <w:highlight w:val="none"/>
        </w:rPr>
      </w:pPr>
      <w:r>
        <w:rPr>
          <w:rFonts w:hint="eastAsia" w:ascii="宋体" w:hAnsi="宋体" w:cs="宋体"/>
          <w:color w:val="auto"/>
          <w:sz w:val="24"/>
          <w:highlight w:val="none"/>
        </w:rPr>
        <w:t>合同订立时间：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napToGrid w:val="0"/>
        <w:spacing w:line="440" w:lineRule="exact"/>
        <w:ind w:firstLine="480"/>
        <w:rPr>
          <w:rFonts w:hint="eastAsia" w:ascii="宋体" w:hAnsi="宋体" w:cs="宋体"/>
          <w:color w:val="auto"/>
          <w:sz w:val="24"/>
          <w:highlight w:val="none"/>
        </w:rPr>
      </w:pPr>
      <w:r>
        <w:rPr>
          <w:rFonts w:hint="eastAsia" w:ascii="宋体" w:hAnsi="宋体" w:cs="宋体"/>
          <w:color w:val="auto"/>
          <w:sz w:val="24"/>
          <w:highlight w:val="none"/>
        </w:rPr>
        <w:t>合同订立地点：</w:t>
      </w:r>
      <w:r>
        <w:rPr>
          <w:rFonts w:hint="eastAsia" w:ascii="宋体" w:hAnsi="宋体" w:eastAsia="宋体" w:cs="宋体"/>
          <w:color w:val="auto"/>
          <w:sz w:val="24"/>
          <w:highlight w:val="none"/>
          <w:u w:val="single"/>
        </w:rPr>
        <w:t>广州市黄埔区</w:t>
      </w:r>
    </w:p>
    <w:p>
      <w:pPr>
        <w:snapToGrid w:val="0"/>
        <w:spacing w:line="440" w:lineRule="exact"/>
        <w:ind w:firstLine="480"/>
        <w:rPr>
          <w:rFonts w:hint="eastAsia" w:ascii="宋体" w:hAnsi="宋体" w:cs="宋体"/>
          <w:color w:val="auto"/>
          <w:sz w:val="24"/>
          <w:highlight w:val="none"/>
        </w:rPr>
      </w:pPr>
      <w:r>
        <w:rPr>
          <w:rFonts w:hint="eastAsia" w:ascii="宋体" w:hAnsi="宋体" w:cs="宋体"/>
          <w:color w:val="auto"/>
          <w:sz w:val="24"/>
          <w:highlight w:val="none"/>
        </w:rPr>
        <w:t>本合同双方约定：</w:t>
      </w:r>
      <w:r>
        <w:rPr>
          <w:rFonts w:hint="eastAsia" w:ascii="宋体" w:hAnsi="宋体" w:cs="宋体"/>
          <w:color w:val="auto"/>
          <w:sz w:val="24"/>
          <w:highlight w:val="none"/>
          <w:u w:val="single"/>
        </w:rPr>
        <w:t>双方签名、盖章并在承包人提交履约担保</w:t>
      </w:r>
      <w:r>
        <w:rPr>
          <w:rFonts w:hint="eastAsia" w:ascii="宋体" w:hAnsi="宋体" w:cs="宋体"/>
          <w:color w:val="auto"/>
          <w:sz w:val="24"/>
          <w:highlight w:val="none"/>
        </w:rPr>
        <w:t>后生效。</w:t>
      </w:r>
    </w:p>
    <w:p>
      <w:pPr>
        <w:snapToGrid w:val="0"/>
        <w:spacing w:line="460" w:lineRule="exact"/>
        <w:rPr>
          <w:rFonts w:hint="eastAsia" w:ascii="宋体" w:hAnsi="宋体"/>
          <w:color w:val="auto"/>
          <w:sz w:val="24"/>
          <w:highlight w:val="none"/>
        </w:rPr>
      </w:pPr>
    </w:p>
    <w:p>
      <w:pPr>
        <w:snapToGrid w:val="0"/>
        <w:spacing w:line="460" w:lineRule="exact"/>
        <w:ind w:firstLine="120" w:firstLineChars="50"/>
        <w:rPr>
          <w:rFonts w:hint="eastAsia" w:ascii="宋体" w:hAnsi="宋体"/>
          <w:color w:val="auto"/>
          <w:sz w:val="24"/>
          <w:highlight w:val="none"/>
        </w:rPr>
      </w:pPr>
      <w:r>
        <w:rPr>
          <w:rFonts w:hint="eastAsia" w:ascii="宋体" w:hAnsi="宋体"/>
          <w:color w:val="auto"/>
          <w:sz w:val="24"/>
          <w:highlight w:val="none"/>
        </w:rPr>
        <w:t xml:space="preserve"> </w:t>
      </w:r>
    </w:p>
    <w:p>
      <w:pPr>
        <w:snapToGrid w:val="0"/>
        <w:spacing w:line="460" w:lineRule="exact"/>
        <w:ind w:firstLine="360" w:firstLineChars="150"/>
        <w:rPr>
          <w:rFonts w:hint="eastAsia" w:ascii="宋体" w:hAnsi="宋体"/>
          <w:color w:val="auto"/>
          <w:sz w:val="24"/>
          <w:highlight w:val="none"/>
        </w:rPr>
      </w:pPr>
      <w:r>
        <w:rPr>
          <w:rFonts w:hint="eastAsia" w:ascii="宋体" w:hAnsi="宋体"/>
          <w:color w:val="auto"/>
          <w:sz w:val="24"/>
          <w:highlight w:val="none"/>
        </w:rPr>
        <w:t>发  包   人：（公章）                   承  包  人：（公章）</w:t>
      </w:r>
    </w:p>
    <w:p>
      <w:pPr>
        <w:snapToGrid w:val="0"/>
        <w:spacing w:line="460" w:lineRule="exact"/>
        <w:ind w:firstLine="120" w:firstLineChars="50"/>
        <w:rPr>
          <w:rFonts w:hint="eastAsia" w:ascii="宋体" w:hAnsi="宋体"/>
          <w:color w:val="auto"/>
          <w:sz w:val="24"/>
          <w:highlight w:val="none"/>
        </w:rPr>
      </w:pPr>
    </w:p>
    <w:p>
      <w:pPr>
        <w:snapToGrid w:val="0"/>
        <w:spacing w:line="460" w:lineRule="exact"/>
        <w:rPr>
          <w:rFonts w:hint="eastAsia"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 xml:space="preserve">  住      所：                          住      所：</w:t>
      </w:r>
    </w:p>
    <w:p>
      <w:pPr>
        <w:snapToGrid w:val="0"/>
        <w:spacing w:line="460" w:lineRule="exact"/>
        <w:rPr>
          <w:rFonts w:hint="eastAsia" w:ascii="宋体" w:hAnsi="宋体"/>
          <w:color w:val="auto"/>
          <w:sz w:val="24"/>
          <w:highlight w:val="none"/>
        </w:rPr>
      </w:pPr>
    </w:p>
    <w:p>
      <w:pPr>
        <w:snapToGrid w:val="0"/>
        <w:spacing w:line="460" w:lineRule="exact"/>
        <w:rPr>
          <w:rFonts w:hint="eastAsia"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法定代表人：                          法定代表人：</w:t>
      </w:r>
    </w:p>
    <w:p>
      <w:pPr>
        <w:snapToGrid w:val="0"/>
        <w:spacing w:line="460" w:lineRule="exact"/>
        <w:rPr>
          <w:rFonts w:hint="eastAsia" w:ascii="宋体" w:hAnsi="宋体"/>
          <w:color w:val="auto"/>
          <w:sz w:val="24"/>
          <w:highlight w:val="none"/>
        </w:rPr>
      </w:pPr>
    </w:p>
    <w:p>
      <w:pPr>
        <w:snapToGrid w:val="0"/>
        <w:spacing w:line="460" w:lineRule="exact"/>
        <w:rPr>
          <w:rFonts w:hint="eastAsia"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 xml:space="preserve">  委托代理人：                         委托代理人：</w:t>
      </w:r>
    </w:p>
    <w:p>
      <w:pPr>
        <w:snapToGrid w:val="0"/>
        <w:spacing w:line="460" w:lineRule="exact"/>
        <w:rPr>
          <w:rFonts w:hint="eastAsia" w:ascii="宋体" w:hAnsi="宋体"/>
          <w:color w:val="auto"/>
          <w:sz w:val="24"/>
          <w:highlight w:val="none"/>
        </w:rPr>
      </w:pPr>
    </w:p>
    <w:p>
      <w:pPr>
        <w:snapToGrid w:val="0"/>
        <w:spacing w:line="460" w:lineRule="exact"/>
        <w:rPr>
          <w:rFonts w:hint="eastAsia"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 xml:space="preserve">  电      话：                         电      话：</w:t>
      </w:r>
    </w:p>
    <w:p>
      <w:pPr>
        <w:snapToGrid w:val="0"/>
        <w:spacing w:line="460" w:lineRule="exact"/>
        <w:rPr>
          <w:rFonts w:hint="eastAsia" w:ascii="宋体" w:hAnsi="宋体"/>
          <w:color w:val="auto"/>
          <w:sz w:val="24"/>
          <w:highlight w:val="none"/>
        </w:rPr>
      </w:pPr>
    </w:p>
    <w:p>
      <w:pPr>
        <w:snapToGrid w:val="0"/>
        <w:spacing w:line="460" w:lineRule="exact"/>
        <w:rPr>
          <w:rFonts w:hint="eastAsia"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 xml:space="preserve">  传      真：                         传      真：</w:t>
      </w:r>
    </w:p>
    <w:p>
      <w:pPr>
        <w:snapToGrid w:val="0"/>
        <w:spacing w:line="460" w:lineRule="exact"/>
        <w:rPr>
          <w:rFonts w:hint="eastAsia" w:ascii="宋体" w:hAnsi="宋体"/>
          <w:color w:val="auto"/>
          <w:sz w:val="24"/>
          <w:highlight w:val="none"/>
        </w:rPr>
      </w:pPr>
    </w:p>
    <w:p>
      <w:pPr>
        <w:snapToGrid w:val="0"/>
        <w:spacing w:line="460" w:lineRule="exact"/>
        <w:rPr>
          <w:rFonts w:hint="eastAsia"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 xml:space="preserve">  开户 银 行：                         开户 银 行：</w:t>
      </w:r>
    </w:p>
    <w:p>
      <w:pPr>
        <w:snapToGrid w:val="0"/>
        <w:spacing w:line="460" w:lineRule="exact"/>
        <w:rPr>
          <w:rFonts w:hint="eastAsia" w:ascii="宋体" w:hAnsi="宋体"/>
          <w:color w:val="auto"/>
          <w:sz w:val="24"/>
          <w:highlight w:val="none"/>
        </w:rPr>
      </w:pPr>
    </w:p>
    <w:p>
      <w:pPr>
        <w:snapToGrid w:val="0"/>
        <w:spacing w:line="460" w:lineRule="exact"/>
        <w:rPr>
          <w:rFonts w:hint="eastAsia"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 xml:space="preserve">   帐      号：                         帐      号：</w:t>
      </w:r>
    </w:p>
    <w:p>
      <w:pPr>
        <w:snapToGrid w:val="0"/>
        <w:spacing w:line="460" w:lineRule="exact"/>
        <w:rPr>
          <w:rFonts w:hint="eastAsia" w:ascii="宋体" w:hAnsi="宋体"/>
          <w:color w:val="auto"/>
          <w:sz w:val="24"/>
          <w:highlight w:val="none"/>
        </w:rPr>
      </w:pPr>
      <w:r>
        <w:rPr>
          <w:rFonts w:hint="eastAsia" w:ascii="宋体" w:hAnsi="宋体"/>
          <w:color w:val="auto"/>
          <w:sz w:val="24"/>
          <w:highlight w:val="none"/>
        </w:rPr>
        <w:t xml:space="preserve"> </w:t>
      </w:r>
    </w:p>
    <w:p>
      <w:pPr>
        <w:spacing w:line="500" w:lineRule="exact"/>
        <w:rPr>
          <w:rFonts w:hint="eastAsia" w:ascii="宋体" w:hAnsi="宋体"/>
          <w:color w:val="auto"/>
          <w:sz w:val="32"/>
          <w:highlight w:val="none"/>
        </w:rPr>
      </w:pPr>
      <w:r>
        <w:rPr>
          <w:rFonts w:ascii="宋体" w:hAnsi="宋体"/>
          <w:color w:val="auto"/>
          <w:sz w:val="24"/>
          <w:highlight w:val="none"/>
        </w:rPr>
        <w:t xml:space="preserve"> </w:t>
      </w:r>
      <w:r>
        <w:rPr>
          <w:rFonts w:hint="eastAsia" w:ascii="宋体" w:hAnsi="宋体"/>
          <w:color w:val="auto"/>
          <w:sz w:val="24"/>
          <w:highlight w:val="none"/>
        </w:rPr>
        <w:t xml:space="preserve">   邮政 编 码：                         邮政 编 码：</w:t>
      </w:r>
    </w:p>
    <w:p>
      <w:pPr>
        <w:spacing w:line="500" w:lineRule="exact"/>
        <w:rPr>
          <w:rFonts w:hint="eastAsia" w:ascii="宋体" w:hAnsi="宋体"/>
          <w:b/>
          <w:color w:val="auto"/>
          <w:sz w:val="28"/>
          <w:szCs w:val="28"/>
          <w:highlight w:val="none"/>
        </w:rPr>
      </w:pPr>
      <w:r>
        <w:rPr>
          <w:rFonts w:ascii="宋体" w:hAnsi="宋体"/>
          <w:color w:val="auto"/>
          <w:sz w:val="32"/>
          <w:highlight w:val="none"/>
        </w:rPr>
        <w:br w:type="page"/>
      </w:r>
      <w:r>
        <w:rPr>
          <w:rFonts w:hint="eastAsia" w:ascii="宋体" w:hAnsi="宋体"/>
          <w:color w:val="auto"/>
          <w:sz w:val="32"/>
          <w:highlight w:val="none"/>
        </w:rPr>
        <w:t xml:space="preserve">                    </w:t>
      </w:r>
      <w:r>
        <w:rPr>
          <w:rFonts w:hint="eastAsia" w:ascii="宋体" w:hAnsi="宋体"/>
          <w:b/>
          <w:color w:val="auto"/>
          <w:sz w:val="32"/>
          <w:highlight w:val="none"/>
        </w:rPr>
        <w:t xml:space="preserve"> </w:t>
      </w:r>
      <w:r>
        <w:rPr>
          <w:rFonts w:hint="eastAsia" w:ascii="宋体" w:hAnsi="宋体"/>
          <w:b/>
          <w:color w:val="auto"/>
          <w:sz w:val="28"/>
          <w:szCs w:val="28"/>
          <w:highlight w:val="none"/>
        </w:rPr>
        <w:t>第二部分 通用条款</w:t>
      </w:r>
    </w:p>
    <w:p>
      <w:pPr>
        <w:spacing w:line="400" w:lineRule="exact"/>
        <w:ind w:firstLine="718" w:firstLineChars="342"/>
        <w:rPr>
          <w:rFonts w:hint="eastAsia" w:ascii="宋体" w:hAnsi="宋体"/>
          <w:color w:val="auto"/>
          <w:sz w:val="21"/>
          <w:szCs w:val="21"/>
          <w:highlight w:val="none"/>
        </w:rPr>
      </w:pP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一、词语定义及合同文件 </w:t>
      </w:r>
    </w:p>
    <w:p>
      <w:pPr>
        <w:spacing w:line="400" w:lineRule="exact"/>
        <w:ind w:firstLine="359" w:firstLineChars="171"/>
        <w:rPr>
          <w:rFonts w:hint="eastAsia" w:ascii="宋体" w:hAns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 xml:space="preserve">词语定义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下列词语除专用条款另有约定外，应具有本条所赋予的定义：</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1.1 通用条款：是根据法律、行政法规规定及建设工程施工的需要订立，通用于建设工程施工的条款。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1.2 专用条款：是发包人与承包人根据法律、行政法规规定，结合具体工程实际，经协商达成一致意见的条款，是对通用条款的具体化、补充或修改。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1.3 发包人：指在协议书中约定，具有工程发包主体资格和支付工程价款能力的当事人以及取得该当事人资格的合法继承人。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1.4 承包人：指在协议书中约定，被发包人接受的具有工程施工承包主体资格的当事人以及取得该当事人资格的合法继承人。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1.5 项目负责人：指承包人在专用条款中指定的负责施工管理和合同履行的代表。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1.6 设计单位：指发包人委托的负责本工程设计并取得相应工程设计资质等级证书的单位。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1.7 监理单位：指发包人委托的负责本工程监理并取得相应在工程监理资质等级证书的单位。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1.8 工程师：指本工程监理单位委派的总监理工程师或发包人指定的履行本合同的代表，其具体身份和职权由发包人承包人在专用条款中约定。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1.9 工程造价管理部门：指国务院有关部门、县级以上人民政府建设行政主管部门或其委托的工程造价管理机构。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1.10 工程：指发包人承包人在协议书中约定的承包范围内的工程。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1.11 合同价款：指发包人承包人在协议书中约定，发包人用以支付承包人按照合同约定完成承包范围内全部工程并承担质量保修责任的款项。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1.1</w:t>
      </w:r>
      <w:r>
        <w:rPr>
          <w:rFonts w:ascii="宋体" w:hAnsi="宋体"/>
          <w:color w:val="auto"/>
          <w:sz w:val="21"/>
          <w:szCs w:val="21"/>
          <w:highlight w:val="none"/>
        </w:rPr>
        <w:t>2</w:t>
      </w:r>
      <w:r>
        <w:rPr>
          <w:rFonts w:hint="eastAsia" w:ascii="宋体" w:hAnsi="宋体"/>
          <w:color w:val="auto"/>
          <w:sz w:val="21"/>
          <w:szCs w:val="21"/>
          <w:highlight w:val="none"/>
        </w:rPr>
        <w:t xml:space="preserve"> 追加合同价款：指在合同履行中发生需要增加合同价款的情况，经发包人确认后按计算合同价款的方法增加的合同价款。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1.13 费用：指不包含在合同价款之内的应当由发包人或承包人承担的经济支出。</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1.14 工期：指发包人承包人在协议书中约定，按总日历天数（包括法定节假日）计算的承包天数。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1.15 开工日期：指发包人承包人在协议书中约定，承包人开始施工的绝对或相对的日期。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1.16 竣工日期：指发包人承包人在协议书中约定，承包人完成承包范围内工程的绝对或相对的日期。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1.17 图纸：指由发包人提供或承包人提供并经发包人批准，满足承包人施工需要的所有图纸（包括配套说明和有关资料）。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1.18 施工场地：指由发包人提供的用于工程施工的场所以及发包人在图纸中具体指定的供施工使用的任何其他场所。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1.</w:t>
      </w:r>
      <w:r>
        <w:rPr>
          <w:rFonts w:ascii="宋体" w:hAnsi="宋体"/>
          <w:color w:val="auto"/>
          <w:sz w:val="21"/>
          <w:szCs w:val="21"/>
          <w:highlight w:val="none"/>
        </w:rPr>
        <w:t>19</w:t>
      </w:r>
      <w:r>
        <w:rPr>
          <w:rFonts w:hint="eastAsia" w:ascii="宋体" w:hAnsi="宋体"/>
          <w:color w:val="auto"/>
          <w:sz w:val="21"/>
          <w:szCs w:val="21"/>
          <w:highlight w:val="none"/>
        </w:rPr>
        <w:t xml:space="preserve"> 书面形式：指合同书、信件和数据电文（包括电报、电传、传真、电子数据交换和电子邮件）等可以有形地表现所载内容的形式。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1.20 违约责任：指合同一方不履行合同义务或履行合同义务不符合约定所应承担的责任。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1.21 索赔：指在合同履行过程中，对于并非自己的过错，而是应由对方承担责任的情况造成的实际损失，向对方提出经济补偿和（或）工期顺延的要求。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1.22 不可抗力：指不能预见、不能避免并不能克服的客观情况。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1.23 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小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2、合同文件及解释顺序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2.1 合同文件应能相互解释，互为说明。除专用条款另有约定外，组成本合同的文件及优先解释顺序如下：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（1）本合同协议书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（2）中标通知书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（3）投标书及其附件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（4）本合同专用条款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（5）本合同通用条款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（6）标准、规范及有关技术文件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（7）图纸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（8）工程量清单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（9）工程报价单或预算书</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合同履行中，发包人承包人有关工程的洽商、变更等书面协议或文件视为本合同的组成部分。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2.2当合同文件内容含糊不清或不相一致时，在不影响工程正常进行的情况下，由发包人承包人协商解决。双方也可以提请负责监理的工程师做出解释。双方协商不成或不同意负责监理的工程师的解释时，按本通用条款37条关于争议的约定处理。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3、语言文字和适用法律、标准及规范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3.1 语言文字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本合同文件使用汉语语言文字书写、解释和说明。如专用条款约定使用两种以上（含两种）语言文字时，汉语应为解释和说明本合同的标准语言文字。</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在少数民族地区，双方可以约定使用少数民族语言文字书写和解释、说明本合同。</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3.2 适用法律和法规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本合同文件适用国家的法律和行政法规。需要明示的法律、行政法规，由双方在专用条款中约定。</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3.3 适用标准、规范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双方在专用条款内约定适用国家标准、规范和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国内没有相应标准、规范的，由发包人按专用条款约定的时间向承包人</w:t>
      </w:r>
      <w:r>
        <w:rPr>
          <w:rFonts w:hint="eastAsia" w:ascii="宋体" w:hAnsi="宋体"/>
          <w:color w:val="auto"/>
          <w:spacing w:val="4"/>
          <w:sz w:val="21"/>
          <w:szCs w:val="21"/>
          <w:highlight w:val="none"/>
        </w:rPr>
        <w:t>提出施工技术要求，承包人按约定的时间和要求提出施工工艺，经发包人认</w:t>
      </w:r>
      <w:r>
        <w:rPr>
          <w:rFonts w:hint="eastAsia" w:ascii="宋体" w:hAnsi="宋体"/>
          <w:color w:val="auto"/>
          <w:sz w:val="21"/>
          <w:szCs w:val="21"/>
          <w:highlight w:val="none"/>
        </w:rPr>
        <w:t xml:space="preserve">可后执行。发包人要求使用国外标准、规范的，应负责提供中文译本。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本条所发生的购买、翻译标准、规范或制定施工工艺的费用，由发包人承担。</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4、图纸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4.1 发包人应按专用条款约定的日期和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4.2 承包人未经发包人同意，不得将本工程图纸转给第三人。工程质量保修期满后，除承包人存档需要的图纸外，应将全部图纸退还给发包人。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4.3 承包人应在施工现场保留一套完整图纸，供工程师及有关人员进行工程检查时使用。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二、双方一般权利和义务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5、工程师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5.1实行工程监理的，发包人应在实施监理前将委托的监理单位名称、监理内容及监理权限以书面形式通知承包人。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5.3 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5.4 合同履行中，发生影响发包人承包人双方权利或义务的事件时，负责监理的工程师应依据合同在其职权范围内客观公正地进行处理。一方对工程师的处理有异议时，按本通用条款37条关于争议的约定处理。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5.5 除合同内有明确约定或经发包人同意外，负责监理的工程师无权解除本合同约定的承包人的任何权利与义务。</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5.6 不实行工程监理的，本合同中工程师专指发包人派驻施工现场履行合同的代表，其具体职权由发包人在专用条款中写明。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6、工程师的委派和指令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6.1工程师可委派工程师代表，行使合同约定的自己的职权，并可在认为必要时撤回委派。委派和撤回均应提前7天以书面形式通知承包人，负责监理的工程师还应将委派和撤回通知发包人。委派书和撤回通知作为本合同附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除工程师或工程师代表外，发包人派驻工地的其他人员均无权向承包人发出任何指令。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6.2 工程师的指令、通知由其本人签字后，以书面形式交给项目负责人，项目负责人在回执上签署姓名和收到时间后生效。确有必要时，工程师可发出口头指令，并在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承包人认为工程师指令不合理，应在收到指令后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本款规定同样适用于由工程师代表发出的指令、通知。</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6.3 工程师应按合同约定，及时向承包人提供所需指令、批准并履行约定的</w:t>
      </w:r>
      <w:r>
        <w:rPr>
          <w:rFonts w:hint="eastAsia" w:ascii="宋体" w:hAnsi="宋体"/>
          <w:color w:val="auto"/>
          <w:spacing w:val="4"/>
          <w:sz w:val="21"/>
          <w:szCs w:val="21"/>
          <w:highlight w:val="none"/>
        </w:rPr>
        <w:t>其他义务。由于工程师未能按合同约定履行义务造成工期延误，发包人应承</w:t>
      </w:r>
      <w:r>
        <w:rPr>
          <w:rFonts w:hint="eastAsia" w:ascii="宋体" w:hAnsi="宋体"/>
          <w:color w:val="auto"/>
          <w:sz w:val="21"/>
          <w:szCs w:val="21"/>
          <w:highlight w:val="none"/>
        </w:rPr>
        <w:t xml:space="preserve">担延误造成的追加合同价款，并赔偿承包人有关损失，顺延延误的工期。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6.4 如需更换工程师，发包人应至少提前7天以书面形式通知承包人，后任继续行使合同文件约定的前任的职权，履行前任的义务。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7、项目负责人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7.1 项目负责人的姓名、职务在专用条款内写明。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7.2 承包人依据合同发出的通知，以书面形式由项目负责人签字后送交工程师，工程师在回执上签署姓名和收到时间后生效。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7.3 项目负责人按发包人认可的施工组织设计（施工方案）和工程师依据合同发出的指令组织施工。在情况紧急且无法与工程师联系时，项目负责人应当采取保证人员生命和工程、财产安全的紧急措施，并在采取措施后48小时内向工程师送交报告。责任在发包人或第三人，由发包人承担由此发生的追加合同价款，相应顺延工期；责任在承包人，由承包人承担费用，不顺延工期。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7.4 承包人如需更换项目负责人，应至少提前7天以书面形式通知发包人，并征得发包人同意。后任继续行使合同文件约定的前任的职权，履行前任的义务。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7.5 发包人可以与承包人协商，建议更换其认为不称职的项目负责人。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8、发包人工作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8.1 发包人按专用条款约定的内容和时间完成以下工作: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 办理土地征用、拆迁补偿、平整施工场地等工作，使施工场地具备施工条件，在开工后继续负责解决以上事项遗留问题；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 将施工所需水、电、电讯线路从施工场地外部接至专用条款约定地点，保证施工期间的需要；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 开通施工场地与城乡公共道路的通道，以及专用条款约定的施工场地内的主要道路，满足施工运输的需要，保证施工期间的畅通。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 向承包人提供施工场地的工程地质和地下管线资料，对资料的真实准确性负责；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(5) 办理施工许可证及其他施工所需证件、批件和临时用地、停水、停电、中断道路交通、爆破作业等的申请批准文件（证明承包人自身资质的证件除外）；</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(6) 确定水准点与坐标控制点，以书面形式交给承包人，进行现场交验；</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(7) 组织承包人和设计单位进行图纸会审和设计交底；</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(8) 协调管理施工场地周围地下管线和邻近建筑物、构筑物（包括文物保护建筑）、古树名木的保护工作，承担有关费用；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(9) 发包人应做的其他工作，双方在专用条款内约定。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8.2 发包人未履行8.1款各项义务，导致工期延误或给承包人造成损失的，发包人赔偿承包人有关损失，顺延延误的工期。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9、承包人工作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9.1 承包人按专用条款约定的内容和时间完成以下工作：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(1) 根据发包人委托，在其设计资质等级和业务允许的范围内，完成施工图设计或与工程配套的设计，经工程师确认后使用，发包人承担由此发生的费用；</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 向工程师提供年、季、月度工程进度计划及相应进度统计报表；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 根据工程需要，提供和维修非夜间施工使用的照明、围栏设施，并负责安全保卫；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 按专用条款约定的数量和要求，向发包人提供施工场地办公和生活的房屋及设施，发包人承担由此发生的费用；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(5) 遵守政府有关主管部门对施工场地交通、施工噪音以及环境保护和安全生产等的管理规定，按规定办理有关手续，并以书面形式通知发包人，发包人承担由此发生的费用，因承包人责任造成的罚款除外；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(6) 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(7) 按专用条款约定做好施工场地地下管线和邻近建筑物、构筑物（包括文物保护建筑）、古树名木的保护工作；</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(8) 保证施工场地清洁符合环境卫生管理的有关规定，交工前清理现场达到专用条款约定的要求，承担因自身原因违反有关规定造成的损失和罚款；</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(9) </w:t>
      </w:r>
      <w:r>
        <w:rPr>
          <w:rFonts w:hint="eastAsia" w:ascii="宋体" w:hAnsi="宋体"/>
          <w:color w:val="auto"/>
          <w:spacing w:val="-6"/>
          <w:sz w:val="21"/>
          <w:szCs w:val="21"/>
          <w:highlight w:val="none"/>
        </w:rPr>
        <w:t>办理施工许可证及施工所需证件、批件和临时用地、停水、停电、中断</w:t>
      </w:r>
      <w:r>
        <w:rPr>
          <w:rFonts w:hint="eastAsia" w:ascii="宋体" w:hAnsi="宋体"/>
          <w:color w:val="auto"/>
          <w:sz w:val="21"/>
          <w:szCs w:val="21"/>
          <w:highlight w:val="none"/>
        </w:rPr>
        <w:t>道路交通、爆破作业等的申请批准手续（证明承包人自身资质的证件除外）；</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(10)承包人应做的其他工作，双方在专用条款内约定。</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9.2承包人未能履行9.1款各项义务，造成发包人损失的，承包人赔偿发包人有关损失。</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三、施工组织设计和工期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10、进度计划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10.1 承包人应按专用条款约定的日期，将施工组织设计和工程进度计划提交工程师，工程师按专用条款约定的时间予以确认或提出修改意见，逾期不确认也不提出书面意见的，视为同意。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10.2群体工程中单位工程分期进行施工的，承包人应按照发包人提供图纸及有关资料的时间，按单位工程编制进度计划，其具体内容双方在专用条款中约定。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10.3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11、开工及延期开工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11.1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11.2因发包人原因不能按照协议书约定的开工日期开工，工程师应以书面形式通知承包人，推迟开工日期。发包人赔偿承包人因延期开工造成的损失，并相应顺延工期。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12、暂停施工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工程师认为确有必要暂停施工时，应当以书面形式要求承包人暂停施工，并在提出要求后48小时内提出书面处理意见。承包人应当按工程师要求停止施工，并妥善保护已完工程。承包人实施工程师做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13、工期延误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13.1因以下原因造成工期延误，经工程师确认工期相应顺延；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 发包人未能按专用条款的约定提供图纸及开工条件；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(2) 发包人未能按约定日期支付工程预付款、进度款，致使施工不能正常进行；</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(3) 工程师未按合同约定提供所需指令、批准等，致使施工不能正常进行；</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 设计变更和工程量增加；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(5) 一周内非承包人原因停水、停电、停气造成停工累计超过8小时；</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(6) 不可抗力；</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(7) 专用条款中约定或工程师同意工期顺延的其他情况。</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13.2承包人在13.1款情况发生后14天内，就延误的工期以书面形式向工程师提出报告。工程师在收到报告后14天内予以确认，逾期不予确认也不提出修改意见，视为同意顺延工期。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14、工程竣工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14.1 承包人必须按照协议书约定的竣工日期或工程师同意顺延的工期竣工。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14.2 因承包人原因不能按照协议书约定的竣工日期或工程师同意顺延的工期竣工的，承包人承担违约责任。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14.3 施工中发包人如需提前竣工，双方协商一致后就应签订提前竣工协议，作为合同文件组成部分。提前竣工协议应包括承包人为保证工程质量和安全采取的措施、发包人为提前竣工提供的条件以及提前竣工所需的追加合同价款等内容。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四、质量与检验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15、工程质量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pacing w:val="6"/>
          <w:sz w:val="21"/>
          <w:szCs w:val="21"/>
          <w:highlight w:val="none"/>
        </w:rPr>
        <w:t>5.1 工程质量应当达到协议书约定的质量标准，质量标准的评定以国家或</w:t>
      </w:r>
      <w:r>
        <w:rPr>
          <w:rFonts w:hint="eastAsia" w:ascii="宋体" w:hAnsi="宋体"/>
          <w:color w:val="auto"/>
          <w:sz w:val="21"/>
          <w:szCs w:val="21"/>
          <w:highlight w:val="none"/>
        </w:rPr>
        <w:t xml:space="preserve">行业的质量检验评定标准为依据。因承包人原因工程质量达不到约定的质量标准，承包人承担违约责任。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15.2 双方对工程质量有争议，由双方同意的工程质量检测机构鉴定，所需费用及因此造成的损失，由责任方承担。双方均有责任，由双方根据其责任分别承担。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16、检查和返工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16.1 承包人应认真按照标准、规范和设计图纸要求以及工程师依据合同发出的指令施工，随时接受工程师的检查检验，为检查检验提供便利条件。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16.2 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16.3 工程师的检查检验不应影响施工正常进行。如影响施工正常进行，检查检验不合格时，影响正常施工的费用由承包人承担。除此之外影响正常施工的追加合同价款由发包人承担，相应顺延工期。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16.4 因工程师指令失误或其他非承包人原因发生的追加合同价款，由发包人承担。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17、隐蔽工程和中间验收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17.1 工程具备隐蔽条件或达到专用条款约定的中间验收部位，承包人进行自检，并在隐蔽或中间验收前48小时以书面形式通知工程师验收。通知包括隐蔽和中间验收的内容、验收时间和地点。承包人准备验收记录，验收合格，</w:t>
      </w:r>
      <w:r>
        <w:rPr>
          <w:rFonts w:hint="eastAsia" w:ascii="宋体" w:hAnsi="宋体"/>
          <w:color w:val="auto"/>
          <w:spacing w:val="4"/>
          <w:sz w:val="21"/>
          <w:szCs w:val="21"/>
          <w:highlight w:val="none"/>
        </w:rPr>
        <w:t>工程师在验收记录上签字后，承包人可进行隐蔽和继续施工。验收不合格</w:t>
      </w:r>
      <w:r>
        <w:rPr>
          <w:rFonts w:hint="eastAsia" w:ascii="宋体" w:hAnsi="宋体"/>
          <w:color w:val="auto"/>
          <w:sz w:val="21"/>
          <w:szCs w:val="21"/>
          <w:highlight w:val="none"/>
        </w:rPr>
        <w:t xml:space="preserve">，承包人在工程师限定的时间内修改后重新验收。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17.2 工程师不能按时进行验收，应在验收前24小时以书面形式向承包人提出延期要求，延期不能超过48小时。工程师未能按以上时间提出延期要求，不进行验收，承包人可自行组织验收，工程师应承认验收记录。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17.3 经工程师验收，工程质量符合标准、规范和设计图纸等要求，验收24</w:t>
      </w:r>
      <w:r>
        <w:rPr>
          <w:rFonts w:hint="eastAsia" w:ascii="宋体" w:hAnsi="宋体"/>
          <w:color w:val="auto"/>
          <w:spacing w:val="4"/>
          <w:sz w:val="21"/>
          <w:szCs w:val="21"/>
          <w:highlight w:val="none"/>
        </w:rPr>
        <w:t>小时后，工程师不在验收记录上签字，视为工程师已经认可验收记录，承包</w:t>
      </w:r>
      <w:r>
        <w:rPr>
          <w:rFonts w:hint="eastAsia" w:ascii="宋体" w:hAnsi="宋体"/>
          <w:color w:val="auto"/>
          <w:sz w:val="21"/>
          <w:szCs w:val="21"/>
          <w:highlight w:val="none"/>
        </w:rPr>
        <w:t xml:space="preserve">人可进行隐蔽或继续施工。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18、重新检验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19、工程试车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19.1 双方约定需要试车的，试车内容应与承包人承包的安装范围相一致。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19.2 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19.3 工程师不能按时参加试车，须在开始试车前24小时以书面形式向承包人提出延期要求，延期不能超过48小时。工程师未能按以上时间提出延期要求，不参加试车，应承认试车记录。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19.4 设备安装工程具备无负荷联动试车条件，发包人组织试车，并在试车前48小时以书面形式通知承包人。通知包括试车内容、时间、地点和对承包人的要求，承包人按要求做好准备工作。试车合格，双方在试车记录上签字。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19.5双方责任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 由于设计原因试车达不到验收要求，发包人应要求设计单位修改设计，承包人按修改后的设计重新安装。发包人承担修改设计、拆除及重新安装的全部费用和追加合同价款，工期相应顺延。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 由于设备制造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 由于承包人施工原因试车达不到验收要求，承包人按工程师要求重新安装和试车，并承担重新安装和试车的费用，工期不予顺延。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(4) 试车费用除已包括在合同价款之内或专用条款另有约定外，均由发包人承担。</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(5) 工程师在试车合格后不在试车记录上签字，试车结束24小时后，视为工程师已经认可试车记录，承包人可继续施工或办理竣工手续。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19.6 投料试车应在工程竣工验收后由发包人负责，如发包人要求在工程竣工验收前进行或需要承包人配合时，应征得承包人同意，另行签订补充协议。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五、安全施工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20、安全施工与检查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20.1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20.2发包人应对其在施工场地的工作人员进行安全教育，并对他们的安全负责。发包人不得要求承包人违反安全管理的规定进行施工。因发包人原因导致的安全事故，由发包人承担相应责任及发生的费用。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21、安全防护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21.1承包人在动力设备、输电线路、地下管道、密封防震车间、易燃易爆地段以及临街交通要道附近施工时，施工开始前应向工程师提出安全防护措施，经工程师认可后实施，防护措施费用由发包人承担。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21.2实施爆破作业，在放射、毒害性环境中施工（含储存、运输、使用）及使用毒害性、腐蚀性物品施工时，承包人应在施工前14天以书面形式通知工</w:t>
      </w:r>
      <w:r>
        <w:rPr>
          <w:rFonts w:hint="eastAsia" w:ascii="宋体" w:hAnsi="宋体"/>
          <w:color w:val="auto"/>
          <w:spacing w:val="2"/>
          <w:sz w:val="21"/>
          <w:szCs w:val="21"/>
          <w:highlight w:val="none"/>
        </w:rPr>
        <w:t>程师，并提出相应的安全防护措施，经工程师认可后实施,由发包人承担安全</w:t>
      </w:r>
      <w:r>
        <w:rPr>
          <w:rFonts w:hint="eastAsia" w:ascii="宋体" w:hAnsi="宋体"/>
          <w:color w:val="auto"/>
          <w:sz w:val="21"/>
          <w:szCs w:val="21"/>
          <w:highlight w:val="none"/>
        </w:rPr>
        <w:t xml:space="preserve">防护措施费用。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22、事故处理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22.1发生重大伤亡及其他安全事故，承包人应按有关规定立即上报有关部门并通知工程师，同时按政府有关部门要求处理，由事故责任方承担发生的费用。</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22.2发包人承包人对事故责任有争议时，应按政府有关部门的认定处理。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六、合同价款与支付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23、合同价款及调整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23.1招标工程的合同价款由发包人承包人依据中标通知书中的中标价格在协议书内约定。非招标工程的合同价款由发包人承包人依据工程预算书在协议书内约定。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23.2合同价款在协议书内约定后，任何一方不得擅自改变。下列三种确定合同价款的方式，双方可在专用条款内约定采用其中一种：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 固定价格合同。双方在专用条款内约定合同价款包含的风险范围和风险费用的计算方法，在约定的风险范围内合同价款不再调整。风险范围以外的合同价款调整方法，应当在专用条款内约定。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 可调价格合同。合同价款可根据双方的约定而调整，双方在专用条款内约定合同价款调整方法。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 成本加酬金合同。合同价款包括成本和酬金两部分，双方在专用条款内约定成本构成和酬金的计算方法。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23.3可调价格合同中合同价款的调整因素包括：</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 法律、行政法规和国家有关政策变化影响合同价款；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 工程造价管理部门公布的价格调整；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 一周内非承包人原因停水、停电、停气造成的停工累计超过8小时；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 双方约定的其他因素。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23.4承包人应当在23.3款情况发生后14天内，将调整原因、金额以书面形式通知工程师，工程师确认调整金额后作为追加合同价款，与工程款同期支付。工程师收到承包人通知后14天内不予确认也不提出修改意见，视为已经同意该项调整。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24、工程预付款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实行工程预付款的，双方应当在专用条款内约定发包人向承包人预付工程款的时间和数额，开工后按约定的时间和比例逐次扣回。预付时间应不迟于约定的开工日期前7天。发包人不按约定预付，承包人在约定预付时间7天后向发包人发出要求预付的通知，发包人收到通知后仍不能按要求预付，承包人可在发出通告后7天停止施工，发包人应从约定应付之日起向承包人支付应付款的贷款利息，并承担违约责任。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25、工程量的确认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25.1 承包人应按专用条款约定的时间，向工程师提交已完工程量的报告。工程师接到报告后7天内按设计图纸核实已完工程量（以下称计量），并在计量前24小时通知承包人，承包人应为计量提供便利条件并派人参加。承包人收到通知后不参加计量，计量结果有效，作为工程价款支付的依据。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25.2 工程师收到承包人报告后7天内未进行计量，从第8天起，承包人报告中开列的工程量即视为被确认，作为工程价款支付的依据。工程师不按约定时间通知承包人，致使承包人未能参加计量，计量结果无效。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25.3对承包人超出设计图纸范围和因承包人原因造成返工的工程量，工程师不予计量。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26、工程款（进度款）支付。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26.1 在确认计量结果后14天内，发包人应向承包人支付工程款（进度款）。按约定时间发包人应扣回的预付款，与工程款（进度款）同期结算。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26.2 本通用条款第23条确定调整的合同价款，第31条工程变更调整的合同价款及其他条款中约定的追加合同价款，应与工程款（进度款）同期调整支付。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26.3 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从计量结果确认后第15天起计算应付款的贷款利息。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26.4 发包人不按合同约定支付工程款（进度款），双方又未达成延期付款协议，导致施工无法进行，承包人可停止施工，由发包人承担违约责任。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七、材料设备供应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27、发包人供应材料设备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27.1 实行发包人供应材料设备的，双方应当约定发包人供应材料设备的一览表，作为本合同附件（附件2）。一览表包括发包人供应材料设备的品种、规格、型号、数量、单价、质量等级、提供时间和地点。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27.2 发包人按一览表约定的内容提供材料设备，并向承包人提供产品合格证明，对其质量负责。发包人在所供材料设备到货前24小时，以书面形式通知承包人，由承包人派人与发包人共同清点。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27.3 发包人供应的材料设备，承包人派人参加清点后由承包人妥善保管，发包人支付相应保管费用。因承包人原因发生丢失损坏，由承包人负责赔偿。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发包人未通知承包人清点，承包人不负责材料设备的保管，丢失损坏由发包人负责。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27.4发包人供应的材料设备与一览表不符时，发包人承担有关责任。发包人应承担责任的具体内容，双方根据下列情况在专用条款内约定。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 材料设备单价与一览表不符，由发包人承担所有价差；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 材料设备的品种、规格、型号、质量等级与一览表不符，承包人可拒绝接收保管，由发包人运出施工场地并重新采购；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 发包人供应的材料规格、型号与一览表不符，经发包人同意，承包人可代为调剂串换，由发包人承担相应费用；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 到货地点与一览表不符，由发包人负责运至一览表指定地点：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(5) 供应数量少于一览表约定的数量时，由发包人补齐，多于一览表约定数量时，发包人负责将多出部分运出施工场地；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(6) 到货时间早于一览表约定时间，由发包人承担因此发生的保管费用；到货时间迟于一览表约定的供应时间，发包人赔偿由此造成的承包人损失，造成工期延误的，相应顺延工期。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27.5发包人供应的材料设备使用前，由承包人负责检验或试验，不合格的不得使用，检验或试验费用由发包人承担。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27.6发包人供应材料设备的结算方法，双方在专用条款内约定。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28、承包人采购材料设备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28.1 承包人负责采购材料设备的，应按照专用条款约定及设计和有关标准要求采购，并提供产品合格证明，对材料设备质量负责。承包人在材料设备到货前24小时通知工程师清点。</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28.2</w:t>
      </w:r>
      <w:r>
        <w:rPr>
          <w:rFonts w:hint="eastAsia" w:ascii="宋体" w:hAnsi="宋体"/>
          <w:color w:val="auto"/>
          <w:spacing w:val="8"/>
          <w:sz w:val="21"/>
          <w:szCs w:val="21"/>
          <w:highlight w:val="none"/>
        </w:rPr>
        <w:t xml:space="preserve"> 承包人采购的材料设备与设计或标准要求不符时，承包人应按工程师要</w:t>
      </w:r>
      <w:r>
        <w:rPr>
          <w:rFonts w:hint="eastAsia" w:ascii="宋体" w:hAnsi="宋体"/>
          <w:color w:val="auto"/>
          <w:sz w:val="21"/>
          <w:szCs w:val="21"/>
          <w:highlight w:val="none"/>
        </w:rPr>
        <w:t xml:space="preserve">求的时间运出施工场地，重新采购符合要求的产品，承担由此发生的费用，由此延误的工期不予顺延。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28.3 承包人采购的材料设备在使用前，承包人应按工程师的要求进行检验或试验，不合格的不得使用，检验或试验费用由承包人承担。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28.4 工程师发现承包人采购并使用不符合设计或标准要求的材料设备时，应要求由承包人负责修复、拆除或重新采购，并承担发生的费用，由此延误的工期不予顺延。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28.5 承包人需要使用代用材料时，应经工程师认可后才能使用，由此增减的合同价款双方以书面形式议定。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28.6 由承包人采购的材料设备，发包人不得指定生产厂或供应商。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八、工程变更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29、工程设计变更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29.1施工中发包人需对原工程设计进行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 更改工程有关部分的标高、基线、位置和尺寸；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 增减合同中约定的工程量；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 改变有关工程的施工时间和顺序；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 其他有关工程变更需要的附加工作。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因变更导致合同价款的增减及造成的承包人损失，由发包人承担，延误的工期相应顺延。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29.2施工中承包人不得对原工程设计进行变更。因承包人擅自变更设计发生的费用和由此导致发包人的直接损失，由承包人承担，延误的工期不予顺延。</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29.3承包人在施工中提出的合理化建议涉及到对设计图纸或施工组织设计的更改及对材料、设备的换用，须经工程师同意。未经同意擅自更改或换用时，承包人承担由此发生的费用，并赔偿发包人的有关损失，延误的工期不予顺延。</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工程师同意采用承包人合理化建议，所发生的费用和获得的收益，发包人承包人另行约定分担或分享。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30、其他变更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合同履行中发包人要求变更工程质量标准及发生其他实质性变更，由双方协商解决。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31、确定变更价款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31.1承包人在工程变更确定后14天内，提出变更工程价款的报告，经工程师确认后调整合同价款。变更合同价款按下列方法进行：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 合同中已有适用于变更工程的价格，按合同已有的价格变更合同价款；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 合同中只有类似于变更工程的价格，可以参照类似价格变更合同价款；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 合同中没有适用或类似于变更工程的价格，由承包人提出适当的变更价格，经工程师确认后执行。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31.2承包人在双方确定变更后14天内不向工程师提出变更工程价款报告时，视为该项变更不涉及合同价款的变更。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31.3工程师应在收到变更工程价款报告之日起14天内予以确认，工程师无正当理由不确认时，自变更工程价款报告送达之日起14天后视为变更工程价款报告已被确认。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31.4工程师不同意承包人提出的变更价款，按本通用条款第37条关于争议的约定处理。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31.5工程师确认增加的工程变更价款作为追加合同价款，与工程款同期支付。</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31.6因承包人自身原因导致的工程变更，承包人无权要求追加合同价款。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九、竣工验收与结算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32、竣工验收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32.1 工程具备竣工验收条件，承包人按国家工程竣工验收有关规定，向发包人提供完整竣工资料及竣工验收报告。双方约定由承包人提供竣工图的，应当在专用条款内约定提供的日期和份数。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32.2 发包人收到竣工验收报告后28天内组织有关单位验收，并在验收后14天内给予认可或提出修改意见。承包人按要求修改，并承担由自身原因造成修改的费用。</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32.3 发包人收到承包人送交的竣工验收报告后28天内不组织验收，或验收后14天内不提出修改意见，视为竣工验收报告已被认可。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32.4 工程竣工验收通过，承包人送交竣工验收报告的日期为实际竣工日期。工程按发包人要求修改后通过竣工验收的，实际竣工日期为承包人修改后提请发包人验收的日期。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32.5 发包人收到承包人竣工验收报告后28天内不组织验收，从第29天起承担工程保管及一切意外责任。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32.6 中间交工工程的范围和竣工时间，双方在专用条款内约定，其验收程序按本通用条款32.1款至32.4款办理。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32.7 因特殊原因，发包人要求部分单位工程或工程部位甩项竣工的，双方另行签订甩项竣工协议，明确双方责任和工程价款支付方法。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32.8 工程未经竣工验收或竣工验收未通过的，发包人不得使用。发包人强行使用时，由此发生的质量问题及其他问题，由发包人承担责任。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33、竣工结算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33.1 工程竣工验收报告经发包人认可后28天内，承包人向发包人递交竣工结算报告及完整的结算资料，双方按照协议书约定的合同价款及专用条款约定的合同价款调整内容，进行工程竣工结算。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33.2 发包人收到承包人递交的竣工结算报告及结算资料后28天内进行核实，给予确认或者提出修改意见。发包人确认竣工结算报告后通知经办银行向承包人支付工程竣工结算价款。承包人收到竣工结算价款后14天内将竣工工程交付发包人。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33.3 发包人收到竣工结算报告及结算资料后28天内无正当理由不支付工程竣工结算价款，从第29天起按承包人同期向银行贷款利率支付拖欠工程价款的利息，并承担违约责任。</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33.4 发包人收到竣工结算报告及结算资料后28天内不支付工程竣工结算价款，承包人可以催告发包人支付结算价款。发包人在收到竣工结算报告及结算资料后56天内仍不支付的，承包人可以与发包人协议将该工程折价，也可以由承包人申请人民法院将该工程依法拍卖，承包人就该工程折价或者拍卖的价款优先受偿。</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33.5 工程竣工验收报告经发包人认可后28天内，承包人未能向发包人递交竣工结算报告及完整的结算资料，造成工程竣工结算不能正常进行或工程竣工结算价款不能及时支付，发包人要求交付工程的，承包人应当交付；发包人不要求交付工程的，承包人承担保管责任。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33.6 发包人承包人对工程竣工结算价款发生争议时，按本通用条款37条关于争议的约定处理。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34、质量保修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34.1 承包人应按法律、行政法规或国家关于工程质量保修的有关规定，对交付发包人使用的工程在质量保修期内承担质量保修责任。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34.2 质量保修工作的实施。承包人应在工程竣工验收之前，与发包人签订质量保修书，作为本合同附件（附件3）。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34.3 质量保修书的主要内容包括：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 质量保修项目内容及范围；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 质量保修期；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 质量保修责任；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 质量保修金的支付方法。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十、违约、索赔和争议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35、违约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35.1发包人违约。当发生下列情况时：</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 本通用条款第24条提到的发包人不按时支付工程预付款；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 本通用条款第26.4款提到的发包人不按合同约定支付工程款，导致施工无法进行；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(3) 本通用条款第33.3款提到的发包人无正当理由不支付工程竣工结算价款；</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 发包人不履行合同义务或不按合同约定履行义务的其他情况。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发包人承担违约责任，赔偿因其违约给承包人造成的经济损失，顺延延误的工期。双方在专用条款内约定发包人赔偿承包人损失的计算方法或者发包人应当支付违约金的数额或计算方法。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35.2承包人违约。当发生下列情况时：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 本通用条款第14.2款提到的因承包人原因不能按照协议书约定的竣工日期或工程师同意顺延的工期竣工；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 本通用条款第15.1款提到的因承包人原因工程质量达不到协议书约定的质量标准；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 承包人不履行合同义务或不按合同约定履行义务的其他情况。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承包人承担违约责任，赔偿因其违约给发包人造成的损失。双方在专用条款内约定承包人赔偿发包人损失的计算方法或者承包人应当支付违约金的数额或计算方法。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35.3一方违约后，另一方要求违约方继续履行合同时，违约方承担上述违约责任后仍应继续履行合同。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36、索赔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36.1当一方向另一方提出索赔时，要有正当索赔理由，且有索赔事件发生时的有效证据。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36.2发包人未能按合同约定履行自己的各项义务或发生错误以及应由发包人承担责任的其他情况，造成工期延误和（或）承包人不能及时得到合同价款及承包人的其他经济损失，承包人可按下列程序以书面形式向发包人索赔：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 索赔事件发生后28天内，向工程师发出索赔意向通知；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 发出索赔意向通知后28天内，向工程师提出延长工期和（或）补偿经济损失的索赔报告及有关资料；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 工程师在收到承包人送交的索赔报告及有关资料后，于28天内给予答复，或要求承包人进一步补充索赔理由和证据；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 工程师在收到承包人送交的索赔报告和有关资料后28天内未予答复或未对承包人作进一步要求，视为该项索赔已经认可；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(5) 当该索赔事件持续进行时，承包人应当阶段性向工程师发出索赔意向，在索赔事件终了后28天内，向工程师送交索赔的有关资料和最终索赔报告。索赔答复程序与（3）、（4）规定相同。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36.3承包人未能按合同约定履行自己的各项义务或发生错误，给发包人造成经济损失，发包人可按36.2款确定的时限向承包人提出索赔。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37、争议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37.1发包人承包人在履行合同时发生争议，可以和解或者要求有关主管部门调解。当事人不愿和解、调解或者和解、调解不成的，双方可以在专用条款内约定以下一种方式解决争议：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第一种解决方式：双方达成仲裁协议，向约定的仲裁委员会申请仲裁；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第二种解决方式：向有管辖权的人民法院起诉。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37.2发生争议后，除非出现下列情况的，双方都应继续履行合同，保持施工连续，保护好已完工程：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 单方违约导致合同确已无法履行，双方协议停止施工；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 调解要求停止施工，且为双方接受；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 仲裁机构要求停止施工；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 法院要求停止施工。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十一、其他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38、工程分包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38.1 承包人按专用条款的约定分包所承包的部分工程，并与分包单位签订分包合同。非经发包人同意，承包人不得将承包工程的任何部分分包。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38.2 承包人不得将其承包的全部工程转包给他人，也不得将其承包的全部工程肢解以后以分包的名义分别转包给他人。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38.3 工程分包不能解除承包人任何责任与义务。承包人应在分包场地派驻相应管理人员，保证本合同的履行。分包单位的任何违约行为或疏忽导致工程损害或给发包人造成其他损失，承包人承担连带责任。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38.4分包工程价款由承包人与分包单位结算。发包人未经承包人同意不得以任何形式向分包单位支付各种工程款项。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39、不可抗力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39.1 不可抗力包括因战争、动乱、空中飞行物体坠落或其他非发包人承包人责任造成的爆炸、火灾，以及专用条款约定的风、雨、雪、洪、震等自然灾害。</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39.2 不可抗力事件发生后，承包人应立即通知工程师，并在力所能及的条件下迅速采取措施，尽力减少损失，发包人应协助承包人采取措施。工程师认为应当暂停施工的，承包人应暂停施工。不可抗力事件结束后48小时内承包人向工程师通报受害情况和损失情况，及预计清理和修复的费用。不可抗力事件持续发生，承包人应每隔7天向工程师报告一次受害情况。不可抗力事件结束后14天内，承包人向工程师提交清理和修复费用的正式报告及有关资料。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39.3 因不可抗力事件导致的费用及延误的工期由双方按以下方法分别承担：</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 工程本身的损害、因工程损害导致第三人人员伤亡和财产损失以及运至施工场地用于施工的材料和待安装的设备的损害，由发包人承担；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 发包人承包人人员伤亡由其所在单位负责，并承担相应费用；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(3) 承包人机械设备损坏及停工损失，由承包人承担；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 停工期间，承包人应工程师要求留在施工场地的必要的管理人员及保卫人员的费用由发包人承担；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(5) 工程所需清理、修复费用，由发包人承担；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(6) 延误的工期相应顺延。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39.4因合同一方迟延履行合同后发生不可抗力的，不能免除迟延履行方的相应责任。</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40、保险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40.1工程开工前，发包人为建设工程和施工场地内的自有人员及第三人人员生命财产办理保险，支付保险费用。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40.2运至施工场内用于工程的材料和待安装设备，由发包人办理保险，并支付保险费用。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40.3发包人可以将有关保险事项委托承包人办理，费用由发包人承担。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40.4承包人必须为从事危险作业的职工办理意外伤害保险，并为施工场地内自有人员生命财产和施工机械设备办理保险，支付保险费用。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40.5保险事故发生时，发包人承包人有责任尽力采取必要的措施，防止或者减少损失。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40.6具体投保内容和相关责任，发包人承包人在专用条款中约定。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41、担保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41.1发包人、承包人为了全面履行合同，应互相提供以下担保：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 发包人向承包人提供履约担保，按合同约定支付工程价款及履行合同约定的其他义务。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(2) 承包人向发包人提供履约担保，按合同约定履行自己的各项义务。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41.2 一方违约后，另一方可要求提供担保的第三人承担相应责任。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41.3 提供担保的内容、方式和相关责任，发包人承包人除在专用条款中约定外，被担保方与担保方还应签订担保合同，作为本合同附件。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42、专利技术及特殊工艺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42.1 发包人要求使用专利技术或特殊工艺，应负责办理相应的申报手续，承担申报、试验、使用等费用；承包人提出使用专利技术或特殊工艺，应取得工程师认可，承包人负责办理申报手续并承担有关费用。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42.2 擅自使用专利技术侵犯他人专利权的，责任者依法承担相应责任。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43、文物和地下障碍物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43.1 在施工中发现古墓、古建筑遗址等文物及化石或其他有考古、地质研究等价值的物品时，承包人应立即保护好现场并于4小时内以书面形式通知工程师，工程师应于收到书面通知后24小时内报告当地文物管理部门，发包人承包人按文物管理部门的要求采取妥善保护措施。发包人承担由此发生的费用，顺延延误的工期。</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如发现后隐瞒不报，致使文物遭受破坏，责任者依法承担相应责任。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43.2 施工中发现影响施工的地下障碍物时，承包人应于8小时内以书面形式通知工程师，同时提出</w:t>
      </w:r>
      <w:r>
        <w:rPr>
          <w:rFonts w:ascii="宋体" w:hAnsi="宋体"/>
          <w:color w:val="auto"/>
          <w:sz w:val="21"/>
          <w:szCs w:val="21"/>
          <w:highlight w:val="none"/>
        </w:rPr>
        <w:t>处置</w:t>
      </w:r>
      <w:r>
        <w:rPr>
          <w:rFonts w:hint="eastAsia" w:ascii="宋体" w:hAnsi="宋体"/>
          <w:color w:val="auto"/>
          <w:sz w:val="21"/>
          <w:szCs w:val="21"/>
          <w:highlight w:val="none"/>
        </w:rPr>
        <w:t>方案，工程师收到</w:t>
      </w:r>
      <w:r>
        <w:rPr>
          <w:rFonts w:ascii="宋体" w:hAnsi="宋体"/>
          <w:color w:val="auto"/>
          <w:sz w:val="21"/>
          <w:szCs w:val="21"/>
          <w:highlight w:val="none"/>
        </w:rPr>
        <w:t>处置</w:t>
      </w:r>
      <w:r>
        <w:rPr>
          <w:rFonts w:hint="eastAsia" w:ascii="宋体" w:hAnsi="宋体"/>
          <w:color w:val="auto"/>
          <w:sz w:val="21"/>
          <w:szCs w:val="21"/>
          <w:highlight w:val="none"/>
        </w:rPr>
        <w:t>方案后24小时内予以认可或提出修正方案。发包人承担由此发生的费用，顺延延误的工期。</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所发现的地下障碍物有归属单位时，发包人应报请有关部门协同处置。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44、合同解除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44.1 发包人承包人协商一致，可以解除合同。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44.2 发生本通用条款第26.4款情况，停止施工超过56天，发包人仍不支付工程款（进度款），承包人有权解除合同。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44.3 发生本通用条款第38.2款禁止的情况，承包人将其承包的全部工程转包给他人或者肢解以后以分包的名义分别转包给他人，发包人有权解除合同。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44.4 有下列情形之一的，发包人承包人可以解除合同：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(1) 因不可抗力致使合同无法履行；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(2) 因一方违约（包括因发包人原因造成工程停建或缓建）致使合同无法履行。</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44.5一方依据44.2、44.3、44.4款约定要求解除合同的，应以书面形式向对方发出解除合同的通知，并在发出通知前7天告知对方，通知到达对方时合同解除。对解除合同有争议的，按本通用条款第37条关于争议的约定处理。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44.6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44.7合同解除后，不影响双方在合同中约定的结算和清理条款的效力。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45、合同生效与终止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45.1双方在协议书中约定合同生效方式。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45.2除本通用条款第34条外，发包人承包人履行合同全部义务，竣工结算价款支付完毕，承包人向发包人交付竣工工程后，本合同即告终止。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45.3合同的权利义务终止后，发包人承包人应当遵循诚实信用原则，履行通知、协助、保密等义务。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46、合同份数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46.1本合同正本两份，具有同等效力，由发包人承包人分别保存一份。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46.2本合同副本份数，由双方根据需要在专用条款内约定。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 xml:space="preserve">47、补充条款 </w:t>
      </w:r>
    </w:p>
    <w:p>
      <w:pPr>
        <w:spacing w:line="400" w:lineRule="exact"/>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双方根据有关法律、行政法规规定，结合工程实际，经协商一致后，可对本通用条款内容具体化，补充或修改，在专用条款内约定。</w:t>
      </w:r>
    </w:p>
    <w:p>
      <w:pPr>
        <w:spacing w:line="500" w:lineRule="exact"/>
        <w:jc w:val="center"/>
        <w:rPr>
          <w:rFonts w:hint="eastAsia" w:ascii="宋体" w:hAnsi="宋体"/>
          <w:b/>
          <w:color w:val="auto"/>
          <w:sz w:val="28"/>
          <w:szCs w:val="28"/>
          <w:highlight w:val="none"/>
        </w:rPr>
      </w:pPr>
      <w:r>
        <w:rPr>
          <w:rFonts w:hint="eastAsia" w:ascii="宋体" w:hAnsi="宋体"/>
          <w:color w:val="auto"/>
          <w:sz w:val="21"/>
          <w:highlight w:val="none"/>
        </w:rPr>
        <w:br w:type="page"/>
      </w:r>
      <w:r>
        <w:rPr>
          <w:rFonts w:hint="eastAsia" w:ascii="宋体" w:hAnsi="宋体"/>
          <w:b/>
          <w:color w:val="auto"/>
          <w:sz w:val="28"/>
          <w:szCs w:val="28"/>
          <w:highlight w:val="none"/>
        </w:rPr>
        <w:t>第三部分  专用条款</w:t>
      </w:r>
    </w:p>
    <w:p>
      <w:pPr>
        <w:snapToGrid w:val="0"/>
        <w:spacing w:line="500" w:lineRule="exact"/>
        <w:ind w:firstLine="397"/>
        <w:rPr>
          <w:rFonts w:ascii="宋体" w:hAnsi="宋体"/>
          <w:b/>
          <w:color w:val="auto"/>
          <w:sz w:val="24"/>
          <w:highlight w:val="none"/>
        </w:rPr>
      </w:pP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一、词语定义及合同文件</w:t>
      </w:r>
    </w:p>
    <w:p>
      <w:pPr>
        <w:snapToGrid w:val="0"/>
        <w:spacing w:line="440" w:lineRule="exact"/>
        <w:ind w:firstLine="482" w:firstLineChars="200"/>
        <w:rPr>
          <w:rFonts w:hint="eastAsia" w:ascii="宋体" w:hAnsi="宋体" w:cs="宋体"/>
          <w:color w:val="auto"/>
          <w:sz w:val="24"/>
          <w:highlight w:val="none"/>
        </w:rPr>
      </w:pPr>
      <w:r>
        <w:rPr>
          <w:rFonts w:hint="eastAsia" w:ascii="宋体" w:hAnsi="宋体" w:cs="宋体"/>
          <w:b/>
          <w:bCs/>
          <w:color w:val="auto"/>
          <w:sz w:val="24"/>
          <w:highlight w:val="none"/>
        </w:rPr>
        <w:t>1.词语定义</w:t>
      </w:r>
      <w:r>
        <w:rPr>
          <w:rFonts w:hint="eastAsia" w:ascii="宋体" w:hAnsi="宋体" w:cs="宋体"/>
          <w:color w:val="auto"/>
          <w:sz w:val="24"/>
          <w:highlight w:val="none"/>
        </w:rPr>
        <w:t xml:space="preserve"> </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1.6 设计单位</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本合同工程的设计单位是：</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1.7 监理单位</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本合同工程的监理单位是：</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1.24招标控制价：指经招标人确定的最高投标限价，并在广州公共资源交易中心开发区、黄埔区交易部公示。</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1.25中标下浮率：中标下浮率=（1-中标价格÷招标控制价）×100%,式中的中标价格及招标控制价均不含不可竞争的绿色施工安全防护措施费及暂列金额。</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1.26工人工资比例=中标的人工费金额÷中标价格，本项目工人工资比例为：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44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2、合同文件及解释顺序</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2.1合同文件组成及解释顺序：</w:t>
      </w:r>
      <w:r>
        <w:rPr>
          <w:rFonts w:hint="eastAsia" w:ascii="宋体" w:hAnsi="宋体" w:cs="宋体"/>
          <w:color w:val="auto"/>
          <w:sz w:val="24"/>
          <w:highlight w:val="none"/>
          <w:u w:val="single"/>
        </w:rPr>
        <w:t>1、本合同履行期间发包人与承包人双方签订的补充合同（协议）或修正文件；2、本合同协议书；3、国家、广东省、广州市、广州开发区黄埔区关于本工程施工的有关文件（发包人在收到后尽快通报给承包人）；4、建设业主针对本工程建设管理的各项制度、规定；5、中标通知书；6、本合同专用条款；7、招标文件及附件（包括补充、修改、澄清文件及答疑纪要等）； 8、本合同通用条款；9、投标文件及附件；10、标准、规范和其他有关技术文件；11、图纸；12、工程量清单；13、合同附件（工程质量保修责任书、标函承诺书、项目负责人驻场承诺书、工程建设廉政协议书等）。</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3、语言文字和适用法律、标准及规范</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3.1 本合同除使用汉语外，还使用</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语言文字。</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3.2 适用法律和法规</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需要明示的法律、行政法规：</w:t>
      </w:r>
      <w:r>
        <w:rPr>
          <w:rFonts w:hint="eastAsia" w:ascii="宋体" w:hAnsi="宋体" w:cs="宋体"/>
          <w:color w:val="auto"/>
          <w:sz w:val="24"/>
          <w:highlight w:val="none"/>
          <w:u w:val="single"/>
        </w:rPr>
        <w:t>按照现行的法律、法规</w:t>
      </w:r>
      <w:r>
        <w:rPr>
          <w:rFonts w:hint="eastAsia" w:ascii="宋体" w:hAnsi="宋体" w:cs="宋体"/>
          <w:color w:val="auto"/>
          <w:sz w:val="24"/>
          <w:highlight w:val="none"/>
        </w:rPr>
        <w:t>。</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3.3 适用标准、规范</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适用标准、规范的名称：</w:t>
      </w:r>
      <w:r>
        <w:rPr>
          <w:rFonts w:hint="eastAsia" w:ascii="宋体" w:hAnsi="宋体" w:cs="宋体"/>
          <w:color w:val="auto"/>
          <w:sz w:val="24"/>
          <w:highlight w:val="none"/>
          <w:u w:val="single"/>
        </w:rPr>
        <w:t>相应工种现行施工规范。</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发包人提供标准、规范的时间：</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国内没有相应标准、规范时的约定：</w:t>
      </w:r>
      <w:r>
        <w:rPr>
          <w:rFonts w:hint="eastAsia" w:ascii="宋体" w:hAnsi="宋体" w:cs="宋体"/>
          <w:color w:val="auto"/>
          <w:sz w:val="24"/>
          <w:highlight w:val="none"/>
          <w:u w:val="single"/>
        </w:rPr>
        <w:t xml:space="preserve">按施工图纸，招标文件和广州开发区相关规定及答疑纪要的要求执行。    </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4、图纸</w:t>
      </w:r>
    </w:p>
    <w:p>
      <w:pPr>
        <w:snapToGrid w:val="0"/>
        <w:spacing w:line="440" w:lineRule="exact"/>
        <w:ind w:firstLine="360" w:firstLineChars="150"/>
        <w:rPr>
          <w:rFonts w:hint="eastAsia" w:ascii="宋体" w:hAnsi="宋体" w:cs="宋体"/>
          <w:color w:val="auto"/>
          <w:sz w:val="24"/>
          <w:highlight w:val="none"/>
          <w:u w:val="single"/>
        </w:rPr>
      </w:pPr>
      <w:r>
        <w:rPr>
          <w:rFonts w:hint="eastAsia" w:ascii="宋体" w:hAnsi="宋体" w:cs="宋体"/>
          <w:color w:val="auto"/>
          <w:sz w:val="24"/>
          <w:highlight w:val="none"/>
        </w:rPr>
        <w:t>4.1 发包人向承包人提供图纸日期和套数：</w:t>
      </w:r>
      <w:r>
        <w:rPr>
          <w:rFonts w:hint="eastAsia" w:ascii="宋体" w:hAnsi="宋体" w:cs="宋体"/>
          <w:color w:val="auto"/>
          <w:sz w:val="24"/>
          <w:highlight w:val="none"/>
          <w:u w:val="single"/>
        </w:rPr>
        <w:t>开工前提供肆套图纸。</w:t>
      </w:r>
    </w:p>
    <w:p>
      <w:pPr>
        <w:snapToGrid w:val="0"/>
        <w:spacing w:line="440" w:lineRule="exact"/>
        <w:ind w:left="997" w:leftChars="132" w:hanging="720" w:hangingChars="300"/>
        <w:rPr>
          <w:rFonts w:hint="eastAsia" w:ascii="宋体" w:hAnsi="宋体" w:cs="宋体"/>
          <w:color w:val="auto"/>
          <w:sz w:val="24"/>
          <w:highlight w:val="none"/>
          <w:u w:val="single"/>
        </w:rPr>
      </w:pPr>
      <w:r>
        <w:rPr>
          <w:rFonts w:hint="eastAsia" w:ascii="宋体" w:hAnsi="宋体" w:cs="宋体"/>
          <w:color w:val="auto"/>
          <w:sz w:val="24"/>
          <w:highlight w:val="none"/>
        </w:rPr>
        <w:t>发包人对图纸的保密要求：</w:t>
      </w:r>
      <w:r>
        <w:rPr>
          <w:rFonts w:hint="eastAsia" w:ascii="宋体" w:hAnsi="宋体" w:cs="宋体"/>
          <w:color w:val="auto"/>
          <w:sz w:val="24"/>
          <w:highlight w:val="none"/>
          <w:u w:val="single"/>
        </w:rPr>
        <w:t>按本合同通用条款</w:t>
      </w:r>
      <w:r>
        <w:rPr>
          <w:rFonts w:hint="eastAsia" w:ascii="宋体" w:hAnsi="宋体" w:cs="宋体"/>
          <w:color w:val="auto"/>
          <w:sz w:val="24"/>
          <w:highlight w:val="none"/>
        </w:rPr>
        <w:t>。</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使用国外图纸的要求及费用承担：</w:t>
      </w:r>
      <w:r>
        <w:rPr>
          <w:rFonts w:hint="eastAsia" w:ascii="宋体" w:hAnsi="宋体" w:cs="宋体"/>
          <w:color w:val="auto"/>
          <w:sz w:val="24"/>
          <w:highlight w:val="none"/>
          <w:u w:val="single"/>
        </w:rPr>
        <w:t xml:space="preserve">    /    </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二、双方一般权利和义务</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5、工程师</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5.2 监理单位委派的工程师</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姓名：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职务：</w:t>
      </w:r>
      <w:r>
        <w:rPr>
          <w:rFonts w:hint="eastAsia" w:ascii="宋体" w:hAnsi="宋体" w:cs="宋体"/>
          <w:color w:val="auto"/>
          <w:sz w:val="24"/>
          <w:highlight w:val="none"/>
          <w:u w:val="single"/>
        </w:rPr>
        <w:t xml:space="preserve"> 总监理工程师</w:t>
      </w:r>
      <w:r>
        <w:rPr>
          <w:rFonts w:hint="eastAsia" w:ascii="宋体" w:hAnsi="宋体" w:cs="宋体"/>
          <w:color w:val="auto"/>
          <w:sz w:val="24"/>
          <w:highlight w:val="none"/>
        </w:rPr>
        <w:t>。</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发包人委托的职权：</w:t>
      </w:r>
      <w:r>
        <w:rPr>
          <w:rFonts w:hint="eastAsia" w:ascii="宋体" w:hAnsi="宋体" w:cs="宋体"/>
          <w:color w:val="auto"/>
          <w:sz w:val="24"/>
          <w:highlight w:val="none"/>
          <w:u w:val="single"/>
        </w:rPr>
        <w:t xml:space="preserve"> 对本工程进行全过程的监理</w:t>
      </w:r>
      <w:r>
        <w:rPr>
          <w:rFonts w:hint="eastAsia" w:ascii="宋体" w:hAnsi="宋体" w:cs="宋体"/>
          <w:color w:val="auto"/>
          <w:sz w:val="24"/>
          <w:highlight w:val="none"/>
        </w:rPr>
        <w:t>。</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需要取得发包人批准才能行使的职权：</w:t>
      </w:r>
      <w:r>
        <w:rPr>
          <w:rFonts w:hint="eastAsia" w:ascii="宋体" w:hAnsi="宋体" w:cs="宋体"/>
          <w:color w:val="auto"/>
          <w:sz w:val="24"/>
          <w:highlight w:val="none"/>
          <w:u w:val="single"/>
        </w:rPr>
        <w:t>按发包人与监理单位签订的监理合同有关规定执行，涉及变更签证或费用调整、发布开工、停工、复工令等均需经发包人书面认可</w:t>
      </w:r>
      <w:r>
        <w:rPr>
          <w:rFonts w:hint="eastAsia" w:ascii="宋体" w:hAnsi="宋体" w:cs="宋体"/>
          <w:color w:val="auto"/>
          <w:sz w:val="24"/>
          <w:highlight w:val="none"/>
        </w:rPr>
        <w:t>。</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义务：</w:t>
      </w:r>
      <w:r>
        <w:rPr>
          <w:rFonts w:hint="eastAsia" w:ascii="宋体" w:hAnsi="宋体" w:cs="宋体"/>
          <w:color w:val="auto"/>
          <w:sz w:val="24"/>
          <w:highlight w:val="none"/>
          <w:u w:val="single"/>
        </w:rPr>
        <w:t>常驻现场，代表监理单位履行与发包人签订的监理合同</w:t>
      </w:r>
      <w:r>
        <w:rPr>
          <w:rFonts w:hint="eastAsia" w:ascii="宋体" w:hAnsi="宋体" w:cs="宋体"/>
          <w:color w:val="auto"/>
          <w:sz w:val="24"/>
          <w:highlight w:val="none"/>
        </w:rPr>
        <w:t>。</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5.3 发包人派驻的工程师</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姓名：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职务：</w:t>
      </w:r>
      <w:r>
        <w:rPr>
          <w:rFonts w:hint="eastAsia" w:ascii="宋体" w:hAnsi="宋体" w:cs="宋体"/>
          <w:color w:val="auto"/>
          <w:sz w:val="24"/>
          <w:highlight w:val="none"/>
          <w:u w:val="single"/>
        </w:rPr>
        <w:t>工 程 师</w:t>
      </w:r>
      <w:r>
        <w:rPr>
          <w:rFonts w:hint="eastAsia" w:ascii="宋体" w:hAnsi="宋体" w:cs="宋体"/>
          <w:color w:val="auto"/>
          <w:sz w:val="24"/>
          <w:highlight w:val="none"/>
        </w:rPr>
        <w:t>。</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职权：</w:t>
      </w:r>
      <w:r>
        <w:rPr>
          <w:rFonts w:hint="eastAsia" w:ascii="宋体" w:hAnsi="宋体" w:cs="宋体"/>
          <w:color w:val="auto"/>
          <w:sz w:val="24"/>
          <w:highlight w:val="none"/>
          <w:u w:val="single"/>
        </w:rPr>
        <w:t>发包人代表，行使发包人的权利。</w:t>
      </w:r>
    </w:p>
    <w:p>
      <w:pPr>
        <w:snapToGrid w:val="0"/>
        <w:spacing w:line="440" w:lineRule="exact"/>
        <w:ind w:firstLine="397"/>
        <w:rPr>
          <w:rFonts w:hint="eastAsia" w:ascii="宋体" w:hAnsi="宋体" w:cs="宋体"/>
          <w:color w:val="auto"/>
          <w:spacing w:val="-8"/>
          <w:sz w:val="24"/>
          <w:highlight w:val="none"/>
          <w:u w:val="single"/>
        </w:rPr>
      </w:pPr>
      <w:r>
        <w:rPr>
          <w:rFonts w:hint="eastAsia" w:ascii="宋体" w:hAnsi="宋体" w:cs="宋体"/>
          <w:color w:val="auto"/>
          <w:spacing w:val="-8"/>
          <w:sz w:val="24"/>
          <w:highlight w:val="none"/>
        </w:rPr>
        <w:t>义务：</w:t>
      </w:r>
      <w:r>
        <w:rPr>
          <w:rFonts w:hint="eastAsia" w:ascii="宋体" w:hAnsi="宋体" w:cs="宋体"/>
          <w:color w:val="auto"/>
          <w:spacing w:val="-8"/>
          <w:sz w:val="24"/>
          <w:highlight w:val="none"/>
          <w:u w:val="single"/>
        </w:rPr>
        <w:t>常驻现场，代表发包人负责工程质量、进度、技术、投资控制等施工期间的日常管理工作，履行与承包人签订的本建设工程施工合同</w:t>
      </w:r>
      <w:r>
        <w:rPr>
          <w:rFonts w:hint="eastAsia" w:ascii="宋体" w:hAnsi="宋体" w:cs="宋体"/>
          <w:color w:val="auto"/>
          <w:spacing w:val="-8"/>
          <w:sz w:val="24"/>
          <w:highlight w:val="none"/>
        </w:rPr>
        <w:t>。</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5.6 不实行监理的，工程师的职权：</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7、项目负责人</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7.1（1）项目负责人</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姓名：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职权：</w:t>
      </w:r>
      <w:r>
        <w:rPr>
          <w:rFonts w:hint="eastAsia" w:ascii="宋体" w:hAnsi="宋体" w:cs="宋体"/>
          <w:color w:val="auto"/>
          <w:sz w:val="24"/>
          <w:highlight w:val="none"/>
          <w:u w:val="single"/>
        </w:rPr>
        <w:t xml:space="preserve">代表承包人全权处理本工程的一切事务 </w:t>
      </w:r>
      <w:r>
        <w:rPr>
          <w:rFonts w:hint="eastAsia" w:ascii="宋体" w:hAnsi="宋体" w:cs="宋体"/>
          <w:color w:val="auto"/>
          <w:sz w:val="24"/>
          <w:highlight w:val="none"/>
        </w:rPr>
        <w:t>。</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义务：</w:t>
      </w:r>
      <w:r>
        <w:rPr>
          <w:rFonts w:hint="eastAsia" w:ascii="宋体" w:hAnsi="宋体" w:cs="宋体"/>
          <w:color w:val="auto"/>
          <w:sz w:val="24"/>
          <w:highlight w:val="none"/>
          <w:u w:val="single"/>
        </w:rPr>
        <w:t>按照在投标文件中签署的（或在签订本合同前补充签署的）《项目负责人驻场承诺书》中的承诺常驻现场，代表承包人履行与发包人签订的本建设工程施工合同</w:t>
      </w:r>
      <w:r>
        <w:rPr>
          <w:rFonts w:hint="eastAsia" w:ascii="宋体" w:hAnsi="宋体" w:cs="宋体"/>
          <w:color w:val="auto"/>
          <w:sz w:val="24"/>
          <w:highlight w:val="none"/>
        </w:rPr>
        <w:t>。</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7.4</w:t>
      </w:r>
      <w:r>
        <w:rPr>
          <w:rFonts w:hint="eastAsia" w:ascii="宋体" w:hAnsi="宋体" w:cs="宋体"/>
          <w:color w:val="auto"/>
          <w:sz w:val="24"/>
          <w:highlight w:val="none"/>
          <w:u w:val="single"/>
        </w:rPr>
        <w:t>承包人如需更换项目负责人或技术负责人，按有关规定执行，后任继续行使合同文件约定的前任的职权，履行前任的义务。未征得发包人书面同意，承包人不得更换项目负责人</w:t>
      </w:r>
      <w:r>
        <w:rPr>
          <w:rFonts w:hint="eastAsia" w:ascii="宋体" w:hAnsi="宋体" w:cs="宋体"/>
          <w:color w:val="auto"/>
          <w:sz w:val="24"/>
          <w:highlight w:val="none"/>
        </w:rPr>
        <w:t>。</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7.5</w:t>
      </w:r>
      <w:r>
        <w:rPr>
          <w:rFonts w:hint="eastAsia" w:ascii="宋体" w:hAnsi="宋体" w:cs="宋体"/>
          <w:color w:val="auto"/>
          <w:sz w:val="24"/>
          <w:highlight w:val="none"/>
          <w:u w:val="single"/>
        </w:rPr>
        <w:t>发包人可以与承包人协商，建议更换其认为不称职的项目负责人，承包人应及时采纳发包人的建议予以更换，新更换的项目负责人应满足招标文件及本项目相应的资质要求并能胜任本项目的项目负责人工作</w:t>
      </w:r>
      <w:r>
        <w:rPr>
          <w:rFonts w:hint="eastAsia" w:ascii="宋体" w:hAnsi="宋体" w:cs="宋体"/>
          <w:color w:val="auto"/>
          <w:sz w:val="24"/>
          <w:highlight w:val="none"/>
        </w:rPr>
        <w:t>。</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7.6</w:t>
      </w:r>
      <w:r>
        <w:rPr>
          <w:rFonts w:hint="eastAsia" w:ascii="宋体" w:hAnsi="宋体" w:cs="宋体"/>
          <w:color w:val="auto"/>
          <w:sz w:val="24"/>
          <w:highlight w:val="none"/>
          <w:u w:val="single"/>
        </w:rPr>
        <w:t>承包人项目负责人不得兼任其他工程项目负责人，否则发包人可按单方面终止合同处理。</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7.7</w:t>
      </w:r>
      <w:r>
        <w:rPr>
          <w:rFonts w:hint="eastAsia" w:ascii="宋体" w:hAnsi="宋体" w:cs="宋体"/>
          <w:color w:val="auto"/>
          <w:sz w:val="24"/>
          <w:highlight w:val="none"/>
          <w:u w:val="single"/>
        </w:rPr>
        <w:t>现场管理机构</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u w:val="single"/>
        </w:rPr>
        <w:t>（1）承包人必须按照投标文件的承诺建立现场管理机构，严格执行现行建设工程项目管理规范，并积极主动接受建设行政主管部门的监督和检查。</w:t>
      </w:r>
    </w:p>
    <w:p>
      <w:pPr>
        <w:snapToGrid w:val="0"/>
        <w:spacing w:line="440" w:lineRule="exact"/>
        <w:ind w:firstLine="538"/>
        <w:rPr>
          <w:rFonts w:hint="eastAsia" w:ascii="宋体" w:hAnsi="宋体" w:cs="宋体"/>
          <w:color w:val="auto"/>
          <w:sz w:val="24"/>
          <w:highlight w:val="none"/>
          <w:u w:val="single"/>
        </w:rPr>
      </w:pPr>
      <w:r>
        <w:rPr>
          <w:rFonts w:hint="eastAsia" w:ascii="宋体" w:hAnsi="宋体" w:cs="宋体"/>
          <w:color w:val="auto"/>
          <w:sz w:val="24"/>
          <w:highlight w:val="none"/>
          <w:u w:val="single"/>
        </w:rPr>
        <w:t>（2）现场管理机构各部主要组织管理人员在开工前必须全部到位，并接受总监理工程师和发包人代表的查验。承包人委派的现场管理机构各部主要组织管理人员不得有兼职情况存在，并需接受监理单位的监督。</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7.8</w:t>
      </w:r>
      <w:r>
        <w:rPr>
          <w:rFonts w:hint="eastAsia" w:ascii="宋体" w:hAnsi="宋体" w:cs="宋体"/>
          <w:color w:val="auto"/>
          <w:sz w:val="24"/>
          <w:highlight w:val="none"/>
          <w:u w:val="single"/>
        </w:rPr>
        <w:t>现场管理机构各部主要组织管理人员应与投标文件保持一致，发包人不要求更换时不得更换。因特殊情况需要更换的，承包人应以书面形式向监理单位提出意向（附前任和后任人员的详细履历资料），经总监理工程师签署意见后向发包人提出申请，征得发包人同意后方可更换。承包人必须保证后任人员的资质、资历、业绩、实际工作能力不低于前任人员的素质。</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7.9</w:t>
      </w:r>
      <w:r>
        <w:rPr>
          <w:rFonts w:hint="eastAsia" w:ascii="宋体" w:hAnsi="宋体" w:cs="宋体"/>
          <w:color w:val="auto"/>
          <w:sz w:val="24"/>
          <w:highlight w:val="none"/>
          <w:u w:val="single"/>
        </w:rPr>
        <w:t>合同签订后，项目负责人、项目班子主要成员不到位，则工程师不签发开工令，工期不顺延。施工中班子主要成员离开工地应向工程师请假，经批准后才能离开，擅自离开工地，工程师将发出停工令，待人员回到岗位后才批准复工，由此产生的工期和经济损失由承包人自负，造成发包人和建设管理方损失的，发包人和建设管理方保留索赔的权利。</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7.10</w:t>
      </w:r>
      <w:r>
        <w:rPr>
          <w:rFonts w:hint="eastAsia" w:ascii="宋体" w:hAnsi="宋体" w:cs="宋体"/>
          <w:color w:val="auto"/>
          <w:sz w:val="24"/>
          <w:highlight w:val="none"/>
          <w:u w:val="single"/>
        </w:rPr>
        <w:t>尽管承包人已按投标文件附表中所列的数量派遣了各类管理人员，但若监理工程师经论证认为这些人员仍不足以适应现场施工的需要且不能保证工程质量时，监理工程师有权要求承包人继续增派或雇佣这类人员，并书面通知承包人和抄送发包人。承包人在接到上述通知后应立即执行监理工程师的上述指示，不得无故拖延。</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8、发包人工作</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8.1 发包人应按约定的时间和要求完成以下工作：</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（1）施工场地具备施工条件的要求及完成的时间：</w:t>
      </w:r>
      <w:r>
        <w:rPr>
          <w:rFonts w:hint="eastAsia" w:ascii="宋体" w:hAnsi="宋体" w:cs="宋体"/>
          <w:color w:val="auto"/>
          <w:sz w:val="24"/>
          <w:highlight w:val="none"/>
          <w:u w:val="single"/>
        </w:rPr>
        <w:t>土地征收、国有土地上房屋征收、集体土地上房屋拆迁补偿工作完成时间原则上在开工前；因征收和拆迁补偿进度原因不能按时移交场地的，可采取分段逐步方式移交施工场地</w:t>
      </w:r>
      <w:r>
        <w:rPr>
          <w:rFonts w:hint="eastAsia" w:ascii="宋体" w:hAnsi="宋体" w:cs="宋体"/>
          <w:color w:val="auto"/>
          <w:sz w:val="24"/>
          <w:highlight w:val="none"/>
        </w:rPr>
        <w:t xml:space="preserve">。 </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（2）将施工所需的水、电、电讯线路接至施工场地的时间、地点和供应要求：</w:t>
      </w:r>
      <w:r>
        <w:rPr>
          <w:rFonts w:hint="eastAsia" w:ascii="宋体" w:hAnsi="宋体" w:cs="宋体"/>
          <w:color w:val="auto"/>
          <w:sz w:val="24"/>
          <w:highlight w:val="none"/>
          <w:u w:val="single"/>
        </w:rPr>
        <w:t>由承包人自行解决，费用已包在本工程中标总造价中</w:t>
      </w:r>
      <w:r>
        <w:rPr>
          <w:rFonts w:hint="eastAsia" w:ascii="宋体" w:hAnsi="宋体" w:cs="宋体"/>
          <w:color w:val="auto"/>
          <w:sz w:val="24"/>
          <w:highlight w:val="none"/>
        </w:rPr>
        <w:t>。</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（3）施工场地与公共道路的通道开通时间和要求：</w:t>
      </w:r>
      <w:r>
        <w:rPr>
          <w:rFonts w:hint="eastAsia" w:ascii="宋体" w:hAnsi="宋体" w:cs="宋体"/>
          <w:color w:val="auto"/>
          <w:sz w:val="24"/>
          <w:highlight w:val="none"/>
          <w:u w:val="single"/>
        </w:rPr>
        <w:t>通道按现状，不论满足施工要求与否，该通道及施工便道均由承包人自行解决，费用已包在本工程中标总造价中。</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（4）工程地质和地下管线资料的提供时间：</w:t>
      </w:r>
      <w:r>
        <w:rPr>
          <w:rFonts w:hint="eastAsia" w:ascii="宋体" w:hAnsi="宋体" w:cs="宋体"/>
          <w:color w:val="auto"/>
          <w:sz w:val="24"/>
          <w:highlight w:val="none"/>
          <w:u w:val="single"/>
        </w:rPr>
        <w:t>根据施工计划提前提供</w:t>
      </w:r>
      <w:r>
        <w:rPr>
          <w:rFonts w:hint="eastAsia" w:ascii="宋体" w:hAnsi="宋体" w:cs="宋体"/>
          <w:color w:val="auto"/>
          <w:sz w:val="24"/>
          <w:highlight w:val="none"/>
        </w:rPr>
        <w:t>。</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（5）由发包人办理的施工所需证件、批件的名称和完成时间：</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 xml:space="preserve">（6）水准点与坐标控制点交验要求： </w:t>
      </w:r>
      <w:r>
        <w:rPr>
          <w:rFonts w:hint="eastAsia" w:ascii="宋体" w:hAnsi="宋体" w:cs="宋体"/>
          <w:color w:val="auto"/>
          <w:sz w:val="24"/>
          <w:highlight w:val="none"/>
          <w:u w:val="single"/>
        </w:rPr>
        <w:t>开工前交验</w:t>
      </w:r>
      <w:r>
        <w:rPr>
          <w:rFonts w:hint="eastAsia" w:ascii="宋体" w:hAnsi="宋体" w:cs="宋体"/>
          <w:color w:val="auto"/>
          <w:sz w:val="24"/>
          <w:highlight w:val="none"/>
        </w:rPr>
        <w:t>。</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（7）图纸会审和设计交底时间：</w:t>
      </w:r>
      <w:r>
        <w:rPr>
          <w:rFonts w:hint="eastAsia" w:ascii="宋体" w:hAnsi="宋体" w:cs="宋体"/>
          <w:color w:val="auto"/>
          <w:sz w:val="24"/>
          <w:highlight w:val="none"/>
          <w:u w:val="single"/>
        </w:rPr>
        <w:t>工程施工前</w:t>
      </w:r>
      <w:r>
        <w:rPr>
          <w:rFonts w:hint="eastAsia" w:ascii="宋体" w:hAnsi="宋体" w:cs="宋体"/>
          <w:color w:val="auto"/>
          <w:sz w:val="24"/>
          <w:highlight w:val="none"/>
        </w:rPr>
        <w:t>。</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（8）协调处理施工场地周围地下管线和邻近建筑物、构筑物（含文物保护建筑）、古树名木的保护工作：</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（9）双方约定发包人应做的其他工作：</w:t>
      </w:r>
      <w:r>
        <w:rPr>
          <w:rFonts w:hint="eastAsia" w:ascii="宋体" w:hAnsi="宋体" w:cs="宋体"/>
          <w:color w:val="auto"/>
          <w:sz w:val="24"/>
          <w:highlight w:val="none"/>
          <w:u w:val="single"/>
        </w:rPr>
        <w:t>发包人按现有场地移交给承包人，承包人应无条件接受。</w:t>
      </w:r>
    </w:p>
    <w:p>
      <w:pPr>
        <w:spacing w:line="440" w:lineRule="exact"/>
        <w:rPr>
          <w:rFonts w:hint="eastAsia" w:ascii="宋体" w:hAnsi="宋体" w:cs="宋体"/>
          <w:color w:val="auto"/>
          <w:sz w:val="24"/>
          <w:highlight w:val="none"/>
          <w:u w:val="single"/>
        </w:rPr>
      </w:pPr>
      <w:r>
        <w:rPr>
          <w:rFonts w:hint="eastAsia" w:ascii="宋体" w:hAnsi="宋体" w:cs="宋体"/>
          <w:color w:val="auto"/>
          <w:sz w:val="24"/>
          <w:highlight w:val="none"/>
        </w:rPr>
        <w:t xml:space="preserve">   8.2发包人委托承包人办理的工作：</w:t>
      </w:r>
      <w:r>
        <w:rPr>
          <w:rFonts w:hint="eastAsia" w:ascii="宋体" w:hAnsi="宋体" w:cs="宋体"/>
          <w:color w:val="auto"/>
          <w:sz w:val="24"/>
          <w:highlight w:val="none"/>
          <w:u w:val="single"/>
        </w:rPr>
        <w:t xml:space="preserve"> 工程质监登记、合同鉴证、施工许可证、购买印花税等一切施工所需的审批、申领手续以及规划验收、消防验收、环保验收、防雷报建及验收、永久用水接驳及验收等工作。费用按政策规定各自承担相应部分。</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9、承包人工作</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9.1 承包人应按约定时间和要求，完成以下工作：</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（1）需由设计资质等级和业务范围允许的承包人完成的设计文件提交时间：</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（2）应提供计划、报表的名称及完成时间：</w:t>
      </w:r>
      <w:r>
        <w:rPr>
          <w:rFonts w:hint="eastAsia" w:ascii="宋体" w:hAnsi="宋体" w:cs="宋体"/>
          <w:color w:val="auto"/>
          <w:sz w:val="24"/>
          <w:highlight w:val="none"/>
          <w:u w:val="single"/>
        </w:rPr>
        <w:t>施工组织设计、管理人员架构表，于开工前三天报。提交工程年、季、月度计划及进度统计报表。</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（3）承担施工安全保卫工作及非夜间施工照明的责任和要求：</w:t>
      </w:r>
      <w:r>
        <w:rPr>
          <w:rFonts w:hint="eastAsia" w:ascii="宋体" w:hAnsi="宋体" w:cs="宋体"/>
          <w:color w:val="auto"/>
          <w:sz w:val="24"/>
          <w:highlight w:val="none"/>
          <w:u w:val="single"/>
        </w:rPr>
        <w:t>按招标文件要求及国家、省、市、区相关规定执行，并满足本工程需要</w:t>
      </w:r>
      <w:r>
        <w:rPr>
          <w:rFonts w:hint="eastAsia" w:ascii="宋体" w:hAnsi="宋体" w:cs="宋体"/>
          <w:color w:val="auto"/>
          <w:sz w:val="24"/>
          <w:highlight w:val="none"/>
        </w:rPr>
        <w:t>。</w:t>
      </w:r>
      <w:r>
        <w:rPr>
          <w:rFonts w:hint="eastAsia" w:ascii="宋体" w:hAnsi="宋体" w:cs="宋体"/>
          <w:color w:val="auto"/>
          <w:sz w:val="24"/>
          <w:highlight w:val="none"/>
          <w:u w:val="single"/>
        </w:rPr>
        <w:t>根据工程需要，提供和维护施工使用的照明、围栏设施和警卫，并负责整个现场的安全文明施工、安全保卫。</w:t>
      </w:r>
    </w:p>
    <w:p>
      <w:pPr>
        <w:snapToGrid w:val="0"/>
        <w:spacing w:line="44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（4）承包人自行解决办公、交通、生活及通讯等设施，费用已包含在</w:t>
      </w:r>
      <w:r>
        <w:rPr>
          <w:rFonts w:hint="eastAsia" w:ascii="宋体" w:hAnsi="宋体" w:cs="宋体"/>
          <w:color w:val="auto"/>
          <w:sz w:val="24"/>
          <w:highlight w:val="none"/>
          <w:u w:val="single"/>
        </w:rPr>
        <w:t>本工程中标总造价中</w:t>
      </w:r>
      <w:r>
        <w:rPr>
          <w:rFonts w:hint="eastAsia" w:ascii="宋体" w:hAnsi="宋体" w:cs="宋体"/>
          <w:color w:val="auto"/>
          <w:sz w:val="24"/>
          <w:highlight w:val="none"/>
        </w:rPr>
        <w:t>；向发包人或监理工程师提供的办公、交通和生活、通讯设施的要求：</w:t>
      </w:r>
      <w:r>
        <w:rPr>
          <w:rFonts w:hint="eastAsia" w:ascii="宋体" w:hAnsi="宋体" w:cs="宋体"/>
          <w:color w:val="auto"/>
          <w:sz w:val="24"/>
          <w:highlight w:val="none"/>
          <w:u w:val="single"/>
        </w:rPr>
        <w:t>向发包人和监理单位总共提供具备办公条件的办公用房4间，面积不少于100㎡。（向发包人或监理提供的设施要求由业务部门确认）</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（5）需承包人办理有关施工场地交通、环卫和施工噪音管理等手续：</w:t>
      </w:r>
      <w:r>
        <w:rPr>
          <w:rFonts w:hint="eastAsia" w:ascii="宋体" w:hAnsi="宋体" w:cs="宋体"/>
          <w:color w:val="auto"/>
          <w:sz w:val="24"/>
          <w:highlight w:val="none"/>
          <w:u w:val="single"/>
        </w:rPr>
        <w:t>承包人按本合同通用条款要求执行，并承担相关费用</w:t>
      </w:r>
      <w:r>
        <w:rPr>
          <w:rFonts w:hint="eastAsia" w:ascii="宋体" w:hAnsi="宋体" w:cs="宋体"/>
          <w:color w:val="auto"/>
          <w:sz w:val="24"/>
          <w:highlight w:val="none"/>
        </w:rPr>
        <w:t xml:space="preserve">。 </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（6）已完工程成品保护的特殊要求及费用承担：</w:t>
      </w:r>
      <w:r>
        <w:rPr>
          <w:rFonts w:hint="eastAsia" w:ascii="宋体" w:hAnsi="宋体" w:cs="宋体"/>
          <w:color w:val="auto"/>
          <w:sz w:val="24"/>
          <w:highlight w:val="none"/>
          <w:u w:val="single"/>
        </w:rPr>
        <w:t xml:space="preserve"> 按本合同通用条款执行</w:t>
      </w:r>
      <w:r>
        <w:rPr>
          <w:rFonts w:hint="eastAsia" w:ascii="宋体" w:hAnsi="宋体" w:cs="宋体"/>
          <w:color w:val="auto"/>
          <w:sz w:val="24"/>
          <w:highlight w:val="none"/>
        </w:rPr>
        <w:t>。</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（7）施工场地周围地下管线和邻近建筑物、构筑物（含文物保护建筑）、古树名木的保护要求及费用承担：</w:t>
      </w:r>
      <w:r>
        <w:rPr>
          <w:rFonts w:hint="eastAsia" w:ascii="宋体" w:hAnsi="宋体" w:cs="宋体"/>
          <w:color w:val="auto"/>
          <w:sz w:val="24"/>
          <w:highlight w:val="none"/>
          <w:u w:val="single"/>
        </w:rPr>
        <w:t xml:space="preserve"> 除文物保护外的保护费用全部由承包人承担</w:t>
      </w:r>
      <w:r>
        <w:rPr>
          <w:rFonts w:hint="eastAsia" w:ascii="宋体" w:hAnsi="宋体" w:cs="宋体"/>
          <w:color w:val="auto"/>
          <w:sz w:val="24"/>
          <w:highlight w:val="none"/>
        </w:rPr>
        <w:t>。</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（8）施工场地清洁卫生的要求：</w:t>
      </w:r>
      <w:r>
        <w:rPr>
          <w:rFonts w:hint="eastAsia" w:ascii="宋体" w:hAnsi="宋体" w:cs="宋体"/>
          <w:color w:val="auto"/>
          <w:sz w:val="24"/>
          <w:highlight w:val="none"/>
          <w:u w:val="single"/>
        </w:rPr>
        <w:t xml:space="preserve"> 满足</w:t>
      </w:r>
      <w:r>
        <w:rPr>
          <w:rFonts w:hint="eastAsia" w:ascii="宋体" w:hAnsi="宋体" w:cs="宋体"/>
          <w:color w:val="auto"/>
          <w:spacing w:val="-10"/>
          <w:sz w:val="24"/>
          <w:highlight w:val="none"/>
          <w:u w:val="single"/>
        </w:rPr>
        <w:t>文明施工要求</w:t>
      </w:r>
      <w:r>
        <w:rPr>
          <w:rFonts w:hint="eastAsia" w:ascii="宋体" w:hAnsi="宋体" w:cs="宋体"/>
          <w:color w:val="auto"/>
          <w:spacing w:val="-10"/>
          <w:sz w:val="24"/>
          <w:highlight w:val="none"/>
        </w:rPr>
        <w:t>。</w:t>
      </w:r>
      <w:r>
        <w:rPr>
          <w:rFonts w:hint="eastAsia" w:ascii="宋体" w:hAnsi="宋体" w:cs="宋体"/>
          <w:color w:val="auto"/>
          <w:sz w:val="24"/>
          <w:highlight w:val="none"/>
          <w:u w:val="single"/>
        </w:rPr>
        <w:t>保证施工场地清洁符合环境卫生管理的有关规定，交工前清理现场达到合同约定的要求（包括建筑物周围余土、垃圾、生产和生活临时设施拆除），并将门窗、玻璃、地面擦扫干净，厕所厨房的排水和给水管道清理干净、畅通，做到工完场清。承担因自身原因违反有关规定造成的损失和罚款。</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（9）双方约定承包人应做的其他工作：</w:t>
      </w:r>
    </w:p>
    <w:p>
      <w:pPr>
        <w:snapToGrid w:val="0"/>
        <w:spacing w:line="44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 xml:space="preserve"> ①承包人应根据相关规定及发包人的要求、合同约定对发包人另行发包的专业承包单位进行统一管理和配合服务。包括但不限于：项目总进度计划协调管理；公共临时设施管理；公共文明施工和安全生产设施管理；现场综合管理；内部沟通与外部协调；总体设计与技术督导的协调配合；为发包人另行发包的专业承包单位提供标高、基准点与平面控制、轴线；提供工作面（含基础、预埋件、预留孔洞）；提供施工用水、用电的接驳点；成品保护；协助发包人办理项目竣工验收、竣工资料和竣工备案；为发包人另行发包的专业承包单位提供生产、生活用场地；提供公共运输道路和通道；提供公共水平、垂直运输设施；提供公共外排栅、外脚手架；负责组织整体竣工验收及整体工程资料汇总及整理工作以及其它管理和配合服务。承包人应按照《广州市住房和城乡建设局关于规范房屋建筑工程施工承发包管理的通知》(穗建规字〔2019〕10号)的规定，对本工程所有专业承包工程负全面管理责任，对施工现场的安全生产、文明施工等工作负总责。承包人对发包人单独发包的专业工程的安全生产、文明施工等工作承担连带责任。承包人应主动配合发包人单独发包的其他专业承包工程的施工，承担由于自身管理、配合服务和协调不到位而导致的违约责任和连带违约责任。</w:t>
      </w:r>
      <w:r>
        <w:rPr>
          <w:rFonts w:hint="eastAsia" w:ascii="宋体" w:hAnsi="宋体" w:cs="宋体"/>
          <w:b/>
          <w:color w:val="auto"/>
          <w:sz w:val="24"/>
          <w:highlight w:val="none"/>
        </w:rPr>
        <w:t>【总承包工程适用本条款】</w:t>
      </w:r>
    </w:p>
    <w:p>
      <w:pPr>
        <w:spacing w:line="44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②建筑节能要求:按照穗建技[2006]678号文的规定，承包人应履行以下质量责任和义务：A、严格按照审查合格的设计文件和建筑节能标准的要求进行施工，不得擅自修改设计文件。B、对进入施工现场的墙体材料、保温材料、门窗部品等进行检验。对采暖空调系统、照明设备等进行检验，保证产品说明书和产品标识上注明的性能指标符合建筑节能要求。C、应当编制建筑节能专项施工技术方案，并由施工单位专业技术人员及监理单位专业监理工程师进行审核，审核合格，由施工单位技术负责人及监理单位总监理工程师签字。D、应当加强施工过程质量控制，特别应当加强对易产生热桥和热工缺陷等重要部位的质量控制，保证符合设计要求和有关节能标准规定。E、对采暖空调、通风、电气等系统的调试，应当符合设计等要求。F、保温工程等在保修范围和保修期限内发生质量问题的，施工单位应当履行保修义务，并对造成的损失承担赔偿责任。</w:t>
      </w:r>
    </w:p>
    <w:p>
      <w:pPr>
        <w:snapToGrid w:val="0"/>
        <w:spacing w:line="44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③创“无渗漏”工程:承包人为创“无渗漏”工程中必须承担的义务：对专业管线穿过楼地面或墙体等结构后留下的孔隙按要求进行填补，并达到防水的要求；卫生间、水池的试水：结构施工完成后做一次浸水试验、防水层施工完成后做一次浸水试验、管道安装完成后做一次浸水试验、装饰面层完成后做一次浸水试验、竣工验收前做一次浸水试验、移交前做一次浸水试验；屋面淋水试验：按GB50207-2002的要求做泼水、淋水、蓄水试验。以上试验所需费用已含在合同总价中。</w:t>
      </w:r>
    </w:p>
    <w:p>
      <w:pPr>
        <w:snapToGrid w:val="0"/>
        <w:spacing w:line="44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④专业深化设计工程实行限额设计要求：(选择性条款)</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中标后，部分需深化设计的专业工程（如弱电、电梯工程等）应由承包人负责按招标文件的技术要求及发包人规定的时限完成深化设计，深化设计图纸加盖出图章，并经总体设计单位审核及发包人、业主最终确认后方可按确认后的图纸施工。相关深化设计费包含在投标报价中，无论发包人是否提出变更，均无需另行支付设计费。</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深化设计以承包人原对应专业工程的投标报价为上限，实行限额深化设计，除非属发包人对技术规范书（技术需求与标准）进行调整或有经发包人确认的工程变更，否则，超出限额的工程费用由承包人承担。如果因深化图纸未能满足使用功能需求而发生设计变更，工程费用一律不作调整。</w:t>
      </w:r>
    </w:p>
    <w:p>
      <w:pPr>
        <w:snapToGrid w:val="0"/>
        <w:spacing w:line="44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⑤本工程要求达到“绿色建筑 星级”标准，承包人需协助发包人办理“绿色建筑评价标识”的相关申报工作。</w:t>
      </w:r>
    </w:p>
    <w:p>
      <w:pPr>
        <w:snapToGrid w:val="0"/>
        <w:spacing w:line="44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⑥本工程采取样板先行的办法推进，样板涉及的全部费用已含在投标报价中，不另计费。</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⑦承包人应按照《广州市建筑施工实名制管理办法》的规定，进场施工前在市建设领域管理应用信息平台上进行实名制登记并安排专职人员进行动态维护，实名制信息内容包含但不限以下内容：建筑从业人员基本信息、作业工人考勤与工资支付信息、施工进度情况信息等。承包人应对依法分包的专业工程和劳务工程的承包人实施统一管理，督促落实实名制管理。发包人及监理单位将不定期抽查承包人实名制管理的执行情况，如发现违反本合同有关约定的，将追究承包人相应违约责任。</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⑧承包人应按照《广州市建设领域工人工资支付分账管理实施细则》的规定选择商业银行开立工人工资支付专用账户，在用工之日起15日内为每个工人办理工人工资个人账户，保证按时足额支付工人工资。承包人应对依法分包的专业工程和劳务工程的承包人实施统一管理，严格按国家、省、市关于农民工工资实施总承包单位代发制度的相关规定代发分包单位工人工资。</w:t>
      </w:r>
    </w:p>
    <w:p>
      <w:pPr>
        <w:snapToGrid w:val="0"/>
        <w:spacing w:line="44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⑨承包人应当建立工人考勤、工资结算和支付等管理台账，存档备查，并将相关信息按月报送发包人及监理单位。</w:t>
      </w:r>
    </w:p>
    <w:p>
      <w:pPr>
        <w:snapToGrid w:val="0"/>
        <w:spacing w:line="440" w:lineRule="exact"/>
        <w:ind w:firstLine="397"/>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（10）承包人应在本项目中投入使用燃料电池汽车等新能源工程车,且投入数量占本项目投入的建筑垃圾自卸车（渣土车）总数比例不得低于40%，相关费用已包含在合同价中，不另行计取。</w:t>
      </w:r>
    </w:p>
    <w:p>
      <w:pPr>
        <w:snapToGrid w:val="0"/>
        <w:spacing w:line="440" w:lineRule="exact"/>
        <w:ind w:firstLine="397"/>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（11）承包人应当建立燃料电池汽车等新能源工程车投入管理台账备查，并将投入现场的影像等相关资料按要求报送发包人及监理单位核查。</w:t>
      </w:r>
    </w:p>
    <w:p>
      <w:pPr>
        <w:snapToGrid w:val="0"/>
        <w:spacing w:line="440" w:lineRule="exact"/>
        <w:ind w:firstLine="397"/>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（12）承包人须为本项目配备专用车辆，为本项目管理提供交通保障服务。</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三、施工组织设计和工期</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10、进度计划</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10.1 承包人提供施工组织设计(施工方案)和进度计划时间：</w:t>
      </w:r>
    </w:p>
    <w:p>
      <w:pPr>
        <w:snapToGrid w:val="0"/>
        <w:spacing w:line="440" w:lineRule="exact"/>
        <w:ind w:firstLine="756" w:firstLineChars="315"/>
        <w:rPr>
          <w:rFonts w:hint="eastAsia" w:ascii="宋体" w:hAnsi="宋体" w:cs="宋体"/>
          <w:color w:val="auto"/>
          <w:sz w:val="24"/>
          <w:highlight w:val="none"/>
          <w:u w:val="single"/>
        </w:rPr>
      </w:pPr>
      <w:r>
        <w:rPr>
          <w:rFonts w:hint="eastAsia" w:ascii="宋体" w:hAnsi="宋体" w:cs="宋体"/>
          <w:color w:val="auto"/>
          <w:sz w:val="24"/>
          <w:highlight w:val="none"/>
          <w:u w:val="single"/>
        </w:rPr>
        <w:t>1）承包人应于接到中标通知书后4天内向发包人提交总体工程进度计划（网络计划），并于开工前3天内提交施工组织设计（施工方案）给发包人。</w:t>
      </w:r>
    </w:p>
    <w:p>
      <w:pPr>
        <w:snapToGrid w:val="0"/>
        <w:spacing w:line="440" w:lineRule="exact"/>
        <w:ind w:firstLine="516" w:firstLineChars="215"/>
        <w:rPr>
          <w:rFonts w:hint="eastAsia" w:ascii="宋体" w:hAnsi="宋体" w:cs="宋体"/>
          <w:color w:val="auto"/>
          <w:sz w:val="24"/>
          <w:highlight w:val="none"/>
          <w:u w:val="single"/>
        </w:rPr>
      </w:pPr>
      <w:r>
        <w:rPr>
          <w:rFonts w:hint="eastAsia" w:ascii="宋体" w:hAnsi="宋体" w:cs="宋体"/>
          <w:color w:val="auto"/>
          <w:sz w:val="24"/>
          <w:highlight w:val="none"/>
          <w:u w:val="single"/>
        </w:rPr>
        <w:t>承包人提交的施工组织设计应当按监理工程师及国家、省、市及广州开发区关于施工承包管理的要求编制。</w:t>
      </w:r>
    </w:p>
    <w:p>
      <w:pPr>
        <w:snapToGrid w:val="0"/>
        <w:spacing w:line="440" w:lineRule="exact"/>
        <w:ind w:firstLine="516" w:firstLineChars="215"/>
        <w:rPr>
          <w:rFonts w:hint="eastAsia" w:ascii="宋体" w:hAnsi="宋体" w:cs="宋体"/>
          <w:color w:val="auto"/>
          <w:sz w:val="24"/>
          <w:highlight w:val="none"/>
        </w:rPr>
      </w:pPr>
      <w:r>
        <w:rPr>
          <w:rFonts w:hint="eastAsia" w:ascii="宋体" w:hAnsi="宋体" w:cs="宋体"/>
          <w:color w:val="auto"/>
          <w:sz w:val="24"/>
          <w:highlight w:val="none"/>
          <w:u w:val="single"/>
        </w:rPr>
        <w:t>承包人编制的工程进度计划内容应全面详实，且应针对承包管理范围内的各专业承包工程及建筑工程的全部或分项施工作业和特点提出施工方法、施工穿插顺序及时间安排，并在各节点位置标注相应的工程量、资金使用计划、人机组织及材料消耗量。</w:t>
      </w:r>
    </w:p>
    <w:p>
      <w:pPr>
        <w:snapToGrid w:val="0"/>
        <w:spacing w:line="440" w:lineRule="exact"/>
        <w:ind w:firstLine="516" w:firstLineChars="215"/>
        <w:rPr>
          <w:rFonts w:hint="eastAsia" w:ascii="宋体" w:hAnsi="宋体" w:cs="宋体"/>
          <w:color w:val="auto"/>
          <w:sz w:val="24"/>
          <w:highlight w:val="none"/>
          <w:u w:val="single"/>
        </w:rPr>
      </w:pPr>
      <w:r>
        <w:rPr>
          <w:rFonts w:hint="eastAsia" w:ascii="宋体" w:hAnsi="宋体" w:cs="宋体"/>
          <w:color w:val="auto"/>
          <w:sz w:val="24"/>
          <w:highlight w:val="none"/>
        </w:rPr>
        <w:t>2）</w:t>
      </w:r>
      <w:r>
        <w:rPr>
          <w:rFonts w:hint="eastAsia" w:ascii="宋体" w:hAnsi="宋体" w:cs="宋体"/>
          <w:color w:val="auto"/>
          <w:sz w:val="24"/>
          <w:highlight w:val="none"/>
          <w:u w:val="single"/>
        </w:rPr>
        <w:t>总监理工程师在接到承包人提交的施工组织设计和工程进度计划后，予以确认或提出修改意见。</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工程师确认的时间：</w:t>
      </w:r>
      <w:r>
        <w:rPr>
          <w:rFonts w:hint="eastAsia" w:ascii="宋体" w:hAnsi="宋体" w:cs="宋体"/>
          <w:color w:val="auto"/>
          <w:sz w:val="24"/>
          <w:highlight w:val="none"/>
          <w:u w:val="single"/>
        </w:rPr>
        <w:t>开工前。</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10.2</w:t>
      </w:r>
      <w:r>
        <w:rPr>
          <w:rFonts w:hint="eastAsia" w:ascii="宋体" w:hAnsi="宋体" w:cs="宋体"/>
          <w:color w:val="auto"/>
          <w:sz w:val="24"/>
          <w:highlight w:val="none"/>
          <w:u w:val="single"/>
        </w:rPr>
        <w:t>为便于总监理工程师掌握和控制工期，承包人应于每周一及每月底向总监理工程师填报各专业工程（含各分部、分项工程及专业承包工程）的周计划完成情况及当月进度计划完成情况（没完成计划的必须说明原因），并在此基础上更新工程进度计划、资金计划和其它工作计划。总监理工程师在接到报告后予以确认或提出书面意见，承包人必须按照总监理工程师的确认或者书面意见执行。（报监理工程师的同时，抄送一份给发包人。）</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10.3</w:t>
      </w:r>
      <w:r>
        <w:rPr>
          <w:rFonts w:hint="eastAsia" w:ascii="宋体" w:hAnsi="宋体" w:cs="宋体"/>
          <w:color w:val="auto"/>
          <w:sz w:val="24"/>
          <w:highlight w:val="none"/>
          <w:u w:val="single"/>
        </w:rPr>
        <w:t>工程实际进度与经总监理工程师确认的进度计划或者更新进度计划不符时，总监理工程师认为本工程或其中任何部分工程进度滞后而不能按预定工期完工，则应将此情况通知承包人，承包人应据此编制修改工程进度计划，采取总监理工程师同意的必要措施加快工程进度，属承包人原因，则承包人无权要求发包人支付任何附加费用。如承包人未能在工程师发布指令后10天内采取有效措施，工程进度仍然无明显改进，发包人有权解除部分或全部合同，将未完工程另行发包给其他有能力的第三方，承包人必须无条件服从，由此所造成的全部损失由承包人承担，并追究承包人的违约赔偿责任。</w:t>
      </w:r>
    </w:p>
    <w:p>
      <w:pPr>
        <w:snapToGrid w:val="0"/>
        <w:spacing w:line="44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11、开工及延期开工</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11.1 开工日期和竣工日期</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11.1.1 本工程工期为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日历天。其中开工时间初定为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日。（具体开工日期以发包人或监理单位开工令或批准的开工报告日期为准） </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11.1.2 承包人必须采取一切有效措施保证竣工日期，不得延误。除非发生了以下情形：</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（1）政府对本工程建设项目作出停建、缓建的决定；</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（2）重大设计变更导致本工程在规划、使用、功能方面有重大调整；</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（3）不可抗力持续影响而延误工期超过12天以上。</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（4）本合同专用条款约定的其他非承包人原因导致的工期延误。</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11.2 延期开工：</w:t>
      </w:r>
    </w:p>
    <w:p>
      <w:pPr>
        <w:adjustRightInd w:val="0"/>
        <w:snapToGrid w:val="0"/>
        <w:spacing w:line="440" w:lineRule="exact"/>
        <w:ind w:right="11" w:firstLine="420" w:firstLineChars="175"/>
        <w:rPr>
          <w:rFonts w:hint="eastAsia" w:ascii="宋体" w:hAnsi="宋体" w:cs="宋体"/>
          <w:color w:val="auto"/>
          <w:sz w:val="24"/>
          <w:highlight w:val="none"/>
          <w:u w:val="single"/>
        </w:rPr>
      </w:pPr>
      <w:r>
        <w:rPr>
          <w:rFonts w:hint="eastAsia" w:ascii="宋体" w:hAnsi="宋体" w:cs="宋体"/>
          <w:color w:val="auto"/>
          <w:sz w:val="24"/>
          <w:highlight w:val="none"/>
        </w:rPr>
        <w:t xml:space="preserve">11.2.1 </w:t>
      </w:r>
      <w:r>
        <w:rPr>
          <w:rFonts w:hint="eastAsia" w:ascii="宋体" w:hAnsi="宋体" w:cs="宋体"/>
          <w:color w:val="auto"/>
          <w:sz w:val="24"/>
          <w:highlight w:val="none"/>
          <w:u w:val="single"/>
        </w:rPr>
        <w:t>因发包人原因不能按照协议书约定的开工日期开工或暂停施工的，总监理工程师应通知承包人推迟开工日期，经监理单位、发包人确认后，工期可相应顺延，但不作费用补偿。</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 xml:space="preserve">11.2.2 </w:t>
      </w:r>
      <w:r>
        <w:rPr>
          <w:rFonts w:hint="eastAsia" w:ascii="宋体" w:hAnsi="宋体" w:cs="宋体"/>
          <w:color w:val="auto"/>
          <w:sz w:val="24"/>
          <w:highlight w:val="none"/>
          <w:u w:val="single"/>
        </w:rPr>
        <w:t>承包人未能主动及时地履行其协调、配合服务义务而造成专业承包单位无法开工，由此产生的工期延误等损失由承包人承担，并承担违约责任。</w:t>
      </w:r>
    </w:p>
    <w:p>
      <w:pPr>
        <w:snapToGrid w:val="0"/>
        <w:spacing w:line="44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12、暂停施工</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12.1因下列原因，总监理工程师报经发包人同意，可通知承包人暂停施工：</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（1）工程设计发生重大变更；</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（2）不可抗力；</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（3）质量事故；</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（4）安全生产事故；</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（5）因承包人管理不善，可能导致现场混乱；</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（6）承包人违规施工，经监理工程师通知改正但仍不执行。</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承包人不得以与发包人有争议为由或者以争议未解决为由而单方面停工。否则，应按约定承担工期延误的违约责任。</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因发生上述第（1）、（2）项原因而暂停施工的，工期可协商调整，因发生上述第（3）、（4）、（5）、（6）项原因而暂停施工的，工期不予顺延,承包人必须承担由此发生的费用并向发包人承担违约责任。</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12.2为了保证工程质量安全，凡承包人出现下列情况之一（不限于此）的，总监理工程师有权下达停工令，责令承包人停工整改，由此造成的损失由承包人自行承担，工期不予顺延，如果造成工期延误的，承包人还应承担违约责任。</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(1)拒绝监理单位管理；</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(2)施工组织设计（方案）未获总监理工程师批准而进行施工；</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(3)未经监理单位检验而进行下一道工序作业者；</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(4)擅自采用未经监理单位及发包人认可或批准的材料的，或者使用的原材料、构配件不合格或未经检查确认的，或者擅自采用未经认可的代用材料的；</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(5)擅自变更设计图纸的要求；</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(6)转包工程；</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(7)擅自让未经总监理工程师批准的专业承包单位进场作业；</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(8)存在安全隐患，未按监理单位要求及时进行整改；</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(9)未按双方约定的资料上报要求上报所需资料的。</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12.3因不可抗力引起工程停工，工期按第12.1款约定执行，费用承担按以下原则：</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（1）因工程损害导致第三方人员伤亡和财产损失，如系在工程竣工验收合格移交给发包人使用前造成的，费用由承包人承担；如系在工程竣工验收合格移交给发包人使用后发生的，费用由发包人承担。</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（2）运至施工场地用于施工的材料和待安装的设备的损害，属发包人供应的由发包人承担；属承包人采购的由承包人承担。</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（3）发包人承包人人员伤亡由其所在单位负责，并承担相应费用。</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（4）承包人机械设备损坏及停工损失由承包人承担。</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（5）停工期间，承包人应总监理工程师要求留在施工场地的必要的管理人员及保卫人员的费用由承包人承担。</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（6）工程所需清理、修复费用由发包人承担。</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12.4由于承包人自身原因或施工承包管理、配合及协调不力，而导致专业承包工程停工，产生的费用由承包人承担。</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13、工期延误</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13.2对于非因承包人原因发生的工期延误，承包人应当在工期延误事件发生后7天内就延误的内容经总监理工程师向发包人提出书面报告，逾期不报告，发包人不予确认；发包人在收到经总监理工程师确认报告后15个工作日内予以答复，逾期不予答复，承包人即可视为延期要求已被确认。经确认同意延期，可顺延工期，但不作费用补偿。</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四、质量与验收</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15、工程质量</w:t>
      </w:r>
    </w:p>
    <w:p>
      <w:pPr>
        <w:pStyle w:val="211"/>
        <w:snapToGrid w:val="0"/>
        <w:spacing w:line="440" w:lineRule="exact"/>
        <w:ind w:firstLine="495"/>
        <w:rPr>
          <w:rFonts w:hint="eastAsia" w:ascii="宋体" w:hAnsi="宋体" w:cs="宋体"/>
          <w:color w:val="auto"/>
          <w:sz w:val="24"/>
          <w:highlight w:val="none"/>
        </w:rPr>
      </w:pPr>
      <w:r>
        <w:rPr>
          <w:rFonts w:hint="eastAsia" w:ascii="宋体" w:hAnsi="宋体" w:cs="宋体"/>
          <w:bCs/>
          <w:color w:val="auto"/>
          <w:sz w:val="24"/>
          <w:highlight w:val="none"/>
        </w:rPr>
        <w:t>15.3</w:t>
      </w:r>
      <w:r>
        <w:rPr>
          <w:rFonts w:hint="eastAsia" w:ascii="宋体" w:hAnsi="宋体" w:cs="宋体"/>
          <w:bCs/>
          <w:color w:val="auto"/>
          <w:sz w:val="24"/>
          <w:highlight w:val="none"/>
          <w:u w:val="single"/>
        </w:rPr>
        <w:t>承包人必须严格按照设计施工图和国家及行业颁发的现行有关设计、施工及验收规范的要求进行施工，确保工程质量，工程的质量要求达到□工程规模符合申报“广东省建筑工程优质奖”的，需达到“广东省建筑工程优质奖”的质量标准；工程规模不符合申报“广东省建筑工程优质奖”但符合申报“广州市优良样板工程”的，需达到“广州市优良样板工程”的质量标准；工程规模不符合申报“广东省建筑工程优质奖”及“广州市优良样板工程”的，工程质量达到国家或行业质量检验评定的合格标准（医院类房建项目选此项）。□工程规模符合申报“广州市优良样板工程”的，需达到“广州市优良样板工程”的质量标准；工程规模不符合申报“广州市优良样板工程”的，工程质量达到国家或行业质量检验评定的合格标准（学校类房建项目选此项）”。□工程质量达到国家或行业质量检验评定的合格标准（医院、学校类房建项目以外的项目选此项）。</w:t>
      </w:r>
    </w:p>
    <w:p>
      <w:pPr>
        <w:snapToGrid w:val="0"/>
        <w:spacing w:line="440" w:lineRule="exact"/>
        <w:ind w:firstLine="495"/>
        <w:rPr>
          <w:rFonts w:hint="eastAsia" w:ascii="宋体" w:hAnsi="宋体" w:cs="宋体"/>
          <w:bCs/>
          <w:color w:val="auto"/>
          <w:sz w:val="24"/>
          <w:highlight w:val="none"/>
        </w:rPr>
      </w:pPr>
      <w:r>
        <w:rPr>
          <w:rFonts w:hint="eastAsia" w:ascii="宋体" w:hAnsi="宋体" w:cs="宋体"/>
          <w:bCs/>
          <w:color w:val="auto"/>
          <w:sz w:val="24"/>
          <w:highlight w:val="none"/>
          <w:u w:val="single"/>
        </w:rPr>
        <w:t>承包人对图纸中存在的问题有责任和义务提前以书面形式报告工程师及发包人，以供发包人同监理人核实并及时要求设计方修改设计图纸。</w:t>
      </w:r>
    </w:p>
    <w:p>
      <w:pPr>
        <w:snapToGrid w:val="0"/>
        <w:spacing w:line="440" w:lineRule="exact"/>
        <w:ind w:firstLine="397"/>
        <w:rPr>
          <w:rFonts w:hint="eastAsia" w:ascii="宋体" w:hAnsi="宋体" w:cs="宋体"/>
          <w:bCs/>
          <w:color w:val="auto"/>
          <w:sz w:val="24"/>
          <w:highlight w:val="none"/>
        </w:rPr>
      </w:pPr>
      <w:r>
        <w:rPr>
          <w:rFonts w:hint="eastAsia" w:ascii="宋体" w:hAnsi="宋体" w:cs="宋体"/>
          <w:bCs/>
          <w:color w:val="auto"/>
          <w:sz w:val="24"/>
          <w:highlight w:val="none"/>
        </w:rPr>
        <w:t>15.4</w:t>
      </w:r>
      <w:r>
        <w:rPr>
          <w:rFonts w:hint="eastAsia" w:ascii="宋体" w:hAnsi="宋体" w:cs="宋体"/>
          <w:bCs/>
          <w:color w:val="auto"/>
          <w:sz w:val="24"/>
          <w:highlight w:val="none"/>
          <w:u w:val="single"/>
        </w:rPr>
        <w:t>本工程项目的所有材料、设备及配件须达到现行中华人民共和国以及省、自治区、直辖市或行业的工程建设标准、规范的要求，产品应有生产许可证书、出厂合格证书，经监理工程师和发包人代表认可后方可使用。</w:t>
      </w:r>
    </w:p>
    <w:p>
      <w:pPr>
        <w:snapToGrid w:val="0"/>
        <w:spacing w:line="440" w:lineRule="exact"/>
        <w:ind w:firstLine="397"/>
        <w:rPr>
          <w:rFonts w:hint="eastAsia" w:ascii="宋体" w:hAnsi="宋体" w:cs="宋体"/>
          <w:bCs/>
          <w:color w:val="auto"/>
          <w:sz w:val="24"/>
          <w:highlight w:val="none"/>
        </w:rPr>
      </w:pPr>
      <w:r>
        <w:rPr>
          <w:rFonts w:hint="eastAsia" w:ascii="宋体" w:hAnsi="宋体" w:cs="宋体"/>
          <w:bCs/>
          <w:color w:val="auto"/>
          <w:sz w:val="24"/>
          <w:highlight w:val="none"/>
        </w:rPr>
        <w:t>15.5</w:t>
      </w:r>
      <w:r>
        <w:rPr>
          <w:rFonts w:hint="eastAsia" w:ascii="宋体" w:hAnsi="宋体" w:cs="宋体"/>
          <w:bCs/>
          <w:color w:val="auto"/>
          <w:sz w:val="24"/>
          <w:highlight w:val="none"/>
          <w:u w:val="single"/>
        </w:rPr>
        <w:t>工程质量不符合设计要求、质量不合格者，监理工程师可指令承包人停工或返工，返工费用由承包人承担，工期不予顺延。</w:t>
      </w:r>
    </w:p>
    <w:p>
      <w:pPr>
        <w:snapToGrid w:val="0"/>
        <w:spacing w:line="440" w:lineRule="exact"/>
        <w:ind w:firstLine="397"/>
        <w:rPr>
          <w:rFonts w:hint="eastAsia" w:ascii="宋体" w:hAnsi="宋体" w:cs="宋体"/>
          <w:bCs/>
          <w:color w:val="auto"/>
          <w:sz w:val="24"/>
          <w:highlight w:val="none"/>
        </w:rPr>
      </w:pPr>
      <w:r>
        <w:rPr>
          <w:rFonts w:hint="eastAsia" w:ascii="宋体" w:hAnsi="宋体" w:cs="宋体"/>
          <w:bCs/>
          <w:color w:val="auto"/>
          <w:sz w:val="24"/>
          <w:highlight w:val="none"/>
        </w:rPr>
        <w:t>15.6</w:t>
      </w:r>
      <w:r>
        <w:rPr>
          <w:rFonts w:hint="eastAsia" w:ascii="宋体" w:hAnsi="宋体" w:cs="宋体"/>
          <w:bCs/>
          <w:color w:val="auto"/>
          <w:sz w:val="24"/>
          <w:highlight w:val="none"/>
          <w:u w:val="single"/>
        </w:rPr>
        <w:t>发生须紧急抢修事故，承包人接到通知后，应立即到达事故现场抢修；否则，发包人可以另委托单位抢修，属承包人施工质量问题造成的修复等费用全部由承包人承担。</w:t>
      </w:r>
    </w:p>
    <w:p>
      <w:pPr>
        <w:snapToGrid w:val="0"/>
        <w:spacing w:line="440" w:lineRule="exact"/>
        <w:ind w:firstLine="397"/>
        <w:rPr>
          <w:rFonts w:hint="eastAsia" w:ascii="宋体" w:hAnsi="宋体" w:cs="宋体"/>
          <w:bCs/>
          <w:color w:val="auto"/>
          <w:sz w:val="24"/>
          <w:highlight w:val="none"/>
        </w:rPr>
      </w:pPr>
      <w:r>
        <w:rPr>
          <w:rFonts w:hint="eastAsia" w:ascii="宋体" w:hAnsi="宋体" w:cs="宋体"/>
          <w:bCs/>
          <w:color w:val="auto"/>
          <w:sz w:val="24"/>
          <w:highlight w:val="none"/>
        </w:rPr>
        <w:t>15.7</w:t>
      </w:r>
      <w:r>
        <w:rPr>
          <w:rFonts w:hint="eastAsia" w:ascii="宋体" w:hAnsi="宋体" w:cs="宋体"/>
          <w:bCs/>
          <w:color w:val="auto"/>
          <w:sz w:val="24"/>
          <w:highlight w:val="none"/>
          <w:u w:val="single"/>
        </w:rPr>
        <w:t>本工程按照本合同专用条款3.3的约定进行质量验收。若承包人有违反操作规程和标准或施工质量不符合规定的，发包人及监理工程师有权令其停止（或暂停）施工，由此造成的损失均由承包人负责。如在施工过程中颁发新的质量标准规范版本的，是否采用新版本规定，由监理工程师与有关各方洽商决定。</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16、检查和返工</w:t>
      </w:r>
    </w:p>
    <w:p>
      <w:pPr>
        <w:snapToGrid w:val="0"/>
        <w:spacing w:line="440" w:lineRule="exact"/>
        <w:ind w:firstLine="397"/>
        <w:rPr>
          <w:rFonts w:hint="eastAsia" w:ascii="宋体" w:hAnsi="宋体" w:cs="宋体"/>
          <w:bCs/>
          <w:color w:val="auto"/>
          <w:sz w:val="24"/>
          <w:highlight w:val="none"/>
        </w:rPr>
      </w:pPr>
      <w:r>
        <w:rPr>
          <w:rFonts w:hint="eastAsia" w:ascii="宋体" w:hAnsi="宋体" w:cs="宋体"/>
          <w:bCs/>
          <w:color w:val="auto"/>
          <w:sz w:val="24"/>
          <w:highlight w:val="none"/>
        </w:rPr>
        <w:t>16.3工程师的检查检验：</w:t>
      </w:r>
      <w:r>
        <w:rPr>
          <w:rFonts w:hint="eastAsia" w:ascii="宋体" w:hAnsi="宋体" w:cs="宋体"/>
          <w:bCs/>
          <w:color w:val="auto"/>
          <w:sz w:val="24"/>
          <w:highlight w:val="none"/>
          <w:u w:val="single"/>
        </w:rPr>
        <w:t>工程师按规范、标准、设计图纸要求和频率所进行的检查检测不应成为承包人工期顺延的理由</w:t>
      </w:r>
      <w:r>
        <w:rPr>
          <w:rFonts w:hint="eastAsia" w:ascii="宋体" w:hAnsi="宋体" w:cs="宋体"/>
          <w:bCs/>
          <w:color w:val="auto"/>
          <w:sz w:val="24"/>
          <w:highlight w:val="none"/>
        </w:rPr>
        <w:t>。</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17、隐蔽工程和中间验收</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17.1 双方约定中间验收部位：</w:t>
      </w:r>
      <w:r>
        <w:rPr>
          <w:rFonts w:hint="eastAsia" w:ascii="宋体" w:hAnsi="宋体" w:cs="宋体"/>
          <w:color w:val="auto"/>
          <w:sz w:val="24"/>
          <w:highlight w:val="none"/>
          <w:u w:val="single"/>
        </w:rPr>
        <w:t>按相应工程施工及验收规范要求执行。</w:t>
      </w:r>
      <w:r>
        <w:rPr>
          <w:rFonts w:hint="eastAsia" w:ascii="宋体" w:hAnsi="宋体" w:cs="宋体"/>
          <w:color w:val="auto"/>
          <w:sz w:val="24"/>
          <w:highlight w:val="none"/>
        </w:rPr>
        <w:t xml:space="preserve"> </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19、工程试车</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19.5 试车费用的承担：</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napToGrid w:val="0"/>
        <w:spacing w:line="440" w:lineRule="exact"/>
        <w:ind w:firstLine="397"/>
        <w:rPr>
          <w:rFonts w:hint="eastAsia" w:ascii="宋体" w:hAnsi="宋体" w:cs="宋体"/>
          <w:color w:val="auto"/>
          <w:sz w:val="24"/>
          <w:highlight w:val="none"/>
        </w:rPr>
      </w:pPr>
      <w:r>
        <w:rPr>
          <w:rFonts w:hint="eastAsia" w:ascii="宋体" w:hAnsi="宋体" w:cs="宋体"/>
          <w:b/>
          <w:color w:val="auto"/>
          <w:sz w:val="24"/>
          <w:highlight w:val="none"/>
        </w:rPr>
        <w:t xml:space="preserve">五、安全施工  </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20、安全施工与检查</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20.3</w:t>
      </w:r>
      <w:r>
        <w:rPr>
          <w:rFonts w:hint="eastAsia" w:ascii="宋体" w:hAnsi="宋体" w:cs="宋体"/>
          <w:color w:val="auto"/>
          <w:sz w:val="24"/>
          <w:highlight w:val="none"/>
          <w:u w:val="single"/>
        </w:rPr>
        <w:t>承包人应建立安全责任制，明确各部门安全工作的岗位责任人，建立健全正常运转的各种安全工作保证体系和规章制度，将安全生产目标分解落实到实处。</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20.4</w:t>
      </w:r>
      <w:r>
        <w:rPr>
          <w:rFonts w:hint="eastAsia" w:ascii="宋体" w:hAnsi="宋体" w:cs="宋体"/>
          <w:color w:val="auto"/>
          <w:sz w:val="24"/>
          <w:highlight w:val="none"/>
          <w:u w:val="single"/>
        </w:rPr>
        <w:t>承包人按规定数量配置安全员。</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20.5</w:t>
      </w:r>
      <w:r>
        <w:rPr>
          <w:rFonts w:hint="eastAsia" w:ascii="宋体" w:hAnsi="宋体" w:cs="宋体"/>
          <w:color w:val="auto"/>
          <w:sz w:val="24"/>
          <w:highlight w:val="none"/>
          <w:u w:val="single"/>
        </w:rPr>
        <w:t>承包人在开工前须向质量安全监督机构提交备案的书面资料。</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20.6</w:t>
      </w:r>
      <w:r>
        <w:rPr>
          <w:rFonts w:hint="eastAsia" w:ascii="宋体" w:hAnsi="宋体" w:cs="宋体"/>
          <w:color w:val="auto"/>
          <w:sz w:val="24"/>
          <w:highlight w:val="none"/>
          <w:u w:val="single"/>
        </w:rPr>
        <w:t>承包人在编制施工组织设计时，应当根据工程的特点编制相应的安全技术措施。</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20.7</w:t>
      </w:r>
      <w:r>
        <w:rPr>
          <w:rFonts w:hint="eastAsia" w:ascii="宋体" w:hAnsi="宋体" w:cs="宋体"/>
          <w:color w:val="auto"/>
          <w:sz w:val="24"/>
          <w:highlight w:val="none"/>
          <w:u w:val="single"/>
        </w:rPr>
        <w:t>承包人按有关安全和防护的规定组织施工生产，不得使用不合标准的防护器材、机具和材料。</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20.8</w:t>
      </w:r>
      <w:r>
        <w:rPr>
          <w:rFonts w:hint="eastAsia" w:ascii="宋体" w:hAnsi="宋体" w:cs="宋体"/>
          <w:color w:val="auto"/>
          <w:sz w:val="24"/>
          <w:highlight w:val="none"/>
          <w:u w:val="single"/>
        </w:rPr>
        <w:t>在工程实施期间，施工场地一经移交给承包人，承包人即对自身施工场地负有全过程、全面的管理责任，必须对自身施工场地范围内的治安秩序、安全保卫、环境卫生以及周围房屋、市政设施等负全责，对自身施工场地范围内的交通道路、用水、用电、场地内的协调进行的管理和协调。承包人需对其施工场地布置、人员的管理、交通组织制订详细的方案，对施工时段作出合理安排，必须采用全封闭施工方案，确保不对周边环境、道路、行人和相邻施工现场造成不利影响，不得干扰周围居民的正常生活，不得影响学生的上课及正常的活动。</w:t>
      </w:r>
    </w:p>
    <w:p>
      <w:pPr>
        <w:adjustRightInd w:val="0"/>
        <w:snapToGrid w:val="0"/>
        <w:spacing w:line="440" w:lineRule="exact"/>
        <w:ind w:right="11" w:firstLine="420" w:firstLineChars="175"/>
        <w:rPr>
          <w:rFonts w:hint="eastAsia" w:ascii="宋体" w:hAnsi="宋体" w:cs="宋体"/>
          <w:color w:val="auto"/>
          <w:sz w:val="24"/>
          <w:highlight w:val="none"/>
          <w:u w:val="single"/>
        </w:rPr>
      </w:pPr>
      <w:r>
        <w:rPr>
          <w:rFonts w:hint="eastAsia" w:ascii="宋体" w:hAnsi="宋体" w:cs="宋体"/>
          <w:color w:val="auto"/>
          <w:sz w:val="24"/>
          <w:highlight w:val="none"/>
        </w:rPr>
        <w:t>20.9</w:t>
      </w:r>
      <w:r>
        <w:rPr>
          <w:rFonts w:hint="eastAsia" w:ascii="宋体" w:hAnsi="宋体" w:cs="宋体"/>
          <w:color w:val="auto"/>
          <w:sz w:val="24"/>
          <w:highlight w:val="none"/>
          <w:u w:val="single"/>
        </w:rPr>
        <w:t>对于承包人或其分包人所雇佣的工人出现的伤亡事故或损失，应由承包人自行负责（但由于发包人或监理单位的行为所造成的除外）。对于这类伤亡或损失，发包人不负责任，不负担涉及这类伤亡或损失的索赔、诉讼、损害赔偿及其他费用。</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21、安全防护</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21.3</w:t>
      </w:r>
      <w:r>
        <w:rPr>
          <w:rFonts w:hint="eastAsia" w:ascii="宋体" w:hAnsi="宋体" w:cs="宋体"/>
          <w:color w:val="auto"/>
          <w:sz w:val="24"/>
          <w:highlight w:val="none"/>
          <w:u w:val="single"/>
        </w:rPr>
        <w:t>承包人应在施工现场采取维护安全、防范危险、预防火灾等措施，在特殊作业环境应对作业人员采取劳动保护措施。</w:t>
      </w:r>
    </w:p>
    <w:p>
      <w:pPr>
        <w:tabs>
          <w:tab w:val="left" w:pos="2340"/>
        </w:tabs>
        <w:spacing w:line="44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szCs w:val="24"/>
          <w:highlight w:val="none"/>
        </w:rPr>
        <w:t xml:space="preserve">  21.4</w:t>
      </w:r>
      <w:r>
        <w:rPr>
          <w:rFonts w:hint="eastAsia" w:ascii="宋体" w:hAnsi="宋体" w:cs="宋体"/>
          <w:color w:val="auto"/>
          <w:sz w:val="24"/>
          <w:highlight w:val="none"/>
          <w:u w:val="single"/>
        </w:rPr>
        <w:t>承包人应加强周边学校、居民住宅的环境保护，制定绿色施工安全防护措施（包括防尘、防噪音、施工围蔽等），施工现场严格按照《广州市建设工程文明施工管理规定》（广州市人民政府令第158号）、《广州市建设工程现场文明施工管理办法》（</w:t>
      </w:r>
      <w:r>
        <w:rPr>
          <w:rFonts w:hint="eastAsia" w:ascii="宋体" w:hAnsi="宋体" w:cs="宋体"/>
          <w:bCs/>
          <w:smallCaps/>
          <w:color w:val="auto"/>
          <w:sz w:val="24"/>
          <w:highlight w:val="none"/>
          <w:u w:val="single"/>
        </w:rPr>
        <w:t>穗建质</w:t>
      </w:r>
      <w:r>
        <w:rPr>
          <w:rFonts w:hint="eastAsia" w:ascii="宋体" w:hAnsi="宋体" w:cs="宋体"/>
          <w:color w:val="auto"/>
          <w:sz w:val="24"/>
          <w:highlight w:val="none"/>
          <w:u w:val="single"/>
        </w:rPr>
        <w:t>〔2008〕</w:t>
      </w:r>
      <w:r>
        <w:rPr>
          <w:rFonts w:hint="eastAsia" w:ascii="宋体" w:hAnsi="宋体" w:cs="宋体"/>
          <w:bCs/>
          <w:smallCaps/>
          <w:color w:val="auto"/>
          <w:sz w:val="24"/>
          <w:highlight w:val="none"/>
          <w:u w:val="single"/>
        </w:rPr>
        <w:t>937号）</w:t>
      </w:r>
      <w:r>
        <w:rPr>
          <w:rFonts w:hint="eastAsia" w:ascii="宋体" w:hAnsi="宋体" w:cs="宋体"/>
          <w:color w:val="auto"/>
          <w:sz w:val="24"/>
          <w:highlight w:val="none"/>
          <w:u w:val="single"/>
        </w:rPr>
        <w:t>、《关于进一步加强我区建设工地文明施工管理的通知》（穗开规建〔2006〕74号）、《广州市住房和城乡建设委员会关于印发建设工程扬尘防治“6个100%”管理标准细化措施的通知》（穗建质〔2018〕1394号）及其他相关规定实施，施工围蔽严格按照《关于进一步加强规范建设施工现场围蔽的通知》（穗建质〔2018〕1008号）、《广州市建设工程绿色施工围蔽指导图集（V2.0版）》(穗建质〔2020〕1号）及《关于进一步落实我区市政建设项目施工围蔽提升工作的通知》（穗埔建[2019]123号）实施。</w:t>
      </w:r>
      <w:r>
        <w:rPr>
          <w:rFonts w:hint="eastAsia" w:ascii="宋体" w:hAnsi="宋体" w:cs="宋体"/>
          <w:color w:val="auto"/>
          <w:sz w:val="24"/>
          <w:highlight w:val="none"/>
        </w:rPr>
        <w:t>以上文件要求不一致的，以后发布文件为准，若相关部门发布有关施工围蔽新文件规定的，按新规定执行。</w:t>
      </w:r>
      <w:r>
        <w:rPr>
          <w:rFonts w:hint="eastAsia" w:ascii="宋体" w:hAnsi="宋体" w:cs="宋体"/>
          <w:color w:val="auto"/>
          <w:sz w:val="24"/>
          <w:highlight w:val="none"/>
          <w:u w:val="single"/>
        </w:rPr>
        <w:t>如承包人未及时按要求做好围蔽等绿色施工安全防护措施，业主可另行委托单位实施，业主在工程款中扣减围蔽费用</w:t>
      </w:r>
      <w:r>
        <w:rPr>
          <w:rFonts w:hint="eastAsia" w:ascii="宋体" w:hAnsi="宋体" w:cs="宋体"/>
          <w:color w:val="auto"/>
          <w:sz w:val="24"/>
          <w:highlight w:val="none"/>
        </w:rPr>
        <w:t>。</w:t>
      </w:r>
    </w:p>
    <w:p>
      <w:pPr>
        <w:snapToGrid w:val="0"/>
        <w:spacing w:line="440" w:lineRule="exact"/>
        <w:rPr>
          <w:rFonts w:hint="eastAsia" w:ascii="宋体" w:hAnsi="宋体" w:cs="宋体"/>
          <w:color w:val="auto"/>
          <w:sz w:val="24"/>
          <w:highlight w:val="none"/>
          <w:u w:val="single"/>
        </w:rPr>
      </w:pPr>
      <w:r>
        <w:rPr>
          <w:rFonts w:hint="eastAsia" w:ascii="宋体" w:hAnsi="宋体" w:cs="宋体"/>
          <w:color w:val="auto"/>
          <w:sz w:val="24"/>
          <w:highlight w:val="none"/>
        </w:rPr>
        <w:t xml:space="preserve">   21.5</w:t>
      </w:r>
      <w:r>
        <w:rPr>
          <w:rFonts w:hint="eastAsia" w:ascii="宋体" w:hAnsi="宋体" w:cs="宋体"/>
          <w:color w:val="auto"/>
          <w:sz w:val="24"/>
          <w:highlight w:val="none"/>
          <w:u w:val="single"/>
        </w:rPr>
        <w:t>承包人应按规定对工程施工人员进行安全教育和管理。</w:t>
      </w:r>
    </w:p>
    <w:p>
      <w:pPr>
        <w:spacing w:line="440" w:lineRule="exact"/>
        <w:ind w:firstLine="360" w:firstLineChars="150"/>
        <w:rPr>
          <w:rFonts w:hint="eastAsia" w:ascii="宋体" w:hAnsi="宋体" w:cs="宋体"/>
          <w:color w:val="auto"/>
          <w:sz w:val="24"/>
          <w:highlight w:val="none"/>
          <w:u w:val="single"/>
        </w:rPr>
      </w:pPr>
      <w:r>
        <w:rPr>
          <w:rFonts w:hint="eastAsia" w:ascii="宋体" w:hAnsi="宋体" w:cs="宋体"/>
          <w:color w:val="auto"/>
          <w:sz w:val="24"/>
          <w:highlight w:val="none"/>
        </w:rPr>
        <w:t>21.6</w:t>
      </w:r>
      <w:r>
        <w:rPr>
          <w:rFonts w:hint="eastAsia" w:ascii="宋体" w:hAnsi="宋体" w:cs="宋体"/>
          <w:color w:val="auto"/>
          <w:sz w:val="24"/>
          <w:highlight w:val="none"/>
          <w:u w:val="single"/>
        </w:rPr>
        <w:t>承包人应书面记录专项安全施工组织设计方案审查、安全检查、安全技术交底、安全隐患整改、安全教育等重要安全管理活动。</w:t>
      </w:r>
    </w:p>
    <w:p>
      <w:pPr>
        <w:spacing w:line="440" w:lineRule="exact"/>
        <w:ind w:firstLine="360" w:firstLineChars="150"/>
        <w:rPr>
          <w:rFonts w:hint="eastAsia" w:ascii="宋体" w:hAnsi="宋体" w:cs="宋体"/>
          <w:color w:val="auto"/>
          <w:sz w:val="24"/>
          <w:highlight w:val="none"/>
          <w:u w:val="single"/>
        </w:rPr>
      </w:pPr>
      <w:r>
        <w:rPr>
          <w:rFonts w:hint="eastAsia" w:ascii="宋体" w:hAnsi="宋体" w:cs="宋体"/>
          <w:color w:val="auto"/>
          <w:sz w:val="24"/>
          <w:highlight w:val="none"/>
        </w:rPr>
        <w:t>21.7</w:t>
      </w:r>
      <w:r>
        <w:rPr>
          <w:rFonts w:hint="eastAsia" w:ascii="宋体" w:hAnsi="宋体" w:cs="宋体"/>
          <w:color w:val="auto"/>
          <w:sz w:val="24"/>
          <w:highlight w:val="none"/>
          <w:u w:val="single"/>
        </w:rPr>
        <w:t>承包人用于本项目的非标起重机械设备须严格执行《关于印发&lt;广州市非标建筑起重机械管理办法&gt;的通知》(穗建质[2010]999号)的相关规定，非标起重机械设备是指没有国家或行业制造标准的各类起重机械设备，如非标架桥设备、 竖井提升设备、非标龙门吊、贝雷架式或扒杆式起重装置等。</w:t>
      </w:r>
    </w:p>
    <w:p>
      <w:pPr>
        <w:spacing w:line="440" w:lineRule="exact"/>
        <w:ind w:firstLine="360" w:firstLineChars="150"/>
        <w:rPr>
          <w:rFonts w:hint="eastAsia" w:ascii="宋体" w:hAnsi="宋体" w:cs="宋体"/>
          <w:color w:val="auto"/>
          <w:sz w:val="24"/>
          <w:highlight w:val="none"/>
          <w:u w:val="single"/>
        </w:rPr>
      </w:pPr>
      <w:r>
        <w:rPr>
          <w:rFonts w:hint="eastAsia" w:ascii="宋体" w:hAnsi="宋体" w:cs="宋体"/>
          <w:color w:val="auto"/>
          <w:sz w:val="24"/>
          <w:highlight w:val="none"/>
        </w:rPr>
        <w:t>21.8</w:t>
      </w:r>
      <w:r>
        <w:rPr>
          <w:rFonts w:hint="eastAsia" w:ascii="宋体" w:hAnsi="宋体" w:cs="宋体"/>
          <w:color w:val="auto"/>
          <w:sz w:val="24"/>
          <w:highlight w:val="none"/>
          <w:u w:val="single"/>
        </w:rPr>
        <w:t>承包人用于本项目的起重设备须严格执行《广州市住房和城乡建设委员会关于启用建筑起重机械设备安全监管系统的通知 》（穗建质〔2018〕889号）、《广州市住房和城乡建设局关于进一步加强建筑起重机械安全管理的通知 》（穗建质【2020】216号）、《广州市住房和城乡建设委员会关于进一步加强建筑起重机械设备信息化安全监管的通知》等相关规定。</w:t>
      </w:r>
    </w:p>
    <w:p>
      <w:pPr>
        <w:spacing w:line="440" w:lineRule="exact"/>
        <w:ind w:firstLine="360" w:firstLineChars="150"/>
        <w:rPr>
          <w:rFonts w:hint="eastAsia" w:ascii="宋体" w:hAnsi="宋体" w:cs="宋体"/>
          <w:color w:val="auto"/>
          <w:sz w:val="24"/>
          <w:highlight w:val="none"/>
          <w:u w:val="single"/>
        </w:rPr>
      </w:pPr>
      <w:r>
        <w:rPr>
          <w:rFonts w:hint="eastAsia" w:ascii="宋体" w:hAnsi="宋体" w:cs="宋体"/>
          <w:color w:val="auto"/>
          <w:sz w:val="24"/>
          <w:highlight w:val="none"/>
        </w:rPr>
        <w:t>21.9</w:t>
      </w:r>
      <w:r>
        <w:rPr>
          <w:rFonts w:hint="eastAsia" w:ascii="宋体" w:hAnsi="宋体" w:cs="宋体"/>
          <w:color w:val="auto"/>
          <w:sz w:val="24"/>
          <w:highlight w:val="none"/>
          <w:u w:val="single"/>
        </w:rPr>
        <w:t>承包人在工程实施过程中，按照国家、省、市的相关规定制定相关的专项安全施工方案（如高支模、基坑支护、沉井等），组织专家评审通过后，报监理人、发包人审批后方可开展专项工程的施工。</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21.10根据《广州市城乡建设委员会关于印发广州市建设工程施工机械设备环保管理整治联合行动工作方案的函》（穗建质函[2014]2763号）要求，承包人应按上述文件规定执行，确保所有在用施工机械设备整洁、安全、有效，防止尾气污染的超标排放。所有施工机械必须具有出厂合格证明文件或进口设备检测证明文件，机械设备必须使用广州市推广使用的车用燃油。承包人应对正使用的机械设备定期维护保养并采取有效措施减少污染排放。承包人未按上述要求执行的，视为未按约定投入机械设备，按35.2.6款（2）项承担违约责任。</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21.11承包人在施工期间要确保工程外场地清洁及道路畅通，如须使用他方道路，则还必须负责养护、保洁责任，否则责任自负。施工和警示标志明显，因施工造成人身损害和财产损失的，由承包人承担责任。</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21.12承包人必须考虑安全、环保等因素在局部施工范围进行围蔽施工，现场围蔽不符合国家有关安全措施及技术要求的，不得开展施工作业，由此造成的工期延长，由承包人自己负责，当作延误工期处理。</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21.13承包人应注意对现有的道路、供水管、排水管、绿化、路灯、电力与通讯设施等进行保护，如因承包人原因损坏，承包人应无条件修复，由此引起的任何安全事故由承包人负责，并承担由此产生的一切费用。若承包人不能按要求修复的，则由发包人委托其它单位修复，费用从承包人工程款中扣付。</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21.14承包人应对当地现有的交通道路状况进行充分调查，充分考虑该路段的交通疏导问题和文明施工，制定可行的交通疏导（包括场内和场外）方案，确保原有道路的交通畅通和施工临时排水的通畅，并符合施工环保要求。承包人应与交警及公路管理部门协商，取得同意和协助，并负责承担道路改线或改善和其他费用。相关费用计入措施项目费中，结算时按发包人批准的实施方案，按合同约定结算。如果承包人不及时按要求设置，发包人可以另行委托实施。发包人按实际发生的费用在工程款中扣除，承包人不得有任何异议。</w:t>
      </w:r>
    </w:p>
    <w:p>
      <w:pPr>
        <w:spacing w:line="440" w:lineRule="exact"/>
        <w:ind w:firstLine="360" w:firstLineChars="150"/>
        <w:rPr>
          <w:rFonts w:hint="eastAsia" w:ascii="宋体" w:hAnsi="宋体" w:cs="宋体"/>
          <w:color w:val="auto"/>
          <w:sz w:val="24"/>
          <w:highlight w:val="none"/>
          <w:u w:val="single"/>
        </w:rPr>
      </w:pPr>
      <w:r>
        <w:rPr>
          <w:rFonts w:hint="eastAsia" w:ascii="宋体" w:hAnsi="宋体" w:cs="宋体"/>
          <w:color w:val="auto"/>
          <w:sz w:val="24"/>
          <w:highlight w:val="none"/>
        </w:rPr>
        <w:t>22、</w:t>
      </w:r>
      <w:r>
        <w:rPr>
          <w:rFonts w:hint="eastAsia" w:ascii="宋体" w:hAnsi="宋体" w:cs="宋体"/>
          <w:color w:val="auto"/>
          <w:sz w:val="24"/>
          <w:highlight w:val="none"/>
          <w:u w:val="single"/>
        </w:rPr>
        <w:t>事故处理</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22.3</w:t>
      </w:r>
      <w:r>
        <w:rPr>
          <w:rFonts w:hint="eastAsia" w:ascii="宋体" w:hAnsi="宋体" w:cs="宋体"/>
          <w:color w:val="auto"/>
          <w:sz w:val="24"/>
          <w:highlight w:val="none"/>
          <w:u w:val="single"/>
        </w:rPr>
        <w:t>如发生安全事故，除按法定程序办理有关事宜外，还必须按以下程序进行处理：</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22.3.1</w:t>
      </w:r>
      <w:r>
        <w:rPr>
          <w:rFonts w:hint="eastAsia" w:ascii="宋体" w:hAnsi="宋体" w:cs="宋体"/>
          <w:color w:val="auto"/>
          <w:sz w:val="24"/>
          <w:highlight w:val="none"/>
          <w:u w:val="single"/>
        </w:rPr>
        <w:t>报告安全事故：安全事故发生后，承包人应在1小时内用最快的信息传递手段，将发生事故的时间、地点、伤亡人数、事故原因等情况，报工程师和发包人。</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22.3.2</w:t>
      </w:r>
      <w:r>
        <w:rPr>
          <w:rFonts w:hint="eastAsia" w:ascii="宋体" w:hAnsi="宋体" w:cs="宋体"/>
          <w:color w:val="auto"/>
          <w:sz w:val="24"/>
          <w:highlight w:val="none"/>
          <w:u w:val="single"/>
        </w:rPr>
        <w:t>事故处理：承包人负责抢救伤员、排除险情，防止事故扩大蔓延，保护好现场，并做好标志，启动保险理赔程序。</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22.3.3</w:t>
      </w:r>
      <w:r>
        <w:rPr>
          <w:rFonts w:hint="eastAsia" w:ascii="宋体" w:hAnsi="宋体" w:cs="宋体"/>
          <w:color w:val="auto"/>
          <w:sz w:val="24"/>
          <w:highlight w:val="none"/>
          <w:u w:val="single"/>
        </w:rPr>
        <w:t>事故调查：承包人应组织内部技术安全、质量部门的人员组成调查组，开展调查，并配合做好发包人或政府有关部门组织的调查工作。</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22.3.4</w:t>
      </w:r>
      <w:r>
        <w:rPr>
          <w:rFonts w:hint="eastAsia" w:ascii="宋体" w:hAnsi="宋体" w:cs="宋体"/>
          <w:color w:val="auto"/>
          <w:sz w:val="24"/>
          <w:highlight w:val="none"/>
          <w:u w:val="single"/>
        </w:rPr>
        <w:t>调查报告：承包人应把事故发生经过、原因、性质、损失、责任、处理意见、纠正和预防措施撰写成调查报告，送工程师会审后报发包人。</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六、合同价款与支付</w:t>
      </w:r>
    </w:p>
    <w:p>
      <w:pPr>
        <w:snapToGrid w:val="0"/>
        <w:spacing w:line="440" w:lineRule="exact"/>
        <w:ind w:firstLine="360" w:firstLineChars="150"/>
        <w:rPr>
          <w:rFonts w:hint="eastAsia" w:ascii="宋体" w:hAnsi="宋体" w:cs="宋体"/>
          <w:color w:val="auto"/>
          <w:sz w:val="24"/>
          <w:highlight w:val="none"/>
          <w:u w:val="single"/>
        </w:rPr>
      </w:pPr>
      <w:r>
        <w:rPr>
          <w:rFonts w:hint="eastAsia" w:ascii="宋体" w:hAnsi="宋体" w:cs="宋体"/>
          <w:color w:val="auto"/>
          <w:sz w:val="24"/>
          <w:highlight w:val="none"/>
        </w:rPr>
        <w:t xml:space="preserve">23.2 </w:t>
      </w:r>
      <w:r>
        <w:rPr>
          <w:rFonts w:hint="eastAsia" w:ascii="宋体" w:hAnsi="宋体" w:cs="宋体"/>
          <w:color w:val="auto"/>
          <w:sz w:val="24"/>
          <w:highlight w:val="none"/>
          <w:u w:val="single"/>
        </w:rPr>
        <w:t>本合同价款按照协议书第五条、本条及专用条款23.3款、23.5款约定执行，</w:t>
      </w:r>
      <w:r>
        <w:rPr>
          <w:rFonts w:hint="eastAsia" w:ascii="宋体" w:hAnsi="宋体" w:cs="宋体"/>
          <w:snapToGrid w:val="0"/>
          <w:color w:val="auto"/>
          <w:kern w:val="0"/>
          <w:sz w:val="24"/>
          <w:highlight w:val="none"/>
          <w:u w:val="single"/>
        </w:rPr>
        <w:t>最终按结算终审部门审定价结算</w:t>
      </w:r>
      <w:r>
        <w:rPr>
          <w:rFonts w:hint="eastAsia" w:ascii="宋体" w:hAnsi="宋体" w:cs="宋体"/>
          <w:color w:val="auto"/>
          <w:sz w:val="24"/>
          <w:highlight w:val="none"/>
          <w:u w:val="single"/>
        </w:rPr>
        <w:t>。</w:t>
      </w:r>
    </w:p>
    <w:p>
      <w:pPr>
        <w:snapToGrid w:val="0"/>
        <w:spacing w:line="440" w:lineRule="exact"/>
        <w:ind w:firstLine="360" w:firstLineChars="150"/>
        <w:rPr>
          <w:rFonts w:hint="eastAsia" w:ascii="宋体" w:hAnsi="宋体" w:cs="宋体"/>
          <w:color w:val="auto"/>
          <w:sz w:val="24"/>
          <w:highlight w:val="none"/>
          <w:u w:val="single"/>
        </w:rPr>
      </w:pPr>
      <w:r>
        <w:rPr>
          <w:rFonts w:hint="eastAsia" w:ascii="宋体" w:hAnsi="宋体" w:cs="宋体"/>
          <w:color w:val="auto"/>
          <w:sz w:val="24"/>
          <w:highlight w:val="none"/>
          <w:u w:val="single"/>
        </w:rPr>
        <w:t>本合同价款采用分部分项工程量清单固定综合单价方式确定，具体办法如下：</w:t>
      </w:r>
    </w:p>
    <w:p>
      <w:pPr>
        <w:snapToGrid w:val="0"/>
        <w:spacing w:line="440" w:lineRule="exact"/>
        <w:ind w:firstLine="360" w:firstLineChars="150"/>
        <w:rPr>
          <w:rFonts w:hint="eastAsia" w:ascii="宋体" w:hAnsi="宋体" w:cs="宋体"/>
          <w:color w:val="auto"/>
          <w:sz w:val="24"/>
          <w:highlight w:val="none"/>
          <w:u w:val="single"/>
        </w:rPr>
      </w:pPr>
      <w:r>
        <w:rPr>
          <w:rFonts w:hint="eastAsia" w:ascii="宋体" w:hAnsi="宋体" w:cs="宋体"/>
          <w:color w:val="auto"/>
          <w:sz w:val="24"/>
          <w:highlight w:val="none"/>
          <w:u w:val="single"/>
        </w:rPr>
        <w:t>（1）分部分项工程量清单费：除23.5.1及23.5.2规定情况外，分部分项工程量清单综合单价固定不变，工程量按实计量。</w:t>
      </w:r>
    </w:p>
    <w:p>
      <w:pPr>
        <w:snapToGrid w:val="0"/>
        <w:spacing w:line="440" w:lineRule="exact"/>
        <w:ind w:firstLine="360" w:firstLineChars="150"/>
        <w:rPr>
          <w:rFonts w:hint="eastAsia" w:ascii="宋体" w:hAnsi="宋体" w:cs="宋体"/>
          <w:color w:val="auto"/>
          <w:sz w:val="24"/>
          <w:highlight w:val="none"/>
          <w:u w:val="single"/>
        </w:rPr>
      </w:pPr>
      <w:r>
        <w:rPr>
          <w:rFonts w:hint="eastAsia" w:ascii="宋体" w:hAnsi="宋体" w:cs="宋体"/>
          <w:color w:val="auto"/>
          <w:sz w:val="24"/>
          <w:highlight w:val="none"/>
          <w:u w:val="single"/>
        </w:rPr>
        <w:t>（2）措施项目费：措施项目费（除施工围蔽费用外）固定不变，包干使用，结算时不予调整，施工围蔽清单综合单价固定不变，工程量按实计量。</w:t>
      </w:r>
    </w:p>
    <w:p>
      <w:pPr>
        <w:snapToGrid w:val="0"/>
        <w:spacing w:line="440" w:lineRule="exact"/>
        <w:ind w:firstLine="360" w:firstLineChars="150"/>
        <w:rPr>
          <w:rFonts w:hint="eastAsia" w:ascii="宋体" w:hAnsi="宋体" w:cs="宋体"/>
          <w:color w:val="auto"/>
          <w:sz w:val="24"/>
          <w:highlight w:val="none"/>
          <w:u w:val="single"/>
        </w:rPr>
      </w:pPr>
      <w:r>
        <w:rPr>
          <w:rFonts w:hint="eastAsia" w:ascii="宋体" w:hAnsi="宋体" w:cs="宋体"/>
          <w:color w:val="auto"/>
          <w:sz w:val="24"/>
          <w:highlight w:val="none"/>
          <w:u w:val="single"/>
        </w:rPr>
        <w:t>（3）其他项目部分：</w:t>
      </w:r>
    </w:p>
    <w:p>
      <w:pPr>
        <w:snapToGrid w:val="0"/>
        <w:spacing w:line="440" w:lineRule="exact"/>
        <w:ind w:firstLine="600" w:firstLineChars="250"/>
        <w:rPr>
          <w:rFonts w:hint="eastAsia" w:ascii="宋体" w:hAnsi="宋体" w:cs="宋体"/>
          <w:color w:val="auto"/>
          <w:sz w:val="24"/>
          <w:highlight w:val="none"/>
          <w:u w:val="singl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eq \o\ac(</w:instrText>
      </w:r>
      <w:r>
        <w:rPr>
          <w:rFonts w:hint="eastAsia" w:ascii="宋体" w:hAnsi="宋体" w:cs="宋体"/>
          <w:color w:val="auto"/>
          <w:position w:val="-4"/>
          <w:sz w:val="36"/>
          <w:szCs w:val="24"/>
          <w:highlight w:val="none"/>
        </w:rPr>
        <w:instrText xml:space="preserve">○</w:instrText>
      </w:r>
      <w:r>
        <w:rPr>
          <w:rFonts w:hint="eastAsia" w:ascii="宋体" w:hAnsi="宋体" w:cs="宋体"/>
          <w:color w:val="auto"/>
          <w:sz w:val="24"/>
          <w:szCs w:val="24"/>
          <w:highlight w:val="none"/>
        </w:rPr>
        <w:instrText xml:space="preserve">,1)</w:instrText>
      </w:r>
      <w:r>
        <w:rPr>
          <w:rFonts w:hint="eastAsia" w:ascii="宋体" w:hAnsi="宋体" w:cs="宋体"/>
          <w:color w:val="auto"/>
          <w:sz w:val="24"/>
          <w:szCs w:val="24"/>
          <w:highlight w:val="none"/>
        </w:rPr>
        <w:fldChar w:fldCharType="end"/>
      </w:r>
      <w:r>
        <w:rPr>
          <w:rFonts w:hint="eastAsia" w:ascii="宋体" w:hAnsi="宋体" w:cs="宋体"/>
          <w:color w:val="auto"/>
          <w:sz w:val="24"/>
          <w:highlight w:val="none"/>
          <w:u w:val="single"/>
        </w:rPr>
        <w:t>招标人部分为暂定价，按实际签订的专业承包合同或预留金使用情况进行调整和结算；</w:t>
      </w:r>
    </w:p>
    <w:p>
      <w:pPr>
        <w:snapToGrid w:val="0"/>
        <w:spacing w:line="440" w:lineRule="exact"/>
        <w:ind w:firstLine="315"/>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eq \o\ac(</w:instrText>
      </w:r>
      <w:r>
        <w:rPr>
          <w:rFonts w:hint="eastAsia" w:ascii="宋体" w:hAnsi="宋体" w:cs="宋体"/>
          <w:color w:val="auto"/>
          <w:position w:val="-4"/>
          <w:sz w:val="36"/>
          <w:szCs w:val="24"/>
          <w:highlight w:val="none"/>
        </w:rPr>
        <w:instrText xml:space="preserve">○</w:instrText>
      </w:r>
      <w:r>
        <w:rPr>
          <w:rFonts w:hint="eastAsia" w:ascii="宋体" w:hAnsi="宋体" w:cs="宋体"/>
          <w:color w:val="auto"/>
          <w:sz w:val="24"/>
          <w:szCs w:val="24"/>
          <w:highlight w:val="none"/>
        </w:rPr>
        <w:instrText xml:space="preserve">,2)</w:instrText>
      </w:r>
      <w:r>
        <w:rPr>
          <w:rFonts w:hint="eastAsia" w:ascii="宋体" w:hAnsi="宋体" w:cs="宋体"/>
          <w:color w:val="auto"/>
          <w:sz w:val="24"/>
          <w:szCs w:val="24"/>
          <w:highlight w:val="none"/>
        </w:rPr>
        <w:fldChar w:fldCharType="end"/>
      </w:r>
      <w:r>
        <w:rPr>
          <w:rFonts w:hint="eastAsia" w:ascii="宋体" w:hAnsi="宋体" w:cs="宋体"/>
          <w:color w:val="auto"/>
          <w:sz w:val="24"/>
          <w:highlight w:val="none"/>
          <w:u w:val="single"/>
        </w:rPr>
        <w:t>投标人部分为固定价格，结算时不作调整。（若实际没有发生，在结算时扣除未发生项目的费用）</w:t>
      </w:r>
    </w:p>
    <w:p>
      <w:pPr>
        <w:snapToGrid w:val="0"/>
        <w:spacing w:line="440" w:lineRule="exact"/>
        <w:ind w:firstLine="315"/>
        <w:rPr>
          <w:rFonts w:hint="eastAsia" w:ascii="宋体" w:hAnsi="宋体" w:cs="宋体"/>
          <w:color w:val="auto"/>
          <w:sz w:val="24"/>
          <w:highlight w:val="none"/>
          <w:u w:val="single"/>
        </w:rPr>
      </w:pPr>
      <w:r>
        <w:rPr>
          <w:rFonts w:hint="eastAsia" w:ascii="宋体" w:hAnsi="宋体" w:cs="宋体"/>
          <w:color w:val="auto"/>
          <w:sz w:val="24"/>
          <w:highlight w:val="none"/>
        </w:rPr>
        <w:t xml:space="preserve">      ③</w:t>
      </w:r>
      <w:r>
        <w:rPr>
          <w:rFonts w:hint="eastAsia" w:ascii="宋体" w:hAnsi="宋体" w:cs="宋体"/>
          <w:color w:val="auto"/>
          <w:sz w:val="24"/>
          <w:highlight w:val="none"/>
          <w:u w:val="single"/>
        </w:rPr>
        <w:t xml:space="preserve"> 投标人预算包干费部分按投标人报价中的费率取费，费率结算时不作调整。</w:t>
      </w:r>
    </w:p>
    <w:p>
      <w:pPr>
        <w:snapToGrid w:val="0"/>
        <w:spacing w:line="440" w:lineRule="exact"/>
        <w:ind w:firstLine="360" w:firstLineChars="150"/>
        <w:rPr>
          <w:rFonts w:hint="eastAsia" w:ascii="宋体" w:hAnsi="宋体" w:cs="宋体"/>
          <w:color w:val="auto"/>
          <w:sz w:val="24"/>
          <w:highlight w:val="none"/>
          <w:u w:val="single"/>
        </w:rPr>
      </w:pPr>
      <w:r>
        <w:rPr>
          <w:rFonts w:hint="eastAsia" w:ascii="宋体" w:hAnsi="宋体" w:cs="宋体"/>
          <w:color w:val="auto"/>
          <w:sz w:val="24"/>
          <w:highlight w:val="none"/>
          <w:u w:val="single"/>
        </w:rPr>
        <w:t>（4）税金：税金按实计取，费率固定不变。</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23.3</w:t>
      </w:r>
      <w:r>
        <w:rPr>
          <w:rFonts w:hint="eastAsia" w:ascii="宋体" w:hAnsi="宋体" w:cs="宋体"/>
          <w:color w:val="auto"/>
          <w:sz w:val="24"/>
          <w:highlight w:val="none"/>
          <w:u w:val="single"/>
        </w:rPr>
        <w:t xml:space="preserve"> 双方约定合同价款的调整因素：</w:t>
      </w:r>
    </w:p>
    <w:p>
      <w:pPr>
        <w:numPr>
          <w:ilvl w:val="0"/>
          <w:numId w:val="1"/>
        </w:num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发包人及监理单位共同确认工程量偏差；</w:t>
      </w:r>
    </w:p>
    <w:p>
      <w:pPr>
        <w:numPr>
          <w:ilvl w:val="0"/>
          <w:numId w:val="1"/>
        </w:num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发包人及监理单位共同确认工程变更、签证和新增工程；</w:t>
      </w:r>
    </w:p>
    <w:p>
      <w:pPr>
        <w:numPr>
          <w:ilvl w:val="0"/>
          <w:numId w:val="1"/>
        </w:num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物价变化；</w:t>
      </w:r>
    </w:p>
    <w:p>
      <w:pPr>
        <w:numPr>
          <w:ilvl w:val="0"/>
          <w:numId w:val="1"/>
        </w:num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费用索赔事件或发包人负责的其他情况。</w:t>
      </w:r>
    </w:p>
    <w:p>
      <w:pPr>
        <w:snapToGrid w:val="0"/>
        <w:spacing w:line="44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以上调整事项涉及的价款计价原则按23.5款约定执行。</w:t>
      </w:r>
    </w:p>
    <w:p>
      <w:pPr>
        <w:snapToGrid w:val="0"/>
        <w:spacing w:line="440" w:lineRule="exact"/>
        <w:ind w:firstLine="338" w:firstLineChars="141"/>
        <w:rPr>
          <w:rFonts w:hint="eastAsia" w:ascii="宋体" w:hAnsi="宋体" w:cs="宋体"/>
          <w:color w:val="auto"/>
          <w:sz w:val="24"/>
          <w:highlight w:val="none"/>
        </w:rPr>
      </w:pPr>
      <w:r>
        <w:rPr>
          <w:rFonts w:hint="eastAsia" w:ascii="宋体" w:hAnsi="宋体" w:cs="宋体"/>
          <w:color w:val="auto"/>
          <w:sz w:val="24"/>
          <w:highlight w:val="none"/>
        </w:rPr>
        <w:t>23.4承包人应在第23.3款情况发生后3天内，将调整原因、金额以书面形式通知监理单位，必须经监理单位和发包人书面批准后作为调整合同价款的依据。对承包人在没有得到发包人的同意和正式盖章书面函件的前提下进行的调整，发包人不予认可，一切责任和后果由承包人承担。</w:t>
      </w:r>
    </w:p>
    <w:p>
      <w:pPr>
        <w:pStyle w:val="208"/>
        <w:snapToGrid w:val="0"/>
        <w:spacing w:line="440" w:lineRule="exact"/>
        <w:ind w:firstLine="338" w:firstLineChars="141"/>
        <w:rPr>
          <w:rFonts w:hint="eastAsia" w:ascii="宋体" w:hAnsi="宋体" w:cs="宋体"/>
          <w:color w:val="auto"/>
          <w:sz w:val="24"/>
          <w:highlight w:val="none"/>
          <w:u w:val="single"/>
        </w:rPr>
      </w:pPr>
      <w:r>
        <w:rPr>
          <w:rFonts w:hint="eastAsia" w:ascii="宋体" w:hAnsi="宋体" w:cs="宋体"/>
          <w:color w:val="auto"/>
          <w:sz w:val="24"/>
          <w:highlight w:val="none"/>
        </w:rPr>
        <w:t xml:space="preserve"> 23.5</w:t>
      </w:r>
      <w:r>
        <w:rPr>
          <w:rFonts w:hint="eastAsia" w:ascii="宋体" w:hAnsi="宋体" w:cs="宋体"/>
          <w:color w:val="auto"/>
          <w:sz w:val="24"/>
          <w:highlight w:val="none"/>
          <w:u w:val="single"/>
        </w:rPr>
        <w:t>合同价款调整原则</w:t>
      </w:r>
    </w:p>
    <w:p>
      <w:pPr>
        <w:pStyle w:val="318"/>
        <w:spacing w:after="0"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23.5.1</w:t>
      </w:r>
      <w:r>
        <w:rPr>
          <w:rFonts w:hint="eastAsia" w:ascii="宋体" w:hAnsi="宋体" w:cs="宋体"/>
          <w:color w:val="auto"/>
          <w:sz w:val="24"/>
          <w:highlight w:val="none"/>
          <w:u w:val="single"/>
        </w:rPr>
        <w:t>变更、签证工程和新增工程：工程项目实施期间和结算时，招标文件工程量清单中漏列而由监理单位和招标人现场签证确认的工程项目；由于设计需要或项目建设实际需要，会引致工程量清单内数量发生变化、或工程量清单内项目的局部内容发生变化、或新增了工程量清单内没有的项目；原设计没有而由招标人批准设计变更产生的工程项目及经监理单位和招标人现场签证确认的工程项目；合同所确定的工程内容以外，非施工单位原因造成而施工过程中实际发生且需支付工程费用的，并经监理单位和招标人现场签证确认工程实际内容。变更、签证工程和新增工程按以下办法确定价格：</w:t>
      </w:r>
    </w:p>
    <w:p>
      <w:pPr>
        <w:pStyle w:val="208"/>
        <w:spacing w:line="440" w:lineRule="exact"/>
        <w:ind w:firstLine="570"/>
        <w:rPr>
          <w:rFonts w:hint="eastAsia" w:ascii="宋体" w:hAnsi="宋体" w:cs="宋体"/>
          <w:color w:val="auto"/>
          <w:sz w:val="24"/>
          <w:highlight w:val="none"/>
          <w:u w:val="single"/>
        </w:rPr>
      </w:pPr>
      <w:r>
        <w:rPr>
          <w:rFonts w:hint="eastAsia" w:ascii="宋体" w:hAnsi="宋体" w:cs="宋体"/>
          <w:color w:val="auto"/>
          <w:sz w:val="24"/>
          <w:highlight w:val="none"/>
          <w:u w:val="single"/>
        </w:rPr>
        <w:t>（1）合同工程量清单中有相同适用项目的，则采用该项目投标综合单价；合同工程量清单中相同适用项目有多个的，取最有利于发包人的相同适用项目的投标综合单价。但新增工程量超过15%的，比较招标控制价对应的综合单价并执行中标下浮率和投标综合单价，取两者的较小值作为超出15%的新增工程量的综合单价。</w:t>
      </w:r>
    </w:p>
    <w:p>
      <w:pPr>
        <w:pStyle w:val="208"/>
        <w:spacing w:line="440" w:lineRule="exact"/>
        <w:ind w:firstLine="395"/>
        <w:rPr>
          <w:rFonts w:hint="eastAsia" w:ascii="宋体" w:hAnsi="宋体" w:cs="宋体"/>
          <w:color w:val="auto"/>
          <w:sz w:val="24"/>
          <w:highlight w:val="none"/>
        </w:rPr>
      </w:pPr>
      <w:r>
        <w:rPr>
          <w:rFonts w:hint="eastAsia" w:ascii="宋体" w:hAnsi="宋体" w:cs="宋体"/>
          <w:color w:val="auto"/>
          <w:sz w:val="24"/>
          <w:highlight w:val="none"/>
        </w:rPr>
        <w:t>（2）合同工程量清单中无相同适用项目、只有类似适用项目的，则按类似项目的综合单价对相应子目、消耗量、材料设备价格等进行调整换算，原管理费、利润水平不变，仅调整主材和主要设备价格。如合同工程量清单中类似项目的综合单价有两个以上，则由发包人按消耗量最少、管理费和利润取费最低的优先顺序选择类似项目综合单价进行换算。所换算主材及设备价格执行工程造价管理机构发布的实际施工月份《广州地区建设工程常用材料税前综合价格》（实际施工跨月份的，则按监理单位确认的各月施工完成的工程量为基础分别进行计算）；《广州地区建设工程常用材料税前综合价格》没有的材料、设备单价，参考实际施工期《广州地区建设工程材料（设备）厂商价格信息》计算税前价格（实际施工跨月份的，则按监理单位确认的各月施工完成的工程量为基础分别进行计算），且需对选用的厂商价格信息重新进行市场调研询价后方可使用。《广州地区建设工程常用材料税前综合价格》及《广州地区建设工程材料（设备）厂商价格信息》均没有的材料、设备价格，由发包人、监理单位、承包人结合市场价共同协商确定。按上述原则调整后的换算综合单价最终均应执行中标下浮率。</w:t>
      </w:r>
    </w:p>
    <w:p>
      <w:pPr>
        <w:pStyle w:val="208"/>
        <w:spacing w:line="440" w:lineRule="exact"/>
        <w:ind w:firstLine="395"/>
        <w:rPr>
          <w:rFonts w:hint="eastAsia" w:ascii="宋体" w:hAnsi="宋体" w:cs="宋体"/>
          <w:color w:val="auto"/>
          <w:sz w:val="24"/>
          <w:highlight w:val="none"/>
          <w:u w:val="single"/>
        </w:rPr>
      </w:pPr>
      <w:r>
        <w:rPr>
          <w:rFonts w:hint="eastAsia" w:ascii="宋体" w:hAnsi="宋体" w:cs="宋体"/>
          <w:color w:val="auto"/>
          <w:sz w:val="24"/>
          <w:highlight w:val="none"/>
        </w:rPr>
        <w:t>（3）</w:t>
      </w:r>
      <w:r>
        <w:rPr>
          <w:rFonts w:hint="eastAsia" w:ascii="宋体" w:hAnsi="宋体" w:cs="宋体"/>
          <w:color w:val="auto"/>
          <w:sz w:val="24"/>
          <w:highlight w:val="none"/>
          <w:u w:val="single"/>
        </w:rPr>
        <w:t>合同工程量清单报价中没有相同或类似适用项目的，按以下原则计价</w:t>
      </w:r>
      <w:r>
        <w:rPr>
          <w:rFonts w:hint="eastAsia" w:ascii="宋体" w:hAnsi="宋体" w:cs="宋体"/>
          <w:color w:val="auto"/>
          <w:sz w:val="24"/>
          <w:highlight w:val="none"/>
        </w:rPr>
        <w:t>：</w:t>
      </w:r>
    </w:p>
    <w:p>
      <w:pPr>
        <w:pStyle w:val="208"/>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u w:val="single"/>
        </w:rPr>
        <w:t>① 由承包人依据变更工程资料，计量原则，按《广东省市政工程综合定额》（2018年）、《广东省房屋建筑与装饰工程综合定额》（2018年）、《广东省通用安装工程综合定额》（2018年）、《广东省园林绿化工程综合定额》（2018年）、《广东省建设工程施工机具台班费用编制规则》（2018）等相关定额标准及工程实施期工程造价管理机构发布的材料设备参考价格编制综合单价并执行中标下浮率。其中材料、设备价格执行工程造价管理机构发布的实际施工月份《广州地区建设工程常用材料税前综合价格》（实际施工跨月份的，则按监理单位确认的各月施工完成的工程量为基础分别进行计算）；《广州地区建设工程常用材料税前综合价格》没有的材料、设备单价，参考实际施工期《广州地区建设工程材料（设备）厂商价格信息》计算税前价格（实际施工跨月份的，则按监理单位确认的各月施工完成的工程量为基础分别进行计算）</w:t>
      </w:r>
      <w:r>
        <w:rPr>
          <w:rFonts w:hint="eastAsia" w:ascii="宋体" w:hAnsi="宋体" w:cs="宋体"/>
          <w:color w:val="auto"/>
          <w:sz w:val="24"/>
          <w:highlight w:val="none"/>
        </w:rPr>
        <w:t>，且需对选用的厂商价格信息重新进行市场调研询价后方可使用。</w:t>
      </w:r>
      <w:r>
        <w:rPr>
          <w:rFonts w:hint="eastAsia" w:ascii="宋体" w:hAnsi="宋体" w:cs="宋体"/>
          <w:color w:val="auto"/>
          <w:sz w:val="24"/>
          <w:highlight w:val="none"/>
          <w:u w:val="single"/>
        </w:rPr>
        <w:t>《广州地区建设工程常用材料税前综合价格》及《广州地区建设工程材料（设备）厂商价格信息》均没有的相关价格的，由发包人、监理单位、承包人结合市场价共同协商确定</w:t>
      </w:r>
      <w:r>
        <w:rPr>
          <w:rFonts w:hint="eastAsia" w:ascii="宋体" w:hAnsi="宋体" w:cs="宋体"/>
          <w:color w:val="auto"/>
          <w:sz w:val="24"/>
          <w:highlight w:val="none"/>
        </w:rPr>
        <w:t>。</w:t>
      </w:r>
    </w:p>
    <w:p>
      <w:pPr>
        <w:pStyle w:val="208"/>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② </w:t>
      </w:r>
      <w:r>
        <w:rPr>
          <w:rFonts w:hint="eastAsia" w:ascii="宋体" w:hAnsi="宋体" w:cs="宋体"/>
          <w:color w:val="auto"/>
          <w:sz w:val="24"/>
          <w:highlight w:val="none"/>
          <w:u w:val="single"/>
        </w:rPr>
        <w:t>合同工程量清单没有相同或相类似且无相关定额的项目，承包人参照《广东省市政工程综合定额》（2018年）、《广东省房屋建筑与装饰工程综合定额》（2018年）、《广东省通用安装工程综合定额》（2018年）、《广东省园林绿化工程综合定额》（2018年）、《广东省建设工程施工机具台班费用编制规则》（2018）等相关定额编制原则（上述定额查找不到的可参考其它相关定额或由发包人与承包人协商确定）及工程实施期工程造价管理机构发布的材料设备参考价格编制综合单价并执行中标下浮率。其中材料、设备价格执行工程造价管理机构发布的实际施工月份《广州地区建设工程常用材料税前综合价格》（实际施工跨月份的，则按监理单位确认的各月施工完成的工程量为基础分别进行计算）；《广州地区建设工程常用材料税前综合价格》没有的材料、设备单价，参考实际施工期《广州地区建设工程材料（设备）厂商价格信息》计算税前价格（实际施工跨月份的，则按监理单位确认的各月施工完成的工程量为基础分别进行计算）</w:t>
      </w:r>
      <w:r>
        <w:rPr>
          <w:rFonts w:hint="eastAsia" w:ascii="宋体" w:hAnsi="宋体" w:cs="宋体"/>
          <w:color w:val="auto"/>
          <w:sz w:val="24"/>
          <w:highlight w:val="none"/>
        </w:rPr>
        <w:t>，且需对选用的厂商价格信息重新进行市场调研询价后方可使用。</w:t>
      </w:r>
      <w:r>
        <w:rPr>
          <w:rFonts w:hint="eastAsia" w:ascii="宋体" w:hAnsi="宋体" w:cs="宋体"/>
          <w:color w:val="auto"/>
          <w:sz w:val="24"/>
          <w:highlight w:val="none"/>
          <w:u w:val="single"/>
        </w:rPr>
        <w:t>《广州地区建设工程常用材料税前综合价格》及《广州地区建设工程材料（设备）厂商价格信息》均没有的相关价格的，由发包人、监理单位、承包人结合市场价共同协商确定</w:t>
      </w:r>
      <w:r>
        <w:rPr>
          <w:rFonts w:hint="eastAsia" w:ascii="宋体" w:hAnsi="宋体" w:cs="宋体"/>
          <w:color w:val="auto"/>
          <w:sz w:val="24"/>
          <w:highlight w:val="none"/>
        </w:rPr>
        <w:t>。</w:t>
      </w:r>
    </w:p>
    <w:p>
      <w:pPr>
        <w:pStyle w:val="208"/>
        <w:adjustRightInd w:val="0"/>
        <w:snapToGrid w:val="0"/>
        <w:spacing w:line="440" w:lineRule="exact"/>
        <w:ind w:right="11" w:firstLine="360" w:firstLineChars="150"/>
        <w:rPr>
          <w:rFonts w:hint="eastAsia"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u w:val="single"/>
        </w:rPr>
        <w:t>按上述原则确定价格时，措施项目费用（除施工围蔽外）不计取,清单计价及税金的计取，应符合《广东省住房和城乡建设厅关于营业税改征增值税后调整广东省建设工程计价依据的通知》（粤建市【2016】1113号）、《广州市住房和城乡建设委员会转发关于营业税改增值税后调整广东省建设工程计价依据有关事项的通知》（穗建筑【2016】744号）及《广州市建设工程造价管理站关于营业税改征增值税后广州市建设工程计价有关问题的通知》（穗建造价【2016】31号）、《广东省住房和城乡建设厅关于印发&lt;广东省建设工程计价依据（2018)&gt;的通知》（穗建市〔2019〕6号）等相关文件的规定。</w:t>
      </w:r>
    </w:p>
    <w:p>
      <w:pPr>
        <w:snapToGrid w:val="0"/>
        <w:spacing w:line="440" w:lineRule="exact"/>
        <w:ind w:firstLine="338" w:firstLineChars="141"/>
        <w:rPr>
          <w:rFonts w:hint="eastAsia" w:ascii="宋体" w:hAnsi="宋体" w:cs="宋体"/>
          <w:color w:val="auto"/>
          <w:sz w:val="24"/>
          <w:highlight w:val="none"/>
        </w:rPr>
      </w:pPr>
      <w:r>
        <w:rPr>
          <w:rFonts w:hint="eastAsia" w:ascii="宋体" w:hAnsi="宋体" w:cs="宋体"/>
          <w:color w:val="auto"/>
          <w:sz w:val="24"/>
          <w:highlight w:val="none"/>
        </w:rPr>
        <w:t xml:space="preserve">23.5.2 </w:t>
      </w:r>
      <w:r>
        <w:rPr>
          <w:rFonts w:hint="eastAsia" w:ascii="宋体" w:hAnsi="宋体" w:cs="宋体"/>
          <w:color w:val="auto"/>
          <w:sz w:val="24"/>
          <w:highlight w:val="none"/>
          <w:u w:val="single"/>
        </w:rPr>
        <w:t>工程量发生变化时，如项目综合单价与招标控制价对应的综合单价×（1-中标下浮率)（下称基价）偏差超过一定幅度时，相应调整项目综合单价。其中项目综合单价＞（1+15%）×基价且工程量增加的，增加部分工程量的综合单价按基价执行；项目综合单价＜（1-15%）×基价且工程量减少的，减少部分工程量的综合单价按基价执行，并从合同价款中扣除</w:t>
      </w:r>
      <w:r>
        <w:rPr>
          <w:rFonts w:hint="eastAsia" w:ascii="宋体" w:hAnsi="宋体" w:cs="宋体"/>
          <w:color w:val="auto"/>
          <w:sz w:val="24"/>
          <w:highlight w:val="none"/>
        </w:rPr>
        <w:t>。</w:t>
      </w:r>
    </w:p>
    <w:p>
      <w:pPr>
        <w:snapToGrid w:val="0"/>
        <w:spacing w:line="440" w:lineRule="exact"/>
        <w:ind w:firstLine="338" w:firstLineChars="141"/>
        <w:rPr>
          <w:rFonts w:hint="eastAsia" w:ascii="宋体" w:hAnsi="宋体" w:cs="宋体"/>
          <w:color w:val="auto"/>
          <w:sz w:val="24"/>
          <w:highlight w:val="none"/>
          <w:u w:val="single"/>
        </w:rPr>
      </w:pPr>
      <w:r>
        <w:rPr>
          <w:rFonts w:hint="eastAsia" w:ascii="宋体" w:hAnsi="宋体" w:cs="宋体"/>
          <w:color w:val="auto"/>
          <w:sz w:val="24"/>
          <w:highlight w:val="none"/>
        </w:rPr>
        <w:t>23.5.3</w:t>
      </w:r>
      <w:r>
        <w:rPr>
          <w:rFonts w:hint="eastAsia" w:ascii="宋体" w:hAnsi="宋体" w:cs="宋体"/>
          <w:color w:val="auto"/>
          <w:sz w:val="24"/>
          <w:highlight w:val="none"/>
          <w:u w:val="single"/>
        </w:rPr>
        <w:t>物价涨跌的价格调整</w:t>
      </w:r>
    </w:p>
    <w:p>
      <w:pPr>
        <w:snapToGrid w:val="0"/>
        <w:spacing w:line="440" w:lineRule="exact"/>
        <w:ind w:firstLine="338" w:firstLineChars="141"/>
        <w:rPr>
          <w:rFonts w:hint="eastAsia" w:ascii="宋体" w:hAnsi="宋体" w:cs="宋体"/>
          <w:color w:val="auto"/>
          <w:sz w:val="24"/>
          <w:highlight w:val="none"/>
          <w:u w:val="single"/>
        </w:rPr>
      </w:pPr>
      <w:r>
        <w:rPr>
          <w:rFonts w:hint="eastAsia" w:ascii="宋体" w:hAnsi="宋体" w:cs="宋体"/>
          <w:color w:val="auto"/>
          <w:sz w:val="24"/>
          <w:highlight w:val="none"/>
          <w:u w:val="single"/>
        </w:rPr>
        <w:t>（1）合同履行期间，出现工程造价管理机构发布的人工、材料、工程设备和施工设备、机械台班单价涨跌超过本工程招标文件规定的投标截止日期前第28天时广州市建设工程造价管理部门发布的人工、材料、工程设备和施工设备、机械台班相应单价且符合以下规定的，应调整合同价款。</w:t>
      </w:r>
    </w:p>
    <w:p>
      <w:pPr>
        <w:snapToGrid w:val="0"/>
        <w:spacing w:line="440" w:lineRule="exact"/>
        <w:ind w:firstLine="338" w:firstLineChars="141"/>
        <w:rPr>
          <w:rFonts w:hint="eastAsia" w:ascii="宋体" w:hAnsi="宋体" w:cs="宋体"/>
          <w:color w:val="auto"/>
          <w:sz w:val="24"/>
          <w:highlight w:val="none"/>
          <w:u w:val="single"/>
        </w:rPr>
      </w:pPr>
      <w:r>
        <w:rPr>
          <w:rFonts w:hint="eastAsia" w:ascii="宋体" w:hAnsi="宋体" w:cs="宋体"/>
          <w:color w:val="auto"/>
          <w:sz w:val="24"/>
          <w:highlight w:val="none"/>
          <w:u w:val="single"/>
        </w:rPr>
        <w:t>承包人承担工料机价格涨跌幅度在10%以内（含10%）的风险，不予调整合同价款；工料机价格涨跌幅度超过10%时，可以调整合同价款, 调整范围为人工、机械台班、砂、碎石、石屑，及《印发&lt;关于区财政投资工程人工、材料（设备）、机械价格调整的意见&gt;的通知》（穗开环建〔2008〕59号）附件《各类工程可调价差材料（设备）清单》中对应工程类别规定的可调价材料（设备）且属《广州地区建设工程常用材料税前综合价格》（以下简称“综合价格”）包含的材料、设备；“综合价格”中没有的材料、设备均不予调整。</w:t>
      </w:r>
    </w:p>
    <w:p>
      <w:pPr>
        <w:snapToGrid w:val="0"/>
        <w:spacing w:line="440" w:lineRule="exact"/>
        <w:ind w:firstLine="338" w:firstLineChars="141"/>
        <w:rPr>
          <w:rFonts w:hint="eastAsia" w:ascii="宋体" w:hAnsi="宋体" w:cs="宋体"/>
          <w:color w:val="auto"/>
          <w:sz w:val="24"/>
          <w:highlight w:val="none"/>
          <w:u w:val="single"/>
        </w:rPr>
      </w:pPr>
      <w:r>
        <w:rPr>
          <w:rFonts w:hint="eastAsia" w:ascii="宋体" w:hAnsi="宋体" w:cs="宋体"/>
          <w:color w:val="auto"/>
          <w:sz w:val="24"/>
          <w:highlight w:val="none"/>
          <w:u w:val="single"/>
        </w:rPr>
        <w:t>（2）价款调整的方法</w:t>
      </w:r>
    </w:p>
    <w:p>
      <w:pPr>
        <w:snapToGrid w:val="0"/>
        <w:spacing w:line="440" w:lineRule="exact"/>
        <w:ind w:firstLine="338" w:firstLineChars="141"/>
        <w:rPr>
          <w:rFonts w:hint="eastAsia" w:ascii="宋体" w:hAnsi="宋体" w:cs="宋体"/>
          <w:color w:val="auto"/>
          <w:sz w:val="24"/>
          <w:highlight w:val="none"/>
          <w:u w:val="single"/>
        </w:rPr>
      </w:pPr>
      <w:r>
        <w:rPr>
          <w:rFonts w:hint="eastAsia" w:ascii="宋体" w:hAnsi="宋体" w:cs="宋体"/>
          <w:color w:val="auto"/>
          <w:sz w:val="24"/>
          <w:highlight w:val="none"/>
          <w:u w:val="single"/>
        </w:rPr>
        <w:t>①当人工、机械台班、可调价格的材料设备价格上涨幅度超过10%时，超出10%的部分由发包人承担；当人工、机械台班、可调价格的材料设备价格下跌幅度超过10%时，超出10%的部分由承包人退回发包人。人工、机械台班价格按实际发生的数量调整，材料（设备）按各类工程消耗的主要材料（设备）进行调整。</w:t>
      </w:r>
    </w:p>
    <w:p>
      <w:pPr>
        <w:snapToGrid w:val="0"/>
        <w:spacing w:line="440" w:lineRule="exact"/>
        <w:ind w:firstLine="338" w:firstLineChars="141"/>
        <w:rPr>
          <w:rFonts w:hint="eastAsia" w:ascii="宋体" w:hAnsi="宋体" w:cs="宋体"/>
          <w:color w:val="auto"/>
          <w:sz w:val="24"/>
          <w:highlight w:val="none"/>
          <w:u w:val="single"/>
        </w:rPr>
      </w:pPr>
      <w:r>
        <w:rPr>
          <w:rFonts w:hint="eastAsia" w:ascii="宋体" w:hAnsi="宋体" w:cs="宋体"/>
          <w:color w:val="auto"/>
          <w:sz w:val="24"/>
          <w:highlight w:val="none"/>
          <w:u w:val="single"/>
        </w:rPr>
        <w:t>② 价款调整以各调价工料机的数量乘以单价价差，再乘以（1-中标下浮率）计算。各工料机的数量按该当期实际完成的适用投标单价项目的工程量计取，各调价工料机的单价价差以广州市建设工程造价管理部门发布的价格信息为依据，按施工当月信息价格与招标文件规定的投标截止日期前第28天时广州市建设工程造价管理部门发布的人工、材料、工程设备和施工设备、机械台班信息价格差值计取。</w:t>
      </w:r>
    </w:p>
    <w:p>
      <w:pPr>
        <w:snapToGrid w:val="0"/>
        <w:spacing w:line="440" w:lineRule="exact"/>
        <w:ind w:firstLine="338" w:firstLineChars="141"/>
        <w:rPr>
          <w:rFonts w:hint="eastAsia" w:ascii="宋体" w:hAnsi="宋体" w:cs="宋体"/>
          <w:color w:val="auto"/>
          <w:sz w:val="24"/>
          <w:highlight w:val="none"/>
          <w:u w:val="single"/>
        </w:rPr>
      </w:pPr>
      <w:r>
        <w:rPr>
          <w:rFonts w:hint="eastAsia" w:ascii="宋体" w:hAnsi="宋体" w:cs="宋体"/>
          <w:color w:val="auto"/>
          <w:sz w:val="24"/>
          <w:highlight w:val="none"/>
          <w:u w:val="single"/>
        </w:rPr>
        <w:t>③ 价款调整以月为单位计算，结算时一次性调整，如施工期间需调整价款的，经发包人、承包人协商一致后可签订价差补充协议，作为追加（减）合同价款和支付工程进度款的依据。</w:t>
      </w:r>
    </w:p>
    <w:p>
      <w:pPr>
        <w:snapToGrid w:val="0"/>
        <w:spacing w:line="440" w:lineRule="exact"/>
        <w:ind w:firstLine="338" w:firstLineChars="141"/>
        <w:rPr>
          <w:rFonts w:hint="eastAsia" w:ascii="宋体" w:hAnsi="宋体" w:cs="宋体"/>
          <w:color w:val="auto"/>
          <w:sz w:val="24"/>
          <w:highlight w:val="none"/>
          <w:u w:val="single"/>
        </w:rPr>
      </w:pPr>
      <w:r>
        <w:rPr>
          <w:rFonts w:hint="eastAsia" w:ascii="宋体" w:hAnsi="宋体" w:cs="宋体"/>
          <w:color w:val="auto"/>
          <w:sz w:val="24"/>
          <w:highlight w:val="none"/>
          <w:u w:val="single"/>
        </w:rPr>
        <w:t>④ 各调价材料、设备的信息价格按广州市建设工程造价管理部门发布的当月 “综合价格”计取，综合价格中没有的材料、设备单价，价差不予调整。</w:t>
      </w:r>
    </w:p>
    <w:p>
      <w:pPr>
        <w:snapToGrid w:val="0"/>
        <w:spacing w:line="440" w:lineRule="exact"/>
        <w:ind w:firstLine="338" w:firstLineChars="141"/>
        <w:rPr>
          <w:rFonts w:hint="eastAsia" w:ascii="宋体" w:hAnsi="宋体" w:cs="宋体"/>
          <w:color w:val="auto"/>
          <w:sz w:val="24"/>
          <w:highlight w:val="none"/>
          <w:u w:val="single"/>
        </w:rPr>
      </w:pPr>
      <w:r>
        <w:rPr>
          <w:rFonts w:hint="eastAsia" w:ascii="宋体" w:hAnsi="宋体" w:cs="宋体"/>
          <w:color w:val="auto"/>
          <w:sz w:val="24"/>
          <w:highlight w:val="none"/>
          <w:u w:val="single"/>
        </w:rPr>
        <w:t>（3）由于承包人原因导致工期延误的，所延误时段内物价上涨的风险全部由承包人承担，不予调整；如物价下跌，则仍按第（2）款约定计算及扣回相应价款。</w:t>
      </w:r>
    </w:p>
    <w:p>
      <w:pPr>
        <w:spacing w:line="440" w:lineRule="exact"/>
        <w:rPr>
          <w:rFonts w:hint="eastAsia" w:ascii="宋体" w:hAnsi="宋体" w:cs="宋体"/>
          <w:color w:val="auto"/>
          <w:sz w:val="24"/>
          <w:highlight w:val="none"/>
        </w:rPr>
      </w:pPr>
    </w:p>
    <w:p>
      <w:pPr>
        <w:snapToGrid w:val="0"/>
        <w:spacing w:line="440" w:lineRule="exact"/>
        <w:rPr>
          <w:rFonts w:hint="eastAsia" w:ascii="宋体" w:hAnsi="宋体" w:cs="宋体"/>
          <w:b/>
          <w:color w:val="auto"/>
          <w:sz w:val="24"/>
          <w:highlight w:val="none"/>
        </w:rPr>
      </w:pPr>
      <w:r>
        <w:rPr>
          <w:rFonts w:hint="eastAsia" w:ascii="宋体" w:hAnsi="宋体" w:cs="宋体"/>
          <w:color w:val="auto"/>
          <w:sz w:val="24"/>
          <w:highlight w:val="none"/>
        </w:rPr>
        <w:t xml:space="preserve">  24</w:t>
      </w:r>
      <w:r>
        <w:rPr>
          <w:rFonts w:hint="eastAsia" w:ascii="宋体" w:hAnsi="宋体" w:cs="宋体"/>
          <w:b/>
          <w:color w:val="auto"/>
          <w:sz w:val="24"/>
          <w:highlight w:val="none"/>
        </w:rPr>
        <w:t>、工程预付款及工人工资</w:t>
      </w:r>
    </w:p>
    <w:p>
      <w:pPr>
        <w:snapToGrid w:val="0"/>
        <w:spacing w:line="440" w:lineRule="exact"/>
        <w:ind w:firstLine="338" w:firstLineChars="141"/>
        <w:rPr>
          <w:rFonts w:hint="eastAsia" w:ascii="宋体" w:hAnsi="宋体" w:cs="宋体"/>
          <w:color w:val="auto"/>
          <w:sz w:val="24"/>
          <w:highlight w:val="none"/>
        </w:rPr>
      </w:pPr>
      <w:r>
        <w:rPr>
          <w:rFonts w:hint="eastAsia" w:ascii="宋体" w:hAnsi="宋体" w:cs="宋体"/>
          <w:color w:val="auto"/>
          <w:sz w:val="24"/>
          <w:highlight w:val="none"/>
        </w:rPr>
        <w:t>24.1工程预付款</w:t>
      </w:r>
    </w:p>
    <w:p>
      <w:pPr>
        <w:snapToGrid w:val="0"/>
        <w:spacing w:line="440" w:lineRule="exact"/>
        <w:ind w:firstLine="338" w:firstLineChars="141"/>
        <w:rPr>
          <w:rFonts w:hint="eastAsia" w:ascii="宋体" w:hAnsi="宋体" w:cs="宋体"/>
          <w:color w:val="auto"/>
          <w:sz w:val="24"/>
          <w:highlight w:val="none"/>
        </w:rPr>
      </w:pPr>
      <w:r>
        <w:rPr>
          <w:rFonts w:hint="eastAsia" w:ascii="宋体" w:hAnsi="宋体" w:cs="宋体"/>
          <w:color w:val="auto"/>
          <w:sz w:val="24"/>
          <w:highlight w:val="none"/>
        </w:rPr>
        <w:t>24.1.1发包人向承包人预付工程款的时间和金额或占合同价款总额的比例：按广州开发区财政投资建设项目管理中心 《关于加强建设工程预付款管理的通知》</w:t>
      </w:r>
      <w:r>
        <w:rPr>
          <w:rFonts w:hint="eastAsia" w:ascii="宋体" w:hAnsi="宋体" w:cs="宋体"/>
          <w:color w:val="auto"/>
          <w:sz w:val="24"/>
          <w:szCs w:val="24"/>
          <w:highlight w:val="none"/>
        </w:rPr>
        <w:t>及相关</w:t>
      </w:r>
      <w:r>
        <w:rPr>
          <w:rFonts w:hint="eastAsia" w:ascii="宋体" w:hAnsi="宋体" w:cs="宋体"/>
          <w:color w:val="auto"/>
          <w:sz w:val="24"/>
          <w:highlight w:val="none"/>
        </w:rPr>
        <w:t>规定核查，承包人相关情况符合要求，且合同生效及财政拨款到位后，发包人预付合同价【扣除绿色施工安全防护措施费，若工程量清单中有暂定金则扣除暂定金（含暂列金额和暂估价）部分】的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15</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%作为预付款，但最高不超过</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5000</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万元。预付款中，（预付款×工人工资比例）的部分需支付至工人工资专用账户。</w:t>
      </w:r>
    </w:p>
    <w:p>
      <w:pPr>
        <w:snapToGrid w:val="0"/>
        <w:spacing w:line="440" w:lineRule="exact"/>
        <w:ind w:firstLine="338" w:firstLineChars="141"/>
        <w:rPr>
          <w:rFonts w:hint="eastAsia" w:ascii="宋体" w:hAnsi="宋体" w:cs="宋体"/>
          <w:color w:val="auto"/>
          <w:sz w:val="24"/>
          <w:highlight w:val="none"/>
        </w:rPr>
      </w:pPr>
      <w:r>
        <w:rPr>
          <w:rFonts w:hint="eastAsia" w:ascii="宋体" w:hAnsi="宋体" w:cs="宋体"/>
          <w:color w:val="auto"/>
          <w:sz w:val="24"/>
          <w:highlight w:val="none"/>
        </w:rPr>
        <w:t xml:space="preserve"> 24.1.2承包人收取预付款后，应优先用于按有关规定缴纳工伤保险和办理建筑意外伤害险，专款专用。</w:t>
      </w:r>
    </w:p>
    <w:p>
      <w:pPr>
        <w:snapToGrid w:val="0"/>
        <w:spacing w:line="440" w:lineRule="exact"/>
        <w:ind w:firstLine="456" w:firstLineChars="190"/>
        <w:rPr>
          <w:rFonts w:hint="eastAsia" w:ascii="宋体" w:hAnsi="宋体" w:cs="宋体"/>
          <w:color w:val="auto"/>
          <w:sz w:val="24"/>
          <w:highlight w:val="none"/>
        </w:rPr>
      </w:pPr>
      <w:r>
        <w:rPr>
          <w:rFonts w:hint="eastAsia" w:ascii="宋体" w:hAnsi="宋体" w:cs="宋体"/>
          <w:color w:val="auto"/>
          <w:sz w:val="24"/>
          <w:highlight w:val="none"/>
        </w:rPr>
        <w:t>24.1.3扣回预付款的时间、比例：按本合同专用条款26条约定执行。</w:t>
      </w:r>
    </w:p>
    <w:p>
      <w:pPr>
        <w:snapToGrid w:val="0"/>
        <w:spacing w:line="440" w:lineRule="exact"/>
        <w:ind w:firstLine="456" w:firstLineChars="190"/>
        <w:rPr>
          <w:rFonts w:hint="eastAsia" w:ascii="宋体" w:hAnsi="宋体" w:cs="宋体"/>
          <w:color w:val="auto"/>
          <w:sz w:val="24"/>
          <w:highlight w:val="none"/>
        </w:rPr>
      </w:pPr>
      <w:r>
        <w:rPr>
          <w:rFonts w:hint="eastAsia" w:ascii="宋体" w:hAnsi="宋体" w:cs="宋体"/>
          <w:color w:val="auto"/>
          <w:sz w:val="24"/>
          <w:highlight w:val="none"/>
        </w:rPr>
        <w:t>24.2工人工资</w:t>
      </w:r>
    </w:p>
    <w:p>
      <w:pPr>
        <w:snapToGrid w:val="0"/>
        <w:spacing w:line="440" w:lineRule="exact"/>
        <w:ind w:firstLine="456" w:firstLineChars="190"/>
        <w:rPr>
          <w:rFonts w:hint="eastAsia" w:ascii="宋体" w:hAnsi="宋体" w:cs="宋体"/>
          <w:color w:val="auto"/>
          <w:sz w:val="24"/>
          <w:highlight w:val="none"/>
        </w:rPr>
      </w:pPr>
      <w:r>
        <w:rPr>
          <w:rFonts w:hint="eastAsia" w:ascii="宋体" w:hAnsi="宋体" w:cs="宋体"/>
          <w:color w:val="auto"/>
          <w:sz w:val="24"/>
          <w:highlight w:val="none"/>
        </w:rPr>
        <w:t>24.2.1承包人需按有关规定与商业银行另行签订广州市建设领域工人工资支付专用账户管理协议、开设专用账户并报发包人备案,工人工资支付至专用账户。</w:t>
      </w:r>
    </w:p>
    <w:p>
      <w:pPr>
        <w:snapToGrid w:val="0"/>
        <w:spacing w:line="440" w:lineRule="exact"/>
        <w:ind w:firstLine="456" w:firstLineChars="190"/>
        <w:rPr>
          <w:rFonts w:hint="eastAsia" w:ascii="宋体" w:hAnsi="宋体" w:cs="宋体"/>
          <w:color w:val="auto"/>
          <w:sz w:val="24"/>
          <w:highlight w:val="none"/>
        </w:rPr>
      </w:pPr>
      <w:r>
        <w:rPr>
          <w:rFonts w:hint="eastAsia" w:ascii="宋体" w:hAnsi="宋体" w:cs="宋体"/>
          <w:color w:val="auto"/>
          <w:sz w:val="24"/>
          <w:highlight w:val="none"/>
        </w:rPr>
        <w:t>24.2.2工人工资进度款与工程进度款同步支付，其中每期需支付的工程进度款×工人工资比例为该期工人工资进度款，支付至工人工资专用账户。</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25</w:t>
      </w:r>
      <w:r>
        <w:rPr>
          <w:rFonts w:hint="eastAsia" w:ascii="宋体" w:hAnsi="宋体" w:cs="宋体"/>
          <w:b/>
          <w:color w:val="auto"/>
          <w:sz w:val="24"/>
          <w:highlight w:val="none"/>
        </w:rPr>
        <w:t>、工程量确认</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25.1 承包人向工程师提交已完工程量报告的时间：</w:t>
      </w:r>
      <w:r>
        <w:rPr>
          <w:rFonts w:hint="eastAsia" w:ascii="宋体" w:hAnsi="宋体" w:cs="宋体"/>
          <w:color w:val="auto"/>
          <w:sz w:val="24"/>
          <w:highlight w:val="none"/>
          <w:u w:val="single"/>
        </w:rPr>
        <w:t>自开工之日起每周及每月报告已完成工程状况</w:t>
      </w:r>
      <w:r>
        <w:rPr>
          <w:rFonts w:hint="eastAsia" w:ascii="宋体" w:hAnsi="宋体" w:cs="宋体"/>
          <w:color w:val="auto"/>
          <w:sz w:val="24"/>
          <w:highlight w:val="none"/>
        </w:rPr>
        <w:t>。</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25.2双方一致同意不适用通用条款25.2款。承包人完成工程量必须经发包人书面确认。</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26、</w:t>
      </w:r>
      <w:r>
        <w:rPr>
          <w:rFonts w:hint="eastAsia" w:ascii="宋体" w:hAnsi="宋体" w:cs="宋体"/>
          <w:b/>
          <w:color w:val="auto"/>
          <w:sz w:val="24"/>
          <w:highlight w:val="none"/>
        </w:rPr>
        <w:t>工程款（进度款）支付</w:t>
      </w:r>
    </w:p>
    <w:p>
      <w:pPr>
        <w:snapToGrid w:val="0"/>
        <w:spacing w:line="440" w:lineRule="exact"/>
        <w:ind w:firstLine="480"/>
        <w:rPr>
          <w:rFonts w:hint="eastAsia" w:ascii="宋体" w:hAnsi="宋体" w:cs="宋体"/>
          <w:color w:val="auto"/>
          <w:sz w:val="24"/>
          <w:highlight w:val="none"/>
        </w:rPr>
      </w:pPr>
      <w:r>
        <w:rPr>
          <w:rFonts w:hint="eastAsia" w:ascii="宋体" w:hAnsi="宋体" w:cs="宋体"/>
          <w:color w:val="auto"/>
          <w:sz w:val="24"/>
          <w:highlight w:val="none"/>
        </w:rPr>
        <w:t>26.1双方约定的工程款（进度款）支付采取如下的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26.1.2</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方式进行：</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26.1.1 按累计完成工作量百分率支付工程款（进度款）方式：</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（1）当完成工作量达到 60% 时，支付工程进度款</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u w:val="single"/>
        </w:rPr>
        <w:t>【累计付款(含已支付的绿色施工安全防护措施费)至合同价款若有暂定金(含暂列金额和暂估价)扣除未计量部分暂定金(含暂列金额和暂估价)后的55%】</w:t>
      </w:r>
      <w:r>
        <w:rPr>
          <w:rFonts w:hint="eastAsia" w:ascii="宋体" w:hAnsi="宋体" w:cs="宋体"/>
          <w:color w:val="auto"/>
          <w:sz w:val="24"/>
          <w:highlight w:val="none"/>
        </w:rPr>
        <w:t>；</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（2）工程完工，并通过初验后支付合同价款30%</w:t>
      </w:r>
      <w:r>
        <w:rPr>
          <w:rFonts w:hint="eastAsia" w:ascii="宋体" w:hAnsi="宋体" w:cs="宋体"/>
          <w:color w:val="auto"/>
          <w:sz w:val="24"/>
          <w:highlight w:val="none"/>
          <w:u w:val="single"/>
        </w:rPr>
        <w:t>【累计付款(含绿色施工安全防护措施费）至合同价款若有暂定金(含暂列金额和暂估价)扣除未计量部分暂定金(含暂列金额和暂估价)后的85%】</w:t>
      </w:r>
      <w:r>
        <w:rPr>
          <w:rFonts w:hint="eastAsia" w:ascii="宋体" w:hAnsi="宋体" w:cs="宋体"/>
          <w:color w:val="auto"/>
          <w:sz w:val="24"/>
          <w:highlight w:val="none"/>
        </w:rPr>
        <w:t>；</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（3）工程通过验收并经广州开发区财政局审定施工结算后支付工程款</w:t>
      </w:r>
      <w:r>
        <w:rPr>
          <w:rFonts w:hint="eastAsia" w:ascii="宋体" w:hAnsi="宋体" w:cs="宋体"/>
          <w:color w:val="auto"/>
          <w:sz w:val="24"/>
          <w:highlight w:val="none"/>
          <w:u w:val="single"/>
        </w:rPr>
        <w:t>(含绿色施工安全防护措施费）</w:t>
      </w:r>
      <w:r>
        <w:rPr>
          <w:rFonts w:hint="eastAsia" w:ascii="宋体" w:hAnsi="宋体" w:cs="宋体"/>
          <w:color w:val="auto"/>
          <w:sz w:val="24"/>
          <w:highlight w:val="none"/>
        </w:rPr>
        <w:t>至结算价的97%，工程质量要求达到“□广东省建筑工程优质奖（医院类房建项目选此项）□广州市优良样板工程（学校类项目选此项）”的质量标准而支付此款项时尚未获得相关称号的，暂按未达到质量要求暂扣相应违约金，获得相关称号后再行支付给承包人；工程结算价款额度的3%作为保修金，待缺陷责任期结束后结清（不计利息）。</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上述所有款项均在广州开发区财政局审定该专项资金并拨款到位后支付，每期需支付的工程进度款×工人工资比例为该期工人工资进度款，支付至工人工资专用账户。办理工程款财政请款手续的时间不计入付款期限。</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26.1.2按月度支付工程款（进度款）：</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承包人每月上报完成工程量报表，经监理审核及发包人确认后，发包人按经审定月度完成工程量的85%支付工程进度款。</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从本工程发生的第一次进度款支付起，发包人每次按审定月度完成工程量的85%中之50%扣回预付款，每次按审定月度完成工程量的85%扣除应扣回的预付款后支付承包人当次的工程进度款，直至预付款全部扣回完毕止。预付款扣回完毕后，发包人按审定月度完成工程量的85%支付工程进度款；工程完工，累计支付工程款</w:t>
      </w:r>
      <w:r>
        <w:rPr>
          <w:rFonts w:hint="eastAsia" w:ascii="宋体" w:hAnsi="宋体" w:cs="宋体"/>
          <w:color w:val="auto"/>
          <w:sz w:val="24"/>
          <w:highlight w:val="none"/>
          <w:u w:val="single"/>
        </w:rPr>
        <w:t>（含绿色施工安全防护措施费）</w:t>
      </w:r>
      <w:r>
        <w:rPr>
          <w:rFonts w:hint="eastAsia" w:ascii="宋体" w:hAnsi="宋体" w:cs="宋体"/>
          <w:color w:val="auto"/>
          <w:sz w:val="24"/>
          <w:highlight w:val="none"/>
        </w:rPr>
        <w:t>至合同价扣除若有暂定金</w:t>
      </w:r>
      <w:r>
        <w:rPr>
          <w:rFonts w:hint="eastAsia" w:ascii="宋体" w:hAnsi="宋体" w:cs="宋体"/>
          <w:color w:val="auto"/>
          <w:sz w:val="24"/>
          <w:highlight w:val="none"/>
          <w:u w:val="single"/>
        </w:rPr>
        <w:t>（含暂列金额及暂估价）</w:t>
      </w:r>
      <w:r>
        <w:rPr>
          <w:rFonts w:hint="eastAsia" w:ascii="宋体" w:hAnsi="宋体" w:cs="宋体"/>
          <w:color w:val="auto"/>
          <w:sz w:val="24"/>
          <w:highlight w:val="none"/>
        </w:rPr>
        <w:t>则扣除未计量部分暂定金后的85%。</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工程通过验收并经广州开发区财政局审定施工结算后支付工程款</w:t>
      </w:r>
      <w:r>
        <w:rPr>
          <w:rFonts w:hint="eastAsia" w:ascii="宋体" w:hAnsi="宋体" w:cs="宋体"/>
          <w:color w:val="auto"/>
          <w:sz w:val="24"/>
          <w:highlight w:val="none"/>
          <w:u w:val="single"/>
        </w:rPr>
        <w:t>（含绿色施工安全防护措施费）</w:t>
      </w:r>
      <w:r>
        <w:rPr>
          <w:rFonts w:hint="eastAsia" w:ascii="宋体" w:hAnsi="宋体" w:cs="宋体"/>
          <w:color w:val="auto"/>
          <w:sz w:val="24"/>
          <w:highlight w:val="none"/>
        </w:rPr>
        <w:t>至结算价的97%，□工程质量要求达到“□广东省建筑工程优质奖（医院类房建项目选此项）□广州市优良样板工程（学校类项目选此项）”的质量标准而支付此款项时尚未获得相关称号的，暂按未达到质量要求暂扣相应违约金，获得相关称号后再行支付给承包人；工程结算价款额度的3%作为保修金，待缺陷责任期期结束后结清（不计利息）。</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上述所有款项均在广州开发区财政局审定该专项资金并拨款到位后支付，每期需支付的工程进度款×工人工资比例为该期工人工资进度款，支付至工人工资专用账户。办理工程款财政请款手续的时间不计入付款期限。</w:t>
      </w:r>
    </w:p>
    <w:p>
      <w:pPr>
        <w:adjustRightInd w:val="0"/>
        <w:snapToGrid w:val="0"/>
        <w:spacing w:line="440" w:lineRule="exact"/>
        <w:ind w:right="11" w:firstLine="420" w:firstLineChars="175"/>
        <w:rPr>
          <w:rFonts w:hint="eastAsia" w:ascii="宋体" w:hAnsi="宋体" w:cs="宋体"/>
          <w:color w:val="auto"/>
          <w:sz w:val="24"/>
          <w:highlight w:val="none"/>
        </w:rPr>
      </w:pPr>
      <w:r>
        <w:rPr>
          <w:rFonts w:hint="eastAsia" w:ascii="宋体" w:hAnsi="宋体" w:cs="宋体"/>
          <w:color w:val="auto"/>
          <w:sz w:val="24"/>
          <w:highlight w:val="none"/>
        </w:rPr>
        <w:t>26.2所有因变更、签证及价格调整等原因所调整增加的工程价款均应由承包人按广州开发区、黄埔区及建设业主相关规定程序，报监理初审，并经发包人审批同意后，按审定金额另行签订补充协议支付，或在工程结算中一并支付。</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26.4工程价款的支付条件：</w:t>
      </w:r>
    </w:p>
    <w:p>
      <w:pPr>
        <w:snapToGrid w:val="0"/>
        <w:spacing w:line="440" w:lineRule="exact"/>
        <w:ind w:firstLine="480"/>
        <w:rPr>
          <w:rFonts w:hint="eastAsia" w:ascii="宋体" w:hAnsi="宋体" w:cs="宋体"/>
          <w:snapToGrid w:val="0"/>
          <w:color w:val="auto"/>
          <w:sz w:val="24"/>
          <w:highlight w:val="none"/>
          <w:u w:val="single"/>
        </w:rPr>
      </w:pPr>
      <w:r>
        <w:rPr>
          <w:rFonts w:hint="eastAsia" w:ascii="宋体" w:hAnsi="宋体" w:cs="宋体"/>
          <w:color w:val="auto"/>
          <w:sz w:val="24"/>
          <w:highlight w:val="none"/>
        </w:rPr>
        <w:t>（1）支付预付款：</w:t>
      </w:r>
      <w:r>
        <w:rPr>
          <w:rFonts w:hint="eastAsia" w:ascii="宋体" w:hAnsi="宋体" w:cs="宋体"/>
          <w:color w:val="auto"/>
          <w:sz w:val="24"/>
          <w:highlight w:val="none"/>
          <w:u w:val="single"/>
        </w:rPr>
        <w:t>承包人已与发包人签订工程施工合同，承包人承诺的项目管理人员、机械设备到位。已生效的履约担保已按发包人要求准时提交发包人，工程已经监理工程师批准动工，该工程财政拨款已到位。如工程因用地、拆迁等原因导致不能全面开工，则预付款的支付将按开工部分的工程量占总工程量的比例做相应调整</w:t>
      </w:r>
      <w:r>
        <w:rPr>
          <w:rFonts w:hint="eastAsia" w:ascii="宋体" w:hAnsi="宋体" w:cs="宋体"/>
          <w:snapToGrid w:val="0"/>
          <w:color w:val="auto"/>
          <w:sz w:val="24"/>
          <w:highlight w:val="none"/>
          <w:u w:val="single"/>
        </w:rPr>
        <w:t>。</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（2）支付工程款（进度款）：</w:t>
      </w:r>
      <w:r>
        <w:rPr>
          <w:rFonts w:hint="eastAsia" w:ascii="宋体" w:hAnsi="宋体" w:cs="宋体"/>
          <w:color w:val="auto"/>
          <w:sz w:val="24"/>
          <w:highlight w:val="none"/>
          <w:u w:val="single"/>
        </w:rPr>
        <w:t>承包人必须及时向监理工程师提供其完成工作量的计量支付汇总报表和相应的分项工程计量支付报表。完成的全部分项工程数量均需有监理工程师的签认手续，计算依据和相关的质量合格证明资料，需通过测量确定数量的必须附有完整的测量资料且有监理工程师的签认。</w:t>
      </w:r>
    </w:p>
    <w:p>
      <w:pPr>
        <w:pStyle w:val="228"/>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26.5</w:t>
      </w:r>
      <w:r>
        <w:rPr>
          <w:rFonts w:hint="eastAsia" w:ascii="宋体" w:hAnsi="宋体" w:cs="宋体"/>
          <w:color w:val="auto"/>
          <w:sz w:val="24"/>
          <w:highlight w:val="none"/>
          <w:u w:val="single"/>
        </w:rPr>
        <w:t>绿色施工安全防护措施费</w:t>
      </w:r>
      <w:r>
        <w:rPr>
          <w:rFonts w:hint="eastAsia" w:ascii="宋体" w:hAnsi="宋体" w:cs="宋体"/>
          <w:color w:val="auto"/>
          <w:sz w:val="24"/>
          <w:highlight w:val="none"/>
        </w:rPr>
        <w:t>支付的支付条件：</w:t>
      </w:r>
    </w:p>
    <w:p>
      <w:pPr>
        <w:pStyle w:val="228"/>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u w:val="single"/>
        </w:rPr>
        <w:t>绿色施工安全防护措施费按在工程投标最高报价中的绿色施工安全防护措施费用计取，专款专用，并从本施工合同价款中提取（绿色施工安全防护措施费已包含在本工程中标价即施工合同价中）。该费用根据《广州开发区财政投资建设项目管理中心建设项目绿色施工安全防护措施费支付管理实施细则（2024年修订）》及“穗建筑【2008】967号”文及“穗建筑【2018】981号”规定，分阶段支付绿色施工安全防护措施费：</w:t>
      </w:r>
    </w:p>
    <w:p>
      <w:pPr>
        <w:spacing w:line="440" w:lineRule="exact"/>
        <w:rPr>
          <w:rFonts w:hint="eastAsia" w:ascii="宋体" w:hAnsi="宋体" w:cs="宋体"/>
          <w:color w:val="auto"/>
          <w:sz w:val="24"/>
          <w:highlight w:val="none"/>
          <w:lang w:bidi="ar"/>
        </w:rPr>
      </w:pPr>
      <w:r>
        <w:rPr>
          <w:rFonts w:hint="eastAsia" w:ascii="宋体" w:hAnsi="宋体" w:cs="宋体"/>
          <w:color w:val="auto"/>
          <w:sz w:val="24"/>
          <w:highlight w:val="none"/>
          <w:lang w:bidi="ar"/>
        </w:rPr>
        <w:t xml:space="preserve">   第一次申请：预付绿色施工安全防护措施费的50%。工程项目开工日一个月内，由施工总承包单位主动向中心工程部门提出申请；存在特殊情况的，如因施工总承包单位逾期不主动向中心申请绿色施工安全防护措施费预付，导致施工总承包单位不能保障工程项目前期安全生产投入到位或对工程项目正常推进产生负面影响的，则由施工总承包单位自行承担相应后果。</w:t>
      </w:r>
    </w:p>
    <w:p>
      <w:pPr>
        <w:spacing w:line="440" w:lineRule="exact"/>
        <w:rPr>
          <w:rFonts w:hint="eastAsia" w:ascii="宋体" w:hAnsi="宋体" w:cs="宋体"/>
          <w:color w:val="auto"/>
          <w:sz w:val="24"/>
          <w:highlight w:val="none"/>
          <w:lang w:bidi="ar"/>
        </w:rPr>
      </w:pPr>
      <w:r>
        <w:rPr>
          <w:rFonts w:hint="eastAsia" w:ascii="宋体" w:hAnsi="宋体" w:cs="宋体"/>
          <w:color w:val="auto"/>
          <w:sz w:val="24"/>
          <w:highlight w:val="none"/>
          <w:lang w:bidi="ar"/>
        </w:rPr>
        <w:t xml:space="preserve">    第二次申请：第一次现场验收合格后可以申请绿色施工安全防护措施费的40%。申请需提供区建管中心出具的《检查记录表》，且评定等级为合格或以上；</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lang w:bidi="ar"/>
        </w:rPr>
        <w:t>第三次申请：第二次现场验收合格后可以申请绿色施工安全防护措施费的10%。申请需提供区质监站出具的《建设工程施工安全评价书》且评定等级为合格或以上；存在特殊情况的，如部分建设项目因手续不齐全等原因无法取得施工许可证，导致无法取得区质监站出具《建设工程施工安全评价书》的，则需工程项目在确保现场安全文明施工措施到位，由施工单位出具相关承诺书（安全措施实施情况说明及相关安全防护照片）。</w:t>
      </w:r>
    </w:p>
    <w:p>
      <w:pPr>
        <w:pStyle w:val="239"/>
        <w:spacing w:line="440" w:lineRule="exact"/>
        <w:ind w:firstLine="480" w:firstLineChars="200"/>
        <w:outlineLvl w:val="1"/>
        <w:rPr>
          <w:rFonts w:hint="eastAsia" w:ascii="宋体" w:hAnsi="宋体" w:cs="宋体"/>
          <w:color w:val="auto"/>
          <w:sz w:val="24"/>
          <w:szCs w:val="24"/>
          <w:highlight w:val="none"/>
        </w:rPr>
      </w:pPr>
      <w:bookmarkStart w:id="246" w:name="_Toc4801"/>
      <w:r>
        <w:rPr>
          <w:rFonts w:hint="eastAsia" w:ascii="宋体" w:hAnsi="宋体" w:cs="宋体"/>
          <w:color w:val="auto"/>
          <w:sz w:val="24"/>
          <w:szCs w:val="24"/>
          <w:highlight w:val="none"/>
        </w:rPr>
        <w:t>26.6根据广州市环境保护局《关于开展建筑施工扬尘排污费征收工作的通知》（穗环〔2015〕114号）及广州开发区建设和环境保护局《关于开展建筑施工扬尘排污费征收工作的通知》（穗开环〔2015〕20号）规定，本工程需向环保部门交纳建筑施工扬尘排污费，该费用由环保部门根据《广州市建筑施工扬尘排放量核算办法》和《排污费征收标准及计算方法》核定。根据环保部门开具的《排放污染物与排污费缴纳金额核定表》，超标及落后产能部分由承包人承担，其余部分由发包人承担。缴纳方式如下：由承包人以发包人名义先行垫付资金向环保部门缴纳，并在10个工作日内凭缴费凭证就除超标及落后产能外的费用向发包人提交报销申请，逾期未提出申请视为放弃相关权利。</w:t>
      </w:r>
      <w:bookmarkEnd w:id="246"/>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七、材料设备供应</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27、发包人供应材料设备</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27.4 发包人供应的材料设备与一览表不符时，双方约定发包人承担责任如下：</w:t>
      </w:r>
    </w:p>
    <w:p>
      <w:pPr>
        <w:snapToGrid w:val="0"/>
        <w:spacing w:line="440" w:lineRule="exact"/>
        <w:ind w:left="397" w:firstLine="397"/>
        <w:rPr>
          <w:rFonts w:hint="eastAsia" w:ascii="宋体" w:hAnsi="宋体" w:cs="宋体"/>
          <w:color w:val="auto"/>
          <w:sz w:val="24"/>
          <w:highlight w:val="none"/>
          <w:u w:val="single"/>
        </w:rPr>
      </w:pPr>
      <w:r>
        <w:rPr>
          <w:rFonts w:hint="eastAsia" w:ascii="宋体" w:hAnsi="宋体" w:cs="宋体"/>
          <w:color w:val="auto"/>
          <w:sz w:val="24"/>
          <w:highlight w:val="none"/>
        </w:rPr>
        <w:t>（1）材料设备单价与一览表不符：</w:t>
      </w:r>
      <w:r>
        <w:rPr>
          <w:rFonts w:hint="eastAsia" w:ascii="宋体" w:hAnsi="宋体" w:cs="宋体"/>
          <w:color w:val="auto"/>
          <w:sz w:val="24"/>
          <w:highlight w:val="none"/>
          <w:u w:val="single"/>
        </w:rPr>
        <mc:AlternateContent>
          <mc:Choice Requires="wps">
            <w:drawing>
              <wp:anchor distT="0" distB="0" distL="114300" distR="114300" simplePos="0" relativeHeight="251659264" behindDoc="0" locked="0" layoutInCell="0" allowOverlap="1">
                <wp:simplePos x="0" y="0"/>
                <wp:positionH relativeFrom="column">
                  <wp:posOffset>3556000</wp:posOffset>
                </wp:positionH>
                <wp:positionV relativeFrom="paragraph">
                  <wp:posOffset>0</wp:posOffset>
                </wp:positionV>
                <wp:extent cx="635" cy="0"/>
                <wp:effectExtent l="0" t="4445" r="0" b="5080"/>
                <wp:wrapNone/>
                <wp:docPr id="1" name="直线 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280pt;margin-top:0pt;height:0pt;width:0.05pt;z-index:251659264;mso-width-relative:page;mso-height-relative:page;" filled="f" stroked="t" coordsize="21600,21600" o:allowincell="f" o:gfxdata="UEsDBAoAAAAAAIdO4kAAAAAAAAAAAAAAAAAEAAAAZHJzL1BLAwQUAAAACACHTuJAfOXkENMAAAAF&#10;AQAADwAAAGRycy9kb3ducmV2LnhtbE2PTU/DMAyG70j8h8hIXCaWdBMTKk13AHrjsrFpV68xbUXj&#10;dE32Ab8e7wQXS49e6/XjYnnxvTrRGLvAFrKpAUVcB9dxY2HzUT08gYoJ2WEfmCx8U4RleXtTYO7C&#10;mVd0WqdGSQnHHC20KQ251rFuyWOchoFYss8wekyCY6PdiGcp972eGbPQHjuWCy0O9NJS/bU+egux&#10;2tKh+pnUE7ObN4Fmh9f3N7T2/i4zz6ASXdLfMlz1RR1KcdqHI7uoeguPCyO/JAsyJRbMQO2vqMtC&#10;/7cvfwFQSwMEFAAAAAgAh07iQDflw+TkAQAA1wMAAA4AAABkcnMvZTJvRG9jLnhtbK1TS27bMBDd&#10;F8gdCO5j2S5itILlLOKmm6I10OYAY5KSCPAHDm3ZZ+k1uuqmx8k1OqQc59ONF9WCGg6Hb+a9GS5v&#10;D9awvYqovWv4bDLlTDnhpXZdwx9+3F9/4AwTOAnGO9Xwo0J+u7p6txxCrea+90aqyAjEYT2Ehvcp&#10;hbqqUPTKAk58UI4OWx8tJNrGrpIRBkK3pppPp4tq8FGG6IVCJO96POQnxHgJoG9bLdTai51VLo2o&#10;URlIRAl7HZCvSrVtq0T61raoEjMNJ6aprJSE7G1eq9US6i5C6LU4lQCXlPCGkwXtKOkZag0J2C7q&#10;f6CsFtGjb9NEeFuNRIoixGI2faPN9x6CKlxIagxn0fH/wYqv+01kWtIkcObAUsMff/56/P2HLbI2&#10;Q8CaQu7cJp52GDYxEz200eY/UWCHoufxrKc6JCbIuXh/w5l48lfPl0LE9Fl5y7LRcKNdpgk17L9g&#10;okQU+hSS3caxoeEfb+YZDmjmWuo1mTZQ3ei6che90fJeG5NvYOy2dyayPeS+ly/TIdxXYTnJGrAf&#10;48rROBG9AvnJSZaOgRRx9BB4LsEqyZlR9G6yRYBQJ9DmkkhKbRxVkBUdNczW1ssj6b8LUXc9KTEr&#10;VeYT6nep9zSbeaBe7gvS83tc/Q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85eQQ0wAAAAUBAAAP&#10;AAAAAAAAAAEAIAAAACIAAABkcnMvZG93bnJldi54bWxQSwECFAAUAAAACACHTuJAN+XD5OQBAADX&#10;AwAADgAAAAAAAAABACAAAAAiAQAAZHJzL2Uyb0RvYy54bWxQSwUGAAAAAAYABgBZAQAAeAUAAAAA&#10;">
                <v:fill on="f" focussize="0,0"/>
                <v:stroke color="#000000" joinstyle="round"/>
                <v:imagedata o:title=""/>
                <o:lock v:ext="edit" aspectratio="f"/>
              </v:line>
            </w:pict>
          </mc:Fallback>
        </mc:AlternateConten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napToGrid w:val="0"/>
        <w:spacing w:line="440" w:lineRule="exact"/>
        <w:ind w:left="397" w:firstLine="397"/>
        <w:rPr>
          <w:rFonts w:hint="eastAsia" w:ascii="宋体" w:hAnsi="宋体" w:cs="宋体"/>
          <w:color w:val="auto"/>
          <w:sz w:val="24"/>
          <w:highlight w:val="none"/>
          <w:u w:val="single"/>
        </w:rPr>
      </w:pPr>
      <w:r>
        <w:rPr>
          <w:rFonts w:hint="eastAsia" w:ascii="宋体" w:hAnsi="宋体" w:cs="宋体"/>
          <w:color w:val="auto"/>
          <w:sz w:val="24"/>
          <w:highlight w:val="none"/>
        </w:rPr>
        <w:t>（2）材料设备的品种、规格、型号、质量等级与一览表不符：</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napToGrid w:val="0"/>
        <w:spacing w:line="440" w:lineRule="exact"/>
        <w:ind w:left="397" w:firstLine="397"/>
        <w:rPr>
          <w:rFonts w:hint="eastAsia" w:ascii="宋体" w:hAnsi="宋体" w:cs="宋体"/>
          <w:color w:val="auto"/>
          <w:sz w:val="24"/>
          <w:highlight w:val="none"/>
        </w:rPr>
      </w:pPr>
      <w:r>
        <w:rPr>
          <w:rFonts w:hint="eastAsia" w:ascii="宋体" w:hAnsi="宋体" w:cs="宋体"/>
          <w:color w:val="auto"/>
          <w:sz w:val="24"/>
          <w:highlight w:val="none"/>
        </w:rPr>
        <w:t>（3）承包人可代为调剂串换的材料：</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napToGrid w:val="0"/>
        <w:spacing w:line="440" w:lineRule="exact"/>
        <w:ind w:left="397" w:firstLine="397"/>
        <w:rPr>
          <w:rFonts w:hint="eastAsia" w:ascii="宋体" w:hAnsi="宋体" w:cs="宋体"/>
          <w:color w:val="auto"/>
          <w:sz w:val="24"/>
          <w:highlight w:val="none"/>
        </w:rPr>
      </w:pPr>
      <w:r>
        <w:rPr>
          <w:rFonts w:hint="eastAsia" w:ascii="宋体" w:hAnsi="宋体" w:cs="宋体"/>
          <w:color w:val="auto"/>
          <w:sz w:val="24"/>
          <w:highlight w:val="none"/>
        </w:rPr>
        <w:t>（4）到货地点与一览表不符：</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tabs>
          <w:tab w:val="left" w:pos="700"/>
        </w:tabs>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（5）供应数量与一览表不符：</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tabs>
          <w:tab w:val="left" w:pos="700"/>
        </w:tabs>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（6）到货时间与一览表不符；</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tabs>
          <w:tab w:val="left" w:pos="700"/>
        </w:tabs>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27.6 发包人供应材料设备的结算方法：</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28、承包人采购材料设备</w:t>
      </w:r>
    </w:p>
    <w:p>
      <w:pPr>
        <w:spacing w:line="440" w:lineRule="exact"/>
        <w:ind w:firstLine="410" w:firstLineChars="171"/>
        <w:rPr>
          <w:rFonts w:hint="eastAsia" w:ascii="宋体" w:hAnsi="宋体" w:cs="宋体"/>
          <w:color w:val="auto"/>
          <w:sz w:val="24"/>
          <w:highlight w:val="none"/>
          <w:u w:val="single"/>
        </w:rPr>
      </w:pPr>
      <w:r>
        <w:rPr>
          <w:rFonts w:hint="eastAsia" w:ascii="宋体" w:hAnsi="宋体" w:cs="宋体"/>
          <w:color w:val="auto"/>
          <w:sz w:val="24"/>
          <w:highlight w:val="none"/>
        </w:rPr>
        <w:t>28.1 承包人采购材料设备的约定：</w:t>
      </w:r>
      <w:r>
        <w:rPr>
          <w:rFonts w:hint="eastAsia" w:ascii="宋体" w:hAnsi="宋体" w:cs="宋体"/>
          <w:color w:val="auto"/>
          <w:sz w:val="24"/>
          <w:highlight w:val="none"/>
          <w:u w:val="single"/>
        </w:rPr>
        <w:t>由承包人负责采购材料设备的，按招标文件规定和本合同专用条款第47.28条约定、工程设计的有关标准并以符合相关行政主管部门颁发的环保标准或要求进行采购，对材料设备质量负责。承包人应将各项材料设备的供货人及品种、规格、数量和供货时间等报送监理人审批，并向监理人提交其负责提供材料设备的合格证明和质量证明文件，满足合同约定的质量标准，承包人在材料设备到货前24小时通知工程师清点。</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28.2</w:t>
      </w:r>
      <w:r>
        <w:rPr>
          <w:rFonts w:hint="eastAsia" w:ascii="宋体" w:hAnsi="宋体" w:cs="宋体"/>
          <w:color w:val="auto"/>
          <w:sz w:val="24"/>
          <w:highlight w:val="none"/>
          <w:u w:val="single"/>
        </w:rPr>
        <w:t>对承包人提供的材料和设备，承包人应会同监理人、发包人进行检验和交货验收，查验材料合格证明和产品合格证书，并按合同约定和监理人或发包人的指示，进行材料的抽样检验和工程设备的检验检测，检验检测结果提交监理人。不合格的不得使用，该部分检验或试验费用由承包人承担。</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28.3</w:t>
      </w:r>
      <w:r>
        <w:rPr>
          <w:rFonts w:hint="eastAsia" w:ascii="宋体" w:hAnsi="宋体" w:cs="宋体"/>
          <w:color w:val="auto"/>
          <w:sz w:val="24"/>
          <w:highlight w:val="none"/>
          <w:u w:val="single"/>
        </w:rPr>
        <w:t>所有材料、设备报价必须报监理、业主同意后方可使用。</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八、工程变更</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29、工程设计变更</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29.4</w:t>
      </w:r>
      <w:r>
        <w:rPr>
          <w:rFonts w:hint="eastAsia" w:ascii="宋体" w:hAnsi="宋体" w:cs="宋体"/>
          <w:color w:val="auto"/>
          <w:sz w:val="24"/>
          <w:highlight w:val="none"/>
          <w:u w:val="single"/>
        </w:rPr>
        <w:t>开工前，发包人组织承包人、监理单位、设计单位对施工图纸进行会审。如需实施工程变更签证，承包人需在实施相应变更签证2个月前向发包人提出（确属不可预见因素除外）。否则工程实施过程中每实施一项变更签证，承包人须按该变更签证工程价款的3%向发包人支付违约金，引起的工期延误不予顺延。</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u w:val="single"/>
        </w:rPr>
        <w:t>同时，如实施工程变更，承包人应以书面形式通知发包人和监理工程师，经监理工程师审查并报发包人同意后，由发包人与设计单位商定修改或变更设计方案进行实施。</w:t>
      </w:r>
    </w:p>
    <w:p>
      <w:pPr>
        <w:snapToGrid w:val="0"/>
        <w:spacing w:line="440" w:lineRule="exact"/>
        <w:ind w:firstLine="480"/>
        <w:rPr>
          <w:rFonts w:hint="eastAsia" w:ascii="宋体" w:hAnsi="宋体" w:cs="宋体"/>
          <w:color w:val="auto"/>
          <w:sz w:val="24"/>
          <w:highlight w:val="none"/>
          <w:u w:val="single"/>
        </w:rPr>
      </w:pPr>
      <w:r>
        <w:rPr>
          <w:rFonts w:hint="eastAsia" w:ascii="宋体" w:hAnsi="宋体" w:cs="宋体"/>
          <w:color w:val="auto"/>
          <w:sz w:val="24"/>
          <w:highlight w:val="none"/>
        </w:rPr>
        <w:t>29.5</w:t>
      </w:r>
      <w:r>
        <w:rPr>
          <w:rFonts w:hint="eastAsia" w:ascii="宋体" w:hAnsi="宋体" w:cs="宋体"/>
          <w:color w:val="auto"/>
          <w:sz w:val="24"/>
          <w:highlight w:val="none"/>
          <w:u w:val="single"/>
        </w:rPr>
        <w:t>变更应由监理工程师发出变更指令，没有监理工程师的指令，承包人不得进行上述变更。</w:t>
      </w:r>
    </w:p>
    <w:p>
      <w:pPr>
        <w:snapToGrid w:val="0"/>
        <w:spacing w:line="440" w:lineRule="exact"/>
        <w:ind w:firstLine="480"/>
        <w:rPr>
          <w:rFonts w:hint="eastAsia" w:ascii="宋体" w:hAnsi="宋体" w:cs="宋体"/>
          <w:color w:val="auto"/>
          <w:sz w:val="24"/>
          <w:highlight w:val="none"/>
        </w:rPr>
      </w:pPr>
      <w:r>
        <w:rPr>
          <w:rFonts w:hint="eastAsia" w:ascii="宋体" w:hAnsi="宋体" w:cs="宋体"/>
          <w:color w:val="auto"/>
          <w:sz w:val="24"/>
          <w:highlight w:val="none"/>
        </w:rPr>
        <w:t>29.6</w:t>
      </w:r>
      <w:r>
        <w:rPr>
          <w:rFonts w:hint="eastAsia" w:ascii="宋体" w:hAnsi="宋体" w:cs="宋体"/>
          <w:color w:val="auto"/>
          <w:sz w:val="24"/>
          <w:highlight w:val="none"/>
          <w:u w:val="single"/>
        </w:rPr>
        <w:t>按施工图纸实施使得工程量少于施工合同工程量清单中已确定或有规定的数量的，则该项工程量减少不需要任何指令。</w:t>
      </w:r>
    </w:p>
    <w:p>
      <w:pPr>
        <w:snapToGrid w:val="0"/>
        <w:spacing w:line="440" w:lineRule="exact"/>
        <w:ind w:firstLine="480"/>
        <w:rPr>
          <w:rFonts w:hint="eastAsia" w:ascii="宋体" w:hAnsi="宋体" w:cs="宋体"/>
          <w:color w:val="auto"/>
          <w:sz w:val="24"/>
          <w:highlight w:val="none"/>
          <w:u w:val="single"/>
        </w:rPr>
      </w:pPr>
      <w:r>
        <w:rPr>
          <w:rFonts w:hint="eastAsia" w:ascii="宋体" w:hAnsi="宋体" w:cs="宋体"/>
          <w:color w:val="auto"/>
          <w:sz w:val="24"/>
          <w:highlight w:val="none"/>
        </w:rPr>
        <w:t>29.7</w:t>
      </w:r>
      <w:r>
        <w:rPr>
          <w:rFonts w:hint="eastAsia" w:ascii="宋体" w:hAnsi="宋体" w:cs="宋体"/>
          <w:color w:val="auto"/>
          <w:sz w:val="24"/>
          <w:highlight w:val="none"/>
          <w:u w:val="single"/>
        </w:rPr>
        <w:t>所有涉及工期和工程量的变更均应获得发包人书面批准才能生效。</w:t>
      </w:r>
    </w:p>
    <w:p>
      <w:pPr>
        <w:snapToGrid w:val="0"/>
        <w:spacing w:line="440" w:lineRule="exact"/>
        <w:ind w:firstLine="480"/>
        <w:rPr>
          <w:rFonts w:hint="eastAsia" w:ascii="宋体" w:hAnsi="宋体" w:cs="宋体"/>
          <w:color w:val="auto"/>
          <w:sz w:val="24"/>
          <w:highlight w:val="none"/>
          <w:u w:val="single"/>
        </w:rPr>
      </w:pPr>
      <w:r>
        <w:rPr>
          <w:rFonts w:hint="eastAsia" w:ascii="宋体" w:hAnsi="宋体" w:cs="宋体"/>
          <w:color w:val="auto"/>
          <w:sz w:val="24"/>
          <w:highlight w:val="none"/>
        </w:rPr>
        <w:t xml:space="preserve">29.8 </w:t>
      </w:r>
      <w:r>
        <w:rPr>
          <w:rFonts w:hint="eastAsia" w:ascii="宋体" w:hAnsi="宋体" w:cs="宋体"/>
          <w:color w:val="auto"/>
          <w:sz w:val="24"/>
          <w:highlight w:val="none"/>
          <w:u w:val="single"/>
        </w:rPr>
        <w:t>当发包人提出变更通知，承包人认为产生了增加费用，承包人应在发包人提出通知要求后3-7天（时间视变更大小而定）内向发包人提交增加费用报告，报告内应说明变更原因、增加费用金额、增加费用计算书，若承包人不在规定的时间内提供增加费用报告，该类变更所涉及的增加费用视为包括在合同价款中。发包人提出变更通知的时间是指承包人收取变更通知时进行登记交接的时间。</w:t>
      </w:r>
    </w:p>
    <w:p>
      <w:pPr>
        <w:snapToGrid w:val="0"/>
        <w:spacing w:line="440" w:lineRule="exact"/>
        <w:ind w:firstLine="480"/>
        <w:rPr>
          <w:rFonts w:hint="eastAsia" w:ascii="宋体" w:hAnsi="宋体" w:cs="宋体"/>
          <w:color w:val="auto"/>
          <w:sz w:val="24"/>
          <w:highlight w:val="none"/>
          <w:u w:val="single"/>
        </w:rPr>
      </w:pPr>
      <w:r>
        <w:rPr>
          <w:rFonts w:hint="eastAsia" w:ascii="宋体" w:hAnsi="宋体" w:cs="宋体"/>
          <w:color w:val="auto"/>
          <w:sz w:val="24"/>
          <w:highlight w:val="none"/>
        </w:rPr>
        <w:t>29.9</w:t>
      </w:r>
      <w:r>
        <w:rPr>
          <w:rFonts w:hint="eastAsia" w:ascii="宋体" w:hAnsi="宋体" w:cs="宋体"/>
          <w:color w:val="auto"/>
          <w:sz w:val="24"/>
          <w:highlight w:val="none"/>
          <w:u w:val="single"/>
        </w:rPr>
        <w:t>工程变更申报程序按广州开发区、黄埔区以及建设业主的有关规定执行。</w:t>
      </w:r>
    </w:p>
    <w:p>
      <w:pPr>
        <w:widowControl/>
        <w:spacing w:line="440" w:lineRule="exact"/>
        <w:ind w:firstLine="480" w:firstLineChars="200"/>
        <w:jc w:val="left"/>
        <w:rPr>
          <w:rFonts w:hint="eastAsia" w:ascii="宋体" w:hAnsi="宋体" w:cs="宋体"/>
          <w:color w:val="auto"/>
          <w:sz w:val="24"/>
          <w:highlight w:val="none"/>
          <w:u w:val="single"/>
        </w:rPr>
      </w:pPr>
      <w:r>
        <w:rPr>
          <w:rFonts w:hint="eastAsia" w:ascii="宋体" w:hAnsi="宋体" w:cs="宋体"/>
          <w:color w:val="auto"/>
          <w:sz w:val="24"/>
          <w:highlight w:val="none"/>
        </w:rPr>
        <w:t>29.10</w:t>
      </w:r>
      <w:r>
        <w:rPr>
          <w:rFonts w:hint="eastAsia" w:ascii="宋体" w:hAnsi="宋体" w:cs="宋体"/>
          <w:color w:val="auto"/>
          <w:sz w:val="24"/>
          <w:highlight w:val="none"/>
          <w:u w:val="single"/>
        </w:rPr>
        <w:t>工程实施过程中发包人有权对承包内容和范围进行调整，如实际工程量相对施工图纸及施工合同工程量发生变化，承包人不得有任何异议，且承包人不得以任何理由要求发包人补偿任何费用（承包人要充分考虑最不利因素影响）。涉及本合同约定的合同价款调整的，按相关约定处理。</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30、其它变更</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30.1工程现场签证：</w:t>
      </w:r>
      <w:r>
        <w:rPr>
          <w:rFonts w:hint="eastAsia" w:ascii="宋体" w:hAnsi="宋体" w:cs="宋体"/>
          <w:color w:val="auto"/>
          <w:sz w:val="24"/>
          <w:highlight w:val="none"/>
          <w:u w:val="single"/>
        </w:rPr>
        <w:t>工程现场签证是指施工生产活动中用以证实在施工中遇到的某些特殊情况的一种书证明资料，一般指按承发包合同约定，由承发包双方代表就施工过程中涉及合同价款之外的责任事件所作的签认证明。</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u w:val="single"/>
        </w:rPr>
        <w:t>承包人需对施工图纸进行会审，如需对工程量清单错漏进行确认，承包人需在前四分之一工期阶段内且最长不得超过中标通知书发出之日起6个月内向发包人提出，并按《广州开发区财政投资建设项目管理中心工程量清单错漏申报管理办法（2021年）》（穗开建管〔2021〕78号）办理申报手续，同时需配合发包人的复核工作，双方对复核结果盖章签名后方可作为最终结算依据；如因特殊原因，承包人无法在规定时间内申报的，经发包人同意后方可申报。承包人未按上述规定进行申报的，发包人对应申报而未办理申报手续的漏量漏项不予确认。</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30.2</w:t>
      </w:r>
      <w:r>
        <w:rPr>
          <w:rFonts w:hint="eastAsia" w:ascii="宋体" w:hAnsi="宋体" w:cs="宋体"/>
          <w:color w:val="auto"/>
          <w:sz w:val="24"/>
          <w:highlight w:val="none"/>
          <w:u w:val="single"/>
        </w:rPr>
        <w:t>签证的计价：按招标文件及合同中关于工程变更的计价有关规定执行。</w:t>
      </w:r>
    </w:p>
    <w:p>
      <w:pPr>
        <w:snapToGrid w:val="0"/>
        <w:spacing w:line="440" w:lineRule="exact"/>
        <w:ind w:firstLine="480"/>
        <w:rPr>
          <w:rFonts w:hint="eastAsia" w:ascii="宋体" w:hAnsi="宋体" w:cs="宋体"/>
          <w:color w:val="auto"/>
          <w:sz w:val="24"/>
          <w:highlight w:val="none"/>
          <w:u w:val="single"/>
        </w:rPr>
      </w:pPr>
      <w:r>
        <w:rPr>
          <w:rFonts w:hint="eastAsia" w:ascii="宋体" w:hAnsi="宋体" w:cs="宋体"/>
          <w:color w:val="auto"/>
          <w:sz w:val="24"/>
          <w:highlight w:val="none"/>
        </w:rPr>
        <w:t>30.3签证实施前所需的施工方案：</w:t>
      </w:r>
      <w:r>
        <w:rPr>
          <w:rFonts w:hint="eastAsia" w:ascii="宋体" w:hAnsi="宋体" w:cs="宋体"/>
          <w:color w:val="auto"/>
          <w:sz w:val="24"/>
          <w:highlight w:val="none"/>
          <w:u w:val="single"/>
        </w:rPr>
        <w:t>若签证事件发生时，需使用没有被监理工程师批准过的施工方案，则必须将该施工方案提前报监理工程师和发包人批准，经批准后才能实施，否则发包人将按最经济的施工方案对该签证进行计价。</w:t>
      </w:r>
    </w:p>
    <w:p>
      <w:pPr>
        <w:snapToGrid w:val="0"/>
        <w:spacing w:line="440" w:lineRule="exact"/>
        <w:ind w:firstLine="480"/>
        <w:rPr>
          <w:rFonts w:hint="eastAsia" w:ascii="宋体" w:hAnsi="宋体" w:cs="宋体"/>
          <w:color w:val="auto"/>
          <w:sz w:val="24"/>
          <w:highlight w:val="none"/>
          <w:u w:val="single"/>
        </w:rPr>
      </w:pPr>
      <w:r>
        <w:rPr>
          <w:rFonts w:hint="eastAsia" w:ascii="宋体" w:hAnsi="宋体" w:cs="宋体"/>
          <w:color w:val="auto"/>
          <w:sz w:val="24"/>
          <w:highlight w:val="none"/>
        </w:rPr>
        <w:t>30.4</w:t>
      </w:r>
      <w:r>
        <w:rPr>
          <w:rFonts w:hint="eastAsia" w:ascii="宋体" w:hAnsi="宋体" w:cs="宋体"/>
          <w:color w:val="auto"/>
          <w:sz w:val="24"/>
          <w:highlight w:val="none"/>
          <w:u w:val="single"/>
        </w:rPr>
        <w:t>工程现场签证申报程序按广州开发区、黄埔区以及建设业主的有关规定执行。</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31、确定变更价款</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31.1承包人在工程变更确定后14天内，提出变更工程价款的报告，经工程师确认后调整合同价款。</w:t>
      </w:r>
      <w:r>
        <w:rPr>
          <w:rFonts w:hint="eastAsia" w:ascii="宋体" w:hAnsi="宋体" w:cs="宋体"/>
          <w:color w:val="auto"/>
          <w:sz w:val="24"/>
          <w:highlight w:val="none"/>
          <w:u w:val="single"/>
        </w:rPr>
        <w:t>变更合同价款确定原则按本合同相关约定执行。</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31.3</w:t>
      </w:r>
      <w:r>
        <w:rPr>
          <w:rFonts w:hint="eastAsia" w:ascii="宋体" w:hAnsi="宋体" w:cs="宋体"/>
          <w:color w:val="auto"/>
          <w:sz w:val="24"/>
          <w:highlight w:val="none"/>
          <w:u w:val="single"/>
        </w:rPr>
        <w:t>所有变更工程价款的报告必须按规定程序报发包人审核确认。</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31.5</w:t>
      </w:r>
      <w:r>
        <w:rPr>
          <w:rFonts w:hint="eastAsia" w:ascii="宋体" w:hAnsi="宋体" w:cs="宋体"/>
          <w:color w:val="auto"/>
          <w:sz w:val="24"/>
          <w:highlight w:val="none"/>
          <w:u w:val="single"/>
        </w:rPr>
        <w:t>工程变更价款的支付按本合同相关约定支付。</w:t>
      </w:r>
    </w:p>
    <w:p>
      <w:pPr>
        <w:snapToGrid w:val="0"/>
        <w:spacing w:line="44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 xml:space="preserve">31.7 </w:t>
      </w:r>
      <w:r>
        <w:rPr>
          <w:rFonts w:hint="eastAsia" w:ascii="宋体" w:hAnsi="宋体" w:cs="宋体"/>
          <w:color w:val="auto"/>
          <w:sz w:val="24"/>
          <w:highlight w:val="none"/>
          <w:u w:val="single"/>
        </w:rPr>
        <w:t>发生上述规定的变更后，承包人在收到发包人变更通知的7天内按合同文件规定的计价方式内容编出变更工程建议送交监理单位。</w:t>
      </w:r>
    </w:p>
    <w:p>
      <w:pPr>
        <w:snapToGrid w:val="0"/>
        <w:spacing w:line="440" w:lineRule="exact"/>
        <w:ind w:firstLine="480"/>
        <w:rPr>
          <w:rFonts w:hint="eastAsia" w:ascii="宋体" w:hAnsi="宋体" w:cs="宋体"/>
          <w:color w:val="auto"/>
          <w:sz w:val="24"/>
          <w:highlight w:val="none"/>
          <w:u w:val="single"/>
        </w:rPr>
      </w:pPr>
      <w:r>
        <w:rPr>
          <w:rFonts w:hint="eastAsia" w:ascii="宋体" w:hAnsi="宋体" w:cs="宋体"/>
          <w:color w:val="auto"/>
          <w:sz w:val="24"/>
          <w:highlight w:val="none"/>
        </w:rPr>
        <w:t>31.8</w:t>
      </w:r>
      <w:r>
        <w:rPr>
          <w:rFonts w:hint="eastAsia" w:ascii="宋体" w:hAnsi="宋体" w:cs="宋体"/>
          <w:color w:val="auto"/>
          <w:sz w:val="24"/>
          <w:highlight w:val="none"/>
          <w:u w:val="single"/>
        </w:rPr>
        <w:t>在工程变更价款计算时，承包人应按招标文件相关规定编制变更工程的预算，提供变更依据及详细的计算资料，报监理单位和发包人批准。</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31.9</w:t>
      </w:r>
      <w:r>
        <w:rPr>
          <w:rFonts w:hint="eastAsia" w:ascii="宋体" w:hAnsi="宋体" w:cs="宋体"/>
          <w:color w:val="auto"/>
          <w:sz w:val="24"/>
          <w:highlight w:val="none"/>
          <w:u w:val="single"/>
        </w:rPr>
        <w:t>工程变更、签证申报程序按广州开发区、黄埔区以及建设业主的有关规定执行。</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九、竣工验收与结算</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32、竣工验收</w:t>
      </w:r>
    </w:p>
    <w:p>
      <w:pPr>
        <w:snapToGrid w:val="0"/>
        <w:spacing w:line="440" w:lineRule="exact"/>
        <w:ind w:firstLine="480"/>
        <w:rPr>
          <w:rFonts w:hint="eastAsia" w:ascii="宋体" w:hAnsi="宋体" w:cs="宋体"/>
          <w:color w:val="auto"/>
          <w:sz w:val="24"/>
          <w:highlight w:val="none"/>
          <w:u w:val="single"/>
        </w:rPr>
      </w:pPr>
      <w:r>
        <w:rPr>
          <w:rFonts w:hint="eastAsia" w:ascii="宋体" w:hAnsi="宋体" w:cs="宋体"/>
          <w:color w:val="auto"/>
          <w:sz w:val="24"/>
          <w:highlight w:val="none"/>
        </w:rPr>
        <w:t>32.1 承包人提供竣工图纸的约定：</w:t>
      </w:r>
      <w:r>
        <w:rPr>
          <w:rFonts w:hint="eastAsia" w:ascii="宋体" w:hAnsi="宋体" w:cs="宋体"/>
          <w:color w:val="auto"/>
          <w:sz w:val="24"/>
          <w:highlight w:val="none"/>
          <w:u w:val="single"/>
        </w:rPr>
        <w:t>承包人工程竣工资料必须按照国家及广州市、开发区有关工程竣工资料档案管理的要求进行整理归档。承包人在工程竣工验收合格后四十五个日历天内，向建设单位提供符合要求按规格编制成册的工程竣工图及有关的技术档案资料一式伍份。</w:t>
      </w:r>
    </w:p>
    <w:p>
      <w:pPr>
        <w:snapToGrid w:val="0"/>
        <w:spacing w:line="440" w:lineRule="exact"/>
        <w:ind w:firstLine="480"/>
        <w:rPr>
          <w:rFonts w:hint="eastAsia" w:ascii="宋体" w:hAnsi="宋体" w:cs="宋体"/>
          <w:color w:val="auto"/>
          <w:sz w:val="24"/>
          <w:highlight w:val="none"/>
          <w:u w:val="single"/>
        </w:rPr>
      </w:pPr>
      <w:r>
        <w:rPr>
          <w:rFonts w:hint="eastAsia" w:ascii="宋体" w:hAnsi="宋体" w:cs="宋体"/>
          <w:color w:val="auto"/>
          <w:sz w:val="24"/>
          <w:highlight w:val="none"/>
        </w:rPr>
        <w:t>32.6 中间交工工程的范围和竣工时间：</w:t>
      </w:r>
      <w:r>
        <w:rPr>
          <w:rFonts w:hint="eastAsia" w:ascii="宋体" w:hAnsi="宋体" w:cs="宋体"/>
          <w:color w:val="auto"/>
          <w:sz w:val="24"/>
          <w:highlight w:val="none"/>
          <w:u w:val="single"/>
        </w:rPr>
        <w:t xml:space="preserve">           /              </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33、竣工结算</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承发包双方一致同意不适用通用条款33.2款、33.3款、33.4款</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竣工结算办法：</w:t>
      </w:r>
      <w:r>
        <w:rPr>
          <w:rFonts w:hint="eastAsia" w:ascii="宋体" w:hAnsi="宋体" w:cs="宋体"/>
          <w:color w:val="auto"/>
          <w:sz w:val="24"/>
          <w:highlight w:val="none"/>
          <w:u w:val="single"/>
        </w:rPr>
        <w:t>所有工程量（含暂定工程量的结算）的结算均以广州开发区财政局审定的金额为准。工程竣工后，承包人编制本工程的结算书送监理单位审核，经监理单位审核后送发包人复审，按规定送广州开发区财政局审核，并以区财政局审定本工程的结算为准。</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竣工结算提交时间</w:t>
      </w:r>
      <w:r>
        <w:rPr>
          <w:rFonts w:hint="eastAsia" w:ascii="宋体" w:hAnsi="宋体" w:cs="宋体"/>
          <w:color w:val="auto"/>
          <w:sz w:val="24"/>
          <w:highlight w:val="none"/>
          <w:u w:val="single"/>
        </w:rPr>
        <w:t>：承包人须按《广州开发区财政投资建设项目管理中心施工类合同结算编审指引（试行）》及区有关规定编制及办理建设项目工程结算</w:t>
      </w:r>
      <w:r>
        <w:rPr>
          <w:rFonts w:hint="eastAsia" w:ascii="宋体" w:hAnsi="宋体" w:cs="宋体"/>
          <w:color w:val="auto"/>
          <w:sz w:val="24"/>
          <w:highlight w:val="none"/>
        </w:rPr>
        <w:t>。</w:t>
      </w:r>
    </w:p>
    <w:p>
      <w:pPr>
        <w:pStyle w:val="298"/>
        <w:spacing w:line="440" w:lineRule="exac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 xml:space="preserve">    </w:t>
      </w:r>
      <w:r>
        <w:rPr>
          <w:rFonts w:hint="eastAsia" w:ascii="宋体" w:hAnsi="宋体" w:cs="宋体"/>
          <w:color w:val="auto"/>
          <w:sz w:val="24"/>
          <w:szCs w:val="24"/>
          <w:highlight w:val="none"/>
          <w:u w:val="single"/>
        </w:rPr>
        <w:t>承包人未按前款规定的期限和内容编制及办理建设项目工程结算（非承包人原因无法办理工程结算的情况除外），经发包人或代建单位或监理人书面通知之日起2个月内（最长期限不得超过6个月）仍未提交编制及办理建设项目工程结算的相关文件的，监理人和发包人有权根据发包人已有资料进行审核，并报区财政局审定，区财政局审定的竣工结算合同总价视同是经承包人认可的工程竣工结算合同总价。</w:t>
      </w:r>
    </w:p>
    <w:p>
      <w:pPr>
        <w:snapToGrid w:val="0"/>
        <w:spacing w:line="440" w:lineRule="exact"/>
        <w:ind w:firstLine="397"/>
        <w:rPr>
          <w:rFonts w:hint="eastAsia" w:ascii="宋体" w:hAnsi="宋体" w:cs="宋体"/>
          <w:color w:val="auto"/>
          <w:sz w:val="24"/>
          <w:highlight w:val="none"/>
          <w:u w:val="single"/>
        </w:rPr>
      </w:pP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十、违约、索赔和争议</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35、违约</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35.1本合同中关于发包人违约的具体责任如下：</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本合同通用条款第35.1条约定发包人违约应承担的责任：</w:t>
      </w:r>
      <w:r>
        <w:rPr>
          <w:rFonts w:hint="eastAsia" w:ascii="宋体" w:hAnsi="宋体" w:cs="宋体"/>
          <w:color w:val="auto"/>
          <w:sz w:val="24"/>
          <w:highlight w:val="none"/>
          <w:u w:val="single"/>
        </w:rPr>
        <w:t>顺延工期，但不作费用赔偿</w:t>
      </w:r>
      <w:r>
        <w:rPr>
          <w:rFonts w:hint="eastAsia" w:ascii="宋体" w:hAnsi="宋体" w:cs="宋体"/>
          <w:color w:val="auto"/>
          <w:sz w:val="24"/>
          <w:highlight w:val="none"/>
        </w:rPr>
        <w:t>。</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双方约定的发包人其他违约责任：</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35.2 本合同中关于承包人违约的具体责任如下:</w:t>
      </w:r>
    </w:p>
    <w:p>
      <w:pPr>
        <w:spacing w:line="440" w:lineRule="exact"/>
        <w:ind w:firstLine="567"/>
        <w:rPr>
          <w:rFonts w:hint="eastAsia" w:ascii="宋体" w:hAnsi="宋体" w:cs="宋体"/>
          <w:color w:val="auto"/>
          <w:sz w:val="24"/>
          <w:highlight w:val="none"/>
        </w:rPr>
      </w:pPr>
      <w:r>
        <w:rPr>
          <w:rFonts w:hint="eastAsia" w:ascii="宋体" w:hAnsi="宋体" w:cs="宋体"/>
          <w:color w:val="auto"/>
          <w:sz w:val="24"/>
          <w:highlight w:val="none"/>
        </w:rPr>
        <w:t>35.2.1工期延误的违约责任</w:t>
      </w:r>
    </w:p>
    <w:p>
      <w:pPr>
        <w:spacing w:line="440" w:lineRule="exact"/>
        <w:ind w:firstLine="567"/>
        <w:rPr>
          <w:rFonts w:hint="eastAsia" w:ascii="宋体" w:hAnsi="宋体" w:cs="宋体"/>
          <w:color w:val="auto"/>
          <w:sz w:val="24"/>
          <w:highlight w:val="none"/>
          <w:u w:val="single"/>
        </w:rPr>
      </w:pPr>
      <w:r>
        <w:rPr>
          <w:rFonts w:hint="eastAsia" w:ascii="宋体" w:hAnsi="宋体" w:cs="宋体"/>
          <w:color w:val="auto"/>
          <w:sz w:val="24"/>
          <w:highlight w:val="none"/>
          <w:u w:val="single"/>
        </w:rPr>
        <w:t>（1）承包人未按发包人或监理单位开工令要求时间开工的，每迟延开工1天，应向发包人支付违约金5000元；迟延开工超过20天的，发包人有权根据实际情况单方面解除合同。</w:t>
      </w:r>
    </w:p>
    <w:p>
      <w:pPr>
        <w:spacing w:line="440" w:lineRule="exact"/>
        <w:ind w:firstLine="567"/>
        <w:rPr>
          <w:rFonts w:hint="eastAsia" w:ascii="宋体" w:hAnsi="宋体" w:cs="宋体"/>
          <w:color w:val="auto"/>
          <w:sz w:val="24"/>
          <w:highlight w:val="none"/>
          <w:u w:val="single"/>
        </w:rPr>
      </w:pPr>
      <w:r>
        <w:rPr>
          <w:rFonts w:hint="eastAsia" w:ascii="宋体" w:hAnsi="宋体" w:cs="宋体"/>
          <w:color w:val="auto"/>
          <w:sz w:val="24"/>
          <w:highlight w:val="none"/>
          <w:u w:val="single"/>
        </w:rPr>
        <w:t>(2）因承包人的原因造成工期延误，其中属节点工期延误，从延误的第一天起，每天支付违约金5000元，如在下一个节点赶回工期，可免除上述违约金。属总工期延误，从总工期延误的第一天起，每天支付违约金20000元。</w:t>
      </w:r>
      <w:r>
        <w:rPr>
          <w:rFonts w:hint="eastAsia" w:ascii="宋体" w:hAnsi="宋体" w:cs="宋体"/>
          <w:color w:val="auto"/>
          <w:sz w:val="24"/>
          <w:highlight w:val="none"/>
        </w:rPr>
        <w:t>延误工期超过20天的，发包人可视情况终止合同。</w:t>
      </w:r>
    </w:p>
    <w:p>
      <w:pPr>
        <w:spacing w:line="440" w:lineRule="exact"/>
        <w:ind w:firstLine="567"/>
        <w:rPr>
          <w:rFonts w:hint="eastAsia" w:ascii="宋体" w:hAnsi="宋体" w:cs="宋体"/>
          <w:color w:val="auto"/>
          <w:sz w:val="24"/>
          <w:highlight w:val="none"/>
          <w:u w:val="single"/>
        </w:rPr>
      </w:pPr>
      <w:r>
        <w:rPr>
          <w:rFonts w:hint="eastAsia" w:ascii="宋体" w:hAnsi="宋体" w:cs="宋体"/>
          <w:color w:val="auto"/>
          <w:sz w:val="24"/>
          <w:highlight w:val="none"/>
          <w:u w:val="single"/>
        </w:rPr>
        <w:t>(3）承包人必须按期完成主要工序的施工任务，若属承包人原因逾期达10天未完成主要节点的施工任务时，除按第（2）项约定承担违约责任外，发包人可要求撤换项目负责人，承包人应予以执行，并在总工期不调整的前提下自行消化节点工期的延误。逾期20天未完成主要节点的施工任务时，属承包人进度严重违约行为，发包人可单方面终止合同，将承包人作不良纪录报区建设行政主管备案。并由承包人承担相应的进度严重违约责任。</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(4）承包人承担的进度严重违约责任为：</w:t>
      </w:r>
    </w:p>
    <w:p>
      <w:pPr>
        <w:spacing w:line="440" w:lineRule="exact"/>
        <w:ind w:firstLine="567"/>
        <w:rPr>
          <w:rFonts w:hint="eastAsia" w:ascii="宋体" w:hAnsi="宋体" w:cs="宋体"/>
          <w:color w:val="auto"/>
          <w:sz w:val="24"/>
          <w:highlight w:val="none"/>
          <w:u w:val="single"/>
        </w:rPr>
      </w:pPr>
      <w:r>
        <w:rPr>
          <w:rFonts w:hint="eastAsia" w:ascii="宋体" w:hAnsi="宋体" w:cs="宋体"/>
          <w:color w:val="auto"/>
          <w:sz w:val="24"/>
          <w:highlight w:val="none"/>
          <w:u w:val="single"/>
        </w:rPr>
        <w:t>如果承包人出现进度严重违约事件，则须无条件接受发包人终止合同，并在接到终止合同通知书之日起5个日历天内（发包人应予以配合），在监理工程师的监督下退场完毕。退场完毕后由监理工程师出具《退出完结证明书》，并据此进行相关结算。承包人按履约担保金额支付违约金。给发包人造成的损失超过履约担保金额的部分，承包人还应承担赔偿责任。</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 xml:space="preserve"> (5）工程施工过程中（竣工验收前），承包人必须按发包人、监理人的要求及时为专业工程（电信、电力管线、电力走廊、煤气、道路绿化、路灯、交通设施等）提供工作面及为专业工程穿插施工所需各项配合工作给予方便，承包人应在施工方案中充分考虑专业工程穿插施工所需的穿插工作面及工期，由于承包人未能给予专业工程穿插施工，造成总施工工期的延误，施工工期不予顺延，承包人承担由于工期延误所产生的损失。因承包人原因造成其他专业工程工期延误的，从延误其他专业工程工期第一天起，每延误一天，承包人支付5000元违约金。</w:t>
      </w:r>
    </w:p>
    <w:p>
      <w:pPr>
        <w:adjustRightInd w:val="0"/>
        <w:snapToGrid w:val="0"/>
        <w:spacing w:line="440" w:lineRule="exact"/>
        <w:ind w:firstLine="480" w:firstLineChars="200"/>
        <w:rPr>
          <w:rFonts w:hint="eastAsia" w:ascii="宋体" w:hAnsi="宋体" w:cs="宋体"/>
          <w:snapToGrid w:val="0"/>
          <w:color w:val="auto"/>
          <w:kern w:val="0"/>
          <w:sz w:val="24"/>
          <w:highlight w:val="none"/>
          <w:u w:val="single"/>
        </w:rPr>
      </w:pPr>
      <w:r>
        <w:rPr>
          <w:rFonts w:hint="eastAsia" w:ascii="宋体" w:hAnsi="宋体" w:cs="宋体"/>
          <w:snapToGrid w:val="0"/>
          <w:color w:val="auto"/>
          <w:kern w:val="0"/>
          <w:sz w:val="24"/>
          <w:highlight w:val="none"/>
          <w:u w:val="single"/>
        </w:rPr>
        <w:t>（6）承包人违反合同专用条款的约定和发包人的规定，逾期完成竣工档案的整理、移交、送审备案工作的，每逾期1天，承包人支付违约金5000元。</w:t>
      </w:r>
    </w:p>
    <w:p>
      <w:pPr>
        <w:spacing w:line="440" w:lineRule="exact"/>
        <w:ind w:firstLine="352" w:firstLineChars="147"/>
        <w:rPr>
          <w:rFonts w:hint="eastAsia" w:ascii="宋体" w:hAnsi="宋体" w:cs="宋体"/>
          <w:color w:val="auto"/>
          <w:sz w:val="24"/>
          <w:highlight w:val="none"/>
          <w:u w:val="single"/>
        </w:rPr>
      </w:pPr>
      <w:r>
        <w:rPr>
          <w:rFonts w:hint="eastAsia" w:ascii="宋体" w:hAnsi="宋体" w:cs="宋体"/>
          <w:color w:val="auto"/>
          <w:sz w:val="24"/>
          <w:highlight w:val="none"/>
        </w:rPr>
        <w:t>35.2.2</w:t>
      </w:r>
      <w:r>
        <w:rPr>
          <w:rFonts w:hint="eastAsia" w:ascii="宋体" w:hAnsi="宋体" w:cs="宋体"/>
          <w:color w:val="auto"/>
          <w:sz w:val="24"/>
          <w:highlight w:val="none"/>
          <w:u w:val="single"/>
        </w:rPr>
        <w:t>安全、文明施工要求及违约处理</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(1）承包人必须按本合同的约定编制施工组织设计（施工方案、包括安全文明施工措施），经过监理人和发包人审核确认后按其施工，不得随意更改。如果根据实际情况确需修改，则需经工程师及发包人审批同意。如果未经工程师及发包人审批同意而擅自更改施工组织设计（施工方案，包括安全文明施工措施）或不按照施工组织设计（施工方案，包括安全文明施工措施）施工，则发包人将扣减更改部分的造价（该造价按广东省相关综合定额和取费标准计算，不下浮）；同时，每擅自更改一次，承包人需支付10000元人民币违约金给发包人。</w:t>
      </w:r>
    </w:p>
    <w:p>
      <w:pPr>
        <w:adjustRightInd w:val="0"/>
        <w:spacing w:line="440" w:lineRule="exact"/>
        <w:ind w:right="11"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(2）承包人应严格遵守国家、省、市及开发区有关防火、爆破和施工安全以及文明施工、深夜施工、环卫和城市管理等规定，建立规章制度和防护措施，并组织施工。在相关部门的检查中，承包人施工场地被评为不合格工地或被通报批评或者被新闻媒体曝光的，每发生一次，承包人支付10000元违约金，如发包人因此被相关部门处罚的，罚金由承包人承担。</w:t>
      </w:r>
    </w:p>
    <w:p>
      <w:pPr>
        <w:snapToGrid w:val="0"/>
        <w:spacing w:line="440" w:lineRule="exact"/>
        <w:ind w:firstLine="360" w:firstLineChars="150"/>
        <w:rPr>
          <w:rFonts w:hint="eastAsia" w:ascii="宋体" w:hAnsi="宋体" w:cs="宋体"/>
          <w:color w:val="auto"/>
          <w:sz w:val="24"/>
          <w:highlight w:val="none"/>
          <w:u w:val="single"/>
        </w:rPr>
      </w:pPr>
      <w:r>
        <w:rPr>
          <w:rFonts w:hint="eastAsia" w:ascii="宋体" w:hAnsi="宋体" w:cs="宋体"/>
          <w:color w:val="auto"/>
          <w:sz w:val="24"/>
          <w:highlight w:val="none"/>
          <w:u w:val="single"/>
        </w:rPr>
        <w:t>（3）如果承包人未按招投标文件及本合同要求做好安全、文明施工相关措施，经监理工程师或发包人检查发现的，每发现一次，承包人支付5000元违约金，并按发包人或监理单位要求限期整改，未在限期内完成整改的，每延期一天，承包人支付10000元违约金。</w:t>
      </w:r>
    </w:p>
    <w:p>
      <w:pPr>
        <w:adjustRightInd w:val="0"/>
        <w:spacing w:line="440" w:lineRule="exact"/>
        <w:ind w:firstLine="480" w:firstLineChars="200"/>
        <w:rPr>
          <w:rFonts w:hint="eastAsia" w:ascii="宋体" w:hAnsi="宋体" w:cs="宋体"/>
          <w:snapToGrid w:val="0"/>
          <w:color w:val="auto"/>
          <w:kern w:val="0"/>
          <w:sz w:val="24"/>
          <w:highlight w:val="none"/>
          <w:u w:val="single"/>
        </w:rPr>
      </w:pPr>
      <w:r>
        <w:rPr>
          <w:rFonts w:hint="eastAsia" w:ascii="宋体" w:hAnsi="宋体" w:cs="宋体"/>
          <w:color w:val="auto"/>
          <w:sz w:val="24"/>
          <w:highlight w:val="none"/>
          <w:u w:val="single"/>
        </w:rPr>
        <w:t>(4）在施工过程中发生安全事故的，除按照国家、省、市规定进行处理外。若导致人员伤亡的，承包人按下列办法支付违约金：如发生死亡事故，死亡1人，支付20万元；死亡2人，支付40万元；死亡3人或以上，支付80万元。如发生重伤事故，重伤1人，支付10万元；重伤2人，支付20万元；重伤3人或以上，支付40万元。因承包人原因发生一般安全事故，未造成人员伤亡或造成人员轻伤及轻微财产损失的，每发生一次，承包人支付违约金5000元。</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5)在本工程余泥渣土清运施工和建筑垃圾排放运输时，承包人必须严格执行《广州市建筑废弃物管理条例（2015年修正本）》、《广州市市容环境卫生管理规定》、《广州市建设工程现场文明施工管理办法》《关于加强施工现场余泥渣土排放管理工作的通知》（穗建筑【2008】60号）等广州市、黄埔区相关管理规定的标准和要求，保证落实“一不准进，三不准出”规定，办齐排放有关证照，雇请有合格准运证车辆和具备资质的运输企业，设立专职人员管理余泥渣土、建筑垃圾的运输工作，并对分包单位依法排放余泥渣土、建筑垃圾进行监管。承包人因违反本款约定所造成的一切责任后果全部由承包人承担。经发包人或相关部门检查发现承包人未执行本款约定的，每发现一次，承包人支付5000元违约金。同时，发包人将根据承包人违反余泥渣土运输管理有关规定而造成的不良后果的严重程度，上报区建设行政主管部门进行处理。</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（6）经发包人或监理单位抽查发现承包人违反合同专用条款的约定，其技术管理人员或施工作业人员没有佩带平安卡的，承包人按每人次1000元的标准向发包人支付违约金并立即改正。</w:t>
      </w:r>
    </w:p>
    <w:p>
      <w:pPr>
        <w:adjustRightInd w:val="0"/>
        <w:snapToGrid w:val="0"/>
        <w:spacing w:line="440" w:lineRule="exact"/>
        <w:ind w:right="11"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35.2.3</w:t>
      </w:r>
      <w:r>
        <w:rPr>
          <w:rFonts w:hint="eastAsia" w:ascii="宋体" w:hAnsi="宋体" w:cs="宋体"/>
          <w:color w:val="auto"/>
          <w:sz w:val="24"/>
          <w:highlight w:val="none"/>
          <w:u w:val="single"/>
        </w:rPr>
        <w:t>工程质量方面的违约责任</w:t>
      </w:r>
    </w:p>
    <w:p>
      <w:pPr>
        <w:numPr>
          <w:ilvl w:val="0"/>
          <w:numId w:val="2"/>
        </w:num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承包人必须保证用于本合同工程所有的材料设备的品牌、型号、规格、质量等符合本合同及招投标文件的要求，严禁假冒伪劣产品，严禁以次充好，严禁未经发包人批准即以其他产品（包括承包人的产品）顶替本合同及招投标文件中规定的产品。承包人在施工中偷工减料、使用不合格的建筑材料、建筑构配件或设备、不按照工程设计图纸、施工技术标准施工，或者未对建筑材料、建筑构配件、设备、商品混凝土进行检验，或者未对涉及结构安全的试块、试件以及有关材料取样送检的，应负责无偿修理或返工，并应支付合同价款百分之二的违约金给发包人。</w:t>
      </w:r>
    </w:p>
    <w:p>
      <w:pPr>
        <w:pStyle w:val="212"/>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（2）工程质量标准要求达到“广东省建筑工程优质奖”的质量标准而未达到的：如达到了“广州市优良样板工程”的质量标准的，承包人需按本合同工程中可申报评优部分工程结算价的0.3%承担违约金；未达到 “广州市优良样板工程”的质量标准的，承包人需按本合同工程中可申报评优部分工程结算价的1.5%承担违约金。</w:t>
      </w:r>
    </w:p>
    <w:p>
      <w:pPr>
        <w:pStyle w:val="212"/>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工程质量标准要求达到“广州市优良样板工程”的质量标准而未达到的，承包人需按本合同工程中可申报评优部分工程结算价的1.2%承担违约金。</w:t>
      </w:r>
    </w:p>
    <w:p>
      <w:pPr>
        <w:pStyle w:val="212"/>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上述违约金由发包人直接从工程结算款中扣减。因非承包人原因导致本工程未能达到要求的工程质量标准的除外。</w:t>
      </w:r>
    </w:p>
    <w:p>
      <w:pPr>
        <w:spacing w:line="440" w:lineRule="exact"/>
        <w:ind w:firstLine="410" w:firstLineChars="171"/>
        <w:rPr>
          <w:rFonts w:hint="eastAsia" w:ascii="宋体" w:hAnsi="宋体" w:cs="宋体"/>
          <w:color w:val="auto"/>
          <w:sz w:val="24"/>
          <w:highlight w:val="none"/>
        </w:rPr>
      </w:pPr>
      <w:r>
        <w:rPr>
          <w:rFonts w:hint="eastAsia" w:ascii="宋体" w:hAnsi="宋体" w:cs="宋体"/>
          <w:color w:val="auto"/>
          <w:sz w:val="24"/>
          <w:highlight w:val="none"/>
        </w:rPr>
        <w:t>（3）承包人在缺陷责任期内，未能对工程接收证书所列的缺陷清单的内容或缺陷责任期内发生的缺陷进行修复，而又拒绝按监理人指示再进行修复，发包人可委托其他单位修复，所需费用由承包人承担，发包人可在工程质量保修金中抵扣，保修金不足抵扣的，由承包人另行支付。</w:t>
      </w:r>
    </w:p>
    <w:p>
      <w:pPr>
        <w:snapToGrid w:val="0"/>
        <w:spacing w:line="440" w:lineRule="exact"/>
        <w:ind w:firstLine="480"/>
        <w:rPr>
          <w:rFonts w:hint="eastAsia" w:ascii="宋体" w:hAnsi="宋体" w:cs="宋体"/>
          <w:color w:val="auto"/>
          <w:sz w:val="24"/>
          <w:highlight w:val="none"/>
        </w:rPr>
      </w:pPr>
      <w:r>
        <w:rPr>
          <w:rFonts w:hint="eastAsia" w:ascii="宋体" w:hAnsi="宋体" w:cs="宋体"/>
          <w:color w:val="auto"/>
          <w:sz w:val="24"/>
          <w:highlight w:val="none"/>
        </w:rPr>
        <w:t>（4）对施工质量问题存在争议，应请国家认可的第三方机构出具检测报告，检测费用由责任方承担。</w:t>
      </w:r>
    </w:p>
    <w:p>
      <w:pPr>
        <w:adjustRightInd w:val="0"/>
        <w:spacing w:line="440" w:lineRule="exact"/>
        <w:ind w:right="11"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lang w:bidi="ar"/>
        </w:rPr>
        <w:t>35.2.4关于第三方质量安全评估的违约责任：</w:t>
      </w:r>
    </w:p>
    <w:p>
      <w:pPr>
        <w:adjustRightInd w:val="0"/>
        <w:spacing w:line="440" w:lineRule="exact"/>
        <w:ind w:right="11"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lang w:bidi="ar"/>
        </w:rPr>
        <w:t>承包人应严格遵守中心制定的建设工程第三方质量安全评估服务相关管理办法，配合完成第三方质量安全评估工作。根据每次评估结果，经评估确定为一般违约情况的，承包人每次应支付10000元违约金给发包人；经评估确定为严重违约情况的，承包人每次应支付50000元违约金给发包人。</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35.2.5</w:t>
      </w:r>
      <w:r>
        <w:rPr>
          <w:rFonts w:hint="eastAsia" w:ascii="宋体" w:hAnsi="宋体" w:cs="宋体"/>
          <w:color w:val="auto"/>
          <w:sz w:val="24"/>
          <w:highlight w:val="none"/>
          <w:u w:val="single"/>
        </w:rPr>
        <w:t>关于农民工工资支付的违约责任</w:t>
      </w:r>
    </w:p>
    <w:p>
      <w:pPr>
        <w:adjustRightInd w:val="0"/>
        <w:spacing w:line="440" w:lineRule="exact"/>
        <w:ind w:right="11"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承包人拖欠农民工工资（含代发的分包单位工人工资），被农民工投诉属实的，承包人必须在3天内发放拖欠的款项。若继续拖延被投诉2次及以上，经查实，承包人除应立即支付拖欠款项外，还应支付10000违约金给发包人。因承包人拖欠农民工工资，导致农民工采取停工、集聚围阻发包人办公地点甚至政府办公部门等过激行动的，承包人应支付50000元违约金，并立即采取切实有效措施予以整改；拒不采取切实有效措施整改的，或整改效果不明显的，发包人可用承包人工程款垫付。若承包人在本工程内发生无故拖欠农民工工资现象，将被作不良记录，上报区建设行政主管部门。</w:t>
      </w:r>
    </w:p>
    <w:p>
      <w:pPr>
        <w:pStyle w:val="208"/>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35.2.6</w:t>
      </w:r>
      <w:r>
        <w:rPr>
          <w:rFonts w:hint="eastAsia" w:ascii="宋体" w:hAnsi="宋体" w:cs="宋体"/>
          <w:color w:val="auto"/>
          <w:sz w:val="24"/>
          <w:highlight w:val="none"/>
          <w:u w:val="single"/>
        </w:rPr>
        <w:t>项目管理机构人员、机械设备、劳动力到位方面的违约责任：</w:t>
      </w:r>
    </w:p>
    <w:p>
      <w:pPr>
        <w:pStyle w:val="208"/>
        <w:numPr>
          <w:ilvl w:val="0"/>
          <w:numId w:val="3"/>
        </w:num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u w:val="single"/>
        </w:rPr>
        <w:t>承包人必须保证投标文件中确定的项目负责人及其项目技术负责人、主要施工管理人员能及时地、始终地参与本工程施工管理，在未征得发包人书面同意之前不得更换。如未征得发包人书面同意，擅自更换项目负责人或项目技术负责人的，承包人每更换一人次，需支付50000元违约金给发包人，擅自更换主要施工管理人员的，每更换一人次，承包人需支付30000元违约金给发包人。但征得发包人书面同意更换或因发包人按本协议要求更换仍需支付违约金，具体为：更换项目负责人或项目技术负责人的，承包人每更换一人次，需支付30000元违约金给发包人，更换主要施工管理人员的，每更换一人次，承包人需支付10000元违约金给发包人。</w:t>
      </w:r>
    </w:p>
    <w:p>
      <w:pPr>
        <w:pStyle w:val="208"/>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eastAsia="宋体" w:cs="宋体"/>
          <w:color w:val="auto"/>
          <w:sz w:val="24"/>
          <w:szCs w:val="24"/>
          <w:highlight w:val="none"/>
        </w:rPr>
        <w:t>（2）</w:t>
      </w:r>
      <w:r>
        <w:rPr>
          <w:rFonts w:hint="eastAsia" w:ascii="宋体" w:hAnsi="宋体" w:eastAsia="宋体" w:cs="宋体"/>
          <w:color w:val="auto"/>
          <w:kern w:val="2"/>
          <w:sz w:val="24"/>
          <w:szCs w:val="24"/>
          <w:highlight w:val="none"/>
          <w:u w:val="single"/>
          <w:lang w:val="en-US" w:eastAsia="zh-CN" w:bidi="ar-SA"/>
        </w:rPr>
        <w:t>如果承包人未按投标文件中的《拟投入本工程施工的主要机械设备配备表》投入机械设备，经监理工程师或发包人代表检查发现的，将书面告知限期整改，未在限期内完成整改的，每延期一天，承包人需支付10000元违约金给发包人。且承包人应按照本合同相关约定投入相应比例的新能源工程车，否则发包人有权要求其限期整改，逾期不整改的，每缺少提供一台，承包人支付违约金20000元/台。</w:t>
      </w:r>
    </w:p>
    <w:p>
      <w:pPr>
        <w:pStyle w:val="208"/>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（3）如果承包人未投标文件中的人力投入计划投入人力，经监理工程师和发包人代表检查发现的，每发现一次，承包人支付10000元违约金给发包人。</w:t>
      </w:r>
    </w:p>
    <w:p>
      <w:pPr>
        <w:pStyle w:val="208"/>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4）如果检查发现承包人超过三次未按承诺投入的人力、机械、物力组织施工，发包人将作为不良纪录报区建设行政主管部门备案。如果检查发现承包人没有按施工组织设计的进度安排推进工程建设，使主要工序的工期延误超过10天，没有按发包人的意见撤换现场负责人；或者按发包人的意见撤换现场负责人后，仍然无法有效控制工程进度，承包人除需按本条第（1）项支付违约金外，发包人将发出书面警告，警告发出后15天内，主要工序的工期延误仍然超过10天，发包人将作为不良纪录报区建设行政主管部门备案。对此，承包人不得有异议。</w:t>
      </w:r>
    </w:p>
    <w:p>
      <w:pPr>
        <w:pStyle w:val="208"/>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u w:val="single"/>
        </w:rPr>
        <w:t>（5）承包人的项目负责人、技术负责人、安全负责人、质量负责人、防火负责人等必须常驻施工现场，且须无条件参加每周的工地例会以及发包人书面通知的其它会议，如有缺席，则每人每缺席一次，承包人需支付5000元人民币违约金。</w:t>
      </w:r>
    </w:p>
    <w:p>
      <w:pPr>
        <w:spacing w:line="440" w:lineRule="exact"/>
        <w:rPr>
          <w:rFonts w:hint="eastAsia" w:ascii="宋体" w:hAnsi="宋体" w:cs="宋体"/>
          <w:color w:val="auto"/>
          <w:sz w:val="24"/>
          <w:highlight w:val="none"/>
          <w:u w:val="single"/>
        </w:rPr>
      </w:pPr>
      <w:r>
        <w:rPr>
          <w:rFonts w:hint="eastAsia" w:ascii="宋体" w:hAnsi="宋体" w:cs="宋体"/>
          <w:color w:val="auto"/>
          <w:sz w:val="24"/>
          <w:highlight w:val="none"/>
        </w:rPr>
        <w:t xml:space="preserve">    35.2.7</w:t>
      </w:r>
      <w:r>
        <w:rPr>
          <w:rFonts w:hint="eastAsia" w:ascii="宋体" w:hAnsi="宋体" w:cs="宋体"/>
          <w:color w:val="auto"/>
          <w:sz w:val="24"/>
          <w:highlight w:val="none"/>
          <w:u w:val="single"/>
        </w:rPr>
        <w:t>工程转包违约责任</w:t>
      </w:r>
    </w:p>
    <w:p>
      <w:pPr>
        <w:adjustRightInd w:val="0"/>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承包人在本工程中有转包、转让、出借资质证书或者以其他方式允许他人以本企业的名义承揽工程的，发包人将解除合同，承包人按合同价的10%承担违约金。因此导致发包人损失超出违约金的部分，承包人应负责赔偿。</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合同约定的工程项目承包人不得转包，必须分包的少量子项工程和专业工程，事先需取得监理人、发包人的审查同意后方可进场施工。否则，发包人有权单方面终止合同，并令其立即退场，工程项目另行处理，承包人还应按履约担保金额支付违约金，发包人的损失超过履约担保金额的部分，承包人还应承担赔偿责任。</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35.2.8解除合同的违约责任</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35.2.8.1因承包人严重违约，发包人单方面解除合同或承包人违约擅自解除合同的，承包人应向发包人支付本合同价款10%的违约金，因解除合同导致发包人的损失超过违约金的部分，承包人还应承担赔偿责任。合同解除后，承包人应妥善做好已完工程和已购材料、设备的保护和移交工作。发包人可派员进驻施工场地，另行组织人员或委托其他承包人施工。发包人因继续完成该工程的需要，有权扣留使用承包人在现场的材料、设备和临时设施，也可要求承包人自行将自有机械设备和人员撤出施工场地，但发包人的这一行为不免除承包人应承担的违约责任，也不影响发包人根据合同约定享有的索赔权利。</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35.2.8.2不适用通用条款44.6条的约定。</w:t>
      </w:r>
    </w:p>
    <w:p>
      <w:pPr>
        <w:pStyle w:val="265"/>
        <w:tabs>
          <w:tab w:val="left" w:pos="8280"/>
        </w:tabs>
        <w:spacing w:line="440" w:lineRule="exact"/>
        <w:ind w:right="28" w:firstLine="480" w:firstLineChars="200"/>
        <w:rPr>
          <w:rFonts w:hint="eastAsia" w:ascii="宋体" w:hAnsi="宋体" w:cs="宋体"/>
          <w:bCs/>
          <w:snapToGrid w:val="0"/>
          <w:color w:val="auto"/>
          <w:kern w:val="0"/>
          <w:sz w:val="24"/>
          <w:highlight w:val="none"/>
          <w:u w:val="single"/>
        </w:rPr>
      </w:pPr>
      <w:r>
        <w:rPr>
          <w:rFonts w:hint="eastAsia" w:ascii="宋体" w:hAnsi="宋体" w:cs="宋体"/>
          <w:bCs/>
          <w:snapToGrid w:val="0"/>
          <w:color w:val="auto"/>
          <w:kern w:val="0"/>
          <w:sz w:val="24"/>
          <w:highlight w:val="none"/>
        </w:rPr>
        <w:t>35.2.9</w:t>
      </w:r>
      <w:r>
        <w:rPr>
          <w:rFonts w:hint="eastAsia" w:ascii="宋体" w:hAnsi="宋体" w:cs="宋体"/>
          <w:bCs/>
          <w:snapToGrid w:val="0"/>
          <w:color w:val="auto"/>
          <w:kern w:val="0"/>
          <w:sz w:val="24"/>
          <w:highlight w:val="none"/>
          <w:u w:val="single"/>
        </w:rPr>
        <w:t>办理结算的违约责任：</w:t>
      </w:r>
    </w:p>
    <w:p>
      <w:pPr>
        <w:pStyle w:val="265"/>
        <w:tabs>
          <w:tab w:val="left" w:pos="8280"/>
        </w:tabs>
        <w:spacing w:line="440" w:lineRule="exact"/>
        <w:ind w:right="28" w:firstLine="480" w:firstLineChars="200"/>
        <w:rPr>
          <w:rFonts w:hint="eastAsia" w:ascii="宋体" w:hAnsi="宋体" w:cs="宋体"/>
          <w:bCs/>
          <w:snapToGrid w:val="0"/>
          <w:color w:val="auto"/>
          <w:kern w:val="0"/>
          <w:sz w:val="24"/>
          <w:highlight w:val="none"/>
          <w:u w:val="single"/>
        </w:rPr>
      </w:pPr>
      <w:r>
        <w:rPr>
          <w:rFonts w:hint="eastAsia" w:ascii="宋体" w:hAnsi="宋体" w:cs="宋体"/>
          <w:bCs/>
          <w:snapToGrid w:val="0"/>
          <w:color w:val="auto"/>
          <w:kern w:val="0"/>
          <w:sz w:val="24"/>
          <w:highlight w:val="none"/>
          <w:u w:val="single"/>
        </w:rPr>
        <w:t>承包人不执行《</w:t>
      </w:r>
      <w:r>
        <w:rPr>
          <w:rFonts w:hint="eastAsia" w:ascii="宋体" w:hAnsi="宋体" w:cs="宋体"/>
          <w:color w:val="auto"/>
          <w:sz w:val="24"/>
          <w:highlight w:val="none"/>
          <w:u w:val="single"/>
        </w:rPr>
        <w:t>广州开发区财政投资建设项目管理中心施工类合同结算编审指引（试行）</w:t>
      </w:r>
      <w:r>
        <w:rPr>
          <w:rFonts w:hint="eastAsia" w:ascii="宋体" w:hAnsi="宋体" w:cs="宋体"/>
          <w:bCs/>
          <w:snapToGrid w:val="0"/>
          <w:color w:val="auto"/>
          <w:kern w:val="0"/>
          <w:sz w:val="24"/>
          <w:highlight w:val="none"/>
          <w:u w:val="single"/>
        </w:rPr>
        <w:t>》有关规定的，须按该指引有关规定承担违约责任。</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35.2.10</w:t>
      </w:r>
      <w:r>
        <w:rPr>
          <w:rFonts w:hint="eastAsia" w:ascii="宋体" w:hAnsi="宋体" w:cs="宋体"/>
          <w:color w:val="auto"/>
          <w:sz w:val="24"/>
          <w:highlight w:val="none"/>
          <w:u w:val="single"/>
        </w:rPr>
        <w:t xml:space="preserve"> 除上述违约责任外，因承包人履行本合同不符合约定或相关规定，发包人可根据实际情况，给予承包人通报批评及作不良记录等处罚措施；情节严重的，可报请上级行政主管部门给予相应处罚。</w:t>
      </w:r>
    </w:p>
    <w:p>
      <w:pPr>
        <w:adjustRightInd w:val="0"/>
        <w:snapToGrid w:val="0"/>
        <w:spacing w:line="440" w:lineRule="exact"/>
        <w:ind w:firstLine="480" w:firstLineChars="200"/>
        <w:outlineLvl w:val="3"/>
        <w:rPr>
          <w:rFonts w:hint="eastAsia" w:ascii="宋体" w:hAnsi="宋体" w:cs="宋体"/>
          <w:color w:val="auto"/>
          <w:sz w:val="24"/>
          <w:highlight w:val="none"/>
        </w:rPr>
      </w:pPr>
      <w:r>
        <w:rPr>
          <w:rFonts w:hint="eastAsia" w:ascii="宋体" w:hAnsi="宋体" w:cs="宋体"/>
          <w:color w:val="auto"/>
          <w:sz w:val="24"/>
          <w:highlight w:val="none"/>
        </w:rPr>
        <w:t>35.2.11承包人违约责任的认定方式、送达程序及违约金的处理</w:t>
      </w:r>
    </w:p>
    <w:p>
      <w:pPr>
        <w:adjustRightInd w:val="0"/>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（1）认定方式：以发包人发出的通知、通报、会议纪要等书面文件确定的内容为准。</w:t>
      </w:r>
    </w:p>
    <w:p>
      <w:pPr>
        <w:adjustRightInd w:val="0"/>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（2）送达程序：发包人以下列方式之一将书面违约处理决定送达承包人：</w:t>
      </w:r>
    </w:p>
    <w:p>
      <w:pPr>
        <w:adjustRightInd w:val="0"/>
        <w:snapToGrid w:val="0"/>
        <w:spacing w:line="440" w:lineRule="exact"/>
        <w:ind w:firstLine="720" w:firstLineChars="300"/>
        <w:rPr>
          <w:rFonts w:hint="eastAsia" w:ascii="宋体" w:hAnsi="宋体" w:cs="宋体"/>
          <w:color w:val="auto"/>
          <w:sz w:val="24"/>
          <w:highlight w:val="none"/>
        </w:rPr>
      </w:pPr>
      <w:r>
        <w:rPr>
          <w:rFonts w:hint="eastAsia" w:ascii="宋体" w:hAnsi="宋体" w:cs="宋体"/>
          <w:color w:val="auto"/>
          <w:sz w:val="24"/>
          <w:highlight w:val="none"/>
        </w:rPr>
        <w:t>1）承包人现场管理机构工作人员签收。</w:t>
      </w:r>
    </w:p>
    <w:p>
      <w:pPr>
        <w:adjustRightInd w:val="0"/>
        <w:snapToGrid w:val="0"/>
        <w:spacing w:line="440" w:lineRule="exact"/>
        <w:ind w:firstLine="720" w:firstLineChars="300"/>
        <w:rPr>
          <w:rFonts w:hint="eastAsia" w:ascii="宋体" w:hAnsi="宋体" w:cs="宋体"/>
          <w:color w:val="auto"/>
          <w:sz w:val="24"/>
          <w:highlight w:val="none"/>
        </w:rPr>
      </w:pPr>
      <w:r>
        <w:rPr>
          <w:rFonts w:hint="eastAsia" w:ascii="宋体" w:hAnsi="宋体" w:cs="宋体"/>
          <w:color w:val="auto"/>
          <w:sz w:val="24"/>
          <w:highlight w:val="none"/>
        </w:rPr>
        <w:t>2）承包人其他工作人员签收。</w:t>
      </w:r>
    </w:p>
    <w:p>
      <w:pPr>
        <w:adjustRightInd w:val="0"/>
        <w:snapToGrid w:val="0"/>
        <w:spacing w:line="440" w:lineRule="exact"/>
        <w:ind w:firstLine="720" w:firstLineChars="300"/>
        <w:rPr>
          <w:rFonts w:hint="eastAsia" w:ascii="宋体" w:hAnsi="宋体" w:cs="宋体"/>
          <w:color w:val="auto"/>
          <w:sz w:val="24"/>
          <w:highlight w:val="none"/>
        </w:rPr>
      </w:pPr>
      <w:r>
        <w:rPr>
          <w:rFonts w:hint="eastAsia" w:ascii="宋体" w:hAnsi="宋体" w:cs="宋体"/>
          <w:color w:val="auto"/>
          <w:sz w:val="24"/>
          <w:highlight w:val="none"/>
        </w:rPr>
        <w:t>3）发包人邮寄送达。</w:t>
      </w:r>
    </w:p>
    <w:p>
      <w:pPr>
        <w:adjustRightInd w:val="0"/>
        <w:snapToGrid w:val="0"/>
        <w:spacing w:line="440" w:lineRule="exact"/>
        <w:ind w:firstLine="480" w:firstLineChars="200"/>
        <w:outlineLvl w:val="3"/>
        <w:rPr>
          <w:rFonts w:hint="eastAsia" w:ascii="宋体" w:hAnsi="宋体" w:cs="宋体"/>
          <w:color w:val="auto"/>
          <w:sz w:val="24"/>
          <w:highlight w:val="none"/>
        </w:rPr>
      </w:pPr>
      <w:r>
        <w:rPr>
          <w:rFonts w:hint="eastAsia" w:ascii="宋体" w:hAnsi="宋体" w:cs="宋体"/>
          <w:color w:val="auto"/>
          <w:sz w:val="24"/>
          <w:highlight w:val="none"/>
        </w:rPr>
        <w:t>（3）发包人以书面形式作出的违约处理决定一经送达承包人立即生效。承包人如有足够证据证明不应由其承担违约责任的，应在收到违约处理决定后3天内以书面形式向发包人提出异议并附上有关证据。发包人在收到承包人的异议后15个工作日内审核完毕且作出书面决定并通知承包人。在异议审核期间，承包人须正常施工，不得以审核未确定为由拖延或者中止工程施工。</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37、争议</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37.1 双方约定，在履行合同过程中产生争议时：</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（1）由双方协商解决；</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（2）协商不成的，向</w:t>
      </w:r>
      <w:r>
        <w:rPr>
          <w:rFonts w:hint="eastAsia" w:ascii="宋体" w:hAnsi="宋体" w:cs="宋体"/>
          <w:color w:val="auto"/>
          <w:sz w:val="24"/>
          <w:highlight w:val="none"/>
          <w:u w:val="single"/>
        </w:rPr>
        <w:t xml:space="preserve"> 工程所在地 </w:t>
      </w:r>
      <w:r>
        <w:rPr>
          <w:rFonts w:hint="eastAsia" w:ascii="宋体" w:hAnsi="宋体" w:cs="宋体"/>
          <w:color w:val="auto"/>
          <w:sz w:val="24"/>
          <w:highlight w:val="none"/>
        </w:rPr>
        <w:t>人民法院提起诉讼。</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十一、其他</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38、工程分包</w:t>
      </w:r>
    </w:p>
    <w:p>
      <w:pPr>
        <w:snapToGrid w:val="0"/>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38.1 （1）本工程发包人同意承包人分包的工程：非主体非关键工程。承包人分包工程的，需先报发包人同意，分包合同签订后必须报发包人备案。承包人与分包单位签订的分包合同中应明确工人工资比例及支付期限。</w:t>
      </w:r>
    </w:p>
    <w:p>
      <w:pPr>
        <w:adjustRightInd w:val="0"/>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劳务分包必须严格执行广州市相关规定，禁止分包劳务给无资质单位或个人。在发包人同意承包人进行劳务分包的情况下，劳务分包单位须与向政府相关部门备案的劳务分包的单位一致，不得私自变更劳务分包单位。</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39、不可抗力</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39.1 双方关于不可抗力的约定： 按本合同通用条款执行。自然灾害的范围及其认定方式，按下述约定执行：</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1）异常天气：仅指50年一遇以上（含50年）的洪水、10级（含本数）以上台风，因异常天气袭击工地为确保安全而停工的，承包人应于台风、洪水天气结束之日起七日内，向当地气象部门索取工程所在地台风、暴雨天气资料或报告（含气象实况及对此分析的内容），连同施工日志、现场照片办理证据保全公证，方可认定为是不可抗力。</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（2）里氏5级（含本数）以上地震。</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39.3双方关于不可抗力事件导致的</w:t>
      </w:r>
      <w:r>
        <w:rPr>
          <w:rFonts w:hint="eastAsia" w:ascii="宋体" w:hAnsi="宋体" w:cs="宋体"/>
          <w:color w:val="auto"/>
          <w:sz w:val="24"/>
          <w:highlight w:val="none"/>
          <w:u w:val="single"/>
        </w:rPr>
        <w:t>费用承担按本专用条款12.3款约定执行。</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40、保险</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40.2承包人对其运至施工场地内用于工程的材料和待安装设备办理保险并支付保险费用。</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40.6 本工程双方约定投保内容如下</w:t>
      </w:r>
    </w:p>
    <w:p>
      <w:pPr>
        <w:tabs>
          <w:tab w:val="left" w:pos="960"/>
          <w:tab w:val="left" w:pos="1080"/>
        </w:tabs>
        <w:snapToGrid w:val="0"/>
        <w:spacing w:line="440" w:lineRule="exact"/>
        <w:ind w:left="397" w:firstLine="397"/>
        <w:rPr>
          <w:rFonts w:hint="eastAsia" w:ascii="宋体" w:hAnsi="宋体" w:cs="宋体"/>
          <w:color w:val="auto"/>
          <w:sz w:val="24"/>
          <w:highlight w:val="none"/>
          <w:u w:val="single"/>
        </w:rPr>
      </w:pPr>
      <w:r>
        <w:rPr>
          <w:rFonts w:hint="eastAsia" w:ascii="宋体" w:hAnsi="宋体" w:cs="宋体"/>
          <w:color w:val="auto"/>
          <w:sz w:val="24"/>
          <w:highlight w:val="none"/>
        </w:rPr>
        <w:t>（一）发包人投保内容：</w:t>
      </w:r>
      <w:r>
        <w:rPr>
          <w:rFonts w:hint="eastAsia" w:ascii="宋体" w:hAnsi="宋体" w:cs="宋体"/>
          <w:color w:val="auto"/>
          <w:sz w:val="24"/>
          <w:highlight w:val="none"/>
          <w:u w:val="single"/>
        </w:rPr>
        <w:t>按广州市建设项目劳动保险相关规定投保</w:t>
      </w:r>
      <w:r>
        <w:rPr>
          <w:rFonts w:hint="eastAsia" w:ascii="宋体" w:hAnsi="宋体" w:cs="宋体"/>
          <w:color w:val="auto"/>
          <w:sz w:val="24"/>
          <w:highlight w:val="none"/>
        </w:rPr>
        <w:t>。</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发包人委托承包人办理的保险事项：</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tabs>
          <w:tab w:val="left" w:pos="960"/>
          <w:tab w:val="left" w:pos="1080"/>
        </w:tabs>
        <w:snapToGrid w:val="0"/>
        <w:spacing w:line="440" w:lineRule="exact"/>
        <w:ind w:left="397" w:firstLine="397"/>
        <w:rPr>
          <w:rFonts w:hint="eastAsia" w:ascii="宋体" w:hAnsi="宋体" w:cs="宋体"/>
          <w:color w:val="auto"/>
          <w:sz w:val="24"/>
          <w:highlight w:val="none"/>
          <w:u w:val="single"/>
        </w:rPr>
      </w:pPr>
      <w:r>
        <w:rPr>
          <w:rFonts w:hint="eastAsia" w:ascii="宋体" w:hAnsi="宋体" w:cs="宋体"/>
          <w:color w:val="auto"/>
          <w:sz w:val="24"/>
          <w:highlight w:val="none"/>
        </w:rPr>
        <w:t>（二）承包人投保内容：</w:t>
      </w:r>
      <w:r>
        <w:rPr>
          <w:rFonts w:hint="eastAsia" w:ascii="宋体" w:hAnsi="宋体" w:cs="宋体"/>
          <w:color w:val="auto"/>
          <w:sz w:val="24"/>
          <w:highlight w:val="none"/>
          <w:u w:val="single"/>
        </w:rPr>
        <w:t>开工前承包人应当投保安全生产责任保险，且该保险保障场所应包含本项目，合同价视作已含该项费用。承包人未按规定购买安全生产责任保险，发包人可视严重程度拒绝该单位一定时期内参与后续工程投标。</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41、担保</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41.1本工程双方约定担保事项如下：</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（1）发包人向承包人提供履约担保，担保方式为：</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，担保合同作为本合同附件。</w:t>
      </w:r>
    </w:p>
    <w:p>
      <w:pPr>
        <w:snapToGrid w:val="0"/>
        <w:spacing w:line="440" w:lineRule="exact"/>
        <w:ind w:firstLine="397"/>
        <w:rPr>
          <w:rFonts w:hint="eastAsia" w:ascii="宋体" w:hAnsi="宋体" w:cs="宋体"/>
          <w:color w:val="auto"/>
          <w:sz w:val="24"/>
          <w:highlight w:val="none"/>
        </w:rPr>
      </w:pPr>
      <w:r>
        <w:rPr>
          <w:rFonts w:hint="eastAsia" w:ascii="宋体" w:hAnsi="宋体" w:cs="宋体"/>
          <w:color w:val="auto"/>
          <w:sz w:val="24"/>
          <w:highlight w:val="none"/>
        </w:rPr>
        <w:t>（2）承包人按如下方式向发包人提供履约担保：</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① 履约担保：</w:t>
      </w:r>
      <w:r>
        <w:rPr>
          <w:rFonts w:hint="eastAsia" w:ascii="宋体" w:hAnsi="宋体" w:cs="宋体"/>
          <w:color w:val="auto"/>
          <w:sz w:val="24"/>
          <w:highlight w:val="none"/>
          <w:u w:val="single"/>
        </w:rPr>
        <w:t>承包人向发包人提交担保金额为中标价10%的履约担保，以银行保函形式提交。履约担保为银行保函的，须广州市内分行以上的银行开具的无条件、不可撤销的保函，保函有效期至工程竣工验收合格之日。履约银行保函到期但工程尚未竣工的，承包人应自觉办理保函延期手续，确保担保期限不出现空缺，否则，发包人不予支付工程款</w:t>
      </w:r>
      <w:r>
        <w:rPr>
          <w:rFonts w:hint="eastAsia" w:ascii="宋体" w:hAnsi="宋体" w:cs="宋体"/>
          <w:color w:val="auto"/>
          <w:sz w:val="24"/>
          <w:highlight w:val="none"/>
        </w:rPr>
        <w:t>。</w:t>
      </w:r>
    </w:p>
    <w:p>
      <w:pPr>
        <w:snapToGrid w:val="0"/>
        <w:spacing w:line="440" w:lineRule="exact"/>
        <w:ind w:firstLine="338" w:firstLineChars="141"/>
        <w:rPr>
          <w:rFonts w:hint="eastAsia" w:ascii="宋体" w:hAnsi="宋体" w:cs="宋体"/>
          <w:color w:val="auto"/>
          <w:sz w:val="24"/>
          <w:highlight w:val="none"/>
        </w:rPr>
      </w:pPr>
      <w:r>
        <w:rPr>
          <w:rFonts w:hint="eastAsia" w:ascii="宋体" w:hAnsi="宋体" w:cs="宋体"/>
          <w:color w:val="auto"/>
          <w:sz w:val="24"/>
          <w:highlight w:val="none"/>
        </w:rPr>
        <w:t>首次办理履约保函，如合同工期低于1年的，担保期限可按合同工期，如合同工期高于1年的，担保期限不低于1年。</w:t>
      </w:r>
    </w:p>
    <w:p>
      <w:pPr>
        <w:snapToGrid w:val="0"/>
        <w:spacing w:line="440" w:lineRule="exact"/>
        <w:ind w:firstLine="338" w:firstLineChars="141"/>
        <w:rPr>
          <w:rFonts w:hint="eastAsia" w:ascii="宋体" w:hAnsi="宋体" w:cs="宋体"/>
          <w:color w:val="auto"/>
          <w:sz w:val="24"/>
          <w:highlight w:val="none"/>
        </w:rPr>
      </w:pPr>
      <w:r>
        <w:rPr>
          <w:rFonts w:hint="eastAsia" w:ascii="宋体" w:hAnsi="宋体" w:cs="宋体"/>
          <w:color w:val="auto"/>
          <w:sz w:val="24"/>
          <w:highlight w:val="none"/>
        </w:rPr>
        <w:t>履约保函</w:t>
      </w:r>
      <w:r>
        <w:rPr>
          <w:rFonts w:hint="eastAsia" w:ascii="宋体" w:hAnsi="宋体" w:cs="宋体"/>
          <w:color w:val="auto"/>
          <w:sz w:val="24"/>
          <w:highlight w:val="none"/>
          <w:u w:val="single"/>
        </w:rPr>
        <w:t>办理延期手续</w:t>
      </w:r>
      <w:r>
        <w:rPr>
          <w:rFonts w:hint="eastAsia" w:ascii="宋体" w:hAnsi="宋体" w:cs="宋体"/>
          <w:color w:val="auto"/>
          <w:sz w:val="24"/>
          <w:highlight w:val="none"/>
        </w:rPr>
        <w:t>时，若项目的完成工程量不足一半，担保金额按中标价的10%；若项目的完成工程量超过一半，担保金额可按中标价的5%；其他特殊情况需调整的，需报发包人审议同意。</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② 履约担保的返还方式：</w:t>
      </w:r>
      <w:r>
        <w:rPr>
          <w:rFonts w:hint="eastAsia" w:ascii="宋体" w:hAnsi="宋体" w:cs="宋体"/>
          <w:color w:val="auto"/>
          <w:sz w:val="24"/>
          <w:highlight w:val="none"/>
          <w:u w:val="single"/>
        </w:rPr>
        <w:t>履约担保为银行保函的，在工程验收合格后返还承包人</w:t>
      </w:r>
      <w:r>
        <w:rPr>
          <w:rFonts w:hint="eastAsia" w:ascii="宋体" w:hAnsi="宋体" w:cs="宋体"/>
          <w:color w:val="auto"/>
          <w:sz w:val="24"/>
          <w:highlight w:val="none"/>
        </w:rPr>
        <w:t>。</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u w:val="single"/>
        </w:rPr>
        <w:t>银行保函的管理和格式按《广州开发区财政投资建设项目管理中心建设工程保函管理细则》执行</w:t>
      </w:r>
      <w:r>
        <w:rPr>
          <w:rFonts w:hint="eastAsia" w:ascii="宋体" w:hAnsi="宋体" w:cs="宋体"/>
          <w:color w:val="auto"/>
          <w:sz w:val="24"/>
          <w:highlight w:val="none"/>
        </w:rPr>
        <w:t>。</w:t>
      </w:r>
    </w:p>
    <w:p>
      <w:pPr>
        <w:adjustRightInd w:val="0"/>
        <w:snapToGrid w:val="0"/>
        <w:spacing w:line="440" w:lineRule="exact"/>
        <w:ind w:right="11" w:firstLine="480" w:firstLineChars="200"/>
        <w:outlineLvl w:val="3"/>
        <w:rPr>
          <w:rFonts w:hint="eastAsia" w:ascii="宋体" w:hAnsi="宋体" w:cs="宋体"/>
          <w:color w:val="auto"/>
          <w:sz w:val="24"/>
          <w:highlight w:val="none"/>
        </w:rPr>
      </w:pPr>
      <w:r>
        <w:rPr>
          <w:rFonts w:hint="eastAsia" w:ascii="宋体" w:hAnsi="宋体" w:cs="宋体"/>
          <w:color w:val="auto"/>
          <w:sz w:val="24"/>
          <w:highlight w:val="none"/>
        </w:rPr>
        <w:t>（3）承包人提交的履约担保是对本合同约定的承包人的全部义务（包括但不限于承包人违约后应支付的违约金和赔偿金）的担保，承包人的任何一次不履行或不完全履行合同义务的行为，发包人均有权提出索赔。</w:t>
      </w:r>
    </w:p>
    <w:p>
      <w:pPr>
        <w:snapToGrid w:val="0"/>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46、合同份数</w:t>
      </w:r>
    </w:p>
    <w:p>
      <w:pPr>
        <w:snapToGrid w:val="0"/>
        <w:spacing w:line="440" w:lineRule="exact"/>
        <w:ind w:firstLine="397"/>
        <w:rPr>
          <w:rFonts w:hint="eastAsia" w:ascii="宋体" w:hAnsi="宋体" w:cs="宋体"/>
          <w:color w:val="auto"/>
          <w:sz w:val="24"/>
          <w:highlight w:val="none"/>
          <w:u w:val="single"/>
        </w:rPr>
      </w:pPr>
      <w:r>
        <w:rPr>
          <w:rFonts w:hint="eastAsia" w:ascii="宋体" w:hAnsi="宋体" w:cs="宋体"/>
          <w:color w:val="auto"/>
          <w:sz w:val="24"/>
          <w:highlight w:val="none"/>
        </w:rPr>
        <w:t>46.1 双方约定合同正副本份数：</w:t>
      </w:r>
      <w:r>
        <w:rPr>
          <w:rFonts w:hint="eastAsia" w:ascii="宋体" w:hAnsi="宋体" w:cs="宋体"/>
          <w:color w:val="auto"/>
          <w:sz w:val="24"/>
          <w:highlight w:val="none"/>
          <w:u w:val="single"/>
        </w:rPr>
        <w:t>共拾份，正本一式贰份，发包人承包人各执壹份；副本共捌份，发包人肆份，承包人叁份，监理人壹份。</w:t>
      </w:r>
    </w:p>
    <w:p>
      <w:pPr>
        <w:spacing w:line="440" w:lineRule="exact"/>
        <w:ind w:firstLine="397"/>
        <w:rPr>
          <w:rFonts w:hint="eastAsia" w:ascii="宋体" w:hAnsi="宋体" w:cs="宋体"/>
          <w:b/>
          <w:color w:val="auto"/>
          <w:sz w:val="24"/>
          <w:highlight w:val="none"/>
        </w:rPr>
      </w:pPr>
      <w:r>
        <w:rPr>
          <w:rFonts w:hint="eastAsia" w:ascii="宋体" w:hAnsi="宋体" w:cs="宋体"/>
          <w:b/>
          <w:color w:val="auto"/>
          <w:sz w:val="24"/>
          <w:highlight w:val="none"/>
        </w:rPr>
        <w:t>47、补充条款</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安全、文明、科学、规范的施工要求</w:t>
      </w:r>
      <w:r>
        <w:rPr>
          <w:rFonts w:hint="eastAsia" w:ascii="宋体" w:hAnsi="宋体" w:eastAsia="宋体" w:cs="宋体"/>
          <w:color w:val="auto"/>
          <w:sz w:val="24"/>
          <w:highlight w:val="none"/>
        </w:rPr>
        <w:t>）</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47.1</w:t>
      </w:r>
      <w:r>
        <w:rPr>
          <w:rFonts w:hint="eastAsia" w:ascii="宋体" w:hAnsi="宋体" w:cs="宋体"/>
          <w:color w:val="auto"/>
          <w:sz w:val="24"/>
          <w:highlight w:val="none"/>
          <w:u w:val="single"/>
        </w:rPr>
        <w:t>承包人在开工前，必须按照广州市、开发区有关要求办理好相应的施工手续方可开工。</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47.2</w:t>
      </w:r>
      <w:r>
        <w:rPr>
          <w:rFonts w:hint="eastAsia" w:ascii="宋体" w:hAnsi="宋体" w:cs="宋体"/>
          <w:color w:val="auto"/>
          <w:sz w:val="24"/>
          <w:highlight w:val="none"/>
          <w:u w:val="single"/>
        </w:rPr>
        <w:t>施工范围的具体位置及可交付承包人施工安排的用地范围，由承包人根据现场勘察情况报发包人同意确定，建筑轴线控制基点由承包人联系规划局提供。</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47.3</w:t>
      </w:r>
      <w:r>
        <w:rPr>
          <w:rFonts w:hint="eastAsia" w:ascii="宋体" w:hAnsi="宋体" w:cs="宋体"/>
          <w:color w:val="auto"/>
          <w:sz w:val="24"/>
          <w:highlight w:val="none"/>
          <w:u w:val="single"/>
        </w:rPr>
        <w:t>承包人必须保证在收到中标通知书后五天内进场作好施工准备，十五天内提交有关开工报告、施工组织设计、主要材料厂家、材料品牌的选择报验，完成本工程所需的相关工作（如配合比试验、土工试验、场地原地面标高测量、导线放线及复测工作、水准点加密、现场临时设施建设等工作），经监理工程师批准开工或下达开工令后正式施工。</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47.4</w:t>
      </w:r>
      <w:r>
        <w:rPr>
          <w:rFonts w:hint="eastAsia" w:ascii="宋体" w:hAnsi="宋体" w:cs="宋体"/>
          <w:color w:val="auto"/>
          <w:sz w:val="24"/>
          <w:highlight w:val="none"/>
          <w:u w:val="single"/>
        </w:rPr>
        <w:t>承包人在施工期间要确保工程外场地清洁及道路畅通，如须使用他方道路，则还必须负责养护、保洁责任，否则责任自负。施工和警示标志明显，因施工造成人身损害和财产损失的，由承包人承担</w:t>
      </w:r>
      <w:r>
        <w:rPr>
          <w:rFonts w:hint="eastAsia" w:ascii="宋体" w:hAnsi="宋体" w:cs="宋体"/>
          <w:color w:val="auto"/>
          <w:sz w:val="24"/>
          <w:highlight w:val="none"/>
        </w:rPr>
        <w:t>责任。</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47.5</w:t>
      </w:r>
      <w:r>
        <w:rPr>
          <w:rFonts w:hint="eastAsia" w:ascii="宋体" w:hAnsi="宋体" w:cs="宋体"/>
          <w:color w:val="auto"/>
          <w:sz w:val="24"/>
          <w:highlight w:val="none"/>
          <w:u w:val="single"/>
        </w:rPr>
        <w:t>承包人必须考虑安全、环保等因素在局部施工范围进行围蔽施工，现场围蔽不符合国家有关安全措施及技术要求的，不得开展施工作业，由此造成的工期延长，由承包人自己负责，当作延误工期处理。</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47.6</w:t>
      </w:r>
      <w:r>
        <w:rPr>
          <w:rFonts w:hint="eastAsia" w:ascii="宋体" w:hAnsi="宋体" w:cs="宋体"/>
          <w:color w:val="auto"/>
          <w:sz w:val="24"/>
          <w:highlight w:val="none"/>
          <w:u w:val="single"/>
        </w:rPr>
        <w:t>承包人应注意对现有的道路、供水管、排水管、绿化、路灯、电力与通讯设施等进行保护，如因承包人原因损坏，承包人应无条件修复，由此引起的任何安全事故由承包人负责，并承担由此产生的一切费用。若承包人不能按要求修复的，则由发包人委托其它单位修复，费用从承包人工程款中扣付。</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47.7</w:t>
      </w:r>
      <w:r>
        <w:rPr>
          <w:rFonts w:hint="eastAsia" w:ascii="宋体" w:hAnsi="宋体" w:cs="宋体"/>
          <w:color w:val="auto"/>
          <w:sz w:val="24"/>
          <w:highlight w:val="none"/>
          <w:u w:val="single"/>
        </w:rPr>
        <w:t>场内土方开挖时，承包人向发包人书面申请，并按发包人的书面批复进行调配平衡，不得任意处置，多余土方由承包人自行安排外运，竣工退场时必须清理施工现场，并达到发包人要求；若承包人未及时外运，则由发包人另行委托其他单位外运，所需费用从承包人工程款中扣付。</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47.8</w:t>
      </w:r>
      <w:r>
        <w:rPr>
          <w:rFonts w:hint="eastAsia" w:ascii="宋体" w:hAnsi="宋体" w:cs="宋体"/>
          <w:color w:val="auto"/>
          <w:sz w:val="24"/>
          <w:highlight w:val="none"/>
          <w:u w:val="single"/>
        </w:rPr>
        <w:t>若遇阻碍施工需拆迁的旧建（构）筑物、地下孤石等障碍物，由承包人负责清障，所需清障费用经监理、发包人现场签证调整。</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47.9</w:t>
      </w:r>
      <w:r>
        <w:rPr>
          <w:rFonts w:hint="eastAsia" w:ascii="宋体" w:hAnsi="宋体" w:cs="宋体"/>
          <w:color w:val="auto"/>
          <w:sz w:val="24"/>
          <w:highlight w:val="none"/>
          <w:u w:val="single"/>
        </w:rPr>
        <w:t>在工程完成初验及工程实物移交给发包人或开发区有关的接收单位或部门后一个月内，承包人必须拆除本工程全部的施工临时设施，做到工完场清；否则，发包人有权安排清拆，由此所发生的一切费用在承包人的结算工程款中扣除。</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47.10双方根据国家有关规定，结合具体工程约定质量缺陷责任期如下：</w:t>
      </w:r>
    </w:p>
    <w:p>
      <w:pPr>
        <w:pStyle w:val="208"/>
        <w:snapToGrid w:val="0"/>
        <w:spacing w:line="440" w:lineRule="exact"/>
        <w:ind w:firstLine="578" w:firstLineChars="241"/>
        <w:rPr>
          <w:rFonts w:hint="eastAsia" w:ascii="宋体" w:hAnsi="宋体" w:cs="宋体"/>
          <w:color w:val="auto"/>
          <w:sz w:val="24"/>
          <w:highlight w:val="none"/>
        </w:rPr>
      </w:pPr>
      <w:r>
        <w:rPr>
          <w:rFonts w:hint="eastAsia" w:ascii="宋体" w:hAnsi="宋体" w:cs="宋体"/>
          <w:color w:val="auto"/>
          <w:sz w:val="24"/>
          <w:highlight w:val="none"/>
        </w:rPr>
        <w:t>1、基础设施工程，房屋建筑的地基基础工程和主体结构工程为2年；</w:t>
      </w:r>
    </w:p>
    <w:p>
      <w:pPr>
        <w:pStyle w:val="208"/>
        <w:snapToGrid w:val="0"/>
        <w:spacing w:line="440" w:lineRule="exact"/>
        <w:ind w:firstLine="578" w:firstLineChars="241"/>
        <w:rPr>
          <w:rFonts w:hint="eastAsia" w:ascii="宋体" w:hAnsi="宋体" w:cs="宋体"/>
          <w:color w:val="auto"/>
          <w:sz w:val="24"/>
          <w:highlight w:val="none"/>
        </w:rPr>
      </w:pPr>
      <w:r>
        <w:rPr>
          <w:rFonts w:hint="eastAsia" w:ascii="宋体" w:hAnsi="宋体" w:cs="宋体"/>
          <w:color w:val="auto"/>
          <w:sz w:val="24"/>
          <w:highlight w:val="none"/>
        </w:rPr>
        <w:t>2、屋面防水工程、有防水要求的卫生间、房间和外墙面的防渗漏为 2年；</w:t>
      </w:r>
    </w:p>
    <w:p>
      <w:pPr>
        <w:pStyle w:val="208"/>
        <w:snapToGrid w:val="0"/>
        <w:spacing w:line="440" w:lineRule="exact"/>
        <w:ind w:firstLine="578" w:firstLineChars="241"/>
        <w:rPr>
          <w:rFonts w:hint="eastAsia" w:ascii="宋体" w:hAnsi="宋体" w:cs="宋体"/>
          <w:color w:val="auto"/>
          <w:sz w:val="24"/>
          <w:highlight w:val="none"/>
        </w:rPr>
      </w:pPr>
      <w:r>
        <w:rPr>
          <w:rFonts w:hint="eastAsia" w:ascii="宋体" w:hAnsi="宋体" w:cs="宋体"/>
          <w:color w:val="auto"/>
          <w:sz w:val="24"/>
          <w:highlight w:val="none"/>
        </w:rPr>
        <w:t>3、电气管线、给排水管道、设备安装工程为 2 年；</w:t>
      </w:r>
    </w:p>
    <w:p>
      <w:pPr>
        <w:pStyle w:val="208"/>
        <w:snapToGrid w:val="0"/>
        <w:spacing w:line="440" w:lineRule="exact"/>
        <w:ind w:firstLine="578" w:firstLineChars="241"/>
        <w:rPr>
          <w:rFonts w:hint="eastAsia" w:ascii="宋体" w:hAnsi="宋体" w:cs="宋体"/>
          <w:color w:val="auto"/>
          <w:sz w:val="24"/>
          <w:highlight w:val="none"/>
        </w:rPr>
      </w:pPr>
      <w:r>
        <w:rPr>
          <w:rFonts w:hint="eastAsia" w:ascii="宋体" w:hAnsi="宋体" w:cs="宋体"/>
          <w:color w:val="auto"/>
          <w:sz w:val="24"/>
          <w:highlight w:val="none"/>
        </w:rPr>
        <w:t>4、供热及供冷为 2 个采暖期及供冷期；</w:t>
      </w:r>
    </w:p>
    <w:p>
      <w:pPr>
        <w:pStyle w:val="208"/>
        <w:snapToGrid w:val="0"/>
        <w:spacing w:line="440" w:lineRule="exact"/>
        <w:ind w:firstLine="578" w:firstLineChars="241"/>
        <w:rPr>
          <w:rFonts w:hint="eastAsia" w:ascii="宋体" w:hAnsi="宋体" w:cs="宋体"/>
          <w:color w:val="auto"/>
          <w:sz w:val="24"/>
          <w:highlight w:val="none"/>
        </w:rPr>
      </w:pPr>
      <w:r>
        <w:rPr>
          <w:rFonts w:hint="eastAsia" w:ascii="宋体" w:hAnsi="宋体" w:cs="宋体"/>
          <w:color w:val="auto"/>
          <w:sz w:val="24"/>
          <w:highlight w:val="none"/>
        </w:rPr>
        <w:t>5、装饰装修工程为 2 年；</w:t>
      </w:r>
    </w:p>
    <w:p>
      <w:pPr>
        <w:pStyle w:val="208"/>
        <w:snapToGrid w:val="0"/>
        <w:spacing w:line="440" w:lineRule="exact"/>
        <w:ind w:firstLine="578" w:firstLineChars="241"/>
        <w:rPr>
          <w:rFonts w:hint="eastAsia" w:ascii="宋体" w:hAnsi="宋体" w:cs="宋体"/>
          <w:color w:val="auto"/>
          <w:sz w:val="24"/>
          <w:highlight w:val="none"/>
        </w:rPr>
      </w:pPr>
      <w:r>
        <w:rPr>
          <w:rFonts w:hint="eastAsia" w:ascii="宋体" w:hAnsi="宋体" w:cs="宋体"/>
          <w:color w:val="auto"/>
          <w:sz w:val="24"/>
          <w:highlight w:val="none"/>
        </w:rPr>
        <w:t>6、室外的上下水和小区道路等市政公用工程为 2 年；</w:t>
      </w:r>
    </w:p>
    <w:p>
      <w:pPr>
        <w:pStyle w:val="208"/>
        <w:snapToGrid w:val="0"/>
        <w:spacing w:line="440" w:lineRule="exact"/>
        <w:ind w:firstLine="578" w:firstLineChars="241"/>
        <w:rPr>
          <w:rFonts w:hint="eastAsia" w:ascii="宋体" w:hAnsi="宋体" w:cs="宋体"/>
          <w:color w:val="auto"/>
          <w:sz w:val="24"/>
          <w:highlight w:val="none"/>
        </w:rPr>
      </w:pPr>
      <w:r>
        <w:rPr>
          <w:rFonts w:hint="eastAsia" w:ascii="宋体" w:hAnsi="宋体" w:cs="宋体"/>
          <w:color w:val="auto"/>
          <w:sz w:val="24"/>
          <w:highlight w:val="none"/>
        </w:rPr>
        <w:t>7、在本项目建成投入使用的前两年内，需对钢结构的节点、杆件应力集中部位、支座等受力关键部位进行应力、应变监控（监测方案由双方确定）。</w:t>
      </w:r>
    </w:p>
    <w:p>
      <w:pPr>
        <w:pStyle w:val="208"/>
        <w:snapToGrid w:val="0"/>
        <w:spacing w:line="440" w:lineRule="exact"/>
        <w:ind w:firstLine="578" w:firstLineChars="241"/>
        <w:rPr>
          <w:rFonts w:hint="eastAsia" w:ascii="宋体" w:hAnsi="宋体" w:cs="宋体"/>
          <w:color w:val="auto"/>
          <w:sz w:val="24"/>
          <w:highlight w:val="none"/>
        </w:rPr>
      </w:pPr>
      <w:r>
        <w:rPr>
          <w:rFonts w:hint="eastAsia" w:ascii="宋体" w:hAnsi="宋体" w:cs="宋体"/>
          <w:color w:val="auto"/>
          <w:sz w:val="24"/>
          <w:highlight w:val="none"/>
        </w:rPr>
        <w:t>8、园林建筑工程为 1 年，喷淋工程为 2 年，胸径15cm以内（含15cm）的苗木养护期为 3 个月，胸径15cm以上的苗木养护期为 1 年。</w:t>
      </w:r>
    </w:p>
    <w:p>
      <w:pPr>
        <w:pStyle w:val="208"/>
        <w:snapToGrid w:val="0"/>
        <w:spacing w:line="440" w:lineRule="exact"/>
        <w:ind w:firstLine="578" w:firstLineChars="241"/>
        <w:rPr>
          <w:rFonts w:hint="eastAsia" w:ascii="宋体" w:hAnsi="宋体" w:cs="宋体"/>
          <w:color w:val="auto"/>
          <w:sz w:val="24"/>
          <w:highlight w:val="none"/>
        </w:rPr>
      </w:pPr>
      <w:r>
        <w:rPr>
          <w:rFonts w:hint="eastAsia" w:ascii="宋体" w:hAnsi="宋体" w:cs="宋体"/>
          <w:color w:val="auto"/>
          <w:sz w:val="24"/>
          <w:highlight w:val="none"/>
        </w:rPr>
        <w:t>除上述专业工程外其它工程的质量缺陷责任期按相关规定或经双方另行协商确定。</w:t>
      </w:r>
    </w:p>
    <w:p>
      <w:pPr>
        <w:pStyle w:val="208"/>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本工程质量缺陷责任期从自广州开发区管委会或其相关职能部门批准的提前移交之日或工程竣工验收合格之日起（以先发生日期为准）计算（广州开发区、黄埔区对工程竣工验收有相关规定的，按该规定执行）。缺陷责任期内，由承包人原因造成的缺陷，承包人应负责维修，并承担鉴定及维修费用。如承包人不维修也不承担费用，发包人可按合同约定扣除质量保修金，并由承包人承担违约责任。承包人维修并承担相应费用后，不免除对工程的一般损失赔偿责任。</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47.11</w:t>
      </w:r>
      <w:r>
        <w:rPr>
          <w:rFonts w:hint="eastAsia" w:ascii="宋体" w:hAnsi="宋体" w:cs="宋体"/>
          <w:color w:val="auto"/>
          <w:sz w:val="24"/>
          <w:highlight w:val="none"/>
          <w:u w:val="single"/>
        </w:rPr>
        <w:t>本工程的保修期按本合同《工程质量保修责任书》规定的保修期限实行。在保修期内因施工质量而造成返修，其费用由承包人负责。工程质量按房建工程现行验评标准组织验收认定。</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47.12施工现场生活区应设置信息公示栏，每月10日前将上月作业工人考勤和工资结算和支付信息在信息公示栏进行公示，公示期不少于5天。</w:t>
      </w:r>
    </w:p>
    <w:p>
      <w:pPr>
        <w:spacing w:line="44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农民工佣工要求</w:t>
      </w:r>
      <w:r>
        <w:rPr>
          <w:rFonts w:hint="eastAsia" w:ascii="宋体" w:hAnsi="宋体" w:eastAsia="宋体" w:cs="宋体"/>
          <w:color w:val="auto"/>
          <w:sz w:val="24"/>
          <w:highlight w:val="none"/>
        </w:rPr>
        <w:t>）</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47.13</w:t>
      </w:r>
      <w:r>
        <w:rPr>
          <w:rFonts w:hint="eastAsia" w:ascii="宋体" w:hAnsi="宋体" w:cs="宋体"/>
          <w:color w:val="auto"/>
          <w:sz w:val="24"/>
          <w:highlight w:val="none"/>
          <w:u w:val="single"/>
        </w:rPr>
        <w:t>承包人必须按照穗开规『2004』58号文的有关要求及规定优先使用广州开发区的农民工。</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47.14</w:t>
      </w:r>
      <w:r>
        <w:rPr>
          <w:rFonts w:hint="eastAsia" w:ascii="宋体" w:hAnsi="宋体" w:cs="宋体"/>
          <w:color w:val="auto"/>
          <w:sz w:val="24"/>
          <w:highlight w:val="none"/>
          <w:u w:val="single"/>
        </w:rPr>
        <w:t>承包人必须严格执行穗开纪[2005]10号文的规定和要求，在本工程施工中使用劳工时，一律由承包人签订用工合同，建立工资直接支付制度，承包人每月按时发放劳工工资，自觉接受发包人和主管部门的监督，不论何种原因决不拖欠或克扣劳工工资。否则，可由员工代表知会有关部门，或拨打投诉电话。承包人必须将上述内容在本工程开工的十日内向全体员工张榜公开。如承包人违约，发包人有权解除合同，并追究承包人由此给发包人造成的一切损失。</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47.15</w:t>
      </w:r>
      <w:r>
        <w:rPr>
          <w:rFonts w:hint="eastAsia" w:ascii="宋体" w:hAnsi="宋体" w:cs="宋体"/>
          <w:color w:val="auto"/>
          <w:sz w:val="24"/>
          <w:highlight w:val="none"/>
          <w:u w:val="single"/>
        </w:rPr>
        <w:t>承包人必须严格执行广州市黄埔区人民政府办公室《关于贯彻实施国家劳动部、建设部&lt;建设领域农民工工资支付管理暂行办法&gt;的若干意见》（穗萝府办[2005]21号）的有关规定（包括但不限于）：必须向区劳动保障部门申报用工人数、工资支付制度、工程规模等情况；必须定期参加区劳动保障部门在区建设领域建立和推行的劳动管理培训；本工程开工前，按有关规定向区劳动保障部门缴付农民工工资支付保障金，并在本工程施工合同履行过程中确保此保障金额度符合区劳动保障部门的规定。</w:t>
      </w:r>
    </w:p>
    <w:p>
      <w:pPr>
        <w:spacing w:line="440" w:lineRule="exact"/>
        <w:ind w:firstLine="480" w:firstLineChars="200"/>
        <w:rPr>
          <w:rFonts w:hint="eastAsia" w:ascii="宋体" w:hAnsi="宋体" w:cs="宋体"/>
          <w:b/>
          <w:color w:val="auto"/>
          <w:sz w:val="24"/>
          <w:highlight w:val="none"/>
        </w:rPr>
      </w:pPr>
      <w:r>
        <w:rPr>
          <w:rFonts w:hint="eastAsia" w:ascii="宋体" w:hAnsi="宋体" w:cs="宋体"/>
          <w:color w:val="auto"/>
          <w:sz w:val="24"/>
          <w:highlight w:val="none"/>
        </w:rPr>
        <w:t>47.16</w:t>
      </w:r>
      <w:r>
        <w:rPr>
          <w:rFonts w:hint="eastAsia" w:ascii="宋体" w:hAnsi="宋体" w:cs="宋体"/>
          <w:color w:val="auto"/>
          <w:sz w:val="24"/>
          <w:highlight w:val="none"/>
          <w:u w:val="single"/>
        </w:rPr>
        <w:t>若承包人在本工程内发生无故拖欠农民工工资现象，将被作不良记录，上报区建设主管部门。</w:t>
      </w:r>
      <w:r>
        <w:rPr>
          <w:rFonts w:hint="eastAsia" w:ascii="宋体" w:hAnsi="宋体" w:cs="宋体"/>
          <w:color w:val="auto"/>
          <w:sz w:val="24"/>
          <w:highlight w:val="none"/>
        </w:rPr>
        <w:t>若承包人转包或者违法分包造成拖欠工人工资的，除上报区建设行政主管部门外，还将提请省建设行业主管部门禁止在广东省行政区域范围内承包工程。</w:t>
      </w:r>
    </w:p>
    <w:p>
      <w:pPr>
        <w:spacing w:line="440" w:lineRule="exact"/>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项目管理机构人员、机械设备、劳动力到位方面的要求</w:t>
      </w:r>
      <w:r>
        <w:rPr>
          <w:rFonts w:hint="eastAsia" w:ascii="宋体" w:hAnsi="宋体" w:eastAsia="宋体" w:cs="宋体"/>
          <w:color w:val="auto"/>
          <w:sz w:val="24"/>
          <w:highlight w:val="none"/>
        </w:rPr>
        <w:t>）</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47.17</w:t>
      </w:r>
      <w:r>
        <w:rPr>
          <w:rFonts w:hint="eastAsia" w:ascii="宋体" w:hAnsi="宋体" w:cs="宋体"/>
          <w:color w:val="auto"/>
          <w:sz w:val="24"/>
          <w:highlight w:val="none"/>
          <w:u w:val="single"/>
        </w:rPr>
        <w:t>合同签订后，项目负责人、项目班子主要成员不到位，则工程师不签发开工令，工期不顺延。施工中班子主要成员离开工地应向工程师请假，经批准后才能离开，擅自离开工地，工程师将发出停工令，待人员回到岗位后才批准复工，由此产生的工期和经济损失由承包人自负，造成发包人和建设管理方损失的，发包人和建设管理方保留索赔的权利。</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47.18</w:t>
      </w:r>
      <w:r>
        <w:rPr>
          <w:rFonts w:hint="eastAsia" w:ascii="宋体" w:hAnsi="宋体" w:cs="宋体"/>
          <w:color w:val="auto"/>
          <w:sz w:val="24"/>
          <w:highlight w:val="none"/>
          <w:u w:val="single"/>
        </w:rPr>
        <w:t>尽管承包人已按投标文件附表中所列的数量派遣了各类管理人员，但若监理工程师经论证认为这些人员仍不足以适应现场施工的需要且不能保证工程质量时，监理工程师有权要求承包人继续增派或雇佣这类人员，并书面通知承包人和抄送发包人。承包人在接到上述通知后应立即执行监理工程师的上述指示，不得无故拖延。</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47.19</w:t>
      </w:r>
      <w:r>
        <w:rPr>
          <w:rFonts w:hint="eastAsia" w:ascii="宋体" w:hAnsi="宋体" w:cs="宋体"/>
          <w:color w:val="auto"/>
          <w:sz w:val="24"/>
          <w:highlight w:val="none"/>
          <w:u w:val="single"/>
        </w:rPr>
        <w:t>现场施工时，施工员（技术员）不在施工现场不得施工，否则发包人可随时要求停工，工期延误由承包人负责。</w:t>
      </w:r>
    </w:p>
    <w:p>
      <w:pPr>
        <w:snapToGrid w:val="0"/>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47.20</w:t>
      </w:r>
      <w:r>
        <w:rPr>
          <w:rFonts w:hint="eastAsia" w:ascii="宋体" w:hAnsi="宋体" w:cs="宋体"/>
          <w:color w:val="auto"/>
          <w:sz w:val="24"/>
          <w:highlight w:val="none"/>
          <w:u w:val="single"/>
        </w:rPr>
        <w:t>承包人派往现场的管理人员若因不负责任、或玩忽职守、或严重失职等给发包人造成经济损失，承包人承担相应的经济责任和连带法律责任。</w:t>
      </w:r>
    </w:p>
    <w:p>
      <w:pPr>
        <w:snapToGrid w:val="0"/>
        <w:spacing w:line="440" w:lineRule="exact"/>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（投标报价及造价承包和变更结算方式的要求</w:t>
      </w:r>
      <w:r>
        <w:rPr>
          <w:rFonts w:hint="eastAsia" w:ascii="宋体" w:hAnsi="宋体" w:eastAsia="宋体" w:cs="宋体"/>
          <w:color w:val="auto"/>
          <w:sz w:val="24"/>
          <w:highlight w:val="none"/>
        </w:rPr>
        <w:t>）</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47.21</w:t>
      </w:r>
      <w:r>
        <w:rPr>
          <w:rFonts w:hint="eastAsia" w:ascii="宋体" w:hAnsi="宋体" w:cs="宋体"/>
          <w:color w:val="auto"/>
          <w:sz w:val="24"/>
          <w:highlight w:val="none"/>
          <w:u w:val="single"/>
        </w:rPr>
        <w:t>工程量清单报价中有关问题的说明：①工程量清单中的标志杆基础中的土方开挖、运输、外运等费用包含在相应项目中，不包含在土石方工程的相关项目中；②投标时,土方的弃运距离暂按15km内考虑，超过15km按15km计算，结算时按招标人确认的实际运距计算,实际运距超过15公里时，按15公里包干,弃运的土方单价按定额计算。③ 工程量清单中措施项目清单费计价表中的绿色施工安全防护措施费执行《广东省住房和城乡建设厅关于印发&lt;广东省建设工程计价依据（2018)&gt;的通知》（穗建市〔2019〕6号）文，绿色施工安全防护措施费按发包人公布的本工程招标控制价中的绿色施工安全防护措施费计取，作为非竞争费用，在投标报价中单列，不参与投标竞价，该费用从工程施工中标价中提取，专款专用。</w:t>
      </w:r>
    </w:p>
    <w:p>
      <w:pPr>
        <w:pBdr>
          <w:bottom w:val="single" w:color="auto" w:sz="6" w:space="1"/>
        </w:pBd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47.22</w:t>
      </w:r>
      <w:r>
        <w:rPr>
          <w:rFonts w:hint="eastAsia" w:ascii="宋体" w:hAnsi="宋体" w:cs="宋体"/>
          <w:color w:val="auto"/>
          <w:sz w:val="24"/>
          <w:highlight w:val="none"/>
          <w:u w:val="single"/>
        </w:rPr>
        <w:t>本工程承包人通过现场考察，提出具体施工方案，无论在工程施工期间或是在质量保修期内，若因施工而引起的一切索赔、赔偿、诉讼费用和其他开支，由承包人承担全部责任。该项费用在措施项目费中设有独立单项项目，该费用包干（施工围蔽费用除外）使用，且承包人不得以任何理由要求发包人另行增加该部分费用（承包人要充分考虑最不利因素影响而采用的施工方案所需的费用）。</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47.23</w:t>
      </w:r>
      <w:r>
        <w:rPr>
          <w:rFonts w:hint="eastAsia" w:ascii="宋体" w:hAnsi="宋体" w:cs="宋体"/>
          <w:color w:val="auto"/>
          <w:sz w:val="24"/>
          <w:highlight w:val="none"/>
          <w:u w:val="single"/>
        </w:rPr>
        <w:t>承包人应结合本工程招标内容对现场进行充分的调查，充分考虑工程招标内容及施工组织方案，承包单位应与相关管理部门（如铁路管理部门）协商，取得同意协调，按要求完成工程招标内容，工程及相关费用包含在合同价中，不另行计费。如果承包人不及时按要求完成，发包人可以另行委托实施，发包人按实际发生的费用在工程款中扣除，承包人不得有任何异议。</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47.24</w:t>
      </w:r>
      <w:r>
        <w:rPr>
          <w:rFonts w:hint="eastAsia" w:ascii="宋体" w:hAnsi="宋体" w:cs="宋体"/>
          <w:color w:val="auto"/>
          <w:sz w:val="24"/>
          <w:highlight w:val="none"/>
          <w:u w:val="single"/>
        </w:rPr>
        <w:t>承包人应根据区相关主管部门批复的水土保持实施方案及相关规定完成本工程的水土保持工作，承担防止水土流失职责，相关费用包含在合同价中，不另行计费。如果承包人不及时按要求完成上述工作，发包人可以另行委托实施，发包人按实际发生的费用在工程款中扣除，承包人不得有任何异议。</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47.25</w:t>
      </w:r>
      <w:r>
        <w:rPr>
          <w:rFonts w:hint="eastAsia" w:ascii="宋体" w:hAnsi="宋体" w:cs="宋体"/>
          <w:color w:val="auto"/>
          <w:sz w:val="24"/>
          <w:highlight w:val="none"/>
          <w:u w:val="single"/>
        </w:rPr>
        <w:t>承包人应使用绿色生产达标企业生产的混凝土，若不遵守承诺，自愿按不履行合同约定处理。</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47.26</w:t>
      </w:r>
      <w:r>
        <w:rPr>
          <w:rFonts w:hint="eastAsia" w:ascii="宋体" w:hAnsi="宋体" w:cs="宋体"/>
          <w:color w:val="auto"/>
          <w:sz w:val="24"/>
          <w:highlight w:val="none"/>
          <w:u w:val="single"/>
        </w:rPr>
        <w:t>承包人应按有关规定协助发包人完成公共排水设施竣工图纸备案工作。</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47.27</w:t>
      </w:r>
      <w:r>
        <w:rPr>
          <w:rFonts w:hint="eastAsia" w:ascii="宋体" w:hAnsi="宋体" w:cs="宋体"/>
          <w:color w:val="auto"/>
          <w:sz w:val="24"/>
          <w:highlight w:val="none"/>
          <w:u w:val="single"/>
        </w:rPr>
        <w:t>在整个合同执行期间发包人如发现有不合理投标报价的，发包人有权按有关规定和合同约定进行调整，并将书面通知承包人，并以此作为结算依据。</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47.28</w:t>
      </w:r>
      <w:r>
        <w:rPr>
          <w:rFonts w:hint="eastAsia" w:ascii="宋体" w:hAnsi="宋体" w:cs="宋体"/>
          <w:color w:val="auto"/>
          <w:sz w:val="24"/>
          <w:highlight w:val="none"/>
          <w:u w:val="single"/>
        </w:rPr>
        <w:t>本工程采用的主要材料推荐选用招标文件附件《参考品牌》的品牌、厂家或选用相当于该档次和质量（或以上）的产品（如无《参考品牌》，删除此句）。所有材料品牌选择均须报发包人、监理工程师确认，且经检验合格后方能使用。</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47.29</w:t>
      </w:r>
      <w:r>
        <w:rPr>
          <w:rFonts w:hint="eastAsia" w:ascii="宋体" w:hAnsi="宋体" w:cs="宋体"/>
          <w:color w:val="auto"/>
          <w:sz w:val="24"/>
          <w:highlight w:val="none"/>
          <w:u w:val="single"/>
        </w:rPr>
        <w:t>在本工程实施过程中，若与其他工程发生重叠情况或因征地拆迁问题而无法实施的工程，发包人有权取消重叠部分及无法实施部分的工程量，并按照减少的工程量扣除相应的工程款，承包人不得有异议。另外，由于前述原因造成的工程损失，发包人不予赔偿。</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47.30</w:t>
      </w:r>
      <w:r>
        <w:rPr>
          <w:rFonts w:hint="eastAsia" w:ascii="宋体" w:hAnsi="宋体" w:cs="宋体"/>
          <w:color w:val="auto"/>
          <w:sz w:val="24"/>
          <w:highlight w:val="none"/>
          <w:u w:val="single"/>
        </w:rPr>
        <w:t>在承包人严重违约、不可抗力或政府政策性调整情况下或根据工程实施实际情况，发包人可对本合同承包范围和承包内容进行调整，发包人对承包人的损失不予补偿（本合同其他条款约定可进行造价调整的除外）。</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47.31</w:t>
      </w:r>
      <w:r>
        <w:rPr>
          <w:rFonts w:hint="eastAsia" w:ascii="宋体" w:hAnsi="宋体" w:cs="宋体"/>
          <w:color w:val="auto"/>
          <w:sz w:val="24"/>
          <w:highlight w:val="none"/>
          <w:u w:val="single"/>
        </w:rPr>
        <w:t>承包人须按照发包人与监理人签订的委托监理合同接受监理人的全过程监理。</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47.32</w:t>
      </w:r>
      <w:r>
        <w:rPr>
          <w:rFonts w:hint="eastAsia" w:ascii="宋体" w:hAnsi="宋体" w:cs="宋体"/>
          <w:color w:val="auto"/>
          <w:sz w:val="24"/>
          <w:highlight w:val="none"/>
          <w:u w:val="single"/>
        </w:rPr>
        <w:t>如广州开发区、黄埔区对工程竣工验收及备案有相关规定，则本合同执行该规定。</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47.33</w:t>
      </w:r>
      <w:r>
        <w:rPr>
          <w:rFonts w:hint="eastAsia" w:ascii="宋体" w:hAnsi="宋体" w:cs="宋体"/>
          <w:color w:val="auto"/>
          <w:sz w:val="24"/>
          <w:highlight w:val="none"/>
          <w:u w:val="single"/>
        </w:rPr>
        <w:t>如果审计机关依法对本工程实施审计，发包人、承包人及监理单位应积极配合。</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47.34</w:t>
      </w:r>
      <w:r>
        <w:rPr>
          <w:rFonts w:hint="eastAsia" w:ascii="宋体" w:hAnsi="宋体" w:cs="宋体"/>
          <w:color w:val="auto"/>
          <w:sz w:val="24"/>
          <w:highlight w:val="none"/>
          <w:u w:val="single"/>
        </w:rPr>
        <w:t>本合同在实施过程中所发生的文件来往，双方不得拒绝签收。如果发生类似事件，发文一方可以监理工程师签收为准，视为送达。</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47.35</w:t>
      </w:r>
      <w:r>
        <w:rPr>
          <w:rFonts w:hint="eastAsia" w:ascii="宋体" w:hAnsi="宋体" w:cs="宋体"/>
          <w:color w:val="auto"/>
          <w:sz w:val="24"/>
          <w:highlight w:val="none"/>
          <w:u w:val="single"/>
        </w:rPr>
        <w:t>关于现场文件送达后的时效约定：如果涉及到安全、质量、工期（或进度）、经济、技术方案等的报审文件，在发往现场项目部的同时，抄送一份给对方公司，按约定的时效执行；如果属于一般性文件，就直接发往对方现场项目部，项目部如果在约定的时效内未作答复，发文一方再追加一份给对方公司并重新约定答复时效，如果对方公司仍然没有答复，则按重新约定的时效执行。</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47.36</w:t>
      </w:r>
      <w:r>
        <w:rPr>
          <w:rFonts w:hint="eastAsia" w:ascii="宋体" w:hAnsi="宋体" w:cs="宋体"/>
          <w:color w:val="auto"/>
          <w:sz w:val="24"/>
          <w:highlight w:val="none"/>
          <w:u w:val="single"/>
        </w:rPr>
        <w:t>在本合同实施过程中所发生的违约金、罚款、扣款等费用，经监理工程师核实并通知承包人后直接作为财务扣款依据（无需承包人签认或同意），可由发包人在履约担保中主张或在工程款中扣除，承包人对此无异议。</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47.37</w:t>
      </w:r>
      <w:r>
        <w:rPr>
          <w:rFonts w:hint="eastAsia" w:ascii="宋体" w:hAnsi="宋体" w:cs="宋体"/>
          <w:color w:val="auto"/>
          <w:sz w:val="24"/>
          <w:highlight w:val="none"/>
          <w:u w:val="single"/>
        </w:rPr>
        <w:t>承包人施工过程中不得侵犯他人的专利权或者其他合法权益，否则由承包人承担相关责任，并保证不因该侵权行为影响工程建设。</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47.38</w:t>
      </w:r>
      <w:r>
        <w:rPr>
          <w:rFonts w:hint="eastAsia" w:ascii="宋体" w:hAnsi="宋体" w:cs="宋体"/>
          <w:color w:val="auto"/>
          <w:sz w:val="24"/>
          <w:highlight w:val="none"/>
          <w:u w:val="single"/>
        </w:rPr>
        <w:t>承包人与发包人签订合同时所提供的开户银行名称及帐号不得擅自变更，如需变更必须征得发包人的书面同意，否则发包人有权停止工程款的拨付，所造成的一切后果由承包人承担。</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47.39</w:t>
      </w:r>
      <w:r>
        <w:rPr>
          <w:rFonts w:hint="eastAsia" w:ascii="宋体" w:hAnsi="宋体" w:cs="宋体"/>
          <w:color w:val="auto"/>
          <w:sz w:val="24"/>
          <w:highlight w:val="none"/>
          <w:u w:val="single"/>
        </w:rPr>
        <w:t>如发包人为本工程的代建单位，则本工程建设业主同时享有本合同项下属发包人的权利，并且合同中约定需发包人审批的事项，必须经建设业主审批同意后方可实施。</w:t>
      </w:r>
    </w:p>
    <w:p>
      <w:pPr>
        <w:spacing w:line="44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47.40《广州开发区财政投资建设项目管理中心绿化景观工程计量管理办法》将作为合同附件，各相关单位须遵照执行。 (该条款适用于绿化施工工程)</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47.41工程获得国家、省级、市级所发奖项的，可给予通报表彰，但不给予任何物质奖励。</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47.42</w:t>
      </w:r>
      <w:r>
        <w:rPr>
          <w:rFonts w:hint="eastAsia" w:ascii="宋体" w:hAnsi="宋体" w:cs="宋体"/>
          <w:color w:val="auto"/>
          <w:sz w:val="24"/>
          <w:highlight w:val="none"/>
          <w:u w:val="single"/>
        </w:rPr>
        <w:t>如本合同需缴纳合同印花税，承包人需在有关税务部门规定期限及结清本合同费用前，代缴按规定属发包人缴纳的部分，代缴后发包人按代缴金额实报实销。承包人未按规定期限代缴印花税的，因此产生的滞纳金由承包人承担。</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47.43</w:t>
      </w:r>
      <w:r>
        <w:rPr>
          <w:rFonts w:hint="eastAsia" w:ascii="宋体" w:hAnsi="宋体" w:cs="宋体"/>
          <w:color w:val="auto"/>
          <w:sz w:val="24"/>
          <w:highlight w:val="none"/>
          <w:u w:val="single"/>
        </w:rPr>
        <w:t>如承包人为联合体的，本合同由联合体的主办方负责签订。并由联合体主办方负责开具合同价款全额发票、收取合同款项，联合体主办方收取合同款项后由联合体各方自行分配相应款项，或由联合体各方负责开具其对应价款的全额发票，具体分配事宜与发包人无关。</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47.44</w:t>
      </w:r>
      <w:r>
        <w:rPr>
          <w:rFonts w:hint="eastAsia" w:ascii="宋体" w:hAnsi="宋体" w:cs="宋体"/>
          <w:color w:val="auto"/>
          <w:sz w:val="24"/>
          <w:highlight w:val="none"/>
          <w:u w:val="single"/>
        </w:rPr>
        <w:t>如承包人及承包人的项目负责人存在因与工程项目施工相关的车辆运输而被最高人民法院在“信用中国”网站或各级信用信息共享平台中列入失信被执行人名单或被交通运输行政主管部门在“信用交通”网站列入严重违法超限超载运输失信当事人名单或被工商行政管理机关在全国企业信用信息公示系统中列入严重违法失信企业名单或被黄埔区、广州开发区公安、城管、住建、交通、水务、规自等部门列入黑名单、不良行为记录（处罚有效期内）的，经发包人核实，发包人有权终止合同。</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single"/>
        </w:rPr>
        <w:t>47.45如承包人将工程施工过程中产生的土石方、建筑垃圾及施工过程中使用的建筑材料、设备等的运输委托给被最高人民法院在“信用中国”网站或各级信用信息共享平台中列入失信被执行人名单或被交通运输行政主管部门在“信用交通”网站列入严重违法超限超载运输失信当事人名单或被工商行政管理机关在全国企业信用信息公示系统中列入严重违法失信企业名单或被黄埔区、广州开发区公安、城管、住建、交通、水务、规自等部门列入黑名单、不良行为记录（处罚有效期内）的单位或个体经营者运输的，经发包人核实，发包人有权终止合同。</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47.46开工前中标人应当投保安全生产责任保险，且该保险保障场所应包含中标项目。投标人的投标报价视为包含该项目费用。中标人未按规定购买安全生产责任保险，招标人可视严重程度拒绝该单位一定时期内参与后续工程投标。</w:t>
      </w:r>
    </w:p>
    <w:p>
      <w:pPr>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47.47 承包人在施工过程中应严格执行《城市绿化条例》、《广东省城市绿化条例》、《广州市绿化条例》、《广州市城市树木保护管理规定（试行）》（穗林业园林规字〔2022〕1号）等法规规定。不得破坏树木和树木立地生境，不得随意更改树木根颈处的地形标高。对可能影响绿地使用功能或树木正常生长的，应采取避让和保护措施。涉及树木周边环境施工时，承包人应对可能受损的树木采取保护措施，包括设立保护区域、使用保护物料包裹树干、设置临时支撑、定期检查树木健康状况等。工程建设应符合相关规划和标准，保证树木的生长空间。相关费用包含在合同价中，不另行计费。如果承包人不及时按要求完成，发包人可以另行委托实施，发包人按实际发生的费用在工程款中扣除，承包人不得有任何异议。</w:t>
      </w:r>
    </w:p>
    <w:p>
      <w:pPr>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47.48 承包人应严格保护古树名木、古树后续资源、行道树、大树等树木，禁止擅自砍伐树木，禁止擅自迁移树木。如承包人未经批准擅自砍伐树木、损害绿化、损害树木及绿化保护设施的，发包人将上报绿化行政主管部门，视情节轻重给予相应处罚，构成犯罪的将依法移交相关机关追究刑事责任。</w:t>
      </w:r>
    </w:p>
    <w:p>
      <w:pPr>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47.49 承包人应切实遵守《中华人民共和国文物保护法》、《中华人民共和国文物保护法实施条例》、《广州市文物保护规定》等文物保护相关法律、法规规定，在工程施工前，协助发包人按规定履行文物保护相关审批手续，及配合相关单位完成考古调查、勘探相关工作。不得因施工发生损毁文物的情况。承包人应加强对其施工队伍及分包单位（如有）关于文物保护相关法律、法规的宣传教育，保证施工全过程不违反文物保护相关规定。如因承包人原因发生未履行文物考古调查、勘探等前置工作擅自开工建设的，由承包人承担全部法律责任，发包人将上报文物行政主管部门，视情节轻重给予相应处罚，构成犯罪的将依法移交相关机关追究刑事责任。</w:t>
      </w:r>
    </w:p>
    <w:p>
      <w:pPr>
        <w:spacing w:line="440" w:lineRule="exact"/>
        <w:ind w:firstLine="480" w:firstLineChars="20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47.50 未尽事宜，经双方友好协商解决。</w:t>
      </w:r>
    </w:p>
    <w:p>
      <w:pPr>
        <w:spacing w:line="440" w:lineRule="exact"/>
        <w:ind w:firstLine="480" w:firstLineChars="200"/>
        <w:rPr>
          <w:rFonts w:hint="eastAsia" w:ascii="宋体" w:hAnsi="宋体" w:cs="宋体"/>
          <w:color w:val="auto"/>
          <w:sz w:val="24"/>
          <w:highlight w:val="none"/>
          <w:u w:val="single"/>
        </w:rPr>
      </w:pPr>
    </w:p>
    <w:p>
      <w:pPr>
        <w:spacing w:line="520" w:lineRule="exact"/>
        <w:ind w:firstLine="547" w:firstLineChars="227"/>
        <w:rPr>
          <w:rFonts w:hint="eastAsia" w:ascii="宋体" w:hAnsi="宋体"/>
          <w:b/>
          <w:color w:val="auto"/>
          <w:sz w:val="24"/>
          <w:highlight w:val="none"/>
        </w:rPr>
      </w:pPr>
    </w:p>
    <w:p>
      <w:pPr>
        <w:numPr>
          <w:ilvl w:val="0"/>
          <w:numId w:val="4"/>
        </w:numPr>
        <w:jc w:val="center"/>
        <w:rPr>
          <w:rFonts w:hint="eastAsia" w:ascii="宋体" w:hAnsi="宋体" w:eastAsia="宋体" w:cs="宋体"/>
          <w:b/>
          <w:bCs/>
          <w:color w:val="auto"/>
          <w:sz w:val="28"/>
          <w:szCs w:val="28"/>
          <w:highlight w:val="none"/>
          <w:lang w:val="en-US" w:eastAsia="zh-CN"/>
        </w:rPr>
      </w:pPr>
      <w:r>
        <w:rPr>
          <w:color w:val="auto"/>
          <w:highlight w:val="none"/>
        </w:rPr>
        <w:br w:type="page"/>
      </w:r>
      <w:r>
        <w:rPr>
          <w:rFonts w:hint="eastAsia" w:ascii="宋体" w:hAnsi="宋体" w:eastAsia="宋体" w:cs="宋体"/>
          <w:b/>
          <w:color w:val="auto"/>
          <w:sz w:val="28"/>
          <w:szCs w:val="28"/>
          <w:highlight w:val="none"/>
        </w:rPr>
        <w:t xml:space="preserve"> </w:t>
      </w:r>
      <w:r>
        <w:rPr>
          <w:rFonts w:hint="eastAsia" w:ascii="宋体" w:hAnsi="宋体" w:eastAsia="宋体" w:cs="宋体"/>
          <w:b/>
          <w:bCs/>
          <w:color w:val="auto"/>
          <w:sz w:val="28"/>
          <w:szCs w:val="28"/>
          <w:highlight w:val="none"/>
          <w:lang w:val="en-US" w:eastAsia="zh-CN"/>
        </w:rPr>
        <w:t>绿化种植专篇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（本专篇适用于绿化建设项目、房建及道路配套绿化项目。）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发包人</w:t>
      </w:r>
      <w:r>
        <w:rPr>
          <w:rFonts w:hint="eastAsia" w:ascii="宋体" w:hAnsi="宋体" w:eastAsia="宋体" w:cs="宋体"/>
          <w:color w:val="auto"/>
          <w:sz w:val="24"/>
          <w:szCs w:val="24"/>
          <w:highlight w:val="none"/>
        </w:rPr>
        <w:t>（甲方）：</w:t>
      </w:r>
      <w:r>
        <w:rPr>
          <w:rFonts w:hint="eastAsia" w:ascii="宋体" w:hAnsi="宋体" w:eastAsia="宋体" w:cs="宋体"/>
          <w:color w:val="auto"/>
          <w:sz w:val="24"/>
          <w:szCs w:val="24"/>
          <w:highlight w:val="none"/>
          <w:u w:val="single"/>
          <w:lang w:eastAsia="zh-CN"/>
        </w:rPr>
        <w:t>广州开发区财政投资建设项目管理中心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（乙方）：</w:t>
      </w:r>
      <w:r>
        <w:rPr>
          <w:rFonts w:hint="eastAsia" w:ascii="宋体" w:hAnsi="宋体" w:eastAsia="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为</w:t>
      </w:r>
      <w:r>
        <w:rPr>
          <w:rFonts w:hint="eastAsia" w:ascii="宋体" w:hAnsi="宋体" w:eastAsia="宋体" w:cs="宋体"/>
          <w:color w:val="auto"/>
          <w:kern w:val="2"/>
          <w:sz w:val="24"/>
          <w:szCs w:val="24"/>
          <w:highlight w:val="none"/>
          <w:lang w:val="en-US" w:eastAsia="zh-CN" w:bidi="ar-SA"/>
        </w:rPr>
        <w:t>提高绿化苗木选取和种植苗木质量，</w:t>
      </w:r>
      <w:r>
        <w:rPr>
          <w:rFonts w:hint="eastAsia" w:ascii="宋体" w:hAnsi="宋体" w:eastAsia="宋体" w:cs="宋体"/>
          <w:color w:val="auto"/>
          <w:sz w:val="24"/>
          <w:szCs w:val="24"/>
          <w:highlight w:val="none"/>
        </w:rPr>
        <w:t>加强</w:t>
      </w:r>
      <w:r>
        <w:rPr>
          <w:rFonts w:hint="eastAsia" w:ascii="宋体" w:hAnsi="宋体" w:eastAsia="宋体" w:cs="宋体"/>
          <w:color w:val="auto"/>
          <w:sz w:val="24"/>
          <w:szCs w:val="24"/>
          <w:highlight w:val="none"/>
          <w:lang w:eastAsia="zh-CN"/>
        </w:rPr>
        <w:t>科学</w:t>
      </w:r>
      <w:r>
        <w:rPr>
          <w:rFonts w:hint="eastAsia" w:ascii="宋体" w:hAnsi="宋体" w:eastAsia="宋体" w:cs="宋体"/>
          <w:color w:val="auto"/>
          <w:sz w:val="24"/>
          <w:szCs w:val="24"/>
          <w:highlight w:val="none"/>
        </w:rPr>
        <w:t>绿化建设和管理，提升</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项目</w:t>
      </w:r>
      <w:r>
        <w:rPr>
          <w:rFonts w:hint="eastAsia" w:ascii="宋体" w:hAnsi="宋体" w:eastAsia="宋体" w:cs="宋体"/>
          <w:color w:val="auto"/>
          <w:sz w:val="24"/>
          <w:szCs w:val="24"/>
          <w:highlight w:val="none"/>
        </w:rPr>
        <w:t>绿化</w:t>
      </w:r>
      <w:r>
        <w:rPr>
          <w:rFonts w:hint="eastAsia" w:ascii="宋体" w:hAnsi="宋体" w:eastAsia="宋体" w:cs="宋体"/>
          <w:color w:val="auto"/>
          <w:sz w:val="24"/>
          <w:szCs w:val="24"/>
          <w:highlight w:val="none"/>
          <w:lang w:eastAsia="zh-CN"/>
        </w:rPr>
        <w:t>种植和</w:t>
      </w:r>
      <w:r>
        <w:rPr>
          <w:rFonts w:hint="eastAsia" w:ascii="宋体" w:hAnsi="宋体" w:eastAsia="宋体" w:cs="宋体"/>
          <w:color w:val="auto"/>
          <w:sz w:val="24"/>
          <w:szCs w:val="24"/>
          <w:highlight w:val="none"/>
        </w:rPr>
        <w:t>养护管理标准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制订本项目绿化种植专篇。</w:t>
      </w:r>
    </w:p>
    <w:p>
      <w:pPr>
        <w:keepNext w:val="0"/>
        <w:keepLines w:val="0"/>
        <w:pageBreakBefore w:val="0"/>
        <w:widowControl w:val="0"/>
        <w:kinsoku/>
        <w:wordWrap/>
        <w:overflowPunct/>
        <w:topLinePunct w:val="0"/>
        <w:autoSpaceDE/>
        <w:autoSpaceDN/>
        <w:bidi w:val="0"/>
        <w:adjustRightInd/>
        <w:snapToGrid/>
        <w:spacing w:beforeLines="0" w:afterLines="0" w:line="440" w:lineRule="exact"/>
        <w:ind w:firstLine="482" w:firstLineChars="20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一、绿化种植、养护内容及范围</w:t>
      </w:r>
    </w:p>
    <w:p>
      <w:pPr>
        <w:keepNext w:val="0"/>
        <w:keepLines w:val="0"/>
        <w:pageBreakBefore w:val="0"/>
        <w:widowControl w:val="0"/>
        <w:kinsoku/>
        <w:wordWrap/>
        <w:overflowPunct/>
        <w:topLinePunct w:val="0"/>
        <w:autoSpaceDE/>
        <w:autoSpaceDN/>
        <w:bidi w:val="0"/>
        <w:adjustRightInd/>
        <w:snapToGrid/>
        <w:spacing w:beforeLines="0" w:afterLines="0" w:line="440" w:lineRule="exact"/>
        <w:ind w:firstLine="480" w:firstLineChars="200"/>
        <w:jc w:val="left"/>
        <w:textAlignment w:val="auto"/>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lang w:val="en-US" w:eastAsia="zh-CN"/>
        </w:rPr>
        <w:t>1、本项目绿化工程</w:t>
      </w:r>
      <w:r>
        <w:rPr>
          <w:rFonts w:hint="eastAsia" w:ascii="宋体" w:hAnsi="宋体" w:eastAsia="宋体" w:cs="宋体"/>
          <w:color w:val="auto"/>
          <w:kern w:val="0"/>
          <w:sz w:val="24"/>
          <w:szCs w:val="24"/>
          <w:highlight w:val="none"/>
        </w:rPr>
        <w:t>范围：</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本项目</w:t>
      </w:r>
      <w:r>
        <w:rPr>
          <w:rFonts w:hint="eastAsia" w:ascii="宋体" w:hAnsi="宋体" w:eastAsia="宋体" w:cs="宋体"/>
          <w:color w:val="auto"/>
          <w:sz w:val="24"/>
          <w:szCs w:val="24"/>
          <w:highlight w:val="none"/>
          <w:u w:val="single"/>
        </w:rPr>
        <w:t>施工合同约定的承包范围内的全部</w:t>
      </w:r>
      <w:r>
        <w:rPr>
          <w:rFonts w:hint="eastAsia" w:ascii="宋体" w:hAnsi="宋体" w:eastAsia="宋体" w:cs="宋体"/>
          <w:color w:val="auto"/>
          <w:sz w:val="24"/>
          <w:szCs w:val="24"/>
          <w:highlight w:val="none"/>
          <w:u w:val="single"/>
          <w:lang w:eastAsia="zh-CN"/>
        </w:rPr>
        <w:t>绿化</w:t>
      </w:r>
      <w:r>
        <w:rPr>
          <w:rFonts w:hint="eastAsia" w:ascii="宋体" w:hAnsi="宋体" w:eastAsia="宋体" w:cs="宋体"/>
          <w:color w:val="auto"/>
          <w:sz w:val="24"/>
          <w:szCs w:val="24"/>
          <w:highlight w:val="none"/>
          <w:u w:val="single"/>
        </w:rPr>
        <w:t>工程内容</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none"/>
          <w:lang w:val="en-US" w:eastAsia="zh-CN"/>
        </w:rPr>
        <w:t>。</w:t>
      </w:r>
    </w:p>
    <w:p>
      <w:pPr>
        <w:pStyle w:val="20"/>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u w:val="none"/>
          <w:lang w:val="en-US" w:eastAsia="zh-CN"/>
        </w:rPr>
        <w:t xml:space="preserve">    2、本项目《苗木供应清单》：详见本专篇附表。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二、质量要求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要求符合国家、省、市园林绿化规程、检评标准、相关要求及行业标准，包括但不限于以下：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1、 相关法律法规与政策文件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w:t>
      </w:r>
      <w:r>
        <w:rPr>
          <w:rFonts w:hint="eastAsia" w:ascii="宋体" w:hAnsi="宋体" w:eastAsia="宋体" w:cs="宋体"/>
          <w:color w:val="auto"/>
          <w:kern w:val="2"/>
          <w:sz w:val="24"/>
          <w:szCs w:val="24"/>
          <w:highlight w:val="none"/>
          <w:lang w:val="en-US" w:eastAsia="zh-CN" w:bidi="ar-SA"/>
        </w:rPr>
        <w:t>《城市绿化条例》（2017 年修订）；</w:t>
      </w:r>
    </w:p>
    <w:p>
      <w:pPr>
        <w:pStyle w:val="49"/>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（2）</w:t>
      </w:r>
      <w:r>
        <w:rPr>
          <w:rFonts w:hint="eastAsia" w:ascii="宋体" w:hAnsi="宋体" w:eastAsia="宋体" w:cs="宋体"/>
          <w:color w:val="auto"/>
          <w:sz w:val="24"/>
          <w:szCs w:val="24"/>
          <w:highlight w:val="none"/>
        </w:rPr>
        <w:t>《广东省城市绿化条例》（2022 年修订）</w:t>
      </w:r>
    </w:p>
    <w:p>
      <w:pPr>
        <w:pStyle w:val="49"/>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w:t>
      </w:r>
      <w:r>
        <w:rPr>
          <w:rFonts w:hint="eastAsia" w:ascii="宋体" w:hAnsi="宋体" w:eastAsia="宋体" w:cs="宋体"/>
          <w:color w:val="auto"/>
          <w:sz w:val="24"/>
          <w:szCs w:val="24"/>
          <w:highlight w:val="none"/>
        </w:rPr>
        <w:t>《广州市绿化条例》（2022 年修订）</w:t>
      </w:r>
    </w:p>
    <w:p>
      <w:pPr>
        <w:pStyle w:val="49"/>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（4）</w:t>
      </w:r>
      <w:r>
        <w:rPr>
          <w:rFonts w:hint="eastAsia" w:ascii="宋体" w:hAnsi="宋体" w:eastAsia="宋体" w:cs="宋体"/>
          <w:color w:val="auto"/>
          <w:sz w:val="24"/>
          <w:szCs w:val="24"/>
          <w:highlight w:val="none"/>
        </w:rPr>
        <w:t>《国务院办公厅关于科学绿化的指导意见》（国办发〔2021〕19 号）</w:t>
      </w:r>
    </w:p>
    <w:p>
      <w:pPr>
        <w:pStyle w:val="49"/>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《中共广东省委关于深入推进绿美广东生态建设的决定》（2022 年 12 月 8 日中国共产党广东省第十三届委员会第二次全体会议通过）</w:t>
      </w:r>
    </w:p>
    <w:p>
      <w:pPr>
        <w:pStyle w:val="49"/>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《广东省人民政府办公厅关于科学绿化的实施意见》（粤府办〔2021〕48 号）</w:t>
      </w:r>
    </w:p>
    <w:p>
      <w:pPr>
        <w:pStyle w:val="49"/>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中共广州市委办公厅 广州市人民政府办公厅印发《广州市关于科学绿化的实施意见》的通知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穗办〔2021〕11号</w:t>
      </w:r>
      <w:r>
        <w:rPr>
          <w:rFonts w:hint="eastAsia" w:ascii="宋体" w:hAnsi="宋体" w:eastAsia="宋体" w:cs="宋体"/>
          <w:color w:val="auto"/>
          <w:sz w:val="24"/>
          <w:szCs w:val="24"/>
          <w:highlight w:val="none"/>
          <w:lang w:eastAsia="zh-CN"/>
        </w:rPr>
        <w:t>）</w:t>
      </w:r>
    </w:p>
    <w:p>
      <w:pPr>
        <w:pStyle w:val="49"/>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《广州市林业和园林局关于印发广州市树木修剪技术指引（试行）的通知》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穗林业园林通〔2021〕153 号</w:t>
      </w:r>
      <w:r>
        <w:rPr>
          <w:rFonts w:hint="eastAsia" w:ascii="宋体" w:hAnsi="宋体" w:eastAsia="宋体" w:cs="宋体"/>
          <w:color w:val="auto"/>
          <w:sz w:val="24"/>
          <w:szCs w:val="24"/>
          <w:highlight w:val="none"/>
          <w:lang w:eastAsia="zh-CN"/>
        </w:rPr>
        <w:t>）</w:t>
      </w:r>
    </w:p>
    <w:p>
      <w:pPr>
        <w:pStyle w:val="49"/>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）《广州市林业和园林局关于规范提升全市树木支撑的通知》（穗林业园林通〔2019〕100 号）</w:t>
      </w:r>
    </w:p>
    <w:p>
      <w:pPr>
        <w:pStyle w:val="49"/>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（10）黄埔区住房和城乡建设局 广州开发区建设和交通局关于印发《黄埔区绿化苗木选用及种植技术指引（1.0版）》《黄埔区园林绿化养护技术指引（1.0版）》的通知（穗埔建</w:t>
      </w:r>
      <w:r>
        <w:rPr>
          <w:rFonts w:hint="eastAsia" w:ascii="宋体" w:hAnsi="宋体" w:eastAsia="宋体" w:cs="宋体"/>
          <w:color w:val="auto"/>
          <w:sz w:val="24"/>
          <w:szCs w:val="24"/>
          <w:highlight w:val="none"/>
          <w:lang w:eastAsia="zh-CN"/>
        </w:rPr>
        <w:t>〔2024〕</w:t>
      </w:r>
      <w:r>
        <w:rPr>
          <w:rFonts w:hint="eastAsia" w:ascii="宋体" w:hAnsi="宋体" w:eastAsia="宋体" w:cs="宋体"/>
          <w:color w:val="auto"/>
          <w:sz w:val="24"/>
          <w:szCs w:val="24"/>
          <w:highlight w:val="none"/>
          <w:lang w:val="en-US" w:eastAsia="zh-CN"/>
        </w:rPr>
        <w:t>93</w:t>
      </w:r>
      <w:r>
        <w:rPr>
          <w:rFonts w:hint="eastAsia" w:ascii="宋体" w:hAnsi="宋体" w:eastAsia="宋体" w:cs="宋体"/>
          <w:color w:val="auto"/>
          <w:sz w:val="24"/>
          <w:szCs w:val="24"/>
          <w:highlight w:val="none"/>
          <w:lang w:eastAsia="zh-CN"/>
        </w:rPr>
        <w:t xml:space="preserve"> 号</w:t>
      </w:r>
      <w:r>
        <w:rPr>
          <w:rFonts w:hint="eastAsia" w:ascii="宋体" w:hAnsi="宋体" w:eastAsia="宋体" w:cs="宋体"/>
          <w:color w:val="auto"/>
          <w:sz w:val="24"/>
          <w:szCs w:val="24"/>
          <w:highlight w:val="none"/>
          <w:lang w:val="en-US" w:eastAsia="zh-CN"/>
        </w:rPr>
        <w:t>）</w:t>
      </w:r>
    </w:p>
    <w:p>
      <w:pPr>
        <w:pStyle w:val="49"/>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 《黄埔区住房和城乡建设局 广州开发区建设和交通局关于加强科学绿化工作的提醒函》（穗埔建函[2024]2767号）</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 xml:space="preserve"> 相关标准规范</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（1）《园林绿化工程项目规范》（GB55014-2021）；</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（2）《城市园林绿化评价标准》GBT 50563-2010；</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（3）《城市绿地草坪建植与管理技术规程》GBT 19535.2-2004；</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（4）《城市园林绿化评价标准》[附条文说明]GB/T 50563-2010</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（5）《地表水环境质量标准》GB 3838-2002</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（6）《园林树木安全性评价技术规范》DB4401/T17—2019 ；</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（7）《广东城市绿化工程施工和验收规范》DBBT581-2009 ；</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（8）《城市园林绿化工程施工及验收规范》DB11/T 212-2017；</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（9）《城市园林绿化用苗-木本苗木分级》DB440300/T 28—2006。</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（10）《城市绿化和园林绿地用植物材料-木本苗》CJT 24-1999；</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（11）《城市绿化和园林绿地用植物材料- 球根花卉种球》CJT</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135-2001 ；</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（12）《绿化种植土壤》CJ/T340-2016；</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（13）《园林植物筛选通用技术要求》CJT 512-2017；</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（14）《城市主要绿化竹种苗木等级》LYT 2345-2014；</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（15）《绿化全冠苗木栽植技术规程》LYT 2632-2016；</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（16）《森林植物检疫技术规程》</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（17）《广州市主要乡土和适生植物名录》</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18</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《城市道路绿化规划与设计规范》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三、绿化种植、养护要求</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firstLine="549" w:firstLineChars="228"/>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 xml:space="preserve">绿化苗木选用和种植过程要求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承包人应严格按照本项目《苗木供应清单》要求选用苗木，执行</w:t>
      </w:r>
      <w:r>
        <w:rPr>
          <w:rFonts w:hint="eastAsia" w:ascii="宋体" w:hAnsi="宋体" w:eastAsia="宋体" w:cs="宋体"/>
          <w:color w:val="auto"/>
          <w:sz w:val="24"/>
          <w:szCs w:val="24"/>
          <w:highlight w:val="none"/>
          <w:lang w:val="en-US" w:eastAsia="zh-CN"/>
        </w:rPr>
        <w:t>《黄埔区绿化苗木选用及种植技术指引（1.0版）》，</w:t>
      </w:r>
      <w:r>
        <w:rPr>
          <w:rFonts w:hint="eastAsia" w:ascii="宋体" w:hAnsi="宋体" w:eastAsia="宋体" w:cs="宋体"/>
          <w:color w:val="auto"/>
          <w:kern w:val="2"/>
          <w:sz w:val="24"/>
          <w:szCs w:val="24"/>
          <w:highlight w:val="none"/>
          <w:lang w:val="en-US" w:eastAsia="zh-CN" w:bidi="ar-SA"/>
        </w:rPr>
        <w:t>加强对绿化种植全过程的监管监控，严格把控好绿化苗木品质，精细化深翻整理绿地，因地制宜塑造地形，保证土质营养成分及酸碱度，高标准高质量开挖种植穴，严格控制种植穴的尺寸，确保做到深挖浅埋的要求，规范绿化苗木选苗、起苗、包扎、修剪，做足做全绿化苗木运输保护措施，标准化进行绿化种植、淋水、支撑、挂牌等工作，提高绿化种植成活率，促进绿化苗木健康茁壮成长，并在规定时间内整理好苗木种植资料。项目中使用的苗木，应来自珠三角地区正规苗圃场生产培育苗木，不应使用古树名木或从森林中移栽的大树。因改造而需迁移的树木应通过有效截枝、控根等技术措施进行迁地抚育，达到种植标准后，方可作为大规格苗木重新应用于园林绿化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2、绿化养护技术及时间要求</w:t>
      </w:r>
    </w:p>
    <w:p>
      <w:pPr>
        <w:pStyle w:val="43"/>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承包人应认真学习并执行</w:t>
      </w:r>
      <w:r>
        <w:rPr>
          <w:rFonts w:hint="eastAsia" w:ascii="宋体" w:hAnsi="宋体" w:eastAsia="宋体" w:cs="宋体"/>
          <w:color w:val="auto"/>
          <w:sz w:val="24"/>
          <w:szCs w:val="24"/>
          <w:highlight w:val="none"/>
          <w:lang w:val="en-US" w:eastAsia="zh-CN"/>
        </w:rPr>
        <w:t>《黄埔区园林绿化养护技术指引（1.0版）》的具体要求，规范项目中</w:t>
      </w:r>
      <w:r>
        <w:rPr>
          <w:rFonts w:hint="eastAsia" w:ascii="宋体" w:hAnsi="宋体" w:eastAsia="宋体" w:cs="宋体"/>
          <w:color w:val="auto"/>
          <w:kern w:val="2"/>
          <w:sz w:val="24"/>
          <w:szCs w:val="24"/>
          <w:highlight w:val="none"/>
          <w:lang w:val="en-US" w:eastAsia="zh-CN" w:bidi="ar-SA"/>
        </w:rPr>
        <w:t>绿化灌溉、施肥、修剪、病虫害综合防治、日常养护管理工作</w:t>
      </w:r>
      <w:r>
        <w:rPr>
          <w:rFonts w:hint="eastAsia" w:ascii="宋体" w:hAnsi="宋体" w:eastAsia="宋体" w:cs="宋体"/>
          <w:color w:val="auto"/>
          <w:sz w:val="24"/>
          <w:szCs w:val="24"/>
          <w:highlight w:val="none"/>
          <w:lang w:val="en-US" w:eastAsia="zh-CN"/>
        </w:rPr>
        <w:t>。</w:t>
      </w:r>
    </w:p>
    <w:p>
      <w:pPr>
        <w:pStyle w:val="43"/>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养护期：胸径15CM（含）以上苗木养护期，</w:t>
      </w:r>
      <w:r>
        <w:rPr>
          <w:rFonts w:hint="eastAsia" w:ascii="宋体" w:hAnsi="宋体" w:eastAsia="宋体" w:cs="宋体"/>
          <w:b w:val="0"/>
          <w:bCs w:val="0"/>
          <w:color w:val="auto"/>
          <w:sz w:val="24"/>
          <w:szCs w:val="24"/>
          <w:highlight w:val="none"/>
          <w:lang w:val="en-US" w:eastAsia="zh-CN"/>
        </w:rPr>
        <w:t>自本项目绿化工程</w:t>
      </w:r>
      <w:r>
        <w:rPr>
          <w:rFonts w:hint="eastAsia" w:ascii="宋体" w:hAnsi="宋体" w:eastAsia="宋体" w:cs="宋体"/>
          <w:color w:val="auto"/>
          <w:sz w:val="24"/>
          <w:szCs w:val="24"/>
          <w:highlight w:val="none"/>
        </w:rPr>
        <w:t>通过竣工验收之日</w:t>
      </w:r>
      <w:r>
        <w:rPr>
          <w:rFonts w:hint="eastAsia" w:ascii="宋体" w:hAnsi="宋体" w:eastAsia="宋体" w:cs="宋体"/>
          <w:color w:val="auto"/>
          <w:sz w:val="24"/>
          <w:szCs w:val="24"/>
          <w:highlight w:val="none"/>
          <w:lang w:eastAsia="zh-CN"/>
        </w:rPr>
        <w:t>起</w:t>
      </w:r>
      <w:r>
        <w:rPr>
          <w:rFonts w:hint="eastAsia" w:ascii="宋体" w:hAnsi="宋体" w:eastAsia="宋体" w:cs="宋体"/>
          <w:color w:val="auto"/>
          <w:sz w:val="24"/>
          <w:szCs w:val="24"/>
          <w:highlight w:val="none"/>
          <w:u w:val="single"/>
        </w:rPr>
        <w:t xml:space="preserve"> 1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其他苗木养护期为3个月</w:t>
      </w:r>
      <w:r>
        <w:rPr>
          <w:rFonts w:hint="eastAsia" w:ascii="宋体" w:hAnsi="宋体" w:eastAsia="宋体" w:cs="宋体"/>
          <w:color w:val="auto"/>
          <w:sz w:val="24"/>
          <w:szCs w:val="24"/>
          <w:highlight w:val="none"/>
        </w:rPr>
        <w:t>。</w:t>
      </w:r>
    </w:p>
    <w:p>
      <w:pPr>
        <w:spacing w:line="440" w:lineRule="exact"/>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kern w:val="2"/>
          <w:sz w:val="24"/>
          <w:szCs w:val="24"/>
          <w:highlight w:val="none"/>
          <w:lang w:val="en-US" w:eastAsia="zh-CN" w:bidi="ar-SA"/>
        </w:rPr>
        <w:t>养护期内，承包人需负责</w:t>
      </w:r>
      <w:r>
        <w:rPr>
          <w:rFonts w:hint="eastAsia" w:ascii="宋体" w:hAnsi="宋体" w:eastAsia="宋体" w:cs="宋体"/>
          <w:color w:val="auto"/>
          <w:sz w:val="24"/>
          <w:szCs w:val="24"/>
          <w:highlight w:val="none"/>
          <w:lang w:val="en-US" w:eastAsia="zh-CN"/>
        </w:rPr>
        <w:t>项目中</w:t>
      </w:r>
      <w:r>
        <w:rPr>
          <w:rFonts w:hint="eastAsia" w:ascii="宋体" w:hAnsi="宋体" w:eastAsia="宋体" w:cs="宋体"/>
          <w:color w:val="auto"/>
          <w:kern w:val="2"/>
          <w:sz w:val="24"/>
          <w:szCs w:val="24"/>
          <w:highlight w:val="none"/>
          <w:lang w:val="en-US" w:eastAsia="zh-CN" w:bidi="ar-SA"/>
        </w:rPr>
        <w:t>绿化灌溉、施肥、修剪、病虫害综合防治、日常养护管理工作，及时更换</w:t>
      </w:r>
      <w:r>
        <w:rPr>
          <w:rFonts w:hint="eastAsia" w:ascii="宋体" w:hAnsi="宋体" w:eastAsia="宋体" w:cs="宋体"/>
          <w:color w:val="auto"/>
          <w:sz w:val="24"/>
          <w:szCs w:val="24"/>
          <w:highlight w:val="none"/>
          <w:lang w:val="en-US" w:eastAsia="zh-CN"/>
        </w:rPr>
        <w:t>不符合清单要求的苗木，</w:t>
      </w:r>
      <w:r>
        <w:rPr>
          <w:rFonts w:hint="eastAsia" w:ascii="宋体" w:hAnsi="宋体" w:eastAsia="宋体" w:cs="宋体"/>
          <w:color w:val="auto"/>
          <w:kern w:val="2"/>
          <w:sz w:val="24"/>
          <w:szCs w:val="24"/>
          <w:highlight w:val="none"/>
          <w:lang w:val="en-US" w:eastAsia="zh-CN" w:bidi="ar-SA"/>
        </w:rPr>
        <w:t>提高绿化种植成活率，确保绿化移交时符合</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kern w:val="2"/>
          <w:sz w:val="24"/>
          <w:szCs w:val="24"/>
          <w:highlight w:val="none"/>
          <w:lang w:val="en-US" w:eastAsia="zh-CN" w:bidi="ar-SA"/>
        </w:rPr>
        <w:t>黄埔区绿化苗木选用及种植技术指引（1.0版）》</w:t>
      </w:r>
      <w:r>
        <w:rPr>
          <w:rFonts w:hint="eastAsia" w:ascii="宋体" w:hAnsi="宋体" w:eastAsia="宋体" w:cs="宋体"/>
          <w:color w:val="auto"/>
          <w:sz w:val="24"/>
          <w:szCs w:val="24"/>
          <w:highlight w:val="none"/>
          <w:lang w:val="en-US" w:eastAsia="zh-CN"/>
        </w:rPr>
        <w:t>《黄埔区园林绿化养护技术指引（1.0版）》及发包人要求。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四、责任与义务</w:t>
      </w:r>
    </w:p>
    <w:p>
      <w:pPr>
        <w:spacing w:beforeLines="0" w:afterLines="0" w:line="440" w:lineRule="exact"/>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1、承包人应严格按照本项目《苗木供应清单》执行苗木选用、种植和养护工作。</w:t>
      </w:r>
      <w:r>
        <w:rPr>
          <w:rFonts w:hint="eastAsia" w:ascii="宋体" w:hAnsi="宋体" w:eastAsia="宋体" w:cs="宋体"/>
          <w:color w:val="auto"/>
          <w:sz w:val="24"/>
          <w:szCs w:val="24"/>
          <w:highlight w:val="none"/>
          <w:lang w:val="en-US" w:eastAsia="zh-CN"/>
        </w:rPr>
        <w:t>如经发包人</w:t>
      </w:r>
      <w:r>
        <w:rPr>
          <w:rFonts w:hint="eastAsia" w:ascii="宋体" w:hAnsi="宋体" w:eastAsia="宋体" w:cs="宋体"/>
          <w:color w:val="auto"/>
          <w:kern w:val="0"/>
          <w:sz w:val="24"/>
          <w:szCs w:val="24"/>
          <w:highlight w:val="none"/>
        </w:rPr>
        <w:t>或</w:t>
      </w:r>
      <w:r>
        <w:rPr>
          <w:rFonts w:hint="eastAsia" w:ascii="宋体" w:hAnsi="宋体" w:eastAsia="宋体" w:cs="宋体"/>
          <w:color w:val="auto"/>
          <w:kern w:val="0"/>
          <w:sz w:val="24"/>
          <w:szCs w:val="24"/>
          <w:highlight w:val="none"/>
          <w:lang w:eastAsia="zh-CN"/>
        </w:rPr>
        <w:t>本项目</w:t>
      </w:r>
      <w:r>
        <w:rPr>
          <w:rFonts w:hint="eastAsia" w:ascii="宋体" w:hAnsi="宋体" w:eastAsia="宋体" w:cs="宋体"/>
          <w:color w:val="auto"/>
          <w:kern w:val="0"/>
          <w:sz w:val="24"/>
          <w:szCs w:val="24"/>
          <w:highlight w:val="none"/>
        </w:rPr>
        <w:t>监理单位</w:t>
      </w:r>
      <w:r>
        <w:rPr>
          <w:rFonts w:hint="eastAsia" w:ascii="宋体" w:hAnsi="宋体" w:eastAsia="宋体" w:cs="宋体"/>
          <w:color w:val="auto"/>
          <w:sz w:val="24"/>
          <w:szCs w:val="24"/>
          <w:highlight w:val="none"/>
          <w:lang w:val="en-US" w:eastAsia="zh-CN"/>
        </w:rPr>
        <w:t>巡查发现苗木不符合清单要求的，应</w:t>
      </w:r>
      <w:r>
        <w:rPr>
          <w:rFonts w:hint="eastAsia" w:ascii="宋体" w:hAnsi="宋体" w:eastAsia="宋体" w:cs="宋体"/>
          <w:color w:val="auto"/>
          <w:kern w:val="2"/>
          <w:sz w:val="24"/>
          <w:szCs w:val="24"/>
          <w:highlight w:val="none"/>
          <w:lang w:val="en-US" w:eastAsia="zh-CN" w:bidi="ar-SA"/>
        </w:rPr>
        <w:t>按照发包人或者监理单位的要求及时更换；每逾期一天，由发包人扣减绿化工程造价的万分之一作为违约金。同时，发包人有权另行委托其他服务单位实施整改，以保证按时按质按量完成整改，所需费用从承包人工程款中全额扣除。</w:t>
      </w:r>
    </w:p>
    <w:p>
      <w:pPr>
        <w:spacing w:beforeLines="0" w:afterLines="0" w:line="440" w:lineRule="exact"/>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承包人应规范苗木种植过程及绿化灌溉、施肥、修剪、病虫害综合防治、日常养护管理等工作，发包人应不定期对承包人绿化种植成效进行抽查、加强对绿化种植全过程的监管监控，如承包人绿化种植效果达不到项目要求，发包人有权要求其限期整改。每逾期一天，由发包人扣减绿化工程造价的万分之一作为违约金。同时，发包人有权另行委托其他服务单位实施整改，以保证按时按质按量完成整改，所需费用从承包人工程款中全额扣除。</w:t>
      </w:r>
    </w:p>
    <w:p>
      <w:pPr>
        <w:pStyle w:val="4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五、其它</w:t>
      </w:r>
    </w:p>
    <w:p>
      <w:pPr>
        <w:pStyle w:val="4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本专篇是为规范本项目绿化工程种植、养护工作制定，未提及的内容均按施工合同专用条款的约定执行。</w:t>
      </w:r>
    </w:p>
    <w:p>
      <w:pPr>
        <w:keepNext w:val="0"/>
        <w:keepLines w:val="0"/>
        <w:pageBreakBefore w:val="0"/>
        <w:kinsoku/>
        <w:wordWrap/>
        <w:overflowPunct/>
        <w:topLinePunct w:val="0"/>
        <w:autoSpaceDE/>
        <w:autoSpaceDN/>
        <w:bidi w:val="0"/>
        <w:adjustRightInd/>
        <w:snapToGrid/>
        <w:spacing w:line="520" w:lineRule="exact"/>
        <w:rPr>
          <w:rFonts w:hint="eastAsia" w:ascii="宋体" w:hAnsi="宋体" w:eastAsia="宋体" w:cs="宋体"/>
          <w:color w:val="auto"/>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color w:val="auto"/>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color w:val="auto"/>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520" w:lineRule="exac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附表：</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苗木供应清单</w:t>
      </w:r>
    </w:p>
    <w:p>
      <w:pPr>
        <w:pStyle w:val="28"/>
        <w:keepNext w:val="0"/>
        <w:keepLines w:val="0"/>
        <w:pageBreakBefore w:val="0"/>
        <w:kinsoku/>
        <w:wordWrap/>
        <w:overflowPunct/>
        <w:topLinePunct w:val="0"/>
        <w:autoSpaceDE/>
        <w:autoSpaceDN/>
        <w:bidi w:val="0"/>
        <w:adjustRightInd/>
        <w:snapToGrid/>
        <w:spacing w:line="520" w:lineRule="exact"/>
        <w:ind w:left="0" w:leftChars="0" w:firstLine="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项目名称：</w:t>
      </w:r>
    </w:p>
    <w:tbl>
      <w:tblPr>
        <w:tblStyle w:val="51"/>
        <w:tblW w:w="93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9"/>
        <w:gridCol w:w="750"/>
        <w:gridCol w:w="1080"/>
        <w:gridCol w:w="1003"/>
        <w:gridCol w:w="1006"/>
        <w:gridCol w:w="884"/>
        <w:gridCol w:w="1080"/>
        <w:gridCol w:w="1080"/>
        <w:gridCol w:w="953"/>
        <w:gridCol w:w="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i w:val="0"/>
                <w:iCs w:val="0"/>
                <w:color w:val="auto"/>
                <w:sz w:val="24"/>
                <w:szCs w:val="24"/>
                <w:highlight w:val="none"/>
                <w:u w:val="none"/>
              </w:rPr>
            </w:pPr>
            <w:r>
              <w:rPr>
                <w:rStyle w:val="127"/>
                <w:rFonts w:ascii="宋体" w:hAnsi="宋体" w:eastAsia="宋体" w:cs="宋体"/>
                <w:color w:val="auto"/>
                <w:sz w:val="24"/>
                <w:szCs w:val="24"/>
                <w:highlight w:val="none"/>
                <w:lang w:val="en-US" w:eastAsia="zh-CN" w:bidi="ar"/>
              </w:rPr>
              <w:t>序号</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i w:val="0"/>
                <w:iCs w:val="0"/>
                <w:color w:val="auto"/>
                <w:sz w:val="24"/>
                <w:szCs w:val="24"/>
                <w:highlight w:val="none"/>
                <w:u w:val="none"/>
              </w:rPr>
            </w:pPr>
            <w:r>
              <w:rPr>
                <w:rStyle w:val="127"/>
                <w:rFonts w:ascii="宋体" w:hAnsi="宋体" w:eastAsia="宋体" w:cs="宋体"/>
                <w:color w:val="auto"/>
                <w:sz w:val="24"/>
                <w:szCs w:val="24"/>
                <w:highlight w:val="none"/>
                <w:lang w:val="en-US" w:eastAsia="zh-CN" w:bidi="ar"/>
              </w:rPr>
              <w:t>苗木名称</w:t>
            </w:r>
          </w:p>
        </w:tc>
        <w:tc>
          <w:tcPr>
            <w:tcW w:w="61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i w:val="0"/>
                <w:iCs w:val="0"/>
                <w:color w:val="auto"/>
                <w:sz w:val="24"/>
                <w:szCs w:val="24"/>
                <w:highlight w:val="none"/>
                <w:u w:val="none"/>
              </w:rPr>
            </w:pPr>
            <w:r>
              <w:rPr>
                <w:rStyle w:val="127"/>
                <w:rFonts w:ascii="宋体" w:hAnsi="宋体" w:eastAsia="宋体" w:cs="宋体"/>
                <w:color w:val="auto"/>
                <w:sz w:val="24"/>
                <w:szCs w:val="24"/>
                <w:highlight w:val="none"/>
                <w:lang w:val="en-US" w:eastAsia="zh-CN" w:bidi="ar"/>
              </w:rPr>
              <w:t>规格（ 单位：CM）</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i w:val="0"/>
                <w:iCs w:val="0"/>
                <w:color w:val="auto"/>
                <w:sz w:val="24"/>
                <w:szCs w:val="24"/>
                <w:highlight w:val="none"/>
                <w:u w:val="none"/>
              </w:rPr>
            </w:pPr>
            <w:r>
              <w:rPr>
                <w:rStyle w:val="127"/>
                <w:rFonts w:ascii="宋体" w:hAnsi="宋体" w:eastAsia="宋体" w:cs="宋体"/>
                <w:color w:val="auto"/>
                <w:sz w:val="24"/>
                <w:szCs w:val="24"/>
                <w:highlight w:val="none"/>
                <w:lang w:val="en-US" w:eastAsia="zh-CN" w:bidi="ar"/>
              </w:rPr>
              <w:t>规格（ 单位：个）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jc w:val="center"/>
              <w:rPr>
                <w:rFonts w:hint="eastAsia" w:ascii="宋体" w:hAnsi="宋体" w:eastAsia="宋体" w:cs="宋体"/>
                <w:i w:val="0"/>
                <w:iCs w:val="0"/>
                <w:color w:val="auto"/>
                <w:sz w:val="24"/>
                <w:szCs w:val="24"/>
                <w:highlight w:val="none"/>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jc w:val="center"/>
              <w:rPr>
                <w:rFonts w:hint="eastAsia" w:ascii="宋体" w:hAnsi="宋体" w:eastAsia="宋体" w:cs="宋体"/>
                <w:i w:val="0"/>
                <w:iCs w:val="0"/>
                <w:color w:val="auto"/>
                <w:sz w:val="24"/>
                <w:szCs w:val="24"/>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left"/>
              <w:textAlignment w:val="center"/>
              <w:rPr>
                <w:rFonts w:hint="eastAsia" w:ascii="宋体" w:hAnsi="宋体" w:eastAsia="宋体" w:cs="宋体"/>
                <w:i w:val="0"/>
                <w:iCs w:val="0"/>
                <w:color w:val="auto"/>
                <w:sz w:val="24"/>
                <w:szCs w:val="24"/>
                <w:highlight w:val="none"/>
                <w:u w:val="none"/>
              </w:rPr>
            </w:pPr>
            <w:r>
              <w:rPr>
                <w:rStyle w:val="127"/>
                <w:rFonts w:ascii="宋体" w:hAnsi="宋体" w:eastAsia="宋体" w:cs="宋体"/>
                <w:color w:val="auto"/>
                <w:sz w:val="24"/>
                <w:szCs w:val="24"/>
                <w:highlight w:val="none"/>
                <w:lang w:val="en-US" w:eastAsia="zh-CN" w:bidi="ar"/>
              </w:rPr>
              <w:t>胸（ 地）径(Ф)</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left"/>
              <w:textAlignment w:val="center"/>
              <w:rPr>
                <w:rFonts w:hint="eastAsia" w:ascii="宋体" w:hAnsi="宋体" w:eastAsia="宋体" w:cs="宋体"/>
                <w:i w:val="0"/>
                <w:iCs w:val="0"/>
                <w:color w:val="auto"/>
                <w:sz w:val="24"/>
                <w:szCs w:val="24"/>
                <w:highlight w:val="none"/>
                <w:u w:val="none"/>
              </w:rPr>
            </w:pPr>
            <w:r>
              <w:rPr>
                <w:rStyle w:val="127"/>
                <w:rFonts w:ascii="宋体" w:hAnsi="宋体" w:eastAsia="宋体" w:cs="宋体"/>
                <w:color w:val="auto"/>
                <w:sz w:val="24"/>
                <w:szCs w:val="24"/>
                <w:highlight w:val="none"/>
                <w:lang w:val="en-US" w:eastAsia="zh-CN" w:bidi="ar"/>
              </w:rPr>
              <w:t>株高（H）</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left"/>
              <w:textAlignment w:val="center"/>
              <w:rPr>
                <w:rFonts w:hint="eastAsia" w:ascii="宋体" w:hAnsi="宋体" w:eastAsia="宋体" w:cs="宋体"/>
                <w:i w:val="0"/>
                <w:iCs w:val="0"/>
                <w:color w:val="auto"/>
                <w:sz w:val="24"/>
                <w:szCs w:val="24"/>
                <w:highlight w:val="none"/>
                <w:u w:val="none"/>
              </w:rPr>
            </w:pPr>
            <w:r>
              <w:rPr>
                <w:rStyle w:val="127"/>
                <w:rFonts w:ascii="宋体" w:hAnsi="宋体" w:eastAsia="宋体" w:cs="宋体"/>
                <w:color w:val="auto"/>
                <w:sz w:val="24"/>
                <w:szCs w:val="24"/>
                <w:highlight w:val="none"/>
                <w:lang w:val="en-US" w:eastAsia="zh-CN" w:bidi="ar"/>
              </w:rPr>
              <w:t>分枝点高(Ⓗ</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left"/>
              <w:textAlignment w:val="center"/>
              <w:rPr>
                <w:rFonts w:hint="eastAsia" w:ascii="宋体" w:hAnsi="宋体" w:eastAsia="宋体" w:cs="宋体"/>
                <w:i w:val="0"/>
                <w:iCs w:val="0"/>
                <w:color w:val="auto"/>
                <w:sz w:val="24"/>
                <w:szCs w:val="24"/>
                <w:highlight w:val="none"/>
                <w:u w:val="none"/>
              </w:rPr>
            </w:pPr>
            <w:r>
              <w:rPr>
                <w:rStyle w:val="127"/>
                <w:rFonts w:ascii="宋体" w:hAnsi="宋体" w:eastAsia="宋体" w:cs="宋体"/>
                <w:color w:val="auto"/>
                <w:sz w:val="24"/>
                <w:szCs w:val="24"/>
                <w:highlight w:val="none"/>
                <w:lang w:val="en-US" w:eastAsia="zh-CN" w:bidi="ar"/>
              </w:rPr>
              <w:t xml:space="preserve"> 冠幅（P）</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center"/>
              <w:rPr>
                <w:rFonts w:hint="eastAsia" w:ascii="宋体" w:hAnsi="宋体" w:eastAsia="宋体" w:cs="宋体"/>
                <w:i w:val="0"/>
                <w:iCs w:val="0"/>
                <w:color w:val="auto"/>
                <w:sz w:val="24"/>
                <w:szCs w:val="24"/>
                <w:highlight w:val="none"/>
                <w:u w:val="none"/>
              </w:rPr>
            </w:pPr>
            <w:r>
              <w:rPr>
                <w:rStyle w:val="127"/>
                <w:rFonts w:ascii="宋体" w:hAnsi="宋体" w:eastAsia="宋体" w:cs="宋体"/>
                <w:color w:val="auto"/>
                <w:sz w:val="24"/>
                <w:szCs w:val="24"/>
                <w:highlight w:val="none"/>
                <w:lang w:val="en-US" w:eastAsia="zh-CN" w:bidi="ar"/>
              </w:rPr>
              <w:t>土球规格直径* 高度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left"/>
              <w:textAlignment w:val="center"/>
              <w:rPr>
                <w:rFonts w:hint="eastAsia" w:ascii="宋体" w:hAnsi="宋体" w:eastAsia="宋体" w:cs="宋体"/>
                <w:i w:val="0"/>
                <w:iCs w:val="0"/>
                <w:color w:val="auto"/>
                <w:sz w:val="24"/>
                <w:szCs w:val="24"/>
                <w:highlight w:val="none"/>
                <w:u w:val="none"/>
              </w:rPr>
            </w:pPr>
            <w:r>
              <w:rPr>
                <w:rStyle w:val="127"/>
                <w:rFonts w:ascii="宋体" w:hAnsi="宋体" w:eastAsia="宋体" w:cs="宋体"/>
                <w:color w:val="auto"/>
                <w:sz w:val="24"/>
                <w:szCs w:val="24"/>
                <w:highlight w:val="none"/>
                <w:lang w:val="en-US" w:eastAsia="zh-CN" w:bidi="ar"/>
              </w:rPr>
              <w:t>种植穴直径* 高度</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left"/>
              <w:textAlignment w:val="center"/>
              <w:rPr>
                <w:rFonts w:hint="eastAsia" w:ascii="宋体" w:hAnsi="宋体" w:eastAsia="宋体" w:cs="宋体"/>
                <w:i w:val="0"/>
                <w:iCs w:val="0"/>
                <w:color w:val="auto"/>
                <w:sz w:val="24"/>
                <w:szCs w:val="24"/>
                <w:highlight w:val="none"/>
                <w:u w:val="none"/>
              </w:rPr>
            </w:pPr>
            <w:r>
              <w:rPr>
                <w:rStyle w:val="127"/>
                <w:rFonts w:ascii="宋体" w:hAnsi="宋体" w:eastAsia="宋体" w:cs="宋体"/>
                <w:color w:val="auto"/>
                <w:sz w:val="24"/>
                <w:szCs w:val="24"/>
                <w:highlight w:val="none"/>
                <w:lang w:val="en-US" w:eastAsia="zh-CN" w:bidi="ar"/>
              </w:rPr>
              <w:t>层托数(T)</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left"/>
              <w:textAlignment w:val="center"/>
              <w:rPr>
                <w:rFonts w:hint="eastAsia" w:ascii="宋体" w:hAnsi="宋体" w:eastAsia="宋体" w:cs="宋体"/>
                <w:i w:val="0"/>
                <w:iCs w:val="0"/>
                <w:color w:val="auto"/>
                <w:sz w:val="24"/>
                <w:szCs w:val="24"/>
                <w:highlight w:val="none"/>
                <w:u w:val="none"/>
              </w:rPr>
            </w:pPr>
            <w:r>
              <w:rPr>
                <w:rStyle w:val="127"/>
                <w:rFonts w:ascii="宋体" w:hAnsi="宋体" w:eastAsia="宋体" w:cs="宋体"/>
                <w:color w:val="auto"/>
                <w:sz w:val="24"/>
                <w:szCs w:val="24"/>
                <w:highlight w:val="none"/>
                <w:lang w:val="en-US" w:eastAsia="zh-CN" w:bidi="ar"/>
              </w:rPr>
              <w:t>分枝数量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rPr>
                <w:rFonts w:hint="eastAsia" w:ascii="宋体" w:hAnsi="宋体" w:eastAsia="宋体" w:cs="宋体"/>
                <w:i w:val="0"/>
                <w:iCs w:val="0"/>
                <w:color w:val="auto"/>
                <w:sz w:val="24"/>
                <w:szCs w:val="24"/>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rPr>
                <w:rFonts w:hint="eastAsia" w:ascii="宋体" w:hAnsi="宋体" w:eastAsia="宋体" w:cs="宋体"/>
                <w:i w:val="0"/>
                <w:iCs w:val="0"/>
                <w:color w:val="auto"/>
                <w:sz w:val="24"/>
                <w:szCs w:val="24"/>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rPr>
                <w:rFonts w:hint="eastAsia" w:ascii="宋体" w:hAnsi="宋体" w:eastAsia="宋体" w:cs="宋体"/>
                <w:i w:val="0"/>
                <w:iCs w:val="0"/>
                <w:color w:val="auto"/>
                <w:sz w:val="24"/>
                <w:szCs w:val="24"/>
                <w:highlight w:val="none"/>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rPr>
                <w:rFonts w:hint="eastAsia" w:ascii="宋体" w:hAnsi="宋体" w:eastAsia="宋体" w:cs="宋体"/>
                <w:i w:val="0"/>
                <w:iCs w:val="0"/>
                <w:color w:val="auto"/>
                <w:sz w:val="24"/>
                <w:szCs w:val="24"/>
                <w:highlight w:val="none"/>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rPr>
                <w:rFonts w:hint="eastAsia" w:ascii="宋体" w:hAnsi="宋体" w:eastAsia="宋体" w:cs="宋体"/>
                <w:i w:val="0"/>
                <w:iCs w:val="0"/>
                <w:color w:val="auto"/>
                <w:sz w:val="24"/>
                <w:szCs w:val="24"/>
                <w:highlight w:val="none"/>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rPr>
                <w:rFonts w:hint="eastAsia" w:ascii="宋体" w:hAnsi="宋体" w:eastAsia="宋体" w:cs="宋体"/>
                <w:i w:val="0"/>
                <w:iCs w:val="0"/>
                <w:color w:val="auto"/>
                <w:sz w:val="24"/>
                <w:szCs w:val="24"/>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rPr>
                <w:rFonts w:hint="eastAsia" w:ascii="宋体" w:hAnsi="宋体" w:eastAsia="宋体" w:cs="宋体"/>
                <w:i w:val="0"/>
                <w:iCs w:val="0"/>
                <w:color w:val="auto"/>
                <w:sz w:val="24"/>
                <w:szCs w:val="24"/>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rPr>
                <w:rFonts w:hint="eastAsia" w:ascii="宋体" w:hAnsi="宋体" w:eastAsia="宋体" w:cs="宋体"/>
                <w:i w:val="0"/>
                <w:iCs w:val="0"/>
                <w:color w:val="auto"/>
                <w:sz w:val="24"/>
                <w:szCs w:val="24"/>
                <w:highlight w:val="none"/>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rPr>
                <w:rFonts w:hint="eastAsia" w:ascii="宋体" w:hAnsi="宋体" w:eastAsia="宋体" w:cs="宋体"/>
                <w:i w:val="0"/>
                <w:iCs w:val="0"/>
                <w:color w:val="auto"/>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rPr>
                <w:rFonts w:hint="eastAsia" w:ascii="宋体" w:hAnsi="宋体" w:eastAsia="宋体" w:cs="宋体"/>
                <w:i w:val="0"/>
                <w:iCs w:val="0"/>
                <w:color w:val="auto"/>
                <w:sz w:val="24"/>
                <w:szCs w:val="24"/>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rPr>
                <w:rFonts w:hint="eastAsia" w:ascii="宋体" w:hAnsi="宋体" w:eastAsia="宋体" w:cs="宋体"/>
                <w:i w:val="0"/>
                <w:iCs w:val="0"/>
                <w:color w:val="auto"/>
                <w:sz w:val="24"/>
                <w:szCs w:val="24"/>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rPr>
                <w:rFonts w:hint="eastAsia" w:ascii="宋体" w:hAnsi="宋体" w:eastAsia="宋体" w:cs="宋体"/>
                <w:i w:val="0"/>
                <w:iCs w:val="0"/>
                <w:color w:val="auto"/>
                <w:sz w:val="24"/>
                <w:szCs w:val="24"/>
                <w:highlight w:val="none"/>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rPr>
                <w:rFonts w:hint="eastAsia" w:ascii="宋体" w:hAnsi="宋体" w:eastAsia="宋体" w:cs="宋体"/>
                <w:i w:val="0"/>
                <w:iCs w:val="0"/>
                <w:color w:val="auto"/>
                <w:sz w:val="24"/>
                <w:szCs w:val="24"/>
                <w:highlight w:val="none"/>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rPr>
                <w:rFonts w:hint="eastAsia" w:ascii="宋体" w:hAnsi="宋体" w:eastAsia="宋体" w:cs="宋体"/>
                <w:i w:val="0"/>
                <w:iCs w:val="0"/>
                <w:color w:val="auto"/>
                <w:sz w:val="24"/>
                <w:szCs w:val="24"/>
                <w:highlight w:val="none"/>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rPr>
                <w:rFonts w:hint="eastAsia" w:ascii="宋体" w:hAnsi="宋体" w:eastAsia="宋体" w:cs="宋体"/>
                <w:i w:val="0"/>
                <w:iCs w:val="0"/>
                <w:color w:val="auto"/>
                <w:sz w:val="24"/>
                <w:szCs w:val="24"/>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rPr>
                <w:rFonts w:hint="eastAsia" w:ascii="宋体" w:hAnsi="宋体" w:eastAsia="宋体" w:cs="宋体"/>
                <w:i w:val="0"/>
                <w:iCs w:val="0"/>
                <w:color w:val="auto"/>
                <w:sz w:val="24"/>
                <w:szCs w:val="24"/>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rPr>
                <w:rFonts w:hint="eastAsia" w:ascii="宋体" w:hAnsi="宋体" w:eastAsia="宋体" w:cs="宋体"/>
                <w:i w:val="0"/>
                <w:iCs w:val="0"/>
                <w:color w:val="auto"/>
                <w:sz w:val="24"/>
                <w:szCs w:val="24"/>
                <w:highlight w:val="none"/>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rPr>
                <w:rFonts w:hint="eastAsia" w:ascii="宋体" w:hAnsi="宋体" w:eastAsia="宋体" w:cs="宋体"/>
                <w:i w:val="0"/>
                <w:iCs w:val="0"/>
                <w:color w:val="auto"/>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rPr>
                <w:rFonts w:hint="eastAsia" w:ascii="宋体" w:hAnsi="宋体" w:eastAsia="宋体" w:cs="宋体"/>
                <w:i w:val="0"/>
                <w:iCs w:val="0"/>
                <w:color w:val="auto"/>
                <w:sz w:val="24"/>
                <w:szCs w:val="24"/>
                <w:highlight w:val="none"/>
                <w:u w:val="none"/>
              </w:rPr>
            </w:pPr>
          </w:p>
        </w:tc>
      </w:tr>
    </w:tbl>
    <w:p>
      <w:pPr>
        <w:pStyle w:val="28"/>
        <w:keepNext w:val="0"/>
        <w:keepLines w:val="0"/>
        <w:pageBreakBefore w:val="0"/>
        <w:kinsoku/>
        <w:wordWrap/>
        <w:overflowPunct/>
        <w:topLinePunct w:val="0"/>
        <w:autoSpaceDE/>
        <w:autoSpaceDN/>
        <w:bidi w:val="0"/>
        <w:adjustRightInd/>
        <w:snapToGrid/>
        <w:spacing w:line="480" w:lineRule="exact"/>
        <w:ind w:left="0" w:leftChars="0" w:firstLine="0" w:firstLineChars="0"/>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rPr>
          <w:rFonts w:hint="eastAsia"/>
          <w:color w:val="auto"/>
          <w:sz w:val="24"/>
          <w:szCs w:val="24"/>
          <w:highlight w:val="none"/>
          <w:lang w:val="en-US" w:eastAsia="zh-CN"/>
        </w:rPr>
      </w:pPr>
    </w:p>
    <w:p>
      <w:pPr>
        <w:numPr>
          <w:ilvl w:val="0"/>
          <w:numId w:val="4"/>
        </w:numPr>
        <w:spacing w:line="440" w:lineRule="exact"/>
        <w:jc w:val="center"/>
        <w:rPr>
          <w:rFonts w:hint="eastAsia" w:ascii="宋体" w:hAnsi="宋体"/>
          <w:b/>
          <w:color w:val="auto"/>
          <w:sz w:val="28"/>
          <w:szCs w:val="28"/>
          <w:highlight w:val="none"/>
        </w:rPr>
      </w:pPr>
      <w:r>
        <w:rPr>
          <w:rFonts w:ascii="宋体" w:hAnsi="宋体"/>
          <w:b/>
          <w:color w:val="auto"/>
          <w:sz w:val="28"/>
          <w:szCs w:val="28"/>
          <w:highlight w:val="none"/>
        </w:rPr>
        <w:t xml:space="preserve"> </w:t>
      </w:r>
      <w:r>
        <w:rPr>
          <w:rFonts w:hint="eastAsia" w:ascii="宋体" w:hAnsi="宋体"/>
          <w:b/>
          <w:color w:val="auto"/>
          <w:sz w:val="28"/>
          <w:szCs w:val="28"/>
          <w:highlight w:val="none"/>
        </w:rPr>
        <w:t>工程质量保修责任书</w:t>
      </w:r>
    </w:p>
    <w:p>
      <w:pPr>
        <w:numPr>
          <w:ilvl w:val="-1"/>
          <w:numId w:val="0"/>
        </w:numPr>
        <w:spacing w:line="440" w:lineRule="exact"/>
        <w:jc w:val="both"/>
        <w:rPr>
          <w:rStyle w:val="325"/>
          <w:rFonts w:hint="eastAsia"/>
          <w:color w:val="auto"/>
          <w:sz w:val="32"/>
          <w:szCs w:val="32"/>
          <w:highlight w:val="none"/>
        </w:rPr>
      </w:pP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发包人：</w:t>
      </w:r>
      <w:r>
        <w:rPr>
          <w:rFonts w:hint="eastAsia" w:ascii="方正大标宋简体" w:hAnsi="仿宋" w:eastAsia="方正大标宋简体"/>
          <w:color w:val="auto"/>
          <w:sz w:val="24"/>
          <w:highlight w:val="none"/>
          <w:u w:val="single"/>
        </w:rPr>
        <w:t>广州开发区财政投资建设项目管理中心</w:t>
      </w:r>
    </w:p>
    <w:p>
      <w:pPr>
        <w:spacing w:line="440" w:lineRule="exact"/>
        <w:ind w:firstLine="480" w:firstLineChars="200"/>
        <w:rPr>
          <w:rFonts w:hint="eastAsia" w:ascii="宋体" w:hAnsi="宋体"/>
          <w:snapToGrid w:val="0"/>
          <w:color w:val="auto"/>
          <w:kern w:val="0"/>
          <w:sz w:val="24"/>
          <w:highlight w:val="none"/>
          <w:u w:val="single"/>
        </w:rPr>
      </w:pPr>
      <w:r>
        <w:rPr>
          <w:rFonts w:hint="eastAsia" w:ascii="宋体" w:hAnsi="宋体"/>
          <w:snapToGrid w:val="0"/>
          <w:color w:val="auto"/>
          <w:kern w:val="0"/>
          <w:sz w:val="24"/>
          <w:highlight w:val="none"/>
        </w:rPr>
        <w:t>承包人：</w:t>
      </w:r>
      <w:r>
        <w:rPr>
          <w:rFonts w:hint="eastAsia" w:ascii="宋体" w:hAnsi="宋体"/>
          <w:color w:val="auto"/>
          <w:sz w:val="24"/>
          <w:highlight w:val="none"/>
          <w:u w:val="single"/>
        </w:rPr>
        <w:t xml:space="preserve">                       </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发包人、承包人根据《中华人民共和国建筑法》、《建设工程质量管理条例》和《房屋建筑工程质量保修办法》等相关规定，经协商一致，对</w:t>
      </w:r>
      <w:r>
        <w:rPr>
          <w:rFonts w:hint="eastAsia" w:ascii="宋体" w:hAnsi="宋体"/>
          <w:snapToGrid w:val="0"/>
          <w:color w:val="auto"/>
          <w:kern w:val="0"/>
          <w:sz w:val="24"/>
          <w:highlight w:val="none"/>
          <w:u w:val="single"/>
        </w:rPr>
        <w:t xml:space="preserve">            </w:t>
      </w:r>
      <w:r>
        <w:rPr>
          <w:rFonts w:hint="eastAsia" w:ascii="宋体" w:hAnsi="宋体"/>
          <w:snapToGrid w:val="0"/>
          <w:color w:val="auto"/>
          <w:kern w:val="0"/>
          <w:sz w:val="24"/>
          <w:highlight w:val="none"/>
        </w:rPr>
        <w:t>建设项目工程项目签订工程质量保修书。</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一、工程质量保修范围和内容</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1、承包人在质量保修期内，按照有关法律、法规、规章的管理规定和双方约定，承担本工程质量保修责任。</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2、质量保修范围本工程施工合同约定的工程内容。</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二、质量保修期</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双方根据《建设工程质量管理条例》、《房屋建筑工程质量保修办法》（建设部第80号令）的有关规定及设计要求，约定本工程质量保修期如下：</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1、地基基础工程和主体结构工程为设计文件规定的该工程的合理使用年限；</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2、屋面防水工程、有防水要求的卫生间、房间和外墙面的防渗漏为</w:t>
      </w:r>
      <w:r>
        <w:rPr>
          <w:rFonts w:hint="eastAsia" w:ascii="宋体" w:hAnsi="宋体"/>
          <w:snapToGrid w:val="0"/>
          <w:color w:val="auto"/>
          <w:kern w:val="0"/>
          <w:sz w:val="24"/>
          <w:highlight w:val="none"/>
          <w:u w:val="single"/>
        </w:rPr>
        <w:t xml:space="preserve"> 5 </w:t>
      </w:r>
      <w:r>
        <w:rPr>
          <w:rFonts w:hint="eastAsia" w:ascii="宋体" w:hAnsi="宋体"/>
          <w:snapToGrid w:val="0"/>
          <w:color w:val="auto"/>
          <w:kern w:val="0"/>
          <w:sz w:val="24"/>
          <w:highlight w:val="none"/>
        </w:rPr>
        <w:t>年；</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3、电气管线、给排水管道、设备安装工程为</w:t>
      </w:r>
      <w:r>
        <w:rPr>
          <w:rFonts w:hint="eastAsia" w:ascii="宋体" w:hAnsi="宋体"/>
          <w:snapToGrid w:val="0"/>
          <w:color w:val="auto"/>
          <w:kern w:val="0"/>
          <w:sz w:val="24"/>
          <w:highlight w:val="none"/>
          <w:u w:val="single"/>
        </w:rPr>
        <w:t xml:space="preserve"> 2 </w:t>
      </w:r>
      <w:r>
        <w:rPr>
          <w:rFonts w:hint="eastAsia" w:ascii="宋体" w:hAnsi="宋体"/>
          <w:snapToGrid w:val="0"/>
          <w:color w:val="auto"/>
          <w:kern w:val="0"/>
          <w:sz w:val="24"/>
          <w:highlight w:val="none"/>
        </w:rPr>
        <w:t>年；</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4、供热及供冷为</w:t>
      </w:r>
      <w:r>
        <w:rPr>
          <w:rFonts w:hint="eastAsia" w:ascii="宋体" w:hAnsi="宋体"/>
          <w:snapToGrid w:val="0"/>
          <w:color w:val="auto"/>
          <w:kern w:val="0"/>
          <w:sz w:val="24"/>
          <w:highlight w:val="none"/>
          <w:u w:val="single"/>
        </w:rPr>
        <w:t xml:space="preserve"> 2</w:t>
      </w:r>
      <w:r>
        <w:rPr>
          <w:rFonts w:hint="eastAsia" w:ascii="宋体" w:hAnsi="宋体"/>
          <w:snapToGrid w:val="0"/>
          <w:color w:val="auto"/>
          <w:kern w:val="0"/>
          <w:sz w:val="24"/>
          <w:highlight w:val="none"/>
        </w:rPr>
        <w:t>个采暖期及供冷期；</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5、装饰装修工程为</w:t>
      </w:r>
      <w:r>
        <w:rPr>
          <w:rFonts w:hint="eastAsia" w:ascii="宋体" w:hAnsi="宋体"/>
          <w:snapToGrid w:val="0"/>
          <w:color w:val="auto"/>
          <w:kern w:val="0"/>
          <w:sz w:val="24"/>
          <w:highlight w:val="none"/>
          <w:u w:val="single"/>
        </w:rPr>
        <w:t xml:space="preserve"> 2 </w:t>
      </w:r>
      <w:r>
        <w:rPr>
          <w:rFonts w:hint="eastAsia" w:ascii="宋体" w:hAnsi="宋体"/>
          <w:snapToGrid w:val="0"/>
          <w:color w:val="auto"/>
          <w:kern w:val="0"/>
          <w:sz w:val="24"/>
          <w:highlight w:val="none"/>
        </w:rPr>
        <w:t>年；</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 xml:space="preserve">6、室外的上下水和小区道路等市政公用工程为 </w:t>
      </w:r>
      <w:r>
        <w:rPr>
          <w:rFonts w:hint="eastAsia" w:ascii="宋体" w:hAnsi="宋体"/>
          <w:snapToGrid w:val="0"/>
          <w:color w:val="auto"/>
          <w:kern w:val="0"/>
          <w:sz w:val="24"/>
          <w:highlight w:val="none"/>
          <w:u w:val="single"/>
        </w:rPr>
        <w:t xml:space="preserve"> 2 </w:t>
      </w:r>
      <w:r>
        <w:rPr>
          <w:rFonts w:hint="eastAsia" w:ascii="宋体" w:hAnsi="宋体"/>
          <w:snapToGrid w:val="0"/>
          <w:color w:val="auto"/>
          <w:kern w:val="0"/>
          <w:sz w:val="24"/>
          <w:highlight w:val="none"/>
        </w:rPr>
        <w:t>年；</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7、在本项目建成投入使用的前两年内，需对钢结构的节点、杆件应力集中部位、支座等受力关键部位进行应力、应变监控（监测方案由双方确定）。</w:t>
      </w:r>
    </w:p>
    <w:p>
      <w:pPr>
        <w:spacing w:line="440" w:lineRule="exact"/>
        <w:ind w:firstLine="480" w:firstLineChars="200"/>
        <w:rPr>
          <w:rFonts w:hint="eastAsia" w:ascii="宋体" w:hAnsi="宋体" w:eastAsia="宋体"/>
          <w:snapToGrid w:val="0"/>
          <w:color w:val="auto"/>
          <w:kern w:val="0"/>
          <w:sz w:val="24"/>
          <w:highlight w:val="none"/>
          <w:lang w:val="en-US" w:eastAsia="zh-CN"/>
        </w:rPr>
      </w:pPr>
      <w:r>
        <w:rPr>
          <w:rFonts w:hint="eastAsia" w:ascii="宋体" w:hAnsi="宋体"/>
          <w:snapToGrid w:val="0"/>
          <w:color w:val="auto"/>
          <w:kern w:val="0"/>
          <w:sz w:val="24"/>
          <w:highlight w:val="none"/>
          <w:lang w:val="en-US" w:eastAsia="zh-CN"/>
        </w:rPr>
        <w:t>8、</w:t>
      </w:r>
      <w:r>
        <w:rPr>
          <w:rFonts w:hint="eastAsia" w:ascii="宋体" w:hAnsi="宋体"/>
          <w:color w:val="auto"/>
          <w:sz w:val="24"/>
          <w:highlight w:val="none"/>
        </w:rPr>
        <w:t>园林建筑工程为</w:t>
      </w:r>
      <w:r>
        <w:rPr>
          <w:rFonts w:ascii="宋体" w:hAnsi="宋体"/>
          <w:color w:val="auto"/>
          <w:sz w:val="24"/>
          <w:highlight w:val="none"/>
          <w:u w:val="single"/>
        </w:rPr>
        <w:t xml:space="preserve"> 1 </w:t>
      </w:r>
      <w:r>
        <w:rPr>
          <w:rFonts w:hint="eastAsia" w:ascii="宋体" w:hAnsi="宋体"/>
          <w:color w:val="auto"/>
          <w:sz w:val="24"/>
          <w:highlight w:val="none"/>
        </w:rPr>
        <w:t>年，喷淋工程为</w:t>
      </w:r>
      <w:r>
        <w:rPr>
          <w:rFonts w:ascii="宋体" w:hAnsi="宋体"/>
          <w:color w:val="auto"/>
          <w:sz w:val="24"/>
          <w:highlight w:val="none"/>
          <w:u w:val="single"/>
        </w:rPr>
        <w:t xml:space="preserve"> 2</w:t>
      </w:r>
      <w:r>
        <w:rPr>
          <w:rFonts w:hint="eastAsia" w:ascii="宋体" w:hAnsi="宋体"/>
          <w:color w:val="auto"/>
          <w:sz w:val="24"/>
          <w:highlight w:val="none"/>
          <w:u w:val="single"/>
        </w:rPr>
        <w:t xml:space="preserve"> </w:t>
      </w:r>
      <w:r>
        <w:rPr>
          <w:rFonts w:hint="eastAsia" w:ascii="宋体" w:hAnsi="宋体"/>
          <w:color w:val="auto"/>
          <w:sz w:val="24"/>
          <w:highlight w:val="none"/>
        </w:rPr>
        <w:t>年，胸径</w:t>
      </w:r>
      <w:r>
        <w:rPr>
          <w:rFonts w:ascii="宋体" w:hAnsi="宋体"/>
          <w:color w:val="auto"/>
          <w:sz w:val="24"/>
          <w:highlight w:val="none"/>
        </w:rPr>
        <w:t>15cm</w:t>
      </w:r>
      <w:r>
        <w:rPr>
          <w:rFonts w:hint="eastAsia" w:ascii="宋体" w:hAnsi="宋体"/>
          <w:color w:val="auto"/>
          <w:sz w:val="24"/>
          <w:highlight w:val="none"/>
        </w:rPr>
        <w:t>以内（含</w:t>
      </w:r>
      <w:r>
        <w:rPr>
          <w:rFonts w:ascii="宋体" w:hAnsi="宋体"/>
          <w:color w:val="auto"/>
          <w:sz w:val="24"/>
          <w:highlight w:val="none"/>
        </w:rPr>
        <w:t>15cm</w:t>
      </w:r>
      <w:r>
        <w:rPr>
          <w:rFonts w:hint="eastAsia" w:ascii="宋体" w:hAnsi="宋体"/>
          <w:color w:val="auto"/>
          <w:sz w:val="24"/>
          <w:highlight w:val="none"/>
        </w:rPr>
        <w:t>）的苗木养护期为</w:t>
      </w:r>
      <w:r>
        <w:rPr>
          <w:rFonts w:ascii="宋体" w:hAnsi="宋体"/>
          <w:color w:val="auto"/>
          <w:sz w:val="24"/>
          <w:highlight w:val="none"/>
          <w:u w:val="single"/>
        </w:rPr>
        <w:t xml:space="preserve"> 3</w:t>
      </w:r>
      <w:r>
        <w:rPr>
          <w:rFonts w:hint="eastAsia" w:ascii="宋体" w:hAnsi="宋体"/>
          <w:color w:val="auto"/>
          <w:sz w:val="24"/>
          <w:highlight w:val="none"/>
          <w:u w:val="single"/>
        </w:rPr>
        <w:t xml:space="preserve"> </w:t>
      </w:r>
      <w:r>
        <w:rPr>
          <w:rFonts w:hint="eastAsia" w:ascii="宋体" w:hAnsi="宋体"/>
          <w:color w:val="auto"/>
          <w:sz w:val="24"/>
          <w:highlight w:val="none"/>
        </w:rPr>
        <w:t>个月，胸径</w:t>
      </w:r>
      <w:r>
        <w:rPr>
          <w:rFonts w:ascii="宋体" w:hAnsi="宋体"/>
          <w:color w:val="auto"/>
          <w:sz w:val="24"/>
          <w:highlight w:val="none"/>
        </w:rPr>
        <w:t>15cm</w:t>
      </w:r>
      <w:r>
        <w:rPr>
          <w:rFonts w:hint="eastAsia" w:ascii="宋体" w:hAnsi="宋体"/>
          <w:color w:val="auto"/>
          <w:sz w:val="24"/>
          <w:highlight w:val="none"/>
        </w:rPr>
        <w:t>以上的苗木养护期为</w:t>
      </w:r>
      <w:r>
        <w:rPr>
          <w:rFonts w:ascii="宋体" w:hAnsi="宋体"/>
          <w:color w:val="auto"/>
          <w:sz w:val="24"/>
          <w:highlight w:val="none"/>
          <w:u w:val="single"/>
        </w:rPr>
        <w:t xml:space="preserve"> 1</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lang w:eastAsia="zh-CN"/>
        </w:rPr>
        <w:t>。</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lang w:val="en-US" w:eastAsia="zh-CN"/>
        </w:rPr>
        <w:t>9</w:t>
      </w:r>
      <w:r>
        <w:rPr>
          <w:rFonts w:hint="eastAsia" w:ascii="宋体" w:hAnsi="宋体"/>
          <w:snapToGrid w:val="0"/>
          <w:color w:val="auto"/>
          <w:kern w:val="0"/>
          <w:sz w:val="24"/>
          <w:highlight w:val="none"/>
        </w:rPr>
        <w:t xml:space="preserve">、其他约定：按国家现行规范规程及相关标准和设计的有关要求执行。 </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质量保修期自广州开发区管委会或其相关职能部门批准的提前移交之日或工程竣工验收合格之日起（以先发生日期为准）计算（广州开发区、黄埔区对工程竣工验收有相关规定的，按该规定执行）。</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三、质量保修责任</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1、属于保修范围、内容的项目，承包人应当在接到保修通知之日后7天内派人修理。承包人不在约定期限内派人修理，发包人委托他人修理。</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2、发生须紧急抢修事故的，承包人接到事故通知后，应当立即到达事故现场抢修。</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1）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（2）质量保修完成后，由发包人组织验收。</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四、保修费用</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保修费用及相关的损害赔偿费，由造成质量缺陷的责任方承担。</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五、其他</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1、保修金的使用、约定和支付按施工合同的约定执行。</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2、发包人将保修金返还给承包人后，承包人仍须按《建设工程质量管理条例》及市政府有关部门规定承担保修责任。</w:t>
      </w:r>
    </w:p>
    <w:p>
      <w:pPr>
        <w:spacing w:line="440" w:lineRule="exact"/>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 xml:space="preserve">3、本工程质量保修书由施工合同发包人、承包人双方共同签署，作为施工合同附件，其有效期限至保修期满。 </w:t>
      </w:r>
    </w:p>
    <w:p>
      <w:pPr>
        <w:adjustRightInd w:val="0"/>
        <w:snapToGrid w:val="0"/>
        <w:spacing w:before="204" w:beforeLines="50" w:after="204" w:afterLines="50" w:line="440" w:lineRule="exact"/>
        <w:rPr>
          <w:rFonts w:hint="eastAsia" w:ascii="宋体" w:hAnsi="宋体"/>
          <w:color w:val="auto"/>
          <w:sz w:val="24"/>
          <w:highlight w:val="none"/>
        </w:rPr>
      </w:pPr>
    </w:p>
    <w:p>
      <w:pPr>
        <w:adjustRightInd w:val="0"/>
        <w:snapToGrid w:val="0"/>
        <w:spacing w:before="204" w:beforeLines="50" w:after="204" w:afterLines="50" w:line="440" w:lineRule="exact"/>
        <w:rPr>
          <w:rFonts w:hint="eastAsia" w:ascii="宋体" w:hAnsi="宋体"/>
          <w:color w:val="auto"/>
          <w:sz w:val="24"/>
          <w:highlight w:val="none"/>
        </w:rPr>
      </w:pPr>
    </w:p>
    <w:p>
      <w:pPr>
        <w:pStyle w:val="493"/>
        <w:spacing w:line="440" w:lineRule="exact"/>
        <w:ind w:firstLine="397"/>
        <w:jc w:val="left"/>
        <w:rPr>
          <w:rFonts w:ascii="宋体" w:hAnsi="宋体"/>
          <w:color w:val="auto"/>
          <w:szCs w:val="24"/>
          <w:highlight w:val="none"/>
        </w:rPr>
      </w:pPr>
      <w:r>
        <w:rPr>
          <w:rFonts w:hint="eastAsia" w:ascii="宋体" w:hAnsi="宋体"/>
          <w:color w:val="auto"/>
          <w:szCs w:val="24"/>
          <w:highlight w:val="none"/>
        </w:rPr>
        <w:t>发包人（公章）：</w:t>
      </w:r>
      <w:r>
        <w:rPr>
          <w:rFonts w:ascii="宋体" w:hAnsi="宋体"/>
          <w:color w:val="auto"/>
          <w:szCs w:val="24"/>
          <w:highlight w:val="none"/>
        </w:rPr>
        <w:t xml:space="preserve">                       </w:t>
      </w:r>
      <w:r>
        <w:rPr>
          <w:rFonts w:hint="eastAsia" w:ascii="宋体" w:hAnsi="宋体"/>
          <w:color w:val="auto"/>
          <w:szCs w:val="24"/>
          <w:highlight w:val="none"/>
        </w:rPr>
        <w:t>承包人（公章）：</w:t>
      </w:r>
    </w:p>
    <w:p>
      <w:pPr>
        <w:pStyle w:val="493"/>
        <w:spacing w:line="440" w:lineRule="exact"/>
        <w:ind w:firstLine="397"/>
        <w:jc w:val="left"/>
        <w:rPr>
          <w:rFonts w:ascii="宋体" w:hAnsi="宋体"/>
          <w:color w:val="auto"/>
          <w:szCs w:val="24"/>
          <w:highlight w:val="none"/>
        </w:rPr>
      </w:pPr>
    </w:p>
    <w:p>
      <w:pPr>
        <w:pStyle w:val="493"/>
        <w:spacing w:line="440" w:lineRule="exact"/>
        <w:ind w:firstLine="397"/>
        <w:jc w:val="left"/>
        <w:rPr>
          <w:rFonts w:ascii="宋体" w:hAnsi="宋体"/>
          <w:color w:val="auto"/>
          <w:szCs w:val="24"/>
          <w:highlight w:val="none"/>
        </w:rPr>
      </w:pPr>
    </w:p>
    <w:p>
      <w:pPr>
        <w:pStyle w:val="493"/>
        <w:spacing w:line="440" w:lineRule="exact"/>
        <w:ind w:firstLine="397"/>
        <w:jc w:val="left"/>
        <w:rPr>
          <w:rFonts w:ascii="宋体" w:hAnsi="宋体"/>
          <w:color w:val="auto"/>
          <w:szCs w:val="24"/>
          <w:highlight w:val="none"/>
        </w:rPr>
      </w:pPr>
      <w:r>
        <w:rPr>
          <w:rFonts w:hint="eastAsia" w:ascii="宋体" w:hAnsi="宋体"/>
          <w:color w:val="auto"/>
          <w:szCs w:val="24"/>
          <w:highlight w:val="none"/>
        </w:rPr>
        <w:t>法定代表人：</w:t>
      </w:r>
      <w:r>
        <w:rPr>
          <w:rFonts w:ascii="宋体" w:hAnsi="宋体"/>
          <w:color w:val="auto"/>
          <w:szCs w:val="24"/>
          <w:highlight w:val="none"/>
        </w:rPr>
        <w:t xml:space="preserve">                          </w:t>
      </w:r>
      <w:r>
        <w:rPr>
          <w:rFonts w:hint="eastAsia" w:ascii="宋体" w:hAnsi="宋体"/>
          <w:color w:val="auto"/>
          <w:szCs w:val="24"/>
          <w:highlight w:val="none"/>
        </w:rPr>
        <w:t>法定代表人：</w:t>
      </w:r>
    </w:p>
    <w:p>
      <w:pPr>
        <w:pStyle w:val="493"/>
        <w:spacing w:line="440" w:lineRule="exact"/>
        <w:ind w:firstLine="397"/>
        <w:jc w:val="left"/>
        <w:rPr>
          <w:rFonts w:ascii="宋体" w:hAnsi="宋体"/>
          <w:color w:val="auto"/>
          <w:szCs w:val="24"/>
          <w:highlight w:val="none"/>
        </w:rPr>
      </w:pPr>
    </w:p>
    <w:p>
      <w:pPr>
        <w:pStyle w:val="493"/>
        <w:spacing w:line="440" w:lineRule="exact"/>
        <w:ind w:firstLine="397"/>
        <w:jc w:val="left"/>
        <w:rPr>
          <w:rFonts w:ascii="宋体" w:hAnsi="宋体"/>
          <w:color w:val="auto"/>
          <w:szCs w:val="24"/>
          <w:highlight w:val="none"/>
        </w:rPr>
      </w:pPr>
    </w:p>
    <w:p>
      <w:pPr>
        <w:pStyle w:val="493"/>
        <w:spacing w:line="440" w:lineRule="exact"/>
        <w:ind w:firstLine="397"/>
        <w:jc w:val="left"/>
        <w:rPr>
          <w:rFonts w:ascii="宋体" w:hAnsi="宋体"/>
          <w:color w:val="auto"/>
          <w:szCs w:val="24"/>
          <w:highlight w:val="none"/>
        </w:rPr>
      </w:pPr>
      <w:r>
        <w:rPr>
          <w:rFonts w:hint="eastAsia" w:ascii="宋体" w:hAnsi="宋体"/>
          <w:color w:val="auto"/>
          <w:szCs w:val="24"/>
          <w:highlight w:val="none"/>
        </w:rPr>
        <w:t>委托代理人：</w:t>
      </w:r>
      <w:r>
        <w:rPr>
          <w:rFonts w:ascii="宋体" w:hAnsi="宋体"/>
          <w:color w:val="auto"/>
          <w:szCs w:val="24"/>
          <w:highlight w:val="none"/>
        </w:rPr>
        <w:t xml:space="preserve">                          </w:t>
      </w:r>
      <w:r>
        <w:rPr>
          <w:rFonts w:hint="eastAsia" w:ascii="宋体" w:hAnsi="宋体"/>
          <w:color w:val="auto"/>
          <w:szCs w:val="24"/>
          <w:highlight w:val="none"/>
        </w:rPr>
        <w:t>委托代理人：</w:t>
      </w:r>
    </w:p>
    <w:p>
      <w:pPr>
        <w:pStyle w:val="493"/>
        <w:spacing w:line="440" w:lineRule="exact"/>
        <w:ind w:firstLine="397"/>
        <w:jc w:val="left"/>
        <w:rPr>
          <w:rFonts w:ascii="宋体" w:hAnsi="宋体"/>
          <w:color w:val="auto"/>
          <w:szCs w:val="24"/>
          <w:highlight w:val="none"/>
        </w:rPr>
      </w:pPr>
    </w:p>
    <w:p>
      <w:pPr>
        <w:pStyle w:val="493"/>
        <w:spacing w:line="440" w:lineRule="exact"/>
        <w:ind w:firstLine="397"/>
        <w:jc w:val="left"/>
        <w:rPr>
          <w:rFonts w:ascii="宋体" w:hAnsi="宋体"/>
          <w:color w:val="auto"/>
          <w:szCs w:val="24"/>
          <w:highlight w:val="none"/>
        </w:rPr>
      </w:pPr>
    </w:p>
    <w:p>
      <w:pPr>
        <w:pStyle w:val="493"/>
        <w:spacing w:line="440" w:lineRule="exact"/>
        <w:ind w:firstLine="397"/>
        <w:jc w:val="left"/>
        <w:rPr>
          <w:rFonts w:hint="eastAsia" w:ascii="宋体" w:hAnsi="宋体"/>
          <w:color w:val="auto"/>
          <w:szCs w:val="24"/>
          <w:highlight w:val="none"/>
        </w:rPr>
      </w:pPr>
      <w:r>
        <w:rPr>
          <w:rFonts w:hint="eastAsia" w:ascii="宋体" w:hAnsi="宋体"/>
          <w:color w:val="auto"/>
          <w:szCs w:val="24"/>
          <w:highlight w:val="none"/>
        </w:rPr>
        <w:t>签订时间：</w:t>
      </w:r>
      <w:r>
        <w:rPr>
          <w:rFonts w:ascii="宋体" w:hAnsi="宋体"/>
          <w:color w:val="auto"/>
          <w:szCs w:val="24"/>
          <w:highlight w:val="none"/>
        </w:rPr>
        <w:t xml:space="preserve">   </w:t>
      </w:r>
      <w:r>
        <w:rPr>
          <w:rFonts w:hint="eastAsia" w:ascii="宋体" w:hAnsi="宋体"/>
          <w:color w:val="auto"/>
          <w:szCs w:val="24"/>
          <w:highlight w:val="none"/>
        </w:rPr>
        <w:t>年</w:t>
      </w:r>
      <w:r>
        <w:rPr>
          <w:rFonts w:ascii="宋体" w:hAnsi="宋体"/>
          <w:color w:val="auto"/>
          <w:szCs w:val="24"/>
          <w:highlight w:val="none"/>
        </w:rPr>
        <w:t xml:space="preserve">  </w:t>
      </w:r>
      <w:r>
        <w:rPr>
          <w:rFonts w:hint="eastAsia" w:ascii="宋体" w:hAnsi="宋体"/>
          <w:color w:val="auto"/>
          <w:szCs w:val="24"/>
          <w:highlight w:val="none"/>
        </w:rPr>
        <w:t>月</w:t>
      </w:r>
      <w:r>
        <w:rPr>
          <w:rFonts w:ascii="宋体" w:hAnsi="宋体"/>
          <w:color w:val="auto"/>
          <w:szCs w:val="24"/>
          <w:highlight w:val="none"/>
        </w:rPr>
        <w:t xml:space="preserve">    </w:t>
      </w:r>
      <w:r>
        <w:rPr>
          <w:rFonts w:hint="eastAsia" w:ascii="宋体" w:hAnsi="宋体"/>
          <w:color w:val="auto"/>
          <w:szCs w:val="24"/>
          <w:highlight w:val="none"/>
        </w:rPr>
        <w:t>日</w:t>
      </w:r>
    </w:p>
    <w:p>
      <w:pPr>
        <w:snapToGrid w:val="0"/>
        <w:spacing w:line="440" w:lineRule="exact"/>
        <w:jc w:val="center"/>
        <w:rPr>
          <w:rFonts w:hint="eastAsia" w:ascii="宋体" w:hAnsi="宋体"/>
          <w:color w:val="auto"/>
          <w:sz w:val="24"/>
          <w:highlight w:val="none"/>
        </w:rPr>
      </w:pPr>
    </w:p>
    <w:p>
      <w:pPr>
        <w:snapToGrid w:val="0"/>
        <w:spacing w:line="440" w:lineRule="exact"/>
        <w:jc w:val="center"/>
        <w:rPr>
          <w:rFonts w:hint="eastAsia" w:ascii="宋体" w:hAnsi="宋体"/>
          <w:color w:val="auto"/>
          <w:sz w:val="24"/>
          <w:highlight w:val="none"/>
        </w:rPr>
      </w:pPr>
    </w:p>
    <w:p>
      <w:pPr>
        <w:snapToGrid w:val="0"/>
        <w:spacing w:line="440" w:lineRule="exact"/>
        <w:jc w:val="center"/>
        <w:rPr>
          <w:rFonts w:hint="eastAsia" w:ascii="宋体" w:hAnsi="宋体"/>
          <w:color w:val="auto"/>
          <w:sz w:val="24"/>
          <w:highlight w:val="none"/>
        </w:rPr>
      </w:pPr>
    </w:p>
    <w:p>
      <w:pPr>
        <w:snapToGrid w:val="0"/>
        <w:spacing w:line="440" w:lineRule="exact"/>
        <w:jc w:val="center"/>
        <w:rPr>
          <w:rFonts w:hint="eastAsia" w:ascii="宋体" w:hAnsi="宋体"/>
          <w:color w:val="auto"/>
          <w:sz w:val="24"/>
          <w:highlight w:val="none"/>
        </w:rPr>
      </w:pPr>
    </w:p>
    <w:p>
      <w:pPr>
        <w:snapToGrid w:val="0"/>
        <w:spacing w:line="440" w:lineRule="exact"/>
        <w:rPr>
          <w:rFonts w:hint="eastAsia" w:ascii="宋体" w:hAnsi="宋体"/>
          <w:color w:val="auto"/>
          <w:sz w:val="24"/>
          <w:highlight w:val="none"/>
        </w:rPr>
      </w:pPr>
    </w:p>
    <w:p>
      <w:pPr>
        <w:pStyle w:val="188"/>
        <w:adjustRightInd w:val="0"/>
        <w:snapToGrid w:val="0"/>
        <w:spacing w:line="400" w:lineRule="exact"/>
        <w:rPr>
          <w:rFonts w:hint="eastAsia" w:ascii="宋体" w:hAnsi="宋体"/>
          <w:color w:val="auto"/>
          <w:sz w:val="24"/>
          <w:highlight w:val="none"/>
        </w:rPr>
      </w:pPr>
      <w:r>
        <w:rPr>
          <w:rFonts w:hint="eastAsia" w:ascii="宋体" w:hAnsi="宋体"/>
          <w:b/>
          <w:bCs/>
          <w:color w:val="auto"/>
          <w:sz w:val="30"/>
          <w:szCs w:val="30"/>
          <w:highlight w:val="none"/>
        </w:rPr>
        <w:t xml:space="preserve">附件：            </w:t>
      </w:r>
      <w:r>
        <w:rPr>
          <w:rFonts w:hint="eastAsia" w:ascii="宋体" w:hAnsi="宋体"/>
          <w:color w:val="auto"/>
          <w:sz w:val="24"/>
          <w:highlight w:val="none"/>
        </w:rPr>
        <w:t xml:space="preserve">  </w:t>
      </w:r>
    </w:p>
    <w:p>
      <w:pPr>
        <w:pStyle w:val="188"/>
        <w:adjustRightInd w:val="0"/>
        <w:snapToGrid w:val="0"/>
        <w:spacing w:line="400" w:lineRule="exact"/>
        <w:rPr>
          <w:rFonts w:hint="eastAsia" w:ascii="宋体" w:hAnsi="宋体"/>
          <w:color w:val="auto"/>
          <w:sz w:val="24"/>
          <w:highlight w:val="none"/>
        </w:rPr>
      </w:pPr>
    </w:p>
    <w:p>
      <w:pPr>
        <w:pStyle w:val="188"/>
        <w:adjustRightInd w:val="0"/>
        <w:snapToGrid w:val="0"/>
        <w:spacing w:line="440" w:lineRule="exact"/>
        <w:jc w:val="center"/>
        <w:rPr>
          <w:rFonts w:hint="eastAsia" w:ascii="宋体" w:hAnsi="宋体"/>
          <w:b/>
          <w:bCs/>
          <w:color w:val="auto"/>
          <w:sz w:val="30"/>
          <w:szCs w:val="30"/>
          <w:highlight w:val="none"/>
        </w:rPr>
      </w:pPr>
      <w:r>
        <w:rPr>
          <w:rFonts w:hint="eastAsia" w:ascii="宋体" w:hAnsi="宋体"/>
          <w:b/>
          <w:bCs/>
          <w:color w:val="auto"/>
          <w:sz w:val="30"/>
          <w:szCs w:val="30"/>
          <w:highlight w:val="none"/>
        </w:rPr>
        <w:t>工程建设项目廉政责任书</w:t>
      </w:r>
    </w:p>
    <w:p>
      <w:pPr>
        <w:pStyle w:val="293"/>
        <w:adjustRightInd w:val="0"/>
        <w:snapToGrid w:val="0"/>
        <w:spacing w:line="440" w:lineRule="exact"/>
        <w:ind w:firstLine="0"/>
        <w:rPr>
          <w:rFonts w:hint="eastAsia" w:ascii="宋体" w:hAnsi="宋体"/>
          <w:snapToGrid w:val="0"/>
          <w:color w:val="auto"/>
          <w:kern w:val="0"/>
          <w:sz w:val="24"/>
          <w:highlight w:val="none"/>
        </w:rPr>
      </w:pPr>
    </w:p>
    <w:p>
      <w:pPr>
        <w:pStyle w:val="188"/>
        <w:adjustRightInd w:val="0"/>
        <w:snapToGrid w:val="0"/>
        <w:spacing w:line="440" w:lineRule="exact"/>
        <w:ind w:left="495" w:hanging="495"/>
        <w:rPr>
          <w:rFonts w:hint="eastAsia" w:ascii="宋体" w:hAnsi="宋体"/>
          <w:color w:val="auto"/>
          <w:sz w:val="24"/>
          <w:highlight w:val="none"/>
          <w:u w:val="single"/>
        </w:rPr>
      </w:pPr>
      <w:r>
        <w:rPr>
          <w:rFonts w:hint="eastAsia" w:ascii="宋体" w:hAnsi="宋体"/>
          <w:color w:val="auto"/>
          <w:sz w:val="24"/>
          <w:highlight w:val="none"/>
        </w:rPr>
        <w:t>工程项目名称：</w:t>
      </w:r>
      <w:r>
        <w:rPr>
          <w:rFonts w:hint="eastAsia" w:ascii="宋体" w:hAnsi="宋体"/>
          <w:color w:val="auto"/>
          <w:sz w:val="24"/>
          <w:highlight w:val="none"/>
          <w:u w:val="single"/>
        </w:rPr>
        <w:t xml:space="preserve">                                </w:t>
      </w:r>
    </w:p>
    <w:p>
      <w:pPr>
        <w:pStyle w:val="188"/>
        <w:adjustRightInd w:val="0"/>
        <w:snapToGrid w:val="0"/>
        <w:spacing w:line="440" w:lineRule="exact"/>
        <w:ind w:left="495" w:hanging="495"/>
        <w:rPr>
          <w:rFonts w:ascii="宋体" w:hAnsi="宋体"/>
          <w:color w:val="auto"/>
          <w:sz w:val="24"/>
          <w:highlight w:val="none"/>
        </w:rPr>
      </w:pPr>
      <w:r>
        <w:rPr>
          <w:rFonts w:hint="eastAsia" w:ascii="宋体" w:hAnsi="宋体"/>
          <w:color w:val="auto"/>
          <w:sz w:val="24"/>
          <w:highlight w:val="none"/>
        </w:rPr>
        <w:t>工程项目地址：</w:t>
      </w:r>
      <w:r>
        <w:rPr>
          <w:rFonts w:hint="eastAsia" w:ascii="宋体" w:hAnsi="宋体"/>
          <w:color w:val="auto"/>
          <w:sz w:val="24"/>
          <w:highlight w:val="none"/>
          <w:u w:val="single"/>
        </w:rPr>
        <w:t xml:space="preserve">                                </w:t>
      </w:r>
    </w:p>
    <w:p>
      <w:pPr>
        <w:pStyle w:val="188"/>
        <w:adjustRightInd w:val="0"/>
        <w:snapToGrid w:val="0"/>
        <w:spacing w:line="440" w:lineRule="exact"/>
        <w:rPr>
          <w:rFonts w:ascii="宋体" w:hAnsi="宋体"/>
          <w:color w:val="auto"/>
          <w:sz w:val="24"/>
          <w:szCs w:val="24"/>
          <w:highlight w:val="none"/>
          <w:u w:val="single"/>
        </w:rPr>
      </w:pPr>
      <w:r>
        <w:rPr>
          <w:rFonts w:hint="eastAsia" w:ascii="宋体" w:hAnsi="宋体"/>
          <w:color w:val="auto"/>
          <w:sz w:val="24"/>
          <w:highlight w:val="none"/>
        </w:rPr>
        <w:t>甲        方：</w:t>
      </w:r>
      <w:r>
        <w:rPr>
          <w:rFonts w:hint="eastAsia" w:ascii="方正大标宋简体" w:hAnsi="仿宋" w:eastAsia="方正大标宋简体"/>
          <w:color w:val="auto"/>
          <w:sz w:val="24"/>
          <w:szCs w:val="24"/>
          <w:highlight w:val="none"/>
          <w:u w:val="single"/>
        </w:rPr>
        <w:t>广州开发区财政投资建设项目管理中心</w:t>
      </w:r>
    </w:p>
    <w:p>
      <w:pPr>
        <w:pStyle w:val="188"/>
        <w:adjustRightInd w:val="0"/>
        <w:snapToGrid w:val="0"/>
        <w:spacing w:line="440" w:lineRule="exact"/>
        <w:rPr>
          <w:rFonts w:hint="eastAsia" w:ascii="宋体" w:hAnsi="宋体"/>
          <w:color w:val="auto"/>
          <w:sz w:val="24"/>
          <w:highlight w:val="none"/>
        </w:rPr>
      </w:pPr>
      <w:r>
        <w:rPr>
          <w:rFonts w:hint="eastAsia" w:ascii="宋体" w:hAnsi="宋体"/>
          <w:color w:val="auto"/>
          <w:sz w:val="24"/>
          <w:highlight w:val="none"/>
        </w:rPr>
        <w:t>乙        方：</w:t>
      </w:r>
      <w:r>
        <w:rPr>
          <w:rFonts w:hint="eastAsia" w:ascii="宋体" w:hAnsi="宋体"/>
          <w:color w:val="auto"/>
          <w:sz w:val="24"/>
          <w:highlight w:val="none"/>
          <w:u w:val="single"/>
        </w:rPr>
        <w:t xml:space="preserve">                                 </w:t>
      </w:r>
    </w:p>
    <w:p>
      <w:pPr>
        <w:pStyle w:val="188"/>
        <w:adjustRightInd w:val="0"/>
        <w:snapToGrid w:val="0"/>
        <w:spacing w:line="440" w:lineRule="exact"/>
        <w:rPr>
          <w:rFonts w:ascii="宋体" w:hAnsi="宋体"/>
          <w:color w:val="auto"/>
          <w:sz w:val="24"/>
          <w:highlight w:val="none"/>
        </w:rPr>
      </w:pPr>
    </w:p>
    <w:p>
      <w:pPr>
        <w:adjustRightInd w:val="0"/>
        <w:snapToGrid w:val="0"/>
        <w:spacing w:line="440" w:lineRule="exact"/>
        <w:ind w:firstLine="482"/>
        <w:rPr>
          <w:rFonts w:hint="eastAsia" w:ascii="宋体" w:hAnsi="宋体" w:cs="宋体"/>
          <w:color w:val="auto"/>
          <w:kern w:val="0"/>
          <w:sz w:val="24"/>
          <w:highlight w:val="none"/>
        </w:rPr>
      </w:pPr>
      <w:r>
        <w:rPr>
          <w:rFonts w:hint="eastAsia" w:ascii="宋体" w:hAnsi="宋体" w:cs="宋体"/>
          <w:snapToGrid w:val="0"/>
          <w:color w:val="auto"/>
          <w:kern w:val="0"/>
          <w:sz w:val="24"/>
          <w:highlight w:val="none"/>
          <w:lang w:bidi="ar"/>
        </w:rPr>
        <w:t>为加强工程建设中的廉政建设，规范工程建设项目的各项活动，防止发生各种谋取不正当利益的违法违纪行为，保护国家、集体和当事人的合法权益，根据国家有关工程建设的法律法规和廉政建设责任制规定，特订立本廉政责任书。</w:t>
      </w:r>
    </w:p>
    <w:p>
      <w:pPr>
        <w:adjustRightInd w:val="0"/>
        <w:snapToGrid w:val="0"/>
        <w:spacing w:line="440" w:lineRule="exact"/>
        <w:ind w:firstLine="482"/>
        <w:rPr>
          <w:rFonts w:hint="eastAsia" w:ascii="宋体" w:hAnsi="宋体" w:cs="宋体"/>
          <w:b/>
          <w:color w:val="auto"/>
          <w:kern w:val="0"/>
          <w:sz w:val="24"/>
          <w:highlight w:val="none"/>
        </w:rPr>
      </w:pPr>
      <w:r>
        <w:rPr>
          <w:rFonts w:hint="eastAsia" w:ascii="宋体" w:hAnsi="宋体" w:cs="宋体"/>
          <w:b/>
          <w:snapToGrid w:val="0"/>
          <w:color w:val="auto"/>
          <w:kern w:val="0"/>
          <w:sz w:val="24"/>
          <w:highlight w:val="none"/>
          <w:lang w:bidi="ar"/>
        </w:rPr>
        <w:t>第一条</w:t>
      </w:r>
      <w:r>
        <w:rPr>
          <w:rFonts w:hint="eastAsia" w:ascii="宋体" w:hAnsi="宋体" w:cs="宋体"/>
          <w:snapToGrid w:val="0"/>
          <w:color w:val="auto"/>
          <w:kern w:val="0"/>
          <w:sz w:val="24"/>
          <w:highlight w:val="none"/>
          <w:lang w:bidi="ar"/>
        </w:rPr>
        <w:t>甲、乙双方的责任</w:t>
      </w:r>
    </w:p>
    <w:p>
      <w:pPr>
        <w:adjustRightInd w:val="0"/>
        <w:snapToGrid w:val="0"/>
        <w:spacing w:line="440" w:lineRule="exact"/>
        <w:ind w:firstLine="482"/>
        <w:rPr>
          <w:rFonts w:hint="eastAsia" w:ascii="宋体" w:hAnsi="宋体" w:cs="宋体"/>
          <w:color w:val="auto"/>
          <w:kern w:val="0"/>
          <w:sz w:val="24"/>
          <w:highlight w:val="none"/>
        </w:rPr>
      </w:pPr>
      <w:r>
        <w:rPr>
          <w:rFonts w:hint="eastAsia" w:ascii="宋体" w:hAnsi="宋体" w:cs="宋体"/>
          <w:snapToGrid w:val="0"/>
          <w:color w:val="auto"/>
          <w:kern w:val="0"/>
          <w:sz w:val="24"/>
          <w:highlight w:val="none"/>
          <w:lang w:bidi="ar"/>
        </w:rPr>
        <w:t>（一）应严格遵守国家关于市场准入、项目招标投标、</w:t>
      </w:r>
      <w:r>
        <w:rPr>
          <w:rFonts w:hint="eastAsia" w:ascii="宋体" w:hAnsi="宋体" w:cs="宋体"/>
          <w:color w:val="auto"/>
          <w:kern w:val="0"/>
          <w:sz w:val="24"/>
          <w:highlight w:val="none"/>
          <w:lang w:bidi="ar"/>
        </w:rPr>
        <w:t>工程建设和市场活动</w:t>
      </w:r>
      <w:r>
        <w:rPr>
          <w:rFonts w:hint="eastAsia" w:ascii="宋体" w:hAnsi="宋体" w:cs="宋体"/>
          <w:snapToGrid w:val="0"/>
          <w:color w:val="auto"/>
          <w:kern w:val="0"/>
          <w:sz w:val="24"/>
          <w:highlight w:val="none"/>
          <w:lang w:bidi="ar"/>
        </w:rPr>
        <w:t>等有关法律、法规、相关政策，以及廉政建设的各项规定。</w:t>
      </w:r>
    </w:p>
    <w:p>
      <w:pPr>
        <w:adjustRightInd w:val="0"/>
        <w:snapToGrid w:val="0"/>
        <w:spacing w:line="440" w:lineRule="exact"/>
        <w:ind w:firstLine="482"/>
        <w:rPr>
          <w:rFonts w:hint="eastAsia" w:ascii="宋体" w:hAnsi="宋体" w:cs="宋体"/>
          <w:color w:val="auto"/>
          <w:kern w:val="0"/>
          <w:sz w:val="24"/>
          <w:highlight w:val="none"/>
        </w:rPr>
      </w:pPr>
      <w:r>
        <w:rPr>
          <w:rFonts w:hint="eastAsia" w:ascii="宋体" w:hAnsi="宋体" w:cs="宋体"/>
          <w:snapToGrid w:val="0"/>
          <w:color w:val="auto"/>
          <w:kern w:val="0"/>
          <w:sz w:val="24"/>
          <w:highlight w:val="none"/>
          <w:lang w:bidi="ar"/>
        </w:rPr>
        <w:t>（二）严格执行建设工程项目承发包合同文件，自觉按合同办事。</w:t>
      </w:r>
    </w:p>
    <w:p>
      <w:pPr>
        <w:adjustRightInd w:val="0"/>
        <w:snapToGrid w:val="0"/>
        <w:spacing w:line="440" w:lineRule="exact"/>
        <w:ind w:firstLine="482"/>
        <w:rPr>
          <w:rFonts w:hint="eastAsia" w:ascii="宋体" w:hAnsi="宋体" w:cs="宋体"/>
          <w:color w:val="auto"/>
          <w:kern w:val="0"/>
          <w:sz w:val="24"/>
          <w:highlight w:val="none"/>
        </w:rPr>
      </w:pPr>
      <w:r>
        <w:rPr>
          <w:rFonts w:hint="eastAsia" w:ascii="宋体" w:hAnsi="宋体" w:cs="宋体"/>
          <w:snapToGrid w:val="0"/>
          <w:color w:val="auto"/>
          <w:kern w:val="0"/>
          <w:sz w:val="24"/>
          <w:highlight w:val="none"/>
          <w:lang w:bidi="ar"/>
        </w:rPr>
        <w:t>（三）业务活动必须坚持公开、公平、公正、诚信、透明的原则（除法律法规另有规定者外），不得为获取不正当的利益，损害国家、集体和对方利益，不得</w:t>
      </w:r>
      <w:r>
        <w:rPr>
          <w:rFonts w:hint="eastAsia" w:ascii="宋体" w:hAnsi="宋体" w:cs="宋体"/>
          <w:color w:val="auto"/>
          <w:kern w:val="0"/>
          <w:sz w:val="24"/>
          <w:highlight w:val="none"/>
          <w:lang w:bidi="ar"/>
        </w:rPr>
        <w:t>违反工程建设过程管理的规章制度。</w:t>
      </w:r>
    </w:p>
    <w:p>
      <w:pPr>
        <w:adjustRightInd w:val="0"/>
        <w:snapToGrid w:val="0"/>
        <w:spacing w:line="440" w:lineRule="exact"/>
        <w:ind w:firstLine="482"/>
        <w:rPr>
          <w:rFonts w:hint="eastAsia" w:ascii="宋体" w:hAnsi="宋体" w:cs="宋体"/>
          <w:color w:val="auto"/>
          <w:kern w:val="0"/>
          <w:sz w:val="24"/>
          <w:highlight w:val="none"/>
        </w:rPr>
      </w:pPr>
      <w:r>
        <w:rPr>
          <w:rFonts w:hint="eastAsia" w:ascii="宋体" w:hAnsi="宋体" w:cs="宋体"/>
          <w:snapToGrid w:val="0"/>
          <w:color w:val="auto"/>
          <w:kern w:val="0"/>
          <w:sz w:val="24"/>
          <w:highlight w:val="none"/>
          <w:lang w:bidi="ar"/>
        </w:rPr>
        <w:t>（四）发现对方在业务活动中有违规、违纪、违法行为的，应及时提醒对方，情节严重的，应向其上级主管部门或纪检监察、司法等有关机关举报。</w:t>
      </w:r>
    </w:p>
    <w:p>
      <w:pPr>
        <w:adjustRightInd w:val="0"/>
        <w:snapToGrid w:val="0"/>
        <w:spacing w:line="440" w:lineRule="exact"/>
        <w:ind w:firstLine="482"/>
        <w:rPr>
          <w:rFonts w:hint="eastAsia" w:ascii="宋体" w:hAnsi="宋体" w:cs="宋体"/>
          <w:color w:val="auto"/>
          <w:kern w:val="0"/>
          <w:sz w:val="24"/>
          <w:highlight w:val="none"/>
        </w:rPr>
      </w:pPr>
      <w:r>
        <w:rPr>
          <w:rFonts w:hint="eastAsia" w:ascii="宋体" w:hAnsi="宋体" w:cs="宋体"/>
          <w:b/>
          <w:snapToGrid w:val="0"/>
          <w:color w:val="auto"/>
          <w:kern w:val="0"/>
          <w:sz w:val="24"/>
          <w:highlight w:val="none"/>
          <w:lang w:bidi="ar"/>
        </w:rPr>
        <w:t>第二条</w:t>
      </w:r>
      <w:r>
        <w:rPr>
          <w:rFonts w:hint="eastAsia" w:ascii="宋体" w:hAnsi="宋体" w:cs="宋体"/>
          <w:snapToGrid w:val="0"/>
          <w:color w:val="auto"/>
          <w:kern w:val="0"/>
          <w:sz w:val="24"/>
          <w:highlight w:val="none"/>
          <w:lang w:bidi="ar"/>
        </w:rPr>
        <w:t>甲方的责任</w:t>
      </w:r>
    </w:p>
    <w:p>
      <w:pPr>
        <w:adjustRightInd w:val="0"/>
        <w:snapToGrid w:val="0"/>
        <w:spacing w:line="440" w:lineRule="exact"/>
        <w:ind w:firstLine="482"/>
        <w:rPr>
          <w:rFonts w:hint="eastAsia" w:ascii="宋体" w:hAnsi="宋体" w:cs="宋体"/>
          <w:color w:val="auto"/>
          <w:kern w:val="0"/>
          <w:sz w:val="24"/>
          <w:highlight w:val="none"/>
        </w:rPr>
      </w:pPr>
      <w:r>
        <w:rPr>
          <w:rFonts w:hint="eastAsia" w:ascii="宋体" w:hAnsi="宋体" w:cs="宋体"/>
          <w:snapToGrid w:val="0"/>
          <w:color w:val="auto"/>
          <w:kern w:val="0"/>
          <w:sz w:val="24"/>
          <w:highlight w:val="none"/>
          <w:lang w:bidi="ar"/>
        </w:rPr>
        <w:t>甲方的领导和从事本建设工程项目的工作人员，在工程建设的事前、事中、事后应遵守以下规定：</w:t>
      </w:r>
    </w:p>
    <w:p>
      <w:pPr>
        <w:adjustRightInd w:val="0"/>
        <w:snapToGrid w:val="0"/>
        <w:spacing w:line="440" w:lineRule="exact"/>
        <w:ind w:firstLine="482"/>
        <w:rPr>
          <w:rFonts w:hint="eastAsia" w:ascii="宋体" w:hAnsi="宋体" w:cs="宋体"/>
          <w:color w:val="auto"/>
          <w:kern w:val="0"/>
          <w:sz w:val="24"/>
          <w:highlight w:val="none"/>
        </w:rPr>
      </w:pPr>
      <w:r>
        <w:rPr>
          <w:rFonts w:hint="eastAsia" w:ascii="宋体" w:hAnsi="宋体" w:cs="宋体"/>
          <w:snapToGrid w:val="0"/>
          <w:color w:val="auto"/>
          <w:kern w:val="0"/>
          <w:sz w:val="24"/>
          <w:highlight w:val="none"/>
          <w:lang w:bidi="ar"/>
        </w:rPr>
        <w:t>（一）不准向乙方和相关单位索要或接受回扣、礼金、有价证券、贵重物品和好处费、感谢费等。</w:t>
      </w:r>
    </w:p>
    <w:p>
      <w:pPr>
        <w:adjustRightInd w:val="0"/>
        <w:snapToGrid w:val="0"/>
        <w:spacing w:line="440" w:lineRule="exact"/>
        <w:ind w:firstLine="482"/>
        <w:rPr>
          <w:rFonts w:hint="eastAsia" w:ascii="宋体" w:hAnsi="宋体" w:cs="宋体"/>
          <w:color w:val="auto"/>
          <w:kern w:val="0"/>
          <w:sz w:val="24"/>
          <w:highlight w:val="none"/>
        </w:rPr>
      </w:pPr>
      <w:r>
        <w:rPr>
          <w:rFonts w:hint="eastAsia" w:ascii="宋体" w:hAnsi="宋体" w:cs="宋体"/>
          <w:snapToGrid w:val="0"/>
          <w:color w:val="auto"/>
          <w:kern w:val="0"/>
          <w:sz w:val="24"/>
          <w:highlight w:val="none"/>
          <w:lang w:bidi="ar"/>
        </w:rPr>
        <w:t>（二）不准在乙方和相关单位报销任何应由甲方或个人支付的费用。</w:t>
      </w:r>
    </w:p>
    <w:p>
      <w:pPr>
        <w:adjustRightInd w:val="0"/>
        <w:snapToGrid w:val="0"/>
        <w:spacing w:line="440" w:lineRule="exact"/>
        <w:ind w:firstLine="482"/>
        <w:rPr>
          <w:rFonts w:hint="eastAsia" w:ascii="宋体" w:hAnsi="宋体" w:cs="宋体"/>
          <w:color w:val="auto"/>
          <w:kern w:val="0"/>
          <w:sz w:val="24"/>
          <w:highlight w:val="none"/>
        </w:rPr>
      </w:pPr>
      <w:r>
        <w:rPr>
          <w:rFonts w:hint="eastAsia" w:ascii="宋体" w:hAnsi="宋体" w:cs="宋体"/>
          <w:snapToGrid w:val="0"/>
          <w:color w:val="auto"/>
          <w:kern w:val="0"/>
          <w:sz w:val="24"/>
          <w:highlight w:val="none"/>
          <w:lang w:bidi="ar"/>
        </w:rPr>
        <w:t>（三）不准要求、暗示或接受乙方和相关单位为个人装修住房、婚丧嫁娶、配偶子女的工作安排以及出国（境）、旅游等提供方便。</w:t>
      </w:r>
    </w:p>
    <w:p>
      <w:pPr>
        <w:adjustRightInd w:val="0"/>
        <w:snapToGrid w:val="0"/>
        <w:spacing w:line="440" w:lineRule="exact"/>
        <w:ind w:firstLine="482"/>
        <w:rPr>
          <w:rFonts w:hint="eastAsia" w:ascii="宋体" w:hAnsi="宋体" w:cs="宋体"/>
          <w:color w:val="auto"/>
          <w:kern w:val="0"/>
          <w:sz w:val="24"/>
          <w:highlight w:val="none"/>
        </w:rPr>
      </w:pPr>
      <w:r>
        <w:rPr>
          <w:rFonts w:hint="eastAsia" w:ascii="宋体" w:hAnsi="宋体" w:cs="宋体"/>
          <w:snapToGrid w:val="0"/>
          <w:color w:val="auto"/>
          <w:kern w:val="0"/>
          <w:sz w:val="24"/>
          <w:highlight w:val="none"/>
          <w:lang w:bidi="ar"/>
        </w:rPr>
        <w:t>（四）不准参加有可能影响公正执行公务的乙方及相关单位的宴请、健身、娱乐等活动。</w:t>
      </w:r>
    </w:p>
    <w:p>
      <w:pPr>
        <w:adjustRightInd w:val="0"/>
        <w:snapToGrid w:val="0"/>
        <w:spacing w:line="440" w:lineRule="exact"/>
        <w:ind w:firstLine="482"/>
        <w:rPr>
          <w:rFonts w:hint="eastAsia" w:ascii="宋体" w:hAnsi="宋体" w:cs="宋体"/>
          <w:color w:val="auto"/>
          <w:kern w:val="0"/>
          <w:sz w:val="24"/>
          <w:highlight w:val="none"/>
        </w:rPr>
      </w:pPr>
      <w:r>
        <w:rPr>
          <w:rFonts w:hint="eastAsia" w:ascii="宋体" w:hAnsi="宋体" w:cs="宋体"/>
          <w:snapToGrid w:val="0"/>
          <w:color w:val="auto"/>
          <w:kern w:val="0"/>
          <w:sz w:val="24"/>
          <w:highlight w:val="none"/>
          <w:lang w:bidi="ar"/>
        </w:rPr>
        <w:t>（五）不准向乙方介绍或为配偶、子女、亲属参与同甲方项目工程合同有关的设备、材料、工程分包、劳务等经济活动。不得以任何理由向乙方和相关单位推荐分包单位。</w:t>
      </w:r>
    </w:p>
    <w:p>
      <w:pPr>
        <w:adjustRightInd w:val="0"/>
        <w:snapToGrid w:val="0"/>
        <w:spacing w:line="440" w:lineRule="exact"/>
        <w:ind w:firstLine="482"/>
        <w:rPr>
          <w:rFonts w:hint="eastAsia" w:ascii="宋体" w:hAnsi="宋体" w:cs="宋体"/>
          <w:color w:val="auto"/>
          <w:kern w:val="0"/>
          <w:sz w:val="24"/>
          <w:highlight w:val="none"/>
        </w:rPr>
      </w:pPr>
      <w:r>
        <w:rPr>
          <w:rFonts w:hint="eastAsia" w:ascii="宋体" w:hAnsi="宋体" w:cs="宋体"/>
          <w:b/>
          <w:snapToGrid w:val="0"/>
          <w:color w:val="auto"/>
          <w:kern w:val="0"/>
          <w:sz w:val="24"/>
          <w:highlight w:val="none"/>
          <w:lang w:bidi="ar"/>
        </w:rPr>
        <w:t>第三条</w:t>
      </w:r>
      <w:r>
        <w:rPr>
          <w:rFonts w:hint="eastAsia" w:ascii="宋体" w:hAnsi="宋体" w:cs="宋体"/>
          <w:snapToGrid w:val="0"/>
          <w:color w:val="auto"/>
          <w:kern w:val="0"/>
          <w:sz w:val="24"/>
          <w:highlight w:val="none"/>
          <w:lang w:bidi="ar"/>
        </w:rPr>
        <w:t>乙方的责任</w:t>
      </w:r>
    </w:p>
    <w:p>
      <w:pPr>
        <w:adjustRightInd w:val="0"/>
        <w:snapToGrid w:val="0"/>
        <w:spacing w:line="440" w:lineRule="exact"/>
        <w:ind w:firstLine="482"/>
        <w:rPr>
          <w:rFonts w:hint="eastAsia" w:ascii="宋体" w:hAnsi="宋体" w:cs="宋体"/>
          <w:color w:val="auto"/>
          <w:kern w:val="0"/>
          <w:sz w:val="24"/>
          <w:highlight w:val="none"/>
        </w:rPr>
      </w:pPr>
      <w:r>
        <w:rPr>
          <w:rFonts w:hint="eastAsia" w:ascii="宋体" w:hAnsi="宋体" w:cs="宋体"/>
          <w:snapToGrid w:val="0"/>
          <w:color w:val="auto"/>
          <w:kern w:val="0"/>
          <w:sz w:val="24"/>
          <w:highlight w:val="none"/>
          <w:lang w:bidi="ar"/>
        </w:rPr>
        <w:t>应与甲方保持正常的业务交往，按照有关法律法规和程序开展业务工作，严格执行</w:t>
      </w:r>
      <w:r>
        <w:rPr>
          <w:rFonts w:hint="eastAsia" w:ascii="宋体" w:hAnsi="宋体" w:cs="宋体"/>
          <w:color w:val="auto"/>
          <w:kern w:val="0"/>
          <w:sz w:val="24"/>
          <w:highlight w:val="none"/>
          <w:lang w:bidi="ar"/>
        </w:rPr>
        <w:t>工程建设过程管理的有关方针、政策，尤其是强制性标准和规范</w:t>
      </w:r>
      <w:r>
        <w:rPr>
          <w:rFonts w:hint="eastAsia" w:ascii="宋体" w:hAnsi="宋体" w:cs="宋体"/>
          <w:snapToGrid w:val="0"/>
          <w:color w:val="auto"/>
          <w:kern w:val="0"/>
          <w:sz w:val="24"/>
          <w:highlight w:val="none"/>
          <w:lang w:bidi="ar"/>
        </w:rPr>
        <w:t>，并遵守以下规定：</w:t>
      </w:r>
    </w:p>
    <w:p>
      <w:pPr>
        <w:adjustRightInd w:val="0"/>
        <w:snapToGrid w:val="0"/>
        <w:spacing w:line="440" w:lineRule="exact"/>
        <w:ind w:firstLine="482"/>
        <w:rPr>
          <w:rFonts w:hint="eastAsia" w:ascii="宋体" w:hAnsi="宋体" w:cs="宋体"/>
          <w:color w:val="auto"/>
          <w:kern w:val="0"/>
          <w:sz w:val="24"/>
          <w:highlight w:val="none"/>
        </w:rPr>
      </w:pPr>
      <w:r>
        <w:rPr>
          <w:rFonts w:hint="eastAsia" w:ascii="宋体" w:hAnsi="宋体" w:cs="宋体"/>
          <w:snapToGrid w:val="0"/>
          <w:color w:val="auto"/>
          <w:kern w:val="0"/>
          <w:sz w:val="24"/>
          <w:highlight w:val="none"/>
          <w:lang w:bidi="ar"/>
        </w:rPr>
        <w:t>（一）不准以任何理由向甲方、相关单位及其工作人员索要、接受或赠送礼金、有价证券、贵重物品及回扣、好处费、感谢费等。</w:t>
      </w:r>
    </w:p>
    <w:p>
      <w:pPr>
        <w:adjustRightInd w:val="0"/>
        <w:snapToGrid w:val="0"/>
        <w:spacing w:line="440" w:lineRule="exact"/>
        <w:ind w:firstLine="482"/>
        <w:rPr>
          <w:rFonts w:hint="eastAsia" w:ascii="宋体" w:hAnsi="宋体" w:cs="宋体"/>
          <w:color w:val="auto"/>
          <w:kern w:val="0"/>
          <w:sz w:val="24"/>
          <w:highlight w:val="none"/>
        </w:rPr>
      </w:pPr>
      <w:r>
        <w:rPr>
          <w:rFonts w:hint="eastAsia" w:ascii="宋体" w:hAnsi="宋体" w:cs="宋体"/>
          <w:snapToGrid w:val="0"/>
          <w:color w:val="auto"/>
          <w:kern w:val="0"/>
          <w:sz w:val="24"/>
          <w:highlight w:val="none"/>
          <w:lang w:bidi="ar"/>
        </w:rPr>
        <w:t>（二）不准以任何理由为甲方和相关单位报销应由对方或个人支付的费用。</w:t>
      </w:r>
    </w:p>
    <w:p>
      <w:pPr>
        <w:adjustRightInd w:val="0"/>
        <w:snapToGrid w:val="0"/>
        <w:spacing w:line="440" w:lineRule="exact"/>
        <w:ind w:firstLine="482"/>
        <w:rPr>
          <w:rFonts w:hint="eastAsia" w:ascii="宋体" w:hAnsi="宋体" w:cs="宋体"/>
          <w:color w:val="auto"/>
          <w:kern w:val="0"/>
          <w:sz w:val="24"/>
          <w:highlight w:val="none"/>
        </w:rPr>
      </w:pPr>
      <w:r>
        <w:rPr>
          <w:rFonts w:hint="eastAsia" w:ascii="宋体" w:hAnsi="宋体" w:cs="宋体"/>
          <w:snapToGrid w:val="0"/>
          <w:color w:val="auto"/>
          <w:kern w:val="0"/>
          <w:sz w:val="24"/>
          <w:highlight w:val="none"/>
          <w:lang w:bidi="ar"/>
        </w:rPr>
        <w:t>（三）不准接受或暗示为甲方、相关单位或个人装修住房、婚丧嫁娶、配偶子女的工作安排以及出国（境）、旅游等提供方便。</w:t>
      </w:r>
    </w:p>
    <w:p>
      <w:pPr>
        <w:adjustRightInd w:val="0"/>
        <w:snapToGrid w:val="0"/>
        <w:spacing w:line="440" w:lineRule="exact"/>
        <w:ind w:firstLine="482"/>
        <w:rPr>
          <w:rFonts w:hint="eastAsia" w:ascii="宋体" w:hAnsi="宋体" w:cs="宋体"/>
          <w:snapToGrid w:val="0"/>
          <w:color w:val="auto"/>
          <w:kern w:val="0"/>
          <w:sz w:val="24"/>
          <w:highlight w:val="none"/>
          <w:lang w:bidi="ar"/>
        </w:rPr>
      </w:pPr>
      <w:r>
        <w:rPr>
          <w:rFonts w:hint="eastAsia" w:ascii="宋体" w:hAnsi="宋体" w:cs="宋体"/>
          <w:snapToGrid w:val="0"/>
          <w:color w:val="auto"/>
          <w:kern w:val="0"/>
          <w:sz w:val="24"/>
          <w:highlight w:val="none"/>
          <w:lang w:bidi="ar"/>
        </w:rPr>
        <w:t>（四）不准以任何理由为甲方、相关单位或个人组织有可能影响公正执行公务的宴请、健身、娱乐等活动。</w:t>
      </w:r>
    </w:p>
    <w:p>
      <w:pPr>
        <w:adjustRightInd w:val="0"/>
        <w:snapToGrid w:val="0"/>
        <w:spacing w:line="440" w:lineRule="exact"/>
        <w:ind w:firstLine="482"/>
        <w:rPr>
          <w:rFonts w:hint="eastAsia" w:ascii="宋体" w:hAnsi="宋体" w:cs="宋体"/>
          <w:color w:val="auto"/>
          <w:kern w:val="0"/>
          <w:sz w:val="24"/>
          <w:highlight w:val="none"/>
        </w:rPr>
      </w:pPr>
      <w:r>
        <w:rPr>
          <w:rFonts w:hint="eastAsia" w:ascii="宋体" w:hAnsi="宋体" w:cs="宋体"/>
          <w:b/>
          <w:snapToGrid w:val="0"/>
          <w:color w:val="auto"/>
          <w:kern w:val="0"/>
          <w:sz w:val="24"/>
          <w:highlight w:val="none"/>
          <w:lang w:bidi="ar"/>
        </w:rPr>
        <w:t>第四条</w:t>
      </w:r>
      <w:r>
        <w:rPr>
          <w:rFonts w:hint="eastAsia" w:ascii="宋体" w:hAnsi="宋体" w:cs="宋体"/>
          <w:snapToGrid w:val="0"/>
          <w:color w:val="auto"/>
          <w:kern w:val="0"/>
          <w:sz w:val="24"/>
          <w:highlight w:val="none"/>
          <w:lang w:bidi="ar"/>
        </w:rPr>
        <w:t>违约责任</w:t>
      </w:r>
    </w:p>
    <w:p>
      <w:pPr>
        <w:adjustRightInd w:val="0"/>
        <w:snapToGrid w:val="0"/>
        <w:spacing w:line="440" w:lineRule="exact"/>
        <w:ind w:firstLine="482"/>
        <w:rPr>
          <w:rFonts w:hint="eastAsia" w:ascii="宋体" w:hAnsi="宋体" w:cs="宋体"/>
          <w:color w:val="auto"/>
          <w:kern w:val="0"/>
          <w:sz w:val="24"/>
          <w:highlight w:val="none"/>
        </w:rPr>
      </w:pPr>
      <w:r>
        <w:rPr>
          <w:rFonts w:hint="eastAsia" w:ascii="宋体" w:hAnsi="宋体" w:cs="宋体"/>
          <w:snapToGrid w:val="0"/>
          <w:color w:val="auto"/>
          <w:kern w:val="0"/>
          <w:sz w:val="24"/>
          <w:highlight w:val="none"/>
          <w:lang w:bidi="ar"/>
        </w:rPr>
        <w:t>（一）甲方工作人员有违反本廉政责任书第一、第二条责任行为的，按照管理权限，依据有关法律法规和规定给予党纪、政纪处分或组织处理；涉嫌犯罪的，移交司法机关追究刑事责任；给乙方单位造成经济损失的，应予以赔偿。</w:t>
      </w:r>
    </w:p>
    <w:p>
      <w:pPr>
        <w:adjustRightInd w:val="0"/>
        <w:snapToGrid w:val="0"/>
        <w:spacing w:line="440" w:lineRule="exact"/>
        <w:ind w:firstLine="482"/>
        <w:rPr>
          <w:rFonts w:hint="eastAsia" w:ascii="宋体" w:hAnsi="宋体" w:cs="宋体"/>
          <w:color w:val="auto"/>
          <w:kern w:val="0"/>
          <w:sz w:val="24"/>
          <w:highlight w:val="none"/>
        </w:rPr>
      </w:pPr>
      <w:r>
        <w:rPr>
          <w:rFonts w:hint="eastAsia" w:ascii="宋体" w:hAnsi="宋体" w:cs="宋体"/>
          <w:snapToGrid w:val="0"/>
          <w:color w:val="auto"/>
          <w:kern w:val="0"/>
          <w:sz w:val="24"/>
          <w:highlight w:val="none"/>
          <w:lang w:bidi="ar"/>
        </w:rPr>
        <w:t>（二）乙方工作人员有违反本廉政责任书第一、三条责任行为的，按照管理权限，依据有关法律法规和规定给予党纪、政纪处分或组织处理；涉嫌犯罪的，移交司法机关追究刑事责任；给甲方单位造成经济损失的，应予以赔偿。</w:t>
      </w:r>
    </w:p>
    <w:p>
      <w:pPr>
        <w:adjustRightInd w:val="0"/>
        <w:snapToGrid w:val="0"/>
        <w:spacing w:line="440" w:lineRule="exact"/>
        <w:ind w:firstLine="482"/>
        <w:rPr>
          <w:rFonts w:hint="eastAsia" w:ascii="宋体" w:hAnsi="宋体" w:cs="宋体"/>
          <w:b/>
          <w:color w:val="auto"/>
          <w:kern w:val="0"/>
          <w:sz w:val="24"/>
          <w:highlight w:val="none"/>
        </w:rPr>
      </w:pPr>
      <w:r>
        <w:rPr>
          <w:rFonts w:hint="eastAsia" w:ascii="宋体" w:hAnsi="宋体" w:cs="宋体"/>
          <w:b/>
          <w:snapToGrid w:val="0"/>
          <w:color w:val="auto"/>
          <w:kern w:val="0"/>
          <w:sz w:val="24"/>
          <w:highlight w:val="none"/>
          <w:lang w:bidi="ar"/>
        </w:rPr>
        <w:t>第五条</w:t>
      </w:r>
      <w:r>
        <w:rPr>
          <w:rFonts w:hint="eastAsia" w:ascii="宋体" w:hAnsi="宋体" w:cs="宋体"/>
          <w:snapToGrid w:val="0"/>
          <w:color w:val="auto"/>
          <w:kern w:val="0"/>
          <w:sz w:val="24"/>
          <w:highlight w:val="none"/>
          <w:lang w:bidi="ar"/>
        </w:rPr>
        <w:t>本廉政责任书作为合同的附件，与合同具有同等法律效力。经双方签署后立即生效。</w:t>
      </w:r>
    </w:p>
    <w:p>
      <w:pPr>
        <w:adjustRightInd w:val="0"/>
        <w:snapToGrid w:val="0"/>
        <w:spacing w:line="440" w:lineRule="exact"/>
        <w:ind w:firstLine="482"/>
        <w:rPr>
          <w:rFonts w:hint="eastAsia" w:ascii="宋体" w:hAnsi="宋体" w:cs="宋体"/>
          <w:b/>
          <w:color w:val="auto"/>
          <w:kern w:val="0"/>
          <w:sz w:val="24"/>
          <w:highlight w:val="none"/>
        </w:rPr>
      </w:pPr>
      <w:r>
        <w:rPr>
          <w:rFonts w:hint="eastAsia" w:ascii="宋体" w:hAnsi="宋体" w:cs="宋体"/>
          <w:b/>
          <w:snapToGrid w:val="0"/>
          <w:color w:val="auto"/>
          <w:kern w:val="0"/>
          <w:sz w:val="24"/>
          <w:highlight w:val="none"/>
          <w:lang w:bidi="ar"/>
        </w:rPr>
        <w:t>第六条</w:t>
      </w:r>
      <w:r>
        <w:rPr>
          <w:rFonts w:hint="eastAsia" w:ascii="宋体" w:hAnsi="宋体" w:cs="宋体"/>
          <w:snapToGrid w:val="0"/>
          <w:color w:val="auto"/>
          <w:kern w:val="0"/>
          <w:sz w:val="24"/>
          <w:highlight w:val="none"/>
          <w:lang w:bidi="ar"/>
        </w:rPr>
        <w:t>本廉政责任书的有效期与合同的有效期相同。</w:t>
      </w:r>
    </w:p>
    <w:p>
      <w:pPr>
        <w:adjustRightInd w:val="0"/>
        <w:snapToGrid w:val="0"/>
        <w:spacing w:line="440" w:lineRule="exact"/>
        <w:rPr>
          <w:rFonts w:hint="eastAsia" w:ascii="宋体" w:hAnsi="宋体" w:cs="宋体"/>
          <w:color w:val="auto"/>
          <w:kern w:val="0"/>
          <w:sz w:val="24"/>
          <w:highlight w:val="none"/>
        </w:rPr>
      </w:pPr>
      <w:r>
        <w:rPr>
          <w:rFonts w:hint="eastAsia" w:ascii="宋体" w:hAnsi="宋体" w:cs="宋体"/>
          <w:b/>
          <w:color w:val="auto"/>
          <w:kern w:val="0"/>
          <w:sz w:val="24"/>
          <w:highlight w:val="none"/>
          <w:lang w:bidi="ar"/>
        </w:rPr>
        <w:t xml:space="preserve">    </w:t>
      </w:r>
      <w:r>
        <w:rPr>
          <w:rFonts w:hint="eastAsia" w:ascii="宋体" w:hAnsi="宋体" w:cs="宋体"/>
          <w:b/>
          <w:snapToGrid w:val="0"/>
          <w:color w:val="auto"/>
          <w:kern w:val="0"/>
          <w:sz w:val="24"/>
          <w:highlight w:val="none"/>
          <w:lang w:bidi="ar"/>
        </w:rPr>
        <w:t>第七条</w:t>
      </w:r>
      <w:r>
        <w:rPr>
          <w:rFonts w:hint="eastAsia" w:ascii="宋体" w:hAnsi="宋体" w:cs="宋体"/>
          <w:snapToGrid w:val="0"/>
          <w:color w:val="auto"/>
          <w:kern w:val="0"/>
          <w:sz w:val="24"/>
          <w:highlight w:val="none"/>
          <w:lang w:bidi="ar"/>
        </w:rPr>
        <w:t>本廉政责任书</w:t>
      </w:r>
      <w:r>
        <w:rPr>
          <w:rFonts w:hint="eastAsia" w:ascii="宋体" w:hAnsi="宋体" w:cs="宋体"/>
          <w:snapToGrid w:val="0"/>
          <w:color w:val="auto"/>
          <w:kern w:val="0"/>
          <w:sz w:val="24"/>
          <w:highlight w:val="none"/>
          <w:lang w:val="en-US" w:eastAsia="zh-CN" w:bidi="ar"/>
        </w:rPr>
        <w:t>份数和合同份数一致</w:t>
      </w:r>
      <w:r>
        <w:rPr>
          <w:rFonts w:hint="eastAsia" w:ascii="宋体" w:hAnsi="宋体" w:cs="宋体"/>
          <w:bCs/>
          <w:color w:val="auto"/>
          <w:kern w:val="0"/>
          <w:sz w:val="24"/>
          <w:highlight w:val="none"/>
          <w:lang w:bidi="ar"/>
        </w:rPr>
        <w:t>。</w:t>
      </w:r>
    </w:p>
    <w:p>
      <w:pPr>
        <w:adjustRightInd w:val="0"/>
        <w:snapToGrid w:val="0"/>
        <w:spacing w:line="380" w:lineRule="exact"/>
        <w:ind w:right="11"/>
        <w:rPr>
          <w:rFonts w:hint="eastAsia" w:ascii="宋体" w:hAnsi="宋体" w:cs="宋体"/>
          <w:snapToGrid w:val="0"/>
          <w:color w:val="auto"/>
          <w:kern w:val="0"/>
          <w:sz w:val="24"/>
          <w:highlight w:val="none"/>
        </w:rPr>
      </w:pPr>
    </w:p>
    <w:p>
      <w:pPr>
        <w:pStyle w:val="188"/>
        <w:adjustRightInd w:val="0"/>
        <w:snapToGrid w:val="0"/>
        <w:spacing w:line="360" w:lineRule="auto"/>
        <w:ind w:right="11" w:firstLine="480" w:firstLineChars="200"/>
        <w:rPr>
          <w:rFonts w:hint="eastAsia" w:ascii="宋体" w:hAnsi="宋体"/>
          <w:color w:val="auto"/>
          <w:sz w:val="24"/>
          <w:highlight w:val="none"/>
        </w:rPr>
      </w:pPr>
      <w:r>
        <w:rPr>
          <w:rFonts w:hint="eastAsia" w:ascii="宋体" w:hAnsi="宋体"/>
          <w:color w:val="auto"/>
          <w:sz w:val="24"/>
          <w:highlight w:val="none"/>
        </w:rPr>
        <w:t xml:space="preserve">甲      方：                           乙      方： </w:t>
      </w:r>
    </w:p>
    <w:p>
      <w:pPr>
        <w:pStyle w:val="188"/>
        <w:adjustRightInd w:val="0"/>
        <w:snapToGrid w:val="0"/>
        <w:spacing w:line="360" w:lineRule="auto"/>
        <w:ind w:left="1917" w:leftChars="513" w:right="11" w:hanging="840" w:hangingChars="350"/>
        <w:rPr>
          <w:rFonts w:hint="eastAsia" w:ascii="宋体" w:hAnsi="宋体"/>
          <w:color w:val="auto"/>
          <w:sz w:val="24"/>
          <w:highlight w:val="none"/>
        </w:rPr>
      </w:pPr>
      <w:r>
        <w:rPr>
          <w:rFonts w:hint="eastAsia" w:ascii="宋体" w:hAnsi="宋体"/>
          <w:color w:val="auto"/>
          <w:sz w:val="24"/>
          <w:highlight w:val="none"/>
        </w:rPr>
        <w:t xml:space="preserve">                          </w:t>
      </w:r>
    </w:p>
    <w:p>
      <w:pPr>
        <w:pStyle w:val="188"/>
        <w:adjustRightInd w:val="0"/>
        <w:snapToGrid w:val="0"/>
        <w:spacing w:line="360" w:lineRule="auto"/>
        <w:ind w:right="11" w:firstLine="480" w:firstLineChars="200"/>
        <w:rPr>
          <w:rFonts w:hint="eastAsia" w:ascii="宋体" w:hAnsi="宋体"/>
          <w:color w:val="auto"/>
          <w:sz w:val="24"/>
          <w:highlight w:val="none"/>
        </w:rPr>
      </w:pPr>
      <w:r>
        <w:rPr>
          <w:rFonts w:hint="eastAsia" w:ascii="宋体" w:hAnsi="宋体"/>
          <w:color w:val="auto"/>
          <w:sz w:val="24"/>
          <w:highlight w:val="none"/>
        </w:rPr>
        <w:t>法定代表人：                           法定代表人：</w:t>
      </w:r>
    </w:p>
    <w:p>
      <w:pPr>
        <w:pStyle w:val="188"/>
        <w:tabs>
          <w:tab w:val="left" w:pos="5460"/>
        </w:tabs>
        <w:adjustRightInd w:val="0"/>
        <w:snapToGrid w:val="0"/>
        <w:spacing w:line="360" w:lineRule="auto"/>
        <w:ind w:left="-2" w:leftChars="-1" w:right="11"/>
        <w:rPr>
          <w:rFonts w:hint="eastAsia" w:ascii="宋体" w:hAnsi="宋体"/>
          <w:color w:val="auto"/>
          <w:sz w:val="24"/>
          <w:highlight w:val="none"/>
        </w:rPr>
      </w:pPr>
    </w:p>
    <w:p>
      <w:pPr>
        <w:pStyle w:val="188"/>
        <w:tabs>
          <w:tab w:val="left" w:pos="5460"/>
        </w:tabs>
        <w:adjustRightInd w:val="0"/>
        <w:snapToGrid w:val="0"/>
        <w:spacing w:line="360" w:lineRule="auto"/>
        <w:ind w:left="-2" w:leftChars="-1" w:right="11" w:firstLine="480" w:firstLineChars="200"/>
        <w:rPr>
          <w:rFonts w:hint="eastAsia" w:ascii="宋体" w:hAnsi="宋体"/>
          <w:color w:val="auto"/>
          <w:sz w:val="24"/>
          <w:highlight w:val="none"/>
        </w:rPr>
      </w:pPr>
      <w:r>
        <w:rPr>
          <w:rFonts w:hint="eastAsia" w:ascii="宋体" w:hAnsi="宋体"/>
          <w:color w:val="auto"/>
          <w:sz w:val="24"/>
          <w:highlight w:val="none"/>
        </w:rPr>
        <w:t>委托代理人：                           委托代理人：</w:t>
      </w:r>
    </w:p>
    <w:p>
      <w:pPr>
        <w:pStyle w:val="188"/>
        <w:tabs>
          <w:tab w:val="left" w:pos="5460"/>
        </w:tabs>
        <w:adjustRightInd w:val="0"/>
        <w:snapToGrid w:val="0"/>
        <w:spacing w:line="400" w:lineRule="exact"/>
        <w:ind w:left="-2" w:leftChars="-1" w:right="11"/>
        <w:rPr>
          <w:rFonts w:hint="eastAsia" w:ascii="宋体" w:hAnsi="宋体"/>
          <w:color w:val="auto"/>
          <w:sz w:val="24"/>
          <w:highlight w:val="none"/>
        </w:rPr>
      </w:pPr>
    </w:p>
    <w:p>
      <w:pPr>
        <w:pStyle w:val="188"/>
        <w:tabs>
          <w:tab w:val="left" w:pos="5460"/>
        </w:tabs>
        <w:adjustRightInd w:val="0"/>
        <w:snapToGrid w:val="0"/>
        <w:spacing w:line="400" w:lineRule="exact"/>
        <w:ind w:left="-2" w:leftChars="-1" w:right="11" w:firstLine="480" w:firstLineChars="200"/>
        <w:rPr>
          <w:rFonts w:hint="eastAsia" w:ascii="宋体" w:hAnsi="宋体"/>
          <w:color w:val="auto"/>
          <w:sz w:val="24"/>
          <w:highlight w:val="none"/>
        </w:rPr>
      </w:pPr>
      <w:r>
        <w:rPr>
          <w:rFonts w:hint="eastAsia" w:ascii="宋体" w:hAnsi="宋体"/>
          <w:color w:val="auto"/>
          <w:sz w:val="24"/>
          <w:highlight w:val="none"/>
        </w:rPr>
        <w:t>签约日期：</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年 </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日                           </w:t>
      </w:r>
    </w:p>
    <w:p>
      <w:pPr>
        <w:pStyle w:val="7"/>
        <w:rPr>
          <w:rFonts w:hint="eastAsia"/>
          <w:color w:val="auto"/>
          <w:highlight w:val="none"/>
        </w:rPr>
      </w:pPr>
      <w:r>
        <w:rPr>
          <w:rFonts w:hint="eastAsia" w:ascii="宋体" w:hAnsi="宋体"/>
          <w:color w:val="auto"/>
          <w:sz w:val="24"/>
          <w:highlight w:val="none"/>
        </w:rPr>
        <w:t>签约地点：广州市黄埔区。</w:t>
      </w:r>
    </w:p>
    <w:p>
      <w:pPr>
        <w:rPr>
          <w:rFonts w:hint="eastAsia"/>
          <w:color w:val="auto"/>
          <w:highlight w:val="none"/>
        </w:rPr>
      </w:pPr>
    </w:p>
    <w:p>
      <w:pPr>
        <w:snapToGrid w:val="0"/>
        <w:spacing w:line="440" w:lineRule="exact"/>
        <w:jc w:val="center"/>
        <w:rPr>
          <w:rFonts w:ascii="宋体" w:hAnsi="宋体"/>
          <w:color w:val="auto"/>
          <w:sz w:val="24"/>
          <w:highlight w:val="none"/>
        </w:rPr>
      </w:pPr>
    </w:p>
    <w:p>
      <w:pPr>
        <w:pStyle w:val="2"/>
        <w:jc w:val="center"/>
        <w:rPr>
          <w:rFonts w:hint="eastAsia"/>
          <w:color w:val="auto"/>
          <w:highlight w:val="none"/>
        </w:rPr>
      </w:pPr>
      <w:bookmarkStart w:id="247" w:name="_Toc9383"/>
      <w:bookmarkStart w:id="248" w:name="_Toc11946"/>
      <w:bookmarkStart w:id="249" w:name="_Toc2272567"/>
      <w:bookmarkStart w:id="250" w:name="_Toc274"/>
      <w:bookmarkStart w:id="251" w:name="_Toc7622"/>
      <w:bookmarkStart w:id="252" w:name="_Toc25572"/>
      <w:bookmarkStart w:id="253" w:name="_Toc8343"/>
      <w:bookmarkStart w:id="254" w:name="_Toc15094"/>
      <w:bookmarkStart w:id="255" w:name="_Toc32333"/>
      <w:bookmarkStart w:id="256" w:name="_Toc235"/>
      <w:bookmarkStart w:id="257" w:name="_Toc9557"/>
      <w:bookmarkStart w:id="258" w:name="_Toc8323"/>
      <w:r>
        <w:rPr>
          <w:rFonts w:hint="eastAsia"/>
          <w:color w:val="auto"/>
          <w:highlight w:val="none"/>
        </w:rPr>
        <w:t>第四章 投标文件格式</w:t>
      </w:r>
      <w:bookmarkEnd w:id="247"/>
      <w:bookmarkEnd w:id="248"/>
      <w:bookmarkEnd w:id="249"/>
      <w:bookmarkEnd w:id="250"/>
      <w:bookmarkEnd w:id="251"/>
      <w:bookmarkEnd w:id="252"/>
      <w:bookmarkEnd w:id="253"/>
      <w:bookmarkEnd w:id="254"/>
      <w:bookmarkEnd w:id="255"/>
      <w:bookmarkEnd w:id="256"/>
      <w:bookmarkEnd w:id="257"/>
      <w:bookmarkEnd w:id="258"/>
    </w:p>
    <w:p>
      <w:pPr>
        <w:rPr>
          <w:color w:val="auto"/>
          <w:highlight w:val="none"/>
        </w:rPr>
      </w:pPr>
      <w:r>
        <w:rPr>
          <w:color w:val="auto"/>
          <w:highlight w:val="none"/>
        </w:rPr>
        <w:br w:type="page"/>
      </w:r>
    </w:p>
    <w:p>
      <w:pPr>
        <w:pStyle w:val="26"/>
        <w:rPr>
          <w:color w:val="auto"/>
          <w:highlight w:val="none"/>
        </w:rPr>
      </w:pPr>
    </w:p>
    <w:p>
      <w:pPr>
        <w:pStyle w:val="4"/>
        <w:rPr>
          <w:color w:val="auto"/>
          <w:highlight w:val="none"/>
        </w:rPr>
      </w:pPr>
      <w:bookmarkStart w:id="259" w:name="_Toc4847"/>
      <w:bookmarkStart w:id="260" w:name="_Toc21543"/>
      <w:bookmarkStart w:id="261" w:name="_Toc16581"/>
      <w:bookmarkStart w:id="262" w:name="_Toc6065"/>
      <w:bookmarkStart w:id="263" w:name="_Toc13546"/>
      <w:bookmarkStart w:id="264" w:name="_Toc18513"/>
      <w:bookmarkStart w:id="265" w:name="_Toc6049"/>
      <w:bookmarkStart w:id="266" w:name="_Toc2068"/>
      <w:bookmarkStart w:id="267" w:name="_Toc17726"/>
      <w:bookmarkStart w:id="268" w:name="_Toc29156"/>
      <w:bookmarkStart w:id="269" w:name="_Toc9396"/>
      <w:r>
        <w:rPr>
          <w:color w:val="auto"/>
          <w:highlight w:val="none"/>
        </w:rPr>
        <w:t>一、</w:t>
      </w:r>
      <w:r>
        <w:rPr>
          <w:rFonts w:hint="eastAsia"/>
          <w:color w:val="auto"/>
          <w:highlight w:val="none"/>
        </w:rPr>
        <w:t>技术标</w:t>
      </w:r>
      <w:r>
        <w:rPr>
          <w:color w:val="auto"/>
          <w:highlight w:val="none"/>
        </w:rPr>
        <w:t>投标文件格式</w:t>
      </w:r>
      <w:bookmarkEnd w:id="259"/>
      <w:bookmarkEnd w:id="260"/>
      <w:bookmarkEnd w:id="261"/>
      <w:bookmarkEnd w:id="262"/>
      <w:bookmarkEnd w:id="263"/>
      <w:bookmarkEnd w:id="264"/>
      <w:bookmarkEnd w:id="265"/>
      <w:bookmarkEnd w:id="266"/>
      <w:bookmarkEnd w:id="267"/>
      <w:bookmarkEnd w:id="268"/>
      <w:bookmarkEnd w:id="269"/>
    </w:p>
    <w:p>
      <w:pPr>
        <w:outlineLvl w:val="9"/>
        <w:rPr>
          <w:color w:val="auto"/>
          <w:sz w:val="27"/>
          <w:szCs w:val="27"/>
          <w:highlight w:val="none"/>
        </w:rPr>
      </w:pPr>
      <w:bookmarkStart w:id="270" w:name="_Toc60070621"/>
      <w:r>
        <w:rPr>
          <w:rFonts w:hint="eastAsia"/>
          <w:color w:val="auto"/>
          <w:sz w:val="27"/>
          <w:szCs w:val="27"/>
          <w:highlight w:val="none"/>
        </w:rPr>
        <w:t>格式一：</w:t>
      </w:r>
      <w:bookmarkEnd w:id="270"/>
    </w:p>
    <w:p>
      <w:pPr>
        <w:jc w:val="center"/>
        <w:rPr>
          <w:rFonts w:ascii="宋体" w:hAnsi="宋体" w:cs="宋体"/>
          <w:b/>
          <w:color w:val="auto"/>
          <w:sz w:val="36"/>
          <w:szCs w:val="36"/>
          <w:highlight w:val="none"/>
        </w:rPr>
      </w:pPr>
      <w:bookmarkStart w:id="271" w:name="_Toc58838587"/>
      <w:r>
        <w:rPr>
          <w:rFonts w:hint="eastAsia" w:ascii="宋体" w:hAnsi="宋体" w:cs="宋体"/>
          <w:b/>
          <w:color w:val="auto"/>
          <w:sz w:val="36"/>
          <w:szCs w:val="36"/>
          <w:highlight w:val="none"/>
        </w:rPr>
        <w:t>广州建设工程施工招标投标书（技术标）</w:t>
      </w:r>
      <w:bookmarkEnd w:id="271"/>
    </w:p>
    <w:tbl>
      <w:tblPr>
        <w:tblStyle w:val="51"/>
        <w:tblpPr w:leftFromText="180" w:rightFromText="180" w:vertAnchor="text" w:horzAnchor="margin" w:tblpXSpec="center" w:tblpY="27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4"/>
        <w:gridCol w:w="2211"/>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3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color w:val="auto"/>
                <w:sz w:val="24"/>
                <w:szCs w:val="24"/>
                <w:highlight w:val="none"/>
                <w:lang w:val="zh-CN"/>
              </w:rPr>
              <w:t>工程名称</w:t>
            </w:r>
          </w:p>
        </w:tc>
        <w:tc>
          <w:tcPr>
            <w:tcW w:w="604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33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投标总工期</w:t>
            </w:r>
          </w:p>
        </w:tc>
        <w:tc>
          <w:tcPr>
            <w:tcW w:w="604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33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highlight w:val="none"/>
              </w:rPr>
            </w:pPr>
            <w:r>
              <w:rPr>
                <w:rFonts w:hint="eastAsia" w:ascii="宋体" w:hAnsi="宋体" w:cs="宋体"/>
                <w:color w:val="auto"/>
                <w:sz w:val="24"/>
                <w:szCs w:val="24"/>
                <w:highlight w:val="none"/>
                <w:lang w:val="zh-CN"/>
              </w:rPr>
              <w:t>工程质量标准</w:t>
            </w:r>
          </w:p>
        </w:tc>
        <w:tc>
          <w:tcPr>
            <w:tcW w:w="604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color w:val="auto"/>
                <w:sz w:val="24"/>
                <w:szCs w:val="24"/>
                <w:highlight w:val="none"/>
                <w:lang w:val="zh-CN"/>
              </w:rPr>
              <w:t>保修期限</w:t>
            </w:r>
          </w:p>
        </w:tc>
        <w:tc>
          <w:tcPr>
            <w:tcW w:w="604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3334"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color w:val="auto"/>
                <w:sz w:val="24"/>
                <w:szCs w:val="24"/>
                <w:highlight w:val="none"/>
                <w:lang w:val="zh-CN"/>
              </w:rPr>
              <w:t>委派的项目负责人</w:t>
            </w:r>
          </w:p>
        </w:tc>
        <w:tc>
          <w:tcPr>
            <w:tcW w:w="22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姓   名</w:t>
            </w:r>
          </w:p>
        </w:tc>
        <w:tc>
          <w:tcPr>
            <w:tcW w:w="383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3334"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委派的专职安全员</w:t>
            </w:r>
          </w:p>
        </w:tc>
        <w:tc>
          <w:tcPr>
            <w:tcW w:w="22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姓   名</w:t>
            </w:r>
          </w:p>
        </w:tc>
        <w:tc>
          <w:tcPr>
            <w:tcW w:w="383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color w:val="auto"/>
                <w:sz w:val="24"/>
                <w:szCs w:val="24"/>
                <w:highlight w:val="none"/>
                <w:lang w:val="zh-CN"/>
              </w:rPr>
            </w:pPr>
          </w:p>
        </w:tc>
      </w:tr>
    </w:tbl>
    <w:p>
      <w:pPr>
        <w:autoSpaceDE w:val="0"/>
        <w:autoSpaceDN w:val="0"/>
        <w:adjustRightInd w:val="0"/>
        <w:spacing w:line="360" w:lineRule="auto"/>
        <w:rPr>
          <w:rFonts w:ascii="宋体" w:hAnsi="宋体" w:cs="宋体"/>
          <w:color w:val="auto"/>
          <w:sz w:val="24"/>
          <w:szCs w:val="24"/>
          <w:highlight w:val="none"/>
        </w:rPr>
      </w:pPr>
      <w:r>
        <w:rPr>
          <w:rFonts w:ascii="宋体" w:hAnsi="宋体"/>
          <w:b/>
          <w:color w:val="auto"/>
          <w:highlight w:val="none"/>
        </w:rPr>
        <w:br w:type="page"/>
      </w:r>
    </w:p>
    <w:p>
      <w:pPr>
        <w:outlineLvl w:val="9"/>
        <w:rPr>
          <w:color w:val="auto"/>
          <w:sz w:val="27"/>
          <w:szCs w:val="27"/>
          <w:highlight w:val="none"/>
        </w:rPr>
      </w:pPr>
      <w:bookmarkStart w:id="272" w:name="_Toc60070622"/>
      <w:r>
        <w:rPr>
          <w:rFonts w:hint="eastAsia"/>
          <w:color w:val="auto"/>
          <w:sz w:val="27"/>
          <w:szCs w:val="27"/>
          <w:highlight w:val="none"/>
        </w:rPr>
        <w:t>格式二：</w:t>
      </w:r>
      <w:bookmarkEnd w:id="272"/>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投标函</w:t>
      </w:r>
    </w:p>
    <w:p>
      <w:pPr>
        <w:topLinePunct/>
        <w:adjustRightInd w:val="0"/>
        <w:snapToGrid w:val="0"/>
        <w:spacing w:line="360" w:lineRule="auto"/>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致：</w:t>
      </w:r>
      <w:r>
        <w:rPr>
          <w:rFonts w:hint="eastAsia" w:ascii="宋体" w:hAnsi="宋体" w:cs="宋体"/>
          <w:snapToGrid w:val="0"/>
          <w:color w:val="auto"/>
          <w:spacing w:val="4"/>
          <w:kern w:val="0"/>
          <w:sz w:val="24"/>
          <w:szCs w:val="24"/>
          <w:highlight w:val="none"/>
          <w:u w:val="single"/>
        </w:rPr>
        <w:t xml:space="preserve"> （招标人名称）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1.根据已收到贵方的项目编号为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的</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项目的招标文件，并已详细审核了全部招标文件及有关附件。</w:t>
      </w:r>
    </w:p>
    <w:p>
      <w:pPr>
        <w:snapToGrid w:val="0"/>
        <w:spacing w:line="360" w:lineRule="auto"/>
        <w:ind w:firstLine="523" w:firstLineChars="218"/>
        <w:rPr>
          <w:rFonts w:ascii="宋体" w:hAnsi="宋体" w:cs="宋体"/>
          <w:color w:val="auto"/>
          <w:sz w:val="24"/>
          <w:szCs w:val="24"/>
          <w:highlight w:val="none"/>
        </w:rPr>
      </w:pPr>
      <w:r>
        <w:rPr>
          <w:rFonts w:hint="eastAsia" w:ascii="宋体" w:hAnsi="宋体" w:cs="宋体"/>
          <w:color w:val="auto"/>
          <w:sz w:val="24"/>
          <w:szCs w:val="24"/>
          <w:highlight w:val="none"/>
        </w:rPr>
        <w:t>2.遵照《中华人民共和国招标投标法》、《中华人民共和国招标投标法实施条例》、《广东省实施〈中华人民共和国招标投标法〉办法》、等有关规定，经考察现场和研究上述招标文件的投标须知、合同条款、标准和技术规范、图纸、工程量清单及其他有关文件后，我方承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愿以经济标中的投标报价并按上述合同条款、标准和技术规范、图纸、工程量清单等的要求承包上述工程的施工、竣工并修补其任何缺陷。</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 xml:space="preserve">    3.我方同意所递交的投标文件在投标须知规定的投标有效期内有效，在此期间内我方的投标有可能中标，我方将受此约束。如果在投标有效期内撤回投标或放弃中标资格，给贵方造成的损失，贵方还有权要求我方进行赔偿。</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 xml:space="preserve">    4.我方理解贵方将不受必须接受你们所收到的最低标价或其它任何投标文件的约束。</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5.如果我方中标，我方保证按招标文件中规定的工期，在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日历天内完成并移交本工程，质量标准达到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6.如果我方中标，我方将按照规定递交由招标人认可，并在招标文件中规定金额的履约保函。</w:t>
      </w:r>
    </w:p>
    <w:p>
      <w:pPr>
        <w:spacing w:line="36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7.除非另外达成协议并生效，贵方的中标通知书和本投标文件将成为约束双方的合同文件的组成部分。</w:t>
      </w:r>
    </w:p>
    <w:p>
      <w:pPr>
        <w:spacing w:line="36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8、如果我方中标，我方将实行项目经理负责制，并按投标文件配备项目管理班子。如未经招标人同意更换项目班子成员，招标人有权取消我公司的中标资格或单方面终止合同，由此造成的违约责任由我公司承担。</w:t>
      </w:r>
    </w:p>
    <w:p>
      <w:pPr>
        <w:spacing w:line="360" w:lineRule="auto"/>
        <w:ind w:firstLine="481"/>
        <w:rPr>
          <w:rFonts w:ascii="宋体" w:hAnsi="宋体" w:cs="宋体"/>
          <w:b/>
          <w:bCs/>
          <w:color w:val="auto"/>
          <w:kern w:val="0"/>
          <w:sz w:val="24"/>
          <w:szCs w:val="24"/>
          <w:highlight w:val="none"/>
        </w:rPr>
      </w:pPr>
      <w:r>
        <w:rPr>
          <w:rFonts w:hint="eastAsia" w:ascii="宋体" w:hAnsi="宋体" w:cs="宋体"/>
          <w:b/>
          <w:bCs/>
          <w:color w:val="auto"/>
          <w:sz w:val="24"/>
          <w:szCs w:val="24"/>
          <w:highlight w:val="none"/>
        </w:rPr>
        <w:t>9、</w:t>
      </w:r>
      <w:r>
        <w:rPr>
          <w:rFonts w:hint="eastAsia" w:ascii="宋体" w:hAnsi="宋体" w:cs="宋体"/>
          <w:b/>
          <w:bCs/>
          <w:color w:val="auto"/>
          <w:kern w:val="0"/>
          <w:sz w:val="24"/>
          <w:szCs w:val="24"/>
          <w:highlight w:val="none"/>
        </w:rPr>
        <w:t>如我方中标,我方承诺：须按《广州开发区财政投资建设项目管理中心施工类合同结算编审指引（试行）》及广州开发区有关规定编制及办理建设项目工程结算。本公司未按上述规定的期限和内容编制及办理建设项目工程结算，经建设业主或代建单位或监理人书面通知之日起2个月内（最长期限不得超过6个月）仍未提交编制及办理建设项目工程结算的相关文件的，监理人和建设业主有权根据建设业主已有资料进行审核并报财政部门审定，财政部门审定的竣工结算合同总价视同是经我方认可的工程竣工结算合同总价。</w:t>
      </w:r>
    </w:p>
    <w:p>
      <w:pPr>
        <w:spacing w:line="360" w:lineRule="auto"/>
        <w:ind w:firstLine="480"/>
        <w:rPr>
          <w:rFonts w:ascii="宋体" w:hAnsi="宋体" w:cs="宋体"/>
          <w:color w:val="auto"/>
          <w:sz w:val="24"/>
          <w:szCs w:val="24"/>
          <w:highlight w:val="none"/>
        </w:rPr>
      </w:pPr>
    </w:p>
    <w:p>
      <w:pPr>
        <w:spacing w:line="360" w:lineRule="auto"/>
        <w:ind w:firstLine="481"/>
        <w:rPr>
          <w:rFonts w:ascii="宋体" w:hAnsi="宋体" w:cs="宋体"/>
          <w:snapToGrid w:val="0"/>
          <w:color w:val="auto"/>
          <w:spacing w:val="4"/>
          <w:kern w:val="0"/>
          <w:sz w:val="24"/>
          <w:szCs w:val="24"/>
          <w:highlight w:val="none"/>
        </w:rPr>
      </w:pPr>
    </w:p>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投 标 人：（盖章）</w:t>
      </w:r>
    </w:p>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法定代表人或授权代理人（签字或盖章）：</w:t>
      </w:r>
    </w:p>
    <w:p>
      <w:pPr>
        <w:spacing w:line="360" w:lineRule="auto"/>
        <w:ind w:firstLine="691" w:firstLineChars="279"/>
        <w:jc w:val="left"/>
        <w:rPr>
          <w:rFonts w:ascii="宋体" w:hAnsi="宋体" w:cs="宋体"/>
          <w:color w:val="auto"/>
          <w:sz w:val="24"/>
          <w:szCs w:val="20"/>
          <w:highlight w:val="none"/>
        </w:rPr>
      </w:pPr>
      <w:r>
        <w:rPr>
          <w:rFonts w:hint="eastAsia" w:ascii="宋体" w:hAnsi="宋体" w:cs="宋体"/>
          <w:snapToGrid w:val="0"/>
          <w:color w:val="auto"/>
          <w:spacing w:val="4"/>
          <w:kern w:val="0"/>
          <w:sz w:val="24"/>
          <w:szCs w:val="24"/>
          <w:highlight w:val="none"/>
        </w:rPr>
        <w:t>日    期：    年    月    日</w:t>
      </w:r>
    </w:p>
    <w:p>
      <w:pPr>
        <w:autoSpaceDN w:val="0"/>
        <w:jc w:val="center"/>
        <w:rPr>
          <w:rFonts w:ascii="宋体" w:hAnsi="宋体" w:cs="宋体"/>
          <w:color w:val="auto"/>
          <w:szCs w:val="20"/>
          <w:highlight w:val="none"/>
        </w:rPr>
      </w:pPr>
      <w:r>
        <w:rPr>
          <w:rFonts w:hint="eastAsia" w:ascii="宋体" w:hAnsi="宋体" w:cs="宋体"/>
          <w:color w:val="auto"/>
          <w:szCs w:val="20"/>
          <w:highlight w:val="none"/>
        </w:rPr>
        <w:br w:type="page"/>
      </w:r>
    </w:p>
    <w:p>
      <w:pPr>
        <w:outlineLvl w:val="9"/>
        <w:rPr>
          <w:snapToGrid w:val="0"/>
          <w:color w:val="auto"/>
          <w:spacing w:val="4"/>
          <w:sz w:val="27"/>
          <w:szCs w:val="27"/>
          <w:highlight w:val="none"/>
        </w:rPr>
      </w:pPr>
      <w:bookmarkStart w:id="273" w:name="_Toc60070623"/>
      <w:r>
        <w:rPr>
          <w:rFonts w:hint="eastAsia"/>
          <w:color w:val="auto"/>
          <w:sz w:val="27"/>
          <w:szCs w:val="27"/>
          <w:highlight w:val="none"/>
        </w:rPr>
        <w:t>格式三：</w:t>
      </w:r>
      <w:bookmarkEnd w:id="273"/>
    </w:p>
    <w:p>
      <w:pPr>
        <w:jc w:val="center"/>
        <w:rPr>
          <w:rFonts w:ascii="宋体" w:hAnsi="宋体"/>
          <w:b/>
          <w:color w:val="auto"/>
          <w:sz w:val="36"/>
          <w:szCs w:val="36"/>
          <w:highlight w:val="none"/>
        </w:rPr>
      </w:pPr>
    </w:p>
    <w:p>
      <w:pPr>
        <w:jc w:val="center"/>
        <w:rPr>
          <w:rFonts w:ascii="宋体" w:hAnsi="宋体"/>
          <w:b/>
          <w:color w:val="auto"/>
          <w:sz w:val="36"/>
          <w:szCs w:val="36"/>
          <w:highlight w:val="none"/>
        </w:rPr>
      </w:pPr>
      <w:r>
        <w:rPr>
          <w:rFonts w:hint="eastAsia" w:ascii="宋体" w:hAnsi="宋体"/>
          <w:b/>
          <w:color w:val="auto"/>
          <w:sz w:val="36"/>
          <w:szCs w:val="36"/>
          <w:highlight w:val="none"/>
        </w:rPr>
        <w:t>标函承诺书</w:t>
      </w:r>
    </w:p>
    <w:p>
      <w:pPr>
        <w:pStyle w:val="253"/>
        <w:spacing w:line="360" w:lineRule="auto"/>
        <w:ind w:left="339" w:leftChars="101" w:hanging="127" w:hangingChars="53"/>
        <w:jc w:val="lef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致：广州开发区财政投资建设项目管理中心</w:t>
      </w:r>
    </w:p>
    <w:p>
      <w:pPr>
        <w:pStyle w:val="253"/>
        <w:spacing w:after="0" w:line="360" w:lineRule="auto"/>
        <w:ind w:left="357" w:leftChars="170" w:firstLine="480" w:firstLineChars="200"/>
        <w:jc w:val="lef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如果在本招标工程中我司中标，我司将积极响应贵单位提出的合同条件及招标文件的要求，并做出如下承诺：</w:t>
      </w:r>
    </w:p>
    <w:p>
      <w:pPr>
        <w:pStyle w:val="253"/>
        <w:spacing w:after="0" w:line="360" w:lineRule="auto"/>
        <w:ind w:left="357" w:leftChars="170" w:firstLine="480" w:firstLineChars="200"/>
        <w:jc w:val="lef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1、若我公司中标，我公司承诺按时交纳履约保证金。</w:t>
      </w:r>
    </w:p>
    <w:p>
      <w:pPr>
        <w:pStyle w:val="253"/>
        <w:spacing w:after="156" w:afterLines="50" w:line="360" w:lineRule="auto"/>
        <w:ind w:left="357" w:leftChars="170" w:firstLine="480" w:firstLineChars="200"/>
        <w:jc w:val="lef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2、在本工程施工期间，拟投入的人力不少于下表中的人数</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0"/>
        <w:gridCol w:w="3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pStyle w:val="259"/>
              <w:spacing w:line="240" w:lineRule="auto"/>
              <w:ind w:left="357" w:leftChars="170" w:firstLine="420" w:firstLineChars="200"/>
              <w:rPr>
                <w:rFonts w:ascii="宋体" w:hAnsi="宋体" w:eastAsia="宋体" w:cs="宋体"/>
                <w:color w:val="auto"/>
                <w:kern w:val="2"/>
                <w:sz w:val="21"/>
                <w:szCs w:val="21"/>
                <w:highlight w:val="none"/>
                <w:u w:val="single"/>
              </w:rPr>
            </w:pPr>
            <w:r>
              <w:rPr>
                <w:rFonts w:hint="eastAsia" w:ascii="宋体" w:hAnsi="宋体" w:eastAsia="宋体" w:cs="宋体"/>
                <w:color w:val="auto"/>
                <w:kern w:val="2"/>
                <w:sz w:val="21"/>
                <w:szCs w:val="21"/>
                <w:highlight w:val="none"/>
                <w:u w:val="single"/>
              </w:rPr>
              <w:t>工种</w:t>
            </w: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r>
              <w:rPr>
                <w:rFonts w:hint="eastAsia" w:ascii="宋体" w:hAnsi="宋体" w:cs="宋体"/>
                <w:color w:val="auto"/>
                <w:szCs w:val="21"/>
                <w:highlight w:val="none"/>
                <w:u w:val="single"/>
              </w:rPr>
              <w:t>施工低峰期数量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szCs w:val="21"/>
                <w:highlight w:val="none"/>
                <w:u w:val="single"/>
              </w:rPr>
            </w:pPr>
          </w:p>
        </w:tc>
        <w:tc>
          <w:tcPr>
            <w:tcW w:w="3783" w:type="dxa"/>
            <w:tcBorders>
              <w:top w:val="single" w:color="auto" w:sz="4" w:space="0"/>
              <w:left w:val="single" w:color="auto" w:sz="4" w:space="0"/>
              <w:bottom w:val="single" w:color="auto" w:sz="4" w:space="0"/>
              <w:right w:val="single" w:color="auto" w:sz="4" w:space="0"/>
            </w:tcBorders>
            <w:vAlign w:val="center"/>
          </w:tcPr>
          <w:p>
            <w:pPr>
              <w:ind w:left="357" w:leftChars="170" w:firstLine="420" w:firstLineChars="200"/>
              <w:jc w:val="center"/>
              <w:rPr>
                <w:rFonts w:ascii="宋体" w:hAnsi="宋体" w:cs="宋体"/>
                <w:color w:val="auto"/>
                <w:kern w:val="0"/>
                <w:szCs w:val="21"/>
                <w:highlight w:val="none"/>
                <w:u w:val="single"/>
              </w:rPr>
            </w:pPr>
          </w:p>
        </w:tc>
      </w:tr>
    </w:tbl>
    <w:p>
      <w:pPr>
        <w:spacing w:line="360" w:lineRule="auto"/>
        <w:ind w:left="357" w:leftChars="170"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3、在工程施工期间，拟投入的主要机械设备按投标文件所附的《拟投入本工程施工的主要机械设备配备表》</w:t>
      </w:r>
    </w:p>
    <w:p>
      <w:pPr>
        <w:spacing w:line="360" w:lineRule="auto"/>
        <w:ind w:left="357" w:leftChars="170"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4、所选用的主要材料品牌符合招标文件的要求。</w:t>
      </w:r>
    </w:p>
    <w:p>
      <w:pPr>
        <w:spacing w:line="360" w:lineRule="auto"/>
        <w:ind w:left="357" w:leftChars="170"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5、拟投入到本工程的主要技术人员、经济和管理人员如表：</w:t>
      </w:r>
      <w:r>
        <w:rPr>
          <w:rFonts w:hint="eastAsia" w:asciiTheme="minorEastAsia" w:hAnsiTheme="minorEastAsia" w:eastAsiaTheme="minorEastAsia"/>
          <w:color w:val="auto"/>
          <w:sz w:val="24"/>
          <w:szCs w:val="24"/>
          <w:highlight w:val="none"/>
          <w:u w:val="single"/>
        </w:rPr>
        <w:t>详见《施工项目管理团队人员信息表》</w:t>
      </w:r>
    </w:p>
    <w:p>
      <w:pPr>
        <w:pStyle w:val="253"/>
        <w:spacing w:after="0" w:line="360" w:lineRule="auto"/>
        <w:ind w:firstLine="480" w:firstLineChars="200"/>
        <w:jc w:val="lef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6、我公司保证拟派项目负责人符合《广州市住房和城乡建设局关于加强建筑工程项目负责人管理的通知》（穗建规字〔2020〕32号）文的要求，并将严格按照招标文件要求，自签订合同之日起至工程竣工验收将常驻现场，严格按照有关工程项目管理的要求进行项目管理，如果不能够按照此要求实施，我方自愿接受贵中心的处罚措施。</w:t>
      </w:r>
    </w:p>
    <w:p>
      <w:pPr>
        <w:pStyle w:val="253"/>
        <w:spacing w:after="0" w:line="360" w:lineRule="auto"/>
        <w:ind w:firstLine="480" w:firstLineChars="200"/>
        <w:jc w:val="lef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7、本工程施工过程中，我司将严格按照国家、省、市有关施工及验收规范、标准进行施工，确保本工程质量达到</w:t>
      </w:r>
      <w:r>
        <w:rPr>
          <w:rFonts w:hint="eastAsia" w:ascii="宋体" w:hAnsi="宋体" w:eastAsia="宋体" w:cs="宋体"/>
          <w:b/>
          <w:color w:val="auto"/>
          <w:sz w:val="24"/>
          <w:szCs w:val="24"/>
          <w:highlight w:val="none"/>
          <w:u w:val="single"/>
        </w:rPr>
        <w:t xml:space="preserve">     等级</w:t>
      </w:r>
      <w:r>
        <w:rPr>
          <w:rFonts w:hint="eastAsia" w:ascii="宋体" w:hAnsi="宋体" w:eastAsia="宋体" w:cs="宋体"/>
          <w:color w:val="auto"/>
          <w:sz w:val="24"/>
          <w:szCs w:val="24"/>
          <w:highlight w:val="none"/>
          <w:u w:val="single"/>
        </w:rPr>
        <w:t>。</w:t>
      </w:r>
    </w:p>
    <w:p>
      <w:pPr>
        <w:pStyle w:val="253"/>
        <w:spacing w:after="0" w:line="360" w:lineRule="auto"/>
        <w:ind w:firstLine="480" w:firstLineChars="200"/>
        <w:jc w:val="lef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8、在确保工程质量的前提下，我司严格控制工程工期，确保工程在</w:t>
      </w:r>
      <w:r>
        <w:rPr>
          <w:rFonts w:hint="eastAsia" w:ascii="宋体" w:hAnsi="宋体" w:eastAsia="宋体" w:cs="宋体"/>
          <w:b/>
          <w:color w:val="auto"/>
          <w:sz w:val="24"/>
          <w:szCs w:val="24"/>
          <w:highlight w:val="none"/>
          <w:u w:val="single"/>
        </w:rPr>
        <w:t xml:space="preserve">    天内完成</w:t>
      </w:r>
      <w:r>
        <w:rPr>
          <w:rFonts w:hint="eastAsia" w:ascii="宋体" w:hAnsi="宋体" w:eastAsia="宋体" w:cs="宋体"/>
          <w:color w:val="auto"/>
          <w:sz w:val="24"/>
          <w:szCs w:val="24"/>
          <w:highlight w:val="none"/>
          <w:u w:val="single"/>
        </w:rPr>
        <w:t>。</w:t>
      </w:r>
    </w:p>
    <w:p>
      <w:pPr>
        <w:pStyle w:val="253"/>
        <w:spacing w:after="0" w:line="360" w:lineRule="auto"/>
        <w:ind w:firstLine="480" w:firstLineChars="200"/>
        <w:jc w:val="lef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9、严格按照国家、省、市有关安全生产、文明施工要求，积极制定安全生产、文明施工措施，并严格执行，确保施工中符合安全生产、文明施工要求。在施工过程中,若发生重大伤亡事故，我方自愿接受贵中心的经济处罚：如发生死亡事故，死亡1人，支付20万元违约金；死亡2人，支付40万元违约金；死亡3人或以上，支付80万元违约金；如发生重伤事故，重伤1人，支付10万元违约金；重伤2人，支付20万元违约金；重伤3人或以上，支付40万元违约金。以上款项从工程款中扣除，扣除的款项均上缴国库。</w:t>
      </w:r>
    </w:p>
    <w:p>
      <w:pPr>
        <w:pStyle w:val="253"/>
        <w:spacing w:after="0" w:line="360" w:lineRule="auto"/>
        <w:ind w:firstLine="480" w:firstLineChars="200"/>
        <w:jc w:val="lef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10、按照发包人、监理工程师的要求及时为各专业工程（电信、电力管线、电力走廊、煤气、道路绿化、路灯、交通设施等）提供工作面，并为专业工程穿插施工所需各项配合工作给予方便。</w:t>
      </w:r>
    </w:p>
    <w:p>
      <w:pPr>
        <w:spacing w:line="360" w:lineRule="auto"/>
        <w:ind w:left="420" w:leftChars="200"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11、将按照招标过程中确定的范围，除了下表所列专业工程外，其余全部工程由我司自行施工。对工程分包，我司承诺按照招标文件的要求和有关规定履行总包单位的职责，在中标后提供分包单位的资质证明材料（如有必须分包的专业工程，请填入下表）。</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7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85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必须分包的专业工程内容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序号</w:t>
            </w:r>
          </w:p>
        </w:tc>
        <w:tc>
          <w:tcPr>
            <w:tcW w:w="75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ind w:left="420" w:leftChars="200" w:firstLine="480" w:firstLineChars="200"/>
              <w:rPr>
                <w:rFonts w:ascii="宋体" w:hAnsi="宋体" w:cs="宋体"/>
                <w:color w:val="auto"/>
                <w:sz w:val="24"/>
                <w:szCs w:val="24"/>
                <w:highlight w:val="none"/>
                <w:u w:val="single"/>
              </w:rPr>
            </w:pPr>
          </w:p>
        </w:tc>
        <w:tc>
          <w:tcPr>
            <w:tcW w:w="7523" w:type="dxa"/>
            <w:tcBorders>
              <w:top w:val="single" w:color="auto" w:sz="4" w:space="0"/>
              <w:left w:val="single" w:color="auto" w:sz="4" w:space="0"/>
              <w:bottom w:val="single" w:color="auto" w:sz="4" w:space="0"/>
              <w:right w:val="single" w:color="auto" w:sz="4" w:space="0"/>
            </w:tcBorders>
            <w:vAlign w:val="center"/>
          </w:tcPr>
          <w:p>
            <w:pPr>
              <w:spacing w:line="360" w:lineRule="auto"/>
              <w:ind w:left="420" w:leftChars="200" w:firstLine="480" w:firstLineChars="200"/>
              <w:rPr>
                <w:rFonts w:ascii="宋体" w:hAnsi="宋体" w:cs="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ind w:left="420" w:leftChars="200" w:firstLine="480" w:firstLineChars="200"/>
              <w:rPr>
                <w:rFonts w:ascii="宋体" w:hAnsi="宋体" w:cs="宋体"/>
                <w:color w:val="auto"/>
                <w:sz w:val="24"/>
                <w:szCs w:val="24"/>
                <w:highlight w:val="none"/>
                <w:u w:val="single"/>
              </w:rPr>
            </w:pPr>
          </w:p>
        </w:tc>
        <w:tc>
          <w:tcPr>
            <w:tcW w:w="7523" w:type="dxa"/>
            <w:tcBorders>
              <w:top w:val="single" w:color="auto" w:sz="4" w:space="0"/>
              <w:left w:val="single" w:color="auto" w:sz="4" w:space="0"/>
              <w:bottom w:val="single" w:color="auto" w:sz="4" w:space="0"/>
              <w:right w:val="single" w:color="auto" w:sz="4" w:space="0"/>
            </w:tcBorders>
            <w:vAlign w:val="center"/>
          </w:tcPr>
          <w:p>
            <w:pPr>
              <w:spacing w:line="360" w:lineRule="auto"/>
              <w:ind w:left="420" w:leftChars="200" w:firstLine="480" w:firstLineChars="200"/>
              <w:rPr>
                <w:rFonts w:ascii="宋体" w:hAnsi="宋体" w:cs="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ind w:left="420" w:leftChars="200" w:firstLine="480" w:firstLineChars="200"/>
              <w:rPr>
                <w:rFonts w:ascii="宋体" w:hAnsi="宋体" w:cs="宋体"/>
                <w:color w:val="auto"/>
                <w:sz w:val="24"/>
                <w:szCs w:val="24"/>
                <w:highlight w:val="none"/>
                <w:u w:val="single"/>
              </w:rPr>
            </w:pPr>
          </w:p>
        </w:tc>
        <w:tc>
          <w:tcPr>
            <w:tcW w:w="7523" w:type="dxa"/>
            <w:tcBorders>
              <w:top w:val="single" w:color="auto" w:sz="4" w:space="0"/>
              <w:left w:val="single" w:color="auto" w:sz="4" w:space="0"/>
              <w:bottom w:val="single" w:color="auto" w:sz="4" w:space="0"/>
              <w:right w:val="single" w:color="auto" w:sz="4" w:space="0"/>
            </w:tcBorders>
            <w:vAlign w:val="center"/>
          </w:tcPr>
          <w:p>
            <w:pPr>
              <w:spacing w:line="360" w:lineRule="auto"/>
              <w:ind w:left="420" w:leftChars="200" w:firstLine="480" w:firstLineChars="200"/>
              <w:rPr>
                <w:rFonts w:ascii="宋体" w:hAnsi="宋体" w:cs="宋体"/>
                <w:color w:val="auto"/>
                <w:sz w:val="24"/>
                <w:szCs w:val="24"/>
                <w:highlight w:val="none"/>
                <w:u w:val="single"/>
              </w:rPr>
            </w:pPr>
          </w:p>
        </w:tc>
      </w:tr>
    </w:tbl>
    <w:p>
      <w:pPr>
        <w:tabs>
          <w:tab w:val="left" w:pos="645"/>
          <w:tab w:val="left" w:pos="930"/>
        </w:tabs>
        <w:spacing w:line="360" w:lineRule="auto"/>
        <w:ind w:left="420" w:leftChars="200" w:firstLine="480" w:firstLineChars="200"/>
        <w:rPr>
          <w:rFonts w:ascii="宋体" w:hAnsi="宋体" w:cs="宋体"/>
          <w:bCs/>
          <w:color w:val="auto"/>
          <w:sz w:val="24"/>
          <w:szCs w:val="24"/>
          <w:highlight w:val="none"/>
          <w:u w:val="single"/>
        </w:rPr>
      </w:pPr>
      <w:r>
        <w:rPr>
          <w:rFonts w:hint="eastAsia" w:ascii="宋体" w:hAnsi="宋体"/>
          <w:color w:val="auto"/>
          <w:sz w:val="24"/>
          <w:szCs w:val="24"/>
          <w:highlight w:val="none"/>
          <w:u w:val="single"/>
        </w:rPr>
        <w:t>12、我司保证在中标后，严格按照 《广州市住房和城乡建设委员会关于印发&lt;广州市建筑施工实名制管理办法&gt;的通知》（穗建规字[2020]18号）、《关于印发广州市建设领域工人工资支付分帐管理实施细则的通知》（穗建规字[2020]37号）等最新规定及广州市黄埔区、开发区对应出台的相关文件规定办理建筑工地实名制管理和工人工资支付分帐管理事宜；加强对我司承包范围（含其专业分包、劳务分包范围）工人工资支付的管理，并对我司及其分包单位工人工资支付负总责，防止出现拖欠工人工资情况。若因违法转包、分包工程的或其他承包人原因导致相应工程出现拖欠工人工资情况的，我司将对拖欠工人工资承担清偿责任，对此引起的纠纷负全责，造成发包人损失（包括但不限于发包人因此而支付的赔偿款、律师费、诉讼费、保全费、公证费、鉴定费等）的，我司将承担全部责任。</w:t>
      </w:r>
    </w:p>
    <w:p>
      <w:pPr>
        <w:tabs>
          <w:tab w:val="left" w:pos="315"/>
        </w:tabs>
        <w:spacing w:line="360" w:lineRule="auto"/>
        <w:ind w:left="420" w:leftChars="200"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13、我司保证在中标后，根据工程特点，编制本工程详细的施工组织设计和施工方案，并报监理和发包人审核批准，并严格按审批的意见和要求组织施工。</w:t>
      </w:r>
    </w:p>
    <w:p>
      <w:pPr>
        <w:spacing w:line="360" w:lineRule="auto"/>
        <w:ind w:left="420" w:leftChars="200"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14、我司承诺积极响应并接受招标文件中合同专用专款关于合同价款的调整办法。</w:t>
      </w:r>
    </w:p>
    <w:p>
      <w:pPr>
        <w:pStyle w:val="173"/>
        <w:spacing w:line="360" w:lineRule="auto"/>
        <w:ind w:left="420" w:leftChars="200" w:firstLine="480" w:firstLineChars="200"/>
        <w:rPr>
          <w:rFonts w:ascii="宋体" w:hAnsi="宋体"/>
          <w:color w:val="auto"/>
          <w:sz w:val="24"/>
          <w:szCs w:val="24"/>
          <w:highlight w:val="none"/>
          <w:u w:val="single"/>
        </w:rPr>
      </w:pPr>
      <w:r>
        <w:rPr>
          <w:rFonts w:hint="eastAsia" w:ascii="宋体" w:hAnsi="宋体"/>
          <w:color w:val="auto"/>
          <w:sz w:val="24"/>
          <w:szCs w:val="24"/>
          <w:highlight w:val="none"/>
          <w:u w:val="single"/>
        </w:rPr>
        <w:t>15、我司保证在中标后，施工现场严格按照《广州市建设工程文明施工管理规定》（广州市人民政府令62号）、《广州市建设工程现场文明施工管理办法》（穗建质[2008]937号）、《关于进一步加强我区建设工地文明施工管理的通知》（穗开规建[2006]74号）、《广州市住房和城乡建设委员会关于印发建设工程扬尘防治“6个100%”管理标准细化措施的通知》（穗建质〔2018〕1394号）及其他相关规定实施，施工围蔽严格按照《关于进一步加强规范建设施工现场围蔽的通知》（穗建质[2008]1008号）、广州市住房和城乡建设委员会关于《广州市建设工程绿色施工围蔽指导图集(V2.0试行版 )》(穂建质〔 2020〕1号)、《黄埔区住房和城乡建设局 广州开发区建设和交通局关于进一步规范全区建设工程施工围蔽标准的通知》（穗埔建〔2020〕183号）、《关于进一步落实我区市政建设项目施工围蔽提升工作的通知》（穗埔建[2019]123号）、广州开发区建设和交通局《关于在全区建设项目推广使用封闭式外脚手架金属防护网的通知》（房建工程及桥梁工程要求使用）及相关文件要求的标准实施。以上文件要求不一致的，以后发布文件为准，若相关部门发布有关施工现场管理及施工围蔽新规定的，按新规定执行。我司随时接受监理、业主、安监机构等相关部门监督和检查，对在检查中发现不符合安全文明施工要求的，无条件进行整改。如不及时按要求整改，发包人有权不支付安全文明施工措施费，或另行委托单位实施，所发生的费用在本工程施工措施费中扣除，如不足抵扣可在本工程承包工程款中扣除，同时我司接受发包人根据实际情况对我司作出的其他处罚措施。发包人可将情况上报建设行政主管部门，视情况追究我司有关责任，可对我司或项目责任人作不良行为记录。</w:t>
      </w:r>
    </w:p>
    <w:p>
      <w:pPr>
        <w:pStyle w:val="253"/>
        <w:spacing w:line="360" w:lineRule="auto"/>
        <w:ind w:firstLine="4620" w:firstLineChars="1925"/>
        <w:jc w:val="lef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投 标 人：（盖章）</w:t>
      </w:r>
    </w:p>
    <w:p>
      <w:pPr>
        <w:pStyle w:val="253"/>
        <w:spacing w:line="360" w:lineRule="auto"/>
        <w:ind w:firstLine="4620" w:firstLineChars="1925"/>
        <w:jc w:val="lef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法人代表或其授权代理人：（签名或盖章）</w:t>
      </w:r>
    </w:p>
    <w:p>
      <w:pPr>
        <w:pStyle w:val="253"/>
        <w:spacing w:line="360" w:lineRule="auto"/>
        <w:ind w:right="560" w:firstLine="5040" w:firstLineChars="210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xml:space="preserve">        年  月  日</w:t>
      </w:r>
    </w:p>
    <w:p>
      <w:pPr>
        <w:tabs>
          <w:tab w:val="left" w:pos="720"/>
        </w:tabs>
        <w:snapToGrid w:val="0"/>
        <w:spacing w:line="360" w:lineRule="auto"/>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注：标函承诺书作为投标文件的“实质性响应”文件，投标人应如实填写，中标后必须按填报内容如期实施，否则按“弄虚作假骗取中标”处理。中标后，工程的监理单位将经常核验投标人是否按填报内容实施，行政管理机构也将随时抽查。</w:t>
      </w:r>
    </w:p>
    <w:p>
      <w:pPr>
        <w:outlineLvl w:val="9"/>
        <w:rPr>
          <w:color w:val="auto"/>
          <w:highlight w:val="none"/>
        </w:rPr>
      </w:pPr>
      <w:r>
        <w:rPr>
          <w:rFonts w:hint="eastAsia"/>
          <w:color w:val="auto"/>
          <w:highlight w:val="none"/>
        </w:rPr>
        <w:br w:type="page"/>
      </w:r>
      <w:bookmarkStart w:id="274" w:name="_Toc60070624"/>
      <w:r>
        <w:rPr>
          <w:rFonts w:hint="eastAsia"/>
          <w:color w:val="auto"/>
          <w:sz w:val="27"/>
          <w:szCs w:val="27"/>
          <w:highlight w:val="none"/>
        </w:rPr>
        <w:t>格式四</w:t>
      </w:r>
      <w:r>
        <w:rPr>
          <w:rFonts w:hint="eastAsia"/>
          <w:snapToGrid w:val="0"/>
          <w:color w:val="auto"/>
          <w:spacing w:val="4"/>
          <w:sz w:val="27"/>
          <w:szCs w:val="27"/>
          <w:highlight w:val="none"/>
        </w:rPr>
        <w:t>：</w:t>
      </w:r>
      <w:bookmarkEnd w:id="274"/>
    </w:p>
    <w:p>
      <w:pPr>
        <w:jc w:val="center"/>
        <w:rPr>
          <w:rFonts w:ascii="宋体" w:hAnsi="宋体"/>
          <w:b/>
          <w:color w:val="auto"/>
          <w:sz w:val="36"/>
          <w:szCs w:val="36"/>
          <w:highlight w:val="none"/>
        </w:rPr>
      </w:pPr>
      <w:r>
        <w:rPr>
          <w:rFonts w:hint="eastAsia" w:ascii="宋体" w:hAnsi="宋体"/>
          <w:b/>
          <w:color w:val="auto"/>
          <w:sz w:val="36"/>
          <w:szCs w:val="36"/>
          <w:highlight w:val="none"/>
        </w:rPr>
        <w:t>项目负责人驻场承诺书</w:t>
      </w:r>
    </w:p>
    <w:p>
      <w:pPr>
        <w:pStyle w:val="49"/>
        <w:spacing w:after="0" w:line="336" w:lineRule="auto"/>
        <w:ind w:left="-2" w:leftChars="-1" w:firstLineChars="175"/>
        <w:jc w:val="center"/>
        <w:rPr>
          <w:rFonts w:ascii="宋体" w:hAnsi="宋体" w:eastAsia="宋体" w:cs="宋体"/>
          <w:color w:val="auto"/>
          <w:sz w:val="24"/>
          <w:szCs w:val="24"/>
          <w:highlight w:val="none"/>
          <w:u w:val="single"/>
        </w:rPr>
      </w:pPr>
    </w:p>
    <w:p>
      <w:pPr>
        <w:spacing w:line="336" w:lineRule="auto"/>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致（业主/监理）                                           ：</w:t>
      </w:r>
    </w:p>
    <w:p>
      <w:pPr>
        <w:spacing w:line="336" w:lineRule="auto"/>
        <w:rPr>
          <w:rFonts w:ascii="宋体" w:hAnsi="宋体" w:cs="宋体"/>
          <w:color w:val="auto"/>
          <w:sz w:val="24"/>
          <w:szCs w:val="24"/>
          <w:highlight w:val="none"/>
          <w:u w:val="single"/>
        </w:rPr>
      </w:pPr>
    </w:p>
    <w:p>
      <w:pPr>
        <w:spacing w:line="336" w:lineRule="auto"/>
        <w:ind w:firstLine="523" w:firstLineChars="218"/>
        <w:jc w:val="left"/>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 xml:space="preserve">本人（姓名）              ，项目负责人证书注册编号：                       </w:t>
      </w:r>
    </w:p>
    <w:p>
      <w:pPr>
        <w:spacing w:line="336" w:lineRule="auto"/>
        <w:ind w:left="1"/>
        <w:jc w:val="left"/>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受（投标人）                                                              委派，拟在（项目名称）                                                   担任项目负责人一职。为加强本工程项目管理，保证我公司在中标后严格履行与业主签定的工程建设承包合同，圆满的完成本项工程，我愿就此做出以下承诺；</w:t>
      </w:r>
    </w:p>
    <w:p>
      <w:pPr>
        <w:spacing w:line="336"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1．本人作为公司选派的本项目的项目负责人，我保证自即日起至项目竣工并通过验收之日止，自始至终全过程常驻工地现场，代表我公司全面负责本工程现场组织，指挥，管理，协调等工作。并承诺在本项目完成后的合同责任保修期内，根据项目实际保修工作需要也能随时到场负责指挥，安排应做的保修工作。</w:t>
      </w:r>
    </w:p>
    <w:p>
      <w:pPr>
        <w:spacing w:line="336"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2．如果本招标工程我公司中标，我本人保证在工程签订合同之日起至工程竣工验收完成期间只担任此工程的项目</w:t>
      </w:r>
      <w:r>
        <w:rPr>
          <w:rFonts w:hint="eastAsia" w:ascii="宋体" w:hAnsi="宋体" w:cs="宋体"/>
          <w:color w:val="auto"/>
          <w:sz w:val="24"/>
          <w:szCs w:val="24"/>
          <w:highlight w:val="none"/>
          <w:u w:val="single"/>
          <w:lang w:val="en-US" w:eastAsia="zh-CN"/>
        </w:rPr>
        <w:t>负责人</w:t>
      </w:r>
      <w:r>
        <w:rPr>
          <w:rFonts w:hint="eastAsia" w:ascii="宋体" w:hAnsi="宋体" w:cs="宋体"/>
          <w:color w:val="auto"/>
          <w:sz w:val="24"/>
          <w:szCs w:val="24"/>
          <w:highlight w:val="none"/>
          <w:u w:val="single"/>
        </w:rPr>
        <w:t>，不参加其他任何工程的登记和任何工作，不在其他任何工程担任本职务。</w:t>
      </w:r>
    </w:p>
    <w:p>
      <w:pPr>
        <w:spacing w:line="336"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3．除非征得业主的书面批准，否则如果违背以上承诺，不能常驻施工现场，我自愿接受业主给予我本人的批评和处罚，并同意业主就此作为我个人的不良纪录进一步上报区行业主管部门，项目负责人证书注册、备案、审批机构，直至广州市等有关部门并接受上述部门给予的通报和相关职能部门给予的扣证等处罚。</w:t>
      </w:r>
    </w:p>
    <w:p>
      <w:pPr>
        <w:spacing w:line="336"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4．项目负责人本人身份证</w:t>
      </w:r>
      <w:r>
        <w:rPr>
          <w:rFonts w:hint="eastAsia" w:ascii="宋体" w:hAnsi="宋体" w:cs="宋体"/>
          <w:color w:val="auto"/>
          <w:sz w:val="24"/>
          <w:szCs w:val="24"/>
          <w:highlight w:val="none"/>
          <w:u w:val="single"/>
          <w:lang w:eastAsia="zh-CN"/>
        </w:rPr>
        <w:t>扫描件</w:t>
      </w:r>
      <w:r>
        <w:rPr>
          <w:rFonts w:hint="eastAsia" w:ascii="宋体" w:hAnsi="宋体" w:cs="宋体"/>
          <w:color w:val="auto"/>
          <w:sz w:val="24"/>
          <w:szCs w:val="24"/>
          <w:highlight w:val="none"/>
          <w:u w:val="single"/>
        </w:rPr>
        <w:t>和两寸相片：</w:t>
      </w:r>
    </w:p>
    <w:p>
      <w:pPr>
        <w:spacing w:line="336" w:lineRule="auto"/>
        <w:rPr>
          <w:rFonts w:ascii="宋体" w:hAnsi="宋体" w:cs="宋体"/>
          <w:color w:val="auto"/>
          <w:sz w:val="24"/>
          <w:szCs w:val="24"/>
          <w:highlight w:val="none"/>
          <w:u w:val="single"/>
        </w:rPr>
      </w:pP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3"/>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6043" w:type="dxa"/>
            <w:tcBorders>
              <w:top w:val="single" w:color="auto" w:sz="4" w:space="0"/>
              <w:left w:val="single" w:color="auto" w:sz="4" w:space="0"/>
              <w:bottom w:val="single" w:color="auto" w:sz="4" w:space="0"/>
              <w:right w:val="single" w:color="auto" w:sz="4" w:space="0"/>
            </w:tcBorders>
          </w:tcPr>
          <w:p>
            <w:pPr>
              <w:spacing w:line="336" w:lineRule="auto"/>
              <w:jc w:val="center"/>
              <w:rPr>
                <w:rFonts w:ascii="宋体" w:hAnsi="宋体" w:cs="宋体"/>
                <w:color w:val="auto"/>
                <w:szCs w:val="21"/>
                <w:highlight w:val="none"/>
                <w:u w:val="single"/>
              </w:rPr>
            </w:pPr>
          </w:p>
          <w:p>
            <w:pPr>
              <w:spacing w:line="336" w:lineRule="auto"/>
              <w:jc w:val="center"/>
              <w:rPr>
                <w:rFonts w:ascii="宋体" w:hAnsi="宋体" w:cs="宋体"/>
                <w:color w:val="auto"/>
                <w:szCs w:val="21"/>
                <w:highlight w:val="none"/>
                <w:u w:val="single"/>
              </w:rPr>
            </w:pPr>
          </w:p>
          <w:p>
            <w:pPr>
              <w:spacing w:line="336" w:lineRule="auto"/>
              <w:jc w:val="center"/>
              <w:rPr>
                <w:rFonts w:ascii="宋体" w:hAnsi="宋体" w:cs="宋体"/>
                <w:color w:val="auto"/>
                <w:szCs w:val="21"/>
                <w:highlight w:val="none"/>
                <w:u w:val="single"/>
              </w:rPr>
            </w:pPr>
          </w:p>
          <w:p>
            <w:pPr>
              <w:spacing w:line="336" w:lineRule="auto"/>
              <w:jc w:val="center"/>
              <w:rPr>
                <w:rFonts w:ascii="宋体" w:hAnsi="宋体" w:cs="宋体"/>
                <w:color w:val="auto"/>
                <w:szCs w:val="21"/>
                <w:highlight w:val="none"/>
                <w:u w:val="single"/>
              </w:rPr>
            </w:pPr>
            <w:r>
              <w:rPr>
                <w:rFonts w:hint="eastAsia" w:ascii="宋体" w:hAnsi="宋体" w:cs="宋体"/>
                <w:color w:val="auto"/>
                <w:szCs w:val="21"/>
                <w:highlight w:val="none"/>
                <w:u w:val="single"/>
              </w:rPr>
              <w:t>身份证扫描件</w:t>
            </w:r>
          </w:p>
        </w:tc>
        <w:tc>
          <w:tcPr>
            <w:tcW w:w="2492" w:type="dxa"/>
            <w:tcBorders>
              <w:top w:val="single" w:color="auto" w:sz="4" w:space="0"/>
              <w:left w:val="single" w:color="auto" w:sz="4" w:space="0"/>
              <w:bottom w:val="single" w:color="auto" w:sz="4" w:space="0"/>
              <w:right w:val="single" w:color="auto" w:sz="4" w:space="0"/>
            </w:tcBorders>
          </w:tcPr>
          <w:p>
            <w:pPr>
              <w:spacing w:line="336" w:lineRule="auto"/>
              <w:jc w:val="center"/>
              <w:rPr>
                <w:rFonts w:ascii="宋体" w:hAnsi="宋体" w:cs="宋体"/>
                <w:color w:val="auto"/>
                <w:szCs w:val="21"/>
                <w:highlight w:val="none"/>
                <w:u w:val="single"/>
              </w:rPr>
            </w:pPr>
          </w:p>
          <w:p>
            <w:pPr>
              <w:spacing w:line="336" w:lineRule="auto"/>
              <w:jc w:val="center"/>
              <w:rPr>
                <w:rFonts w:ascii="宋体" w:hAnsi="宋体" w:cs="宋体"/>
                <w:color w:val="auto"/>
                <w:szCs w:val="21"/>
                <w:highlight w:val="none"/>
                <w:u w:val="single"/>
              </w:rPr>
            </w:pPr>
          </w:p>
          <w:p>
            <w:pPr>
              <w:spacing w:line="336" w:lineRule="auto"/>
              <w:jc w:val="center"/>
              <w:rPr>
                <w:rFonts w:ascii="宋体" w:hAnsi="宋体" w:cs="宋体"/>
                <w:color w:val="auto"/>
                <w:szCs w:val="21"/>
                <w:highlight w:val="none"/>
                <w:u w:val="single"/>
              </w:rPr>
            </w:pPr>
          </w:p>
          <w:p>
            <w:pPr>
              <w:spacing w:line="336" w:lineRule="auto"/>
              <w:jc w:val="center"/>
              <w:rPr>
                <w:rFonts w:ascii="宋体" w:hAnsi="宋体" w:cs="宋体"/>
                <w:color w:val="auto"/>
                <w:szCs w:val="21"/>
                <w:highlight w:val="none"/>
                <w:u w:val="single"/>
              </w:rPr>
            </w:pPr>
            <w:r>
              <w:rPr>
                <w:rFonts w:hint="eastAsia" w:ascii="宋体" w:hAnsi="宋体" w:cs="宋体"/>
                <w:color w:val="auto"/>
                <w:szCs w:val="21"/>
                <w:highlight w:val="none"/>
                <w:u w:val="single"/>
              </w:rPr>
              <w:t>相片</w:t>
            </w:r>
          </w:p>
        </w:tc>
      </w:tr>
    </w:tbl>
    <w:p>
      <w:pPr>
        <w:spacing w:line="336" w:lineRule="auto"/>
        <w:rPr>
          <w:rFonts w:ascii="宋体" w:hAnsi="宋体" w:cs="宋体"/>
          <w:color w:val="auto"/>
          <w:sz w:val="24"/>
          <w:szCs w:val="24"/>
          <w:highlight w:val="none"/>
          <w:u w:val="single"/>
        </w:rPr>
      </w:pPr>
    </w:p>
    <w:p>
      <w:pPr>
        <w:spacing w:line="336" w:lineRule="auto"/>
        <w:ind w:firstLine="3840" w:firstLineChars="16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投 标 人：（盖章）</w:t>
      </w:r>
    </w:p>
    <w:p>
      <w:pPr>
        <w:spacing w:line="336" w:lineRule="auto"/>
        <w:ind w:firstLine="3840" w:firstLineChars="16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 xml:space="preserve">项目负责人签名：                 </w:t>
      </w:r>
    </w:p>
    <w:p>
      <w:pPr>
        <w:tabs>
          <w:tab w:val="left" w:pos="720"/>
        </w:tabs>
        <w:snapToGrid w:val="0"/>
        <w:spacing w:line="336" w:lineRule="auto"/>
        <w:jc w:val="right"/>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 xml:space="preserve">     年   月    日</w:t>
      </w:r>
    </w:p>
    <w:p>
      <w:pPr>
        <w:outlineLvl w:val="9"/>
        <w:rPr>
          <w:color w:val="auto"/>
          <w:sz w:val="27"/>
          <w:szCs w:val="27"/>
          <w:highlight w:val="none"/>
        </w:rPr>
      </w:pPr>
      <w:bookmarkStart w:id="275" w:name="_Toc60070625"/>
      <w:r>
        <w:rPr>
          <w:rFonts w:hint="eastAsia"/>
          <w:color w:val="auto"/>
          <w:sz w:val="27"/>
          <w:szCs w:val="27"/>
          <w:highlight w:val="none"/>
        </w:rPr>
        <w:t>格式五：</w:t>
      </w:r>
      <w:bookmarkEnd w:id="275"/>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施工项目管理团队人员信息表</w:t>
      </w:r>
    </w:p>
    <w:tbl>
      <w:tblPr>
        <w:tblStyle w:val="51"/>
        <w:tblW w:w="9180" w:type="dxa"/>
        <w:tblInd w:w="0" w:type="dxa"/>
        <w:tblLayout w:type="fixed"/>
        <w:tblCellMar>
          <w:top w:w="0" w:type="dxa"/>
          <w:left w:w="108" w:type="dxa"/>
          <w:bottom w:w="0" w:type="dxa"/>
          <w:right w:w="108" w:type="dxa"/>
        </w:tblCellMar>
      </w:tblPr>
      <w:tblGrid>
        <w:gridCol w:w="1242"/>
        <w:gridCol w:w="1744"/>
        <w:gridCol w:w="1549"/>
        <w:gridCol w:w="1417"/>
        <w:gridCol w:w="3228"/>
      </w:tblGrid>
      <w:tr>
        <w:tblPrEx>
          <w:tblCellMar>
            <w:top w:w="0" w:type="dxa"/>
            <w:left w:w="108" w:type="dxa"/>
            <w:bottom w:w="0" w:type="dxa"/>
            <w:right w:w="108" w:type="dxa"/>
          </w:tblCellMar>
        </w:tblPrEx>
        <w:trPr>
          <w:trHeight w:val="975"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1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姓名</w:t>
            </w:r>
          </w:p>
        </w:tc>
        <w:tc>
          <w:tcPr>
            <w:tcW w:w="15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岗位</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职称</w:t>
            </w:r>
          </w:p>
        </w:tc>
        <w:tc>
          <w:tcPr>
            <w:tcW w:w="32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职称证书或资格证书编号</w:t>
            </w:r>
          </w:p>
        </w:tc>
      </w:tr>
      <w:tr>
        <w:tblPrEx>
          <w:tblCellMar>
            <w:top w:w="0" w:type="dxa"/>
            <w:left w:w="108" w:type="dxa"/>
            <w:bottom w:w="0" w:type="dxa"/>
            <w:right w:w="108" w:type="dxa"/>
          </w:tblCellMar>
        </w:tblPrEx>
        <w:trPr>
          <w:trHeight w:val="555"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1</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2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42"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2</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2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55"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3</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2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55"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4</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2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55"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5</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2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55"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6</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2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55"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2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55"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2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3787" w:hRule="atLeast"/>
        </w:trPr>
        <w:tc>
          <w:tcPr>
            <w:tcW w:w="91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备注：</w:t>
            </w:r>
          </w:p>
          <w:p>
            <w:pPr>
              <w:widowControl/>
              <w:jc w:val="left"/>
              <w:rPr>
                <w:rFonts w:hint="eastAsia" w:ascii="宋体" w:hAnsi="宋体" w:eastAsia="宋体" w:cs="宋体"/>
                <w:color w:val="auto"/>
                <w:kern w:val="0"/>
                <w:szCs w:val="21"/>
                <w:highlight w:val="none"/>
                <w:lang w:eastAsia="zh-CN"/>
              </w:rPr>
            </w:pPr>
            <w:r>
              <w:rPr>
                <w:rFonts w:ascii="宋体" w:hAnsi="宋体" w:cs="宋体"/>
                <w:color w:val="auto"/>
                <w:kern w:val="0"/>
                <w:szCs w:val="21"/>
                <w:highlight w:val="none"/>
              </w:rPr>
              <w:t>1、“岗位”要求</w:t>
            </w:r>
            <w:r>
              <w:rPr>
                <w:rFonts w:hint="eastAsia" w:ascii="宋体" w:hAnsi="宋体" w:cs="宋体"/>
                <w:b/>
                <w:bCs/>
                <w:color w:val="auto"/>
                <w:kern w:val="0"/>
                <w:szCs w:val="21"/>
                <w:highlight w:val="none"/>
              </w:rPr>
              <w:t>（除项目负责人和专职安全员外）</w:t>
            </w:r>
            <w:r>
              <w:rPr>
                <w:rFonts w:hint="eastAsia" w:ascii="宋体" w:hAnsi="宋体" w:cs="宋体"/>
                <w:color w:val="auto"/>
                <w:kern w:val="0"/>
                <w:szCs w:val="21"/>
                <w:highlight w:val="none"/>
              </w:rPr>
              <w:t>由招标人根据项目管理需要在本表备注中明确提出，如：拟派驻施工现场的指挥长、技术负责人、质量负责人、安全负责人、造价负责人、工民建（建筑、土木）工程师、机电工程师、暖通工程师、给排水工程师、施工员、质量员、安全员、资料员等。以上项目管理团队人员信息将由交易系统提取后供各相关单位在履约时比对、查核。</w:t>
            </w:r>
          </w:p>
          <w:p>
            <w:pPr>
              <w:widowControl/>
              <w:jc w:val="left"/>
              <w:rPr>
                <w:rFonts w:hint="eastAsia" w:ascii="宋体" w:hAnsi="宋体" w:eastAsia="宋体" w:cs="宋体"/>
                <w:color w:val="auto"/>
                <w:kern w:val="0"/>
                <w:szCs w:val="21"/>
                <w:highlight w:val="none"/>
                <w:lang w:eastAsia="zh-CN"/>
              </w:rPr>
            </w:pPr>
            <w:r>
              <w:rPr>
                <w:rFonts w:ascii="宋体" w:hAnsi="宋体" w:cs="宋体"/>
                <w:color w:val="auto"/>
                <w:kern w:val="0"/>
                <w:szCs w:val="21"/>
                <w:highlight w:val="none"/>
              </w:rP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投标截止时间前可以补充、修改、替代)。</w:t>
            </w:r>
          </w:p>
          <w:p>
            <w:pPr>
              <w:widowControl/>
              <w:jc w:val="left"/>
              <w:rPr>
                <w:rFonts w:ascii="宋体" w:hAnsi="宋体" w:cs="宋体"/>
                <w:color w:val="auto"/>
                <w:kern w:val="0"/>
                <w:szCs w:val="21"/>
                <w:highlight w:val="none"/>
              </w:rPr>
            </w:pPr>
            <w:r>
              <w:rPr>
                <w:rFonts w:ascii="宋体" w:hAnsi="宋体" w:cs="宋体"/>
                <w:color w:val="auto"/>
                <w:kern w:val="0"/>
                <w:szCs w:val="21"/>
                <w:highlight w:val="none"/>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tc>
      </w:tr>
    </w:tbl>
    <w:p>
      <w:pPr>
        <w:pStyle w:val="144"/>
        <w:spacing w:line="240" w:lineRule="auto"/>
        <w:ind w:firstLine="0" w:firstLineChars="0"/>
        <w:rPr>
          <w:color w:val="auto"/>
          <w:highlight w:val="none"/>
        </w:rPr>
      </w:pPr>
      <w:r>
        <w:rPr>
          <w:rFonts w:hint="eastAsia"/>
          <w:color w:val="auto"/>
          <w:highlight w:val="none"/>
        </w:rPr>
        <w:t>注：附相关的证明材料。</w:t>
      </w:r>
    </w:p>
    <w:p>
      <w:pPr>
        <w:topLinePunct/>
        <w:adjustRightInd w:val="0"/>
        <w:snapToGrid w:val="0"/>
        <w:rPr>
          <w:rFonts w:ascii="宋体" w:hAnsi="宋体" w:cs="宋体"/>
          <w:color w:val="auto"/>
          <w:spacing w:val="4"/>
          <w:kern w:val="0"/>
          <w:szCs w:val="21"/>
          <w:highlight w:val="none"/>
        </w:rPr>
      </w:pPr>
    </w:p>
    <w:p>
      <w:pPr>
        <w:topLinePunct/>
        <w:adjustRightInd w:val="0"/>
        <w:snapToGrid w:val="0"/>
        <w:spacing w:line="276" w:lineRule="auto"/>
        <w:ind w:firstLine="3306" w:firstLineChars="1450"/>
        <w:jc w:val="left"/>
        <w:rPr>
          <w:rFonts w:ascii="宋体" w:hAnsi="宋体" w:cs="宋体"/>
          <w:color w:val="auto"/>
          <w:spacing w:val="4"/>
          <w:kern w:val="0"/>
          <w:sz w:val="22"/>
          <w:highlight w:val="none"/>
        </w:rPr>
      </w:pPr>
      <w:r>
        <w:rPr>
          <w:rFonts w:hint="eastAsia" w:ascii="宋体" w:hAnsi="宋体" w:cs="宋体"/>
          <w:color w:val="auto"/>
          <w:spacing w:val="4"/>
          <w:kern w:val="0"/>
          <w:sz w:val="22"/>
          <w:highlight w:val="none"/>
        </w:rPr>
        <w:t>投标人：（盖章）</w:t>
      </w:r>
    </w:p>
    <w:p>
      <w:pPr>
        <w:topLinePunct/>
        <w:adjustRightInd w:val="0"/>
        <w:snapToGrid w:val="0"/>
        <w:spacing w:line="276" w:lineRule="auto"/>
        <w:ind w:firstLine="3306" w:firstLineChars="1450"/>
        <w:jc w:val="left"/>
        <w:rPr>
          <w:rFonts w:ascii="宋体" w:hAnsi="宋体" w:cs="宋体"/>
          <w:color w:val="auto"/>
          <w:spacing w:val="4"/>
          <w:kern w:val="0"/>
          <w:sz w:val="22"/>
          <w:highlight w:val="none"/>
        </w:rPr>
      </w:pPr>
      <w:r>
        <w:rPr>
          <w:rFonts w:hint="eastAsia" w:ascii="宋体" w:hAnsi="宋体" w:cs="宋体"/>
          <w:color w:val="auto"/>
          <w:spacing w:val="4"/>
          <w:kern w:val="0"/>
          <w:sz w:val="22"/>
          <w:highlight w:val="none"/>
        </w:rPr>
        <w:t>法定代表人或授权代理人(签字或盖章)：</w:t>
      </w:r>
    </w:p>
    <w:p>
      <w:pPr>
        <w:autoSpaceDE w:val="0"/>
        <w:autoSpaceDN w:val="0"/>
        <w:adjustRightInd w:val="0"/>
        <w:spacing w:line="276" w:lineRule="auto"/>
        <w:ind w:firstLine="3306" w:firstLineChars="1450"/>
        <w:jc w:val="left"/>
        <w:rPr>
          <w:rFonts w:ascii="宋体" w:hAnsi="宋体" w:cs="宋体"/>
          <w:color w:val="auto"/>
          <w:spacing w:val="4"/>
          <w:kern w:val="0"/>
          <w:sz w:val="22"/>
          <w:highlight w:val="none"/>
        </w:rPr>
      </w:pPr>
      <w:r>
        <w:rPr>
          <w:rFonts w:hint="eastAsia" w:ascii="宋体" w:hAnsi="宋体" w:cs="宋体"/>
          <w:color w:val="auto"/>
          <w:spacing w:val="4"/>
          <w:kern w:val="0"/>
          <w:sz w:val="22"/>
          <w:highlight w:val="none"/>
        </w:rPr>
        <w:t>日   期：    年    月    日</w:t>
      </w:r>
    </w:p>
    <w:p>
      <w:pPr>
        <w:jc w:val="center"/>
        <w:rPr>
          <w:rFonts w:ascii="宋体" w:hAnsi="宋体" w:cs="宋体"/>
          <w:b/>
          <w:color w:val="auto"/>
          <w:sz w:val="36"/>
          <w:szCs w:val="36"/>
          <w:highlight w:val="none"/>
        </w:rPr>
      </w:pPr>
      <w:r>
        <w:rPr>
          <w:rFonts w:hint="eastAsia" w:ascii="宋体" w:hAnsi="宋体"/>
          <w:color w:val="auto"/>
          <w:spacing w:val="4"/>
          <w:highlight w:val="none"/>
        </w:rPr>
        <w:br w:type="page"/>
      </w:r>
      <w:r>
        <w:rPr>
          <w:rFonts w:hint="eastAsia" w:ascii="宋体" w:hAnsi="宋体" w:cs="宋体"/>
          <w:b/>
          <w:color w:val="auto"/>
          <w:sz w:val="36"/>
          <w:szCs w:val="36"/>
          <w:highlight w:val="none"/>
        </w:rPr>
        <w:t>主要人员简历表</w:t>
      </w:r>
    </w:p>
    <w:tbl>
      <w:tblPr>
        <w:tblStyle w:val="51"/>
        <w:tblW w:w="0" w:type="auto"/>
        <w:jc w:val="center"/>
        <w:tblCellSpacing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60" w:type="dxa"/>
          <w:left w:w="60" w:type="dxa"/>
          <w:bottom w:w="60" w:type="dxa"/>
          <w:right w:w="60" w:type="dxa"/>
        </w:tblCellMar>
      </w:tblPr>
      <w:tblGrid>
        <w:gridCol w:w="1334"/>
        <w:gridCol w:w="1488"/>
        <w:gridCol w:w="1534"/>
        <w:gridCol w:w="1911"/>
        <w:gridCol w:w="1361"/>
        <w:gridCol w:w="1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0" w:type="dxa"/>
            <w:left w:w="60" w:type="dxa"/>
            <w:bottom w:w="60" w:type="dxa"/>
            <w:right w:w="60" w:type="dxa"/>
          </w:tblCellMar>
        </w:tblPrEx>
        <w:trPr>
          <w:trHeight w:val="720" w:hRule="atLeast"/>
          <w:tblCellSpacing w:w="0" w:type="dxa"/>
          <w:jc w:val="center"/>
        </w:trPr>
        <w:tc>
          <w:tcPr>
            <w:tcW w:w="1334" w:type="dxa"/>
            <w:tcBorders>
              <w:tl2br w:val="nil"/>
              <w:tr2bl w:val="nil"/>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姓名</w:t>
            </w:r>
          </w:p>
        </w:tc>
        <w:tc>
          <w:tcPr>
            <w:tcW w:w="1488" w:type="dxa"/>
            <w:tcBorders>
              <w:tl2br w:val="nil"/>
              <w:tr2bl w:val="nil"/>
            </w:tcBorders>
            <w:vAlign w:val="center"/>
          </w:tcPr>
          <w:p>
            <w:pPr>
              <w:spacing w:line="360" w:lineRule="auto"/>
              <w:jc w:val="center"/>
              <w:rPr>
                <w:rFonts w:ascii="宋体" w:hAnsi="宋体" w:cs="宋体"/>
                <w:color w:val="auto"/>
                <w:szCs w:val="21"/>
                <w:highlight w:val="none"/>
              </w:rPr>
            </w:pPr>
          </w:p>
        </w:tc>
        <w:tc>
          <w:tcPr>
            <w:tcW w:w="1534" w:type="dxa"/>
            <w:tcBorders>
              <w:tl2br w:val="nil"/>
              <w:tr2bl w:val="nil"/>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性别</w:t>
            </w:r>
          </w:p>
        </w:tc>
        <w:tc>
          <w:tcPr>
            <w:tcW w:w="1911" w:type="dxa"/>
            <w:tcBorders>
              <w:tl2br w:val="nil"/>
              <w:tr2bl w:val="nil"/>
            </w:tcBorders>
            <w:vAlign w:val="center"/>
          </w:tcPr>
          <w:p>
            <w:pPr>
              <w:spacing w:line="360" w:lineRule="auto"/>
              <w:jc w:val="center"/>
              <w:rPr>
                <w:rFonts w:ascii="宋体" w:hAnsi="宋体" w:cs="宋体"/>
                <w:color w:val="auto"/>
                <w:szCs w:val="21"/>
                <w:highlight w:val="none"/>
              </w:rPr>
            </w:pPr>
          </w:p>
        </w:tc>
        <w:tc>
          <w:tcPr>
            <w:tcW w:w="1361" w:type="dxa"/>
            <w:tcBorders>
              <w:tl2br w:val="nil"/>
              <w:tr2bl w:val="nil"/>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年龄</w:t>
            </w:r>
          </w:p>
        </w:tc>
        <w:tc>
          <w:tcPr>
            <w:tcW w:w="1582" w:type="dxa"/>
            <w:tcBorders>
              <w:tl2br w:val="nil"/>
              <w:tr2bl w:val="nil"/>
            </w:tcBorders>
            <w:vAlign w:val="center"/>
          </w:tcPr>
          <w:p>
            <w:pPr>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0" w:type="dxa"/>
            <w:left w:w="60" w:type="dxa"/>
            <w:bottom w:w="60" w:type="dxa"/>
            <w:right w:w="60" w:type="dxa"/>
          </w:tblCellMar>
        </w:tblPrEx>
        <w:trPr>
          <w:trHeight w:val="735" w:hRule="atLeast"/>
          <w:tblCellSpacing w:w="0" w:type="dxa"/>
          <w:jc w:val="center"/>
        </w:trPr>
        <w:tc>
          <w:tcPr>
            <w:tcW w:w="1334" w:type="dxa"/>
            <w:tcBorders>
              <w:tl2br w:val="nil"/>
              <w:tr2bl w:val="nil"/>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职务</w:t>
            </w:r>
          </w:p>
        </w:tc>
        <w:tc>
          <w:tcPr>
            <w:tcW w:w="1488" w:type="dxa"/>
            <w:tcBorders>
              <w:tl2br w:val="nil"/>
              <w:tr2bl w:val="nil"/>
            </w:tcBorders>
            <w:vAlign w:val="center"/>
          </w:tcPr>
          <w:p>
            <w:pPr>
              <w:spacing w:line="360" w:lineRule="auto"/>
              <w:jc w:val="center"/>
              <w:rPr>
                <w:rFonts w:ascii="宋体" w:hAnsi="宋体" w:cs="宋体"/>
                <w:color w:val="auto"/>
                <w:szCs w:val="21"/>
                <w:highlight w:val="none"/>
              </w:rPr>
            </w:pPr>
          </w:p>
        </w:tc>
        <w:tc>
          <w:tcPr>
            <w:tcW w:w="1534" w:type="dxa"/>
            <w:tcBorders>
              <w:tl2br w:val="nil"/>
              <w:tr2bl w:val="nil"/>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职称</w:t>
            </w:r>
          </w:p>
        </w:tc>
        <w:tc>
          <w:tcPr>
            <w:tcW w:w="1911" w:type="dxa"/>
            <w:tcBorders>
              <w:tl2br w:val="nil"/>
              <w:tr2bl w:val="nil"/>
            </w:tcBorders>
            <w:vAlign w:val="center"/>
          </w:tcPr>
          <w:p>
            <w:pPr>
              <w:spacing w:line="360" w:lineRule="auto"/>
              <w:jc w:val="center"/>
              <w:rPr>
                <w:rFonts w:ascii="宋体" w:hAnsi="宋体" w:cs="宋体"/>
                <w:color w:val="auto"/>
                <w:szCs w:val="21"/>
                <w:highlight w:val="none"/>
              </w:rPr>
            </w:pPr>
          </w:p>
        </w:tc>
        <w:tc>
          <w:tcPr>
            <w:tcW w:w="1361" w:type="dxa"/>
            <w:tcBorders>
              <w:tl2br w:val="nil"/>
              <w:tr2bl w:val="nil"/>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学历</w:t>
            </w:r>
          </w:p>
        </w:tc>
        <w:tc>
          <w:tcPr>
            <w:tcW w:w="1582" w:type="dxa"/>
            <w:tcBorders>
              <w:tl2br w:val="nil"/>
              <w:tr2bl w:val="nil"/>
            </w:tcBorders>
            <w:vAlign w:val="center"/>
          </w:tcPr>
          <w:p>
            <w:pPr>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0" w:type="dxa"/>
            <w:left w:w="60" w:type="dxa"/>
            <w:bottom w:w="60" w:type="dxa"/>
            <w:right w:w="60" w:type="dxa"/>
          </w:tblCellMar>
        </w:tblPrEx>
        <w:trPr>
          <w:trHeight w:val="735" w:hRule="atLeast"/>
          <w:tblCellSpacing w:w="0" w:type="dxa"/>
          <w:jc w:val="center"/>
        </w:trPr>
        <w:tc>
          <w:tcPr>
            <w:tcW w:w="2822" w:type="dxa"/>
            <w:gridSpan w:val="2"/>
            <w:tcBorders>
              <w:tl2br w:val="nil"/>
              <w:tr2bl w:val="nil"/>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参加工作时间</w:t>
            </w:r>
          </w:p>
        </w:tc>
        <w:tc>
          <w:tcPr>
            <w:tcW w:w="1534" w:type="dxa"/>
            <w:tcBorders>
              <w:tl2br w:val="nil"/>
              <w:tr2bl w:val="nil"/>
            </w:tcBorders>
            <w:vAlign w:val="center"/>
          </w:tcPr>
          <w:p>
            <w:pPr>
              <w:spacing w:line="360" w:lineRule="auto"/>
              <w:jc w:val="center"/>
              <w:rPr>
                <w:rFonts w:ascii="宋体" w:hAnsi="宋体" w:cs="宋体"/>
                <w:color w:val="auto"/>
                <w:szCs w:val="21"/>
                <w:highlight w:val="none"/>
              </w:rPr>
            </w:pPr>
          </w:p>
        </w:tc>
        <w:tc>
          <w:tcPr>
            <w:tcW w:w="1911" w:type="dxa"/>
            <w:tcBorders>
              <w:tl2br w:val="nil"/>
              <w:tr2bl w:val="nil"/>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担任相应职务年限</w:t>
            </w:r>
          </w:p>
        </w:tc>
        <w:tc>
          <w:tcPr>
            <w:tcW w:w="2943" w:type="dxa"/>
            <w:gridSpan w:val="2"/>
            <w:tcBorders>
              <w:tl2br w:val="nil"/>
              <w:tr2bl w:val="nil"/>
            </w:tcBorders>
            <w:vAlign w:val="center"/>
          </w:tcPr>
          <w:p>
            <w:pPr>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0" w:type="dxa"/>
            <w:left w:w="60" w:type="dxa"/>
            <w:bottom w:w="60" w:type="dxa"/>
            <w:right w:w="60" w:type="dxa"/>
          </w:tblCellMar>
        </w:tblPrEx>
        <w:trPr>
          <w:trHeight w:val="735" w:hRule="atLeast"/>
          <w:tblCellSpacing w:w="0" w:type="dxa"/>
          <w:jc w:val="center"/>
        </w:trPr>
        <w:tc>
          <w:tcPr>
            <w:tcW w:w="2822" w:type="dxa"/>
            <w:gridSpan w:val="2"/>
            <w:tcBorders>
              <w:tl2br w:val="nil"/>
              <w:tr2bl w:val="nil"/>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资格证书号</w:t>
            </w:r>
          </w:p>
        </w:tc>
        <w:tc>
          <w:tcPr>
            <w:tcW w:w="6388" w:type="dxa"/>
            <w:gridSpan w:val="4"/>
            <w:tcBorders>
              <w:tl2br w:val="nil"/>
              <w:tr2bl w:val="nil"/>
            </w:tcBorders>
            <w:vAlign w:val="center"/>
          </w:tcPr>
          <w:p>
            <w:pPr>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0" w:type="dxa"/>
            <w:left w:w="60" w:type="dxa"/>
            <w:bottom w:w="60" w:type="dxa"/>
            <w:right w:w="60" w:type="dxa"/>
          </w:tblCellMar>
        </w:tblPrEx>
        <w:trPr>
          <w:trHeight w:val="735" w:hRule="atLeast"/>
          <w:tblCellSpacing w:w="0" w:type="dxa"/>
          <w:jc w:val="center"/>
        </w:trPr>
        <w:tc>
          <w:tcPr>
            <w:tcW w:w="9210" w:type="dxa"/>
            <w:gridSpan w:val="6"/>
            <w:tcBorders>
              <w:tl2br w:val="nil"/>
              <w:tr2bl w:val="nil"/>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业绩简介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0" w:type="dxa"/>
            <w:left w:w="60" w:type="dxa"/>
            <w:bottom w:w="60" w:type="dxa"/>
            <w:right w:w="60" w:type="dxa"/>
          </w:tblCellMar>
        </w:tblPrEx>
        <w:trPr>
          <w:trHeight w:val="735" w:hRule="atLeast"/>
          <w:tblCellSpacing w:w="0" w:type="dxa"/>
          <w:jc w:val="center"/>
        </w:trPr>
        <w:tc>
          <w:tcPr>
            <w:tcW w:w="1334" w:type="dxa"/>
            <w:tcBorders>
              <w:tl2br w:val="nil"/>
              <w:tr2bl w:val="nil"/>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建设单位</w:t>
            </w:r>
          </w:p>
        </w:tc>
        <w:tc>
          <w:tcPr>
            <w:tcW w:w="1488" w:type="dxa"/>
            <w:tcBorders>
              <w:tl2br w:val="nil"/>
              <w:tr2bl w:val="nil"/>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1534" w:type="dxa"/>
            <w:tcBorders>
              <w:tl2br w:val="nil"/>
              <w:tr2bl w:val="nil"/>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建设规模</w:t>
            </w:r>
          </w:p>
        </w:tc>
        <w:tc>
          <w:tcPr>
            <w:tcW w:w="1911" w:type="dxa"/>
            <w:tcBorders>
              <w:tl2br w:val="nil"/>
              <w:tr2bl w:val="nil"/>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开、竣工日期</w:t>
            </w:r>
          </w:p>
        </w:tc>
        <w:tc>
          <w:tcPr>
            <w:tcW w:w="1361" w:type="dxa"/>
            <w:tcBorders>
              <w:tl2br w:val="nil"/>
              <w:tr2bl w:val="nil"/>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在建或已完工程质量</w:t>
            </w:r>
          </w:p>
        </w:tc>
        <w:tc>
          <w:tcPr>
            <w:tcW w:w="1582" w:type="dxa"/>
            <w:tcBorders>
              <w:tl2br w:val="nil"/>
              <w:tr2bl w:val="nil"/>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担任职务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0" w:type="dxa"/>
            <w:left w:w="60" w:type="dxa"/>
            <w:bottom w:w="60" w:type="dxa"/>
            <w:right w:w="60" w:type="dxa"/>
          </w:tblCellMar>
        </w:tblPrEx>
        <w:trPr>
          <w:trHeight w:val="735" w:hRule="atLeast"/>
          <w:tblCellSpacing w:w="0" w:type="dxa"/>
          <w:jc w:val="center"/>
        </w:trPr>
        <w:tc>
          <w:tcPr>
            <w:tcW w:w="1334" w:type="dxa"/>
            <w:tcBorders>
              <w:tl2br w:val="nil"/>
              <w:tr2bl w:val="nil"/>
            </w:tcBorders>
            <w:vAlign w:val="center"/>
          </w:tcPr>
          <w:p>
            <w:pPr>
              <w:spacing w:line="360" w:lineRule="auto"/>
              <w:jc w:val="left"/>
              <w:rPr>
                <w:rFonts w:ascii="宋体" w:hAnsi="宋体" w:cs="宋体"/>
                <w:color w:val="auto"/>
                <w:szCs w:val="21"/>
                <w:highlight w:val="none"/>
              </w:rPr>
            </w:pPr>
          </w:p>
        </w:tc>
        <w:tc>
          <w:tcPr>
            <w:tcW w:w="1488" w:type="dxa"/>
            <w:tcBorders>
              <w:tl2br w:val="nil"/>
              <w:tr2bl w:val="nil"/>
            </w:tcBorders>
            <w:vAlign w:val="center"/>
          </w:tcPr>
          <w:p>
            <w:pPr>
              <w:spacing w:line="360" w:lineRule="auto"/>
              <w:jc w:val="left"/>
              <w:rPr>
                <w:rFonts w:ascii="宋体" w:hAnsi="宋体" w:cs="宋体"/>
                <w:color w:val="auto"/>
                <w:szCs w:val="21"/>
                <w:highlight w:val="none"/>
              </w:rPr>
            </w:pPr>
          </w:p>
        </w:tc>
        <w:tc>
          <w:tcPr>
            <w:tcW w:w="1534" w:type="dxa"/>
            <w:tcBorders>
              <w:tl2br w:val="nil"/>
              <w:tr2bl w:val="nil"/>
            </w:tcBorders>
            <w:vAlign w:val="center"/>
          </w:tcPr>
          <w:p>
            <w:pPr>
              <w:spacing w:line="360" w:lineRule="auto"/>
              <w:jc w:val="left"/>
              <w:rPr>
                <w:rFonts w:ascii="宋体" w:hAnsi="宋体" w:cs="宋体"/>
                <w:color w:val="auto"/>
                <w:szCs w:val="21"/>
                <w:highlight w:val="none"/>
              </w:rPr>
            </w:pPr>
          </w:p>
        </w:tc>
        <w:tc>
          <w:tcPr>
            <w:tcW w:w="1911" w:type="dxa"/>
            <w:tcBorders>
              <w:tl2br w:val="nil"/>
              <w:tr2bl w:val="nil"/>
            </w:tcBorders>
            <w:vAlign w:val="center"/>
          </w:tcPr>
          <w:p>
            <w:pPr>
              <w:spacing w:line="360" w:lineRule="auto"/>
              <w:jc w:val="left"/>
              <w:rPr>
                <w:rFonts w:ascii="宋体" w:hAnsi="宋体" w:cs="宋体"/>
                <w:color w:val="auto"/>
                <w:szCs w:val="21"/>
                <w:highlight w:val="none"/>
              </w:rPr>
            </w:pPr>
          </w:p>
        </w:tc>
        <w:tc>
          <w:tcPr>
            <w:tcW w:w="1361" w:type="dxa"/>
            <w:tcBorders>
              <w:tl2br w:val="nil"/>
              <w:tr2bl w:val="nil"/>
            </w:tcBorders>
            <w:vAlign w:val="center"/>
          </w:tcPr>
          <w:p>
            <w:pPr>
              <w:spacing w:line="360" w:lineRule="auto"/>
              <w:jc w:val="left"/>
              <w:rPr>
                <w:rFonts w:ascii="宋体" w:hAnsi="宋体" w:cs="宋体"/>
                <w:color w:val="auto"/>
                <w:szCs w:val="21"/>
                <w:highlight w:val="none"/>
              </w:rPr>
            </w:pPr>
          </w:p>
        </w:tc>
        <w:tc>
          <w:tcPr>
            <w:tcW w:w="1582" w:type="dxa"/>
            <w:tcBorders>
              <w:tl2br w:val="nil"/>
              <w:tr2bl w:val="nil"/>
            </w:tcBorders>
            <w:vAlign w:val="center"/>
          </w:tcPr>
          <w:p>
            <w:pPr>
              <w:spacing w:line="360" w:lineRule="auto"/>
              <w:jc w:val="lef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0" w:type="dxa"/>
            <w:left w:w="60" w:type="dxa"/>
            <w:bottom w:w="60" w:type="dxa"/>
            <w:right w:w="60" w:type="dxa"/>
          </w:tblCellMar>
        </w:tblPrEx>
        <w:trPr>
          <w:trHeight w:val="735" w:hRule="atLeast"/>
          <w:tblCellSpacing w:w="0" w:type="dxa"/>
          <w:jc w:val="center"/>
        </w:trPr>
        <w:tc>
          <w:tcPr>
            <w:tcW w:w="1334" w:type="dxa"/>
            <w:tcBorders>
              <w:tl2br w:val="nil"/>
              <w:tr2bl w:val="nil"/>
            </w:tcBorders>
            <w:vAlign w:val="center"/>
          </w:tcPr>
          <w:p>
            <w:pPr>
              <w:spacing w:line="360" w:lineRule="auto"/>
              <w:jc w:val="left"/>
              <w:rPr>
                <w:rFonts w:ascii="宋体" w:hAnsi="宋体" w:cs="宋体"/>
                <w:color w:val="auto"/>
                <w:szCs w:val="21"/>
                <w:highlight w:val="none"/>
              </w:rPr>
            </w:pPr>
          </w:p>
        </w:tc>
        <w:tc>
          <w:tcPr>
            <w:tcW w:w="1488" w:type="dxa"/>
            <w:tcBorders>
              <w:tl2br w:val="nil"/>
              <w:tr2bl w:val="nil"/>
            </w:tcBorders>
            <w:vAlign w:val="center"/>
          </w:tcPr>
          <w:p>
            <w:pPr>
              <w:spacing w:line="360" w:lineRule="auto"/>
              <w:jc w:val="left"/>
              <w:rPr>
                <w:rFonts w:ascii="宋体" w:hAnsi="宋体" w:cs="宋体"/>
                <w:color w:val="auto"/>
                <w:szCs w:val="21"/>
                <w:highlight w:val="none"/>
              </w:rPr>
            </w:pPr>
          </w:p>
        </w:tc>
        <w:tc>
          <w:tcPr>
            <w:tcW w:w="1534" w:type="dxa"/>
            <w:tcBorders>
              <w:tl2br w:val="nil"/>
              <w:tr2bl w:val="nil"/>
            </w:tcBorders>
            <w:vAlign w:val="center"/>
          </w:tcPr>
          <w:p>
            <w:pPr>
              <w:spacing w:line="360" w:lineRule="auto"/>
              <w:jc w:val="left"/>
              <w:rPr>
                <w:rFonts w:ascii="宋体" w:hAnsi="宋体" w:cs="宋体"/>
                <w:color w:val="auto"/>
                <w:szCs w:val="21"/>
                <w:highlight w:val="none"/>
              </w:rPr>
            </w:pPr>
          </w:p>
        </w:tc>
        <w:tc>
          <w:tcPr>
            <w:tcW w:w="1911" w:type="dxa"/>
            <w:tcBorders>
              <w:tl2br w:val="nil"/>
              <w:tr2bl w:val="nil"/>
            </w:tcBorders>
            <w:vAlign w:val="center"/>
          </w:tcPr>
          <w:p>
            <w:pPr>
              <w:spacing w:line="360" w:lineRule="auto"/>
              <w:jc w:val="left"/>
              <w:rPr>
                <w:rFonts w:ascii="宋体" w:hAnsi="宋体" w:cs="宋体"/>
                <w:color w:val="auto"/>
                <w:szCs w:val="21"/>
                <w:highlight w:val="none"/>
              </w:rPr>
            </w:pPr>
          </w:p>
        </w:tc>
        <w:tc>
          <w:tcPr>
            <w:tcW w:w="1361" w:type="dxa"/>
            <w:tcBorders>
              <w:tl2br w:val="nil"/>
              <w:tr2bl w:val="nil"/>
            </w:tcBorders>
            <w:vAlign w:val="center"/>
          </w:tcPr>
          <w:p>
            <w:pPr>
              <w:spacing w:line="360" w:lineRule="auto"/>
              <w:jc w:val="left"/>
              <w:rPr>
                <w:rFonts w:ascii="宋体" w:hAnsi="宋体" w:cs="宋体"/>
                <w:color w:val="auto"/>
                <w:szCs w:val="21"/>
                <w:highlight w:val="none"/>
              </w:rPr>
            </w:pPr>
          </w:p>
        </w:tc>
        <w:tc>
          <w:tcPr>
            <w:tcW w:w="1582" w:type="dxa"/>
            <w:tcBorders>
              <w:tl2br w:val="nil"/>
              <w:tr2bl w:val="nil"/>
            </w:tcBorders>
            <w:vAlign w:val="center"/>
          </w:tcPr>
          <w:p>
            <w:pPr>
              <w:spacing w:line="360" w:lineRule="auto"/>
              <w:jc w:val="left"/>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0" w:type="dxa"/>
            <w:left w:w="60" w:type="dxa"/>
            <w:bottom w:w="60" w:type="dxa"/>
            <w:right w:w="60" w:type="dxa"/>
          </w:tblCellMar>
        </w:tblPrEx>
        <w:trPr>
          <w:trHeight w:val="735" w:hRule="atLeast"/>
          <w:tblCellSpacing w:w="0" w:type="dxa"/>
          <w:jc w:val="center"/>
        </w:trPr>
        <w:tc>
          <w:tcPr>
            <w:tcW w:w="1334" w:type="dxa"/>
            <w:tcBorders>
              <w:tl2br w:val="nil"/>
              <w:tr2bl w:val="nil"/>
            </w:tcBorders>
            <w:vAlign w:val="center"/>
          </w:tcPr>
          <w:p>
            <w:pPr>
              <w:spacing w:line="360" w:lineRule="auto"/>
              <w:jc w:val="left"/>
              <w:rPr>
                <w:rFonts w:ascii="宋体" w:hAnsi="宋体" w:cs="宋体"/>
                <w:color w:val="auto"/>
                <w:szCs w:val="21"/>
                <w:highlight w:val="none"/>
              </w:rPr>
            </w:pPr>
          </w:p>
        </w:tc>
        <w:tc>
          <w:tcPr>
            <w:tcW w:w="1488" w:type="dxa"/>
            <w:tcBorders>
              <w:tl2br w:val="nil"/>
              <w:tr2bl w:val="nil"/>
            </w:tcBorders>
            <w:vAlign w:val="center"/>
          </w:tcPr>
          <w:p>
            <w:pPr>
              <w:spacing w:line="360" w:lineRule="auto"/>
              <w:jc w:val="left"/>
              <w:rPr>
                <w:rFonts w:ascii="宋体" w:hAnsi="宋体" w:cs="宋体"/>
                <w:color w:val="auto"/>
                <w:szCs w:val="21"/>
                <w:highlight w:val="none"/>
              </w:rPr>
            </w:pPr>
          </w:p>
        </w:tc>
        <w:tc>
          <w:tcPr>
            <w:tcW w:w="1534" w:type="dxa"/>
            <w:tcBorders>
              <w:tl2br w:val="nil"/>
              <w:tr2bl w:val="nil"/>
            </w:tcBorders>
            <w:vAlign w:val="center"/>
          </w:tcPr>
          <w:p>
            <w:pPr>
              <w:spacing w:line="360" w:lineRule="auto"/>
              <w:jc w:val="left"/>
              <w:rPr>
                <w:rFonts w:ascii="宋体" w:hAnsi="宋体" w:cs="宋体"/>
                <w:color w:val="auto"/>
                <w:szCs w:val="21"/>
                <w:highlight w:val="none"/>
              </w:rPr>
            </w:pPr>
          </w:p>
        </w:tc>
        <w:tc>
          <w:tcPr>
            <w:tcW w:w="1911" w:type="dxa"/>
            <w:tcBorders>
              <w:tl2br w:val="nil"/>
              <w:tr2bl w:val="nil"/>
            </w:tcBorders>
            <w:vAlign w:val="center"/>
          </w:tcPr>
          <w:p>
            <w:pPr>
              <w:spacing w:line="360" w:lineRule="auto"/>
              <w:jc w:val="left"/>
              <w:rPr>
                <w:rFonts w:ascii="宋体" w:hAnsi="宋体" w:cs="宋体"/>
                <w:color w:val="auto"/>
                <w:szCs w:val="21"/>
                <w:highlight w:val="none"/>
              </w:rPr>
            </w:pPr>
          </w:p>
        </w:tc>
        <w:tc>
          <w:tcPr>
            <w:tcW w:w="1361" w:type="dxa"/>
            <w:tcBorders>
              <w:tl2br w:val="nil"/>
              <w:tr2bl w:val="nil"/>
            </w:tcBorders>
            <w:vAlign w:val="center"/>
          </w:tcPr>
          <w:p>
            <w:pPr>
              <w:spacing w:line="360" w:lineRule="auto"/>
              <w:jc w:val="left"/>
              <w:rPr>
                <w:rFonts w:ascii="宋体" w:hAnsi="宋体" w:cs="宋体"/>
                <w:color w:val="auto"/>
                <w:szCs w:val="21"/>
                <w:highlight w:val="none"/>
              </w:rPr>
            </w:pPr>
          </w:p>
        </w:tc>
        <w:tc>
          <w:tcPr>
            <w:tcW w:w="1582" w:type="dxa"/>
            <w:tcBorders>
              <w:tl2br w:val="nil"/>
              <w:tr2bl w:val="nil"/>
            </w:tcBorders>
            <w:vAlign w:val="center"/>
          </w:tcPr>
          <w:p>
            <w:pPr>
              <w:spacing w:line="360" w:lineRule="auto"/>
              <w:jc w:val="left"/>
              <w:rPr>
                <w:rFonts w:ascii="宋体" w:hAnsi="宋体" w:cs="宋体"/>
                <w:color w:val="auto"/>
                <w:szCs w:val="21"/>
                <w:highlight w:val="none"/>
              </w:rPr>
            </w:pPr>
          </w:p>
        </w:tc>
      </w:tr>
    </w:tbl>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p>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p>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p>
    <w:p>
      <w:pPr>
        <w:autoSpaceDE w:val="0"/>
        <w:autoSpaceDN w:val="0"/>
        <w:adjustRightInd w:val="0"/>
        <w:spacing w:line="360" w:lineRule="auto"/>
        <w:ind w:firstLine="4677" w:firstLineChars="1886"/>
        <w:jc w:val="left"/>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投标人：（盖章）</w:t>
      </w:r>
    </w:p>
    <w:p>
      <w:pPr>
        <w:autoSpaceDE w:val="0"/>
        <w:autoSpaceDN w:val="0"/>
        <w:adjustRightInd w:val="0"/>
        <w:spacing w:line="360" w:lineRule="auto"/>
        <w:ind w:firstLine="4677" w:firstLineChars="1886"/>
        <w:jc w:val="left"/>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法定代表人或授权代理人(签字或盖章)：</w:t>
      </w:r>
    </w:p>
    <w:p>
      <w:pPr>
        <w:autoSpaceDE w:val="0"/>
        <w:autoSpaceDN w:val="0"/>
        <w:adjustRightInd w:val="0"/>
        <w:spacing w:line="360" w:lineRule="auto"/>
        <w:ind w:firstLine="4677" w:firstLineChars="1886"/>
        <w:jc w:val="left"/>
        <w:rPr>
          <w:rFonts w:ascii="宋体" w:hAnsi="宋体" w:cs="宋体"/>
          <w:color w:val="auto"/>
          <w:sz w:val="24"/>
          <w:szCs w:val="24"/>
          <w:highlight w:val="none"/>
        </w:rPr>
      </w:pPr>
      <w:r>
        <w:rPr>
          <w:rFonts w:hint="eastAsia" w:ascii="宋体" w:hAnsi="宋体" w:cs="宋体"/>
          <w:color w:val="auto"/>
          <w:spacing w:val="4"/>
          <w:kern w:val="0"/>
          <w:sz w:val="24"/>
          <w:szCs w:val="24"/>
          <w:highlight w:val="none"/>
        </w:rPr>
        <w:t>日   期：    年    月    日</w:t>
      </w:r>
    </w:p>
    <w:p>
      <w:pPr>
        <w:autoSpaceDE w:val="0"/>
        <w:autoSpaceDN w:val="0"/>
        <w:adjustRightInd w:val="0"/>
        <w:jc w:val="right"/>
        <w:rPr>
          <w:rFonts w:ascii="宋体" w:hAnsi="宋体" w:cs="宋体"/>
          <w:color w:val="auto"/>
          <w:sz w:val="24"/>
          <w:szCs w:val="24"/>
          <w:highlight w:val="none"/>
        </w:rPr>
      </w:pPr>
    </w:p>
    <w:p>
      <w:pPr>
        <w:rPr>
          <w:color w:val="auto"/>
          <w:highlight w:val="none"/>
        </w:rPr>
      </w:pPr>
      <w:r>
        <w:rPr>
          <w:rFonts w:hint="eastAsia"/>
          <w:color w:val="auto"/>
          <w:highlight w:val="none"/>
        </w:rPr>
        <w:br w:type="page"/>
      </w:r>
    </w:p>
    <w:p>
      <w:pPr>
        <w:outlineLvl w:val="9"/>
        <w:rPr>
          <w:color w:val="auto"/>
          <w:sz w:val="27"/>
          <w:szCs w:val="27"/>
          <w:highlight w:val="none"/>
        </w:rPr>
      </w:pPr>
      <w:bookmarkStart w:id="276" w:name="_Toc60070626"/>
      <w:r>
        <w:rPr>
          <w:rFonts w:hint="eastAsia"/>
          <w:color w:val="auto"/>
          <w:sz w:val="27"/>
          <w:szCs w:val="27"/>
          <w:highlight w:val="none"/>
        </w:rPr>
        <w:t>格式六：</w:t>
      </w:r>
      <w:bookmarkEnd w:id="276"/>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企业业绩信息表</w:t>
      </w:r>
    </w:p>
    <w:p>
      <w:pPr>
        <w:rPr>
          <w:rFonts w:ascii="宋体" w:hAnsi="宋体"/>
          <w:color w:val="auto"/>
          <w:sz w:val="24"/>
          <w:szCs w:val="24"/>
          <w:highlight w:val="none"/>
        </w:rPr>
      </w:pPr>
    </w:p>
    <w:tbl>
      <w:tblPr>
        <w:tblStyle w:val="51"/>
        <w:tblpPr w:leftFromText="180" w:rightFromText="180" w:vertAnchor="text" w:horzAnchor="margin" w:tblpXSpec="center" w:tblpY="-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2163"/>
        <w:gridCol w:w="2693"/>
        <w:gridCol w:w="3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类似工程业绩</w:t>
            </w:r>
          </w:p>
        </w:tc>
        <w:tc>
          <w:tcPr>
            <w:tcW w:w="2163"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olor w:val="auto"/>
                <w:sz w:val="24"/>
                <w:szCs w:val="24"/>
                <w:highlight w:val="none"/>
              </w:rPr>
            </w:pPr>
            <w:r>
              <w:rPr>
                <w:rFonts w:hint="eastAsia" w:ascii="宋体" w:hAnsi="宋体"/>
                <w:color w:val="auto"/>
                <w:sz w:val="24"/>
                <w:szCs w:val="24"/>
                <w:highlight w:val="none"/>
              </w:rPr>
              <w:t>工程名称</w:t>
            </w:r>
          </w:p>
        </w:tc>
        <w:tc>
          <w:tcPr>
            <w:tcW w:w="2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 xml:space="preserve"> 金额</w:t>
            </w:r>
          </w:p>
        </w:tc>
        <w:tc>
          <w:tcPr>
            <w:tcW w:w="3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4" w:type="dxa"/>
            <w:vMerge w:val="continue"/>
            <w:tcBorders>
              <w:left w:val="single" w:color="auto" w:sz="4" w:space="0"/>
              <w:right w:val="single" w:color="auto" w:sz="4" w:space="0"/>
            </w:tcBorders>
            <w:vAlign w:val="center"/>
          </w:tcPr>
          <w:p>
            <w:pPr>
              <w:widowControl/>
              <w:jc w:val="center"/>
              <w:rPr>
                <w:rFonts w:ascii="宋体" w:hAnsi="宋体" w:cs="宋体"/>
                <w:bCs/>
                <w:color w:val="auto"/>
                <w:sz w:val="24"/>
                <w:szCs w:val="24"/>
                <w:highlight w:val="none"/>
                <w:lang w:val="zh-CN"/>
              </w:rPr>
            </w:pPr>
          </w:p>
        </w:tc>
        <w:tc>
          <w:tcPr>
            <w:tcW w:w="2163" w:type="dxa"/>
            <w:tcBorders>
              <w:left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c>
          <w:tcPr>
            <w:tcW w:w="2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c>
          <w:tcPr>
            <w:tcW w:w="3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4" w:type="dxa"/>
            <w:vMerge w:val="continue"/>
            <w:tcBorders>
              <w:left w:val="single" w:color="auto" w:sz="4" w:space="0"/>
              <w:right w:val="single" w:color="auto" w:sz="4" w:space="0"/>
            </w:tcBorders>
            <w:vAlign w:val="center"/>
          </w:tcPr>
          <w:p>
            <w:pPr>
              <w:widowControl/>
              <w:jc w:val="center"/>
              <w:rPr>
                <w:rFonts w:ascii="宋体" w:hAnsi="宋体" w:cs="宋体"/>
                <w:bCs/>
                <w:color w:val="auto"/>
                <w:sz w:val="24"/>
                <w:szCs w:val="24"/>
                <w:highlight w:val="none"/>
                <w:lang w:val="zh-CN"/>
              </w:rPr>
            </w:pPr>
          </w:p>
        </w:tc>
        <w:tc>
          <w:tcPr>
            <w:tcW w:w="2163" w:type="dxa"/>
            <w:tcBorders>
              <w:left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c>
          <w:tcPr>
            <w:tcW w:w="2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c>
          <w:tcPr>
            <w:tcW w:w="3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4" w:type="dxa"/>
            <w:vMerge w:val="restart"/>
            <w:tcBorders>
              <w:left w:val="single" w:color="auto" w:sz="4" w:space="0"/>
              <w:right w:val="single" w:color="auto" w:sz="4" w:space="0"/>
            </w:tcBorders>
            <w:vAlign w:val="center"/>
          </w:tcPr>
          <w:p>
            <w:pPr>
              <w:widowControl/>
              <w:jc w:val="center"/>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获奖情况</w:t>
            </w:r>
          </w:p>
        </w:tc>
        <w:tc>
          <w:tcPr>
            <w:tcW w:w="2163" w:type="dxa"/>
            <w:tcBorders>
              <w:left w:val="single" w:color="auto" w:sz="4" w:space="0"/>
              <w:right w:val="single" w:color="auto" w:sz="4" w:space="0"/>
            </w:tcBorders>
            <w:vAlign w:val="center"/>
          </w:tcPr>
          <w:p>
            <w:pPr>
              <w:autoSpaceDE w:val="0"/>
              <w:autoSpaceDN w:val="0"/>
              <w:adjustRightInd w:val="0"/>
              <w:jc w:val="center"/>
              <w:rPr>
                <w:rFonts w:ascii="宋体" w:hAnsi="宋体"/>
                <w:color w:val="auto"/>
                <w:sz w:val="24"/>
                <w:szCs w:val="24"/>
                <w:highlight w:val="none"/>
              </w:rPr>
            </w:pPr>
            <w:r>
              <w:rPr>
                <w:rFonts w:hint="eastAsia" w:ascii="宋体" w:hAnsi="宋体"/>
                <w:color w:val="auto"/>
                <w:sz w:val="24"/>
                <w:szCs w:val="24"/>
                <w:highlight w:val="none"/>
              </w:rPr>
              <w:t>工程名称</w:t>
            </w:r>
          </w:p>
        </w:tc>
        <w:tc>
          <w:tcPr>
            <w:tcW w:w="2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所获奖项</w:t>
            </w:r>
          </w:p>
        </w:tc>
        <w:tc>
          <w:tcPr>
            <w:tcW w:w="3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4" w:type="dxa"/>
            <w:vMerge w:val="continue"/>
            <w:tcBorders>
              <w:left w:val="single" w:color="auto" w:sz="4" w:space="0"/>
              <w:right w:val="single" w:color="auto" w:sz="4" w:space="0"/>
            </w:tcBorders>
            <w:vAlign w:val="center"/>
          </w:tcPr>
          <w:p>
            <w:pPr>
              <w:widowControl/>
              <w:jc w:val="center"/>
              <w:rPr>
                <w:rFonts w:ascii="宋体" w:hAnsi="宋体" w:cs="宋体"/>
                <w:bCs/>
                <w:color w:val="auto"/>
                <w:sz w:val="24"/>
                <w:szCs w:val="24"/>
                <w:highlight w:val="none"/>
                <w:lang w:val="zh-CN"/>
              </w:rPr>
            </w:pPr>
          </w:p>
        </w:tc>
        <w:tc>
          <w:tcPr>
            <w:tcW w:w="2163" w:type="dxa"/>
            <w:tcBorders>
              <w:left w:val="single" w:color="auto" w:sz="4" w:space="0"/>
              <w:right w:val="single" w:color="auto" w:sz="4" w:space="0"/>
            </w:tcBorders>
          </w:tcPr>
          <w:p>
            <w:pPr>
              <w:autoSpaceDE w:val="0"/>
              <w:autoSpaceDN w:val="0"/>
              <w:adjustRightInd w:val="0"/>
              <w:jc w:val="center"/>
              <w:rPr>
                <w:rFonts w:ascii="宋体" w:hAnsi="宋体" w:cs="宋体"/>
                <w:bCs/>
                <w:color w:val="auto"/>
                <w:sz w:val="24"/>
                <w:szCs w:val="24"/>
                <w:highlight w:val="none"/>
                <w:lang w:val="zh-CN"/>
              </w:rPr>
            </w:pPr>
          </w:p>
        </w:tc>
        <w:tc>
          <w:tcPr>
            <w:tcW w:w="2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c>
          <w:tcPr>
            <w:tcW w:w="3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4" w:type="dxa"/>
            <w:vMerge w:val="continue"/>
            <w:tcBorders>
              <w:left w:val="single" w:color="auto" w:sz="4" w:space="0"/>
              <w:right w:val="single" w:color="auto" w:sz="4" w:space="0"/>
            </w:tcBorders>
            <w:vAlign w:val="center"/>
          </w:tcPr>
          <w:p>
            <w:pPr>
              <w:widowControl/>
              <w:jc w:val="center"/>
              <w:rPr>
                <w:rFonts w:ascii="宋体" w:hAnsi="宋体" w:cs="宋体"/>
                <w:bCs/>
                <w:color w:val="auto"/>
                <w:sz w:val="24"/>
                <w:szCs w:val="24"/>
                <w:highlight w:val="none"/>
                <w:lang w:val="zh-CN"/>
              </w:rPr>
            </w:pPr>
          </w:p>
        </w:tc>
        <w:tc>
          <w:tcPr>
            <w:tcW w:w="2163" w:type="dxa"/>
            <w:tcBorders>
              <w:left w:val="single" w:color="auto" w:sz="4" w:space="0"/>
              <w:right w:val="single" w:color="auto" w:sz="4" w:space="0"/>
            </w:tcBorders>
          </w:tcPr>
          <w:p>
            <w:pPr>
              <w:autoSpaceDE w:val="0"/>
              <w:autoSpaceDN w:val="0"/>
              <w:adjustRightInd w:val="0"/>
              <w:jc w:val="center"/>
              <w:rPr>
                <w:rFonts w:ascii="宋体" w:hAnsi="宋体" w:cs="宋体"/>
                <w:bCs/>
                <w:color w:val="auto"/>
                <w:sz w:val="24"/>
                <w:szCs w:val="24"/>
                <w:highlight w:val="none"/>
                <w:lang w:val="zh-CN"/>
              </w:rPr>
            </w:pPr>
          </w:p>
        </w:tc>
        <w:tc>
          <w:tcPr>
            <w:tcW w:w="26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c>
          <w:tcPr>
            <w:tcW w:w="3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p>
        </w:tc>
      </w:tr>
    </w:tbl>
    <w:p>
      <w:pPr>
        <w:spacing w:line="360" w:lineRule="auto"/>
        <w:jc w:val="left"/>
        <w:rPr>
          <w:rFonts w:ascii="宋体" w:hAnsi="宋体" w:cs="宋体"/>
          <w:bCs/>
          <w:color w:val="auto"/>
          <w:szCs w:val="24"/>
          <w:highlight w:val="none"/>
        </w:rPr>
      </w:pPr>
    </w:p>
    <w:p>
      <w:pPr>
        <w:autoSpaceDE w:val="0"/>
        <w:autoSpaceDN w:val="0"/>
        <w:adjustRightInd w:val="0"/>
        <w:spacing w:line="360" w:lineRule="auto"/>
        <w:rPr>
          <w:rFonts w:ascii="宋体" w:hAnsi="宋体" w:cs="宋体"/>
          <w:color w:val="auto"/>
          <w:sz w:val="24"/>
          <w:szCs w:val="24"/>
          <w:highlight w:val="none"/>
        </w:rPr>
      </w:pPr>
    </w:p>
    <w:p>
      <w:pPr>
        <w:rPr>
          <w:color w:val="auto"/>
          <w:highlight w:val="none"/>
        </w:rPr>
      </w:pPr>
      <w:r>
        <w:rPr>
          <w:rFonts w:hint="eastAsia"/>
          <w:color w:val="auto"/>
          <w:highlight w:val="none"/>
        </w:rPr>
        <w:br w:type="page"/>
      </w:r>
    </w:p>
    <w:p>
      <w:pPr>
        <w:outlineLvl w:val="9"/>
        <w:rPr>
          <w:bCs/>
          <w:color w:val="auto"/>
          <w:sz w:val="27"/>
          <w:szCs w:val="27"/>
          <w:highlight w:val="none"/>
          <w:lang w:val="zh-CN"/>
        </w:rPr>
      </w:pPr>
      <w:bookmarkStart w:id="277" w:name="_Toc60070629"/>
      <w:r>
        <w:rPr>
          <w:rFonts w:hint="eastAsia"/>
          <w:color w:val="auto"/>
          <w:sz w:val="27"/>
          <w:szCs w:val="27"/>
          <w:highlight w:val="none"/>
        </w:rPr>
        <w:t>格式七：</w:t>
      </w:r>
      <w:bookmarkEnd w:id="277"/>
    </w:p>
    <w:p>
      <w:pPr>
        <w:autoSpaceDE w:val="0"/>
        <w:autoSpaceDN w:val="0"/>
        <w:adjustRightInd w:val="0"/>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拟投入本工程施工的主要机械设备配备表</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0"/>
        <w:gridCol w:w="2856"/>
        <w:gridCol w:w="2024"/>
        <w:gridCol w:w="1559"/>
        <w:gridCol w:w="15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r>
              <w:rPr>
                <w:rFonts w:hint="eastAsia" w:ascii="宋体" w:hAnsi="宋体" w:cs="宋体"/>
                <w:color w:val="auto"/>
                <w:szCs w:val="21"/>
                <w:highlight w:val="none"/>
              </w:rPr>
              <w:t>序</w:t>
            </w:r>
          </w:p>
          <w:p>
            <w:pPr>
              <w:spacing w:line="240" w:lineRule="exact"/>
              <w:jc w:val="center"/>
              <w:textAlignment w:val="center"/>
              <w:rPr>
                <w:rFonts w:ascii="宋体" w:hAnsi="宋体" w:cs="宋体"/>
                <w:color w:val="auto"/>
                <w:szCs w:val="21"/>
                <w:highlight w:val="none"/>
              </w:rPr>
            </w:pPr>
            <w:r>
              <w:rPr>
                <w:rFonts w:hint="eastAsia" w:ascii="宋体" w:hAnsi="宋体" w:cs="宋体"/>
                <w:color w:val="auto"/>
                <w:szCs w:val="21"/>
                <w:highlight w:val="none"/>
              </w:rPr>
              <w:t>号</w:t>
            </w:r>
          </w:p>
        </w:tc>
        <w:tc>
          <w:tcPr>
            <w:tcW w:w="28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r>
              <w:rPr>
                <w:rFonts w:hint="eastAsia" w:ascii="宋体" w:hAnsi="宋体" w:cs="宋体"/>
                <w:color w:val="auto"/>
                <w:szCs w:val="21"/>
                <w:highlight w:val="none"/>
              </w:rPr>
              <w:t>设备名称</w:t>
            </w:r>
          </w:p>
        </w:tc>
        <w:tc>
          <w:tcPr>
            <w:tcW w:w="20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r>
              <w:rPr>
                <w:rFonts w:hint="eastAsia" w:ascii="宋体" w:hAnsi="宋体" w:cs="宋体"/>
                <w:color w:val="auto"/>
                <w:szCs w:val="21"/>
                <w:highlight w:val="none"/>
              </w:rPr>
              <w:t>投入总数量</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r>
              <w:rPr>
                <w:rFonts w:hint="eastAsia" w:ascii="宋体" w:hAnsi="宋体" w:cs="宋体"/>
                <w:color w:val="auto"/>
                <w:szCs w:val="21"/>
                <w:highlight w:val="none"/>
              </w:rPr>
              <w:t>来源</w:t>
            </w:r>
          </w:p>
          <w:p>
            <w:pPr>
              <w:spacing w:line="240" w:lineRule="exact"/>
              <w:jc w:val="center"/>
              <w:textAlignment w:val="center"/>
              <w:rPr>
                <w:rFonts w:ascii="宋体" w:hAnsi="宋体" w:cs="宋体"/>
                <w:color w:val="auto"/>
                <w:szCs w:val="21"/>
                <w:highlight w:val="none"/>
              </w:rPr>
            </w:pPr>
            <w:r>
              <w:rPr>
                <w:rFonts w:hint="eastAsia" w:ascii="宋体" w:hAnsi="宋体" w:cs="宋体"/>
                <w:color w:val="auto"/>
                <w:szCs w:val="21"/>
                <w:highlight w:val="none"/>
              </w:rPr>
              <w:t>(自有/</w:t>
            </w:r>
          </w:p>
          <w:p>
            <w:pPr>
              <w:spacing w:line="240" w:lineRule="exact"/>
              <w:jc w:val="center"/>
              <w:textAlignment w:val="center"/>
              <w:rPr>
                <w:rFonts w:ascii="宋体" w:hAnsi="宋体" w:cs="宋体"/>
                <w:color w:val="auto"/>
                <w:szCs w:val="21"/>
                <w:highlight w:val="none"/>
              </w:rPr>
            </w:pPr>
            <w:r>
              <w:rPr>
                <w:rFonts w:hint="eastAsia" w:ascii="宋体" w:hAnsi="宋体" w:cs="宋体"/>
                <w:color w:val="auto"/>
                <w:szCs w:val="21"/>
                <w:highlight w:val="none"/>
              </w:rPr>
              <w:t>租赁)</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c>
          <w:tcPr>
            <w:tcW w:w="28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c>
          <w:tcPr>
            <w:tcW w:w="20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c>
          <w:tcPr>
            <w:tcW w:w="28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c>
          <w:tcPr>
            <w:tcW w:w="20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c>
          <w:tcPr>
            <w:tcW w:w="28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c>
          <w:tcPr>
            <w:tcW w:w="20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c>
          <w:tcPr>
            <w:tcW w:w="28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c>
          <w:tcPr>
            <w:tcW w:w="20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c>
          <w:tcPr>
            <w:tcW w:w="28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c>
          <w:tcPr>
            <w:tcW w:w="20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c>
          <w:tcPr>
            <w:tcW w:w="1545" w:type="dxa"/>
            <w:tcBorders>
              <w:top w:val="single" w:color="auto" w:sz="4" w:space="0"/>
              <w:left w:val="single" w:color="auto" w:sz="4" w:space="0"/>
              <w:right w:val="single" w:color="auto" w:sz="4" w:space="0"/>
            </w:tcBorders>
            <w:vAlign w:val="center"/>
          </w:tcPr>
          <w:p>
            <w:pPr>
              <w:spacing w:line="240" w:lineRule="exact"/>
              <w:jc w:val="center"/>
              <w:textAlignment w:val="center"/>
              <w:rPr>
                <w:rFonts w:ascii="宋体" w:hAnsi="宋体" w:cs="宋体"/>
                <w:color w:val="auto"/>
                <w:szCs w:val="21"/>
                <w:highlight w:val="none"/>
              </w:rPr>
            </w:pPr>
          </w:p>
        </w:tc>
      </w:tr>
    </w:tbl>
    <w:p>
      <w:pPr>
        <w:tabs>
          <w:tab w:val="left" w:pos="720"/>
        </w:tabs>
        <w:snapToGrid w:val="0"/>
        <w:spacing w:line="360" w:lineRule="auto"/>
        <w:rPr>
          <w:rFonts w:ascii="宋体" w:hAnsi="宋体"/>
          <w:color w:val="auto"/>
          <w:highlight w:val="none"/>
        </w:rPr>
      </w:pPr>
    </w:p>
    <w:p>
      <w:pPr>
        <w:topLinePunct/>
        <w:adjustRightInd w:val="0"/>
        <w:snapToGrid w:val="0"/>
        <w:spacing w:line="360" w:lineRule="auto"/>
        <w:ind w:left="0" w:leftChars="0" w:firstLine="691" w:firstLineChars="279"/>
        <w:jc w:val="left"/>
        <w:rPr>
          <w:rFonts w:hint="eastAsia" w:ascii="宋体" w:hAnsi="宋体" w:eastAsia="宋体" w:cs="宋体"/>
          <w:bCs w:val="0"/>
          <w:snapToGrid w:val="0"/>
          <w:color w:val="auto"/>
          <w:spacing w:val="4"/>
          <w:kern w:val="0"/>
          <w:sz w:val="24"/>
          <w:szCs w:val="24"/>
          <w:highlight w:val="none"/>
          <w:lang w:val="en-US" w:eastAsia="zh-CN"/>
        </w:rPr>
      </w:pPr>
      <w:r>
        <w:rPr>
          <w:rFonts w:hint="eastAsia" w:ascii="宋体" w:hAnsi="宋体" w:eastAsia="宋体" w:cs="宋体"/>
          <w:bCs w:val="0"/>
          <w:snapToGrid w:val="0"/>
          <w:color w:val="auto"/>
          <w:spacing w:val="4"/>
          <w:kern w:val="0"/>
          <w:sz w:val="24"/>
          <w:szCs w:val="24"/>
          <w:highlight w:val="none"/>
          <w:lang w:val="en-US" w:eastAsia="zh-CN"/>
        </w:rPr>
        <w:t>注：1、设备名称及要求数量由投标人视本工程具体情况结合招标人对本工程的具体要求自行配备。</w:t>
      </w:r>
    </w:p>
    <w:p>
      <w:pPr>
        <w:topLinePunct/>
        <w:adjustRightInd w:val="0"/>
        <w:snapToGrid w:val="0"/>
        <w:spacing w:line="360" w:lineRule="auto"/>
        <w:ind w:firstLine="691" w:firstLineChars="279"/>
        <w:rPr>
          <w:rFonts w:hint="eastAsia" w:ascii="宋体" w:hAnsi="宋体" w:cs="宋体"/>
          <w:b w:val="0"/>
          <w:snapToGrid w:val="0"/>
          <w:color w:val="auto"/>
          <w:spacing w:val="4"/>
          <w:kern w:val="0"/>
          <w:sz w:val="24"/>
          <w:szCs w:val="24"/>
          <w:highlight w:val="none"/>
        </w:rPr>
      </w:pPr>
      <w:r>
        <w:rPr>
          <w:rFonts w:hint="eastAsia" w:ascii="宋体" w:hAnsi="宋体" w:eastAsia="宋体" w:cs="宋体"/>
          <w:bCs w:val="0"/>
          <w:snapToGrid w:val="0"/>
          <w:color w:val="auto"/>
          <w:spacing w:val="4"/>
          <w:kern w:val="0"/>
          <w:sz w:val="24"/>
          <w:szCs w:val="24"/>
          <w:highlight w:val="none"/>
          <w:lang w:val="en-US" w:eastAsia="zh-CN"/>
        </w:rPr>
        <w:t>2、为贯彻绿色发展理念，本项目应积极使用燃料电池汽车等新能源工程车，要求投标人投入的新能源工程车占投入的建筑垃圾自卸车（渣土车）总数比例不低于</w:t>
      </w:r>
      <w:r>
        <w:rPr>
          <w:rFonts w:hint="eastAsia" w:ascii="宋体" w:hAnsi="宋体" w:cs="宋体"/>
          <w:bCs w:val="0"/>
          <w:snapToGrid w:val="0"/>
          <w:color w:val="auto"/>
          <w:spacing w:val="4"/>
          <w:kern w:val="0"/>
          <w:sz w:val="24"/>
          <w:szCs w:val="24"/>
          <w:highlight w:val="none"/>
          <w:lang w:val="en-US" w:eastAsia="zh-CN"/>
        </w:rPr>
        <w:t>4</w:t>
      </w:r>
      <w:r>
        <w:rPr>
          <w:rFonts w:hint="eastAsia" w:ascii="宋体" w:hAnsi="宋体" w:eastAsia="宋体" w:cs="宋体"/>
          <w:bCs w:val="0"/>
          <w:snapToGrid w:val="0"/>
          <w:color w:val="auto"/>
          <w:spacing w:val="4"/>
          <w:kern w:val="0"/>
          <w:sz w:val="24"/>
          <w:szCs w:val="24"/>
          <w:highlight w:val="none"/>
          <w:lang w:val="en-US" w:eastAsia="zh-CN"/>
        </w:rPr>
        <w:t>0%。一旦中标，必须全部到位，否则按合同违约处理。</w:t>
      </w:r>
    </w:p>
    <w:p>
      <w:pPr>
        <w:ind w:right="-130" w:rightChars="-62"/>
        <w:rPr>
          <w:rFonts w:ascii="宋体" w:hAnsi="宋体"/>
          <w:color w:val="auto"/>
          <w:highlight w:val="none"/>
        </w:rPr>
      </w:pPr>
    </w:p>
    <w:p>
      <w:pPr>
        <w:topLinePunct/>
        <w:adjustRightInd w:val="0"/>
        <w:snapToGrid w:val="0"/>
        <w:spacing w:line="360" w:lineRule="auto"/>
        <w:ind w:firstLine="3161" w:firstLineChars="1450"/>
        <w:rPr>
          <w:rFonts w:ascii="宋体" w:hAnsi="宋体"/>
          <w:snapToGrid w:val="0"/>
          <w:color w:val="auto"/>
          <w:spacing w:val="4"/>
          <w:kern w:val="0"/>
          <w:szCs w:val="21"/>
          <w:highlight w:val="none"/>
        </w:rPr>
      </w:pPr>
    </w:p>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投 标 人：（盖章）</w:t>
      </w:r>
    </w:p>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法定代表人或授权代理人（签字或盖章）：</w:t>
      </w:r>
    </w:p>
    <w:p>
      <w:pPr>
        <w:topLinePunct/>
        <w:adjustRightInd w:val="0"/>
        <w:snapToGrid w:val="0"/>
        <w:spacing w:line="360" w:lineRule="auto"/>
        <w:ind w:firstLine="691" w:firstLineChars="279"/>
        <w:jc w:val="left"/>
        <w:rPr>
          <w:rFonts w:ascii="宋体" w:hAnsi="宋体"/>
          <w:snapToGrid w:val="0"/>
          <w:color w:val="auto"/>
          <w:spacing w:val="4"/>
          <w:kern w:val="0"/>
          <w:szCs w:val="21"/>
          <w:highlight w:val="none"/>
        </w:rPr>
      </w:pPr>
      <w:r>
        <w:rPr>
          <w:rFonts w:hint="eastAsia" w:ascii="宋体" w:hAnsi="宋体" w:cs="宋体"/>
          <w:snapToGrid w:val="0"/>
          <w:color w:val="auto"/>
          <w:spacing w:val="4"/>
          <w:kern w:val="0"/>
          <w:sz w:val="24"/>
          <w:szCs w:val="24"/>
          <w:highlight w:val="none"/>
        </w:rPr>
        <w:t>日    期：    年    月    日</w:t>
      </w:r>
    </w:p>
    <w:p>
      <w:pPr>
        <w:rPr>
          <w:rFonts w:ascii="宋体" w:hAnsi="宋体"/>
          <w:color w:val="auto"/>
          <w:highlight w:val="none"/>
        </w:rPr>
      </w:pPr>
    </w:p>
    <w:p>
      <w:pPr>
        <w:outlineLvl w:val="9"/>
        <w:rPr>
          <w:bCs/>
          <w:color w:val="auto"/>
          <w:sz w:val="27"/>
          <w:szCs w:val="27"/>
          <w:highlight w:val="none"/>
          <w:lang w:val="zh-CN"/>
        </w:rPr>
      </w:pPr>
      <w:r>
        <w:rPr>
          <w:rFonts w:ascii="宋体" w:hAnsi="宋体"/>
          <w:color w:val="auto"/>
          <w:highlight w:val="none"/>
        </w:rPr>
        <w:br w:type="page"/>
      </w:r>
      <w:r>
        <w:rPr>
          <w:rFonts w:hint="eastAsia"/>
          <w:color w:val="auto"/>
          <w:sz w:val="27"/>
          <w:szCs w:val="27"/>
          <w:highlight w:val="none"/>
        </w:rPr>
        <w:t>格式八：</w:t>
      </w:r>
    </w:p>
    <w:p>
      <w:pPr>
        <w:autoSpaceDE w:val="0"/>
        <w:autoSpaceDN w:val="0"/>
        <w:adjustRightInd w:val="0"/>
        <w:jc w:val="center"/>
        <w:rPr>
          <w:rFonts w:ascii="宋体" w:hAnsi="宋体" w:cs="宋体"/>
          <w:b/>
          <w:snapToGrid w:val="0"/>
          <w:color w:val="auto"/>
          <w:spacing w:val="4"/>
          <w:kern w:val="0"/>
          <w:sz w:val="32"/>
          <w:szCs w:val="32"/>
          <w:highlight w:val="none"/>
        </w:rPr>
      </w:pPr>
      <w:r>
        <w:rPr>
          <w:rFonts w:hint="eastAsia" w:ascii="宋体" w:hAnsi="宋体" w:cs="宋体"/>
          <w:b/>
          <w:snapToGrid w:val="0"/>
          <w:color w:val="auto"/>
          <w:spacing w:val="4"/>
          <w:kern w:val="0"/>
          <w:sz w:val="32"/>
          <w:szCs w:val="32"/>
          <w:highlight w:val="none"/>
        </w:rPr>
        <w:t>技术评审资料</w:t>
      </w:r>
    </w:p>
    <w:p>
      <w:pPr>
        <w:rPr>
          <w:rFonts w:ascii="宋体" w:hAnsi="宋体"/>
          <w:color w:val="auto"/>
          <w:highlight w:val="none"/>
        </w:rPr>
      </w:pPr>
      <w:r>
        <w:rPr>
          <w:rFonts w:hint="eastAsia" w:ascii="宋体" w:hAnsi="宋体" w:cs="宋体"/>
          <w:b/>
          <w:bCs/>
          <w:snapToGrid w:val="0"/>
          <w:color w:val="auto"/>
          <w:spacing w:val="4"/>
          <w:kern w:val="0"/>
          <w:szCs w:val="21"/>
          <w:highlight w:val="none"/>
        </w:rPr>
        <w:t>注：按《技术标详细审查评分表》及其他要求提交，格式如无要求可自拟。</w:t>
      </w:r>
    </w:p>
    <w:p>
      <w:pPr>
        <w:rPr>
          <w:rFonts w:ascii="宋体" w:hAnsi="宋体"/>
          <w:color w:val="auto"/>
          <w:highlight w:val="none"/>
        </w:rPr>
      </w:pPr>
      <w:r>
        <w:rPr>
          <w:rFonts w:ascii="宋体" w:hAnsi="宋体"/>
          <w:color w:val="auto"/>
          <w:highlight w:val="none"/>
        </w:rPr>
        <w:br w:type="page"/>
      </w:r>
      <w:bookmarkStart w:id="365" w:name="_GoBack"/>
      <w:bookmarkEnd w:id="365"/>
    </w:p>
    <w:p>
      <w:pPr>
        <w:pStyle w:val="4"/>
        <w:rPr>
          <w:color w:val="auto"/>
          <w:highlight w:val="none"/>
        </w:rPr>
      </w:pPr>
    </w:p>
    <w:p>
      <w:pPr>
        <w:outlineLvl w:val="9"/>
        <w:rPr>
          <w:color w:val="auto"/>
          <w:sz w:val="27"/>
          <w:szCs w:val="27"/>
          <w:highlight w:val="none"/>
        </w:rPr>
      </w:pPr>
      <w:bookmarkStart w:id="278" w:name="_Toc60070630"/>
      <w:bookmarkStart w:id="279" w:name="_Toc58838602"/>
      <w:r>
        <w:rPr>
          <w:rFonts w:hint="eastAsia"/>
          <w:color w:val="auto"/>
          <w:sz w:val="27"/>
          <w:szCs w:val="27"/>
          <w:highlight w:val="none"/>
        </w:rPr>
        <w:t>格式</w:t>
      </w:r>
      <w:r>
        <w:rPr>
          <w:rFonts w:hint="eastAsia"/>
          <w:color w:val="auto"/>
          <w:sz w:val="27"/>
          <w:szCs w:val="27"/>
          <w:highlight w:val="none"/>
          <w:lang w:val="en-US" w:eastAsia="zh-CN"/>
        </w:rPr>
        <w:t>九</w:t>
      </w:r>
      <w:r>
        <w:rPr>
          <w:rFonts w:hint="eastAsia"/>
          <w:color w:val="auto"/>
          <w:sz w:val="27"/>
          <w:szCs w:val="27"/>
          <w:highlight w:val="none"/>
        </w:rPr>
        <w:t>：</w:t>
      </w:r>
      <w:bookmarkEnd w:id="278"/>
    </w:p>
    <w:p>
      <w:pPr>
        <w:jc w:val="center"/>
        <w:rPr>
          <w:rFonts w:ascii="宋体" w:hAnsi="宋体"/>
          <w:b/>
          <w:color w:val="auto"/>
          <w:sz w:val="36"/>
          <w:szCs w:val="36"/>
          <w:highlight w:val="none"/>
        </w:rPr>
      </w:pPr>
      <w:r>
        <w:rPr>
          <w:rFonts w:hint="eastAsia" w:ascii="宋体" w:hAnsi="宋体"/>
          <w:b/>
          <w:color w:val="auto"/>
          <w:sz w:val="36"/>
          <w:szCs w:val="36"/>
          <w:highlight w:val="none"/>
        </w:rPr>
        <w:t>危险性较大的分部分项工程安全管理措施</w:t>
      </w:r>
      <w:bookmarkEnd w:id="279"/>
    </w:p>
    <w:p>
      <w:pPr>
        <w:numPr>
          <w:ilvl w:val="0"/>
          <w:numId w:val="6"/>
        </w:numPr>
        <w:autoSpaceDE w:val="0"/>
        <w:autoSpaceDN w:val="0"/>
        <w:adjustRightInd w:val="0"/>
        <w:spacing w:line="360" w:lineRule="auto"/>
        <w:jc w:val="left"/>
        <w:rPr>
          <w:rFonts w:ascii="宋体" w:hAnsi="宋体"/>
          <w:snapToGrid w:val="0"/>
          <w:color w:val="auto"/>
          <w:spacing w:val="4"/>
          <w:kern w:val="0"/>
          <w:sz w:val="24"/>
          <w:szCs w:val="24"/>
          <w:highlight w:val="none"/>
        </w:rPr>
      </w:pPr>
      <w:r>
        <w:rPr>
          <w:rFonts w:hint="eastAsia" w:ascii="宋体" w:hAnsi="宋体"/>
          <w:color w:val="auto"/>
          <w:sz w:val="24"/>
          <w:szCs w:val="28"/>
          <w:highlight w:val="none"/>
        </w:rPr>
        <w:t>根据中华人民共和国住房和城乡建设部令第37号《危险性较大的分部分项工程安全管理规定》（以下简称“37号文”），投标人在投标时须补充完善危大工程清单并</w:t>
      </w:r>
      <w:r>
        <w:rPr>
          <w:rFonts w:hint="eastAsia" w:ascii="宋体" w:hAnsi="宋体"/>
          <w:snapToGrid w:val="0"/>
          <w:color w:val="auto"/>
          <w:spacing w:val="4"/>
          <w:kern w:val="0"/>
          <w:sz w:val="24"/>
          <w:szCs w:val="24"/>
          <w:highlight w:val="none"/>
        </w:rPr>
        <w:t>结合本工程的类型和特点，科学、合理地设置本项目的危险性较大的分部分项工程安全管理措施，危险性较大的分部分项工程安全管理措施由投标人结合招标人对本工程的具体要求自行设定。</w:t>
      </w:r>
    </w:p>
    <w:p>
      <w:pPr>
        <w:numPr>
          <w:ilvl w:val="0"/>
          <w:numId w:val="6"/>
        </w:numPr>
        <w:autoSpaceDE w:val="0"/>
        <w:autoSpaceDN w:val="0"/>
        <w:adjustRightInd w:val="0"/>
        <w:spacing w:line="360" w:lineRule="auto"/>
        <w:jc w:val="left"/>
        <w:rPr>
          <w:rFonts w:ascii="宋体" w:hAnsi="宋体"/>
          <w:color w:val="auto"/>
          <w:sz w:val="24"/>
          <w:szCs w:val="28"/>
          <w:highlight w:val="none"/>
        </w:rPr>
      </w:pPr>
      <w:r>
        <w:rPr>
          <w:rFonts w:hint="eastAsia" w:ascii="宋体" w:hAnsi="宋体"/>
          <w:color w:val="auto"/>
          <w:sz w:val="24"/>
          <w:szCs w:val="28"/>
          <w:highlight w:val="none"/>
        </w:rPr>
        <w:t>招标人根据设计文件的要求及37号文的规定列出“危险性较大的分部分项工程清单及超过一定规模的危险性较大的分部分项工程清单”中与本招标项目相关的清单项，具体详见第5点“打</w:t>
      </w:r>
      <w:r>
        <w:rPr>
          <w:rFonts w:hint="eastAsia" w:ascii="宋体" w:hAnsi="宋体"/>
          <w:color w:val="auto"/>
          <w:sz w:val="24"/>
          <w:szCs w:val="36"/>
          <w:highlight w:val="none"/>
        </w:rPr>
        <w:t>√”标识。</w:t>
      </w:r>
    </w:p>
    <w:p>
      <w:pPr>
        <w:numPr>
          <w:ilvl w:val="0"/>
          <w:numId w:val="7"/>
        </w:numPr>
        <w:autoSpaceDE w:val="0"/>
        <w:autoSpaceDN w:val="0"/>
        <w:adjustRightInd w:val="0"/>
        <w:spacing w:line="360" w:lineRule="auto"/>
        <w:jc w:val="left"/>
        <w:rPr>
          <w:rFonts w:ascii="宋体" w:hAnsi="宋体"/>
          <w:color w:val="auto"/>
          <w:sz w:val="24"/>
          <w:szCs w:val="36"/>
          <w:highlight w:val="none"/>
        </w:rPr>
      </w:pPr>
      <w:r>
        <w:rPr>
          <w:rFonts w:hint="eastAsia" w:ascii="宋体" w:hAnsi="宋体"/>
          <w:color w:val="auto"/>
          <w:sz w:val="24"/>
          <w:szCs w:val="28"/>
          <w:highlight w:val="none"/>
        </w:rPr>
        <w:t>投标单位同意招标人在清单中标识的该项请在对应项打“</w:t>
      </w:r>
      <w:r>
        <w:rPr>
          <w:rFonts w:hint="eastAsia" w:ascii="宋体" w:hAnsi="宋体"/>
          <w:color w:val="auto"/>
          <w:sz w:val="24"/>
          <w:szCs w:val="36"/>
          <w:highlight w:val="none"/>
        </w:rPr>
        <w:t>√”标识，并在投标文件中提供相应的安全管理措施。</w:t>
      </w:r>
    </w:p>
    <w:p>
      <w:pPr>
        <w:numPr>
          <w:ilvl w:val="0"/>
          <w:numId w:val="7"/>
        </w:numPr>
        <w:autoSpaceDE w:val="0"/>
        <w:autoSpaceDN w:val="0"/>
        <w:adjustRightInd w:val="0"/>
        <w:spacing w:line="360" w:lineRule="auto"/>
        <w:jc w:val="left"/>
        <w:rPr>
          <w:rFonts w:ascii="宋体" w:hAnsi="宋体"/>
          <w:color w:val="auto"/>
          <w:sz w:val="24"/>
          <w:szCs w:val="36"/>
          <w:highlight w:val="none"/>
        </w:rPr>
      </w:pPr>
      <w:r>
        <w:rPr>
          <w:rFonts w:hint="eastAsia" w:ascii="宋体" w:hAnsi="宋体"/>
          <w:color w:val="auto"/>
          <w:sz w:val="24"/>
          <w:szCs w:val="28"/>
          <w:highlight w:val="none"/>
        </w:rPr>
        <w:t>投标单位对清单中认为需要补充的该项请在对应项打“</w:t>
      </w:r>
      <w:r>
        <w:rPr>
          <w:rFonts w:hint="eastAsia" w:ascii="宋体" w:hAnsi="宋体"/>
          <w:color w:val="auto"/>
          <w:sz w:val="24"/>
          <w:szCs w:val="36"/>
          <w:highlight w:val="none"/>
        </w:rPr>
        <w:t>√”标识，并在投标文件中提供相应的安全管理措施。</w:t>
      </w:r>
    </w:p>
    <w:p>
      <w:pPr>
        <w:numPr>
          <w:ilvl w:val="0"/>
          <w:numId w:val="7"/>
        </w:numPr>
        <w:autoSpaceDE w:val="0"/>
        <w:autoSpaceDN w:val="0"/>
        <w:adjustRightInd w:val="0"/>
        <w:spacing w:line="360" w:lineRule="auto"/>
        <w:jc w:val="left"/>
        <w:rPr>
          <w:rFonts w:ascii="宋体" w:hAnsi="宋体"/>
          <w:color w:val="auto"/>
          <w:sz w:val="24"/>
          <w:szCs w:val="28"/>
          <w:highlight w:val="none"/>
        </w:rPr>
      </w:pPr>
      <w:r>
        <w:rPr>
          <w:rFonts w:hint="eastAsia" w:ascii="宋体" w:hAnsi="宋体"/>
          <w:color w:val="auto"/>
          <w:sz w:val="24"/>
          <w:szCs w:val="36"/>
          <w:highlight w:val="none"/>
        </w:rPr>
        <w:t>投标单位不同意招标人</w:t>
      </w:r>
      <w:r>
        <w:rPr>
          <w:rFonts w:hint="eastAsia" w:ascii="宋体" w:hAnsi="宋体"/>
          <w:color w:val="auto"/>
          <w:sz w:val="24"/>
          <w:szCs w:val="28"/>
          <w:highlight w:val="none"/>
        </w:rPr>
        <w:t>在清单中标识的该项</w:t>
      </w:r>
      <w:r>
        <w:rPr>
          <w:rFonts w:hint="eastAsia" w:ascii="宋体" w:hAnsi="宋体"/>
          <w:color w:val="auto"/>
          <w:sz w:val="24"/>
          <w:szCs w:val="36"/>
          <w:highlight w:val="none"/>
        </w:rPr>
        <w:t>请在对应项打“×”标识，并在备注栏填上相关说明。</w:t>
      </w:r>
    </w:p>
    <w:p>
      <w:pPr>
        <w:numPr>
          <w:ilvl w:val="0"/>
          <w:numId w:val="6"/>
        </w:numPr>
        <w:autoSpaceDE w:val="0"/>
        <w:autoSpaceDN w:val="0"/>
        <w:adjustRightInd w:val="0"/>
        <w:spacing w:line="360" w:lineRule="auto"/>
        <w:jc w:val="left"/>
        <w:rPr>
          <w:rFonts w:ascii="宋体" w:hAnsi="宋体"/>
          <w:color w:val="auto"/>
          <w:sz w:val="24"/>
          <w:szCs w:val="28"/>
          <w:highlight w:val="none"/>
        </w:rPr>
      </w:pPr>
      <w:r>
        <w:rPr>
          <w:rFonts w:hint="eastAsia" w:ascii="宋体" w:hAnsi="宋体"/>
          <w:color w:val="auto"/>
          <w:sz w:val="24"/>
          <w:szCs w:val="28"/>
          <w:highlight w:val="none"/>
        </w:rPr>
        <w:t>投标单位应当在投标时根据招标人提供的下述第5点清单，在投标文件中编制专项施工方案。</w:t>
      </w:r>
    </w:p>
    <w:p>
      <w:pPr>
        <w:numPr>
          <w:ilvl w:val="0"/>
          <w:numId w:val="6"/>
        </w:numPr>
        <w:autoSpaceDE w:val="0"/>
        <w:autoSpaceDN w:val="0"/>
        <w:adjustRightInd w:val="0"/>
        <w:spacing w:line="360" w:lineRule="auto"/>
        <w:jc w:val="left"/>
        <w:rPr>
          <w:rFonts w:ascii="宋体" w:hAnsi="宋体"/>
          <w:color w:val="auto"/>
          <w:sz w:val="24"/>
          <w:szCs w:val="28"/>
          <w:highlight w:val="none"/>
        </w:rPr>
      </w:pPr>
      <w:r>
        <w:rPr>
          <w:rFonts w:hint="eastAsia" w:ascii="宋体" w:hAnsi="宋体"/>
          <w:color w:val="auto"/>
          <w:sz w:val="24"/>
          <w:szCs w:val="28"/>
          <w:highlight w:val="none"/>
        </w:rPr>
        <w:t>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pPr>
        <w:numPr>
          <w:ilvl w:val="0"/>
          <w:numId w:val="6"/>
        </w:numPr>
        <w:autoSpaceDE w:val="0"/>
        <w:autoSpaceDN w:val="0"/>
        <w:adjustRightInd w:val="0"/>
        <w:spacing w:line="360" w:lineRule="auto"/>
        <w:jc w:val="left"/>
        <w:rPr>
          <w:rFonts w:ascii="宋体" w:hAnsi="宋体"/>
          <w:color w:val="auto"/>
          <w:sz w:val="24"/>
          <w:szCs w:val="28"/>
          <w:highlight w:val="none"/>
        </w:rPr>
      </w:pPr>
      <w:r>
        <w:rPr>
          <w:rFonts w:hint="eastAsia" w:ascii="宋体" w:hAnsi="宋体"/>
          <w:color w:val="auto"/>
          <w:sz w:val="24"/>
          <w:szCs w:val="28"/>
          <w:highlight w:val="none"/>
        </w:rPr>
        <w:t>危险性较大的分部分项工程清单及超过一定规模的危险性较大的分部分项工程清单：</w:t>
      </w:r>
    </w:p>
    <w:p>
      <w:pPr>
        <w:widowControl/>
        <w:jc w:val="left"/>
        <w:rPr>
          <w:rFonts w:ascii="宋体" w:hAnsi="宋体"/>
          <w:color w:val="auto"/>
          <w:sz w:val="24"/>
          <w:szCs w:val="28"/>
          <w:highlight w:val="none"/>
        </w:rPr>
      </w:pPr>
      <w:r>
        <w:rPr>
          <w:rFonts w:ascii="宋体" w:hAnsi="宋体"/>
          <w:color w:val="auto"/>
          <w:sz w:val="24"/>
          <w:szCs w:val="28"/>
          <w:highlight w:val="none"/>
        </w:rPr>
        <w:br w:type="page"/>
      </w:r>
    </w:p>
    <w:tbl>
      <w:tblPr>
        <w:tblStyle w:val="51"/>
        <w:tblW w:w="8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6"/>
        <w:gridCol w:w="1361"/>
        <w:gridCol w:w="1361"/>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78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jc w:val="center"/>
              <w:rPr>
                <w:rFonts w:ascii="宋体" w:hAnsi="宋体"/>
                <w:b/>
                <w:color w:val="auto"/>
                <w:highlight w:val="none"/>
              </w:rPr>
            </w:pPr>
            <w:r>
              <w:rPr>
                <w:rFonts w:hint="eastAsia" w:ascii="宋体" w:hAnsi="宋体"/>
                <w:b/>
                <w:color w:val="auto"/>
                <w:highlight w:val="none"/>
              </w:rPr>
              <w:t>危险性较大的分部分项工程清单</w:t>
            </w:r>
          </w:p>
        </w:tc>
        <w:tc>
          <w:tcPr>
            <w:tcW w:w="1361"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jc w:val="center"/>
              <w:rPr>
                <w:rFonts w:ascii="宋体" w:hAnsi="宋体"/>
                <w:b/>
                <w:color w:val="auto"/>
                <w:highlight w:val="none"/>
              </w:rPr>
            </w:pPr>
            <w:r>
              <w:rPr>
                <w:rFonts w:hint="eastAsia" w:ascii="宋体" w:hAnsi="宋体"/>
                <w:b/>
                <w:color w:val="auto"/>
                <w:highlight w:val="none"/>
              </w:rPr>
              <w:t>招标人</w:t>
            </w:r>
          </w:p>
        </w:tc>
        <w:tc>
          <w:tcPr>
            <w:tcW w:w="1361"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jc w:val="center"/>
              <w:rPr>
                <w:rFonts w:ascii="宋体" w:hAnsi="宋体"/>
                <w:b/>
                <w:color w:val="auto"/>
                <w:highlight w:val="none"/>
              </w:rPr>
            </w:pPr>
            <w:r>
              <w:rPr>
                <w:rFonts w:hint="eastAsia" w:ascii="宋体" w:hAnsi="宋体"/>
                <w:b/>
                <w:color w:val="auto"/>
                <w:highlight w:val="none"/>
              </w:rPr>
              <w:t>投标单位</w:t>
            </w:r>
          </w:p>
        </w:tc>
        <w:tc>
          <w:tcPr>
            <w:tcW w:w="1063"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jc w:val="center"/>
              <w:rPr>
                <w:rFonts w:ascii="宋体" w:hAnsi="宋体"/>
                <w:b/>
                <w:color w:val="auto"/>
                <w:highlight w:val="none"/>
              </w:rPr>
            </w:pPr>
            <w:r>
              <w:rPr>
                <w:rFonts w:hint="eastAsia" w:ascii="宋体" w:hAnsi="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highlight w:val="none"/>
              </w:rPr>
            </w:pPr>
            <w:r>
              <w:rPr>
                <w:rFonts w:hint="eastAsia" w:ascii="宋体" w:hAnsi="宋体"/>
                <w:b/>
                <w:color w:val="auto"/>
                <w:highlight w:val="none"/>
              </w:rPr>
              <w:t>一、基坑支护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（一）开挖深度超过3m（含3m）的基坑（槽）的土方开挖、支护、降水工程。</w:t>
            </w:r>
          </w:p>
        </w:tc>
        <w:tc>
          <w:tcPr>
            <w:tcW w:w="1361"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color w:val="auto"/>
                <w:highlight w:val="none"/>
              </w:rPr>
            </w:pPr>
            <w:r>
              <w:rPr>
                <w:rFonts w:hint="eastAsia" w:ascii="宋体" w:hAnsi="宋体"/>
                <w:color w:val="auto"/>
                <w:sz w:val="24"/>
                <w:szCs w:val="36"/>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（二）开挖深度虽未超过3m，但地质条件、周围环境和地下管线复杂，或影响毗邻建、构筑物安全的基坑（槽）的土方开挖、支护、降水工程。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b/>
                <w:color w:val="auto"/>
                <w:highlight w:val="none"/>
              </w:rPr>
              <w:t>二、模板工程及支撑体系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（一）各类工具式模板工程：包括滑模、爬模、飞模、隧道模等工程。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sz w:val="24"/>
                <w:szCs w:val="36"/>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olor w:val="auto"/>
                <w:highlight w:val="none"/>
              </w:rPr>
              <w:t>（三）承重支撑体系：用于钢结构安装等满堂支撑体系。</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b/>
                <w:color w:val="auto"/>
                <w:highlight w:val="none"/>
              </w:rPr>
              <w:t>三、起重吊装及起重机械安装拆卸工程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olor w:val="auto"/>
                <w:highlight w:val="none"/>
              </w:rPr>
              <w:t>（一）采用非常规起重设备、方法，且单件起吊重量在10kN及以上的起重吊装工程。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（二）采用起重机械进行安装的工程。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r>
              <w:rPr>
                <w:rFonts w:hint="eastAsia" w:ascii="宋体" w:hAnsi="宋体"/>
                <w:color w:val="auto"/>
                <w:sz w:val="24"/>
                <w:szCs w:val="36"/>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olor w:val="auto"/>
                <w:highlight w:val="none"/>
              </w:rPr>
              <w:t>（三）起重机械安装和拆卸工程。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sz w:val="24"/>
                <w:szCs w:val="36"/>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b/>
                <w:color w:val="auto"/>
                <w:highlight w:val="none"/>
              </w:rPr>
              <w:t>四、脚手架工程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（一）搭设高度24m及以上的落地式钢管脚手架工程（包括采光井、电梯井脚手架）。</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sz w:val="24"/>
                <w:szCs w:val="36"/>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（二）附着式升降脚手架工程。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sz w:val="24"/>
                <w:szCs w:val="36"/>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（三）悬挑式脚手架工程。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r>
              <w:rPr>
                <w:rFonts w:hint="eastAsia" w:ascii="宋体" w:hAnsi="宋体"/>
                <w:color w:val="auto"/>
                <w:sz w:val="24"/>
                <w:szCs w:val="36"/>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（四）高处作业吊篮。</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（五）卸料平台、操作平台工程。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r>
              <w:rPr>
                <w:rFonts w:hint="eastAsia" w:ascii="宋体" w:hAnsi="宋体"/>
                <w:color w:val="auto"/>
                <w:sz w:val="24"/>
                <w:szCs w:val="36"/>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（六）异型脚手架工程。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b/>
                <w:color w:val="auto"/>
                <w:highlight w:val="none"/>
              </w:rPr>
              <w:t>五、拆除工程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可能影响行人、交通、电力设施、通讯设施或其它建、构筑物安全的拆除工程。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sz w:val="24"/>
                <w:szCs w:val="36"/>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b/>
                <w:color w:val="auto"/>
                <w:highlight w:val="none"/>
              </w:rPr>
              <w:t>六、暗挖工程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采用矿山法、盾构法、顶管法施工的隧道、洞室工程。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b/>
                <w:color w:val="auto"/>
                <w:highlight w:val="none"/>
              </w:rPr>
              <w:t>七、其它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（一）建筑幕墙安装工程。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（二）钢结构、网架和索膜结构安装工程。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（三）人工挖孔桩工程。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（四）水下作业工程。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（五）装配式建筑混凝土预制构件安装工程。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sz w:val="24"/>
                <w:szCs w:val="36"/>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（六）采用新技术、新工艺、新材料、新设备可能影响工程施工安全，尚无国家、行业及地方技术标准的分部分项工程。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478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jc w:val="center"/>
              <w:rPr>
                <w:rFonts w:ascii="宋体" w:hAnsi="宋体"/>
                <w:b/>
                <w:color w:val="auto"/>
                <w:highlight w:val="none"/>
              </w:rPr>
            </w:pPr>
            <w:r>
              <w:rPr>
                <w:rFonts w:hint="eastAsia" w:ascii="宋体" w:hAnsi="宋体"/>
                <w:b/>
                <w:color w:val="auto"/>
                <w:highlight w:val="none"/>
              </w:rPr>
              <w:t>超过一定规模的危险性较大的分部分项工程清单</w:t>
            </w:r>
          </w:p>
        </w:tc>
        <w:tc>
          <w:tcPr>
            <w:tcW w:w="1361"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jc w:val="center"/>
              <w:rPr>
                <w:rFonts w:ascii="宋体" w:hAnsi="宋体"/>
                <w:b/>
                <w:color w:val="auto"/>
                <w:highlight w:val="none"/>
              </w:rPr>
            </w:pPr>
            <w:r>
              <w:rPr>
                <w:rFonts w:hint="eastAsia" w:ascii="宋体" w:hAnsi="宋体"/>
                <w:b/>
                <w:color w:val="auto"/>
                <w:highlight w:val="none"/>
              </w:rPr>
              <w:t>招标人</w:t>
            </w:r>
          </w:p>
        </w:tc>
        <w:tc>
          <w:tcPr>
            <w:tcW w:w="1361"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jc w:val="center"/>
              <w:rPr>
                <w:rFonts w:ascii="宋体" w:hAnsi="宋体"/>
                <w:b/>
                <w:color w:val="auto"/>
                <w:highlight w:val="none"/>
              </w:rPr>
            </w:pPr>
            <w:r>
              <w:rPr>
                <w:rFonts w:hint="eastAsia" w:ascii="宋体" w:hAnsi="宋体"/>
                <w:b/>
                <w:color w:val="auto"/>
                <w:highlight w:val="none"/>
              </w:rPr>
              <w:t>投标单位</w:t>
            </w:r>
          </w:p>
        </w:tc>
        <w:tc>
          <w:tcPr>
            <w:tcW w:w="1063"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jc w:val="center"/>
              <w:rPr>
                <w:rFonts w:ascii="宋体" w:hAnsi="宋体"/>
                <w:b/>
                <w:color w:val="auto"/>
                <w:highlight w:val="none"/>
              </w:rPr>
            </w:pPr>
            <w:r>
              <w:rPr>
                <w:rFonts w:hint="eastAsia" w:ascii="宋体" w:hAnsi="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highlight w:val="none"/>
              </w:rPr>
            </w:pPr>
            <w:r>
              <w:rPr>
                <w:rFonts w:hint="eastAsia" w:ascii="宋体" w:hAnsi="宋体"/>
                <w:b/>
                <w:color w:val="auto"/>
                <w:highlight w:val="none"/>
              </w:rPr>
              <w:t>一、深基坑工程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开挖深度超过5m（含5m）的基坑（槽）的土方开挖、支护、降水工程。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r>
              <w:rPr>
                <w:rFonts w:hint="eastAsia" w:ascii="宋体" w:hAnsi="宋体"/>
                <w:color w:val="auto"/>
                <w:sz w:val="24"/>
                <w:szCs w:val="36"/>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b/>
                <w:color w:val="auto"/>
                <w:highlight w:val="none"/>
              </w:rPr>
              <w:t>二、模板工程及支撑体系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（一）各类工具式模板工程：包括滑模、爬模、飞模、隧道模等工程。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（二）混凝土模板支撑工程：搭设高度8m及以上，或搭设跨度18m及以上，或施工总荷载（设计值）15kN/m2及以上，或集中线荷载（设计值）20kN/m及以上。</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sz w:val="24"/>
                <w:szCs w:val="36"/>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（三）承重支撑体系：用于钢结构安装等满堂支撑体系，承受单点集中荷载7kN及以上。</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b/>
                <w:color w:val="auto"/>
                <w:highlight w:val="none"/>
              </w:rPr>
              <w:t>三、起重吊装及起重机械安装拆卸工程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（一）采用非常规起重设备、方法，且单件起吊重量在100kN及以上的起重吊装工程。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（二）起重量300kN及以上，或搭设总高度200m及以上，或搭设基础标高在200m及以上的起重机械安装和拆卸工程。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highlight w:val="none"/>
              </w:rPr>
            </w:pPr>
            <w:r>
              <w:rPr>
                <w:rFonts w:hint="eastAsia" w:ascii="宋体" w:hAnsi="宋体"/>
                <w:b/>
                <w:color w:val="auto"/>
                <w:highlight w:val="none"/>
              </w:rPr>
              <w:t>四、脚手架工程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（一）搭设高度50m及以上的落地式钢管脚手架工程。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sz w:val="24"/>
                <w:szCs w:val="36"/>
                <w:highlight w:val="none"/>
              </w:rPr>
              <w:t>√</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（二）提升高度在150m及以上的附着式升降脚手架工程或附着式升降操作平台工程。</w:t>
            </w:r>
          </w:p>
        </w:tc>
        <w:tc>
          <w:tcPr>
            <w:tcW w:w="136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b/>
                <w:color w:val="auto"/>
                <w:highlight w:val="none"/>
                <w:lang w:eastAsia="zh-CN"/>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（三）分段架体搭设高度20m及以上的悬挑式脚手架工程。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highlight w:val="none"/>
              </w:rPr>
            </w:pPr>
            <w:r>
              <w:rPr>
                <w:rFonts w:hint="eastAsia" w:ascii="宋体" w:hAnsi="宋体"/>
                <w:b/>
                <w:color w:val="auto"/>
                <w:highlight w:val="none"/>
              </w:rPr>
              <w:t>五、拆除工程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（一）码头、桥梁、高架、烟囱、水塔或拆除中容易引起有毒有害气（液）体或粉尘扩散、易燃易爆事故发生的特殊建、构筑物的拆除工程。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（二）文物保护建筑、优秀历史建筑或历史文化风貌区影响范围内的拆除工程。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highlight w:val="none"/>
              </w:rPr>
            </w:pPr>
            <w:r>
              <w:rPr>
                <w:rFonts w:hint="eastAsia" w:ascii="宋体" w:hAnsi="宋体"/>
                <w:b/>
                <w:color w:val="auto"/>
                <w:highlight w:val="none"/>
              </w:rPr>
              <w:t>六、暗挖工程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采用矿山法、盾构法、顶管法施工的隧道、洞室工程。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highlight w:val="none"/>
              </w:rPr>
            </w:pPr>
            <w:r>
              <w:rPr>
                <w:rFonts w:hint="eastAsia" w:ascii="宋体" w:hAnsi="宋体"/>
                <w:b/>
                <w:color w:val="auto"/>
                <w:highlight w:val="none"/>
              </w:rPr>
              <w:t>七、其它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（一）施工高度50m及以上的建筑幕墙安装工程。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（二）跨度36m及以上的钢结构安装工程，或跨度60m及以上的网架和索膜结构安装工程。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（三）开挖深度16m及以上的人工挖孔桩工程。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（四）水下作业工程。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（五）重量1000kN及以上的大型结构整体顶升、平移、转体等施工工艺。</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（六）采用新技术、新工艺、新材料、新设备可能影响工程施工安全，尚无国家、行业及地方技术标准的分部分项工程。</w:t>
            </w: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b/>
                <w:color w:val="auto"/>
                <w:highlight w:val="none"/>
              </w:rPr>
            </w:pPr>
          </w:p>
        </w:tc>
        <w:tc>
          <w:tcPr>
            <w:tcW w:w="1361"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c>
          <w:tcPr>
            <w:tcW w:w="1063" w:type="dxa"/>
            <w:tcBorders>
              <w:top w:val="single" w:color="auto" w:sz="4" w:space="0"/>
              <w:left w:val="nil"/>
              <w:bottom w:val="single" w:color="auto" w:sz="4" w:space="0"/>
              <w:right w:val="single" w:color="auto" w:sz="4" w:space="0"/>
            </w:tcBorders>
            <w:vAlign w:val="center"/>
          </w:tcPr>
          <w:p>
            <w:pPr>
              <w:jc w:val="center"/>
              <w:rPr>
                <w:rFonts w:ascii="宋体" w:hAnsi="宋体"/>
                <w:color w:val="auto"/>
                <w:highlight w:val="none"/>
              </w:rPr>
            </w:pPr>
          </w:p>
        </w:tc>
      </w:tr>
    </w:tbl>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p>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投 标 人：（盖章）</w:t>
      </w:r>
    </w:p>
    <w:p>
      <w:pPr>
        <w:topLinePunct/>
        <w:adjustRightInd w:val="0"/>
        <w:snapToGrid w:val="0"/>
        <w:spacing w:line="360" w:lineRule="auto"/>
        <w:ind w:firstLine="691" w:firstLineChars="279"/>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法定代表人或授权代理人（签字或盖章）：</w:t>
      </w:r>
    </w:p>
    <w:p>
      <w:pPr>
        <w:autoSpaceDE w:val="0"/>
        <w:autoSpaceDN w:val="0"/>
        <w:adjustRightInd w:val="0"/>
        <w:spacing w:line="360" w:lineRule="auto"/>
        <w:ind w:firstLine="691" w:firstLineChars="279"/>
        <w:rPr>
          <w:rFonts w:ascii="宋体" w:hAnsi="宋体" w:cs="宋体"/>
          <w:bCs/>
          <w:color w:val="auto"/>
          <w:sz w:val="24"/>
          <w:szCs w:val="24"/>
          <w:highlight w:val="none"/>
        </w:rPr>
      </w:pPr>
      <w:r>
        <w:rPr>
          <w:rFonts w:hint="eastAsia" w:ascii="宋体" w:hAnsi="宋体" w:cs="宋体"/>
          <w:snapToGrid w:val="0"/>
          <w:color w:val="auto"/>
          <w:spacing w:val="4"/>
          <w:kern w:val="0"/>
          <w:sz w:val="24"/>
          <w:szCs w:val="24"/>
          <w:highlight w:val="none"/>
        </w:rPr>
        <w:t>日    期：    年    月    日</w:t>
      </w:r>
    </w:p>
    <w:p>
      <w:pPr>
        <w:ind w:right="-130" w:rightChars="-62"/>
        <w:rPr>
          <w:rFonts w:ascii="宋体" w:hAnsi="宋体"/>
          <w:color w:val="auto"/>
          <w:highlight w:val="none"/>
        </w:rPr>
      </w:pPr>
    </w:p>
    <w:p>
      <w:pPr>
        <w:widowControl/>
        <w:jc w:val="left"/>
        <w:rPr>
          <w:rFonts w:ascii="宋体" w:hAnsi="宋体"/>
          <w:color w:val="auto"/>
          <w:highlight w:val="none"/>
        </w:rPr>
      </w:pPr>
      <w:r>
        <w:rPr>
          <w:rFonts w:ascii="宋体" w:hAnsi="宋体"/>
          <w:color w:val="auto"/>
          <w:highlight w:val="none"/>
        </w:rPr>
        <w:br w:type="page"/>
      </w:r>
    </w:p>
    <w:p>
      <w:pPr>
        <w:outlineLvl w:val="9"/>
        <w:rPr>
          <w:color w:val="auto"/>
          <w:sz w:val="27"/>
          <w:szCs w:val="27"/>
          <w:highlight w:val="none"/>
        </w:rPr>
      </w:pPr>
      <w:bookmarkStart w:id="280" w:name="_Toc60070631"/>
      <w:bookmarkStart w:id="281" w:name="_Toc58838603"/>
      <w:r>
        <w:rPr>
          <w:rFonts w:hint="eastAsia"/>
          <w:color w:val="auto"/>
          <w:sz w:val="27"/>
          <w:szCs w:val="27"/>
          <w:highlight w:val="none"/>
        </w:rPr>
        <w:t>格式</w:t>
      </w:r>
      <w:r>
        <w:rPr>
          <w:rFonts w:hint="eastAsia"/>
          <w:color w:val="auto"/>
          <w:sz w:val="27"/>
          <w:szCs w:val="27"/>
          <w:highlight w:val="none"/>
          <w:lang w:val="en-US" w:eastAsia="zh-CN"/>
        </w:rPr>
        <w:t>十</w:t>
      </w:r>
      <w:r>
        <w:rPr>
          <w:rFonts w:hint="eastAsia"/>
          <w:color w:val="auto"/>
          <w:sz w:val="27"/>
          <w:szCs w:val="27"/>
          <w:highlight w:val="none"/>
        </w:rPr>
        <w:t>：</w:t>
      </w:r>
      <w:bookmarkEnd w:id="280"/>
      <w:bookmarkEnd w:id="281"/>
    </w:p>
    <w:p>
      <w:pPr>
        <w:jc w:val="center"/>
        <w:rPr>
          <w:rFonts w:ascii="宋体" w:hAnsi="宋体"/>
          <w:b/>
          <w:color w:val="auto"/>
          <w:sz w:val="36"/>
          <w:szCs w:val="36"/>
          <w:highlight w:val="none"/>
        </w:rPr>
      </w:pPr>
      <w:r>
        <w:rPr>
          <w:rFonts w:hint="eastAsia" w:ascii="宋体" w:hAnsi="宋体"/>
          <w:b/>
          <w:color w:val="auto"/>
          <w:sz w:val="36"/>
          <w:szCs w:val="36"/>
          <w:highlight w:val="none"/>
        </w:rPr>
        <w:t>参与编制技术标投标文件人员名单</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470"/>
        <w:gridCol w:w="2520"/>
        <w:gridCol w:w="2415"/>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116"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姓名</w:t>
            </w: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职务</w:t>
            </w:r>
          </w:p>
        </w:tc>
        <w:tc>
          <w:tcPr>
            <w:tcW w:w="252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所承担工作</w:t>
            </w: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身份证号码</w:t>
            </w:r>
          </w:p>
        </w:tc>
        <w:tc>
          <w:tcPr>
            <w:tcW w:w="1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6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6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6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6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6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6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6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6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jc w:val="center"/>
              <w:rPr>
                <w:rFonts w:ascii="宋体" w:hAnsi="宋体" w:cs="宋体"/>
                <w:color w:val="auto"/>
                <w:szCs w:val="21"/>
                <w:highlight w:val="none"/>
              </w:rPr>
            </w:pPr>
          </w:p>
        </w:tc>
      </w:tr>
    </w:tbl>
    <w:p>
      <w:pPr>
        <w:autoSpaceDE w:val="0"/>
        <w:autoSpaceDN w:val="0"/>
        <w:adjustRightInd w:val="0"/>
        <w:spacing w:line="360" w:lineRule="auto"/>
        <w:rPr>
          <w:rFonts w:ascii="宋体" w:hAnsi="宋体" w:cs="宋体"/>
          <w:color w:val="auto"/>
          <w:sz w:val="24"/>
          <w:szCs w:val="24"/>
          <w:highlight w:val="none"/>
        </w:rPr>
        <w:sectPr>
          <w:pgSz w:w="11906" w:h="16838"/>
          <w:pgMar w:top="1440" w:right="866" w:bottom="1440" w:left="1600" w:header="851" w:footer="992" w:gutter="0"/>
          <w:cols w:space="720" w:num="1"/>
          <w:docGrid w:type="lines" w:linePitch="312" w:charSpace="0"/>
        </w:sectPr>
      </w:pPr>
      <w:r>
        <w:rPr>
          <w:rFonts w:hint="eastAsia" w:ascii="宋体" w:hAnsi="宋体" w:cs="宋体"/>
          <w:color w:val="auto"/>
          <w:sz w:val="24"/>
          <w:szCs w:val="24"/>
          <w:highlight w:val="none"/>
        </w:rPr>
        <w:t>注：参与编制技术标书所有人员名单应包括如编制技术投标方案、负责清样校对、负责打印及复印等所有人员在内的人员名单。</w:t>
      </w:r>
    </w:p>
    <w:p>
      <w:pPr>
        <w:autoSpaceDN w:val="0"/>
        <w:jc w:val="both"/>
        <w:rPr>
          <w:rFonts w:ascii="宋体" w:hAnsi="宋体"/>
          <w:color w:val="auto"/>
          <w:szCs w:val="20"/>
          <w:highlight w:val="none"/>
        </w:rPr>
      </w:pPr>
    </w:p>
    <w:p>
      <w:pPr>
        <w:pStyle w:val="4"/>
        <w:rPr>
          <w:bCs/>
          <w:color w:val="auto"/>
          <w:highlight w:val="none"/>
        </w:rPr>
      </w:pPr>
      <w:bookmarkStart w:id="282" w:name="_Toc11517"/>
      <w:bookmarkStart w:id="283" w:name="_Toc26124"/>
      <w:bookmarkStart w:id="284" w:name="_Toc58838604"/>
      <w:bookmarkStart w:id="285" w:name="_Toc7624"/>
      <w:bookmarkStart w:id="286" w:name="_Toc3150"/>
      <w:bookmarkStart w:id="287" w:name="_Toc31178"/>
      <w:bookmarkStart w:id="288" w:name="_Toc4365"/>
      <w:bookmarkStart w:id="289" w:name="_Toc29236"/>
      <w:bookmarkStart w:id="290" w:name="_Toc19883"/>
      <w:bookmarkStart w:id="291" w:name="_Toc12275"/>
      <w:bookmarkStart w:id="292" w:name="_Toc3791"/>
      <w:bookmarkStart w:id="293" w:name="_Toc29521"/>
      <w:r>
        <w:rPr>
          <w:rFonts w:hint="eastAsia"/>
          <w:color w:val="auto"/>
          <w:highlight w:val="none"/>
        </w:rPr>
        <w:t>二、经济标投标文件格式</w:t>
      </w:r>
      <w:bookmarkEnd w:id="282"/>
      <w:bookmarkEnd w:id="283"/>
      <w:bookmarkEnd w:id="284"/>
      <w:bookmarkEnd w:id="285"/>
      <w:bookmarkEnd w:id="286"/>
      <w:bookmarkEnd w:id="287"/>
      <w:bookmarkEnd w:id="288"/>
      <w:bookmarkEnd w:id="289"/>
      <w:bookmarkEnd w:id="290"/>
      <w:bookmarkEnd w:id="291"/>
      <w:bookmarkEnd w:id="292"/>
      <w:bookmarkEnd w:id="293"/>
    </w:p>
    <w:p>
      <w:pPr>
        <w:outlineLvl w:val="9"/>
        <w:rPr>
          <w:rFonts w:cs="宋体"/>
          <w:b/>
          <w:bCs/>
          <w:color w:val="auto"/>
          <w:sz w:val="27"/>
          <w:szCs w:val="27"/>
          <w:highlight w:val="none"/>
          <w:lang w:val="zh-CN"/>
        </w:rPr>
      </w:pPr>
      <w:bookmarkStart w:id="294" w:name="_Toc58838605"/>
      <w:bookmarkStart w:id="295" w:name="_Toc6493862"/>
      <w:bookmarkStart w:id="296" w:name="_Toc60070633"/>
      <w:r>
        <w:rPr>
          <w:rFonts w:hint="eastAsia"/>
          <w:snapToGrid w:val="0"/>
          <w:color w:val="auto"/>
          <w:sz w:val="27"/>
          <w:szCs w:val="27"/>
          <w:highlight w:val="none"/>
        </w:rPr>
        <w:t>格式十</w:t>
      </w:r>
      <w:bookmarkEnd w:id="294"/>
      <w:bookmarkEnd w:id="295"/>
      <w:r>
        <w:rPr>
          <w:rFonts w:hint="eastAsia"/>
          <w:snapToGrid w:val="0"/>
          <w:color w:val="auto"/>
          <w:sz w:val="27"/>
          <w:szCs w:val="27"/>
          <w:highlight w:val="none"/>
        </w:rPr>
        <w:t>一：</w:t>
      </w:r>
      <w:bookmarkEnd w:id="296"/>
    </w:p>
    <w:p>
      <w:pPr>
        <w:jc w:val="center"/>
        <w:rPr>
          <w:rFonts w:ascii="宋体" w:hAnsi="宋体"/>
          <w:b/>
          <w:color w:val="auto"/>
          <w:sz w:val="36"/>
          <w:szCs w:val="36"/>
          <w:highlight w:val="none"/>
        </w:rPr>
      </w:pPr>
      <w:bookmarkStart w:id="297" w:name="_Toc58838606"/>
      <w:r>
        <w:rPr>
          <w:rFonts w:hint="eastAsia" w:ascii="宋体" w:hAnsi="宋体"/>
          <w:b/>
          <w:color w:val="auto"/>
          <w:sz w:val="36"/>
          <w:szCs w:val="36"/>
          <w:highlight w:val="none"/>
        </w:rPr>
        <w:t>广州建设工程施工招标投标书（经济标）</w:t>
      </w:r>
      <w:bookmarkEnd w:id="297"/>
    </w:p>
    <w:tbl>
      <w:tblPr>
        <w:tblStyle w:val="51"/>
        <w:tblpPr w:leftFromText="180" w:rightFromText="180" w:vertAnchor="text" w:horzAnchor="margin" w:tblpXSpec="center" w:tblpY="27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4"/>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3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color w:val="auto"/>
                <w:sz w:val="24"/>
                <w:szCs w:val="24"/>
                <w:highlight w:val="none"/>
                <w:lang w:val="zh-CN"/>
              </w:rPr>
              <w:t>工程名称</w:t>
            </w:r>
          </w:p>
        </w:tc>
        <w:tc>
          <w:tcPr>
            <w:tcW w:w="6045"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33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color w:val="auto"/>
                <w:sz w:val="24"/>
                <w:szCs w:val="24"/>
                <w:highlight w:val="none"/>
                <w:lang w:val="zh-CN"/>
              </w:rPr>
              <w:t>投标总报价（元）</w:t>
            </w: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color w:val="auto"/>
                <w:sz w:val="24"/>
                <w:szCs w:val="24"/>
                <w:highlight w:val="none"/>
                <w:lang w:val="zh-CN"/>
              </w:rPr>
            </w:pPr>
            <w:r>
              <w:rPr>
                <w:rFonts w:hint="eastAsia" w:ascii="宋体" w:hAnsi="宋体"/>
                <w:color w:val="auto"/>
                <w:sz w:val="24"/>
                <w:szCs w:val="24"/>
                <w:highlight w:val="none"/>
              </w:rPr>
              <w:t>大写：</w:t>
            </w:r>
            <w:r>
              <w:rPr>
                <w:rFonts w:ascii="宋体" w:hAnsi="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auto"/>
                <w:sz w:val="24"/>
                <w:szCs w:val="24"/>
                <w:highlight w:val="none"/>
                <w:lang w:val="zh-CN"/>
              </w:rPr>
            </w:pP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color w:val="auto"/>
                <w:sz w:val="24"/>
                <w:szCs w:val="24"/>
                <w:highlight w:val="none"/>
                <w:lang w:val="zh-CN"/>
              </w:rPr>
            </w:pPr>
            <w:r>
              <w:rPr>
                <w:rFonts w:hint="eastAsia" w:ascii="宋体" w:hAnsi="宋体"/>
                <w:color w:val="auto"/>
                <w:sz w:val="24"/>
                <w:szCs w:val="24"/>
                <w:highlight w:val="none"/>
              </w:rPr>
              <w:t>小写：</w:t>
            </w:r>
            <w:r>
              <w:rPr>
                <w:rFonts w:ascii="宋体" w:hAnsi="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333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color w:val="auto"/>
                <w:sz w:val="24"/>
                <w:szCs w:val="24"/>
                <w:highlight w:val="none"/>
                <w:lang w:val="zh-CN"/>
              </w:rPr>
              <w:t>其中：</w:t>
            </w:r>
            <w:r>
              <w:rPr>
                <w:rFonts w:hint="eastAsia" w:ascii="宋体" w:hAnsi="宋体" w:cs="宋体"/>
                <w:bCs/>
                <w:color w:val="auto"/>
                <w:sz w:val="24"/>
                <w:szCs w:val="24"/>
                <w:highlight w:val="none"/>
                <w:lang w:val="zh-CN"/>
              </w:rPr>
              <w:t>人工费</w:t>
            </w:r>
            <w:r>
              <w:rPr>
                <w:rFonts w:hint="eastAsia" w:ascii="宋体" w:hAnsi="宋体" w:cs="宋体"/>
                <w:color w:val="auto"/>
                <w:sz w:val="24"/>
                <w:szCs w:val="24"/>
                <w:highlight w:val="none"/>
                <w:lang w:val="zh-CN"/>
              </w:rPr>
              <w:t>（元）</w:t>
            </w: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color w:val="auto"/>
                <w:sz w:val="24"/>
                <w:szCs w:val="24"/>
                <w:highlight w:val="none"/>
                <w:lang w:val="zh-CN"/>
              </w:rPr>
            </w:pPr>
            <w:r>
              <w:rPr>
                <w:rFonts w:hint="eastAsia" w:ascii="宋体" w:hAnsi="宋体"/>
                <w:color w:val="auto"/>
                <w:sz w:val="24"/>
                <w:szCs w:val="24"/>
                <w:highlight w:val="none"/>
              </w:rPr>
              <w:t>大写：</w:t>
            </w:r>
            <w:r>
              <w:rPr>
                <w:rFonts w:ascii="宋体" w:hAnsi="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auto"/>
                <w:sz w:val="24"/>
                <w:szCs w:val="24"/>
                <w:highlight w:val="none"/>
                <w:lang w:val="zh-CN"/>
              </w:rPr>
            </w:pP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color w:val="auto"/>
                <w:sz w:val="24"/>
                <w:szCs w:val="24"/>
                <w:highlight w:val="none"/>
                <w:lang w:val="zh-CN"/>
              </w:rPr>
            </w:pPr>
            <w:r>
              <w:rPr>
                <w:rFonts w:hint="eastAsia" w:ascii="宋体" w:hAnsi="宋体"/>
                <w:color w:val="auto"/>
                <w:sz w:val="24"/>
                <w:szCs w:val="24"/>
                <w:highlight w:val="none"/>
              </w:rPr>
              <w:t>小写：</w:t>
            </w:r>
            <w:r>
              <w:rPr>
                <w:rFonts w:ascii="宋体" w:hAnsi="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b/>
                <w:color w:val="auto"/>
                <w:sz w:val="24"/>
                <w:szCs w:val="24"/>
                <w:highlight w:val="none"/>
                <w:lang w:val="zh-CN"/>
              </w:rPr>
            </w:pPr>
            <w:r>
              <w:rPr>
                <w:rFonts w:hint="eastAsia" w:ascii="宋体" w:hAnsi="宋体" w:cs="宋体"/>
                <w:bCs/>
                <w:color w:val="auto"/>
                <w:sz w:val="24"/>
                <w:szCs w:val="24"/>
                <w:highlight w:val="none"/>
                <w:lang w:val="zh-CN"/>
              </w:rPr>
              <w:t>其中：</w:t>
            </w:r>
            <w:r>
              <w:rPr>
                <w:rFonts w:hint="eastAsia" w:ascii="宋体" w:hAnsi="宋体" w:cs="宋体"/>
                <w:color w:val="auto"/>
                <w:sz w:val="24"/>
                <w:szCs w:val="24"/>
                <w:highlight w:val="none"/>
                <w:lang w:val="zh-CN"/>
              </w:rPr>
              <w:t>绿色施工安全防护措施费（元）</w:t>
            </w: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color w:val="auto"/>
                <w:sz w:val="24"/>
                <w:szCs w:val="24"/>
                <w:highlight w:val="none"/>
                <w:lang w:val="zh-CN"/>
              </w:rPr>
            </w:pPr>
            <w:r>
              <w:rPr>
                <w:rFonts w:hint="eastAsia" w:ascii="宋体" w:hAnsi="宋体"/>
                <w:color w:val="auto"/>
                <w:sz w:val="24"/>
                <w:szCs w:val="24"/>
                <w:highlight w:val="none"/>
              </w:rPr>
              <w:t>大写：</w:t>
            </w:r>
            <w:r>
              <w:rPr>
                <w:rFonts w:ascii="宋体" w:hAnsi="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continue"/>
            <w:tcBorders>
              <w:left w:val="single" w:color="auto" w:sz="4" w:space="0"/>
              <w:right w:val="single" w:color="auto" w:sz="4" w:space="0"/>
            </w:tcBorders>
            <w:vAlign w:val="center"/>
          </w:tcPr>
          <w:p>
            <w:pPr>
              <w:widowControl/>
              <w:jc w:val="left"/>
              <w:rPr>
                <w:rFonts w:ascii="宋体" w:hAnsi="宋体" w:cs="宋体"/>
                <w:bCs/>
                <w:color w:val="auto"/>
                <w:sz w:val="24"/>
                <w:szCs w:val="24"/>
                <w:highlight w:val="none"/>
                <w:lang w:val="zh-CN"/>
              </w:rPr>
            </w:pPr>
          </w:p>
        </w:tc>
        <w:tc>
          <w:tcPr>
            <w:tcW w:w="60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Cs/>
                <w:color w:val="auto"/>
                <w:sz w:val="24"/>
                <w:szCs w:val="24"/>
                <w:highlight w:val="none"/>
                <w:lang w:val="zh-CN"/>
              </w:rPr>
            </w:pPr>
            <w:r>
              <w:rPr>
                <w:rFonts w:hint="eastAsia" w:ascii="宋体" w:hAnsi="宋体"/>
                <w:color w:val="auto"/>
                <w:sz w:val="24"/>
                <w:szCs w:val="24"/>
                <w:highlight w:val="none"/>
              </w:rPr>
              <w:t>小写：</w:t>
            </w:r>
            <w:r>
              <w:rPr>
                <w:rFonts w:ascii="宋体" w:hAnsi="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restart"/>
            <w:tcBorders>
              <w:left w:val="single" w:color="auto" w:sz="4" w:space="0"/>
              <w:right w:val="single" w:color="auto" w:sz="4" w:space="0"/>
            </w:tcBorders>
            <w:vAlign w:val="center"/>
          </w:tcPr>
          <w:p>
            <w:pPr>
              <w:widowControl/>
              <w:jc w:val="left"/>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其中： 暂列金额（元）</w:t>
            </w:r>
          </w:p>
        </w:tc>
        <w:tc>
          <w:tcPr>
            <w:tcW w:w="6045"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left"/>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大写：</w:t>
            </w:r>
            <w:r>
              <w:rPr>
                <w:rFonts w:ascii="宋体" w:hAnsi="宋体" w:cs="宋体"/>
                <w:bCs/>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334" w:type="dxa"/>
            <w:vMerge w:val="continue"/>
            <w:tcBorders>
              <w:left w:val="single" w:color="auto" w:sz="4" w:space="0"/>
              <w:right w:val="single" w:color="auto" w:sz="4" w:space="0"/>
            </w:tcBorders>
            <w:vAlign w:val="center"/>
          </w:tcPr>
          <w:p>
            <w:pPr>
              <w:widowControl/>
              <w:jc w:val="left"/>
              <w:rPr>
                <w:rFonts w:ascii="宋体" w:hAnsi="宋体" w:cs="宋体"/>
                <w:bCs/>
                <w:color w:val="auto"/>
                <w:sz w:val="24"/>
                <w:szCs w:val="24"/>
                <w:highlight w:val="none"/>
                <w:lang w:val="zh-CN"/>
              </w:rPr>
            </w:pPr>
          </w:p>
        </w:tc>
        <w:tc>
          <w:tcPr>
            <w:tcW w:w="6045"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left"/>
              <w:rPr>
                <w:rFonts w:ascii="宋体" w:hAnsi="宋体" w:cs="宋体"/>
                <w:bCs/>
                <w:color w:val="auto"/>
                <w:sz w:val="24"/>
                <w:szCs w:val="24"/>
                <w:highlight w:val="none"/>
                <w:lang w:val="zh-CN"/>
              </w:rPr>
            </w:pPr>
            <w:r>
              <w:rPr>
                <w:rFonts w:hint="eastAsia" w:ascii="宋体" w:hAnsi="宋体" w:cs="宋体"/>
                <w:bCs/>
                <w:color w:val="auto"/>
                <w:sz w:val="24"/>
                <w:szCs w:val="24"/>
                <w:highlight w:val="none"/>
                <w:lang w:val="zh-CN"/>
              </w:rPr>
              <w:t>小写：</w:t>
            </w:r>
            <w:r>
              <w:rPr>
                <w:rFonts w:ascii="宋体" w:hAnsi="宋体" w:cs="宋体"/>
                <w:bCs/>
                <w:color w:val="auto"/>
                <w:sz w:val="24"/>
                <w:szCs w:val="24"/>
                <w:highlight w:val="none"/>
                <w:lang w:val="zh-CN"/>
              </w:rPr>
              <w:t xml:space="preserve"> </w:t>
            </w:r>
          </w:p>
        </w:tc>
      </w:tr>
    </w:tbl>
    <w:p>
      <w:pPr>
        <w:rPr>
          <w:bCs/>
          <w:color w:val="auto"/>
          <w:highlight w:val="none"/>
        </w:rPr>
      </w:pPr>
      <w:r>
        <w:rPr>
          <w:rFonts w:hint="eastAsia" w:ascii="宋体" w:hAnsi="宋体" w:cs="宋体"/>
          <w:bCs/>
          <w:color w:val="auto"/>
          <w:sz w:val="24"/>
          <w:szCs w:val="24"/>
          <w:highlight w:val="none"/>
          <w:lang w:val="zh-CN"/>
        </w:rPr>
        <w:br w:type="page"/>
      </w:r>
      <w:bookmarkStart w:id="298" w:name="_Toc6493863"/>
      <w:bookmarkStart w:id="299" w:name="_Toc58838607"/>
      <w:bookmarkStart w:id="300" w:name="_Toc60070634"/>
      <w:r>
        <w:rPr>
          <w:rFonts w:hint="eastAsia"/>
          <w:snapToGrid w:val="0"/>
          <w:color w:val="auto"/>
          <w:highlight w:val="none"/>
        </w:rPr>
        <w:t>格式十</w:t>
      </w:r>
      <w:bookmarkEnd w:id="298"/>
      <w:bookmarkEnd w:id="299"/>
      <w:r>
        <w:rPr>
          <w:rFonts w:hint="eastAsia"/>
          <w:snapToGrid w:val="0"/>
          <w:color w:val="auto"/>
          <w:highlight w:val="none"/>
        </w:rPr>
        <w:t>二：</w:t>
      </w:r>
      <w:bookmarkEnd w:id="300"/>
    </w:p>
    <w:p>
      <w:pPr>
        <w:jc w:val="center"/>
        <w:rPr>
          <w:rFonts w:ascii="宋体" w:hAnsi="宋体"/>
          <w:b/>
          <w:color w:val="auto"/>
          <w:sz w:val="36"/>
          <w:szCs w:val="36"/>
          <w:highlight w:val="none"/>
        </w:rPr>
      </w:pPr>
      <w:bookmarkStart w:id="301" w:name="_Toc58838608"/>
      <w:r>
        <w:rPr>
          <w:rFonts w:hint="eastAsia" w:ascii="宋体" w:hAnsi="宋体"/>
          <w:b/>
          <w:color w:val="auto"/>
          <w:sz w:val="36"/>
          <w:szCs w:val="36"/>
          <w:highlight w:val="none"/>
        </w:rPr>
        <w:t>参与编制经济标投标文件人员名单</w:t>
      </w:r>
      <w:bookmarkEnd w:id="301"/>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441"/>
        <w:gridCol w:w="2461"/>
        <w:gridCol w:w="2359"/>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919" w:type="dxa"/>
            <w:gridSpan w:val="5"/>
            <w:vAlign w:val="center"/>
          </w:tcPr>
          <w:p>
            <w:pPr>
              <w:tabs>
                <w:tab w:val="left" w:pos="720"/>
              </w:tabs>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2"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姓名</w:t>
            </w: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职务</w:t>
            </w: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所承担工作</w:t>
            </w: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身份证号码</w:t>
            </w: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39" w:type="dxa"/>
            <w:vAlign w:val="center"/>
          </w:tcPr>
          <w:p>
            <w:pPr>
              <w:tabs>
                <w:tab w:val="left" w:pos="720"/>
              </w:tabs>
              <w:snapToGrid w:val="0"/>
              <w:spacing w:line="360" w:lineRule="auto"/>
              <w:jc w:val="center"/>
              <w:rPr>
                <w:rFonts w:ascii="宋体" w:hAnsi="宋体"/>
                <w:color w:val="auto"/>
                <w:sz w:val="24"/>
                <w:szCs w:val="24"/>
                <w:highlight w:val="none"/>
              </w:rPr>
            </w:pPr>
          </w:p>
        </w:tc>
        <w:tc>
          <w:tcPr>
            <w:tcW w:w="1441" w:type="dxa"/>
            <w:vAlign w:val="center"/>
          </w:tcPr>
          <w:p>
            <w:pPr>
              <w:tabs>
                <w:tab w:val="left" w:pos="720"/>
              </w:tabs>
              <w:snapToGrid w:val="0"/>
              <w:spacing w:line="360" w:lineRule="auto"/>
              <w:jc w:val="center"/>
              <w:rPr>
                <w:rFonts w:ascii="宋体" w:hAnsi="宋体"/>
                <w:color w:val="auto"/>
                <w:sz w:val="24"/>
                <w:szCs w:val="24"/>
                <w:highlight w:val="none"/>
              </w:rPr>
            </w:pPr>
          </w:p>
        </w:tc>
        <w:tc>
          <w:tcPr>
            <w:tcW w:w="2461" w:type="dxa"/>
            <w:vAlign w:val="center"/>
          </w:tcPr>
          <w:p>
            <w:pPr>
              <w:tabs>
                <w:tab w:val="left" w:pos="720"/>
              </w:tabs>
              <w:snapToGrid w:val="0"/>
              <w:spacing w:line="360" w:lineRule="auto"/>
              <w:jc w:val="center"/>
              <w:rPr>
                <w:rFonts w:ascii="宋体" w:hAnsi="宋体"/>
                <w:color w:val="auto"/>
                <w:sz w:val="24"/>
                <w:szCs w:val="24"/>
                <w:highlight w:val="none"/>
              </w:rPr>
            </w:pPr>
          </w:p>
        </w:tc>
        <w:tc>
          <w:tcPr>
            <w:tcW w:w="2359" w:type="dxa"/>
            <w:vAlign w:val="center"/>
          </w:tcPr>
          <w:p>
            <w:pPr>
              <w:tabs>
                <w:tab w:val="left" w:pos="720"/>
              </w:tabs>
              <w:snapToGrid w:val="0"/>
              <w:spacing w:line="360" w:lineRule="auto"/>
              <w:jc w:val="center"/>
              <w:rPr>
                <w:rFonts w:ascii="宋体" w:hAnsi="宋体"/>
                <w:color w:val="auto"/>
                <w:sz w:val="24"/>
                <w:szCs w:val="24"/>
                <w:highlight w:val="none"/>
              </w:rPr>
            </w:pPr>
          </w:p>
        </w:tc>
        <w:tc>
          <w:tcPr>
            <w:tcW w:w="1419" w:type="dxa"/>
            <w:vAlign w:val="center"/>
          </w:tcPr>
          <w:p>
            <w:pPr>
              <w:tabs>
                <w:tab w:val="left" w:pos="720"/>
              </w:tabs>
              <w:snapToGrid w:val="0"/>
              <w:spacing w:line="360" w:lineRule="auto"/>
              <w:jc w:val="center"/>
              <w:rPr>
                <w:rFonts w:ascii="宋体" w:hAnsi="宋体"/>
                <w:color w:val="auto"/>
                <w:sz w:val="24"/>
                <w:szCs w:val="24"/>
                <w:highlight w:val="none"/>
              </w:rPr>
            </w:pPr>
          </w:p>
        </w:tc>
      </w:tr>
    </w:tbl>
    <w:p>
      <w:pPr>
        <w:tabs>
          <w:tab w:val="left" w:pos="720"/>
        </w:tabs>
        <w:snapToGrid w:val="0"/>
        <w:spacing w:line="360" w:lineRule="auto"/>
        <w:rPr>
          <w:rFonts w:ascii="宋体" w:hAnsi="宋体"/>
          <w:color w:val="auto"/>
          <w:sz w:val="24"/>
          <w:szCs w:val="24"/>
          <w:highlight w:val="none"/>
        </w:rPr>
      </w:pPr>
    </w:p>
    <w:p>
      <w:pPr>
        <w:rPr>
          <w:rFonts w:ascii="宋体" w:hAnsi="宋体"/>
          <w:color w:val="auto"/>
          <w:highlight w:val="none"/>
        </w:rPr>
      </w:pPr>
      <w:r>
        <w:rPr>
          <w:rFonts w:hint="eastAsia" w:ascii="宋体" w:hAnsi="宋体"/>
          <w:color w:val="auto"/>
          <w:spacing w:val="4"/>
          <w:kern w:val="0"/>
          <w:sz w:val="24"/>
          <w:szCs w:val="24"/>
          <w:highlight w:val="none"/>
        </w:rPr>
        <w:t>注：参与编制经济标书所有人员名单应包括如编制各种专业工程量清单投标报价、负责清样校对、负责打印及复印等所有人员在内的人员名单。</w:t>
      </w:r>
    </w:p>
    <w:p>
      <w:pPr>
        <w:widowControl/>
        <w:jc w:val="left"/>
        <w:rPr>
          <w:rFonts w:ascii="宋体" w:hAnsi="宋体" w:cs="宋体"/>
          <w:b/>
          <w:color w:val="auto"/>
          <w:kern w:val="0"/>
          <w:sz w:val="24"/>
          <w:szCs w:val="24"/>
          <w:highlight w:val="none"/>
        </w:rPr>
      </w:pPr>
      <w:r>
        <w:rPr>
          <w:rFonts w:ascii="宋体" w:hAnsi="宋体"/>
          <w:color w:val="auto"/>
          <w:highlight w:val="none"/>
        </w:rPr>
        <w:br w:type="page"/>
      </w:r>
    </w:p>
    <w:p>
      <w:pPr>
        <w:outlineLvl w:val="9"/>
        <w:rPr>
          <w:color w:val="auto"/>
          <w:sz w:val="27"/>
          <w:szCs w:val="27"/>
          <w:highlight w:val="none"/>
        </w:rPr>
      </w:pPr>
      <w:bookmarkStart w:id="302" w:name="_Toc60070635"/>
      <w:r>
        <w:rPr>
          <w:rFonts w:hint="eastAsia"/>
          <w:color w:val="auto"/>
          <w:sz w:val="27"/>
          <w:szCs w:val="27"/>
          <w:highlight w:val="none"/>
        </w:rPr>
        <w:t>格式</w:t>
      </w:r>
      <w:r>
        <w:rPr>
          <w:rFonts w:hint="eastAsia"/>
          <w:snapToGrid w:val="0"/>
          <w:color w:val="auto"/>
          <w:sz w:val="27"/>
          <w:szCs w:val="27"/>
          <w:highlight w:val="none"/>
        </w:rPr>
        <w:t>十三</w:t>
      </w:r>
      <w:r>
        <w:rPr>
          <w:rFonts w:hint="eastAsia"/>
          <w:color w:val="auto"/>
          <w:kern w:val="2"/>
          <w:sz w:val="27"/>
          <w:szCs w:val="27"/>
          <w:highlight w:val="none"/>
        </w:rPr>
        <w:t>：</w:t>
      </w:r>
      <w:bookmarkEnd w:id="302"/>
    </w:p>
    <w:p>
      <w:pPr>
        <w:pStyle w:val="49"/>
        <w:spacing w:after="0" w:line="360" w:lineRule="auto"/>
        <w:ind w:firstLine="0"/>
        <w:jc w:val="center"/>
        <w:rPr>
          <w:rFonts w:ascii="宋体" w:hAnsi="宋体" w:eastAsia="宋体" w:cs="宋体"/>
          <w:color w:val="auto"/>
          <w:sz w:val="36"/>
          <w:szCs w:val="36"/>
          <w:highlight w:val="none"/>
        </w:rPr>
      </w:pPr>
      <w:r>
        <w:rPr>
          <w:rFonts w:hint="eastAsia" w:ascii="宋体" w:hAnsi="宋体" w:eastAsia="宋体" w:cs="宋体"/>
          <w:b/>
          <w:color w:val="auto"/>
          <w:sz w:val="36"/>
          <w:szCs w:val="36"/>
          <w:highlight w:val="none"/>
        </w:rPr>
        <w:t>对投标文件编制的承诺</w:t>
      </w:r>
    </w:p>
    <w:p>
      <w:pPr>
        <w:pStyle w:val="49"/>
        <w:spacing w:after="0" w:line="360" w:lineRule="auto"/>
        <w:ind w:left="-2" w:leftChars="-1" w:firstLine="540" w:firstLineChars="225"/>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本公司授权</w:t>
      </w:r>
      <w:r>
        <w:rPr>
          <w:rFonts w:hint="eastAsia" w:ascii="宋体" w:hAnsi="宋体" w:eastAsia="宋体" w:cs="宋体"/>
          <w:color w:val="auto"/>
          <w:sz w:val="24"/>
          <w:szCs w:val="24"/>
          <w:highlight w:val="none"/>
          <w:u w:val="single"/>
        </w:rPr>
        <w:t xml:space="preserve">         （身份证号：               ）</w:t>
      </w:r>
      <w:r>
        <w:rPr>
          <w:rFonts w:hint="eastAsia" w:ascii="宋体" w:hAnsi="宋体" w:eastAsia="宋体" w:cs="宋体"/>
          <w:color w:val="auto"/>
          <w:sz w:val="24"/>
          <w:szCs w:val="24"/>
          <w:highlight w:val="none"/>
        </w:rPr>
        <w:t>负责对投标文件的编制及内容进行解释、说明，并承诺以下事项：</w:t>
      </w:r>
    </w:p>
    <w:p>
      <w:pPr>
        <w:pStyle w:val="49"/>
        <w:spacing w:after="0" w:line="360" w:lineRule="auto"/>
        <w:ind w:left="-2" w:leftChars="-1" w:firstLine="540" w:firstLineChars="225"/>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1.被授权人清楚投标文件编制的具体情况，包括</w:t>
      </w:r>
      <w:r>
        <w:rPr>
          <w:rFonts w:hint="eastAsia" w:ascii="宋体" w:hAnsi="宋体"/>
          <w:color w:val="auto"/>
          <w:sz w:val="24"/>
          <w:szCs w:val="24"/>
          <w:highlight w:val="none"/>
        </w:rPr>
        <w:t>技术方案文件、</w:t>
      </w:r>
      <w:r>
        <w:rPr>
          <w:rFonts w:hint="eastAsia" w:ascii="宋体" w:hAnsi="宋体" w:eastAsia="宋体" w:cs="宋体"/>
          <w:color w:val="auto"/>
          <w:sz w:val="24"/>
          <w:szCs w:val="24"/>
          <w:highlight w:val="none"/>
        </w:rPr>
        <w:t>工程量清单、以及投标文件的加密打包的理解；</w:t>
      </w:r>
    </w:p>
    <w:p>
      <w:pPr>
        <w:pStyle w:val="49"/>
        <w:spacing w:after="0" w:line="360" w:lineRule="auto"/>
        <w:ind w:left="-2" w:leftChars="-1" w:firstLine="540" w:firstLineChars="225"/>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2.在本项目开标至评标结束前，努力确保被授权人在项目评标所在地附近；</w:t>
      </w:r>
    </w:p>
    <w:p>
      <w:pPr>
        <w:pStyle w:val="49"/>
        <w:spacing w:after="0" w:line="360" w:lineRule="auto"/>
        <w:ind w:left="-2" w:leftChars="-1" w:firstLine="540" w:firstLineChars="225"/>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3.从评标委员会要求澄清起二小时内，被授权人应如实地书面澄清。</w:t>
      </w:r>
    </w:p>
    <w:p>
      <w:pPr>
        <w:pStyle w:val="49"/>
        <w:spacing w:after="0" w:line="360" w:lineRule="auto"/>
        <w:ind w:left="-2" w:leftChars="-1" w:firstLine="540" w:firstLineChars="225"/>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如由于未遵守上述承诺内容之一导致无法进行澄清的，我公司认可和接受评标委员会作出的评审结论。                                 </w:t>
      </w:r>
    </w:p>
    <w:p>
      <w:pPr>
        <w:pStyle w:val="49"/>
        <w:spacing w:after="0" w:line="360" w:lineRule="auto"/>
        <w:ind w:firstLine="360" w:firstLineChars="150"/>
        <w:rPr>
          <w:rFonts w:ascii="宋体" w:hAnsi="宋体" w:eastAsia="宋体" w:cs="宋体"/>
          <w:color w:val="auto"/>
          <w:sz w:val="24"/>
          <w:szCs w:val="24"/>
          <w:highlight w:val="none"/>
        </w:rPr>
      </w:pPr>
    </w:p>
    <w:p>
      <w:pPr>
        <w:pStyle w:val="49"/>
        <w:spacing w:after="0"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附件：《投标文件编制情况》</w:t>
      </w:r>
    </w:p>
    <w:p>
      <w:pPr>
        <w:spacing w:line="360" w:lineRule="auto"/>
        <w:ind w:right="90" w:firstLine="3240" w:firstLineChars="1350"/>
        <w:rPr>
          <w:rFonts w:ascii="宋体" w:hAnsi="宋体" w:cs="宋体"/>
          <w:color w:val="auto"/>
          <w:sz w:val="24"/>
          <w:szCs w:val="24"/>
          <w:highlight w:val="none"/>
        </w:rPr>
      </w:pPr>
      <w:r>
        <w:rPr>
          <w:rFonts w:hint="eastAsia" w:ascii="宋体" w:hAnsi="宋体" w:cs="宋体"/>
          <w:color w:val="auto"/>
          <w:sz w:val="24"/>
          <w:szCs w:val="24"/>
          <w:highlight w:val="none"/>
        </w:rPr>
        <w:t>投 标 人：（盖章）</w:t>
      </w:r>
    </w:p>
    <w:p>
      <w:pPr>
        <w:spacing w:line="360" w:lineRule="auto"/>
        <w:ind w:right="90" w:firstLine="3240" w:firstLineChars="1350"/>
        <w:rPr>
          <w:rFonts w:ascii="宋体" w:hAnsi="宋体" w:cs="宋体"/>
          <w:color w:val="auto"/>
          <w:sz w:val="24"/>
          <w:szCs w:val="24"/>
          <w:highlight w:val="none"/>
        </w:rPr>
      </w:pPr>
      <w:r>
        <w:rPr>
          <w:rFonts w:hint="eastAsia" w:ascii="宋体" w:hAnsi="宋体" w:cs="宋体"/>
          <w:color w:val="auto"/>
          <w:sz w:val="24"/>
          <w:szCs w:val="24"/>
          <w:highlight w:val="none"/>
        </w:rPr>
        <w:t>法定代表人或授权代理人（签字或盖章）：</w:t>
      </w:r>
    </w:p>
    <w:p>
      <w:pPr>
        <w:spacing w:line="360" w:lineRule="auto"/>
        <w:ind w:right="90" w:firstLine="3240" w:firstLineChars="1350"/>
        <w:rPr>
          <w:rFonts w:ascii="宋体" w:hAnsi="宋体" w:cs="宋体"/>
          <w:color w:val="auto"/>
          <w:sz w:val="24"/>
          <w:szCs w:val="24"/>
          <w:highlight w:val="none"/>
        </w:rPr>
      </w:pPr>
      <w:r>
        <w:rPr>
          <w:rFonts w:hint="eastAsia" w:ascii="宋体" w:hAnsi="宋体" w:cs="宋体"/>
          <w:color w:val="auto"/>
          <w:sz w:val="24"/>
          <w:szCs w:val="24"/>
          <w:highlight w:val="none"/>
        </w:rPr>
        <w:t>日    期：    年    月    日</w:t>
      </w:r>
    </w:p>
    <w:p>
      <w:pPr>
        <w:pStyle w:val="49"/>
        <w:spacing w:after="0" w:line="360" w:lineRule="auto"/>
        <w:ind w:firstLine="0"/>
        <w:jc w:val="center"/>
        <w:rPr>
          <w:rFonts w:ascii="宋体" w:hAnsi="宋体" w:eastAsia="宋体" w:cs="宋体"/>
          <w:color w:val="auto"/>
          <w:sz w:val="36"/>
          <w:szCs w:val="36"/>
          <w:highlight w:val="none"/>
        </w:rPr>
      </w:pPr>
      <w:r>
        <w:rPr>
          <w:rFonts w:hint="eastAsia" w:ascii="宋体" w:hAnsi="宋体" w:eastAsia="宋体" w:cs="宋体"/>
          <w:b/>
          <w:color w:val="auto"/>
          <w:sz w:val="36"/>
          <w:szCs w:val="36"/>
          <w:highlight w:val="none"/>
        </w:rPr>
        <w:t>投标文件编制情况</w:t>
      </w:r>
    </w:p>
    <w:p>
      <w:pPr>
        <w:pStyle w:val="49"/>
        <w:spacing w:after="0" w:line="360"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1.投标文件报价编制方式: □自行编制的，编制的负责人：</w:t>
      </w:r>
      <w:r>
        <w:rPr>
          <w:rFonts w:hint="eastAsia" w:ascii="宋体" w:hAnsi="宋体" w:eastAsia="宋体" w:cs="宋体"/>
          <w:color w:val="auto"/>
          <w:sz w:val="24"/>
          <w:szCs w:val="24"/>
          <w:highlight w:val="none"/>
          <w:u w:val="single"/>
        </w:rPr>
        <w:t xml:space="preserve"> （盖造价工程师执业专用章或全国建设工程造价员章，执业单位应与投标人一致） </w:t>
      </w:r>
      <w:r>
        <w:rPr>
          <w:rFonts w:hint="eastAsia" w:ascii="宋体" w:hAnsi="宋体" w:eastAsia="宋体" w:cs="宋体"/>
          <w:color w:val="auto"/>
          <w:sz w:val="24"/>
          <w:szCs w:val="24"/>
          <w:highlight w:val="none"/>
        </w:rPr>
        <w:t>。□委托编制的，受委托单位，编制的负责人：</w:t>
      </w:r>
      <w:r>
        <w:rPr>
          <w:rFonts w:hint="eastAsia" w:ascii="宋体" w:hAnsi="宋体" w:eastAsia="宋体" w:cs="宋体"/>
          <w:color w:val="auto"/>
          <w:sz w:val="24"/>
          <w:szCs w:val="24"/>
          <w:highlight w:val="none"/>
          <w:u w:val="single"/>
        </w:rPr>
        <w:t xml:space="preserve"> （盖造价工程师执业专用章或全国建设工程造价员章，执业单位应与受委托单位一致） </w:t>
      </w:r>
      <w:r>
        <w:rPr>
          <w:rFonts w:hint="eastAsia" w:ascii="宋体" w:hAnsi="宋体" w:eastAsia="宋体" w:cs="宋体"/>
          <w:color w:val="auto"/>
          <w:sz w:val="24"/>
          <w:szCs w:val="24"/>
          <w:highlight w:val="none"/>
        </w:rPr>
        <w:t>。</w:t>
      </w:r>
    </w:p>
    <w:p>
      <w:pPr>
        <w:pStyle w:val="49"/>
        <w:spacing w:after="0"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2.投标文件加密打包的电脑情况</w:t>
      </w:r>
    </w:p>
    <w:tbl>
      <w:tblPr>
        <w:tblStyle w:val="51"/>
        <w:tblW w:w="0" w:type="auto"/>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2819" w:hRule="atLeast"/>
        </w:trPr>
        <w:tc>
          <w:tcPr>
            <w:tcW w:w="8522" w:type="dxa"/>
          </w:tcPr>
          <w:p>
            <w:pPr>
              <w:pStyle w:val="49"/>
              <w:spacing w:after="0" w:line="360" w:lineRule="auto"/>
              <w:ind w:firstLine="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投标文件加密打包的电脑  自有    □      外包    □   其他    □</w:t>
            </w:r>
          </w:p>
          <w:p>
            <w:pPr>
              <w:pStyle w:val="49"/>
              <w:spacing w:after="0" w:line="360" w:lineRule="auto"/>
              <w:ind w:firstLine="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电脑类型</w:t>
            </w:r>
          </w:p>
          <w:p>
            <w:pPr>
              <w:pStyle w:val="49"/>
              <w:spacing w:after="0" w:line="360" w:lineRule="auto"/>
              <w:ind w:firstLine="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电脑所属单位</w:t>
            </w:r>
          </w:p>
          <w:p>
            <w:pPr>
              <w:pStyle w:val="49"/>
              <w:spacing w:after="0" w:line="360" w:lineRule="auto"/>
              <w:ind w:firstLine="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电脑所在地址        （如××市××区(县) ××街（路）××号××大厦××房）</w:t>
            </w:r>
          </w:p>
        </w:tc>
      </w:tr>
    </w:tbl>
    <w:p>
      <w:pPr>
        <w:spacing w:line="360" w:lineRule="auto"/>
        <w:rPr>
          <w:rFonts w:ascii="宋体" w:hAnsi="宋体" w:cs="宋体"/>
          <w:color w:val="auto"/>
          <w:sz w:val="24"/>
          <w:szCs w:val="24"/>
          <w:highlight w:val="none"/>
        </w:rPr>
      </w:pPr>
    </w:p>
    <w:p>
      <w:pPr>
        <w:pStyle w:val="2"/>
        <w:jc w:val="center"/>
        <w:rPr>
          <w:rStyle w:val="68"/>
          <w:b w:val="0"/>
          <w:color w:val="auto"/>
          <w:highlight w:val="none"/>
        </w:rPr>
      </w:pPr>
      <w:bookmarkStart w:id="303" w:name="_Toc29755"/>
      <w:bookmarkStart w:id="304" w:name="_Toc26234"/>
      <w:bookmarkStart w:id="305" w:name="_Toc3671"/>
      <w:bookmarkStart w:id="306" w:name="_Toc29417"/>
      <w:bookmarkStart w:id="307" w:name="_Toc3499"/>
      <w:bookmarkStart w:id="308" w:name="_Toc12427"/>
      <w:bookmarkStart w:id="309" w:name="_Toc2272568"/>
      <w:bookmarkStart w:id="310" w:name="_Toc3891"/>
      <w:bookmarkStart w:id="311" w:name="_Toc4304"/>
      <w:bookmarkStart w:id="312" w:name="_Toc7870"/>
      <w:bookmarkStart w:id="313" w:name="_Toc94"/>
      <w:bookmarkStart w:id="314" w:name="_Toc6715"/>
      <w:r>
        <w:rPr>
          <w:rFonts w:hint="eastAsia"/>
          <w:color w:val="auto"/>
          <w:highlight w:val="none"/>
        </w:rPr>
        <w:t>第五章 技术条件（工程建设标准）</w:t>
      </w:r>
      <w:bookmarkEnd w:id="303"/>
      <w:bookmarkEnd w:id="304"/>
      <w:bookmarkEnd w:id="305"/>
      <w:bookmarkEnd w:id="306"/>
      <w:bookmarkEnd w:id="307"/>
      <w:bookmarkEnd w:id="308"/>
      <w:bookmarkEnd w:id="309"/>
      <w:bookmarkEnd w:id="310"/>
      <w:bookmarkEnd w:id="311"/>
      <w:bookmarkEnd w:id="312"/>
      <w:bookmarkEnd w:id="313"/>
      <w:bookmarkEnd w:id="314"/>
    </w:p>
    <w:p>
      <w:pPr>
        <w:rPr>
          <w:rFonts w:hint="eastAsia" w:ascii="宋体" w:hAnsi="宋体" w:cs="宋体"/>
          <w:b/>
          <w:color w:val="auto"/>
          <w:sz w:val="24"/>
          <w:szCs w:val="24"/>
          <w:highlight w:val="none"/>
        </w:rPr>
      </w:pPr>
      <w:r>
        <w:rPr>
          <w:rFonts w:hint="eastAsia" w:ascii="宋体" w:hAnsi="宋体" w:cs="宋体"/>
          <w:b/>
          <w:color w:val="auto"/>
          <w:sz w:val="24"/>
          <w:szCs w:val="24"/>
          <w:highlight w:val="none"/>
        </w:rPr>
        <w:t>一、标准</w:t>
      </w:r>
    </w:p>
    <w:p>
      <w:pPr>
        <w:ind w:firstLine="240" w:firstLineChars="100"/>
        <w:rPr>
          <w:rFonts w:hint="eastAsia" w:ascii="宋体" w:hAnsi="宋体" w:cs="宋体"/>
          <w:color w:val="auto"/>
          <w:sz w:val="24"/>
          <w:szCs w:val="24"/>
          <w:highlight w:val="none"/>
        </w:rPr>
      </w:pPr>
      <w:r>
        <w:rPr>
          <w:rFonts w:hint="eastAsia" w:ascii="宋体" w:hAnsi="宋体" w:cs="宋体"/>
          <w:color w:val="auto"/>
          <w:sz w:val="24"/>
          <w:szCs w:val="24"/>
          <w:highlight w:val="none"/>
        </w:rPr>
        <w:t>以现行的中华人民共和国及有关部委颁布的标准、规范、和规程。若施工时期建设主管部门颁布新的规范、标准，则按照新的规范、标准执行。</w:t>
      </w:r>
    </w:p>
    <w:p>
      <w:pPr>
        <w:rPr>
          <w:rFonts w:hint="eastAsia" w:ascii="宋体" w:hAnsi="宋体" w:cs="宋体"/>
          <w:b/>
          <w:color w:val="auto"/>
          <w:sz w:val="24"/>
          <w:szCs w:val="24"/>
          <w:highlight w:val="none"/>
        </w:rPr>
      </w:pPr>
      <w:r>
        <w:rPr>
          <w:rFonts w:hint="eastAsia" w:ascii="宋体" w:hAnsi="宋体" w:cs="宋体"/>
          <w:b/>
          <w:color w:val="auto"/>
          <w:sz w:val="24"/>
          <w:szCs w:val="24"/>
          <w:highlight w:val="none"/>
        </w:rPr>
        <w:t>二、施工组织设计要点</w:t>
      </w:r>
    </w:p>
    <w:p>
      <w:pPr>
        <w:ind w:firstLine="240" w:firstLineChars="100"/>
        <w:rPr>
          <w:rFonts w:hint="eastAsia" w:ascii="宋体" w:hAnsi="宋体" w:cs="宋体"/>
          <w:color w:val="auto"/>
          <w:sz w:val="24"/>
          <w:szCs w:val="24"/>
          <w:highlight w:val="none"/>
        </w:rPr>
      </w:pPr>
      <w:r>
        <w:rPr>
          <w:rFonts w:hint="eastAsia" w:ascii="宋体" w:hAnsi="宋体" w:cs="宋体"/>
          <w:color w:val="auto"/>
          <w:sz w:val="24"/>
          <w:szCs w:val="24"/>
          <w:highlight w:val="none"/>
        </w:rPr>
        <w:t>如果中标，中标人应按项目的进展需求，并在规定的时间内按要点要求，编制详细的施工组织设计，作为工程施工的指导性文件，向建设单位提交一式四份的《施工组织设计方案》，内容包括（不限于）以下：</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（一）工程概况及特点</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1.1 工程概况</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工程简述，工程规模，工程承包范围，地质及地貌状况，自然环境，交通情况等。</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1.2 工程特点</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设计特点、工程特点、影响施工的主要和特殊环节分析等。</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（二）施工现场组织机构</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2.1 组织机构关系图</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2.2 工程主要负责人简介。</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（三）施工现场总平面布置图</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3.1 施工现场平面布置图</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平面布置要求内容全面，充分利用现场条件，合理布置施工队、材料站、指挥部等。确定现场指挥部（工程处）和工区的驻地，材料站的设置，施工工区与施工班驻地，主要交通道路和通讯设施。平面布置图采用A3纸，图面要求线条清晰、标志明确。</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（四）施工方案</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4.1 施工准备</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简要叙述施工技术资料、材料、通讯、施工场地的准备，施工机械、施工力量的配置，以及生活设施等的准备情况。主要施工机械设备表。</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4.2 施工工序总体安排</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4.3 主要工序和特殊工序的施工方法和施工效率估计，潜在问题的分析。</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4.4 工程成本的控制措施为控制成本，提高效益，拟采取的措施。</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（五）工期及施工进度计划</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5.1 工期规划及要求</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用横道图反映各主要施工过程的计划进度，深度达到全面、准确、清楚的描述工程实施过程，从中可衍生出各种施工资源计划及其过程管理信息。</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5.2 施工进度计划网络图</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施工网络图应明确工程开工、竣工日期，工程施工的关键路线，并针对关键工序，提出确保工期拟采取的措施。</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5.3 施工资源（人力、材料、机具、场地及进场道路、公共关系）计划</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5.4 施工进度计划分析</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计划潜在问题，计划中的潜力及其开发途径等。</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5.5 计划控制</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程序、方法及制度等。</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（六）质量目标、质量保证体系及技术组织措施</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6.1 质量目标</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本工程要求的质量目标：合格。</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用单位工程和分项工程合格率、优良品率表示，欲达到的工程质量等级。</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6.2 质量管理组织机构及主要职责</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用框图表示质量管理组织机构，并简要叙述各质量管理部门的主要职责。</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6.3 质量管理的措施</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简要叙述质量管理的措施和关键工序的质量控制。</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6.4 质量管理及检验的标准</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执行的主要质量标准、规范。</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6.5 质量保证技术措施</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针对本工程特点，分析质量薄弱环节，拟将采取的技术措施。</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（七）安全目标、安全保证体系及技术组织措施</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7.1 安全管理目标</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7.2 安全管理组织机构及主要职责</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用框图表示安全管理组织机构，并简要叙述各安全管理部门及人员的主要职责。</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7.3 安全管理制度及办法</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7.4 安全组织技术措施</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针对本工程特点，分析安全薄弱环节，拟将采取的技术措施。</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7.5 重要施工方案和特殊施工工序的安全过程控制</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7.6 严格执行《建筑施工安全检查标准》(JGJ59-99)和省、市建设主管部门有关文明施工的规定。并按照甲方要求安排工作时间，在施工中尽量减少噪音，必要时采取有效的隔音措施，混凝土浇灌需连续不间断作业时，按有关规定申报夜间施工许可证。</w:t>
      </w:r>
    </w:p>
    <w:p>
      <w:pPr>
        <w:rPr>
          <w:rFonts w:hint="eastAsia" w:ascii="宋体" w:hAnsi="宋体" w:cs="宋体"/>
          <w:color w:val="auto"/>
          <w:sz w:val="24"/>
          <w:szCs w:val="24"/>
          <w:highlight w:val="none"/>
        </w:rPr>
      </w:pPr>
      <w:bookmarkStart w:id="315" w:name="_Hlt531956504"/>
      <w:r>
        <w:rPr>
          <w:rFonts w:hint="eastAsia" w:ascii="宋体" w:hAnsi="宋体" w:cs="宋体"/>
          <w:color w:val="auto"/>
          <w:sz w:val="24"/>
          <w:szCs w:val="24"/>
          <w:highlight w:val="none"/>
        </w:rPr>
        <w:t>安全生产目标：杜绝本项目施工人员重大伤亡事故。</w:t>
      </w:r>
      <w:bookmarkEnd w:id="315"/>
    </w:p>
    <w:p>
      <w:pPr>
        <w:rPr>
          <w:rFonts w:hint="eastAsia" w:ascii="宋体" w:hAnsi="宋体" w:cs="宋体"/>
          <w:color w:val="auto"/>
          <w:sz w:val="24"/>
          <w:szCs w:val="24"/>
          <w:highlight w:val="none"/>
        </w:rPr>
      </w:pPr>
      <w:r>
        <w:rPr>
          <w:rFonts w:hint="eastAsia" w:ascii="宋体" w:hAnsi="宋体" w:cs="宋体"/>
          <w:color w:val="auto"/>
          <w:sz w:val="24"/>
          <w:szCs w:val="24"/>
          <w:highlight w:val="none"/>
        </w:rPr>
        <w:t>文明施工目标：标准化管理。</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（八）环境保护及文明施工</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8.1 环境保护</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分析因施工可能引起的环境保护方面的问题。</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8.</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 xml:space="preserve"> 加强施工管理、严格保护环境</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提出环境保护的目标及采取的具体措施。</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8.</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 xml:space="preserve"> 文明施工的目标、组织机构和实施方案</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8.</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 xml:space="preserve"> 文明施工考核、管理办法</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（九）计划、统计和信息管理</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9.1 计划、统计报表的编制与传递；</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9.2 信息管理</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提出信息管理的目标及拟将采取的措施。</w:t>
      </w:r>
    </w:p>
    <w:p>
      <w:pPr>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val="en-US" w:eastAsia="zh-CN"/>
        </w:rPr>
        <w:t>10</w:t>
      </w:r>
      <w:r>
        <w:rPr>
          <w:rFonts w:hint="eastAsia" w:ascii="宋体" w:hAnsi="宋体" w:eastAsia="宋体" w:cs="宋体"/>
          <w:color w:val="auto"/>
          <w:sz w:val="24"/>
          <w:szCs w:val="24"/>
          <w:highlight w:val="none"/>
          <w:u w:val="none"/>
        </w:rPr>
        <w:t>根据《广东省建筑垃圾管理条例》，工程施工单位应当编制建筑垃圾处理方案，采取污染防治措施，并在开工前报工程所在地县级人民政府建筑垃圾主管部门备案。建筑垃圾处理方案内容有调整的，应当及时报告接受备案的部门。</w:t>
      </w:r>
      <w:r>
        <w:rPr>
          <w:rFonts w:hint="eastAsia" w:ascii="宋体" w:hAnsi="宋体" w:eastAsia="宋体" w:cs="宋体"/>
          <w:color w:val="auto"/>
          <w:sz w:val="24"/>
          <w:szCs w:val="24"/>
          <w:highlight w:val="none"/>
          <w:u w:val="none"/>
        </w:rPr>
        <w:br w:type="textWrapping"/>
      </w:r>
      <w:r>
        <w:rPr>
          <w:rFonts w:hint="eastAsia" w:ascii="宋体" w:hAnsi="宋体" w:eastAsia="宋体" w:cs="宋体"/>
          <w:color w:val="auto"/>
          <w:sz w:val="24"/>
          <w:szCs w:val="24"/>
          <w:highlight w:val="none"/>
          <w:u w:val="none"/>
        </w:rPr>
        <w:t>建筑垃圾处理方案应当包括下列内容：</w:t>
      </w:r>
      <w:r>
        <w:rPr>
          <w:rFonts w:hint="eastAsia" w:ascii="宋体" w:hAnsi="宋体" w:eastAsia="宋体" w:cs="宋体"/>
          <w:color w:val="auto"/>
          <w:sz w:val="24"/>
          <w:szCs w:val="24"/>
          <w:highlight w:val="none"/>
          <w:u w:val="none"/>
        </w:rPr>
        <w:br w:type="textWrapping"/>
      </w:r>
      <w:r>
        <w:rPr>
          <w:rFonts w:hint="eastAsia" w:ascii="宋体" w:hAnsi="宋体" w:eastAsia="宋体" w:cs="宋体"/>
          <w:color w:val="auto"/>
          <w:sz w:val="24"/>
          <w:szCs w:val="24"/>
          <w:highlight w:val="none"/>
          <w:u w:val="none"/>
        </w:rPr>
        <w:t>(一)工程概况和施工单位基本信息；</w:t>
      </w:r>
      <w:r>
        <w:rPr>
          <w:rFonts w:hint="eastAsia" w:ascii="宋体" w:hAnsi="宋体" w:eastAsia="宋体" w:cs="宋体"/>
          <w:color w:val="auto"/>
          <w:sz w:val="24"/>
          <w:szCs w:val="24"/>
          <w:highlight w:val="none"/>
          <w:u w:val="none"/>
        </w:rPr>
        <w:br w:type="textWrapping"/>
      </w:r>
      <w:r>
        <w:rPr>
          <w:rFonts w:hint="eastAsia" w:ascii="宋体" w:hAnsi="宋体" w:eastAsia="宋体" w:cs="宋体"/>
          <w:color w:val="auto"/>
          <w:sz w:val="24"/>
          <w:szCs w:val="24"/>
          <w:highlight w:val="none"/>
          <w:u w:val="none"/>
        </w:rPr>
        <w:t>(二)建筑垃圾产生量与种类；</w:t>
      </w:r>
      <w:r>
        <w:rPr>
          <w:rFonts w:hint="eastAsia" w:ascii="宋体" w:hAnsi="宋体" w:eastAsia="宋体" w:cs="宋体"/>
          <w:color w:val="auto"/>
          <w:sz w:val="24"/>
          <w:szCs w:val="24"/>
          <w:highlight w:val="none"/>
          <w:u w:val="none"/>
        </w:rPr>
        <w:br w:type="textWrapping"/>
      </w:r>
      <w:r>
        <w:rPr>
          <w:rFonts w:hint="eastAsia" w:ascii="宋体" w:hAnsi="宋体" w:eastAsia="宋体" w:cs="宋体"/>
          <w:color w:val="auto"/>
          <w:sz w:val="24"/>
          <w:szCs w:val="24"/>
          <w:highlight w:val="none"/>
          <w:u w:val="none"/>
        </w:rPr>
        <w:t>(三)建筑垃圾源头减量、分类收集、综合利用、污染防治的措施和目标；</w:t>
      </w:r>
      <w:r>
        <w:rPr>
          <w:rFonts w:hint="eastAsia" w:ascii="宋体" w:hAnsi="宋体" w:eastAsia="宋体" w:cs="宋体"/>
          <w:color w:val="auto"/>
          <w:sz w:val="24"/>
          <w:szCs w:val="24"/>
          <w:highlight w:val="none"/>
          <w:u w:val="none"/>
        </w:rPr>
        <w:br w:type="textWrapping"/>
      </w:r>
      <w:r>
        <w:rPr>
          <w:rFonts w:hint="eastAsia" w:ascii="宋体" w:hAnsi="宋体" w:eastAsia="宋体" w:cs="宋体"/>
          <w:color w:val="auto"/>
          <w:sz w:val="24"/>
          <w:szCs w:val="24"/>
          <w:highlight w:val="none"/>
          <w:u w:val="none"/>
        </w:rPr>
        <w:t>(四)需要外运的建筑垃圾种类、数量与运输的时间、路线、方式和运输单位；</w:t>
      </w:r>
      <w:r>
        <w:rPr>
          <w:rFonts w:hint="eastAsia" w:ascii="宋体" w:hAnsi="宋体" w:eastAsia="宋体" w:cs="宋体"/>
          <w:color w:val="auto"/>
          <w:sz w:val="24"/>
          <w:szCs w:val="24"/>
          <w:highlight w:val="none"/>
          <w:u w:val="none"/>
        </w:rPr>
        <w:br w:type="textWrapping"/>
      </w:r>
      <w:r>
        <w:rPr>
          <w:rFonts w:hint="eastAsia" w:ascii="宋体" w:hAnsi="宋体" w:eastAsia="宋体" w:cs="宋体"/>
          <w:color w:val="auto"/>
          <w:sz w:val="24"/>
          <w:szCs w:val="24"/>
          <w:highlight w:val="none"/>
          <w:u w:val="none"/>
        </w:rPr>
        <w:t>(五)建筑垃圾回填、消纳、综合利用场所名称；</w:t>
      </w:r>
      <w:r>
        <w:rPr>
          <w:rFonts w:hint="eastAsia" w:ascii="宋体" w:hAnsi="宋体" w:eastAsia="宋体" w:cs="宋体"/>
          <w:color w:val="auto"/>
          <w:sz w:val="24"/>
          <w:szCs w:val="24"/>
          <w:highlight w:val="none"/>
          <w:u w:val="none"/>
        </w:rPr>
        <w:br w:type="textWrapping"/>
      </w:r>
      <w:r>
        <w:rPr>
          <w:rFonts w:hint="eastAsia" w:ascii="宋体" w:hAnsi="宋体" w:eastAsia="宋体" w:cs="宋体"/>
          <w:color w:val="auto"/>
          <w:sz w:val="24"/>
          <w:szCs w:val="24"/>
          <w:highlight w:val="none"/>
          <w:u w:val="none"/>
        </w:rPr>
        <w:t>(六)法律、法规规定的其他内容。</w:t>
      </w:r>
    </w:p>
    <w:p>
      <w:pPr>
        <w:spacing w:line="360" w:lineRule="auto"/>
        <w:ind w:firstLine="240" w:firstLineChars="100"/>
        <w:rPr>
          <w:rFonts w:ascii="宋体" w:hAnsi="宋体" w:cs="宋体"/>
          <w:color w:val="auto"/>
          <w:sz w:val="24"/>
          <w:szCs w:val="24"/>
          <w:highlight w:val="none"/>
        </w:rPr>
      </w:pPr>
    </w:p>
    <w:p>
      <w:pPr>
        <w:pStyle w:val="144"/>
        <w:tabs>
          <w:tab w:val="left" w:pos="1260"/>
        </w:tabs>
        <w:ind w:firstLine="476" w:firstLineChars="192"/>
        <w:rPr>
          <w:rFonts w:hint="eastAsia" w:ascii="宋体" w:hAnsi="宋体" w:cs="宋体"/>
          <w:color w:val="auto"/>
          <w:highlight w:val="none"/>
        </w:rPr>
      </w:pPr>
    </w:p>
    <w:p>
      <w:pPr>
        <w:pStyle w:val="4"/>
        <w:ind w:left="142"/>
        <w:jc w:val="left"/>
        <w:rPr>
          <w:color w:val="auto"/>
          <w:highlight w:val="none"/>
        </w:rPr>
      </w:pPr>
      <w:bookmarkStart w:id="316" w:name="_Toc19143"/>
      <w:bookmarkStart w:id="317" w:name="_Toc4143"/>
      <w:bookmarkStart w:id="318" w:name="_Toc9051"/>
      <w:bookmarkStart w:id="319" w:name="_Toc457"/>
      <w:bookmarkStart w:id="320" w:name="_Toc27543"/>
      <w:bookmarkStart w:id="321" w:name="_Toc8579"/>
      <w:bookmarkStart w:id="322" w:name="_Toc27988"/>
      <w:bookmarkStart w:id="323" w:name="_Toc29278"/>
      <w:bookmarkStart w:id="324" w:name="_Toc89179887"/>
      <w:bookmarkStart w:id="325" w:name="_Toc441"/>
      <w:bookmarkStart w:id="326" w:name="_Toc29203"/>
      <w:bookmarkStart w:id="327" w:name="_Toc6784"/>
      <w:bookmarkStart w:id="328" w:name="_Toc87306278"/>
      <w:r>
        <w:rPr>
          <w:rFonts w:hint="eastAsia"/>
          <w:color w:val="auto"/>
          <w:highlight w:val="none"/>
          <w:lang w:eastAsia="zh-CN"/>
        </w:rPr>
        <w:t>二</w:t>
      </w:r>
      <w:r>
        <w:rPr>
          <w:rFonts w:hint="eastAsia"/>
          <w:color w:val="auto"/>
          <w:highlight w:val="none"/>
        </w:rPr>
        <w:t>、主要材料设备推荐品牌按</w:t>
      </w:r>
      <w:r>
        <w:rPr>
          <w:rFonts w:hint="eastAsia"/>
          <w:color w:val="auto"/>
          <w:highlight w:val="none"/>
          <w:lang w:eastAsia="zh-CN"/>
        </w:rPr>
        <w:t>《</w:t>
      </w:r>
      <w:r>
        <w:rPr>
          <w:rFonts w:hint="eastAsia"/>
          <w:color w:val="auto"/>
          <w:highlight w:val="none"/>
          <w:lang w:val="en-US" w:eastAsia="zh-CN"/>
        </w:rPr>
        <w:t>参考品牌</w:t>
      </w:r>
      <w:r>
        <w:rPr>
          <w:rFonts w:hint="eastAsia"/>
          <w:color w:val="auto"/>
          <w:highlight w:val="none"/>
          <w:lang w:eastAsia="zh-CN"/>
        </w:rPr>
        <w:t>》</w:t>
      </w:r>
      <w:r>
        <w:rPr>
          <w:rFonts w:hint="eastAsia"/>
          <w:color w:val="auto"/>
          <w:highlight w:val="none"/>
        </w:rPr>
        <w:t>要求（另册发出）。</w:t>
      </w:r>
      <w:bookmarkEnd w:id="316"/>
      <w:bookmarkEnd w:id="317"/>
      <w:bookmarkEnd w:id="318"/>
      <w:bookmarkEnd w:id="319"/>
      <w:bookmarkEnd w:id="320"/>
      <w:bookmarkEnd w:id="321"/>
      <w:bookmarkEnd w:id="322"/>
      <w:bookmarkEnd w:id="323"/>
      <w:bookmarkEnd w:id="324"/>
      <w:bookmarkEnd w:id="325"/>
      <w:bookmarkEnd w:id="326"/>
      <w:bookmarkEnd w:id="327"/>
      <w:bookmarkEnd w:id="328"/>
    </w:p>
    <w:p>
      <w:pPr>
        <w:topLinePunct/>
        <w:adjustRightInd w:val="0"/>
        <w:spacing w:line="360" w:lineRule="auto"/>
        <w:rPr>
          <w:rFonts w:ascii="宋体" w:hAnsi="宋体" w:cs="宋体"/>
          <w:b/>
          <w:color w:val="auto"/>
          <w:spacing w:val="4"/>
          <w:sz w:val="24"/>
          <w:szCs w:val="24"/>
          <w:highlight w:val="none"/>
        </w:rPr>
      </w:pPr>
    </w:p>
    <w:p>
      <w:pPr>
        <w:pStyle w:val="2"/>
        <w:jc w:val="center"/>
        <w:rPr>
          <w:color w:val="auto"/>
          <w:highlight w:val="none"/>
        </w:rPr>
      </w:pPr>
      <w:r>
        <w:rPr>
          <w:rFonts w:hint="eastAsia"/>
          <w:color w:val="auto"/>
          <w:sz w:val="24"/>
          <w:szCs w:val="24"/>
          <w:highlight w:val="none"/>
        </w:rPr>
        <w:br w:type="page"/>
      </w:r>
      <w:bookmarkStart w:id="329" w:name="_Toc18521"/>
      <w:bookmarkStart w:id="330" w:name="_Toc17144"/>
      <w:bookmarkStart w:id="331" w:name="_Toc14765"/>
      <w:bookmarkStart w:id="332" w:name="_Toc2272569"/>
      <w:bookmarkStart w:id="333" w:name="_Toc284"/>
      <w:bookmarkStart w:id="334" w:name="_Toc30321"/>
      <w:bookmarkStart w:id="335" w:name="_Toc5305"/>
      <w:bookmarkStart w:id="336" w:name="_Toc32478"/>
      <w:bookmarkStart w:id="337" w:name="_Toc9286"/>
      <w:bookmarkStart w:id="338" w:name="_Toc3063"/>
      <w:bookmarkStart w:id="339" w:name="_Toc15088"/>
      <w:bookmarkStart w:id="340" w:name="_Toc6477"/>
      <w:r>
        <w:rPr>
          <w:rFonts w:hint="eastAsia"/>
          <w:color w:val="auto"/>
          <w:highlight w:val="none"/>
        </w:rPr>
        <w:t>第六章 图纸及勘察资料</w:t>
      </w:r>
      <w:bookmarkEnd w:id="329"/>
      <w:bookmarkEnd w:id="330"/>
      <w:bookmarkEnd w:id="331"/>
      <w:bookmarkEnd w:id="332"/>
      <w:bookmarkEnd w:id="333"/>
      <w:bookmarkEnd w:id="334"/>
      <w:bookmarkEnd w:id="335"/>
      <w:bookmarkEnd w:id="336"/>
      <w:bookmarkEnd w:id="337"/>
      <w:bookmarkEnd w:id="338"/>
      <w:bookmarkEnd w:id="339"/>
      <w:bookmarkEnd w:id="340"/>
    </w:p>
    <w:p>
      <w:pPr>
        <w:rPr>
          <w:rFonts w:ascii="宋体" w:hAnsi="宋体" w:cs="宋体"/>
          <w:b/>
          <w:color w:val="auto"/>
          <w:sz w:val="24"/>
          <w:szCs w:val="24"/>
          <w:highlight w:val="none"/>
        </w:rPr>
      </w:pPr>
      <w:r>
        <w:rPr>
          <w:rFonts w:hint="eastAsia" w:ascii="宋体" w:hAnsi="宋体" w:cs="宋体"/>
          <w:color w:val="auto"/>
          <w:sz w:val="24"/>
          <w:szCs w:val="24"/>
          <w:highlight w:val="none"/>
        </w:rPr>
        <w:t>注：本章由招标人自行制定。</w:t>
      </w:r>
    </w:p>
    <w:p>
      <w:pPr>
        <w:pStyle w:val="2"/>
        <w:jc w:val="center"/>
        <w:rPr>
          <w:color w:val="auto"/>
          <w:sz w:val="24"/>
          <w:szCs w:val="24"/>
          <w:highlight w:val="none"/>
        </w:rPr>
      </w:pPr>
    </w:p>
    <w:p>
      <w:pPr>
        <w:jc w:val="center"/>
        <w:outlineLvl w:val="9"/>
        <w:rPr>
          <w:rFonts w:hint="eastAsia"/>
          <w:color w:val="auto"/>
          <w:sz w:val="24"/>
          <w:szCs w:val="24"/>
          <w:highlight w:val="none"/>
        </w:rPr>
      </w:pPr>
      <w:r>
        <w:rPr>
          <w:rFonts w:hint="eastAsia"/>
          <w:color w:val="auto"/>
          <w:sz w:val="24"/>
          <w:szCs w:val="24"/>
          <w:highlight w:val="none"/>
        </w:rPr>
        <w:t>（另册）</w:t>
      </w:r>
    </w:p>
    <w:p>
      <w:pPr>
        <w:rPr>
          <w:rFonts w:hint="eastAsia"/>
          <w:color w:val="auto"/>
          <w:sz w:val="24"/>
          <w:szCs w:val="24"/>
          <w:highlight w:val="none"/>
        </w:rPr>
      </w:pPr>
      <w:r>
        <w:rPr>
          <w:rFonts w:hint="eastAsia"/>
          <w:color w:val="auto"/>
          <w:sz w:val="24"/>
          <w:szCs w:val="24"/>
          <w:highlight w:val="none"/>
        </w:rPr>
        <w:br w:type="page"/>
      </w:r>
    </w:p>
    <w:p>
      <w:pPr>
        <w:jc w:val="center"/>
        <w:outlineLvl w:val="0"/>
        <w:rPr>
          <w:color w:val="auto"/>
          <w:highlight w:val="none"/>
        </w:rPr>
      </w:pPr>
      <w:bookmarkStart w:id="341" w:name="_Toc19678"/>
      <w:bookmarkStart w:id="342" w:name="_Toc27436"/>
      <w:bookmarkStart w:id="343" w:name="_Toc10951"/>
      <w:bookmarkStart w:id="344" w:name="_Toc6338"/>
      <w:bookmarkStart w:id="345" w:name="_Toc26158"/>
      <w:bookmarkStart w:id="346" w:name="_Toc11931"/>
      <w:bookmarkStart w:id="347" w:name="_Toc2272570"/>
      <w:bookmarkStart w:id="348" w:name="_Toc10597"/>
      <w:bookmarkStart w:id="349" w:name="_Toc21758"/>
      <w:bookmarkStart w:id="350" w:name="_Toc20968"/>
      <w:bookmarkStart w:id="351" w:name="_Toc20002"/>
      <w:bookmarkStart w:id="352" w:name="_Toc17474"/>
      <w:r>
        <w:rPr>
          <w:rFonts w:hint="eastAsia"/>
          <w:color w:val="auto"/>
          <w:sz w:val="28"/>
          <w:szCs w:val="28"/>
          <w:highlight w:val="none"/>
        </w:rPr>
        <w:t>第七章 工程量清单</w:t>
      </w:r>
      <w:bookmarkEnd w:id="341"/>
      <w:bookmarkEnd w:id="342"/>
      <w:bookmarkEnd w:id="343"/>
      <w:bookmarkEnd w:id="344"/>
      <w:bookmarkEnd w:id="345"/>
      <w:bookmarkEnd w:id="346"/>
      <w:bookmarkEnd w:id="347"/>
      <w:bookmarkEnd w:id="348"/>
      <w:bookmarkEnd w:id="349"/>
      <w:bookmarkEnd w:id="350"/>
      <w:bookmarkEnd w:id="351"/>
      <w:bookmarkEnd w:id="352"/>
    </w:p>
    <w:p>
      <w:pPr>
        <w:rPr>
          <w:rFonts w:ascii="宋体" w:hAnsi="宋体" w:cs="宋体"/>
          <w:color w:val="auto"/>
          <w:sz w:val="24"/>
          <w:szCs w:val="24"/>
          <w:highlight w:val="none"/>
        </w:rPr>
      </w:pPr>
      <w:r>
        <w:rPr>
          <w:rFonts w:hint="eastAsia" w:ascii="宋体" w:hAnsi="宋体" w:cs="宋体"/>
          <w:color w:val="auto"/>
          <w:sz w:val="24"/>
          <w:szCs w:val="24"/>
          <w:highlight w:val="none"/>
        </w:rPr>
        <w:t>注：本章由招标人自行制定。</w:t>
      </w:r>
    </w:p>
    <w:p>
      <w:pPr>
        <w:jc w:val="center"/>
        <w:outlineLvl w:val="9"/>
        <w:rPr>
          <w:color w:val="auto"/>
          <w:highlight w:val="none"/>
        </w:rPr>
      </w:pPr>
      <w:r>
        <w:rPr>
          <w:rFonts w:hint="eastAsia"/>
          <w:color w:val="auto"/>
          <w:sz w:val="24"/>
          <w:szCs w:val="24"/>
          <w:highlight w:val="none"/>
        </w:rPr>
        <w:t>（另册）</w:t>
      </w:r>
    </w:p>
    <w:p>
      <w:pPr>
        <w:pStyle w:val="49"/>
        <w:spacing w:after="0" w:line="360" w:lineRule="auto"/>
        <w:ind w:left="-2" w:leftChars="-1" w:firstLine="960" w:firstLineChars="400"/>
        <w:rPr>
          <w:rFonts w:ascii="宋体" w:hAnsi="宋体" w:eastAsia="宋体" w:cs="宋体"/>
          <w:color w:val="auto"/>
          <w:sz w:val="24"/>
          <w:highlight w:val="none"/>
        </w:rPr>
      </w:pPr>
    </w:p>
    <w:p>
      <w:pPr>
        <w:pStyle w:val="2"/>
        <w:jc w:val="center"/>
        <w:rPr>
          <w:color w:val="auto"/>
          <w:highlight w:val="none"/>
        </w:rPr>
      </w:pPr>
      <w:r>
        <w:rPr>
          <w:rFonts w:hint="eastAsia"/>
          <w:color w:val="auto"/>
          <w:sz w:val="24"/>
          <w:szCs w:val="24"/>
          <w:highlight w:val="none"/>
        </w:rPr>
        <w:br w:type="page"/>
      </w:r>
      <w:bookmarkStart w:id="353" w:name="_Toc22151"/>
      <w:bookmarkStart w:id="354" w:name="_Toc10753"/>
      <w:bookmarkStart w:id="355" w:name="_Toc8155"/>
      <w:bookmarkStart w:id="356" w:name="_Toc30433"/>
      <w:bookmarkStart w:id="357" w:name="_Toc2272571"/>
      <w:bookmarkStart w:id="358" w:name="_Toc3515"/>
      <w:bookmarkStart w:id="359" w:name="_Toc23985"/>
      <w:bookmarkStart w:id="360" w:name="_Toc28098"/>
      <w:bookmarkStart w:id="361" w:name="_Toc25055"/>
      <w:bookmarkStart w:id="362" w:name="_Toc32020"/>
      <w:bookmarkStart w:id="363" w:name="_Toc17841"/>
      <w:bookmarkStart w:id="364" w:name="_Toc22976"/>
      <w:r>
        <w:rPr>
          <w:rFonts w:hint="eastAsia"/>
          <w:color w:val="auto"/>
          <w:highlight w:val="none"/>
        </w:rPr>
        <w:t>第八章 最高投标限价</w:t>
      </w:r>
      <w:bookmarkEnd w:id="353"/>
      <w:bookmarkEnd w:id="354"/>
      <w:bookmarkEnd w:id="355"/>
      <w:bookmarkEnd w:id="356"/>
      <w:bookmarkEnd w:id="357"/>
      <w:bookmarkEnd w:id="358"/>
      <w:bookmarkEnd w:id="359"/>
      <w:bookmarkEnd w:id="360"/>
      <w:bookmarkEnd w:id="361"/>
      <w:bookmarkEnd w:id="362"/>
      <w:bookmarkEnd w:id="363"/>
      <w:bookmarkEnd w:id="364"/>
    </w:p>
    <w:p>
      <w:pPr>
        <w:spacing w:line="36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招标人应当在发布招标文件时，公布最高投标限价的总价，分部分项工程费、措施项目费、其他项目费、规费和税金，以及绿色施工安全防护措施费、暂列金额等投标人不可竞争的固定报价。</w:t>
      </w:r>
    </w:p>
    <w:p>
      <w:pPr>
        <w:spacing w:line="360" w:lineRule="auto"/>
        <w:ind w:firstLine="480"/>
        <w:jc w:val="center"/>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另册</w:t>
      </w:r>
      <w:r>
        <w:rPr>
          <w:rFonts w:hint="eastAsia" w:ascii="宋体" w:hAnsi="宋体" w:cs="宋体"/>
          <w:color w:val="auto"/>
          <w:sz w:val="24"/>
          <w:szCs w:val="24"/>
          <w:highlight w:val="none"/>
        </w:rPr>
        <w:t>）。</w:t>
      </w:r>
    </w:p>
    <w:sectPr>
      <w:pgSz w:w="11906" w:h="16838"/>
      <w:pgMar w:top="1440" w:right="86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auto"/>
    <w:pitch w:val="default"/>
    <w:sig w:usb0="E00006FF" w:usb1="0000FCFF" w:usb2="00000001" w:usb3="00000000" w:csb0="6000019F" w:csb1="DFD70000"/>
  </w:font>
  <w:font w:name="等线 Light">
    <w:panose1 w:val="02010600030101010101"/>
    <w:charset w:val="86"/>
    <w:family w:val="auto"/>
    <w:pitch w:val="default"/>
    <w:sig w:usb0="A00002BF" w:usb1="38CF7CFA" w:usb2="00000016" w:usb3="00000000" w:csb0="0004000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DejaVu Sans">
    <w:altName w:val="Segoe Print"/>
    <w:panose1 w:val="00000000000000000000"/>
    <w:charset w:val="00"/>
    <w:family w:val="swiss"/>
    <w:pitch w:val="default"/>
    <w:sig w:usb0="00000000" w:usb1="00000000" w:usb2="0A246029" w:usb3="00000000" w:csb0="000001FF" w:csb1="00000000"/>
  </w:font>
  <w:font w:name="Segoe Print">
    <w:panose1 w:val="02000600000000000000"/>
    <w:charset w:val="00"/>
    <w:family w:val="auto"/>
    <w:pitch w:val="default"/>
    <w:sig w:usb0="0000028F" w:usb1="00000000" w:usb2="00000000" w:usb3="00000000" w:csb0="2000009F" w:csb1="47010000"/>
  </w:font>
  <w:font w:name="Helvetica Neue">
    <w:altName w:val="宋体"/>
    <w:panose1 w:val="00000000000000000000"/>
    <w:charset w:val="86"/>
    <w:family w:val="roman"/>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Calisto MT">
    <w:altName w:val="Segoe Print"/>
    <w:panose1 w:val="02040603050505030304"/>
    <w:charset w:val="00"/>
    <w:family w:val="roman"/>
    <w:pitch w:val="default"/>
    <w:sig w:usb0="00000000"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Proxy 9">
    <w:altName w:val="Segoe Print"/>
    <w:panose1 w:val="00000400000000000000"/>
    <w:charset w:val="00"/>
    <w:family w:val="auto"/>
    <w:pitch w:val="default"/>
    <w:sig w:usb0="00000000" w:usb1="00000000" w:usb2="00000000" w:usb3="00000000" w:csb0="000001FF"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92"/>
      <w:rPr>
        <w:rStyle w:val="56"/>
      </w:rPr>
    </w:pPr>
    <w:r>
      <w:fldChar w:fldCharType="begin"/>
    </w:r>
    <w:r>
      <w:rPr>
        <w:rStyle w:val="56"/>
      </w:rPr>
      <w:instrText xml:space="preserve">PAGE  </w:instrText>
    </w:r>
    <w:r>
      <w:fldChar w:fldCharType="separate"/>
    </w:r>
    <w:r>
      <w:rPr>
        <w:rStyle w:val="56"/>
        <w:rFonts w:hint="eastAsia"/>
      </w:rPr>
      <w:t>一</w:t>
    </w:r>
    <w:r>
      <w:rPr>
        <w:rStyle w:val="56"/>
      </w:rPr>
      <w:t>–2</w:t>
    </w:r>
    <w:r>
      <w:fldChar w:fldCharType="end"/>
    </w:r>
  </w:p>
  <w:p>
    <w:pPr>
      <w:pStyle w:val="32"/>
      <w:ind w:firstLine="392"/>
    </w:pPr>
    <w: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 PAGE   \* MERGEFORMAT </w:instrText>
    </w:r>
    <w:r>
      <w:fldChar w:fldCharType="separate"/>
    </w:r>
    <w:r>
      <w:rPr>
        <w:lang w:val="zh-CN"/>
      </w:rPr>
      <w:t>4</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92"/>
      <w:rPr>
        <w:rStyle w:val="56"/>
      </w:rPr>
    </w:pPr>
    <w:r>
      <w:fldChar w:fldCharType="begin"/>
    </w:r>
    <w:r>
      <w:rPr>
        <w:rStyle w:val="56"/>
      </w:rPr>
      <w:instrText xml:space="preserve">PAGE  </w:instrText>
    </w:r>
    <w:r>
      <w:fldChar w:fldCharType="separate"/>
    </w:r>
    <w:r>
      <w:rPr>
        <w:rStyle w:val="56"/>
        <w:rFonts w:hint="eastAsia"/>
      </w:rPr>
      <w:t>一</w:t>
    </w:r>
    <w:r>
      <w:rPr>
        <w:rStyle w:val="56"/>
      </w:rPr>
      <w:t>–2</w:t>
    </w:r>
    <w:r>
      <w:fldChar w:fldCharType="end"/>
    </w:r>
  </w:p>
  <w:p>
    <w:pPr>
      <w:pStyle w:val="32"/>
      <w:ind w:firstLine="392"/>
    </w:pP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 PAGE   \* MERGEFORMAT </w:instrText>
    </w:r>
    <w:r>
      <w:fldChar w:fldCharType="separate"/>
    </w:r>
    <w:r>
      <w:rPr>
        <w:lang w:val="zh-CN"/>
      </w:rPr>
      <w:t>55</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 PAGE   \* MERGEFORMAT </w:instrText>
    </w:r>
    <w:r>
      <w:fldChar w:fldCharType="separate"/>
    </w:r>
    <w:r>
      <w:rPr>
        <w:lang w:val="zh-CN"/>
      </w:rPr>
      <w:t>66</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outside" w:y="1"/>
      <w:rPr>
        <w:rStyle w:val="56"/>
      </w:rPr>
    </w:pPr>
    <w:r>
      <w:fldChar w:fldCharType="begin"/>
    </w:r>
    <w:r>
      <w:rPr>
        <w:rStyle w:val="56"/>
      </w:rPr>
      <w:instrText xml:space="preserve">PAGE  </w:instrText>
    </w:r>
    <w:r>
      <w:fldChar w:fldCharType="separate"/>
    </w:r>
    <w:r>
      <w:rPr>
        <w:rStyle w:val="56"/>
        <w:rFonts w:hint="eastAsia"/>
      </w:rPr>
      <w:t>一</w:t>
    </w:r>
    <w:r>
      <w:rPr>
        <w:rStyle w:val="56"/>
      </w:rPr>
      <w:t>–2</w:t>
    </w:r>
    <w:r>
      <w:fldChar w:fldCharType="end"/>
    </w:r>
  </w:p>
  <w:p>
    <w:pPr>
      <w:pStyle w:val="32"/>
      <w:ind w:right="360" w:firstLine="360"/>
      <w:jc w:val="center"/>
    </w:pPr>
    <w:r>
      <w:rPr>
        <w:sz w:val="20"/>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 PAGE   \* MERGEFORMAT </w:instrText>
    </w:r>
    <w:r>
      <w:fldChar w:fldCharType="separate"/>
    </w:r>
    <w:r>
      <w:rPr>
        <w:lang w:val="zh-CN"/>
      </w:rPr>
      <w:t>58</w:t>
    </w:r>
    <w:r>
      <w:rPr>
        <w:lang w:val="zh-C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 PAGE   \* MERGEFORMAT </w:instrText>
    </w:r>
    <w:r>
      <w:fldChar w:fldCharType="separate"/>
    </w:r>
    <w:r>
      <w:t>155</w:t>
    </w:r>
    <w:r>
      <w:fldChar w:fldCharType="end"/>
    </w:r>
  </w:p>
  <w:p>
    <w:pPr>
      <w:pStyle w:val="3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 PAGE   \* MERGEFORMAT </w:instrText>
    </w:r>
    <w:r>
      <w:fldChar w:fldCharType="separate"/>
    </w:r>
    <w:r>
      <w:t>60</w:t>
    </w:r>
    <w:r>
      <w:fldChar w:fldCharType="end"/>
    </w:r>
  </w:p>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firstLine="392"/>
    </w:pPr>
    <w:r>
      <w:rPr>
        <w:rFonts w:hint="eastAsia"/>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firstLine="392"/>
    </w:pPr>
    <w:r>
      <w:rPr>
        <w:rFonts w:hint="eastAsia"/>
      </w:rPr>
      <w:t>横枝岗路道路排水改造工程招标文件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right"/>
      <w:rPr>
        <w:i/>
        <w:iCs/>
      </w:rPr>
    </w:pPr>
    <w:r>
      <w:rPr>
        <w:rFonts w:hint="eastAsia"/>
        <w:i/>
        <w:iCs/>
      </w:rPr>
      <w:t>横枝岗路道路排水改造工程招标文件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jc w:val="right"/>
      <w:rPr>
        <w:i/>
        <w:i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ind w:left="1080" w:hanging="720"/>
      </w:pPr>
      <w:rPr>
        <w:rFonts w:hint="default"/>
        <w:color w:val="00000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00000006"/>
    <w:multiLevelType w:val="singleLevel"/>
    <w:tmpl w:val="00000006"/>
    <w:lvl w:ilvl="0" w:tentative="0">
      <w:start w:val="1"/>
      <w:numFmt w:val="decimal"/>
      <w:suff w:val="nothing"/>
      <w:lvlText w:val="（%1）"/>
      <w:lvlJc w:val="left"/>
    </w:lvl>
  </w:abstractNum>
  <w:abstractNum w:abstractNumId="2">
    <w:nsid w:val="00000009"/>
    <w:multiLevelType w:val="singleLevel"/>
    <w:tmpl w:val="00000009"/>
    <w:lvl w:ilvl="0" w:tentative="0">
      <w:start w:val="1"/>
      <w:numFmt w:val="decimal"/>
      <w:suff w:val="nothing"/>
      <w:lvlText w:val="（%1）"/>
      <w:lvlJc w:val="left"/>
    </w:lvl>
  </w:abstractNum>
  <w:abstractNum w:abstractNumId="3">
    <w:nsid w:val="0000000C"/>
    <w:multiLevelType w:val="singleLevel"/>
    <w:tmpl w:val="0000000C"/>
    <w:lvl w:ilvl="0" w:tentative="0">
      <w:start w:val="1"/>
      <w:numFmt w:val="decimal"/>
      <w:pStyle w:val="478"/>
      <w:suff w:val="nothing"/>
      <w:lvlText w:val="（%1）"/>
      <w:lvlJc w:val="left"/>
    </w:lvl>
  </w:abstractNum>
  <w:abstractNum w:abstractNumId="4">
    <w:nsid w:val="01BB16A0"/>
    <w:multiLevelType w:val="singleLevel"/>
    <w:tmpl w:val="01BB16A0"/>
    <w:lvl w:ilvl="0" w:tentative="0">
      <w:start w:val="4"/>
      <w:numFmt w:val="chineseCounting"/>
      <w:suff w:val="space"/>
      <w:lvlText w:val="第%1部分"/>
      <w:lvlJc w:val="left"/>
      <w:rPr>
        <w:rFonts w:hint="eastAsia"/>
      </w:rPr>
    </w:lvl>
  </w:abstractNum>
  <w:abstractNum w:abstractNumId="5">
    <w:nsid w:val="14181B7E"/>
    <w:multiLevelType w:val="singleLevel"/>
    <w:tmpl w:val="14181B7E"/>
    <w:lvl w:ilvl="0" w:tentative="0">
      <w:start w:val="1"/>
      <w:numFmt w:val="decimal"/>
      <w:suff w:val="nothing"/>
      <w:lvlText w:val="%1、"/>
      <w:lvlJc w:val="left"/>
    </w:lvl>
  </w:abstractNum>
  <w:abstractNum w:abstractNumId="6">
    <w:nsid w:val="3AD5465A"/>
    <w:multiLevelType w:val="multilevel"/>
    <w:tmpl w:val="3AD5465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I4NmU0NjQxOWUzNDM4NjljZThjZmI5ZTA2OTJkN2IifQ=="/>
  </w:docVars>
  <w:rsids>
    <w:rsidRoot w:val="00285D59"/>
    <w:rsid w:val="000013F3"/>
    <w:rsid w:val="00005D29"/>
    <w:rsid w:val="000170E1"/>
    <w:rsid w:val="00017AE8"/>
    <w:rsid w:val="000244A8"/>
    <w:rsid w:val="00026A3E"/>
    <w:rsid w:val="00034A44"/>
    <w:rsid w:val="00043A14"/>
    <w:rsid w:val="00044C76"/>
    <w:rsid w:val="00056803"/>
    <w:rsid w:val="00065B27"/>
    <w:rsid w:val="0008232F"/>
    <w:rsid w:val="00083039"/>
    <w:rsid w:val="00090606"/>
    <w:rsid w:val="00094E20"/>
    <w:rsid w:val="000A061F"/>
    <w:rsid w:val="000B1DD1"/>
    <w:rsid w:val="000B3363"/>
    <w:rsid w:val="000C716E"/>
    <w:rsid w:val="000E086D"/>
    <w:rsid w:val="000E715D"/>
    <w:rsid w:val="000F37D0"/>
    <w:rsid w:val="000F6EE1"/>
    <w:rsid w:val="000F7E11"/>
    <w:rsid w:val="00100ED6"/>
    <w:rsid w:val="001139A8"/>
    <w:rsid w:val="00123E48"/>
    <w:rsid w:val="00125411"/>
    <w:rsid w:val="00126C24"/>
    <w:rsid w:val="00131F67"/>
    <w:rsid w:val="00137E2A"/>
    <w:rsid w:val="0014440C"/>
    <w:rsid w:val="00144C08"/>
    <w:rsid w:val="00154584"/>
    <w:rsid w:val="0015538E"/>
    <w:rsid w:val="0016010A"/>
    <w:rsid w:val="00165454"/>
    <w:rsid w:val="001702AA"/>
    <w:rsid w:val="00171210"/>
    <w:rsid w:val="00172E78"/>
    <w:rsid w:val="00174510"/>
    <w:rsid w:val="00182E9B"/>
    <w:rsid w:val="001921D5"/>
    <w:rsid w:val="001B1552"/>
    <w:rsid w:val="001B3C80"/>
    <w:rsid w:val="001C28D3"/>
    <w:rsid w:val="001C60AA"/>
    <w:rsid w:val="001D4165"/>
    <w:rsid w:val="001E71A3"/>
    <w:rsid w:val="001F7D88"/>
    <w:rsid w:val="001F7E1B"/>
    <w:rsid w:val="0021440C"/>
    <w:rsid w:val="00223905"/>
    <w:rsid w:val="00225607"/>
    <w:rsid w:val="00233F45"/>
    <w:rsid w:val="002343EA"/>
    <w:rsid w:val="00235EBF"/>
    <w:rsid w:val="00246452"/>
    <w:rsid w:val="00246A0D"/>
    <w:rsid w:val="00247BD9"/>
    <w:rsid w:val="00247E49"/>
    <w:rsid w:val="00251A30"/>
    <w:rsid w:val="00261556"/>
    <w:rsid w:val="00262A2C"/>
    <w:rsid w:val="002632D7"/>
    <w:rsid w:val="002660BB"/>
    <w:rsid w:val="00276BA8"/>
    <w:rsid w:val="002853C7"/>
    <w:rsid w:val="00285D59"/>
    <w:rsid w:val="00285FB5"/>
    <w:rsid w:val="002B0CDD"/>
    <w:rsid w:val="002B2FA5"/>
    <w:rsid w:val="002B507F"/>
    <w:rsid w:val="002B5472"/>
    <w:rsid w:val="002B6E26"/>
    <w:rsid w:val="002C0E1C"/>
    <w:rsid w:val="002C243B"/>
    <w:rsid w:val="002C3036"/>
    <w:rsid w:val="002C3812"/>
    <w:rsid w:val="002C5BB7"/>
    <w:rsid w:val="002C5DCF"/>
    <w:rsid w:val="002D20B2"/>
    <w:rsid w:val="002D4568"/>
    <w:rsid w:val="002F1FCC"/>
    <w:rsid w:val="002F2862"/>
    <w:rsid w:val="003225DB"/>
    <w:rsid w:val="00322DE6"/>
    <w:rsid w:val="00324232"/>
    <w:rsid w:val="0033270D"/>
    <w:rsid w:val="0033720E"/>
    <w:rsid w:val="00341E0C"/>
    <w:rsid w:val="00342D38"/>
    <w:rsid w:val="00344242"/>
    <w:rsid w:val="00344E4E"/>
    <w:rsid w:val="0036310A"/>
    <w:rsid w:val="003668EB"/>
    <w:rsid w:val="003673B7"/>
    <w:rsid w:val="003727DC"/>
    <w:rsid w:val="00372D54"/>
    <w:rsid w:val="00385EFB"/>
    <w:rsid w:val="003B2501"/>
    <w:rsid w:val="003B270E"/>
    <w:rsid w:val="003C3311"/>
    <w:rsid w:val="003C3AAD"/>
    <w:rsid w:val="003C5B4A"/>
    <w:rsid w:val="003C6DE5"/>
    <w:rsid w:val="003D2566"/>
    <w:rsid w:val="003D2AC1"/>
    <w:rsid w:val="003D4E2B"/>
    <w:rsid w:val="003F7E7F"/>
    <w:rsid w:val="0040244A"/>
    <w:rsid w:val="004043E4"/>
    <w:rsid w:val="00404961"/>
    <w:rsid w:val="0040603B"/>
    <w:rsid w:val="0041311B"/>
    <w:rsid w:val="00433F0B"/>
    <w:rsid w:val="00434EE1"/>
    <w:rsid w:val="00441584"/>
    <w:rsid w:val="00453727"/>
    <w:rsid w:val="00456C76"/>
    <w:rsid w:val="00456D8D"/>
    <w:rsid w:val="0046546A"/>
    <w:rsid w:val="004819B0"/>
    <w:rsid w:val="004831AF"/>
    <w:rsid w:val="0048584B"/>
    <w:rsid w:val="0049385F"/>
    <w:rsid w:val="004A1589"/>
    <w:rsid w:val="004B35D6"/>
    <w:rsid w:val="004B5C04"/>
    <w:rsid w:val="004B60D6"/>
    <w:rsid w:val="004C1003"/>
    <w:rsid w:val="004E0EBD"/>
    <w:rsid w:val="00513F27"/>
    <w:rsid w:val="00516348"/>
    <w:rsid w:val="0051778E"/>
    <w:rsid w:val="00534BC5"/>
    <w:rsid w:val="00554D71"/>
    <w:rsid w:val="00561321"/>
    <w:rsid w:val="00572632"/>
    <w:rsid w:val="00577BC4"/>
    <w:rsid w:val="0058026C"/>
    <w:rsid w:val="00581D6F"/>
    <w:rsid w:val="00581F27"/>
    <w:rsid w:val="00582529"/>
    <w:rsid w:val="0059141B"/>
    <w:rsid w:val="0059636B"/>
    <w:rsid w:val="00597345"/>
    <w:rsid w:val="005A3AA1"/>
    <w:rsid w:val="005A6FD7"/>
    <w:rsid w:val="005B0CBD"/>
    <w:rsid w:val="005B190A"/>
    <w:rsid w:val="005B2BE5"/>
    <w:rsid w:val="005C2D13"/>
    <w:rsid w:val="005C459F"/>
    <w:rsid w:val="005C6EDF"/>
    <w:rsid w:val="005E03DA"/>
    <w:rsid w:val="005E730A"/>
    <w:rsid w:val="005E7DA6"/>
    <w:rsid w:val="005F6AC5"/>
    <w:rsid w:val="00606388"/>
    <w:rsid w:val="00611E31"/>
    <w:rsid w:val="00613E2A"/>
    <w:rsid w:val="00624F1D"/>
    <w:rsid w:val="00625F0C"/>
    <w:rsid w:val="0063654C"/>
    <w:rsid w:val="00640E71"/>
    <w:rsid w:val="00642E9A"/>
    <w:rsid w:val="00647F9D"/>
    <w:rsid w:val="00654260"/>
    <w:rsid w:val="0066196E"/>
    <w:rsid w:val="00662FBC"/>
    <w:rsid w:val="00665104"/>
    <w:rsid w:val="00665775"/>
    <w:rsid w:val="00672C96"/>
    <w:rsid w:val="00677B06"/>
    <w:rsid w:val="0068169D"/>
    <w:rsid w:val="006824C3"/>
    <w:rsid w:val="00694A8C"/>
    <w:rsid w:val="006A0456"/>
    <w:rsid w:val="006A0B39"/>
    <w:rsid w:val="006A5B33"/>
    <w:rsid w:val="006A5D5E"/>
    <w:rsid w:val="006B0813"/>
    <w:rsid w:val="006B146B"/>
    <w:rsid w:val="006B6BAA"/>
    <w:rsid w:val="006C2F3A"/>
    <w:rsid w:val="006C360B"/>
    <w:rsid w:val="006C4B50"/>
    <w:rsid w:val="006D1CD4"/>
    <w:rsid w:val="006D40F7"/>
    <w:rsid w:val="006E1CA6"/>
    <w:rsid w:val="006F13D2"/>
    <w:rsid w:val="006F3F0B"/>
    <w:rsid w:val="006F5FE3"/>
    <w:rsid w:val="007033F2"/>
    <w:rsid w:val="0070545C"/>
    <w:rsid w:val="00706C57"/>
    <w:rsid w:val="007172D2"/>
    <w:rsid w:val="007209D6"/>
    <w:rsid w:val="00722AE3"/>
    <w:rsid w:val="00723B29"/>
    <w:rsid w:val="00727D09"/>
    <w:rsid w:val="007347D8"/>
    <w:rsid w:val="00742C8B"/>
    <w:rsid w:val="0074330A"/>
    <w:rsid w:val="00747ABD"/>
    <w:rsid w:val="007526F7"/>
    <w:rsid w:val="007531C2"/>
    <w:rsid w:val="007860E7"/>
    <w:rsid w:val="007A1030"/>
    <w:rsid w:val="007B105F"/>
    <w:rsid w:val="007D15DB"/>
    <w:rsid w:val="007D237C"/>
    <w:rsid w:val="007D5F6F"/>
    <w:rsid w:val="0080215E"/>
    <w:rsid w:val="0081403A"/>
    <w:rsid w:val="008150D4"/>
    <w:rsid w:val="00815236"/>
    <w:rsid w:val="0082012B"/>
    <w:rsid w:val="008467C8"/>
    <w:rsid w:val="008471DE"/>
    <w:rsid w:val="00850354"/>
    <w:rsid w:val="008564DC"/>
    <w:rsid w:val="0087062B"/>
    <w:rsid w:val="00877E50"/>
    <w:rsid w:val="00891A52"/>
    <w:rsid w:val="00893645"/>
    <w:rsid w:val="0089770C"/>
    <w:rsid w:val="008A1531"/>
    <w:rsid w:val="008B4726"/>
    <w:rsid w:val="008C7ABF"/>
    <w:rsid w:val="008D02F9"/>
    <w:rsid w:val="008D14C3"/>
    <w:rsid w:val="008D5B32"/>
    <w:rsid w:val="008D6F7D"/>
    <w:rsid w:val="008F21DC"/>
    <w:rsid w:val="008F5716"/>
    <w:rsid w:val="008F6C9C"/>
    <w:rsid w:val="008F7EB4"/>
    <w:rsid w:val="00902C96"/>
    <w:rsid w:val="00903338"/>
    <w:rsid w:val="0092137F"/>
    <w:rsid w:val="00923858"/>
    <w:rsid w:val="00926A6F"/>
    <w:rsid w:val="0093268F"/>
    <w:rsid w:val="00933A5E"/>
    <w:rsid w:val="0094061B"/>
    <w:rsid w:val="00944167"/>
    <w:rsid w:val="00946BDC"/>
    <w:rsid w:val="00954D52"/>
    <w:rsid w:val="0096087A"/>
    <w:rsid w:val="00973E04"/>
    <w:rsid w:val="009751CB"/>
    <w:rsid w:val="00987452"/>
    <w:rsid w:val="00987DFD"/>
    <w:rsid w:val="00987F07"/>
    <w:rsid w:val="0099128A"/>
    <w:rsid w:val="009A62DE"/>
    <w:rsid w:val="009B3422"/>
    <w:rsid w:val="009C1B1D"/>
    <w:rsid w:val="009C49AC"/>
    <w:rsid w:val="009C775D"/>
    <w:rsid w:val="009D538D"/>
    <w:rsid w:val="009D653F"/>
    <w:rsid w:val="009E2F53"/>
    <w:rsid w:val="009E341D"/>
    <w:rsid w:val="009E3B4D"/>
    <w:rsid w:val="009E7CB6"/>
    <w:rsid w:val="009F156D"/>
    <w:rsid w:val="009F32C7"/>
    <w:rsid w:val="009F5028"/>
    <w:rsid w:val="009F58B2"/>
    <w:rsid w:val="009F63AA"/>
    <w:rsid w:val="00A0174E"/>
    <w:rsid w:val="00A034DE"/>
    <w:rsid w:val="00A11DBB"/>
    <w:rsid w:val="00A22B1C"/>
    <w:rsid w:val="00A22DFB"/>
    <w:rsid w:val="00A24CB4"/>
    <w:rsid w:val="00A327F3"/>
    <w:rsid w:val="00A342FB"/>
    <w:rsid w:val="00A669EF"/>
    <w:rsid w:val="00A772F0"/>
    <w:rsid w:val="00A80FED"/>
    <w:rsid w:val="00A860F3"/>
    <w:rsid w:val="00A91F09"/>
    <w:rsid w:val="00AB56CB"/>
    <w:rsid w:val="00AC3665"/>
    <w:rsid w:val="00AC42AB"/>
    <w:rsid w:val="00AC7C92"/>
    <w:rsid w:val="00AE01DF"/>
    <w:rsid w:val="00AF2468"/>
    <w:rsid w:val="00AF73E0"/>
    <w:rsid w:val="00AF7CB8"/>
    <w:rsid w:val="00B070E0"/>
    <w:rsid w:val="00B122A4"/>
    <w:rsid w:val="00B25794"/>
    <w:rsid w:val="00B33B45"/>
    <w:rsid w:val="00B40233"/>
    <w:rsid w:val="00B4673B"/>
    <w:rsid w:val="00B50244"/>
    <w:rsid w:val="00B6121D"/>
    <w:rsid w:val="00B661B0"/>
    <w:rsid w:val="00B80644"/>
    <w:rsid w:val="00B93F4E"/>
    <w:rsid w:val="00BD011D"/>
    <w:rsid w:val="00BE4F13"/>
    <w:rsid w:val="00BF21E5"/>
    <w:rsid w:val="00BF6325"/>
    <w:rsid w:val="00C13022"/>
    <w:rsid w:val="00C144CB"/>
    <w:rsid w:val="00C2486A"/>
    <w:rsid w:val="00C452BD"/>
    <w:rsid w:val="00C53CE5"/>
    <w:rsid w:val="00C53D5E"/>
    <w:rsid w:val="00C56AED"/>
    <w:rsid w:val="00C626D1"/>
    <w:rsid w:val="00C73D55"/>
    <w:rsid w:val="00C74C74"/>
    <w:rsid w:val="00C76E29"/>
    <w:rsid w:val="00C940F4"/>
    <w:rsid w:val="00C952C8"/>
    <w:rsid w:val="00CB3E34"/>
    <w:rsid w:val="00CC03C9"/>
    <w:rsid w:val="00CD183F"/>
    <w:rsid w:val="00CD64BC"/>
    <w:rsid w:val="00CD7FE2"/>
    <w:rsid w:val="00CF1259"/>
    <w:rsid w:val="00D418CC"/>
    <w:rsid w:val="00D43CF6"/>
    <w:rsid w:val="00D443A9"/>
    <w:rsid w:val="00D63E6F"/>
    <w:rsid w:val="00DB34C9"/>
    <w:rsid w:val="00DD4C1B"/>
    <w:rsid w:val="00DD61BB"/>
    <w:rsid w:val="00DD7700"/>
    <w:rsid w:val="00DE5743"/>
    <w:rsid w:val="00DF2D22"/>
    <w:rsid w:val="00E00515"/>
    <w:rsid w:val="00E12779"/>
    <w:rsid w:val="00E26988"/>
    <w:rsid w:val="00E33E5E"/>
    <w:rsid w:val="00E42D86"/>
    <w:rsid w:val="00E50423"/>
    <w:rsid w:val="00E6256E"/>
    <w:rsid w:val="00E6742A"/>
    <w:rsid w:val="00E81631"/>
    <w:rsid w:val="00E93AEC"/>
    <w:rsid w:val="00EB01C4"/>
    <w:rsid w:val="00EC584B"/>
    <w:rsid w:val="00ED032F"/>
    <w:rsid w:val="00EE0747"/>
    <w:rsid w:val="00EE2DF8"/>
    <w:rsid w:val="00EE6C46"/>
    <w:rsid w:val="00F14384"/>
    <w:rsid w:val="00F178C1"/>
    <w:rsid w:val="00F3165E"/>
    <w:rsid w:val="00F46958"/>
    <w:rsid w:val="00F4738C"/>
    <w:rsid w:val="00F52664"/>
    <w:rsid w:val="00F52AFC"/>
    <w:rsid w:val="00F7207A"/>
    <w:rsid w:val="00F81B75"/>
    <w:rsid w:val="00F850E3"/>
    <w:rsid w:val="00F87CD9"/>
    <w:rsid w:val="00F94C50"/>
    <w:rsid w:val="00FA0D4C"/>
    <w:rsid w:val="00FB7BCF"/>
    <w:rsid w:val="00FC63EE"/>
    <w:rsid w:val="00FD33F3"/>
    <w:rsid w:val="00FD3883"/>
    <w:rsid w:val="00FF0E98"/>
    <w:rsid w:val="0119070C"/>
    <w:rsid w:val="0152612C"/>
    <w:rsid w:val="01863947"/>
    <w:rsid w:val="01883692"/>
    <w:rsid w:val="01F66ABD"/>
    <w:rsid w:val="020B50F8"/>
    <w:rsid w:val="02231EF0"/>
    <w:rsid w:val="026114DF"/>
    <w:rsid w:val="026779BA"/>
    <w:rsid w:val="027E5C52"/>
    <w:rsid w:val="02CE18D0"/>
    <w:rsid w:val="02D335C0"/>
    <w:rsid w:val="037B74D7"/>
    <w:rsid w:val="03A965F3"/>
    <w:rsid w:val="040619EE"/>
    <w:rsid w:val="0415162B"/>
    <w:rsid w:val="04190023"/>
    <w:rsid w:val="0433750E"/>
    <w:rsid w:val="043D6C25"/>
    <w:rsid w:val="04AC669E"/>
    <w:rsid w:val="04BA637A"/>
    <w:rsid w:val="05153FF0"/>
    <w:rsid w:val="052971A9"/>
    <w:rsid w:val="056A1F45"/>
    <w:rsid w:val="058645FB"/>
    <w:rsid w:val="058C7E64"/>
    <w:rsid w:val="05AA18FB"/>
    <w:rsid w:val="05F53BE2"/>
    <w:rsid w:val="06490013"/>
    <w:rsid w:val="066A2B11"/>
    <w:rsid w:val="06715EA4"/>
    <w:rsid w:val="06797402"/>
    <w:rsid w:val="0707675D"/>
    <w:rsid w:val="074B7A58"/>
    <w:rsid w:val="07524CC5"/>
    <w:rsid w:val="07710798"/>
    <w:rsid w:val="07DC6A03"/>
    <w:rsid w:val="0854453D"/>
    <w:rsid w:val="086C77D2"/>
    <w:rsid w:val="08EF6AC2"/>
    <w:rsid w:val="091240B7"/>
    <w:rsid w:val="09441A42"/>
    <w:rsid w:val="095B02F2"/>
    <w:rsid w:val="09664528"/>
    <w:rsid w:val="09A54862"/>
    <w:rsid w:val="09DD6CCE"/>
    <w:rsid w:val="09E57882"/>
    <w:rsid w:val="0A1B3564"/>
    <w:rsid w:val="0A412393"/>
    <w:rsid w:val="0A64315D"/>
    <w:rsid w:val="0A7A29E4"/>
    <w:rsid w:val="0AC23C83"/>
    <w:rsid w:val="0B064477"/>
    <w:rsid w:val="0B286835"/>
    <w:rsid w:val="0B382E65"/>
    <w:rsid w:val="0B7E53C2"/>
    <w:rsid w:val="0BBA6D12"/>
    <w:rsid w:val="0BE169CF"/>
    <w:rsid w:val="0BEA674C"/>
    <w:rsid w:val="0C3F1E07"/>
    <w:rsid w:val="0C9161E7"/>
    <w:rsid w:val="0D2328AC"/>
    <w:rsid w:val="0D333DBB"/>
    <w:rsid w:val="0DBE36CD"/>
    <w:rsid w:val="0DE17BBD"/>
    <w:rsid w:val="0ECC5DB5"/>
    <w:rsid w:val="0ED07B3F"/>
    <w:rsid w:val="0F4B24D9"/>
    <w:rsid w:val="0F5B4403"/>
    <w:rsid w:val="10157579"/>
    <w:rsid w:val="10577283"/>
    <w:rsid w:val="10B97633"/>
    <w:rsid w:val="10E52532"/>
    <w:rsid w:val="10FC140D"/>
    <w:rsid w:val="1102722C"/>
    <w:rsid w:val="111921EA"/>
    <w:rsid w:val="1181643E"/>
    <w:rsid w:val="119655DC"/>
    <w:rsid w:val="11C42733"/>
    <w:rsid w:val="11C90AED"/>
    <w:rsid w:val="11F93932"/>
    <w:rsid w:val="12351341"/>
    <w:rsid w:val="124039AB"/>
    <w:rsid w:val="12A2714C"/>
    <w:rsid w:val="12BC78AF"/>
    <w:rsid w:val="12D85AD0"/>
    <w:rsid w:val="13094C46"/>
    <w:rsid w:val="139B187D"/>
    <w:rsid w:val="13BD3541"/>
    <w:rsid w:val="13DD5D2E"/>
    <w:rsid w:val="14045B07"/>
    <w:rsid w:val="14196F70"/>
    <w:rsid w:val="14382964"/>
    <w:rsid w:val="14474318"/>
    <w:rsid w:val="14563056"/>
    <w:rsid w:val="14A707B0"/>
    <w:rsid w:val="14B260BF"/>
    <w:rsid w:val="14B27946"/>
    <w:rsid w:val="14BF71E2"/>
    <w:rsid w:val="14C50C9C"/>
    <w:rsid w:val="14E87261"/>
    <w:rsid w:val="14F20C71"/>
    <w:rsid w:val="152034D0"/>
    <w:rsid w:val="15F92602"/>
    <w:rsid w:val="16351E52"/>
    <w:rsid w:val="164736FB"/>
    <w:rsid w:val="16494B57"/>
    <w:rsid w:val="16870D8E"/>
    <w:rsid w:val="16A64604"/>
    <w:rsid w:val="1715758D"/>
    <w:rsid w:val="1759391E"/>
    <w:rsid w:val="17C80B90"/>
    <w:rsid w:val="18B45502"/>
    <w:rsid w:val="18D306DE"/>
    <w:rsid w:val="193002E1"/>
    <w:rsid w:val="19962C07"/>
    <w:rsid w:val="1A2A3350"/>
    <w:rsid w:val="1AD42D35"/>
    <w:rsid w:val="1AF61B90"/>
    <w:rsid w:val="1B163D36"/>
    <w:rsid w:val="1BA01544"/>
    <w:rsid w:val="1BAB04C0"/>
    <w:rsid w:val="1BAD5FE6"/>
    <w:rsid w:val="1BB771B1"/>
    <w:rsid w:val="1C2C11C7"/>
    <w:rsid w:val="1C327CE6"/>
    <w:rsid w:val="1C3F1759"/>
    <w:rsid w:val="1CBB1FFB"/>
    <w:rsid w:val="1D927B8A"/>
    <w:rsid w:val="1E266B3D"/>
    <w:rsid w:val="1E2E78B2"/>
    <w:rsid w:val="1E476C70"/>
    <w:rsid w:val="1E4F15D7"/>
    <w:rsid w:val="1E992D6A"/>
    <w:rsid w:val="1EC450BA"/>
    <w:rsid w:val="1ED92E5A"/>
    <w:rsid w:val="1EF84D25"/>
    <w:rsid w:val="1EFC66B7"/>
    <w:rsid w:val="1F26058A"/>
    <w:rsid w:val="1F760DEC"/>
    <w:rsid w:val="1F8B663F"/>
    <w:rsid w:val="1F9B323A"/>
    <w:rsid w:val="1F9F10C7"/>
    <w:rsid w:val="1FBE4C66"/>
    <w:rsid w:val="1FDE70B6"/>
    <w:rsid w:val="1FE60B3B"/>
    <w:rsid w:val="20131604"/>
    <w:rsid w:val="202A6AB1"/>
    <w:rsid w:val="20535F35"/>
    <w:rsid w:val="207E5971"/>
    <w:rsid w:val="209A267D"/>
    <w:rsid w:val="20BC4D75"/>
    <w:rsid w:val="20CE27DF"/>
    <w:rsid w:val="20DB01C7"/>
    <w:rsid w:val="21062371"/>
    <w:rsid w:val="21174CF2"/>
    <w:rsid w:val="21867A05"/>
    <w:rsid w:val="21C92490"/>
    <w:rsid w:val="21EA7F94"/>
    <w:rsid w:val="22624432"/>
    <w:rsid w:val="226E284B"/>
    <w:rsid w:val="22A0399E"/>
    <w:rsid w:val="22AE4231"/>
    <w:rsid w:val="22F16BE4"/>
    <w:rsid w:val="230F4A74"/>
    <w:rsid w:val="23E870C3"/>
    <w:rsid w:val="2426102C"/>
    <w:rsid w:val="24653902"/>
    <w:rsid w:val="24971B96"/>
    <w:rsid w:val="24A6144D"/>
    <w:rsid w:val="25213801"/>
    <w:rsid w:val="253A3592"/>
    <w:rsid w:val="257303C7"/>
    <w:rsid w:val="25A50F10"/>
    <w:rsid w:val="25F72C80"/>
    <w:rsid w:val="261A40F9"/>
    <w:rsid w:val="26432642"/>
    <w:rsid w:val="26682BDC"/>
    <w:rsid w:val="27537573"/>
    <w:rsid w:val="27965F66"/>
    <w:rsid w:val="27E3571D"/>
    <w:rsid w:val="27F531EF"/>
    <w:rsid w:val="27F756EC"/>
    <w:rsid w:val="28095F37"/>
    <w:rsid w:val="28617532"/>
    <w:rsid w:val="288906CD"/>
    <w:rsid w:val="289671FD"/>
    <w:rsid w:val="28EA6ACC"/>
    <w:rsid w:val="28EF5C4A"/>
    <w:rsid w:val="29182435"/>
    <w:rsid w:val="291F2783"/>
    <w:rsid w:val="29532A0E"/>
    <w:rsid w:val="29556F1D"/>
    <w:rsid w:val="29A95235"/>
    <w:rsid w:val="29AF6918"/>
    <w:rsid w:val="29B64C00"/>
    <w:rsid w:val="29E277A3"/>
    <w:rsid w:val="2A9F62C6"/>
    <w:rsid w:val="2AAD1B5F"/>
    <w:rsid w:val="2AAF183B"/>
    <w:rsid w:val="2ACE1FC6"/>
    <w:rsid w:val="2B1558A3"/>
    <w:rsid w:val="2C354424"/>
    <w:rsid w:val="2C3F25B4"/>
    <w:rsid w:val="2C97732C"/>
    <w:rsid w:val="2CA01CE1"/>
    <w:rsid w:val="2D2074FA"/>
    <w:rsid w:val="2D5478F5"/>
    <w:rsid w:val="2D571DD6"/>
    <w:rsid w:val="2D6A0964"/>
    <w:rsid w:val="2D795C7F"/>
    <w:rsid w:val="2D855292"/>
    <w:rsid w:val="2D9950C1"/>
    <w:rsid w:val="2E633D19"/>
    <w:rsid w:val="2E8030B4"/>
    <w:rsid w:val="2E9F09B5"/>
    <w:rsid w:val="2EA37FAE"/>
    <w:rsid w:val="2EF83B16"/>
    <w:rsid w:val="2F260132"/>
    <w:rsid w:val="2F2B74F6"/>
    <w:rsid w:val="2F3E191F"/>
    <w:rsid w:val="2F4565AD"/>
    <w:rsid w:val="2F533DE6"/>
    <w:rsid w:val="2F9A4A17"/>
    <w:rsid w:val="2FA12B05"/>
    <w:rsid w:val="2FC84E29"/>
    <w:rsid w:val="30050EA3"/>
    <w:rsid w:val="30177E8D"/>
    <w:rsid w:val="303F53C4"/>
    <w:rsid w:val="30731155"/>
    <w:rsid w:val="30E9188B"/>
    <w:rsid w:val="30F027A5"/>
    <w:rsid w:val="31AA504A"/>
    <w:rsid w:val="3212499D"/>
    <w:rsid w:val="32221084"/>
    <w:rsid w:val="32301DE0"/>
    <w:rsid w:val="323A535C"/>
    <w:rsid w:val="32455753"/>
    <w:rsid w:val="32732CAA"/>
    <w:rsid w:val="32A17906"/>
    <w:rsid w:val="330F2E16"/>
    <w:rsid w:val="33364B8B"/>
    <w:rsid w:val="334D63A5"/>
    <w:rsid w:val="33630AE8"/>
    <w:rsid w:val="33D04890"/>
    <w:rsid w:val="340A0022"/>
    <w:rsid w:val="34194EC5"/>
    <w:rsid w:val="342002E1"/>
    <w:rsid w:val="342C4E17"/>
    <w:rsid w:val="348E2A01"/>
    <w:rsid w:val="34AC53BA"/>
    <w:rsid w:val="34B14942"/>
    <w:rsid w:val="34D042AC"/>
    <w:rsid w:val="34EC7EA4"/>
    <w:rsid w:val="352C68AE"/>
    <w:rsid w:val="355523A4"/>
    <w:rsid w:val="358F5F1B"/>
    <w:rsid w:val="35B27B48"/>
    <w:rsid w:val="35BF4E3C"/>
    <w:rsid w:val="35CF507F"/>
    <w:rsid w:val="35E13004"/>
    <w:rsid w:val="35E554D3"/>
    <w:rsid w:val="35E71A8B"/>
    <w:rsid w:val="36050AA6"/>
    <w:rsid w:val="36163F49"/>
    <w:rsid w:val="36796CDA"/>
    <w:rsid w:val="36880519"/>
    <w:rsid w:val="36F75B20"/>
    <w:rsid w:val="373B2682"/>
    <w:rsid w:val="3805122C"/>
    <w:rsid w:val="38E3719F"/>
    <w:rsid w:val="39916B02"/>
    <w:rsid w:val="39F96B6F"/>
    <w:rsid w:val="3A006464"/>
    <w:rsid w:val="3A43428E"/>
    <w:rsid w:val="3ADA70B4"/>
    <w:rsid w:val="3BA25AD3"/>
    <w:rsid w:val="3BBD11B4"/>
    <w:rsid w:val="3BE13AE8"/>
    <w:rsid w:val="3C3677CA"/>
    <w:rsid w:val="3CB824F0"/>
    <w:rsid w:val="3D2D6B2F"/>
    <w:rsid w:val="3D400E20"/>
    <w:rsid w:val="3D6764E5"/>
    <w:rsid w:val="3D7D7AB7"/>
    <w:rsid w:val="3D891FB8"/>
    <w:rsid w:val="3D9314DD"/>
    <w:rsid w:val="3DCB1194"/>
    <w:rsid w:val="3DD80F1F"/>
    <w:rsid w:val="3E1026D9"/>
    <w:rsid w:val="3E960DA0"/>
    <w:rsid w:val="3EC4752A"/>
    <w:rsid w:val="3ECA6D2C"/>
    <w:rsid w:val="3EF80CF3"/>
    <w:rsid w:val="3F38176A"/>
    <w:rsid w:val="3FC56FBE"/>
    <w:rsid w:val="3FDE10E9"/>
    <w:rsid w:val="40240683"/>
    <w:rsid w:val="4026388A"/>
    <w:rsid w:val="40307062"/>
    <w:rsid w:val="40705073"/>
    <w:rsid w:val="40B07899"/>
    <w:rsid w:val="40E47653"/>
    <w:rsid w:val="412D70FE"/>
    <w:rsid w:val="413A047B"/>
    <w:rsid w:val="41F71562"/>
    <w:rsid w:val="421478F5"/>
    <w:rsid w:val="42147C5B"/>
    <w:rsid w:val="421D3616"/>
    <w:rsid w:val="42B51AA1"/>
    <w:rsid w:val="42C910A8"/>
    <w:rsid w:val="43226585"/>
    <w:rsid w:val="4335673E"/>
    <w:rsid w:val="4352109E"/>
    <w:rsid w:val="438D74F3"/>
    <w:rsid w:val="43B238CF"/>
    <w:rsid w:val="43CC1576"/>
    <w:rsid w:val="43D51B53"/>
    <w:rsid w:val="43DD389A"/>
    <w:rsid w:val="43FE2F09"/>
    <w:rsid w:val="44586B88"/>
    <w:rsid w:val="44DC50C3"/>
    <w:rsid w:val="450C0C78"/>
    <w:rsid w:val="45725A27"/>
    <w:rsid w:val="45DE4E6B"/>
    <w:rsid w:val="45ED3973"/>
    <w:rsid w:val="45F36B68"/>
    <w:rsid w:val="464232F2"/>
    <w:rsid w:val="46507266"/>
    <w:rsid w:val="46535529"/>
    <w:rsid w:val="465B64BB"/>
    <w:rsid w:val="468E6891"/>
    <w:rsid w:val="46A96541"/>
    <w:rsid w:val="46FE3A16"/>
    <w:rsid w:val="473531B0"/>
    <w:rsid w:val="47367588"/>
    <w:rsid w:val="47550B6D"/>
    <w:rsid w:val="47CA56A6"/>
    <w:rsid w:val="47D2285B"/>
    <w:rsid w:val="48141018"/>
    <w:rsid w:val="4831133D"/>
    <w:rsid w:val="484F25B3"/>
    <w:rsid w:val="48F34F6C"/>
    <w:rsid w:val="491F1A22"/>
    <w:rsid w:val="495711BC"/>
    <w:rsid w:val="497B4195"/>
    <w:rsid w:val="49A8347D"/>
    <w:rsid w:val="49AF6E82"/>
    <w:rsid w:val="4A2967BB"/>
    <w:rsid w:val="4AB7088F"/>
    <w:rsid w:val="4AE05112"/>
    <w:rsid w:val="4BA57832"/>
    <w:rsid w:val="4BE807F1"/>
    <w:rsid w:val="4C003493"/>
    <w:rsid w:val="4C46423A"/>
    <w:rsid w:val="4C4C2190"/>
    <w:rsid w:val="4C952453"/>
    <w:rsid w:val="4D4303DE"/>
    <w:rsid w:val="4D774F00"/>
    <w:rsid w:val="4D904F1F"/>
    <w:rsid w:val="4DCD5EF0"/>
    <w:rsid w:val="4DDC7C09"/>
    <w:rsid w:val="4DE74A82"/>
    <w:rsid w:val="4E200716"/>
    <w:rsid w:val="4E343E34"/>
    <w:rsid w:val="4E537636"/>
    <w:rsid w:val="4E6B4B78"/>
    <w:rsid w:val="4E9562D5"/>
    <w:rsid w:val="4EBD67DA"/>
    <w:rsid w:val="4ECD3CD2"/>
    <w:rsid w:val="4F2A2FD3"/>
    <w:rsid w:val="4F713E7F"/>
    <w:rsid w:val="4FE25FD4"/>
    <w:rsid w:val="50037AA4"/>
    <w:rsid w:val="502035F2"/>
    <w:rsid w:val="503929A7"/>
    <w:rsid w:val="506D2BDC"/>
    <w:rsid w:val="507D0949"/>
    <w:rsid w:val="50D23DF0"/>
    <w:rsid w:val="51273B6A"/>
    <w:rsid w:val="51DF6149"/>
    <w:rsid w:val="51EB5DBC"/>
    <w:rsid w:val="521071A3"/>
    <w:rsid w:val="524B7D2C"/>
    <w:rsid w:val="52A96F20"/>
    <w:rsid w:val="52B36863"/>
    <w:rsid w:val="52CA20B7"/>
    <w:rsid w:val="52DF4ABB"/>
    <w:rsid w:val="533A172F"/>
    <w:rsid w:val="534339EF"/>
    <w:rsid w:val="535F425F"/>
    <w:rsid w:val="536E2309"/>
    <w:rsid w:val="53764FE1"/>
    <w:rsid w:val="538B5741"/>
    <w:rsid w:val="53C006DF"/>
    <w:rsid w:val="53EE7B30"/>
    <w:rsid w:val="5404073F"/>
    <w:rsid w:val="540425A6"/>
    <w:rsid w:val="545A1D3B"/>
    <w:rsid w:val="54770E75"/>
    <w:rsid w:val="54C35464"/>
    <w:rsid w:val="54C93EF0"/>
    <w:rsid w:val="54DB0F29"/>
    <w:rsid w:val="55321068"/>
    <w:rsid w:val="55405C99"/>
    <w:rsid w:val="55512113"/>
    <w:rsid w:val="55AF2380"/>
    <w:rsid w:val="55DB7EE4"/>
    <w:rsid w:val="55FD2792"/>
    <w:rsid w:val="56177AC3"/>
    <w:rsid w:val="5630149F"/>
    <w:rsid w:val="56F666DB"/>
    <w:rsid w:val="575F4763"/>
    <w:rsid w:val="57BE4AFC"/>
    <w:rsid w:val="57C551E3"/>
    <w:rsid w:val="57E9319F"/>
    <w:rsid w:val="57EC7845"/>
    <w:rsid w:val="58173867"/>
    <w:rsid w:val="58272CC8"/>
    <w:rsid w:val="58362CC6"/>
    <w:rsid w:val="585A4039"/>
    <w:rsid w:val="586A03F8"/>
    <w:rsid w:val="58AC2BA6"/>
    <w:rsid w:val="59100C55"/>
    <w:rsid w:val="59AA78BD"/>
    <w:rsid w:val="59C532D9"/>
    <w:rsid w:val="59E720E8"/>
    <w:rsid w:val="59F74BEC"/>
    <w:rsid w:val="5A767910"/>
    <w:rsid w:val="5ABA244B"/>
    <w:rsid w:val="5ACC5FF1"/>
    <w:rsid w:val="5B042454"/>
    <w:rsid w:val="5B56583C"/>
    <w:rsid w:val="5B6B4F9B"/>
    <w:rsid w:val="5B723A90"/>
    <w:rsid w:val="5B7A2F8A"/>
    <w:rsid w:val="5BCA1CC1"/>
    <w:rsid w:val="5BD11BE5"/>
    <w:rsid w:val="5C31601A"/>
    <w:rsid w:val="5C3F3DFF"/>
    <w:rsid w:val="5CA45338"/>
    <w:rsid w:val="5CAA0118"/>
    <w:rsid w:val="5DE43000"/>
    <w:rsid w:val="5DF8205F"/>
    <w:rsid w:val="5E0A0925"/>
    <w:rsid w:val="5E1200A1"/>
    <w:rsid w:val="5E512B65"/>
    <w:rsid w:val="5E8E347A"/>
    <w:rsid w:val="5F637BEF"/>
    <w:rsid w:val="5FC765D8"/>
    <w:rsid w:val="5FDC6F72"/>
    <w:rsid w:val="5FDD2C38"/>
    <w:rsid w:val="5FF732A1"/>
    <w:rsid w:val="5FFD1851"/>
    <w:rsid w:val="60211918"/>
    <w:rsid w:val="60356E43"/>
    <w:rsid w:val="604611AF"/>
    <w:rsid w:val="60773CAA"/>
    <w:rsid w:val="60BD5373"/>
    <w:rsid w:val="60FC4519"/>
    <w:rsid w:val="61063A5A"/>
    <w:rsid w:val="615C33BC"/>
    <w:rsid w:val="6161312E"/>
    <w:rsid w:val="61732846"/>
    <w:rsid w:val="622207B7"/>
    <w:rsid w:val="6230253C"/>
    <w:rsid w:val="62BD2580"/>
    <w:rsid w:val="63046B7F"/>
    <w:rsid w:val="63343538"/>
    <w:rsid w:val="63645963"/>
    <w:rsid w:val="636941E6"/>
    <w:rsid w:val="642B3C5D"/>
    <w:rsid w:val="6436215C"/>
    <w:rsid w:val="64494D15"/>
    <w:rsid w:val="646213A7"/>
    <w:rsid w:val="64F352EC"/>
    <w:rsid w:val="652241DC"/>
    <w:rsid w:val="653D1756"/>
    <w:rsid w:val="659163EA"/>
    <w:rsid w:val="659770B8"/>
    <w:rsid w:val="659F33BA"/>
    <w:rsid w:val="660E73E7"/>
    <w:rsid w:val="663E1B32"/>
    <w:rsid w:val="677A6041"/>
    <w:rsid w:val="67DC7A6D"/>
    <w:rsid w:val="6811592A"/>
    <w:rsid w:val="686C004E"/>
    <w:rsid w:val="68732CC6"/>
    <w:rsid w:val="68856111"/>
    <w:rsid w:val="68B02B2C"/>
    <w:rsid w:val="68B4630A"/>
    <w:rsid w:val="68BC27FB"/>
    <w:rsid w:val="68F91E38"/>
    <w:rsid w:val="69B8584F"/>
    <w:rsid w:val="6A203899"/>
    <w:rsid w:val="6A3D5D54"/>
    <w:rsid w:val="6A61460D"/>
    <w:rsid w:val="6A880048"/>
    <w:rsid w:val="6A8A6C00"/>
    <w:rsid w:val="6AA95198"/>
    <w:rsid w:val="6AB95599"/>
    <w:rsid w:val="6AC2187A"/>
    <w:rsid w:val="6ADE0E27"/>
    <w:rsid w:val="6B0937DC"/>
    <w:rsid w:val="6B3A4F4C"/>
    <w:rsid w:val="6B612FAF"/>
    <w:rsid w:val="6B9F7F4B"/>
    <w:rsid w:val="6C03335B"/>
    <w:rsid w:val="6C0C1E82"/>
    <w:rsid w:val="6C5427EC"/>
    <w:rsid w:val="6C731E06"/>
    <w:rsid w:val="6C753AA1"/>
    <w:rsid w:val="6CA62EFC"/>
    <w:rsid w:val="6CBD64D2"/>
    <w:rsid w:val="6CCB321C"/>
    <w:rsid w:val="6CDD25AA"/>
    <w:rsid w:val="6CDF30F3"/>
    <w:rsid w:val="6CE00ACA"/>
    <w:rsid w:val="6D4318D3"/>
    <w:rsid w:val="6D54231A"/>
    <w:rsid w:val="6D8819DC"/>
    <w:rsid w:val="6D8A5754"/>
    <w:rsid w:val="6E0232B1"/>
    <w:rsid w:val="6E98100F"/>
    <w:rsid w:val="6E9A3CCD"/>
    <w:rsid w:val="6E9F07F4"/>
    <w:rsid w:val="6EBC369E"/>
    <w:rsid w:val="6EE75E82"/>
    <w:rsid w:val="6EF2710D"/>
    <w:rsid w:val="6F0E2400"/>
    <w:rsid w:val="6F190BEF"/>
    <w:rsid w:val="6F361E33"/>
    <w:rsid w:val="6F505485"/>
    <w:rsid w:val="6F882183"/>
    <w:rsid w:val="6F946416"/>
    <w:rsid w:val="701220ED"/>
    <w:rsid w:val="70252721"/>
    <w:rsid w:val="702D3255"/>
    <w:rsid w:val="704D36E5"/>
    <w:rsid w:val="70512559"/>
    <w:rsid w:val="70792505"/>
    <w:rsid w:val="708C55FE"/>
    <w:rsid w:val="712437CA"/>
    <w:rsid w:val="720101A0"/>
    <w:rsid w:val="722736E5"/>
    <w:rsid w:val="729E0F21"/>
    <w:rsid w:val="733004AD"/>
    <w:rsid w:val="73667409"/>
    <w:rsid w:val="7434729D"/>
    <w:rsid w:val="744A753D"/>
    <w:rsid w:val="74DA5E90"/>
    <w:rsid w:val="74E62C58"/>
    <w:rsid w:val="74FF5E17"/>
    <w:rsid w:val="750034AD"/>
    <w:rsid w:val="75B50E95"/>
    <w:rsid w:val="75C6799B"/>
    <w:rsid w:val="75D4756D"/>
    <w:rsid w:val="765A30CF"/>
    <w:rsid w:val="76DE44F4"/>
    <w:rsid w:val="76FA0D58"/>
    <w:rsid w:val="77106CCA"/>
    <w:rsid w:val="77DD411B"/>
    <w:rsid w:val="77E90D1D"/>
    <w:rsid w:val="78194573"/>
    <w:rsid w:val="783A5D0F"/>
    <w:rsid w:val="79127AD8"/>
    <w:rsid w:val="79776FC8"/>
    <w:rsid w:val="79B7428D"/>
    <w:rsid w:val="79DD4337"/>
    <w:rsid w:val="7A7020EB"/>
    <w:rsid w:val="7A9C7CAA"/>
    <w:rsid w:val="7ACF3C5D"/>
    <w:rsid w:val="7B0F2179"/>
    <w:rsid w:val="7B3064D7"/>
    <w:rsid w:val="7BA42944"/>
    <w:rsid w:val="7BFC003E"/>
    <w:rsid w:val="7C1D7794"/>
    <w:rsid w:val="7C2534F6"/>
    <w:rsid w:val="7C652F8D"/>
    <w:rsid w:val="7C8D4483"/>
    <w:rsid w:val="7C937471"/>
    <w:rsid w:val="7D041B10"/>
    <w:rsid w:val="7D047247"/>
    <w:rsid w:val="7D864A68"/>
    <w:rsid w:val="7DBF46F1"/>
    <w:rsid w:val="7DC31CE3"/>
    <w:rsid w:val="7DC46CB5"/>
    <w:rsid w:val="7E350DC4"/>
    <w:rsid w:val="7E377A5A"/>
    <w:rsid w:val="7E6F4656"/>
    <w:rsid w:val="7E751B09"/>
    <w:rsid w:val="7EC62364"/>
    <w:rsid w:val="7EC62AAE"/>
    <w:rsid w:val="7F0D6DEB"/>
    <w:rsid w:val="7F2D5F40"/>
    <w:rsid w:val="7F604567"/>
    <w:rsid w:val="7FAB1A36"/>
    <w:rsid w:val="7FAC18B1"/>
    <w:rsid w:val="7FC1058E"/>
    <w:rsid w:val="7FD4044B"/>
    <w:rsid w:val="7FDF10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1"/>
    <w:link w:val="377"/>
    <w:qFormat/>
    <w:uiPriority w:val="0"/>
    <w:pPr>
      <w:keepNext/>
      <w:keepLines/>
      <w:spacing w:after="120" w:line="360" w:lineRule="auto"/>
      <w:outlineLvl w:val="0"/>
    </w:pPr>
    <w:rPr>
      <w:rFonts w:ascii="宋体" w:hAnsi="宋体" w:cs="宋体"/>
      <w:kern w:val="44"/>
      <w:sz w:val="28"/>
      <w:szCs w:val="28"/>
    </w:rPr>
  </w:style>
  <w:style w:type="paragraph" w:styleId="4">
    <w:name w:val="heading 2"/>
    <w:basedOn w:val="1"/>
    <w:next w:val="1"/>
    <w:link w:val="69"/>
    <w:qFormat/>
    <w:uiPriority w:val="0"/>
    <w:pPr>
      <w:keepNext/>
      <w:keepLines/>
      <w:tabs>
        <w:tab w:val="right" w:leader="dot" w:pos="9060"/>
      </w:tabs>
      <w:spacing w:before="120" w:after="120" w:line="415" w:lineRule="auto"/>
      <w:jc w:val="center"/>
      <w:outlineLvl w:val="1"/>
    </w:pPr>
    <w:rPr>
      <w:rFonts w:ascii="宋体" w:hAnsi="宋体" w:cs="宋体"/>
      <w:b/>
      <w:kern w:val="0"/>
      <w:sz w:val="24"/>
      <w:szCs w:val="24"/>
    </w:rPr>
  </w:style>
  <w:style w:type="paragraph" w:styleId="5">
    <w:name w:val="heading 3"/>
    <w:basedOn w:val="1"/>
    <w:next w:val="1"/>
    <w:link w:val="70"/>
    <w:qFormat/>
    <w:uiPriority w:val="0"/>
    <w:pPr>
      <w:widowControl/>
      <w:jc w:val="left"/>
      <w:outlineLvl w:val="2"/>
    </w:pPr>
    <w:rPr>
      <w:rFonts w:ascii="宋体" w:hAnsi="宋体"/>
      <w:kern w:val="0"/>
      <w:sz w:val="27"/>
      <w:szCs w:val="27"/>
    </w:rPr>
  </w:style>
  <w:style w:type="paragraph" w:styleId="6">
    <w:name w:val="heading 4"/>
    <w:basedOn w:val="5"/>
    <w:next w:val="7"/>
    <w:link w:val="71"/>
    <w:qFormat/>
    <w:uiPriority w:val="0"/>
    <w:pPr>
      <w:keepNext/>
      <w:keepLines/>
      <w:widowControl w:val="0"/>
      <w:spacing w:beforeLines="50" w:afterLines="50" w:line="360" w:lineRule="auto"/>
      <w:ind w:left="284" w:hanging="284"/>
      <w:outlineLvl w:val="3"/>
    </w:pPr>
    <w:rPr>
      <w:rFonts w:ascii="Arial" w:hAnsi="Arial"/>
      <w:color w:val="000000"/>
      <w:sz w:val="20"/>
      <w:szCs w:val="21"/>
    </w:rPr>
  </w:style>
  <w:style w:type="paragraph" w:styleId="8">
    <w:name w:val="heading 5"/>
    <w:basedOn w:val="6"/>
    <w:next w:val="7"/>
    <w:link w:val="72"/>
    <w:qFormat/>
    <w:uiPriority w:val="0"/>
    <w:pPr>
      <w:spacing w:line="240" w:lineRule="exact"/>
      <w:outlineLvl w:val="4"/>
    </w:pPr>
  </w:style>
  <w:style w:type="paragraph" w:styleId="9">
    <w:name w:val="heading 6"/>
    <w:basedOn w:val="1"/>
    <w:next w:val="1"/>
    <w:link w:val="73"/>
    <w:qFormat/>
    <w:uiPriority w:val="0"/>
    <w:pPr>
      <w:keepNext/>
      <w:keepLines/>
      <w:spacing w:before="240" w:after="64" w:line="320" w:lineRule="auto"/>
      <w:outlineLvl w:val="5"/>
    </w:pPr>
    <w:rPr>
      <w:rFonts w:ascii="Arial" w:hAnsi="Arial" w:eastAsia="黑体"/>
      <w:b/>
      <w:bCs/>
      <w:kern w:val="0"/>
      <w:sz w:val="24"/>
      <w:szCs w:val="24"/>
    </w:rPr>
  </w:style>
  <w:style w:type="paragraph" w:styleId="10">
    <w:name w:val="heading 7"/>
    <w:basedOn w:val="1"/>
    <w:next w:val="7"/>
    <w:link w:val="74"/>
    <w:qFormat/>
    <w:uiPriority w:val="0"/>
    <w:pPr>
      <w:keepNext/>
      <w:keepLines/>
      <w:spacing w:before="240" w:after="64" w:line="320" w:lineRule="auto"/>
      <w:outlineLvl w:val="6"/>
    </w:pPr>
    <w:rPr>
      <w:rFonts w:ascii="Times New Roman" w:hAnsi="Times New Roman"/>
      <w:b/>
      <w:kern w:val="0"/>
      <w:sz w:val="24"/>
      <w:szCs w:val="20"/>
    </w:rPr>
  </w:style>
  <w:style w:type="paragraph" w:styleId="11">
    <w:name w:val="heading 8"/>
    <w:basedOn w:val="1"/>
    <w:next w:val="7"/>
    <w:link w:val="75"/>
    <w:qFormat/>
    <w:uiPriority w:val="0"/>
    <w:pPr>
      <w:keepNext/>
      <w:keepLines/>
      <w:spacing w:before="240" w:after="64" w:line="320" w:lineRule="auto"/>
      <w:outlineLvl w:val="7"/>
    </w:pPr>
    <w:rPr>
      <w:rFonts w:ascii="Arial" w:hAnsi="Arial" w:eastAsia="黑体"/>
      <w:kern w:val="0"/>
      <w:sz w:val="24"/>
      <w:szCs w:val="20"/>
    </w:rPr>
  </w:style>
  <w:style w:type="paragraph" w:styleId="12">
    <w:name w:val="heading 9"/>
    <w:basedOn w:val="1"/>
    <w:next w:val="7"/>
    <w:link w:val="76"/>
    <w:qFormat/>
    <w:uiPriority w:val="0"/>
    <w:pPr>
      <w:keepNext/>
      <w:keepLines/>
      <w:spacing w:before="240" w:after="64" w:line="320" w:lineRule="auto"/>
      <w:outlineLvl w:val="8"/>
    </w:pPr>
    <w:rPr>
      <w:rFonts w:ascii="Arial" w:hAnsi="Arial" w:eastAsia="黑体"/>
      <w:kern w:val="0"/>
      <w:sz w:val="20"/>
      <w:szCs w:val="20"/>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3">
    <w:name w:val="Title"/>
    <w:basedOn w:val="1"/>
    <w:link w:val="80"/>
    <w:qFormat/>
    <w:uiPriority w:val="0"/>
    <w:pPr>
      <w:spacing w:before="120" w:after="60"/>
      <w:jc w:val="center"/>
    </w:pPr>
    <w:rPr>
      <w:rFonts w:ascii="Arial" w:hAnsi="Arial"/>
      <w:b/>
      <w:sz w:val="44"/>
      <w:szCs w:val="20"/>
    </w:rPr>
  </w:style>
  <w:style w:type="paragraph" w:styleId="7">
    <w:name w:val="Normal Indent"/>
    <w:basedOn w:val="1"/>
    <w:next w:val="1"/>
    <w:link w:val="114"/>
    <w:qFormat/>
    <w:uiPriority w:val="0"/>
    <w:pPr>
      <w:ind w:firstLine="420"/>
    </w:pPr>
    <w:rPr>
      <w:rFonts w:ascii="Times New Roman" w:hAnsi="Times New Roman" w:cstheme="minorBidi"/>
    </w:rPr>
  </w:style>
  <w:style w:type="paragraph" w:styleId="13">
    <w:name w:val="toc 7"/>
    <w:basedOn w:val="1"/>
    <w:next w:val="1"/>
    <w:qFormat/>
    <w:uiPriority w:val="0"/>
    <w:pPr>
      <w:ind w:left="1200" w:leftChars="1200"/>
    </w:pPr>
    <w:rPr>
      <w:rFonts w:ascii="Times New Roman" w:hAnsi="Times New Roman"/>
    </w:rPr>
  </w:style>
  <w:style w:type="paragraph" w:styleId="14">
    <w:name w:val="index 8"/>
    <w:basedOn w:val="1"/>
    <w:next w:val="1"/>
    <w:unhideWhenUsed/>
    <w:qFormat/>
    <w:uiPriority w:val="99"/>
    <w:pPr>
      <w:ind w:left="1400" w:leftChars="1400"/>
    </w:pPr>
  </w:style>
  <w:style w:type="paragraph" w:styleId="15">
    <w:name w:val="caption"/>
    <w:basedOn w:val="1"/>
    <w:next w:val="1"/>
    <w:qFormat/>
    <w:uiPriority w:val="0"/>
    <w:rPr>
      <w:rFonts w:ascii="Arial" w:hAnsi="Arial" w:eastAsia="黑体" w:cs="Arial"/>
      <w:sz w:val="20"/>
      <w:szCs w:val="20"/>
    </w:rPr>
  </w:style>
  <w:style w:type="paragraph" w:styleId="16">
    <w:name w:val="List Bullet"/>
    <w:basedOn w:val="1"/>
    <w:qFormat/>
    <w:uiPriority w:val="0"/>
    <w:pPr>
      <w:tabs>
        <w:tab w:val="left" w:pos="360"/>
      </w:tabs>
      <w:ind w:left="360" w:hanging="360"/>
    </w:pPr>
    <w:rPr>
      <w:rFonts w:ascii="Times New Roman" w:hAnsi="Times New Roman"/>
      <w:szCs w:val="24"/>
    </w:rPr>
  </w:style>
  <w:style w:type="paragraph" w:styleId="17">
    <w:name w:val="Document Map"/>
    <w:basedOn w:val="1"/>
    <w:link w:val="140"/>
    <w:qFormat/>
    <w:uiPriority w:val="0"/>
    <w:pPr>
      <w:shd w:val="clear" w:color="auto" w:fill="000080"/>
    </w:pPr>
    <w:rPr>
      <w:rFonts w:ascii="Times New Roman" w:hAnsi="Times New Roman"/>
      <w:szCs w:val="20"/>
      <w:shd w:val="clear" w:color="auto" w:fill="000080"/>
    </w:rPr>
  </w:style>
  <w:style w:type="paragraph" w:styleId="18">
    <w:name w:val="annotation text"/>
    <w:basedOn w:val="1"/>
    <w:link w:val="93"/>
    <w:qFormat/>
    <w:uiPriority w:val="0"/>
    <w:pPr>
      <w:spacing w:line="360" w:lineRule="auto"/>
      <w:ind w:firstLine="523" w:firstLineChars="218"/>
      <w:jc w:val="left"/>
    </w:pPr>
    <w:rPr>
      <w:rFonts w:ascii="宋体" w:hAnsi="宋体"/>
      <w:sz w:val="24"/>
      <w:szCs w:val="24"/>
    </w:rPr>
  </w:style>
  <w:style w:type="paragraph" w:styleId="19">
    <w:name w:val="Body Text 3"/>
    <w:basedOn w:val="1"/>
    <w:link w:val="165"/>
    <w:qFormat/>
    <w:uiPriority w:val="0"/>
    <w:rPr>
      <w:rFonts w:ascii="宋体" w:hAnsi="宋体"/>
      <w:sz w:val="24"/>
      <w:szCs w:val="20"/>
    </w:rPr>
  </w:style>
  <w:style w:type="paragraph" w:styleId="20">
    <w:name w:val="Body Text"/>
    <w:basedOn w:val="1"/>
    <w:link w:val="119"/>
    <w:qFormat/>
    <w:uiPriority w:val="99"/>
    <w:pPr>
      <w:spacing w:after="120"/>
    </w:pPr>
    <w:rPr>
      <w:rFonts w:ascii="Times New Roman" w:hAnsi="Times New Roman"/>
      <w:szCs w:val="20"/>
    </w:rPr>
  </w:style>
  <w:style w:type="paragraph" w:styleId="21">
    <w:name w:val="Body Text Indent"/>
    <w:basedOn w:val="1"/>
    <w:link w:val="135"/>
    <w:qFormat/>
    <w:uiPriority w:val="0"/>
    <w:pPr>
      <w:ind w:firstLine="570"/>
    </w:pPr>
    <w:rPr>
      <w:rFonts w:ascii="Times New Roman" w:hAnsi="Times New Roman"/>
      <w:sz w:val="28"/>
      <w:szCs w:val="20"/>
    </w:rPr>
  </w:style>
  <w:style w:type="paragraph" w:styleId="22">
    <w:name w:val="List 2"/>
    <w:basedOn w:val="1"/>
    <w:qFormat/>
    <w:uiPriority w:val="0"/>
    <w:pPr>
      <w:ind w:left="200" w:leftChars="200" w:hanging="200" w:hangingChars="200"/>
    </w:pPr>
    <w:rPr>
      <w:rFonts w:ascii="Times New Roman" w:hAnsi="Times New Roman" w:eastAsia="楷体_GB2312"/>
      <w:szCs w:val="20"/>
    </w:rPr>
  </w:style>
  <w:style w:type="paragraph" w:styleId="23">
    <w:name w:val="List Bullet 2"/>
    <w:basedOn w:val="16"/>
    <w:qFormat/>
    <w:uiPriority w:val="0"/>
    <w:pPr>
      <w:widowControl/>
      <w:tabs>
        <w:tab w:val="left" w:pos="432"/>
        <w:tab w:val="clear" w:pos="360"/>
      </w:tabs>
      <w:spacing w:after="220" w:line="220" w:lineRule="atLeast"/>
      <w:ind w:left="2160" w:right="720" w:hanging="432"/>
      <w:jc w:val="left"/>
    </w:pPr>
    <w:rPr>
      <w:kern w:val="0"/>
      <w:szCs w:val="20"/>
    </w:rPr>
  </w:style>
  <w:style w:type="paragraph" w:styleId="24">
    <w:name w:val="toc 5"/>
    <w:basedOn w:val="1"/>
    <w:next w:val="1"/>
    <w:qFormat/>
    <w:uiPriority w:val="0"/>
    <w:pPr>
      <w:ind w:left="800" w:leftChars="800"/>
    </w:pPr>
    <w:rPr>
      <w:rFonts w:ascii="Times New Roman" w:hAnsi="Times New Roman"/>
    </w:rPr>
  </w:style>
  <w:style w:type="paragraph" w:styleId="25">
    <w:name w:val="toc 3"/>
    <w:basedOn w:val="1"/>
    <w:next w:val="1"/>
    <w:qFormat/>
    <w:uiPriority w:val="39"/>
    <w:pPr>
      <w:snapToGrid w:val="0"/>
      <w:spacing w:line="360" w:lineRule="auto"/>
      <w:ind w:left="400" w:leftChars="400"/>
      <w:jc w:val="left"/>
    </w:pPr>
    <w:rPr>
      <w:rFonts w:ascii="Times New Roman" w:hAnsi="Times New Roman"/>
      <w:sz w:val="24"/>
      <w:szCs w:val="20"/>
    </w:rPr>
  </w:style>
  <w:style w:type="paragraph" w:styleId="26">
    <w:name w:val="Plain Text"/>
    <w:basedOn w:val="1"/>
    <w:next w:val="1"/>
    <w:link w:val="151"/>
    <w:qFormat/>
    <w:uiPriority w:val="0"/>
    <w:rPr>
      <w:rFonts w:ascii="宋体" w:hAnsi="Courier New"/>
      <w:szCs w:val="20"/>
    </w:rPr>
  </w:style>
  <w:style w:type="paragraph" w:styleId="27">
    <w:name w:val="toc 8"/>
    <w:basedOn w:val="1"/>
    <w:next w:val="1"/>
    <w:qFormat/>
    <w:uiPriority w:val="0"/>
    <w:pPr>
      <w:ind w:left="1400" w:leftChars="1400"/>
    </w:pPr>
    <w:rPr>
      <w:rFonts w:ascii="Times New Roman" w:hAnsi="Times New Roman"/>
    </w:rPr>
  </w:style>
  <w:style w:type="paragraph" w:styleId="28">
    <w:name w:val="Date"/>
    <w:basedOn w:val="1"/>
    <w:next w:val="1"/>
    <w:link w:val="120"/>
    <w:qFormat/>
    <w:uiPriority w:val="0"/>
    <w:rPr>
      <w:rFonts w:ascii="Times New Roman" w:hAnsi="Times New Roman"/>
      <w:szCs w:val="20"/>
    </w:rPr>
  </w:style>
  <w:style w:type="paragraph" w:styleId="29">
    <w:name w:val="Body Text Indent 2"/>
    <w:basedOn w:val="1"/>
    <w:link w:val="136"/>
    <w:qFormat/>
    <w:uiPriority w:val="0"/>
    <w:pPr>
      <w:spacing w:line="400" w:lineRule="exact"/>
      <w:ind w:left="425"/>
    </w:pPr>
    <w:rPr>
      <w:rFonts w:ascii="Times New Roman" w:hAnsi="Times New Roman"/>
      <w:color w:val="000000"/>
      <w:sz w:val="24"/>
      <w:szCs w:val="20"/>
    </w:rPr>
  </w:style>
  <w:style w:type="paragraph" w:styleId="30">
    <w:name w:val="endnote text"/>
    <w:basedOn w:val="1"/>
    <w:link w:val="137"/>
    <w:qFormat/>
    <w:uiPriority w:val="0"/>
    <w:pPr>
      <w:snapToGrid w:val="0"/>
      <w:jc w:val="left"/>
    </w:pPr>
    <w:rPr>
      <w:rFonts w:ascii="Times New Roman" w:hAnsi="Times New Roman"/>
      <w:szCs w:val="20"/>
    </w:rPr>
  </w:style>
  <w:style w:type="paragraph" w:styleId="31">
    <w:name w:val="Balloon Text"/>
    <w:basedOn w:val="1"/>
    <w:link w:val="130"/>
    <w:qFormat/>
    <w:uiPriority w:val="99"/>
    <w:rPr>
      <w:rFonts w:ascii="Times New Roman" w:hAnsi="Times New Roman"/>
      <w:sz w:val="18"/>
      <w:szCs w:val="18"/>
    </w:rPr>
  </w:style>
  <w:style w:type="paragraph" w:styleId="32">
    <w:name w:val="footer"/>
    <w:basedOn w:val="1"/>
    <w:link w:val="67"/>
    <w:unhideWhenUsed/>
    <w:qFormat/>
    <w:uiPriority w:val="99"/>
    <w:pPr>
      <w:tabs>
        <w:tab w:val="center" w:pos="4153"/>
        <w:tab w:val="right" w:pos="8306"/>
      </w:tabs>
      <w:snapToGrid w:val="0"/>
      <w:jc w:val="left"/>
    </w:pPr>
    <w:rPr>
      <w:sz w:val="18"/>
      <w:szCs w:val="18"/>
    </w:rPr>
  </w:style>
  <w:style w:type="paragraph" w:styleId="33">
    <w:name w:val="envelope return"/>
    <w:basedOn w:val="1"/>
    <w:qFormat/>
    <w:uiPriority w:val="0"/>
    <w:pPr>
      <w:snapToGrid w:val="0"/>
    </w:pPr>
    <w:rPr>
      <w:rFonts w:ascii="Arial" w:hAnsi="Arial"/>
      <w:szCs w:val="24"/>
    </w:rPr>
  </w:style>
  <w:style w:type="paragraph" w:styleId="34">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35">
    <w:name w:val="toc 1"/>
    <w:basedOn w:val="1"/>
    <w:next w:val="1"/>
    <w:qFormat/>
    <w:uiPriority w:val="39"/>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36">
    <w:name w:val="toc 4"/>
    <w:basedOn w:val="1"/>
    <w:next w:val="1"/>
    <w:qFormat/>
    <w:uiPriority w:val="0"/>
    <w:pPr>
      <w:ind w:left="600" w:leftChars="600"/>
    </w:pPr>
    <w:rPr>
      <w:rFonts w:ascii="Times New Roman" w:hAnsi="Times New Roman"/>
    </w:rPr>
  </w:style>
  <w:style w:type="paragraph" w:styleId="37">
    <w:name w:val="Subtitle"/>
    <w:basedOn w:val="1"/>
    <w:next w:val="1"/>
    <w:link w:val="157"/>
    <w:qFormat/>
    <w:uiPriority w:val="0"/>
    <w:pPr>
      <w:widowControl/>
      <w:spacing w:after="60"/>
      <w:jc w:val="center"/>
      <w:outlineLvl w:val="1"/>
    </w:pPr>
    <w:rPr>
      <w:rFonts w:ascii="Arial" w:hAnsi="Arial" w:eastAsia="黑体"/>
      <w:b/>
      <w:bCs/>
      <w:sz w:val="32"/>
      <w:szCs w:val="32"/>
    </w:rPr>
  </w:style>
  <w:style w:type="paragraph" w:styleId="38">
    <w:name w:val="List"/>
    <w:basedOn w:val="20"/>
    <w:qFormat/>
    <w:uiPriority w:val="0"/>
    <w:pPr>
      <w:suppressAutoHyphens/>
      <w:spacing w:after="0"/>
    </w:pPr>
    <w:rPr>
      <w:rFonts w:hAnsi="Calibri" w:eastAsia="黑体"/>
      <w:sz w:val="24"/>
      <w:lang w:eastAsia="ar-SA"/>
    </w:rPr>
  </w:style>
  <w:style w:type="paragraph" w:styleId="39">
    <w:name w:val="footnote text"/>
    <w:basedOn w:val="1"/>
    <w:link w:val="100"/>
    <w:qFormat/>
    <w:uiPriority w:val="0"/>
    <w:pPr>
      <w:snapToGrid w:val="0"/>
      <w:spacing w:line="360" w:lineRule="auto"/>
      <w:ind w:firstLine="523" w:firstLineChars="218"/>
      <w:jc w:val="left"/>
    </w:pPr>
    <w:rPr>
      <w:rFonts w:ascii="宋体" w:hAnsi="宋体"/>
      <w:sz w:val="18"/>
      <w:szCs w:val="18"/>
    </w:rPr>
  </w:style>
  <w:style w:type="paragraph" w:styleId="40">
    <w:name w:val="toc 6"/>
    <w:basedOn w:val="1"/>
    <w:next w:val="1"/>
    <w:qFormat/>
    <w:uiPriority w:val="0"/>
    <w:pPr>
      <w:ind w:left="1000" w:leftChars="1000"/>
    </w:pPr>
    <w:rPr>
      <w:rFonts w:ascii="Times New Roman" w:hAnsi="Times New Roman"/>
    </w:rPr>
  </w:style>
  <w:style w:type="paragraph" w:styleId="41">
    <w:name w:val="Body Text Indent 3"/>
    <w:basedOn w:val="1"/>
    <w:link w:val="112"/>
    <w:qFormat/>
    <w:uiPriority w:val="0"/>
    <w:pPr>
      <w:tabs>
        <w:tab w:val="left" w:pos="0"/>
      </w:tabs>
      <w:spacing w:line="400" w:lineRule="exact"/>
      <w:ind w:left="563" w:leftChars="228" w:hanging="84" w:hangingChars="35"/>
    </w:pPr>
    <w:rPr>
      <w:rFonts w:ascii="Times New Roman" w:hAnsi="Times New Roman"/>
      <w:color w:val="000000"/>
      <w:sz w:val="24"/>
      <w:szCs w:val="20"/>
    </w:rPr>
  </w:style>
  <w:style w:type="paragraph" w:styleId="42">
    <w:name w:val="table of figures"/>
    <w:basedOn w:val="1"/>
    <w:next w:val="1"/>
    <w:qFormat/>
    <w:uiPriority w:val="0"/>
    <w:pPr>
      <w:ind w:left="200" w:leftChars="200" w:hanging="200" w:hangingChars="200"/>
    </w:pPr>
    <w:rPr>
      <w:rFonts w:ascii="Times New Roman" w:hAnsi="Times New Roman"/>
    </w:rPr>
  </w:style>
  <w:style w:type="paragraph" w:styleId="43">
    <w:name w:val="toc 2"/>
    <w:basedOn w:val="1"/>
    <w:next w:val="1"/>
    <w:qFormat/>
    <w:uiPriority w:val="39"/>
    <w:pPr>
      <w:tabs>
        <w:tab w:val="right" w:leader="dot" w:pos="9060"/>
      </w:tabs>
      <w:snapToGrid w:val="0"/>
      <w:spacing w:line="360" w:lineRule="auto"/>
      <w:ind w:left="420" w:leftChars="200"/>
      <w:jc w:val="left"/>
    </w:pPr>
    <w:rPr>
      <w:rFonts w:ascii="Times New Roman" w:hAnsi="Times New Roman"/>
      <w:sz w:val="24"/>
      <w:szCs w:val="24"/>
    </w:rPr>
  </w:style>
  <w:style w:type="paragraph" w:styleId="44">
    <w:name w:val="toc 9"/>
    <w:basedOn w:val="1"/>
    <w:next w:val="1"/>
    <w:qFormat/>
    <w:uiPriority w:val="0"/>
    <w:pPr>
      <w:ind w:left="1600" w:leftChars="1600"/>
    </w:pPr>
    <w:rPr>
      <w:rFonts w:ascii="Times New Roman" w:hAnsi="Times New Roman"/>
    </w:rPr>
  </w:style>
  <w:style w:type="paragraph" w:styleId="45">
    <w:name w:val="Body Text 2"/>
    <w:basedOn w:val="1"/>
    <w:link w:val="139"/>
    <w:qFormat/>
    <w:uiPriority w:val="0"/>
    <w:rPr>
      <w:rFonts w:ascii="宋体" w:hAnsi="宋体"/>
      <w:szCs w:val="24"/>
      <w:u w:val="single"/>
    </w:rPr>
  </w:style>
  <w:style w:type="paragraph" w:styleId="4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47">
    <w:name w:val="index 1"/>
    <w:basedOn w:val="1"/>
    <w:next w:val="1"/>
    <w:qFormat/>
    <w:uiPriority w:val="0"/>
    <w:rPr>
      <w:rFonts w:ascii="Times New Roman" w:hAnsi="Times New Roman" w:eastAsia="仿宋_GB2312"/>
      <w:sz w:val="28"/>
      <w:szCs w:val="20"/>
    </w:rPr>
  </w:style>
  <w:style w:type="paragraph" w:styleId="48">
    <w:name w:val="annotation subject"/>
    <w:basedOn w:val="18"/>
    <w:next w:val="18"/>
    <w:link w:val="129"/>
    <w:qFormat/>
    <w:uiPriority w:val="0"/>
    <w:rPr>
      <w:b/>
      <w:bCs/>
    </w:rPr>
  </w:style>
  <w:style w:type="paragraph" w:styleId="49">
    <w:name w:val="Body Text First Indent"/>
    <w:basedOn w:val="20"/>
    <w:link w:val="87"/>
    <w:qFormat/>
    <w:uiPriority w:val="0"/>
    <w:pPr>
      <w:ind w:firstLine="420"/>
    </w:pPr>
    <w:rPr>
      <w:rFonts w:asciiTheme="minorHAnsi" w:hAnsiTheme="minorHAnsi" w:eastAsiaTheme="minorEastAsia" w:cstheme="minorBidi"/>
      <w:szCs w:val="22"/>
    </w:rPr>
  </w:style>
  <w:style w:type="paragraph" w:styleId="50">
    <w:name w:val="Body Text First Indent 2"/>
    <w:basedOn w:val="21"/>
    <w:qFormat/>
    <w:uiPriority w:val="0"/>
    <w:pPr>
      <w:spacing w:after="120"/>
      <w:ind w:left="200" w:leftChars="200" w:firstLine="200" w:firstLineChars="200"/>
    </w:pPr>
    <w:rPr>
      <w:rFonts w:ascii="Calibri" w:hAnsi="Calibri"/>
      <w:color w:val="0D0D0D"/>
      <w:sz w:val="21"/>
      <w:szCs w:val="24"/>
      <w:lang w:eastAsia="en-US"/>
    </w:r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0"/>
    <w:rPr>
      <w:b/>
      <w:bCs/>
    </w:rPr>
  </w:style>
  <w:style w:type="character" w:styleId="55">
    <w:name w:val="endnote reference"/>
    <w:qFormat/>
    <w:uiPriority w:val="0"/>
    <w:rPr>
      <w:vertAlign w:val="superscript"/>
    </w:rPr>
  </w:style>
  <w:style w:type="character" w:styleId="56">
    <w:name w:val="page number"/>
    <w:basedOn w:val="53"/>
    <w:qFormat/>
    <w:uiPriority w:val="0"/>
    <w:rPr>
      <w:rFonts w:cs="Times New Roman"/>
    </w:rPr>
  </w:style>
  <w:style w:type="character" w:styleId="57">
    <w:name w:val="FollowedHyperlink"/>
    <w:basedOn w:val="53"/>
    <w:unhideWhenUsed/>
    <w:qFormat/>
    <w:uiPriority w:val="0"/>
    <w:rPr>
      <w:color w:val="800080" w:themeColor="followedHyperlink"/>
      <w:u w:val="single"/>
      <w14:textFill>
        <w14:solidFill>
          <w14:schemeClr w14:val="folHlink"/>
        </w14:solidFill>
      </w14:textFill>
    </w:rPr>
  </w:style>
  <w:style w:type="character" w:styleId="58">
    <w:name w:val="Emphasis"/>
    <w:qFormat/>
    <w:uiPriority w:val="0"/>
    <w:rPr>
      <w:color w:val="CC0000"/>
    </w:rPr>
  </w:style>
  <w:style w:type="character" w:styleId="59">
    <w:name w:val="HTML Definition"/>
    <w:basedOn w:val="53"/>
    <w:semiHidden/>
    <w:unhideWhenUsed/>
    <w:qFormat/>
    <w:uiPriority w:val="99"/>
    <w:rPr>
      <w:i/>
      <w:iCs/>
    </w:rPr>
  </w:style>
  <w:style w:type="character" w:styleId="60">
    <w:name w:val="Hyperlink"/>
    <w:qFormat/>
    <w:uiPriority w:val="99"/>
    <w:rPr>
      <w:color w:val="0000FF"/>
      <w:u w:val="single"/>
    </w:rPr>
  </w:style>
  <w:style w:type="character" w:styleId="61">
    <w:name w:val="HTML Code"/>
    <w:basedOn w:val="53"/>
    <w:semiHidden/>
    <w:unhideWhenUsed/>
    <w:qFormat/>
    <w:uiPriority w:val="99"/>
    <w:rPr>
      <w:rFonts w:hint="default" w:ascii="Consolas" w:hAnsi="Consolas" w:eastAsia="Consolas" w:cs="Consolas"/>
      <w:color w:val="C7254E"/>
      <w:sz w:val="21"/>
      <w:szCs w:val="21"/>
      <w:bdr w:val="single" w:color="E1E1E1" w:sz="6" w:space="0"/>
      <w:shd w:val="clear" w:fill="F9F2F4"/>
    </w:rPr>
  </w:style>
  <w:style w:type="character" w:styleId="62">
    <w:name w:val="annotation reference"/>
    <w:qFormat/>
    <w:uiPriority w:val="0"/>
    <w:rPr>
      <w:sz w:val="21"/>
      <w:szCs w:val="21"/>
    </w:rPr>
  </w:style>
  <w:style w:type="character" w:styleId="63">
    <w:name w:val="footnote reference"/>
    <w:qFormat/>
    <w:uiPriority w:val="0"/>
    <w:rPr>
      <w:vertAlign w:val="superscript"/>
    </w:rPr>
  </w:style>
  <w:style w:type="character" w:styleId="64">
    <w:name w:val="HTML Keyboard"/>
    <w:basedOn w:val="53"/>
    <w:semiHidden/>
    <w:unhideWhenUsed/>
    <w:qFormat/>
    <w:uiPriority w:val="99"/>
    <w:rPr>
      <w:rFonts w:hint="default" w:ascii="Consolas" w:hAnsi="Consolas" w:eastAsia="Consolas" w:cs="Consolas"/>
      <w:color w:val="FFFFFF"/>
      <w:sz w:val="21"/>
      <w:szCs w:val="21"/>
      <w:shd w:val="clear" w:fill="333333"/>
    </w:rPr>
  </w:style>
  <w:style w:type="character" w:styleId="65">
    <w:name w:val="HTML Sample"/>
    <w:basedOn w:val="53"/>
    <w:semiHidden/>
    <w:unhideWhenUsed/>
    <w:qFormat/>
    <w:uiPriority w:val="99"/>
    <w:rPr>
      <w:rFonts w:ascii="Consolas" w:hAnsi="Consolas" w:eastAsia="Consolas" w:cs="Consolas"/>
      <w:sz w:val="21"/>
      <w:szCs w:val="21"/>
    </w:rPr>
  </w:style>
  <w:style w:type="character" w:customStyle="1" w:styleId="66">
    <w:name w:val="页眉 字符1"/>
    <w:basedOn w:val="53"/>
    <w:link w:val="34"/>
    <w:qFormat/>
    <w:uiPriority w:val="0"/>
    <w:rPr>
      <w:sz w:val="18"/>
      <w:szCs w:val="18"/>
    </w:rPr>
  </w:style>
  <w:style w:type="character" w:customStyle="1" w:styleId="67">
    <w:name w:val="页脚 字符1"/>
    <w:basedOn w:val="53"/>
    <w:link w:val="32"/>
    <w:qFormat/>
    <w:uiPriority w:val="0"/>
    <w:rPr>
      <w:sz w:val="18"/>
      <w:szCs w:val="18"/>
    </w:rPr>
  </w:style>
  <w:style w:type="character" w:customStyle="1" w:styleId="68">
    <w:name w:val="标题 1 字符1"/>
    <w:basedOn w:val="53"/>
    <w:qFormat/>
    <w:uiPriority w:val="0"/>
    <w:rPr>
      <w:rFonts w:ascii="宋体" w:hAnsi="宋体" w:eastAsia="宋体" w:cs="宋体"/>
      <w:b/>
      <w:kern w:val="44"/>
      <w:sz w:val="28"/>
      <w:szCs w:val="28"/>
    </w:rPr>
  </w:style>
  <w:style w:type="character" w:customStyle="1" w:styleId="69">
    <w:name w:val="标题 2 字符1"/>
    <w:basedOn w:val="53"/>
    <w:link w:val="4"/>
    <w:qFormat/>
    <w:uiPriority w:val="0"/>
    <w:rPr>
      <w:rFonts w:ascii="宋体" w:hAnsi="宋体" w:eastAsia="宋体" w:cs="宋体"/>
      <w:b/>
      <w:kern w:val="0"/>
      <w:sz w:val="24"/>
      <w:szCs w:val="24"/>
    </w:rPr>
  </w:style>
  <w:style w:type="character" w:customStyle="1" w:styleId="70">
    <w:name w:val="标题 3 字符1"/>
    <w:basedOn w:val="53"/>
    <w:link w:val="5"/>
    <w:qFormat/>
    <w:uiPriority w:val="0"/>
    <w:rPr>
      <w:rFonts w:ascii="宋体" w:hAnsi="宋体" w:eastAsia="宋体" w:cs="Times New Roman"/>
      <w:kern w:val="0"/>
      <w:sz w:val="27"/>
      <w:szCs w:val="27"/>
    </w:rPr>
  </w:style>
  <w:style w:type="character" w:customStyle="1" w:styleId="71">
    <w:name w:val="标题 4 字符1"/>
    <w:basedOn w:val="53"/>
    <w:link w:val="6"/>
    <w:qFormat/>
    <w:uiPriority w:val="0"/>
    <w:rPr>
      <w:rFonts w:ascii="Arial" w:hAnsi="Arial" w:eastAsia="宋体" w:cs="Times New Roman"/>
      <w:color w:val="000000"/>
      <w:kern w:val="0"/>
      <w:sz w:val="20"/>
      <w:szCs w:val="21"/>
    </w:rPr>
  </w:style>
  <w:style w:type="character" w:customStyle="1" w:styleId="72">
    <w:name w:val="标题 5 字符1"/>
    <w:basedOn w:val="53"/>
    <w:link w:val="8"/>
    <w:qFormat/>
    <w:uiPriority w:val="0"/>
    <w:rPr>
      <w:rFonts w:ascii="Arial" w:hAnsi="Arial" w:eastAsia="宋体" w:cs="Times New Roman"/>
      <w:color w:val="000000"/>
      <w:kern w:val="0"/>
      <w:sz w:val="20"/>
      <w:szCs w:val="21"/>
    </w:rPr>
  </w:style>
  <w:style w:type="character" w:customStyle="1" w:styleId="73">
    <w:name w:val="标题 6 字符1"/>
    <w:basedOn w:val="53"/>
    <w:link w:val="9"/>
    <w:qFormat/>
    <w:uiPriority w:val="0"/>
    <w:rPr>
      <w:rFonts w:ascii="Arial" w:hAnsi="Arial" w:eastAsia="黑体" w:cs="Times New Roman"/>
      <w:b/>
      <w:bCs/>
      <w:kern w:val="0"/>
      <w:sz w:val="24"/>
      <w:szCs w:val="24"/>
    </w:rPr>
  </w:style>
  <w:style w:type="character" w:customStyle="1" w:styleId="74">
    <w:name w:val="标题 7 字符1"/>
    <w:basedOn w:val="53"/>
    <w:link w:val="10"/>
    <w:qFormat/>
    <w:uiPriority w:val="0"/>
    <w:rPr>
      <w:rFonts w:ascii="Times New Roman" w:hAnsi="Times New Roman" w:eastAsia="宋体" w:cs="Times New Roman"/>
      <w:b/>
      <w:kern w:val="0"/>
      <w:sz w:val="24"/>
      <w:szCs w:val="20"/>
    </w:rPr>
  </w:style>
  <w:style w:type="character" w:customStyle="1" w:styleId="75">
    <w:name w:val="标题 8 字符1"/>
    <w:basedOn w:val="53"/>
    <w:link w:val="11"/>
    <w:qFormat/>
    <w:uiPriority w:val="0"/>
    <w:rPr>
      <w:rFonts w:ascii="Arial" w:hAnsi="Arial" w:eastAsia="黑体" w:cs="Times New Roman"/>
      <w:kern w:val="0"/>
      <w:sz w:val="24"/>
      <w:szCs w:val="20"/>
    </w:rPr>
  </w:style>
  <w:style w:type="character" w:customStyle="1" w:styleId="76">
    <w:name w:val="标题 9 字符1"/>
    <w:basedOn w:val="53"/>
    <w:link w:val="12"/>
    <w:qFormat/>
    <w:uiPriority w:val="0"/>
    <w:rPr>
      <w:rFonts w:ascii="Arial" w:hAnsi="Arial" w:eastAsia="黑体" w:cs="Times New Roman"/>
      <w:kern w:val="0"/>
      <w:sz w:val="20"/>
      <w:szCs w:val="20"/>
    </w:rPr>
  </w:style>
  <w:style w:type="paragraph" w:customStyle="1" w:styleId="77">
    <w:name w:val="_Style 28"/>
    <w:qFormat/>
    <w:uiPriority w:val="0"/>
    <w:pPr>
      <w:widowControl w:val="0"/>
      <w:jc w:val="both"/>
    </w:pPr>
    <w:rPr>
      <w:rFonts w:ascii="Calibri" w:hAnsi="Calibri" w:eastAsia="宋体" w:cs="Times New Roman"/>
      <w:kern w:val="2"/>
      <w:sz w:val="21"/>
      <w:szCs w:val="22"/>
      <w:lang w:val="en-US" w:eastAsia="zh-CN" w:bidi="ar-SA"/>
    </w:rPr>
  </w:style>
  <w:style w:type="character" w:customStyle="1" w:styleId="78">
    <w:name w:val="正文文本 2 字符"/>
    <w:qFormat/>
    <w:uiPriority w:val="99"/>
    <w:rPr>
      <w:rFonts w:ascii="Calibri" w:hAnsi="Calibri" w:eastAsia="宋体" w:cs="Times New Roman"/>
    </w:rPr>
  </w:style>
  <w:style w:type="character" w:customStyle="1" w:styleId="79">
    <w:name w:val="正文文本缩进 3 字符"/>
    <w:qFormat/>
    <w:uiPriority w:val="99"/>
    <w:rPr>
      <w:rFonts w:ascii="Calibri" w:hAnsi="Calibri" w:eastAsia="宋体" w:cs="Times New Roman"/>
      <w:sz w:val="16"/>
      <w:szCs w:val="16"/>
    </w:rPr>
  </w:style>
  <w:style w:type="character" w:customStyle="1" w:styleId="80">
    <w:name w:val="标题 字符1"/>
    <w:link w:val="3"/>
    <w:qFormat/>
    <w:uiPriority w:val="0"/>
    <w:rPr>
      <w:rFonts w:ascii="Arial" w:hAnsi="Arial" w:eastAsia="宋体" w:cs="Times New Roman"/>
      <w:b/>
      <w:sz w:val="44"/>
      <w:szCs w:val="20"/>
    </w:rPr>
  </w:style>
  <w:style w:type="character" w:customStyle="1" w:styleId="81">
    <w:name w:val="引用 字符"/>
    <w:link w:val="82"/>
    <w:qFormat/>
    <w:uiPriority w:val="0"/>
    <w:rPr>
      <w:i/>
      <w:sz w:val="24"/>
    </w:rPr>
  </w:style>
  <w:style w:type="paragraph" w:styleId="82">
    <w:name w:val="Quote"/>
    <w:basedOn w:val="1"/>
    <w:link w:val="81"/>
    <w:qFormat/>
    <w:uiPriority w:val="0"/>
    <w:rPr>
      <w:rFonts w:asciiTheme="minorHAnsi" w:hAnsiTheme="minorHAnsi" w:eastAsiaTheme="minorEastAsia" w:cstheme="minorBidi"/>
      <w:i/>
      <w:sz w:val="24"/>
    </w:rPr>
  </w:style>
  <w:style w:type="character" w:customStyle="1" w:styleId="83">
    <w:name w:val="正文缩进2格 Char Char"/>
    <w:link w:val="84"/>
    <w:qFormat/>
    <w:uiPriority w:val="0"/>
    <w:rPr>
      <w:rFonts w:ascii="仿宋_GB2312" w:hAnsi="宋体" w:eastAsia="仿宋_GB2312"/>
      <w:sz w:val="31"/>
      <w:szCs w:val="31"/>
    </w:rPr>
  </w:style>
  <w:style w:type="paragraph" w:customStyle="1" w:styleId="84">
    <w:name w:val="正文缩进2格"/>
    <w:basedOn w:val="1"/>
    <w:link w:val="83"/>
    <w:qFormat/>
    <w:uiPriority w:val="0"/>
    <w:pPr>
      <w:widowControl/>
      <w:spacing w:line="600" w:lineRule="exact"/>
      <w:ind w:firstLine="639" w:firstLineChars="206"/>
      <w:jc w:val="left"/>
    </w:pPr>
    <w:rPr>
      <w:rFonts w:ascii="仿宋_GB2312" w:hAnsi="宋体" w:eastAsia="仿宋_GB2312" w:cstheme="minorBidi"/>
      <w:sz w:val="31"/>
      <w:szCs w:val="31"/>
    </w:rPr>
  </w:style>
  <w:style w:type="character" w:customStyle="1" w:styleId="85">
    <w:name w:val="无间隔 字符"/>
    <w:link w:val="86"/>
    <w:qFormat/>
    <w:uiPriority w:val="0"/>
    <w:rPr>
      <w:sz w:val="22"/>
    </w:rPr>
  </w:style>
  <w:style w:type="paragraph" w:styleId="86">
    <w:name w:val="No Spacing"/>
    <w:basedOn w:val="1"/>
    <w:link w:val="85"/>
    <w:qFormat/>
    <w:uiPriority w:val="0"/>
    <w:rPr>
      <w:rFonts w:asciiTheme="minorHAnsi" w:hAnsiTheme="minorHAnsi" w:eastAsiaTheme="minorEastAsia" w:cstheme="minorBidi"/>
      <w:sz w:val="22"/>
    </w:rPr>
  </w:style>
  <w:style w:type="character" w:customStyle="1" w:styleId="87">
    <w:name w:val="正文文本首行缩进 字符1"/>
    <w:link w:val="49"/>
    <w:qFormat/>
    <w:uiPriority w:val="0"/>
  </w:style>
  <w:style w:type="character" w:customStyle="1" w:styleId="88">
    <w:name w:val="!我的正文 Ctr+Q Char Char"/>
    <w:link w:val="89"/>
    <w:qFormat/>
    <w:uiPriority w:val="0"/>
    <w:rPr>
      <w:rFonts w:ascii="Arial" w:hAnsi="Arial"/>
      <w:sz w:val="24"/>
      <w:szCs w:val="21"/>
    </w:rPr>
  </w:style>
  <w:style w:type="paragraph" w:customStyle="1" w:styleId="89">
    <w:name w:val="!我的正文 Ctr+Q"/>
    <w:basedOn w:val="1"/>
    <w:link w:val="88"/>
    <w:qFormat/>
    <w:uiPriority w:val="0"/>
    <w:pPr>
      <w:adjustRightInd w:val="0"/>
      <w:snapToGrid w:val="0"/>
      <w:spacing w:line="360" w:lineRule="auto"/>
      <w:ind w:firstLine="480" w:firstLineChars="200"/>
    </w:pPr>
    <w:rPr>
      <w:rFonts w:ascii="Arial" w:hAnsi="Arial" w:eastAsiaTheme="minorEastAsia" w:cstheme="minorBidi"/>
      <w:sz w:val="24"/>
      <w:szCs w:val="21"/>
    </w:rPr>
  </w:style>
  <w:style w:type="character" w:customStyle="1" w:styleId="90">
    <w:name w:val="样式 Char Char"/>
    <w:link w:val="91"/>
    <w:qFormat/>
    <w:uiPriority w:val="0"/>
    <w:rPr>
      <w:rFonts w:ascii="Arial" w:hAnsi="Arial" w:eastAsia="黑体"/>
      <w:bCs/>
      <w:sz w:val="24"/>
      <w:szCs w:val="32"/>
    </w:rPr>
  </w:style>
  <w:style w:type="paragraph" w:customStyle="1" w:styleId="91">
    <w:name w:val="样式"/>
    <w:basedOn w:val="92"/>
    <w:link w:val="90"/>
    <w:qFormat/>
    <w:uiPriority w:val="0"/>
    <w:pPr>
      <w:tabs>
        <w:tab w:val="left" w:pos="2310"/>
        <w:tab w:val="left" w:pos="2730"/>
      </w:tabs>
      <w:outlineLvl w:val="9"/>
    </w:pPr>
  </w:style>
  <w:style w:type="paragraph" w:customStyle="1" w:styleId="92">
    <w:name w:val="标题5"/>
    <w:basedOn w:val="8"/>
    <w:link w:val="107"/>
    <w:qFormat/>
    <w:uiPriority w:val="0"/>
    <w:pPr>
      <w:keepNext w:val="0"/>
      <w:keepLines w:val="0"/>
      <w:widowControl/>
      <w:tabs>
        <w:tab w:val="left" w:pos="2310"/>
      </w:tabs>
      <w:spacing w:beforeLines="0" w:afterLines="0" w:line="240" w:lineRule="auto"/>
      <w:ind w:left="0" w:firstLine="0"/>
      <w:jc w:val="center"/>
    </w:pPr>
    <w:rPr>
      <w:rFonts w:eastAsia="黑体" w:cstheme="minorBidi"/>
      <w:bCs/>
      <w:color w:val="auto"/>
      <w:kern w:val="2"/>
      <w:sz w:val="24"/>
      <w:szCs w:val="32"/>
    </w:rPr>
  </w:style>
  <w:style w:type="character" w:customStyle="1" w:styleId="93">
    <w:name w:val="批注文字 字符1"/>
    <w:link w:val="18"/>
    <w:qFormat/>
    <w:uiPriority w:val="0"/>
    <w:rPr>
      <w:rFonts w:ascii="宋体" w:hAnsi="宋体" w:eastAsia="宋体" w:cs="Times New Roman"/>
      <w:sz w:val="24"/>
      <w:szCs w:val="24"/>
    </w:rPr>
  </w:style>
  <w:style w:type="character" w:customStyle="1" w:styleId="94">
    <w:name w:val="标题 字符"/>
    <w:qFormat/>
    <w:uiPriority w:val="10"/>
    <w:rPr>
      <w:rFonts w:ascii="等线 Light" w:hAnsi="等线 Light" w:eastAsia="等线 Light" w:cs="Times New Roman"/>
      <w:b/>
      <w:bCs/>
      <w:sz w:val="32"/>
      <w:szCs w:val="32"/>
    </w:rPr>
  </w:style>
  <w:style w:type="character" w:customStyle="1" w:styleId="95">
    <w:name w:val="标提1 Char Char"/>
    <w:link w:val="96"/>
    <w:qFormat/>
    <w:uiPriority w:val="0"/>
    <w:rPr>
      <w:rFonts w:ascii="黑体" w:hAnsi="黑体" w:eastAsia="黑体"/>
      <w:b/>
      <w:kern w:val="44"/>
      <w:sz w:val="24"/>
      <w:szCs w:val="24"/>
    </w:rPr>
  </w:style>
  <w:style w:type="paragraph" w:customStyle="1" w:styleId="96">
    <w:name w:val="标提1"/>
    <w:basedOn w:val="2"/>
    <w:next w:val="1"/>
    <w:link w:val="95"/>
    <w:qFormat/>
    <w:uiPriority w:val="0"/>
    <w:pPr>
      <w:spacing w:after="0" w:line="240" w:lineRule="auto"/>
    </w:pPr>
    <w:rPr>
      <w:rFonts w:ascii="黑体" w:hAnsi="黑体" w:eastAsia="黑体" w:cstheme="minorBidi"/>
      <w:sz w:val="24"/>
      <w:szCs w:val="24"/>
    </w:rPr>
  </w:style>
  <w:style w:type="character" w:customStyle="1" w:styleId="97">
    <w:name w:val="日期 字符"/>
    <w:qFormat/>
    <w:uiPriority w:val="99"/>
    <w:rPr>
      <w:rFonts w:ascii="Calibri" w:hAnsi="Calibri" w:eastAsia="宋体" w:cs="Times New Roman"/>
    </w:rPr>
  </w:style>
  <w:style w:type="character" w:customStyle="1" w:styleId="98">
    <w:name w:val="标题 4 字符"/>
    <w:qFormat/>
    <w:uiPriority w:val="9"/>
    <w:rPr>
      <w:rFonts w:ascii="等线 Light" w:hAnsi="等线 Light" w:eastAsia="等线 Light" w:cs="Times New Roman"/>
      <w:b/>
      <w:bCs/>
      <w:sz w:val="28"/>
      <w:szCs w:val="28"/>
    </w:rPr>
  </w:style>
  <w:style w:type="character" w:customStyle="1" w:styleId="99">
    <w:name w:val="标题 6 字符"/>
    <w:qFormat/>
    <w:uiPriority w:val="9"/>
    <w:rPr>
      <w:rFonts w:ascii="等线 Light" w:hAnsi="等线 Light" w:eastAsia="等线 Light" w:cs="Times New Roman"/>
      <w:b/>
      <w:bCs/>
      <w:sz w:val="24"/>
      <w:szCs w:val="24"/>
    </w:rPr>
  </w:style>
  <w:style w:type="character" w:customStyle="1" w:styleId="100">
    <w:name w:val="脚注文本 字符1"/>
    <w:link w:val="39"/>
    <w:qFormat/>
    <w:uiPriority w:val="0"/>
    <w:rPr>
      <w:rFonts w:ascii="宋体" w:hAnsi="宋体" w:eastAsia="宋体" w:cs="Times New Roman"/>
      <w:sz w:val="18"/>
      <w:szCs w:val="18"/>
    </w:rPr>
  </w:style>
  <w:style w:type="character" w:customStyle="1" w:styleId="101">
    <w:name w:val="正文首行缩进 字符"/>
    <w:qFormat/>
    <w:uiPriority w:val="99"/>
    <w:rPr>
      <w:rFonts w:ascii="Calibri" w:hAnsi="Calibri" w:eastAsia="宋体" w:cs="Times New Roman"/>
    </w:rPr>
  </w:style>
  <w:style w:type="character" w:customStyle="1" w:styleId="102">
    <w:name w:val="正文文本_"/>
    <w:link w:val="103"/>
    <w:qFormat/>
    <w:uiPriority w:val="0"/>
    <w:rPr>
      <w:rFonts w:ascii="MingLiU" w:hAnsi="MingLiU" w:eastAsia="MingLiU"/>
      <w:spacing w:val="20"/>
      <w:shd w:val="clear" w:color="auto" w:fill="FFFFFF"/>
    </w:rPr>
  </w:style>
  <w:style w:type="paragraph" w:customStyle="1" w:styleId="103">
    <w:name w:val="正文文本1"/>
    <w:basedOn w:val="1"/>
    <w:link w:val="102"/>
    <w:qFormat/>
    <w:uiPriority w:val="0"/>
    <w:pPr>
      <w:shd w:val="clear" w:color="auto" w:fill="FFFFFF"/>
      <w:spacing w:before="300" w:line="0" w:lineRule="atLeast"/>
      <w:ind w:hanging="580"/>
      <w:jc w:val="left"/>
    </w:pPr>
    <w:rPr>
      <w:rFonts w:ascii="MingLiU" w:hAnsi="MingLiU" w:eastAsia="MingLiU" w:cstheme="minorBidi"/>
      <w:spacing w:val="20"/>
      <w:shd w:val="clear" w:color="auto" w:fill="FFFFFF"/>
    </w:rPr>
  </w:style>
  <w:style w:type="character" w:customStyle="1" w:styleId="104">
    <w:name w:val="文档结构图 字符"/>
    <w:qFormat/>
    <w:uiPriority w:val="99"/>
    <w:rPr>
      <w:rFonts w:ascii="Microsoft YaHei UI" w:hAnsi="Calibri" w:eastAsia="Microsoft YaHei UI" w:cs="Times New Roman"/>
      <w:sz w:val="18"/>
      <w:szCs w:val="18"/>
    </w:rPr>
  </w:style>
  <w:style w:type="character" w:customStyle="1" w:styleId="105">
    <w:name w:val="标题6 Char Char"/>
    <w:link w:val="106"/>
    <w:qFormat/>
    <w:uiPriority w:val="0"/>
    <w:rPr>
      <w:rFonts w:ascii="宋体" w:hAnsi="宋体" w:eastAsia="黑体"/>
      <w:sz w:val="32"/>
      <w:szCs w:val="32"/>
    </w:rPr>
  </w:style>
  <w:style w:type="paragraph" w:customStyle="1" w:styleId="106">
    <w:name w:val="标题6"/>
    <w:basedOn w:val="1"/>
    <w:link w:val="105"/>
    <w:qFormat/>
    <w:uiPriority w:val="0"/>
    <w:pPr>
      <w:keepNext/>
      <w:keepLines/>
      <w:spacing w:line="400" w:lineRule="exact"/>
      <w:jc w:val="center"/>
      <w:outlineLvl w:val="2"/>
    </w:pPr>
    <w:rPr>
      <w:rFonts w:ascii="宋体" w:hAnsi="宋体" w:eastAsia="黑体" w:cstheme="minorBidi"/>
      <w:sz w:val="32"/>
      <w:szCs w:val="32"/>
    </w:rPr>
  </w:style>
  <w:style w:type="character" w:customStyle="1" w:styleId="107">
    <w:name w:val="标题5 Char Char"/>
    <w:link w:val="92"/>
    <w:qFormat/>
    <w:uiPriority w:val="0"/>
    <w:rPr>
      <w:rFonts w:ascii="Arial" w:hAnsi="Arial" w:eastAsia="黑体"/>
      <w:bCs/>
      <w:sz w:val="24"/>
      <w:szCs w:val="32"/>
    </w:rPr>
  </w:style>
  <w:style w:type="character" w:customStyle="1" w:styleId="108">
    <w:name w:val="标题 1 字符"/>
    <w:qFormat/>
    <w:uiPriority w:val="9"/>
    <w:rPr>
      <w:rFonts w:ascii="Calibri" w:hAnsi="Calibri" w:eastAsia="宋体" w:cs="Times New Roman"/>
      <w:b/>
      <w:bCs/>
      <w:kern w:val="44"/>
      <w:sz w:val="44"/>
      <w:szCs w:val="44"/>
    </w:rPr>
  </w:style>
  <w:style w:type="character" w:customStyle="1" w:styleId="109">
    <w:name w:val="列出段落 Char Char"/>
    <w:link w:val="110"/>
    <w:qFormat/>
    <w:uiPriority w:val="0"/>
  </w:style>
  <w:style w:type="paragraph" w:customStyle="1" w:styleId="110">
    <w:name w:val="列出段落1"/>
    <w:basedOn w:val="1"/>
    <w:link w:val="109"/>
    <w:qFormat/>
    <w:uiPriority w:val="0"/>
    <w:pPr>
      <w:ind w:firstLine="420" w:firstLineChars="200"/>
    </w:pPr>
    <w:rPr>
      <w:rFonts w:asciiTheme="minorHAnsi" w:hAnsiTheme="minorHAnsi" w:eastAsiaTheme="minorEastAsia" w:cstheme="minorBidi"/>
    </w:rPr>
  </w:style>
  <w:style w:type="character" w:customStyle="1" w:styleId="111">
    <w:name w:val="脚注文本 字符"/>
    <w:qFormat/>
    <w:uiPriority w:val="99"/>
    <w:rPr>
      <w:rFonts w:ascii="Calibri" w:hAnsi="Calibri" w:eastAsia="宋体" w:cs="Times New Roman"/>
      <w:sz w:val="18"/>
      <w:szCs w:val="18"/>
    </w:rPr>
  </w:style>
  <w:style w:type="character" w:customStyle="1" w:styleId="112">
    <w:name w:val="正文文本缩进 3 字符1"/>
    <w:link w:val="41"/>
    <w:qFormat/>
    <w:uiPriority w:val="0"/>
    <w:rPr>
      <w:rFonts w:ascii="Times New Roman" w:hAnsi="Times New Roman" w:eastAsia="宋体" w:cs="Times New Roman"/>
      <w:color w:val="000000"/>
      <w:sz w:val="24"/>
      <w:szCs w:val="20"/>
    </w:rPr>
  </w:style>
  <w:style w:type="character" w:customStyle="1" w:styleId="113">
    <w:name w:val="font51"/>
    <w:qFormat/>
    <w:uiPriority w:val="0"/>
    <w:rPr>
      <w:rFonts w:hint="eastAsia" w:ascii="宋体" w:hAnsi="宋体" w:eastAsia="宋体"/>
      <w:color w:val="000000"/>
      <w:sz w:val="24"/>
      <w:szCs w:val="24"/>
      <w:u w:val="none"/>
    </w:rPr>
  </w:style>
  <w:style w:type="character" w:customStyle="1" w:styleId="114">
    <w:name w:val="正文缩进 字符"/>
    <w:link w:val="7"/>
    <w:qFormat/>
    <w:uiPriority w:val="0"/>
    <w:rPr>
      <w:rFonts w:ascii="Times New Roman" w:hAnsi="Times New Roman" w:eastAsia="宋体"/>
    </w:rPr>
  </w:style>
  <w:style w:type="character" w:customStyle="1" w:styleId="115">
    <w:name w:val="明显引用 字符"/>
    <w:link w:val="116"/>
    <w:qFormat/>
    <w:uiPriority w:val="0"/>
    <w:rPr>
      <w:b/>
      <w:i/>
      <w:sz w:val="24"/>
    </w:rPr>
  </w:style>
  <w:style w:type="paragraph" w:styleId="116">
    <w:name w:val="Intense Quote"/>
    <w:basedOn w:val="1"/>
    <w:link w:val="115"/>
    <w:qFormat/>
    <w:uiPriority w:val="0"/>
    <w:rPr>
      <w:rFonts w:asciiTheme="minorHAnsi" w:hAnsiTheme="minorHAnsi" w:eastAsiaTheme="minorEastAsia" w:cstheme="minorBidi"/>
      <w:b/>
      <w:i/>
      <w:sz w:val="24"/>
    </w:rPr>
  </w:style>
  <w:style w:type="character" w:customStyle="1" w:styleId="117">
    <w:name w:val="页脚 字符"/>
    <w:qFormat/>
    <w:uiPriority w:val="99"/>
    <w:rPr>
      <w:rFonts w:ascii="Calibri" w:hAnsi="Calibri" w:eastAsia="宋体" w:cs="Times New Roman"/>
      <w:sz w:val="18"/>
      <w:szCs w:val="18"/>
    </w:rPr>
  </w:style>
  <w:style w:type="character" w:customStyle="1" w:styleId="118">
    <w:name w:val="标题 5 字符"/>
    <w:qFormat/>
    <w:uiPriority w:val="9"/>
    <w:rPr>
      <w:rFonts w:ascii="Calibri" w:hAnsi="Calibri" w:eastAsia="宋体" w:cs="Times New Roman"/>
      <w:b/>
      <w:bCs/>
      <w:sz w:val="28"/>
      <w:szCs w:val="28"/>
    </w:rPr>
  </w:style>
  <w:style w:type="character" w:customStyle="1" w:styleId="119">
    <w:name w:val="正文文本 字符1"/>
    <w:link w:val="20"/>
    <w:qFormat/>
    <w:uiPriority w:val="0"/>
    <w:rPr>
      <w:rFonts w:ascii="Times New Roman" w:hAnsi="Times New Roman" w:eastAsia="宋体" w:cs="Times New Roman"/>
      <w:szCs w:val="20"/>
    </w:rPr>
  </w:style>
  <w:style w:type="character" w:customStyle="1" w:styleId="120">
    <w:name w:val="日期 字符1"/>
    <w:link w:val="28"/>
    <w:qFormat/>
    <w:uiPriority w:val="0"/>
    <w:rPr>
      <w:rFonts w:ascii="Times New Roman" w:hAnsi="Times New Roman" w:eastAsia="宋体" w:cs="Times New Roman"/>
      <w:szCs w:val="20"/>
    </w:rPr>
  </w:style>
  <w:style w:type="character" w:customStyle="1" w:styleId="121">
    <w:name w:val="纯文本 字符"/>
    <w:qFormat/>
    <w:uiPriority w:val="99"/>
    <w:rPr>
      <w:rFonts w:ascii="等线" w:hAnsi="Courier New" w:cs="Courier New"/>
    </w:rPr>
  </w:style>
  <w:style w:type="character" w:customStyle="1" w:styleId="122">
    <w:name w:val="标题 7 字符"/>
    <w:qFormat/>
    <w:uiPriority w:val="9"/>
    <w:rPr>
      <w:rFonts w:ascii="Calibri" w:hAnsi="Calibri" w:eastAsia="宋体" w:cs="Times New Roman"/>
      <w:b/>
      <w:bCs/>
      <w:sz w:val="24"/>
      <w:szCs w:val="24"/>
    </w:rPr>
  </w:style>
  <w:style w:type="character" w:customStyle="1" w:styleId="123">
    <w:name w:val="标题 8 字符"/>
    <w:qFormat/>
    <w:uiPriority w:val="9"/>
    <w:rPr>
      <w:rFonts w:ascii="等线 Light" w:hAnsi="等线 Light" w:eastAsia="等线 Light" w:cs="Times New Roman"/>
      <w:sz w:val="24"/>
      <w:szCs w:val="24"/>
    </w:rPr>
  </w:style>
  <w:style w:type="character" w:customStyle="1" w:styleId="124">
    <w:name w:val="批注框文本 字符"/>
    <w:qFormat/>
    <w:uiPriority w:val="99"/>
    <w:rPr>
      <w:rFonts w:ascii="Calibri" w:hAnsi="Calibri" w:eastAsia="宋体" w:cs="Times New Roman"/>
      <w:sz w:val="18"/>
      <w:szCs w:val="18"/>
    </w:rPr>
  </w:style>
  <w:style w:type="character" w:customStyle="1" w:styleId="125">
    <w:name w:val="正文文本缩进 字符"/>
    <w:qFormat/>
    <w:uiPriority w:val="99"/>
    <w:rPr>
      <w:rFonts w:ascii="Calibri" w:hAnsi="Calibri" w:eastAsia="宋体" w:cs="Times New Roman"/>
    </w:rPr>
  </w:style>
  <w:style w:type="character" w:customStyle="1" w:styleId="126">
    <w:name w:val="正文文本缩进 2 字符"/>
    <w:qFormat/>
    <w:uiPriority w:val="99"/>
    <w:rPr>
      <w:rFonts w:ascii="Calibri" w:hAnsi="Calibri" w:eastAsia="宋体" w:cs="Times New Roman"/>
    </w:rPr>
  </w:style>
  <w:style w:type="character" w:customStyle="1" w:styleId="127">
    <w:name w:val="font11"/>
    <w:basedOn w:val="53"/>
    <w:qFormat/>
    <w:uiPriority w:val="0"/>
    <w:rPr>
      <w:rFonts w:hint="eastAsia" w:ascii="宋体" w:hAnsi="宋体" w:eastAsia="宋体"/>
      <w:color w:val="000000"/>
      <w:sz w:val="24"/>
      <w:szCs w:val="24"/>
      <w:u w:val="single"/>
    </w:rPr>
  </w:style>
  <w:style w:type="character" w:customStyle="1" w:styleId="128">
    <w:name w:val="标题 9 字符"/>
    <w:qFormat/>
    <w:uiPriority w:val="9"/>
    <w:rPr>
      <w:rFonts w:ascii="等线 Light" w:hAnsi="等线 Light" w:eastAsia="等线 Light" w:cs="Times New Roman"/>
      <w:szCs w:val="21"/>
    </w:rPr>
  </w:style>
  <w:style w:type="character" w:customStyle="1" w:styleId="129">
    <w:name w:val="批注主题 字符1"/>
    <w:link w:val="48"/>
    <w:qFormat/>
    <w:uiPriority w:val="0"/>
    <w:rPr>
      <w:rFonts w:ascii="宋体" w:hAnsi="宋体" w:eastAsia="宋体" w:cs="Times New Roman"/>
      <w:b/>
      <w:bCs/>
      <w:sz w:val="24"/>
      <w:szCs w:val="24"/>
    </w:rPr>
  </w:style>
  <w:style w:type="character" w:customStyle="1" w:styleId="130">
    <w:name w:val="批注框文本 字符1"/>
    <w:link w:val="31"/>
    <w:qFormat/>
    <w:uiPriority w:val="0"/>
    <w:rPr>
      <w:rFonts w:ascii="Times New Roman" w:hAnsi="Times New Roman" w:eastAsia="宋体" w:cs="Times New Roman"/>
      <w:sz w:val="18"/>
      <w:szCs w:val="18"/>
    </w:rPr>
  </w:style>
  <w:style w:type="character" w:customStyle="1" w:styleId="131">
    <w:name w:val="标题 3 字符"/>
    <w:qFormat/>
    <w:uiPriority w:val="9"/>
    <w:rPr>
      <w:rFonts w:ascii="Calibri" w:hAnsi="Calibri" w:eastAsia="宋体" w:cs="Times New Roman"/>
      <w:b/>
      <w:bCs/>
      <w:sz w:val="32"/>
      <w:szCs w:val="32"/>
    </w:rPr>
  </w:style>
  <w:style w:type="character" w:customStyle="1" w:styleId="132">
    <w:name w:val="批注文字 字符"/>
    <w:qFormat/>
    <w:uiPriority w:val="99"/>
    <w:rPr>
      <w:rFonts w:ascii="Calibri" w:hAnsi="Calibri" w:eastAsia="宋体" w:cs="Times New Roman"/>
    </w:rPr>
  </w:style>
  <w:style w:type="character" w:customStyle="1" w:styleId="133">
    <w:name w:val="正文文本 (3)_"/>
    <w:link w:val="134"/>
    <w:qFormat/>
    <w:uiPriority w:val="0"/>
    <w:rPr>
      <w:rFonts w:ascii="Arial Unicode MS" w:hAnsi="Arial Unicode MS" w:eastAsia="Arial Unicode MS"/>
      <w:spacing w:val="10"/>
      <w:sz w:val="17"/>
      <w:szCs w:val="17"/>
      <w:shd w:val="clear" w:color="auto" w:fill="FFFFFF"/>
    </w:rPr>
  </w:style>
  <w:style w:type="paragraph" w:customStyle="1" w:styleId="134">
    <w:name w:val="正文文本 (3)"/>
    <w:basedOn w:val="1"/>
    <w:link w:val="133"/>
    <w:qFormat/>
    <w:uiPriority w:val="0"/>
    <w:pPr>
      <w:shd w:val="clear" w:color="auto" w:fill="FFFFFF"/>
      <w:spacing w:after="60" w:line="0" w:lineRule="atLeast"/>
      <w:ind w:hanging="940"/>
      <w:jc w:val="left"/>
    </w:pPr>
    <w:rPr>
      <w:rFonts w:ascii="Arial Unicode MS" w:hAnsi="Arial Unicode MS" w:eastAsia="Arial Unicode MS" w:cstheme="minorBidi"/>
      <w:spacing w:val="10"/>
      <w:sz w:val="17"/>
      <w:szCs w:val="17"/>
      <w:shd w:val="clear" w:color="auto" w:fill="FFFFFF"/>
    </w:rPr>
  </w:style>
  <w:style w:type="character" w:customStyle="1" w:styleId="135">
    <w:name w:val="正文文本缩进 字符1"/>
    <w:link w:val="21"/>
    <w:qFormat/>
    <w:uiPriority w:val="0"/>
    <w:rPr>
      <w:rFonts w:ascii="Times New Roman" w:hAnsi="Times New Roman" w:eastAsia="宋体" w:cs="Times New Roman"/>
      <w:sz w:val="28"/>
      <w:szCs w:val="20"/>
    </w:rPr>
  </w:style>
  <w:style w:type="character" w:customStyle="1" w:styleId="136">
    <w:name w:val="正文文本缩进 2 字符1"/>
    <w:link w:val="29"/>
    <w:qFormat/>
    <w:uiPriority w:val="0"/>
    <w:rPr>
      <w:rFonts w:ascii="Times New Roman" w:hAnsi="Times New Roman" w:eastAsia="宋体" w:cs="Times New Roman"/>
      <w:color w:val="000000"/>
      <w:sz w:val="24"/>
      <w:szCs w:val="20"/>
    </w:rPr>
  </w:style>
  <w:style w:type="character" w:customStyle="1" w:styleId="137">
    <w:name w:val="尾注文本 字符1"/>
    <w:link w:val="30"/>
    <w:qFormat/>
    <w:uiPriority w:val="0"/>
    <w:rPr>
      <w:rFonts w:ascii="Times New Roman" w:hAnsi="Times New Roman" w:eastAsia="宋体" w:cs="Times New Roman"/>
      <w:szCs w:val="20"/>
    </w:rPr>
  </w:style>
  <w:style w:type="character" w:customStyle="1" w:styleId="138">
    <w:name w:val="尾注文本 字符"/>
    <w:qFormat/>
    <w:uiPriority w:val="99"/>
    <w:rPr>
      <w:rFonts w:ascii="Calibri" w:hAnsi="Calibri" w:eastAsia="宋体" w:cs="Times New Roman"/>
    </w:rPr>
  </w:style>
  <w:style w:type="character" w:customStyle="1" w:styleId="139">
    <w:name w:val="正文文本 2 字符1"/>
    <w:link w:val="45"/>
    <w:qFormat/>
    <w:uiPriority w:val="0"/>
    <w:rPr>
      <w:rFonts w:ascii="宋体" w:hAnsi="宋体" w:eastAsia="宋体" w:cs="Times New Roman"/>
      <w:szCs w:val="24"/>
      <w:u w:val="single"/>
    </w:rPr>
  </w:style>
  <w:style w:type="character" w:customStyle="1" w:styleId="140">
    <w:name w:val="文档结构图 字符1"/>
    <w:link w:val="17"/>
    <w:qFormat/>
    <w:uiPriority w:val="0"/>
    <w:rPr>
      <w:rFonts w:ascii="Times New Roman" w:hAnsi="Times New Roman" w:eastAsia="宋体" w:cs="Times New Roman"/>
      <w:szCs w:val="20"/>
      <w:shd w:val="clear" w:color="auto" w:fill="000080"/>
    </w:rPr>
  </w:style>
  <w:style w:type="character" w:customStyle="1" w:styleId="141">
    <w:name w:val="Char Char4"/>
    <w:link w:val="142"/>
    <w:qFormat/>
    <w:uiPriority w:val="0"/>
    <w:rPr>
      <w:rFonts w:ascii="Tahoma" w:hAnsi="Tahoma" w:eastAsia="宋体"/>
      <w:sz w:val="24"/>
    </w:rPr>
  </w:style>
  <w:style w:type="paragraph" w:customStyle="1" w:styleId="142">
    <w:name w:val="Char"/>
    <w:basedOn w:val="1"/>
    <w:link w:val="141"/>
    <w:qFormat/>
    <w:uiPriority w:val="0"/>
    <w:rPr>
      <w:rFonts w:ascii="Tahoma" w:hAnsi="Tahoma" w:cstheme="minorBidi"/>
      <w:sz w:val="24"/>
    </w:rPr>
  </w:style>
  <w:style w:type="character" w:customStyle="1" w:styleId="143">
    <w:name w:val="文一 Char Char"/>
    <w:link w:val="144"/>
    <w:qFormat/>
    <w:uiPriority w:val="0"/>
    <w:rPr>
      <w:rFonts w:ascii="宋体" w:hAnsi="宋体"/>
      <w:spacing w:val="4"/>
      <w:sz w:val="24"/>
      <w:szCs w:val="24"/>
    </w:rPr>
  </w:style>
  <w:style w:type="paragraph" w:customStyle="1" w:styleId="144">
    <w:name w:val="文一"/>
    <w:basedOn w:val="1"/>
    <w:link w:val="143"/>
    <w:qFormat/>
    <w:uiPriority w:val="0"/>
    <w:pPr>
      <w:topLinePunct/>
      <w:adjustRightInd w:val="0"/>
      <w:snapToGrid w:val="0"/>
      <w:spacing w:line="360" w:lineRule="auto"/>
      <w:ind w:firstLine="200" w:firstLineChars="200"/>
    </w:pPr>
    <w:rPr>
      <w:rFonts w:ascii="宋体" w:hAnsi="宋体" w:eastAsiaTheme="minorEastAsia" w:cstheme="minorBidi"/>
      <w:spacing w:val="4"/>
      <w:sz w:val="24"/>
      <w:szCs w:val="24"/>
    </w:rPr>
  </w:style>
  <w:style w:type="character" w:customStyle="1" w:styleId="145">
    <w:name w:val="正文文本 字符"/>
    <w:qFormat/>
    <w:uiPriority w:val="99"/>
    <w:rPr>
      <w:rFonts w:ascii="Calibri" w:hAnsi="Calibri" w:eastAsia="宋体" w:cs="Times New Roman"/>
    </w:rPr>
  </w:style>
  <w:style w:type="character" w:customStyle="1" w:styleId="146">
    <w:name w:val="页眉 字符"/>
    <w:qFormat/>
    <w:uiPriority w:val="99"/>
    <w:rPr>
      <w:rFonts w:ascii="Calibri" w:hAnsi="Calibri" w:eastAsia="宋体" w:cs="Times New Roman"/>
      <w:sz w:val="18"/>
      <w:szCs w:val="18"/>
    </w:rPr>
  </w:style>
  <w:style w:type="character" w:customStyle="1" w:styleId="147">
    <w:name w:val="样式 标题 3h3section:3Level 3 HeadH3level_3PIM 33rd level3H... Char Char"/>
    <w:link w:val="148"/>
    <w:qFormat/>
    <w:uiPriority w:val="0"/>
    <w:rPr>
      <w:rFonts w:ascii="Arial" w:hAnsi="Arial"/>
      <w:b/>
      <w:sz w:val="24"/>
      <w:szCs w:val="28"/>
    </w:rPr>
  </w:style>
  <w:style w:type="paragraph" w:customStyle="1" w:styleId="148">
    <w:name w:val="样式 标题 3h3section:3Level 3 HeadH3level_3PIM 33rd level3H..."/>
    <w:basedOn w:val="5"/>
    <w:link w:val="147"/>
    <w:qFormat/>
    <w:uiPriority w:val="0"/>
    <w:pPr>
      <w:keepNext/>
      <w:tabs>
        <w:tab w:val="left" w:pos="1680"/>
        <w:tab w:val="left" w:pos="2310"/>
      </w:tabs>
      <w:adjustRightInd w:val="0"/>
      <w:spacing w:before="240" w:after="60" w:line="416" w:lineRule="atLeast"/>
      <w:ind w:left="2310" w:hanging="420"/>
    </w:pPr>
    <w:rPr>
      <w:rFonts w:ascii="Arial" w:hAnsi="Arial" w:eastAsiaTheme="minorEastAsia" w:cstheme="minorBidi"/>
      <w:b/>
      <w:kern w:val="2"/>
      <w:sz w:val="24"/>
      <w:szCs w:val="28"/>
    </w:rPr>
  </w:style>
  <w:style w:type="character" w:customStyle="1" w:styleId="149">
    <w:name w:val="批注主题 字符"/>
    <w:qFormat/>
    <w:uiPriority w:val="99"/>
    <w:rPr>
      <w:rFonts w:ascii="Calibri" w:hAnsi="Calibri" w:eastAsia="宋体" w:cs="Times New Roman"/>
      <w:b/>
      <w:bCs/>
    </w:rPr>
  </w:style>
  <w:style w:type="character" w:customStyle="1" w:styleId="150">
    <w:name w:val="标题 2 字符"/>
    <w:qFormat/>
    <w:uiPriority w:val="9"/>
    <w:rPr>
      <w:rFonts w:ascii="等线 Light" w:hAnsi="等线 Light" w:eastAsia="等线 Light" w:cs="Times New Roman"/>
      <w:b/>
      <w:bCs/>
      <w:sz w:val="32"/>
      <w:szCs w:val="32"/>
    </w:rPr>
  </w:style>
  <w:style w:type="character" w:customStyle="1" w:styleId="151">
    <w:name w:val="纯文本 字符1"/>
    <w:link w:val="26"/>
    <w:qFormat/>
    <w:uiPriority w:val="0"/>
    <w:rPr>
      <w:rFonts w:ascii="宋体" w:hAnsi="Courier New" w:eastAsia="宋体" w:cs="Times New Roman"/>
      <w:szCs w:val="20"/>
    </w:rPr>
  </w:style>
  <w:style w:type="character" w:customStyle="1" w:styleId="152">
    <w:name w:val="正文文本缩进 Char1"/>
    <w:basedOn w:val="53"/>
    <w:semiHidden/>
    <w:qFormat/>
    <w:uiPriority w:val="99"/>
    <w:rPr>
      <w:rFonts w:ascii="Calibri" w:hAnsi="Calibri" w:eastAsia="宋体" w:cs="Times New Roman"/>
    </w:rPr>
  </w:style>
  <w:style w:type="character" w:customStyle="1" w:styleId="153">
    <w:name w:val="标题 Char1"/>
    <w:basedOn w:val="53"/>
    <w:qFormat/>
    <w:uiPriority w:val="0"/>
    <w:rPr>
      <w:rFonts w:eastAsia="宋体" w:asciiTheme="majorHAnsi" w:hAnsiTheme="majorHAnsi" w:cstheme="majorBidi"/>
      <w:b/>
      <w:bCs/>
      <w:sz w:val="32"/>
      <w:szCs w:val="32"/>
    </w:rPr>
  </w:style>
  <w:style w:type="character" w:customStyle="1" w:styleId="154">
    <w:name w:val="正文文本缩进 3 Char1"/>
    <w:basedOn w:val="53"/>
    <w:semiHidden/>
    <w:qFormat/>
    <w:uiPriority w:val="99"/>
    <w:rPr>
      <w:rFonts w:ascii="Calibri" w:hAnsi="Calibri" w:eastAsia="宋体" w:cs="Times New Roman"/>
      <w:sz w:val="16"/>
      <w:szCs w:val="16"/>
    </w:rPr>
  </w:style>
  <w:style w:type="character" w:customStyle="1" w:styleId="155">
    <w:name w:val="日期 Char1"/>
    <w:basedOn w:val="53"/>
    <w:semiHidden/>
    <w:qFormat/>
    <w:uiPriority w:val="99"/>
    <w:rPr>
      <w:rFonts w:ascii="Calibri" w:hAnsi="Calibri" w:eastAsia="宋体" w:cs="Times New Roman"/>
    </w:rPr>
  </w:style>
  <w:style w:type="character" w:customStyle="1" w:styleId="156">
    <w:name w:val="批注文字 Char1"/>
    <w:basedOn w:val="53"/>
    <w:semiHidden/>
    <w:qFormat/>
    <w:uiPriority w:val="99"/>
    <w:rPr>
      <w:rFonts w:ascii="Calibri" w:hAnsi="Calibri" w:eastAsia="宋体" w:cs="Times New Roman"/>
    </w:rPr>
  </w:style>
  <w:style w:type="character" w:customStyle="1" w:styleId="157">
    <w:name w:val="副标题 字符"/>
    <w:basedOn w:val="53"/>
    <w:link w:val="37"/>
    <w:qFormat/>
    <w:uiPriority w:val="0"/>
    <w:rPr>
      <w:rFonts w:ascii="Arial" w:hAnsi="Arial" w:eastAsia="黑体" w:cs="Times New Roman"/>
      <w:b/>
      <w:bCs/>
      <w:sz w:val="32"/>
      <w:szCs w:val="32"/>
    </w:rPr>
  </w:style>
  <w:style w:type="character" w:customStyle="1" w:styleId="158">
    <w:name w:val="正文文本 Char1"/>
    <w:basedOn w:val="53"/>
    <w:qFormat/>
    <w:uiPriority w:val="0"/>
    <w:rPr>
      <w:rFonts w:ascii="Calibri" w:hAnsi="Calibri" w:eastAsia="宋体" w:cs="Times New Roman"/>
    </w:rPr>
  </w:style>
  <w:style w:type="character" w:customStyle="1" w:styleId="159">
    <w:name w:val="文档结构图 Char1"/>
    <w:basedOn w:val="53"/>
    <w:semiHidden/>
    <w:qFormat/>
    <w:uiPriority w:val="99"/>
    <w:rPr>
      <w:rFonts w:ascii="宋体" w:hAnsi="Calibri" w:eastAsia="宋体" w:cs="Times New Roman"/>
      <w:sz w:val="18"/>
      <w:szCs w:val="18"/>
    </w:rPr>
  </w:style>
  <w:style w:type="character" w:customStyle="1" w:styleId="160">
    <w:name w:val="尾注文本 Char1"/>
    <w:basedOn w:val="53"/>
    <w:semiHidden/>
    <w:qFormat/>
    <w:uiPriority w:val="99"/>
    <w:rPr>
      <w:rFonts w:ascii="Calibri" w:hAnsi="Calibri" w:eastAsia="宋体" w:cs="Times New Roman"/>
    </w:rPr>
  </w:style>
  <w:style w:type="character" w:customStyle="1" w:styleId="161">
    <w:name w:val="正文首行缩进 Char1"/>
    <w:basedOn w:val="158"/>
    <w:semiHidden/>
    <w:qFormat/>
    <w:uiPriority w:val="99"/>
    <w:rPr>
      <w:rFonts w:ascii="Calibri" w:hAnsi="Calibri" w:eastAsia="宋体" w:cs="Times New Roman"/>
    </w:rPr>
  </w:style>
  <w:style w:type="character" w:customStyle="1" w:styleId="162">
    <w:name w:val="脚注文本 Char1"/>
    <w:basedOn w:val="53"/>
    <w:semiHidden/>
    <w:qFormat/>
    <w:uiPriority w:val="99"/>
    <w:rPr>
      <w:rFonts w:ascii="Calibri" w:hAnsi="Calibri" w:eastAsia="宋体" w:cs="Times New Roman"/>
      <w:sz w:val="18"/>
      <w:szCs w:val="18"/>
    </w:rPr>
  </w:style>
  <w:style w:type="character" w:customStyle="1" w:styleId="163">
    <w:name w:val="批注框文本 Char1"/>
    <w:basedOn w:val="53"/>
    <w:semiHidden/>
    <w:qFormat/>
    <w:uiPriority w:val="99"/>
    <w:rPr>
      <w:rFonts w:ascii="Calibri" w:hAnsi="Calibri" w:eastAsia="宋体" w:cs="Times New Roman"/>
      <w:sz w:val="18"/>
      <w:szCs w:val="18"/>
    </w:rPr>
  </w:style>
  <w:style w:type="character" w:customStyle="1" w:styleId="164">
    <w:name w:val="批注主题 Char1"/>
    <w:basedOn w:val="156"/>
    <w:semiHidden/>
    <w:qFormat/>
    <w:uiPriority w:val="99"/>
    <w:rPr>
      <w:rFonts w:ascii="Calibri" w:hAnsi="Calibri" w:eastAsia="宋体" w:cs="Times New Roman"/>
      <w:b/>
      <w:bCs/>
    </w:rPr>
  </w:style>
  <w:style w:type="character" w:customStyle="1" w:styleId="165">
    <w:name w:val="正文文本 3 字符"/>
    <w:basedOn w:val="53"/>
    <w:link w:val="19"/>
    <w:qFormat/>
    <w:uiPriority w:val="0"/>
    <w:rPr>
      <w:rFonts w:ascii="宋体" w:hAnsi="宋体" w:eastAsia="宋体" w:cs="Times New Roman"/>
      <w:sz w:val="24"/>
      <w:szCs w:val="20"/>
    </w:rPr>
  </w:style>
  <w:style w:type="paragraph" w:customStyle="1" w:styleId="166">
    <w:name w:val="文档结构图1"/>
    <w:basedOn w:val="1"/>
    <w:qFormat/>
    <w:uiPriority w:val="0"/>
    <w:pPr>
      <w:shd w:val="clear" w:color="auto" w:fill="000080"/>
      <w:suppressAutoHyphens/>
    </w:pPr>
    <w:rPr>
      <w:rFonts w:ascii="Times New Roman" w:hAnsi="Times New Roman"/>
      <w:szCs w:val="20"/>
      <w:lang w:eastAsia="ar-SA"/>
    </w:rPr>
  </w:style>
  <w:style w:type="character" w:customStyle="1" w:styleId="167">
    <w:name w:val="纯文本 Char1"/>
    <w:basedOn w:val="53"/>
    <w:qFormat/>
    <w:uiPriority w:val="0"/>
    <w:rPr>
      <w:rFonts w:ascii="宋体" w:hAnsi="Courier New" w:eastAsia="宋体" w:cs="Courier New"/>
      <w:szCs w:val="21"/>
    </w:rPr>
  </w:style>
  <w:style w:type="character" w:customStyle="1" w:styleId="168">
    <w:name w:val="正文文本 2 Char1"/>
    <w:basedOn w:val="53"/>
    <w:semiHidden/>
    <w:qFormat/>
    <w:uiPriority w:val="99"/>
    <w:rPr>
      <w:rFonts w:ascii="Calibri" w:hAnsi="Calibri" w:eastAsia="宋体" w:cs="Times New Roman"/>
    </w:rPr>
  </w:style>
  <w:style w:type="character" w:customStyle="1" w:styleId="169">
    <w:name w:val="正文文本缩进 2 Char1"/>
    <w:basedOn w:val="53"/>
    <w:semiHidden/>
    <w:qFormat/>
    <w:uiPriority w:val="99"/>
    <w:rPr>
      <w:rFonts w:ascii="Calibri" w:hAnsi="Calibri" w:eastAsia="宋体" w:cs="Times New Roman"/>
    </w:rPr>
  </w:style>
  <w:style w:type="paragraph" w:customStyle="1" w:styleId="170">
    <w:name w:val="样式 正文缩进正文（首行缩进两字）特点ALT+Z表正文正文非缩进四号段1Normal Indent Char2...1"/>
    <w:basedOn w:val="4"/>
    <w:qFormat/>
    <w:uiPriority w:val="0"/>
    <w:pPr>
      <w:tabs>
        <w:tab w:val="left" w:pos="1260"/>
      </w:tabs>
      <w:spacing w:before="1320" w:after="240" w:line="300" w:lineRule="auto"/>
      <w:ind w:left="1260" w:hanging="420"/>
    </w:pPr>
    <w:rPr>
      <w:rFonts w:hint="eastAsia" w:ascii="黑体" w:hAnsi="黑体" w:eastAsia="黑体"/>
      <w:b w:val="0"/>
      <w:szCs w:val="20"/>
    </w:rPr>
  </w:style>
  <w:style w:type="paragraph" w:customStyle="1" w:styleId="171">
    <w:name w:val="样式 标题 1 + 黑体 三号 非加粗 居中 段前: 6 磅 段后: 6 磅 行距: 固定值 20 磅"/>
    <w:basedOn w:val="2"/>
    <w:qFormat/>
    <w:uiPriority w:val="0"/>
    <w:pPr>
      <w:spacing w:line="400" w:lineRule="exact"/>
    </w:pPr>
    <w:rPr>
      <w:rFonts w:hint="eastAsia" w:ascii="黑体" w:hAnsi="黑体" w:eastAsia="黑体"/>
      <w:sz w:val="32"/>
      <w:szCs w:val="20"/>
    </w:rPr>
  </w:style>
  <w:style w:type="paragraph" w:customStyle="1" w:styleId="172">
    <w:name w:val="样式3"/>
    <w:basedOn w:val="5"/>
    <w:qFormat/>
    <w:uiPriority w:val="0"/>
    <w:pPr>
      <w:keepNext/>
      <w:keepLines/>
      <w:widowControl w:val="0"/>
      <w:spacing w:before="260" w:after="260" w:line="412" w:lineRule="auto"/>
      <w:jc w:val="both"/>
    </w:pPr>
    <w:rPr>
      <w:rFonts w:ascii="Calibri" w:hAnsi="Calibri" w:eastAsia="Arial"/>
      <w:bCs/>
      <w:color w:val="FF0000"/>
      <w:kern w:val="2"/>
      <w:sz w:val="32"/>
      <w:szCs w:val="22"/>
      <w:lang w:val="zh-CN"/>
    </w:rPr>
  </w:style>
  <w:style w:type="paragraph" w:customStyle="1" w:styleId="173">
    <w:name w:val="正文 New New New New New New New New New New New New New"/>
    <w:qFormat/>
    <w:uiPriority w:val="0"/>
    <w:pPr>
      <w:widowControl w:val="0"/>
      <w:jc w:val="both"/>
    </w:pPr>
    <w:rPr>
      <w:rFonts w:ascii="仿宋_GB2312" w:hAnsi="仿宋_GB2312" w:eastAsia="宋体" w:cs="宋体"/>
      <w:snapToGrid w:val="0"/>
      <w:sz w:val="21"/>
      <w:szCs w:val="32"/>
      <w:lang w:val="en-US" w:eastAsia="zh-CN" w:bidi="ar-SA"/>
    </w:rPr>
  </w:style>
  <w:style w:type="paragraph" w:customStyle="1" w:styleId="174">
    <w:name w:val="页脚 New New New"/>
    <w:basedOn w:val="175"/>
    <w:qFormat/>
    <w:uiPriority w:val="0"/>
    <w:pPr>
      <w:tabs>
        <w:tab w:val="center" w:pos="4153"/>
        <w:tab w:val="right" w:pos="8306"/>
      </w:tabs>
      <w:snapToGrid w:val="0"/>
      <w:jc w:val="left"/>
    </w:pPr>
    <w:rPr>
      <w:sz w:val="18"/>
      <w:szCs w:val="18"/>
    </w:rPr>
  </w:style>
  <w:style w:type="paragraph" w:customStyle="1" w:styleId="175">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6">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7">
    <w:name w:val="正文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178">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9">
    <w:name w:val="页脚 New New"/>
    <w:basedOn w:val="180"/>
    <w:qFormat/>
    <w:uiPriority w:val="0"/>
    <w:pPr>
      <w:tabs>
        <w:tab w:val="center" w:pos="4153"/>
        <w:tab w:val="right" w:pos="8306"/>
      </w:tabs>
      <w:snapToGrid w:val="0"/>
      <w:jc w:val="left"/>
    </w:pPr>
    <w:rPr>
      <w:sz w:val="18"/>
    </w:rPr>
  </w:style>
  <w:style w:type="paragraph" w:customStyle="1" w:styleId="180">
    <w:name w:val="正文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1">
    <w:name w:val="修订1"/>
    <w:qFormat/>
    <w:uiPriority w:val="0"/>
    <w:rPr>
      <w:rFonts w:ascii="Times New Roman" w:hAnsi="Times New Roman" w:eastAsia="宋体" w:cs="Times New Roman"/>
      <w:kern w:val="2"/>
      <w:sz w:val="21"/>
      <w:lang w:val="en-US" w:eastAsia="zh-CN" w:bidi="ar-SA"/>
    </w:rPr>
  </w:style>
  <w:style w:type="paragraph" w:customStyle="1" w:styleId="182">
    <w:name w:val="_Style 251"/>
    <w:basedOn w:val="1"/>
    <w:next w:val="1"/>
    <w:qFormat/>
    <w:uiPriority w:val="0"/>
    <w:rPr>
      <w:rFonts w:ascii="Times New Roman" w:hAnsi="Times New Roman"/>
    </w:rPr>
  </w:style>
  <w:style w:type="paragraph" w:customStyle="1" w:styleId="183">
    <w:name w:val="章节三"/>
    <w:basedOn w:val="144"/>
    <w:next w:val="144"/>
    <w:qFormat/>
    <w:uiPriority w:val="0"/>
    <w:pPr>
      <w:spacing w:beforeLines="50" w:line="240" w:lineRule="auto"/>
      <w:ind w:firstLine="0" w:firstLineChars="0"/>
      <w:jc w:val="left"/>
      <w:outlineLvl w:val="2"/>
    </w:pPr>
    <w:rPr>
      <w:rFonts w:ascii="黑体" w:eastAsia="黑体"/>
      <w:b/>
    </w:rPr>
  </w:style>
  <w:style w:type="paragraph" w:customStyle="1" w:styleId="184">
    <w:name w:val="msotocheading"/>
    <w:basedOn w:val="2"/>
    <w:next w:val="1"/>
    <w:qFormat/>
    <w:uiPriority w:val="0"/>
    <w:pPr>
      <w:widowControl/>
      <w:spacing w:before="480" w:after="0" w:line="276" w:lineRule="auto"/>
      <w:jc w:val="left"/>
      <w:outlineLvl w:val="9"/>
    </w:pPr>
    <w:rPr>
      <w:rFonts w:hint="eastAsia" w:ascii="Cambria" w:hAnsi="Cambria" w:eastAsia="仿宋_GB2312"/>
      <w:color w:val="365F91"/>
      <w:kern w:val="0"/>
      <w:sz w:val="44"/>
      <w:szCs w:val="44"/>
    </w:rPr>
  </w:style>
  <w:style w:type="paragraph" w:customStyle="1" w:styleId="185">
    <w:name w:val="正文缩进1"/>
    <w:basedOn w:val="1"/>
    <w:qFormat/>
    <w:uiPriority w:val="0"/>
    <w:pPr>
      <w:ind w:firstLine="420" w:firstLineChars="200"/>
    </w:pPr>
    <w:rPr>
      <w:rFonts w:ascii="Times New Roman" w:hAnsi="Times New Roman"/>
      <w:sz w:val="30"/>
      <w:szCs w:val="24"/>
    </w:rPr>
  </w:style>
  <w:style w:type="paragraph" w:customStyle="1" w:styleId="186">
    <w:name w:val="访问过的超链接1"/>
    <w:basedOn w:val="1"/>
    <w:qFormat/>
    <w:uiPriority w:val="0"/>
    <w:rPr>
      <w:rFonts w:ascii="仿宋_GB2312" w:hAnsi="Times New Roman"/>
      <w:szCs w:val="32"/>
    </w:rPr>
  </w:style>
  <w:style w:type="paragraph" w:customStyle="1" w:styleId="187">
    <w:name w:val="标题 2 New"/>
    <w:basedOn w:val="188"/>
    <w:next w:val="188"/>
    <w:qFormat/>
    <w:uiPriority w:val="0"/>
    <w:pPr>
      <w:keepNext/>
      <w:keepLines/>
      <w:spacing w:before="260" w:after="260" w:line="416" w:lineRule="auto"/>
      <w:outlineLvl w:val="1"/>
    </w:pPr>
    <w:rPr>
      <w:rFonts w:ascii="Arial" w:hAnsi="Arial" w:eastAsia="仿宋_GB2312"/>
      <w:b/>
      <w:bCs/>
      <w:sz w:val="32"/>
    </w:rPr>
  </w:style>
  <w:style w:type="paragraph" w:customStyle="1" w:styleId="188">
    <w:name w:val="正文 New New New New New New New New New New New New New New New New New New New"/>
    <w:qFormat/>
    <w:uiPriority w:val="0"/>
    <w:pPr>
      <w:widowControl w:val="0"/>
      <w:jc w:val="both"/>
    </w:pPr>
    <w:rPr>
      <w:rFonts w:ascii="仿宋_GB2312" w:hAnsi="仿宋_GB2312" w:eastAsia="宋体" w:cs="宋体"/>
      <w:snapToGrid w:val="0"/>
      <w:sz w:val="21"/>
      <w:szCs w:val="32"/>
      <w:lang w:val="en-US" w:eastAsia="zh-CN" w:bidi="ar-SA"/>
    </w:rPr>
  </w:style>
  <w:style w:type="paragraph" w:customStyle="1" w:styleId="189">
    <w:name w:val="6'"/>
    <w:basedOn w:val="1"/>
    <w:qFormat/>
    <w:uiPriority w:val="0"/>
    <w:pPr>
      <w:autoSpaceDE w:val="0"/>
      <w:autoSpaceDN w:val="0"/>
      <w:adjustRightInd w:val="0"/>
      <w:snapToGrid w:val="0"/>
      <w:spacing w:line="320" w:lineRule="exact"/>
      <w:jc w:val="center"/>
    </w:pPr>
    <w:rPr>
      <w:rFonts w:ascii="Times New Roman" w:hAnsi="Times New Roman"/>
      <w:spacing w:val="20"/>
      <w:kern w:val="28"/>
      <w:szCs w:val="20"/>
    </w:rPr>
  </w:style>
  <w:style w:type="paragraph" w:customStyle="1" w:styleId="190">
    <w:name w:val="正文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1">
    <w:name w:val="正文 New New New New New New New New New New New New New New"/>
    <w:qFormat/>
    <w:uiPriority w:val="0"/>
    <w:pPr>
      <w:widowControl w:val="0"/>
      <w:jc w:val="both"/>
    </w:pPr>
    <w:rPr>
      <w:rFonts w:ascii="Calibri" w:hAnsi="Calibri" w:eastAsia="楷体_GB2312" w:cs="Times New Roman"/>
      <w:kern w:val="2"/>
      <w:sz w:val="21"/>
      <w:lang w:val="en-US" w:eastAsia="zh-CN" w:bidi="ar-SA"/>
    </w:rPr>
  </w:style>
  <w:style w:type="paragraph" w:customStyle="1" w:styleId="192">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3">
    <w:name w:val="Char Char Char Char Char Char Char Char Char Char Char Char Char"/>
    <w:basedOn w:val="17"/>
    <w:qFormat/>
    <w:uiPriority w:val="0"/>
    <w:rPr>
      <w:rFonts w:ascii="Tahoma" w:hAnsi="Tahoma"/>
      <w:sz w:val="24"/>
      <w:szCs w:val="24"/>
    </w:rPr>
  </w:style>
  <w:style w:type="paragraph" w:customStyle="1" w:styleId="194">
    <w:name w:val="msoquote"/>
    <w:basedOn w:val="1"/>
    <w:next w:val="1"/>
    <w:qFormat/>
    <w:uiPriority w:val="0"/>
    <w:pPr>
      <w:widowControl/>
      <w:jc w:val="left"/>
    </w:pPr>
    <w:rPr>
      <w:rFonts w:ascii="Times New Roman" w:hAnsi="Times New Roman"/>
      <w:i/>
      <w:kern w:val="0"/>
      <w:sz w:val="24"/>
    </w:rPr>
  </w:style>
  <w:style w:type="paragraph" w:customStyle="1" w:styleId="195">
    <w:name w:val="标题1"/>
    <w:basedOn w:val="1"/>
    <w:next w:val="20"/>
    <w:qFormat/>
    <w:uiPriority w:val="10"/>
    <w:pPr>
      <w:keepNext/>
      <w:suppressAutoHyphens/>
      <w:spacing w:before="240" w:after="120"/>
    </w:pPr>
    <w:rPr>
      <w:rFonts w:ascii="DejaVu Sans" w:hAnsi="DejaVu Sans" w:eastAsia="DejaVu Sans" w:cs="DejaVu Sans"/>
      <w:sz w:val="28"/>
      <w:szCs w:val="28"/>
      <w:lang w:eastAsia="ar-SA"/>
    </w:rPr>
  </w:style>
  <w:style w:type="paragraph" w:customStyle="1" w:styleId="196">
    <w:name w:val="封一"/>
    <w:basedOn w:val="144"/>
    <w:next w:val="144"/>
    <w:qFormat/>
    <w:uiPriority w:val="0"/>
    <w:pPr>
      <w:ind w:firstLine="0" w:firstLineChars="0"/>
      <w:jc w:val="center"/>
    </w:pPr>
    <w:rPr>
      <w:rFonts w:eastAsia="黑体"/>
      <w:b/>
      <w:sz w:val="84"/>
      <w:szCs w:val="84"/>
    </w:rPr>
  </w:style>
  <w:style w:type="paragraph" w:customStyle="1" w:styleId="197">
    <w:name w:val="p1"/>
    <w:basedOn w:val="1"/>
    <w:qFormat/>
    <w:uiPriority w:val="0"/>
    <w:pPr>
      <w:spacing w:line="380" w:lineRule="atLeast"/>
      <w:jc w:val="left"/>
    </w:pPr>
    <w:rPr>
      <w:rFonts w:ascii="Helvetica Neue" w:hAnsi="Helvetica Neue" w:eastAsia="Helvetica Neue"/>
      <w:color w:val="000000"/>
      <w:kern w:val="0"/>
      <w:sz w:val="26"/>
      <w:szCs w:val="26"/>
    </w:rPr>
  </w:style>
  <w:style w:type="paragraph" w:customStyle="1" w:styleId="198">
    <w:name w:val="cjk"/>
    <w:basedOn w:val="1"/>
    <w:qFormat/>
    <w:uiPriority w:val="0"/>
    <w:pPr>
      <w:widowControl/>
      <w:spacing w:before="284" w:after="100" w:afterAutospacing="1" w:line="360" w:lineRule="auto"/>
      <w:jc w:val="left"/>
    </w:pPr>
    <w:rPr>
      <w:rFonts w:ascii="宋体" w:hAnsi="宋体"/>
      <w:kern w:val="0"/>
      <w:sz w:val="22"/>
    </w:rPr>
  </w:style>
  <w:style w:type="paragraph" w:customStyle="1" w:styleId="199">
    <w:name w:val="正文 New New New New New New New New New New New New New New New New New New New New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00">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1">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2">
    <w:name w:val="TOC 标题1"/>
    <w:basedOn w:val="2"/>
    <w:next w:val="1"/>
    <w:qFormat/>
    <w:uiPriority w:val="39"/>
    <w:pPr>
      <w:widowControl/>
      <w:spacing w:before="480" w:after="0" w:line="276" w:lineRule="auto"/>
      <w:outlineLvl w:val="9"/>
    </w:pPr>
    <w:rPr>
      <w:rFonts w:ascii="Cambria" w:hAnsi="Cambria"/>
      <w:color w:val="365F91"/>
      <w:kern w:val="0"/>
    </w:rPr>
  </w:style>
  <w:style w:type="paragraph" w:customStyle="1" w:styleId="203">
    <w:name w:val="普通(网站)1"/>
    <w:basedOn w:val="1"/>
    <w:qFormat/>
    <w:uiPriority w:val="0"/>
    <w:pPr>
      <w:widowControl/>
      <w:spacing w:line="500" w:lineRule="exact"/>
      <w:ind w:firstLine="510"/>
    </w:pPr>
    <w:rPr>
      <w:rFonts w:ascii="仿宋_GB2312" w:hAnsi="宋体" w:eastAsia="仿宋_GB2312"/>
      <w:color w:val="000000"/>
      <w:spacing w:val="-10"/>
      <w:kern w:val="0"/>
      <w:szCs w:val="20"/>
    </w:rPr>
  </w:style>
  <w:style w:type="paragraph" w:customStyle="1" w:styleId="204">
    <w:name w:val="正文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5">
    <w:name w:val="正文文本缩进 31"/>
    <w:basedOn w:val="1"/>
    <w:qFormat/>
    <w:uiPriority w:val="0"/>
    <w:pPr>
      <w:suppressAutoHyphens/>
      <w:spacing w:after="120"/>
      <w:ind w:left="420"/>
    </w:pPr>
    <w:rPr>
      <w:rFonts w:ascii="Times New Roman" w:hAnsi="Times New Roman"/>
      <w:sz w:val="16"/>
      <w:szCs w:val="20"/>
      <w:lang w:eastAsia="ar-SA"/>
    </w:rPr>
  </w:style>
  <w:style w:type="paragraph" w:customStyle="1" w:styleId="206">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7">
    <w:name w:val="Char1 Char Char Char Char Char Char1"/>
    <w:basedOn w:val="208"/>
    <w:qFormat/>
    <w:uiPriority w:val="0"/>
  </w:style>
  <w:style w:type="paragraph" w:customStyle="1" w:styleId="208">
    <w:name w:val="正文 New"/>
    <w:qFormat/>
    <w:uiPriority w:val="0"/>
    <w:pPr>
      <w:widowControl w:val="0"/>
      <w:jc w:val="both"/>
    </w:pPr>
    <w:rPr>
      <w:rFonts w:ascii="Times New Roman" w:hAnsi="Times New Roman" w:eastAsia="宋体" w:cs="Times New Roman"/>
      <w:kern w:val="2"/>
      <w:sz w:val="30"/>
      <w:szCs w:val="24"/>
      <w:lang w:val="en-US" w:eastAsia="zh-CN" w:bidi="ar-SA"/>
    </w:rPr>
  </w:style>
  <w:style w:type="paragraph" w:customStyle="1" w:styleId="209">
    <w:name w:val="Char1"/>
    <w:basedOn w:val="1"/>
    <w:qFormat/>
    <w:uiPriority w:val="0"/>
    <w:pPr>
      <w:ind w:left="567" w:hanging="279"/>
    </w:pPr>
    <w:rPr>
      <w:rFonts w:ascii="Times New Roman" w:hAnsi="Times New Roman"/>
      <w:sz w:val="24"/>
      <w:szCs w:val="24"/>
    </w:rPr>
  </w:style>
  <w:style w:type="paragraph" w:customStyle="1" w:styleId="210">
    <w:name w:val="方框图"/>
    <w:basedOn w:val="1"/>
    <w:qFormat/>
    <w:uiPriority w:val="0"/>
    <w:pPr>
      <w:jc w:val="center"/>
    </w:pPr>
    <w:rPr>
      <w:rFonts w:ascii="Times New Roman" w:hAnsi="Times New Roman"/>
      <w:bCs/>
      <w:szCs w:val="24"/>
    </w:rPr>
  </w:style>
  <w:style w:type="paragraph" w:customStyle="1" w:styleId="211">
    <w:name w:val="正文 New New New New New New New New New New New"/>
    <w:qFormat/>
    <w:uiPriority w:val="0"/>
    <w:pPr>
      <w:widowControl w:val="0"/>
      <w:jc w:val="both"/>
    </w:pPr>
    <w:rPr>
      <w:rFonts w:ascii="Times New Roman" w:hAnsi="Times New Roman" w:eastAsia="宋体" w:cs="Times New Roman"/>
      <w:kern w:val="2"/>
      <w:sz w:val="30"/>
      <w:szCs w:val="24"/>
      <w:lang w:val="en-US" w:eastAsia="zh-CN" w:bidi="ar-SA"/>
    </w:rPr>
  </w:style>
  <w:style w:type="paragraph" w:customStyle="1" w:styleId="212">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
    <w:name w:val="正文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14">
    <w:name w:val="Char1 Char Char Char Char Char Char1 Char Char Char"/>
    <w:basedOn w:val="1"/>
    <w:qFormat/>
    <w:uiPriority w:val="0"/>
    <w:rPr>
      <w:rFonts w:ascii="Times New Roman" w:hAnsi="Times New Roman"/>
      <w:sz w:val="30"/>
      <w:szCs w:val="24"/>
    </w:rPr>
  </w:style>
  <w:style w:type="paragraph" w:customStyle="1" w:styleId="215">
    <w:name w:val="正文 New New New New New New New New New New New New New New New New New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16">
    <w:name w:val="样式 正文缩进正文（首行缩进两字）特点ALT+Z表正文正文非缩进四号段1Normal Indent Char2...2"/>
    <w:basedOn w:val="5"/>
    <w:qFormat/>
    <w:uiPriority w:val="0"/>
    <w:pPr>
      <w:keepNext/>
      <w:keepLines/>
      <w:widowControl w:val="0"/>
      <w:tabs>
        <w:tab w:val="left" w:pos="1680"/>
      </w:tabs>
      <w:spacing w:before="360" w:after="120" w:line="360" w:lineRule="auto"/>
      <w:ind w:left="1680" w:hanging="420"/>
      <w:jc w:val="center"/>
    </w:pPr>
    <w:rPr>
      <w:color w:val="FF0000"/>
      <w:kern w:val="2"/>
      <w:sz w:val="28"/>
      <w:szCs w:val="20"/>
      <w:lang w:val="zh-CN"/>
    </w:rPr>
  </w:style>
  <w:style w:type="paragraph" w:customStyle="1" w:styleId="217">
    <w:name w:val="Address"/>
    <w:basedOn w:val="1"/>
    <w:next w:val="1"/>
    <w:qFormat/>
    <w:uiPriority w:val="0"/>
    <w:pPr>
      <w:widowControl/>
      <w:autoSpaceDE w:val="0"/>
      <w:autoSpaceDN w:val="0"/>
      <w:adjustRightInd w:val="0"/>
      <w:jc w:val="left"/>
    </w:pPr>
    <w:rPr>
      <w:rFonts w:ascii="Times New Roman" w:hAnsi="Times New Roman"/>
      <w:i/>
      <w:kern w:val="0"/>
      <w:sz w:val="24"/>
      <w:szCs w:val="20"/>
    </w:rPr>
  </w:style>
  <w:style w:type="paragraph" w:customStyle="1" w:styleId="218">
    <w:name w:val="表格文字居中"/>
    <w:basedOn w:val="1"/>
    <w:next w:val="1"/>
    <w:qFormat/>
    <w:uiPriority w:val="0"/>
    <w:pPr>
      <w:tabs>
        <w:tab w:val="left" w:pos="720"/>
        <w:tab w:val="left" w:pos="900"/>
      </w:tabs>
      <w:adjustRightInd w:val="0"/>
      <w:snapToGrid w:val="0"/>
      <w:spacing w:beforeLines="20" w:afterLines="20" w:line="360" w:lineRule="auto"/>
      <w:jc w:val="center"/>
    </w:pPr>
    <w:rPr>
      <w:rFonts w:ascii="宋体" w:hAnsi="Arial"/>
      <w:kern w:val="0"/>
      <w:sz w:val="18"/>
      <w:szCs w:val="20"/>
    </w:rPr>
  </w:style>
  <w:style w:type="paragraph" w:customStyle="1" w:styleId="219">
    <w:name w:val="ÕýÎÄ"/>
    <w:qFormat/>
    <w:uiPriority w:val="0"/>
    <w:pPr>
      <w:widowControl w:val="0"/>
      <w:overflowPunct w:val="0"/>
      <w:autoSpaceDE w:val="0"/>
      <w:autoSpaceDN w:val="0"/>
      <w:adjustRightInd w:val="0"/>
      <w:spacing w:line="357" w:lineRule="atLeast"/>
      <w:jc w:val="both"/>
    </w:pPr>
    <w:rPr>
      <w:rFonts w:ascii="Times New Roman" w:hAnsi="Times New Roman" w:eastAsia="宋体" w:cs="Times New Roman"/>
      <w:color w:val="000000"/>
      <w:sz w:val="21"/>
      <w:lang w:val="en-US" w:eastAsia="zh-CN" w:bidi="ar-SA"/>
    </w:rPr>
  </w:style>
  <w:style w:type="paragraph" w:customStyle="1" w:styleId="220">
    <w:name w:val="样式8"/>
    <w:basedOn w:val="1"/>
    <w:qFormat/>
    <w:uiPriority w:val="0"/>
    <w:pPr>
      <w:keepNext/>
      <w:keepLines/>
      <w:widowControl/>
      <w:spacing w:before="260" w:after="260"/>
      <w:jc w:val="center"/>
      <w:outlineLvl w:val="1"/>
    </w:pPr>
    <w:rPr>
      <w:rFonts w:ascii="Arial" w:hAnsi="Arial" w:eastAsia="黑体"/>
      <w:b/>
      <w:bCs/>
      <w:kern w:val="0"/>
      <w:sz w:val="72"/>
      <w:szCs w:val="32"/>
    </w:rPr>
  </w:style>
  <w:style w:type="paragraph" w:customStyle="1" w:styleId="221">
    <w:name w:val="Char1 Char Char Char Char Char Char11"/>
    <w:basedOn w:val="1"/>
    <w:qFormat/>
    <w:uiPriority w:val="0"/>
    <w:rPr>
      <w:rFonts w:ascii="Times New Roman" w:hAnsi="Times New Roman"/>
      <w:szCs w:val="20"/>
    </w:rPr>
  </w:style>
  <w:style w:type="paragraph" w:customStyle="1" w:styleId="222">
    <w:name w:val="msolistparagraph"/>
    <w:basedOn w:val="1"/>
    <w:qFormat/>
    <w:uiPriority w:val="0"/>
    <w:pPr>
      <w:ind w:firstLine="420" w:firstLineChars="200"/>
    </w:pPr>
    <w:rPr>
      <w:rFonts w:ascii="Times New Roman" w:hAnsi="Times New Roman"/>
    </w:rPr>
  </w:style>
  <w:style w:type="paragraph" w:customStyle="1" w:styleId="223">
    <w:name w:val="文二"/>
    <w:basedOn w:val="1"/>
    <w:qFormat/>
    <w:uiPriority w:val="0"/>
    <w:pPr>
      <w:jc w:val="left"/>
    </w:pPr>
    <w:rPr>
      <w:rFonts w:ascii="宋体" w:hAnsi="宋体"/>
      <w:szCs w:val="21"/>
    </w:rPr>
  </w:style>
  <w:style w:type="paragraph" w:customStyle="1" w:styleId="224">
    <w:name w:val="列表项目符号 21"/>
    <w:basedOn w:val="225"/>
    <w:qFormat/>
    <w:uiPriority w:val="0"/>
    <w:pPr>
      <w:widowControl/>
      <w:tabs>
        <w:tab w:val="left" w:pos="360"/>
      </w:tabs>
      <w:spacing w:after="220" w:line="220" w:lineRule="atLeast"/>
      <w:ind w:left="360" w:right="720"/>
      <w:jc w:val="left"/>
    </w:pPr>
  </w:style>
  <w:style w:type="paragraph" w:customStyle="1" w:styleId="225">
    <w:name w:val="列表项目符号1"/>
    <w:basedOn w:val="1"/>
    <w:qFormat/>
    <w:uiPriority w:val="0"/>
    <w:pPr>
      <w:tabs>
        <w:tab w:val="left" w:pos="360"/>
      </w:tabs>
      <w:suppressAutoHyphens/>
    </w:pPr>
    <w:rPr>
      <w:rFonts w:ascii="Times New Roman" w:hAnsi="Times New Roman"/>
      <w:szCs w:val="20"/>
      <w:lang w:eastAsia="ar-SA"/>
    </w:rPr>
  </w:style>
  <w:style w:type="paragraph" w:customStyle="1" w:styleId="226">
    <w:name w:val="Char14"/>
    <w:basedOn w:val="17"/>
    <w:qFormat/>
    <w:uiPriority w:val="0"/>
    <w:rPr>
      <w:rFonts w:ascii="Tahoma" w:hAnsi="Tahoma"/>
      <w:sz w:val="24"/>
      <w:szCs w:val="24"/>
    </w:rPr>
  </w:style>
  <w:style w:type="paragraph" w:customStyle="1" w:styleId="227">
    <w:name w:val="正文文本 New"/>
    <w:basedOn w:val="228"/>
    <w:qFormat/>
    <w:uiPriority w:val="0"/>
    <w:pPr>
      <w:spacing w:after="120"/>
    </w:pPr>
    <w:rPr>
      <w:rFonts w:eastAsia="宋体"/>
      <w:kern w:val="2"/>
      <w:sz w:val="30"/>
      <w:szCs w:val="24"/>
    </w:rPr>
  </w:style>
  <w:style w:type="paragraph" w:customStyle="1" w:styleId="228">
    <w:name w:val="正文 New New"/>
    <w:qFormat/>
    <w:uiPriority w:val="0"/>
    <w:pPr>
      <w:widowControl w:val="0"/>
      <w:jc w:val="both"/>
    </w:pPr>
    <w:rPr>
      <w:rFonts w:ascii="Times New Roman" w:hAnsi="Times New Roman" w:eastAsia="楷体_GB2312" w:cs="Times New Roman"/>
      <w:lang w:val="en-US" w:eastAsia="zh-CN" w:bidi="ar-SA"/>
    </w:rPr>
  </w:style>
  <w:style w:type="paragraph" w:customStyle="1" w:styleId="229">
    <w:name w:val="Char Char Char1 Char"/>
    <w:basedOn w:val="17"/>
    <w:qFormat/>
    <w:uiPriority w:val="0"/>
    <w:rPr>
      <w:rFonts w:ascii="Tahoma" w:hAnsi="Tahoma"/>
      <w:sz w:val="24"/>
      <w:szCs w:val="24"/>
    </w:rPr>
  </w:style>
  <w:style w:type="paragraph" w:customStyle="1" w:styleId="230">
    <w:name w:val="表格"/>
    <w:basedOn w:val="1"/>
    <w:qFormat/>
    <w:uiPriority w:val="0"/>
    <w:pPr>
      <w:jc w:val="center"/>
    </w:pPr>
    <w:rPr>
      <w:rFonts w:ascii="华文细黑" w:hAnsi="华文细黑"/>
      <w:kern w:val="0"/>
      <w:szCs w:val="20"/>
    </w:rPr>
  </w:style>
  <w:style w:type="paragraph" w:customStyle="1" w:styleId="231">
    <w:name w:val="正文缩进_0"/>
    <w:basedOn w:val="232"/>
    <w:qFormat/>
    <w:uiPriority w:val="0"/>
    <w:pPr>
      <w:ind w:firstLine="420"/>
    </w:pPr>
  </w:style>
  <w:style w:type="paragraph" w:customStyle="1" w:styleId="232">
    <w:name w:val="正文_0"/>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33">
    <w:name w:val="公文标题"/>
    <w:basedOn w:val="5"/>
    <w:qFormat/>
    <w:uiPriority w:val="0"/>
    <w:pPr>
      <w:keepNext/>
      <w:keepLines/>
      <w:widowControl w:val="0"/>
      <w:ind w:left="1469" w:right="1542"/>
    </w:pPr>
    <w:rPr>
      <w:rFonts w:hAnsi="Times New Roman"/>
      <w:b/>
      <w:kern w:val="2"/>
      <w:sz w:val="44"/>
      <w:szCs w:val="21"/>
    </w:rPr>
  </w:style>
  <w:style w:type="paragraph" w:customStyle="1" w:styleId="234">
    <w:name w:val="2"/>
    <w:next w:val="186"/>
    <w:qFormat/>
    <w:uiPriority w:val="0"/>
    <w:pPr>
      <w:widowControl w:val="0"/>
      <w:jc w:val="both"/>
    </w:pPr>
    <w:rPr>
      <w:rFonts w:ascii="仿宋_GB2312" w:hAnsi="Times New Roman" w:eastAsia="宋体" w:cs="Times New Roman"/>
      <w:kern w:val="2"/>
      <w:sz w:val="21"/>
      <w:szCs w:val="32"/>
      <w:lang w:val="en-US" w:eastAsia="zh-CN" w:bidi="ar-SA"/>
    </w:rPr>
  </w:style>
  <w:style w:type="paragraph" w:customStyle="1" w:styleId="235">
    <w:name w:val="正文1"/>
    <w:qFormat/>
    <w:uiPriority w:val="0"/>
    <w:rPr>
      <w:rFonts w:ascii="Times New Roman" w:hAnsi="Times New Roman" w:eastAsia="Times New Roman" w:cs="Times New Roman"/>
      <w:sz w:val="24"/>
      <w:szCs w:val="24"/>
      <w:lang w:val="en-US" w:eastAsia="zh-CN" w:bidi="ar-SA"/>
    </w:rPr>
  </w:style>
  <w:style w:type="paragraph" w:customStyle="1" w:styleId="236">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237">
    <w:name w:val="发文落款"/>
    <w:basedOn w:val="238"/>
    <w:qFormat/>
    <w:uiPriority w:val="0"/>
    <w:pPr>
      <w:ind w:left="4094" w:right="607" w:firstLine="0"/>
      <w:jc w:val="center"/>
    </w:pPr>
  </w:style>
  <w:style w:type="paragraph" w:customStyle="1" w:styleId="238">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39">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0">
    <w:name w:val="表格内容"/>
    <w:basedOn w:val="1"/>
    <w:qFormat/>
    <w:uiPriority w:val="0"/>
    <w:pPr>
      <w:suppressLineNumbers/>
      <w:suppressAutoHyphens/>
    </w:pPr>
    <w:rPr>
      <w:rFonts w:ascii="Times New Roman" w:hAnsi="Times New Roman"/>
      <w:szCs w:val="20"/>
      <w:lang w:eastAsia="ar-SA"/>
    </w:rPr>
  </w:style>
  <w:style w:type="paragraph" w:customStyle="1" w:styleId="241">
    <w:name w:val="样式1"/>
    <w:basedOn w:val="5"/>
    <w:qFormat/>
    <w:uiPriority w:val="0"/>
    <w:pPr>
      <w:keepNext/>
      <w:keepLines/>
      <w:widowControl w:val="0"/>
      <w:spacing w:before="260" w:after="260" w:line="412" w:lineRule="auto"/>
      <w:jc w:val="both"/>
    </w:pPr>
    <w:rPr>
      <w:rFonts w:ascii="Calibri" w:hAnsi="Calibri" w:eastAsia="Arial"/>
      <w:bCs/>
      <w:color w:val="FF0000"/>
      <w:kern w:val="2"/>
      <w:sz w:val="32"/>
      <w:szCs w:val="22"/>
      <w:lang w:val="zh-CN"/>
    </w:rPr>
  </w:style>
  <w:style w:type="paragraph" w:customStyle="1" w:styleId="242">
    <w:name w:val="纯文本1"/>
    <w:basedOn w:val="1"/>
    <w:qFormat/>
    <w:uiPriority w:val="0"/>
    <w:pPr>
      <w:suppressAutoHyphens/>
    </w:pPr>
    <w:rPr>
      <w:rFonts w:ascii="宋体" w:hAnsi="宋体"/>
      <w:szCs w:val="20"/>
      <w:lang w:eastAsia="ar-SA"/>
    </w:rPr>
  </w:style>
  <w:style w:type="paragraph" w:customStyle="1" w:styleId="243">
    <w:name w:val="msonospacing"/>
    <w:qFormat/>
    <w:uiPriority w:val="0"/>
    <w:rPr>
      <w:rFonts w:ascii="Times New Roman" w:hAnsi="Times New Roman" w:eastAsia="Times New Roman" w:cs="Times New Roman"/>
      <w:kern w:val="2"/>
      <w:sz w:val="22"/>
      <w:lang w:val="en-US" w:eastAsia="zh-CN" w:bidi="ar-SA"/>
    </w:rPr>
  </w:style>
  <w:style w:type="paragraph" w:customStyle="1" w:styleId="244">
    <w:name w:val="_Style 25"/>
    <w:qFormat/>
    <w:uiPriority w:val="0"/>
    <w:rPr>
      <w:rFonts w:ascii="Times New Roman" w:hAnsi="Times New Roman" w:eastAsia="宋体" w:cs="Times New Roman"/>
      <w:lang w:val="en-US" w:eastAsia="zh-CN" w:bidi="ar-SA"/>
    </w:rPr>
  </w:style>
  <w:style w:type="paragraph" w:customStyle="1" w:styleId="245">
    <w:name w:val="Normal_0"/>
    <w:qFormat/>
    <w:uiPriority w:val="0"/>
    <w:rPr>
      <w:rFonts w:ascii="Times New Roman" w:hAnsi="Times New Roman" w:eastAsia="Times New Roman" w:cs="Times New Roman"/>
      <w:sz w:val="24"/>
      <w:szCs w:val="24"/>
      <w:lang w:val="en-US" w:eastAsia="zh-CN" w:bidi="ar-SA"/>
    </w:rPr>
  </w:style>
  <w:style w:type="paragraph" w:customStyle="1" w:styleId="246">
    <w:name w:val="正文首行缩进1"/>
    <w:basedOn w:val="20"/>
    <w:qFormat/>
    <w:uiPriority w:val="0"/>
    <w:pPr>
      <w:ind w:firstLine="420" w:firstLineChars="100"/>
    </w:pPr>
    <w:rPr>
      <w:rFonts w:hAnsi="Calibri"/>
      <w:sz w:val="30"/>
      <w:szCs w:val="24"/>
    </w:rPr>
  </w:style>
  <w:style w:type="paragraph" w:customStyle="1" w:styleId="247">
    <w:name w:val="样式 标题 1 + 宋体 居中 段前: 48 磅 段后: 12 磅 行距: 1.5 倍行距"/>
    <w:basedOn w:val="2"/>
    <w:qFormat/>
    <w:uiPriority w:val="0"/>
    <w:pPr>
      <w:snapToGrid w:val="0"/>
      <w:spacing w:before="1560" w:after="240"/>
    </w:pPr>
    <w:rPr>
      <w:rFonts w:hint="eastAsia" w:eastAsia="仿宋_GB2312"/>
      <w:kern w:val="2"/>
      <w:sz w:val="36"/>
      <w:szCs w:val="20"/>
    </w:rPr>
  </w:style>
  <w:style w:type="paragraph" w:customStyle="1" w:styleId="248">
    <w:name w:val="尾注文本 New"/>
    <w:basedOn w:val="249"/>
    <w:qFormat/>
    <w:uiPriority w:val="0"/>
    <w:pPr>
      <w:snapToGrid w:val="0"/>
      <w:jc w:val="left"/>
    </w:pPr>
    <w:rPr>
      <w:rFonts w:ascii="宋体" w:hAnsi="宋体" w:eastAsia="宋体"/>
      <w:szCs w:val="24"/>
    </w:rPr>
  </w:style>
  <w:style w:type="paragraph" w:customStyle="1" w:styleId="249">
    <w:name w:val="正文 New New New"/>
    <w:qFormat/>
    <w:uiPriority w:val="0"/>
    <w:pPr>
      <w:widowControl w:val="0"/>
      <w:jc w:val="both"/>
    </w:pPr>
    <w:rPr>
      <w:rFonts w:ascii="Times New Roman" w:hAnsi="Times New Roman" w:eastAsia="楷体_GB2312" w:cs="Times New Roman"/>
      <w:kern w:val="2"/>
      <w:sz w:val="21"/>
      <w:lang w:val="en-US" w:eastAsia="zh-CN" w:bidi="ar-SA"/>
    </w:rPr>
  </w:style>
  <w:style w:type="character" w:customStyle="1" w:styleId="250">
    <w:name w:val="明显引用 Char1"/>
    <w:basedOn w:val="53"/>
    <w:qFormat/>
    <w:uiPriority w:val="0"/>
    <w:rPr>
      <w:rFonts w:ascii="Calibri" w:hAnsi="Calibri" w:eastAsia="宋体" w:cs="Times New Roman"/>
      <w:b/>
      <w:bCs/>
      <w:i/>
      <w:iCs/>
      <w:color w:val="4F81BD" w:themeColor="accent1"/>
      <w14:textFill>
        <w14:solidFill>
          <w14:schemeClr w14:val="accent1"/>
        </w14:solidFill>
      </w14:textFill>
    </w:rPr>
  </w:style>
  <w:style w:type="paragraph" w:customStyle="1" w:styleId="251">
    <w:name w:val="xl4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252">
    <w:name w:val="样式4"/>
    <w:basedOn w:val="5"/>
    <w:qFormat/>
    <w:uiPriority w:val="0"/>
    <w:pPr>
      <w:keepNext/>
      <w:keepLines/>
      <w:widowControl w:val="0"/>
      <w:spacing w:before="260" w:after="260" w:line="412" w:lineRule="auto"/>
      <w:jc w:val="both"/>
    </w:pPr>
    <w:rPr>
      <w:rFonts w:ascii="Calibri" w:hAnsi="Calibri" w:eastAsia="Arial"/>
      <w:bCs/>
      <w:color w:val="FF0000"/>
      <w:kern w:val="2"/>
      <w:sz w:val="32"/>
      <w:szCs w:val="22"/>
      <w:lang w:val="zh-CN"/>
    </w:rPr>
  </w:style>
  <w:style w:type="paragraph" w:customStyle="1" w:styleId="253">
    <w:name w:val="正文文本缩进 New New"/>
    <w:basedOn w:val="1"/>
    <w:qFormat/>
    <w:uiPriority w:val="0"/>
    <w:pPr>
      <w:spacing w:after="120"/>
      <w:ind w:left="420" w:leftChars="200"/>
    </w:pPr>
    <w:rPr>
      <w:rFonts w:ascii="Times New Roman" w:eastAsia="楷体_GB2312"/>
      <w:szCs w:val="20"/>
    </w:rPr>
  </w:style>
  <w:style w:type="paragraph" w:customStyle="1" w:styleId="254">
    <w:name w:val="_Style 72"/>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5">
    <w:name w:val="Char13 Char Char Char Char Char"/>
    <w:basedOn w:val="1"/>
    <w:qFormat/>
    <w:uiPriority w:val="0"/>
    <w:pPr>
      <w:ind w:left="567" w:hanging="279"/>
    </w:pPr>
    <w:rPr>
      <w:rFonts w:ascii="Times New Roman" w:hAnsi="Times New Roman"/>
      <w:kern w:val="0"/>
      <w:sz w:val="20"/>
      <w:szCs w:val="20"/>
    </w:rPr>
  </w:style>
  <w:style w:type="paragraph" w:customStyle="1" w:styleId="25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7">
    <w:name w:val="Char5 Char Char"/>
    <w:basedOn w:val="1"/>
    <w:qFormat/>
    <w:uiPriority w:val="0"/>
    <w:pPr>
      <w:ind w:left="567" w:hanging="279"/>
    </w:pPr>
    <w:rPr>
      <w:rFonts w:ascii="Times New Roman" w:hAnsi="Times New Roman"/>
      <w:sz w:val="24"/>
      <w:szCs w:val="24"/>
    </w:rPr>
  </w:style>
  <w:style w:type="paragraph" w:customStyle="1" w:styleId="258">
    <w:name w:val="Normal_1"/>
    <w:qFormat/>
    <w:uiPriority w:val="0"/>
    <w:rPr>
      <w:rFonts w:ascii="Times New Roman" w:hAnsi="Times New Roman" w:eastAsia="Times New Roman" w:cs="Times New Roman"/>
      <w:sz w:val="24"/>
      <w:szCs w:val="24"/>
      <w:lang w:val="en-US" w:eastAsia="zh-CN" w:bidi="ar-SA"/>
    </w:rPr>
  </w:style>
  <w:style w:type="paragraph" w:customStyle="1" w:styleId="259">
    <w:name w:val="表头"/>
    <w:basedOn w:val="1"/>
    <w:qFormat/>
    <w:uiPriority w:val="0"/>
    <w:pPr>
      <w:spacing w:line="360" w:lineRule="auto"/>
      <w:jc w:val="center"/>
    </w:pPr>
    <w:rPr>
      <w:rFonts w:ascii="黑体" w:hAnsi="Times New Roman" w:eastAsia="黑体"/>
      <w:kern w:val="0"/>
      <w:sz w:val="24"/>
      <w:szCs w:val="20"/>
    </w:rPr>
  </w:style>
  <w:style w:type="character" w:customStyle="1" w:styleId="260">
    <w:name w:val="引用 Char1"/>
    <w:basedOn w:val="53"/>
    <w:qFormat/>
    <w:uiPriority w:val="0"/>
    <w:rPr>
      <w:rFonts w:ascii="Calibri" w:hAnsi="Calibri" w:eastAsia="宋体" w:cs="Times New Roman"/>
      <w:i/>
      <w:iCs/>
      <w:color w:val="000000" w:themeColor="text1"/>
      <w14:textFill>
        <w14:solidFill>
          <w14:schemeClr w14:val="tx1"/>
        </w14:solidFill>
      </w14:textFill>
    </w:rPr>
  </w:style>
  <w:style w:type="paragraph" w:styleId="261">
    <w:name w:val="List Paragraph"/>
    <w:basedOn w:val="1"/>
    <w:qFormat/>
    <w:uiPriority w:val="34"/>
    <w:pPr>
      <w:ind w:firstLine="420" w:firstLineChars="200"/>
    </w:pPr>
    <w:rPr>
      <w:rFonts w:ascii="Times New Roman" w:hAnsi="Times New Roman"/>
      <w:szCs w:val="20"/>
    </w:rPr>
  </w:style>
  <w:style w:type="paragraph" w:customStyle="1" w:styleId="262">
    <w:name w:val="样式 正文缩进正文（首行缩进两字）特点ALT+Z表正文正文非缩进四号段1Normal Indent Char2...4"/>
    <w:basedOn w:val="21"/>
    <w:qFormat/>
    <w:uiPriority w:val="0"/>
    <w:pPr>
      <w:tabs>
        <w:tab w:val="left" w:pos="510"/>
        <w:tab w:val="left" w:pos="2520"/>
      </w:tabs>
      <w:spacing w:line="300" w:lineRule="auto"/>
      <w:ind w:left="2520" w:hanging="420"/>
    </w:pPr>
    <w:rPr>
      <w:rFonts w:ascii="Calibri" w:hAnsi="宋体"/>
      <w:sz w:val="24"/>
      <w:szCs w:val="22"/>
    </w:rPr>
  </w:style>
  <w:style w:type="paragraph" w:customStyle="1" w:styleId="263">
    <w:name w:val="目录 1_0"/>
    <w:basedOn w:val="232"/>
    <w:next w:val="232"/>
    <w:qFormat/>
    <w:uiPriority w:val="0"/>
    <w:pPr>
      <w:tabs>
        <w:tab w:val="right" w:leader="dot" w:pos="8493"/>
      </w:tabs>
      <w:adjustRightInd w:val="0"/>
      <w:spacing w:line="360" w:lineRule="auto"/>
      <w:jc w:val="left"/>
    </w:pPr>
    <w:rPr>
      <w:rFonts w:ascii="宋体" w:hAnsi="宋体"/>
      <w:b/>
      <w:caps/>
      <w:kern w:val="0"/>
      <w:sz w:val="24"/>
      <w:szCs w:val="32"/>
    </w:rPr>
  </w:style>
  <w:style w:type="paragraph" w:customStyle="1" w:styleId="264">
    <w:name w:val="表格标题"/>
    <w:basedOn w:val="240"/>
    <w:qFormat/>
    <w:uiPriority w:val="0"/>
    <w:pPr>
      <w:jc w:val="center"/>
    </w:pPr>
    <w:rPr>
      <w:b/>
      <w:bCs/>
    </w:rPr>
  </w:style>
  <w:style w:type="paragraph" w:customStyle="1" w:styleId="265">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6">
    <w:name w:val="文提"/>
    <w:basedOn w:val="144"/>
    <w:qFormat/>
    <w:uiPriority w:val="0"/>
    <w:pPr>
      <w:ind w:firstLine="0" w:firstLineChars="0"/>
    </w:pPr>
    <w:rPr>
      <w:rFonts w:eastAsia="黑体" w:cs="宋体"/>
      <w:b/>
    </w:rPr>
  </w:style>
  <w:style w:type="paragraph" w:customStyle="1" w:styleId="267">
    <w:name w:val="正题"/>
    <w:basedOn w:val="144"/>
    <w:next w:val="144"/>
    <w:qFormat/>
    <w:uiPriority w:val="0"/>
    <w:pPr>
      <w:ind w:firstLine="0" w:firstLineChars="0"/>
      <w:jc w:val="center"/>
    </w:pPr>
    <w:rPr>
      <w:rFonts w:eastAsia="黑体"/>
      <w:b/>
      <w:sz w:val="36"/>
      <w:szCs w:val="36"/>
    </w:rPr>
  </w:style>
  <w:style w:type="paragraph" w:customStyle="1" w:styleId="268">
    <w:name w:val="Char Char Char Char Char Char1 Char"/>
    <w:basedOn w:val="1"/>
    <w:qFormat/>
    <w:uiPriority w:val="0"/>
    <w:pPr>
      <w:widowControl/>
      <w:spacing w:after="160" w:line="240" w:lineRule="exact"/>
      <w:jc w:val="left"/>
    </w:pPr>
    <w:rPr>
      <w:rFonts w:ascii="Verdana" w:hAnsi="Verdana" w:eastAsia="仿宋_GB2312"/>
      <w:kern w:val="0"/>
      <w:sz w:val="24"/>
      <w:szCs w:val="32"/>
      <w:lang w:eastAsia="en-US"/>
    </w:rPr>
  </w:style>
  <w:style w:type="paragraph" w:customStyle="1" w:styleId="269">
    <w:name w:val="样式 标题 2 + Times New Roman 四号 非加粗 段前: 5 磅 段后: 0 磅 行距: 固定值 20..."/>
    <w:basedOn w:val="4"/>
    <w:qFormat/>
    <w:uiPriority w:val="0"/>
    <w:pPr>
      <w:spacing w:before="100" w:after="0" w:line="400" w:lineRule="exact"/>
      <w:jc w:val="both"/>
    </w:pPr>
    <w:rPr>
      <w:rFonts w:hint="eastAsia" w:ascii="Times New Roman" w:hAnsi="Times New Roman" w:eastAsia="黑体"/>
      <w:sz w:val="28"/>
      <w:szCs w:val="20"/>
    </w:rPr>
  </w:style>
  <w:style w:type="paragraph" w:customStyle="1" w:styleId="270">
    <w:name w:val="样式2"/>
    <w:basedOn w:val="5"/>
    <w:qFormat/>
    <w:uiPriority w:val="0"/>
    <w:pPr>
      <w:keepNext/>
      <w:keepLines/>
      <w:widowControl w:val="0"/>
      <w:spacing w:before="260" w:after="260" w:line="412" w:lineRule="auto"/>
      <w:jc w:val="both"/>
    </w:pPr>
    <w:rPr>
      <w:rFonts w:ascii="Calibri" w:hAnsi="Calibri"/>
      <w:bCs/>
      <w:color w:val="FF0000"/>
      <w:kern w:val="2"/>
      <w:sz w:val="32"/>
      <w:szCs w:val="22"/>
      <w:lang w:val="zh-CN"/>
    </w:rPr>
  </w:style>
  <w:style w:type="paragraph" w:customStyle="1" w:styleId="271">
    <w:name w:val="正文文本缩进 21"/>
    <w:basedOn w:val="1"/>
    <w:qFormat/>
    <w:uiPriority w:val="0"/>
    <w:pPr>
      <w:suppressAutoHyphens/>
      <w:spacing w:after="120" w:line="480" w:lineRule="auto"/>
      <w:ind w:left="420"/>
    </w:pPr>
    <w:rPr>
      <w:rFonts w:ascii="Times New Roman" w:hAnsi="Times New Roman"/>
      <w:szCs w:val="20"/>
      <w:lang w:eastAsia="ar-SA"/>
    </w:rPr>
  </w:style>
  <w:style w:type="paragraph" w:customStyle="1" w:styleId="27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273">
    <w:name w:val="Char2 Char Char Char"/>
    <w:basedOn w:val="1"/>
    <w:qFormat/>
    <w:uiPriority w:val="0"/>
    <w:pPr>
      <w:tabs>
        <w:tab w:val="left" w:pos="1350"/>
      </w:tabs>
      <w:ind w:left="1350" w:hanging="720"/>
    </w:pPr>
    <w:rPr>
      <w:rFonts w:ascii="Times New Roman" w:hAnsi="Times New Roman"/>
      <w:sz w:val="24"/>
      <w:szCs w:val="24"/>
    </w:rPr>
  </w:style>
  <w:style w:type="paragraph" w:customStyle="1" w:styleId="274">
    <w:name w:val="Char Char Char Char"/>
    <w:basedOn w:val="1"/>
    <w:qFormat/>
    <w:uiPriority w:val="0"/>
    <w:pPr>
      <w:widowControl/>
      <w:spacing w:after="160" w:line="240" w:lineRule="exact"/>
      <w:jc w:val="left"/>
    </w:pPr>
    <w:rPr>
      <w:rFonts w:ascii="Times New Roman" w:hAnsi="Times New Roman"/>
      <w:szCs w:val="20"/>
    </w:rPr>
  </w:style>
  <w:style w:type="paragraph" w:customStyle="1" w:styleId="275">
    <w:name w:val="封二"/>
    <w:basedOn w:val="144"/>
    <w:next w:val="144"/>
    <w:qFormat/>
    <w:uiPriority w:val="0"/>
    <w:pPr>
      <w:ind w:firstLine="0" w:firstLineChars="0"/>
      <w:jc w:val="center"/>
    </w:pPr>
    <w:rPr>
      <w:rFonts w:eastAsia="黑体"/>
      <w:b/>
      <w:sz w:val="36"/>
      <w:szCs w:val="36"/>
    </w:rPr>
  </w:style>
  <w:style w:type="paragraph" w:customStyle="1" w:styleId="276">
    <w:name w:val="Normal_2"/>
    <w:qFormat/>
    <w:uiPriority w:val="0"/>
    <w:rPr>
      <w:rFonts w:ascii="Times New Roman" w:hAnsi="Times New Roman" w:eastAsia="Times New Roman" w:cs="Times New Roman"/>
      <w:sz w:val="24"/>
      <w:szCs w:val="24"/>
      <w:lang w:val="en-US" w:eastAsia="zh-CN" w:bidi="ar-SA"/>
    </w:rPr>
  </w:style>
  <w:style w:type="paragraph" w:customStyle="1" w:styleId="277">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8">
    <w:name w:val="页脚 New"/>
    <w:basedOn w:val="279"/>
    <w:qFormat/>
    <w:uiPriority w:val="0"/>
    <w:pPr>
      <w:tabs>
        <w:tab w:val="center" w:pos="4153"/>
        <w:tab w:val="right" w:pos="8306"/>
      </w:tabs>
      <w:snapToGrid w:val="0"/>
      <w:jc w:val="left"/>
    </w:pPr>
    <w:rPr>
      <w:sz w:val="18"/>
    </w:rPr>
  </w:style>
  <w:style w:type="paragraph" w:customStyle="1" w:styleId="279">
    <w:name w:val="正文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80">
    <w:name w:val="Normal_3"/>
    <w:qFormat/>
    <w:uiPriority w:val="0"/>
    <w:rPr>
      <w:rFonts w:ascii="Times New Roman" w:hAnsi="Times New Roman" w:eastAsia="Times New Roman" w:cs="Times New Roman"/>
      <w:sz w:val="24"/>
      <w:szCs w:val="24"/>
      <w:lang w:val="en-US" w:eastAsia="zh-CN" w:bidi="ar-SA"/>
    </w:rPr>
  </w:style>
  <w:style w:type="paragraph" w:customStyle="1" w:styleId="281">
    <w:name w:val="表格文字"/>
    <w:basedOn w:val="1"/>
    <w:qFormat/>
    <w:uiPriority w:val="0"/>
    <w:pPr>
      <w:adjustRightInd w:val="0"/>
      <w:spacing w:line="420" w:lineRule="atLeast"/>
      <w:jc w:val="left"/>
    </w:pPr>
    <w:rPr>
      <w:rFonts w:ascii="Times New Roman" w:hAnsi="Times New Roman"/>
      <w:kern w:val="0"/>
      <w:szCs w:val="20"/>
    </w:rPr>
  </w:style>
  <w:style w:type="paragraph" w:customStyle="1" w:styleId="282">
    <w:name w:val="页眉 New"/>
    <w:basedOn w:val="279"/>
    <w:qFormat/>
    <w:uiPriority w:val="0"/>
    <w:pPr>
      <w:pBdr>
        <w:bottom w:val="single" w:color="auto" w:sz="6" w:space="1"/>
      </w:pBdr>
      <w:tabs>
        <w:tab w:val="center" w:pos="4153"/>
        <w:tab w:val="right" w:pos="8306"/>
      </w:tabs>
      <w:snapToGrid w:val="0"/>
      <w:jc w:val="center"/>
    </w:pPr>
    <w:rPr>
      <w:sz w:val="18"/>
    </w:rPr>
  </w:style>
  <w:style w:type="paragraph" w:customStyle="1" w:styleId="283">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84">
    <w:name w:val="标题 3_0"/>
    <w:basedOn w:val="232"/>
    <w:next w:val="231"/>
    <w:qFormat/>
    <w:uiPriority w:val="0"/>
    <w:pPr>
      <w:keepNext/>
      <w:keepLines/>
      <w:spacing w:line="360" w:lineRule="auto"/>
      <w:jc w:val="center"/>
      <w:outlineLvl w:val="2"/>
    </w:pPr>
    <w:rPr>
      <w:rFonts w:ascii="仿宋_GB2312" w:hAnsi="宋体" w:eastAsia="仿宋_GB2312" w:cs="宋体"/>
      <w:b/>
      <w:sz w:val="30"/>
      <w:szCs w:val="30"/>
    </w:rPr>
  </w:style>
  <w:style w:type="paragraph" w:customStyle="1" w:styleId="285">
    <w:name w:val="Char4 Char Char Char"/>
    <w:basedOn w:val="1"/>
    <w:qFormat/>
    <w:uiPriority w:val="0"/>
    <w:pPr>
      <w:ind w:left="567" w:hanging="279"/>
    </w:pPr>
    <w:rPr>
      <w:rFonts w:ascii="Times New Roman" w:hAnsi="Times New Roman"/>
      <w:sz w:val="24"/>
      <w:szCs w:val="24"/>
    </w:rPr>
  </w:style>
  <w:style w:type="paragraph" w:customStyle="1" w:styleId="286">
    <w:name w:val="纯文本2"/>
    <w:basedOn w:val="1"/>
    <w:qFormat/>
    <w:uiPriority w:val="0"/>
    <w:rPr>
      <w:rFonts w:ascii="宋体" w:hAnsi="Courier New"/>
      <w:sz w:val="24"/>
      <w:szCs w:val="20"/>
    </w:rPr>
  </w:style>
  <w:style w:type="paragraph" w:customStyle="1" w:styleId="287">
    <w:name w:val="文档结构图2"/>
    <w:basedOn w:val="1"/>
    <w:qFormat/>
    <w:uiPriority w:val="0"/>
    <w:pPr>
      <w:shd w:val="clear" w:color="auto" w:fill="000080"/>
    </w:pPr>
    <w:rPr>
      <w:rFonts w:ascii="Times New Roman" w:hAnsi="Times New Roman"/>
      <w:sz w:val="30"/>
      <w:szCs w:val="24"/>
    </w:rPr>
  </w:style>
  <w:style w:type="paragraph" w:customStyle="1" w:styleId="288">
    <w:name w:val="msointensequote"/>
    <w:basedOn w:val="1"/>
    <w:next w:val="1"/>
    <w:qFormat/>
    <w:uiPriority w:val="0"/>
    <w:pPr>
      <w:widowControl/>
      <w:ind w:left="720" w:right="720"/>
      <w:jc w:val="left"/>
    </w:pPr>
    <w:rPr>
      <w:rFonts w:ascii="Times New Roman" w:hAnsi="Times New Roman"/>
      <w:b/>
      <w:i/>
      <w:kern w:val="0"/>
      <w:sz w:val="24"/>
    </w:rPr>
  </w:style>
  <w:style w:type="paragraph" w:customStyle="1" w:styleId="289">
    <w:name w:val="公文抬头"/>
    <w:basedOn w:val="7"/>
    <w:qFormat/>
    <w:uiPriority w:val="0"/>
    <w:pPr>
      <w:ind w:firstLine="0"/>
    </w:pPr>
    <w:rPr>
      <w:rFonts w:ascii="仿宋_GB2312" w:eastAsia="仿宋_GB2312"/>
      <w:sz w:val="30"/>
      <w:szCs w:val="24"/>
    </w:rPr>
  </w:style>
  <w:style w:type="paragraph" w:customStyle="1" w:styleId="290">
    <w:name w:val="正文_1"/>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91">
    <w:name w:val="封四"/>
    <w:basedOn w:val="144"/>
    <w:next w:val="144"/>
    <w:qFormat/>
    <w:uiPriority w:val="0"/>
    <w:pPr>
      <w:jc w:val="left"/>
    </w:pPr>
    <w:rPr>
      <w:sz w:val="30"/>
      <w:szCs w:val="30"/>
    </w:rPr>
  </w:style>
  <w:style w:type="paragraph" w:customStyle="1" w:styleId="292">
    <w:name w:val="正文 New New New New New New New New New New New New New New New New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93">
    <w:name w:val="正文缩进 New"/>
    <w:basedOn w:val="188"/>
    <w:qFormat/>
    <w:uiPriority w:val="0"/>
    <w:pPr>
      <w:ind w:firstLine="420"/>
    </w:pPr>
    <w:rPr>
      <w:rFonts w:ascii="Times New Roman" w:hAnsi="Times New Roman" w:cs="Times New Roman"/>
      <w:snapToGrid/>
      <w:kern w:val="2"/>
      <w:szCs w:val="20"/>
    </w:rPr>
  </w:style>
  <w:style w:type="paragraph" w:customStyle="1" w:styleId="294">
    <w:name w:val="1"/>
    <w:basedOn w:val="1"/>
    <w:next w:val="1"/>
    <w:qFormat/>
    <w:uiPriority w:val="0"/>
    <w:rPr>
      <w:rFonts w:ascii="Times New Roman" w:hAnsi="Times New Roman"/>
    </w:rPr>
  </w:style>
  <w:style w:type="paragraph" w:customStyle="1" w:styleId="295">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96">
    <w:name w:val="正文 New New New New New New New New New New New New New New New New New New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97">
    <w:name w:val="目录"/>
    <w:basedOn w:val="1"/>
    <w:qFormat/>
    <w:uiPriority w:val="0"/>
    <w:pPr>
      <w:suppressLineNumbers/>
      <w:suppressAutoHyphens/>
    </w:pPr>
    <w:rPr>
      <w:rFonts w:ascii="Times New Roman" w:hAnsi="Times New Roman"/>
      <w:szCs w:val="20"/>
      <w:lang w:eastAsia="ar-SA"/>
    </w:rPr>
  </w:style>
  <w:style w:type="paragraph" w:customStyle="1" w:styleId="298">
    <w:name w:val="正文 New New New New New New New New New New New New New New New New New New New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99">
    <w:name w:val="Char5 Char Char Char Char Char Char Char Char Char Char Char Char Char Char Char Char Char Char Char Char1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00">
    <w:name w:val="正文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01">
    <w:name w:val="页眉 New New"/>
    <w:basedOn w:val="180"/>
    <w:qFormat/>
    <w:uiPriority w:val="0"/>
    <w:pPr>
      <w:pBdr>
        <w:bottom w:val="single" w:color="auto" w:sz="6" w:space="1"/>
      </w:pBdr>
      <w:tabs>
        <w:tab w:val="center" w:pos="4153"/>
        <w:tab w:val="right" w:pos="8306"/>
      </w:tabs>
      <w:snapToGrid w:val="0"/>
      <w:jc w:val="center"/>
    </w:pPr>
    <w:rPr>
      <w:sz w:val="18"/>
    </w:rPr>
  </w:style>
  <w:style w:type="paragraph" w:customStyle="1" w:styleId="302">
    <w:name w:val="正文文本缩进 22"/>
    <w:basedOn w:val="1"/>
    <w:qFormat/>
    <w:uiPriority w:val="0"/>
    <w:pPr>
      <w:spacing w:line="420" w:lineRule="exact"/>
      <w:ind w:firstLine="480"/>
    </w:pPr>
    <w:rPr>
      <w:rFonts w:ascii="Times New Roman" w:hAnsi="Times New Roman"/>
      <w:b/>
      <w:sz w:val="24"/>
      <w:szCs w:val="20"/>
    </w:rPr>
  </w:style>
  <w:style w:type="paragraph" w:customStyle="1" w:styleId="303">
    <w:name w:val="Char2"/>
    <w:basedOn w:val="1"/>
    <w:qFormat/>
    <w:uiPriority w:val="0"/>
    <w:pPr>
      <w:tabs>
        <w:tab w:val="left" w:pos="1500"/>
      </w:tabs>
      <w:ind w:left="567" w:hanging="279"/>
    </w:pPr>
    <w:rPr>
      <w:rFonts w:ascii="Times New Roman" w:hAnsi="Times New Roman"/>
      <w:sz w:val="24"/>
      <w:szCs w:val="24"/>
    </w:rPr>
  </w:style>
  <w:style w:type="paragraph" w:customStyle="1" w:styleId="304">
    <w:name w:val="Char Char Char1 Char1"/>
    <w:basedOn w:val="1"/>
    <w:qFormat/>
    <w:uiPriority w:val="0"/>
    <w:rPr>
      <w:rFonts w:ascii="宋体" w:hAnsi="Times New Roman"/>
      <w:kern w:val="0"/>
      <w:sz w:val="34"/>
      <w:szCs w:val="20"/>
    </w:rPr>
  </w:style>
  <w:style w:type="paragraph" w:customStyle="1" w:styleId="305">
    <w:name w:val="内容目录 10"/>
    <w:basedOn w:val="297"/>
    <w:qFormat/>
    <w:uiPriority w:val="0"/>
    <w:pPr>
      <w:tabs>
        <w:tab w:val="right" w:leader="dot" w:pos="9637"/>
      </w:tabs>
      <w:ind w:left="2547"/>
    </w:pPr>
  </w:style>
  <w:style w:type="paragraph" w:customStyle="1" w:styleId="306">
    <w:name w:val="批注文字1"/>
    <w:basedOn w:val="1"/>
    <w:qFormat/>
    <w:uiPriority w:val="0"/>
    <w:pPr>
      <w:suppressAutoHyphens/>
      <w:jc w:val="left"/>
    </w:pPr>
    <w:rPr>
      <w:rFonts w:ascii="Times New Roman" w:hAnsi="Times New Roman"/>
      <w:szCs w:val="20"/>
      <w:lang w:eastAsia="ar-SA"/>
    </w:rPr>
  </w:style>
  <w:style w:type="paragraph" w:customStyle="1" w:styleId="307">
    <w:name w:val="普通(网站)11"/>
    <w:basedOn w:val="1"/>
    <w:qFormat/>
    <w:uiPriority w:val="0"/>
    <w:pPr>
      <w:widowControl/>
      <w:suppressAutoHyphens/>
      <w:spacing w:before="284" w:after="280" w:line="360" w:lineRule="auto"/>
      <w:jc w:val="left"/>
    </w:pPr>
    <w:rPr>
      <w:rFonts w:ascii="宋体" w:hAnsi="宋体"/>
      <w:sz w:val="24"/>
      <w:szCs w:val="20"/>
      <w:lang w:eastAsia="ar-SA"/>
    </w:rPr>
  </w:style>
  <w:style w:type="paragraph" w:customStyle="1" w:styleId="308">
    <w:name w:val="正文文本缩进 32"/>
    <w:basedOn w:val="1"/>
    <w:qFormat/>
    <w:uiPriority w:val="0"/>
    <w:pPr>
      <w:snapToGrid w:val="0"/>
      <w:spacing w:line="360" w:lineRule="auto"/>
      <w:ind w:left="20" w:firstLine="529" w:firstLineChars="189"/>
    </w:pPr>
    <w:rPr>
      <w:rFonts w:ascii="仿宋_GB2312" w:hAnsi="Times New Roman" w:eastAsia="仿宋_GB2312"/>
      <w:sz w:val="28"/>
      <w:szCs w:val="24"/>
    </w:rPr>
  </w:style>
  <w:style w:type="paragraph" w:customStyle="1" w:styleId="309">
    <w:name w:val="正文 New New New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310">
    <w:name w:val="默认段落字体 Para Char"/>
    <w:basedOn w:val="1"/>
    <w:qFormat/>
    <w:uiPriority w:val="0"/>
    <w:pPr>
      <w:spacing w:line="360" w:lineRule="auto"/>
      <w:jc w:val="left"/>
    </w:pPr>
    <w:rPr>
      <w:rFonts w:ascii="Times New Roman" w:hAnsi="Times New Roman" w:eastAsia="仿宋_GB2312"/>
      <w:b/>
      <w:sz w:val="32"/>
      <w:szCs w:val="24"/>
    </w:rPr>
  </w:style>
  <w:style w:type="paragraph" w:customStyle="1" w:styleId="311">
    <w:name w:val="标签"/>
    <w:basedOn w:val="1"/>
    <w:qFormat/>
    <w:uiPriority w:val="0"/>
    <w:pPr>
      <w:suppressLineNumbers/>
      <w:suppressAutoHyphens/>
      <w:spacing w:before="120" w:after="120"/>
    </w:pPr>
    <w:rPr>
      <w:rFonts w:ascii="Times New Roman" w:hAnsi="Times New Roman"/>
      <w:i/>
      <w:iCs/>
      <w:sz w:val="24"/>
      <w:szCs w:val="24"/>
      <w:lang w:eastAsia="ar-SA"/>
    </w:rPr>
  </w:style>
  <w:style w:type="paragraph" w:customStyle="1" w:styleId="312">
    <w:name w:val="日期1"/>
    <w:basedOn w:val="1"/>
    <w:next w:val="1"/>
    <w:qFormat/>
    <w:uiPriority w:val="0"/>
    <w:pPr>
      <w:suppressAutoHyphens/>
      <w:ind w:left="100"/>
    </w:pPr>
    <w:rPr>
      <w:rFonts w:ascii="Times New Roman" w:hAnsi="Times New Roman"/>
      <w:szCs w:val="20"/>
      <w:lang w:eastAsia="ar-SA"/>
    </w:rPr>
  </w:style>
  <w:style w:type="paragraph" w:customStyle="1" w:styleId="313">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4">
    <w:name w:val="纯文本 New"/>
    <w:basedOn w:val="228"/>
    <w:qFormat/>
    <w:uiPriority w:val="0"/>
    <w:rPr>
      <w:rFonts w:ascii="宋体" w:hAnsi="Courier New" w:eastAsia="宋体"/>
      <w:kern w:val="2"/>
      <w:sz w:val="24"/>
    </w:rPr>
  </w:style>
  <w:style w:type="paragraph" w:customStyle="1" w:styleId="315">
    <w:name w:val="Char Char Char Char1"/>
    <w:basedOn w:val="1"/>
    <w:qFormat/>
    <w:uiPriority w:val="0"/>
    <w:rPr>
      <w:rFonts w:ascii="Times New Roman" w:hAnsi="Times New Roman"/>
      <w:sz w:val="30"/>
      <w:szCs w:val="24"/>
    </w:rPr>
  </w:style>
  <w:style w:type="paragraph" w:customStyle="1" w:styleId="316">
    <w:name w:val="样式 标题 3 + (中文) 黑体 小四 非加粗 段前: 7.8 磅 段后: 0 磅 行距: 固定值 20 磅"/>
    <w:basedOn w:val="5"/>
    <w:qFormat/>
    <w:uiPriority w:val="0"/>
    <w:pPr>
      <w:keepNext/>
      <w:keepLines/>
      <w:widowControl w:val="0"/>
      <w:spacing w:beforeLines="50" w:line="400" w:lineRule="exact"/>
      <w:jc w:val="both"/>
    </w:pPr>
    <w:rPr>
      <w:rFonts w:ascii="Calibri" w:hAnsi="Calibri" w:eastAsia="黑体"/>
      <w:b/>
      <w:color w:val="FF0000"/>
      <w:kern w:val="2"/>
      <w:sz w:val="24"/>
      <w:szCs w:val="20"/>
      <w:lang w:val="zh-CN"/>
    </w:rPr>
  </w:style>
  <w:style w:type="paragraph" w:customStyle="1" w:styleId="317">
    <w:name w:val="目录文字"/>
    <w:basedOn w:val="1"/>
    <w:qFormat/>
    <w:uiPriority w:val="0"/>
    <w:pPr>
      <w:widowControl/>
      <w:spacing w:line="480" w:lineRule="auto"/>
      <w:jc w:val="left"/>
    </w:pPr>
    <w:rPr>
      <w:rFonts w:ascii="宋体" w:hAnsi="宋体"/>
      <w:kern w:val="0"/>
      <w:sz w:val="24"/>
      <w:szCs w:val="20"/>
    </w:rPr>
  </w:style>
  <w:style w:type="paragraph" w:customStyle="1" w:styleId="318">
    <w:name w:val="正文首行缩进 New"/>
    <w:basedOn w:val="227"/>
    <w:qFormat/>
    <w:uiPriority w:val="0"/>
    <w:pPr>
      <w:ind w:firstLine="420" w:firstLineChars="100"/>
    </w:pPr>
  </w:style>
  <w:style w:type="paragraph" w:customStyle="1" w:styleId="319">
    <w:name w:val="章节二"/>
    <w:basedOn w:val="144"/>
    <w:next w:val="144"/>
    <w:qFormat/>
    <w:uiPriority w:val="0"/>
    <w:pPr>
      <w:spacing w:beforeLines="50" w:line="240" w:lineRule="auto"/>
      <w:ind w:firstLine="0" w:firstLineChars="0"/>
      <w:jc w:val="center"/>
      <w:outlineLvl w:val="1"/>
    </w:pPr>
    <w:rPr>
      <w:rFonts w:eastAsia="黑体"/>
      <w:b/>
      <w:sz w:val="30"/>
      <w:szCs w:val="30"/>
    </w:rPr>
  </w:style>
  <w:style w:type="paragraph" w:customStyle="1" w:styleId="320">
    <w:name w:val="正文文本缩进1"/>
    <w:basedOn w:val="1"/>
    <w:qFormat/>
    <w:uiPriority w:val="0"/>
    <w:pPr>
      <w:ind w:firstLine="480"/>
    </w:pPr>
    <w:rPr>
      <w:rFonts w:ascii="Times New Roman" w:hAnsi="Times New Roman"/>
      <w:sz w:val="24"/>
      <w:szCs w:val="20"/>
    </w:rPr>
  </w:style>
  <w:style w:type="paragraph" w:customStyle="1" w:styleId="321">
    <w:name w:val="样式 正文缩进正文（首行缩进两字）特点ALT+Z表正文正文非缩进四号段1Normal Indent Char2..."/>
    <w:basedOn w:val="4"/>
    <w:next w:val="5"/>
    <w:qFormat/>
    <w:uiPriority w:val="0"/>
    <w:pPr>
      <w:tabs>
        <w:tab w:val="left" w:pos="840"/>
      </w:tabs>
      <w:spacing w:before="240" w:line="400" w:lineRule="exact"/>
      <w:ind w:left="840" w:hanging="420"/>
    </w:pPr>
    <w:rPr>
      <w:rFonts w:hint="eastAsia" w:eastAsia="黑体"/>
      <w:b w:val="0"/>
      <w:szCs w:val="20"/>
    </w:rPr>
  </w:style>
  <w:style w:type="paragraph" w:customStyle="1" w:styleId="322">
    <w:name w:val="正文文本 21"/>
    <w:basedOn w:val="1"/>
    <w:qFormat/>
    <w:uiPriority w:val="0"/>
    <w:pPr>
      <w:suppressAutoHyphens/>
    </w:pPr>
    <w:rPr>
      <w:rFonts w:ascii="Times New Roman" w:hAnsi="Times New Roman" w:eastAsia="楷体_GB2312"/>
      <w:b/>
      <w:szCs w:val="20"/>
      <w:lang w:eastAsia="ar-SA"/>
    </w:rPr>
  </w:style>
  <w:style w:type="character" w:customStyle="1" w:styleId="323">
    <w:name w:val="正文文本首行缩进 字符"/>
    <w:qFormat/>
    <w:locked/>
    <w:uiPriority w:val="0"/>
    <w:rPr>
      <w:rFonts w:ascii="Times New Roman" w:hAnsi="Times New Roman" w:eastAsia="宋体" w:cs="Times New Roman"/>
      <w:sz w:val="20"/>
    </w:rPr>
  </w:style>
  <w:style w:type="character" w:customStyle="1" w:styleId="324">
    <w:name w:val="页码1"/>
    <w:basedOn w:val="53"/>
    <w:qFormat/>
    <w:uiPriority w:val="0"/>
  </w:style>
  <w:style w:type="character" w:customStyle="1" w:styleId="325">
    <w:name w:val="标题 3 Char Char"/>
    <w:qFormat/>
    <w:uiPriority w:val="0"/>
    <w:rPr>
      <w:rFonts w:ascii="宋体" w:hAnsi="宋体" w:eastAsia="宋体"/>
      <w:b/>
      <w:bCs/>
      <w:color w:val="FF0000"/>
      <w:kern w:val="2"/>
      <w:sz w:val="24"/>
      <w:szCs w:val="24"/>
      <w:lang w:val="zh-CN" w:eastAsia="zh-CN" w:bidi="ar-SA"/>
    </w:rPr>
  </w:style>
  <w:style w:type="paragraph" w:customStyle="1" w:styleId="326">
    <w:name w:val="页脚 New New New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327">
    <w:name w:val="页脚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328">
    <w:name w:val="页脚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329">
    <w:name w:val="页脚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330">
    <w:name w:val="页脚 New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331">
    <w:name w:val="页脚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332">
    <w:name w:val="页脚 New New New New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333">
    <w:name w:val="页脚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334">
    <w:name w:val="页脚 New New New New New New New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335">
    <w:name w:val="页脚 New New New New New New New New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336">
    <w:name w:val="页脚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337">
    <w:name w:val="页脚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338">
    <w:name w:val="页脚 New New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339">
    <w:name w:val="页脚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340">
    <w:name w:val="页脚 New New New New New New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341">
    <w:name w:val="页脚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342">
    <w:name w:val="页脚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343">
    <w:name w:val="页脚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344">
    <w:name w:val="页脚 New New New New New New New New New New New New New New New New New New New"/>
    <w:basedOn w:val="1"/>
    <w:qFormat/>
    <w:uiPriority w:val="0"/>
    <w:pPr>
      <w:tabs>
        <w:tab w:val="center" w:pos="4153"/>
        <w:tab w:val="right" w:pos="8306"/>
      </w:tabs>
      <w:snapToGrid w:val="0"/>
      <w:jc w:val="left"/>
    </w:pPr>
    <w:rPr>
      <w:rFonts w:ascii="Times New Roman" w:hAnsi="Times New Roman"/>
      <w:sz w:val="18"/>
      <w:szCs w:val="18"/>
    </w:rPr>
  </w:style>
  <w:style w:type="paragraph" w:customStyle="1" w:styleId="345">
    <w:name w:val="文档结构图3"/>
    <w:basedOn w:val="1"/>
    <w:qFormat/>
    <w:uiPriority w:val="0"/>
    <w:pPr>
      <w:shd w:val="clear" w:color="auto" w:fill="000080"/>
    </w:pPr>
    <w:rPr>
      <w:rFonts w:ascii="Times New Roman" w:hAnsi="Times New Roman"/>
      <w:sz w:val="30"/>
      <w:szCs w:val="24"/>
    </w:rPr>
  </w:style>
  <w:style w:type="paragraph" w:customStyle="1" w:styleId="346">
    <w:name w:val="正文文本缩进 33"/>
    <w:basedOn w:val="1"/>
    <w:qFormat/>
    <w:uiPriority w:val="0"/>
    <w:pPr>
      <w:snapToGrid w:val="0"/>
      <w:spacing w:line="360" w:lineRule="auto"/>
      <w:ind w:left="20" w:firstLine="529" w:firstLineChars="189"/>
    </w:pPr>
    <w:rPr>
      <w:rFonts w:ascii="仿宋_GB2312" w:hAnsi="Times New Roman" w:eastAsia="仿宋_GB2312"/>
      <w:sz w:val="28"/>
      <w:szCs w:val="24"/>
    </w:rPr>
  </w:style>
  <w:style w:type="character" w:customStyle="1" w:styleId="347">
    <w:name w:val="页脚 Char1"/>
    <w:basedOn w:val="53"/>
    <w:semiHidden/>
    <w:qFormat/>
    <w:uiPriority w:val="99"/>
    <w:rPr>
      <w:rFonts w:ascii="Calibri" w:hAnsi="Calibri"/>
      <w:kern w:val="2"/>
      <w:sz w:val="18"/>
      <w:szCs w:val="18"/>
    </w:rPr>
  </w:style>
  <w:style w:type="character" w:customStyle="1" w:styleId="348">
    <w:name w:val="页眉 Char1"/>
    <w:basedOn w:val="53"/>
    <w:semiHidden/>
    <w:qFormat/>
    <w:uiPriority w:val="99"/>
    <w:rPr>
      <w:rFonts w:ascii="Calibri" w:hAnsi="Calibri"/>
      <w:kern w:val="2"/>
      <w:sz w:val="18"/>
      <w:szCs w:val="18"/>
    </w:rPr>
  </w:style>
  <w:style w:type="paragraph" w:customStyle="1" w:styleId="349">
    <w:name w:val="正文2"/>
    <w:qFormat/>
    <w:uiPriority w:val="0"/>
    <w:rPr>
      <w:rFonts w:ascii="Times New Roman" w:hAnsi="Times New Roman" w:eastAsia="Times New Roman" w:cs="Times New Roman"/>
      <w:sz w:val="24"/>
      <w:szCs w:val="24"/>
      <w:lang w:val="en-US" w:eastAsia="zh-CN" w:bidi="ar-SA"/>
    </w:rPr>
  </w:style>
  <w:style w:type="paragraph" w:customStyle="1" w:styleId="350">
    <w:name w:val="正文文本缩进 23"/>
    <w:basedOn w:val="1"/>
    <w:qFormat/>
    <w:uiPriority w:val="0"/>
    <w:pPr>
      <w:spacing w:line="420" w:lineRule="exact"/>
      <w:ind w:firstLine="480"/>
    </w:pPr>
    <w:rPr>
      <w:rFonts w:ascii="Times New Roman" w:hAnsi="Times New Roman"/>
      <w:b/>
      <w:sz w:val="24"/>
      <w:szCs w:val="20"/>
    </w:rPr>
  </w:style>
  <w:style w:type="paragraph" w:customStyle="1" w:styleId="351">
    <w:name w:val="纯文本3"/>
    <w:basedOn w:val="1"/>
    <w:qFormat/>
    <w:uiPriority w:val="0"/>
    <w:rPr>
      <w:rFonts w:ascii="宋体" w:hAnsi="Courier New"/>
      <w:sz w:val="24"/>
      <w:szCs w:val="20"/>
    </w:rPr>
  </w:style>
  <w:style w:type="paragraph" w:customStyle="1" w:styleId="352">
    <w:name w:val="正文首行缩进2"/>
    <w:basedOn w:val="20"/>
    <w:qFormat/>
    <w:uiPriority w:val="0"/>
    <w:pPr>
      <w:ind w:firstLine="420" w:firstLineChars="100"/>
    </w:pPr>
    <w:rPr>
      <w:rFonts w:hAnsi="Calibri"/>
      <w:kern w:val="0"/>
      <w:sz w:val="30"/>
      <w:szCs w:val="24"/>
    </w:rPr>
  </w:style>
  <w:style w:type="paragraph" w:customStyle="1" w:styleId="353">
    <w:name w:val="正文文本缩进2"/>
    <w:basedOn w:val="1"/>
    <w:qFormat/>
    <w:uiPriority w:val="0"/>
    <w:pPr>
      <w:ind w:firstLine="480"/>
    </w:pPr>
    <w:rPr>
      <w:rFonts w:ascii="Times New Roman" w:hAnsi="Times New Roman"/>
      <w:sz w:val="24"/>
      <w:szCs w:val="20"/>
    </w:rPr>
  </w:style>
  <w:style w:type="paragraph" w:customStyle="1" w:styleId="354">
    <w:name w:val="Char1 Char Char Char Char Char Char12"/>
    <w:basedOn w:val="1"/>
    <w:qFormat/>
    <w:uiPriority w:val="0"/>
    <w:rPr>
      <w:rFonts w:ascii="Times New Roman" w:hAnsi="Times New Roman"/>
      <w:szCs w:val="20"/>
    </w:rPr>
  </w:style>
  <w:style w:type="paragraph" w:customStyle="1" w:styleId="355">
    <w:name w:val="普通(网站)2"/>
    <w:basedOn w:val="1"/>
    <w:qFormat/>
    <w:uiPriority w:val="0"/>
    <w:pPr>
      <w:widowControl/>
      <w:spacing w:line="500" w:lineRule="exact"/>
      <w:ind w:firstLine="510"/>
    </w:pPr>
    <w:rPr>
      <w:rFonts w:ascii="仿宋_GB2312" w:hAnsi="宋体" w:eastAsia="仿宋_GB2312"/>
      <w:color w:val="000000"/>
      <w:spacing w:val="-10"/>
      <w:kern w:val="0"/>
      <w:szCs w:val="20"/>
    </w:rPr>
  </w:style>
  <w:style w:type="paragraph" w:customStyle="1" w:styleId="356">
    <w:name w:val="正文缩进2"/>
    <w:basedOn w:val="1"/>
    <w:qFormat/>
    <w:uiPriority w:val="0"/>
    <w:pPr>
      <w:ind w:firstLine="420" w:firstLineChars="200"/>
    </w:pPr>
    <w:rPr>
      <w:rFonts w:ascii="Times New Roman" w:hAnsi="Times New Roman"/>
      <w:sz w:val="30"/>
      <w:szCs w:val="24"/>
    </w:rPr>
  </w:style>
  <w:style w:type="paragraph" w:customStyle="1" w:styleId="357">
    <w:name w:val="Char Char Char1 Char2"/>
    <w:basedOn w:val="1"/>
    <w:qFormat/>
    <w:uiPriority w:val="0"/>
    <w:rPr>
      <w:rFonts w:ascii="宋体" w:hAnsi="Times New Roman"/>
      <w:kern w:val="0"/>
      <w:sz w:val="34"/>
      <w:szCs w:val="20"/>
    </w:rPr>
  </w:style>
  <w:style w:type="paragraph" w:customStyle="1" w:styleId="358">
    <w:name w:val="Char3"/>
    <w:basedOn w:val="1"/>
    <w:qFormat/>
    <w:uiPriority w:val="0"/>
    <w:pPr>
      <w:tabs>
        <w:tab w:val="left" w:pos="1500"/>
      </w:tabs>
      <w:ind w:left="567" w:hanging="279"/>
    </w:pPr>
    <w:rPr>
      <w:rFonts w:ascii="Times New Roman" w:hAnsi="Times New Roman"/>
      <w:sz w:val="24"/>
      <w:szCs w:val="24"/>
    </w:rPr>
  </w:style>
  <w:style w:type="paragraph" w:customStyle="1" w:styleId="359">
    <w:name w:val="Char Char Char Char2"/>
    <w:basedOn w:val="1"/>
    <w:qFormat/>
    <w:uiPriority w:val="0"/>
    <w:pPr>
      <w:widowControl/>
      <w:spacing w:after="160" w:line="240" w:lineRule="exact"/>
      <w:jc w:val="left"/>
    </w:pPr>
    <w:rPr>
      <w:rFonts w:ascii="Times New Roman" w:hAnsi="Times New Roman"/>
      <w:szCs w:val="20"/>
    </w:rPr>
  </w:style>
  <w:style w:type="paragraph" w:customStyle="1" w:styleId="360">
    <w:name w:val="表格文字缩进"/>
    <w:basedOn w:val="218"/>
    <w:qFormat/>
    <w:uiPriority w:val="0"/>
    <w:pPr>
      <w:widowControl/>
      <w:tabs>
        <w:tab w:val="clear" w:pos="720"/>
        <w:tab w:val="clear" w:pos="900"/>
      </w:tabs>
      <w:adjustRightInd/>
      <w:snapToGrid/>
      <w:spacing w:beforeLines="0" w:afterLines="0" w:line="240" w:lineRule="atLeast"/>
      <w:ind w:firstLine="360" w:firstLineChars="200"/>
      <w:jc w:val="left"/>
    </w:pPr>
    <w:rPr>
      <w:rFonts w:ascii="Times New Roman" w:hAnsi="Times New Roman" w:cs="宋体"/>
      <w:color w:val="000000"/>
      <w:sz w:val="21"/>
      <w:szCs w:val="18"/>
    </w:rPr>
  </w:style>
  <w:style w:type="character" w:customStyle="1" w:styleId="361">
    <w:name w:val="文一 Char"/>
    <w:qFormat/>
    <w:locked/>
    <w:uiPriority w:val="0"/>
    <w:rPr>
      <w:spacing w:val="4"/>
      <w:sz w:val="24"/>
      <w:szCs w:val="24"/>
    </w:rPr>
  </w:style>
  <w:style w:type="paragraph" w:customStyle="1" w:styleId="362">
    <w:name w:val="正文文本3"/>
    <w:basedOn w:val="1"/>
    <w:qFormat/>
    <w:uiPriority w:val="0"/>
    <w:pPr>
      <w:shd w:val="clear" w:color="auto" w:fill="FFFFFF"/>
      <w:spacing w:line="0" w:lineRule="atLeast"/>
      <w:jc w:val="left"/>
    </w:pPr>
    <w:rPr>
      <w:rFonts w:ascii="宋体" w:hAnsi="宋体"/>
      <w:kern w:val="0"/>
      <w:sz w:val="19"/>
      <w:szCs w:val="19"/>
    </w:rPr>
  </w:style>
  <w:style w:type="paragraph" w:customStyle="1" w:styleId="363">
    <w:name w:val="正文缩进3"/>
    <w:basedOn w:val="1"/>
    <w:qFormat/>
    <w:uiPriority w:val="0"/>
    <w:pPr>
      <w:ind w:firstLine="420" w:firstLineChars="200"/>
    </w:pPr>
    <w:rPr>
      <w:rFonts w:ascii="Times New Roman" w:hAnsi="Times New Roman"/>
      <w:sz w:val="30"/>
      <w:szCs w:val="24"/>
    </w:rPr>
  </w:style>
  <w:style w:type="character" w:customStyle="1" w:styleId="364">
    <w:name w:val="页码2"/>
    <w:basedOn w:val="53"/>
    <w:qFormat/>
    <w:uiPriority w:val="0"/>
  </w:style>
  <w:style w:type="paragraph" w:customStyle="1" w:styleId="365">
    <w:name w:val="正文文本缩进3"/>
    <w:basedOn w:val="1"/>
    <w:qFormat/>
    <w:uiPriority w:val="0"/>
    <w:pPr>
      <w:ind w:firstLine="480"/>
    </w:pPr>
    <w:rPr>
      <w:rFonts w:ascii="Times New Roman" w:hAnsi="Times New Roman"/>
      <w:sz w:val="24"/>
      <w:szCs w:val="20"/>
    </w:rPr>
  </w:style>
  <w:style w:type="paragraph" w:customStyle="1" w:styleId="366">
    <w:name w:val="普通(网站)3"/>
    <w:basedOn w:val="1"/>
    <w:qFormat/>
    <w:uiPriority w:val="0"/>
    <w:pPr>
      <w:widowControl/>
      <w:spacing w:line="500" w:lineRule="exact"/>
      <w:ind w:firstLine="510"/>
    </w:pPr>
    <w:rPr>
      <w:rFonts w:ascii="仿宋_GB2312" w:hAnsi="宋体" w:eastAsia="仿宋_GB2312"/>
      <w:color w:val="000000"/>
      <w:spacing w:val="-10"/>
      <w:kern w:val="0"/>
      <w:szCs w:val="20"/>
    </w:rPr>
  </w:style>
  <w:style w:type="paragraph" w:customStyle="1" w:styleId="367">
    <w:name w:val="Char1 Char Char Char Char Char Char13"/>
    <w:basedOn w:val="1"/>
    <w:qFormat/>
    <w:uiPriority w:val="0"/>
    <w:rPr>
      <w:rFonts w:ascii="Times New Roman" w:hAnsi="Times New Roman"/>
      <w:sz w:val="30"/>
      <w:szCs w:val="24"/>
    </w:rPr>
  </w:style>
  <w:style w:type="paragraph" w:customStyle="1" w:styleId="368">
    <w:name w:val="正文文本缩进 34"/>
    <w:basedOn w:val="1"/>
    <w:qFormat/>
    <w:uiPriority w:val="0"/>
    <w:pPr>
      <w:snapToGrid w:val="0"/>
      <w:spacing w:line="360" w:lineRule="auto"/>
      <w:ind w:left="20" w:firstLine="529" w:firstLineChars="189"/>
    </w:pPr>
    <w:rPr>
      <w:rFonts w:ascii="仿宋_GB2312" w:hAnsi="Times New Roman" w:eastAsia="仿宋_GB2312"/>
      <w:sz w:val="28"/>
      <w:szCs w:val="24"/>
    </w:rPr>
  </w:style>
  <w:style w:type="paragraph" w:customStyle="1" w:styleId="369">
    <w:name w:val="正文文本缩进 24"/>
    <w:basedOn w:val="1"/>
    <w:qFormat/>
    <w:uiPriority w:val="0"/>
    <w:pPr>
      <w:spacing w:line="420" w:lineRule="exact"/>
      <w:ind w:firstLine="480"/>
    </w:pPr>
    <w:rPr>
      <w:rFonts w:ascii="Times New Roman" w:hAnsi="Times New Roman"/>
      <w:b/>
      <w:sz w:val="24"/>
      <w:szCs w:val="20"/>
    </w:rPr>
  </w:style>
  <w:style w:type="paragraph" w:customStyle="1" w:styleId="370">
    <w:name w:val="纯文本4"/>
    <w:basedOn w:val="1"/>
    <w:qFormat/>
    <w:uiPriority w:val="0"/>
    <w:rPr>
      <w:rFonts w:ascii="宋体" w:hAnsi="Courier New"/>
      <w:sz w:val="24"/>
      <w:szCs w:val="20"/>
    </w:rPr>
  </w:style>
  <w:style w:type="paragraph" w:customStyle="1" w:styleId="371">
    <w:name w:val="正文首行缩进3"/>
    <w:basedOn w:val="20"/>
    <w:qFormat/>
    <w:uiPriority w:val="0"/>
    <w:pPr>
      <w:ind w:firstLine="420" w:firstLineChars="100"/>
    </w:pPr>
    <w:rPr>
      <w:sz w:val="30"/>
      <w:szCs w:val="24"/>
    </w:rPr>
  </w:style>
  <w:style w:type="paragraph" w:customStyle="1" w:styleId="372">
    <w:name w:val="Char4"/>
    <w:basedOn w:val="1"/>
    <w:qFormat/>
    <w:uiPriority w:val="0"/>
    <w:pPr>
      <w:widowControl/>
      <w:spacing w:after="160" w:line="240" w:lineRule="exact"/>
      <w:jc w:val="left"/>
    </w:pPr>
    <w:rPr>
      <w:rFonts w:ascii="Times New Roman" w:hAnsi="Times New Roman"/>
      <w:sz w:val="30"/>
      <w:szCs w:val="24"/>
    </w:rPr>
  </w:style>
  <w:style w:type="paragraph" w:customStyle="1" w:styleId="373">
    <w:name w:val="文档结构图4"/>
    <w:basedOn w:val="1"/>
    <w:qFormat/>
    <w:uiPriority w:val="0"/>
    <w:pPr>
      <w:shd w:val="clear" w:color="auto" w:fill="000080"/>
    </w:pPr>
    <w:rPr>
      <w:rFonts w:ascii="Times New Roman" w:hAnsi="Times New Roman"/>
      <w:sz w:val="30"/>
      <w:szCs w:val="24"/>
    </w:rPr>
  </w:style>
  <w:style w:type="character" w:styleId="374">
    <w:name w:val="Placeholder Text"/>
    <w:basedOn w:val="53"/>
    <w:semiHidden/>
    <w:qFormat/>
    <w:uiPriority w:val="99"/>
    <w:rPr>
      <w:color w:val="808080"/>
    </w:rPr>
  </w:style>
  <w:style w:type="paragraph" w:customStyle="1" w:styleId="375">
    <w:name w:val="_Style 3"/>
    <w:qFormat/>
    <w:uiPriority w:val="1"/>
    <w:pPr>
      <w:widowControl w:val="0"/>
      <w:jc w:val="both"/>
    </w:pPr>
    <w:rPr>
      <w:rFonts w:ascii="Calibri" w:hAnsi="Calibri" w:eastAsia="等线" w:cs="Times New Roman"/>
      <w:kern w:val="2"/>
      <w:sz w:val="21"/>
      <w:szCs w:val="22"/>
      <w:lang w:val="en-US" w:eastAsia="zh-CN" w:bidi="ar-SA"/>
    </w:rPr>
  </w:style>
  <w:style w:type="paragraph" w:customStyle="1" w:styleId="376">
    <w:name w:val="Table Paragraph"/>
    <w:basedOn w:val="1"/>
    <w:qFormat/>
    <w:uiPriority w:val="0"/>
  </w:style>
  <w:style w:type="character" w:customStyle="1" w:styleId="377">
    <w:name w:val="标题 1 字符2"/>
    <w:link w:val="2"/>
    <w:qFormat/>
    <w:uiPriority w:val="0"/>
    <w:rPr>
      <w:rFonts w:ascii="Arial" w:hAnsi="Arial" w:eastAsia="宋体"/>
      <w:b/>
      <w:kern w:val="44"/>
      <w:sz w:val="28"/>
      <w:szCs w:val="28"/>
    </w:rPr>
  </w:style>
  <w:style w:type="paragraph" w:customStyle="1" w:styleId="378">
    <w:name w:val="Revision"/>
    <w:hidden/>
    <w:semiHidden/>
    <w:qFormat/>
    <w:uiPriority w:val="99"/>
    <w:rPr>
      <w:rFonts w:ascii="Calibri" w:hAnsi="Calibri" w:eastAsia="宋体" w:cs="Times New Roman"/>
      <w:kern w:val="2"/>
      <w:sz w:val="21"/>
      <w:szCs w:val="22"/>
      <w:lang w:val="en-US" w:eastAsia="zh-CN" w:bidi="ar-SA"/>
    </w:rPr>
  </w:style>
  <w:style w:type="paragraph" w:customStyle="1" w:styleId="379">
    <w:name w:val="修订2"/>
    <w:hidden/>
    <w:qFormat/>
    <w:uiPriority w:val="0"/>
    <w:rPr>
      <w:rFonts w:ascii="Calibri" w:hAnsi="Calibri" w:eastAsia="宋体" w:cs="Times New Roman"/>
      <w:kern w:val="2"/>
      <w:sz w:val="21"/>
      <w:szCs w:val="22"/>
      <w:lang w:val="en-US" w:eastAsia="zh-CN" w:bidi="ar-SA"/>
    </w:rPr>
  </w:style>
  <w:style w:type="character" w:customStyle="1" w:styleId="380">
    <w:name w:val="标题 1 Char"/>
    <w:qFormat/>
    <w:uiPriority w:val="0"/>
    <w:rPr>
      <w:rFonts w:ascii="Arial" w:hAnsi="Arial" w:eastAsia="宋体" w:cs="Times New Roman"/>
      <w:b/>
      <w:kern w:val="44"/>
      <w:sz w:val="28"/>
      <w:szCs w:val="28"/>
    </w:rPr>
  </w:style>
  <w:style w:type="character" w:customStyle="1" w:styleId="381">
    <w:name w:val="标题 2 Char"/>
    <w:qFormat/>
    <w:uiPriority w:val="0"/>
    <w:rPr>
      <w:rFonts w:ascii="Arial" w:hAnsi="Arial" w:eastAsia="宋体" w:cs="Times New Roman"/>
      <w:b/>
      <w:color w:val="000000"/>
      <w:sz w:val="24"/>
      <w:szCs w:val="24"/>
    </w:rPr>
  </w:style>
  <w:style w:type="character" w:customStyle="1" w:styleId="382">
    <w:name w:val="正文缩进 Char"/>
    <w:qFormat/>
    <w:uiPriority w:val="0"/>
    <w:rPr>
      <w:rFonts w:ascii="Times New Roman" w:hAnsi="Times New Roman"/>
      <w:kern w:val="2"/>
      <w:sz w:val="21"/>
    </w:rPr>
  </w:style>
  <w:style w:type="character" w:customStyle="1" w:styleId="383">
    <w:name w:val="标题 3 Char"/>
    <w:qFormat/>
    <w:uiPriority w:val="0"/>
    <w:rPr>
      <w:rFonts w:ascii="宋体" w:hAnsi="宋体" w:eastAsia="宋体" w:cs="宋体"/>
      <w:kern w:val="0"/>
      <w:sz w:val="27"/>
      <w:szCs w:val="27"/>
    </w:rPr>
  </w:style>
  <w:style w:type="character" w:customStyle="1" w:styleId="384">
    <w:name w:val="标题 4 Char"/>
    <w:qFormat/>
    <w:uiPriority w:val="0"/>
    <w:rPr>
      <w:rFonts w:ascii="Arial" w:hAnsi="Arial" w:eastAsia="宋体" w:cs="Times New Roman"/>
      <w:color w:val="000000"/>
      <w:szCs w:val="21"/>
    </w:rPr>
  </w:style>
  <w:style w:type="character" w:customStyle="1" w:styleId="385">
    <w:name w:val="标题 5 Char"/>
    <w:qFormat/>
    <w:uiPriority w:val="0"/>
    <w:rPr>
      <w:rFonts w:ascii="Arial" w:hAnsi="Arial" w:eastAsia="宋体" w:cs="Times New Roman"/>
      <w:color w:val="000000"/>
      <w:szCs w:val="21"/>
    </w:rPr>
  </w:style>
  <w:style w:type="character" w:customStyle="1" w:styleId="386">
    <w:name w:val="标题 6 Char"/>
    <w:qFormat/>
    <w:uiPriority w:val="0"/>
    <w:rPr>
      <w:rFonts w:ascii="Arial" w:hAnsi="Arial" w:eastAsia="黑体" w:cs="Times New Roman"/>
      <w:b/>
      <w:bCs/>
      <w:sz w:val="24"/>
      <w:szCs w:val="24"/>
    </w:rPr>
  </w:style>
  <w:style w:type="character" w:customStyle="1" w:styleId="387">
    <w:name w:val="标题 7 Char"/>
    <w:qFormat/>
    <w:uiPriority w:val="0"/>
    <w:rPr>
      <w:rFonts w:ascii="Times New Roman" w:hAnsi="Times New Roman" w:eastAsia="宋体" w:cs="Times New Roman"/>
      <w:b/>
      <w:sz w:val="24"/>
      <w:szCs w:val="20"/>
    </w:rPr>
  </w:style>
  <w:style w:type="character" w:customStyle="1" w:styleId="388">
    <w:name w:val="标题 8 Char"/>
    <w:qFormat/>
    <w:uiPriority w:val="0"/>
    <w:rPr>
      <w:rFonts w:ascii="Arial" w:hAnsi="Arial" w:eastAsia="黑体" w:cs="Times New Roman"/>
      <w:sz w:val="24"/>
      <w:szCs w:val="20"/>
    </w:rPr>
  </w:style>
  <w:style w:type="character" w:customStyle="1" w:styleId="389">
    <w:name w:val="标题 9 Char"/>
    <w:qFormat/>
    <w:uiPriority w:val="0"/>
    <w:rPr>
      <w:rFonts w:ascii="Arial" w:hAnsi="Arial" w:eastAsia="黑体" w:cs="Times New Roman"/>
      <w:szCs w:val="20"/>
    </w:rPr>
  </w:style>
  <w:style w:type="paragraph" w:customStyle="1" w:styleId="390">
    <w:name w:val="_Style 378"/>
    <w:basedOn w:val="1"/>
    <w:next w:val="261"/>
    <w:link w:val="409"/>
    <w:qFormat/>
    <w:uiPriority w:val="99"/>
    <w:pPr>
      <w:ind w:firstLine="420" w:firstLineChars="200"/>
    </w:pPr>
    <w:rPr>
      <w:rFonts w:ascii="Times New Roman" w:hAnsi="Times New Roman"/>
      <w:kern w:val="0"/>
      <w:sz w:val="20"/>
      <w:szCs w:val="20"/>
    </w:rPr>
  </w:style>
  <w:style w:type="character" w:customStyle="1" w:styleId="391">
    <w:name w:val="文档结构图 Char"/>
    <w:qFormat/>
    <w:uiPriority w:val="0"/>
    <w:rPr>
      <w:rFonts w:ascii="Times New Roman" w:hAnsi="Times New Roman" w:eastAsia="宋体" w:cs="Times New Roman"/>
      <w:szCs w:val="20"/>
      <w:shd w:val="clear" w:color="auto" w:fill="000080"/>
    </w:rPr>
  </w:style>
  <w:style w:type="character" w:customStyle="1" w:styleId="392">
    <w:name w:val="批注文字 Char"/>
    <w:qFormat/>
    <w:uiPriority w:val="0"/>
    <w:rPr>
      <w:rFonts w:ascii="宋体" w:hAnsi="宋体" w:eastAsia="宋体" w:cs="Times New Roman"/>
      <w:sz w:val="24"/>
      <w:szCs w:val="24"/>
    </w:rPr>
  </w:style>
  <w:style w:type="character" w:customStyle="1" w:styleId="393">
    <w:name w:val="正文文本 3 Char"/>
    <w:qFormat/>
    <w:uiPriority w:val="0"/>
    <w:rPr>
      <w:rFonts w:ascii="宋体" w:hAnsi="宋体"/>
      <w:kern w:val="2"/>
      <w:sz w:val="24"/>
    </w:rPr>
  </w:style>
  <w:style w:type="character" w:customStyle="1" w:styleId="394">
    <w:name w:val="正文文本 Char"/>
    <w:qFormat/>
    <w:uiPriority w:val="99"/>
    <w:rPr>
      <w:rFonts w:ascii="Times New Roman" w:hAnsi="Times New Roman" w:eastAsia="宋体" w:cs="Times New Roman"/>
      <w:szCs w:val="20"/>
    </w:rPr>
  </w:style>
  <w:style w:type="character" w:customStyle="1" w:styleId="395">
    <w:name w:val="正文文本缩进 Char"/>
    <w:qFormat/>
    <w:uiPriority w:val="0"/>
    <w:rPr>
      <w:rFonts w:ascii="Times New Roman" w:hAnsi="Times New Roman" w:eastAsia="宋体" w:cs="Times New Roman"/>
      <w:sz w:val="28"/>
      <w:szCs w:val="20"/>
    </w:rPr>
  </w:style>
  <w:style w:type="character" w:customStyle="1" w:styleId="396">
    <w:name w:val="纯文本 Char"/>
    <w:qFormat/>
    <w:uiPriority w:val="0"/>
    <w:rPr>
      <w:rFonts w:ascii="宋体" w:hAnsi="Courier New" w:eastAsia="宋体" w:cs="Times New Roman"/>
      <w:szCs w:val="20"/>
    </w:rPr>
  </w:style>
  <w:style w:type="character" w:customStyle="1" w:styleId="397">
    <w:name w:val="日期 Char"/>
    <w:qFormat/>
    <w:uiPriority w:val="0"/>
    <w:rPr>
      <w:rFonts w:ascii="Times New Roman" w:hAnsi="Times New Roman" w:eastAsia="宋体" w:cs="Times New Roman"/>
      <w:szCs w:val="20"/>
    </w:rPr>
  </w:style>
  <w:style w:type="character" w:customStyle="1" w:styleId="398">
    <w:name w:val="正文文本缩进 2 Char"/>
    <w:qFormat/>
    <w:uiPriority w:val="0"/>
    <w:rPr>
      <w:rFonts w:ascii="Times New Roman" w:hAnsi="Times New Roman" w:eastAsia="宋体" w:cs="Times New Roman"/>
      <w:color w:val="000000"/>
      <w:sz w:val="24"/>
      <w:szCs w:val="20"/>
    </w:rPr>
  </w:style>
  <w:style w:type="character" w:customStyle="1" w:styleId="399">
    <w:name w:val="尾注文本 Char"/>
    <w:qFormat/>
    <w:uiPriority w:val="0"/>
    <w:rPr>
      <w:rFonts w:ascii="Times New Roman" w:hAnsi="Times New Roman" w:eastAsia="宋体" w:cs="Times New Roman"/>
      <w:szCs w:val="20"/>
    </w:rPr>
  </w:style>
  <w:style w:type="character" w:customStyle="1" w:styleId="400">
    <w:name w:val="批注框文本 Char"/>
    <w:qFormat/>
    <w:uiPriority w:val="99"/>
    <w:rPr>
      <w:rFonts w:ascii="Times New Roman" w:hAnsi="Times New Roman" w:eastAsia="宋体" w:cs="Times New Roman"/>
      <w:sz w:val="18"/>
      <w:szCs w:val="18"/>
    </w:rPr>
  </w:style>
  <w:style w:type="character" w:customStyle="1" w:styleId="401">
    <w:name w:val="页脚 Char"/>
    <w:qFormat/>
    <w:uiPriority w:val="99"/>
    <w:rPr>
      <w:rFonts w:ascii="Calibri" w:hAnsi="Calibri" w:eastAsia="宋体" w:cs="Times New Roman"/>
      <w:sz w:val="18"/>
      <w:szCs w:val="18"/>
    </w:rPr>
  </w:style>
  <w:style w:type="character" w:customStyle="1" w:styleId="402">
    <w:name w:val="页眉 Char"/>
    <w:qFormat/>
    <w:uiPriority w:val="99"/>
    <w:rPr>
      <w:rFonts w:ascii="Calibri" w:hAnsi="Calibri" w:eastAsia="宋体" w:cs="Times New Roman"/>
      <w:sz w:val="18"/>
      <w:szCs w:val="18"/>
    </w:rPr>
  </w:style>
  <w:style w:type="character" w:customStyle="1" w:styleId="403">
    <w:name w:val="副标题 Char"/>
    <w:qFormat/>
    <w:uiPriority w:val="0"/>
    <w:rPr>
      <w:rFonts w:ascii="Arial" w:hAnsi="Arial" w:eastAsia="黑体"/>
      <w:b/>
      <w:bCs/>
      <w:kern w:val="2"/>
      <w:sz w:val="32"/>
      <w:szCs w:val="32"/>
    </w:rPr>
  </w:style>
  <w:style w:type="character" w:customStyle="1" w:styleId="404">
    <w:name w:val="脚注文本 Char"/>
    <w:qFormat/>
    <w:uiPriority w:val="0"/>
    <w:rPr>
      <w:rFonts w:ascii="宋体" w:hAnsi="宋体" w:eastAsia="宋体" w:cs="Times New Roman"/>
      <w:sz w:val="18"/>
      <w:szCs w:val="18"/>
    </w:rPr>
  </w:style>
  <w:style w:type="character" w:customStyle="1" w:styleId="405">
    <w:name w:val="正文文本缩进 3 Char"/>
    <w:qFormat/>
    <w:uiPriority w:val="0"/>
    <w:rPr>
      <w:rFonts w:ascii="Times New Roman" w:hAnsi="Times New Roman" w:eastAsia="宋体" w:cs="Times New Roman"/>
      <w:color w:val="000000"/>
      <w:sz w:val="24"/>
      <w:szCs w:val="20"/>
    </w:rPr>
  </w:style>
  <w:style w:type="character" w:customStyle="1" w:styleId="406">
    <w:name w:val="正文文本 2 Char"/>
    <w:qFormat/>
    <w:uiPriority w:val="0"/>
    <w:rPr>
      <w:rFonts w:ascii="宋体" w:hAnsi="宋体" w:eastAsia="宋体" w:cs="Times New Roman"/>
      <w:szCs w:val="24"/>
      <w:u w:val="single"/>
    </w:rPr>
  </w:style>
  <w:style w:type="character" w:customStyle="1" w:styleId="407">
    <w:name w:val="标题 Char"/>
    <w:qFormat/>
    <w:uiPriority w:val="10"/>
    <w:rPr>
      <w:rFonts w:ascii="Arial" w:hAnsi="Arial" w:eastAsia="宋体" w:cs="Times New Roman"/>
      <w:b/>
      <w:sz w:val="44"/>
      <w:szCs w:val="20"/>
    </w:rPr>
  </w:style>
  <w:style w:type="character" w:customStyle="1" w:styleId="408">
    <w:name w:val="批注主题 Char"/>
    <w:qFormat/>
    <w:uiPriority w:val="0"/>
    <w:rPr>
      <w:rFonts w:ascii="宋体" w:hAnsi="宋体" w:eastAsia="宋体" w:cs="Times New Roman"/>
      <w:b/>
      <w:bCs/>
      <w:sz w:val="24"/>
      <w:szCs w:val="24"/>
    </w:rPr>
  </w:style>
  <w:style w:type="character" w:customStyle="1" w:styleId="409">
    <w:name w:val="正文首行缩进 Char"/>
    <w:link w:val="390"/>
    <w:qFormat/>
    <w:uiPriority w:val="99"/>
  </w:style>
  <w:style w:type="table" w:customStyle="1" w:styleId="410">
    <w:name w:val="网格型1"/>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11">
    <w:name w:val="font31"/>
    <w:qFormat/>
    <w:uiPriority w:val="0"/>
    <w:rPr>
      <w:rFonts w:hint="eastAsia" w:ascii="宋体" w:hAnsi="宋体" w:eastAsia="宋体"/>
      <w:color w:val="000000"/>
      <w:sz w:val="24"/>
      <w:szCs w:val="24"/>
      <w:u w:val="single"/>
    </w:rPr>
  </w:style>
  <w:style w:type="character" w:customStyle="1" w:styleId="412">
    <w:name w:val="普通文字 Char Char"/>
    <w:qFormat/>
    <w:uiPriority w:val="0"/>
    <w:rPr>
      <w:rFonts w:hint="default" w:ascii="Courier New" w:hAnsi="Courier New" w:eastAsia="宋体" w:cs="Proxy 9"/>
      <w:kern w:val="2"/>
      <w:sz w:val="21"/>
      <w:lang w:val="en-US" w:eastAsia="zh-CN" w:bidi="ar-SA"/>
    </w:rPr>
  </w:style>
  <w:style w:type="character" w:customStyle="1" w:styleId="413">
    <w:name w:val="页码3"/>
    <w:qFormat/>
    <w:uiPriority w:val="0"/>
  </w:style>
  <w:style w:type="character" w:customStyle="1" w:styleId="414">
    <w:name w:val="Char Char25"/>
    <w:qFormat/>
    <w:uiPriority w:val="0"/>
    <w:rPr>
      <w:rFonts w:hint="default" w:ascii="Arial" w:hAnsi="Arial" w:cs="Arial"/>
      <w:b/>
      <w:bCs/>
      <w:color w:val="000000"/>
      <w:kern w:val="44"/>
      <w:sz w:val="30"/>
      <w:szCs w:val="30"/>
    </w:rPr>
  </w:style>
  <w:style w:type="character" w:customStyle="1" w:styleId="415">
    <w:name w:val="正文文本缩进 3 Char Char"/>
    <w:qFormat/>
    <w:uiPriority w:val="0"/>
    <w:rPr>
      <w:kern w:val="2"/>
      <w:sz w:val="16"/>
      <w:szCs w:val="16"/>
    </w:rPr>
  </w:style>
  <w:style w:type="character" w:customStyle="1" w:styleId="416">
    <w:name w:val="Char Char Char"/>
    <w:qFormat/>
    <w:uiPriority w:val="0"/>
    <w:rPr>
      <w:rFonts w:hint="eastAsia" w:ascii="楷体_GB2312" w:eastAsia="楷体_GB2312"/>
      <w:b/>
      <w:kern w:val="2"/>
      <w:sz w:val="21"/>
    </w:rPr>
  </w:style>
  <w:style w:type="character" w:customStyle="1" w:styleId="417">
    <w:name w:val="正文文本缩进 2 Char Char"/>
    <w:qFormat/>
    <w:uiPriority w:val="0"/>
    <w:rPr>
      <w:rFonts w:hint="default" w:ascii="Times New Roman" w:hAnsi="Times New Roman" w:cs="Times New Roman"/>
      <w:color w:val="000000"/>
      <w:sz w:val="24"/>
    </w:rPr>
  </w:style>
  <w:style w:type="character" w:customStyle="1" w:styleId="418">
    <w:name w:val="Endnote Text Char"/>
    <w:qFormat/>
    <w:uiPriority w:val="0"/>
    <w:rPr>
      <w:rFonts w:hint="default" w:ascii="Times New Roman" w:hAnsi="Times New Roman" w:cs="Times New Roman"/>
      <w:kern w:val="2"/>
      <w:sz w:val="21"/>
    </w:rPr>
  </w:style>
  <w:style w:type="character" w:customStyle="1" w:styleId="419">
    <w:name w:val="引用 Char2"/>
    <w:qFormat/>
    <w:uiPriority w:val="99"/>
    <w:rPr>
      <w:i/>
      <w:iCs/>
      <w:color w:val="000000"/>
      <w:kern w:val="2"/>
      <w:sz w:val="21"/>
      <w:szCs w:val="22"/>
    </w:rPr>
  </w:style>
  <w:style w:type="character" w:customStyle="1" w:styleId="420">
    <w:name w:val="font41"/>
    <w:qFormat/>
    <w:uiPriority w:val="0"/>
    <w:rPr>
      <w:rFonts w:hint="eastAsia" w:ascii="宋体" w:hAnsi="宋体" w:eastAsia="宋体"/>
      <w:strike/>
      <w:color w:val="000000"/>
      <w:sz w:val="24"/>
      <w:szCs w:val="24"/>
    </w:rPr>
  </w:style>
  <w:style w:type="character" w:customStyle="1" w:styleId="421">
    <w:name w:val="msosubtlereference"/>
    <w:qFormat/>
    <w:uiPriority w:val="0"/>
    <w:rPr>
      <w:sz w:val="30"/>
      <w:szCs w:val="24"/>
      <w:u w:val="none"/>
    </w:rPr>
  </w:style>
  <w:style w:type="character" w:customStyle="1" w:styleId="422">
    <w:name w:val="正文文本 3 Char1"/>
    <w:semiHidden/>
    <w:qFormat/>
    <w:uiPriority w:val="99"/>
    <w:rPr>
      <w:kern w:val="2"/>
      <w:sz w:val="16"/>
      <w:szCs w:val="16"/>
    </w:rPr>
  </w:style>
  <w:style w:type="character" w:customStyle="1" w:styleId="423">
    <w:name w:val="正文首行缩进 Char Char"/>
    <w:qFormat/>
    <w:uiPriority w:val="0"/>
    <w:rPr>
      <w:rFonts w:ascii="宋体" w:eastAsia="宋体"/>
      <w:kern w:val="2"/>
      <w:sz w:val="34"/>
      <w:lang w:val="en-US" w:eastAsia="zh-CN" w:bidi="ar-SA"/>
    </w:rPr>
  </w:style>
  <w:style w:type="character" w:customStyle="1" w:styleId="424">
    <w:name w:val="WW8Num4z0"/>
    <w:qFormat/>
    <w:uiPriority w:val="0"/>
    <w:rPr>
      <w:rFonts w:hint="default" w:ascii="Courier New" w:hAnsi="Courier New" w:cs="Courier New"/>
      <w:sz w:val="22"/>
    </w:rPr>
  </w:style>
  <w:style w:type="character" w:customStyle="1" w:styleId="425">
    <w:name w:val="标题 1 Char_0"/>
    <w:qFormat/>
    <w:uiPriority w:val="0"/>
    <w:rPr>
      <w:rFonts w:ascii="仿宋_GB2312" w:hAnsi="宋体" w:eastAsia="仿宋_GB2312" w:cs="宋体"/>
      <w:b/>
      <w:bCs/>
      <w:kern w:val="2"/>
      <w:sz w:val="30"/>
      <w:szCs w:val="30"/>
      <w:lang w:val="en-US" w:eastAsia="zh-CN" w:bidi="ar-SA"/>
    </w:rPr>
  </w:style>
  <w:style w:type="character" w:customStyle="1" w:styleId="426">
    <w:name w:val="样式 正文缩进正文（首行缩进两字）特点ALT+Z表正文正文非缩进四号段1Normal Indent Char2... Char Char"/>
    <w:qFormat/>
    <w:uiPriority w:val="0"/>
    <w:rPr>
      <w:rFonts w:hint="eastAsia" w:ascii="宋体" w:hAnsi="宋体" w:eastAsia="黑体"/>
      <w:b/>
      <w:sz w:val="32"/>
      <w:lang w:val="en-US" w:eastAsia="zh-CN"/>
    </w:rPr>
  </w:style>
  <w:style w:type="character" w:customStyle="1" w:styleId="427">
    <w:name w:val="Char Char24"/>
    <w:qFormat/>
    <w:uiPriority w:val="0"/>
    <w:rPr>
      <w:rFonts w:hint="default" w:ascii="Arial" w:hAnsi="Arial" w:cs="Times New Roman"/>
      <w:b/>
      <w:color w:val="000000"/>
      <w:kern w:val="2"/>
      <w:sz w:val="24"/>
      <w:szCs w:val="24"/>
    </w:rPr>
  </w:style>
  <w:style w:type="character" w:customStyle="1" w:styleId="428">
    <w:name w:val="WW8Num1z0"/>
    <w:qFormat/>
    <w:uiPriority w:val="0"/>
    <w:rPr>
      <w:sz w:val="24"/>
    </w:rPr>
  </w:style>
  <w:style w:type="character" w:customStyle="1" w:styleId="429">
    <w:name w:val="明显引用 Char2"/>
    <w:qFormat/>
    <w:uiPriority w:val="99"/>
    <w:rPr>
      <w:b/>
      <w:bCs/>
      <w:i/>
      <w:iCs/>
      <w:color w:val="4F81BD"/>
      <w:kern w:val="2"/>
      <w:sz w:val="21"/>
      <w:szCs w:val="22"/>
    </w:rPr>
  </w:style>
  <w:style w:type="character" w:customStyle="1" w:styleId="430">
    <w:name w:val="font21"/>
    <w:qFormat/>
    <w:uiPriority w:val="0"/>
    <w:rPr>
      <w:rFonts w:hint="eastAsia" w:ascii="宋体" w:hAnsi="宋体" w:eastAsia="宋体"/>
      <w:color w:val="000000"/>
      <w:sz w:val="24"/>
      <w:szCs w:val="24"/>
      <w:u w:val="none"/>
    </w:rPr>
  </w:style>
  <w:style w:type="character" w:customStyle="1" w:styleId="431">
    <w:name w:val="Char Char16"/>
    <w:qFormat/>
    <w:uiPriority w:val="0"/>
    <w:rPr>
      <w:rFonts w:hint="default" w:ascii="Arial" w:hAnsi="Arial" w:eastAsia="黑体" w:cs="Arial"/>
      <w:b/>
      <w:bCs/>
      <w:sz w:val="24"/>
      <w:szCs w:val="24"/>
      <w:lang w:val="en-US" w:eastAsia="zh-CN" w:bidi="ar-SA"/>
    </w:rPr>
  </w:style>
  <w:style w:type="character" w:customStyle="1" w:styleId="432">
    <w:name w:val="尾注文本 Char Char Char"/>
    <w:qFormat/>
    <w:uiPriority w:val="0"/>
    <w:rPr>
      <w:kern w:val="2"/>
      <w:sz w:val="21"/>
      <w:szCs w:val="24"/>
    </w:rPr>
  </w:style>
  <w:style w:type="character" w:customStyle="1" w:styleId="433">
    <w:name w:val="页脚 Char Char"/>
    <w:qFormat/>
    <w:uiPriority w:val="0"/>
    <w:rPr>
      <w:sz w:val="18"/>
      <w:szCs w:val="18"/>
    </w:rPr>
  </w:style>
  <w:style w:type="character" w:customStyle="1" w:styleId="434">
    <w:name w:val="页眉 Char Char"/>
    <w:qFormat/>
    <w:uiPriority w:val="0"/>
    <w:rPr>
      <w:sz w:val="18"/>
      <w:szCs w:val="18"/>
    </w:rPr>
  </w:style>
  <w:style w:type="character" w:customStyle="1" w:styleId="435">
    <w:name w:val="默认段落字体1"/>
    <w:qFormat/>
    <w:uiPriority w:val="0"/>
  </w:style>
  <w:style w:type="character" w:customStyle="1" w:styleId="436">
    <w:name w:val="textcontents"/>
    <w:qFormat/>
    <w:uiPriority w:val="0"/>
  </w:style>
  <w:style w:type="character" w:customStyle="1" w:styleId="437">
    <w:name w:val="msointensereference"/>
    <w:qFormat/>
    <w:uiPriority w:val="0"/>
    <w:rPr>
      <w:b/>
      <w:sz w:val="24"/>
      <w:u w:val="single"/>
    </w:rPr>
  </w:style>
  <w:style w:type="character" w:customStyle="1" w:styleId="438">
    <w:name w:val="Char Char8"/>
    <w:qFormat/>
    <w:uiPriority w:val="0"/>
    <w:rPr>
      <w:rFonts w:hint="default" w:ascii="Arial" w:hAnsi="Arial" w:eastAsia="黑体" w:cs="Arial"/>
      <w:b/>
      <w:bCs/>
      <w:kern w:val="2"/>
      <w:sz w:val="32"/>
      <w:szCs w:val="32"/>
      <w:lang w:val="en-US" w:eastAsia="zh-CN" w:bidi="ar-SA"/>
    </w:rPr>
  </w:style>
  <w:style w:type="character" w:customStyle="1" w:styleId="439">
    <w:name w:val="msobooktitle"/>
    <w:qFormat/>
    <w:uiPriority w:val="0"/>
    <w:rPr>
      <w:rFonts w:hint="default" w:ascii="Cambria" w:hAnsi="Cambria" w:eastAsia="宋体"/>
      <w:b/>
      <w:i/>
      <w:sz w:val="24"/>
      <w:szCs w:val="24"/>
    </w:rPr>
  </w:style>
  <w:style w:type="character" w:customStyle="1" w:styleId="440">
    <w:name w:val="标题 1 Char Char"/>
    <w:qFormat/>
    <w:uiPriority w:val="0"/>
    <w:rPr>
      <w:rFonts w:hint="eastAsia" w:ascii="仿宋_GB2312" w:eastAsia="仿宋_GB2312"/>
      <w:b/>
      <w:bCs/>
      <w:kern w:val="44"/>
      <w:sz w:val="44"/>
      <w:szCs w:val="44"/>
    </w:rPr>
  </w:style>
  <w:style w:type="character" w:customStyle="1" w:styleId="441">
    <w:name w:val="Char Char10"/>
    <w:qFormat/>
    <w:uiPriority w:val="0"/>
    <w:rPr>
      <w:rFonts w:hint="default" w:ascii="Cambria" w:hAnsi="Cambria" w:eastAsia="宋体"/>
      <w:b/>
      <w:bCs/>
      <w:i/>
      <w:iCs/>
      <w:sz w:val="28"/>
      <w:szCs w:val="28"/>
    </w:rPr>
  </w:style>
  <w:style w:type="character" w:customStyle="1" w:styleId="442">
    <w:name w:val="批注主题 Char Char"/>
    <w:qFormat/>
    <w:uiPriority w:val="0"/>
    <w:rPr>
      <w:rFonts w:hint="default" w:ascii="Times New Roman" w:hAnsi="Times New Roman" w:cs="Times New Roman"/>
      <w:b/>
      <w:bCs/>
      <w:kern w:val="2"/>
      <w:sz w:val="21"/>
      <w:szCs w:val="24"/>
    </w:rPr>
  </w:style>
  <w:style w:type="character" w:customStyle="1" w:styleId="443">
    <w:name w:val="WW8Num9z0"/>
    <w:qFormat/>
    <w:uiPriority w:val="0"/>
    <w:rPr>
      <w:rFonts w:hint="default" w:ascii="Wingdings" w:hAnsi="Wingdings"/>
    </w:rPr>
  </w:style>
  <w:style w:type="character" w:customStyle="1" w:styleId="444">
    <w:name w:val="列出段落 Char"/>
    <w:qFormat/>
    <w:uiPriority w:val="0"/>
    <w:rPr>
      <w:kern w:val="2"/>
      <w:sz w:val="21"/>
    </w:rPr>
  </w:style>
  <w:style w:type="character" w:customStyle="1" w:styleId="445">
    <w:name w:val="font7"/>
    <w:qFormat/>
    <w:uiPriority w:val="0"/>
  </w:style>
  <w:style w:type="character" w:customStyle="1" w:styleId="446">
    <w:name w:val="日期 Char Char"/>
    <w:qFormat/>
    <w:uiPriority w:val="0"/>
    <w:rPr>
      <w:kern w:val="2"/>
      <w:sz w:val="24"/>
    </w:rPr>
  </w:style>
  <w:style w:type="character" w:customStyle="1" w:styleId="447">
    <w:name w:val="副标题 Char2"/>
    <w:qFormat/>
    <w:uiPriority w:val="0"/>
    <w:rPr>
      <w:rFonts w:hint="default" w:ascii="Cambria" w:hAnsi="Cambria" w:cs="Times New Roman"/>
      <w:b/>
      <w:bCs/>
      <w:kern w:val="28"/>
      <w:sz w:val="32"/>
      <w:szCs w:val="32"/>
    </w:rPr>
  </w:style>
  <w:style w:type="character" w:customStyle="1" w:styleId="448">
    <w:name w:val="明显引用 Char"/>
    <w:qFormat/>
    <w:uiPriority w:val="0"/>
    <w:rPr>
      <w:b/>
      <w:i/>
      <w:sz w:val="24"/>
      <w:szCs w:val="22"/>
    </w:rPr>
  </w:style>
  <w:style w:type="character" w:customStyle="1" w:styleId="449">
    <w:name w:val="WW8Num8z0"/>
    <w:qFormat/>
    <w:uiPriority w:val="0"/>
    <w:rPr>
      <w:sz w:val="24"/>
    </w:rPr>
  </w:style>
  <w:style w:type="character" w:customStyle="1" w:styleId="450">
    <w:name w:val="font6"/>
    <w:qFormat/>
    <w:uiPriority w:val="0"/>
  </w:style>
  <w:style w:type="character" w:customStyle="1" w:styleId="451">
    <w:name w:val="font161"/>
    <w:qFormat/>
    <w:uiPriority w:val="0"/>
    <w:rPr>
      <w:b/>
      <w:bCs/>
      <w:sz w:val="32"/>
      <w:szCs w:val="32"/>
    </w:rPr>
  </w:style>
  <w:style w:type="character" w:customStyle="1" w:styleId="452">
    <w:name w:val="标题 Char3"/>
    <w:qFormat/>
    <w:uiPriority w:val="0"/>
    <w:rPr>
      <w:rFonts w:hint="default" w:ascii="Cambria" w:hAnsi="Cambria" w:cs="Times New Roman"/>
      <w:b/>
      <w:bCs/>
      <w:kern w:val="2"/>
      <w:sz w:val="32"/>
      <w:szCs w:val="32"/>
    </w:rPr>
  </w:style>
  <w:style w:type="character" w:customStyle="1" w:styleId="453">
    <w:name w:val="批注框文本 Char Char"/>
    <w:qFormat/>
    <w:uiPriority w:val="0"/>
    <w:rPr>
      <w:kern w:val="2"/>
      <w:sz w:val="18"/>
      <w:szCs w:val="18"/>
    </w:rPr>
  </w:style>
  <w:style w:type="character" w:customStyle="1" w:styleId="454">
    <w:name w:val="标题 Char Char"/>
    <w:qFormat/>
    <w:uiPriority w:val="0"/>
    <w:rPr>
      <w:rFonts w:hint="default" w:ascii="Arial" w:hAnsi="Arial" w:eastAsia="楷体_GB2312" w:cs="Arial"/>
      <w:b/>
      <w:kern w:val="2"/>
      <w:sz w:val="44"/>
      <w:szCs w:val="24"/>
      <w:lang w:val="en-US" w:eastAsia="zh-CN" w:bidi="ar-SA"/>
    </w:rPr>
  </w:style>
  <w:style w:type="character" w:customStyle="1" w:styleId="455">
    <w:name w:val="副标题 Char1"/>
    <w:qFormat/>
    <w:uiPriority w:val="0"/>
    <w:rPr>
      <w:rFonts w:hint="default" w:ascii="Cambria" w:hAnsi="Cambria" w:cs="Times New Roman"/>
      <w:b/>
      <w:bCs/>
      <w:kern w:val="28"/>
      <w:sz w:val="32"/>
      <w:szCs w:val="32"/>
    </w:rPr>
  </w:style>
  <w:style w:type="character" w:customStyle="1" w:styleId="456">
    <w:name w:val="标题 5 Char Char"/>
    <w:qFormat/>
    <w:uiPriority w:val="0"/>
    <w:rPr>
      <w:rFonts w:hint="eastAsia" w:ascii="仿宋_GB2312" w:eastAsia="仿宋_GB2312"/>
      <w:b/>
      <w:bCs/>
      <w:kern w:val="2"/>
      <w:sz w:val="28"/>
      <w:szCs w:val="28"/>
    </w:rPr>
  </w:style>
  <w:style w:type="character" w:customStyle="1" w:styleId="457">
    <w:name w:val="WW8Num15z1"/>
    <w:qFormat/>
    <w:uiPriority w:val="0"/>
    <w:rPr>
      <w:rFonts w:hint="default" w:ascii="Times New Roman" w:hAnsi="Times New Roman" w:cs="Times New Roman"/>
      <w:color w:val="auto"/>
    </w:rPr>
  </w:style>
  <w:style w:type="character" w:customStyle="1" w:styleId="458">
    <w:name w:val="WW8Num3z0"/>
    <w:qFormat/>
    <w:uiPriority w:val="0"/>
    <w:rPr>
      <w:sz w:val="24"/>
      <w:szCs w:val="24"/>
    </w:rPr>
  </w:style>
  <w:style w:type="character" w:customStyle="1" w:styleId="459">
    <w:name w:val="Char Char2"/>
    <w:qFormat/>
    <w:uiPriority w:val="0"/>
    <w:rPr>
      <w:rFonts w:hint="eastAsia" w:ascii="宋体" w:hAnsi="宋体" w:eastAsia="宋体"/>
      <w:kern w:val="2"/>
      <w:sz w:val="21"/>
      <w:szCs w:val="24"/>
      <w:lang w:val="en-US" w:eastAsia="zh-CN" w:bidi="ar-SA"/>
    </w:rPr>
  </w:style>
  <w:style w:type="character" w:customStyle="1" w:styleId="460">
    <w:name w:val="style6"/>
    <w:qFormat/>
    <w:uiPriority w:val="0"/>
  </w:style>
  <w:style w:type="character" w:customStyle="1" w:styleId="461">
    <w:name w:val="标题 9 Char Char"/>
    <w:qFormat/>
    <w:uiPriority w:val="0"/>
    <w:rPr>
      <w:rFonts w:hint="default" w:ascii="Cambria" w:hAnsi="Cambria" w:eastAsia="宋体" w:cs="Times New Roman"/>
      <w:kern w:val="2"/>
      <w:sz w:val="21"/>
      <w:szCs w:val="21"/>
    </w:rPr>
  </w:style>
  <w:style w:type="character" w:customStyle="1" w:styleId="462">
    <w:name w:val="Char Char15"/>
    <w:qFormat/>
    <w:uiPriority w:val="0"/>
  </w:style>
  <w:style w:type="character" w:customStyle="1" w:styleId="463">
    <w:name w:val="标题 2 Char1"/>
    <w:qFormat/>
    <w:uiPriority w:val="0"/>
    <w:rPr>
      <w:rFonts w:hint="default" w:ascii="Arial" w:hAnsi="Arial" w:eastAsia="黑体" w:cs="Arial"/>
      <w:b/>
      <w:bCs/>
      <w:sz w:val="32"/>
      <w:szCs w:val="32"/>
    </w:rPr>
  </w:style>
  <w:style w:type="character" w:customStyle="1" w:styleId="464">
    <w:name w:val="msointenseemphasis"/>
    <w:qFormat/>
    <w:uiPriority w:val="0"/>
    <w:rPr>
      <w:b/>
      <w:i/>
      <w:sz w:val="24"/>
      <w:szCs w:val="24"/>
      <w:u w:val="single"/>
    </w:rPr>
  </w:style>
  <w:style w:type="character" w:customStyle="1" w:styleId="465">
    <w:name w:val="textcontents1"/>
    <w:qFormat/>
    <w:uiPriority w:val="0"/>
    <w:rPr>
      <w:color w:val="000000"/>
      <w:sz w:val="22"/>
      <w:szCs w:val="22"/>
    </w:rPr>
  </w:style>
  <w:style w:type="character" w:customStyle="1" w:styleId="466">
    <w:name w:val="引用 Char"/>
    <w:qFormat/>
    <w:uiPriority w:val="0"/>
    <w:rPr>
      <w:i/>
      <w:sz w:val="24"/>
      <w:szCs w:val="22"/>
    </w:rPr>
  </w:style>
  <w:style w:type="character" w:customStyle="1" w:styleId="467">
    <w:name w:val="纯文本 Char Char"/>
    <w:qFormat/>
    <w:uiPriority w:val="0"/>
    <w:rPr>
      <w:rFonts w:ascii="宋体" w:hAnsi="Courier New"/>
      <w:kern w:val="2"/>
      <w:sz w:val="24"/>
    </w:rPr>
  </w:style>
  <w:style w:type="character" w:customStyle="1" w:styleId="468">
    <w:name w:val="msosubtleemphasis"/>
    <w:qFormat/>
    <w:uiPriority w:val="0"/>
    <w:rPr>
      <w:i/>
      <w:color w:val="5A5A5A"/>
    </w:rPr>
  </w:style>
  <w:style w:type="character" w:customStyle="1" w:styleId="469">
    <w:name w:val="rightspan"/>
    <w:qFormat/>
    <w:uiPriority w:val="0"/>
  </w:style>
  <w:style w:type="character" w:customStyle="1" w:styleId="470">
    <w:name w:val="Variable"/>
    <w:qFormat/>
    <w:uiPriority w:val="0"/>
    <w:rPr>
      <w:i/>
    </w:rPr>
  </w:style>
  <w:style w:type="character" w:customStyle="1" w:styleId="471">
    <w:name w:val="Char Char11"/>
    <w:qFormat/>
    <w:uiPriority w:val="0"/>
    <w:rPr>
      <w:rFonts w:hint="default" w:ascii="Cambria" w:hAnsi="Cambria" w:eastAsia="宋体"/>
      <w:b/>
      <w:bCs/>
      <w:kern w:val="32"/>
      <w:sz w:val="32"/>
      <w:szCs w:val="32"/>
    </w:rPr>
  </w:style>
  <w:style w:type="character" w:customStyle="1" w:styleId="472">
    <w:name w:val="副标题 Char3"/>
    <w:qFormat/>
    <w:uiPriority w:val="11"/>
    <w:rPr>
      <w:rFonts w:ascii="Cambria" w:hAnsi="Cambria" w:cs="Times New Roman"/>
      <w:b/>
      <w:bCs/>
      <w:kern w:val="28"/>
      <w:sz w:val="32"/>
      <w:szCs w:val="32"/>
    </w:rPr>
  </w:style>
  <w:style w:type="character" w:customStyle="1" w:styleId="473">
    <w:name w:val="标题 Char Char Char"/>
    <w:qFormat/>
    <w:uiPriority w:val="0"/>
    <w:rPr>
      <w:rFonts w:hint="default" w:ascii="Arial" w:hAnsi="Arial" w:cs="Arial"/>
      <w:b/>
      <w:sz w:val="32"/>
    </w:rPr>
  </w:style>
  <w:style w:type="character" w:customStyle="1" w:styleId="474">
    <w:name w:val="无间隔 Char"/>
    <w:qFormat/>
    <w:uiPriority w:val="0"/>
    <w:rPr>
      <w:kern w:val="2"/>
      <w:sz w:val="22"/>
    </w:rPr>
  </w:style>
  <w:style w:type="character" w:customStyle="1" w:styleId="475">
    <w:name w:val="Char Char23"/>
    <w:qFormat/>
    <w:uiPriority w:val="0"/>
    <w:rPr>
      <w:rFonts w:hint="default" w:ascii="Times New Roman" w:hAnsi="Times New Roman" w:cs="Times New Roman"/>
      <w:b/>
      <w:color w:val="000000"/>
      <w:kern w:val="2"/>
      <w:sz w:val="24"/>
      <w:szCs w:val="24"/>
    </w:rPr>
  </w:style>
  <w:style w:type="paragraph" w:customStyle="1" w:styleId="476">
    <w:name w:val="正文3"/>
    <w:qFormat/>
    <w:uiPriority w:val="0"/>
    <w:rPr>
      <w:rFonts w:ascii="等线" w:hAnsi="等线" w:eastAsia="Times New Roman" w:cs="Times New Roman"/>
      <w:sz w:val="24"/>
      <w:szCs w:val="24"/>
      <w:lang w:val="en-US" w:eastAsia="zh-CN" w:bidi="ar-SA"/>
    </w:rPr>
  </w:style>
  <w:style w:type="paragraph" w:customStyle="1" w:styleId="477">
    <w:name w:val="TOC 标题2"/>
    <w:basedOn w:val="2"/>
    <w:next w:val="1"/>
    <w:qFormat/>
    <w:uiPriority w:val="0"/>
    <w:pPr>
      <w:widowControl/>
      <w:spacing w:before="480" w:after="0" w:line="276" w:lineRule="auto"/>
      <w:jc w:val="left"/>
      <w:outlineLvl w:val="9"/>
    </w:pPr>
    <w:rPr>
      <w:rFonts w:ascii="Cambria" w:hAnsi="Cambria" w:cs="Times New Roman"/>
      <w:color w:val="365F91"/>
      <w:kern w:val="0"/>
    </w:rPr>
  </w:style>
  <w:style w:type="paragraph" w:customStyle="1" w:styleId="478">
    <w:name w:val="Char5"/>
    <w:basedOn w:val="1"/>
    <w:qFormat/>
    <w:uiPriority w:val="0"/>
    <w:pPr>
      <w:numPr>
        <w:ilvl w:val="0"/>
        <w:numId w:val="1"/>
      </w:numPr>
      <w:tabs>
        <w:tab w:val="left" w:pos="1500"/>
      </w:tabs>
    </w:pPr>
    <w:rPr>
      <w:rFonts w:ascii="Times New Roman" w:hAnsi="等线" w:eastAsia="等线"/>
      <w:sz w:val="24"/>
      <w:szCs w:val="24"/>
    </w:rPr>
  </w:style>
  <w:style w:type="paragraph" w:customStyle="1" w:styleId="479">
    <w:name w:val="正文缩进4"/>
    <w:basedOn w:val="1"/>
    <w:qFormat/>
    <w:uiPriority w:val="0"/>
    <w:pPr>
      <w:ind w:firstLine="420" w:firstLineChars="200"/>
    </w:pPr>
    <w:rPr>
      <w:rFonts w:ascii="Times New Roman" w:hAnsi="等线" w:eastAsia="等线"/>
      <w:sz w:val="30"/>
      <w:szCs w:val="24"/>
    </w:rPr>
  </w:style>
  <w:style w:type="paragraph" w:customStyle="1" w:styleId="480">
    <w:name w:val="正文文本缩进 35"/>
    <w:basedOn w:val="1"/>
    <w:qFormat/>
    <w:uiPriority w:val="0"/>
    <w:pPr>
      <w:snapToGrid w:val="0"/>
      <w:spacing w:line="360" w:lineRule="auto"/>
      <w:ind w:left="20" w:firstLine="529" w:firstLineChars="189"/>
    </w:pPr>
    <w:rPr>
      <w:rFonts w:ascii="仿宋_GB2312" w:hAnsi="等线" w:eastAsia="仿宋_GB2312"/>
      <w:sz w:val="28"/>
      <w:szCs w:val="24"/>
    </w:rPr>
  </w:style>
  <w:style w:type="paragraph" w:customStyle="1" w:styleId="481">
    <w:name w:val="正文文本缩进 25"/>
    <w:basedOn w:val="1"/>
    <w:qFormat/>
    <w:uiPriority w:val="0"/>
    <w:pPr>
      <w:spacing w:line="420" w:lineRule="exact"/>
      <w:ind w:firstLine="480"/>
    </w:pPr>
    <w:rPr>
      <w:rFonts w:ascii="Times New Roman" w:hAnsi="等线" w:eastAsia="等线"/>
      <w:b/>
      <w:sz w:val="24"/>
      <w:szCs w:val="20"/>
    </w:rPr>
  </w:style>
  <w:style w:type="paragraph" w:customStyle="1" w:styleId="482">
    <w:name w:val="文档结构图5"/>
    <w:basedOn w:val="1"/>
    <w:qFormat/>
    <w:uiPriority w:val="0"/>
    <w:pPr>
      <w:shd w:val="clear" w:color="auto" w:fill="000080"/>
    </w:pPr>
    <w:rPr>
      <w:rFonts w:ascii="Times New Roman" w:hAnsi="等线" w:eastAsia="等线"/>
      <w:sz w:val="30"/>
      <w:szCs w:val="24"/>
    </w:rPr>
  </w:style>
  <w:style w:type="paragraph" w:customStyle="1" w:styleId="483">
    <w:name w:val="正文文本首行缩进1"/>
    <w:basedOn w:val="20"/>
    <w:qFormat/>
    <w:uiPriority w:val="0"/>
    <w:pPr>
      <w:ind w:firstLine="420" w:firstLineChars="100"/>
    </w:pPr>
    <w:rPr>
      <w:rFonts w:hAnsi="Calibri"/>
      <w:kern w:val="0"/>
      <w:sz w:val="30"/>
      <w:szCs w:val="24"/>
    </w:rPr>
  </w:style>
  <w:style w:type="paragraph" w:customStyle="1" w:styleId="484">
    <w:name w:val="正文文本缩进4"/>
    <w:basedOn w:val="1"/>
    <w:qFormat/>
    <w:uiPriority w:val="0"/>
    <w:pPr>
      <w:ind w:firstLine="480"/>
    </w:pPr>
    <w:rPr>
      <w:rFonts w:ascii="Times New Roman" w:hAnsi="等线" w:eastAsia="等线"/>
      <w:sz w:val="24"/>
      <w:szCs w:val="20"/>
    </w:rPr>
  </w:style>
  <w:style w:type="paragraph" w:customStyle="1" w:styleId="485">
    <w:name w:val="Char Char Char Char3"/>
    <w:basedOn w:val="1"/>
    <w:qFormat/>
    <w:uiPriority w:val="0"/>
    <w:pPr>
      <w:widowControl/>
      <w:spacing w:after="160" w:line="240" w:lineRule="exact"/>
      <w:jc w:val="left"/>
    </w:pPr>
    <w:rPr>
      <w:rFonts w:ascii="Times New Roman" w:hAnsi="等线" w:eastAsia="等线"/>
      <w:szCs w:val="20"/>
    </w:rPr>
  </w:style>
  <w:style w:type="paragraph" w:customStyle="1" w:styleId="486">
    <w:name w:val="Char Char Char1 Char3"/>
    <w:basedOn w:val="1"/>
    <w:qFormat/>
    <w:uiPriority w:val="0"/>
    <w:rPr>
      <w:rFonts w:ascii="宋体" w:hAnsi="等线" w:eastAsia="等线"/>
      <w:kern w:val="0"/>
      <w:sz w:val="34"/>
      <w:szCs w:val="20"/>
    </w:rPr>
  </w:style>
  <w:style w:type="paragraph" w:customStyle="1" w:styleId="487">
    <w:name w:val="纯文本5"/>
    <w:basedOn w:val="1"/>
    <w:qFormat/>
    <w:uiPriority w:val="0"/>
    <w:rPr>
      <w:rFonts w:ascii="宋体" w:hAnsi="Courier New" w:eastAsia="等线"/>
      <w:sz w:val="24"/>
      <w:szCs w:val="20"/>
    </w:rPr>
  </w:style>
  <w:style w:type="paragraph" w:customStyle="1" w:styleId="488">
    <w:name w:val="Char1 Char Char Char Char Char Char14"/>
    <w:basedOn w:val="1"/>
    <w:qFormat/>
    <w:uiPriority w:val="0"/>
    <w:rPr>
      <w:rFonts w:ascii="Times New Roman" w:hAnsi="等线" w:eastAsia="等线"/>
      <w:szCs w:val="20"/>
    </w:rPr>
  </w:style>
  <w:style w:type="paragraph" w:customStyle="1" w:styleId="489">
    <w:name w:val="普通(网站)4"/>
    <w:basedOn w:val="1"/>
    <w:qFormat/>
    <w:uiPriority w:val="0"/>
    <w:pPr>
      <w:widowControl/>
      <w:spacing w:line="500" w:lineRule="exact"/>
      <w:ind w:firstLine="510"/>
    </w:pPr>
    <w:rPr>
      <w:rFonts w:ascii="仿宋_GB2312" w:hAnsi="宋体" w:eastAsia="仿宋_GB2312"/>
      <w:color w:val="000000"/>
      <w:spacing w:val="-10"/>
      <w:kern w:val="0"/>
      <w:szCs w:val="20"/>
    </w:rPr>
  </w:style>
  <w:style w:type="character" w:customStyle="1" w:styleId="490">
    <w:name w:val="username"/>
    <w:basedOn w:val="53"/>
    <w:qFormat/>
    <w:uiPriority w:val="0"/>
  </w:style>
  <w:style w:type="character" w:customStyle="1" w:styleId="491">
    <w:name w:val="title26"/>
    <w:basedOn w:val="53"/>
    <w:qFormat/>
    <w:uiPriority w:val="0"/>
  </w:style>
  <w:style w:type="paragraph" w:customStyle="1" w:styleId="492">
    <w:name w:val="样式 宋体 四号 首行缩进:  2 字符"/>
    <w:basedOn w:val="1"/>
    <w:qFormat/>
    <w:uiPriority w:val="0"/>
    <w:pPr>
      <w:widowControl/>
    </w:pPr>
    <w:rPr>
      <w:rFonts w:ascii="Times New Roman" w:hAnsi="Times New Roman" w:eastAsia="宋体" w:cs="宋体"/>
      <w:color w:val="000000"/>
      <w:kern w:val="0"/>
      <w:szCs w:val="20"/>
    </w:rPr>
  </w:style>
  <w:style w:type="paragraph" w:customStyle="1" w:styleId="493">
    <w:name w:val="Body Text Indent"/>
    <w:basedOn w:val="1"/>
    <w:qFormat/>
    <w:uiPriority w:val="0"/>
    <w:pPr>
      <w:ind w:firstLine="48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7.emf"/><Relationship Id="rId30" Type="http://schemas.openxmlformats.org/officeDocument/2006/relationships/image" Target="media/image6.emf"/><Relationship Id="rId3" Type="http://schemas.openxmlformats.org/officeDocument/2006/relationships/header" Target="header1.xml"/><Relationship Id="rId29" Type="http://schemas.openxmlformats.org/officeDocument/2006/relationships/image" Target="media/image5.emf"/><Relationship Id="rId28" Type="http://schemas.openxmlformats.org/officeDocument/2006/relationships/image" Target="media/image4.png"/><Relationship Id="rId27" Type="http://schemas.openxmlformats.org/officeDocument/2006/relationships/image" Target="media/image3.png"/><Relationship Id="rId26" Type="http://schemas.openxmlformats.org/officeDocument/2006/relationships/image" Target="media/image2.png"/><Relationship Id="rId25" Type="http://schemas.openxmlformats.org/officeDocument/2006/relationships/image" Target="media/image1.png"/><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B6C156-740E-4865-A58F-63485BEC083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167</Pages>
  <Words>119790</Words>
  <Characters>125607</Characters>
  <Lines>883</Lines>
  <Paragraphs>248</Paragraphs>
  <TotalTime>7</TotalTime>
  <ScaleCrop>false</ScaleCrop>
  <LinksUpToDate>false</LinksUpToDate>
  <CharactersWithSpaces>131675</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2022-04-22T01:11:00Z</dcterms:created>
  <dc:creator>98270</dc:creator>
  <cp:lastModifiedBy>吴嘉鹏</cp:lastModifiedBy>
  <cp:lastPrinted>2023-09-01T10:05:00Z</cp:lastPrinted>
  <dcterms:modified xsi:type="dcterms:W3CDTF">2024-06-21T08:18:55Z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F007349B427847689D4E00A18E8190BB</vt:lpwstr>
  </property>
</Properties>
</file>