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40" w:firstLineChars="200"/>
        <w:jc w:val="left"/>
        <w:rPr>
          <w:rFonts w:hint="default" w:ascii="宋体" w:hAnsi="宋体" w:eastAsia="Calibri" w:cs="宋体"/>
          <w:kern w:val="0"/>
          <w:sz w:val="22"/>
          <w:szCs w:val="21"/>
          <w:highlight w:val="none"/>
          <w:lang w:val="en-US" w:eastAsia="zh-CN"/>
        </w:rPr>
      </w:pPr>
      <w:r>
        <w:rPr>
          <w:rFonts w:hint="eastAsia" w:ascii="宋体" w:hAnsi="宋体" w:eastAsia="Calibri" w:cs="宋体"/>
          <w:kern w:val="0"/>
          <w:sz w:val="22"/>
          <w:szCs w:val="21"/>
          <w:highlight w:val="none"/>
          <w:lang w:val="en-US" w:eastAsia="zh-CN"/>
        </w:rPr>
        <w:t>附件1</w:t>
      </w:r>
    </w:p>
    <w:p>
      <w:pPr>
        <w:ind w:firstLine="723" w:firstLineChars="200"/>
        <w:jc w:val="center"/>
        <w:rPr>
          <w:rFonts w:hint="eastAsia" w:ascii="宋体" w:hAnsi="宋体" w:eastAsia="宋体" w:cs="Times New Roman"/>
          <w:b/>
          <w:sz w:val="36"/>
          <w:szCs w:val="36"/>
          <w:highlight w:val="none"/>
        </w:rPr>
      </w:pPr>
      <w:r>
        <w:rPr>
          <w:rFonts w:hint="eastAsia" w:ascii="宋体" w:hAnsi="宋体" w:eastAsia="宋体" w:cs="Times New Roman"/>
          <w:b/>
          <w:sz w:val="36"/>
          <w:szCs w:val="36"/>
          <w:highlight w:val="none"/>
        </w:rPr>
        <w:t>技术方案文件详细审查评分表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sz w:val="24"/>
          <w:szCs w:val="24"/>
          <w:highlight w:val="none"/>
        </w:rPr>
        <w:t>项目名称：</w:t>
      </w:r>
      <w:r>
        <w:rPr>
          <w:rFonts w:hint="eastAsia" w:ascii="Times New Roman" w:hAnsi="宋体" w:eastAsia="宋体" w:cs="宋体"/>
          <w:b/>
          <w:bCs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 xml:space="preserve">                                                   方案编号：</w:t>
      </w:r>
      <w:r>
        <w:rPr>
          <w:rFonts w:hint="eastAsia" w:ascii="Times New Roman" w:hAnsi="宋体" w:eastAsia="宋体" w:cs="宋体"/>
          <w:b/>
          <w:bCs/>
          <w:szCs w:val="21"/>
          <w:highlight w:val="none"/>
          <w:u w:val="single"/>
        </w:rPr>
        <w:t xml:space="preserve">                             </w:t>
      </w:r>
    </w:p>
    <w:tbl>
      <w:tblPr>
        <w:tblStyle w:val="3"/>
        <w:tblW w:w="148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62"/>
        <w:gridCol w:w="691"/>
        <w:gridCol w:w="1064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评审项目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取值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范围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编制要求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第一章 概况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对项目改造相关政策、法律、法规了解熟悉、改造对象及改造内容明确，能衔接华南国家植物园城园融合体系、绿美广州、花都湖国家湿地公园总体规划等上位规划的要求，设计思路清晰。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（优得5分，良得4分，一般得3分，差或未提供得0分。）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第二章 工作目标与组织架构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工作目标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t>4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了解项目总体情况，编制项目的总体目标、设计目标、施工目标、质量目标和工期目标等，目标设定能匹配国家植物园体系的定位要求；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（优得4分，良得3分，一般得2分，差或未提供得0分。）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组织架构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t>1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编制合理的组织架构，满足项目需要。</w:t>
            </w:r>
          </w:p>
          <w:p>
            <w:pPr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（优得1分，良得0.5分，差或未提供得0分。）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第三章 现状调研与分析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现状调研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0649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对项目改造范围、区位、交通、发展机遇及现状存在的问题等条件熟悉。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对土地用地情况、动植物现状开展调查研究，充分研究项目可行性。</w:t>
            </w:r>
          </w:p>
          <w:p>
            <w:pPr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（优得5分，良得4分，一般得3分，差或未提供得0分。）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可行性分析</w:t>
            </w: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  <w:tc>
          <w:tcPr>
            <w:tcW w:w="1064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第四章 设计方案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方案设计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要求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60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充分考虑现状情况，对场地进行整体、节点改造设计、游线组织及设施要素设计非常合理，充分利用现状空间，体现区域和场地特色，充分遵循功能性、适用性、美观性原则，符合人的实际需求，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应提供针对本项目方案设计的效果图及大鸟瞰图。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2. 开展专项设计，包括土地利用研究、湿地保护、水环境研究、植物迁地保育种类推荐（1000种以上植物）、公共服务设施、树木保护专章、海绵城市专章、用地支撑、标识系统、运营策略等专项内容均有充分考虑，专项内容齐全，符合性强。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（优得60-56分，良得55-51分，一般得50-46分，差或未提供得0分）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第五章施工组织方案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工作计划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1、工作计划（2分）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工作计划翔实，满足工程进度要求，计划逻辑性强、可行、合理，保证措施明确具体；优得2分，良得1分，差或未提供得0分。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施工组织与部署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2、施工组织与部署（2分）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施工组织与部署详细、完整，对本工程各阶段的响应措施可行、合理；优得2分，良得1分，差或未提供得0分。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主要工程项目施工方法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3、主要工程项目施工方法（2分）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主要工程项目施工方法详细、完整，针对本工程涉及的施工工艺可行、合理；优得2分，良得1分，差或未提供得0分。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施工投入（人、机、材等）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4、施工投入（人、机、材等）（2分）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施工投入（人、机、料等）符合本工程各阶段需求，且满足进度需求，有施工投入（人、机、料等）保证措施；优得2分，良得1分，差或未提供得0分。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资金使用计划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highlight w:val="none"/>
              </w:rPr>
              <w:t>资金使用计划（2分）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资金使用计划合理、可行，各项费用控制要点完成；优得2分，良得1分，差或未提供得0分。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质量标准与保障措施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highlight w:val="none"/>
              </w:rPr>
              <w:t>6、质量标准与保障措施（2分）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质量标准与保障措施内，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有质量控制体系、工程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lang w:val="en-US" w:eastAsia="zh-CN"/>
              </w:rPr>
              <w:t>质量管理制度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lang w:val="zh-TW"/>
              </w:rPr>
              <w:t>质量保证措施，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质量控制措施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lang w:val="zh-TW"/>
              </w:rPr>
              <w:t>完整、具体、可行、合理；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档案管理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7、档案管理（2分）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档案管理应包括对工程各阶段（包括但不限于施工、调试、竣工验收等活动）的文件管理，并有相应措施；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安全文明施工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highlight w:val="none"/>
              </w:rPr>
              <w:t>8、安全文明施工（2分）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安全文明施工应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lang w:val="zh-TW"/>
              </w:rPr>
              <w:t>针对项目实际情况，有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安全生产保证体系、安全生产应急预案、职业健康管理，安全控制措施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lang w:val="zh-TW"/>
              </w:rPr>
              <w:t>具体、完整、可行；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绿色施工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9、绿色施工（2分）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</w:rPr>
              <w:t>绿色施工应有</w:t>
            </w:r>
            <w:r>
              <w:rPr>
                <w:rFonts w:hint="eastAsia" w:ascii="宋体" w:hAnsi="宋体" w:eastAsia="宋体" w:cs="宋体"/>
                <w:color w:val="000000"/>
                <w:szCs w:val="24"/>
                <w:highlight w:val="none"/>
                <w:lang w:val="zh-TW"/>
              </w:rPr>
              <w:t>提供绿色节能控制措施合理可行，以及材料消耗、环境保护控制措施合理可行，且承诺使用绿色生产达标企业生产的混凝土；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其它补充内容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highlight w:val="none"/>
              </w:rPr>
              <w:t>10、其它补充内容</w:t>
            </w: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（2分）</w:t>
            </w:r>
          </w:p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highlight w:val="none"/>
              </w:rPr>
              <w:t>其他补充内容投标人可根据本工程特点自行补充。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优得2分，良得1分，差或未提供得0分。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第六章 投资估算及控制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投资估算情况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1064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工程总投资合理，节约工程总投资的措施及理由合理、可信、可行，投资估算编制依据正确，达到相应的深度要求。优得</w: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 xml:space="preserve">-4分，良得3分，差或未提供得0分。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6E5DB"/>
    <w:multiLevelType w:val="singleLevel"/>
    <w:tmpl w:val="D096E5D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NDdlNThkOTAzODYzM2I5NTcxYjliMzhkNjBkNjkifQ=="/>
  </w:docVars>
  <w:rsids>
    <w:rsidRoot w:val="2D166296"/>
    <w:rsid w:val="2D1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2024-06-21T05:47:00Z</dcterms:created>
  <dc:creator>大钊</dc:creator>
  <cp:lastModifiedBy>大钊</cp:lastModifiedBy>
  <dcterms:modified xsi:type="dcterms:W3CDTF">2024-06-21T05:47:53Z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1410499287FA438CB87C3EB70813C680_11</vt:lpwstr>
  </property>
</Properties>
</file>